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7F25FA" w:rsidTr="00457676">
        <w:trPr>
          <w:trHeight w:hRule="exact" w:val="851"/>
        </w:trPr>
        <w:tc>
          <w:tcPr>
            <w:tcW w:w="9639" w:type="dxa"/>
            <w:gridSpan w:val="2"/>
            <w:tcBorders>
              <w:bottom w:val="single" w:sz="4" w:space="0" w:color="auto"/>
            </w:tcBorders>
            <w:shd w:val="clear" w:color="auto" w:fill="auto"/>
            <w:vAlign w:val="bottom"/>
          </w:tcPr>
          <w:p w:rsidR="00F963D4" w:rsidRPr="007F25FA" w:rsidRDefault="00F963D4" w:rsidP="00F963D4">
            <w:pPr>
              <w:jc w:val="right"/>
            </w:pPr>
            <w:r w:rsidRPr="007F25FA">
              <w:rPr>
                <w:sz w:val="40"/>
              </w:rPr>
              <w:t>E</w:t>
            </w:r>
            <w:r w:rsidRPr="007F25FA">
              <w:t>/ECE/324/Rev.1/Add.82/Rev.5−</w:t>
            </w:r>
            <w:r w:rsidRPr="007F25FA">
              <w:rPr>
                <w:sz w:val="40"/>
              </w:rPr>
              <w:t>E</w:t>
            </w:r>
            <w:r w:rsidRPr="007F25FA">
              <w:t>/ECE/TRANS/505/Rev.1/Add.82/Rev.5</w:t>
            </w:r>
          </w:p>
        </w:tc>
      </w:tr>
      <w:tr w:rsidR="00421A10" w:rsidRPr="007F25FA" w:rsidTr="00457676">
        <w:trPr>
          <w:trHeight w:hRule="exact" w:val="2835"/>
        </w:trPr>
        <w:tc>
          <w:tcPr>
            <w:tcW w:w="6804" w:type="dxa"/>
            <w:tcBorders>
              <w:top w:val="single" w:sz="4" w:space="0" w:color="auto"/>
              <w:bottom w:val="single" w:sz="12" w:space="0" w:color="auto"/>
            </w:tcBorders>
            <w:shd w:val="clear" w:color="auto" w:fill="auto"/>
          </w:tcPr>
          <w:p w:rsidR="00421A10" w:rsidRPr="007F25FA" w:rsidRDefault="00421A10" w:rsidP="00457676">
            <w:pPr>
              <w:spacing w:before="120" w:line="380" w:lineRule="exact"/>
            </w:pPr>
          </w:p>
        </w:tc>
        <w:tc>
          <w:tcPr>
            <w:tcW w:w="2835" w:type="dxa"/>
            <w:tcBorders>
              <w:top w:val="single" w:sz="4" w:space="0" w:color="auto"/>
              <w:bottom w:val="single" w:sz="12" w:space="0" w:color="auto"/>
            </w:tcBorders>
            <w:shd w:val="clear" w:color="auto" w:fill="auto"/>
          </w:tcPr>
          <w:p w:rsidR="00421A10" w:rsidRPr="007F25FA" w:rsidRDefault="00F963D4" w:rsidP="00457676">
            <w:pPr>
              <w:spacing w:before="480" w:line="240" w:lineRule="exact"/>
            </w:pPr>
            <w:r w:rsidRPr="007F25FA">
              <w:t>4 février 2015</w:t>
            </w:r>
          </w:p>
        </w:tc>
      </w:tr>
    </w:tbl>
    <w:p w:rsidR="00421A10" w:rsidRPr="006549FF" w:rsidRDefault="0029791D" w:rsidP="0029791D">
      <w:pPr>
        <w:pStyle w:val="HChG"/>
      </w:pPr>
      <w:r>
        <w:tab/>
      </w:r>
      <w:r>
        <w:tab/>
      </w:r>
      <w:r w:rsidR="00421A10" w:rsidRPr="006549FF">
        <w:t>Accord</w:t>
      </w:r>
    </w:p>
    <w:p w:rsidR="00421A10" w:rsidRPr="00583D68" w:rsidRDefault="0029791D" w:rsidP="0029791D">
      <w:pPr>
        <w:pStyle w:val="H1G"/>
      </w:pPr>
      <w:r>
        <w:tab/>
      </w:r>
      <w:r>
        <w:tab/>
      </w:r>
      <w:r w:rsidR="00421A10" w:rsidRPr="00583D68">
        <w:t>Concernant l</w:t>
      </w:r>
      <w:r w:rsidR="00DB4C2D">
        <w:t>’</w:t>
      </w:r>
      <w:r w:rsidR="00421A10" w:rsidRPr="00583D68">
        <w:t>adoption de prescriptions techniques uniformes applicables aux véhicules à roues, aux équipements et aux pièces susceptibles d</w:t>
      </w:r>
      <w:r w:rsidR="00DB4C2D">
        <w:t>’</w:t>
      </w:r>
      <w:r w:rsidR="00421A10" w:rsidRPr="00583D68">
        <w:t>être montés ou utilisés sur un véhicule à roues</w:t>
      </w:r>
      <w:r w:rsidR="00421A10">
        <w:br/>
      </w:r>
      <w:r w:rsidR="00421A10" w:rsidRPr="00583D68">
        <w:t>et les conditions de reconnaissance réciproque des homologations délivrées conformément à ces prescriptions</w:t>
      </w:r>
      <w:r w:rsidRPr="00DE083E">
        <w:rPr>
          <w:b w:val="0"/>
          <w:sz w:val="20"/>
        </w:rPr>
        <w:t>*</w:t>
      </w:r>
    </w:p>
    <w:p w:rsidR="00421A10" w:rsidRPr="00A12483" w:rsidRDefault="00421A10" w:rsidP="0029791D">
      <w:pPr>
        <w:pStyle w:val="SingleTxtG"/>
        <w:jc w:val="left"/>
        <w:rPr>
          <w:b/>
          <w:sz w:val="24"/>
          <w:szCs w:val="24"/>
        </w:rPr>
      </w:pPr>
      <w:r w:rsidRPr="006549FF">
        <w:t xml:space="preserve">(Révision </w:t>
      </w:r>
      <w:r w:rsidR="00F963D4">
        <w:t>2</w:t>
      </w:r>
      <w:r w:rsidRPr="006549FF">
        <w:t>, comprenant les amen</w:t>
      </w:r>
      <w:r>
        <w:t xml:space="preserve">dements entrés en vigueur le 16 </w:t>
      </w:r>
      <w:r w:rsidRPr="006549FF">
        <w:t>octobre 1995)</w:t>
      </w:r>
    </w:p>
    <w:p w:rsidR="00421A10" w:rsidRPr="006549FF" w:rsidRDefault="0029791D" w:rsidP="0029791D">
      <w:pPr>
        <w:jc w:val="center"/>
      </w:pPr>
      <w:r>
        <w:t>_______________</w:t>
      </w:r>
    </w:p>
    <w:p w:rsidR="00421A10" w:rsidRPr="006549FF" w:rsidRDefault="0029791D" w:rsidP="0029791D">
      <w:pPr>
        <w:pStyle w:val="HChG"/>
      </w:pPr>
      <w:r>
        <w:tab/>
      </w:r>
      <w:r>
        <w:tab/>
      </w:r>
      <w:r w:rsidR="00421A10" w:rsidRPr="006549FF">
        <w:t xml:space="preserve">Additif </w:t>
      </w:r>
      <w:r w:rsidR="00F963D4">
        <w:t>82</w:t>
      </w:r>
      <w:r w:rsidR="00421A10" w:rsidRPr="006549FF">
        <w:t>: Règlement</w:t>
      </w:r>
      <w:r w:rsidR="00421A10">
        <w:t xml:space="preserve"> </w:t>
      </w:r>
      <w:r w:rsidR="00421A10" w:rsidRPr="00B371BF">
        <w:t>n</w:t>
      </w:r>
      <w:r w:rsidR="00421A10" w:rsidRPr="00B371BF">
        <w:rPr>
          <w:vertAlign w:val="superscript"/>
        </w:rPr>
        <w:t>o</w:t>
      </w:r>
      <w:r w:rsidR="00421A10">
        <w:t> </w:t>
      </w:r>
      <w:r w:rsidR="00F963D4">
        <w:t>83</w:t>
      </w:r>
    </w:p>
    <w:p w:rsidR="00421A10" w:rsidRPr="006549FF" w:rsidRDefault="0029791D" w:rsidP="0029791D">
      <w:pPr>
        <w:pStyle w:val="H1G"/>
      </w:pPr>
      <w:r>
        <w:tab/>
      </w:r>
      <w:r>
        <w:tab/>
      </w:r>
      <w:r w:rsidR="00421A10" w:rsidRPr="006549FF">
        <w:t xml:space="preserve">Révision </w:t>
      </w:r>
      <w:r w:rsidR="00F963D4">
        <w:t>5</w:t>
      </w:r>
    </w:p>
    <w:p w:rsidR="00421A10" w:rsidRPr="004A7E44" w:rsidRDefault="00780D96" w:rsidP="0029791D">
      <w:pPr>
        <w:pStyle w:val="SingleTxtG"/>
        <w:spacing w:after="0"/>
      </w:pPr>
      <w:r>
        <w:t>Série 07 d</w:t>
      </w:r>
      <w:r w:rsidR="00DB4C2D">
        <w:t>’</w:t>
      </w:r>
      <w:r>
        <w:t>amendements du Règlement − Date d</w:t>
      </w:r>
      <w:r w:rsidR="00DB4C2D">
        <w:t>’</w:t>
      </w:r>
      <w:r>
        <w:t>entrée en vigueur: 22 janvier 2015</w:t>
      </w:r>
    </w:p>
    <w:p w:rsidR="00421A10" w:rsidRDefault="0029791D" w:rsidP="0029791D">
      <w:pPr>
        <w:pStyle w:val="H1G"/>
      </w:pPr>
      <w:r>
        <w:tab/>
      </w:r>
      <w:r>
        <w:tab/>
      </w:r>
      <w:r w:rsidR="00421A10" w:rsidRPr="007619D3">
        <w:t xml:space="preserve">Prescriptions uniformes relatives </w:t>
      </w:r>
      <w:r w:rsidR="00780D96" w:rsidRPr="00595F55">
        <w:rPr>
          <w:lang w:val="fr-FR"/>
        </w:rPr>
        <w:t>à l</w:t>
      </w:r>
      <w:r w:rsidR="00DB4C2D">
        <w:rPr>
          <w:lang w:val="fr-FR"/>
        </w:rPr>
        <w:t>’</w:t>
      </w:r>
      <w:r w:rsidR="00780D96" w:rsidRPr="00595F55">
        <w:rPr>
          <w:lang w:val="fr-FR"/>
        </w:rPr>
        <w:t>homologation des véhicules</w:t>
      </w:r>
      <w:r w:rsidR="00780D96">
        <w:rPr>
          <w:lang w:val="fr-FR"/>
        </w:rPr>
        <w:br/>
      </w:r>
      <w:r w:rsidR="00780D96" w:rsidRPr="00595F55">
        <w:rPr>
          <w:lang w:val="fr-FR"/>
        </w:rPr>
        <w:t>en ce qui concerne les émissions de polluants selon les exigences</w:t>
      </w:r>
      <w:r w:rsidR="00780D96">
        <w:rPr>
          <w:lang w:val="fr-FR"/>
        </w:rPr>
        <w:br/>
      </w:r>
      <w:r w:rsidR="00780D96" w:rsidRPr="00595F55">
        <w:rPr>
          <w:lang w:val="fr-FR"/>
        </w:rPr>
        <w:t>du moteur en matière de carburant</w:t>
      </w:r>
    </w:p>
    <w:p w:rsidR="00F963D4" w:rsidRDefault="00F963D4" w:rsidP="005F0207">
      <w:pPr>
        <w:sectPr w:rsidR="00F963D4" w:rsidSect="00F963D4">
          <w:headerReference w:type="even" r:id="rId9"/>
          <w:headerReference w:type="default" r:id="rId10"/>
          <w:footerReference w:type="even" r:id="rId11"/>
          <w:footerReference w:type="default" r:id="rId12"/>
          <w:footerReference w:type="first" r:id="rId13"/>
          <w:endnotePr>
            <w:numFmt w:val="decimal"/>
          </w:endnotePr>
          <w:pgSz w:w="11907" w:h="16840" w:code="9"/>
          <w:pgMar w:top="1701" w:right="1134" w:bottom="2268" w:left="1134" w:header="964" w:footer="1701" w:gutter="0"/>
          <w:cols w:space="720"/>
          <w:titlePg/>
          <w:docGrid w:linePitch="272"/>
        </w:sectPr>
      </w:pPr>
    </w:p>
    <w:p w:rsidR="00780D96" w:rsidRPr="00780D96" w:rsidRDefault="00780D96" w:rsidP="004747BB">
      <w:pPr>
        <w:pStyle w:val="HChG"/>
        <w:spacing w:line="280" w:lineRule="exact"/>
      </w:pPr>
      <w:r w:rsidRPr="00780D96">
        <w:lastRenderedPageBreak/>
        <w:t xml:space="preserve">Règlement </w:t>
      </w:r>
      <w:r>
        <w:t>n</w:t>
      </w:r>
      <w:r w:rsidRPr="00780D96">
        <w:rPr>
          <w:vertAlign w:val="superscript"/>
        </w:rPr>
        <w:t>o</w:t>
      </w:r>
      <w:r>
        <w:t> </w:t>
      </w:r>
      <w:r w:rsidRPr="00780D96">
        <w:t>83</w:t>
      </w:r>
    </w:p>
    <w:p w:rsidR="005F0207" w:rsidRDefault="00780D96" w:rsidP="004747BB">
      <w:pPr>
        <w:pStyle w:val="HChG"/>
        <w:spacing w:line="280" w:lineRule="exact"/>
        <w:rPr>
          <w:lang w:val="en-GB"/>
        </w:rPr>
      </w:pPr>
      <w:r w:rsidRPr="00780D96">
        <w:tab/>
      </w:r>
      <w:r w:rsidRPr="00780D96">
        <w:tab/>
        <w:t xml:space="preserve">Prescriptions uniformes relatives </w:t>
      </w:r>
      <w:r>
        <w:rPr>
          <w:lang w:val="fr-FR"/>
        </w:rPr>
        <w:t>à l</w:t>
      </w:r>
      <w:r w:rsidR="00DB4C2D">
        <w:rPr>
          <w:lang w:val="fr-FR"/>
        </w:rPr>
        <w:t>’</w:t>
      </w:r>
      <w:r>
        <w:rPr>
          <w:lang w:val="fr-FR"/>
        </w:rPr>
        <w:t>homologation des </w:t>
      </w:r>
      <w:r w:rsidRPr="00780D96">
        <w:rPr>
          <w:lang w:val="fr-FR"/>
        </w:rPr>
        <w:t xml:space="preserve">véhicules en ce qui concerne les émissions de polluants selon les exigences du moteur en matière de </w:t>
      </w:r>
      <w:r w:rsidRPr="00780D96">
        <w:rPr>
          <w:lang w:val="en-GB"/>
        </w:rPr>
        <w:t>carburant</w:t>
      </w:r>
    </w:p>
    <w:p w:rsidR="00780D96" w:rsidRPr="00780D96" w:rsidRDefault="00780D96" w:rsidP="004747BB">
      <w:pPr>
        <w:spacing w:after="120" w:line="220" w:lineRule="atLeast"/>
        <w:rPr>
          <w:sz w:val="28"/>
        </w:rPr>
      </w:pPr>
      <w:r w:rsidRPr="00780D96">
        <w:rPr>
          <w:sz w:val="28"/>
        </w:rPr>
        <w:t>Table des matières</w:t>
      </w:r>
    </w:p>
    <w:p w:rsidR="00780D96" w:rsidRPr="00780D96" w:rsidRDefault="00DB4C2D" w:rsidP="004747BB">
      <w:pPr>
        <w:tabs>
          <w:tab w:val="right" w:pos="9638"/>
        </w:tabs>
        <w:spacing w:after="120" w:line="220" w:lineRule="atLeast"/>
        <w:ind w:left="284"/>
        <w:rPr>
          <w:i/>
          <w:sz w:val="18"/>
        </w:rPr>
      </w:pPr>
      <w:r w:rsidRPr="00DB4C2D">
        <w:rPr>
          <w:i/>
          <w:sz w:val="18"/>
        </w:rPr>
        <w:t>Règlement</w:t>
      </w:r>
      <w:r w:rsidR="00780D96" w:rsidRPr="00780D96">
        <w:rPr>
          <w:i/>
          <w:sz w:val="18"/>
        </w:rPr>
        <w:tab/>
        <w:t>Page</w:t>
      </w:r>
    </w:p>
    <w:p w:rsidR="00780D96" w:rsidRDefault="00780D96" w:rsidP="004747BB">
      <w:pPr>
        <w:tabs>
          <w:tab w:val="right" w:pos="850"/>
          <w:tab w:val="right" w:leader="dot" w:pos="8787"/>
          <w:tab w:val="right" w:pos="9638"/>
        </w:tabs>
        <w:spacing w:after="120" w:line="220" w:lineRule="atLeast"/>
        <w:ind w:left="1134" w:hanging="1134"/>
      </w:pPr>
      <w:r>
        <w:tab/>
      </w:r>
      <w:r w:rsidR="00DB4C2D">
        <w:t>1</w:t>
      </w:r>
      <w:r>
        <w:t>.</w:t>
      </w:r>
      <w:r>
        <w:tab/>
      </w:r>
      <w:r w:rsidR="00DB4C2D" w:rsidRPr="003401F1">
        <w:t>Domaine</w:t>
      </w:r>
      <w:r w:rsidR="00DB4C2D" w:rsidRPr="00780D96">
        <w:rPr>
          <w:lang w:val="fr-FR"/>
        </w:rPr>
        <w:t xml:space="preserve"> d</w:t>
      </w:r>
      <w:r w:rsidR="00DB4C2D">
        <w:rPr>
          <w:lang w:val="fr-FR"/>
        </w:rPr>
        <w:t>’</w:t>
      </w:r>
      <w:r w:rsidR="00DB4C2D" w:rsidRPr="00780D96">
        <w:rPr>
          <w:lang w:val="fr-FR"/>
        </w:rPr>
        <w:t>application</w:t>
      </w:r>
      <w:r>
        <w:tab/>
      </w:r>
      <w:r w:rsidR="00DB4C2D">
        <w:tab/>
        <w:t>5</w:t>
      </w:r>
    </w:p>
    <w:p w:rsidR="00DB4C2D" w:rsidRDefault="00DB4C2D" w:rsidP="004747BB">
      <w:pPr>
        <w:tabs>
          <w:tab w:val="right" w:pos="850"/>
          <w:tab w:val="right" w:leader="dot" w:pos="8787"/>
          <w:tab w:val="right" w:pos="9638"/>
        </w:tabs>
        <w:spacing w:after="120" w:line="220" w:lineRule="atLeast"/>
        <w:ind w:left="1134" w:hanging="1134"/>
        <w:rPr>
          <w:lang w:val="fr-FR"/>
        </w:rPr>
      </w:pPr>
      <w:r>
        <w:tab/>
        <w:t>2.</w:t>
      </w:r>
      <w:r>
        <w:tab/>
      </w:r>
      <w:r w:rsidRPr="00780D96">
        <w:rPr>
          <w:lang w:val="fr-FR"/>
        </w:rPr>
        <w:t>Définitions</w:t>
      </w:r>
      <w:r>
        <w:rPr>
          <w:lang w:val="fr-FR"/>
        </w:rPr>
        <w:tab/>
      </w:r>
      <w:r>
        <w:rPr>
          <w:lang w:val="fr-FR"/>
        </w:rPr>
        <w:tab/>
        <w:t>5</w:t>
      </w:r>
    </w:p>
    <w:p w:rsidR="00DB4C2D" w:rsidRDefault="00DB4C2D" w:rsidP="004747BB">
      <w:pPr>
        <w:tabs>
          <w:tab w:val="right" w:pos="850"/>
          <w:tab w:val="right" w:leader="dot" w:pos="8787"/>
          <w:tab w:val="right" w:pos="9638"/>
        </w:tabs>
        <w:spacing w:after="120" w:line="220" w:lineRule="atLeast"/>
        <w:ind w:left="1134" w:hanging="1134"/>
        <w:rPr>
          <w:lang w:val="fr-FR"/>
        </w:rPr>
      </w:pPr>
      <w:r>
        <w:rPr>
          <w:lang w:val="fr-FR"/>
        </w:rPr>
        <w:tab/>
        <w:t>3.</w:t>
      </w:r>
      <w:r>
        <w:rPr>
          <w:lang w:val="fr-FR"/>
        </w:rPr>
        <w:tab/>
      </w:r>
      <w:r w:rsidRPr="00A07FA8">
        <w:rPr>
          <w:lang w:val="fr-FR"/>
        </w:rPr>
        <w:t>Demande d</w:t>
      </w:r>
      <w:r>
        <w:rPr>
          <w:lang w:val="fr-FR"/>
        </w:rPr>
        <w:t>’</w:t>
      </w:r>
      <w:r w:rsidRPr="00A07FA8">
        <w:rPr>
          <w:lang w:val="fr-FR"/>
        </w:rPr>
        <w:t>homologation</w:t>
      </w:r>
      <w:r>
        <w:rPr>
          <w:lang w:val="fr-FR"/>
        </w:rPr>
        <w:tab/>
      </w:r>
      <w:r>
        <w:rPr>
          <w:lang w:val="fr-FR"/>
        </w:rPr>
        <w:tab/>
        <w:t>10</w:t>
      </w:r>
    </w:p>
    <w:p w:rsidR="00DB4C2D" w:rsidRDefault="00DB4C2D" w:rsidP="004747BB">
      <w:pPr>
        <w:tabs>
          <w:tab w:val="right" w:pos="850"/>
          <w:tab w:val="right" w:leader="dot" w:pos="8787"/>
          <w:tab w:val="right" w:pos="9638"/>
        </w:tabs>
        <w:spacing w:after="120" w:line="220" w:lineRule="atLeast"/>
        <w:ind w:left="1134" w:hanging="1134"/>
        <w:rPr>
          <w:lang w:val="fr-FR"/>
        </w:rPr>
      </w:pPr>
      <w:r>
        <w:rPr>
          <w:lang w:val="fr-FR"/>
        </w:rPr>
        <w:tab/>
        <w:t>4.</w:t>
      </w:r>
      <w:r>
        <w:rPr>
          <w:lang w:val="fr-FR"/>
        </w:rPr>
        <w:tab/>
      </w:r>
      <w:r w:rsidRPr="00F851E8">
        <w:rPr>
          <w:lang w:val="fr-FR"/>
        </w:rPr>
        <w:t>Homologation</w:t>
      </w:r>
      <w:r>
        <w:rPr>
          <w:lang w:val="fr-FR"/>
        </w:rPr>
        <w:tab/>
      </w:r>
      <w:r>
        <w:rPr>
          <w:lang w:val="fr-FR"/>
        </w:rPr>
        <w:tab/>
        <w:t>12</w:t>
      </w:r>
    </w:p>
    <w:p w:rsidR="00DB4C2D" w:rsidRDefault="00DB4C2D" w:rsidP="004747BB">
      <w:pPr>
        <w:tabs>
          <w:tab w:val="right" w:pos="850"/>
          <w:tab w:val="right" w:leader="dot" w:pos="8787"/>
          <w:tab w:val="right" w:pos="9638"/>
        </w:tabs>
        <w:spacing w:after="120" w:line="220" w:lineRule="atLeast"/>
        <w:ind w:left="1134" w:hanging="1134"/>
        <w:rPr>
          <w:lang w:val="fr-FR"/>
        </w:rPr>
      </w:pPr>
      <w:r>
        <w:rPr>
          <w:lang w:val="fr-FR"/>
        </w:rPr>
        <w:tab/>
        <w:t>5.</w:t>
      </w:r>
      <w:r>
        <w:rPr>
          <w:lang w:val="fr-FR"/>
        </w:rPr>
        <w:tab/>
      </w:r>
      <w:r w:rsidRPr="00546963">
        <w:rPr>
          <w:lang w:val="fr-FR"/>
        </w:rPr>
        <w:t>Spécifications techniques et essais</w:t>
      </w:r>
      <w:r>
        <w:rPr>
          <w:lang w:val="fr-FR"/>
        </w:rPr>
        <w:tab/>
      </w:r>
      <w:r>
        <w:rPr>
          <w:lang w:val="fr-FR"/>
        </w:rPr>
        <w:tab/>
        <w:t>14</w:t>
      </w:r>
    </w:p>
    <w:p w:rsidR="00DB4C2D" w:rsidRDefault="00DB4C2D" w:rsidP="004747BB">
      <w:pPr>
        <w:tabs>
          <w:tab w:val="right" w:pos="850"/>
          <w:tab w:val="right" w:leader="dot" w:pos="8787"/>
          <w:tab w:val="right" w:pos="9638"/>
        </w:tabs>
        <w:spacing w:after="120" w:line="220" w:lineRule="atLeast"/>
        <w:ind w:left="1134" w:hanging="1134"/>
        <w:rPr>
          <w:lang w:val="fr-FR"/>
        </w:rPr>
      </w:pPr>
      <w:r>
        <w:rPr>
          <w:lang w:val="fr-FR"/>
        </w:rPr>
        <w:tab/>
        <w:t>6.</w:t>
      </w:r>
      <w:r>
        <w:rPr>
          <w:lang w:val="fr-FR"/>
        </w:rPr>
        <w:tab/>
      </w:r>
      <w:r w:rsidRPr="00546963">
        <w:rPr>
          <w:lang w:val="fr-FR"/>
        </w:rPr>
        <w:t>Modifications du type de véhicule</w:t>
      </w:r>
      <w:r>
        <w:rPr>
          <w:lang w:val="fr-FR"/>
        </w:rPr>
        <w:tab/>
      </w:r>
      <w:r>
        <w:rPr>
          <w:lang w:val="fr-FR"/>
        </w:rPr>
        <w:tab/>
        <w:t>29</w:t>
      </w:r>
    </w:p>
    <w:p w:rsidR="00DB4C2D" w:rsidRDefault="00DB4C2D" w:rsidP="004747BB">
      <w:pPr>
        <w:tabs>
          <w:tab w:val="right" w:pos="850"/>
          <w:tab w:val="right" w:leader="dot" w:pos="8787"/>
          <w:tab w:val="right" w:pos="9638"/>
        </w:tabs>
        <w:spacing w:after="120" w:line="220" w:lineRule="atLeast"/>
        <w:ind w:left="1134" w:hanging="1134"/>
        <w:rPr>
          <w:lang w:val="fr-FR"/>
        </w:rPr>
      </w:pPr>
      <w:r>
        <w:rPr>
          <w:lang w:val="fr-FR"/>
        </w:rPr>
        <w:tab/>
        <w:t>7.</w:t>
      </w:r>
      <w:r>
        <w:rPr>
          <w:lang w:val="fr-FR"/>
        </w:rPr>
        <w:tab/>
      </w:r>
      <w:r w:rsidRPr="00546963">
        <w:rPr>
          <w:lang w:val="fr-FR"/>
        </w:rPr>
        <w:t>Extension d</w:t>
      </w:r>
      <w:r>
        <w:rPr>
          <w:lang w:val="fr-FR"/>
        </w:rPr>
        <w:t>’</w:t>
      </w:r>
      <w:r w:rsidRPr="00546963">
        <w:rPr>
          <w:lang w:val="fr-FR"/>
        </w:rPr>
        <w:t>homologations de type</w:t>
      </w:r>
      <w:r>
        <w:rPr>
          <w:lang w:val="fr-FR"/>
        </w:rPr>
        <w:tab/>
      </w:r>
      <w:r>
        <w:rPr>
          <w:lang w:val="fr-FR"/>
        </w:rPr>
        <w:tab/>
        <w:t>29</w:t>
      </w:r>
    </w:p>
    <w:p w:rsidR="00DB4C2D" w:rsidRDefault="00671ED1" w:rsidP="004747BB">
      <w:pPr>
        <w:tabs>
          <w:tab w:val="right" w:pos="850"/>
          <w:tab w:val="right" w:leader="dot" w:pos="8787"/>
          <w:tab w:val="right" w:pos="9638"/>
        </w:tabs>
        <w:spacing w:after="120" w:line="220" w:lineRule="atLeast"/>
        <w:ind w:left="1134" w:hanging="1134"/>
        <w:rPr>
          <w:lang w:val="fr-FR"/>
        </w:rPr>
      </w:pPr>
      <w:r>
        <w:rPr>
          <w:lang w:val="fr-FR"/>
        </w:rPr>
        <w:tab/>
        <w:t>8.</w:t>
      </w:r>
      <w:r>
        <w:rPr>
          <w:lang w:val="fr-FR"/>
        </w:rPr>
        <w:tab/>
      </w:r>
      <w:r w:rsidR="00530E71" w:rsidRPr="00B65C71">
        <w:rPr>
          <w:lang w:val="fr-FR"/>
        </w:rPr>
        <w:t>Conformité de la production (COP)</w:t>
      </w:r>
      <w:r w:rsidR="00530E71">
        <w:rPr>
          <w:lang w:val="fr-FR"/>
        </w:rPr>
        <w:tab/>
      </w:r>
      <w:r w:rsidR="00530E71">
        <w:rPr>
          <w:lang w:val="fr-FR"/>
        </w:rPr>
        <w:tab/>
        <w:t>33</w:t>
      </w:r>
    </w:p>
    <w:p w:rsidR="00530E71" w:rsidRDefault="00530E71" w:rsidP="004747BB">
      <w:pPr>
        <w:tabs>
          <w:tab w:val="right" w:pos="850"/>
          <w:tab w:val="right" w:leader="dot" w:pos="8787"/>
          <w:tab w:val="right" w:pos="9638"/>
        </w:tabs>
        <w:spacing w:after="120" w:line="220" w:lineRule="atLeast"/>
        <w:ind w:left="1134" w:hanging="1134"/>
        <w:rPr>
          <w:lang w:val="fr-FR"/>
        </w:rPr>
      </w:pPr>
      <w:r>
        <w:rPr>
          <w:lang w:val="fr-FR"/>
        </w:rPr>
        <w:tab/>
        <w:t>9.</w:t>
      </w:r>
      <w:r>
        <w:rPr>
          <w:lang w:val="fr-FR"/>
        </w:rPr>
        <w:tab/>
      </w:r>
      <w:r w:rsidRPr="001A03EB">
        <w:rPr>
          <w:lang w:val="fr-FR"/>
        </w:rPr>
        <w:t>Conformité en service</w:t>
      </w:r>
      <w:r>
        <w:rPr>
          <w:lang w:val="fr-FR"/>
        </w:rPr>
        <w:tab/>
      </w:r>
      <w:r>
        <w:rPr>
          <w:lang w:val="fr-FR"/>
        </w:rPr>
        <w:tab/>
        <w:t>36</w:t>
      </w:r>
    </w:p>
    <w:p w:rsidR="00530E71" w:rsidRDefault="00530E71" w:rsidP="004747BB">
      <w:pPr>
        <w:tabs>
          <w:tab w:val="right" w:pos="850"/>
          <w:tab w:val="right" w:leader="dot" w:pos="8787"/>
          <w:tab w:val="right" w:pos="9638"/>
        </w:tabs>
        <w:spacing w:after="120" w:line="220" w:lineRule="atLeast"/>
        <w:ind w:left="1134" w:hanging="1134"/>
        <w:rPr>
          <w:lang w:val="fr-FR"/>
        </w:rPr>
      </w:pPr>
      <w:r>
        <w:rPr>
          <w:lang w:val="fr-FR"/>
        </w:rPr>
        <w:tab/>
        <w:t>10.</w:t>
      </w:r>
      <w:r>
        <w:rPr>
          <w:lang w:val="fr-FR"/>
        </w:rPr>
        <w:tab/>
      </w:r>
      <w:r w:rsidRPr="00FD29D5">
        <w:rPr>
          <w:lang w:val="fr-FR"/>
        </w:rPr>
        <w:t>Sanctions pour non-conformité de la production</w:t>
      </w:r>
      <w:r>
        <w:rPr>
          <w:lang w:val="fr-FR"/>
        </w:rPr>
        <w:tab/>
      </w:r>
      <w:r>
        <w:rPr>
          <w:lang w:val="fr-FR"/>
        </w:rPr>
        <w:tab/>
        <w:t>41</w:t>
      </w:r>
    </w:p>
    <w:p w:rsidR="00530E71" w:rsidRDefault="00530E71" w:rsidP="004747BB">
      <w:pPr>
        <w:tabs>
          <w:tab w:val="right" w:pos="850"/>
          <w:tab w:val="right" w:leader="dot" w:pos="8787"/>
          <w:tab w:val="right" w:pos="9638"/>
        </w:tabs>
        <w:spacing w:after="120" w:line="220" w:lineRule="atLeast"/>
        <w:ind w:left="1134" w:hanging="1134"/>
        <w:rPr>
          <w:rFonts w:eastAsia="Times New Roman"/>
          <w:lang w:val="fr-FR"/>
        </w:rPr>
      </w:pPr>
      <w:r>
        <w:rPr>
          <w:lang w:val="fr-FR"/>
        </w:rPr>
        <w:tab/>
        <w:t>11.</w:t>
      </w:r>
      <w:r>
        <w:rPr>
          <w:lang w:val="fr-FR"/>
        </w:rPr>
        <w:tab/>
      </w:r>
      <w:r w:rsidRPr="00FD29D5">
        <w:rPr>
          <w:rFonts w:eastAsia="Times New Roman"/>
          <w:lang w:val="fr-FR"/>
        </w:rPr>
        <w:t xml:space="preserve">Arrêt </w:t>
      </w:r>
      <w:r w:rsidRPr="00FD29D5">
        <w:rPr>
          <w:lang w:val="fr-FR"/>
        </w:rPr>
        <w:t>définitif</w:t>
      </w:r>
      <w:r w:rsidRPr="00FD29D5">
        <w:rPr>
          <w:rFonts w:eastAsia="Times New Roman"/>
          <w:lang w:val="fr-FR"/>
        </w:rPr>
        <w:t xml:space="preserve"> de la production</w:t>
      </w:r>
      <w:r>
        <w:rPr>
          <w:rFonts w:eastAsia="Times New Roman"/>
          <w:lang w:val="fr-FR"/>
        </w:rPr>
        <w:tab/>
      </w:r>
      <w:r>
        <w:rPr>
          <w:rFonts w:eastAsia="Times New Roman"/>
          <w:lang w:val="fr-FR"/>
        </w:rPr>
        <w:tab/>
        <w:t>42</w:t>
      </w:r>
    </w:p>
    <w:p w:rsidR="00530E71" w:rsidRDefault="00530E71" w:rsidP="004747BB">
      <w:pPr>
        <w:tabs>
          <w:tab w:val="right" w:pos="850"/>
          <w:tab w:val="right" w:leader="dot" w:pos="8787"/>
          <w:tab w:val="right" w:pos="9638"/>
        </w:tabs>
        <w:spacing w:after="120" w:line="220" w:lineRule="atLeast"/>
        <w:ind w:left="1134" w:hanging="1134"/>
        <w:rPr>
          <w:rFonts w:eastAsia="Times New Roman"/>
          <w:lang w:val="fr-FR"/>
        </w:rPr>
      </w:pPr>
      <w:r>
        <w:rPr>
          <w:rFonts w:eastAsia="Times New Roman"/>
          <w:lang w:val="fr-FR"/>
        </w:rPr>
        <w:tab/>
        <w:t>12.</w:t>
      </w:r>
      <w:r>
        <w:rPr>
          <w:rFonts w:eastAsia="Times New Roman"/>
          <w:lang w:val="fr-FR"/>
        </w:rPr>
        <w:tab/>
      </w:r>
      <w:r w:rsidRPr="00FD29D5">
        <w:rPr>
          <w:lang w:val="fr-FR"/>
        </w:rPr>
        <w:t>Dispositions</w:t>
      </w:r>
      <w:r w:rsidRPr="00FD29D5">
        <w:rPr>
          <w:rFonts w:eastAsia="Times New Roman"/>
          <w:lang w:val="fr-FR"/>
        </w:rPr>
        <w:t xml:space="preserve"> transitoires</w:t>
      </w:r>
      <w:r>
        <w:rPr>
          <w:rFonts w:eastAsia="Times New Roman"/>
          <w:lang w:val="fr-FR"/>
        </w:rPr>
        <w:tab/>
      </w:r>
      <w:r>
        <w:rPr>
          <w:rFonts w:eastAsia="Times New Roman"/>
          <w:lang w:val="fr-FR"/>
        </w:rPr>
        <w:tab/>
        <w:t>42</w:t>
      </w:r>
    </w:p>
    <w:p w:rsidR="00880678" w:rsidRDefault="00880678" w:rsidP="004747BB">
      <w:pPr>
        <w:tabs>
          <w:tab w:val="right" w:pos="850"/>
          <w:tab w:val="right" w:leader="dot" w:pos="8787"/>
          <w:tab w:val="right" w:pos="9638"/>
        </w:tabs>
        <w:spacing w:after="60" w:line="220" w:lineRule="atLeast"/>
        <w:ind w:left="1134" w:hanging="1134"/>
      </w:pPr>
      <w:r>
        <w:rPr>
          <w:rFonts w:eastAsia="Times New Roman"/>
          <w:lang w:val="fr-FR"/>
        </w:rPr>
        <w:tab/>
        <w:t>13.</w:t>
      </w:r>
      <w:r>
        <w:rPr>
          <w:rFonts w:eastAsia="Times New Roman"/>
          <w:lang w:val="fr-FR"/>
        </w:rPr>
        <w:tab/>
      </w:r>
      <w:r w:rsidRPr="00FD29D5">
        <w:rPr>
          <w:rFonts w:eastAsia="Times New Roman"/>
          <w:szCs w:val="28"/>
          <w:lang w:val="fr-FR"/>
        </w:rPr>
        <w:t xml:space="preserve">Noms et </w:t>
      </w:r>
      <w:r w:rsidRPr="004747BB">
        <w:rPr>
          <w:lang w:val="fr-FR"/>
        </w:rPr>
        <w:t>adresses</w:t>
      </w:r>
      <w:r w:rsidRPr="00FD29D5">
        <w:rPr>
          <w:rFonts w:eastAsia="Times New Roman"/>
          <w:szCs w:val="28"/>
          <w:lang w:val="fr-FR"/>
        </w:rPr>
        <w:t xml:space="preserve"> des services techniques chargés des </w:t>
      </w:r>
      <w:proofErr w:type="spellStart"/>
      <w:r w:rsidRPr="00FD29D5">
        <w:rPr>
          <w:rFonts w:eastAsia="Times New Roman"/>
          <w:lang w:val="en-GB"/>
        </w:rPr>
        <w:t>essais</w:t>
      </w:r>
      <w:proofErr w:type="spellEnd"/>
      <w:r w:rsidRPr="00FD29D5">
        <w:rPr>
          <w:rFonts w:eastAsia="Times New Roman"/>
          <w:szCs w:val="28"/>
          <w:lang w:val="fr-FR"/>
        </w:rPr>
        <w:t xml:space="preserve"> </w:t>
      </w:r>
      <w:r w:rsidRPr="00FD29D5">
        <w:rPr>
          <w:lang w:val="fr-FR"/>
        </w:rPr>
        <w:t>d</w:t>
      </w:r>
      <w:r>
        <w:rPr>
          <w:lang w:val="fr-FR"/>
        </w:rPr>
        <w:t>’</w:t>
      </w:r>
      <w:r w:rsidRPr="00FD29D5">
        <w:rPr>
          <w:lang w:val="fr-FR"/>
        </w:rPr>
        <w:t>homologation</w:t>
      </w:r>
      <w:r>
        <w:rPr>
          <w:rFonts w:eastAsia="Times New Roman"/>
          <w:szCs w:val="28"/>
          <w:lang w:val="fr-FR"/>
        </w:rPr>
        <w:br/>
      </w:r>
      <w:r w:rsidRPr="00FD29D5">
        <w:rPr>
          <w:rFonts w:eastAsia="Times New Roman"/>
          <w:szCs w:val="28"/>
          <w:lang w:val="fr-FR"/>
        </w:rPr>
        <w:t>et des autorités d</w:t>
      </w:r>
      <w:r>
        <w:rPr>
          <w:rFonts w:eastAsia="Times New Roman"/>
          <w:szCs w:val="28"/>
          <w:lang w:val="fr-FR"/>
        </w:rPr>
        <w:t>’</w:t>
      </w:r>
      <w:r w:rsidRPr="00FD29D5">
        <w:rPr>
          <w:rFonts w:eastAsia="Times New Roman"/>
          <w:szCs w:val="28"/>
          <w:lang w:val="fr-FR"/>
        </w:rPr>
        <w:t>homologation de type</w:t>
      </w:r>
      <w:r>
        <w:rPr>
          <w:rFonts w:eastAsia="Times New Roman"/>
          <w:szCs w:val="28"/>
          <w:lang w:val="fr-FR"/>
        </w:rPr>
        <w:tab/>
      </w:r>
      <w:r>
        <w:rPr>
          <w:rFonts w:eastAsia="Times New Roman"/>
          <w:szCs w:val="28"/>
          <w:lang w:val="fr-FR"/>
        </w:rPr>
        <w:tab/>
        <w:t>43</w:t>
      </w:r>
    </w:p>
    <w:p w:rsidR="00780D96" w:rsidRDefault="00780D96" w:rsidP="004747BB">
      <w:pPr>
        <w:tabs>
          <w:tab w:val="right" w:leader="dot" w:pos="8787"/>
          <w:tab w:val="right" w:pos="9638"/>
        </w:tabs>
        <w:spacing w:after="60"/>
        <w:ind w:left="2268" w:hanging="1134"/>
      </w:pPr>
      <w:r>
        <w:t>A</w:t>
      </w:r>
      <w:r w:rsidR="00880678">
        <w:t>ppendice 1</w:t>
      </w:r>
      <w:r w:rsidR="00880678">
        <w:tab/>
      </w:r>
      <w:r w:rsidR="00880678" w:rsidRPr="00DD024D">
        <w:rPr>
          <w:lang w:val="fr-FR"/>
        </w:rPr>
        <w:t>Procédure à suivre pour vérifier les exigences</w:t>
      </w:r>
      <w:r w:rsidR="00880678">
        <w:rPr>
          <w:lang w:val="fr-FR"/>
        </w:rPr>
        <w:t xml:space="preserve"> de la conformité de production</w:t>
      </w:r>
      <w:r w:rsidR="00880678">
        <w:rPr>
          <w:lang w:val="fr-FR"/>
        </w:rPr>
        <w:br/>
      </w:r>
      <w:r w:rsidR="00880678" w:rsidRPr="00DD024D">
        <w:rPr>
          <w:lang w:val="fr-FR"/>
        </w:rPr>
        <w:t>lorsque l</w:t>
      </w:r>
      <w:r w:rsidR="00880678">
        <w:rPr>
          <w:lang w:val="fr-FR"/>
        </w:rPr>
        <w:t>’</w:t>
      </w:r>
      <w:r w:rsidR="00880678" w:rsidRPr="00DD024D">
        <w:rPr>
          <w:lang w:val="fr-FR"/>
        </w:rPr>
        <w:t>écart type</w:t>
      </w:r>
      <w:r w:rsidR="00880678">
        <w:rPr>
          <w:lang w:val="fr-FR"/>
        </w:rPr>
        <w:t xml:space="preserve"> </w:t>
      </w:r>
      <w:r w:rsidR="00880678" w:rsidRPr="00DD024D">
        <w:rPr>
          <w:lang w:val="fr-FR"/>
        </w:rPr>
        <w:t>de production donné par le constructeur est satisfaisant</w:t>
      </w:r>
      <w:r>
        <w:t>.</w:t>
      </w:r>
      <w:r>
        <w:tab/>
      </w:r>
      <w:r>
        <w:tab/>
      </w:r>
      <w:r w:rsidR="00880678">
        <w:t>44</w:t>
      </w:r>
    </w:p>
    <w:p w:rsidR="00880678" w:rsidRDefault="00880678" w:rsidP="004747BB">
      <w:pPr>
        <w:tabs>
          <w:tab w:val="right" w:leader="dot" w:pos="8787"/>
          <w:tab w:val="right" w:pos="9638"/>
        </w:tabs>
        <w:spacing w:after="60"/>
        <w:ind w:left="2268" w:hanging="1134"/>
        <w:rPr>
          <w:lang w:val="fr-FR"/>
        </w:rPr>
      </w:pPr>
      <w:r>
        <w:t>Appendice 2</w:t>
      </w:r>
      <w:r>
        <w:tab/>
      </w:r>
      <w:r w:rsidRPr="006609D8">
        <w:rPr>
          <w:lang w:val="fr-FR"/>
        </w:rPr>
        <w:t>Procédure à suivre pour vérifier les prescriptions relatives</w:t>
      </w:r>
      <w:r>
        <w:rPr>
          <w:lang w:val="fr-FR"/>
        </w:rPr>
        <w:t xml:space="preserve"> à la conformité</w:t>
      </w:r>
      <w:r>
        <w:rPr>
          <w:lang w:val="fr-FR"/>
        </w:rPr>
        <w:br/>
      </w:r>
      <w:r w:rsidRPr="006609D8">
        <w:rPr>
          <w:lang w:val="fr-FR"/>
        </w:rPr>
        <w:t>de la production lorsque l</w:t>
      </w:r>
      <w:r>
        <w:rPr>
          <w:lang w:val="fr-FR"/>
        </w:rPr>
        <w:t>’</w:t>
      </w:r>
      <w:r w:rsidRPr="006609D8">
        <w:rPr>
          <w:lang w:val="fr-FR"/>
        </w:rPr>
        <w:t>écart type de production don</w:t>
      </w:r>
      <w:r>
        <w:rPr>
          <w:lang w:val="fr-FR"/>
        </w:rPr>
        <w:t>né</w:t>
      </w:r>
      <w:r>
        <w:rPr>
          <w:lang w:val="fr-FR"/>
        </w:rPr>
        <w:br/>
      </w:r>
      <w:r w:rsidRPr="006609D8">
        <w:rPr>
          <w:lang w:val="fr-FR"/>
        </w:rPr>
        <w:t>par le constructeur</w:t>
      </w:r>
      <w:r>
        <w:rPr>
          <w:lang w:val="fr-FR"/>
        </w:rPr>
        <w:t xml:space="preserve"> </w:t>
      </w:r>
      <w:r w:rsidRPr="006609D8">
        <w:rPr>
          <w:lang w:val="fr-FR"/>
        </w:rPr>
        <w:t>n</w:t>
      </w:r>
      <w:r>
        <w:rPr>
          <w:lang w:val="fr-FR"/>
        </w:rPr>
        <w:t>’</w:t>
      </w:r>
      <w:r w:rsidRPr="006609D8">
        <w:rPr>
          <w:lang w:val="fr-FR"/>
        </w:rPr>
        <w:t>est pas satisfaisant ou pas disponible</w:t>
      </w:r>
      <w:r>
        <w:rPr>
          <w:lang w:val="fr-FR"/>
        </w:rPr>
        <w:tab/>
      </w:r>
      <w:r>
        <w:rPr>
          <w:lang w:val="fr-FR"/>
        </w:rPr>
        <w:tab/>
        <w:t>46</w:t>
      </w:r>
    </w:p>
    <w:p w:rsidR="00880678" w:rsidRDefault="00880678" w:rsidP="004747BB">
      <w:pPr>
        <w:tabs>
          <w:tab w:val="right" w:leader="dot" w:pos="8787"/>
          <w:tab w:val="right" w:pos="9638"/>
        </w:tabs>
        <w:spacing w:after="60"/>
        <w:ind w:left="2268" w:hanging="1134"/>
        <w:rPr>
          <w:lang w:val="fr-FR"/>
        </w:rPr>
      </w:pPr>
      <w:r w:rsidRPr="00A76E68">
        <w:rPr>
          <w:lang w:val="fr-FR"/>
        </w:rPr>
        <w:t>Appendice 3</w:t>
      </w:r>
      <w:r>
        <w:rPr>
          <w:lang w:val="fr-FR"/>
        </w:rPr>
        <w:tab/>
      </w:r>
      <w:r w:rsidRPr="00A76E68">
        <w:rPr>
          <w:lang w:val="fr-FR"/>
        </w:rPr>
        <w:t>Contrôle de la conformité en service</w:t>
      </w:r>
      <w:r>
        <w:rPr>
          <w:lang w:val="fr-FR"/>
        </w:rPr>
        <w:tab/>
      </w:r>
      <w:r>
        <w:rPr>
          <w:lang w:val="fr-FR"/>
        </w:rPr>
        <w:tab/>
        <w:t>49</w:t>
      </w:r>
    </w:p>
    <w:p w:rsidR="00880678" w:rsidRDefault="00880678" w:rsidP="004747BB">
      <w:pPr>
        <w:tabs>
          <w:tab w:val="right" w:leader="dot" w:pos="8787"/>
          <w:tab w:val="right" w:pos="9638"/>
        </w:tabs>
        <w:spacing w:after="60"/>
        <w:ind w:left="2268" w:hanging="1134"/>
        <w:rPr>
          <w:lang w:val="fr-FR"/>
        </w:rPr>
      </w:pPr>
      <w:r w:rsidRPr="00071E05">
        <w:rPr>
          <w:lang w:val="fr-FR"/>
        </w:rPr>
        <w:t>Appendice 4</w:t>
      </w:r>
      <w:r>
        <w:rPr>
          <w:lang w:val="fr-FR"/>
        </w:rPr>
        <w:tab/>
      </w:r>
      <w:r w:rsidRPr="00071E05">
        <w:rPr>
          <w:lang w:val="fr-FR"/>
        </w:rPr>
        <w:t>Procédure statistiqu</w:t>
      </w:r>
      <w:r>
        <w:rPr>
          <w:lang w:val="fr-FR"/>
        </w:rPr>
        <w:t>e pour les essais de conformité</w:t>
      </w:r>
      <w:r w:rsidRPr="00071E05">
        <w:rPr>
          <w:lang w:val="fr-FR"/>
        </w:rPr>
        <w:br/>
        <w:t>en service en matière d</w:t>
      </w:r>
      <w:r>
        <w:rPr>
          <w:lang w:val="fr-FR"/>
        </w:rPr>
        <w:t>’</w:t>
      </w:r>
      <w:r w:rsidRPr="00071E05">
        <w:rPr>
          <w:lang w:val="fr-FR"/>
        </w:rPr>
        <w:t>émissions d</w:t>
      </w:r>
      <w:r>
        <w:rPr>
          <w:lang w:val="fr-FR"/>
        </w:rPr>
        <w:t>’</w:t>
      </w:r>
      <w:r w:rsidRPr="00071E05">
        <w:rPr>
          <w:lang w:val="fr-FR"/>
        </w:rPr>
        <w:t>échappement</w:t>
      </w:r>
      <w:r>
        <w:rPr>
          <w:lang w:val="fr-FR"/>
        </w:rPr>
        <w:tab/>
      </w:r>
      <w:r>
        <w:rPr>
          <w:lang w:val="fr-FR"/>
        </w:rPr>
        <w:tab/>
        <w:t>55</w:t>
      </w:r>
    </w:p>
    <w:p w:rsidR="00880678" w:rsidRDefault="00880678" w:rsidP="004747BB">
      <w:pPr>
        <w:tabs>
          <w:tab w:val="right" w:leader="dot" w:pos="8787"/>
          <w:tab w:val="right" w:pos="9638"/>
        </w:tabs>
        <w:spacing w:after="60"/>
        <w:ind w:left="2268" w:hanging="1134"/>
        <w:rPr>
          <w:lang w:val="fr-FR"/>
        </w:rPr>
      </w:pPr>
      <w:r w:rsidRPr="00223B97">
        <w:rPr>
          <w:lang w:val="fr-FR"/>
        </w:rPr>
        <w:t>Appendice 5</w:t>
      </w:r>
      <w:r>
        <w:rPr>
          <w:lang w:val="fr-FR"/>
        </w:rPr>
        <w:tab/>
      </w:r>
      <w:r w:rsidRPr="00223B97">
        <w:rPr>
          <w:lang w:val="fr-FR"/>
        </w:rPr>
        <w:t>Responsabilités concernant la conformité en service</w:t>
      </w:r>
      <w:r>
        <w:rPr>
          <w:lang w:val="fr-FR"/>
        </w:rPr>
        <w:tab/>
      </w:r>
      <w:r>
        <w:rPr>
          <w:lang w:val="fr-FR"/>
        </w:rPr>
        <w:tab/>
        <w:t>61</w:t>
      </w:r>
    </w:p>
    <w:p w:rsidR="00076A96" w:rsidRPr="00B44164" w:rsidRDefault="00880678" w:rsidP="004747BB">
      <w:pPr>
        <w:tabs>
          <w:tab w:val="right" w:leader="dot" w:pos="8787"/>
          <w:tab w:val="right" w:pos="9638"/>
        </w:tabs>
        <w:spacing w:after="60"/>
        <w:ind w:left="2268" w:hanging="1134"/>
        <w:rPr>
          <w:lang w:val="fr-FR"/>
        </w:rPr>
      </w:pPr>
      <w:r w:rsidRPr="007C7020">
        <w:rPr>
          <w:lang w:val="fr-FR"/>
        </w:rPr>
        <w:t>Appendice 6</w:t>
      </w:r>
      <w:r>
        <w:rPr>
          <w:lang w:val="fr-FR"/>
        </w:rPr>
        <w:tab/>
      </w:r>
      <w:r w:rsidRPr="007C7020">
        <w:rPr>
          <w:lang w:val="fr-FR"/>
        </w:rPr>
        <w:t>Prescriptions applicables aux véhicules nécessitant</w:t>
      </w:r>
      <w:r w:rsidR="00076A96">
        <w:rPr>
          <w:lang w:val="fr-FR"/>
        </w:rPr>
        <w:t xml:space="preserve"> </w:t>
      </w:r>
      <w:r w:rsidRPr="007C7020">
        <w:rPr>
          <w:lang w:val="fr-FR"/>
        </w:rPr>
        <w:t>l</w:t>
      </w:r>
      <w:r>
        <w:rPr>
          <w:lang w:val="fr-FR"/>
        </w:rPr>
        <w:t>’</w:t>
      </w:r>
      <w:r w:rsidRPr="007C7020">
        <w:rPr>
          <w:lang w:val="fr-FR"/>
        </w:rPr>
        <w:t>usage d</w:t>
      </w:r>
      <w:r>
        <w:rPr>
          <w:lang w:val="fr-FR"/>
        </w:rPr>
        <w:t>’</w:t>
      </w:r>
      <w:r w:rsidR="00076A96">
        <w:rPr>
          <w:lang w:val="fr-FR"/>
        </w:rPr>
        <w:t>un réactif</w:t>
      </w:r>
      <w:r w:rsidR="00076A96">
        <w:rPr>
          <w:lang w:val="fr-FR"/>
        </w:rPr>
        <w:br/>
      </w:r>
      <w:r w:rsidRPr="007C7020">
        <w:rPr>
          <w:lang w:val="fr-FR"/>
        </w:rPr>
        <w:t>pour le système de traitement aval</w:t>
      </w:r>
      <w:r w:rsidR="00076A96">
        <w:rPr>
          <w:lang w:val="fr-FR"/>
        </w:rPr>
        <w:t xml:space="preserve"> </w:t>
      </w:r>
      <w:r w:rsidRPr="007C7020">
        <w:rPr>
          <w:lang w:val="fr-FR"/>
        </w:rPr>
        <w:t>des gaz d</w:t>
      </w:r>
      <w:r>
        <w:rPr>
          <w:lang w:val="fr-FR"/>
        </w:rPr>
        <w:t>’</w:t>
      </w:r>
      <w:r w:rsidRPr="007C7020">
        <w:rPr>
          <w:lang w:val="fr-FR"/>
        </w:rPr>
        <w:t>échappement</w:t>
      </w:r>
      <w:r w:rsidR="00076A96">
        <w:rPr>
          <w:lang w:val="fr-FR"/>
        </w:rPr>
        <w:tab/>
      </w:r>
      <w:r w:rsidR="00076A96">
        <w:rPr>
          <w:lang w:val="fr-FR"/>
        </w:rPr>
        <w:tab/>
        <w:t>62</w:t>
      </w:r>
    </w:p>
    <w:p w:rsidR="00780D96" w:rsidRPr="00780D96" w:rsidRDefault="00780D96" w:rsidP="00780D96">
      <w:pPr>
        <w:tabs>
          <w:tab w:val="right" w:pos="850"/>
        </w:tabs>
        <w:spacing w:after="120"/>
      </w:pPr>
      <w:r>
        <w:tab/>
        <w:t>Annexes</w:t>
      </w:r>
    </w:p>
    <w:p w:rsidR="00DB4C2D" w:rsidRDefault="00780D96" w:rsidP="00076A96">
      <w:pPr>
        <w:tabs>
          <w:tab w:val="right" w:pos="850"/>
          <w:tab w:val="right" w:leader="dot" w:pos="8787"/>
          <w:tab w:val="right" w:pos="9638"/>
        </w:tabs>
        <w:spacing w:after="60"/>
        <w:ind w:left="1134" w:hanging="1134"/>
      </w:pPr>
      <w:r>
        <w:tab/>
      </w:r>
      <w:r w:rsidR="00076A96">
        <w:t>1</w:t>
      </w:r>
      <w:r>
        <w:t>.</w:t>
      </w:r>
      <w:r>
        <w:tab/>
      </w:r>
      <w:r w:rsidR="00076A96" w:rsidRPr="00965C52">
        <w:rPr>
          <w:lang w:val="fr-FR"/>
        </w:rPr>
        <w:t>Caractéristiques du moteur et du véhicu</w:t>
      </w:r>
      <w:r w:rsidR="00076A96">
        <w:rPr>
          <w:lang w:val="fr-FR"/>
        </w:rPr>
        <w:t>le et renseignements</w:t>
      </w:r>
      <w:r w:rsidR="00076A96">
        <w:rPr>
          <w:lang w:val="fr-FR"/>
        </w:rPr>
        <w:br/>
        <w:t xml:space="preserve">concernant </w:t>
      </w:r>
      <w:r w:rsidR="00076A96" w:rsidRPr="00965C52">
        <w:rPr>
          <w:lang w:val="fr-FR"/>
        </w:rPr>
        <w:t>la conduite des essais</w:t>
      </w:r>
      <w:r>
        <w:tab/>
      </w:r>
      <w:r w:rsidR="00076A96">
        <w:tab/>
        <w:t>67</w:t>
      </w:r>
    </w:p>
    <w:p w:rsidR="00076A96" w:rsidRDefault="00076A96" w:rsidP="00076A96">
      <w:pPr>
        <w:tabs>
          <w:tab w:val="right" w:leader="dot" w:pos="8787"/>
          <w:tab w:val="right" w:pos="9638"/>
        </w:tabs>
        <w:spacing w:after="120"/>
        <w:ind w:left="2268" w:hanging="1134"/>
      </w:pPr>
      <w:r w:rsidRPr="00076A96">
        <w:t>Appendice</w:t>
      </w:r>
      <w:r w:rsidRPr="00076A96">
        <w:rPr>
          <w:lang w:val="fr-FR"/>
        </w:rPr>
        <w:t xml:space="preserve"> 1</w:t>
      </w:r>
      <w:r>
        <w:rPr>
          <w:lang w:val="fr-FR"/>
        </w:rPr>
        <w:tab/>
      </w:r>
      <w:r w:rsidRPr="00B07A83">
        <w:rPr>
          <w:lang w:val="fr-FR"/>
        </w:rPr>
        <w:t>Renseignements sur les conditions d</w:t>
      </w:r>
      <w:r>
        <w:rPr>
          <w:lang w:val="fr-FR"/>
        </w:rPr>
        <w:t>’</w:t>
      </w:r>
      <w:r w:rsidRPr="00B07A83">
        <w:rPr>
          <w:lang w:val="fr-FR"/>
        </w:rPr>
        <w:t>essai</w:t>
      </w:r>
      <w:r>
        <w:rPr>
          <w:lang w:val="fr-FR"/>
        </w:rPr>
        <w:tab/>
      </w:r>
      <w:r>
        <w:rPr>
          <w:lang w:val="fr-FR"/>
        </w:rPr>
        <w:tab/>
        <w:t>82</w:t>
      </w:r>
    </w:p>
    <w:p w:rsidR="00076A96" w:rsidRDefault="00076A96" w:rsidP="00B44164">
      <w:pPr>
        <w:keepNext/>
        <w:tabs>
          <w:tab w:val="right" w:pos="850"/>
          <w:tab w:val="right" w:leader="dot" w:pos="8787"/>
          <w:tab w:val="right" w:pos="9638"/>
        </w:tabs>
        <w:spacing w:after="60"/>
        <w:ind w:left="1134" w:hanging="1134"/>
        <w:rPr>
          <w:lang w:val="fr-FR"/>
        </w:rPr>
      </w:pPr>
      <w:r>
        <w:tab/>
        <w:t>2.</w:t>
      </w:r>
      <w:r>
        <w:tab/>
      </w:r>
      <w:r w:rsidR="0089677E" w:rsidRPr="00010986">
        <w:rPr>
          <w:lang w:val="fr-FR"/>
        </w:rPr>
        <w:t>Communication</w:t>
      </w:r>
      <w:r w:rsidR="0089677E">
        <w:rPr>
          <w:lang w:val="fr-FR"/>
        </w:rPr>
        <w:tab/>
      </w:r>
      <w:r w:rsidR="0089677E">
        <w:rPr>
          <w:lang w:val="fr-FR"/>
        </w:rPr>
        <w:tab/>
        <w:t>84</w:t>
      </w:r>
    </w:p>
    <w:p w:rsidR="0089677E" w:rsidRDefault="0089677E" w:rsidP="0089677E">
      <w:pPr>
        <w:tabs>
          <w:tab w:val="right" w:leader="dot" w:pos="8787"/>
          <w:tab w:val="right" w:pos="9638"/>
        </w:tabs>
        <w:spacing w:after="60"/>
        <w:ind w:left="1134"/>
        <w:rPr>
          <w:lang w:val="fr-FR"/>
        </w:rPr>
      </w:pPr>
      <w:r w:rsidRPr="00A779B8">
        <w:rPr>
          <w:iCs/>
          <w:lang w:val="fr-FR"/>
        </w:rPr>
        <w:t xml:space="preserve">Additif à la communication </w:t>
      </w:r>
      <w:r w:rsidRPr="00A779B8">
        <w:rPr>
          <w:rFonts w:eastAsia="MS Mincho"/>
          <w:iCs/>
          <w:lang w:val="fr-FR"/>
        </w:rPr>
        <w:t>n</w:t>
      </w:r>
      <w:r w:rsidRPr="00A779B8">
        <w:rPr>
          <w:rFonts w:eastAsia="MS Mincho"/>
          <w:iCs/>
          <w:vertAlign w:val="superscript"/>
          <w:lang w:val="fr-FR"/>
        </w:rPr>
        <w:t>o</w:t>
      </w:r>
      <w:r w:rsidRPr="00A779B8">
        <w:rPr>
          <w:iCs/>
          <w:lang w:val="fr-FR"/>
        </w:rPr>
        <w:t xml:space="preserve"> … </w:t>
      </w:r>
      <w:r w:rsidRPr="00A779B8">
        <w:rPr>
          <w:lang w:val="fr-FR"/>
        </w:rPr>
        <w:t>relative à l</w:t>
      </w:r>
      <w:r>
        <w:rPr>
          <w:lang w:val="fr-FR"/>
        </w:rPr>
        <w:t>’</w:t>
      </w:r>
      <w:r w:rsidRPr="00A779B8">
        <w:rPr>
          <w:lang w:val="fr-FR"/>
        </w:rPr>
        <w:t>homologation de type d</w:t>
      </w:r>
      <w:r>
        <w:rPr>
          <w:lang w:val="fr-FR"/>
        </w:rPr>
        <w:t>’un véhicule</w:t>
      </w:r>
      <w:r>
        <w:rPr>
          <w:lang w:val="fr-FR"/>
        </w:rPr>
        <w:br/>
      </w:r>
      <w:r w:rsidRPr="00A779B8">
        <w:rPr>
          <w:lang w:val="fr-FR"/>
        </w:rPr>
        <w:t>en ce qui concerne les émissions de gaz d</w:t>
      </w:r>
      <w:r>
        <w:rPr>
          <w:lang w:val="fr-FR"/>
        </w:rPr>
        <w:t>’échappement conformément</w:t>
      </w:r>
      <w:r>
        <w:rPr>
          <w:lang w:val="fr-FR"/>
        </w:rPr>
        <w:br/>
      </w:r>
      <w:r w:rsidRPr="00A779B8">
        <w:rPr>
          <w:lang w:val="fr-FR"/>
        </w:rPr>
        <w:t>à la série 07 d</w:t>
      </w:r>
      <w:r>
        <w:rPr>
          <w:lang w:val="fr-FR"/>
        </w:rPr>
        <w:t>’</w:t>
      </w:r>
      <w:r w:rsidRPr="00A779B8">
        <w:rPr>
          <w:lang w:val="fr-FR"/>
        </w:rPr>
        <w:t xml:space="preserve">amendements au Règlement </w:t>
      </w:r>
      <w:r w:rsidRPr="00A779B8">
        <w:rPr>
          <w:rFonts w:eastAsia="MS Mincho"/>
          <w:lang w:val="fr-FR"/>
        </w:rPr>
        <w:t>n</w:t>
      </w:r>
      <w:r w:rsidRPr="00A779B8">
        <w:rPr>
          <w:rFonts w:eastAsia="MS Mincho"/>
          <w:vertAlign w:val="superscript"/>
          <w:lang w:val="fr-FR"/>
        </w:rPr>
        <w:t>o</w:t>
      </w:r>
      <w:r w:rsidRPr="00A779B8">
        <w:rPr>
          <w:lang w:val="fr-FR"/>
        </w:rPr>
        <w:t> 83</w:t>
      </w:r>
      <w:r>
        <w:rPr>
          <w:lang w:val="fr-FR"/>
        </w:rPr>
        <w:tab/>
      </w:r>
      <w:r>
        <w:rPr>
          <w:lang w:val="fr-FR"/>
        </w:rPr>
        <w:tab/>
        <w:t>86</w:t>
      </w:r>
    </w:p>
    <w:p w:rsidR="0089677E" w:rsidRDefault="0089677E" w:rsidP="00FE48F4">
      <w:pPr>
        <w:tabs>
          <w:tab w:val="right" w:leader="dot" w:pos="8787"/>
          <w:tab w:val="right" w:pos="9638"/>
        </w:tabs>
        <w:spacing w:after="60"/>
        <w:ind w:left="2268" w:hanging="1134"/>
        <w:rPr>
          <w:lang w:val="fr-FR"/>
        </w:rPr>
      </w:pPr>
      <w:r w:rsidRPr="00FE48F4">
        <w:lastRenderedPageBreak/>
        <w:t>Appendice</w:t>
      </w:r>
      <w:r w:rsidRPr="00A779B8">
        <w:rPr>
          <w:lang w:val="fr-FR"/>
        </w:rPr>
        <w:t xml:space="preserve"> 1</w:t>
      </w:r>
      <w:r>
        <w:rPr>
          <w:lang w:val="fr-FR"/>
        </w:rPr>
        <w:tab/>
      </w:r>
      <w:r w:rsidRPr="00A779B8">
        <w:rPr>
          <w:lang w:val="fr-FR"/>
        </w:rPr>
        <w:t>OBD − Informations relatives au système d</w:t>
      </w:r>
      <w:r>
        <w:rPr>
          <w:lang w:val="fr-FR"/>
        </w:rPr>
        <w:t>’</w:t>
      </w:r>
      <w:r w:rsidRPr="00A779B8">
        <w:rPr>
          <w:lang w:val="fr-FR"/>
        </w:rPr>
        <w:t>autodiagnostic</w:t>
      </w:r>
      <w:r>
        <w:rPr>
          <w:lang w:val="fr-FR"/>
        </w:rPr>
        <w:tab/>
      </w:r>
      <w:r>
        <w:rPr>
          <w:lang w:val="fr-FR"/>
        </w:rPr>
        <w:tab/>
        <w:t>91</w:t>
      </w:r>
    </w:p>
    <w:p w:rsidR="0089677E" w:rsidRDefault="00FE48F4" w:rsidP="00695933">
      <w:pPr>
        <w:tabs>
          <w:tab w:val="right" w:leader="dot" w:pos="8787"/>
          <w:tab w:val="right" w:pos="9638"/>
        </w:tabs>
        <w:spacing w:after="120"/>
        <w:ind w:left="2268" w:hanging="1134"/>
        <w:rPr>
          <w:lang w:val="fr-FR"/>
        </w:rPr>
      </w:pPr>
      <w:r w:rsidRPr="00FE48F4">
        <w:t>Appendice</w:t>
      </w:r>
      <w:r w:rsidRPr="00A779B8">
        <w:rPr>
          <w:lang w:val="fr-FR"/>
        </w:rPr>
        <w:t xml:space="preserve"> 2</w:t>
      </w:r>
      <w:r>
        <w:rPr>
          <w:lang w:val="fr-FR"/>
        </w:rPr>
        <w:tab/>
      </w:r>
      <w:r w:rsidR="00087043" w:rsidRPr="00A779B8">
        <w:rPr>
          <w:lang w:val="fr-FR"/>
        </w:rPr>
        <w:t>Certificat de conformité aux prescriptions en c</w:t>
      </w:r>
      <w:r w:rsidR="00087043">
        <w:rPr>
          <w:lang w:val="fr-FR"/>
        </w:rPr>
        <w:t>e qui concerne les performances</w:t>
      </w:r>
      <w:r w:rsidR="00087043">
        <w:rPr>
          <w:lang w:val="fr-FR"/>
        </w:rPr>
        <w:br/>
      </w:r>
      <w:r w:rsidR="00087043" w:rsidRPr="00A779B8">
        <w:rPr>
          <w:lang w:val="fr-FR"/>
        </w:rPr>
        <w:t>en service du système OBD,</w:t>
      </w:r>
      <w:r w:rsidR="00087043">
        <w:rPr>
          <w:lang w:val="fr-FR"/>
        </w:rPr>
        <w:t xml:space="preserve"> </w:t>
      </w:r>
      <w:r w:rsidR="00087043" w:rsidRPr="00A779B8">
        <w:rPr>
          <w:lang w:val="fr-FR"/>
        </w:rPr>
        <w:t>établi par le constructeur</w:t>
      </w:r>
      <w:r w:rsidR="00087043">
        <w:rPr>
          <w:lang w:val="fr-FR"/>
        </w:rPr>
        <w:tab/>
      </w:r>
      <w:r w:rsidR="00087043">
        <w:rPr>
          <w:lang w:val="fr-FR"/>
        </w:rPr>
        <w:tab/>
        <w:t>92</w:t>
      </w:r>
    </w:p>
    <w:p w:rsidR="00951279" w:rsidRDefault="00951279" w:rsidP="00B44164">
      <w:pPr>
        <w:tabs>
          <w:tab w:val="right" w:pos="850"/>
          <w:tab w:val="right" w:leader="dot" w:pos="8787"/>
          <w:tab w:val="right" w:pos="9638"/>
        </w:tabs>
        <w:spacing w:after="120"/>
        <w:ind w:left="1134" w:hanging="1134"/>
        <w:rPr>
          <w:lang w:val="fr-FR"/>
        </w:rPr>
      </w:pPr>
      <w:r>
        <w:tab/>
        <w:t>3.</w:t>
      </w:r>
      <w:r>
        <w:tab/>
      </w:r>
      <w:r w:rsidR="00B44164" w:rsidRPr="00A779B8">
        <w:rPr>
          <w:lang w:val="fr-FR"/>
        </w:rPr>
        <w:t>Exemples de marques d</w:t>
      </w:r>
      <w:r w:rsidR="00B44164">
        <w:rPr>
          <w:lang w:val="fr-FR"/>
        </w:rPr>
        <w:t>’</w:t>
      </w:r>
      <w:r w:rsidR="00B44164" w:rsidRPr="00A779B8">
        <w:rPr>
          <w:lang w:val="fr-FR"/>
        </w:rPr>
        <w:t>homologation</w:t>
      </w:r>
      <w:r w:rsidR="00B44164">
        <w:rPr>
          <w:lang w:val="fr-FR"/>
        </w:rPr>
        <w:tab/>
      </w:r>
      <w:r w:rsidR="00B44164">
        <w:rPr>
          <w:lang w:val="fr-FR"/>
        </w:rPr>
        <w:tab/>
        <w:t>93</w:t>
      </w:r>
    </w:p>
    <w:p w:rsidR="00B44164" w:rsidRDefault="00A2744F" w:rsidP="00A2744F">
      <w:pPr>
        <w:tabs>
          <w:tab w:val="right" w:pos="850"/>
          <w:tab w:val="right" w:leader="dot" w:pos="8787"/>
          <w:tab w:val="right" w:pos="9638"/>
        </w:tabs>
        <w:spacing w:after="60"/>
        <w:ind w:left="1134" w:hanging="1134"/>
        <w:rPr>
          <w:lang w:val="fr-FR"/>
        </w:rPr>
      </w:pPr>
      <w:r>
        <w:tab/>
        <w:t>4a</w:t>
      </w:r>
      <w:r>
        <w:tab/>
      </w:r>
      <w:r w:rsidRPr="00A779B8">
        <w:rPr>
          <w:lang w:val="fr-FR"/>
        </w:rPr>
        <w:t>Essai du type I</w:t>
      </w:r>
      <w:r>
        <w:rPr>
          <w:lang w:val="fr-FR"/>
        </w:rPr>
        <w:tab/>
      </w:r>
      <w:r>
        <w:rPr>
          <w:lang w:val="fr-FR"/>
        </w:rPr>
        <w:tab/>
        <w:t>95</w:t>
      </w:r>
    </w:p>
    <w:p w:rsidR="00A2744F" w:rsidRDefault="00A2744F" w:rsidP="00A2744F">
      <w:pPr>
        <w:tabs>
          <w:tab w:val="right" w:leader="dot" w:pos="8787"/>
          <w:tab w:val="right" w:pos="9638"/>
        </w:tabs>
        <w:spacing w:after="60"/>
        <w:ind w:left="2268" w:hanging="1134"/>
        <w:rPr>
          <w:lang w:val="fr-FR"/>
        </w:rPr>
      </w:pPr>
      <w:r w:rsidRPr="00A2744F">
        <w:t>Appendice</w:t>
      </w:r>
      <w:r w:rsidRPr="00A779B8">
        <w:rPr>
          <w:lang w:val="fr-FR"/>
        </w:rPr>
        <w:t xml:space="preserve"> 1</w:t>
      </w:r>
      <w:r>
        <w:rPr>
          <w:lang w:val="fr-FR"/>
        </w:rPr>
        <w:tab/>
      </w:r>
      <w:r w:rsidRPr="00A779B8">
        <w:rPr>
          <w:lang w:val="fr-FR"/>
        </w:rPr>
        <w:t>Banc à rouleaux</w:t>
      </w:r>
      <w:r>
        <w:rPr>
          <w:lang w:val="fr-FR"/>
        </w:rPr>
        <w:tab/>
      </w:r>
      <w:r>
        <w:rPr>
          <w:lang w:val="fr-FR"/>
        </w:rPr>
        <w:tab/>
        <w:t>121</w:t>
      </w:r>
    </w:p>
    <w:p w:rsidR="00A2744F" w:rsidRDefault="00A2744F" w:rsidP="00A2744F">
      <w:pPr>
        <w:tabs>
          <w:tab w:val="right" w:leader="dot" w:pos="8787"/>
          <w:tab w:val="right" w:pos="9638"/>
        </w:tabs>
        <w:spacing w:after="60"/>
        <w:ind w:left="2268" w:hanging="1134"/>
        <w:rPr>
          <w:lang w:val="fr-FR"/>
        </w:rPr>
      </w:pPr>
      <w:r w:rsidRPr="00A2744F">
        <w:t>Appendice</w:t>
      </w:r>
      <w:r w:rsidRPr="00A779B8">
        <w:rPr>
          <w:lang w:val="fr-FR"/>
        </w:rPr>
        <w:t xml:space="preserve"> 2</w:t>
      </w:r>
      <w:r>
        <w:rPr>
          <w:lang w:val="fr-FR"/>
        </w:rPr>
        <w:tab/>
      </w:r>
      <w:r w:rsidRPr="00A779B8">
        <w:rPr>
          <w:lang w:val="fr-FR"/>
        </w:rPr>
        <w:t>Système de dilution des gaz d</w:t>
      </w:r>
      <w:r>
        <w:rPr>
          <w:lang w:val="fr-FR"/>
        </w:rPr>
        <w:t>’</w:t>
      </w:r>
      <w:r w:rsidRPr="00A779B8">
        <w:rPr>
          <w:lang w:val="fr-FR"/>
        </w:rPr>
        <w:t>échappement</w:t>
      </w:r>
      <w:r>
        <w:rPr>
          <w:lang w:val="fr-FR"/>
        </w:rPr>
        <w:tab/>
      </w:r>
      <w:r>
        <w:rPr>
          <w:lang w:val="fr-FR"/>
        </w:rPr>
        <w:tab/>
        <w:t>125</w:t>
      </w:r>
    </w:p>
    <w:p w:rsidR="00A2744F" w:rsidRDefault="00A2744F" w:rsidP="00A2744F">
      <w:pPr>
        <w:tabs>
          <w:tab w:val="right" w:leader="dot" w:pos="8787"/>
          <w:tab w:val="right" w:pos="9638"/>
        </w:tabs>
        <w:spacing w:after="60"/>
        <w:ind w:left="2268" w:hanging="1134"/>
        <w:rPr>
          <w:lang w:val="fr-FR"/>
        </w:rPr>
      </w:pPr>
      <w:r w:rsidRPr="00A2744F">
        <w:t>Appendice</w:t>
      </w:r>
      <w:r w:rsidRPr="00A779B8">
        <w:rPr>
          <w:lang w:val="fr-FR"/>
        </w:rPr>
        <w:t xml:space="preserve"> </w:t>
      </w:r>
      <w:r>
        <w:rPr>
          <w:lang w:val="fr-FR"/>
        </w:rPr>
        <w:t>3</w:t>
      </w:r>
      <w:r>
        <w:rPr>
          <w:lang w:val="fr-FR"/>
        </w:rPr>
        <w:tab/>
      </w:r>
      <w:r w:rsidRPr="00A779B8">
        <w:rPr>
          <w:lang w:val="fr-FR"/>
        </w:rPr>
        <w:t>Appareillage de mesure des émissions gazeuses</w:t>
      </w:r>
      <w:r>
        <w:rPr>
          <w:lang w:val="fr-FR"/>
        </w:rPr>
        <w:tab/>
      </w:r>
      <w:r>
        <w:rPr>
          <w:lang w:val="fr-FR"/>
        </w:rPr>
        <w:tab/>
        <w:t>137</w:t>
      </w:r>
    </w:p>
    <w:p w:rsidR="00A2744F" w:rsidRDefault="00A2744F" w:rsidP="00A2744F">
      <w:pPr>
        <w:tabs>
          <w:tab w:val="right" w:leader="dot" w:pos="8787"/>
          <w:tab w:val="right" w:pos="9638"/>
        </w:tabs>
        <w:spacing w:after="60"/>
        <w:ind w:left="2268" w:hanging="1134"/>
        <w:rPr>
          <w:lang w:val="fr-FR"/>
        </w:rPr>
      </w:pPr>
      <w:r w:rsidRPr="00A2744F">
        <w:t>Appendice</w:t>
      </w:r>
      <w:r>
        <w:t xml:space="preserve"> 4</w:t>
      </w:r>
      <w:r>
        <w:tab/>
      </w:r>
      <w:r w:rsidRPr="00A779B8">
        <w:rPr>
          <w:lang w:val="fr-FR"/>
        </w:rPr>
        <w:t>Appareillage de mesure de la masse des particules émises</w:t>
      </w:r>
      <w:r>
        <w:rPr>
          <w:lang w:val="fr-FR"/>
        </w:rPr>
        <w:tab/>
      </w:r>
      <w:r>
        <w:rPr>
          <w:lang w:val="fr-FR"/>
        </w:rPr>
        <w:tab/>
        <w:t>146</w:t>
      </w:r>
    </w:p>
    <w:p w:rsidR="00A2744F" w:rsidRDefault="00A2744F" w:rsidP="00A2744F">
      <w:pPr>
        <w:tabs>
          <w:tab w:val="right" w:leader="dot" w:pos="8787"/>
          <w:tab w:val="right" w:pos="9638"/>
        </w:tabs>
        <w:spacing w:after="60"/>
        <w:ind w:left="2268" w:hanging="1134"/>
        <w:rPr>
          <w:lang w:val="fr-FR"/>
        </w:rPr>
      </w:pPr>
      <w:r w:rsidRPr="00A2744F">
        <w:t>Appendice</w:t>
      </w:r>
      <w:r>
        <w:t xml:space="preserve"> 5</w:t>
      </w:r>
      <w:r>
        <w:tab/>
      </w:r>
      <w:r w:rsidRPr="00A779B8">
        <w:rPr>
          <w:lang w:val="fr-FR"/>
        </w:rPr>
        <w:t>Appareillage de mesure du nombre de particules émises</w:t>
      </w:r>
      <w:r>
        <w:rPr>
          <w:lang w:val="fr-FR"/>
        </w:rPr>
        <w:tab/>
      </w:r>
      <w:r>
        <w:rPr>
          <w:lang w:val="fr-FR"/>
        </w:rPr>
        <w:tab/>
        <w:t>153</w:t>
      </w:r>
    </w:p>
    <w:p w:rsidR="00A2744F" w:rsidRDefault="00A2744F" w:rsidP="00A2744F">
      <w:pPr>
        <w:tabs>
          <w:tab w:val="right" w:leader="dot" w:pos="8787"/>
          <w:tab w:val="right" w:pos="9638"/>
        </w:tabs>
        <w:spacing w:after="60"/>
        <w:ind w:left="2268" w:hanging="1134"/>
        <w:rPr>
          <w:lang w:val="fr-FR"/>
        </w:rPr>
      </w:pPr>
      <w:r w:rsidRPr="00A2744F">
        <w:t>Appendice</w:t>
      </w:r>
      <w:r>
        <w:t xml:space="preserve"> 6</w:t>
      </w:r>
      <w:r>
        <w:tab/>
      </w:r>
      <w:r w:rsidRPr="00A779B8">
        <w:rPr>
          <w:lang w:val="fr-FR"/>
        </w:rPr>
        <w:t>Vérification de l</w:t>
      </w:r>
      <w:r>
        <w:rPr>
          <w:lang w:val="fr-FR"/>
        </w:rPr>
        <w:t>’</w:t>
      </w:r>
      <w:r w:rsidRPr="00A779B8">
        <w:rPr>
          <w:lang w:val="fr-FR"/>
        </w:rPr>
        <w:t>inertie simulée</w:t>
      </w:r>
      <w:r>
        <w:rPr>
          <w:lang w:val="fr-FR"/>
        </w:rPr>
        <w:tab/>
      </w:r>
      <w:r>
        <w:rPr>
          <w:lang w:val="fr-FR"/>
        </w:rPr>
        <w:tab/>
        <w:t>162</w:t>
      </w:r>
    </w:p>
    <w:p w:rsidR="00A2744F" w:rsidRDefault="00C66FBA" w:rsidP="00695933">
      <w:pPr>
        <w:tabs>
          <w:tab w:val="right" w:leader="dot" w:pos="8787"/>
          <w:tab w:val="right" w:pos="9638"/>
        </w:tabs>
        <w:spacing w:after="120"/>
        <w:ind w:left="2268" w:hanging="1134"/>
        <w:rPr>
          <w:lang w:val="fr-FR"/>
        </w:rPr>
      </w:pPr>
      <w:r w:rsidRPr="00A2744F">
        <w:t>Appendice</w:t>
      </w:r>
      <w:r>
        <w:t xml:space="preserve"> 7</w:t>
      </w:r>
      <w:r>
        <w:tab/>
      </w:r>
      <w:r w:rsidRPr="00A779B8">
        <w:rPr>
          <w:lang w:val="fr-FR"/>
        </w:rPr>
        <w:t>Mesure de la résistance à l</w:t>
      </w:r>
      <w:r>
        <w:rPr>
          <w:lang w:val="fr-FR"/>
        </w:rPr>
        <w:t>’</w:t>
      </w:r>
      <w:r w:rsidRPr="00A779B8">
        <w:rPr>
          <w:lang w:val="fr-FR"/>
        </w:rPr>
        <w:t>avancement d</w:t>
      </w:r>
      <w:r>
        <w:rPr>
          <w:lang w:val="fr-FR"/>
        </w:rPr>
        <w:t>’</w:t>
      </w:r>
      <w:r w:rsidRPr="00A779B8">
        <w:rPr>
          <w:lang w:val="fr-FR"/>
        </w:rPr>
        <w:t>un véhicule</w:t>
      </w:r>
      <w:r>
        <w:rPr>
          <w:lang w:val="fr-FR"/>
        </w:rPr>
        <w:br/>
      </w:r>
      <w:r w:rsidRPr="00A779B8">
        <w:rPr>
          <w:lang w:val="fr-FR"/>
        </w:rPr>
        <w:t>Résistance à l</w:t>
      </w:r>
      <w:r>
        <w:rPr>
          <w:lang w:val="fr-FR"/>
        </w:rPr>
        <w:t>’</w:t>
      </w:r>
      <w:r w:rsidRPr="00A779B8">
        <w:rPr>
          <w:lang w:val="fr-FR"/>
        </w:rPr>
        <w:t>avancement d</w:t>
      </w:r>
      <w:r>
        <w:rPr>
          <w:lang w:val="fr-FR"/>
        </w:rPr>
        <w:t>’</w:t>
      </w:r>
      <w:r w:rsidRPr="00A779B8">
        <w:rPr>
          <w:lang w:val="fr-FR"/>
        </w:rPr>
        <w:t>un véhicule − Méthode de mesure sur piste</w:t>
      </w:r>
      <w:r>
        <w:rPr>
          <w:lang w:val="fr-FR"/>
        </w:rPr>
        <w:br/>
      </w:r>
      <w:r w:rsidRPr="00A779B8">
        <w:rPr>
          <w:lang w:val="fr-FR"/>
        </w:rPr>
        <w:t>− Simulation sur banc à rouleaux</w:t>
      </w:r>
      <w:r>
        <w:rPr>
          <w:lang w:val="fr-FR"/>
        </w:rPr>
        <w:tab/>
      </w:r>
      <w:r>
        <w:rPr>
          <w:lang w:val="fr-FR"/>
        </w:rPr>
        <w:tab/>
        <w:t>164</w:t>
      </w:r>
    </w:p>
    <w:p w:rsidR="00695933" w:rsidRDefault="0003588C" w:rsidP="0003588C">
      <w:pPr>
        <w:tabs>
          <w:tab w:val="right" w:pos="850"/>
          <w:tab w:val="right" w:leader="dot" w:pos="8787"/>
          <w:tab w:val="right" w:pos="9638"/>
        </w:tabs>
        <w:spacing w:after="120"/>
        <w:ind w:left="1134" w:hanging="1134"/>
        <w:rPr>
          <w:lang w:val="fr-FR"/>
        </w:rPr>
      </w:pPr>
      <w:r>
        <w:rPr>
          <w:lang w:val="fr-FR"/>
        </w:rPr>
        <w:tab/>
        <w:t>5.</w:t>
      </w:r>
      <w:r>
        <w:rPr>
          <w:lang w:val="fr-FR"/>
        </w:rPr>
        <w:tab/>
      </w:r>
      <w:r w:rsidRPr="00A779B8">
        <w:rPr>
          <w:lang w:val="fr-FR"/>
        </w:rPr>
        <w:t>Essai du type II</w:t>
      </w:r>
      <w:r>
        <w:rPr>
          <w:lang w:val="fr-FR"/>
        </w:rPr>
        <w:tab/>
      </w:r>
      <w:r>
        <w:rPr>
          <w:lang w:val="fr-FR"/>
        </w:rPr>
        <w:tab/>
        <w:t>170</w:t>
      </w:r>
    </w:p>
    <w:p w:rsidR="0003588C" w:rsidRDefault="0003588C" w:rsidP="0003588C">
      <w:pPr>
        <w:tabs>
          <w:tab w:val="right" w:pos="850"/>
          <w:tab w:val="right" w:leader="dot" w:pos="8787"/>
          <w:tab w:val="right" w:pos="9638"/>
        </w:tabs>
        <w:spacing w:after="120"/>
        <w:ind w:left="1134" w:hanging="1134"/>
        <w:rPr>
          <w:lang w:val="fr-FR"/>
        </w:rPr>
      </w:pPr>
      <w:r>
        <w:rPr>
          <w:lang w:val="fr-FR"/>
        </w:rPr>
        <w:tab/>
        <w:t>6.</w:t>
      </w:r>
      <w:r>
        <w:rPr>
          <w:lang w:val="fr-FR"/>
        </w:rPr>
        <w:tab/>
      </w:r>
      <w:r w:rsidRPr="00A779B8">
        <w:rPr>
          <w:lang w:val="fr-FR"/>
        </w:rPr>
        <w:t>Essai du type III</w:t>
      </w:r>
      <w:r>
        <w:rPr>
          <w:lang w:val="fr-FR"/>
        </w:rPr>
        <w:tab/>
      </w:r>
      <w:r>
        <w:rPr>
          <w:lang w:val="fr-FR"/>
        </w:rPr>
        <w:tab/>
        <w:t>172</w:t>
      </w:r>
    </w:p>
    <w:p w:rsidR="0003588C" w:rsidRDefault="0003588C" w:rsidP="0027453B">
      <w:pPr>
        <w:tabs>
          <w:tab w:val="right" w:pos="850"/>
          <w:tab w:val="right" w:leader="dot" w:pos="8787"/>
          <w:tab w:val="right" w:pos="9638"/>
        </w:tabs>
        <w:spacing w:after="60"/>
        <w:ind w:left="1134" w:hanging="1134"/>
        <w:rPr>
          <w:lang w:val="fr-FR"/>
        </w:rPr>
      </w:pPr>
      <w:r>
        <w:rPr>
          <w:lang w:val="fr-FR"/>
        </w:rPr>
        <w:tab/>
        <w:t>7.</w:t>
      </w:r>
      <w:r>
        <w:rPr>
          <w:lang w:val="fr-FR"/>
        </w:rPr>
        <w:tab/>
      </w:r>
      <w:r w:rsidRPr="00A779B8">
        <w:rPr>
          <w:lang w:val="fr-FR"/>
        </w:rPr>
        <w:t>Essai du type IV</w:t>
      </w:r>
      <w:r>
        <w:rPr>
          <w:lang w:val="fr-FR"/>
        </w:rPr>
        <w:tab/>
      </w:r>
      <w:r>
        <w:rPr>
          <w:lang w:val="fr-FR"/>
        </w:rPr>
        <w:tab/>
        <w:t>175</w:t>
      </w:r>
    </w:p>
    <w:p w:rsidR="0027453B" w:rsidRDefault="0027453B" w:rsidP="0027453B">
      <w:pPr>
        <w:tabs>
          <w:tab w:val="right" w:leader="dot" w:pos="8787"/>
          <w:tab w:val="right" w:pos="9638"/>
        </w:tabs>
        <w:spacing w:after="60"/>
        <w:ind w:left="2268" w:hanging="1134"/>
        <w:rPr>
          <w:lang w:val="fr-FR"/>
        </w:rPr>
      </w:pPr>
      <w:r w:rsidRPr="00A2744F">
        <w:t>Appendice</w:t>
      </w:r>
      <w:r w:rsidRPr="00A779B8">
        <w:rPr>
          <w:lang w:val="fr-FR"/>
        </w:rPr>
        <w:t xml:space="preserve"> 1</w:t>
      </w:r>
      <w:r>
        <w:rPr>
          <w:lang w:val="fr-FR"/>
        </w:rPr>
        <w:tab/>
      </w:r>
      <w:r w:rsidRPr="0027453B">
        <w:rPr>
          <w:lang w:val="fr-FR"/>
        </w:rPr>
        <w:t>Étalonnage des appareils pour les essais d’</w:t>
      </w:r>
      <w:r>
        <w:rPr>
          <w:lang w:val="fr-FR"/>
        </w:rPr>
        <w:t xml:space="preserve">émissions par </w:t>
      </w:r>
      <w:r w:rsidRPr="0027453B">
        <w:rPr>
          <w:lang w:val="fr-FR"/>
        </w:rPr>
        <w:t>évaporation</w:t>
      </w:r>
      <w:r>
        <w:rPr>
          <w:lang w:val="fr-FR"/>
        </w:rPr>
        <w:tab/>
      </w:r>
      <w:r>
        <w:rPr>
          <w:lang w:val="fr-FR"/>
        </w:rPr>
        <w:tab/>
      </w:r>
      <w:r w:rsidR="00640BAC">
        <w:rPr>
          <w:lang w:val="fr-FR"/>
        </w:rPr>
        <w:t>189</w:t>
      </w:r>
    </w:p>
    <w:p w:rsidR="00640BAC" w:rsidRDefault="00640BAC" w:rsidP="00F7457A">
      <w:pPr>
        <w:tabs>
          <w:tab w:val="right" w:leader="dot" w:pos="8787"/>
          <w:tab w:val="right" w:pos="9638"/>
        </w:tabs>
        <w:spacing w:after="120"/>
        <w:ind w:left="1134"/>
        <w:rPr>
          <w:lang w:val="fr-FR"/>
        </w:rPr>
      </w:pPr>
      <w:r w:rsidRPr="00A779B8">
        <w:rPr>
          <w:lang w:val="fr-FR"/>
        </w:rPr>
        <w:t>Appendice 2</w:t>
      </w:r>
      <w:r>
        <w:rPr>
          <w:lang w:val="fr-FR"/>
        </w:rPr>
        <w:tab/>
      </w:r>
      <w:r>
        <w:rPr>
          <w:lang w:val="fr-FR"/>
        </w:rPr>
        <w:tab/>
        <w:t>194</w:t>
      </w:r>
    </w:p>
    <w:p w:rsidR="00F7457A" w:rsidRDefault="00F7457A" w:rsidP="00F7457A">
      <w:pPr>
        <w:tabs>
          <w:tab w:val="right" w:pos="850"/>
          <w:tab w:val="right" w:leader="dot" w:pos="8787"/>
          <w:tab w:val="right" w:pos="9638"/>
        </w:tabs>
        <w:spacing w:after="120"/>
        <w:ind w:left="1134" w:hanging="1134"/>
        <w:rPr>
          <w:lang w:val="fr-FR"/>
        </w:rPr>
      </w:pPr>
      <w:r>
        <w:tab/>
        <w:t>8.</w:t>
      </w:r>
      <w:r>
        <w:tab/>
      </w:r>
      <w:r w:rsidRPr="00A779B8">
        <w:rPr>
          <w:lang w:val="fr-FR"/>
        </w:rPr>
        <w:t>Essai du type VI</w:t>
      </w:r>
      <w:r>
        <w:rPr>
          <w:lang w:val="fr-FR"/>
        </w:rPr>
        <w:tab/>
      </w:r>
      <w:r>
        <w:rPr>
          <w:lang w:val="fr-FR"/>
        </w:rPr>
        <w:tab/>
        <w:t>195</w:t>
      </w:r>
    </w:p>
    <w:p w:rsidR="00F7457A" w:rsidRDefault="00F7457A" w:rsidP="003E7BF8">
      <w:pPr>
        <w:tabs>
          <w:tab w:val="right" w:pos="850"/>
          <w:tab w:val="right" w:leader="dot" w:pos="8787"/>
          <w:tab w:val="right" w:pos="9638"/>
        </w:tabs>
        <w:spacing w:after="60"/>
        <w:ind w:left="1134" w:hanging="1134"/>
        <w:rPr>
          <w:lang w:val="fr-FR"/>
        </w:rPr>
      </w:pPr>
      <w:r>
        <w:rPr>
          <w:lang w:val="fr-FR"/>
        </w:rPr>
        <w:tab/>
        <w:t>9.</w:t>
      </w:r>
      <w:r>
        <w:rPr>
          <w:lang w:val="fr-FR"/>
        </w:rPr>
        <w:tab/>
      </w:r>
      <w:r w:rsidRPr="00A779B8">
        <w:rPr>
          <w:lang w:val="fr-FR"/>
        </w:rPr>
        <w:t>Essai du type V</w:t>
      </w:r>
      <w:r>
        <w:rPr>
          <w:lang w:val="fr-FR"/>
        </w:rPr>
        <w:tab/>
      </w:r>
      <w:r>
        <w:rPr>
          <w:lang w:val="fr-FR"/>
        </w:rPr>
        <w:tab/>
        <w:t>202</w:t>
      </w:r>
    </w:p>
    <w:p w:rsidR="003E7BF8" w:rsidRDefault="003E7BF8" w:rsidP="003E7BF8">
      <w:pPr>
        <w:tabs>
          <w:tab w:val="right" w:leader="dot" w:pos="8787"/>
          <w:tab w:val="right" w:pos="9638"/>
        </w:tabs>
        <w:spacing w:after="60"/>
        <w:ind w:left="2268" w:hanging="1134"/>
        <w:rPr>
          <w:lang w:val="fr-FR"/>
        </w:rPr>
      </w:pPr>
      <w:r w:rsidRPr="00A2744F">
        <w:t>Appendice</w:t>
      </w:r>
      <w:r w:rsidRPr="00A779B8">
        <w:rPr>
          <w:lang w:val="fr-FR"/>
        </w:rPr>
        <w:t xml:space="preserve"> 1</w:t>
      </w:r>
      <w:r>
        <w:rPr>
          <w:lang w:val="fr-FR"/>
        </w:rPr>
        <w:tab/>
      </w:r>
      <w:r w:rsidRPr="00A779B8">
        <w:rPr>
          <w:lang w:val="fr-FR"/>
        </w:rPr>
        <w:t>Cycle normalisé au banc (SBC)</w:t>
      </w:r>
      <w:r>
        <w:rPr>
          <w:lang w:val="fr-FR"/>
        </w:rPr>
        <w:tab/>
      </w:r>
      <w:r>
        <w:rPr>
          <w:lang w:val="fr-FR"/>
        </w:rPr>
        <w:tab/>
        <w:t>210</w:t>
      </w:r>
    </w:p>
    <w:p w:rsidR="003E7BF8" w:rsidRDefault="003E7BF8" w:rsidP="003E7BF8">
      <w:pPr>
        <w:tabs>
          <w:tab w:val="right" w:leader="dot" w:pos="8787"/>
          <w:tab w:val="right" w:pos="9638"/>
        </w:tabs>
        <w:spacing w:after="60"/>
        <w:ind w:left="2268" w:hanging="1134"/>
        <w:rPr>
          <w:lang w:val="fr-FR"/>
        </w:rPr>
      </w:pPr>
      <w:r w:rsidRPr="00A779B8">
        <w:rPr>
          <w:lang w:val="fr-FR"/>
        </w:rPr>
        <w:t>Appendice 2</w:t>
      </w:r>
      <w:r>
        <w:rPr>
          <w:lang w:val="fr-FR"/>
        </w:rPr>
        <w:tab/>
      </w:r>
      <w:r w:rsidRPr="00A779B8">
        <w:rPr>
          <w:lang w:val="fr-FR"/>
        </w:rPr>
        <w:t>Cycle normalisé au banc pour moteurs diesel (SDBC)</w:t>
      </w:r>
      <w:r>
        <w:rPr>
          <w:lang w:val="fr-FR"/>
        </w:rPr>
        <w:tab/>
      </w:r>
      <w:r>
        <w:rPr>
          <w:lang w:val="fr-FR"/>
        </w:rPr>
        <w:tab/>
        <w:t>216</w:t>
      </w:r>
    </w:p>
    <w:p w:rsidR="003E7BF8" w:rsidRDefault="003E7BF8" w:rsidP="00BB0AD7">
      <w:pPr>
        <w:tabs>
          <w:tab w:val="right" w:leader="dot" w:pos="8787"/>
          <w:tab w:val="right" w:pos="9638"/>
        </w:tabs>
        <w:spacing w:after="120"/>
        <w:ind w:left="2268" w:hanging="1134"/>
        <w:rPr>
          <w:lang w:val="fr-FR"/>
        </w:rPr>
      </w:pPr>
      <w:r w:rsidRPr="00A779B8">
        <w:rPr>
          <w:lang w:val="fr-FR"/>
        </w:rPr>
        <w:t>Appendice 2</w:t>
      </w:r>
      <w:r>
        <w:rPr>
          <w:lang w:val="fr-FR"/>
        </w:rPr>
        <w:tab/>
      </w:r>
      <w:r w:rsidRPr="00A779B8">
        <w:rPr>
          <w:lang w:val="fr-FR"/>
        </w:rPr>
        <w:t>Cycle normalisé sur route (SRC)</w:t>
      </w:r>
      <w:r>
        <w:rPr>
          <w:lang w:val="fr-FR"/>
        </w:rPr>
        <w:tab/>
      </w:r>
      <w:r>
        <w:rPr>
          <w:lang w:val="fr-FR"/>
        </w:rPr>
        <w:tab/>
        <w:t>217</w:t>
      </w:r>
    </w:p>
    <w:p w:rsidR="003E7BF8" w:rsidRDefault="003E7BF8" w:rsidP="00BB0AD7">
      <w:pPr>
        <w:tabs>
          <w:tab w:val="right" w:pos="850"/>
          <w:tab w:val="right" w:leader="dot" w:pos="8787"/>
          <w:tab w:val="right" w:pos="9638"/>
        </w:tabs>
        <w:spacing w:after="120"/>
        <w:ind w:left="1134" w:hanging="1134"/>
        <w:rPr>
          <w:lang w:val="fr-FR"/>
        </w:rPr>
      </w:pPr>
      <w:r>
        <w:tab/>
        <w:t>10.</w:t>
      </w:r>
      <w:r>
        <w:tab/>
      </w:r>
      <w:r w:rsidRPr="00A779B8">
        <w:rPr>
          <w:lang w:val="fr-FR"/>
        </w:rPr>
        <w:t>Spécifications des carburants de référence</w:t>
      </w:r>
      <w:r>
        <w:rPr>
          <w:lang w:val="fr-FR"/>
        </w:rPr>
        <w:tab/>
      </w:r>
      <w:r>
        <w:rPr>
          <w:lang w:val="fr-FR"/>
        </w:rPr>
        <w:tab/>
        <w:t>220</w:t>
      </w:r>
    </w:p>
    <w:p w:rsidR="00C83349" w:rsidRDefault="00C83349" w:rsidP="00661A3A">
      <w:pPr>
        <w:tabs>
          <w:tab w:val="right" w:pos="850"/>
          <w:tab w:val="right" w:leader="dot" w:pos="8787"/>
          <w:tab w:val="right" w:pos="9638"/>
        </w:tabs>
        <w:spacing w:after="120"/>
        <w:ind w:left="1134" w:hanging="1134"/>
        <w:rPr>
          <w:lang w:val="fr-FR"/>
        </w:rPr>
      </w:pPr>
      <w:r>
        <w:rPr>
          <w:lang w:val="fr-FR"/>
        </w:rPr>
        <w:tab/>
        <w:t>10a</w:t>
      </w:r>
      <w:r>
        <w:rPr>
          <w:lang w:val="fr-FR"/>
        </w:rPr>
        <w:tab/>
      </w:r>
      <w:r w:rsidRPr="00A779B8">
        <w:rPr>
          <w:lang w:val="fr-FR"/>
        </w:rPr>
        <w:t>Spécifications des carburants gazeux de référence</w:t>
      </w:r>
      <w:r>
        <w:rPr>
          <w:lang w:val="fr-FR"/>
        </w:rPr>
        <w:tab/>
      </w:r>
      <w:r>
        <w:rPr>
          <w:lang w:val="fr-FR"/>
        </w:rPr>
        <w:tab/>
      </w:r>
      <w:r w:rsidR="00FC03C1">
        <w:rPr>
          <w:lang w:val="fr-FR"/>
        </w:rPr>
        <w:t>231</w:t>
      </w:r>
    </w:p>
    <w:p w:rsidR="00FA2356" w:rsidRDefault="00FA2356" w:rsidP="003E7BF8">
      <w:pPr>
        <w:tabs>
          <w:tab w:val="right" w:pos="850"/>
          <w:tab w:val="right" w:leader="dot" w:pos="8787"/>
          <w:tab w:val="right" w:pos="9638"/>
        </w:tabs>
        <w:spacing w:after="60"/>
        <w:ind w:left="1134" w:hanging="1134"/>
        <w:rPr>
          <w:lang w:val="fr-FR"/>
        </w:rPr>
      </w:pPr>
      <w:r>
        <w:rPr>
          <w:lang w:val="fr-FR"/>
        </w:rPr>
        <w:tab/>
        <w:t>11</w:t>
      </w:r>
      <w:r w:rsidR="001521AB">
        <w:rPr>
          <w:lang w:val="fr-FR"/>
        </w:rPr>
        <w:t>.</w:t>
      </w:r>
      <w:r>
        <w:rPr>
          <w:lang w:val="fr-FR"/>
        </w:rPr>
        <w:tab/>
      </w:r>
      <w:r w:rsidRPr="00A779B8">
        <w:rPr>
          <w:lang w:val="fr-FR"/>
        </w:rPr>
        <w:t>Système d</w:t>
      </w:r>
      <w:r>
        <w:rPr>
          <w:lang w:val="fr-FR"/>
        </w:rPr>
        <w:t>’</w:t>
      </w:r>
      <w:r w:rsidRPr="00A779B8">
        <w:rPr>
          <w:lang w:val="fr-FR"/>
        </w:rPr>
        <w:t>autodiagnostic (OBD) pour véhicules à moteur</w:t>
      </w:r>
      <w:r w:rsidR="00FC03C1">
        <w:rPr>
          <w:lang w:val="fr-FR"/>
        </w:rPr>
        <w:tab/>
      </w:r>
      <w:r w:rsidR="00FC03C1">
        <w:rPr>
          <w:lang w:val="fr-FR"/>
        </w:rPr>
        <w:tab/>
        <w:t>234</w:t>
      </w:r>
    </w:p>
    <w:p w:rsidR="00FA2356" w:rsidRDefault="00FA2356" w:rsidP="00FA2356">
      <w:pPr>
        <w:tabs>
          <w:tab w:val="right" w:leader="dot" w:pos="8787"/>
          <w:tab w:val="right" w:pos="9638"/>
        </w:tabs>
        <w:spacing w:after="60"/>
        <w:ind w:left="2268" w:hanging="1134"/>
        <w:rPr>
          <w:lang w:val="fr-FR"/>
        </w:rPr>
      </w:pPr>
      <w:r w:rsidRPr="00A2744F">
        <w:t>Appendice</w:t>
      </w:r>
      <w:r w:rsidRPr="00A779B8">
        <w:rPr>
          <w:lang w:val="fr-FR"/>
        </w:rPr>
        <w:t xml:space="preserve"> 1</w:t>
      </w:r>
      <w:r>
        <w:rPr>
          <w:lang w:val="fr-FR"/>
        </w:rPr>
        <w:tab/>
      </w:r>
      <w:r w:rsidRPr="00A779B8">
        <w:rPr>
          <w:lang w:val="fr-FR"/>
        </w:rPr>
        <w:t>Fonctionnement des systèmes d</w:t>
      </w:r>
      <w:r>
        <w:rPr>
          <w:lang w:val="fr-FR"/>
        </w:rPr>
        <w:t>’</w:t>
      </w:r>
      <w:r w:rsidRPr="00A779B8">
        <w:rPr>
          <w:lang w:val="fr-FR"/>
        </w:rPr>
        <w:t>autodiagnostic (OBD)</w:t>
      </w:r>
      <w:r>
        <w:rPr>
          <w:lang w:val="fr-FR"/>
        </w:rPr>
        <w:tab/>
      </w:r>
      <w:r>
        <w:rPr>
          <w:lang w:val="fr-FR"/>
        </w:rPr>
        <w:tab/>
      </w:r>
      <w:r w:rsidR="00FC03C1">
        <w:rPr>
          <w:lang w:val="fr-FR"/>
        </w:rPr>
        <w:t>248</w:t>
      </w:r>
    </w:p>
    <w:p w:rsidR="00C972AF" w:rsidRDefault="001521AB" w:rsidP="00661A3A">
      <w:pPr>
        <w:tabs>
          <w:tab w:val="right" w:leader="dot" w:pos="8787"/>
          <w:tab w:val="right" w:pos="9638"/>
        </w:tabs>
        <w:spacing w:after="120"/>
        <w:ind w:left="2268" w:hanging="1134"/>
        <w:rPr>
          <w:lang w:val="fr-FR"/>
        </w:rPr>
      </w:pPr>
      <w:r w:rsidRPr="00A2744F">
        <w:t>Appendice</w:t>
      </w:r>
      <w:r>
        <w:rPr>
          <w:lang w:val="fr-FR"/>
        </w:rPr>
        <w:t xml:space="preserve"> 2</w:t>
      </w:r>
      <w:r>
        <w:rPr>
          <w:lang w:val="fr-FR"/>
        </w:rPr>
        <w:tab/>
      </w:r>
      <w:r w:rsidRPr="00A779B8">
        <w:rPr>
          <w:lang w:val="fr-FR"/>
        </w:rPr>
        <w:t>Caractéristiques principales de la famille de véhicules</w:t>
      </w:r>
      <w:r w:rsidR="00FC03C1">
        <w:rPr>
          <w:lang w:val="fr-FR"/>
        </w:rPr>
        <w:tab/>
      </w:r>
      <w:r w:rsidR="00FC03C1">
        <w:rPr>
          <w:lang w:val="fr-FR"/>
        </w:rPr>
        <w:tab/>
        <w:t>261</w:t>
      </w:r>
    </w:p>
    <w:p w:rsidR="001521AB" w:rsidRDefault="001521AB" w:rsidP="001521AB">
      <w:pPr>
        <w:tabs>
          <w:tab w:val="right" w:pos="850"/>
          <w:tab w:val="right" w:leader="dot" w:pos="8787"/>
          <w:tab w:val="right" w:pos="9638"/>
        </w:tabs>
        <w:spacing w:after="60"/>
        <w:ind w:left="1134" w:hanging="1134"/>
        <w:rPr>
          <w:lang w:val="fr-FR"/>
        </w:rPr>
      </w:pPr>
      <w:r>
        <w:tab/>
        <w:t>12.</w:t>
      </w:r>
      <w:r>
        <w:tab/>
      </w:r>
      <w:r w:rsidRPr="00A779B8">
        <w:rPr>
          <w:lang w:val="fr-FR"/>
        </w:rPr>
        <w:t>Homologation de type d</w:t>
      </w:r>
      <w:r>
        <w:rPr>
          <w:lang w:val="fr-FR"/>
        </w:rPr>
        <w:t xml:space="preserve">’un véhicule fonctionnant au GPL </w:t>
      </w:r>
      <w:r w:rsidRPr="00A779B8">
        <w:rPr>
          <w:lang w:val="fr-FR"/>
        </w:rPr>
        <w:t>ou au GN/</w:t>
      </w:r>
      <w:proofErr w:type="spellStart"/>
      <w:r w:rsidRPr="00A779B8">
        <w:rPr>
          <w:lang w:val="fr-FR"/>
        </w:rPr>
        <w:t>biométhane</w:t>
      </w:r>
      <w:proofErr w:type="spellEnd"/>
      <w:r w:rsidR="00FC03C1">
        <w:rPr>
          <w:lang w:val="fr-FR"/>
        </w:rPr>
        <w:tab/>
      </w:r>
      <w:r w:rsidR="00FC03C1">
        <w:rPr>
          <w:lang w:val="fr-FR"/>
        </w:rPr>
        <w:tab/>
        <w:t>262</w:t>
      </w:r>
    </w:p>
    <w:p w:rsidR="001521AB" w:rsidRDefault="001521AB" w:rsidP="001521AB">
      <w:pPr>
        <w:tabs>
          <w:tab w:val="right" w:leader="dot" w:pos="8787"/>
          <w:tab w:val="right" w:pos="9638"/>
        </w:tabs>
        <w:spacing w:after="60"/>
        <w:ind w:left="2268" w:hanging="1134"/>
        <w:rPr>
          <w:lang w:val="fr-FR"/>
        </w:rPr>
      </w:pPr>
      <w:r>
        <w:rPr>
          <w:lang w:val="fr-FR"/>
        </w:rPr>
        <w:t>Appendice 1</w:t>
      </w:r>
      <w:r>
        <w:rPr>
          <w:lang w:val="fr-FR"/>
        </w:rPr>
        <w:tab/>
      </w:r>
      <w:r w:rsidRPr="00A779B8">
        <w:rPr>
          <w:lang w:val="fr-FR"/>
        </w:rPr>
        <w:t>Véhicules à bicarburation à gaz − Calcul de la part du GPL</w:t>
      </w:r>
      <w:r>
        <w:rPr>
          <w:lang w:val="fr-FR"/>
        </w:rPr>
        <w:br/>
      </w:r>
      <w:r w:rsidRPr="00A779B8">
        <w:rPr>
          <w:lang w:val="fr-FR"/>
        </w:rPr>
        <w:t>−</w:t>
      </w:r>
      <w:r>
        <w:rPr>
          <w:lang w:val="fr-FR"/>
        </w:rPr>
        <w:t xml:space="preserve"> </w:t>
      </w:r>
      <w:r w:rsidRPr="00A779B8">
        <w:rPr>
          <w:lang w:val="fr-FR"/>
        </w:rPr>
        <w:t>dans l</w:t>
      </w:r>
      <w:r>
        <w:rPr>
          <w:lang w:val="fr-FR"/>
        </w:rPr>
        <w:t>’</w:t>
      </w:r>
      <w:r w:rsidRPr="00A779B8">
        <w:rPr>
          <w:lang w:val="fr-FR"/>
        </w:rPr>
        <w:t>énergie consommée</w:t>
      </w:r>
      <w:r>
        <w:rPr>
          <w:lang w:val="fr-FR"/>
        </w:rPr>
        <w:tab/>
      </w:r>
      <w:r>
        <w:rPr>
          <w:lang w:val="fr-FR"/>
        </w:rPr>
        <w:tab/>
      </w:r>
      <w:r w:rsidR="00FC03C1">
        <w:rPr>
          <w:lang w:val="fr-FR"/>
        </w:rPr>
        <w:t>266</w:t>
      </w:r>
    </w:p>
    <w:p w:rsidR="00661A3A" w:rsidRDefault="00661A3A" w:rsidP="00E2134C">
      <w:pPr>
        <w:tabs>
          <w:tab w:val="right" w:leader="dot" w:pos="8787"/>
          <w:tab w:val="right" w:pos="9638"/>
        </w:tabs>
        <w:spacing w:after="120"/>
        <w:ind w:left="2268" w:hanging="1134"/>
        <w:rPr>
          <w:lang w:val="fr-FR"/>
        </w:rPr>
      </w:pPr>
      <w:r w:rsidRPr="00A2744F">
        <w:t>Appendice</w:t>
      </w:r>
      <w:r>
        <w:rPr>
          <w:lang w:val="fr-FR"/>
        </w:rPr>
        <w:t xml:space="preserve"> 2</w:t>
      </w:r>
      <w:r>
        <w:rPr>
          <w:lang w:val="fr-FR"/>
        </w:rPr>
        <w:tab/>
      </w:r>
      <w:r w:rsidRPr="00A779B8">
        <w:rPr>
          <w:lang w:val="fr-FR"/>
        </w:rPr>
        <w:t>Véhicules à bicarburation à gaz − Cal</w:t>
      </w:r>
      <w:r>
        <w:rPr>
          <w:lang w:val="fr-FR"/>
        </w:rPr>
        <w:t>cul de la part du GN/</w:t>
      </w:r>
      <w:proofErr w:type="spellStart"/>
      <w:r>
        <w:rPr>
          <w:lang w:val="fr-FR"/>
        </w:rPr>
        <w:t>biométhane</w:t>
      </w:r>
      <w:proofErr w:type="spellEnd"/>
      <w:r>
        <w:rPr>
          <w:lang w:val="fr-FR"/>
        </w:rPr>
        <w:br/>
      </w:r>
      <w:r w:rsidRPr="00A779B8">
        <w:rPr>
          <w:lang w:val="fr-FR"/>
        </w:rPr>
        <w:t>dans l</w:t>
      </w:r>
      <w:r>
        <w:rPr>
          <w:lang w:val="fr-FR"/>
        </w:rPr>
        <w:t>’</w:t>
      </w:r>
      <w:r w:rsidRPr="00A779B8">
        <w:rPr>
          <w:lang w:val="fr-FR"/>
        </w:rPr>
        <w:t>énergie consommée</w:t>
      </w:r>
      <w:r w:rsidR="00FC03C1">
        <w:rPr>
          <w:lang w:val="fr-FR"/>
        </w:rPr>
        <w:tab/>
      </w:r>
      <w:r w:rsidR="00FC03C1">
        <w:rPr>
          <w:lang w:val="fr-FR"/>
        </w:rPr>
        <w:tab/>
        <w:t>267</w:t>
      </w:r>
    </w:p>
    <w:p w:rsidR="00E2134C" w:rsidRDefault="00E2134C" w:rsidP="00E2134C">
      <w:pPr>
        <w:tabs>
          <w:tab w:val="right" w:pos="850"/>
          <w:tab w:val="right" w:leader="dot" w:pos="8787"/>
          <w:tab w:val="right" w:pos="9638"/>
        </w:tabs>
        <w:spacing w:after="60"/>
        <w:ind w:left="1134" w:hanging="1134"/>
        <w:rPr>
          <w:lang w:val="fr-FR"/>
        </w:rPr>
      </w:pPr>
      <w:r>
        <w:rPr>
          <w:lang w:val="fr-FR"/>
        </w:rPr>
        <w:tab/>
        <w:t>13.</w:t>
      </w:r>
      <w:r>
        <w:rPr>
          <w:lang w:val="fr-FR"/>
        </w:rPr>
        <w:tab/>
      </w:r>
      <w:r w:rsidRPr="00A779B8">
        <w:rPr>
          <w:lang w:val="fr-FR"/>
        </w:rPr>
        <w:t>Méthode d</w:t>
      </w:r>
      <w:r>
        <w:rPr>
          <w:lang w:val="fr-FR"/>
        </w:rPr>
        <w:t>’</w:t>
      </w:r>
      <w:r w:rsidRPr="00A779B8">
        <w:rPr>
          <w:lang w:val="fr-FR"/>
        </w:rPr>
        <w:t>essai pour le contrôle des émissions</w:t>
      </w:r>
      <w:r>
        <w:rPr>
          <w:lang w:val="fr-FR"/>
        </w:rPr>
        <w:t xml:space="preserve"> </w:t>
      </w:r>
      <w:r w:rsidRPr="00A779B8">
        <w:rPr>
          <w:lang w:val="fr-FR"/>
        </w:rPr>
        <w:t>d</w:t>
      </w:r>
      <w:r>
        <w:rPr>
          <w:lang w:val="fr-FR"/>
        </w:rPr>
        <w:t>’</w:t>
      </w:r>
      <w:r w:rsidRPr="00A779B8">
        <w:rPr>
          <w:lang w:val="fr-FR"/>
        </w:rPr>
        <w:t>un véhicule équipé d</w:t>
      </w:r>
      <w:r>
        <w:rPr>
          <w:lang w:val="fr-FR"/>
        </w:rPr>
        <w:t>’</w:t>
      </w:r>
      <w:r w:rsidRPr="00A779B8">
        <w:rPr>
          <w:lang w:val="fr-FR"/>
        </w:rPr>
        <w:t>un dispositif</w:t>
      </w:r>
      <w:r w:rsidRPr="00A779B8">
        <w:rPr>
          <w:lang w:val="fr-FR"/>
        </w:rPr>
        <w:br/>
        <w:t>à régénération périodique</w:t>
      </w:r>
      <w:r w:rsidR="00FC03C1">
        <w:rPr>
          <w:lang w:val="fr-FR"/>
        </w:rPr>
        <w:tab/>
      </w:r>
      <w:r w:rsidR="00FC03C1">
        <w:rPr>
          <w:lang w:val="fr-FR"/>
        </w:rPr>
        <w:tab/>
        <w:t>268</w:t>
      </w:r>
    </w:p>
    <w:p w:rsidR="001521AB" w:rsidRDefault="00E2134C" w:rsidP="001521AB">
      <w:pPr>
        <w:tabs>
          <w:tab w:val="right" w:pos="850"/>
          <w:tab w:val="right" w:leader="dot" w:pos="8787"/>
          <w:tab w:val="right" w:pos="9638"/>
        </w:tabs>
        <w:spacing w:after="60"/>
        <w:ind w:left="1134" w:hanging="1134"/>
        <w:rPr>
          <w:lang w:val="fr-FR"/>
        </w:rPr>
      </w:pPr>
      <w:r>
        <w:rPr>
          <w:lang w:val="fr-FR"/>
        </w:rPr>
        <w:tab/>
        <w:t>14.</w:t>
      </w:r>
      <w:r>
        <w:rPr>
          <w:lang w:val="fr-FR"/>
        </w:rPr>
        <w:tab/>
      </w:r>
      <w:r w:rsidRPr="00A779B8">
        <w:rPr>
          <w:lang w:val="fr-FR"/>
        </w:rPr>
        <w:t>Méthode d</w:t>
      </w:r>
      <w:r>
        <w:rPr>
          <w:lang w:val="fr-FR"/>
        </w:rPr>
        <w:t>’</w:t>
      </w:r>
      <w:r w:rsidRPr="00A779B8">
        <w:rPr>
          <w:lang w:val="fr-FR"/>
        </w:rPr>
        <w:t>essai pour la mesure des émissions des véhicules électriques hybrides</w:t>
      </w:r>
      <w:r>
        <w:rPr>
          <w:lang w:val="fr-FR"/>
        </w:rPr>
        <w:tab/>
      </w:r>
      <w:r>
        <w:rPr>
          <w:lang w:val="fr-FR"/>
        </w:rPr>
        <w:tab/>
      </w:r>
      <w:r w:rsidR="00FC03C1">
        <w:rPr>
          <w:lang w:val="fr-FR"/>
        </w:rPr>
        <w:t>275</w:t>
      </w:r>
    </w:p>
    <w:p w:rsidR="004747BB" w:rsidRDefault="004747BB" w:rsidP="004747BB">
      <w:pPr>
        <w:tabs>
          <w:tab w:val="right" w:leader="dot" w:pos="8787"/>
          <w:tab w:val="right" w:pos="9638"/>
        </w:tabs>
        <w:spacing w:after="120"/>
        <w:ind w:left="2268" w:hanging="1134"/>
      </w:pPr>
      <w:r w:rsidRPr="00A2744F">
        <w:t>Appendice</w:t>
      </w:r>
      <w:r>
        <w:rPr>
          <w:lang w:val="fr-FR"/>
        </w:rPr>
        <w:t xml:space="preserve"> 1</w:t>
      </w:r>
      <w:r>
        <w:rPr>
          <w:lang w:val="fr-FR"/>
        </w:rPr>
        <w:tab/>
      </w:r>
      <w:r w:rsidRPr="00A779B8">
        <w:rPr>
          <w:lang w:val="fr-FR"/>
        </w:rPr>
        <w:t>Profil de l</w:t>
      </w:r>
      <w:r>
        <w:rPr>
          <w:lang w:val="fr-FR"/>
        </w:rPr>
        <w:t>’</w:t>
      </w:r>
      <w:r w:rsidRPr="00A779B8">
        <w:rPr>
          <w:lang w:val="fr-FR"/>
        </w:rPr>
        <w:t>état de charge du dispositif de stockage d</w:t>
      </w:r>
      <w:r>
        <w:rPr>
          <w:lang w:val="fr-FR"/>
        </w:rPr>
        <w:t>’énergie</w:t>
      </w:r>
      <w:r>
        <w:rPr>
          <w:lang w:val="fr-FR"/>
        </w:rPr>
        <w:br/>
      </w:r>
      <w:r w:rsidRPr="00A779B8">
        <w:rPr>
          <w:lang w:val="fr-FR"/>
        </w:rPr>
        <w:t>pour l</w:t>
      </w:r>
      <w:r>
        <w:rPr>
          <w:lang w:val="fr-FR"/>
        </w:rPr>
        <w:t>’</w:t>
      </w:r>
      <w:r w:rsidRPr="00A779B8">
        <w:rPr>
          <w:lang w:val="fr-FR"/>
        </w:rPr>
        <w:t>essai du type I des véhicules OVC</w:t>
      </w:r>
      <w:r w:rsidR="00FC03C1">
        <w:rPr>
          <w:lang w:val="fr-FR"/>
        </w:rPr>
        <w:tab/>
      </w:r>
      <w:r w:rsidR="00FC03C1">
        <w:rPr>
          <w:lang w:val="fr-FR"/>
        </w:rPr>
        <w:tab/>
        <w:t>289</w:t>
      </w:r>
    </w:p>
    <w:p w:rsidR="00780D96" w:rsidRDefault="00780D96" w:rsidP="00780D96">
      <w:pPr>
        <w:tabs>
          <w:tab w:val="right" w:pos="850"/>
          <w:tab w:val="right" w:leader="dot" w:pos="8787"/>
          <w:tab w:val="right" w:pos="9638"/>
        </w:tabs>
        <w:spacing w:after="120"/>
        <w:ind w:left="1134" w:hanging="1134"/>
      </w:pPr>
    </w:p>
    <w:p w:rsidR="00780D96" w:rsidRDefault="00780D96" w:rsidP="00780D96">
      <w:pPr>
        <w:sectPr w:rsidR="00780D96" w:rsidSect="00F963D4">
          <w:endnotePr>
            <w:numFmt w:val="decimal"/>
          </w:endnotePr>
          <w:type w:val="oddPage"/>
          <w:pgSz w:w="11907" w:h="16840" w:code="9"/>
          <w:pgMar w:top="1701" w:right="1134" w:bottom="2268" w:left="1134" w:header="964" w:footer="1701" w:gutter="0"/>
          <w:cols w:space="720"/>
          <w:docGrid w:linePitch="272"/>
        </w:sectPr>
      </w:pPr>
    </w:p>
    <w:p w:rsidR="00780D96" w:rsidRPr="00780D96" w:rsidRDefault="003401F1" w:rsidP="003401F1">
      <w:pPr>
        <w:pStyle w:val="HChG"/>
        <w:rPr>
          <w:lang w:val="fr-FR"/>
        </w:rPr>
      </w:pPr>
      <w:r>
        <w:rPr>
          <w:lang w:val="fr-FR"/>
        </w:rPr>
        <w:lastRenderedPageBreak/>
        <w:tab/>
      </w:r>
      <w:r>
        <w:rPr>
          <w:lang w:val="fr-FR"/>
        </w:rPr>
        <w:tab/>
      </w:r>
      <w:r w:rsidR="00780D96" w:rsidRPr="00780D96">
        <w:rPr>
          <w:lang w:val="fr-FR"/>
        </w:rPr>
        <w:t>1.</w:t>
      </w:r>
      <w:r w:rsidR="00780D96" w:rsidRPr="00780D96">
        <w:rPr>
          <w:lang w:val="fr-FR"/>
        </w:rPr>
        <w:tab/>
      </w:r>
      <w:r>
        <w:rPr>
          <w:lang w:val="fr-FR"/>
        </w:rPr>
        <w:tab/>
      </w:r>
      <w:r w:rsidR="00780D96" w:rsidRPr="003401F1">
        <w:t>Domaine</w:t>
      </w:r>
      <w:r w:rsidR="00780D96" w:rsidRPr="00780D96">
        <w:rPr>
          <w:lang w:val="fr-FR"/>
        </w:rPr>
        <w:t xml:space="preserve"> d</w:t>
      </w:r>
      <w:r w:rsidR="00DB4C2D">
        <w:rPr>
          <w:lang w:val="fr-FR"/>
        </w:rPr>
        <w:t>’</w:t>
      </w:r>
      <w:r w:rsidR="00780D96" w:rsidRPr="00780D96">
        <w:rPr>
          <w:lang w:val="fr-FR"/>
        </w:rPr>
        <w:t>application</w:t>
      </w:r>
    </w:p>
    <w:p w:rsidR="00780D96" w:rsidRPr="00780D96" w:rsidRDefault="00780D96" w:rsidP="003401F1">
      <w:pPr>
        <w:pStyle w:val="SingleTxtG"/>
        <w:ind w:left="2268"/>
        <w:rPr>
          <w:lang w:val="fr-FR"/>
        </w:rPr>
      </w:pPr>
      <w:r w:rsidRPr="00780D96">
        <w:rPr>
          <w:lang w:val="fr-FR"/>
        </w:rPr>
        <w:t>Le présent Règlement établit des prescriptions techniques concernant l</w:t>
      </w:r>
      <w:r w:rsidR="00DB4C2D">
        <w:rPr>
          <w:lang w:val="fr-FR"/>
        </w:rPr>
        <w:t>’</w:t>
      </w:r>
      <w:r w:rsidRPr="00780D96">
        <w:rPr>
          <w:lang w:val="fr-FR"/>
        </w:rPr>
        <w:t>homologation de type de véhicules automobiles.</w:t>
      </w:r>
    </w:p>
    <w:p w:rsidR="00780D96" w:rsidRPr="003401F1" w:rsidRDefault="00780D96" w:rsidP="003401F1">
      <w:pPr>
        <w:pStyle w:val="SingleTxtG"/>
        <w:ind w:left="2268"/>
        <w:rPr>
          <w:lang w:val="fr-FR"/>
        </w:rPr>
      </w:pPr>
      <w:r w:rsidRPr="003401F1">
        <w:rPr>
          <w:lang w:val="fr-FR"/>
        </w:rPr>
        <w:tab/>
        <w:t>En outre, le présent Règlement établit des règles pour la conformité en service, la durabilité des dispositifs antipollution et les systèmes d</w:t>
      </w:r>
      <w:r w:rsidR="00DB4C2D">
        <w:rPr>
          <w:lang w:val="fr-FR"/>
        </w:rPr>
        <w:t>’</w:t>
      </w:r>
      <w:r w:rsidRPr="003401F1">
        <w:rPr>
          <w:lang w:val="fr-FR"/>
        </w:rPr>
        <w:t>autodiagnostic (OBD).</w:t>
      </w:r>
    </w:p>
    <w:p w:rsidR="00780D96" w:rsidRPr="00780D96" w:rsidRDefault="00780D96" w:rsidP="003401F1">
      <w:pPr>
        <w:pStyle w:val="SingleTxtG"/>
        <w:ind w:left="2268" w:hanging="1134"/>
        <w:rPr>
          <w:lang w:val="fr-FR"/>
        </w:rPr>
      </w:pPr>
      <w:r w:rsidRPr="00780D96">
        <w:rPr>
          <w:lang w:val="fr-FR"/>
        </w:rPr>
        <w:t>1.1</w:t>
      </w:r>
      <w:r w:rsidRPr="00780D96">
        <w:rPr>
          <w:lang w:val="fr-FR"/>
        </w:rPr>
        <w:tab/>
      </w:r>
      <w:r w:rsidRPr="00780D96">
        <w:rPr>
          <w:lang w:val="fr-FR"/>
        </w:rPr>
        <w:tab/>
        <w:t>Le présent Règlement s</w:t>
      </w:r>
      <w:r w:rsidR="00DB4C2D">
        <w:rPr>
          <w:lang w:val="fr-FR"/>
        </w:rPr>
        <w:t>’</w:t>
      </w:r>
      <w:r w:rsidRPr="00780D96">
        <w:rPr>
          <w:lang w:val="fr-FR"/>
        </w:rPr>
        <w:t>applique aux véhicules des catégories M</w:t>
      </w:r>
      <w:r w:rsidRPr="00780D96">
        <w:rPr>
          <w:vertAlign w:val="subscript"/>
          <w:lang w:val="fr-FR"/>
        </w:rPr>
        <w:t>1</w:t>
      </w:r>
      <w:r w:rsidRPr="00780D96">
        <w:rPr>
          <w:lang w:val="fr-FR"/>
        </w:rPr>
        <w:t>, M</w:t>
      </w:r>
      <w:r w:rsidRPr="00780D96">
        <w:rPr>
          <w:vertAlign w:val="subscript"/>
          <w:lang w:val="fr-FR"/>
        </w:rPr>
        <w:t>2</w:t>
      </w:r>
      <w:r w:rsidRPr="00780D96">
        <w:rPr>
          <w:lang w:val="fr-FR"/>
        </w:rPr>
        <w:t>, N</w:t>
      </w:r>
      <w:r w:rsidRPr="00780D96">
        <w:rPr>
          <w:vertAlign w:val="subscript"/>
          <w:lang w:val="fr-FR"/>
        </w:rPr>
        <w:t>1</w:t>
      </w:r>
      <w:r w:rsidRPr="00780D96">
        <w:rPr>
          <w:lang w:val="fr-FR"/>
        </w:rPr>
        <w:t xml:space="preserve"> et N</w:t>
      </w:r>
      <w:r w:rsidRPr="00780D96">
        <w:rPr>
          <w:vertAlign w:val="subscript"/>
          <w:lang w:val="fr-FR"/>
        </w:rPr>
        <w:t>2</w:t>
      </w:r>
      <w:r w:rsidRPr="00780D96">
        <w:rPr>
          <w:lang w:val="fr-FR"/>
        </w:rPr>
        <w:t xml:space="preserve"> dont la masse de </w:t>
      </w:r>
      <w:r w:rsidRPr="003401F1">
        <w:rPr>
          <w:lang w:val="fr-FR"/>
        </w:rPr>
        <w:t>référence</w:t>
      </w:r>
      <w:r w:rsidRPr="00780D96">
        <w:rPr>
          <w:lang w:val="fr-FR"/>
        </w:rPr>
        <w:t xml:space="preserve"> ne dépasse pas 2 610 kg</w:t>
      </w:r>
      <w:r w:rsidRPr="00780D96">
        <w:rPr>
          <w:sz w:val="18"/>
          <w:vertAlign w:val="superscript"/>
        </w:rPr>
        <w:footnoteReference w:id="2"/>
      </w:r>
      <w:r w:rsidRPr="00780D96">
        <w:rPr>
          <w:lang w:val="fr-FR"/>
        </w:rPr>
        <w:t>.</w:t>
      </w:r>
    </w:p>
    <w:p w:rsidR="00780D96" w:rsidRPr="00780D96" w:rsidRDefault="00780D96" w:rsidP="003401F1">
      <w:pPr>
        <w:pStyle w:val="SingleTxtG"/>
        <w:ind w:left="2268"/>
        <w:rPr>
          <w:rFonts w:eastAsia="Times New Roman"/>
          <w:spacing w:val="-2"/>
          <w:szCs w:val="24"/>
          <w:lang w:val="fr-FR"/>
        </w:rPr>
      </w:pPr>
      <w:r w:rsidRPr="00780D96">
        <w:rPr>
          <w:rFonts w:eastAsia="Times New Roman"/>
          <w:spacing w:val="-2"/>
          <w:szCs w:val="24"/>
          <w:lang w:val="fr-FR"/>
        </w:rPr>
        <w:tab/>
      </w:r>
      <w:r w:rsidRPr="003401F1">
        <w:rPr>
          <w:lang w:val="fr-FR"/>
        </w:rPr>
        <w:t>À la demande du constructeur, l</w:t>
      </w:r>
      <w:r w:rsidR="00DB4C2D">
        <w:rPr>
          <w:lang w:val="fr-FR"/>
        </w:rPr>
        <w:t>’</w:t>
      </w:r>
      <w:r w:rsidRPr="003401F1">
        <w:rPr>
          <w:lang w:val="fr-FR"/>
        </w:rPr>
        <w:t>homologation de type accordée en vertu du présent Règlement peut être étendue des véhicules visés par le paragraphe 1 aux véhicules des catégories M</w:t>
      </w:r>
      <w:r w:rsidRPr="003401F1">
        <w:rPr>
          <w:vertAlign w:val="subscript"/>
          <w:lang w:val="fr-FR"/>
        </w:rPr>
        <w:t>1</w:t>
      </w:r>
      <w:r w:rsidRPr="003401F1">
        <w:rPr>
          <w:lang w:val="fr-FR"/>
        </w:rPr>
        <w:t>, M</w:t>
      </w:r>
      <w:r w:rsidRPr="003401F1">
        <w:rPr>
          <w:vertAlign w:val="subscript"/>
          <w:lang w:val="fr-FR"/>
        </w:rPr>
        <w:t>2</w:t>
      </w:r>
      <w:r w:rsidRPr="003401F1">
        <w:rPr>
          <w:lang w:val="fr-FR"/>
        </w:rPr>
        <w:t>, N</w:t>
      </w:r>
      <w:r w:rsidRPr="003401F1">
        <w:rPr>
          <w:vertAlign w:val="subscript"/>
          <w:lang w:val="fr-FR"/>
        </w:rPr>
        <w:t>1</w:t>
      </w:r>
      <w:r w:rsidRPr="003401F1">
        <w:rPr>
          <w:lang w:val="fr-FR"/>
        </w:rPr>
        <w:t xml:space="preserve"> et N</w:t>
      </w:r>
      <w:r w:rsidRPr="003401F1">
        <w:rPr>
          <w:vertAlign w:val="subscript"/>
          <w:lang w:val="fr-FR"/>
        </w:rPr>
        <w:t>2</w:t>
      </w:r>
      <w:r w:rsidRPr="003401F1">
        <w:rPr>
          <w:lang w:val="fr-FR"/>
        </w:rPr>
        <w:t xml:space="preserve"> dont la masse de référence ne dépasse pas 2 840 kg et qui répondent aux conditions fixées dans le présent Règlement.</w:t>
      </w:r>
    </w:p>
    <w:p w:rsidR="00780D96" w:rsidRPr="00780D96" w:rsidRDefault="003401F1" w:rsidP="003401F1">
      <w:pPr>
        <w:pStyle w:val="HChG"/>
        <w:rPr>
          <w:lang w:val="fr-FR"/>
        </w:rPr>
      </w:pPr>
      <w:r>
        <w:rPr>
          <w:lang w:val="fr-FR"/>
        </w:rPr>
        <w:tab/>
      </w:r>
      <w:r>
        <w:rPr>
          <w:lang w:val="fr-FR"/>
        </w:rPr>
        <w:tab/>
      </w:r>
      <w:r w:rsidR="00780D96" w:rsidRPr="00780D96">
        <w:rPr>
          <w:lang w:val="fr-FR"/>
        </w:rPr>
        <w:t>2.</w:t>
      </w:r>
      <w:r w:rsidR="00780D96" w:rsidRPr="00780D96">
        <w:rPr>
          <w:lang w:val="fr-FR"/>
        </w:rPr>
        <w:tab/>
      </w:r>
      <w:r>
        <w:rPr>
          <w:lang w:val="fr-FR"/>
        </w:rPr>
        <w:tab/>
      </w:r>
      <w:r w:rsidR="00780D96" w:rsidRPr="00780D96">
        <w:rPr>
          <w:lang w:val="fr-FR"/>
        </w:rPr>
        <w:t>Définitions</w:t>
      </w:r>
    </w:p>
    <w:p w:rsidR="00780D96" w:rsidRPr="00780D96" w:rsidRDefault="00780D96" w:rsidP="003401F1">
      <w:pPr>
        <w:pStyle w:val="SingleTxtG"/>
        <w:ind w:left="2268"/>
        <w:rPr>
          <w:rFonts w:eastAsia="Times New Roman"/>
          <w:lang w:val="fr-FR"/>
        </w:rPr>
      </w:pPr>
      <w:r w:rsidRPr="003401F1">
        <w:rPr>
          <w:lang w:val="fr-FR"/>
        </w:rPr>
        <w:t>Au sens du présent Règlement, on entend:</w:t>
      </w:r>
    </w:p>
    <w:p w:rsidR="00780D96" w:rsidRPr="00780D96" w:rsidRDefault="00780D96" w:rsidP="003401F1">
      <w:pPr>
        <w:pStyle w:val="SingleTxtG"/>
        <w:keepNext/>
        <w:ind w:left="2268" w:hanging="1134"/>
        <w:rPr>
          <w:rFonts w:eastAsia="Times New Roman"/>
          <w:lang w:val="fr-FR"/>
        </w:rPr>
      </w:pPr>
      <w:r w:rsidRPr="00780D96">
        <w:rPr>
          <w:rFonts w:eastAsia="Times New Roman"/>
          <w:lang w:val="fr-FR"/>
        </w:rPr>
        <w:t>2.1</w:t>
      </w:r>
      <w:r w:rsidRPr="00780D96">
        <w:rPr>
          <w:rFonts w:eastAsia="Times New Roman"/>
          <w:lang w:val="fr-FR"/>
        </w:rPr>
        <w:tab/>
        <w:t>Par «</w:t>
      </w:r>
      <w:r w:rsidRPr="00780D96">
        <w:rPr>
          <w:rFonts w:eastAsia="Times New Roman"/>
          <w:i/>
          <w:lang w:val="fr-FR"/>
        </w:rPr>
        <w:t>type de véhicule</w:t>
      </w:r>
      <w:r w:rsidRPr="00780D96">
        <w:rPr>
          <w:rFonts w:eastAsia="Times New Roman"/>
          <w:lang w:val="fr-FR"/>
        </w:rPr>
        <w:t>», un groupe de véhicules ne présentant pas entre eux de différences en ce qui concerne:</w:t>
      </w:r>
    </w:p>
    <w:p w:rsidR="00780D96" w:rsidRPr="00780D96" w:rsidRDefault="00780D96" w:rsidP="003401F1">
      <w:pPr>
        <w:pStyle w:val="SingleTxtG"/>
        <w:ind w:left="2268" w:hanging="1134"/>
        <w:rPr>
          <w:rFonts w:eastAsia="Times New Roman"/>
          <w:lang w:val="fr-FR"/>
        </w:rPr>
      </w:pPr>
      <w:r w:rsidRPr="00780D96">
        <w:rPr>
          <w:rFonts w:eastAsia="Times New Roman"/>
          <w:lang w:val="fr-FR"/>
        </w:rPr>
        <w:t>2.1.1</w:t>
      </w:r>
      <w:r w:rsidRPr="00780D96">
        <w:rPr>
          <w:rFonts w:eastAsia="Times New Roman"/>
          <w:lang w:val="fr-FR"/>
        </w:rPr>
        <w:tab/>
      </w:r>
      <w:r w:rsidRPr="00780D96">
        <w:rPr>
          <w:rFonts w:eastAsia="Times New Roman"/>
          <w:lang w:val="fr-FR"/>
        </w:rPr>
        <w:tab/>
        <w:t>L</w:t>
      </w:r>
      <w:r w:rsidR="00DB4C2D">
        <w:rPr>
          <w:rFonts w:eastAsia="Times New Roman"/>
          <w:lang w:val="fr-FR"/>
        </w:rPr>
        <w:t>’</w:t>
      </w:r>
      <w:r w:rsidRPr="00780D96">
        <w:rPr>
          <w:rFonts w:eastAsia="Times New Roman"/>
          <w:lang w:val="fr-FR"/>
        </w:rPr>
        <w:t>inertie équivalente, déterminée en fonction de la masse de référence comme il est prescrit au tableau A4a/3 de l</w:t>
      </w:r>
      <w:r w:rsidR="00DB4C2D">
        <w:rPr>
          <w:rFonts w:eastAsia="Times New Roman"/>
          <w:lang w:val="fr-FR"/>
        </w:rPr>
        <w:t>’</w:t>
      </w:r>
      <w:r w:rsidRPr="00780D96">
        <w:rPr>
          <w:rFonts w:eastAsia="Times New Roman"/>
          <w:lang w:val="fr-FR"/>
        </w:rPr>
        <w:t>annexe 4a du présent Règlement; et</w:t>
      </w:r>
    </w:p>
    <w:p w:rsidR="00780D96" w:rsidRPr="00780D96" w:rsidRDefault="00780D96" w:rsidP="003401F1">
      <w:pPr>
        <w:pStyle w:val="SingleTxtG"/>
        <w:ind w:left="2268" w:hanging="1134"/>
        <w:rPr>
          <w:rFonts w:eastAsia="Times New Roman"/>
          <w:lang w:val="fr-FR"/>
        </w:rPr>
      </w:pPr>
      <w:r w:rsidRPr="00780D96">
        <w:rPr>
          <w:rFonts w:eastAsia="Times New Roman"/>
          <w:lang w:val="fr-FR"/>
        </w:rPr>
        <w:t>2.1.2</w:t>
      </w:r>
      <w:r w:rsidRPr="00780D96">
        <w:rPr>
          <w:rFonts w:eastAsia="Times New Roman"/>
          <w:lang w:val="fr-FR"/>
        </w:rPr>
        <w:tab/>
      </w:r>
      <w:r w:rsidRPr="00780D96">
        <w:rPr>
          <w:rFonts w:eastAsia="Times New Roman"/>
          <w:lang w:val="fr-FR"/>
        </w:rPr>
        <w:tab/>
        <w:t>Les caractéristiques du moteur et du véhicule, définies dans l</w:t>
      </w:r>
      <w:r w:rsidR="00DB4C2D">
        <w:rPr>
          <w:rFonts w:eastAsia="Times New Roman"/>
          <w:lang w:val="fr-FR"/>
        </w:rPr>
        <w:t>’</w:t>
      </w:r>
      <w:r w:rsidRPr="00780D96">
        <w:rPr>
          <w:rFonts w:eastAsia="Times New Roman"/>
          <w:lang w:val="fr-FR"/>
        </w:rPr>
        <w:t>annexe 1 du présent Règlement;</w:t>
      </w:r>
    </w:p>
    <w:p w:rsidR="00780D96" w:rsidRPr="00780D96" w:rsidRDefault="00780D96" w:rsidP="003401F1">
      <w:pPr>
        <w:pStyle w:val="SingleTxtG"/>
        <w:ind w:left="2268" w:hanging="1134"/>
        <w:rPr>
          <w:rFonts w:eastAsia="Times New Roman"/>
          <w:lang w:val="fr-FR"/>
        </w:rPr>
      </w:pPr>
      <w:r w:rsidRPr="00780D96">
        <w:rPr>
          <w:rFonts w:eastAsia="Times New Roman"/>
          <w:lang w:val="fr-FR"/>
        </w:rPr>
        <w:t>2.2</w:t>
      </w:r>
      <w:r w:rsidRPr="00780D96">
        <w:rPr>
          <w:rFonts w:eastAsia="Times New Roman"/>
          <w:lang w:val="fr-FR"/>
        </w:rPr>
        <w:tab/>
      </w:r>
      <w:r w:rsidRPr="00780D96">
        <w:rPr>
          <w:rFonts w:eastAsia="Times New Roman"/>
          <w:lang w:val="fr-FR"/>
        </w:rPr>
        <w:tab/>
        <w:t>Par «</w:t>
      </w:r>
      <w:r w:rsidRPr="00780D96">
        <w:rPr>
          <w:rFonts w:eastAsia="Times New Roman"/>
          <w:i/>
          <w:lang w:val="fr-FR"/>
        </w:rPr>
        <w:t>masse de référence</w:t>
      </w:r>
      <w:r w:rsidRPr="00780D96">
        <w:rPr>
          <w:rFonts w:eastAsia="Times New Roman"/>
          <w:lang w:val="fr-FR"/>
        </w:rPr>
        <w:t xml:space="preserve">», la masse à vide du </w:t>
      </w:r>
      <w:r w:rsidRPr="003401F1">
        <w:rPr>
          <w:lang w:val="fr-FR"/>
        </w:rPr>
        <w:t>véhicule</w:t>
      </w:r>
      <w:r w:rsidRPr="00780D96">
        <w:rPr>
          <w:rFonts w:eastAsia="Times New Roman"/>
          <w:lang w:val="fr-FR"/>
        </w:rPr>
        <w:t xml:space="preserve"> majorée d</w:t>
      </w:r>
      <w:r w:rsidR="00DB4C2D">
        <w:rPr>
          <w:rFonts w:eastAsia="Times New Roman"/>
          <w:lang w:val="fr-FR"/>
        </w:rPr>
        <w:t>’</w:t>
      </w:r>
      <w:r w:rsidRPr="00780D96">
        <w:rPr>
          <w:rFonts w:eastAsia="Times New Roman"/>
          <w:lang w:val="fr-FR"/>
        </w:rPr>
        <w:t>une masse forfaitaire de 100 kg pour l</w:t>
      </w:r>
      <w:r w:rsidR="00DB4C2D">
        <w:rPr>
          <w:rFonts w:eastAsia="Times New Roman"/>
          <w:lang w:val="fr-FR"/>
        </w:rPr>
        <w:t>’</w:t>
      </w:r>
      <w:r w:rsidRPr="00780D96">
        <w:rPr>
          <w:rFonts w:eastAsia="Times New Roman"/>
          <w:lang w:val="fr-FR"/>
        </w:rPr>
        <w:t>essai selon les annexes 4a et 8 du présent Règlement;</w:t>
      </w:r>
    </w:p>
    <w:p w:rsidR="00780D96" w:rsidRPr="00780D96" w:rsidRDefault="00780D96" w:rsidP="003401F1">
      <w:pPr>
        <w:pStyle w:val="SingleTxtG"/>
        <w:ind w:left="2268" w:hanging="1134"/>
        <w:rPr>
          <w:rFonts w:eastAsia="Times New Roman"/>
          <w:lang w:val="fr-FR"/>
        </w:rPr>
      </w:pPr>
      <w:r w:rsidRPr="00780D96">
        <w:rPr>
          <w:rFonts w:eastAsia="Times New Roman"/>
          <w:lang w:val="fr-FR"/>
        </w:rPr>
        <w:t>2.2.1</w:t>
      </w:r>
      <w:r w:rsidRPr="00780D96">
        <w:rPr>
          <w:rFonts w:eastAsia="Times New Roman"/>
          <w:lang w:val="fr-FR"/>
        </w:rPr>
        <w:tab/>
      </w:r>
      <w:r w:rsidRPr="00780D96">
        <w:rPr>
          <w:rFonts w:eastAsia="Times New Roman"/>
          <w:lang w:val="fr-FR"/>
        </w:rPr>
        <w:tab/>
        <w:t>Par «</w:t>
      </w:r>
      <w:r w:rsidRPr="00780D96">
        <w:rPr>
          <w:rFonts w:eastAsia="Times New Roman"/>
          <w:i/>
          <w:lang w:val="fr-FR"/>
        </w:rPr>
        <w:t>masse à vide</w:t>
      </w:r>
      <w:r w:rsidRPr="00780D96">
        <w:rPr>
          <w:rFonts w:eastAsia="Times New Roman"/>
          <w:lang w:val="fr-FR"/>
        </w:rPr>
        <w:t>», la masse du véhicule en ordre de marche moins la masse forfaitaire du conducteur de 75 kg, sans passagers ni chargement, mais avec 90 % de son plein de carburant, son outillage normal de bord et la roue de secours, le cas échéant;</w:t>
      </w:r>
    </w:p>
    <w:p w:rsidR="00780D96" w:rsidRPr="00780D96" w:rsidRDefault="00780D96" w:rsidP="003401F1">
      <w:pPr>
        <w:pStyle w:val="SingleTxtG"/>
        <w:ind w:left="2268" w:hanging="1134"/>
        <w:rPr>
          <w:rFonts w:eastAsia="Times New Roman"/>
          <w:b/>
          <w:lang w:val="fr-FR"/>
        </w:rPr>
      </w:pPr>
      <w:r w:rsidRPr="00780D96">
        <w:rPr>
          <w:rFonts w:eastAsia="Times New Roman"/>
          <w:lang w:val="fr-FR"/>
        </w:rPr>
        <w:t>2.2.2</w:t>
      </w:r>
      <w:r w:rsidRPr="00780D96">
        <w:rPr>
          <w:rFonts w:eastAsia="Times New Roman"/>
          <w:b/>
          <w:lang w:val="fr-FR"/>
        </w:rPr>
        <w:tab/>
      </w:r>
      <w:r w:rsidRPr="00780D96">
        <w:rPr>
          <w:rFonts w:eastAsia="Times New Roman"/>
          <w:lang w:val="fr-FR"/>
        </w:rPr>
        <w:t>Par «</w:t>
      </w:r>
      <w:r w:rsidRPr="00780D96">
        <w:rPr>
          <w:rFonts w:eastAsia="Times New Roman"/>
          <w:i/>
          <w:lang w:val="fr-FR"/>
        </w:rPr>
        <w:t>masse en ordre de marche</w:t>
      </w:r>
      <w:r w:rsidRPr="00780D96">
        <w:rPr>
          <w:rFonts w:eastAsia="Times New Roman"/>
          <w:lang w:val="fr-FR"/>
        </w:rPr>
        <w:t xml:space="preserve">», la masse </w:t>
      </w:r>
      <w:r w:rsidRPr="003401F1">
        <w:rPr>
          <w:lang w:val="fr-FR"/>
        </w:rPr>
        <w:t>définie</w:t>
      </w:r>
      <w:r w:rsidRPr="00780D96">
        <w:rPr>
          <w:rFonts w:eastAsia="Times New Roman"/>
          <w:lang w:val="fr-FR"/>
        </w:rPr>
        <w:t xml:space="preserve"> au paragraphe 2.6 de l</w:t>
      </w:r>
      <w:r w:rsidR="00DB4C2D">
        <w:rPr>
          <w:rFonts w:eastAsia="Times New Roman"/>
          <w:lang w:val="fr-FR"/>
        </w:rPr>
        <w:t>’</w:t>
      </w:r>
      <w:r w:rsidRPr="00780D96">
        <w:rPr>
          <w:rFonts w:eastAsia="Times New Roman"/>
          <w:lang w:val="fr-FR"/>
        </w:rPr>
        <w:t>annexe 1 du présent Règlement plus, pour les véhicules conçus et fabriqués pour le transport de plus de neuf personnes (outre le conducteur), la masse d</w:t>
      </w:r>
      <w:r w:rsidR="00DB4C2D">
        <w:rPr>
          <w:rFonts w:eastAsia="Times New Roman"/>
          <w:lang w:val="fr-FR"/>
        </w:rPr>
        <w:t>’</w:t>
      </w:r>
      <w:r w:rsidRPr="00780D96">
        <w:rPr>
          <w:rFonts w:eastAsia="Times New Roman"/>
          <w:lang w:val="fr-FR"/>
        </w:rPr>
        <w:t>un membre d</w:t>
      </w:r>
      <w:r w:rsidR="00DB4C2D">
        <w:rPr>
          <w:rFonts w:eastAsia="Times New Roman"/>
          <w:lang w:val="fr-FR"/>
        </w:rPr>
        <w:t>’</w:t>
      </w:r>
      <w:r w:rsidRPr="00780D96">
        <w:rPr>
          <w:rFonts w:eastAsia="Times New Roman"/>
          <w:lang w:val="fr-FR"/>
        </w:rPr>
        <w:t>équipage (75 kg) si une place lui est réservée;</w:t>
      </w:r>
    </w:p>
    <w:p w:rsidR="00780D96" w:rsidRPr="00780D96" w:rsidRDefault="00780D96" w:rsidP="003401F1">
      <w:pPr>
        <w:pStyle w:val="SingleTxtG"/>
        <w:ind w:left="2268" w:hanging="1134"/>
        <w:rPr>
          <w:rFonts w:eastAsia="Times New Roman"/>
          <w:lang w:val="fr-FR"/>
        </w:rPr>
      </w:pPr>
      <w:r w:rsidRPr="00780D96">
        <w:rPr>
          <w:rFonts w:eastAsia="Times New Roman"/>
          <w:lang w:val="fr-FR"/>
        </w:rPr>
        <w:t>2.3</w:t>
      </w:r>
      <w:r w:rsidRPr="00780D96">
        <w:rPr>
          <w:rFonts w:eastAsia="Times New Roman"/>
          <w:lang w:val="fr-FR"/>
        </w:rPr>
        <w:tab/>
        <w:t>Par «</w:t>
      </w:r>
      <w:r w:rsidRPr="00780D96">
        <w:rPr>
          <w:rFonts w:eastAsia="Times New Roman"/>
          <w:i/>
          <w:lang w:val="fr-FR"/>
        </w:rPr>
        <w:t>masse maximale</w:t>
      </w:r>
      <w:r w:rsidRPr="00780D96">
        <w:rPr>
          <w:rFonts w:eastAsia="Times New Roman"/>
          <w:lang w:val="fr-FR"/>
        </w:rPr>
        <w:t xml:space="preserve">», la masse maximale techniquement admissible déclarée par le constructeur (cette masse </w:t>
      </w:r>
      <w:r w:rsidRPr="003401F1">
        <w:rPr>
          <w:lang w:val="fr-FR"/>
        </w:rPr>
        <w:t>peut</w:t>
      </w:r>
      <w:r w:rsidRPr="00780D96">
        <w:rPr>
          <w:rFonts w:eastAsia="Times New Roman"/>
          <w:lang w:val="fr-FR"/>
        </w:rPr>
        <w:t xml:space="preserve"> être supérieure à la «masse maximale» autorisée par l</w:t>
      </w:r>
      <w:r w:rsidR="00DB4C2D">
        <w:rPr>
          <w:rFonts w:eastAsia="Times New Roman"/>
          <w:lang w:val="fr-FR"/>
        </w:rPr>
        <w:t>’</w:t>
      </w:r>
      <w:r w:rsidRPr="00780D96">
        <w:rPr>
          <w:rFonts w:eastAsia="Times New Roman"/>
          <w:lang w:val="fr-FR"/>
        </w:rPr>
        <w:t>administration nationale);</w:t>
      </w:r>
    </w:p>
    <w:p w:rsidR="00780D96" w:rsidRPr="00780D96" w:rsidRDefault="00780D96" w:rsidP="00A07FA8">
      <w:pPr>
        <w:pStyle w:val="SingleTxtG"/>
        <w:keepNext/>
        <w:ind w:left="2268" w:hanging="1134"/>
        <w:rPr>
          <w:rFonts w:eastAsia="Times New Roman"/>
          <w:lang w:val="fr-FR"/>
        </w:rPr>
      </w:pPr>
      <w:r w:rsidRPr="00780D96">
        <w:rPr>
          <w:rFonts w:eastAsia="Times New Roman"/>
          <w:lang w:val="fr-FR"/>
        </w:rPr>
        <w:lastRenderedPageBreak/>
        <w:t>2.4</w:t>
      </w:r>
      <w:r w:rsidRPr="00780D96">
        <w:rPr>
          <w:rFonts w:eastAsia="Times New Roman"/>
          <w:lang w:val="fr-FR"/>
        </w:rPr>
        <w:tab/>
      </w:r>
      <w:r w:rsidRPr="00780D96">
        <w:rPr>
          <w:rFonts w:eastAsia="Times New Roman"/>
          <w:lang w:val="fr-FR"/>
        </w:rPr>
        <w:tab/>
        <w:t>Par «</w:t>
      </w:r>
      <w:r w:rsidRPr="00780D96">
        <w:rPr>
          <w:rFonts w:eastAsia="Times New Roman"/>
          <w:i/>
          <w:lang w:val="fr-FR"/>
        </w:rPr>
        <w:t>polluants gazeux</w:t>
      </w:r>
      <w:r w:rsidRPr="00780D96">
        <w:rPr>
          <w:rFonts w:eastAsia="Times New Roman"/>
          <w:lang w:val="fr-FR"/>
        </w:rPr>
        <w:t>», le monoxyde de carbone, les oxydes d</w:t>
      </w:r>
      <w:r w:rsidR="00DB4C2D">
        <w:rPr>
          <w:rFonts w:eastAsia="Times New Roman"/>
          <w:lang w:val="fr-FR"/>
        </w:rPr>
        <w:t>’</w:t>
      </w:r>
      <w:r w:rsidRPr="00780D96">
        <w:rPr>
          <w:rFonts w:eastAsia="Times New Roman"/>
          <w:lang w:val="fr-FR"/>
        </w:rPr>
        <w:t>azote (exprimés en équivalent de dioxyde d</w:t>
      </w:r>
      <w:r w:rsidR="00DB4C2D">
        <w:rPr>
          <w:rFonts w:eastAsia="Times New Roman"/>
          <w:lang w:val="fr-FR"/>
        </w:rPr>
        <w:t>’</w:t>
      </w:r>
      <w:r w:rsidRPr="00780D96">
        <w:rPr>
          <w:rFonts w:eastAsia="Times New Roman"/>
          <w:lang w:val="fr-FR"/>
        </w:rPr>
        <w:t>azote NO</w:t>
      </w:r>
      <w:r w:rsidRPr="00780D96">
        <w:rPr>
          <w:rFonts w:eastAsia="Times New Roman"/>
          <w:vertAlign w:val="subscript"/>
          <w:lang w:val="fr-FR"/>
        </w:rPr>
        <w:t>2</w:t>
      </w:r>
      <w:r w:rsidRPr="00780D96">
        <w:rPr>
          <w:rFonts w:eastAsia="Times New Roman"/>
          <w:lang w:val="fr-FR"/>
        </w:rPr>
        <w:t>), et les hydrocarbures présents dans les gaz d</w:t>
      </w:r>
      <w:r w:rsidR="00DB4C2D">
        <w:rPr>
          <w:rFonts w:eastAsia="Times New Roman"/>
          <w:lang w:val="fr-FR"/>
        </w:rPr>
        <w:t>’</w:t>
      </w:r>
      <w:r w:rsidRPr="00780D96">
        <w:rPr>
          <w:rFonts w:eastAsia="Times New Roman"/>
          <w:lang w:val="fr-FR"/>
        </w:rPr>
        <w:t>échappement, en supposant les rapports suivants:</w:t>
      </w:r>
    </w:p>
    <w:p w:rsidR="00780D96" w:rsidRPr="00780D96" w:rsidRDefault="00780D96" w:rsidP="00A07FA8">
      <w:pPr>
        <w:pStyle w:val="SingleTxtG"/>
        <w:ind w:left="2835" w:hanging="567"/>
        <w:rPr>
          <w:lang w:val="fr-FR"/>
        </w:rPr>
      </w:pPr>
      <w:r w:rsidRPr="00780D96">
        <w:rPr>
          <w:lang w:val="fr-FR"/>
        </w:rPr>
        <w:t>a)</w:t>
      </w:r>
      <w:r w:rsidRPr="00780D96">
        <w:rPr>
          <w:lang w:val="fr-FR"/>
        </w:rPr>
        <w:tab/>
        <w:t>C</w:t>
      </w:r>
      <w:r w:rsidRPr="00780D96">
        <w:rPr>
          <w:vertAlign w:val="subscript"/>
          <w:lang w:val="fr-FR"/>
        </w:rPr>
        <w:t>1</w:t>
      </w:r>
      <w:r w:rsidRPr="00780D96">
        <w:rPr>
          <w:lang w:val="fr-FR"/>
        </w:rPr>
        <w:t>H</w:t>
      </w:r>
      <w:r w:rsidRPr="00780D96">
        <w:rPr>
          <w:vertAlign w:val="subscript"/>
          <w:lang w:val="fr-FR"/>
        </w:rPr>
        <w:t>2,525</w:t>
      </w:r>
      <w:r w:rsidRPr="00780D96">
        <w:rPr>
          <w:b/>
          <w:lang w:val="fr-FR"/>
        </w:rPr>
        <w:t xml:space="preserve"> </w:t>
      </w:r>
      <w:r w:rsidRPr="00780D96">
        <w:rPr>
          <w:lang w:val="fr-FR"/>
        </w:rPr>
        <w:t>pour le gaz de pétrole liquéfié (GPL);</w:t>
      </w:r>
    </w:p>
    <w:p w:rsidR="00780D96" w:rsidRPr="00780D96" w:rsidRDefault="00780D96" w:rsidP="00A07FA8">
      <w:pPr>
        <w:pStyle w:val="SingleTxtG"/>
        <w:ind w:left="2835" w:hanging="567"/>
        <w:rPr>
          <w:rFonts w:eastAsia="Times New Roman"/>
          <w:lang w:val="fr-FR"/>
        </w:rPr>
      </w:pPr>
      <w:r w:rsidRPr="00780D96">
        <w:rPr>
          <w:rFonts w:eastAsia="Times New Roman"/>
          <w:lang w:val="fr-FR"/>
        </w:rPr>
        <w:t>b)</w:t>
      </w:r>
      <w:r w:rsidRPr="00780D96">
        <w:rPr>
          <w:rFonts w:eastAsia="Times New Roman"/>
          <w:lang w:val="fr-FR"/>
        </w:rPr>
        <w:tab/>
        <w:t>C</w:t>
      </w:r>
      <w:r w:rsidRPr="00780D96">
        <w:rPr>
          <w:rFonts w:eastAsia="Times New Roman"/>
          <w:vertAlign w:val="subscript"/>
          <w:lang w:val="fr-FR"/>
        </w:rPr>
        <w:t>1</w:t>
      </w:r>
      <w:r w:rsidRPr="00780D96">
        <w:rPr>
          <w:rFonts w:eastAsia="Times New Roman"/>
          <w:lang w:val="fr-FR"/>
        </w:rPr>
        <w:t>H</w:t>
      </w:r>
      <w:r w:rsidRPr="00780D96">
        <w:rPr>
          <w:rFonts w:eastAsia="Times New Roman"/>
          <w:vertAlign w:val="subscript"/>
          <w:lang w:val="fr-FR"/>
        </w:rPr>
        <w:t>4</w:t>
      </w:r>
      <w:r w:rsidRPr="00780D96">
        <w:rPr>
          <w:rFonts w:eastAsia="Times New Roman"/>
          <w:lang w:val="fr-FR"/>
        </w:rPr>
        <w:t xml:space="preserve"> pour le gaz </w:t>
      </w:r>
      <w:r w:rsidRPr="00A07FA8">
        <w:rPr>
          <w:lang w:val="fr-FR"/>
        </w:rPr>
        <w:t>naturel</w:t>
      </w:r>
      <w:r w:rsidRPr="00780D96">
        <w:rPr>
          <w:rFonts w:eastAsia="Times New Roman"/>
          <w:lang w:val="fr-FR"/>
        </w:rPr>
        <w:t xml:space="preserve"> (GN) et le </w:t>
      </w:r>
      <w:proofErr w:type="spellStart"/>
      <w:r w:rsidRPr="00780D96">
        <w:rPr>
          <w:rFonts w:eastAsia="Times New Roman"/>
          <w:lang w:val="fr-FR"/>
        </w:rPr>
        <w:t>biométhane</w:t>
      </w:r>
      <w:proofErr w:type="spellEnd"/>
      <w:r w:rsidRPr="00780D96">
        <w:rPr>
          <w:rFonts w:eastAsia="Times New Roman"/>
          <w:lang w:val="fr-FR"/>
        </w:rPr>
        <w:t>;</w:t>
      </w:r>
    </w:p>
    <w:p w:rsidR="00780D96" w:rsidRPr="00780D96" w:rsidRDefault="00780D96" w:rsidP="00A07FA8">
      <w:pPr>
        <w:pStyle w:val="SingleTxtG"/>
        <w:ind w:left="2835" w:hanging="567"/>
        <w:rPr>
          <w:rFonts w:eastAsia="Times New Roman"/>
          <w:lang w:val="fr-FR"/>
        </w:rPr>
      </w:pPr>
      <w:r w:rsidRPr="00780D96">
        <w:rPr>
          <w:rFonts w:eastAsia="Times New Roman"/>
          <w:lang w:val="fr-FR"/>
        </w:rPr>
        <w:t>c)</w:t>
      </w:r>
      <w:r w:rsidRPr="00780D96">
        <w:rPr>
          <w:rFonts w:eastAsia="Times New Roman"/>
          <w:lang w:val="fr-FR"/>
        </w:rPr>
        <w:tab/>
        <w:t>C</w:t>
      </w:r>
      <w:r w:rsidRPr="00780D96">
        <w:rPr>
          <w:rFonts w:eastAsia="Times New Roman"/>
          <w:vertAlign w:val="subscript"/>
          <w:lang w:val="fr-FR"/>
        </w:rPr>
        <w:t>1</w:t>
      </w:r>
      <w:r w:rsidRPr="00780D96">
        <w:rPr>
          <w:rFonts w:eastAsia="Times New Roman"/>
          <w:lang w:val="fr-FR"/>
        </w:rPr>
        <w:t>H</w:t>
      </w:r>
      <w:r w:rsidRPr="00780D96">
        <w:rPr>
          <w:rFonts w:eastAsia="Times New Roman"/>
          <w:vertAlign w:val="subscript"/>
          <w:lang w:val="fr-FR"/>
        </w:rPr>
        <w:t>1,89</w:t>
      </w:r>
      <w:r w:rsidRPr="00780D96">
        <w:rPr>
          <w:rFonts w:eastAsia="Times New Roman"/>
          <w:lang w:val="fr-FR"/>
        </w:rPr>
        <w:t>O</w:t>
      </w:r>
      <w:r w:rsidRPr="00780D96">
        <w:rPr>
          <w:rFonts w:eastAsia="Times New Roman"/>
          <w:vertAlign w:val="subscript"/>
          <w:lang w:val="fr-FR"/>
        </w:rPr>
        <w:t>0,016</w:t>
      </w:r>
      <w:r w:rsidRPr="00780D96">
        <w:rPr>
          <w:rFonts w:eastAsia="Times New Roman"/>
          <w:lang w:val="fr-FR"/>
        </w:rPr>
        <w:t xml:space="preserve"> pour </w:t>
      </w:r>
      <w:r w:rsidRPr="003401F1">
        <w:rPr>
          <w:lang w:val="fr-FR"/>
        </w:rPr>
        <w:t>l</w:t>
      </w:r>
      <w:r w:rsidR="00DB4C2D">
        <w:rPr>
          <w:lang w:val="fr-FR"/>
        </w:rPr>
        <w:t>’</w:t>
      </w:r>
      <w:r w:rsidRPr="003401F1">
        <w:rPr>
          <w:lang w:val="fr-FR"/>
        </w:rPr>
        <w:t>essence</w:t>
      </w:r>
      <w:r w:rsidRPr="00780D96">
        <w:rPr>
          <w:rFonts w:eastAsia="Times New Roman"/>
          <w:lang w:val="fr-FR"/>
        </w:rPr>
        <w:t xml:space="preserve"> (E5);</w:t>
      </w:r>
    </w:p>
    <w:p w:rsidR="00780D96" w:rsidRPr="00780D96" w:rsidRDefault="00780D96" w:rsidP="00A07FA8">
      <w:pPr>
        <w:pStyle w:val="SingleTxtG"/>
        <w:ind w:left="2835" w:hanging="567"/>
        <w:rPr>
          <w:rFonts w:eastAsia="Times New Roman"/>
          <w:lang w:val="fr-FR"/>
        </w:rPr>
      </w:pPr>
      <w:r w:rsidRPr="00780D96">
        <w:rPr>
          <w:rFonts w:eastAsia="Times New Roman"/>
          <w:lang w:val="fr-FR"/>
        </w:rPr>
        <w:t>d)</w:t>
      </w:r>
      <w:r w:rsidRPr="00780D96">
        <w:rPr>
          <w:rFonts w:eastAsia="Times New Roman"/>
          <w:lang w:val="fr-FR"/>
        </w:rPr>
        <w:tab/>
        <w:t>C</w:t>
      </w:r>
      <w:r w:rsidRPr="00780D96">
        <w:rPr>
          <w:rFonts w:eastAsia="Times New Roman"/>
          <w:vertAlign w:val="subscript"/>
          <w:lang w:val="fr-FR"/>
        </w:rPr>
        <w:t>1</w:t>
      </w:r>
      <w:r w:rsidRPr="00780D96">
        <w:rPr>
          <w:rFonts w:eastAsia="Times New Roman"/>
          <w:lang w:val="fr-FR"/>
        </w:rPr>
        <w:t>H</w:t>
      </w:r>
      <w:r w:rsidRPr="00780D96">
        <w:rPr>
          <w:rFonts w:eastAsia="Times New Roman"/>
          <w:vertAlign w:val="subscript"/>
          <w:lang w:val="fr-FR"/>
        </w:rPr>
        <w:t>1,93</w:t>
      </w:r>
      <w:r w:rsidRPr="00780D96">
        <w:rPr>
          <w:rFonts w:eastAsia="Times New Roman"/>
          <w:lang w:val="fr-FR"/>
        </w:rPr>
        <w:t>O</w:t>
      </w:r>
      <w:r w:rsidRPr="00780D96">
        <w:rPr>
          <w:rFonts w:eastAsia="Times New Roman"/>
          <w:vertAlign w:val="subscript"/>
          <w:lang w:val="fr-FR"/>
        </w:rPr>
        <w:t>0,033</w:t>
      </w:r>
      <w:r w:rsidRPr="00780D96">
        <w:rPr>
          <w:rFonts w:eastAsia="Times New Roman"/>
          <w:lang w:val="fr-FR"/>
        </w:rPr>
        <w:t xml:space="preserve"> pour </w:t>
      </w:r>
      <w:r w:rsidRPr="003401F1">
        <w:rPr>
          <w:lang w:val="fr-FR"/>
        </w:rPr>
        <w:t>l</w:t>
      </w:r>
      <w:r w:rsidR="00DB4C2D">
        <w:rPr>
          <w:lang w:val="fr-FR"/>
        </w:rPr>
        <w:t>’</w:t>
      </w:r>
      <w:r w:rsidRPr="003401F1">
        <w:rPr>
          <w:lang w:val="fr-FR"/>
        </w:rPr>
        <w:t>essence</w:t>
      </w:r>
      <w:r w:rsidRPr="00780D96">
        <w:rPr>
          <w:rFonts w:eastAsia="Times New Roman"/>
          <w:lang w:val="fr-FR"/>
        </w:rPr>
        <w:t xml:space="preserve"> (E10);</w:t>
      </w:r>
    </w:p>
    <w:p w:rsidR="00780D96" w:rsidRPr="00780D96" w:rsidRDefault="00780D96" w:rsidP="00A07FA8">
      <w:pPr>
        <w:pStyle w:val="SingleTxtG"/>
        <w:ind w:left="2835" w:hanging="567"/>
        <w:rPr>
          <w:rFonts w:eastAsia="Times New Roman"/>
          <w:lang w:val="fr-FR"/>
        </w:rPr>
      </w:pPr>
      <w:r w:rsidRPr="00780D96">
        <w:rPr>
          <w:rFonts w:eastAsia="Times New Roman"/>
          <w:lang w:val="fr-FR"/>
        </w:rPr>
        <w:t>e)</w:t>
      </w:r>
      <w:r w:rsidRPr="00780D96">
        <w:rPr>
          <w:rFonts w:eastAsia="Times New Roman"/>
          <w:lang w:val="fr-FR"/>
        </w:rPr>
        <w:tab/>
        <w:t>C</w:t>
      </w:r>
      <w:r w:rsidRPr="00780D96">
        <w:rPr>
          <w:rFonts w:eastAsia="Times New Roman"/>
          <w:vertAlign w:val="subscript"/>
          <w:lang w:val="fr-FR"/>
        </w:rPr>
        <w:t>1</w:t>
      </w:r>
      <w:r w:rsidRPr="00780D96">
        <w:rPr>
          <w:rFonts w:eastAsia="Times New Roman"/>
          <w:lang w:val="fr-FR"/>
        </w:rPr>
        <w:t>H</w:t>
      </w:r>
      <w:r w:rsidRPr="00780D96">
        <w:rPr>
          <w:rFonts w:eastAsia="Times New Roman"/>
          <w:vertAlign w:val="subscript"/>
          <w:lang w:val="fr-FR"/>
        </w:rPr>
        <w:t>1,86</w:t>
      </w:r>
      <w:r w:rsidRPr="00780D96">
        <w:rPr>
          <w:rFonts w:eastAsia="Times New Roman"/>
          <w:lang w:val="fr-FR"/>
        </w:rPr>
        <w:t>O</w:t>
      </w:r>
      <w:r w:rsidRPr="00780D96">
        <w:rPr>
          <w:rFonts w:eastAsia="Times New Roman"/>
          <w:vertAlign w:val="subscript"/>
          <w:lang w:val="fr-FR"/>
        </w:rPr>
        <w:t xml:space="preserve">0,005 </w:t>
      </w:r>
      <w:r w:rsidRPr="00780D96">
        <w:rPr>
          <w:rFonts w:eastAsia="Times New Roman"/>
          <w:lang w:val="fr-FR"/>
        </w:rPr>
        <w:t xml:space="preserve">pour le </w:t>
      </w:r>
      <w:r w:rsidRPr="003401F1">
        <w:rPr>
          <w:lang w:val="fr-FR"/>
        </w:rPr>
        <w:t>gazole</w:t>
      </w:r>
      <w:r w:rsidRPr="00780D96">
        <w:rPr>
          <w:rFonts w:eastAsia="Times New Roman"/>
          <w:lang w:val="fr-FR"/>
        </w:rPr>
        <w:t xml:space="preserve"> (B5);</w:t>
      </w:r>
    </w:p>
    <w:p w:rsidR="00780D96" w:rsidRPr="00780D96" w:rsidRDefault="00780D96" w:rsidP="00A07FA8">
      <w:pPr>
        <w:pStyle w:val="SingleTxtG"/>
        <w:ind w:left="2835" w:hanging="567"/>
        <w:rPr>
          <w:rFonts w:eastAsia="Times New Roman"/>
          <w:lang w:val="fr-FR"/>
        </w:rPr>
      </w:pPr>
      <w:r w:rsidRPr="00780D96">
        <w:rPr>
          <w:rFonts w:eastAsia="Times New Roman"/>
          <w:lang w:val="fr-FR"/>
        </w:rPr>
        <w:t>f)</w:t>
      </w:r>
      <w:r w:rsidRPr="00780D96">
        <w:rPr>
          <w:rFonts w:eastAsia="Times New Roman"/>
          <w:lang w:val="fr-FR"/>
        </w:rPr>
        <w:tab/>
        <w:t>C</w:t>
      </w:r>
      <w:r w:rsidRPr="00780D96">
        <w:rPr>
          <w:rFonts w:eastAsia="Times New Roman"/>
          <w:vertAlign w:val="subscript"/>
          <w:lang w:val="fr-FR"/>
        </w:rPr>
        <w:t>1</w:t>
      </w:r>
      <w:r w:rsidRPr="00780D96">
        <w:rPr>
          <w:rFonts w:eastAsia="Times New Roman"/>
          <w:lang w:val="fr-FR"/>
        </w:rPr>
        <w:t>H</w:t>
      </w:r>
      <w:r w:rsidRPr="00780D96">
        <w:rPr>
          <w:rFonts w:eastAsia="Times New Roman"/>
          <w:vertAlign w:val="subscript"/>
          <w:lang w:val="fr-FR"/>
        </w:rPr>
        <w:t>1,86</w:t>
      </w:r>
      <w:r w:rsidRPr="00780D96">
        <w:rPr>
          <w:rFonts w:eastAsia="Times New Roman"/>
          <w:lang w:val="fr-FR"/>
        </w:rPr>
        <w:t>O</w:t>
      </w:r>
      <w:r w:rsidRPr="00780D96">
        <w:rPr>
          <w:rFonts w:eastAsia="Times New Roman"/>
          <w:vertAlign w:val="subscript"/>
          <w:lang w:val="fr-FR"/>
        </w:rPr>
        <w:t xml:space="preserve">0,007 </w:t>
      </w:r>
      <w:r w:rsidRPr="00780D96">
        <w:rPr>
          <w:rFonts w:eastAsia="Times New Roman"/>
          <w:lang w:val="fr-FR"/>
        </w:rPr>
        <w:t xml:space="preserve">pour le </w:t>
      </w:r>
      <w:r w:rsidRPr="003401F1">
        <w:rPr>
          <w:lang w:val="fr-FR"/>
        </w:rPr>
        <w:t>gazole</w:t>
      </w:r>
      <w:r w:rsidRPr="00780D96">
        <w:rPr>
          <w:rFonts w:eastAsia="Times New Roman"/>
          <w:lang w:val="fr-FR"/>
        </w:rPr>
        <w:t xml:space="preserve"> (B7);</w:t>
      </w:r>
    </w:p>
    <w:p w:rsidR="00780D96" w:rsidRPr="00780D96" w:rsidRDefault="00780D96" w:rsidP="00A07FA8">
      <w:pPr>
        <w:pStyle w:val="SingleTxtG"/>
        <w:ind w:left="2835" w:hanging="567"/>
        <w:rPr>
          <w:rFonts w:eastAsia="Times New Roman"/>
          <w:lang w:val="es-BO"/>
        </w:rPr>
      </w:pPr>
      <w:r w:rsidRPr="00780D96">
        <w:rPr>
          <w:rFonts w:eastAsia="Times New Roman"/>
          <w:lang w:val="es-BO"/>
        </w:rPr>
        <w:t>g)</w:t>
      </w:r>
      <w:r w:rsidRPr="00780D96">
        <w:rPr>
          <w:rFonts w:eastAsia="Times New Roman"/>
          <w:lang w:val="es-BO"/>
        </w:rPr>
        <w:tab/>
        <w:t>C</w:t>
      </w:r>
      <w:r w:rsidRPr="00780D96">
        <w:rPr>
          <w:rFonts w:eastAsia="Times New Roman"/>
          <w:vertAlign w:val="subscript"/>
          <w:lang w:val="es-BO"/>
        </w:rPr>
        <w:t>1</w:t>
      </w:r>
      <w:r w:rsidRPr="00780D96">
        <w:rPr>
          <w:rFonts w:eastAsia="Times New Roman"/>
          <w:lang w:val="es-BO"/>
        </w:rPr>
        <w:t>H</w:t>
      </w:r>
      <w:r w:rsidRPr="00780D96">
        <w:rPr>
          <w:rFonts w:eastAsia="Times New Roman"/>
          <w:vertAlign w:val="subscript"/>
          <w:lang w:val="es-BO"/>
        </w:rPr>
        <w:t>2,74</w:t>
      </w:r>
      <w:r w:rsidRPr="00780D96">
        <w:rPr>
          <w:rFonts w:eastAsia="Times New Roman"/>
          <w:lang w:val="es-BO"/>
        </w:rPr>
        <w:t>O</w:t>
      </w:r>
      <w:r w:rsidRPr="00780D96">
        <w:rPr>
          <w:rFonts w:eastAsia="Times New Roman"/>
          <w:vertAlign w:val="subscript"/>
          <w:lang w:val="es-BO"/>
        </w:rPr>
        <w:t>0,385</w:t>
      </w:r>
      <w:r w:rsidRPr="00780D96">
        <w:rPr>
          <w:rFonts w:eastAsia="Times New Roman"/>
          <w:lang w:val="es-BO"/>
        </w:rPr>
        <w:t xml:space="preserve"> </w:t>
      </w:r>
      <w:proofErr w:type="spellStart"/>
      <w:r w:rsidRPr="00780D96">
        <w:rPr>
          <w:rFonts w:eastAsia="Times New Roman"/>
          <w:lang w:val="es-BO"/>
        </w:rPr>
        <w:t>pour</w:t>
      </w:r>
      <w:proofErr w:type="spellEnd"/>
      <w:r w:rsidRPr="00780D96">
        <w:rPr>
          <w:rFonts w:eastAsia="Times New Roman"/>
          <w:lang w:val="es-BO"/>
        </w:rPr>
        <w:t xml:space="preserve"> </w:t>
      </w:r>
      <w:r w:rsidRPr="003401F1">
        <w:rPr>
          <w:lang w:val="fr-FR"/>
        </w:rPr>
        <w:t>l</w:t>
      </w:r>
      <w:r w:rsidR="00DB4C2D">
        <w:rPr>
          <w:lang w:val="fr-FR"/>
        </w:rPr>
        <w:t>’</w:t>
      </w:r>
      <w:r w:rsidRPr="003401F1">
        <w:rPr>
          <w:lang w:val="fr-FR"/>
        </w:rPr>
        <w:t>éthanol</w:t>
      </w:r>
      <w:r w:rsidRPr="00780D96">
        <w:rPr>
          <w:rFonts w:eastAsia="Times New Roman"/>
          <w:lang w:val="es-BO"/>
        </w:rPr>
        <w:t xml:space="preserve"> (E85);</w:t>
      </w:r>
    </w:p>
    <w:p w:rsidR="00780D96" w:rsidRPr="00780D96" w:rsidRDefault="00780D96" w:rsidP="00A07FA8">
      <w:pPr>
        <w:pStyle w:val="SingleTxtG"/>
        <w:ind w:left="2835" w:hanging="567"/>
        <w:rPr>
          <w:rFonts w:eastAsia="Times New Roman"/>
          <w:lang w:val="es-BO"/>
        </w:rPr>
      </w:pPr>
      <w:r w:rsidRPr="00780D96">
        <w:rPr>
          <w:rFonts w:eastAsia="Times New Roman"/>
          <w:lang w:val="es-BO"/>
        </w:rPr>
        <w:t>h)</w:t>
      </w:r>
      <w:r w:rsidRPr="00780D96">
        <w:rPr>
          <w:rFonts w:eastAsia="Times New Roman"/>
          <w:lang w:val="es-BO"/>
        </w:rPr>
        <w:tab/>
        <w:t>C</w:t>
      </w:r>
      <w:r w:rsidRPr="00780D96">
        <w:rPr>
          <w:rFonts w:eastAsia="Times New Roman"/>
          <w:vertAlign w:val="subscript"/>
          <w:lang w:val="es-BO"/>
        </w:rPr>
        <w:t>1</w:t>
      </w:r>
      <w:r w:rsidRPr="00780D96">
        <w:rPr>
          <w:rFonts w:eastAsia="Times New Roman"/>
          <w:lang w:val="es-BO"/>
        </w:rPr>
        <w:t>H</w:t>
      </w:r>
      <w:r w:rsidRPr="00780D96">
        <w:rPr>
          <w:rFonts w:eastAsia="Times New Roman"/>
          <w:vertAlign w:val="subscript"/>
          <w:lang w:val="es-BO"/>
        </w:rPr>
        <w:t>2,61</w:t>
      </w:r>
      <w:r w:rsidRPr="00780D96">
        <w:rPr>
          <w:rFonts w:eastAsia="Times New Roman"/>
          <w:lang w:val="es-BO"/>
        </w:rPr>
        <w:t>O</w:t>
      </w:r>
      <w:r w:rsidRPr="00780D96">
        <w:rPr>
          <w:rFonts w:eastAsia="Times New Roman"/>
          <w:vertAlign w:val="subscript"/>
          <w:lang w:val="es-BO"/>
        </w:rPr>
        <w:t>0,329</w:t>
      </w:r>
      <w:r w:rsidRPr="00780D96">
        <w:rPr>
          <w:rFonts w:eastAsia="Times New Roman"/>
          <w:lang w:val="es-BO"/>
        </w:rPr>
        <w:t xml:space="preserve"> </w:t>
      </w:r>
      <w:proofErr w:type="spellStart"/>
      <w:r w:rsidRPr="00780D96">
        <w:rPr>
          <w:rFonts w:eastAsia="Times New Roman"/>
          <w:lang w:val="es-BO"/>
        </w:rPr>
        <w:t>pour</w:t>
      </w:r>
      <w:proofErr w:type="spellEnd"/>
      <w:r w:rsidRPr="00780D96">
        <w:rPr>
          <w:rFonts w:eastAsia="Times New Roman"/>
          <w:lang w:val="es-BO"/>
        </w:rPr>
        <w:t xml:space="preserve"> </w:t>
      </w:r>
      <w:r w:rsidRPr="003401F1">
        <w:rPr>
          <w:lang w:val="fr-FR"/>
        </w:rPr>
        <w:t>l</w:t>
      </w:r>
      <w:r w:rsidR="00DB4C2D">
        <w:rPr>
          <w:lang w:val="fr-FR"/>
        </w:rPr>
        <w:t>’</w:t>
      </w:r>
      <w:r w:rsidRPr="003401F1">
        <w:rPr>
          <w:lang w:val="fr-FR"/>
        </w:rPr>
        <w:t>éthanol</w:t>
      </w:r>
      <w:r w:rsidRPr="00780D96">
        <w:rPr>
          <w:rFonts w:eastAsia="Times New Roman"/>
          <w:lang w:val="es-BO"/>
        </w:rPr>
        <w:t xml:space="preserve"> (E75);</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2.5</w:t>
      </w:r>
      <w:r w:rsidRPr="00780D96">
        <w:rPr>
          <w:rFonts w:eastAsia="Times New Roman"/>
          <w:lang w:val="fr-FR"/>
        </w:rPr>
        <w:tab/>
      </w:r>
      <w:r w:rsidRPr="00780D96">
        <w:rPr>
          <w:rFonts w:eastAsia="Times New Roman"/>
          <w:lang w:val="fr-FR"/>
        </w:rPr>
        <w:tab/>
        <w:t>Par «</w:t>
      </w:r>
      <w:r w:rsidRPr="00780D96">
        <w:rPr>
          <w:rFonts w:eastAsia="Times New Roman"/>
          <w:i/>
          <w:lang w:val="fr-FR"/>
        </w:rPr>
        <w:t>particules polluantes</w:t>
      </w:r>
      <w:r w:rsidRPr="00780D96">
        <w:rPr>
          <w:rFonts w:eastAsia="Times New Roman"/>
          <w:lang w:val="fr-FR"/>
        </w:rPr>
        <w:t>», les composants des gaz d</w:t>
      </w:r>
      <w:r w:rsidR="00DB4C2D">
        <w:rPr>
          <w:rFonts w:eastAsia="Times New Roman"/>
          <w:lang w:val="fr-FR"/>
        </w:rPr>
        <w:t>’</w:t>
      </w:r>
      <w:r w:rsidRPr="00780D96">
        <w:rPr>
          <w:rFonts w:eastAsia="Times New Roman"/>
          <w:lang w:val="fr-FR"/>
        </w:rPr>
        <w:t>échappement recueillis à une température maximale de 325 K (52 °C), dans les gaz d</w:t>
      </w:r>
      <w:r w:rsidR="00DB4C2D">
        <w:rPr>
          <w:rFonts w:eastAsia="Times New Roman"/>
          <w:lang w:val="fr-FR"/>
        </w:rPr>
        <w:t>’</w:t>
      </w:r>
      <w:r w:rsidRPr="00780D96">
        <w:rPr>
          <w:rFonts w:eastAsia="Times New Roman"/>
          <w:lang w:val="fr-FR"/>
        </w:rPr>
        <w:t>échappement dilués, au moyen de filtres décrits à l</w:t>
      </w:r>
      <w:r w:rsidR="00DB4C2D">
        <w:rPr>
          <w:rFonts w:eastAsia="Times New Roman"/>
          <w:lang w:val="fr-FR"/>
        </w:rPr>
        <w:t>’</w:t>
      </w:r>
      <w:r w:rsidRPr="00780D96">
        <w:rPr>
          <w:rFonts w:eastAsia="Times New Roman"/>
          <w:lang w:val="fr-FR"/>
        </w:rPr>
        <w:t>a</w:t>
      </w:r>
      <w:r w:rsidR="00A07FA8">
        <w:rPr>
          <w:rFonts w:eastAsia="Times New Roman"/>
          <w:lang w:val="fr-FR"/>
        </w:rPr>
        <w:t>ppendice </w:t>
      </w:r>
      <w:r w:rsidRPr="00780D96">
        <w:rPr>
          <w:rFonts w:eastAsia="Times New Roman"/>
          <w:lang w:val="fr-FR"/>
        </w:rPr>
        <w:t>4 de l</w:t>
      </w:r>
      <w:r w:rsidR="00DB4C2D">
        <w:rPr>
          <w:rFonts w:eastAsia="Times New Roman"/>
          <w:lang w:val="fr-FR"/>
        </w:rPr>
        <w:t>’</w:t>
      </w:r>
      <w:r w:rsidRPr="00780D96">
        <w:rPr>
          <w:rFonts w:eastAsia="Times New Roman"/>
          <w:lang w:val="fr-FR"/>
        </w:rPr>
        <w:t>annexe 4a du présent Règlement;</w:t>
      </w:r>
    </w:p>
    <w:p w:rsidR="00780D96" w:rsidRPr="00780D96" w:rsidRDefault="00780D96" w:rsidP="00A07FA8">
      <w:pPr>
        <w:pStyle w:val="SingleTxtG"/>
        <w:ind w:left="2268" w:hanging="1134"/>
        <w:rPr>
          <w:rFonts w:eastAsia="Times New Roman"/>
          <w:b/>
          <w:szCs w:val="24"/>
          <w:lang w:val="fr-FR"/>
        </w:rPr>
      </w:pPr>
      <w:r w:rsidRPr="00780D96">
        <w:rPr>
          <w:rFonts w:eastAsia="Times New Roman"/>
          <w:lang w:val="fr-FR"/>
        </w:rPr>
        <w:t>2.5.1</w:t>
      </w:r>
      <w:r w:rsidRPr="00780D96">
        <w:rPr>
          <w:rFonts w:eastAsia="Times New Roman"/>
          <w:b/>
          <w:szCs w:val="24"/>
          <w:lang w:val="fr-FR"/>
        </w:rPr>
        <w:tab/>
      </w:r>
      <w:r w:rsidRPr="00780D96">
        <w:rPr>
          <w:rFonts w:eastAsia="Times New Roman"/>
          <w:szCs w:val="24"/>
          <w:lang w:val="fr-FR"/>
        </w:rPr>
        <w:t xml:space="preserve">Par </w:t>
      </w:r>
      <w:r w:rsidRPr="00780D96">
        <w:rPr>
          <w:rFonts w:eastAsia="Times New Roman"/>
          <w:lang w:val="fr-FR"/>
        </w:rPr>
        <w:t>«</w:t>
      </w:r>
      <w:r w:rsidRPr="00780D96">
        <w:rPr>
          <w:rFonts w:eastAsia="Times New Roman"/>
          <w:i/>
          <w:lang w:val="fr-FR"/>
        </w:rPr>
        <w:t>nombre de particules</w:t>
      </w:r>
      <w:r w:rsidRPr="00780D96">
        <w:rPr>
          <w:rFonts w:eastAsia="Times New Roman"/>
          <w:lang w:val="fr-FR"/>
        </w:rPr>
        <w:t xml:space="preserve">», le nombre total de particules dont </w:t>
      </w:r>
      <w:r w:rsidR="00E516D4">
        <w:rPr>
          <w:rFonts w:eastAsia="Times New Roman"/>
          <w:lang w:val="fr-FR"/>
        </w:rPr>
        <w:t>le diamètre est supérieur à 23 n</w:t>
      </w:r>
      <w:r w:rsidRPr="00780D96">
        <w:rPr>
          <w:rFonts w:eastAsia="Times New Roman"/>
          <w:lang w:val="fr-FR"/>
        </w:rPr>
        <w:t>m, présentes dans les gaz d</w:t>
      </w:r>
      <w:r w:rsidR="00DB4C2D">
        <w:rPr>
          <w:rFonts w:eastAsia="Times New Roman"/>
          <w:lang w:val="fr-FR"/>
        </w:rPr>
        <w:t>’</w:t>
      </w:r>
      <w:r w:rsidRPr="00780D96">
        <w:rPr>
          <w:rFonts w:eastAsia="Times New Roman"/>
          <w:lang w:val="fr-FR"/>
        </w:rPr>
        <w:t>échappement dilués, après suppression des particules volatiles, selon la méthode décrite à l</w:t>
      </w:r>
      <w:r w:rsidR="00DB4C2D">
        <w:rPr>
          <w:rFonts w:eastAsia="Times New Roman"/>
          <w:lang w:val="fr-FR"/>
        </w:rPr>
        <w:t>’</w:t>
      </w:r>
      <w:r w:rsidRPr="00780D96">
        <w:rPr>
          <w:rFonts w:eastAsia="Times New Roman"/>
          <w:lang w:val="fr-FR"/>
        </w:rPr>
        <w:t>appendice 5 de l</w:t>
      </w:r>
      <w:r w:rsidR="00DB4C2D">
        <w:rPr>
          <w:rFonts w:eastAsia="Times New Roman"/>
          <w:lang w:val="fr-FR"/>
        </w:rPr>
        <w:t>’</w:t>
      </w:r>
      <w:r w:rsidRPr="00780D96">
        <w:rPr>
          <w:rFonts w:eastAsia="Times New Roman"/>
          <w:lang w:val="fr-FR"/>
        </w:rPr>
        <w:t>annexe 4a du présent Règlement;</w:t>
      </w:r>
    </w:p>
    <w:p w:rsidR="00780D96" w:rsidRPr="00780D96" w:rsidRDefault="00780D96" w:rsidP="00A07FA8">
      <w:pPr>
        <w:pStyle w:val="SingleTxtG"/>
        <w:keepNext/>
        <w:ind w:left="2268" w:hanging="1134"/>
        <w:rPr>
          <w:rFonts w:eastAsia="Times New Roman"/>
          <w:lang w:val="fr-FR"/>
        </w:rPr>
      </w:pPr>
      <w:r w:rsidRPr="00780D96">
        <w:rPr>
          <w:rFonts w:eastAsia="Times New Roman"/>
          <w:lang w:val="fr-FR"/>
        </w:rPr>
        <w:t>2.6</w:t>
      </w:r>
      <w:r w:rsidRPr="00780D96">
        <w:rPr>
          <w:rFonts w:eastAsia="Times New Roman"/>
          <w:lang w:val="fr-FR"/>
        </w:rPr>
        <w:tab/>
        <w:t>Par «</w:t>
      </w:r>
      <w:r w:rsidRPr="00780D96">
        <w:rPr>
          <w:rFonts w:eastAsia="Times New Roman"/>
          <w:i/>
          <w:lang w:val="fr-FR"/>
        </w:rPr>
        <w:t>émissions à l</w:t>
      </w:r>
      <w:r w:rsidR="00DB4C2D">
        <w:rPr>
          <w:rFonts w:eastAsia="Times New Roman"/>
          <w:i/>
          <w:lang w:val="fr-FR"/>
        </w:rPr>
        <w:t>’</w:t>
      </w:r>
      <w:r w:rsidRPr="00780D96">
        <w:rPr>
          <w:rFonts w:eastAsia="Times New Roman"/>
          <w:i/>
          <w:lang w:val="fr-FR"/>
        </w:rPr>
        <w:t>échappement</w:t>
      </w:r>
      <w:r w:rsidRPr="00780D96">
        <w:rPr>
          <w:rFonts w:eastAsia="Times New Roman"/>
          <w:lang w:val="fr-FR"/>
        </w:rPr>
        <w:t>»:</w:t>
      </w:r>
    </w:p>
    <w:p w:rsidR="00780D96" w:rsidRPr="00780D96" w:rsidRDefault="00780D96" w:rsidP="00A07FA8">
      <w:pPr>
        <w:pStyle w:val="SingleTxtG"/>
        <w:ind w:left="2835" w:hanging="567"/>
        <w:rPr>
          <w:lang w:val="fr-FR"/>
        </w:rPr>
      </w:pPr>
      <w:r w:rsidRPr="00780D96">
        <w:rPr>
          <w:lang w:val="fr-FR"/>
        </w:rPr>
        <w:t>a)</w:t>
      </w:r>
      <w:r w:rsidRPr="00780D96">
        <w:rPr>
          <w:lang w:val="fr-FR"/>
        </w:rPr>
        <w:tab/>
        <w:t>Les émissions de gaz et de particules polluantes, pour les moteurs à allumage commandé;</w:t>
      </w:r>
    </w:p>
    <w:p w:rsidR="00780D96" w:rsidRPr="00780D96" w:rsidRDefault="00780D96" w:rsidP="00A07FA8">
      <w:pPr>
        <w:pStyle w:val="SingleTxtG"/>
        <w:ind w:left="2835" w:hanging="567"/>
        <w:rPr>
          <w:rFonts w:eastAsia="Times New Roman"/>
          <w:lang w:val="fr-FR"/>
        </w:rPr>
      </w:pPr>
      <w:r w:rsidRPr="00780D96">
        <w:rPr>
          <w:rFonts w:eastAsia="Times New Roman"/>
          <w:lang w:val="fr-FR"/>
        </w:rPr>
        <w:t>b)</w:t>
      </w:r>
      <w:r w:rsidRPr="00780D96">
        <w:rPr>
          <w:rFonts w:eastAsia="Times New Roman"/>
          <w:lang w:val="fr-FR"/>
        </w:rPr>
        <w:tab/>
        <w:t xml:space="preserve">Les émissions de </w:t>
      </w:r>
      <w:r w:rsidRPr="00A07FA8">
        <w:rPr>
          <w:lang w:val="fr-FR"/>
        </w:rPr>
        <w:t>polluant</w:t>
      </w:r>
      <w:r w:rsidRPr="00780D96">
        <w:rPr>
          <w:rFonts w:eastAsia="Times New Roman"/>
          <w:lang w:val="fr-FR"/>
        </w:rPr>
        <w:t xml:space="preserve"> gazeux, de particules polluantes et d</w:t>
      </w:r>
      <w:r w:rsidR="00DB4C2D">
        <w:rPr>
          <w:rFonts w:eastAsia="Times New Roman"/>
          <w:lang w:val="fr-FR"/>
        </w:rPr>
        <w:t>’</w:t>
      </w:r>
      <w:r w:rsidRPr="00780D96">
        <w:rPr>
          <w:rFonts w:eastAsia="Times New Roman"/>
          <w:lang w:val="fr-FR"/>
        </w:rPr>
        <w:t>autres particules, pour les moteurs à allumage par compression;</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2.7</w:t>
      </w:r>
      <w:r w:rsidRPr="00780D96">
        <w:rPr>
          <w:rFonts w:eastAsia="Times New Roman"/>
          <w:lang w:val="fr-FR"/>
        </w:rPr>
        <w:tab/>
        <w:t>Par «</w:t>
      </w:r>
      <w:r w:rsidRPr="00780D96">
        <w:rPr>
          <w:rFonts w:eastAsia="Times New Roman"/>
          <w:i/>
          <w:lang w:val="fr-FR"/>
        </w:rPr>
        <w:t>émissions par évaporation</w:t>
      </w:r>
      <w:r w:rsidRPr="00780D96">
        <w:rPr>
          <w:rFonts w:eastAsia="Times New Roman"/>
          <w:lang w:val="fr-FR"/>
        </w:rPr>
        <w:t>», les pertes des vapeurs d</w:t>
      </w:r>
      <w:r w:rsidR="00DB4C2D">
        <w:rPr>
          <w:rFonts w:eastAsia="Times New Roman"/>
          <w:lang w:val="fr-FR"/>
        </w:rPr>
        <w:t>’</w:t>
      </w:r>
      <w:r w:rsidRPr="00780D96">
        <w:rPr>
          <w:rFonts w:eastAsia="Times New Roman"/>
          <w:lang w:val="fr-FR"/>
        </w:rPr>
        <w:t>hydrocarbures provenant du système d</w:t>
      </w:r>
      <w:r w:rsidR="00DB4C2D">
        <w:rPr>
          <w:rFonts w:eastAsia="Times New Roman"/>
          <w:lang w:val="fr-FR"/>
        </w:rPr>
        <w:t>’</w:t>
      </w:r>
      <w:r w:rsidRPr="00780D96">
        <w:rPr>
          <w:rFonts w:eastAsia="Times New Roman"/>
          <w:lang w:val="fr-FR"/>
        </w:rPr>
        <w:t>alimentation en carburant d</w:t>
      </w:r>
      <w:r w:rsidR="00DB4C2D">
        <w:rPr>
          <w:rFonts w:eastAsia="Times New Roman"/>
          <w:lang w:val="fr-FR"/>
        </w:rPr>
        <w:t>’</w:t>
      </w:r>
      <w:r w:rsidRPr="00780D96">
        <w:rPr>
          <w:rFonts w:eastAsia="Times New Roman"/>
          <w:lang w:val="fr-FR"/>
        </w:rPr>
        <w:t>un véhicule à moteur, autres que celles résultant des émissions à l</w:t>
      </w:r>
      <w:r w:rsidR="00DB4C2D">
        <w:rPr>
          <w:rFonts w:eastAsia="Times New Roman"/>
          <w:lang w:val="fr-FR"/>
        </w:rPr>
        <w:t>’</w:t>
      </w:r>
      <w:r w:rsidRPr="00780D96">
        <w:rPr>
          <w:rFonts w:eastAsia="Times New Roman"/>
          <w:lang w:val="fr-FR"/>
        </w:rPr>
        <w:t>échappement;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2.7.1</w:t>
      </w:r>
      <w:r w:rsidRPr="00780D96">
        <w:rPr>
          <w:rFonts w:eastAsia="Times New Roman"/>
          <w:lang w:val="fr-FR"/>
        </w:rPr>
        <w:tab/>
      </w:r>
      <w:r w:rsidRPr="00780D96">
        <w:rPr>
          <w:rFonts w:eastAsia="Times New Roman"/>
          <w:lang w:val="fr-FR"/>
        </w:rPr>
        <w:tab/>
        <w:t>Par «</w:t>
      </w:r>
      <w:r w:rsidRPr="00780D96">
        <w:rPr>
          <w:rFonts w:eastAsia="Times New Roman"/>
          <w:i/>
          <w:lang w:val="fr-FR"/>
        </w:rPr>
        <w:t>pertes par respiration du réservoir</w:t>
      </w:r>
      <w:r w:rsidRPr="00780D96">
        <w:rPr>
          <w:rFonts w:eastAsia="Times New Roman"/>
          <w:lang w:val="fr-FR"/>
        </w:rPr>
        <w:t>» les émissions d</w:t>
      </w:r>
      <w:r w:rsidR="00DB4C2D">
        <w:rPr>
          <w:rFonts w:eastAsia="Times New Roman"/>
          <w:lang w:val="fr-FR"/>
        </w:rPr>
        <w:t>’</w:t>
      </w:r>
      <w:r w:rsidRPr="00780D96">
        <w:rPr>
          <w:rFonts w:eastAsia="Times New Roman"/>
          <w:lang w:val="fr-FR"/>
        </w:rPr>
        <w:t>hydrocarbures provenant du changement de température dans le réservoir de carburant (exprimés en équivalent C</w:t>
      </w:r>
      <w:r w:rsidRPr="00780D96">
        <w:rPr>
          <w:rFonts w:eastAsia="Times New Roman"/>
          <w:vertAlign w:val="subscript"/>
          <w:lang w:val="fr-FR"/>
        </w:rPr>
        <w:t>1</w:t>
      </w:r>
      <w:r w:rsidRPr="00780D96">
        <w:rPr>
          <w:rFonts w:eastAsia="Times New Roman"/>
          <w:lang w:val="fr-FR"/>
        </w:rPr>
        <w:t>H</w:t>
      </w:r>
      <w:r w:rsidRPr="00780D96">
        <w:rPr>
          <w:rFonts w:eastAsia="Times New Roman"/>
          <w:vertAlign w:val="subscript"/>
          <w:lang w:val="fr-FR"/>
        </w:rPr>
        <w:t>2,33</w:t>
      </w:r>
      <w:r w:rsidRPr="00780D96">
        <w:rPr>
          <w:rFonts w:eastAsia="Times New Roman"/>
          <w:lang w:val="fr-FR"/>
        </w:rPr>
        <w: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2.7.2</w:t>
      </w:r>
      <w:r w:rsidRPr="00780D96">
        <w:rPr>
          <w:rFonts w:eastAsia="Times New Roman"/>
          <w:lang w:val="fr-FR"/>
        </w:rPr>
        <w:tab/>
        <w:t>Par «</w:t>
      </w:r>
      <w:r w:rsidRPr="00780D96">
        <w:rPr>
          <w:rFonts w:eastAsia="Times New Roman"/>
          <w:i/>
          <w:lang w:val="fr-FR"/>
        </w:rPr>
        <w:t>pertes par imprégnation à chaud</w:t>
      </w:r>
      <w:r w:rsidRPr="00780D96">
        <w:rPr>
          <w:rFonts w:eastAsia="Times New Roman"/>
          <w:lang w:val="fr-FR"/>
        </w:rPr>
        <w:t>» les émissions d</w:t>
      </w:r>
      <w:r w:rsidR="00DB4C2D">
        <w:rPr>
          <w:rFonts w:eastAsia="Times New Roman"/>
          <w:lang w:val="fr-FR"/>
        </w:rPr>
        <w:t>’</w:t>
      </w:r>
      <w:r w:rsidRPr="00780D96">
        <w:rPr>
          <w:rFonts w:eastAsia="Times New Roman"/>
          <w:lang w:val="fr-FR"/>
        </w:rPr>
        <w:t>hydrocarbures provenant du système d</w:t>
      </w:r>
      <w:r w:rsidR="00DB4C2D">
        <w:rPr>
          <w:rFonts w:eastAsia="Times New Roman"/>
          <w:lang w:val="fr-FR"/>
        </w:rPr>
        <w:t>’</w:t>
      </w:r>
      <w:r w:rsidRPr="00780D96">
        <w:rPr>
          <w:rFonts w:eastAsia="Times New Roman"/>
          <w:lang w:val="fr-FR"/>
        </w:rPr>
        <w:t>alimentation d</w:t>
      </w:r>
      <w:r w:rsidR="00DB4C2D">
        <w:rPr>
          <w:rFonts w:eastAsia="Times New Roman"/>
          <w:lang w:val="fr-FR"/>
        </w:rPr>
        <w:t>’</w:t>
      </w:r>
      <w:r w:rsidRPr="00780D96">
        <w:rPr>
          <w:rFonts w:eastAsia="Times New Roman"/>
          <w:lang w:val="fr-FR"/>
        </w:rPr>
        <w:t>un véhicule laissé à l</w:t>
      </w:r>
      <w:r w:rsidR="00DB4C2D">
        <w:rPr>
          <w:rFonts w:eastAsia="Times New Roman"/>
          <w:lang w:val="fr-FR"/>
        </w:rPr>
        <w:t>’</w:t>
      </w:r>
      <w:r w:rsidRPr="00780D96">
        <w:rPr>
          <w:rFonts w:eastAsia="Times New Roman"/>
          <w:lang w:val="fr-FR"/>
        </w:rPr>
        <w:t>arrêt après une période de roulage (exprimés en équivalent C</w:t>
      </w:r>
      <w:r w:rsidRPr="00780D96">
        <w:rPr>
          <w:rFonts w:eastAsia="Times New Roman"/>
          <w:vertAlign w:val="subscript"/>
          <w:lang w:val="fr-FR"/>
        </w:rPr>
        <w:t>1</w:t>
      </w:r>
      <w:r w:rsidRPr="00780D96">
        <w:rPr>
          <w:rFonts w:eastAsia="Times New Roman"/>
          <w:lang w:val="fr-FR"/>
        </w:rPr>
        <w:t>H</w:t>
      </w:r>
      <w:r w:rsidRPr="00780D96">
        <w:rPr>
          <w:rFonts w:eastAsia="Times New Roman"/>
          <w:vertAlign w:val="subscript"/>
          <w:lang w:val="fr-FR"/>
        </w:rPr>
        <w:t>2,20</w:t>
      </w:r>
      <w:r w:rsidRPr="00780D96">
        <w:rPr>
          <w:rFonts w:eastAsia="Times New Roman"/>
          <w:lang w:val="fr-FR"/>
        </w:rPr>
        <w: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2.8</w:t>
      </w:r>
      <w:r w:rsidRPr="00780D96">
        <w:rPr>
          <w:rFonts w:eastAsia="Times New Roman"/>
          <w:lang w:val="fr-FR"/>
        </w:rPr>
        <w:tab/>
      </w:r>
      <w:r w:rsidRPr="00780D96">
        <w:rPr>
          <w:rFonts w:eastAsia="Times New Roman"/>
          <w:lang w:val="fr-FR"/>
        </w:rPr>
        <w:tab/>
        <w:t>Par «</w:t>
      </w:r>
      <w:r w:rsidRPr="00780D96">
        <w:rPr>
          <w:rFonts w:eastAsia="Times New Roman"/>
          <w:i/>
          <w:lang w:val="fr-FR"/>
        </w:rPr>
        <w:t>carter du moteur</w:t>
      </w:r>
      <w:r w:rsidRPr="00780D96">
        <w:rPr>
          <w:rFonts w:eastAsia="Times New Roman"/>
          <w:lang w:val="fr-FR"/>
        </w:rPr>
        <w:t>», les espaces existant soit à l</w:t>
      </w:r>
      <w:r w:rsidR="00DB4C2D">
        <w:rPr>
          <w:rFonts w:eastAsia="Times New Roman"/>
          <w:lang w:val="fr-FR"/>
        </w:rPr>
        <w:t>’</w:t>
      </w:r>
      <w:r w:rsidRPr="00780D96">
        <w:rPr>
          <w:rFonts w:eastAsia="Times New Roman"/>
          <w:lang w:val="fr-FR"/>
        </w:rPr>
        <w:t>intérieur soit à l</w:t>
      </w:r>
      <w:r w:rsidR="00DB4C2D">
        <w:rPr>
          <w:rFonts w:eastAsia="Times New Roman"/>
          <w:lang w:val="fr-FR"/>
        </w:rPr>
        <w:t>’</w:t>
      </w:r>
      <w:r w:rsidRPr="00780D96">
        <w:rPr>
          <w:rFonts w:eastAsia="Times New Roman"/>
          <w:lang w:val="fr-FR"/>
        </w:rPr>
        <w:t>extérieur du moteur et reliés au carter d</w:t>
      </w:r>
      <w:r w:rsidR="00DB4C2D">
        <w:rPr>
          <w:rFonts w:eastAsia="Times New Roman"/>
          <w:lang w:val="fr-FR"/>
        </w:rPr>
        <w:t>’</w:t>
      </w:r>
      <w:r w:rsidRPr="00780D96">
        <w:rPr>
          <w:rFonts w:eastAsia="Times New Roman"/>
          <w:lang w:val="fr-FR"/>
        </w:rPr>
        <w:t>huile par des passages internes ou externes par lesquels les gaz et les vapeurs peuvent s</w:t>
      </w:r>
      <w:r w:rsidR="00DB4C2D">
        <w:rPr>
          <w:rFonts w:eastAsia="Times New Roman"/>
          <w:lang w:val="fr-FR"/>
        </w:rPr>
        <w:t>’</w:t>
      </w:r>
      <w:r w:rsidRPr="00780D96">
        <w:rPr>
          <w:rFonts w:eastAsia="Times New Roman"/>
          <w:lang w:val="fr-FR"/>
        </w:rPr>
        <w:t>écouler;</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2.9</w:t>
      </w:r>
      <w:r w:rsidRPr="00780D96">
        <w:rPr>
          <w:rFonts w:eastAsia="Times New Roman"/>
          <w:lang w:val="fr-FR"/>
        </w:rPr>
        <w:tab/>
      </w:r>
      <w:r w:rsidRPr="00780D96">
        <w:rPr>
          <w:rFonts w:eastAsia="Times New Roman"/>
          <w:lang w:val="fr-FR"/>
        </w:rPr>
        <w:tab/>
        <w:t>Par «</w:t>
      </w:r>
      <w:r w:rsidRPr="00780D96">
        <w:rPr>
          <w:rFonts w:eastAsia="Times New Roman"/>
          <w:i/>
          <w:lang w:val="fr-FR"/>
        </w:rPr>
        <w:t>enrichisseur de démarrage</w:t>
      </w:r>
      <w:r w:rsidRPr="00780D96">
        <w:rPr>
          <w:rFonts w:eastAsia="Times New Roman"/>
          <w:lang w:val="fr-FR"/>
        </w:rPr>
        <w:t>», un dispositif qui enrichit temporairement le mélange air/carburant du moteur. Il facilite ainsi le démarrage de celui-ci;</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2.10</w:t>
      </w:r>
      <w:r w:rsidRPr="00780D96">
        <w:rPr>
          <w:rFonts w:eastAsia="Times New Roman"/>
          <w:lang w:val="fr-FR"/>
        </w:rPr>
        <w:tab/>
      </w:r>
      <w:r w:rsidRPr="00780D96">
        <w:rPr>
          <w:rFonts w:eastAsia="Times New Roman"/>
          <w:lang w:val="fr-FR"/>
        </w:rPr>
        <w:tab/>
        <w:t>Par «</w:t>
      </w:r>
      <w:r w:rsidRPr="00780D96">
        <w:rPr>
          <w:rFonts w:eastAsia="Times New Roman"/>
          <w:i/>
          <w:lang w:val="fr-FR"/>
        </w:rPr>
        <w:t>dispositif auxiliaire de démarrage</w:t>
      </w:r>
      <w:r w:rsidRPr="00780D96">
        <w:rPr>
          <w:rFonts w:eastAsia="Times New Roman"/>
          <w:lang w:val="fr-FR"/>
        </w:rPr>
        <w:t>», un dispositif qui facilite le démarrage du moteur sans enrichissement du mélange air/carburant: bougies de préchauffage, modifications du calage de la pompe d</w:t>
      </w:r>
      <w:r w:rsidR="00DB4C2D">
        <w:rPr>
          <w:rFonts w:eastAsia="Times New Roman"/>
          <w:lang w:val="fr-FR"/>
        </w:rPr>
        <w:t>’</w:t>
      </w:r>
      <w:r w:rsidRPr="00780D96">
        <w:rPr>
          <w:rFonts w:eastAsia="Times New Roman"/>
          <w:lang w:val="fr-FR"/>
        </w:rPr>
        <w:t>injection, etc.;</w:t>
      </w:r>
    </w:p>
    <w:p w:rsidR="00780D96" w:rsidRPr="00780D96" w:rsidRDefault="00780D96" w:rsidP="00A07FA8">
      <w:pPr>
        <w:pStyle w:val="SingleTxtG"/>
        <w:keepNext/>
        <w:ind w:left="2268" w:hanging="1134"/>
        <w:rPr>
          <w:rFonts w:eastAsia="Times New Roman"/>
          <w:lang w:val="fr-FR"/>
        </w:rPr>
      </w:pPr>
      <w:r w:rsidRPr="00780D96">
        <w:rPr>
          <w:rFonts w:eastAsia="Times New Roman"/>
          <w:lang w:val="fr-FR"/>
        </w:rPr>
        <w:t>2.11</w:t>
      </w:r>
      <w:r w:rsidRPr="00780D96">
        <w:rPr>
          <w:rFonts w:eastAsia="Times New Roman"/>
          <w:lang w:val="fr-FR"/>
        </w:rPr>
        <w:tab/>
      </w:r>
      <w:r w:rsidRPr="00780D96">
        <w:rPr>
          <w:rFonts w:eastAsia="Times New Roman"/>
          <w:lang w:val="fr-FR"/>
        </w:rPr>
        <w:tab/>
        <w:t>Par «</w:t>
      </w:r>
      <w:r w:rsidRPr="00780D96">
        <w:rPr>
          <w:rFonts w:eastAsia="Times New Roman"/>
          <w:i/>
          <w:lang w:val="fr-FR"/>
        </w:rPr>
        <w:t>cylindrée</w:t>
      </w:r>
      <w:r w:rsidRPr="00780D96">
        <w:rPr>
          <w:rFonts w:eastAsia="Times New Roman"/>
          <w:lang w:val="fr-FR"/>
        </w:rPr>
        <w: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2.11.1</w:t>
      </w:r>
      <w:r w:rsidRPr="00780D96">
        <w:rPr>
          <w:rFonts w:eastAsia="Times New Roman"/>
          <w:lang w:val="fr-FR"/>
        </w:rPr>
        <w:tab/>
        <w:t>Pour les moteurs à piston alternatif, le volume nominal des cylindres;</w:t>
      </w:r>
    </w:p>
    <w:p w:rsidR="00780D96" w:rsidRPr="00780D96" w:rsidRDefault="00780D96" w:rsidP="00A07FA8">
      <w:pPr>
        <w:pStyle w:val="SingleTxtG"/>
        <w:ind w:left="2268" w:hanging="1134"/>
        <w:rPr>
          <w:rFonts w:eastAsia="Times New Roman"/>
          <w:lang w:val="fr-FR"/>
        </w:rPr>
      </w:pPr>
      <w:r w:rsidRPr="00780D96">
        <w:rPr>
          <w:rFonts w:eastAsia="Times New Roman"/>
          <w:lang w:val="fr-FR"/>
        </w:rPr>
        <w:lastRenderedPageBreak/>
        <w:t>2.11.2</w:t>
      </w:r>
      <w:r w:rsidRPr="00780D96">
        <w:rPr>
          <w:rFonts w:eastAsia="Times New Roman"/>
          <w:lang w:val="fr-FR"/>
        </w:rPr>
        <w:tab/>
        <w:t>Pour les moteurs à pistons rotatifs (</w:t>
      </w:r>
      <w:proofErr w:type="spellStart"/>
      <w:r w:rsidRPr="00780D96">
        <w:rPr>
          <w:rFonts w:eastAsia="Times New Roman"/>
          <w:lang w:val="fr-FR"/>
        </w:rPr>
        <w:t>Wankel</w:t>
      </w:r>
      <w:proofErr w:type="spellEnd"/>
      <w:r w:rsidRPr="00780D96">
        <w:rPr>
          <w:rFonts w:eastAsia="Times New Roman"/>
          <w:lang w:val="fr-FR"/>
        </w:rPr>
        <w:t>), deux fois le volume nominal d</w:t>
      </w:r>
      <w:r w:rsidR="00DB4C2D">
        <w:rPr>
          <w:rFonts w:eastAsia="Times New Roman"/>
          <w:lang w:val="fr-FR"/>
        </w:rPr>
        <w:t>’</w:t>
      </w:r>
      <w:r w:rsidRPr="00780D96">
        <w:rPr>
          <w:rFonts w:eastAsia="Times New Roman"/>
          <w:lang w:val="fr-FR"/>
        </w:rPr>
        <w:t>une chambre de combustion par piston;</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2.12</w:t>
      </w:r>
      <w:r w:rsidRPr="00780D96">
        <w:rPr>
          <w:rFonts w:eastAsia="Times New Roman"/>
          <w:lang w:val="fr-FR"/>
        </w:rPr>
        <w:tab/>
      </w:r>
      <w:r w:rsidRPr="00780D96">
        <w:rPr>
          <w:rFonts w:eastAsia="Times New Roman"/>
          <w:lang w:val="fr-FR"/>
        </w:rPr>
        <w:tab/>
        <w:t>Par «</w:t>
      </w:r>
      <w:r w:rsidRPr="00780D96">
        <w:rPr>
          <w:rFonts w:eastAsia="Times New Roman"/>
          <w:i/>
          <w:lang w:val="fr-FR"/>
        </w:rPr>
        <w:t>dispositifs antipollution</w:t>
      </w:r>
      <w:r w:rsidRPr="00780D96">
        <w:rPr>
          <w:rFonts w:eastAsia="Times New Roman"/>
          <w:lang w:val="fr-FR"/>
        </w:rPr>
        <w:t>», les dispositifs d</w:t>
      </w:r>
      <w:r w:rsidR="00DB4C2D">
        <w:rPr>
          <w:rFonts w:eastAsia="Times New Roman"/>
          <w:lang w:val="fr-FR"/>
        </w:rPr>
        <w:t>’</w:t>
      </w:r>
      <w:r w:rsidRPr="00780D96">
        <w:rPr>
          <w:rFonts w:eastAsia="Times New Roman"/>
          <w:lang w:val="fr-FR"/>
        </w:rPr>
        <w:t>un véhicule qui contrôlent et/ou limitent les émissions à l</w:t>
      </w:r>
      <w:r w:rsidR="00DB4C2D">
        <w:rPr>
          <w:rFonts w:eastAsia="Times New Roman"/>
          <w:lang w:val="fr-FR"/>
        </w:rPr>
        <w:t>’</w:t>
      </w:r>
      <w:r w:rsidRPr="00780D96">
        <w:rPr>
          <w:rFonts w:eastAsia="Times New Roman"/>
          <w:lang w:val="fr-FR"/>
        </w:rPr>
        <w:t>échappement et par évaporation;</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2.13</w:t>
      </w:r>
      <w:r w:rsidRPr="00780D96">
        <w:rPr>
          <w:rFonts w:eastAsia="Times New Roman"/>
          <w:lang w:val="fr-FR"/>
        </w:rPr>
        <w:tab/>
      </w:r>
      <w:r w:rsidRPr="00780D96">
        <w:rPr>
          <w:rFonts w:eastAsia="Times New Roman"/>
          <w:lang w:val="fr-FR"/>
        </w:rPr>
        <w:tab/>
        <w:t>Par «</w:t>
      </w:r>
      <w:r w:rsidRPr="00780D96">
        <w:rPr>
          <w:rFonts w:eastAsia="Times New Roman"/>
          <w:i/>
          <w:lang w:val="fr-FR"/>
        </w:rPr>
        <w:t>systèmes d</w:t>
      </w:r>
      <w:r w:rsidR="00DB4C2D">
        <w:rPr>
          <w:rFonts w:eastAsia="Times New Roman"/>
          <w:i/>
          <w:lang w:val="fr-FR"/>
        </w:rPr>
        <w:t>’</w:t>
      </w:r>
      <w:r w:rsidRPr="00780D96">
        <w:rPr>
          <w:rFonts w:eastAsia="Times New Roman"/>
          <w:i/>
          <w:lang w:val="fr-FR"/>
        </w:rPr>
        <w:t>autodiagnostic</w:t>
      </w:r>
      <w:r w:rsidRPr="00780D96">
        <w:rPr>
          <w:rFonts w:eastAsia="Times New Roman"/>
          <w:lang w:val="fr-FR"/>
        </w:rPr>
        <w:t xml:space="preserve"> </w:t>
      </w:r>
      <w:r w:rsidRPr="00780D96">
        <w:rPr>
          <w:rFonts w:eastAsia="Times New Roman"/>
          <w:i/>
          <w:lang w:val="fr-FR"/>
        </w:rPr>
        <w:t>(OBD)</w:t>
      </w:r>
      <w:r w:rsidRPr="00780D96">
        <w:rPr>
          <w:rFonts w:eastAsia="Times New Roman"/>
          <w:lang w:val="fr-FR"/>
        </w:rPr>
        <w:t>», des dispositifs de contrôle des émissions capables de déceler l</w:t>
      </w:r>
      <w:r w:rsidR="00DB4C2D">
        <w:rPr>
          <w:rFonts w:eastAsia="Times New Roman"/>
          <w:lang w:val="fr-FR"/>
        </w:rPr>
        <w:t>’</w:t>
      </w:r>
      <w:r w:rsidRPr="00780D96">
        <w:rPr>
          <w:rFonts w:eastAsia="Times New Roman"/>
          <w:lang w:val="fr-FR"/>
        </w:rPr>
        <w:t>origine probable d</w:t>
      </w:r>
      <w:r w:rsidR="00DB4C2D">
        <w:rPr>
          <w:rFonts w:eastAsia="Times New Roman"/>
          <w:lang w:val="fr-FR"/>
        </w:rPr>
        <w:t>’</w:t>
      </w:r>
      <w:r w:rsidRPr="00780D96">
        <w:rPr>
          <w:rFonts w:eastAsia="Times New Roman"/>
          <w:lang w:val="fr-FR"/>
        </w:rPr>
        <w:t>un dysfonctionnement au moyen de codes d</w:t>
      </w:r>
      <w:r w:rsidR="00DB4C2D">
        <w:rPr>
          <w:rFonts w:eastAsia="Times New Roman"/>
          <w:lang w:val="fr-FR"/>
        </w:rPr>
        <w:t>’</w:t>
      </w:r>
      <w:r w:rsidRPr="00780D96">
        <w:rPr>
          <w:rFonts w:eastAsia="Times New Roman"/>
          <w:lang w:val="fr-FR"/>
        </w:rPr>
        <w:t>erreur stockés dans la mémoire d</w:t>
      </w:r>
      <w:r w:rsidR="00DB4C2D">
        <w:rPr>
          <w:rFonts w:eastAsia="Times New Roman"/>
          <w:lang w:val="fr-FR"/>
        </w:rPr>
        <w:t>’</w:t>
      </w:r>
      <w:r w:rsidRPr="00780D96">
        <w:rPr>
          <w:rFonts w:eastAsia="Times New Roman"/>
          <w:lang w:val="fr-FR"/>
        </w:rPr>
        <w:t>un ordinateur;</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2.14</w:t>
      </w:r>
      <w:r w:rsidRPr="00780D96">
        <w:rPr>
          <w:rFonts w:eastAsia="Times New Roman"/>
          <w:lang w:val="fr-FR"/>
        </w:rPr>
        <w:tab/>
      </w:r>
      <w:r w:rsidRPr="00780D96">
        <w:rPr>
          <w:rFonts w:eastAsia="Times New Roman"/>
          <w:lang w:val="fr-FR"/>
        </w:rPr>
        <w:tab/>
        <w:t>Par «</w:t>
      </w:r>
      <w:r w:rsidRPr="00780D96">
        <w:rPr>
          <w:rFonts w:eastAsia="Times New Roman"/>
          <w:i/>
          <w:lang w:val="fr-FR"/>
        </w:rPr>
        <w:t>essais d</w:t>
      </w:r>
      <w:r w:rsidR="00DB4C2D">
        <w:rPr>
          <w:rFonts w:eastAsia="Times New Roman"/>
          <w:i/>
          <w:lang w:val="fr-FR"/>
        </w:rPr>
        <w:t>’</w:t>
      </w:r>
      <w:r w:rsidRPr="00780D96">
        <w:rPr>
          <w:rFonts w:eastAsia="Times New Roman"/>
          <w:i/>
          <w:lang w:val="fr-FR"/>
        </w:rPr>
        <w:t>un véhicule en service</w:t>
      </w:r>
      <w:r w:rsidRPr="00780D96">
        <w:rPr>
          <w:rFonts w:eastAsia="Times New Roman"/>
          <w:lang w:val="fr-FR"/>
        </w:rPr>
        <w:t>», les essais et les évaluations de conformité effectués conformément au paragraphe 9.2.1 du présent Règlement;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2.15</w:t>
      </w:r>
      <w:r w:rsidRPr="00780D96">
        <w:rPr>
          <w:rFonts w:eastAsia="Times New Roman"/>
          <w:lang w:val="fr-FR"/>
        </w:rPr>
        <w:tab/>
        <w:t>Par «</w:t>
      </w:r>
      <w:r w:rsidRPr="00780D96">
        <w:rPr>
          <w:rFonts w:eastAsia="Times New Roman"/>
          <w:i/>
          <w:lang w:val="fr-FR"/>
        </w:rPr>
        <w:t>correctement entretenu et utilisé</w:t>
      </w:r>
      <w:r w:rsidRPr="00780D96">
        <w:rPr>
          <w:rFonts w:eastAsia="Times New Roman"/>
          <w:lang w:val="fr-FR"/>
        </w:rPr>
        <w:t>», dans le cas d</w:t>
      </w:r>
      <w:r w:rsidR="00DB4C2D">
        <w:rPr>
          <w:rFonts w:eastAsia="Times New Roman"/>
          <w:lang w:val="fr-FR"/>
        </w:rPr>
        <w:t>’</w:t>
      </w:r>
      <w:r w:rsidRPr="00780D96">
        <w:rPr>
          <w:rFonts w:eastAsia="Times New Roman"/>
          <w:lang w:val="fr-FR"/>
        </w:rPr>
        <w:t>un véhicule soumis aux essais, le fait que celui-ci satisfait aux critères d</w:t>
      </w:r>
      <w:r w:rsidR="00DB4C2D">
        <w:rPr>
          <w:rFonts w:eastAsia="Times New Roman"/>
          <w:lang w:val="fr-FR"/>
        </w:rPr>
        <w:t>’</w:t>
      </w:r>
      <w:r w:rsidRPr="00780D96">
        <w:rPr>
          <w:rFonts w:eastAsia="Times New Roman"/>
          <w:lang w:val="fr-FR"/>
        </w:rPr>
        <w:t>acceptation d</w:t>
      </w:r>
      <w:r w:rsidR="00DB4C2D">
        <w:rPr>
          <w:rFonts w:eastAsia="Times New Roman"/>
          <w:lang w:val="fr-FR"/>
        </w:rPr>
        <w:t>’</w:t>
      </w:r>
      <w:r w:rsidRPr="00780D96">
        <w:rPr>
          <w:rFonts w:eastAsia="Times New Roman"/>
          <w:lang w:val="fr-FR"/>
        </w:rPr>
        <w:t>un véhicule sélectionné selon la procédure définie au paragraphe 2 de l</w:t>
      </w:r>
      <w:r w:rsidR="00DB4C2D">
        <w:rPr>
          <w:rFonts w:eastAsia="Times New Roman"/>
          <w:lang w:val="fr-FR"/>
        </w:rPr>
        <w:t>’</w:t>
      </w:r>
      <w:r w:rsidRPr="00780D96">
        <w:rPr>
          <w:rFonts w:eastAsia="Times New Roman"/>
          <w:lang w:val="fr-FR"/>
        </w:rPr>
        <w:t>appendice 3 du présent Règlement;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2.16</w:t>
      </w:r>
      <w:r w:rsidRPr="00780D96">
        <w:rPr>
          <w:rFonts w:eastAsia="Times New Roman"/>
          <w:lang w:val="fr-FR"/>
        </w:rPr>
        <w:tab/>
      </w:r>
      <w:r w:rsidRPr="00780D96">
        <w:rPr>
          <w:rFonts w:eastAsia="Times New Roman"/>
          <w:lang w:val="fr-FR"/>
        </w:rPr>
        <w:tab/>
        <w:t>Par «</w:t>
      </w:r>
      <w:r w:rsidRPr="00780D96">
        <w:rPr>
          <w:rFonts w:eastAsia="Times New Roman"/>
          <w:i/>
          <w:lang w:val="fr-FR"/>
        </w:rPr>
        <w:t>dispositif</w:t>
      </w:r>
      <w:r w:rsidRPr="00780D96">
        <w:rPr>
          <w:rFonts w:eastAsia="Times New Roman"/>
          <w:lang w:val="fr-FR"/>
        </w:rPr>
        <w:t xml:space="preserve"> </w:t>
      </w:r>
      <w:r w:rsidRPr="00780D96">
        <w:rPr>
          <w:rFonts w:eastAsia="Times New Roman"/>
          <w:i/>
          <w:lang w:val="fr-FR"/>
        </w:rPr>
        <w:t>de manipulation</w:t>
      </w:r>
      <w:r w:rsidRPr="00780D96">
        <w:rPr>
          <w:rFonts w:eastAsia="Times New Roman"/>
          <w:lang w:val="fr-FR"/>
        </w:rPr>
        <w:t>», tout élément de construction qui mesure la température, la vitesse du véhicule, le régime moteur (tours par minute), le rapport de transmission, la dépression à l</w:t>
      </w:r>
      <w:r w:rsidR="00DB4C2D">
        <w:rPr>
          <w:rFonts w:eastAsia="Times New Roman"/>
          <w:lang w:val="fr-FR"/>
        </w:rPr>
        <w:t>’</w:t>
      </w:r>
      <w:r w:rsidRPr="00780D96">
        <w:rPr>
          <w:rFonts w:eastAsia="Times New Roman"/>
          <w:lang w:val="fr-FR"/>
        </w:rPr>
        <w:t>admission ou d</w:t>
      </w:r>
      <w:r w:rsidR="00DB4C2D">
        <w:rPr>
          <w:rFonts w:eastAsia="Times New Roman"/>
          <w:lang w:val="fr-FR"/>
        </w:rPr>
        <w:t>’</w:t>
      </w:r>
      <w:r w:rsidRPr="00780D96">
        <w:rPr>
          <w:rFonts w:eastAsia="Times New Roman"/>
          <w:lang w:val="fr-FR"/>
        </w:rPr>
        <w:t>autres paramètres en vue d</w:t>
      </w:r>
      <w:r w:rsidR="00DB4C2D">
        <w:rPr>
          <w:rFonts w:eastAsia="Times New Roman"/>
          <w:lang w:val="fr-FR"/>
        </w:rPr>
        <w:t>’</w:t>
      </w:r>
      <w:r w:rsidRPr="00780D96">
        <w:rPr>
          <w:rFonts w:eastAsia="Times New Roman"/>
          <w:lang w:val="fr-FR"/>
        </w:rPr>
        <w:t>activer, de moduler, de retarder ou de désactiver le fonctionnement d</w:t>
      </w:r>
      <w:r w:rsidR="00DB4C2D">
        <w:rPr>
          <w:rFonts w:eastAsia="Times New Roman"/>
          <w:lang w:val="fr-FR"/>
        </w:rPr>
        <w:t>’</w:t>
      </w:r>
      <w:r w:rsidRPr="00780D96">
        <w:rPr>
          <w:rFonts w:eastAsia="Times New Roman"/>
          <w:lang w:val="fr-FR"/>
        </w:rPr>
        <w:t>un composant du système antipollution, qui réduit l</w:t>
      </w:r>
      <w:r w:rsidR="00DB4C2D">
        <w:rPr>
          <w:rFonts w:eastAsia="Times New Roman"/>
          <w:lang w:val="fr-FR"/>
        </w:rPr>
        <w:t>’</w:t>
      </w:r>
      <w:r w:rsidRPr="00780D96">
        <w:rPr>
          <w:rFonts w:eastAsia="Times New Roman"/>
          <w:lang w:val="fr-FR"/>
        </w:rPr>
        <w:t>efficacité dudit système dans des conditions que l</w:t>
      </w:r>
      <w:r w:rsidR="00DB4C2D">
        <w:rPr>
          <w:rFonts w:eastAsia="Times New Roman"/>
          <w:lang w:val="fr-FR"/>
        </w:rPr>
        <w:t>’</w:t>
      </w:r>
      <w:r w:rsidRPr="00780D96">
        <w:rPr>
          <w:rFonts w:eastAsia="Times New Roman"/>
          <w:lang w:val="fr-FR"/>
        </w:rPr>
        <w:t>on peut raisonnablement s</w:t>
      </w:r>
      <w:r w:rsidR="00DB4C2D">
        <w:rPr>
          <w:rFonts w:eastAsia="Times New Roman"/>
          <w:lang w:val="fr-FR"/>
        </w:rPr>
        <w:t>’</w:t>
      </w:r>
      <w:r w:rsidRPr="00780D96">
        <w:rPr>
          <w:rFonts w:eastAsia="Times New Roman"/>
          <w:lang w:val="fr-FR"/>
        </w:rPr>
        <w:t>attendre à rencontrer dans des circonstances normales de fonctionnement et d</w:t>
      </w:r>
      <w:r w:rsidR="00DB4C2D">
        <w:rPr>
          <w:rFonts w:eastAsia="Times New Roman"/>
          <w:lang w:val="fr-FR"/>
        </w:rPr>
        <w:t>’</w:t>
      </w:r>
      <w:r w:rsidRPr="00780D96">
        <w:rPr>
          <w:rFonts w:eastAsia="Times New Roman"/>
          <w:lang w:val="fr-FR"/>
        </w:rPr>
        <w:t>utilisation du véhicule. Un tel élément de construction peut ne pas être considéré comme un dispositif de manipulation:</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2.16.1</w:t>
      </w:r>
      <w:r w:rsidRPr="00780D96">
        <w:rPr>
          <w:rFonts w:eastAsia="Times New Roman"/>
          <w:lang w:val="fr-FR"/>
        </w:rPr>
        <w:tab/>
      </w:r>
      <w:r w:rsidRPr="00780D96">
        <w:rPr>
          <w:rFonts w:eastAsia="Times New Roman"/>
          <w:lang w:val="fr-FR"/>
        </w:rPr>
        <w:tab/>
        <w:t>Si la nécessité de ce dispositif est justifiée pour protéger le moteur contre des dommages ou accidents et pour assurer la sécurité de fonctionnement du véhicule; ou</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2.16.2</w:t>
      </w:r>
      <w:r w:rsidRPr="00780D96">
        <w:rPr>
          <w:rFonts w:eastAsia="Times New Roman"/>
          <w:lang w:val="fr-FR"/>
        </w:rPr>
        <w:tab/>
      </w:r>
      <w:r w:rsidRPr="00780D96">
        <w:rPr>
          <w:rFonts w:eastAsia="Times New Roman"/>
          <w:lang w:val="fr-FR"/>
        </w:rPr>
        <w:tab/>
        <w:t>Si ce dispositif ne fonctionne pas au-delà des exigences liées au démarrage du moteur; ou</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2.16.3</w:t>
      </w:r>
      <w:r w:rsidRPr="00780D96">
        <w:rPr>
          <w:rFonts w:eastAsia="Times New Roman"/>
          <w:lang w:val="fr-FR"/>
        </w:rPr>
        <w:tab/>
      </w:r>
      <w:r w:rsidRPr="00780D96">
        <w:rPr>
          <w:rFonts w:eastAsia="Times New Roman"/>
          <w:lang w:val="fr-FR"/>
        </w:rPr>
        <w:tab/>
        <w:t>Si les conditions sont fondamentalement incluses dans les procédures d</w:t>
      </w:r>
      <w:r w:rsidR="00DB4C2D">
        <w:rPr>
          <w:rFonts w:eastAsia="Times New Roman"/>
          <w:lang w:val="fr-FR"/>
        </w:rPr>
        <w:t>’</w:t>
      </w:r>
      <w:r w:rsidRPr="00780D96">
        <w:rPr>
          <w:rFonts w:eastAsia="Times New Roman"/>
          <w:lang w:val="fr-FR"/>
        </w:rPr>
        <w:t>essai du type I ou du type VI;</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2.17</w:t>
      </w:r>
      <w:r w:rsidRPr="00780D96">
        <w:rPr>
          <w:rFonts w:eastAsia="Times New Roman"/>
          <w:lang w:val="fr-FR"/>
        </w:rPr>
        <w:tab/>
        <w:t>Par «</w:t>
      </w:r>
      <w:r w:rsidRPr="00780D96">
        <w:rPr>
          <w:rFonts w:eastAsia="Times New Roman"/>
          <w:i/>
          <w:lang w:val="fr-FR"/>
        </w:rPr>
        <w:t>famille de véhicules</w:t>
      </w:r>
      <w:r w:rsidRPr="00780D96">
        <w:rPr>
          <w:rFonts w:eastAsia="Times New Roman"/>
          <w:lang w:val="fr-FR"/>
        </w:rPr>
        <w:t>», un groupe de types de véhicules identifié par un véhicule père aux fins de l</w:t>
      </w:r>
      <w:r w:rsidR="00DB4C2D">
        <w:rPr>
          <w:rFonts w:eastAsia="Times New Roman"/>
          <w:lang w:val="fr-FR"/>
        </w:rPr>
        <w:t>’</w:t>
      </w:r>
      <w:r w:rsidRPr="00780D96">
        <w:rPr>
          <w:rFonts w:eastAsia="Times New Roman"/>
          <w:lang w:val="fr-FR"/>
        </w:rPr>
        <w:t>annexe 12 du présent Règlement;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2.18</w:t>
      </w:r>
      <w:r w:rsidRPr="00780D96">
        <w:rPr>
          <w:rFonts w:eastAsia="Times New Roman"/>
          <w:lang w:val="fr-FR"/>
        </w:rPr>
        <w:tab/>
      </w:r>
      <w:r w:rsidRPr="00780D96">
        <w:rPr>
          <w:rFonts w:eastAsia="Times New Roman"/>
          <w:lang w:val="fr-FR"/>
        </w:rPr>
        <w:tab/>
        <w:t>Par «</w:t>
      </w:r>
      <w:proofErr w:type="spellStart"/>
      <w:r w:rsidRPr="00780D96">
        <w:rPr>
          <w:rFonts w:eastAsia="Times New Roman"/>
          <w:i/>
          <w:lang w:val="fr-FR"/>
        </w:rPr>
        <w:t>biocarburant</w:t>
      </w:r>
      <w:proofErr w:type="spellEnd"/>
      <w:r w:rsidRPr="00780D96">
        <w:rPr>
          <w:rFonts w:eastAsia="Times New Roman"/>
          <w:lang w:val="fr-FR"/>
        </w:rPr>
        <w:t>», un carburant liquide ou gazeux utilisé pour le transport et produit à partir de la biomasse;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2.19</w:t>
      </w:r>
      <w:r w:rsidRPr="00780D96">
        <w:rPr>
          <w:rFonts w:eastAsia="Times New Roman"/>
          <w:lang w:val="fr-FR"/>
        </w:rPr>
        <w:tab/>
      </w:r>
      <w:r w:rsidRPr="00780D96">
        <w:rPr>
          <w:rFonts w:eastAsia="Times New Roman"/>
          <w:lang w:val="fr-FR"/>
        </w:rPr>
        <w:tab/>
        <w:t>Par «</w:t>
      </w:r>
      <w:r w:rsidRPr="00780D96">
        <w:rPr>
          <w:rFonts w:eastAsia="Times New Roman"/>
          <w:i/>
          <w:lang w:val="fr-FR"/>
        </w:rPr>
        <w:t>homologation d</w:t>
      </w:r>
      <w:r w:rsidR="00DB4C2D">
        <w:rPr>
          <w:rFonts w:eastAsia="Times New Roman"/>
          <w:i/>
          <w:lang w:val="fr-FR"/>
        </w:rPr>
        <w:t>’</w:t>
      </w:r>
      <w:r w:rsidRPr="00780D96">
        <w:rPr>
          <w:rFonts w:eastAsia="Times New Roman"/>
          <w:i/>
          <w:lang w:val="fr-FR"/>
        </w:rPr>
        <w:t>un véhicule</w:t>
      </w:r>
      <w:r w:rsidRPr="00780D96">
        <w:rPr>
          <w:rFonts w:eastAsia="Times New Roman"/>
          <w:lang w:val="fr-FR"/>
        </w:rPr>
        <w:t>», l</w:t>
      </w:r>
      <w:r w:rsidR="00DB4C2D">
        <w:rPr>
          <w:rFonts w:eastAsia="Times New Roman"/>
          <w:lang w:val="fr-FR"/>
        </w:rPr>
        <w:t>’</w:t>
      </w:r>
      <w:r w:rsidRPr="00780D96">
        <w:rPr>
          <w:rFonts w:eastAsia="Times New Roman"/>
          <w:lang w:val="fr-FR"/>
        </w:rPr>
        <w:t>homologation d</w:t>
      </w:r>
      <w:r w:rsidR="00DB4C2D">
        <w:rPr>
          <w:rFonts w:eastAsia="Times New Roman"/>
          <w:lang w:val="fr-FR"/>
        </w:rPr>
        <w:t>’</w:t>
      </w:r>
      <w:r w:rsidRPr="00780D96">
        <w:rPr>
          <w:rFonts w:eastAsia="Times New Roman"/>
          <w:lang w:val="fr-FR"/>
        </w:rPr>
        <w:t>un type de véhicule en ce qui concerne</w:t>
      </w:r>
      <w:r w:rsidRPr="00780D96">
        <w:rPr>
          <w:rFonts w:eastAsia="Times New Roman"/>
          <w:sz w:val="18"/>
          <w:vertAlign w:val="superscript"/>
        </w:rPr>
        <w:footnoteReference w:id="3"/>
      </w:r>
      <w:r w:rsidRPr="00780D96">
        <w:rPr>
          <w:rFonts w:eastAsia="Times New Roman"/>
          <w:lang w:val="fr-FR"/>
        </w:rPr>
        <w: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2.19.1</w:t>
      </w:r>
      <w:r w:rsidRPr="00780D96">
        <w:rPr>
          <w:rFonts w:eastAsia="Times New Roman"/>
          <w:lang w:val="fr-FR"/>
        </w:rPr>
        <w:tab/>
        <w:t>La limitation des émissions d</w:t>
      </w:r>
      <w:r w:rsidR="00DB4C2D">
        <w:rPr>
          <w:rFonts w:eastAsia="Times New Roman"/>
          <w:lang w:val="fr-FR"/>
        </w:rPr>
        <w:t>’</w:t>
      </w:r>
      <w:r w:rsidRPr="00780D96">
        <w:rPr>
          <w:rFonts w:eastAsia="Times New Roman"/>
          <w:lang w:val="fr-FR"/>
        </w:rPr>
        <w:t>échappement par le véhicule, des émissions par évaporation et des émissions de gaz de carter, la durabilité des dispositifs antipollution, les émissions liées au démarrage à froid et les systèmes d</w:t>
      </w:r>
      <w:r w:rsidR="00DB4C2D">
        <w:rPr>
          <w:rFonts w:eastAsia="Times New Roman"/>
          <w:lang w:val="fr-FR"/>
        </w:rPr>
        <w:t>’</w:t>
      </w:r>
      <w:r w:rsidRPr="00780D96">
        <w:rPr>
          <w:rFonts w:eastAsia="Times New Roman"/>
          <w:lang w:val="fr-FR"/>
        </w:rPr>
        <w:t>autodiagnostic (OBD) pour les véhicules fonctionnant avec de l</w:t>
      </w:r>
      <w:r w:rsidR="00DB4C2D">
        <w:rPr>
          <w:rFonts w:eastAsia="Times New Roman"/>
          <w:lang w:val="fr-FR"/>
        </w:rPr>
        <w:t>’</w:t>
      </w:r>
      <w:r w:rsidRPr="00780D96">
        <w:rPr>
          <w:rFonts w:eastAsia="Times New Roman"/>
          <w:lang w:val="fr-FR"/>
        </w:rPr>
        <w:t>essence sans plomb ou pouvant être alimentés avec soit de l</w:t>
      </w:r>
      <w:r w:rsidR="00DB4C2D">
        <w:rPr>
          <w:rFonts w:eastAsia="Times New Roman"/>
          <w:lang w:val="fr-FR"/>
        </w:rPr>
        <w:t>’</w:t>
      </w:r>
      <w:r w:rsidRPr="00780D96">
        <w:rPr>
          <w:rFonts w:eastAsia="Times New Roman"/>
          <w:lang w:val="fr-FR"/>
        </w:rPr>
        <w:t>essence sans plomb soit du GPL ou du GN/</w:t>
      </w:r>
      <w:proofErr w:type="spellStart"/>
      <w:r w:rsidRPr="00780D96">
        <w:rPr>
          <w:rFonts w:eastAsia="Times New Roman"/>
          <w:lang w:val="fr-FR"/>
        </w:rPr>
        <w:t>biométhane</w:t>
      </w:r>
      <w:proofErr w:type="spellEnd"/>
      <w:r w:rsidRPr="00780D96">
        <w:rPr>
          <w:rFonts w:eastAsia="Times New Roman"/>
          <w:lang w:val="fr-FR"/>
        </w:rPr>
        <w:t xml:space="preserve"> ou des </w:t>
      </w:r>
      <w:proofErr w:type="spellStart"/>
      <w:r w:rsidRPr="00780D96">
        <w:rPr>
          <w:rFonts w:eastAsia="Times New Roman"/>
          <w:lang w:val="fr-FR"/>
        </w:rPr>
        <w:t>biocarburants</w:t>
      </w:r>
      <w:proofErr w:type="spellEnd"/>
      <w:r w:rsidRPr="00780D96">
        <w:rPr>
          <w:rFonts w:eastAsia="Times New Roman"/>
          <w:lang w:val="fr-FR"/>
        </w:rPr>
        <w:t xml:space="preserve"> (homologation B);</w:t>
      </w:r>
    </w:p>
    <w:p w:rsidR="00780D96" w:rsidRPr="00780D96" w:rsidRDefault="00780D96" w:rsidP="00A07FA8">
      <w:pPr>
        <w:pStyle w:val="SingleTxtG"/>
        <w:ind w:left="2268" w:hanging="1134"/>
        <w:rPr>
          <w:rFonts w:eastAsia="Times New Roman"/>
          <w:lang w:val="fr-FR"/>
        </w:rPr>
      </w:pPr>
      <w:r w:rsidRPr="00780D96">
        <w:rPr>
          <w:rFonts w:eastAsia="Times New Roman"/>
          <w:lang w:val="fr-FR"/>
        </w:rPr>
        <w:lastRenderedPageBreak/>
        <w:t>2.19.2</w:t>
      </w:r>
      <w:r w:rsidRPr="00780D96">
        <w:rPr>
          <w:rFonts w:eastAsia="Times New Roman"/>
          <w:lang w:val="fr-FR"/>
        </w:rPr>
        <w:tab/>
        <w:t>La limitation des émissions de polluants gazeux et de particules polluantes, la durabilité des dispositifs antipollution et les systèmes d</w:t>
      </w:r>
      <w:r w:rsidR="00DB4C2D">
        <w:rPr>
          <w:rFonts w:eastAsia="Times New Roman"/>
          <w:lang w:val="fr-FR"/>
        </w:rPr>
        <w:t>’</w:t>
      </w:r>
      <w:r w:rsidRPr="00780D96">
        <w:rPr>
          <w:rFonts w:eastAsia="Times New Roman"/>
          <w:lang w:val="fr-FR"/>
        </w:rPr>
        <w:t xml:space="preserve">autodiagnostic (OBD) pour les véhicules fonctionnant au gazole (homologation C) ou pouvant fonctionner soit au gazole et au </w:t>
      </w:r>
      <w:proofErr w:type="spellStart"/>
      <w:r w:rsidRPr="00780D96">
        <w:rPr>
          <w:rFonts w:eastAsia="Times New Roman"/>
          <w:lang w:val="fr-FR"/>
        </w:rPr>
        <w:t>biocarburant</w:t>
      </w:r>
      <w:proofErr w:type="spellEnd"/>
      <w:r w:rsidRPr="00780D96">
        <w:rPr>
          <w:rFonts w:eastAsia="Times New Roman"/>
          <w:lang w:val="fr-FR"/>
        </w:rPr>
        <w:t xml:space="preserve"> soit au </w:t>
      </w:r>
      <w:proofErr w:type="spellStart"/>
      <w:r w:rsidRPr="00780D96">
        <w:rPr>
          <w:rFonts w:eastAsia="Times New Roman"/>
          <w:lang w:val="fr-FR"/>
        </w:rPr>
        <w:t>biocarburant</w:t>
      </w:r>
      <w:proofErr w:type="spellEnd"/>
      <w:r w:rsidRPr="00780D96">
        <w:rPr>
          <w:rFonts w:eastAsia="Times New Roman"/>
          <w:lang w:val="fr-FR"/>
        </w:rPr>
        <w: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2.19.3</w:t>
      </w:r>
      <w:r w:rsidRPr="00780D96">
        <w:rPr>
          <w:rFonts w:eastAsia="Times New Roman"/>
          <w:lang w:val="fr-FR"/>
        </w:rPr>
        <w:tab/>
        <w:t>La limitation des émissions de polluants gazeux par le moteur et des émissions de gaz de carter, la durabilité des dispositifs antipollution, les émissions liées au démarrage à froid et les systèmes d</w:t>
      </w:r>
      <w:r w:rsidR="00DB4C2D">
        <w:rPr>
          <w:rFonts w:eastAsia="Times New Roman"/>
          <w:lang w:val="fr-FR"/>
        </w:rPr>
        <w:t>’</w:t>
      </w:r>
      <w:r w:rsidRPr="00780D96">
        <w:rPr>
          <w:rFonts w:eastAsia="Times New Roman"/>
          <w:lang w:val="fr-FR"/>
        </w:rPr>
        <w:t xml:space="preserve">autodiagnostic (OBD) </w:t>
      </w:r>
      <w:r w:rsidRPr="00780D96">
        <w:rPr>
          <w:rFonts w:eastAsia="Times New Roman"/>
          <w:spacing w:val="-1"/>
          <w:lang w:val="fr-FR"/>
        </w:rPr>
        <w:t>pour les véhicules alimentés au GPL ou au GN/</w:t>
      </w:r>
      <w:proofErr w:type="spellStart"/>
      <w:r w:rsidRPr="00780D96">
        <w:rPr>
          <w:rFonts w:eastAsia="Times New Roman"/>
          <w:spacing w:val="-1"/>
          <w:lang w:val="fr-FR"/>
        </w:rPr>
        <w:t>biométhane</w:t>
      </w:r>
      <w:proofErr w:type="spellEnd"/>
      <w:r w:rsidRPr="00780D96">
        <w:rPr>
          <w:rFonts w:eastAsia="Times New Roman"/>
          <w:spacing w:val="-1"/>
          <w:lang w:val="fr-FR"/>
        </w:rPr>
        <w:t xml:space="preserve"> (homologation D);</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2.20</w:t>
      </w:r>
      <w:r w:rsidRPr="00780D96">
        <w:rPr>
          <w:rFonts w:eastAsia="Times New Roman"/>
          <w:lang w:val="fr-FR"/>
        </w:rPr>
        <w:tab/>
        <w:t>Par «</w:t>
      </w:r>
      <w:r w:rsidRPr="00780D96">
        <w:rPr>
          <w:rFonts w:eastAsia="Times New Roman"/>
          <w:i/>
          <w:lang w:val="fr-FR"/>
        </w:rPr>
        <w:t>dispositif à régénération discontinue</w:t>
      </w:r>
      <w:r w:rsidRPr="00780D96">
        <w:rPr>
          <w:rFonts w:eastAsia="Times New Roman"/>
          <w:lang w:val="fr-FR"/>
        </w:rPr>
        <w:t>», un dispositif antipollution (catalyseur, filtre à particules...) nécessitant un processus de régénération à intervalles de moins de 4 000 km d</w:t>
      </w:r>
      <w:r w:rsidR="00DB4C2D">
        <w:rPr>
          <w:rFonts w:eastAsia="Times New Roman"/>
          <w:lang w:val="fr-FR"/>
        </w:rPr>
        <w:t>’</w:t>
      </w:r>
      <w:r w:rsidRPr="00780D96">
        <w:rPr>
          <w:rFonts w:eastAsia="Times New Roman"/>
          <w:lang w:val="fr-FR"/>
        </w:rPr>
        <w:t>utilisation normale du véhicule. Au cours des cycles où se produit une régénération, les limites d</w:t>
      </w:r>
      <w:r w:rsidR="00DB4C2D">
        <w:rPr>
          <w:rFonts w:eastAsia="Times New Roman"/>
          <w:lang w:val="fr-FR"/>
        </w:rPr>
        <w:t>’</w:t>
      </w:r>
      <w:r w:rsidRPr="00780D96">
        <w:rPr>
          <w:rFonts w:eastAsia="Times New Roman"/>
          <w:lang w:val="fr-FR"/>
        </w:rPr>
        <w:t>émission de polluants peuvent être dépassées. Si une régénération du dispositif antipollution se produit au moins une fois pendant le cycle d</w:t>
      </w:r>
      <w:r w:rsidR="00DB4C2D">
        <w:rPr>
          <w:rFonts w:eastAsia="Times New Roman"/>
          <w:lang w:val="fr-FR"/>
        </w:rPr>
        <w:t>’</w:t>
      </w:r>
      <w:r w:rsidRPr="00780D96">
        <w:rPr>
          <w:rFonts w:eastAsia="Times New Roman"/>
          <w:lang w:val="fr-FR"/>
        </w:rPr>
        <w:t>essai du type I et s</w:t>
      </w:r>
      <w:r w:rsidR="00DB4C2D">
        <w:rPr>
          <w:rFonts w:eastAsia="Times New Roman"/>
          <w:lang w:val="fr-FR"/>
        </w:rPr>
        <w:t>’</w:t>
      </w:r>
      <w:r w:rsidRPr="00780D96">
        <w:rPr>
          <w:rFonts w:eastAsia="Times New Roman"/>
          <w:lang w:val="fr-FR"/>
        </w:rPr>
        <w:t>il s</w:t>
      </w:r>
      <w:r w:rsidR="00DB4C2D">
        <w:rPr>
          <w:rFonts w:eastAsia="Times New Roman"/>
          <w:lang w:val="fr-FR"/>
        </w:rPr>
        <w:t>’</w:t>
      </w:r>
      <w:r w:rsidRPr="00780D96">
        <w:rPr>
          <w:rFonts w:eastAsia="Times New Roman"/>
          <w:lang w:val="fr-FR"/>
        </w:rPr>
        <w:t>en est déjà produit une au moins pendant le cycle de préparation du véhicule, le dispositif est considéré comme un dispositif à régénération continue qui n</w:t>
      </w:r>
      <w:r w:rsidR="00DB4C2D">
        <w:rPr>
          <w:rFonts w:eastAsia="Times New Roman"/>
          <w:lang w:val="fr-FR"/>
        </w:rPr>
        <w:t>’</w:t>
      </w:r>
      <w:r w:rsidRPr="00780D96">
        <w:rPr>
          <w:rFonts w:eastAsia="Times New Roman"/>
          <w:lang w:val="fr-FR"/>
        </w:rPr>
        <w:t>est pas soumis à une procédure d</w:t>
      </w:r>
      <w:r w:rsidR="00DB4C2D">
        <w:rPr>
          <w:rFonts w:eastAsia="Times New Roman"/>
          <w:lang w:val="fr-FR"/>
        </w:rPr>
        <w:t>’</w:t>
      </w:r>
      <w:r w:rsidRPr="00780D96">
        <w:rPr>
          <w:rFonts w:eastAsia="Times New Roman"/>
          <w:lang w:val="fr-FR"/>
        </w:rPr>
        <w:t>essai spéciale. L</w:t>
      </w:r>
      <w:r w:rsidR="00DB4C2D">
        <w:rPr>
          <w:rFonts w:eastAsia="Times New Roman"/>
          <w:lang w:val="fr-FR"/>
        </w:rPr>
        <w:t>’</w:t>
      </w:r>
      <w:r w:rsidRPr="00780D96">
        <w:rPr>
          <w:rFonts w:eastAsia="Times New Roman"/>
          <w:lang w:val="fr-FR"/>
        </w:rPr>
        <w:t>annexe 13 au présent Règlement ne s</w:t>
      </w:r>
      <w:r w:rsidR="00DB4C2D">
        <w:rPr>
          <w:rFonts w:eastAsia="Times New Roman"/>
          <w:lang w:val="fr-FR"/>
        </w:rPr>
        <w:t>’</w:t>
      </w:r>
      <w:r w:rsidRPr="00780D96">
        <w:rPr>
          <w:rFonts w:eastAsia="Times New Roman"/>
          <w:lang w:val="fr-FR"/>
        </w:rPr>
        <w:t>applique pas aux dispositifs à régénération continue.</w:t>
      </w:r>
    </w:p>
    <w:p w:rsidR="00780D96" w:rsidRPr="00780D96" w:rsidRDefault="00780D96" w:rsidP="00A07FA8">
      <w:pPr>
        <w:pStyle w:val="SingleTxtG"/>
        <w:ind w:left="2268"/>
        <w:rPr>
          <w:rFonts w:eastAsia="Times New Roman"/>
          <w:lang w:val="fr-FR"/>
        </w:rPr>
      </w:pPr>
      <w:r w:rsidRPr="00780D96">
        <w:rPr>
          <w:rFonts w:eastAsia="Times New Roman"/>
          <w:lang w:val="fr-FR"/>
        </w:rPr>
        <w:t>Si le constructeur le demande, la procédure d</w:t>
      </w:r>
      <w:r w:rsidR="00DB4C2D">
        <w:rPr>
          <w:rFonts w:eastAsia="Times New Roman"/>
          <w:lang w:val="fr-FR"/>
        </w:rPr>
        <w:t>’</w:t>
      </w:r>
      <w:r w:rsidRPr="00780D96">
        <w:rPr>
          <w:rFonts w:eastAsia="Times New Roman"/>
          <w:lang w:val="fr-FR"/>
        </w:rPr>
        <w:t>essai spécifique aux dispositifs à régénération discontinue ne s</w:t>
      </w:r>
      <w:r w:rsidR="00DB4C2D">
        <w:rPr>
          <w:rFonts w:eastAsia="Times New Roman"/>
          <w:lang w:val="fr-FR"/>
        </w:rPr>
        <w:t>’</w:t>
      </w:r>
      <w:r w:rsidRPr="00780D96">
        <w:rPr>
          <w:rFonts w:eastAsia="Times New Roman"/>
          <w:lang w:val="fr-FR"/>
        </w:rPr>
        <w:t>applique pas à un dispositif de régénération si le constructeur soumet à l</w:t>
      </w:r>
      <w:r w:rsidR="00DB4C2D">
        <w:rPr>
          <w:rFonts w:eastAsia="Times New Roman"/>
          <w:lang w:val="fr-FR"/>
        </w:rPr>
        <w:t>’</w:t>
      </w:r>
      <w:r w:rsidRPr="00780D96">
        <w:rPr>
          <w:rFonts w:eastAsia="Times New Roman"/>
          <w:lang w:val="fr-FR"/>
        </w:rPr>
        <w:t>autorité d</w:t>
      </w:r>
      <w:r w:rsidR="00DB4C2D">
        <w:rPr>
          <w:rFonts w:eastAsia="Times New Roman"/>
          <w:lang w:val="fr-FR"/>
        </w:rPr>
        <w:t>’</w:t>
      </w:r>
      <w:r w:rsidRPr="00780D96">
        <w:rPr>
          <w:rFonts w:eastAsia="Times New Roman"/>
          <w:lang w:val="fr-FR"/>
        </w:rPr>
        <w:t>homologation de type des données prouvant qu</w:t>
      </w:r>
      <w:r w:rsidR="00DB4C2D">
        <w:rPr>
          <w:rFonts w:eastAsia="Times New Roman"/>
          <w:lang w:val="fr-FR"/>
        </w:rPr>
        <w:t>’</w:t>
      </w:r>
      <w:r w:rsidRPr="00780D96">
        <w:rPr>
          <w:rFonts w:eastAsia="Times New Roman"/>
          <w:lang w:val="fr-FR"/>
        </w:rPr>
        <w:t>au cours des cycles où se produit une régénération, les émissions demeurent inférieures aux valeurs limites prescrites au paragraphe 5.3.1.4, appliquées à la catégorie du véhicule en cause après accord du service technique.</w:t>
      </w:r>
    </w:p>
    <w:p w:rsidR="00780D96" w:rsidRPr="00780D96" w:rsidRDefault="00780D96" w:rsidP="00A07FA8">
      <w:pPr>
        <w:pStyle w:val="SingleTxtG"/>
        <w:ind w:left="2268" w:hanging="1134"/>
        <w:rPr>
          <w:rFonts w:eastAsia="Times New Roman"/>
          <w:bCs/>
          <w:lang w:val="fr-FR"/>
        </w:rPr>
      </w:pPr>
      <w:r w:rsidRPr="00780D96">
        <w:rPr>
          <w:rFonts w:eastAsia="Times New Roman"/>
          <w:bCs/>
          <w:lang w:val="fr-FR"/>
        </w:rPr>
        <w:t>2.21</w:t>
      </w:r>
      <w:r w:rsidRPr="00780D96">
        <w:rPr>
          <w:rFonts w:eastAsia="Times New Roman"/>
          <w:bCs/>
          <w:lang w:val="fr-FR"/>
        </w:rPr>
        <w:tab/>
      </w:r>
      <w:r w:rsidRPr="00780D96">
        <w:rPr>
          <w:rFonts w:eastAsia="Times New Roman"/>
          <w:bCs/>
          <w:lang w:val="fr-FR"/>
        </w:rPr>
        <w:tab/>
        <w:t xml:space="preserve">Véhicules </w:t>
      </w:r>
      <w:r w:rsidRPr="00A07FA8">
        <w:rPr>
          <w:rFonts w:eastAsia="Times New Roman"/>
          <w:lang w:val="fr-FR"/>
        </w:rPr>
        <w:t>hybrides</w:t>
      </w:r>
      <w:r w:rsidRPr="00780D96">
        <w:rPr>
          <w:rFonts w:eastAsia="Times New Roman"/>
          <w:bCs/>
          <w:lang w:val="fr-FR"/>
        </w:rPr>
        <w:t xml:space="preserve"> (HV)</w:t>
      </w:r>
    </w:p>
    <w:p w:rsidR="00780D96" w:rsidRPr="00780D96" w:rsidRDefault="00780D96" w:rsidP="00A07FA8">
      <w:pPr>
        <w:pStyle w:val="SingleTxtG"/>
        <w:keepNext/>
        <w:ind w:left="2268" w:hanging="1134"/>
        <w:rPr>
          <w:rFonts w:eastAsia="Times New Roman"/>
          <w:bCs/>
          <w:lang w:val="fr-FR"/>
        </w:rPr>
      </w:pPr>
      <w:r w:rsidRPr="00780D96">
        <w:rPr>
          <w:rFonts w:eastAsia="Times New Roman"/>
          <w:bCs/>
          <w:lang w:val="fr-FR"/>
        </w:rPr>
        <w:t>2.21.1</w:t>
      </w:r>
      <w:r w:rsidRPr="00780D96">
        <w:rPr>
          <w:rFonts w:eastAsia="Times New Roman"/>
          <w:bCs/>
          <w:lang w:val="fr-FR"/>
        </w:rPr>
        <w:tab/>
      </w:r>
      <w:r w:rsidRPr="00780D96">
        <w:rPr>
          <w:rFonts w:eastAsia="Times New Roman"/>
          <w:bCs/>
          <w:lang w:val="fr-FR"/>
        </w:rPr>
        <w:tab/>
        <w:t>Définition générale des véhicules hybrides:</w:t>
      </w:r>
    </w:p>
    <w:p w:rsidR="00780D96" w:rsidRPr="00780D96" w:rsidRDefault="00780D96" w:rsidP="00A07FA8">
      <w:pPr>
        <w:pStyle w:val="SingleTxtG"/>
        <w:ind w:left="2268"/>
        <w:rPr>
          <w:rFonts w:eastAsia="Times New Roman"/>
          <w:lang w:val="fr-FR"/>
        </w:rPr>
      </w:pPr>
      <w:r w:rsidRPr="00780D96">
        <w:rPr>
          <w:rFonts w:eastAsia="Times New Roman"/>
          <w:lang w:val="fr-FR"/>
        </w:rPr>
        <w:tab/>
        <w:t>Par «</w:t>
      </w:r>
      <w:r w:rsidRPr="00780D96">
        <w:rPr>
          <w:rFonts w:eastAsia="Times New Roman"/>
          <w:i/>
          <w:lang w:val="fr-FR"/>
        </w:rPr>
        <w:t>véhicule hybride</w:t>
      </w:r>
      <w:r w:rsidRPr="00780D96">
        <w:rPr>
          <w:rFonts w:eastAsia="Times New Roman"/>
          <w:lang w:val="fr-FR"/>
        </w:rPr>
        <w:t>», on entend un véhicule ayant à son bord au moins deux convertisseurs d</w:t>
      </w:r>
      <w:r w:rsidR="00DB4C2D">
        <w:rPr>
          <w:rFonts w:eastAsia="Times New Roman"/>
          <w:lang w:val="fr-FR"/>
        </w:rPr>
        <w:t>’</w:t>
      </w:r>
      <w:r w:rsidRPr="00780D96">
        <w:rPr>
          <w:rFonts w:eastAsia="Times New Roman"/>
          <w:lang w:val="fr-FR"/>
        </w:rPr>
        <w:t>énergie différents et au moins deux systèmes de stockage d</w:t>
      </w:r>
      <w:r w:rsidR="00DB4C2D">
        <w:rPr>
          <w:rFonts w:eastAsia="Times New Roman"/>
          <w:lang w:val="fr-FR"/>
        </w:rPr>
        <w:t>’</w:t>
      </w:r>
      <w:r w:rsidRPr="00780D96">
        <w:rPr>
          <w:rFonts w:eastAsia="Times New Roman"/>
          <w:lang w:val="fr-FR"/>
        </w:rPr>
        <w:t>énergie différents, destinés à sa propulsion.</w:t>
      </w:r>
    </w:p>
    <w:p w:rsidR="00780D96" w:rsidRPr="00780D96" w:rsidRDefault="00780D96" w:rsidP="00A07FA8">
      <w:pPr>
        <w:pStyle w:val="SingleTxtG"/>
        <w:keepNext/>
        <w:ind w:left="2268" w:hanging="1134"/>
        <w:rPr>
          <w:rFonts w:eastAsia="Times New Roman"/>
          <w:bCs/>
          <w:lang w:val="fr-FR"/>
        </w:rPr>
      </w:pPr>
      <w:r w:rsidRPr="00780D96">
        <w:rPr>
          <w:rFonts w:eastAsia="Times New Roman"/>
          <w:bCs/>
          <w:lang w:val="fr-FR"/>
        </w:rPr>
        <w:t>2.21.2</w:t>
      </w:r>
      <w:r w:rsidRPr="00780D96">
        <w:rPr>
          <w:rFonts w:eastAsia="Times New Roman"/>
          <w:bCs/>
          <w:lang w:val="fr-FR"/>
        </w:rPr>
        <w:tab/>
      </w:r>
      <w:r w:rsidRPr="00780D96">
        <w:rPr>
          <w:rFonts w:eastAsia="Times New Roman"/>
          <w:bCs/>
          <w:lang w:val="fr-FR"/>
        </w:rPr>
        <w:tab/>
        <w:t>Définition des véhicules électriques hybrides:</w:t>
      </w:r>
    </w:p>
    <w:p w:rsidR="00780D96" w:rsidRPr="00780D96" w:rsidRDefault="00780D96" w:rsidP="00A07FA8">
      <w:pPr>
        <w:pStyle w:val="SingleTxtG"/>
        <w:ind w:left="2268"/>
        <w:rPr>
          <w:rFonts w:eastAsia="Times New Roman"/>
          <w:bCs/>
          <w:szCs w:val="24"/>
          <w:lang w:val="fr-FR"/>
        </w:rPr>
      </w:pPr>
      <w:r w:rsidRPr="00780D96">
        <w:rPr>
          <w:rFonts w:eastAsia="Times New Roman"/>
          <w:bCs/>
          <w:szCs w:val="24"/>
          <w:lang w:val="fr-FR"/>
        </w:rPr>
        <w:t>Par «</w:t>
      </w:r>
      <w:r w:rsidRPr="00780D96">
        <w:rPr>
          <w:rFonts w:eastAsia="Times New Roman"/>
          <w:bCs/>
          <w:i/>
          <w:szCs w:val="24"/>
          <w:lang w:val="fr-FR"/>
        </w:rPr>
        <w:t>véhicule électrique hybride</w:t>
      </w:r>
      <w:r w:rsidRPr="00780D96">
        <w:rPr>
          <w:rFonts w:eastAsia="Times New Roman"/>
          <w:bCs/>
          <w:szCs w:val="24"/>
          <w:lang w:val="fr-FR"/>
        </w:rPr>
        <w:t>», on entend un véhicule, y compris un véhicule tirant de l</w:t>
      </w:r>
      <w:r w:rsidR="00DB4C2D">
        <w:rPr>
          <w:rFonts w:eastAsia="Times New Roman"/>
          <w:bCs/>
          <w:szCs w:val="24"/>
          <w:lang w:val="fr-FR"/>
        </w:rPr>
        <w:t>’</w:t>
      </w:r>
      <w:r w:rsidRPr="00780D96">
        <w:rPr>
          <w:rFonts w:eastAsia="Times New Roman"/>
          <w:bCs/>
          <w:szCs w:val="24"/>
          <w:lang w:val="fr-FR"/>
        </w:rPr>
        <w:t>énergie d</w:t>
      </w:r>
      <w:r w:rsidR="00DB4C2D">
        <w:rPr>
          <w:rFonts w:eastAsia="Times New Roman"/>
          <w:bCs/>
          <w:szCs w:val="24"/>
          <w:lang w:val="fr-FR"/>
        </w:rPr>
        <w:t>’</w:t>
      </w:r>
      <w:r w:rsidRPr="00780D96">
        <w:rPr>
          <w:rFonts w:eastAsia="Times New Roman"/>
          <w:bCs/>
          <w:szCs w:val="24"/>
          <w:lang w:val="fr-FR"/>
        </w:rPr>
        <w:t xml:space="preserve">un carburant uniquement pour recharger le </w:t>
      </w:r>
      <w:r w:rsidRPr="00780D96">
        <w:rPr>
          <w:rFonts w:eastAsia="TimesNewRomanPSMT"/>
          <w:szCs w:val="24"/>
          <w:lang w:val="fr-FR" w:eastAsia="fr-FR"/>
        </w:rPr>
        <w:t>dispositif de stockage d</w:t>
      </w:r>
      <w:r w:rsidR="00DB4C2D">
        <w:rPr>
          <w:rFonts w:eastAsia="TimesNewRomanPSMT"/>
          <w:szCs w:val="24"/>
          <w:lang w:val="fr-FR" w:eastAsia="fr-FR"/>
        </w:rPr>
        <w:t>’</w:t>
      </w:r>
      <w:r w:rsidRPr="00780D96">
        <w:rPr>
          <w:rFonts w:eastAsia="TimesNewRomanPSMT"/>
          <w:szCs w:val="24"/>
          <w:lang w:val="fr-FR" w:eastAsia="fr-FR"/>
        </w:rPr>
        <w:t>énergie,</w:t>
      </w:r>
      <w:r w:rsidRPr="00780D96">
        <w:rPr>
          <w:rFonts w:eastAsia="Times New Roman"/>
          <w:bCs/>
          <w:szCs w:val="24"/>
          <w:lang w:val="fr-FR"/>
        </w:rPr>
        <w:t xml:space="preserve"> qui, aux fins de la </w:t>
      </w:r>
      <w:r w:rsidRPr="00A07FA8">
        <w:rPr>
          <w:rFonts w:eastAsia="Times New Roman"/>
          <w:lang w:val="fr-FR"/>
        </w:rPr>
        <w:t>propulsion</w:t>
      </w:r>
      <w:r w:rsidRPr="00780D96">
        <w:rPr>
          <w:rFonts w:eastAsia="Times New Roman"/>
          <w:bCs/>
          <w:szCs w:val="24"/>
          <w:lang w:val="fr-FR"/>
        </w:rPr>
        <w:t xml:space="preserve"> mécanique, tire de l</w:t>
      </w:r>
      <w:r w:rsidR="00DB4C2D">
        <w:rPr>
          <w:rFonts w:eastAsia="Times New Roman"/>
          <w:bCs/>
          <w:szCs w:val="24"/>
          <w:lang w:val="fr-FR"/>
        </w:rPr>
        <w:t>’</w:t>
      </w:r>
      <w:r w:rsidRPr="00780D96">
        <w:rPr>
          <w:rFonts w:eastAsia="Times New Roman"/>
          <w:bCs/>
          <w:szCs w:val="24"/>
          <w:lang w:val="fr-FR"/>
        </w:rPr>
        <w:t>énergie des deux sources embarquées d</w:t>
      </w:r>
      <w:r w:rsidR="00DB4C2D">
        <w:rPr>
          <w:rFonts w:eastAsia="Times New Roman"/>
          <w:bCs/>
          <w:szCs w:val="24"/>
          <w:lang w:val="fr-FR"/>
        </w:rPr>
        <w:t>’</w:t>
      </w:r>
      <w:r w:rsidRPr="00780D96">
        <w:rPr>
          <w:rFonts w:eastAsia="Times New Roman"/>
          <w:bCs/>
          <w:szCs w:val="24"/>
          <w:lang w:val="fr-FR"/>
        </w:rPr>
        <w:t>énergie ci-après:</w:t>
      </w:r>
    </w:p>
    <w:p w:rsidR="00780D96" w:rsidRPr="00780D96" w:rsidRDefault="00780D96" w:rsidP="00A07FA8">
      <w:pPr>
        <w:pStyle w:val="SingleTxtG"/>
        <w:ind w:left="2835" w:hanging="567"/>
        <w:rPr>
          <w:rFonts w:eastAsia="Times New Roman"/>
          <w:lang w:val="fr-FR"/>
        </w:rPr>
      </w:pPr>
      <w:r w:rsidRPr="00780D96">
        <w:rPr>
          <w:rFonts w:eastAsia="Times New Roman"/>
          <w:lang w:val="fr-FR"/>
        </w:rPr>
        <w:t>a)</w:t>
      </w:r>
      <w:r w:rsidRPr="00780D96">
        <w:rPr>
          <w:rFonts w:eastAsia="Times New Roman"/>
          <w:lang w:val="fr-FR"/>
        </w:rPr>
        <w:tab/>
        <w:t xml:space="preserve">Un </w:t>
      </w:r>
      <w:r w:rsidRPr="00A07FA8">
        <w:rPr>
          <w:lang w:val="fr-FR"/>
        </w:rPr>
        <w:t>carburant</w:t>
      </w:r>
      <w:r w:rsidRPr="00780D96">
        <w:rPr>
          <w:rFonts w:eastAsia="Times New Roman"/>
          <w:lang w:val="fr-FR"/>
        </w:rPr>
        <w:t>;</w:t>
      </w:r>
    </w:p>
    <w:p w:rsidR="00780D96" w:rsidRPr="00780D96" w:rsidRDefault="00780D96" w:rsidP="00A07FA8">
      <w:pPr>
        <w:pStyle w:val="SingleTxtG"/>
        <w:ind w:left="2835" w:hanging="567"/>
        <w:rPr>
          <w:rFonts w:eastAsia="Times New Roman"/>
          <w:bCs/>
          <w:lang w:val="fr-FR"/>
        </w:rPr>
      </w:pPr>
      <w:r w:rsidRPr="00780D96">
        <w:rPr>
          <w:rFonts w:eastAsia="Times New Roman"/>
          <w:bCs/>
          <w:lang w:val="fr-FR"/>
        </w:rPr>
        <w:t>b)</w:t>
      </w:r>
      <w:r w:rsidRPr="00780D96">
        <w:rPr>
          <w:rFonts w:eastAsia="Times New Roman"/>
          <w:bCs/>
          <w:lang w:val="fr-FR"/>
        </w:rPr>
        <w:tab/>
        <w:t xml:space="preserve">Une batterie, un condensateur, un volant/générateur ou un dispositif de </w:t>
      </w:r>
      <w:r w:rsidRPr="00A07FA8">
        <w:rPr>
          <w:lang w:val="fr-FR"/>
        </w:rPr>
        <w:t>stockage</w:t>
      </w:r>
      <w:r w:rsidRPr="00780D96">
        <w:rPr>
          <w:rFonts w:eastAsia="Times New Roman"/>
          <w:bCs/>
          <w:lang w:val="fr-FR"/>
        </w:rPr>
        <w:t xml:space="preserve"> d</w:t>
      </w:r>
      <w:r w:rsidR="00DB4C2D">
        <w:rPr>
          <w:rFonts w:eastAsia="Times New Roman"/>
          <w:bCs/>
          <w:lang w:val="fr-FR"/>
        </w:rPr>
        <w:t>’</w:t>
      </w:r>
      <w:r w:rsidRPr="00780D96">
        <w:rPr>
          <w:rFonts w:eastAsia="Times New Roman"/>
          <w:bCs/>
          <w:lang w:val="fr-FR"/>
        </w:rPr>
        <w:t>énergie.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2.22</w:t>
      </w:r>
      <w:r w:rsidRPr="00780D96">
        <w:rPr>
          <w:rFonts w:eastAsia="Times New Roman"/>
          <w:lang w:val="fr-FR"/>
        </w:rPr>
        <w:tab/>
        <w:t>Par «</w:t>
      </w:r>
      <w:r w:rsidRPr="00780D96">
        <w:rPr>
          <w:rFonts w:eastAsia="Times New Roman"/>
          <w:i/>
          <w:lang w:val="fr-FR"/>
        </w:rPr>
        <w:t xml:space="preserve">véhicule </w:t>
      </w:r>
      <w:proofErr w:type="spellStart"/>
      <w:r w:rsidRPr="00780D96">
        <w:rPr>
          <w:rFonts w:eastAsia="Times New Roman"/>
          <w:i/>
          <w:lang w:val="fr-FR"/>
        </w:rPr>
        <w:t>monocarburant</w:t>
      </w:r>
      <w:proofErr w:type="spellEnd"/>
      <w:r w:rsidRPr="00780D96">
        <w:rPr>
          <w:rFonts w:eastAsia="Times New Roman"/>
          <w:lang w:val="fr-FR"/>
        </w:rPr>
        <w:t>», on entend un véhicule conçu pour fonctionner principalement avec un type de carburant;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2.22.1</w:t>
      </w:r>
      <w:r w:rsidRPr="00780D96">
        <w:rPr>
          <w:rFonts w:eastAsia="Times New Roman"/>
          <w:lang w:val="fr-FR"/>
        </w:rPr>
        <w:tab/>
        <w:t>Par «</w:t>
      </w:r>
      <w:r w:rsidRPr="00780D96">
        <w:rPr>
          <w:rFonts w:eastAsia="Times New Roman"/>
          <w:i/>
          <w:lang w:val="fr-FR"/>
        </w:rPr>
        <w:t xml:space="preserve">véhicule </w:t>
      </w:r>
      <w:proofErr w:type="spellStart"/>
      <w:r w:rsidRPr="00780D96">
        <w:rPr>
          <w:rFonts w:eastAsia="Times New Roman"/>
          <w:i/>
          <w:lang w:val="fr-FR"/>
        </w:rPr>
        <w:t>monocarburant</w:t>
      </w:r>
      <w:proofErr w:type="spellEnd"/>
      <w:r w:rsidRPr="00780D96">
        <w:rPr>
          <w:rFonts w:eastAsia="Times New Roman"/>
          <w:i/>
          <w:lang w:val="fr-FR"/>
        </w:rPr>
        <w:t xml:space="preserve"> à gaz</w:t>
      </w:r>
      <w:r w:rsidRPr="00780D96">
        <w:rPr>
          <w:rFonts w:eastAsia="Times New Roman"/>
          <w:lang w:val="fr-FR"/>
        </w:rPr>
        <w:t>», un véhicule essentiellement conçu pour fonctionner en permanence au GPL, au GN/</w:t>
      </w:r>
      <w:proofErr w:type="spellStart"/>
      <w:r w:rsidRPr="00780D96">
        <w:rPr>
          <w:rFonts w:eastAsia="Times New Roman"/>
          <w:lang w:val="fr-FR"/>
        </w:rPr>
        <w:t>biométhane</w:t>
      </w:r>
      <w:proofErr w:type="spellEnd"/>
      <w:r w:rsidRPr="00780D96">
        <w:rPr>
          <w:rFonts w:eastAsia="Times New Roman"/>
          <w:lang w:val="fr-FR"/>
        </w:rPr>
        <w:t xml:space="preserve"> ou à l</w:t>
      </w:r>
      <w:r w:rsidR="00DB4C2D">
        <w:rPr>
          <w:rFonts w:eastAsia="Times New Roman"/>
          <w:lang w:val="fr-FR"/>
        </w:rPr>
        <w:t>’</w:t>
      </w:r>
      <w:r w:rsidRPr="00780D96">
        <w:rPr>
          <w:rFonts w:eastAsia="Times New Roman"/>
          <w:lang w:val="fr-FR"/>
        </w:rPr>
        <w:t>hydrogène, mais qui peut aussi être doté d</w:t>
      </w:r>
      <w:r w:rsidR="00DB4C2D">
        <w:rPr>
          <w:rFonts w:eastAsia="Times New Roman"/>
          <w:lang w:val="fr-FR"/>
        </w:rPr>
        <w:t>’</w:t>
      </w:r>
      <w:r w:rsidRPr="00780D96">
        <w:rPr>
          <w:rFonts w:eastAsia="Times New Roman"/>
          <w:lang w:val="fr-FR"/>
        </w:rPr>
        <w:t>un circuit d</w:t>
      </w:r>
      <w:r w:rsidR="00DB4C2D">
        <w:rPr>
          <w:rFonts w:eastAsia="Times New Roman"/>
          <w:lang w:val="fr-FR"/>
        </w:rPr>
        <w:t>’</w:t>
      </w:r>
      <w:r w:rsidRPr="00780D96">
        <w:rPr>
          <w:rFonts w:eastAsia="Times New Roman"/>
          <w:lang w:val="fr-FR"/>
        </w:rPr>
        <w:t>alimentation en essence réservé aux cas d</w:t>
      </w:r>
      <w:r w:rsidR="00DB4C2D">
        <w:rPr>
          <w:rFonts w:eastAsia="Times New Roman"/>
          <w:lang w:val="fr-FR"/>
        </w:rPr>
        <w:t>’</w:t>
      </w:r>
      <w:r w:rsidRPr="00780D96">
        <w:rPr>
          <w:rFonts w:eastAsia="Times New Roman"/>
          <w:lang w:val="fr-FR"/>
        </w:rPr>
        <w:t>urgence et au démarrage, et dont le réservoir d</w:t>
      </w:r>
      <w:r w:rsidR="00DB4C2D">
        <w:rPr>
          <w:rFonts w:eastAsia="Times New Roman"/>
          <w:lang w:val="fr-FR"/>
        </w:rPr>
        <w:t>’</w:t>
      </w:r>
      <w:r w:rsidRPr="00780D96">
        <w:rPr>
          <w:rFonts w:eastAsia="Times New Roman"/>
          <w:lang w:val="fr-FR"/>
        </w:rPr>
        <w:t>essence a une contenance maximale de 15 litres;</w:t>
      </w:r>
    </w:p>
    <w:p w:rsidR="00780D96" w:rsidRPr="00780D96" w:rsidRDefault="00780D96" w:rsidP="00A07FA8">
      <w:pPr>
        <w:pStyle w:val="SingleTxtG"/>
        <w:keepLines/>
        <w:ind w:left="2268" w:hanging="1134"/>
        <w:rPr>
          <w:rFonts w:eastAsia="Times New Roman"/>
          <w:lang w:val="fr-FR"/>
        </w:rPr>
      </w:pPr>
      <w:r w:rsidRPr="00780D96">
        <w:rPr>
          <w:rFonts w:eastAsia="Times New Roman"/>
          <w:lang w:val="fr-FR"/>
        </w:rPr>
        <w:lastRenderedPageBreak/>
        <w:t>2.23</w:t>
      </w:r>
      <w:r w:rsidRPr="00780D96">
        <w:rPr>
          <w:rFonts w:eastAsia="Times New Roman"/>
          <w:lang w:val="fr-FR"/>
        </w:rPr>
        <w:tab/>
      </w:r>
      <w:r w:rsidRPr="00780D96">
        <w:rPr>
          <w:rFonts w:eastAsia="Times New Roman"/>
          <w:lang w:val="fr-FR"/>
        </w:rPr>
        <w:tab/>
        <w:t>Par «</w:t>
      </w:r>
      <w:r w:rsidRPr="00780D96">
        <w:rPr>
          <w:rFonts w:eastAsia="Times New Roman"/>
          <w:i/>
          <w:lang w:val="fr-FR"/>
        </w:rPr>
        <w:t xml:space="preserve">véhicule </w:t>
      </w:r>
      <w:proofErr w:type="spellStart"/>
      <w:r w:rsidRPr="00780D96">
        <w:rPr>
          <w:rFonts w:eastAsia="Times New Roman"/>
          <w:i/>
          <w:lang w:val="fr-FR"/>
        </w:rPr>
        <w:t>bicarburant</w:t>
      </w:r>
      <w:proofErr w:type="spellEnd"/>
      <w:r w:rsidRPr="00780D96">
        <w:rPr>
          <w:rFonts w:eastAsia="Times New Roman"/>
          <w:lang w:val="fr-FR"/>
        </w:rPr>
        <w:t>», un véhicule doté de deux systèmes distincts de stockage du carburant conçu pour fonctionner avec un seul carburant à la fois. L</w:t>
      </w:r>
      <w:r w:rsidR="00DB4C2D">
        <w:rPr>
          <w:rFonts w:eastAsia="Times New Roman"/>
          <w:lang w:val="fr-FR"/>
        </w:rPr>
        <w:t>’</w:t>
      </w:r>
      <w:r w:rsidRPr="00780D96">
        <w:rPr>
          <w:rFonts w:eastAsia="Times New Roman"/>
          <w:lang w:val="fr-FR"/>
        </w:rPr>
        <w:t>utilisation simultanée des deux carburants est limitée en quantité et en durée;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2.23.1</w:t>
      </w:r>
      <w:r w:rsidRPr="00780D96">
        <w:rPr>
          <w:rFonts w:eastAsia="Times New Roman"/>
          <w:lang w:val="fr-FR"/>
        </w:rPr>
        <w:tab/>
        <w:t>Par «</w:t>
      </w:r>
      <w:r w:rsidRPr="00780D96">
        <w:rPr>
          <w:rFonts w:eastAsia="Times New Roman"/>
          <w:i/>
          <w:lang w:val="fr-FR"/>
        </w:rPr>
        <w:t xml:space="preserve">véhicule </w:t>
      </w:r>
      <w:proofErr w:type="spellStart"/>
      <w:r w:rsidRPr="00780D96">
        <w:rPr>
          <w:rFonts w:eastAsia="Times New Roman"/>
          <w:i/>
          <w:lang w:val="fr-FR"/>
        </w:rPr>
        <w:t>bicarburant</w:t>
      </w:r>
      <w:proofErr w:type="spellEnd"/>
      <w:r w:rsidRPr="00780D96">
        <w:rPr>
          <w:rFonts w:eastAsia="Times New Roman"/>
          <w:i/>
          <w:lang w:val="fr-FR"/>
        </w:rPr>
        <w:t xml:space="preserve"> à gaz</w:t>
      </w:r>
      <w:r w:rsidRPr="00780D96">
        <w:rPr>
          <w:rFonts w:eastAsia="Times New Roman"/>
          <w:lang w:val="fr-FR"/>
        </w:rPr>
        <w:t xml:space="preserve">», un véhicule </w:t>
      </w:r>
      <w:proofErr w:type="spellStart"/>
      <w:r w:rsidRPr="00780D96">
        <w:rPr>
          <w:rFonts w:eastAsia="Times New Roman"/>
          <w:lang w:val="fr-FR"/>
        </w:rPr>
        <w:t>bicarburant</w:t>
      </w:r>
      <w:proofErr w:type="spellEnd"/>
      <w:r w:rsidRPr="00780D96">
        <w:rPr>
          <w:rFonts w:eastAsia="Times New Roman"/>
          <w:lang w:val="fr-FR"/>
        </w:rPr>
        <w:t xml:space="preserve"> qui peut fonctionner à l</w:t>
      </w:r>
      <w:r w:rsidR="00DB4C2D">
        <w:rPr>
          <w:rFonts w:eastAsia="Times New Roman"/>
          <w:lang w:val="fr-FR"/>
        </w:rPr>
        <w:t>’</w:t>
      </w:r>
      <w:r w:rsidRPr="00780D96">
        <w:rPr>
          <w:rFonts w:eastAsia="Times New Roman"/>
          <w:lang w:val="fr-FR"/>
        </w:rPr>
        <w:t>essence (en mode essence), mais aussi au GPL, au GN/</w:t>
      </w:r>
      <w:proofErr w:type="spellStart"/>
      <w:r w:rsidRPr="00780D96">
        <w:rPr>
          <w:rFonts w:eastAsia="Times New Roman"/>
          <w:lang w:val="fr-FR"/>
        </w:rPr>
        <w:t>biométhane</w:t>
      </w:r>
      <w:proofErr w:type="spellEnd"/>
      <w:r w:rsidRPr="00780D96">
        <w:rPr>
          <w:rFonts w:eastAsia="Times New Roman"/>
          <w:lang w:val="fr-FR"/>
        </w:rPr>
        <w:t xml:space="preserve"> ou à l</w:t>
      </w:r>
      <w:r w:rsidR="00DB4C2D">
        <w:rPr>
          <w:rFonts w:eastAsia="Times New Roman"/>
          <w:lang w:val="fr-FR"/>
        </w:rPr>
        <w:t>’</w:t>
      </w:r>
      <w:r w:rsidRPr="00780D96">
        <w:rPr>
          <w:rFonts w:eastAsia="Times New Roman"/>
          <w:lang w:val="fr-FR"/>
        </w:rPr>
        <w:t>hydrogène (en mode gaz);</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2.24</w:t>
      </w:r>
      <w:r w:rsidRPr="00780D96">
        <w:rPr>
          <w:rFonts w:eastAsia="Times New Roman"/>
          <w:lang w:val="fr-FR"/>
        </w:rPr>
        <w:tab/>
        <w:t>Par «</w:t>
      </w:r>
      <w:r w:rsidRPr="00780D96">
        <w:rPr>
          <w:rFonts w:eastAsia="Times New Roman"/>
          <w:i/>
          <w:lang w:val="fr-FR"/>
        </w:rPr>
        <w:t>véhicule à carburant de remplacement</w:t>
      </w:r>
      <w:r w:rsidRPr="00780D96">
        <w:rPr>
          <w:rFonts w:eastAsia="Times New Roman"/>
          <w:lang w:val="fr-FR"/>
        </w:rPr>
        <w:t>», un véhicule conçu pour pouvoir fonctionner avec au moins un type de carburant qui est soit gazeux à la température et à la pression de l</w:t>
      </w:r>
      <w:r w:rsidR="00DB4C2D">
        <w:rPr>
          <w:rFonts w:eastAsia="Times New Roman"/>
          <w:lang w:val="fr-FR"/>
        </w:rPr>
        <w:t>’</w:t>
      </w:r>
      <w:r w:rsidRPr="00780D96">
        <w:rPr>
          <w:rFonts w:eastAsia="Times New Roman"/>
          <w:lang w:val="fr-FR"/>
        </w:rPr>
        <w:t>air, soit d</w:t>
      </w:r>
      <w:r w:rsidR="00DB4C2D">
        <w:rPr>
          <w:rFonts w:eastAsia="Times New Roman"/>
          <w:lang w:val="fr-FR"/>
        </w:rPr>
        <w:t>’</w:t>
      </w:r>
      <w:r w:rsidRPr="00780D96">
        <w:rPr>
          <w:rFonts w:eastAsia="Times New Roman"/>
          <w:lang w:val="fr-FR"/>
        </w:rPr>
        <w:t>origine principalement non pétrolière;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2.25</w:t>
      </w:r>
      <w:r w:rsidRPr="00780D96">
        <w:rPr>
          <w:rFonts w:eastAsia="Times New Roman"/>
          <w:lang w:val="fr-FR"/>
        </w:rPr>
        <w:tab/>
        <w:t>Par «</w:t>
      </w:r>
      <w:r w:rsidRPr="00780D96">
        <w:rPr>
          <w:rFonts w:eastAsia="Times New Roman"/>
          <w:i/>
          <w:lang w:val="fr-FR"/>
        </w:rPr>
        <w:t>véhicule à carburant modulable</w:t>
      </w:r>
      <w:r w:rsidRPr="00780D96">
        <w:rPr>
          <w:rFonts w:eastAsia="Times New Roman"/>
          <w:lang w:val="fr-FR"/>
        </w:rPr>
        <w:t>», un véhicule doté d</w:t>
      </w:r>
      <w:r w:rsidR="00DB4C2D">
        <w:rPr>
          <w:rFonts w:eastAsia="Times New Roman"/>
          <w:lang w:val="fr-FR"/>
        </w:rPr>
        <w:t>’</w:t>
      </w:r>
      <w:r w:rsidRPr="00780D96">
        <w:rPr>
          <w:rFonts w:eastAsia="Times New Roman"/>
          <w:lang w:val="fr-FR"/>
        </w:rPr>
        <w:t>un système de stockage de carburant qui peut fonctionner à différents mélanges de deux carburants ou plus;</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2.25.1</w:t>
      </w:r>
      <w:r w:rsidRPr="00780D96">
        <w:rPr>
          <w:rFonts w:eastAsia="Times New Roman"/>
          <w:lang w:val="fr-FR"/>
        </w:rPr>
        <w:tab/>
        <w:t>Par «</w:t>
      </w:r>
      <w:r w:rsidRPr="00780D96">
        <w:rPr>
          <w:rFonts w:eastAsia="Times New Roman"/>
          <w:i/>
          <w:lang w:val="fr-FR"/>
        </w:rPr>
        <w:t>véhicule à carburant modulable à éthanol</w:t>
      </w:r>
      <w:r w:rsidRPr="00780D96">
        <w:rPr>
          <w:rFonts w:eastAsia="Times New Roman"/>
          <w:lang w:val="fr-FR"/>
        </w:rPr>
        <w:t>», un véhicule à carburant modulable qui peut fonctionner à l</w:t>
      </w:r>
      <w:r w:rsidR="00DB4C2D">
        <w:rPr>
          <w:rFonts w:eastAsia="Times New Roman"/>
          <w:lang w:val="fr-FR"/>
        </w:rPr>
        <w:t>’</w:t>
      </w:r>
      <w:r w:rsidRPr="00780D96">
        <w:rPr>
          <w:rFonts w:eastAsia="Times New Roman"/>
          <w:lang w:val="fr-FR"/>
        </w:rPr>
        <w:t>essence ou à un mélange d</w:t>
      </w:r>
      <w:r w:rsidR="00DB4C2D">
        <w:rPr>
          <w:rFonts w:eastAsia="Times New Roman"/>
          <w:lang w:val="fr-FR"/>
        </w:rPr>
        <w:t>’</w:t>
      </w:r>
      <w:r w:rsidRPr="00780D96">
        <w:rPr>
          <w:rFonts w:eastAsia="Times New Roman"/>
          <w:lang w:val="fr-FR"/>
        </w:rPr>
        <w:t>essence et d</w:t>
      </w:r>
      <w:r w:rsidR="00DB4C2D">
        <w:rPr>
          <w:rFonts w:eastAsia="Times New Roman"/>
          <w:lang w:val="fr-FR"/>
        </w:rPr>
        <w:t>’</w:t>
      </w:r>
      <w:r w:rsidRPr="00780D96">
        <w:rPr>
          <w:rFonts w:eastAsia="Times New Roman"/>
          <w:lang w:val="fr-FR"/>
        </w:rPr>
        <w:t>éthanol jusqu</w:t>
      </w:r>
      <w:r w:rsidR="00DB4C2D">
        <w:rPr>
          <w:rFonts w:eastAsia="Times New Roman"/>
          <w:lang w:val="fr-FR"/>
        </w:rPr>
        <w:t>’</w:t>
      </w:r>
      <w:r w:rsidRPr="00780D96">
        <w:rPr>
          <w:rFonts w:eastAsia="Times New Roman"/>
          <w:lang w:val="fr-FR"/>
        </w:rPr>
        <w:t>à une teneur de 85 % d</w:t>
      </w:r>
      <w:r w:rsidR="00DB4C2D">
        <w:rPr>
          <w:rFonts w:eastAsia="Times New Roman"/>
          <w:lang w:val="fr-FR"/>
        </w:rPr>
        <w:t>’</w:t>
      </w:r>
      <w:r w:rsidRPr="00780D96">
        <w:rPr>
          <w:rFonts w:eastAsia="Times New Roman"/>
          <w:lang w:val="fr-FR"/>
        </w:rPr>
        <w:t>éthanol</w:t>
      </w:r>
      <w:r w:rsidRPr="00780D96">
        <w:rPr>
          <w:rFonts w:eastAsia="Times New Roman"/>
          <w:b/>
          <w:lang w:val="fr-FR"/>
        </w:rPr>
        <w:t xml:space="preserve"> </w:t>
      </w:r>
      <w:r w:rsidRPr="00780D96">
        <w:rPr>
          <w:rFonts w:eastAsia="Times New Roman"/>
          <w:lang w:val="fr-FR"/>
        </w:rPr>
        <w:t>(E85);</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2.25.2</w:t>
      </w:r>
      <w:r w:rsidRPr="00780D96">
        <w:rPr>
          <w:rFonts w:eastAsia="Times New Roman"/>
          <w:lang w:val="fr-FR"/>
        </w:rPr>
        <w:tab/>
        <w:t>Par «</w:t>
      </w:r>
      <w:r w:rsidRPr="00780D96">
        <w:rPr>
          <w:rFonts w:eastAsia="Times New Roman"/>
          <w:i/>
          <w:lang w:val="fr-FR"/>
        </w:rPr>
        <w:t xml:space="preserve">véhicule à carburant modulable à </w:t>
      </w:r>
      <w:proofErr w:type="spellStart"/>
      <w:r w:rsidRPr="00780D96">
        <w:rPr>
          <w:rFonts w:eastAsia="Times New Roman"/>
          <w:i/>
          <w:lang w:val="fr-FR"/>
        </w:rPr>
        <w:t>biogazole</w:t>
      </w:r>
      <w:proofErr w:type="spellEnd"/>
      <w:r w:rsidRPr="00780D96">
        <w:rPr>
          <w:rFonts w:eastAsia="Times New Roman"/>
          <w:lang w:val="fr-FR"/>
        </w:rPr>
        <w:t xml:space="preserve">», un véhicule à carburant modulable qui peut fonctionner au gazole minéral ou à un mélange de gazole minéral et de </w:t>
      </w:r>
      <w:proofErr w:type="spellStart"/>
      <w:r w:rsidRPr="00780D96">
        <w:rPr>
          <w:rFonts w:eastAsia="Times New Roman"/>
          <w:lang w:val="fr-FR"/>
        </w:rPr>
        <w:t>biogazole</w:t>
      </w:r>
      <w:proofErr w:type="spellEnd"/>
      <w:r w:rsidRPr="00780D96">
        <w:rPr>
          <w:rFonts w:eastAsia="Times New Roman"/>
          <w:lang w:val="fr-FR"/>
        </w:rPr>
        <w:t>;</w:t>
      </w:r>
    </w:p>
    <w:p w:rsidR="00780D96" w:rsidRPr="00780D96" w:rsidRDefault="00780D96" w:rsidP="00A07FA8">
      <w:pPr>
        <w:pStyle w:val="SingleTxtG"/>
        <w:ind w:left="2268" w:hanging="1134"/>
        <w:rPr>
          <w:rFonts w:eastAsia="Times New Roman"/>
          <w:lang w:val="fr-FR" w:eastAsia="de-DE"/>
        </w:rPr>
      </w:pPr>
      <w:r w:rsidRPr="00780D96">
        <w:rPr>
          <w:rFonts w:eastAsia="Times New Roman"/>
          <w:lang w:val="fr-FR" w:eastAsia="de-DE"/>
        </w:rPr>
        <w:t>2.26</w:t>
      </w:r>
      <w:r w:rsidRPr="00780D96">
        <w:rPr>
          <w:rFonts w:eastAsia="Times New Roman"/>
          <w:lang w:val="fr-FR" w:eastAsia="de-DE"/>
        </w:rPr>
        <w:tab/>
        <w:t>Par «</w:t>
      </w:r>
      <w:r w:rsidRPr="00780D96">
        <w:rPr>
          <w:rFonts w:eastAsia="Times New Roman"/>
          <w:i/>
          <w:lang w:val="fr-FR" w:eastAsia="de-DE"/>
        </w:rPr>
        <w:t>véhicules conçus pour satisfaire des besoins sociaux spécifiques</w:t>
      </w:r>
      <w:r w:rsidRPr="00780D96">
        <w:rPr>
          <w:rFonts w:eastAsia="Times New Roman"/>
          <w:lang w:val="fr-FR" w:eastAsia="de-DE"/>
        </w:rPr>
        <w:t>», des véhicules diesel de la catégorie M</w:t>
      </w:r>
      <w:r w:rsidRPr="00780D96">
        <w:rPr>
          <w:rFonts w:eastAsia="Times New Roman"/>
          <w:vertAlign w:val="subscript"/>
          <w:lang w:val="fr-FR" w:eastAsia="de-DE"/>
        </w:rPr>
        <w:t>1</w:t>
      </w:r>
      <w:r w:rsidRPr="00780D96">
        <w:rPr>
          <w:rFonts w:eastAsia="Times New Roman"/>
          <w:lang w:val="fr-FR" w:eastAsia="de-DE"/>
        </w:rPr>
        <w:t xml:space="preserve"> </w:t>
      </w:r>
      <w:r w:rsidRPr="00780D96">
        <w:rPr>
          <w:rFonts w:eastAsia="Times New Roman"/>
          <w:lang w:val="fr-FR"/>
        </w:rPr>
        <w:t>qui</w:t>
      </w:r>
      <w:r w:rsidRPr="00780D96">
        <w:rPr>
          <w:rFonts w:eastAsia="Times New Roman"/>
          <w:lang w:val="fr-FR" w:eastAsia="de-DE"/>
        </w:rPr>
        <w:t xml:space="preserve"> sont:</w:t>
      </w:r>
    </w:p>
    <w:p w:rsidR="00780D96" w:rsidRPr="00780D96" w:rsidRDefault="00780D96" w:rsidP="00A07FA8">
      <w:pPr>
        <w:pStyle w:val="SingleTxtG"/>
        <w:ind w:left="2835" w:hanging="567"/>
        <w:rPr>
          <w:rFonts w:eastAsia="Times New Roman"/>
          <w:lang w:val="fr-FR" w:eastAsia="de-DE"/>
        </w:rPr>
      </w:pPr>
      <w:r w:rsidRPr="00780D96">
        <w:rPr>
          <w:rFonts w:eastAsia="Times New Roman"/>
          <w:lang w:val="fr-FR" w:eastAsia="de-DE"/>
        </w:rPr>
        <w:t>a)</w:t>
      </w:r>
      <w:r w:rsidRPr="00780D96">
        <w:rPr>
          <w:rFonts w:eastAsia="Times New Roman"/>
          <w:lang w:val="fr-FR" w:eastAsia="de-DE"/>
        </w:rPr>
        <w:tab/>
        <w:t>Des véhicules à usage spécial dont la masse de référence est supérieure à 2 000 kg</w:t>
      </w:r>
      <w:r w:rsidRPr="00780D96">
        <w:rPr>
          <w:rFonts w:eastAsia="Times New Roman"/>
          <w:sz w:val="18"/>
          <w:vertAlign w:val="superscript"/>
        </w:rPr>
        <w:footnoteReference w:id="4"/>
      </w:r>
      <w:r w:rsidRPr="00780D96">
        <w:rPr>
          <w:rFonts w:eastAsia="Times New Roman"/>
          <w:lang w:val="fr-FR" w:eastAsia="de-DE"/>
        </w:rPr>
        <w:t>;</w:t>
      </w:r>
    </w:p>
    <w:p w:rsidR="00780D96" w:rsidRPr="00780D96" w:rsidRDefault="00780D96" w:rsidP="00A07FA8">
      <w:pPr>
        <w:pStyle w:val="SingleTxtG"/>
        <w:ind w:left="2835" w:hanging="567"/>
        <w:rPr>
          <w:rFonts w:eastAsia="Times New Roman"/>
          <w:lang w:val="fr-FR" w:eastAsia="de-DE"/>
        </w:rPr>
      </w:pPr>
      <w:r w:rsidRPr="00780D96">
        <w:rPr>
          <w:rFonts w:eastAsia="Times New Roman"/>
          <w:lang w:val="fr-FR" w:eastAsia="de-DE"/>
        </w:rPr>
        <w:t>b)</w:t>
      </w:r>
      <w:r w:rsidRPr="00780D96">
        <w:rPr>
          <w:rFonts w:eastAsia="Times New Roman"/>
          <w:lang w:val="fr-FR" w:eastAsia="de-DE"/>
        </w:rPr>
        <w:tab/>
        <w:t>Ou des véhicules dont la masse de référence est supérieure à 2 000 kg et le nombre de places, incluant celle du conducteur, est égal ou supérieur à sept, à l</w:t>
      </w:r>
      <w:r w:rsidR="00DB4C2D">
        <w:rPr>
          <w:rFonts w:eastAsia="Times New Roman"/>
          <w:lang w:val="fr-FR" w:eastAsia="de-DE"/>
        </w:rPr>
        <w:t>’</w:t>
      </w:r>
      <w:r w:rsidRPr="00780D96">
        <w:rPr>
          <w:rFonts w:eastAsia="Times New Roman"/>
          <w:lang w:val="fr-FR" w:eastAsia="de-DE"/>
        </w:rPr>
        <w:t>exclusion des véhicules de la catégorie M</w:t>
      </w:r>
      <w:r w:rsidRPr="00780D96">
        <w:rPr>
          <w:rFonts w:eastAsia="Times New Roman"/>
          <w:vertAlign w:val="subscript"/>
          <w:lang w:val="fr-FR" w:eastAsia="de-DE"/>
        </w:rPr>
        <w:t>1</w:t>
      </w:r>
      <w:r w:rsidRPr="00780D96">
        <w:rPr>
          <w:rFonts w:eastAsia="Times New Roman"/>
          <w:lang w:val="fr-FR" w:eastAsia="de-DE"/>
        </w:rPr>
        <w:t>G</w:t>
      </w:r>
      <w:r w:rsidRPr="00780D96">
        <w:rPr>
          <w:rFonts w:eastAsia="Times New Roman"/>
          <w:sz w:val="18"/>
          <w:vertAlign w:val="superscript"/>
          <w:lang w:val="fr-FR" w:eastAsia="de-DE"/>
        </w:rPr>
        <w:t>3</w:t>
      </w:r>
      <w:r w:rsidRPr="00780D96">
        <w:rPr>
          <w:rFonts w:eastAsia="Times New Roman"/>
          <w:lang w:val="fr-FR" w:eastAsia="de-DE"/>
        </w:rPr>
        <w:t>;</w:t>
      </w:r>
    </w:p>
    <w:p w:rsidR="00780D96" w:rsidRPr="00780D96" w:rsidRDefault="00780D96" w:rsidP="00A07FA8">
      <w:pPr>
        <w:pStyle w:val="SingleTxtG"/>
        <w:ind w:left="2835" w:hanging="567"/>
        <w:rPr>
          <w:rFonts w:eastAsia="Times New Roman"/>
          <w:lang w:val="fr-FR" w:eastAsia="de-DE"/>
        </w:rPr>
      </w:pPr>
      <w:r w:rsidRPr="00780D96">
        <w:rPr>
          <w:rFonts w:eastAsia="Times New Roman"/>
          <w:lang w:val="fr-FR" w:eastAsia="de-DE"/>
        </w:rPr>
        <w:t>c)</w:t>
      </w:r>
      <w:r w:rsidRPr="00780D96">
        <w:rPr>
          <w:rFonts w:eastAsia="Times New Roman"/>
          <w:lang w:val="fr-FR" w:eastAsia="de-DE"/>
        </w:rPr>
        <w:tab/>
        <w:t xml:space="preserve">Ou encore des véhicules ayant une </w:t>
      </w:r>
      <w:r w:rsidRPr="00A07FA8">
        <w:rPr>
          <w:lang w:val="fr-FR"/>
        </w:rPr>
        <w:t>masse</w:t>
      </w:r>
      <w:r w:rsidRPr="00780D96">
        <w:rPr>
          <w:rFonts w:eastAsia="Times New Roman"/>
          <w:lang w:val="fr-FR" w:eastAsia="de-DE"/>
        </w:rPr>
        <w:t xml:space="preserve"> de référence supérieure à 1 760 kg, destinés spécifiquement à un usage commercial et conçus pour permettre l</w:t>
      </w:r>
      <w:r w:rsidR="00DB4C2D">
        <w:rPr>
          <w:rFonts w:eastAsia="Times New Roman"/>
          <w:lang w:val="fr-FR" w:eastAsia="de-DE"/>
        </w:rPr>
        <w:t>’</w:t>
      </w:r>
      <w:r w:rsidRPr="00780D96">
        <w:rPr>
          <w:rFonts w:eastAsia="Times New Roman"/>
          <w:lang w:val="fr-FR" w:eastAsia="de-DE"/>
        </w:rPr>
        <w:t>utilisation de fauteuils roulants à l</w:t>
      </w:r>
      <w:r w:rsidR="00DB4C2D">
        <w:rPr>
          <w:rFonts w:eastAsia="Times New Roman"/>
          <w:lang w:val="fr-FR" w:eastAsia="de-DE"/>
        </w:rPr>
        <w:t>’</w:t>
      </w:r>
      <w:r w:rsidRPr="00780D96">
        <w:rPr>
          <w:rFonts w:eastAsia="Times New Roman"/>
          <w:lang w:val="fr-FR" w:eastAsia="de-DE"/>
        </w:rPr>
        <w:t>intérieur du véhicule;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2.27</w:t>
      </w:r>
      <w:r w:rsidRPr="00780D96">
        <w:rPr>
          <w:rFonts w:eastAsia="Times New Roman"/>
          <w:lang w:val="fr-FR"/>
        </w:rPr>
        <w:tab/>
      </w:r>
      <w:r w:rsidRPr="00780D96">
        <w:rPr>
          <w:rFonts w:eastAsia="Times New Roman"/>
          <w:lang w:val="fr-FR"/>
        </w:rPr>
        <w:tab/>
        <w:t>Par «</w:t>
      </w:r>
      <w:r w:rsidRPr="00780D96">
        <w:rPr>
          <w:rFonts w:eastAsia="Times New Roman"/>
          <w:i/>
          <w:lang w:val="fr-FR"/>
        </w:rPr>
        <w:t>démarrage à froid</w:t>
      </w:r>
      <w:r w:rsidRPr="00780D96">
        <w:rPr>
          <w:rFonts w:eastAsia="Times New Roman"/>
          <w:lang w:val="fr-FR"/>
        </w:rPr>
        <w:t>», dans le contexte de la surveillance du rapport d</w:t>
      </w:r>
      <w:r w:rsidR="00DB4C2D">
        <w:rPr>
          <w:rFonts w:eastAsia="Times New Roman"/>
          <w:lang w:val="fr-FR"/>
        </w:rPr>
        <w:t>’</w:t>
      </w:r>
      <w:r w:rsidRPr="00780D96">
        <w:rPr>
          <w:rFonts w:eastAsia="Times New Roman"/>
          <w:lang w:val="fr-FR"/>
        </w:rPr>
        <w:t>efficacité en service (IUPR</w:t>
      </w:r>
      <w:r w:rsidRPr="00780D96">
        <w:rPr>
          <w:rFonts w:eastAsia="Times New Roman"/>
          <w:vertAlign w:val="subscript"/>
          <w:lang w:val="fr-FR"/>
        </w:rPr>
        <w:t>M</w:t>
      </w:r>
      <w:r w:rsidRPr="00780D96">
        <w:rPr>
          <w:rFonts w:eastAsia="Times New Roman"/>
          <w:lang w:val="fr-FR"/>
        </w:rPr>
        <w:t>), le démarrage du moteur intervenant lorsque la température du liquide de refroidissement (ou une température équivalente) est inférieure ou égale à 35 °C et supérieure de 7 K au plus à la température ambiante (si celle-ci est disponible);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2.28</w:t>
      </w:r>
      <w:r w:rsidRPr="00780D96">
        <w:rPr>
          <w:rFonts w:eastAsia="Times New Roman"/>
          <w:lang w:val="fr-FR"/>
        </w:rPr>
        <w:tab/>
      </w:r>
      <w:r w:rsidRPr="00780D96">
        <w:rPr>
          <w:rFonts w:eastAsia="Times New Roman"/>
          <w:lang w:val="fr-FR"/>
        </w:rPr>
        <w:tab/>
        <w:t>Par «</w:t>
      </w:r>
      <w:r w:rsidRPr="00780D96">
        <w:rPr>
          <w:rFonts w:eastAsia="Times New Roman"/>
          <w:i/>
          <w:lang w:val="fr-FR"/>
        </w:rPr>
        <w:t>moteur à injection directe</w:t>
      </w:r>
      <w:r w:rsidRPr="00780D96">
        <w:rPr>
          <w:rFonts w:eastAsia="Times New Roman"/>
          <w:lang w:val="fr-FR"/>
        </w:rPr>
        <w:t>»,</w:t>
      </w:r>
      <w:r w:rsidRPr="00780D96">
        <w:rPr>
          <w:rFonts w:eastAsia="Times New Roman"/>
          <w:i/>
          <w:lang w:val="fr-FR"/>
        </w:rPr>
        <w:t xml:space="preserve"> </w:t>
      </w:r>
      <w:r w:rsidRPr="00780D96">
        <w:rPr>
          <w:rFonts w:eastAsia="Times New Roman"/>
          <w:lang w:val="fr-FR"/>
        </w:rPr>
        <w:t>un moteur qui peut fonctionner selon un mode dans lequel le carburant est injecté dans l</w:t>
      </w:r>
      <w:r w:rsidR="00DB4C2D">
        <w:rPr>
          <w:rFonts w:eastAsia="Times New Roman"/>
          <w:lang w:val="fr-FR"/>
        </w:rPr>
        <w:t>’</w:t>
      </w:r>
      <w:r w:rsidRPr="00780D96">
        <w:rPr>
          <w:rFonts w:eastAsia="Times New Roman"/>
          <w:lang w:val="fr-FR"/>
        </w:rPr>
        <w:t>air d</w:t>
      </w:r>
      <w:r w:rsidR="00DB4C2D">
        <w:rPr>
          <w:rFonts w:eastAsia="Times New Roman"/>
          <w:lang w:val="fr-FR"/>
        </w:rPr>
        <w:t>’</w:t>
      </w:r>
      <w:r w:rsidRPr="00780D96">
        <w:rPr>
          <w:rFonts w:eastAsia="Times New Roman"/>
          <w:lang w:val="fr-FR"/>
        </w:rPr>
        <w:t>admission une fois que l</w:t>
      </w:r>
      <w:r w:rsidR="00DB4C2D">
        <w:rPr>
          <w:rFonts w:eastAsia="Times New Roman"/>
          <w:lang w:val="fr-FR"/>
        </w:rPr>
        <w:t>’</w:t>
      </w:r>
      <w:r w:rsidRPr="00780D96">
        <w:rPr>
          <w:rFonts w:eastAsia="Times New Roman"/>
          <w:lang w:val="fr-FR"/>
        </w:rPr>
        <w:t>air a été introduit par les volets d</w:t>
      </w:r>
      <w:r w:rsidR="00DB4C2D">
        <w:rPr>
          <w:rFonts w:eastAsia="Times New Roman"/>
          <w:lang w:val="fr-FR"/>
        </w:rPr>
        <w:t>’</w:t>
      </w:r>
      <w:r w:rsidRPr="00780D96">
        <w:rPr>
          <w:rFonts w:eastAsia="Times New Roman"/>
          <w:lang w:val="fr-FR"/>
        </w:rPr>
        <w:t>admission;</w:t>
      </w:r>
    </w:p>
    <w:p w:rsidR="00780D96" w:rsidRPr="00780D96" w:rsidRDefault="00780D96" w:rsidP="00A07FA8">
      <w:pPr>
        <w:pStyle w:val="SingleTxtG"/>
        <w:ind w:left="2268" w:hanging="1134"/>
        <w:rPr>
          <w:rFonts w:eastAsia="Times New Roman"/>
          <w:bCs/>
          <w:lang w:val="fr-FR"/>
        </w:rPr>
      </w:pPr>
      <w:r w:rsidRPr="00780D96">
        <w:rPr>
          <w:rFonts w:eastAsia="Times New Roman"/>
          <w:lang w:val="fr-FR"/>
        </w:rPr>
        <w:t>2.29</w:t>
      </w:r>
      <w:r w:rsidRPr="00780D96">
        <w:rPr>
          <w:rFonts w:eastAsia="Times New Roman"/>
          <w:lang w:val="fr-FR"/>
        </w:rPr>
        <w:tab/>
        <w:t>Par «</w:t>
      </w:r>
      <w:r w:rsidRPr="00780D96">
        <w:rPr>
          <w:rFonts w:eastAsia="Times New Roman"/>
          <w:i/>
          <w:lang w:val="fr-FR"/>
        </w:rPr>
        <w:t>chaîne de traction électrique</w:t>
      </w:r>
      <w:r w:rsidRPr="00780D96">
        <w:rPr>
          <w:rFonts w:eastAsia="Times New Roman"/>
          <w:lang w:val="fr-FR"/>
        </w:rPr>
        <w:t>», un système consistant en un ou plusieurs dispositifs de stockage de l</w:t>
      </w:r>
      <w:r w:rsidR="00DB4C2D">
        <w:rPr>
          <w:rFonts w:eastAsia="Times New Roman"/>
          <w:lang w:val="fr-FR"/>
        </w:rPr>
        <w:t>’</w:t>
      </w:r>
      <w:r w:rsidRPr="00780D96">
        <w:rPr>
          <w:rFonts w:eastAsia="Times New Roman"/>
          <w:lang w:val="fr-FR"/>
        </w:rPr>
        <w:t>énergie électrique, un ou plusieurs dispositifs de conditionnement de l</w:t>
      </w:r>
      <w:r w:rsidR="00DB4C2D">
        <w:rPr>
          <w:rFonts w:eastAsia="Times New Roman"/>
          <w:lang w:val="fr-FR"/>
        </w:rPr>
        <w:t>’</w:t>
      </w:r>
      <w:r w:rsidRPr="00780D96">
        <w:rPr>
          <w:rFonts w:eastAsia="Times New Roman"/>
          <w:lang w:val="fr-FR"/>
        </w:rPr>
        <w:t xml:space="preserve">énergie électrique et une ou plusieurs machines </w:t>
      </w:r>
      <w:r w:rsidRPr="00780D96">
        <w:rPr>
          <w:rFonts w:eastAsia="Times New Roman"/>
          <w:lang w:val="fr-FR"/>
        </w:rPr>
        <w:lastRenderedPageBreak/>
        <w:t>électriques conçues pour transformer l</w:t>
      </w:r>
      <w:r w:rsidR="00DB4C2D">
        <w:rPr>
          <w:rFonts w:eastAsia="Times New Roman"/>
          <w:lang w:val="fr-FR"/>
        </w:rPr>
        <w:t>’</w:t>
      </w:r>
      <w:r w:rsidRPr="00780D96">
        <w:rPr>
          <w:rFonts w:eastAsia="Times New Roman"/>
          <w:lang w:val="fr-FR"/>
        </w:rPr>
        <w:t>énergie électrique stockée en énergie mécanique qui est transmise aux roues pour faire avancer le véhicule</w:t>
      </w:r>
      <w:r w:rsidRPr="00780D96">
        <w:rPr>
          <w:rFonts w:eastAsia="Times New Roman"/>
          <w:bCs/>
          <w:lang w:val="fr-FR"/>
        </w:rPr>
        <w:t>;</w:t>
      </w:r>
    </w:p>
    <w:p w:rsidR="00780D96" w:rsidRPr="00780D96" w:rsidRDefault="00780D96" w:rsidP="00A07FA8">
      <w:pPr>
        <w:pStyle w:val="SingleTxtG"/>
        <w:ind w:left="2268" w:hanging="1134"/>
        <w:rPr>
          <w:rFonts w:eastAsia="Times New Roman"/>
          <w:bCs/>
          <w:lang w:val="fr-FR"/>
        </w:rPr>
      </w:pPr>
      <w:r w:rsidRPr="00780D96">
        <w:rPr>
          <w:rFonts w:eastAsia="Times New Roman"/>
          <w:bCs/>
          <w:lang w:val="fr-FR"/>
        </w:rPr>
        <w:t>2.30</w:t>
      </w:r>
      <w:r w:rsidRPr="00780D96">
        <w:rPr>
          <w:rFonts w:eastAsia="Times New Roman"/>
          <w:bCs/>
          <w:lang w:val="fr-FR"/>
        </w:rPr>
        <w:tab/>
        <w:t>Par «</w:t>
      </w:r>
      <w:r w:rsidRPr="00780D96">
        <w:rPr>
          <w:rFonts w:eastAsia="Times New Roman"/>
          <w:bCs/>
          <w:i/>
          <w:lang w:val="fr-FR"/>
        </w:rPr>
        <w:t>véhicule électrique pur</w:t>
      </w:r>
      <w:r w:rsidRPr="00780D96">
        <w:rPr>
          <w:rFonts w:eastAsia="Times New Roman"/>
          <w:bCs/>
          <w:lang w:val="fr-FR"/>
        </w:rPr>
        <w:t xml:space="preserve">», un véhicule mû uniquement </w:t>
      </w:r>
      <w:r w:rsidRPr="00A07FA8">
        <w:rPr>
          <w:rFonts w:eastAsia="Times New Roman"/>
          <w:lang w:val="fr-FR"/>
        </w:rPr>
        <w:t>par</w:t>
      </w:r>
      <w:r w:rsidRPr="00780D96">
        <w:rPr>
          <w:rFonts w:eastAsia="Times New Roman"/>
          <w:bCs/>
          <w:lang w:val="fr-FR"/>
        </w:rPr>
        <w:t xml:space="preserve"> une chaîne de traction électrique;</w:t>
      </w:r>
    </w:p>
    <w:p w:rsidR="00780D96" w:rsidRPr="00780D96" w:rsidRDefault="00780D96" w:rsidP="00A07FA8">
      <w:pPr>
        <w:pStyle w:val="SingleTxtG"/>
        <w:ind w:left="2268" w:hanging="1134"/>
        <w:rPr>
          <w:rFonts w:eastAsia="Times New Roman"/>
          <w:bCs/>
          <w:lang w:val="fr-FR"/>
        </w:rPr>
      </w:pPr>
      <w:r w:rsidRPr="00780D96">
        <w:rPr>
          <w:rFonts w:eastAsia="Times New Roman"/>
          <w:bCs/>
          <w:lang w:val="fr-FR"/>
        </w:rPr>
        <w:t>2.31</w:t>
      </w:r>
      <w:r w:rsidRPr="00780D96">
        <w:rPr>
          <w:rFonts w:eastAsia="Times New Roman"/>
          <w:bCs/>
          <w:lang w:val="fr-FR"/>
        </w:rPr>
        <w:tab/>
        <w:t>Par «</w:t>
      </w:r>
      <w:r w:rsidRPr="00780D96">
        <w:rPr>
          <w:rFonts w:eastAsia="Times New Roman"/>
          <w:bCs/>
          <w:i/>
          <w:lang w:val="fr-FR"/>
        </w:rPr>
        <w:t>véhicule à hydrogène à pile à combustible</w:t>
      </w:r>
      <w:r w:rsidRPr="00780D96">
        <w:rPr>
          <w:rFonts w:eastAsia="Times New Roman"/>
          <w:bCs/>
          <w:lang w:val="fr-FR"/>
        </w:rPr>
        <w:t>», un véhicule alimenté par une pile à combustible qui convertit l</w:t>
      </w:r>
      <w:r w:rsidR="00DB4C2D">
        <w:rPr>
          <w:rFonts w:eastAsia="Times New Roman"/>
          <w:bCs/>
          <w:lang w:val="fr-FR"/>
        </w:rPr>
        <w:t>’</w:t>
      </w:r>
      <w:r w:rsidRPr="00780D96">
        <w:rPr>
          <w:rFonts w:eastAsia="Times New Roman"/>
          <w:bCs/>
          <w:lang w:val="fr-FR"/>
        </w:rPr>
        <w:t xml:space="preserve">énergie chimique </w:t>
      </w:r>
      <w:r w:rsidRPr="00A07FA8">
        <w:rPr>
          <w:rFonts w:eastAsia="Times New Roman"/>
          <w:lang w:val="fr-FR"/>
        </w:rPr>
        <w:t>provenant</w:t>
      </w:r>
      <w:r w:rsidRPr="00780D96">
        <w:rPr>
          <w:rFonts w:eastAsia="Times New Roman"/>
          <w:bCs/>
          <w:lang w:val="fr-FR"/>
        </w:rPr>
        <w:t xml:space="preserve"> de l</w:t>
      </w:r>
      <w:r w:rsidR="00DB4C2D">
        <w:rPr>
          <w:rFonts w:eastAsia="Times New Roman"/>
          <w:bCs/>
          <w:lang w:val="fr-FR"/>
        </w:rPr>
        <w:t>’</w:t>
      </w:r>
      <w:r w:rsidRPr="00780D96">
        <w:rPr>
          <w:rFonts w:eastAsia="Times New Roman"/>
          <w:bCs/>
          <w:lang w:val="fr-FR"/>
        </w:rPr>
        <w:t>hydrogène en énergie électrique aux fins de la propulsion du véhicule;</w:t>
      </w:r>
    </w:p>
    <w:p w:rsidR="00780D96" w:rsidRPr="00780D96" w:rsidRDefault="00780D96" w:rsidP="00A07FA8">
      <w:pPr>
        <w:pStyle w:val="SingleTxtG"/>
        <w:ind w:left="2268" w:hanging="1134"/>
        <w:rPr>
          <w:rFonts w:eastAsia="Times New Roman"/>
          <w:bCs/>
          <w:lang w:val="fr-FR"/>
        </w:rPr>
      </w:pPr>
      <w:r w:rsidRPr="00780D96">
        <w:rPr>
          <w:rFonts w:eastAsia="Times New Roman"/>
          <w:bCs/>
          <w:lang w:val="fr-FR"/>
        </w:rPr>
        <w:t>2.32</w:t>
      </w:r>
      <w:r w:rsidRPr="00780D96">
        <w:rPr>
          <w:rFonts w:eastAsia="Times New Roman"/>
          <w:bCs/>
          <w:lang w:val="fr-FR"/>
        </w:rPr>
        <w:tab/>
        <w:t>Par «</w:t>
      </w:r>
      <w:r w:rsidRPr="00780D96">
        <w:rPr>
          <w:rFonts w:eastAsia="Times New Roman"/>
          <w:bCs/>
          <w:i/>
          <w:lang w:val="fr-FR"/>
        </w:rPr>
        <w:t>p</w:t>
      </w:r>
      <w:r w:rsidRPr="00780D96">
        <w:rPr>
          <w:rFonts w:eastAsia="Times New Roman"/>
          <w:i/>
          <w:lang w:val="fr-FR"/>
        </w:rPr>
        <w:t>uissance nette</w:t>
      </w:r>
      <w:r w:rsidRPr="00780D96">
        <w:rPr>
          <w:rFonts w:eastAsia="Times New Roman"/>
          <w:bCs/>
          <w:lang w:val="fr-FR"/>
        </w:rPr>
        <w:t xml:space="preserve">», </w:t>
      </w:r>
      <w:r w:rsidRPr="00780D96">
        <w:rPr>
          <w:rFonts w:eastAsia="Times New Roman"/>
          <w:lang w:val="fr-FR"/>
        </w:rPr>
        <w:t>la puissance mesurée au banc d</w:t>
      </w:r>
      <w:r w:rsidR="00DB4C2D">
        <w:rPr>
          <w:rFonts w:eastAsia="Times New Roman"/>
          <w:lang w:val="fr-FR"/>
        </w:rPr>
        <w:t>’</w:t>
      </w:r>
      <w:r w:rsidRPr="00780D96">
        <w:rPr>
          <w:rFonts w:eastAsia="Times New Roman"/>
          <w:lang w:val="fr-FR"/>
        </w:rPr>
        <w:t>essai en extrémité du vilebrequin ou de l</w:t>
      </w:r>
      <w:r w:rsidR="00DB4C2D">
        <w:rPr>
          <w:rFonts w:eastAsia="Times New Roman"/>
          <w:lang w:val="fr-FR"/>
        </w:rPr>
        <w:t>’</w:t>
      </w:r>
      <w:r w:rsidRPr="00780D96">
        <w:rPr>
          <w:rFonts w:eastAsia="Times New Roman"/>
          <w:lang w:val="fr-FR"/>
        </w:rPr>
        <w:t xml:space="preserve">organe équivalent, au régime considéré, avec les accessoires, conformément au Règlement </w:t>
      </w:r>
      <w:r w:rsidRPr="00780D96">
        <w:rPr>
          <w:rFonts w:eastAsia="MS Mincho"/>
          <w:lang w:val="fr-FR"/>
        </w:rPr>
        <w:t>n</w:t>
      </w:r>
      <w:r w:rsidRPr="00780D96">
        <w:rPr>
          <w:rFonts w:eastAsia="MS Mincho"/>
          <w:vertAlign w:val="superscript"/>
          <w:lang w:val="fr-FR"/>
        </w:rPr>
        <w:t>o</w:t>
      </w:r>
      <w:r w:rsidRPr="00780D96">
        <w:rPr>
          <w:rFonts w:eastAsia="Times New Roman"/>
          <w:lang w:val="fr-FR"/>
        </w:rPr>
        <w:t> 85, et déterminée en fonction des conditions atmosphériques de référence;</w:t>
      </w:r>
    </w:p>
    <w:p w:rsidR="00780D96" w:rsidRPr="00780D96" w:rsidRDefault="00780D96" w:rsidP="00A07FA8">
      <w:pPr>
        <w:pStyle w:val="SingleTxtG"/>
        <w:ind w:left="2268" w:hanging="1134"/>
        <w:rPr>
          <w:rFonts w:eastAsia="Times New Roman"/>
          <w:bCs/>
          <w:lang w:val="fr-FR"/>
        </w:rPr>
      </w:pPr>
      <w:r w:rsidRPr="00780D96">
        <w:rPr>
          <w:rFonts w:eastAsia="Times New Roman"/>
          <w:bCs/>
          <w:lang w:val="fr-FR"/>
        </w:rPr>
        <w:t>2.33</w:t>
      </w:r>
      <w:r w:rsidRPr="00780D96">
        <w:rPr>
          <w:rFonts w:eastAsia="Times New Roman"/>
          <w:bCs/>
          <w:lang w:val="fr-FR"/>
        </w:rPr>
        <w:tab/>
        <w:t>Par «</w:t>
      </w:r>
      <w:r w:rsidRPr="00780D96">
        <w:rPr>
          <w:rFonts w:eastAsia="Times New Roman"/>
          <w:bCs/>
          <w:i/>
          <w:lang w:val="fr-FR"/>
        </w:rPr>
        <w:t>p</w:t>
      </w:r>
      <w:r w:rsidRPr="00780D96">
        <w:rPr>
          <w:rFonts w:eastAsia="Times New Roman"/>
          <w:i/>
          <w:lang w:val="fr-FR"/>
        </w:rPr>
        <w:t>uissance nette maximale</w:t>
      </w:r>
      <w:r w:rsidRPr="00780D96">
        <w:rPr>
          <w:rFonts w:eastAsia="Times New Roman"/>
          <w:lang w:val="fr-FR"/>
        </w:rPr>
        <w:t>», la valeur maximale de la puissance nette mesurée à pleine charge du moteur</w:t>
      </w:r>
      <w:r w:rsidRPr="00780D96">
        <w:rPr>
          <w:rFonts w:eastAsia="Times New Roman"/>
          <w:bCs/>
          <w:lang w:val="fr-FR"/>
        </w:rPr>
        <w:t>;</w:t>
      </w:r>
    </w:p>
    <w:p w:rsidR="00780D96" w:rsidRPr="00780D96" w:rsidRDefault="00780D96" w:rsidP="00A07FA8">
      <w:pPr>
        <w:pStyle w:val="SingleTxtG"/>
        <w:ind w:left="2268" w:hanging="1134"/>
        <w:rPr>
          <w:rFonts w:eastAsia="Times New Roman"/>
          <w:bCs/>
          <w:lang w:val="fr-FR"/>
        </w:rPr>
      </w:pPr>
      <w:r w:rsidRPr="00780D96">
        <w:rPr>
          <w:rFonts w:eastAsia="Times New Roman"/>
          <w:bCs/>
          <w:lang w:val="fr-FR"/>
        </w:rPr>
        <w:t>2.34</w:t>
      </w:r>
      <w:r w:rsidRPr="00780D96">
        <w:rPr>
          <w:rFonts w:eastAsia="Times New Roman"/>
          <w:bCs/>
          <w:lang w:val="fr-FR"/>
        </w:rPr>
        <w:tab/>
        <w:t>Par «</w:t>
      </w:r>
      <w:r w:rsidRPr="00780D96">
        <w:rPr>
          <w:rFonts w:eastAsia="Times New Roman"/>
          <w:i/>
          <w:lang w:val="fr-FR"/>
        </w:rPr>
        <w:t>puissance maximale sur 30 minutes</w:t>
      </w:r>
      <w:r w:rsidRPr="00780D96">
        <w:rPr>
          <w:rFonts w:eastAsia="Times New Roman"/>
          <w:lang w:val="fr-FR"/>
        </w:rPr>
        <w:t>»,</w:t>
      </w:r>
      <w:r w:rsidRPr="00780D96">
        <w:rPr>
          <w:rFonts w:eastAsia="Times New Roman"/>
          <w:bCs/>
          <w:lang w:val="fr-FR"/>
        </w:rPr>
        <w:t xml:space="preserve"> </w:t>
      </w:r>
      <w:r w:rsidRPr="00780D96">
        <w:rPr>
          <w:rFonts w:eastAsia="Times New Roman"/>
          <w:lang w:val="fr-FR"/>
        </w:rPr>
        <w:t xml:space="preserve">la puissance nette maximale que peut produire un groupe motopropulseur électrique alimenté en courant continu conformément au paragraphe </w:t>
      </w:r>
      <w:r w:rsidRPr="00780D96">
        <w:rPr>
          <w:rFonts w:eastAsia="Times New Roman"/>
          <w:bCs/>
          <w:lang w:val="fr-FR"/>
        </w:rPr>
        <w:t xml:space="preserve">5.3.2 du Règlement </w:t>
      </w:r>
      <w:r w:rsidRPr="00780D96">
        <w:rPr>
          <w:rFonts w:eastAsia="MS Mincho"/>
          <w:lang w:val="fr-FR"/>
        </w:rPr>
        <w:t>n</w:t>
      </w:r>
      <w:r w:rsidRPr="00780D96">
        <w:rPr>
          <w:rFonts w:eastAsia="MS Mincho"/>
          <w:vertAlign w:val="superscript"/>
          <w:lang w:val="fr-FR"/>
        </w:rPr>
        <w:t>o</w:t>
      </w:r>
      <w:r w:rsidRPr="00780D96">
        <w:rPr>
          <w:rFonts w:eastAsia="Times New Roman"/>
          <w:lang w:val="fr-FR"/>
        </w:rPr>
        <w:t> </w:t>
      </w:r>
      <w:r w:rsidRPr="00780D96">
        <w:rPr>
          <w:rFonts w:eastAsia="Times New Roman"/>
          <w:bCs/>
          <w:lang w:val="fr-FR"/>
        </w:rPr>
        <w:t>85;</w:t>
      </w:r>
    </w:p>
    <w:p w:rsidR="00780D96" w:rsidRPr="00780D96" w:rsidRDefault="00780D96" w:rsidP="00A07FA8">
      <w:pPr>
        <w:pStyle w:val="SingleTxtG"/>
        <w:ind w:left="2268" w:hanging="1134"/>
        <w:rPr>
          <w:rFonts w:eastAsia="Times New Roman"/>
          <w:lang w:val="fr-FR"/>
        </w:rPr>
      </w:pPr>
      <w:r w:rsidRPr="00780D96">
        <w:rPr>
          <w:rFonts w:eastAsia="Times New Roman"/>
          <w:bCs/>
          <w:lang w:val="fr-FR"/>
        </w:rPr>
        <w:t>2.35</w:t>
      </w:r>
      <w:r w:rsidRPr="00780D96">
        <w:rPr>
          <w:rFonts w:eastAsia="Times New Roman"/>
          <w:bCs/>
          <w:lang w:val="fr-FR"/>
        </w:rPr>
        <w:tab/>
      </w:r>
      <w:r w:rsidRPr="00780D96">
        <w:rPr>
          <w:rFonts w:eastAsia="Times New Roman"/>
          <w:lang w:val="fr-FR"/>
        </w:rPr>
        <w:tab/>
        <w:t>Par «</w:t>
      </w:r>
      <w:r w:rsidRPr="00780D96">
        <w:rPr>
          <w:rFonts w:eastAsia="Times New Roman"/>
          <w:i/>
          <w:lang w:val="fr-FR"/>
        </w:rPr>
        <w:t>démarrage à froid</w:t>
      </w:r>
      <w:r w:rsidRPr="00780D96">
        <w:rPr>
          <w:rFonts w:eastAsia="Times New Roman"/>
          <w:lang w:val="fr-FR"/>
        </w:rPr>
        <w:t>», le démarrage du moteur intervenant lorsque la température du liquide de refroidissement (ou une température équivalente) est inférieure ou égale à 35 °C et supérieure de 7 K au plus à la température ambiante (si celle-ci est disponible).</w:t>
      </w:r>
    </w:p>
    <w:p w:rsidR="00780D96" w:rsidRPr="00A07FA8" w:rsidRDefault="00A07FA8" w:rsidP="00A07FA8">
      <w:pPr>
        <w:pStyle w:val="HChG"/>
        <w:rPr>
          <w:rFonts w:eastAsia="Times New Roman"/>
          <w:lang w:val="fr-FR"/>
        </w:rPr>
      </w:pPr>
      <w:r>
        <w:rPr>
          <w:lang w:val="fr-FR"/>
        </w:rPr>
        <w:tab/>
      </w:r>
      <w:r>
        <w:rPr>
          <w:lang w:val="fr-FR"/>
        </w:rPr>
        <w:tab/>
      </w:r>
      <w:r w:rsidR="00780D96" w:rsidRPr="00A07FA8">
        <w:rPr>
          <w:lang w:val="fr-FR"/>
        </w:rPr>
        <w:t>3.</w:t>
      </w:r>
      <w:r w:rsidR="00780D96" w:rsidRPr="00A07FA8">
        <w:rPr>
          <w:lang w:val="fr-FR"/>
        </w:rPr>
        <w:tab/>
      </w:r>
      <w:r w:rsidR="00780D96" w:rsidRPr="00A07FA8">
        <w:rPr>
          <w:lang w:val="fr-FR"/>
        </w:rPr>
        <w:tab/>
        <w:t>Demande d</w:t>
      </w:r>
      <w:r w:rsidR="00DB4C2D">
        <w:rPr>
          <w:lang w:val="fr-FR"/>
        </w:rPr>
        <w:t>’</w:t>
      </w:r>
      <w:r w:rsidR="00780D96" w:rsidRPr="00A07FA8">
        <w:rPr>
          <w:lang w:val="fr-FR"/>
        </w:rPr>
        <w:t>homologation</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3.1</w:t>
      </w:r>
      <w:r w:rsidRPr="00780D96">
        <w:rPr>
          <w:rFonts w:eastAsia="Times New Roman"/>
          <w:lang w:val="fr-FR"/>
        </w:rPr>
        <w:tab/>
      </w:r>
      <w:r w:rsidRPr="00780D96">
        <w:rPr>
          <w:rFonts w:eastAsia="Times New Roman"/>
          <w:lang w:val="fr-FR"/>
        </w:rPr>
        <w:tab/>
        <w:t>La demande d</w:t>
      </w:r>
      <w:r w:rsidR="00DB4C2D">
        <w:rPr>
          <w:rFonts w:eastAsia="Times New Roman"/>
          <w:lang w:val="fr-FR"/>
        </w:rPr>
        <w:t>’</w:t>
      </w:r>
      <w:r w:rsidRPr="00780D96">
        <w:rPr>
          <w:rFonts w:eastAsia="Times New Roman"/>
          <w:lang w:val="fr-FR"/>
        </w:rPr>
        <w:t>homologation d</w:t>
      </w:r>
      <w:r w:rsidR="00DB4C2D">
        <w:rPr>
          <w:rFonts w:eastAsia="Times New Roman"/>
          <w:lang w:val="fr-FR"/>
        </w:rPr>
        <w:t>’</w:t>
      </w:r>
      <w:r w:rsidRPr="00780D96">
        <w:rPr>
          <w:rFonts w:eastAsia="Times New Roman"/>
          <w:lang w:val="fr-FR"/>
        </w:rPr>
        <w:t>un type de véhicule en ce qui concerne les émissions à l</w:t>
      </w:r>
      <w:r w:rsidR="00DB4C2D">
        <w:rPr>
          <w:rFonts w:eastAsia="Times New Roman"/>
          <w:lang w:val="fr-FR"/>
        </w:rPr>
        <w:t>’</w:t>
      </w:r>
      <w:r w:rsidRPr="00780D96">
        <w:rPr>
          <w:rFonts w:eastAsia="Times New Roman"/>
          <w:lang w:val="fr-FR"/>
        </w:rPr>
        <w:t>échappement, les émissions de gaz de carter, les émissions par évaporation et la durabilité des dispositifs antipollution, et les systèmes d</w:t>
      </w:r>
      <w:r w:rsidR="00DB4C2D">
        <w:rPr>
          <w:rFonts w:eastAsia="Times New Roman"/>
          <w:lang w:val="fr-FR"/>
        </w:rPr>
        <w:t>’</w:t>
      </w:r>
      <w:r w:rsidRPr="00780D96">
        <w:rPr>
          <w:rFonts w:eastAsia="Times New Roman"/>
          <w:lang w:val="fr-FR"/>
        </w:rPr>
        <w:t>autodiagnostic (OBD) est présentée à l</w:t>
      </w:r>
      <w:r w:rsidR="00DB4C2D">
        <w:rPr>
          <w:rFonts w:eastAsia="Times New Roman"/>
          <w:lang w:val="fr-FR"/>
        </w:rPr>
        <w:t>’</w:t>
      </w:r>
      <w:r w:rsidRPr="00780D96">
        <w:rPr>
          <w:rFonts w:eastAsia="Times New Roman"/>
          <w:lang w:val="fr-FR"/>
        </w:rPr>
        <w:t>autorité d</w:t>
      </w:r>
      <w:r w:rsidR="00DB4C2D">
        <w:rPr>
          <w:rFonts w:eastAsia="Times New Roman"/>
          <w:lang w:val="fr-FR"/>
        </w:rPr>
        <w:t>’</w:t>
      </w:r>
      <w:r w:rsidRPr="00780D96">
        <w:rPr>
          <w:rFonts w:eastAsia="Times New Roman"/>
          <w:lang w:val="fr-FR"/>
        </w:rPr>
        <w:t>homologation de type par le constructeur du véhicule ou son mandataire.</w:t>
      </w:r>
    </w:p>
    <w:p w:rsidR="00780D96" w:rsidRPr="00780D96" w:rsidRDefault="00780D96" w:rsidP="00A07FA8">
      <w:pPr>
        <w:pStyle w:val="SingleTxtG"/>
        <w:keepNext/>
        <w:ind w:left="2268" w:hanging="1134"/>
        <w:rPr>
          <w:rFonts w:eastAsia="Times New Roman"/>
          <w:lang w:val="fr-FR"/>
        </w:rPr>
      </w:pPr>
      <w:r w:rsidRPr="00780D96">
        <w:rPr>
          <w:rFonts w:eastAsia="Times New Roman"/>
          <w:lang w:val="fr-FR"/>
        </w:rPr>
        <w:t>3.1.1</w:t>
      </w:r>
      <w:r w:rsidRPr="00780D96">
        <w:rPr>
          <w:rFonts w:eastAsia="Times New Roman"/>
          <w:lang w:val="fr-FR"/>
        </w:rPr>
        <w:tab/>
      </w:r>
      <w:r w:rsidRPr="00780D96">
        <w:rPr>
          <w:rFonts w:eastAsia="Times New Roman"/>
          <w:lang w:val="fr-FR"/>
        </w:rPr>
        <w:tab/>
        <w:t xml:space="preserve">En outre, le constructeur doit communiquer les informations </w:t>
      </w:r>
      <w:r w:rsidRPr="00A07FA8">
        <w:rPr>
          <w:rFonts w:eastAsia="Times New Roman"/>
          <w:bCs/>
          <w:lang w:val="fr-FR"/>
        </w:rPr>
        <w:t>suivantes</w:t>
      </w:r>
      <w:r w:rsidRPr="00780D96">
        <w:rPr>
          <w:rFonts w:eastAsia="Times New Roman"/>
          <w:lang w:val="fr-FR"/>
        </w:rPr>
        <w:t>:</w:t>
      </w:r>
    </w:p>
    <w:p w:rsidR="00780D96" w:rsidRPr="00780D96" w:rsidRDefault="00780D96" w:rsidP="00A07FA8">
      <w:pPr>
        <w:pStyle w:val="SingleTxtG"/>
        <w:ind w:left="2835" w:hanging="567"/>
        <w:rPr>
          <w:rFonts w:eastAsia="Times New Roman"/>
          <w:lang w:val="fr-FR" w:eastAsia="de-DE"/>
        </w:rPr>
      </w:pPr>
      <w:r w:rsidRPr="00780D96">
        <w:rPr>
          <w:rFonts w:eastAsia="Times New Roman"/>
          <w:lang w:val="fr-FR" w:eastAsia="de-DE"/>
        </w:rPr>
        <w:t>a)</w:t>
      </w:r>
      <w:r w:rsidRPr="00780D96">
        <w:rPr>
          <w:rFonts w:eastAsia="Times New Roman"/>
          <w:lang w:val="fr-FR" w:eastAsia="de-DE"/>
        </w:rPr>
        <w:tab/>
        <w:t>Dans le cas d</w:t>
      </w:r>
      <w:r w:rsidR="00DB4C2D">
        <w:rPr>
          <w:rFonts w:eastAsia="Times New Roman"/>
          <w:lang w:val="fr-FR" w:eastAsia="de-DE"/>
        </w:rPr>
        <w:t>’</w:t>
      </w:r>
      <w:r w:rsidRPr="00780D96">
        <w:rPr>
          <w:rFonts w:eastAsia="Times New Roman"/>
          <w:lang w:val="fr-FR" w:eastAsia="de-DE"/>
        </w:rPr>
        <w:t>un véhicule équipé d</w:t>
      </w:r>
      <w:r w:rsidR="00DB4C2D">
        <w:rPr>
          <w:rFonts w:eastAsia="Times New Roman"/>
          <w:lang w:val="fr-FR" w:eastAsia="de-DE"/>
        </w:rPr>
        <w:t>’</w:t>
      </w:r>
      <w:r w:rsidRPr="00780D96">
        <w:rPr>
          <w:rFonts w:eastAsia="Times New Roman"/>
          <w:lang w:val="fr-FR" w:eastAsia="de-DE"/>
        </w:rPr>
        <w:t>un moteur à allumage commandé, une déclaration du constructeur relative au pourcentage minimum de ratés d</w:t>
      </w:r>
      <w:r w:rsidR="00DB4C2D">
        <w:rPr>
          <w:rFonts w:eastAsia="Times New Roman"/>
          <w:lang w:val="fr-FR" w:eastAsia="de-DE"/>
        </w:rPr>
        <w:t>’</w:t>
      </w:r>
      <w:r w:rsidRPr="00780D96">
        <w:rPr>
          <w:rFonts w:eastAsia="Times New Roman"/>
          <w:lang w:val="fr-FR" w:eastAsia="de-DE"/>
        </w:rPr>
        <w:t>allumage par rapport à un nombre total d</w:t>
      </w:r>
      <w:r w:rsidR="00DB4C2D">
        <w:rPr>
          <w:rFonts w:eastAsia="Times New Roman"/>
          <w:lang w:val="fr-FR" w:eastAsia="de-DE"/>
        </w:rPr>
        <w:t>’</w:t>
      </w:r>
      <w:r w:rsidRPr="00780D96">
        <w:rPr>
          <w:rFonts w:eastAsia="Times New Roman"/>
          <w:lang w:val="fr-FR" w:eastAsia="de-DE"/>
        </w:rPr>
        <w:t>événements d</w:t>
      </w:r>
      <w:r w:rsidR="00DB4C2D">
        <w:rPr>
          <w:rFonts w:eastAsia="Times New Roman"/>
          <w:lang w:val="fr-FR" w:eastAsia="de-DE"/>
        </w:rPr>
        <w:t>’</w:t>
      </w:r>
      <w:r w:rsidRPr="00780D96">
        <w:rPr>
          <w:rFonts w:eastAsia="Times New Roman"/>
          <w:lang w:val="fr-FR" w:eastAsia="de-DE"/>
        </w:rPr>
        <w:t>allumage, qui entraînerait un dépassement des limites d</w:t>
      </w:r>
      <w:r w:rsidR="00DB4C2D">
        <w:rPr>
          <w:rFonts w:eastAsia="Times New Roman"/>
          <w:lang w:val="fr-FR" w:eastAsia="de-DE"/>
        </w:rPr>
        <w:t>’</w:t>
      </w:r>
      <w:r w:rsidRPr="00780D96">
        <w:rPr>
          <w:rFonts w:eastAsia="Times New Roman"/>
          <w:lang w:val="fr-FR" w:eastAsia="de-DE"/>
        </w:rPr>
        <w:t>émission indiquées au paragraphe 3.3.2 de l</w:t>
      </w:r>
      <w:r w:rsidR="00DB4C2D">
        <w:rPr>
          <w:rFonts w:eastAsia="Times New Roman"/>
          <w:lang w:val="fr-FR" w:eastAsia="de-DE"/>
        </w:rPr>
        <w:t>’</w:t>
      </w:r>
      <w:r w:rsidRPr="00780D96">
        <w:rPr>
          <w:rFonts w:eastAsia="Times New Roman"/>
          <w:lang w:val="fr-FR" w:eastAsia="de-DE"/>
        </w:rPr>
        <w:t>annexe 11 du présent Règlement, si ce pourcentage de ratés existait dès le commencement d</w:t>
      </w:r>
      <w:r w:rsidR="00DB4C2D">
        <w:rPr>
          <w:rFonts w:eastAsia="Times New Roman"/>
          <w:lang w:val="fr-FR" w:eastAsia="de-DE"/>
        </w:rPr>
        <w:t>’</w:t>
      </w:r>
      <w:r w:rsidRPr="00780D96">
        <w:rPr>
          <w:rFonts w:eastAsia="Times New Roman"/>
          <w:lang w:val="fr-FR" w:eastAsia="de-DE"/>
        </w:rPr>
        <w:t>un essai du type</w:t>
      </w:r>
      <w:r w:rsidR="00257AFA">
        <w:rPr>
          <w:rFonts w:eastAsia="Times New Roman"/>
          <w:lang w:val="fr-FR" w:eastAsia="de-DE"/>
        </w:rPr>
        <w:t> </w:t>
      </w:r>
      <w:r w:rsidRPr="00780D96">
        <w:rPr>
          <w:rFonts w:eastAsia="Times New Roman"/>
          <w:lang w:val="fr-FR" w:eastAsia="de-DE"/>
        </w:rPr>
        <w:t>I, tel que décrit à l</w:t>
      </w:r>
      <w:r w:rsidR="00DB4C2D">
        <w:rPr>
          <w:rFonts w:eastAsia="Times New Roman"/>
          <w:lang w:val="fr-FR" w:eastAsia="de-DE"/>
        </w:rPr>
        <w:t>’</w:t>
      </w:r>
      <w:r w:rsidRPr="00780D96">
        <w:rPr>
          <w:rFonts w:eastAsia="Times New Roman"/>
          <w:lang w:val="fr-FR" w:eastAsia="de-DE"/>
        </w:rPr>
        <w:t>annexe 4a du présent Règlement, ou qui pourrait entraîner la surchauffe d</w:t>
      </w:r>
      <w:r w:rsidR="00DB4C2D">
        <w:rPr>
          <w:rFonts w:eastAsia="Times New Roman"/>
          <w:lang w:val="fr-FR" w:eastAsia="de-DE"/>
        </w:rPr>
        <w:t>’</w:t>
      </w:r>
      <w:r w:rsidRPr="00780D96">
        <w:rPr>
          <w:rFonts w:eastAsia="Times New Roman"/>
          <w:lang w:val="fr-FR" w:eastAsia="de-DE"/>
        </w:rPr>
        <w:t>un ou de plusieurs catalyseurs, ce qui provoquerait des dommages irréversibles;</w:t>
      </w:r>
    </w:p>
    <w:p w:rsidR="00780D96" w:rsidRPr="00780D96" w:rsidRDefault="00780D96" w:rsidP="00A07FA8">
      <w:pPr>
        <w:pStyle w:val="SingleTxtG"/>
        <w:ind w:left="2835" w:hanging="567"/>
        <w:rPr>
          <w:rFonts w:eastAsia="Times New Roman"/>
          <w:lang w:val="fr-FR" w:eastAsia="de-DE"/>
        </w:rPr>
      </w:pPr>
      <w:r w:rsidRPr="00780D96">
        <w:rPr>
          <w:rFonts w:eastAsia="Times New Roman"/>
          <w:lang w:val="fr-FR" w:eastAsia="de-DE"/>
        </w:rPr>
        <w:t>b)</w:t>
      </w:r>
      <w:r w:rsidRPr="00780D96">
        <w:rPr>
          <w:rFonts w:eastAsia="Times New Roman"/>
          <w:lang w:val="fr-FR" w:eastAsia="de-DE"/>
        </w:rPr>
        <w:tab/>
        <w:t>Une description écrite détaillée des caractéristiques de fonctionnement du système OBD comprenant la liste de tous les éléments du dispositif antipollution du véhicule qui sont surveillés par le système OBD;</w:t>
      </w:r>
    </w:p>
    <w:p w:rsidR="00780D96" w:rsidRPr="00780D96" w:rsidRDefault="00780D96" w:rsidP="00A07FA8">
      <w:pPr>
        <w:pStyle w:val="SingleTxtG"/>
        <w:ind w:left="2835" w:hanging="567"/>
        <w:rPr>
          <w:rFonts w:eastAsia="Times New Roman"/>
          <w:lang w:val="fr-FR"/>
        </w:rPr>
      </w:pPr>
      <w:r w:rsidRPr="00780D96">
        <w:rPr>
          <w:rFonts w:eastAsia="Times New Roman"/>
          <w:lang w:val="fr-FR" w:eastAsia="de-DE"/>
        </w:rPr>
        <w:t>c)</w:t>
      </w:r>
      <w:r w:rsidRPr="00780D96">
        <w:rPr>
          <w:rFonts w:eastAsia="Times New Roman"/>
          <w:lang w:val="fr-FR" w:eastAsia="de-DE"/>
        </w:rPr>
        <w:tab/>
        <w:t>Une description de l</w:t>
      </w:r>
      <w:r w:rsidR="00DB4C2D">
        <w:rPr>
          <w:rFonts w:eastAsia="Times New Roman"/>
          <w:lang w:val="fr-FR" w:eastAsia="de-DE"/>
        </w:rPr>
        <w:t>’</w:t>
      </w:r>
      <w:r w:rsidRPr="00780D96">
        <w:rPr>
          <w:rFonts w:eastAsia="Times New Roman"/>
          <w:lang w:val="fr-FR" w:eastAsia="de-DE"/>
        </w:rPr>
        <w:t>indicateur de défaillance utilisé par le système OBD pour signaler une défaillance au conducteur du véhicule;</w:t>
      </w:r>
    </w:p>
    <w:p w:rsidR="00780D96" w:rsidRPr="00780D96" w:rsidRDefault="00780D96" w:rsidP="00A07FA8">
      <w:pPr>
        <w:pStyle w:val="SingleTxtG"/>
        <w:keepLines/>
        <w:ind w:left="2835" w:hanging="567"/>
        <w:rPr>
          <w:rFonts w:eastAsia="Times New Roman"/>
          <w:lang w:val="fr-FR" w:eastAsia="de-DE"/>
        </w:rPr>
      </w:pPr>
      <w:r w:rsidRPr="00780D96">
        <w:rPr>
          <w:rFonts w:eastAsia="Times New Roman"/>
          <w:lang w:val="fr-FR" w:eastAsia="de-DE"/>
        </w:rPr>
        <w:lastRenderedPageBreak/>
        <w:t>d)</w:t>
      </w:r>
      <w:r w:rsidRPr="00780D96">
        <w:rPr>
          <w:rFonts w:eastAsia="Times New Roman"/>
          <w:lang w:val="fr-FR" w:eastAsia="de-DE"/>
        </w:rPr>
        <w:tab/>
        <w:t>Une déclaration du constructeur selon laquelle le système OBD est conforme aux dispositions du paragraphe 7 de l</w:t>
      </w:r>
      <w:r w:rsidR="00DB4C2D">
        <w:rPr>
          <w:rFonts w:eastAsia="Times New Roman"/>
          <w:lang w:val="fr-FR" w:eastAsia="de-DE"/>
        </w:rPr>
        <w:t>’</w:t>
      </w:r>
      <w:r w:rsidRPr="00780D96">
        <w:rPr>
          <w:rFonts w:eastAsia="Times New Roman"/>
          <w:lang w:val="fr-FR" w:eastAsia="de-DE"/>
        </w:rPr>
        <w:t>appendice 1 de l</w:t>
      </w:r>
      <w:r w:rsidR="00DB4C2D">
        <w:rPr>
          <w:rFonts w:eastAsia="Times New Roman"/>
          <w:lang w:val="fr-FR" w:eastAsia="de-DE"/>
        </w:rPr>
        <w:t>’</w:t>
      </w:r>
      <w:r w:rsidRPr="00780D96">
        <w:rPr>
          <w:rFonts w:eastAsia="Times New Roman"/>
          <w:lang w:val="fr-FR" w:eastAsia="de-DE"/>
        </w:rPr>
        <w:t>annexe 11 du présent Règlement, concernant les performances en service dans toutes les conditions de conduite raisonnablement prévisibles;</w:t>
      </w:r>
    </w:p>
    <w:p w:rsidR="00780D96" w:rsidRPr="00780D96" w:rsidRDefault="00780D96" w:rsidP="00A07FA8">
      <w:pPr>
        <w:pStyle w:val="SingleTxtG"/>
        <w:ind w:left="2835" w:hanging="567"/>
        <w:rPr>
          <w:rFonts w:eastAsia="Times New Roman"/>
          <w:lang w:val="fr-FR" w:eastAsia="de-DE"/>
        </w:rPr>
      </w:pPr>
      <w:r w:rsidRPr="00780D96">
        <w:rPr>
          <w:rFonts w:eastAsia="Times New Roman"/>
          <w:lang w:val="fr-FR" w:eastAsia="de-DE"/>
        </w:rPr>
        <w:t>e)</w:t>
      </w:r>
      <w:r w:rsidRPr="00780D96">
        <w:rPr>
          <w:rFonts w:eastAsia="Times New Roman"/>
          <w:lang w:val="fr-FR" w:eastAsia="de-DE"/>
        </w:rPr>
        <w:tab/>
        <w:t>Un plan décrivant les critères techniques détaillés à appliquer et la justification pour augmenter le numérateur et le dénominateur de chaque dispositif de surveillance qui doit répondre aux prescriptions des paragraphes 7.2 et 7.3 de l</w:t>
      </w:r>
      <w:r w:rsidR="00DB4C2D">
        <w:rPr>
          <w:rFonts w:eastAsia="Times New Roman"/>
          <w:lang w:val="fr-FR" w:eastAsia="de-DE"/>
        </w:rPr>
        <w:t>’</w:t>
      </w:r>
      <w:r w:rsidRPr="00780D96">
        <w:rPr>
          <w:rFonts w:eastAsia="Times New Roman"/>
          <w:lang w:val="fr-FR" w:eastAsia="de-DE"/>
        </w:rPr>
        <w:t>appendice 1 de l</w:t>
      </w:r>
      <w:r w:rsidR="00DB4C2D">
        <w:rPr>
          <w:rFonts w:eastAsia="Times New Roman"/>
          <w:lang w:val="fr-FR" w:eastAsia="de-DE"/>
        </w:rPr>
        <w:t>’</w:t>
      </w:r>
      <w:r w:rsidRPr="00780D96">
        <w:rPr>
          <w:rFonts w:eastAsia="Times New Roman"/>
          <w:lang w:val="fr-FR" w:eastAsia="de-DE"/>
        </w:rPr>
        <w:t>annexe 11 du présent Règlement, ainsi que pour désactiver les numérateurs, dénominateurs et le dénominateur général dans les conditions décrites au paragraphe 7.7 de l</w:t>
      </w:r>
      <w:r w:rsidR="00DB4C2D">
        <w:rPr>
          <w:rFonts w:eastAsia="Times New Roman"/>
          <w:lang w:val="fr-FR" w:eastAsia="de-DE"/>
        </w:rPr>
        <w:t>’</w:t>
      </w:r>
      <w:r w:rsidRPr="00780D96">
        <w:rPr>
          <w:rFonts w:eastAsia="Times New Roman"/>
          <w:lang w:val="fr-FR" w:eastAsia="de-DE"/>
        </w:rPr>
        <w:t>appendice 1 de l</w:t>
      </w:r>
      <w:r w:rsidR="00DB4C2D">
        <w:rPr>
          <w:rFonts w:eastAsia="Times New Roman"/>
          <w:lang w:val="fr-FR" w:eastAsia="de-DE"/>
        </w:rPr>
        <w:t>’</w:t>
      </w:r>
      <w:r w:rsidRPr="00780D96">
        <w:rPr>
          <w:rFonts w:eastAsia="Times New Roman"/>
          <w:lang w:val="fr-FR" w:eastAsia="de-DE"/>
        </w:rPr>
        <w:t>annexe 11 du présent Règlement;</w:t>
      </w:r>
    </w:p>
    <w:p w:rsidR="00780D96" w:rsidRPr="00780D96" w:rsidRDefault="00780D96" w:rsidP="00A07FA8">
      <w:pPr>
        <w:pStyle w:val="SingleTxtG"/>
        <w:ind w:left="2835" w:hanging="567"/>
        <w:rPr>
          <w:rFonts w:eastAsia="Times New Roman"/>
          <w:lang w:val="fr-FR" w:eastAsia="de-DE"/>
        </w:rPr>
      </w:pPr>
      <w:r w:rsidRPr="00780D96">
        <w:rPr>
          <w:rFonts w:eastAsia="Times New Roman"/>
          <w:lang w:val="fr-FR" w:eastAsia="de-DE"/>
        </w:rPr>
        <w:t>f)</w:t>
      </w:r>
      <w:r w:rsidRPr="00780D96">
        <w:rPr>
          <w:rFonts w:eastAsia="Times New Roman"/>
          <w:lang w:val="fr-FR" w:eastAsia="de-DE"/>
        </w:rPr>
        <w:tab/>
        <w:t>Une description des mesures prises pour empêcher toute manipulation et modification de l</w:t>
      </w:r>
      <w:r w:rsidR="00DB4C2D">
        <w:rPr>
          <w:rFonts w:eastAsia="Times New Roman"/>
          <w:lang w:val="fr-FR" w:eastAsia="de-DE"/>
        </w:rPr>
        <w:t>’</w:t>
      </w:r>
      <w:r w:rsidRPr="00780D96">
        <w:rPr>
          <w:rFonts w:eastAsia="Times New Roman"/>
          <w:lang w:val="fr-FR" w:eastAsia="de-DE"/>
        </w:rPr>
        <w:t>ordinateur de contrôle des émissions;</w:t>
      </w:r>
    </w:p>
    <w:p w:rsidR="00780D96" w:rsidRPr="00780D96" w:rsidRDefault="00780D96" w:rsidP="00A07FA8">
      <w:pPr>
        <w:pStyle w:val="SingleTxtG"/>
        <w:ind w:left="2835" w:hanging="567"/>
        <w:rPr>
          <w:rFonts w:eastAsia="Times New Roman"/>
          <w:lang w:val="fr-FR" w:eastAsia="de-DE"/>
        </w:rPr>
      </w:pPr>
      <w:r w:rsidRPr="00780D96">
        <w:rPr>
          <w:rFonts w:eastAsia="Times New Roman"/>
          <w:lang w:val="fr-FR" w:eastAsia="de-DE"/>
        </w:rPr>
        <w:t>g)</w:t>
      </w:r>
      <w:r w:rsidRPr="00780D96">
        <w:rPr>
          <w:rFonts w:eastAsia="Times New Roman"/>
          <w:lang w:val="fr-FR" w:eastAsia="de-DE"/>
        </w:rPr>
        <w:tab/>
        <w:t>Le cas échéant, les caractéristiques de la famille des véhicules visés à l</w:t>
      </w:r>
      <w:r w:rsidR="00DB4C2D">
        <w:rPr>
          <w:rFonts w:eastAsia="Times New Roman"/>
          <w:lang w:val="fr-FR" w:eastAsia="de-DE"/>
        </w:rPr>
        <w:t>’</w:t>
      </w:r>
      <w:r w:rsidRPr="00780D96">
        <w:rPr>
          <w:rFonts w:eastAsia="Times New Roman"/>
          <w:lang w:val="fr-FR" w:eastAsia="de-DE"/>
        </w:rPr>
        <w:t>appendice 2 de l</w:t>
      </w:r>
      <w:r w:rsidR="00DB4C2D">
        <w:rPr>
          <w:rFonts w:eastAsia="Times New Roman"/>
          <w:lang w:val="fr-FR" w:eastAsia="de-DE"/>
        </w:rPr>
        <w:t>’</w:t>
      </w:r>
      <w:r w:rsidRPr="00780D96">
        <w:rPr>
          <w:rFonts w:eastAsia="Times New Roman"/>
          <w:lang w:val="fr-FR" w:eastAsia="de-DE"/>
        </w:rPr>
        <w:t>annexe 11 du présent Règlement;</w:t>
      </w:r>
    </w:p>
    <w:p w:rsidR="00780D96" w:rsidRPr="00780D96" w:rsidRDefault="00780D96" w:rsidP="00A07FA8">
      <w:pPr>
        <w:pStyle w:val="SingleTxtG"/>
        <w:ind w:left="2835" w:hanging="567"/>
        <w:rPr>
          <w:rFonts w:eastAsia="Times New Roman"/>
          <w:lang w:val="fr-FR"/>
        </w:rPr>
      </w:pPr>
      <w:r w:rsidRPr="00780D96">
        <w:rPr>
          <w:rFonts w:eastAsia="Times New Roman"/>
          <w:lang w:val="fr-FR" w:eastAsia="de-DE"/>
        </w:rPr>
        <w:t>h)</w:t>
      </w:r>
      <w:r w:rsidRPr="00780D96">
        <w:rPr>
          <w:rFonts w:eastAsia="Times New Roman"/>
          <w:lang w:val="fr-FR" w:eastAsia="de-DE"/>
        </w:rPr>
        <w:tab/>
        <w:t>Le cas échéant, les copies des autres homologations avec les données nécessaires pour l</w:t>
      </w:r>
      <w:r w:rsidR="00DB4C2D">
        <w:rPr>
          <w:rFonts w:eastAsia="Times New Roman"/>
          <w:lang w:val="fr-FR" w:eastAsia="de-DE"/>
        </w:rPr>
        <w:t>’</w:t>
      </w:r>
      <w:r w:rsidRPr="00780D96">
        <w:rPr>
          <w:rFonts w:eastAsia="Times New Roman"/>
          <w:lang w:val="fr-FR" w:eastAsia="de-DE"/>
        </w:rPr>
        <w:t>extension des homologations et l</w:t>
      </w:r>
      <w:r w:rsidR="00DB4C2D">
        <w:rPr>
          <w:rFonts w:eastAsia="Times New Roman"/>
          <w:lang w:val="fr-FR" w:eastAsia="de-DE"/>
        </w:rPr>
        <w:t>’</w:t>
      </w:r>
      <w:r w:rsidRPr="00780D96">
        <w:rPr>
          <w:rFonts w:eastAsia="Times New Roman"/>
          <w:lang w:val="fr-FR" w:eastAsia="de-DE"/>
        </w:rPr>
        <w:t>établissement de facteurs de détérioration.</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3.1.2</w:t>
      </w:r>
      <w:r w:rsidRPr="00780D96">
        <w:rPr>
          <w:rFonts w:eastAsia="Times New Roman"/>
          <w:lang w:val="fr-FR"/>
        </w:rPr>
        <w:tab/>
        <w:t>Pour les essais décrits au paragraphe 3 de 1</w:t>
      </w:r>
      <w:r w:rsidR="00DB4C2D">
        <w:rPr>
          <w:rFonts w:eastAsia="Times New Roman"/>
          <w:lang w:val="fr-FR"/>
        </w:rPr>
        <w:t>’</w:t>
      </w:r>
      <w:r w:rsidRPr="00780D96">
        <w:rPr>
          <w:rFonts w:eastAsia="Times New Roman"/>
          <w:lang w:val="fr-FR"/>
        </w:rPr>
        <w:t>annexe 11 du présent Règlement, un véhicule représentatif du type de véhicules ou de la famille de véhicules équipés du système OBD devant être approuvé doit être présenté au service technique responsable de l</w:t>
      </w:r>
      <w:r w:rsidR="00DB4C2D">
        <w:rPr>
          <w:rFonts w:eastAsia="Times New Roman"/>
          <w:lang w:val="fr-FR"/>
        </w:rPr>
        <w:t>’</w:t>
      </w:r>
      <w:r w:rsidRPr="00780D96">
        <w:rPr>
          <w:rFonts w:eastAsia="Times New Roman"/>
          <w:lang w:val="fr-FR"/>
        </w:rPr>
        <w:t>exécution des essais d</w:t>
      </w:r>
      <w:r w:rsidR="00DB4C2D">
        <w:rPr>
          <w:rFonts w:eastAsia="Times New Roman"/>
          <w:lang w:val="fr-FR"/>
        </w:rPr>
        <w:t>’</w:t>
      </w:r>
      <w:r w:rsidRPr="00780D96">
        <w:rPr>
          <w:rFonts w:eastAsia="Times New Roman"/>
          <w:lang w:val="fr-FR"/>
        </w:rPr>
        <w:t xml:space="preserve">homologation. Si le service technique conclut que le véhicule présenté ne représente pas </w:t>
      </w:r>
      <w:proofErr w:type="spellStart"/>
      <w:r w:rsidRPr="00780D96">
        <w:rPr>
          <w:rFonts w:eastAsia="Times New Roman"/>
          <w:lang w:val="fr-FR"/>
        </w:rPr>
        <w:t>complètement</w:t>
      </w:r>
      <w:proofErr w:type="spellEnd"/>
      <w:r w:rsidRPr="00780D96">
        <w:rPr>
          <w:rFonts w:eastAsia="Times New Roman"/>
          <w:lang w:val="fr-FR"/>
        </w:rPr>
        <w:t xml:space="preserve"> le type de véhicule ou la famille de véhicules décrit à l</w:t>
      </w:r>
      <w:r w:rsidR="00DB4C2D">
        <w:rPr>
          <w:rFonts w:eastAsia="Times New Roman"/>
          <w:lang w:val="fr-FR"/>
        </w:rPr>
        <w:t>’</w:t>
      </w:r>
      <w:r w:rsidRPr="00780D96">
        <w:rPr>
          <w:rFonts w:eastAsia="Times New Roman"/>
          <w:lang w:val="fr-FR"/>
        </w:rPr>
        <w:t>appendice 2 de l</w:t>
      </w:r>
      <w:r w:rsidR="00DB4C2D">
        <w:rPr>
          <w:rFonts w:eastAsia="Times New Roman"/>
          <w:lang w:val="fr-FR"/>
        </w:rPr>
        <w:t>’</w:t>
      </w:r>
      <w:r w:rsidRPr="00780D96">
        <w:rPr>
          <w:rFonts w:eastAsia="Times New Roman"/>
          <w:lang w:val="fr-FR"/>
        </w:rPr>
        <w:t>annexe 11 du présent Règlement, un véhicule de remplacement et, le cas échéant, un véhicule supplémentaire doivent être fournis pour subir les essais prévus au paragraphe 3 de l</w:t>
      </w:r>
      <w:r w:rsidR="00DB4C2D">
        <w:rPr>
          <w:rFonts w:eastAsia="Times New Roman"/>
          <w:lang w:val="fr-FR"/>
        </w:rPr>
        <w:t>’</w:t>
      </w:r>
      <w:r w:rsidRPr="00780D96">
        <w:rPr>
          <w:rFonts w:eastAsia="Times New Roman"/>
          <w:lang w:val="fr-FR"/>
        </w:rPr>
        <w:t>annexe 11 du présent Règlement.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3.2</w:t>
      </w:r>
      <w:r w:rsidRPr="00780D96">
        <w:rPr>
          <w:rFonts w:eastAsia="Times New Roman"/>
          <w:lang w:val="fr-FR"/>
        </w:rPr>
        <w:tab/>
        <w:t>Un modèle de fiche de renseignements relative aux émissions à l</w:t>
      </w:r>
      <w:r w:rsidR="00DB4C2D">
        <w:rPr>
          <w:rFonts w:eastAsia="Times New Roman"/>
          <w:lang w:val="fr-FR"/>
        </w:rPr>
        <w:t>’</w:t>
      </w:r>
      <w:r w:rsidRPr="00780D96">
        <w:rPr>
          <w:rFonts w:eastAsia="Times New Roman"/>
          <w:lang w:val="fr-FR"/>
        </w:rPr>
        <w:t>échappement, aux émissions par évaporation, à la durabilité et au système d</w:t>
      </w:r>
      <w:r w:rsidR="00DB4C2D">
        <w:rPr>
          <w:rFonts w:eastAsia="Times New Roman"/>
          <w:lang w:val="fr-FR"/>
        </w:rPr>
        <w:t>’</w:t>
      </w:r>
      <w:r w:rsidRPr="00780D96">
        <w:rPr>
          <w:rFonts w:eastAsia="Times New Roman"/>
          <w:lang w:val="fr-FR"/>
        </w:rPr>
        <w:t>autodiagnostic figure à l</w:t>
      </w:r>
      <w:r w:rsidR="00DB4C2D">
        <w:rPr>
          <w:rFonts w:eastAsia="Times New Roman"/>
          <w:lang w:val="fr-FR"/>
        </w:rPr>
        <w:t>’</w:t>
      </w:r>
      <w:r w:rsidRPr="00780D96">
        <w:rPr>
          <w:rFonts w:eastAsia="Times New Roman"/>
          <w:lang w:val="fr-FR"/>
        </w:rPr>
        <w:t>annexe 1 du présent Règlement. Les informations visées au paragraphe 3.2.12.2.7.6 de l</w:t>
      </w:r>
      <w:r w:rsidR="00DB4C2D">
        <w:rPr>
          <w:rFonts w:eastAsia="Times New Roman"/>
          <w:lang w:val="fr-FR"/>
        </w:rPr>
        <w:t>’</w:t>
      </w:r>
      <w:r w:rsidRPr="00780D96">
        <w:rPr>
          <w:rFonts w:eastAsia="Times New Roman"/>
          <w:lang w:val="fr-FR"/>
        </w:rPr>
        <w:t>annexe 1 du présent Règlement doivent être mentionnées à l</w:t>
      </w:r>
      <w:r w:rsidR="00DB4C2D">
        <w:rPr>
          <w:rFonts w:eastAsia="Times New Roman"/>
          <w:lang w:val="fr-FR"/>
        </w:rPr>
        <w:t>’</w:t>
      </w:r>
      <w:r w:rsidRPr="00780D96">
        <w:rPr>
          <w:rFonts w:eastAsia="Times New Roman"/>
          <w:lang w:val="fr-FR"/>
        </w:rPr>
        <w:t>appendice 1 (Informations relatives au système d</w:t>
      </w:r>
      <w:r w:rsidR="00DB4C2D">
        <w:rPr>
          <w:rFonts w:eastAsia="Times New Roman"/>
          <w:lang w:val="fr-FR"/>
        </w:rPr>
        <w:t>’</w:t>
      </w:r>
      <w:r w:rsidRPr="00780D96">
        <w:rPr>
          <w:rFonts w:eastAsia="Times New Roman"/>
          <w:lang w:val="fr-FR"/>
        </w:rPr>
        <w:t>autodiagnostic) de la fiche de communication présentée à l</w:t>
      </w:r>
      <w:r w:rsidR="00DB4C2D">
        <w:rPr>
          <w:rFonts w:eastAsia="Times New Roman"/>
          <w:lang w:val="fr-FR"/>
        </w:rPr>
        <w:t>’</w:t>
      </w:r>
      <w:r w:rsidRPr="00780D96">
        <w:rPr>
          <w:rFonts w:eastAsia="Times New Roman"/>
          <w:lang w:val="fr-FR"/>
        </w:rPr>
        <w:t>annexe 2 du présent Règlement.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3.2.1</w:t>
      </w:r>
      <w:r w:rsidRPr="00780D96">
        <w:rPr>
          <w:rFonts w:eastAsia="Times New Roman"/>
          <w:lang w:val="fr-FR"/>
        </w:rPr>
        <w:tab/>
        <w:t>Le cas échéant, des copies des autres homologations accompagnées des données nécessaires pour l</w:t>
      </w:r>
      <w:r w:rsidR="00DB4C2D">
        <w:rPr>
          <w:rFonts w:eastAsia="Times New Roman"/>
          <w:lang w:val="fr-FR"/>
        </w:rPr>
        <w:t>’</w:t>
      </w:r>
      <w:r w:rsidRPr="00780D96">
        <w:rPr>
          <w:rFonts w:eastAsia="Times New Roman"/>
          <w:lang w:val="fr-FR"/>
        </w:rPr>
        <w:t>extension des homologations et l</w:t>
      </w:r>
      <w:r w:rsidR="00DB4C2D">
        <w:rPr>
          <w:rFonts w:eastAsia="Times New Roman"/>
          <w:lang w:val="fr-FR"/>
        </w:rPr>
        <w:t>’</w:t>
      </w:r>
      <w:r w:rsidRPr="00780D96">
        <w:rPr>
          <w:rFonts w:eastAsia="Times New Roman"/>
          <w:lang w:val="fr-FR"/>
        </w:rPr>
        <w:t>établissement des facteurs de détérioration, doivent être présentées.</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3.3</w:t>
      </w:r>
      <w:r w:rsidRPr="00780D96">
        <w:rPr>
          <w:rFonts w:eastAsia="Times New Roman"/>
          <w:lang w:val="fr-FR"/>
        </w:rPr>
        <w:tab/>
        <w:t>Pour les essais décrits au paragraphe 5 du présent Règlement, un véhicule représentatif du type de véhicule à homologuer doit être présenté au service technique ch</w:t>
      </w:r>
      <w:r w:rsidR="00257AFA">
        <w:rPr>
          <w:rFonts w:eastAsia="Times New Roman"/>
          <w:lang w:val="fr-FR"/>
        </w:rPr>
        <w:t>argé des essais d</w:t>
      </w:r>
      <w:r w:rsidR="00DB4C2D">
        <w:rPr>
          <w:rFonts w:eastAsia="Times New Roman"/>
          <w:lang w:val="fr-FR"/>
        </w:rPr>
        <w:t>’</w:t>
      </w:r>
      <w:r w:rsidR="00257AFA">
        <w:rPr>
          <w:rFonts w:eastAsia="Times New Roman"/>
          <w:lang w:val="fr-FR"/>
        </w:rPr>
        <w:t>homologation.</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3.3.1</w:t>
      </w:r>
      <w:r w:rsidRPr="00780D96">
        <w:rPr>
          <w:rFonts w:eastAsia="Times New Roman"/>
          <w:lang w:val="fr-FR"/>
        </w:rPr>
        <w:tab/>
        <w:t>La demande visée au paragraphe 3.1 du présent Règlement doit être établie conformément au modèle de fiche de renseignements présenté à l</w:t>
      </w:r>
      <w:r w:rsidR="00DB4C2D">
        <w:rPr>
          <w:rFonts w:eastAsia="Times New Roman"/>
          <w:lang w:val="fr-FR"/>
        </w:rPr>
        <w:t>’</w:t>
      </w:r>
      <w:r w:rsidRPr="00780D96">
        <w:rPr>
          <w:rFonts w:eastAsia="Times New Roman"/>
          <w:lang w:val="fr-FR"/>
        </w:rPr>
        <w:t>annexe 1 du présent Règlement.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3.3.2</w:t>
      </w:r>
      <w:r w:rsidRPr="00780D96">
        <w:rPr>
          <w:rFonts w:eastAsia="Times New Roman"/>
          <w:lang w:val="fr-FR"/>
        </w:rPr>
        <w:tab/>
      </w:r>
      <w:r w:rsidRPr="00780D96">
        <w:rPr>
          <w:rFonts w:eastAsia="Times New Roman"/>
          <w:lang w:val="fr-FR"/>
        </w:rPr>
        <w:tab/>
        <w:t>Aux fins du paragraphe 3.1.1 d), le constructeur doit utiliser le modèle de certificat de conformité aux prescriptions de l</w:t>
      </w:r>
      <w:r w:rsidR="00DB4C2D">
        <w:rPr>
          <w:rFonts w:eastAsia="Times New Roman"/>
          <w:lang w:val="fr-FR"/>
        </w:rPr>
        <w:t>’</w:t>
      </w:r>
      <w:r w:rsidRPr="00780D96">
        <w:rPr>
          <w:rFonts w:eastAsia="Times New Roman"/>
          <w:lang w:val="fr-FR"/>
        </w:rPr>
        <w:t>appendice 2 de l</w:t>
      </w:r>
      <w:r w:rsidR="00DB4C2D">
        <w:rPr>
          <w:rFonts w:eastAsia="Times New Roman"/>
          <w:lang w:val="fr-FR"/>
        </w:rPr>
        <w:t>’</w:t>
      </w:r>
      <w:r w:rsidRPr="00780D96">
        <w:rPr>
          <w:rFonts w:eastAsia="Times New Roman"/>
          <w:lang w:val="fr-FR"/>
        </w:rPr>
        <w:t>annexe 2 du présent Règlement, en ce qui concerne les performances en service de l</w:t>
      </w:r>
      <w:r w:rsidR="00DB4C2D">
        <w:rPr>
          <w:rFonts w:eastAsia="Times New Roman"/>
          <w:lang w:val="fr-FR"/>
        </w:rPr>
        <w:t>’</w:t>
      </w:r>
      <w:r w:rsidRPr="00780D96">
        <w:rPr>
          <w:rFonts w:eastAsia="Times New Roman"/>
          <w:lang w:val="fr-FR"/>
        </w:rPr>
        <w:t>OBD.</w:t>
      </w:r>
    </w:p>
    <w:p w:rsidR="00780D96" w:rsidRPr="00780D96" w:rsidRDefault="00780D96" w:rsidP="00A07FA8">
      <w:pPr>
        <w:pStyle w:val="SingleTxtG"/>
        <w:ind w:left="2268" w:hanging="1134"/>
        <w:rPr>
          <w:rFonts w:eastAsia="Times New Roman"/>
          <w:lang w:val="fr-FR"/>
        </w:rPr>
      </w:pPr>
      <w:r w:rsidRPr="00780D96">
        <w:rPr>
          <w:rFonts w:eastAsia="Times New Roman"/>
          <w:lang w:val="fr-FR"/>
        </w:rPr>
        <w:lastRenderedPageBreak/>
        <w:t>3.3.3</w:t>
      </w:r>
      <w:r w:rsidRPr="00780D96">
        <w:rPr>
          <w:rFonts w:eastAsia="Times New Roman"/>
          <w:lang w:val="fr-FR"/>
        </w:rPr>
        <w:tab/>
      </w:r>
      <w:r w:rsidRPr="00780D96">
        <w:rPr>
          <w:rFonts w:eastAsia="Times New Roman"/>
          <w:lang w:val="fr-FR"/>
        </w:rPr>
        <w:tab/>
        <w:t>Aux fins du paragraphe 3.1.1 e), l</w:t>
      </w:r>
      <w:r w:rsidR="00DB4C2D">
        <w:rPr>
          <w:rFonts w:eastAsia="Times New Roman"/>
          <w:lang w:val="fr-FR"/>
        </w:rPr>
        <w:t>’</w:t>
      </w:r>
      <w:r w:rsidRPr="00780D96">
        <w:rPr>
          <w:rFonts w:eastAsia="Times New Roman"/>
          <w:lang w:val="fr-FR"/>
        </w:rPr>
        <w:t>autorité d</w:t>
      </w:r>
      <w:r w:rsidR="00DB4C2D">
        <w:rPr>
          <w:rFonts w:eastAsia="Times New Roman"/>
          <w:lang w:val="fr-FR"/>
        </w:rPr>
        <w:t>’</w:t>
      </w:r>
      <w:r w:rsidRPr="00780D96">
        <w:rPr>
          <w:rFonts w:eastAsia="Times New Roman"/>
          <w:lang w:val="fr-FR"/>
        </w:rPr>
        <w:t>homologation de type qui délivre l</w:t>
      </w:r>
      <w:r w:rsidR="00DB4C2D">
        <w:rPr>
          <w:rFonts w:eastAsia="Times New Roman"/>
          <w:lang w:val="fr-FR"/>
        </w:rPr>
        <w:t>’</w:t>
      </w:r>
      <w:r w:rsidRPr="00780D96">
        <w:rPr>
          <w:rFonts w:eastAsia="Times New Roman"/>
          <w:lang w:val="fr-FR"/>
        </w:rPr>
        <w:t>homologation met les informations visées à ce point à la disposition des autorités d</w:t>
      </w:r>
      <w:r w:rsidR="00DB4C2D">
        <w:rPr>
          <w:rFonts w:eastAsia="Times New Roman"/>
          <w:lang w:val="fr-FR"/>
        </w:rPr>
        <w:t>’</w:t>
      </w:r>
      <w:r w:rsidRPr="00780D96">
        <w:rPr>
          <w:rFonts w:eastAsia="Times New Roman"/>
          <w:lang w:val="fr-FR"/>
        </w:rPr>
        <w:t>homologation de type, si elles en font la demande.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3.3.4</w:t>
      </w:r>
      <w:r w:rsidRPr="00780D96">
        <w:rPr>
          <w:rFonts w:eastAsia="Times New Roman"/>
          <w:lang w:val="fr-FR"/>
        </w:rPr>
        <w:tab/>
      </w:r>
      <w:r w:rsidRPr="00780D96">
        <w:rPr>
          <w:rFonts w:eastAsia="Times New Roman"/>
          <w:lang w:val="fr-FR"/>
        </w:rPr>
        <w:tab/>
        <w:t>Aux fins du paragraphe 3.1.1, alinéas </w:t>
      </w:r>
      <w:r w:rsidRPr="00780D96">
        <w:rPr>
          <w:rFonts w:eastAsia="Times New Roman"/>
          <w:i/>
          <w:lang w:val="fr-FR"/>
        </w:rPr>
        <w:t>d</w:t>
      </w:r>
      <w:r w:rsidRPr="00780D96">
        <w:rPr>
          <w:rFonts w:eastAsia="Times New Roman"/>
          <w:lang w:val="fr-FR"/>
        </w:rPr>
        <w:t xml:space="preserve"> et </w:t>
      </w:r>
      <w:r w:rsidRPr="00780D96">
        <w:rPr>
          <w:rFonts w:eastAsia="Times New Roman"/>
          <w:i/>
          <w:lang w:val="fr-FR"/>
        </w:rPr>
        <w:t>e</w:t>
      </w:r>
      <w:r w:rsidRPr="00780D96">
        <w:rPr>
          <w:rFonts w:eastAsia="Times New Roman"/>
          <w:lang w:val="fr-FR"/>
        </w:rPr>
        <w:t>, du présent Règlement, les autorités d</w:t>
      </w:r>
      <w:r w:rsidR="00DB4C2D">
        <w:rPr>
          <w:rFonts w:eastAsia="Times New Roman"/>
          <w:lang w:val="fr-FR"/>
        </w:rPr>
        <w:t>’</w:t>
      </w:r>
      <w:r w:rsidRPr="00780D96">
        <w:rPr>
          <w:rFonts w:eastAsia="Times New Roman"/>
          <w:lang w:val="fr-FR"/>
        </w:rPr>
        <w:t>homologation de type n</w:t>
      </w:r>
      <w:r w:rsidR="00DB4C2D">
        <w:rPr>
          <w:rFonts w:eastAsia="Times New Roman"/>
          <w:lang w:val="fr-FR"/>
        </w:rPr>
        <w:t>’</w:t>
      </w:r>
      <w:r w:rsidRPr="00780D96">
        <w:rPr>
          <w:rFonts w:eastAsia="Times New Roman"/>
          <w:lang w:val="fr-FR"/>
        </w:rPr>
        <w:t>homologuent pas un véhicule si les informations fournies par le constructeur ne permettent pas de satisfaire aux exigences du paragraphe 7 de l</w:t>
      </w:r>
      <w:r w:rsidR="00DB4C2D">
        <w:rPr>
          <w:rFonts w:eastAsia="Times New Roman"/>
          <w:lang w:val="fr-FR"/>
        </w:rPr>
        <w:t>’</w:t>
      </w:r>
      <w:r w:rsidRPr="00780D96">
        <w:rPr>
          <w:rFonts w:eastAsia="Times New Roman"/>
          <w:lang w:val="fr-FR"/>
        </w:rPr>
        <w:t>appendice 1 de l</w:t>
      </w:r>
      <w:r w:rsidR="00DB4C2D">
        <w:rPr>
          <w:rFonts w:eastAsia="Times New Roman"/>
          <w:lang w:val="fr-FR"/>
        </w:rPr>
        <w:t>’</w:t>
      </w:r>
      <w:r w:rsidRPr="00780D96">
        <w:rPr>
          <w:rFonts w:eastAsia="Times New Roman"/>
          <w:lang w:val="fr-FR"/>
        </w:rPr>
        <w:t>annexe 11 du présent Règlement. Les paragraphes 7.2, 7.3 et 7.7 de l</w:t>
      </w:r>
      <w:r w:rsidR="00DB4C2D">
        <w:rPr>
          <w:rFonts w:eastAsia="Times New Roman"/>
          <w:lang w:val="fr-FR"/>
        </w:rPr>
        <w:t>’</w:t>
      </w:r>
      <w:r w:rsidRPr="00780D96">
        <w:rPr>
          <w:rFonts w:eastAsia="Times New Roman"/>
          <w:lang w:val="fr-FR"/>
        </w:rPr>
        <w:t>appendice 1 de l</w:t>
      </w:r>
      <w:r w:rsidR="00DB4C2D">
        <w:rPr>
          <w:rFonts w:eastAsia="Times New Roman"/>
          <w:lang w:val="fr-FR"/>
        </w:rPr>
        <w:t>’</w:t>
      </w:r>
      <w:r w:rsidRPr="00780D96">
        <w:rPr>
          <w:rFonts w:eastAsia="Times New Roman"/>
          <w:lang w:val="fr-FR"/>
        </w:rPr>
        <w:t>annexe 11 du présent Règlement s</w:t>
      </w:r>
      <w:r w:rsidR="00DB4C2D">
        <w:rPr>
          <w:rFonts w:eastAsia="Times New Roman"/>
          <w:lang w:val="fr-FR"/>
        </w:rPr>
        <w:t>’</w:t>
      </w:r>
      <w:r w:rsidRPr="00780D96">
        <w:rPr>
          <w:rFonts w:eastAsia="Times New Roman"/>
          <w:lang w:val="fr-FR"/>
        </w:rPr>
        <w:t>appliquent dans toutes les conditions de conduite raisonnablement prévisibles. Pour l</w:t>
      </w:r>
      <w:r w:rsidR="00DB4C2D">
        <w:rPr>
          <w:rFonts w:eastAsia="Times New Roman"/>
          <w:lang w:val="fr-FR"/>
        </w:rPr>
        <w:t>’</w:t>
      </w:r>
      <w:r w:rsidRPr="00780D96">
        <w:rPr>
          <w:rFonts w:eastAsia="Times New Roman"/>
          <w:lang w:val="fr-FR"/>
        </w:rPr>
        <w:t>évaluation de la mise en œuvre des exigences énoncées aux premier et deuxième alinéas, les autorités d</w:t>
      </w:r>
      <w:r w:rsidR="00DB4C2D">
        <w:rPr>
          <w:rFonts w:eastAsia="Times New Roman"/>
          <w:lang w:val="fr-FR"/>
        </w:rPr>
        <w:t>’</w:t>
      </w:r>
      <w:r w:rsidRPr="00780D96">
        <w:rPr>
          <w:rFonts w:eastAsia="Times New Roman"/>
          <w:lang w:val="fr-FR"/>
        </w:rPr>
        <w:t>homologation de type doivent tenir compte du niveau actuel de la technologie.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3.3.5</w:t>
      </w:r>
      <w:r w:rsidRPr="00780D96">
        <w:rPr>
          <w:rFonts w:eastAsia="Times New Roman"/>
          <w:lang w:val="fr-FR"/>
        </w:rPr>
        <w:tab/>
      </w:r>
      <w:r w:rsidRPr="00780D96">
        <w:rPr>
          <w:rFonts w:eastAsia="Times New Roman"/>
          <w:lang w:val="fr-FR"/>
        </w:rPr>
        <w:tab/>
        <w:t>Aux fins du paragraphe 3.1.1 f) du présent Règlement, les mesures prises pour empêcher toute manipulation et modification de l</w:t>
      </w:r>
      <w:r w:rsidR="00DB4C2D">
        <w:rPr>
          <w:rFonts w:eastAsia="Times New Roman"/>
          <w:lang w:val="fr-FR"/>
        </w:rPr>
        <w:t>’</w:t>
      </w:r>
      <w:r w:rsidRPr="00780D96">
        <w:rPr>
          <w:rFonts w:eastAsia="Times New Roman"/>
          <w:lang w:val="fr-FR"/>
        </w:rPr>
        <w:t>ordinateur de contrôle des émissions incluent une fonction de mise à jour utilisant un programme ou une procédure d</w:t>
      </w:r>
      <w:r w:rsidR="00DB4C2D">
        <w:rPr>
          <w:rFonts w:eastAsia="Times New Roman"/>
          <w:lang w:val="fr-FR"/>
        </w:rPr>
        <w:t>’</w:t>
      </w:r>
      <w:r w:rsidRPr="00780D96">
        <w:rPr>
          <w:rFonts w:eastAsia="Times New Roman"/>
          <w:lang w:val="fr-FR"/>
        </w:rPr>
        <w:t>étalonnage approuvé par le constructeur.</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3.3.6</w:t>
      </w:r>
      <w:r w:rsidRPr="00780D96">
        <w:rPr>
          <w:rFonts w:eastAsia="Times New Roman"/>
          <w:lang w:val="fr-FR"/>
        </w:rPr>
        <w:tab/>
        <w:t>En ce qui concerne les essais mentionnés au tableau A, le constructeur doit présenter au service technique responsable des essais d</w:t>
      </w:r>
      <w:r w:rsidR="00DB4C2D">
        <w:rPr>
          <w:rFonts w:eastAsia="Times New Roman"/>
          <w:lang w:val="fr-FR"/>
        </w:rPr>
        <w:t>’</w:t>
      </w:r>
      <w:r w:rsidRPr="00780D96">
        <w:rPr>
          <w:rFonts w:eastAsia="Times New Roman"/>
          <w:lang w:val="fr-FR"/>
        </w:rPr>
        <w:t>homologation un véhicule représentatif du type à homologuer.</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3.3.7</w:t>
      </w:r>
      <w:r w:rsidRPr="00780D96">
        <w:rPr>
          <w:rFonts w:eastAsia="Times New Roman"/>
          <w:lang w:val="fr-FR"/>
        </w:rPr>
        <w:tab/>
        <w:t>La demande d</w:t>
      </w:r>
      <w:r w:rsidR="00DB4C2D">
        <w:rPr>
          <w:rFonts w:eastAsia="Times New Roman"/>
          <w:lang w:val="fr-FR"/>
        </w:rPr>
        <w:t>’</w:t>
      </w:r>
      <w:r w:rsidRPr="00780D96">
        <w:rPr>
          <w:rFonts w:eastAsia="Times New Roman"/>
          <w:lang w:val="fr-FR"/>
        </w:rPr>
        <w:t>homologation de véhicules à carburant modulable doit respecter les prescriptions supplémentaires fixées aux paragraphes 4.9.1 et 4.9.2 du présent Règlement.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3.3.8</w:t>
      </w:r>
      <w:r w:rsidRPr="00780D96">
        <w:rPr>
          <w:rFonts w:eastAsia="Times New Roman"/>
          <w:lang w:val="fr-FR"/>
        </w:rPr>
        <w:tab/>
        <w:t>Les changements de marque d</w:t>
      </w:r>
      <w:r w:rsidR="00DB4C2D">
        <w:rPr>
          <w:rFonts w:eastAsia="Times New Roman"/>
          <w:lang w:val="fr-FR"/>
        </w:rPr>
        <w:t>’</w:t>
      </w:r>
      <w:r w:rsidRPr="00780D96">
        <w:rPr>
          <w:rFonts w:eastAsia="Times New Roman"/>
          <w:lang w:val="fr-FR"/>
        </w:rPr>
        <w:t>un système, d</w:t>
      </w:r>
      <w:r w:rsidR="00DB4C2D">
        <w:rPr>
          <w:rFonts w:eastAsia="Times New Roman"/>
          <w:lang w:val="fr-FR"/>
        </w:rPr>
        <w:t>’</w:t>
      </w:r>
      <w:r w:rsidRPr="00780D96">
        <w:rPr>
          <w:rFonts w:eastAsia="Times New Roman"/>
          <w:lang w:val="fr-FR"/>
        </w:rPr>
        <w:t>un composant ou d</w:t>
      </w:r>
      <w:r w:rsidR="00DB4C2D">
        <w:rPr>
          <w:rFonts w:eastAsia="Times New Roman"/>
          <w:lang w:val="fr-FR"/>
        </w:rPr>
        <w:t>’</w:t>
      </w:r>
      <w:r w:rsidRPr="00780D96">
        <w:rPr>
          <w:rFonts w:eastAsia="Times New Roman"/>
          <w:lang w:val="fr-FR"/>
        </w:rPr>
        <w:t>une entité technique qui interviennent après coup n</w:t>
      </w:r>
      <w:r w:rsidR="00DB4C2D">
        <w:rPr>
          <w:rFonts w:eastAsia="Times New Roman"/>
          <w:lang w:val="fr-FR"/>
        </w:rPr>
        <w:t>’</w:t>
      </w:r>
      <w:r w:rsidRPr="00780D96">
        <w:rPr>
          <w:rFonts w:eastAsia="Times New Roman"/>
          <w:lang w:val="fr-FR"/>
        </w:rPr>
        <w:t>invalident pas automatiquement une homologation de type, à moins que les caractéristiques d</w:t>
      </w:r>
      <w:r w:rsidR="00DB4C2D">
        <w:rPr>
          <w:rFonts w:eastAsia="Times New Roman"/>
          <w:lang w:val="fr-FR"/>
        </w:rPr>
        <w:t>’</w:t>
      </w:r>
      <w:r w:rsidRPr="00780D96">
        <w:rPr>
          <w:rFonts w:eastAsia="Times New Roman"/>
          <w:lang w:val="fr-FR"/>
        </w:rPr>
        <w:t>origine ou les paramètres techniques soient modifiés de telle manière que la fonctionnalité du moteur ou du système de contrôle des émissions s</w:t>
      </w:r>
      <w:r w:rsidR="00DB4C2D">
        <w:rPr>
          <w:rFonts w:eastAsia="Times New Roman"/>
          <w:lang w:val="fr-FR"/>
        </w:rPr>
        <w:t>’</w:t>
      </w:r>
      <w:r w:rsidRPr="00780D96">
        <w:rPr>
          <w:rFonts w:eastAsia="Times New Roman"/>
          <w:lang w:val="fr-FR"/>
        </w:rPr>
        <w:t>en trouve affectée.</w:t>
      </w:r>
    </w:p>
    <w:p w:rsidR="00780D96" w:rsidRPr="00F851E8" w:rsidRDefault="00F851E8" w:rsidP="00F851E8">
      <w:pPr>
        <w:pStyle w:val="HChG"/>
        <w:rPr>
          <w:lang w:val="fr-FR"/>
        </w:rPr>
      </w:pPr>
      <w:r>
        <w:rPr>
          <w:lang w:val="fr-FR"/>
        </w:rPr>
        <w:tab/>
      </w:r>
      <w:r>
        <w:rPr>
          <w:lang w:val="fr-FR"/>
        </w:rPr>
        <w:tab/>
      </w:r>
      <w:r w:rsidR="00780D96" w:rsidRPr="00F851E8">
        <w:rPr>
          <w:lang w:val="fr-FR"/>
        </w:rPr>
        <w:t>4.</w:t>
      </w:r>
      <w:r w:rsidR="00780D96" w:rsidRPr="00F851E8">
        <w:rPr>
          <w:lang w:val="fr-FR"/>
        </w:rPr>
        <w:tab/>
      </w:r>
      <w:r w:rsidR="00780D96" w:rsidRPr="00F851E8">
        <w:rPr>
          <w:lang w:val="fr-FR"/>
        </w:rPr>
        <w:tab/>
        <w:t>Homologation</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4.1</w:t>
      </w:r>
      <w:r w:rsidRPr="00780D96">
        <w:rPr>
          <w:rFonts w:eastAsia="Times New Roman"/>
          <w:lang w:val="fr-FR"/>
        </w:rPr>
        <w:tab/>
        <w:t>Lorsque le type de véhicule présenté à l</w:t>
      </w:r>
      <w:r w:rsidR="00DB4C2D">
        <w:rPr>
          <w:rFonts w:eastAsia="Times New Roman"/>
          <w:lang w:val="fr-FR"/>
        </w:rPr>
        <w:t>’</w:t>
      </w:r>
      <w:r w:rsidRPr="00780D96">
        <w:rPr>
          <w:rFonts w:eastAsia="Times New Roman"/>
          <w:lang w:val="fr-FR"/>
        </w:rPr>
        <w:t>homologation en application du présent amendement satisfait aux prescriptions du paragraphe 5 ci-après, l</w:t>
      </w:r>
      <w:r w:rsidR="00DB4C2D">
        <w:rPr>
          <w:rFonts w:eastAsia="Times New Roman"/>
          <w:lang w:val="fr-FR"/>
        </w:rPr>
        <w:t>’</w:t>
      </w:r>
      <w:r w:rsidRPr="00780D96">
        <w:rPr>
          <w:rFonts w:eastAsia="Times New Roman"/>
          <w:lang w:val="fr-FR"/>
        </w:rPr>
        <w:t>homologation pour ce type de véhicule doit être accordée.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4.2</w:t>
      </w:r>
      <w:r w:rsidRPr="00780D96">
        <w:rPr>
          <w:rFonts w:eastAsia="Times New Roman"/>
          <w:lang w:val="fr-FR"/>
        </w:rPr>
        <w:tab/>
        <w:t>Un numéro d</w:t>
      </w:r>
      <w:r w:rsidR="00DB4C2D">
        <w:rPr>
          <w:rFonts w:eastAsia="Times New Roman"/>
          <w:lang w:val="fr-FR"/>
        </w:rPr>
        <w:t>’</w:t>
      </w:r>
      <w:r w:rsidRPr="00780D96">
        <w:rPr>
          <w:rFonts w:eastAsia="Times New Roman"/>
          <w:lang w:val="fr-FR"/>
        </w:rPr>
        <w:t>homologation doit être attribué à chaque type homologué.</w:t>
      </w:r>
    </w:p>
    <w:p w:rsidR="00780D96" w:rsidRPr="00780D96" w:rsidRDefault="00780D96" w:rsidP="00257AFA">
      <w:pPr>
        <w:pStyle w:val="SingleTxtG"/>
        <w:ind w:left="2268"/>
        <w:rPr>
          <w:rFonts w:eastAsia="Times New Roman"/>
          <w:lang w:val="fr-FR"/>
        </w:rPr>
      </w:pPr>
      <w:r w:rsidRPr="00780D96">
        <w:rPr>
          <w:rFonts w:eastAsia="Times New Roman"/>
          <w:lang w:val="fr-FR"/>
        </w:rPr>
        <w:t>Ses deux premiers chiffres doivent indiquer la série d</w:t>
      </w:r>
      <w:r w:rsidR="00DB4C2D">
        <w:rPr>
          <w:rFonts w:eastAsia="Times New Roman"/>
          <w:lang w:val="fr-FR"/>
        </w:rPr>
        <w:t>’</w:t>
      </w:r>
      <w:r w:rsidRPr="00780D96">
        <w:rPr>
          <w:rFonts w:eastAsia="Times New Roman"/>
          <w:lang w:val="fr-FR"/>
        </w:rPr>
        <w:t>amendements en vertu de laquelle l</w:t>
      </w:r>
      <w:r w:rsidR="00DB4C2D">
        <w:rPr>
          <w:rFonts w:eastAsia="Times New Roman"/>
          <w:lang w:val="fr-FR"/>
        </w:rPr>
        <w:t>’</w:t>
      </w:r>
      <w:r w:rsidRPr="00780D96">
        <w:rPr>
          <w:rFonts w:eastAsia="Times New Roman"/>
          <w:lang w:val="fr-FR"/>
        </w:rPr>
        <w:t>homologation a été accordée. Une même Partie contractante ne peut attribuer le même numéro à un autre type de véhicule.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4.3</w:t>
      </w:r>
      <w:r w:rsidRPr="00780D96">
        <w:rPr>
          <w:rFonts w:eastAsia="Times New Roman"/>
          <w:lang w:val="fr-FR"/>
        </w:rPr>
        <w:tab/>
        <w:t>L</w:t>
      </w:r>
      <w:r w:rsidR="00DB4C2D">
        <w:rPr>
          <w:rFonts w:eastAsia="Times New Roman"/>
          <w:lang w:val="fr-FR"/>
        </w:rPr>
        <w:t>’</w:t>
      </w:r>
      <w:r w:rsidRPr="00780D96">
        <w:rPr>
          <w:rFonts w:eastAsia="Times New Roman"/>
          <w:lang w:val="fr-FR"/>
        </w:rPr>
        <w:t>homologation, l</w:t>
      </w:r>
      <w:r w:rsidR="00DB4C2D">
        <w:rPr>
          <w:rFonts w:eastAsia="Times New Roman"/>
          <w:lang w:val="fr-FR"/>
        </w:rPr>
        <w:t>’</w:t>
      </w:r>
      <w:r w:rsidRPr="00780D96">
        <w:rPr>
          <w:rFonts w:eastAsia="Times New Roman"/>
          <w:lang w:val="fr-FR"/>
        </w:rPr>
        <w:t>extension ou le refus d</w:t>
      </w:r>
      <w:r w:rsidR="00DB4C2D">
        <w:rPr>
          <w:rFonts w:eastAsia="Times New Roman"/>
          <w:lang w:val="fr-FR"/>
        </w:rPr>
        <w:t>’</w:t>
      </w:r>
      <w:r w:rsidRPr="00780D96">
        <w:rPr>
          <w:rFonts w:eastAsia="Times New Roman"/>
          <w:lang w:val="fr-FR"/>
        </w:rPr>
        <w:t>homologation d</w:t>
      </w:r>
      <w:r w:rsidR="00DB4C2D">
        <w:rPr>
          <w:rFonts w:eastAsia="Times New Roman"/>
          <w:lang w:val="fr-FR"/>
        </w:rPr>
        <w:t>’</w:t>
      </w:r>
      <w:r w:rsidRPr="00780D96">
        <w:rPr>
          <w:rFonts w:eastAsia="Times New Roman"/>
          <w:lang w:val="fr-FR"/>
        </w:rPr>
        <w:t>un type de véhicule en application du présent Règlement doit être notifié aux Parties à l</w:t>
      </w:r>
      <w:r w:rsidR="00DB4C2D">
        <w:rPr>
          <w:rFonts w:eastAsia="Times New Roman"/>
          <w:lang w:val="fr-FR"/>
        </w:rPr>
        <w:t>’</w:t>
      </w:r>
      <w:r w:rsidRPr="00780D96">
        <w:rPr>
          <w:rFonts w:eastAsia="Times New Roman"/>
          <w:lang w:val="fr-FR"/>
        </w:rPr>
        <w:t>Accord qui appliquent le présent Règlement, au moyen d</w:t>
      </w:r>
      <w:r w:rsidR="00DB4C2D">
        <w:rPr>
          <w:rFonts w:eastAsia="Times New Roman"/>
          <w:lang w:val="fr-FR"/>
        </w:rPr>
        <w:t>’</w:t>
      </w:r>
      <w:r w:rsidRPr="00780D96">
        <w:rPr>
          <w:rFonts w:eastAsia="Times New Roman"/>
          <w:lang w:val="fr-FR"/>
        </w:rPr>
        <w:t>une fiche conforme au modèle de l</w:t>
      </w:r>
      <w:r w:rsidR="00DB4C2D">
        <w:rPr>
          <w:rFonts w:eastAsia="Times New Roman"/>
          <w:lang w:val="fr-FR"/>
        </w:rPr>
        <w:t>’</w:t>
      </w:r>
      <w:r w:rsidRPr="00780D96">
        <w:rPr>
          <w:rFonts w:eastAsia="Times New Roman"/>
          <w:lang w:val="fr-FR"/>
        </w:rPr>
        <w:t>annexe 2 du présent Règlement.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4.3.1</w:t>
      </w:r>
      <w:r w:rsidRPr="00780D96">
        <w:rPr>
          <w:rFonts w:eastAsia="Times New Roman"/>
          <w:lang w:val="fr-FR"/>
        </w:rPr>
        <w:tab/>
      </w:r>
      <w:r w:rsidRPr="00780D96">
        <w:rPr>
          <w:rFonts w:eastAsia="Times New Roman"/>
          <w:spacing w:val="-2"/>
          <w:lang w:val="fr-FR"/>
        </w:rPr>
        <w:t>En cas de modification du présent Règlement, par exemple si de nouvelles valeurs limites sont fixées, il faut faire savoir aux Parties à l</w:t>
      </w:r>
      <w:r w:rsidR="00DB4C2D">
        <w:rPr>
          <w:rFonts w:eastAsia="Times New Roman"/>
          <w:spacing w:val="-2"/>
          <w:lang w:val="fr-FR"/>
        </w:rPr>
        <w:t>’</w:t>
      </w:r>
      <w:r w:rsidRPr="00780D96">
        <w:rPr>
          <w:rFonts w:eastAsia="Times New Roman"/>
          <w:spacing w:val="-2"/>
          <w:lang w:val="fr-FR"/>
        </w:rPr>
        <w:t xml:space="preserve">Accord quels types de véhicules déjà homologués </w:t>
      </w:r>
      <w:r w:rsidRPr="00A07FA8">
        <w:rPr>
          <w:rFonts w:eastAsia="Times New Roman"/>
          <w:lang w:val="fr-FR"/>
        </w:rPr>
        <w:t>satisfont</w:t>
      </w:r>
      <w:r w:rsidRPr="00780D96">
        <w:rPr>
          <w:rFonts w:eastAsia="Times New Roman"/>
          <w:spacing w:val="-2"/>
          <w:lang w:val="fr-FR"/>
        </w:rPr>
        <w:t xml:space="preserve"> aussi aux nouvelles dispositions</w:t>
      </w:r>
      <w:r w:rsidRPr="00780D96">
        <w:rPr>
          <w:rFonts w:eastAsia="Times New Roman"/>
          <w:lang w:val="fr-FR"/>
        </w:rPr>
        <w:t>.</w:t>
      </w:r>
    </w:p>
    <w:p w:rsidR="00780D96" w:rsidRPr="00780D96" w:rsidRDefault="00780D96" w:rsidP="00257AFA">
      <w:pPr>
        <w:pStyle w:val="SingleTxtG"/>
        <w:keepNext/>
        <w:keepLines/>
        <w:ind w:left="2268" w:hanging="1134"/>
        <w:rPr>
          <w:rFonts w:eastAsia="Times New Roman"/>
          <w:lang w:val="fr-FR"/>
        </w:rPr>
      </w:pPr>
      <w:r w:rsidRPr="00780D96">
        <w:rPr>
          <w:rFonts w:eastAsia="Times New Roman"/>
          <w:lang w:val="fr-FR"/>
        </w:rPr>
        <w:lastRenderedPageBreak/>
        <w:t>4.4</w:t>
      </w:r>
      <w:r w:rsidRPr="00780D96">
        <w:rPr>
          <w:rFonts w:eastAsia="Times New Roman"/>
          <w:lang w:val="fr-FR"/>
        </w:rPr>
        <w:tab/>
        <w:t>Sur tout véhicule conforme à un type de véhicule homologué en application du présent Règlement doit être apposée de manière bien visible, en un endroit facilement accessible et indiqué sur la fiche d</w:t>
      </w:r>
      <w:r w:rsidR="00DB4C2D">
        <w:rPr>
          <w:rFonts w:eastAsia="Times New Roman"/>
          <w:lang w:val="fr-FR"/>
        </w:rPr>
        <w:t>’</w:t>
      </w:r>
      <w:r w:rsidRPr="00780D96">
        <w:rPr>
          <w:rFonts w:eastAsia="Times New Roman"/>
          <w:lang w:val="fr-FR"/>
        </w:rPr>
        <w:t>homologation, une marque d</w:t>
      </w:r>
      <w:r w:rsidR="00DB4C2D">
        <w:rPr>
          <w:rFonts w:eastAsia="Times New Roman"/>
          <w:lang w:val="fr-FR"/>
        </w:rPr>
        <w:t>’</w:t>
      </w:r>
      <w:r w:rsidRPr="00780D96">
        <w:rPr>
          <w:rFonts w:eastAsia="Times New Roman"/>
          <w:lang w:val="fr-FR"/>
        </w:rPr>
        <w:t>homologation internationale composée: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4.4.1</w:t>
      </w:r>
      <w:r w:rsidRPr="00780D96">
        <w:rPr>
          <w:rFonts w:eastAsia="Times New Roman"/>
          <w:lang w:val="fr-FR"/>
        </w:rPr>
        <w:tab/>
        <w:t>D</w:t>
      </w:r>
      <w:r w:rsidR="00DB4C2D">
        <w:rPr>
          <w:rFonts w:eastAsia="Times New Roman"/>
          <w:lang w:val="fr-FR"/>
        </w:rPr>
        <w:t>’</w:t>
      </w:r>
      <w:r w:rsidRPr="00780D96">
        <w:rPr>
          <w:rFonts w:eastAsia="Times New Roman"/>
          <w:lang w:val="fr-FR"/>
        </w:rPr>
        <w:t>un cercle à l</w:t>
      </w:r>
      <w:r w:rsidR="00DB4C2D">
        <w:rPr>
          <w:rFonts w:eastAsia="Times New Roman"/>
          <w:lang w:val="fr-FR"/>
        </w:rPr>
        <w:t>’</w:t>
      </w:r>
      <w:r w:rsidRPr="00780D96">
        <w:rPr>
          <w:rFonts w:eastAsia="Times New Roman"/>
          <w:lang w:val="fr-FR"/>
        </w:rPr>
        <w:t>intérieur duquel figure la lettre «E» suivie du numéro distinctif du pays qui a accordé l</w:t>
      </w:r>
      <w:r w:rsidR="00DB4C2D">
        <w:rPr>
          <w:rFonts w:eastAsia="Times New Roman"/>
          <w:lang w:val="fr-FR"/>
        </w:rPr>
        <w:t>’</w:t>
      </w:r>
      <w:r w:rsidRPr="00780D96">
        <w:rPr>
          <w:rFonts w:eastAsia="Times New Roman"/>
          <w:lang w:val="fr-FR"/>
        </w:rPr>
        <w:t>homologation</w:t>
      </w:r>
      <w:r w:rsidRPr="00780D96">
        <w:rPr>
          <w:rFonts w:eastAsia="Times New Roman"/>
          <w:sz w:val="18"/>
          <w:vertAlign w:val="superscript"/>
        </w:rPr>
        <w:footnoteReference w:id="5"/>
      </w:r>
      <w:r w:rsidRPr="00780D96">
        <w:rPr>
          <w:rFonts w:eastAsia="Times New Roman"/>
          <w:lang w:val="fr-FR"/>
        </w:rPr>
        <w: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4.4.2</w:t>
      </w:r>
      <w:r w:rsidRPr="00780D96">
        <w:rPr>
          <w:rFonts w:eastAsia="Times New Roman"/>
          <w:lang w:val="fr-FR"/>
        </w:rPr>
        <w:tab/>
        <w:t>Du numéro du présent Règlement, suivi de la lettre «R», d</w:t>
      </w:r>
      <w:r w:rsidR="00DB4C2D">
        <w:rPr>
          <w:rFonts w:eastAsia="Times New Roman"/>
          <w:lang w:val="fr-FR"/>
        </w:rPr>
        <w:t>’</w:t>
      </w:r>
      <w:r w:rsidRPr="00780D96">
        <w:rPr>
          <w:rFonts w:eastAsia="Times New Roman"/>
          <w:lang w:val="fr-FR"/>
        </w:rPr>
        <w:t>un tiret et du numéro d</w:t>
      </w:r>
      <w:r w:rsidR="00DB4C2D">
        <w:rPr>
          <w:rFonts w:eastAsia="Times New Roman"/>
          <w:lang w:val="fr-FR"/>
        </w:rPr>
        <w:t>’</w:t>
      </w:r>
      <w:r w:rsidRPr="00780D96">
        <w:rPr>
          <w:rFonts w:eastAsia="Times New Roman"/>
          <w:lang w:val="fr-FR"/>
        </w:rPr>
        <w:t>homologation, placé à la droite du cercle prévu au paragraphe 4.4.1;</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4.4.3</w:t>
      </w:r>
      <w:r w:rsidRPr="00780D96">
        <w:rPr>
          <w:rFonts w:eastAsia="Times New Roman"/>
          <w:lang w:val="fr-FR"/>
        </w:rPr>
        <w:tab/>
        <w:t>La marque d</w:t>
      </w:r>
      <w:r w:rsidR="00DB4C2D">
        <w:rPr>
          <w:rFonts w:eastAsia="Times New Roman"/>
          <w:lang w:val="fr-FR"/>
        </w:rPr>
        <w:t>’</w:t>
      </w:r>
      <w:r w:rsidRPr="00780D96">
        <w:rPr>
          <w:rFonts w:eastAsia="Times New Roman"/>
          <w:lang w:val="fr-FR"/>
        </w:rPr>
        <w:t>homologation doit contenir un caractère additionnel après le numéro d</w:t>
      </w:r>
      <w:r w:rsidR="00DB4C2D">
        <w:rPr>
          <w:rFonts w:eastAsia="Times New Roman"/>
          <w:lang w:val="fr-FR"/>
        </w:rPr>
        <w:t>’</w:t>
      </w:r>
      <w:r w:rsidRPr="00780D96">
        <w:rPr>
          <w:rFonts w:eastAsia="Times New Roman"/>
          <w:lang w:val="fr-FR"/>
        </w:rPr>
        <w:t>homologation de type, afin de préciser la catégorie et la classe de véhicule pour lesquelles l</w:t>
      </w:r>
      <w:r w:rsidR="00DB4C2D">
        <w:rPr>
          <w:rFonts w:eastAsia="Times New Roman"/>
          <w:lang w:val="fr-FR"/>
        </w:rPr>
        <w:t>’</w:t>
      </w:r>
      <w:r w:rsidRPr="00780D96">
        <w:rPr>
          <w:rFonts w:eastAsia="Times New Roman"/>
          <w:lang w:val="fr-FR"/>
        </w:rPr>
        <w:t>homologation a été accordée. Cette lettre doit être choisie conformément aux instructions figurant dans le tableau A3/1 de l</w:t>
      </w:r>
      <w:r w:rsidR="00DB4C2D">
        <w:rPr>
          <w:rFonts w:eastAsia="Times New Roman"/>
          <w:lang w:val="fr-FR"/>
        </w:rPr>
        <w:t>’</w:t>
      </w:r>
      <w:r w:rsidRPr="00780D96">
        <w:rPr>
          <w:rFonts w:eastAsia="Times New Roman"/>
          <w:lang w:val="fr-FR"/>
        </w:rPr>
        <w:t xml:space="preserve">annexe 3 du présent Règlement. </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4.5</w:t>
      </w:r>
      <w:r w:rsidRPr="00780D96">
        <w:rPr>
          <w:rFonts w:eastAsia="Times New Roman"/>
          <w:lang w:val="fr-FR"/>
        </w:rPr>
        <w:tab/>
        <w:t>Si le véhicule est conforme à un type de véhicule homologué en application d</w:t>
      </w:r>
      <w:r w:rsidR="00DB4C2D">
        <w:rPr>
          <w:rFonts w:eastAsia="Times New Roman"/>
          <w:lang w:val="fr-FR"/>
        </w:rPr>
        <w:t>’</w:t>
      </w:r>
      <w:r w:rsidRPr="00780D96">
        <w:rPr>
          <w:rFonts w:eastAsia="Times New Roman"/>
          <w:lang w:val="fr-FR"/>
        </w:rPr>
        <w:t>un ou plusieurs autres règlements joints en annexe à l</w:t>
      </w:r>
      <w:r w:rsidR="00DB4C2D">
        <w:rPr>
          <w:rFonts w:eastAsia="Times New Roman"/>
          <w:lang w:val="fr-FR"/>
        </w:rPr>
        <w:t>’</w:t>
      </w:r>
      <w:r w:rsidRPr="00780D96">
        <w:rPr>
          <w:rFonts w:eastAsia="Times New Roman"/>
          <w:lang w:val="fr-FR"/>
        </w:rPr>
        <w:t>Accord dans le pays qui a accordé l</w:t>
      </w:r>
      <w:r w:rsidR="00DB4C2D">
        <w:rPr>
          <w:rFonts w:eastAsia="Times New Roman"/>
          <w:lang w:val="fr-FR"/>
        </w:rPr>
        <w:t>’</w:t>
      </w:r>
      <w:r w:rsidRPr="00780D96">
        <w:rPr>
          <w:rFonts w:eastAsia="Times New Roman"/>
          <w:lang w:val="fr-FR"/>
        </w:rPr>
        <w:t>homologation en application du présent Règlement, il n</w:t>
      </w:r>
      <w:r w:rsidR="00DB4C2D">
        <w:rPr>
          <w:rFonts w:eastAsia="Times New Roman"/>
          <w:lang w:val="fr-FR"/>
        </w:rPr>
        <w:t>’</w:t>
      </w:r>
      <w:r w:rsidRPr="00780D96">
        <w:rPr>
          <w:rFonts w:eastAsia="Times New Roman"/>
          <w:lang w:val="fr-FR"/>
        </w:rPr>
        <w:t>est pas nécessaire de répéter le symbole prescrit au paragraphe 4.4.1; en pareil cas, les numéros de règlements et d</w:t>
      </w:r>
      <w:r w:rsidR="00DB4C2D">
        <w:rPr>
          <w:rFonts w:eastAsia="Times New Roman"/>
          <w:lang w:val="fr-FR"/>
        </w:rPr>
        <w:t>’</w:t>
      </w:r>
      <w:r w:rsidRPr="00780D96">
        <w:rPr>
          <w:rFonts w:eastAsia="Times New Roman"/>
          <w:lang w:val="fr-FR"/>
        </w:rPr>
        <w:t>homologation ainsi que les symboles additionnels pour tous les règlements en application desquels l</w:t>
      </w:r>
      <w:r w:rsidR="00DB4C2D">
        <w:rPr>
          <w:rFonts w:eastAsia="Times New Roman"/>
          <w:lang w:val="fr-FR"/>
        </w:rPr>
        <w:t>’</w:t>
      </w:r>
      <w:r w:rsidRPr="00780D96">
        <w:rPr>
          <w:rFonts w:eastAsia="Times New Roman"/>
          <w:lang w:val="fr-FR"/>
        </w:rPr>
        <w:t>homologation en application du présent Règlement doivent être inscrits l</w:t>
      </w:r>
      <w:r w:rsidR="00DB4C2D">
        <w:rPr>
          <w:rFonts w:eastAsia="Times New Roman"/>
          <w:lang w:val="fr-FR"/>
        </w:rPr>
        <w:t>’</w:t>
      </w:r>
      <w:r w:rsidRPr="00780D96">
        <w:rPr>
          <w:rFonts w:eastAsia="Times New Roman"/>
          <w:lang w:val="fr-FR"/>
        </w:rPr>
        <w:t>un au-dessous de l</w:t>
      </w:r>
      <w:r w:rsidR="00DB4C2D">
        <w:rPr>
          <w:rFonts w:eastAsia="Times New Roman"/>
          <w:lang w:val="fr-FR"/>
        </w:rPr>
        <w:t>’</w:t>
      </w:r>
      <w:r w:rsidRPr="00780D96">
        <w:rPr>
          <w:rFonts w:eastAsia="Times New Roman"/>
          <w:lang w:val="fr-FR"/>
        </w:rPr>
        <w:t>autre à droite du symbole prescrit au paragraphe 4.4.1 du présent Règlement.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4.6</w:t>
      </w:r>
      <w:r w:rsidRPr="00780D96">
        <w:rPr>
          <w:rFonts w:eastAsia="Times New Roman"/>
          <w:lang w:val="fr-FR"/>
        </w:rPr>
        <w:tab/>
        <w:t>La marque d</w:t>
      </w:r>
      <w:r w:rsidR="00DB4C2D">
        <w:rPr>
          <w:rFonts w:eastAsia="Times New Roman"/>
          <w:lang w:val="fr-FR"/>
        </w:rPr>
        <w:t>’</w:t>
      </w:r>
      <w:r w:rsidRPr="00780D96">
        <w:rPr>
          <w:rFonts w:eastAsia="Times New Roman"/>
          <w:lang w:val="fr-FR"/>
        </w:rPr>
        <w:t>homologation doit être nettement lisible et indélébile.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4.7</w:t>
      </w:r>
      <w:r w:rsidRPr="00780D96">
        <w:rPr>
          <w:rFonts w:eastAsia="Times New Roman"/>
          <w:lang w:val="fr-FR"/>
        </w:rPr>
        <w:tab/>
        <w:t>La marque d</w:t>
      </w:r>
      <w:r w:rsidR="00DB4C2D">
        <w:rPr>
          <w:rFonts w:eastAsia="Times New Roman"/>
          <w:lang w:val="fr-FR"/>
        </w:rPr>
        <w:t>’</w:t>
      </w:r>
      <w:r w:rsidRPr="00780D96">
        <w:rPr>
          <w:rFonts w:eastAsia="Times New Roman"/>
          <w:lang w:val="fr-FR"/>
        </w:rPr>
        <w:t>homologation doit être placée sur la plaque signalétique du véhicule apposée par le constructeur ou à proximité.</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4.7.1</w:t>
      </w:r>
      <w:r w:rsidRPr="00780D96">
        <w:rPr>
          <w:rFonts w:eastAsia="Times New Roman"/>
          <w:lang w:val="fr-FR"/>
        </w:rPr>
        <w:tab/>
        <w:t>L</w:t>
      </w:r>
      <w:r w:rsidR="00DB4C2D">
        <w:rPr>
          <w:rFonts w:eastAsia="Times New Roman"/>
          <w:lang w:val="fr-FR"/>
        </w:rPr>
        <w:t>’</w:t>
      </w:r>
      <w:r w:rsidRPr="00780D96">
        <w:rPr>
          <w:rFonts w:eastAsia="Times New Roman"/>
          <w:lang w:val="fr-FR"/>
        </w:rPr>
        <w:t>annexe 3 au présent Règlement donne des exemples de marques d</w:t>
      </w:r>
      <w:r w:rsidR="00DB4C2D">
        <w:rPr>
          <w:rFonts w:eastAsia="Times New Roman"/>
          <w:lang w:val="fr-FR"/>
        </w:rPr>
        <w:t>’</w:t>
      </w:r>
      <w:r w:rsidRPr="00780D96">
        <w:rPr>
          <w:rFonts w:eastAsia="Times New Roman"/>
          <w:lang w:val="fr-FR"/>
        </w:rPr>
        <w:t>homologation.</w:t>
      </w:r>
    </w:p>
    <w:p w:rsidR="00780D96" w:rsidRPr="00780D96" w:rsidRDefault="00780D96" w:rsidP="00F851E8">
      <w:pPr>
        <w:pStyle w:val="SingleTxtG"/>
        <w:keepNext/>
        <w:ind w:left="2268" w:hanging="1134"/>
        <w:rPr>
          <w:rFonts w:eastAsia="Times New Roman"/>
          <w:lang w:val="fr-FR"/>
        </w:rPr>
      </w:pPr>
      <w:r w:rsidRPr="00780D96">
        <w:rPr>
          <w:rFonts w:eastAsia="Times New Roman"/>
          <w:lang w:val="fr-FR"/>
        </w:rPr>
        <w:t>4.8</w:t>
      </w:r>
      <w:r w:rsidRPr="00780D96">
        <w:rPr>
          <w:rFonts w:eastAsia="Times New Roman"/>
          <w:lang w:val="fr-FR"/>
        </w:rPr>
        <w:tab/>
        <w:t>Prescriptions supplémentaires pour les véhicules fonctionnant au GPL ou au GN/</w:t>
      </w:r>
      <w:proofErr w:type="spellStart"/>
      <w:r w:rsidRPr="00780D96">
        <w:rPr>
          <w:rFonts w:eastAsia="Times New Roman"/>
          <w:lang w:val="fr-FR"/>
        </w:rPr>
        <w:t>biométhane</w:t>
      </w:r>
      <w:proofErr w:type="spellEnd"/>
    </w:p>
    <w:p w:rsidR="00780D96" w:rsidRPr="00780D96" w:rsidRDefault="00780D96" w:rsidP="00A07FA8">
      <w:pPr>
        <w:pStyle w:val="SingleTxtG"/>
        <w:ind w:left="2268" w:hanging="1134"/>
        <w:rPr>
          <w:rFonts w:eastAsia="Times New Roman"/>
          <w:lang w:val="fr-FR"/>
        </w:rPr>
      </w:pPr>
      <w:r w:rsidRPr="00780D96">
        <w:rPr>
          <w:rFonts w:eastAsia="Times New Roman"/>
          <w:lang w:val="fr-FR"/>
        </w:rPr>
        <w:t>4.8.1</w:t>
      </w:r>
      <w:r w:rsidRPr="00780D96">
        <w:rPr>
          <w:rFonts w:eastAsia="Times New Roman"/>
          <w:lang w:val="fr-FR"/>
        </w:rPr>
        <w:tab/>
        <w:t>Les prescriptions supplémentaires pour les véhicules fonctionnant au GPL ou au GN/</w:t>
      </w:r>
      <w:proofErr w:type="spellStart"/>
      <w:r w:rsidRPr="00780D96">
        <w:rPr>
          <w:rFonts w:eastAsia="Times New Roman"/>
          <w:lang w:val="fr-FR"/>
        </w:rPr>
        <w:t>biométhane</w:t>
      </w:r>
      <w:proofErr w:type="spellEnd"/>
      <w:r w:rsidRPr="00780D96">
        <w:rPr>
          <w:rFonts w:eastAsia="Times New Roman"/>
          <w:lang w:val="fr-FR"/>
        </w:rPr>
        <w:t xml:space="preserve"> sont énoncées dans l</w:t>
      </w:r>
      <w:r w:rsidR="00DB4C2D">
        <w:rPr>
          <w:rFonts w:eastAsia="Times New Roman"/>
          <w:lang w:val="fr-FR"/>
        </w:rPr>
        <w:t>’</w:t>
      </w:r>
      <w:r w:rsidRPr="00780D96">
        <w:rPr>
          <w:rFonts w:eastAsia="Times New Roman"/>
          <w:lang w:val="fr-FR"/>
        </w:rPr>
        <w:t>annexe 12 du présent Règlement.</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4.9</w:t>
      </w:r>
      <w:r w:rsidRPr="00780D96">
        <w:rPr>
          <w:rFonts w:eastAsia="Times New Roman"/>
          <w:lang w:val="fr-FR"/>
        </w:rPr>
        <w:tab/>
        <w:t>Prescriptions supplémentaires pour l</w:t>
      </w:r>
      <w:r w:rsidR="00DB4C2D">
        <w:rPr>
          <w:rFonts w:eastAsia="Times New Roman"/>
          <w:lang w:val="fr-FR"/>
        </w:rPr>
        <w:t>’</w:t>
      </w:r>
      <w:r w:rsidRPr="00780D96">
        <w:rPr>
          <w:rFonts w:eastAsia="Times New Roman"/>
          <w:lang w:val="fr-FR"/>
        </w:rPr>
        <w:t>homologation</w:t>
      </w:r>
      <w:r w:rsidR="00257AFA">
        <w:rPr>
          <w:rFonts w:eastAsia="Times New Roman"/>
          <w:lang w:val="fr-FR"/>
        </w:rPr>
        <w:t xml:space="preserve"> </w:t>
      </w:r>
      <w:r w:rsidRPr="00780D96">
        <w:rPr>
          <w:rFonts w:eastAsia="Times New Roman"/>
          <w:lang w:val="fr-FR"/>
        </w:rPr>
        <w:t>des véhicules à carburant modulable</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4.9.1</w:t>
      </w:r>
      <w:r w:rsidRPr="00780D96">
        <w:rPr>
          <w:rFonts w:eastAsia="Times New Roman"/>
          <w:lang w:val="fr-FR"/>
        </w:rPr>
        <w:tab/>
        <w:t>Pour l</w:t>
      </w:r>
      <w:r w:rsidR="00DB4C2D">
        <w:rPr>
          <w:rFonts w:eastAsia="Times New Roman"/>
          <w:lang w:val="fr-FR"/>
        </w:rPr>
        <w:t>’</w:t>
      </w:r>
      <w:r w:rsidRPr="00780D96">
        <w:rPr>
          <w:rFonts w:eastAsia="Times New Roman"/>
          <w:lang w:val="fr-FR"/>
        </w:rPr>
        <w:t>homologation de type d</w:t>
      </w:r>
      <w:r w:rsidR="00DB4C2D">
        <w:rPr>
          <w:rFonts w:eastAsia="Times New Roman"/>
          <w:lang w:val="fr-FR"/>
        </w:rPr>
        <w:t>’</w:t>
      </w:r>
      <w:r w:rsidRPr="00780D96">
        <w:rPr>
          <w:rFonts w:eastAsia="Times New Roman"/>
          <w:lang w:val="fr-FR"/>
        </w:rPr>
        <w:t>un véhicule à carburant modulable fonctionnant à l</w:t>
      </w:r>
      <w:r w:rsidR="00DB4C2D">
        <w:rPr>
          <w:rFonts w:eastAsia="Times New Roman"/>
          <w:lang w:val="fr-FR"/>
        </w:rPr>
        <w:t>’</w:t>
      </w:r>
      <w:r w:rsidRPr="00780D96">
        <w:rPr>
          <w:rFonts w:eastAsia="Times New Roman"/>
          <w:lang w:val="fr-FR"/>
        </w:rPr>
        <w:t xml:space="preserve">éthanol ou au </w:t>
      </w:r>
      <w:proofErr w:type="spellStart"/>
      <w:r w:rsidRPr="00780D96">
        <w:rPr>
          <w:rFonts w:eastAsia="Times New Roman"/>
          <w:lang w:val="fr-FR"/>
        </w:rPr>
        <w:t>biogazole</w:t>
      </w:r>
      <w:proofErr w:type="spellEnd"/>
      <w:r w:rsidRPr="00780D96">
        <w:rPr>
          <w:rFonts w:eastAsia="Times New Roman"/>
          <w:lang w:val="fr-FR"/>
        </w:rPr>
        <w:t>, le constructeur doit décrire l</w:t>
      </w:r>
      <w:r w:rsidR="00DB4C2D">
        <w:rPr>
          <w:rFonts w:eastAsia="Times New Roman"/>
          <w:lang w:val="fr-FR"/>
        </w:rPr>
        <w:t>’</w:t>
      </w:r>
      <w:r w:rsidRPr="00780D96">
        <w:rPr>
          <w:rFonts w:eastAsia="Times New Roman"/>
          <w:lang w:val="fr-FR"/>
        </w:rPr>
        <w:t>aptitude du véhicule à s</w:t>
      </w:r>
      <w:r w:rsidR="00DB4C2D">
        <w:rPr>
          <w:rFonts w:eastAsia="Times New Roman"/>
          <w:lang w:val="fr-FR"/>
        </w:rPr>
        <w:t>’</w:t>
      </w:r>
      <w:r w:rsidRPr="00780D96">
        <w:rPr>
          <w:rFonts w:eastAsia="Times New Roman"/>
          <w:lang w:val="fr-FR"/>
        </w:rPr>
        <w:t>adapter à un mélange quelconque d</w:t>
      </w:r>
      <w:r w:rsidR="00DB4C2D">
        <w:rPr>
          <w:rFonts w:eastAsia="Times New Roman"/>
          <w:lang w:val="fr-FR"/>
        </w:rPr>
        <w:t>’</w:t>
      </w:r>
      <w:r w:rsidRPr="00780D96">
        <w:rPr>
          <w:rFonts w:eastAsia="Times New Roman"/>
          <w:lang w:val="fr-FR"/>
        </w:rPr>
        <w:t>essence et de carburant à l</w:t>
      </w:r>
      <w:r w:rsidR="00DB4C2D">
        <w:rPr>
          <w:rFonts w:eastAsia="Times New Roman"/>
          <w:lang w:val="fr-FR"/>
        </w:rPr>
        <w:t>’</w:t>
      </w:r>
      <w:r w:rsidRPr="00780D96">
        <w:rPr>
          <w:rFonts w:eastAsia="Times New Roman"/>
          <w:lang w:val="fr-FR"/>
        </w:rPr>
        <w:t>éthanol (mélange d</w:t>
      </w:r>
      <w:r w:rsidR="00DB4C2D">
        <w:rPr>
          <w:rFonts w:eastAsia="Times New Roman"/>
          <w:lang w:val="fr-FR"/>
        </w:rPr>
        <w:t>’</w:t>
      </w:r>
      <w:r w:rsidRPr="00780D96">
        <w:rPr>
          <w:rFonts w:eastAsia="Times New Roman"/>
          <w:lang w:val="fr-FR"/>
        </w:rPr>
        <w:t>éthanol jusqu</w:t>
      </w:r>
      <w:r w:rsidR="00DB4C2D">
        <w:rPr>
          <w:rFonts w:eastAsia="Times New Roman"/>
          <w:lang w:val="fr-FR"/>
        </w:rPr>
        <w:t>’</w:t>
      </w:r>
      <w:r w:rsidRPr="00780D96">
        <w:rPr>
          <w:rFonts w:eastAsia="Times New Roman"/>
          <w:lang w:val="fr-FR"/>
        </w:rPr>
        <w:t>à 85 %) ou d</w:t>
      </w:r>
      <w:r w:rsidR="00DB4C2D">
        <w:rPr>
          <w:rFonts w:eastAsia="Times New Roman"/>
          <w:lang w:val="fr-FR"/>
        </w:rPr>
        <w:t>’</w:t>
      </w:r>
      <w:r w:rsidRPr="00780D96">
        <w:rPr>
          <w:rFonts w:eastAsia="Times New Roman"/>
          <w:lang w:val="fr-FR"/>
        </w:rPr>
        <w:t xml:space="preserve">essence et de gazole et de </w:t>
      </w:r>
      <w:proofErr w:type="spellStart"/>
      <w:r w:rsidRPr="00780D96">
        <w:rPr>
          <w:rFonts w:eastAsia="Times New Roman"/>
          <w:lang w:val="fr-FR"/>
        </w:rPr>
        <w:t>biogazole</w:t>
      </w:r>
      <w:proofErr w:type="spellEnd"/>
      <w:r w:rsidRPr="00780D96">
        <w:rPr>
          <w:rFonts w:eastAsia="Times New Roman"/>
          <w:lang w:val="fr-FR"/>
        </w:rPr>
        <w:t xml:space="preserve"> qui peuvent apparaître sur le marché.</w:t>
      </w:r>
    </w:p>
    <w:p w:rsidR="00780D96" w:rsidRPr="00780D96" w:rsidRDefault="00780D96" w:rsidP="00A07FA8">
      <w:pPr>
        <w:pStyle w:val="SingleTxtG"/>
        <w:ind w:left="2268" w:hanging="1134"/>
        <w:rPr>
          <w:rFonts w:eastAsia="Times New Roman"/>
          <w:lang w:val="fr-FR"/>
        </w:rPr>
      </w:pPr>
      <w:r w:rsidRPr="00780D96">
        <w:rPr>
          <w:rFonts w:eastAsia="Times New Roman"/>
          <w:lang w:val="fr-FR"/>
        </w:rPr>
        <w:t>4.9.2</w:t>
      </w:r>
      <w:r w:rsidRPr="00780D96">
        <w:rPr>
          <w:rFonts w:eastAsia="Times New Roman"/>
          <w:lang w:val="fr-FR"/>
        </w:rPr>
        <w:tab/>
        <w:t>En ce qui concerne les véhicules à carburant modulable, le passage d</w:t>
      </w:r>
      <w:r w:rsidR="00DB4C2D">
        <w:rPr>
          <w:rFonts w:eastAsia="Times New Roman"/>
          <w:lang w:val="fr-FR"/>
        </w:rPr>
        <w:t>’</w:t>
      </w:r>
      <w:r w:rsidRPr="00780D96">
        <w:rPr>
          <w:rFonts w:eastAsia="Times New Roman"/>
          <w:lang w:val="fr-FR"/>
        </w:rPr>
        <w:t>un carburant de référence à un autre entre les essais ne doit pas nécessiter d</w:t>
      </w:r>
      <w:r w:rsidR="00DB4C2D">
        <w:rPr>
          <w:rFonts w:eastAsia="Times New Roman"/>
          <w:lang w:val="fr-FR"/>
        </w:rPr>
        <w:t>’</w:t>
      </w:r>
      <w:r w:rsidRPr="00780D96">
        <w:rPr>
          <w:rFonts w:eastAsia="Times New Roman"/>
          <w:lang w:val="fr-FR"/>
        </w:rPr>
        <w:t>intervention manuelle sur les réglages du moteur.</w:t>
      </w:r>
    </w:p>
    <w:p w:rsidR="00780D96" w:rsidRPr="00780D96" w:rsidRDefault="00780D96" w:rsidP="00257AFA">
      <w:pPr>
        <w:pStyle w:val="SingleTxtG"/>
        <w:keepNext/>
        <w:ind w:left="2268" w:hanging="1134"/>
        <w:rPr>
          <w:rFonts w:eastAsia="Times New Roman"/>
          <w:lang w:val="fr-FR"/>
        </w:rPr>
      </w:pPr>
      <w:r w:rsidRPr="00780D96">
        <w:rPr>
          <w:rFonts w:eastAsia="Times New Roman"/>
          <w:lang w:val="fr-FR"/>
        </w:rPr>
        <w:lastRenderedPageBreak/>
        <w:t>4.10</w:t>
      </w:r>
      <w:r w:rsidRPr="00780D96">
        <w:rPr>
          <w:rFonts w:eastAsia="Times New Roman"/>
          <w:lang w:val="fr-FR"/>
        </w:rPr>
        <w:tab/>
        <w:t>Exigences pour l</w:t>
      </w:r>
      <w:r w:rsidR="00DB4C2D">
        <w:rPr>
          <w:rFonts w:eastAsia="Times New Roman"/>
          <w:lang w:val="fr-FR"/>
        </w:rPr>
        <w:t>’</w:t>
      </w:r>
      <w:r w:rsidRPr="00780D96">
        <w:rPr>
          <w:rFonts w:eastAsia="Times New Roman"/>
          <w:lang w:val="fr-FR"/>
        </w:rPr>
        <w:t>homologation en ce qui concerne le système OBD</w:t>
      </w:r>
    </w:p>
    <w:p w:rsidR="00780D96" w:rsidRPr="00780D96" w:rsidRDefault="00780D96" w:rsidP="00257AFA">
      <w:pPr>
        <w:pStyle w:val="SingleTxtG"/>
        <w:ind w:left="2268" w:hanging="1134"/>
        <w:rPr>
          <w:rFonts w:eastAsia="Times New Roman"/>
          <w:lang w:val="fr-FR"/>
        </w:rPr>
      </w:pPr>
      <w:r w:rsidRPr="00780D96">
        <w:rPr>
          <w:rFonts w:eastAsia="Times New Roman"/>
          <w:lang w:val="fr-FR"/>
        </w:rPr>
        <w:t>4.10.1</w:t>
      </w:r>
      <w:r w:rsidRPr="00780D96">
        <w:rPr>
          <w:rFonts w:eastAsia="Times New Roman"/>
          <w:lang w:val="fr-FR"/>
        </w:rPr>
        <w:tab/>
        <w:t>Le constructeur doit veiller à ce que tous les véhicules soient équipés d</w:t>
      </w:r>
      <w:r w:rsidR="00DB4C2D">
        <w:rPr>
          <w:rFonts w:eastAsia="Times New Roman"/>
          <w:lang w:val="fr-FR"/>
        </w:rPr>
        <w:t>’</w:t>
      </w:r>
      <w:r w:rsidRPr="00780D96">
        <w:rPr>
          <w:rFonts w:eastAsia="Times New Roman"/>
          <w:lang w:val="fr-FR"/>
        </w:rPr>
        <w:t>un système OBD.</w:t>
      </w:r>
    </w:p>
    <w:p w:rsidR="00780D96" w:rsidRPr="00780D96" w:rsidRDefault="00780D96" w:rsidP="00257AFA">
      <w:pPr>
        <w:pStyle w:val="SingleTxtG"/>
        <w:ind w:left="2268" w:hanging="1134"/>
        <w:rPr>
          <w:rFonts w:eastAsia="Times New Roman"/>
          <w:lang w:val="fr-FR"/>
        </w:rPr>
      </w:pPr>
      <w:r w:rsidRPr="00780D96">
        <w:rPr>
          <w:rFonts w:eastAsia="Times New Roman"/>
          <w:lang w:val="fr-FR"/>
        </w:rPr>
        <w:t>4.10.2</w:t>
      </w:r>
      <w:r w:rsidRPr="00780D96">
        <w:rPr>
          <w:rFonts w:eastAsia="Times New Roman"/>
          <w:lang w:val="fr-FR"/>
        </w:rPr>
        <w:tab/>
        <w:t>Le système OBD doit être conçu, construit et monté sur un véhicule de façon à pouvoir identifier différents types de détériorations ou de dysfonctionnements pendant toute la durée de vie du véhicule.</w:t>
      </w:r>
    </w:p>
    <w:p w:rsidR="00780D96" w:rsidRPr="00780D96" w:rsidRDefault="00780D96" w:rsidP="00257AFA">
      <w:pPr>
        <w:pStyle w:val="SingleTxtG"/>
        <w:ind w:left="2268" w:hanging="1134"/>
        <w:rPr>
          <w:rFonts w:eastAsia="Times New Roman"/>
          <w:lang w:val="fr-FR"/>
        </w:rPr>
      </w:pPr>
      <w:r w:rsidRPr="00780D96">
        <w:rPr>
          <w:rFonts w:eastAsia="Times New Roman"/>
          <w:lang w:val="fr-FR"/>
        </w:rPr>
        <w:t>4.10.3</w:t>
      </w:r>
      <w:r w:rsidRPr="00780D96">
        <w:rPr>
          <w:rFonts w:eastAsia="Times New Roman"/>
          <w:lang w:val="fr-FR"/>
        </w:rPr>
        <w:tab/>
        <w:t>Le système OBD doit satisfaire aux exigences du présent Règlement dans les conditions d</w:t>
      </w:r>
      <w:r w:rsidR="00DB4C2D">
        <w:rPr>
          <w:rFonts w:eastAsia="Times New Roman"/>
          <w:lang w:val="fr-FR"/>
        </w:rPr>
        <w:t>’</w:t>
      </w:r>
      <w:r w:rsidRPr="00780D96">
        <w:rPr>
          <w:rFonts w:eastAsia="Times New Roman"/>
          <w:lang w:val="fr-FR"/>
        </w:rPr>
        <w:t>utilisation normales.</w:t>
      </w:r>
    </w:p>
    <w:p w:rsidR="00780D96" w:rsidRPr="00780D96" w:rsidRDefault="00780D96" w:rsidP="00257AFA">
      <w:pPr>
        <w:pStyle w:val="SingleTxtG"/>
        <w:ind w:left="2268" w:hanging="1134"/>
        <w:rPr>
          <w:rFonts w:eastAsia="Times New Roman"/>
          <w:lang w:val="fr-FR"/>
        </w:rPr>
      </w:pPr>
      <w:r w:rsidRPr="00780D96">
        <w:rPr>
          <w:rFonts w:eastAsia="Times New Roman"/>
          <w:lang w:val="fr-FR"/>
        </w:rPr>
        <w:t>4.10.4</w:t>
      </w:r>
      <w:r w:rsidRPr="00780D96">
        <w:rPr>
          <w:rFonts w:eastAsia="Times New Roman"/>
          <w:lang w:val="fr-FR"/>
        </w:rPr>
        <w:tab/>
        <w:t>Lorsqu</w:t>
      </w:r>
      <w:r w:rsidR="00DB4C2D">
        <w:rPr>
          <w:rFonts w:eastAsia="Times New Roman"/>
          <w:lang w:val="fr-FR"/>
        </w:rPr>
        <w:t>’</w:t>
      </w:r>
      <w:r w:rsidRPr="00780D96">
        <w:rPr>
          <w:rFonts w:eastAsia="Times New Roman"/>
          <w:lang w:val="fr-FR"/>
        </w:rPr>
        <w:t>il est soumis à l</w:t>
      </w:r>
      <w:r w:rsidR="00DB4C2D">
        <w:rPr>
          <w:rFonts w:eastAsia="Times New Roman"/>
          <w:lang w:val="fr-FR"/>
        </w:rPr>
        <w:t>’</w:t>
      </w:r>
      <w:r w:rsidRPr="00780D96">
        <w:rPr>
          <w:rFonts w:eastAsia="Times New Roman"/>
          <w:lang w:val="fr-FR"/>
        </w:rPr>
        <w:t>essai avec un composant défectueux, conformément à l</w:t>
      </w:r>
      <w:r w:rsidR="00DB4C2D">
        <w:rPr>
          <w:rFonts w:eastAsia="Times New Roman"/>
          <w:lang w:val="fr-FR"/>
        </w:rPr>
        <w:t>’</w:t>
      </w:r>
      <w:r w:rsidRPr="00780D96">
        <w:rPr>
          <w:rFonts w:eastAsia="Times New Roman"/>
          <w:lang w:val="fr-FR"/>
        </w:rPr>
        <w:t>appendice 1 de l</w:t>
      </w:r>
      <w:r w:rsidR="00DB4C2D">
        <w:rPr>
          <w:rFonts w:eastAsia="Times New Roman"/>
          <w:lang w:val="fr-FR"/>
        </w:rPr>
        <w:t>’</w:t>
      </w:r>
      <w:r w:rsidRPr="00780D96">
        <w:rPr>
          <w:rFonts w:eastAsia="Times New Roman"/>
          <w:lang w:val="fr-FR"/>
        </w:rPr>
        <w:t>annexe 11 du présent Règlement, le témoin de défaillance du système OBD doit s</w:t>
      </w:r>
      <w:r w:rsidR="00DB4C2D">
        <w:rPr>
          <w:rFonts w:eastAsia="Times New Roman"/>
          <w:lang w:val="fr-FR"/>
        </w:rPr>
        <w:t>’</w:t>
      </w:r>
      <w:r w:rsidRPr="00780D96">
        <w:rPr>
          <w:rFonts w:eastAsia="Times New Roman"/>
          <w:lang w:val="fr-FR"/>
        </w:rPr>
        <w:t>activer. Durant cet essai, le témoin de défaillance peut également s</w:t>
      </w:r>
      <w:r w:rsidR="00DB4C2D">
        <w:rPr>
          <w:rFonts w:eastAsia="Times New Roman"/>
          <w:lang w:val="fr-FR"/>
        </w:rPr>
        <w:t>’</w:t>
      </w:r>
      <w:r w:rsidRPr="00780D96">
        <w:rPr>
          <w:rFonts w:eastAsia="Times New Roman"/>
          <w:lang w:val="fr-FR"/>
        </w:rPr>
        <w:t>activer à des niveaux d</w:t>
      </w:r>
      <w:r w:rsidR="00DB4C2D">
        <w:rPr>
          <w:rFonts w:eastAsia="Times New Roman"/>
          <w:lang w:val="fr-FR"/>
        </w:rPr>
        <w:t>’</w:t>
      </w:r>
      <w:r w:rsidRPr="00780D96">
        <w:rPr>
          <w:rFonts w:eastAsia="Times New Roman"/>
          <w:lang w:val="fr-FR"/>
        </w:rPr>
        <w:t>émission inférieurs aux valeurs limites spécifiées pour l</w:t>
      </w:r>
      <w:r w:rsidR="00DB4C2D">
        <w:rPr>
          <w:rFonts w:eastAsia="Times New Roman"/>
          <w:lang w:val="fr-FR"/>
        </w:rPr>
        <w:t>’</w:t>
      </w:r>
      <w:r w:rsidRPr="00780D96">
        <w:rPr>
          <w:rFonts w:eastAsia="Times New Roman"/>
          <w:lang w:val="fr-FR"/>
        </w:rPr>
        <w:t>OBD à l</w:t>
      </w:r>
      <w:r w:rsidR="00DB4C2D">
        <w:rPr>
          <w:rFonts w:eastAsia="Times New Roman"/>
          <w:lang w:val="fr-FR"/>
        </w:rPr>
        <w:t>’</w:t>
      </w:r>
      <w:r w:rsidRPr="00780D96">
        <w:rPr>
          <w:rFonts w:eastAsia="Times New Roman"/>
          <w:lang w:val="fr-FR"/>
        </w:rPr>
        <w:t>annexe 11 du présent Règlement.</w:t>
      </w:r>
    </w:p>
    <w:p w:rsidR="00780D96" w:rsidRPr="00780D96" w:rsidRDefault="00780D96" w:rsidP="00257AFA">
      <w:pPr>
        <w:pStyle w:val="SingleTxtG"/>
        <w:ind w:left="2268" w:hanging="1134"/>
        <w:rPr>
          <w:rFonts w:eastAsia="Times New Roman"/>
          <w:lang w:val="fr-FR"/>
        </w:rPr>
      </w:pPr>
      <w:r w:rsidRPr="00780D96">
        <w:rPr>
          <w:rFonts w:eastAsia="Times New Roman"/>
          <w:lang w:val="fr-FR"/>
        </w:rPr>
        <w:t>4.10.5</w:t>
      </w:r>
      <w:r w:rsidRPr="00780D96">
        <w:rPr>
          <w:rFonts w:eastAsia="Times New Roman"/>
          <w:lang w:val="fr-FR"/>
        </w:rPr>
        <w:tab/>
        <w:t>Le constructeur doit veiller à ce que le système OBD réponde aux exigences énoncées au paragraphe 7 de l</w:t>
      </w:r>
      <w:r w:rsidR="00DB4C2D">
        <w:rPr>
          <w:rFonts w:eastAsia="Times New Roman"/>
          <w:lang w:val="fr-FR"/>
        </w:rPr>
        <w:t>’</w:t>
      </w:r>
      <w:r w:rsidRPr="00780D96">
        <w:rPr>
          <w:rFonts w:eastAsia="Times New Roman"/>
          <w:lang w:val="fr-FR"/>
        </w:rPr>
        <w:t>appendice 1 de l</w:t>
      </w:r>
      <w:r w:rsidR="00DB4C2D">
        <w:rPr>
          <w:rFonts w:eastAsia="Times New Roman"/>
          <w:lang w:val="fr-FR"/>
        </w:rPr>
        <w:t>’</w:t>
      </w:r>
      <w:r w:rsidRPr="00780D96">
        <w:rPr>
          <w:rFonts w:eastAsia="Times New Roman"/>
          <w:lang w:val="fr-FR"/>
        </w:rPr>
        <w:t>annexe 11 du présent Règlement en matière de performances en service, dans toutes les conditions de conduite raisonnablement prévisibles.</w:t>
      </w:r>
    </w:p>
    <w:p w:rsidR="00780D96" w:rsidRPr="00780D96" w:rsidRDefault="00780D96" w:rsidP="00257AFA">
      <w:pPr>
        <w:pStyle w:val="SingleTxtG"/>
        <w:ind w:left="2268" w:hanging="1134"/>
        <w:rPr>
          <w:rFonts w:eastAsia="Times New Roman"/>
          <w:lang w:val="fr-FR"/>
        </w:rPr>
      </w:pPr>
      <w:r w:rsidRPr="00780D96">
        <w:rPr>
          <w:rFonts w:eastAsia="Times New Roman"/>
          <w:lang w:val="fr-FR"/>
        </w:rPr>
        <w:t>4.10.6</w:t>
      </w:r>
      <w:r w:rsidRPr="00780D96">
        <w:rPr>
          <w:rFonts w:eastAsia="Times New Roman"/>
          <w:lang w:val="fr-FR"/>
        </w:rPr>
        <w:tab/>
        <w:t>Les données concernant les performances en service qui doivent être enregistrées et fournies par un système OBD conformément aux dispositions du paragraphe 7.6 de l</w:t>
      </w:r>
      <w:r w:rsidR="00DB4C2D">
        <w:rPr>
          <w:rFonts w:eastAsia="Times New Roman"/>
          <w:lang w:val="fr-FR"/>
        </w:rPr>
        <w:t>’</w:t>
      </w:r>
      <w:r w:rsidRPr="00780D96">
        <w:rPr>
          <w:rFonts w:eastAsia="Times New Roman"/>
          <w:lang w:val="fr-FR"/>
        </w:rPr>
        <w:t>appendice 1 de l</w:t>
      </w:r>
      <w:r w:rsidR="00DB4C2D">
        <w:rPr>
          <w:rFonts w:eastAsia="Times New Roman"/>
          <w:lang w:val="fr-FR"/>
        </w:rPr>
        <w:t>’</w:t>
      </w:r>
      <w:r w:rsidRPr="00780D96">
        <w:rPr>
          <w:rFonts w:eastAsia="Times New Roman"/>
          <w:lang w:val="fr-FR"/>
        </w:rPr>
        <w:t>annexe 11 du présent Règlement sont directement communiquées par le constructeur aux autorités nationales et aux opérateurs indépendants sous une forme non cryptée.</w:t>
      </w:r>
    </w:p>
    <w:p w:rsidR="00780D96" w:rsidRPr="00780D96" w:rsidRDefault="00546963" w:rsidP="00546963">
      <w:pPr>
        <w:pStyle w:val="HChG"/>
        <w:rPr>
          <w:rFonts w:eastAsia="Times New Roman"/>
          <w:b w:val="0"/>
          <w:lang w:val="fr-FR"/>
        </w:rPr>
      </w:pPr>
      <w:r>
        <w:rPr>
          <w:lang w:val="fr-FR"/>
        </w:rPr>
        <w:tab/>
      </w:r>
      <w:r>
        <w:rPr>
          <w:lang w:val="fr-FR"/>
        </w:rPr>
        <w:tab/>
      </w:r>
      <w:r w:rsidR="00780D96" w:rsidRPr="00546963">
        <w:rPr>
          <w:lang w:val="fr-FR"/>
        </w:rPr>
        <w:t>5.</w:t>
      </w:r>
      <w:r w:rsidR="00780D96" w:rsidRPr="00546963">
        <w:rPr>
          <w:lang w:val="fr-FR"/>
        </w:rPr>
        <w:tab/>
      </w:r>
      <w:r w:rsidR="00780D96" w:rsidRPr="00546963">
        <w:rPr>
          <w:lang w:val="fr-FR"/>
        </w:rPr>
        <w:tab/>
        <w:t>Spécifications techniques et essais</w:t>
      </w:r>
    </w:p>
    <w:p w:rsidR="00780D96" w:rsidRPr="00780D96" w:rsidRDefault="00780D96" w:rsidP="00F851E8">
      <w:pPr>
        <w:pStyle w:val="SingleTxtG"/>
        <w:ind w:left="2268"/>
        <w:rPr>
          <w:lang w:val="fr-FR"/>
        </w:rPr>
      </w:pPr>
      <w:r w:rsidRPr="00780D96">
        <w:rPr>
          <w:lang w:val="fr-FR"/>
        </w:rPr>
        <w:t>Constructeurs en petites séries</w:t>
      </w:r>
    </w:p>
    <w:p w:rsidR="00780D96" w:rsidRDefault="00780D96" w:rsidP="00F851E8">
      <w:pPr>
        <w:pStyle w:val="SingleTxtG"/>
        <w:ind w:left="2268"/>
        <w:rPr>
          <w:rFonts w:eastAsia="Times New Roman"/>
          <w:szCs w:val="24"/>
          <w:lang w:val="fr-FR"/>
        </w:rPr>
      </w:pPr>
      <w:r w:rsidRPr="00780D96">
        <w:rPr>
          <w:rFonts w:eastAsia="Times New Roman"/>
          <w:szCs w:val="24"/>
          <w:lang w:val="fr-FR"/>
        </w:rPr>
        <w:tab/>
        <w:t>À défaut de se conformer aux prescriptions du présent paragraphe, les constructeurs dont la production mondiale annuelle est de moins de 10 000 unités peuvent obtenir l</w:t>
      </w:r>
      <w:r w:rsidR="00DB4C2D">
        <w:rPr>
          <w:rFonts w:eastAsia="Times New Roman"/>
          <w:szCs w:val="24"/>
          <w:lang w:val="fr-FR"/>
        </w:rPr>
        <w:t>’</w:t>
      </w:r>
      <w:r w:rsidRPr="00780D96">
        <w:rPr>
          <w:rFonts w:eastAsia="Times New Roman"/>
          <w:szCs w:val="24"/>
          <w:lang w:val="fr-FR"/>
        </w:rPr>
        <w:t>homologation sur la base des exigences techniques correspondantes qui figurent dans le tableau ci-dessous.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4219"/>
        <w:gridCol w:w="4286"/>
      </w:tblGrid>
      <w:tr w:rsidR="00780D96" w:rsidRPr="00780D96" w:rsidTr="00780D96">
        <w:tc>
          <w:tcPr>
            <w:tcW w:w="4219" w:type="dxa"/>
            <w:shd w:val="clear" w:color="auto" w:fill="auto"/>
            <w:vAlign w:val="center"/>
          </w:tcPr>
          <w:p w:rsidR="00780D96" w:rsidRPr="00780D96" w:rsidRDefault="00780D96" w:rsidP="00780D96">
            <w:pPr>
              <w:kinsoku/>
              <w:overflowPunct/>
              <w:autoSpaceDE/>
              <w:autoSpaceDN/>
              <w:adjustRightInd/>
              <w:snapToGrid/>
              <w:spacing w:before="40" w:after="120"/>
              <w:ind w:right="1134"/>
              <w:jc w:val="center"/>
              <w:rPr>
                <w:rFonts w:eastAsia="Times New Roman"/>
                <w:sz w:val="16"/>
                <w:szCs w:val="16"/>
                <w:lang w:val="fr-FR"/>
              </w:rPr>
            </w:pPr>
            <w:r w:rsidRPr="00780D96">
              <w:rPr>
                <w:rFonts w:eastAsia="Times New Roman"/>
                <w:b/>
                <w:i/>
                <w:sz w:val="16"/>
                <w:szCs w:val="16"/>
                <w:lang w:val="fr-FR"/>
              </w:rPr>
              <w:t>Acte législatif</w:t>
            </w:r>
          </w:p>
        </w:tc>
        <w:tc>
          <w:tcPr>
            <w:tcW w:w="4286" w:type="dxa"/>
            <w:shd w:val="clear" w:color="auto" w:fill="auto"/>
            <w:vAlign w:val="center"/>
          </w:tcPr>
          <w:p w:rsidR="00780D96" w:rsidRPr="00780D96" w:rsidRDefault="00780D96" w:rsidP="00780D96">
            <w:pPr>
              <w:kinsoku/>
              <w:overflowPunct/>
              <w:autoSpaceDE/>
              <w:autoSpaceDN/>
              <w:adjustRightInd/>
              <w:snapToGrid/>
              <w:spacing w:before="40" w:after="120"/>
              <w:ind w:right="1134"/>
              <w:jc w:val="center"/>
              <w:rPr>
                <w:rFonts w:eastAsia="Times New Roman"/>
                <w:sz w:val="16"/>
                <w:szCs w:val="16"/>
                <w:lang w:val="fr-FR"/>
              </w:rPr>
            </w:pPr>
            <w:r w:rsidRPr="00780D96">
              <w:rPr>
                <w:rFonts w:eastAsia="Times New Roman"/>
                <w:b/>
                <w:i/>
                <w:sz w:val="16"/>
                <w:szCs w:val="16"/>
                <w:lang w:val="fr-FR"/>
              </w:rPr>
              <w:t>Prescriptions</w:t>
            </w:r>
          </w:p>
        </w:tc>
      </w:tr>
      <w:tr w:rsidR="00780D96" w:rsidRPr="00780D96" w:rsidTr="00780D96">
        <w:tc>
          <w:tcPr>
            <w:tcW w:w="4219" w:type="dxa"/>
            <w:shd w:val="clear" w:color="auto" w:fill="auto"/>
          </w:tcPr>
          <w:p w:rsidR="00780D96" w:rsidRPr="00780D96" w:rsidRDefault="00780D96" w:rsidP="00780D96">
            <w:pPr>
              <w:kinsoku/>
              <w:overflowPunct/>
              <w:autoSpaceDE/>
              <w:autoSpaceDN/>
              <w:adjustRightInd/>
              <w:snapToGrid/>
              <w:spacing w:before="40" w:after="120" w:line="220" w:lineRule="atLeast"/>
              <w:rPr>
                <w:rFonts w:eastAsia="Times New Roman"/>
                <w:sz w:val="18"/>
                <w:szCs w:val="18"/>
                <w:lang w:val="fr-FR"/>
              </w:rPr>
            </w:pPr>
            <w:r w:rsidRPr="00780D96">
              <w:rPr>
                <w:rFonts w:eastAsia="Times New Roman"/>
                <w:b/>
                <w:sz w:val="18"/>
                <w:szCs w:val="18"/>
                <w:lang w:val="fr-FR"/>
              </w:rPr>
              <w:t xml:space="preserve">Le «Code of </w:t>
            </w:r>
            <w:proofErr w:type="spellStart"/>
            <w:r w:rsidRPr="00780D96">
              <w:rPr>
                <w:rFonts w:eastAsia="Times New Roman"/>
                <w:b/>
                <w:sz w:val="18"/>
                <w:szCs w:val="18"/>
                <w:lang w:val="fr-FR"/>
              </w:rPr>
              <w:t>Regulations</w:t>
            </w:r>
            <w:proofErr w:type="spellEnd"/>
            <w:r w:rsidRPr="00780D96">
              <w:rPr>
                <w:rFonts w:eastAsia="Times New Roman"/>
                <w:b/>
                <w:sz w:val="18"/>
                <w:szCs w:val="18"/>
                <w:lang w:val="fr-FR"/>
              </w:rPr>
              <w:t>» de l</w:t>
            </w:r>
            <w:r w:rsidR="00DB4C2D">
              <w:rPr>
                <w:rFonts w:eastAsia="Times New Roman"/>
                <w:b/>
                <w:sz w:val="18"/>
                <w:szCs w:val="18"/>
                <w:lang w:val="fr-FR"/>
              </w:rPr>
              <w:t>’</w:t>
            </w:r>
            <w:r w:rsidRPr="00780D96">
              <w:rPr>
                <w:rFonts w:eastAsia="Times New Roman"/>
                <w:b/>
                <w:sz w:val="18"/>
                <w:szCs w:val="18"/>
                <w:lang w:val="fr-FR"/>
              </w:rPr>
              <w:t xml:space="preserve">État de Californie, titre 13, sections 1961(a) et 1961(b) (1) (C) (1) applicables aux véhicules des modèles 2001 et ultérieurs, 1968,1, 1968,2, 1968,5, 1976 et 1975, publié par </w:t>
            </w:r>
            <w:proofErr w:type="spellStart"/>
            <w:r w:rsidRPr="00780D96">
              <w:rPr>
                <w:rFonts w:eastAsia="Times New Roman"/>
                <w:b/>
                <w:sz w:val="18"/>
                <w:szCs w:val="18"/>
                <w:lang w:val="fr-FR"/>
              </w:rPr>
              <w:t>Barclay</w:t>
            </w:r>
            <w:r w:rsidR="00DB4C2D">
              <w:rPr>
                <w:rFonts w:eastAsia="Times New Roman"/>
                <w:b/>
                <w:sz w:val="18"/>
                <w:szCs w:val="18"/>
                <w:lang w:val="fr-FR"/>
              </w:rPr>
              <w:t>’</w:t>
            </w:r>
            <w:r w:rsidRPr="00780D96">
              <w:rPr>
                <w:rFonts w:eastAsia="Times New Roman"/>
                <w:b/>
                <w:sz w:val="18"/>
                <w:szCs w:val="18"/>
                <w:lang w:val="fr-FR"/>
              </w:rPr>
              <w:t>s</w:t>
            </w:r>
            <w:proofErr w:type="spellEnd"/>
            <w:r w:rsidRPr="00780D96">
              <w:rPr>
                <w:rFonts w:eastAsia="Times New Roman"/>
                <w:b/>
                <w:sz w:val="18"/>
                <w:szCs w:val="18"/>
                <w:lang w:val="fr-FR"/>
              </w:rPr>
              <w:t xml:space="preserve"> </w:t>
            </w:r>
            <w:proofErr w:type="spellStart"/>
            <w:r w:rsidRPr="00780D96">
              <w:rPr>
                <w:rFonts w:eastAsia="Times New Roman"/>
                <w:b/>
                <w:sz w:val="18"/>
                <w:szCs w:val="18"/>
                <w:lang w:val="fr-FR"/>
              </w:rPr>
              <w:t>Publishing</w:t>
            </w:r>
            <w:proofErr w:type="spellEnd"/>
            <w:r w:rsidRPr="00780D96">
              <w:rPr>
                <w:rFonts w:eastAsia="Times New Roman"/>
                <w:b/>
                <w:sz w:val="18"/>
                <w:szCs w:val="18"/>
                <w:lang w:val="fr-FR"/>
              </w:rPr>
              <w:t>.</w:t>
            </w:r>
          </w:p>
        </w:tc>
        <w:tc>
          <w:tcPr>
            <w:tcW w:w="4286" w:type="dxa"/>
            <w:shd w:val="clear" w:color="auto" w:fill="auto"/>
          </w:tcPr>
          <w:p w:rsidR="00780D96" w:rsidRPr="00780D96" w:rsidRDefault="00780D96" w:rsidP="00780D96">
            <w:pPr>
              <w:kinsoku/>
              <w:overflowPunct/>
              <w:autoSpaceDE/>
              <w:autoSpaceDN/>
              <w:adjustRightInd/>
              <w:snapToGrid/>
              <w:spacing w:before="40" w:after="120" w:line="220" w:lineRule="atLeast"/>
              <w:rPr>
                <w:rFonts w:eastAsia="Times New Roman"/>
                <w:sz w:val="18"/>
                <w:szCs w:val="18"/>
                <w:lang w:val="fr-FR"/>
              </w:rPr>
            </w:pPr>
            <w:r w:rsidRPr="00780D96">
              <w:rPr>
                <w:rFonts w:eastAsia="Times New Roman"/>
                <w:b/>
                <w:sz w:val="18"/>
                <w:szCs w:val="18"/>
                <w:lang w:val="fr-FR"/>
              </w:rPr>
              <w:t>L</w:t>
            </w:r>
            <w:r w:rsidR="00DB4C2D">
              <w:rPr>
                <w:rFonts w:eastAsia="Times New Roman"/>
                <w:b/>
                <w:sz w:val="18"/>
                <w:szCs w:val="18"/>
                <w:lang w:val="fr-FR"/>
              </w:rPr>
              <w:t>’</w:t>
            </w:r>
            <w:r w:rsidRPr="00780D96">
              <w:rPr>
                <w:rFonts w:eastAsia="Times New Roman"/>
                <w:b/>
                <w:sz w:val="18"/>
                <w:szCs w:val="18"/>
                <w:lang w:val="fr-FR"/>
              </w:rPr>
              <w:t xml:space="preserve">homologation doit être accordée en vertu du «Code of </w:t>
            </w:r>
            <w:proofErr w:type="spellStart"/>
            <w:r w:rsidRPr="00780D96">
              <w:rPr>
                <w:rFonts w:eastAsia="Times New Roman"/>
                <w:b/>
                <w:sz w:val="18"/>
                <w:szCs w:val="18"/>
                <w:lang w:val="fr-FR"/>
              </w:rPr>
              <w:t>Regulations</w:t>
            </w:r>
            <w:proofErr w:type="spellEnd"/>
            <w:r w:rsidRPr="00780D96">
              <w:rPr>
                <w:rFonts w:eastAsia="Times New Roman"/>
                <w:b/>
                <w:sz w:val="18"/>
                <w:szCs w:val="18"/>
                <w:lang w:val="fr-FR"/>
              </w:rPr>
              <w:t>» de l</w:t>
            </w:r>
            <w:r w:rsidR="00DB4C2D">
              <w:rPr>
                <w:rFonts w:eastAsia="Times New Roman"/>
                <w:b/>
                <w:sz w:val="18"/>
                <w:szCs w:val="18"/>
                <w:lang w:val="fr-FR"/>
              </w:rPr>
              <w:t>’</w:t>
            </w:r>
            <w:r w:rsidRPr="00780D96">
              <w:rPr>
                <w:rFonts w:eastAsia="Times New Roman"/>
                <w:b/>
                <w:sz w:val="18"/>
                <w:szCs w:val="18"/>
                <w:lang w:val="fr-FR"/>
              </w:rPr>
              <w:t>État de Californie applicable aux modèles de véhicules utilitaires légers de l</w:t>
            </w:r>
            <w:r w:rsidR="00DB4C2D">
              <w:rPr>
                <w:rFonts w:eastAsia="Times New Roman"/>
                <w:b/>
                <w:sz w:val="18"/>
                <w:szCs w:val="18"/>
                <w:lang w:val="fr-FR"/>
              </w:rPr>
              <w:t>’</w:t>
            </w:r>
            <w:r w:rsidRPr="00780D96">
              <w:rPr>
                <w:rFonts w:eastAsia="Times New Roman"/>
                <w:b/>
                <w:sz w:val="18"/>
                <w:szCs w:val="18"/>
                <w:lang w:val="fr-FR"/>
              </w:rPr>
              <w:t>année la plus récente.</w:t>
            </w:r>
          </w:p>
        </w:tc>
      </w:tr>
    </w:tbl>
    <w:p w:rsidR="00780D96" w:rsidRPr="00780D96" w:rsidRDefault="00780D96" w:rsidP="000C0ABC">
      <w:pPr>
        <w:pStyle w:val="SingleTxtG"/>
        <w:spacing w:before="240"/>
        <w:ind w:left="2268"/>
        <w:rPr>
          <w:rFonts w:eastAsia="Times New Roman"/>
          <w:szCs w:val="24"/>
          <w:lang w:val="fr-FR"/>
        </w:rPr>
      </w:pPr>
      <w:r w:rsidRPr="00780D96">
        <w:rPr>
          <w:rFonts w:eastAsia="Times New Roman"/>
          <w:szCs w:val="24"/>
          <w:lang w:val="fr-FR"/>
        </w:rPr>
        <w:t>Les essais de mesure des émissions exécutés à des fins de contrôle technique et mentionnés à l</w:t>
      </w:r>
      <w:r w:rsidR="00DB4C2D">
        <w:rPr>
          <w:rFonts w:eastAsia="Times New Roman"/>
          <w:szCs w:val="24"/>
          <w:lang w:val="fr-FR"/>
        </w:rPr>
        <w:t>’</w:t>
      </w:r>
      <w:r w:rsidRPr="00780D96">
        <w:rPr>
          <w:rFonts w:eastAsia="Times New Roman"/>
          <w:szCs w:val="24"/>
          <w:lang w:val="fr-FR"/>
        </w:rPr>
        <w:t>annexe 5</w:t>
      </w:r>
      <w:r w:rsidRPr="00780D96">
        <w:rPr>
          <w:rFonts w:eastAsia="Times New Roman"/>
          <w:lang w:val="fr-FR"/>
        </w:rPr>
        <w:t xml:space="preserve"> du présent Règlement</w:t>
      </w:r>
      <w:r w:rsidRPr="00780D96">
        <w:rPr>
          <w:rFonts w:eastAsia="Times New Roman"/>
          <w:szCs w:val="24"/>
          <w:lang w:val="fr-FR"/>
        </w:rPr>
        <w:t xml:space="preserve"> et les exigences relatives à l</w:t>
      </w:r>
      <w:r w:rsidR="00DB4C2D">
        <w:rPr>
          <w:rFonts w:eastAsia="Times New Roman"/>
          <w:szCs w:val="24"/>
          <w:lang w:val="fr-FR"/>
        </w:rPr>
        <w:t>’</w:t>
      </w:r>
      <w:r w:rsidRPr="00780D96">
        <w:rPr>
          <w:rFonts w:eastAsia="Times New Roman"/>
          <w:szCs w:val="24"/>
          <w:lang w:val="fr-FR"/>
        </w:rPr>
        <w:t>accès aux informations sur le système OBD énoncées au paragraphe 5 de l</w:t>
      </w:r>
      <w:r w:rsidR="00DB4C2D">
        <w:rPr>
          <w:rFonts w:eastAsia="Times New Roman"/>
          <w:szCs w:val="24"/>
          <w:lang w:val="fr-FR"/>
        </w:rPr>
        <w:t>’</w:t>
      </w:r>
      <w:r w:rsidRPr="00780D96">
        <w:rPr>
          <w:rFonts w:eastAsia="Times New Roman"/>
          <w:szCs w:val="24"/>
          <w:lang w:val="fr-FR"/>
        </w:rPr>
        <w:t>annexe 11</w:t>
      </w:r>
      <w:r w:rsidRPr="00780D96">
        <w:rPr>
          <w:rFonts w:eastAsia="Times New Roman"/>
          <w:lang w:val="fr-FR"/>
        </w:rPr>
        <w:t xml:space="preserve"> du présent Règlement</w:t>
      </w:r>
      <w:r w:rsidRPr="00780D96">
        <w:rPr>
          <w:rFonts w:eastAsia="Times New Roman"/>
          <w:szCs w:val="24"/>
          <w:lang w:val="fr-FR"/>
        </w:rPr>
        <w:t xml:space="preserve"> sont toujours nécessaires pour obtenir l</w:t>
      </w:r>
      <w:r w:rsidR="00DB4C2D">
        <w:rPr>
          <w:rFonts w:eastAsia="Times New Roman"/>
          <w:szCs w:val="24"/>
          <w:lang w:val="fr-FR"/>
        </w:rPr>
        <w:t>’</w:t>
      </w:r>
      <w:r w:rsidRPr="00780D96">
        <w:rPr>
          <w:rFonts w:eastAsia="Times New Roman"/>
          <w:szCs w:val="24"/>
          <w:lang w:val="fr-FR"/>
        </w:rPr>
        <w:t>homologation de type en ce qui concerne les émissions au titre du présent paragraphe.</w:t>
      </w:r>
    </w:p>
    <w:p w:rsidR="00780D96" w:rsidRPr="00780D96" w:rsidRDefault="00780D96" w:rsidP="00F851E8">
      <w:pPr>
        <w:pStyle w:val="SingleTxtG"/>
        <w:ind w:left="2268"/>
        <w:rPr>
          <w:rFonts w:eastAsia="Times New Roman"/>
          <w:szCs w:val="24"/>
          <w:lang w:val="fr-FR"/>
        </w:rPr>
      </w:pPr>
      <w:r w:rsidRPr="00780D96">
        <w:rPr>
          <w:rFonts w:eastAsia="Times New Roman"/>
          <w:szCs w:val="24"/>
          <w:lang w:val="fr-FR"/>
        </w:rPr>
        <w:tab/>
        <w:t>L</w:t>
      </w:r>
      <w:r w:rsidR="00DB4C2D">
        <w:rPr>
          <w:rFonts w:eastAsia="Times New Roman"/>
          <w:szCs w:val="24"/>
          <w:lang w:val="fr-FR"/>
        </w:rPr>
        <w:t>’</w:t>
      </w:r>
      <w:r w:rsidRPr="00780D96">
        <w:rPr>
          <w:rFonts w:eastAsia="Times New Roman"/>
          <w:szCs w:val="24"/>
          <w:lang w:val="fr-FR"/>
        </w:rPr>
        <w:t>autorité d</w:t>
      </w:r>
      <w:r w:rsidR="00DB4C2D">
        <w:rPr>
          <w:rFonts w:eastAsia="Times New Roman"/>
          <w:szCs w:val="24"/>
          <w:lang w:val="fr-FR"/>
        </w:rPr>
        <w:t>’</w:t>
      </w:r>
      <w:r w:rsidRPr="00780D96">
        <w:rPr>
          <w:rFonts w:eastAsia="Times New Roman"/>
          <w:szCs w:val="24"/>
          <w:lang w:val="fr-FR"/>
        </w:rPr>
        <w:t>homologation de type doit informer les autres autorités d</w:t>
      </w:r>
      <w:r w:rsidR="00DB4C2D">
        <w:rPr>
          <w:rFonts w:eastAsia="Times New Roman"/>
          <w:szCs w:val="24"/>
          <w:lang w:val="fr-FR"/>
        </w:rPr>
        <w:t>’</w:t>
      </w:r>
      <w:r w:rsidRPr="00780D96">
        <w:rPr>
          <w:rFonts w:eastAsia="Times New Roman"/>
          <w:szCs w:val="24"/>
          <w:lang w:val="fr-FR"/>
        </w:rPr>
        <w:t>homologation de type des Parties contractantes des circonstances propres à chaque homologation accordée au titre du présent paragraphe.</w:t>
      </w:r>
    </w:p>
    <w:p w:rsidR="00780D96" w:rsidRPr="00780D96" w:rsidRDefault="00780D96" w:rsidP="00F851E8">
      <w:pPr>
        <w:pStyle w:val="SingleTxtG"/>
        <w:keepNext/>
        <w:ind w:left="2268" w:hanging="1134"/>
        <w:rPr>
          <w:rFonts w:eastAsia="Times New Roman"/>
          <w:lang w:val="fr-FR"/>
        </w:rPr>
      </w:pPr>
      <w:r w:rsidRPr="00780D96">
        <w:rPr>
          <w:rFonts w:eastAsia="Times New Roman"/>
          <w:lang w:val="fr-FR"/>
        </w:rPr>
        <w:lastRenderedPageBreak/>
        <w:t>5.1</w:t>
      </w:r>
      <w:r w:rsidRPr="00780D96">
        <w:rPr>
          <w:rFonts w:eastAsia="Times New Roman"/>
          <w:lang w:val="fr-FR"/>
        </w:rPr>
        <w:tab/>
        <w:t>Généralités</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5.1.1</w:t>
      </w:r>
      <w:r w:rsidRPr="00780D96">
        <w:rPr>
          <w:rFonts w:eastAsia="Times New Roman"/>
          <w:lang w:val="fr-FR"/>
        </w:rPr>
        <w:tab/>
        <w:t>Les éléments susceptibles d</w:t>
      </w:r>
      <w:r w:rsidR="00DB4C2D">
        <w:rPr>
          <w:rFonts w:eastAsia="Times New Roman"/>
          <w:lang w:val="fr-FR"/>
        </w:rPr>
        <w:t>’</w:t>
      </w:r>
      <w:r w:rsidRPr="00780D96">
        <w:rPr>
          <w:rFonts w:eastAsia="Times New Roman"/>
          <w:lang w:val="fr-FR"/>
        </w:rPr>
        <w:t>influer sur les émissions de polluants gazeux doivent être conçus, construits et montés de telle façon que dans des conditions normales d</w:t>
      </w:r>
      <w:r w:rsidR="00DB4C2D">
        <w:rPr>
          <w:rFonts w:eastAsia="Times New Roman"/>
          <w:lang w:val="fr-FR"/>
        </w:rPr>
        <w:t>’</w:t>
      </w:r>
      <w:r w:rsidRPr="00780D96">
        <w:rPr>
          <w:rFonts w:eastAsia="Times New Roman"/>
          <w:lang w:val="fr-FR"/>
        </w:rPr>
        <w:t>utilisation et en dépit des vibrations auxquelles ils peuvent être soumis, le véhicule puisse satisfaire aux prescriptions du présent Règlement.</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5.1.2</w:t>
      </w:r>
      <w:r w:rsidRPr="00780D96">
        <w:rPr>
          <w:rFonts w:eastAsia="Times New Roman"/>
          <w:lang w:val="fr-FR"/>
        </w:rPr>
        <w:tab/>
        <w:t>Les moyens techniques mis en œuvre par le constructeur doivent être tels que, conformément aux dispositions du présent Règlement, les véhicules présenteront, pendant toute leur durée de vie normale et dans des conditions normales d</w:t>
      </w:r>
      <w:r w:rsidR="00DB4C2D">
        <w:rPr>
          <w:rFonts w:eastAsia="Times New Roman"/>
          <w:lang w:val="fr-FR"/>
        </w:rPr>
        <w:t>’</w:t>
      </w:r>
      <w:r w:rsidRPr="00780D96">
        <w:rPr>
          <w:rFonts w:eastAsia="Times New Roman"/>
          <w:lang w:val="fr-FR"/>
        </w:rPr>
        <w:t>utilisation, un taux d</w:t>
      </w:r>
      <w:r w:rsidR="00DB4C2D">
        <w:rPr>
          <w:rFonts w:eastAsia="Times New Roman"/>
          <w:lang w:val="fr-FR"/>
        </w:rPr>
        <w:t>’</w:t>
      </w:r>
      <w:r w:rsidRPr="00780D96">
        <w:rPr>
          <w:rFonts w:eastAsia="Times New Roman"/>
          <w:lang w:val="fr-FR"/>
        </w:rPr>
        <w:t>émissions de gaz à l</w:t>
      </w:r>
      <w:r w:rsidR="00DB4C2D">
        <w:rPr>
          <w:rFonts w:eastAsia="Times New Roman"/>
          <w:lang w:val="fr-FR"/>
        </w:rPr>
        <w:t>’</w:t>
      </w:r>
      <w:r w:rsidRPr="00780D96">
        <w:rPr>
          <w:rFonts w:eastAsia="Times New Roman"/>
          <w:lang w:val="fr-FR"/>
        </w:rPr>
        <w:t>échappement et d</w:t>
      </w:r>
      <w:r w:rsidR="00DB4C2D">
        <w:rPr>
          <w:rFonts w:eastAsia="Times New Roman"/>
          <w:lang w:val="fr-FR"/>
        </w:rPr>
        <w:t>’</w:t>
      </w:r>
      <w:r w:rsidRPr="00780D96">
        <w:rPr>
          <w:rFonts w:eastAsia="Times New Roman"/>
          <w:lang w:val="fr-FR"/>
        </w:rPr>
        <w:t>émissions par évaporation effectivement limité. Cela inclut la sécurité des flexibles utilisés dans les systèmes de contrôle des émissions et celle de leurs joints et raccords, qui doivent être construits d</w:t>
      </w:r>
      <w:r w:rsidR="00DB4C2D">
        <w:rPr>
          <w:rFonts w:eastAsia="Times New Roman"/>
          <w:lang w:val="fr-FR"/>
        </w:rPr>
        <w:t>’</w:t>
      </w:r>
      <w:r w:rsidRPr="00780D96">
        <w:rPr>
          <w:rFonts w:eastAsia="Times New Roman"/>
          <w:lang w:val="fr-FR"/>
        </w:rPr>
        <w:t>une manière conforme aux buts du modèle original. Pour les émissions à l</w:t>
      </w:r>
      <w:r w:rsidR="00DB4C2D">
        <w:rPr>
          <w:rFonts w:eastAsia="Times New Roman"/>
          <w:lang w:val="fr-FR"/>
        </w:rPr>
        <w:t>’</w:t>
      </w:r>
      <w:r w:rsidRPr="00780D96">
        <w:rPr>
          <w:rFonts w:eastAsia="Times New Roman"/>
          <w:lang w:val="fr-FR"/>
        </w:rPr>
        <w:t>échappement, ces conditions sont considérées comme remplies si les dispositions des paragraphes 5.3.1 et 8.2 du présent Règlement sont remplies. Pour les émissions par évaporation, ces conditions sont considérées comme remplies si les dispositions des paragraphes 5.3.4 et 8.4 du présent Règlement sont respectées.</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5.1.2.1</w:t>
      </w:r>
      <w:r w:rsidRPr="00780D96">
        <w:rPr>
          <w:rFonts w:eastAsia="Times New Roman"/>
          <w:lang w:val="fr-FR"/>
        </w:rPr>
        <w:tab/>
        <w:t>L</w:t>
      </w:r>
      <w:r w:rsidR="00DB4C2D">
        <w:rPr>
          <w:rFonts w:eastAsia="Times New Roman"/>
          <w:lang w:val="fr-FR"/>
        </w:rPr>
        <w:t>’</w:t>
      </w:r>
      <w:r w:rsidRPr="00780D96">
        <w:rPr>
          <w:rFonts w:eastAsia="Times New Roman"/>
          <w:lang w:val="fr-FR"/>
        </w:rPr>
        <w:t>utilisation d</w:t>
      </w:r>
      <w:r w:rsidR="00DB4C2D">
        <w:rPr>
          <w:rFonts w:eastAsia="Times New Roman"/>
          <w:lang w:val="fr-FR"/>
        </w:rPr>
        <w:t>’</w:t>
      </w:r>
      <w:r w:rsidRPr="00780D96">
        <w:rPr>
          <w:rFonts w:eastAsia="Times New Roman"/>
          <w:lang w:val="fr-FR"/>
        </w:rPr>
        <w:t>un dispositif de manipulation est interdite.</w:t>
      </w:r>
    </w:p>
    <w:p w:rsidR="00780D96" w:rsidRPr="00780D96" w:rsidRDefault="00780D96" w:rsidP="00F851E8">
      <w:pPr>
        <w:pStyle w:val="SingleTxtG"/>
        <w:keepNext/>
        <w:ind w:left="2268" w:hanging="1134"/>
        <w:rPr>
          <w:rFonts w:eastAsia="Times New Roman"/>
          <w:lang w:val="fr-FR"/>
        </w:rPr>
      </w:pPr>
      <w:r w:rsidRPr="00780D96">
        <w:rPr>
          <w:rFonts w:eastAsia="Times New Roman"/>
          <w:lang w:val="fr-FR"/>
        </w:rPr>
        <w:t>5.1.3</w:t>
      </w:r>
      <w:r w:rsidRPr="00780D96">
        <w:rPr>
          <w:rFonts w:eastAsia="Times New Roman"/>
          <w:lang w:val="fr-FR"/>
        </w:rPr>
        <w:tab/>
        <w:t>Orifice de remplissage des réservoirs à essence</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5.1.3.1</w:t>
      </w:r>
      <w:r w:rsidRPr="00780D96">
        <w:rPr>
          <w:rFonts w:eastAsia="Times New Roman"/>
          <w:lang w:val="fr-FR"/>
        </w:rPr>
        <w:tab/>
        <w:t>Sous réserve du paragraphe 5.1.3.2 du présent Règlement, l</w:t>
      </w:r>
      <w:r w:rsidR="00DB4C2D">
        <w:rPr>
          <w:rFonts w:eastAsia="Times New Roman"/>
          <w:lang w:val="fr-FR"/>
        </w:rPr>
        <w:t>’</w:t>
      </w:r>
      <w:r w:rsidRPr="00780D96">
        <w:rPr>
          <w:rFonts w:eastAsia="Times New Roman"/>
          <w:lang w:val="fr-FR"/>
        </w:rPr>
        <w:t>orifice de remplissage du réservoir d</w:t>
      </w:r>
      <w:r w:rsidR="00DB4C2D">
        <w:rPr>
          <w:rFonts w:eastAsia="Times New Roman"/>
          <w:lang w:val="fr-FR"/>
        </w:rPr>
        <w:t>’</w:t>
      </w:r>
      <w:r w:rsidRPr="00780D96">
        <w:rPr>
          <w:rFonts w:eastAsia="Times New Roman"/>
          <w:lang w:val="fr-FR"/>
        </w:rPr>
        <w:t>essence ou d</w:t>
      </w:r>
      <w:r w:rsidR="00DB4C2D">
        <w:rPr>
          <w:rFonts w:eastAsia="Times New Roman"/>
          <w:lang w:val="fr-FR"/>
        </w:rPr>
        <w:t>’</w:t>
      </w:r>
      <w:r w:rsidRPr="00780D96">
        <w:rPr>
          <w:rFonts w:eastAsia="Times New Roman"/>
          <w:lang w:val="fr-FR"/>
        </w:rPr>
        <w:t>éthanol est conçu de manière à empêcher le remplissage avec un pistolet distributeur de carburant dont l</w:t>
      </w:r>
      <w:r w:rsidR="00DB4C2D">
        <w:rPr>
          <w:rFonts w:eastAsia="Times New Roman"/>
          <w:lang w:val="fr-FR"/>
        </w:rPr>
        <w:t>’</w:t>
      </w:r>
      <w:r w:rsidRPr="00780D96">
        <w:rPr>
          <w:rFonts w:eastAsia="Times New Roman"/>
          <w:lang w:val="fr-FR"/>
        </w:rPr>
        <w:t>embouchure a un diamètre extérieur égal ou supérieur à 23,6 </w:t>
      </w:r>
      <w:proofErr w:type="spellStart"/>
      <w:r w:rsidRPr="00780D96">
        <w:rPr>
          <w:rFonts w:eastAsia="Times New Roman"/>
          <w:lang w:val="fr-FR"/>
        </w:rPr>
        <w:t>mm.</w:t>
      </w:r>
      <w:proofErr w:type="spellEnd"/>
    </w:p>
    <w:p w:rsidR="00780D96" w:rsidRPr="00780D96" w:rsidRDefault="00780D96" w:rsidP="00F851E8">
      <w:pPr>
        <w:pStyle w:val="SingleTxtG"/>
        <w:ind w:left="2268" w:hanging="1134"/>
        <w:rPr>
          <w:rFonts w:eastAsia="Times New Roman"/>
          <w:lang w:val="fr-FR"/>
        </w:rPr>
      </w:pPr>
      <w:r w:rsidRPr="00780D96">
        <w:rPr>
          <w:rFonts w:eastAsia="Times New Roman"/>
          <w:lang w:val="fr-FR"/>
        </w:rPr>
        <w:t>5.1.3.2</w:t>
      </w:r>
      <w:r w:rsidRPr="00780D96">
        <w:rPr>
          <w:rFonts w:eastAsia="Times New Roman"/>
          <w:lang w:val="fr-FR"/>
        </w:rPr>
        <w:tab/>
        <w:t>Le paragraphe 5.1.3.1 du présent Règlement ne s</w:t>
      </w:r>
      <w:r w:rsidR="00DB4C2D">
        <w:rPr>
          <w:rFonts w:eastAsia="Times New Roman"/>
          <w:lang w:val="fr-FR"/>
        </w:rPr>
        <w:t>’</w:t>
      </w:r>
      <w:r w:rsidRPr="00780D96">
        <w:rPr>
          <w:rFonts w:eastAsia="Times New Roman"/>
          <w:lang w:val="fr-FR"/>
        </w:rPr>
        <w:t>applique pas à un véhicule pour lequel les deux conditions suivantes sont satisfaites:</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5.1.3.2.1</w:t>
      </w:r>
      <w:r w:rsidRPr="00780D96">
        <w:rPr>
          <w:rFonts w:eastAsia="Times New Roman"/>
          <w:lang w:val="fr-FR"/>
        </w:rPr>
        <w:tab/>
        <w:t>Le véhicule est conçu et construit de telle façon qu</w:t>
      </w:r>
      <w:r w:rsidR="00DB4C2D">
        <w:rPr>
          <w:rFonts w:eastAsia="Times New Roman"/>
          <w:lang w:val="fr-FR"/>
        </w:rPr>
        <w:t>’</w:t>
      </w:r>
      <w:r w:rsidRPr="00780D96">
        <w:rPr>
          <w:rFonts w:eastAsia="Times New Roman"/>
          <w:lang w:val="fr-FR"/>
        </w:rPr>
        <w:t>aucun dispositif de contrôle des émissions de polluants gazeux ne soit détérioré par du carburant avec plomb; et</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5.1.3.2.2</w:t>
      </w:r>
      <w:r w:rsidRPr="00780D96">
        <w:rPr>
          <w:rFonts w:eastAsia="Times New Roman"/>
          <w:lang w:val="fr-FR"/>
        </w:rPr>
        <w:tab/>
        <w:t>Il est apposé sur le véhicule, dans une position immédiatement visible par une personne remplissant le réservoir de carburant, de manière nettement lisible et indélébile, le symbole pour l</w:t>
      </w:r>
      <w:r w:rsidR="00DB4C2D">
        <w:rPr>
          <w:rFonts w:eastAsia="Times New Roman"/>
          <w:lang w:val="fr-FR"/>
        </w:rPr>
        <w:t>’</w:t>
      </w:r>
      <w:r w:rsidRPr="00780D96">
        <w:rPr>
          <w:rFonts w:eastAsia="Times New Roman"/>
          <w:lang w:val="fr-FR"/>
        </w:rPr>
        <w:t>essence sans plomb tel que spécifié dans la norme ISO 2575:1982. Des marquages complémentaires sont permis.</w:t>
      </w:r>
    </w:p>
    <w:p w:rsidR="00780D96" w:rsidRPr="00780D96" w:rsidRDefault="00780D96" w:rsidP="00F851E8">
      <w:pPr>
        <w:pStyle w:val="SingleTxtG"/>
        <w:keepNext/>
        <w:ind w:left="2268" w:hanging="1134"/>
        <w:rPr>
          <w:rFonts w:eastAsia="Times New Roman"/>
          <w:lang w:val="fr-FR"/>
        </w:rPr>
      </w:pPr>
      <w:r w:rsidRPr="00780D96">
        <w:rPr>
          <w:rFonts w:eastAsia="Times New Roman"/>
          <w:lang w:val="fr-FR"/>
        </w:rPr>
        <w:t>5.1.4</w:t>
      </w:r>
      <w:r w:rsidRPr="00780D96">
        <w:rPr>
          <w:rFonts w:eastAsia="Times New Roman"/>
          <w:lang w:val="fr-FR"/>
        </w:rPr>
        <w:tab/>
        <w:t>Des mesures doivent être prises pour empêcher les émissions par évaporation excessives et les déversements de carburant provoqués par l</w:t>
      </w:r>
      <w:r w:rsidR="00DB4C2D">
        <w:rPr>
          <w:rFonts w:eastAsia="Times New Roman"/>
          <w:lang w:val="fr-FR"/>
        </w:rPr>
        <w:t>’</w:t>
      </w:r>
      <w:r w:rsidRPr="00780D96">
        <w:rPr>
          <w:rFonts w:eastAsia="Times New Roman"/>
          <w:lang w:val="fr-FR"/>
        </w:rPr>
        <w:t>absence du bouchon de réservoir. Cet objectif peut être atteint:</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5.1.4.1</w:t>
      </w:r>
      <w:r w:rsidRPr="00780D96">
        <w:rPr>
          <w:rFonts w:eastAsia="Times New Roman"/>
          <w:lang w:val="fr-FR"/>
        </w:rPr>
        <w:tab/>
        <w:t>En utilisant un bouchon de réservoir à ouverture et fermeture automatiques, non amovible;</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5.1.4.2</w:t>
      </w:r>
      <w:r w:rsidRPr="00780D96">
        <w:rPr>
          <w:rFonts w:eastAsia="Times New Roman"/>
          <w:lang w:val="fr-FR"/>
        </w:rPr>
        <w:tab/>
        <w:t>En concevant une fermeture de réservoir qui évite les émissions par évaporation excessives en l</w:t>
      </w:r>
      <w:r w:rsidR="00DB4C2D">
        <w:rPr>
          <w:rFonts w:eastAsia="Times New Roman"/>
          <w:lang w:val="fr-FR"/>
        </w:rPr>
        <w:t>’</w:t>
      </w:r>
      <w:r w:rsidRPr="00780D96">
        <w:rPr>
          <w:rFonts w:eastAsia="Times New Roman"/>
          <w:lang w:val="fr-FR"/>
        </w:rPr>
        <w:t>absence du bouchon de réservoir;</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5.1.4.3</w:t>
      </w:r>
      <w:r w:rsidRPr="00780D96">
        <w:rPr>
          <w:rFonts w:eastAsia="Times New Roman"/>
          <w:lang w:val="fr-FR"/>
        </w:rPr>
        <w:tab/>
        <w:t>Par tout autre moyen aboutissant au même résultat. On peut citer, à titre d</w:t>
      </w:r>
      <w:r w:rsidR="00DB4C2D">
        <w:rPr>
          <w:rFonts w:eastAsia="Times New Roman"/>
          <w:lang w:val="fr-FR"/>
        </w:rPr>
        <w:t>’</w:t>
      </w:r>
      <w:r w:rsidRPr="00780D96">
        <w:rPr>
          <w:rFonts w:eastAsia="Times New Roman"/>
          <w:lang w:val="fr-FR"/>
        </w:rPr>
        <w:t>exemples non limitatifs, les bouchons attachés, les bouchons munis d</w:t>
      </w:r>
      <w:r w:rsidR="00DB4C2D">
        <w:rPr>
          <w:rFonts w:eastAsia="Times New Roman"/>
          <w:lang w:val="fr-FR"/>
        </w:rPr>
        <w:t>’</w:t>
      </w:r>
      <w:r w:rsidRPr="00780D96">
        <w:rPr>
          <w:rFonts w:eastAsia="Times New Roman"/>
          <w:lang w:val="fr-FR"/>
        </w:rPr>
        <w:t>une chaîne ou fonctionnant avec la même clef que la clef de contact. Dans ce cas, la clef ne doit pouvoir s</w:t>
      </w:r>
      <w:r w:rsidR="00DB4C2D">
        <w:rPr>
          <w:rFonts w:eastAsia="Times New Roman"/>
          <w:lang w:val="fr-FR"/>
        </w:rPr>
        <w:t>’</w:t>
      </w:r>
      <w:r w:rsidRPr="00780D96">
        <w:rPr>
          <w:rFonts w:eastAsia="Times New Roman"/>
          <w:lang w:val="fr-FR"/>
        </w:rPr>
        <w:t>enlever du bouchon que lorsqu</w:t>
      </w:r>
      <w:r w:rsidR="00DB4C2D">
        <w:rPr>
          <w:rFonts w:eastAsia="Times New Roman"/>
          <w:lang w:val="fr-FR"/>
        </w:rPr>
        <w:t>’</w:t>
      </w:r>
      <w:r w:rsidRPr="00780D96">
        <w:rPr>
          <w:rFonts w:eastAsia="Times New Roman"/>
          <w:lang w:val="fr-FR"/>
        </w:rPr>
        <w:t>il est verrouillé.</w:t>
      </w:r>
    </w:p>
    <w:p w:rsidR="00780D96" w:rsidRPr="00780D96" w:rsidRDefault="00780D96" w:rsidP="00F851E8">
      <w:pPr>
        <w:pStyle w:val="SingleTxtG"/>
        <w:keepNext/>
        <w:ind w:left="2268" w:hanging="1134"/>
        <w:rPr>
          <w:rFonts w:eastAsia="Times New Roman"/>
          <w:lang w:val="fr-FR"/>
        </w:rPr>
      </w:pPr>
      <w:r w:rsidRPr="00780D96">
        <w:rPr>
          <w:rFonts w:eastAsia="Times New Roman"/>
          <w:lang w:val="fr-FR"/>
        </w:rPr>
        <w:lastRenderedPageBreak/>
        <w:t>5.1.5</w:t>
      </w:r>
      <w:r w:rsidRPr="00780D96">
        <w:rPr>
          <w:rFonts w:eastAsia="Times New Roman"/>
          <w:lang w:val="fr-FR"/>
        </w:rPr>
        <w:tab/>
        <w:t>Dispositions relatives à la sécurité du système électronique</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5.1.5.1</w:t>
      </w:r>
      <w:r w:rsidRPr="00780D96">
        <w:rPr>
          <w:rFonts w:eastAsia="Times New Roman"/>
          <w:lang w:val="fr-FR"/>
        </w:rPr>
        <w:tab/>
        <w:t>Tout véhicule équipé d</w:t>
      </w:r>
      <w:r w:rsidR="00DB4C2D">
        <w:rPr>
          <w:rFonts w:eastAsia="Times New Roman"/>
          <w:lang w:val="fr-FR"/>
        </w:rPr>
        <w:t>’</w:t>
      </w:r>
      <w:r w:rsidRPr="00780D96">
        <w:rPr>
          <w:rFonts w:eastAsia="Times New Roman"/>
          <w:lang w:val="fr-FR"/>
        </w:rPr>
        <w:t>un ordinateur de contrôle des émissions doit être muni de fonctions empêchant toute modification, sauf avec l</w:t>
      </w:r>
      <w:r w:rsidR="00DB4C2D">
        <w:rPr>
          <w:rFonts w:eastAsia="Times New Roman"/>
          <w:lang w:val="fr-FR"/>
        </w:rPr>
        <w:t>’</w:t>
      </w:r>
      <w:r w:rsidRPr="00780D96">
        <w:rPr>
          <w:rFonts w:eastAsia="Times New Roman"/>
          <w:lang w:val="fr-FR"/>
        </w:rPr>
        <w:t>autorisation du constructeur. Le constructeur ne doit autoriser des modifications que lorsqu</w:t>
      </w:r>
      <w:r w:rsidR="00DB4C2D">
        <w:rPr>
          <w:rFonts w:eastAsia="Times New Roman"/>
          <w:lang w:val="fr-FR"/>
        </w:rPr>
        <w:t>’</w:t>
      </w:r>
      <w:r w:rsidRPr="00780D96">
        <w:rPr>
          <w:rFonts w:eastAsia="Times New Roman"/>
          <w:lang w:val="fr-FR"/>
        </w:rPr>
        <w:t>elles sont nécessaires au diagnostic, à l</w:t>
      </w:r>
      <w:r w:rsidR="00DB4C2D">
        <w:rPr>
          <w:rFonts w:eastAsia="Times New Roman"/>
          <w:lang w:val="fr-FR"/>
        </w:rPr>
        <w:t>’</w:t>
      </w:r>
      <w:r w:rsidRPr="00780D96">
        <w:rPr>
          <w:rFonts w:eastAsia="Times New Roman"/>
          <w:lang w:val="fr-FR"/>
        </w:rPr>
        <w:t>entretien, à l</w:t>
      </w:r>
      <w:r w:rsidR="00DB4C2D">
        <w:rPr>
          <w:rFonts w:eastAsia="Times New Roman"/>
          <w:lang w:val="fr-FR"/>
        </w:rPr>
        <w:t>’</w:t>
      </w:r>
      <w:r w:rsidRPr="00780D96">
        <w:rPr>
          <w:rFonts w:eastAsia="Times New Roman"/>
          <w:lang w:val="fr-FR"/>
        </w:rPr>
        <w:t>inspection, à la mise en conformité ou à la réparation du véhicule. Tous les codes ou paramètres d</w:t>
      </w:r>
      <w:r w:rsidR="00DB4C2D">
        <w:rPr>
          <w:rFonts w:eastAsia="Times New Roman"/>
          <w:lang w:val="fr-FR"/>
        </w:rPr>
        <w:t>’</w:t>
      </w:r>
      <w:r w:rsidRPr="00780D96">
        <w:rPr>
          <w:rFonts w:eastAsia="Times New Roman"/>
          <w:lang w:val="fr-FR"/>
        </w:rPr>
        <w:t>exploitation reprogrammables doivent résister aux manipulations et offrir un niveau de protection au moins égal aux dispositions de la norme ISO DIS 15031-7, datée du 15 mars 2001 (SAE J2186 datée d</w:t>
      </w:r>
      <w:r w:rsidR="00DB4C2D">
        <w:rPr>
          <w:rFonts w:eastAsia="Times New Roman"/>
          <w:lang w:val="fr-FR"/>
        </w:rPr>
        <w:t>’</w:t>
      </w:r>
      <w:r w:rsidRPr="00780D96">
        <w:rPr>
          <w:rFonts w:eastAsia="Times New Roman"/>
          <w:lang w:val="fr-FR"/>
        </w:rPr>
        <w:t>octobre 1996). Toutes les puces à mémoire amovibles doivent être moulées, encastrées dans un boîtier scellé ou protégées par des algorithmes, et ne doivent pas pouvoir être remplacées sans outils et procédures spéciaux. Seuls les dispositifs directement liés à l</w:t>
      </w:r>
      <w:r w:rsidR="00DB4C2D">
        <w:rPr>
          <w:rFonts w:eastAsia="Times New Roman"/>
          <w:lang w:val="fr-FR"/>
        </w:rPr>
        <w:t>’</w:t>
      </w:r>
      <w:r w:rsidRPr="00780D96">
        <w:rPr>
          <w:rFonts w:eastAsia="Times New Roman"/>
          <w:lang w:val="fr-FR"/>
        </w:rPr>
        <w:t>étalonnage des émissions ou à la prévention du vol du véhicule peuvent être ainsi protégés.</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5.1.5.2</w:t>
      </w:r>
      <w:r w:rsidRPr="00780D96">
        <w:rPr>
          <w:rFonts w:eastAsia="Times New Roman"/>
          <w:lang w:val="fr-FR"/>
        </w:rPr>
        <w:tab/>
        <w:t>Les paramètres de fonctionnement du moteur codés informatiquement ne peuvent être modifiés sans l</w:t>
      </w:r>
      <w:r w:rsidR="00DB4C2D">
        <w:rPr>
          <w:rFonts w:eastAsia="Times New Roman"/>
          <w:lang w:val="fr-FR"/>
        </w:rPr>
        <w:t>’</w:t>
      </w:r>
      <w:r w:rsidRPr="00780D96">
        <w:rPr>
          <w:rFonts w:eastAsia="Times New Roman"/>
          <w:lang w:val="fr-FR"/>
        </w:rPr>
        <w:t>aide d</w:t>
      </w:r>
      <w:r w:rsidR="00DB4C2D">
        <w:rPr>
          <w:rFonts w:eastAsia="Times New Roman"/>
          <w:lang w:val="fr-FR"/>
        </w:rPr>
        <w:t>’</w:t>
      </w:r>
      <w:r w:rsidRPr="00780D96">
        <w:rPr>
          <w:rFonts w:eastAsia="Times New Roman"/>
          <w:lang w:val="fr-FR"/>
        </w:rPr>
        <w:t>outils et de procédures spéciaux (par exemple, les composants de l</w:t>
      </w:r>
      <w:r w:rsidR="00DB4C2D">
        <w:rPr>
          <w:rFonts w:eastAsia="Times New Roman"/>
          <w:lang w:val="fr-FR"/>
        </w:rPr>
        <w:t>’</w:t>
      </w:r>
      <w:r w:rsidRPr="00780D96">
        <w:rPr>
          <w:rFonts w:eastAsia="Times New Roman"/>
          <w:lang w:val="fr-FR"/>
        </w:rPr>
        <w:t>ordinateur doivent être soudés ou moulés, ou l</w:t>
      </w:r>
      <w:r w:rsidR="00DB4C2D">
        <w:rPr>
          <w:rFonts w:eastAsia="Times New Roman"/>
          <w:lang w:val="fr-FR"/>
        </w:rPr>
        <w:t>’</w:t>
      </w:r>
      <w:r w:rsidRPr="00780D96">
        <w:rPr>
          <w:rFonts w:eastAsia="Times New Roman"/>
          <w:lang w:val="fr-FR"/>
        </w:rPr>
        <w:t>enceinte doit être scellée (ou soudée)).</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5.1.5.3</w:t>
      </w:r>
      <w:r w:rsidRPr="00780D96">
        <w:rPr>
          <w:rFonts w:eastAsia="Times New Roman"/>
          <w:lang w:val="fr-FR"/>
        </w:rPr>
        <w:tab/>
        <w:t>Dans le cas d</w:t>
      </w:r>
      <w:r w:rsidR="00DB4C2D">
        <w:rPr>
          <w:rFonts w:eastAsia="Times New Roman"/>
          <w:lang w:val="fr-FR"/>
        </w:rPr>
        <w:t>’</w:t>
      </w:r>
      <w:r w:rsidRPr="00780D96">
        <w:rPr>
          <w:rFonts w:eastAsia="Times New Roman"/>
          <w:lang w:val="fr-FR"/>
        </w:rPr>
        <w:t>un moteur à allumage par compression équipé d</w:t>
      </w:r>
      <w:r w:rsidR="00DB4C2D">
        <w:rPr>
          <w:rFonts w:eastAsia="Times New Roman"/>
          <w:lang w:val="fr-FR"/>
        </w:rPr>
        <w:t>’</w:t>
      </w:r>
      <w:r w:rsidRPr="00780D96">
        <w:rPr>
          <w:rFonts w:eastAsia="Times New Roman"/>
          <w:lang w:val="fr-FR"/>
        </w:rPr>
        <w:t>une pompe d</w:t>
      </w:r>
      <w:r w:rsidR="00DB4C2D">
        <w:rPr>
          <w:rFonts w:eastAsia="Times New Roman"/>
          <w:lang w:val="fr-FR"/>
        </w:rPr>
        <w:t>’</w:t>
      </w:r>
      <w:r w:rsidRPr="00780D96">
        <w:rPr>
          <w:rFonts w:eastAsia="Times New Roman"/>
          <w:lang w:val="fr-FR"/>
        </w:rPr>
        <w:t>injection mécanique, le constructeur doit prendre les mesures nécessaires pour protéger le réglage maximal du débit d</w:t>
      </w:r>
      <w:r w:rsidR="00DB4C2D">
        <w:rPr>
          <w:rFonts w:eastAsia="Times New Roman"/>
          <w:lang w:val="fr-FR"/>
        </w:rPr>
        <w:t>’</w:t>
      </w:r>
      <w:r w:rsidRPr="00780D96">
        <w:rPr>
          <w:rFonts w:eastAsia="Times New Roman"/>
          <w:lang w:val="fr-FR"/>
        </w:rPr>
        <w:t>injection de toute manipulation lorsque le véhicule est en service.</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5.1.5.4</w:t>
      </w:r>
      <w:r w:rsidRPr="00780D96">
        <w:rPr>
          <w:rFonts w:eastAsia="Times New Roman"/>
          <w:lang w:val="fr-FR"/>
        </w:rPr>
        <w:tab/>
        <w:t>Les constructeurs peuvent demander à l</w:t>
      </w:r>
      <w:r w:rsidR="00DB4C2D">
        <w:rPr>
          <w:rFonts w:eastAsia="Times New Roman"/>
          <w:lang w:val="fr-FR"/>
        </w:rPr>
        <w:t>’</w:t>
      </w:r>
      <w:r w:rsidRPr="00780D96">
        <w:rPr>
          <w:rFonts w:eastAsia="Times New Roman"/>
          <w:lang w:val="fr-FR"/>
        </w:rPr>
        <w:t>autorité d</w:t>
      </w:r>
      <w:r w:rsidR="00DB4C2D">
        <w:rPr>
          <w:rFonts w:eastAsia="Times New Roman"/>
          <w:lang w:val="fr-FR"/>
        </w:rPr>
        <w:t>’</w:t>
      </w:r>
      <w:r w:rsidRPr="00780D96">
        <w:rPr>
          <w:rFonts w:eastAsia="Times New Roman"/>
          <w:lang w:val="fr-FR"/>
        </w:rPr>
        <w:t>homologation de type d</w:t>
      </w:r>
      <w:r w:rsidR="00DB4C2D">
        <w:rPr>
          <w:rFonts w:eastAsia="Times New Roman"/>
          <w:lang w:val="fr-FR"/>
        </w:rPr>
        <w:t>’</w:t>
      </w:r>
      <w:r w:rsidRPr="00780D96">
        <w:rPr>
          <w:rFonts w:eastAsia="Times New Roman"/>
          <w:lang w:val="fr-FR"/>
        </w:rPr>
        <w:t>être exemptés d</w:t>
      </w:r>
      <w:r w:rsidR="00DB4C2D">
        <w:rPr>
          <w:rFonts w:eastAsia="Times New Roman"/>
          <w:lang w:val="fr-FR"/>
        </w:rPr>
        <w:t>’</w:t>
      </w:r>
      <w:r w:rsidRPr="00780D96">
        <w:rPr>
          <w:rFonts w:eastAsia="Times New Roman"/>
          <w:lang w:val="fr-FR"/>
        </w:rPr>
        <w:t>une de ces obligations pour les véhicules qui ne semblent pas nécessiter une telle protection. Les critères que l</w:t>
      </w:r>
      <w:r w:rsidR="00DB4C2D">
        <w:rPr>
          <w:rFonts w:eastAsia="Times New Roman"/>
          <w:lang w:val="fr-FR"/>
        </w:rPr>
        <w:t>’</w:t>
      </w:r>
      <w:r w:rsidRPr="00780D96">
        <w:rPr>
          <w:rFonts w:eastAsia="Times New Roman"/>
          <w:lang w:val="fr-FR"/>
        </w:rPr>
        <w:t xml:space="preserve">autorité évalue pour accorder ou non cette exemption comprennent notamment, mais pas seulement, la disponibilité de </w:t>
      </w:r>
      <w:proofErr w:type="spellStart"/>
      <w:r w:rsidRPr="00780D96">
        <w:rPr>
          <w:rFonts w:eastAsia="Times New Roman"/>
          <w:lang w:val="fr-FR"/>
        </w:rPr>
        <w:t>microprocesseurs</w:t>
      </w:r>
      <w:proofErr w:type="spellEnd"/>
      <w:r w:rsidRPr="00780D96">
        <w:rPr>
          <w:rFonts w:eastAsia="Times New Roman"/>
          <w:lang w:val="fr-FR"/>
        </w:rPr>
        <w:t xml:space="preserve"> de contrôle des performances, la capacité de hautes performances du véhicule et son volume de vente probable.</w:t>
      </w:r>
    </w:p>
    <w:p w:rsidR="00780D96" w:rsidRPr="00780D96" w:rsidRDefault="00780D96" w:rsidP="00F851E8">
      <w:pPr>
        <w:pStyle w:val="SingleTxtG"/>
        <w:ind w:left="2268" w:hanging="1134"/>
        <w:rPr>
          <w:rFonts w:eastAsia="Times New Roman"/>
          <w:lang w:val="fr-FR"/>
        </w:rPr>
      </w:pPr>
      <w:r w:rsidRPr="00780D96">
        <w:rPr>
          <w:rFonts w:eastAsia="Times New Roman"/>
          <w:lang w:val="fr-FR"/>
        </w:rPr>
        <w:t>5.1.5.5</w:t>
      </w:r>
      <w:r w:rsidRPr="00780D96">
        <w:rPr>
          <w:rFonts w:eastAsia="Times New Roman"/>
          <w:lang w:val="fr-FR"/>
        </w:rPr>
        <w:tab/>
        <w:t>Les constructeurs qui utilisent des ordinateurs à codes informatiques programmables (par exemple du type EEPROM (mémoire morte programmable effaçable électriquement)) doivent empêcher toute reprogrammation illicite. Ils doivent adopter des techniques évoluées de protection contre les manipulations et des fonctions de protection contre l</w:t>
      </w:r>
      <w:r w:rsidR="00DB4C2D">
        <w:rPr>
          <w:rFonts w:eastAsia="Times New Roman"/>
          <w:lang w:val="fr-FR"/>
        </w:rPr>
        <w:t>’</w:t>
      </w:r>
      <w:r w:rsidRPr="00780D96">
        <w:rPr>
          <w:rFonts w:eastAsia="Times New Roman"/>
          <w:lang w:val="fr-FR"/>
        </w:rPr>
        <w:t>écriture qui rendent indispensable l</w:t>
      </w:r>
      <w:r w:rsidR="00DB4C2D">
        <w:rPr>
          <w:rFonts w:eastAsia="Times New Roman"/>
          <w:lang w:val="fr-FR"/>
        </w:rPr>
        <w:t>’</w:t>
      </w:r>
      <w:r w:rsidRPr="00780D96">
        <w:rPr>
          <w:rFonts w:eastAsia="Times New Roman"/>
          <w:lang w:val="fr-FR"/>
        </w:rPr>
        <w:t>accès électronique à un ordinateur hors site géré par le constructeur. Les autorités d</w:t>
      </w:r>
      <w:r w:rsidR="00DB4C2D">
        <w:rPr>
          <w:rFonts w:eastAsia="Times New Roman"/>
          <w:lang w:val="fr-FR"/>
        </w:rPr>
        <w:t>’</w:t>
      </w:r>
      <w:r w:rsidRPr="00780D96">
        <w:rPr>
          <w:rFonts w:eastAsia="Times New Roman"/>
          <w:lang w:val="fr-FR"/>
        </w:rPr>
        <w:t>homologation de type autoriseront les méthodes offrant un niveau de protection adéquat contre les manipulations.</w:t>
      </w:r>
    </w:p>
    <w:p w:rsidR="00780D96" w:rsidRPr="00780D96" w:rsidRDefault="00780D96" w:rsidP="00F851E8">
      <w:pPr>
        <w:pStyle w:val="SingleTxtG"/>
        <w:ind w:left="2268" w:hanging="1134"/>
        <w:rPr>
          <w:rFonts w:eastAsia="Times New Roman"/>
          <w:b/>
          <w:bCs/>
          <w:lang w:val="fr-FR"/>
        </w:rPr>
      </w:pPr>
      <w:r w:rsidRPr="00780D96">
        <w:rPr>
          <w:rFonts w:eastAsia="Times New Roman"/>
          <w:lang w:val="fr-FR"/>
        </w:rPr>
        <w:t>5.1.6</w:t>
      </w:r>
      <w:r w:rsidRPr="00780D96">
        <w:rPr>
          <w:rFonts w:eastAsia="Times New Roman"/>
          <w:lang w:val="fr-FR"/>
        </w:rPr>
        <w:tab/>
        <w:t>On doit pouvoir inspecter le véhicule pour vérifier son aptitude à la circulation et s</w:t>
      </w:r>
      <w:r w:rsidR="00DB4C2D">
        <w:rPr>
          <w:rFonts w:eastAsia="Times New Roman"/>
          <w:lang w:val="fr-FR"/>
        </w:rPr>
        <w:t>’</w:t>
      </w:r>
      <w:r w:rsidRPr="00780D96">
        <w:rPr>
          <w:rFonts w:eastAsia="Times New Roman"/>
          <w:lang w:val="fr-FR"/>
        </w:rPr>
        <w:t>il est conforme aux données collectées conformément au paragraphe 5.3.7. Si cette inspection requiert une méthode d</w:t>
      </w:r>
      <w:r w:rsidR="00DB4C2D">
        <w:rPr>
          <w:rFonts w:eastAsia="Times New Roman"/>
          <w:lang w:val="fr-FR"/>
        </w:rPr>
        <w:t>’</w:t>
      </w:r>
      <w:r w:rsidRPr="00780D96">
        <w:rPr>
          <w:rFonts w:eastAsia="Times New Roman"/>
          <w:lang w:val="fr-FR"/>
        </w:rPr>
        <w:t>essai particulière, elle doit être expliquée en détail dans le carnet d</w:t>
      </w:r>
      <w:r w:rsidR="00DB4C2D">
        <w:rPr>
          <w:rFonts w:eastAsia="Times New Roman"/>
          <w:lang w:val="fr-FR"/>
        </w:rPr>
        <w:t>’</w:t>
      </w:r>
      <w:r w:rsidRPr="00780D96">
        <w:rPr>
          <w:rFonts w:eastAsia="Times New Roman"/>
          <w:lang w:val="fr-FR"/>
        </w:rPr>
        <w:t>entretien (ou un document équivalent). Cette méthode spéciale ne doit pas nécessiter l</w:t>
      </w:r>
      <w:r w:rsidR="00DB4C2D">
        <w:rPr>
          <w:rFonts w:eastAsia="Times New Roman"/>
          <w:lang w:val="fr-FR"/>
        </w:rPr>
        <w:t>’</w:t>
      </w:r>
      <w:r w:rsidRPr="00780D96">
        <w:rPr>
          <w:rFonts w:eastAsia="Times New Roman"/>
          <w:lang w:val="fr-FR"/>
        </w:rPr>
        <w:t>emploi d</w:t>
      </w:r>
      <w:r w:rsidR="00DB4C2D">
        <w:rPr>
          <w:rFonts w:eastAsia="Times New Roman"/>
          <w:lang w:val="fr-FR"/>
        </w:rPr>
        <w:t>’</w:t>
      </w:r>
      <w:r w:rsidRPr="00780D96">
        <w:rPr>
          <w:rFonts w:eastAsia="Times New Roman"/>
          <w:lang w:val="fr-FR"/>
        </w:rPr>
        <w:t>un autre matériel que celui fourni avec le véhicule.</w:t>
      </w:r>
    </w:p>
    <w:p w:rsidR="00780D96" w:rsidRPr="00780D96" w:rsidRDefault="00780D96" w:rsidP="00EB62B4">
      <w:pPr>
        <w:pStyle w:val="SingleTxtG"/>
        <w:keepNext/>
        <w:ind w:left="2268" w:hanging="1134"/>
        <w:rPr>
          <w:rFonts w:eastAsia="Times New Roman"/>
          <w:lang w:val="fr-FR"/>
        </w:rPr>
      </w:pPr>
      <w:r w:rsidRPr="00780D96">
        <w:rPr>
          <w:rFonts w:eastAsia="Times New Roman"/>
          <w:lang w:val="fr-FR"/>
        </w:rPr>
        <w:t>5.2</w:t>
      </w:r>
      <w:r w:rsidRPr="00780D96">
        <w:rPr>
          <w:rFonts w:eastAsia="Times New Roman"/>
          <w:lang w:val="fr-FR"/>
        </w:rPr>
        <w:tab/>
        <w:t>Réalisation des essais</w:t>
      </w:r>
    </w:p>
    <w:p w:rsidR="00780D96" w:rsidRPr="00780D96" w:rsidRDefault="00780D96" w:rsidP="00EB62B4">
      <w:pPr>
        <w:pStyle w:val="SingleTxtG"/>
        <w:ind w:left="2268"/>
        <w:rPr>
          <w:lang w:val="fr-FR"/>
        </w:rPr>
      </w:pPr>
      <w:r w:rsidRPr="00780D96">
        <w:rPr>
          <w:lang w:val="fr-FR"/>
        </w:rPr>
        <w:t xml:space="preserve">Le tableau A </w:t>
      </w:r>
      <w:proofErr w:type="spellStart"/>
      <w:r w:rsidRPr="00780D96">
        <w:rPr>
          <w:lang w:val="fr-FR"/>
        </w:rPr>
        <w:t>montre</w:t>
      </w:r>
      <w:proofErr w:type="spellEnd"/>
      <w:r w:rsidRPr="00780D96">
        <w:rPr>
          <w:lang w:val="fr-FR"/>
        </w:rPr>
        <w:t xml:space="preserve"> les différentes possibilités pour l</w:t>
      </w:r>
      <w:r w:rsidR="00DB4C2D">
        <w:rPr>
          <w:lang w:val="fr-FR"/>
        </w:rPr>
        <w:t>’</w:t>
      </w:r>
      <w:r w:rsidRPr="00780D96">
        <w:rPr>
          <w:lang w:val="fr-FR"/>
        </w:rPr>
        <w:t>homologation de type d</w:t>
      </w:r>
      <w:r w:rsidR="00DB4C2D">
        <w:rPr>
          <w:lang w:val="fr-FR"/>
        </w:rPr>
        <w:t>’</w:t>
      </w:r>
      <w:r w:rsidRPr="00780D96">
        <w:rPr>
          <w:lang w:val="fr-FR"/>
        </w:rPr>
        <w:t>un véhicule.</w:t>
      </w:r>
    </w:p>
    <w:p w:rsidR="00780D96" w:rsidRPr="00780D96" w:rsidRDefault="00780D96" w:rsidP="00EB62B4">
      <w:pPr>
        <w:pStyle w:val="SingleTxtG"/>
        <w:ind w:left="2268" w:hanging="1134"/>
        <w:rPr>
          <w:rFonts w:eastAsia="Times New Roman"/>
          <w:lang w:val="fr-FR"/>
        </w:rPr>
      </w:pPr>
      <w:r w:rsidRPr="00780D96">
        <w:rPr>
          <w:rFonts w:eastAsia="Times New Roman"/>
          <w:lang w:val="fr-FR"/>
        </w:rPr>
        <w:lastRenderedPageBreak/>
        <w:t>5.2.1</w:t>
      </w:r>
      <w:r w:rsidRPr="00780D96">
        <w:rPr>
          <w:rFonts w:eastAsia="Times New Roman"/>
          <w:lang w:val="fr-FR"/>
        </w:rPr>
        <w:tab/>
        <w:t>Les véhicules à moteur à allumage commandé et les véhicules électriques hybrides équipés d</w:t>
      </w:r>
      <w:r w:rsidR="00DB4C2D">
        <w:rPr>
          <w:rFonts w:eastAsia="Times New Roman"/>
          <w:lang w:val="fr-FR"/>
        </w:rPr>
        <w:t>’</w:t>
      </w:r>
      <w:r w:rsidRPr="00780D96">
        <w:rPr>
          <w:rFonts w:eastAsia="Times New Roman"/>
          <w:lang w:val="fr-FR"/>
        </w:rPr>
        <w:t>un moteur à allumage commandé sont soumis aux épreuves suivantes:</w:t>
      </w:r>
    </w:p>
    <w:p w:rsidR="00780D96" w:rsidRPr="00EB62B4" w:rsidRDefault="00780D96" w:rsidP="00EB62B4">
      <w:pPr>
        <w:pStyle w:val="SingleTxtG"/>
        <w:ind w:left="2268"/>
        <w:rPr>
          <w:lang w:val="fr-FR"/>
        </w:rPr>
      </w:pPr>
      <w:r w:rsidRPr="00780D96">
        <w:rPr>
          <w:rFonts w:eastAsia="Times New Roman"/>
          <w:lang w:val="fr-FR"/>
        </w:rPr>
        <w:tab/>
      </w:r>
      <w:r w:rsidRPr="00EB62B4">
        <w:rPr>
          <w:lang w:val="fr-FR"/>
        </w:rPr>
        <w:t>Type I (contrôle des émissions moyennes à l</w:t>
      </w:r>
      <w:r w:rsidR="00DB4C2D">
        <w:rPr>
          <w:lang w:val="fr-FR"/>
        </w:rPr>
        <w:t>’</w:t>
      </w:r>
      <w:r w:rsidRPr="00EB62B4">
        <w:rPr>
          <w:lang w:val="fr-FR"/>
        </w:rPr>
        <w:t>échappement après un démarrage à froid);</w:t>
      </w:r>
    </w:p>
    <w:p w:rsidR="00780D96" w:rsidRPr="00EB62B4" w:rsidRDefault="00780D96" w:rsidP="00EB62B4">
      <w:pPr>
        <w:pStyle w:val="SingleTxtG"/>
        <w:ind w:left="2268"/>
        <w:rPr>
          <w:lang w:val="fr-FR"/>
        </w:rPr>
      </w:pPr>
      <w:r w:rsidRPr="00EB62B4">
        <w:rPr>
          <w:lang w:val="fr-FR"/>
        </w:rPr>
        <w:tab/>
        <w:t>Type II (contrôle des émissions de monoxyde de carbone au régime de ralenti);</w:t>
      </w:r>
    </w:p>
    <w:p w:rsidR="00780D96" w:rsidRPr="00EB62B4" w:rsidRDefault="00780D96" w:rsidP="00EB62B4">
      <w:pPr>
        <w:pStyle w:val="SingleTxtG"/>
        <w:ind w:left="2268"/>
        <w:rPr>
          <w:lang w:val="fr-FR"/>
        </w:rPr>
      </w:pPr>
      <w:r w:rsidRPr="00EB62B4">
        <w:rPr>
          <w:lang w:val="fr-FR"/>
        </w:rPr>
        <w:tab/>
        <w:t>Type III (contrôle des émissions de gaz de carter);</w:t>
      </w:r>
    </w:p>
    <w:p w:rsidR="00780D96" w:rsidRPr="00EB62B4" w:rsidRDefault="00780D96" w:rsidP="00EB62B4">
      <w:pPr>
        <w:pStyle w:val="SingleTxtG"/>
        <w:ind w:left="2268"/>
        <w:rPr>
          <w:lang w:val="fr-FR"/>
        </w:rPr>
      </w:pPr>
      <w:r w:rsidRPr="00EB62B4">
        <w:rPr>
          <w:lang w:val="fr-FR"/>
        </w:rPr>
        <w:tab/>
        <w:t>Type IV (émissions par évaporation);</w:t>
      </w:r>
    </w:p>
    <w:p w:rsidR="00780D96" w:rsidRPr="00EB62B4" w:rsidRDefault="00780D96" w:rsidP="00EB62B4">
      <w:pPr>
        <w:pStyle w:val="SingleTxtG"/>
        <w:ind w:left="2268"/>
        <w:rPr>
          <w:lang w:val="fr-FR"/>
        </w:rPr>
      </w:pPr>
      <w:r w:rsidRPr="00EB62B4">
        <w:rPr>
          <w:lang w:val="fr-FR"/>
        </w:rPr>
        <w:tab/>
        <w:t>Type V (durabilité des dispositifs antipollution);</w:t>
      </w:r>
    </w:p>
    <w:p w:rsidR="00780D96" w:rsidRPr="00EB62B4" w:rsidRDefault="00780D96" w:rsidP="00EB62B4">
      <w:pPr>
        <w:pStyle w:val="SingleTxtG"/>
        <w:ind w:left="2268"/>
        <w:rPr>
          <w:lang w:val="fr-FR"/>
        </w:rPr>
      </w:pPr>
      <w:r w:rsidRPr="00EB62B4">
        <w:rPr>
          <w:lang w:val="fr-FR"/>
        </w:rPr>
        <w:tab/>
        <w:t>Type VI (contrôle des émissions moyennes à basse température de monoxyde de carbone/d</w:t>
      </w:r>
      <w:r w:rsidR="00DB4C2D">
        <w:rPr>
          <w:lang w:val="fr-FR"/>
        </w:rPr>
        <w:t>’</w:t>
      </w:r>
      <w:r w:rsidRPr="00EB62B4">
        <w:rPr>
          <w:lang w:val="fr-FR"/>
        </w:rPr>
        <w:t>hydrocarbures à l</w:t>
      </w:r>
      <w:r w:rsidR="00DB4C2D">
        <w:rPr>
          <w:lang w:val="fr-FR"/>
        </w:rPr>
        <w:t>’</w:t>
      </w:r>
      <w:r w:rsidRPr="00EB62B4">
        <w:rPr>
          <w:lang w:val="fr-FR"/>
        </w:rPr>
        <w:t>échappement après un démarrage à froid);</w:t>
      </w:r>
    </w:p>
    <w:p w:rsidR="00780D96" w:rsidRPr="00EB62B4" w:rsidRDefault="00780D96" w:rsidP="00EB62B4">
      <w:pPr>
        <w:pStyle w:val="SingleTxtG"/>
        <w:ind w:left="2268"/>
        <w:rPr>
          <w:lang w:val="fr-FR"/>
        </w:rPr>
      </w:pPr>
      <w:r w:rsidRPr="00EB62B4">
        <w:rPr>
          <w:lang w:val="fr-FR"/>
        </w:rPr>
        <w:tab/>
        <w:t>Essai OBD;</w:t>
      </w:r>
    </w:p>
    <w:p w:rsidR="00780D96" w:rsidRPr="00780D96" w:rsidRDefault="00780D96" w:rsidP="00EB62B4">
      <w:pPr>
        <w:pStyle w:val="SingleTxtG"/>
        <w:ind w:left="2268"/>
        <w:rPr>
          <w:rFonts w:eastAsia="Times New Roman"/>
          <w:lang w:val="fr-FR"/>
        </w:rPr>
      </w:pPr>
      <w:r w:rsidRPr="00EB62B4">
        <w:rPr>
          <w:lang w:val="fr-FR"/>
        </w:rPr>
        <w:t>Essai de puissance du moteur.</w:t>
      </w:r>
    </w:p>
    <w:p w:rsidR="00780D96" w:rsidRPr="00780D96" w:rsidRDefault="00780D96" w:rsidP="00EB62B4">
      <w:pPr>
        <w:pStyle w:val="SingleTxtG"/>
        <w:keepNext/>
        <w:ind w:left="2268" w:hanging="1134"/>
        <w:rPr>
          <w:rFonts w:eastAsia="Times New Roman"/>
          <w:lang w:val="fr-FR"/>
        </w:rPr>
      </w:pPr>
      <w:r w:rsidRPr="00780D96">
        <w:rPr>
          <w:rFonts w:eastAsia="Times New Roman"/>
          <w:lang w:val="fr-FR"/>
        </w:rPr>
        <w:t>5.2.2</w:t>
      </w:r>
      <w:r w:rsidRPr="00780D96">
        <w:rPr>
          <w:rFonts w:eastAsia="Times New Roman"/>
          <w:lang w:val="fr-FR"/>
        </w:rPr>
        <w:tab/>
        <w:t>Les véhicules équipés d</w:t>
      </w:r>
      <w:r w:rsidR="00DB4C2D">
        <w:rPr>
          <w:rFonts w:eastAsia="Times New Roman"/>
          <w:lang w:val="fr-FR"/>
        </w:rPr>
        <w:t>’</w:t>
      </w:r>
      <w:r w:rsidRPr="00780D96">
        <w:rPr>
          <w:rFonts w:eastAsia="Times New Roman"/>
          <w:lang w:val="fr-FR"/>
        </w:rPr>
        <w:t>un moteur à allumage commandé et les véhicules électriques hybrides équipés d</w:t>
      </w:r>
      <w:r w:rsidR="00DB4C2D">
        <w:rPr>
          <w:rFonts w:eastAsia="Times New Roman"/>
          <w:lang w:val="fr-FR"/>
        </w:rPr>
        <w:t>’</w:t>
      </w:r>
      <w:r w:rsidRPr="00780D96">
        <w:rPr>
          <w:rFonts w:eastAsia="Times New Roman"/>
          <w:lang w:val="fr-FR"/>
        </w:rPr>
        <w:t>un moteur à allumage commandé fonctionnant au GPL ou au GN/</w:t>
      </w:r>
      <w:proofErr w:type="spellStart"/>
      <w:r w:rsidRPr="00780D96">
        <w:rPr>
          <w:rFonts w:eastAsia="Times New Roman"/>
          <w:lang w:val="fr-FR"/>
        </w:rPr>
        <w:t>biométhane</w:t>
      </w:r>
      <w:proofErr w:type="spellEnd"/>
      <w:r w:rsidRPr="00780D96">
        <w:rPr>
          <w:rFonts w:eastAsia="Times New Roman"/>
          <w:lang w:val="fr-FR"/>
        </w:rPr>
        <w:t xml:space="preserve"> (en </w:t>
      </w:r>
      <w:proofErr w:type="spellStart"/>
      <w:r w:rsidRPr="00780D96">
        <w:rPr>
          <w:rFonts w:eastAsia="Times New Roman"/>
          <w:lang w:val="fr-FR"/>
        </w:rPr>
        <w:t>monocarburation</w:t>
      </w:r>
      <w:proofErr w:type="spellEnd"/>
      <w:r w:rsidRPr="00780D96">
        <w:rPr>
          <w:rFonts w:eastAsia="Times New Roman"/>
          <w:lang w:val="fr-FR"/>
        </w:rPr>
        <w:t xml:space="preserve"> ou en bicarburation) doivent être soumis aux essais suivants (conformément au tableau A):</w:t>
      </w:r>
    </w:p>
    <w:p w:rsidR="00780D96" w:rsidRPr="00EB62B4" w:rsidRDefault="00780D96" w:rsidP="00EB62B4">
      <w:pPr>
        <w:pStyle w:val="SingleTxtG"/>
        <w:ind w:left="2268"/>
        <w:rPr>
          <w:lang w:val="fr-FR"/>
        </w:rPr>
      </w:pPr>
      <w:r w:rsidRPr="00780D96">
        <w:rPr>
          <w:rFonts w:eastAsia="Times New Roman"/>
          <w:lang w:val="fr-FR"/>
        </w:rPr>
        <w:tab/>
      </w:r>
      <w:r w:rsidRPr="00EB62B4">
        <w:rPr>
          <w:lang w:val="fr-FR"/>
        </w:rPr>
        <w:t>Type I (contrôle des émissions moyennes à l</w:t>
      </w:r>
      <w:r w:rsidR="00DB4C2D">
        <w:rPr>
          <w:lang w:val="fr-FR"/>
        </w:rPr>
        <w:t>’</w:t>
      </w:r>
      <w:r w:rsidRPr="00EB62B4">
        <w:rPr>
          <w:lang w:val="fr-FR"/>
        </w:rPr>
        <w:t>échappement après un démarrage à froid);</w:t>
      </w:r>
    </w:p>
    <w:p w:rsidR="00780D96" w:rsidRPr="00EB62B4" w:rsidRDefault="00780D96" w:rsidP="00EB62B4">
      <w:pPr>
        <w:pStyle w:val="SingleTxtG"/>
        <w:ind w:left="2268"/>
        <w:rPr>
          <w:lang w:val="fr-FR"/>
        </w:rPr>
      </w:pPr>
      <w:r w:rsidRPr="00EB62B4">
        <w:rPr>
          <w:lang w:val="fr-FR"/>
        </w:rPr>
        <w:tab/>
        <w:t>Type II (émissions de monoxyde de carbone au régime de ralenti);</w:t>
      </w:r>
    </w:p>
    <w:p w:rsidR="00780D96" w:rsidRPr="00EB62B4" w:rsidRDefault="00780D96" w:rsidP="00EB62B4">
      <w:pPr>
        <w:pStyle w:val="SingleTxtG"/>
        <w:ind w:left="2268"/>
        <w:rPr>
          <w:lang w:val="fr-FR"/>
        </w:rPr>
      </w:pPr>
      <w:r w:rsidRPr="00EB62B4">
        <w:rPr>
          <w:lang w:val="fr-FR"/>
        </w:rPr>
        <w:tab/>
        <w:t>Type III (émissions de gaz de carter);</w:t>
      </w:r>
    </w:p>
    <w:p w:rsidR="00780D96" w:rsidRPr="00EB62B4" w:rsidRDefault="00780D96" w:rsidP="00EB62B4">
      <w:pPr>
        <w:pStyle w:val="SingleTxtG"/>
        <w:ind w:left="2268"/>
        <w:rPr>
          <w:lang w:val="fr-FR"/>
        </w:rPr>
      </w:pPr>
      <w:r w:rsidRPr="00EB62B4">
        <w:rPr>
          <w:lang w:val="fr-FR"/>
        </w:rPr>
        <w:tab/>
        <w:t>Type IV (émissions par évaporation), le cas échéant;</w:t>
      </w:r>
    </w:p>
    <w:p w:rsidR="00780D96" w:rsidRPr="00EB62B4" w:rsidRDefault="00780D96" w:rsidP="00EB62B4">
      <w:pPr>
        <w:pStyle w:val="SingleTxtG"/>
        <w:ind w:left="2268"/>
        <w:rPr>
          <w:lang w:val="fr-FR"/>
        </w:rPr>
      </w:pPr>
      <w:r w:rsidRPr="00EB62B4">
        <w:rPr>
          <w:lang w:val="fr-FR"/>
        </w:rPr>
        <w:tab/>
        <w:t>Type V (durabilité des dispositifs antipollution);</w:t>
      </w:r>
    </w:p>
    <w:p w:rsidR="00780D96" w:rsidRPr="00EB62B4" w:rsidRDefault="00780D96" w:rsidP="00EB62B4">
      <w:pPr>
        <w:pStyle w:val="SingleTxtG"/>
        <w:ind w:left="2268"/>
        <w:rPr>
          <w:lang w:val="fr-FR"/>
        </w:rPr>
      </w:pPr>
      <w:r w:rsidRPr="00EB62B4">
        <w:rPr>
          <w:lang w:val="fr-FR"/>
        </w:rPr>
        <w:tab/>
        <w:t>Type VI (contrôle des émissions moyennes à l</w:t>
      </w:r>
      <w:r w:rsidR="00DB4C2D">
        <w:rPr>
          <w:lang w:val="fr-FR"/>
        </w:rPr>
        <w:t>’</w:t>
      </w:r>
      <w:r w:rsidRPr="00EB62B4">
        <w:rPr>
          <w:lang w:val="fr-FR"/>
        </w:rPr>
        <w:t>échappement de monoxyde de carbone et d</w:t>
      </w:r>
      <w:r w:rsidR="00DB4C2D">
        <w:rPr>
          <w:lang w:val="fr-FR"/>
        </w:rPr>
        <w:t>’</w:t>
      </w:r>
      <w:r w:rsidRPr="00EB62B4">
        <w:rPr>
          <w:lang w:val="fr-FR"/>
        </w:rPr>
        <w:t>hydrocarbures après un démarrage à froid à faible température ambiante), le cas échéant;</w:t>
      </w:r>
    </w:p>
    <w:p w:rsidR="00780D96" w:rsidRPr="00EB62B4" w:rsidRDefault="00780D96" w:rsidP="00EB62B4">
      <w:pPr>
        <w:pStyle w:val="SingleTxtG"/>
        <w:ind w:left="2268"/>
        <w:rPr>
          <w:lang w:val="fr-FR"/>
        </w:rPr>
      </w:pPr>
      <w:r w:rsidRPr="00EB62B4">
        <w:rPr>
          <w:lang w:val="fr-FR"/>
        </w:rPr>
        <w:tab/>
        <w:t>Essai OBD;</w:t>
      </w:r>
    </w:p>
    <w:p w:rsidR="00780D96" w:rsidRPr="00780D96" w:rsidRDefault="00780D96" w:rsidP="00EB62B4">
      <w:pPr>
        <w:pStyle w:val="SingleTxtG"/>
        <w:ind w:left="2268"/>
        <w:rPr>
          <w:rFonts w:eastAsia="Times New Roman"/>
          <w:lang w:val="fr-FR"/>
        </w:rPr>
      </w:pPr>
      <w:r w:rsidRPr="00EB62B4">
        <w:rPr>
          <w:lang w:val="fr-FR"/>
        </w:rPr>
        <w:t>Essai de puissance du moteur.</w:t>
      </w:r>
    </w:p>
    <w:p w:rsidR="00780D96" w:rsidRPr="00780D96" w:rsidRDefault="00780D96" w:rsidP="00EB62B4">
      <w:pPr>
        <w:pStyle w:val="SingleTxtG"/>
        <w:keepNext/>
        <w:ind w:left="2268" w:hanging="1134"/>
        <w:rPr>
          <w:rFonts w:eastAsia="Times New Roman"/>
          <w:lang w:val="fr-FR"/>
        </w:rPr>
      </w:pPr>
      <w:r w:rsidRPr="00780D96">
        <w:rPr>
          <w:rFonts w:eastAsia="Times New Roman"/>
          <w:lang w:val="fr-FR"/>
        </w:rPr>
        <w:t>5.2.3</w:t>
      </w:r>
      <w:r w:rsidRPr="00780D96">
        <w:rPr>
          <w:rFonts w:eastAsia="Times New Roman"/>
          <w:lang w:val="fr-FR"/>
        </w:rPr>
        <w:tab/>
        <w:t>Les véhicules à moteur à allumage par compression et les véhicules électriques hybrides équipés d</w:t>
      </w:r>
      <w:r w:rsidR="00DB4C2D">
        <w:rPr>
          <w:rFonts w:eastAsia="Times New Roman"/>
          <w:lang w:val="fr-FR"/>
        </w:rPr>
        <w:t>’</w:t>
      </w:r>
      <w:r w:rsidRPr="00780D96">
        <w:rPr>
          <w:rFonts w:eastAsia="Times New Roman"/>
          <w:lang w:val="fr-FR"/>
        </w:rPr>
        <w:t>un moteur à allumage par compression sont soumis aux épreuves suivantes:</w:t>
      </w:r>
    </w:p>
    <w:p w:rsidR="00780D96" w:rsidRPr="00EB62B4" w:rsidRDefault="00780D96" w:rsidP="00EB62B4">
      <w:pPr>
        <w:pStyle w:val="SingleTxtG"/>
        <w:ind w:left="2268"/>
        <w:rPr>
          <w:lang w:val="fr-FR"/>
        </w:rPr>
      </w:pPr>
      <w:r w:rsidRPr="00780D96">
        <w:rPr>
          <w:rFonts w:eastAsia="Times New Roman"/>
          <w:lang w:val="fr-FR"/>
        </w:rPr>
        <w:tab/>
      </w:r>
      <w:r w:rsidRPr="00EB62B4">
        <w:rPr>
          <w:lang w:val="fr-FR"/>
        </w:rPr>
        <w:t>Type I (contrôle des émissions moyennes à l</w:t>
      </w:r>
      <w:r w:rsidR="00DB4C2D">
        <w:rPr>
          <w:lang w:val="fr-FR"/>
        </w:rPr>
        <w:t>’</w:t>
      </w:r>
      <w:r w:rsidRPr="00EB62B4">
        <w:rPr>
          <w:lang w:val="fr-FR"/>
        </w:rPr>
        <w:t>échappement après un démarrage à froid);</w:t>
      </w:r>
    </w:p>
    <w:p w:rsidR="00780D96" w:rsidRPr="00EB62B4" w:rsidRDefault="00780D96" w:rsidP="00EB62B4">
      <w:pPr>
        <w:pStyle w:val="SingleTxtG"/>
        <w:ind w:left="2268"/>
        <w:rPr>
          <w:lang w:val="fr-FR"/>
        </w:rPr>
      </w:pPr>
      <w:r w:rsidRPr="00EB62B4">
        <w:rPr>
          <w:lang w:val="fr-FR"/>
        </w:rPr>
        <w:tab/>
        <w:t>Type V (durabilité des dispositifs antipollution);</w:t>
      </w:r>
    </w:p>
    <w:p w:rsidR="00780D96" w:rsidRDefault="00780D96" w:rsidP="00EB62B4">
      <w:pPr>
        <w:pStyle w:val="SingleTxtG"/>
        <w:ind w:left="2268"/>
        <w:rPr>
          <w:lang w:val="fr-FR"/>
        </w:rPr>
      </w:pPr>
      <w:r w:rsidRPr="00EB62B4">
        <w:rPr>
          <w:lang w:val="fr-FR"/>
        </w:rPr>
        <w:tab/>
        <w:t>Essai OBD.</w:t>
      </w:r>
    </w:p>
    <w:p w:rsidR="00780D96" w:rsidRDefault="00A235DF" w:rsidP="00A235DF">
      <w:pPr>
        <w:pStyle w:val="Titre1"/>
        <w:spacing w:after="120"/>
        <w:ind w:left="0"/>
        <w:rPr>
          <w:lang w:val="fr-FR"/>
        </w:rPr>
      </w:pPr>
      <w:r>
        <w:rPr>
          <w:lang w:val="fr-FR"/>
        </w:rPr>
        <w:br w:type="page"/>
      </w:r>
      <w:r w:rsidR="00780D96" w:rsidRPr="00780D96">
        <w:rPr>
          <w:lang w:val="fr-FR"/>
        </w:rPr>
        <w:lastRenderedPageBreak/>
        <w:t>Tableau A. Prescriptions</w:t>
      </w:r>
      <w:r w:rsidR="00780D96" w:rsidRPr="00780D96">
        <w:rPr>
          <w:lang w:val="fr-FR"/>
        </w:rPr>
        <w:br/>
      </w:r>
      <w:r w:rsidR="00780D96" w:rsidRPr="00A235DF">
        <w:rPr>
          <w:b/>
          <w:lang w:val="fr-FR"/>
        </w:rPr>
        <w:t>Application des prescriptions d</w:t>
      </w:r>
      <w:r w:rsidR="00DB4C2D">
        <w:rPr>
          <w:b/>
          <w:lang w:val="fr-FR"/>
        </w:rPr>
        <w:t>’</w:t>
      </w:r>
      <w:r w:rsidR="00780D96" w:rsidRPr="00A235DF">
        <w:rPr>
          <w:b/>
          <w:lang w:val="fr-FR"/>
        </w:rPr>
        <w:t>essai pour l</w:t>
      </w:r>
      <w:r w:rsidR="00DB4C2D">
        <w:rPr>
          <w:b/>
          <w:lang w:val="fr-FR"/>
        </w:rPr>
        <w:t>’</w:t>
      </w:r>
      <w:r w:rsidR="00780D96" w:rsidRPr="00A235DF">
        <w:rPr>
          <w:b/>
          <w:lang w:val="fr-FR"/>
        </w:rPr>
        <w:t>homologation de type et les extensions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0"/>
        <w:gridCol w:w="879"/>
        <w:gridCol w:w="503"/>
        <w:gridCol w:w="611"/>
        <w:gridCol w:w="749"/>
        <w:gridCol w:w="813"/>
        <w:gridCol w:w="829"/>
        <w:gridCol w:w="849"/>
        <w:gridCol w:w="1881"/>
        <w:gridCol w:w="964"/>
        <w:gridCol w:w="691"/>
      </w:tblGrid>
      <w:tr w:rsidR="00103ED6" w:rsidRPr="00103ED6" w:rsidTr="00103ED6">
        <w:trPr>
          <w:jc w:val="center"/>
        </w:trPr>
        <w:tc>
          <w:tcPr>
            <w:tcW w:w="870" w:type="dxa"/>
            <w:vMerge w:val="restart"/>
            <w:shd w:val="clear" w:color="auto" w:fill="auto"/>
            <w:vAlign w:val="center"/>
          </w:tcPr>
          <w:p w:rsidR="00103ED6" w:rsidRPr="00103ED6" w:rsidRDefault="00103ED6" w:rsidP="00103ED6">
            <w:pPr>
              <w:kinsoku/>
              <w:overflowPunct/>
              <w:autoSpaceDE/>
              <w:autoSpaceDN/>
              <w:adjustRightInd/>
              <w:snapToGrid/>
              <w:spacing w:before="40" w:after="40" w:line="180" w:lineRule="atLeast"/>
              <w:jc w:val="center"/>
              <w:rPr>
                <w:rFonts w:eastAsia="Times New Roman"/>
                <w:sz w:val="14"/>
                <w:szCs w:val="14"/>
                <w:lang w:val="fr-FR"/>
              </w:rPr>
            </w:pPr>
            <w:r w:rsidRPr="00103ED6">
              <w:rPr>
                <w:rFonts w:eastAsia="Times New Roman"/>
                <w:i/>
                <w:sz w:val="14"/>
                <w:szCs w:val="14"/>
                <w:lang w:val="fr-FR"/>
              </w:rPr>
              <w:t>Catégorie de véhicules</w:t>
            </w:r>
          </w:p>
        </w:tc>
        <w:tc>
          <w:tcPr>
            <w:tcW w:w="7114" w:type="dxa"/>
            <w:gridSpan w:val="8"/>
            <w:shd w:val="clear" w:color="auto" w:fill="auto"/>
            <w:vAlign w:val="center"/>
          </w:tcPr>
          <w:p w:rsidR="00103ED6" w:rsidRPr="00103ED6" w:rsidRDefault="00103ED6" w:rsidP="00103ED6">
            <w:pPr>
              <w:kinsoku/>
              <w:overflowPunct/>
              <w:autoSpaceDE/>
              <w:autoSpaceDN/>
              <w:adjustRightInd/>
              <w:snapToGrid/>
              <w:spacing w:before="40" w:after="40" w:line="180" w:lineRule="atLeast"/>
              <w:jc w:val="center"/>
              <w:rPr>
                <w:rFonts w:eastAsia="Times New Roman"/>
                <w:sz w:val="14"/>
                <w:szCs w:val="14"/>
                <w:lang w:val="fr-FR"/>
              </w:rPr>
            </w:pPr>
            <w:r w:rsidRPr="00103ED6">
              <w:rPr>
                <w:rFonts w:eastAsia="Times New Roman"/>
                <w:i/>
                <w:sz w:val="14"/>
                <w:szCs w:val="14"/>
                <w:lang w:val="fr-FR"/>
              </w:rPr>
              <w:t>Véhicules équipés d</w:t>
            </w:r>
            <w:r w:rsidR="00DB4C2D">
              <w:rPr>
                <w:rFonts w:eastAsia="Times New Roman"/>
                <w:i/>
                <w:sz w:val="14"/>
                <w:szCs w:val="14"/>
                <w:lang w:val="fr-FR"/>
              </w:rPr>
              <w:t>’</w:t>
            </w:r>
            <w:r w:rsidRPr="00103ED6">
              <w:rPr>
                <w:rFonts w:eastAsia="Times New Roman"/>
                <w:i/>
                <w:sz w:val="14"/>
                <w:szCs w:val="14"/>
                <w:lang w:val="fr-FR"/>
              </w:rPr>
              <w:t>un moteur à allumage commandé,</w:t>
            </w:r>
            <w:r w:rsidRPr="00103ED6">
              <w:rPr>
                <w:rFonts w:eastAsia="Times New Roman"/>
                <w:i/>
                <w:sz w:val="14"/>
                <w:szCs w:val="14"/>
                <w:lang w:val="fr-FR"/>
              </w:rPr>
              <w:br/>
              <w:t>y compris les véhicules hybrides</w:t>
            </w:r>
          </w:p>
        </w:tc>
        <w:tc>
          <w:tcPr>
            <w:tcW w:w="1655" w:type="dxa"/>
            <w:gridSpan w:val="2"/>
            <w:shd w:val="clear" w:color="auto" w:fill="auto"/>
            <w:vAlign w:val="center"/>
          </w:tcPr>
          <w:p w:rsidR="00103ED6" w:rsidRPr="00103ED6" w:rsidRDefault="00103ED6" w:rsidP="00103ED6">
            <w:pPr>
              <w:kinsoku/>
              <w:overflowPunct/>
              <w:autoSpaceDE/>
              <w:autoSpaceDN/>
              <w:adjustRightInd/>
              <w:snapToGrid/>
              <w:spacing w:before="40" w:after="40" w:line="180" w:lineRule="atLeast"/>
              <w:jc w:val="center"/>
              <w:rPr>
                <w:rFonts w:eastAsia="Times New Roman"/>
                <w:sz w:val="14"/>
                <w:szCs w:val="14"/>
                <w:lang w:val="fr-FR"/>
              </w:rPr>
            </w:pPr>
            <w:r w:rsidRPr="00103ED6">
              <w:rPr>
                <w:rFonts w:eastAsia="Times New Roman"/>
                <w:i/>
                <w:sz w:val="14"/>
                <w:szCs w:val="14"/>
                <w:lang w:val="fr-FR"/>
              </w:rPr>
              <w:t>Véhicules équipés d</w:t>
            </w:r>
            <w:r w:rsidR="00DB4C2D">
              <w:rPr>
                <w:rFonts w:eastAsia="Times New Roman"/>
                <w:i/>
                <w:sz w:val="14"/>
                <w:szCs w:val="14"/>
                <w:lang w:val="fr-FR"/>
              </w:rPr>
              <w:t>’</w:t>
            </w:r>
            <w:r w:rsidRPr="00103ED6">
              <w:rPr>
                <w:rFonts w:eastAsia="Times New Roman"/>
                <w:i/>
                <w:sz w:val="14"/>
                <w:szCs w:val="14"/>
                <w:lang w:val="fr-FR"/>
              </w:rPr>
              <w:t>un moteur à allumage par compression, y compris les véhicules hybrides</w:t>
            </w:r>
          </w:p>
        </w:tc>
      </w:tr>
      <w:tr w:rsidR="00103ED6" w:rsidRPr="00103ED6" w:rsidTr="00103ED6">
        <w:trPr>
          <w:jc w:val="center"/>
        </w:trPr>
        <w:tc>
          <w:tcPr>
            <w:tcW w:w="870" w:type="dxa"/>
            <w:vMerge/>
            <w:shd w:val="clear" w:color="auto" w:fill="auto"/>
            <w:vAlign w:val="center"/>
          </w:tcPr>
          <w:p w:rsidR="00103ED6" w:rsidRPr="00103ED6" w:rsidRDefault="00103ED6" w:rsidP="00103ED6">
            <w:pPr>
              <w:kinsoku/>
              <w:overflowPunct/>
              <w:autoSpaceDE/>
              <w:autoSpaceDN/>
              <w:adjustRightInd/>
              <w:snapToGrid/>
              <w:spacing w:before="40" w:after="40" w:line="180" w:lineRule="atLeast"/>
              <w:jc w:val="center"/>
              <w:rPr>
                <w:rFonts w:eastAsia="Times New Roman"/>
                <w:sz w:val="14"/>
                <w:szCs w:val="14"/>
                <w:lang w:val="fr-FR"/>
              </w:rPr>
            </w:pPr>
          </w:p>
        </w:tc>
        <w:tc>
          <w:tcPr>
            <w:tcW w:w="2742" w:type="dxa"/>
            <w:gridSpan w:val="4"/>
            <w:shd w:val="clear" w:color="auto" w:fill="auto"/>
            <w:vAlign w:val="center"/>
          </w:tcPr>
          <w:p w:rsidR="00103ED6" w:rsidRPr="00103ED6" w:rsidRDefault="00103ED6" w:rsidP="00103ED6">
            <w:pPr>
              <w:kinsoku/>
              <w:overflowPunct/>
              <w:autoSpaceDE/>
              <w:autoSpaceDN/>
              <w:adjustRightInd/>
              <w:snapToGrid/>
              <w:spacing w:before="40" w:after="40" w:line="180" w:lineRule="atLeast"/>
              <w:jc w:val="center"/>
              <w:rPr>
                <w:rFonts w:eastAsia="Times New Roman"/>
                <w:sz w:val="14"/>
                <w:szCs w:val="14"/>
                <w:lang w:val="fr-FR"/>
              </w:rPr>
            </w:pPr>
            <w:proofErr w:type="spellStart"/>
            <w:r w:rsidRPr="00103ED6">
              <w:rPr>
                <w:rFonts w:eastAsia="Times New Roman"/>
                <w:i/>
                <w:sz w:val="14"/>
                <w:szCs w:val="14"/>
                <w:lang w:val="fr-FR"/>
              </w:rPr>
              <w:t>Monocarburant</w:t>
            </w:r>
            <w:proofErr w:type="spellEnd"/>
          </w:p>
        </w:tc>
        <w:tc>
          <w:tcPr>
            <w:tcW w:w="2491" w:type="dxa"/>
            <w:gridSpan w:val="3"/>
            <w:shd w:val="clear" w:color="auto" w:fill="auto"/>
            <w:vAlign w:val="center"/>
          </w:tcPr>
          <w:p w:rsidR="00103ED6" w:rsidRPr="00103ED6" w:rsidRDefault="00103ED6" w:rsidP="00103ED6">
            <w:pPr>
              <w:kinsoku/>
              <w:overflowPunct/>
              <w:autoSpaceDE/>
              <w:autoSpaceDN/>
              <w:adjustRightInd/>
              <w:snapToGrid/>
              <w:spacing w:before="40" w:after="40" w:line="180" w:lineRule="atLeast"/>
              <w:jc w:val="center"/>
              <w:rPr>
                <w:rFonts w:eastAsia="Times New Roman"/>
                <w:sz w:val="14"/>
                <w:szCs w:val="14"/>
                <w:lang w:val="fr-FR"/>
              </w:rPr>
            </w:pPr>
            <w:r w:rsidRPr="00103ED6">
              <w:rPr>
                <w:rFonts w:eastAsia="Times New Roman"/>
                <w:i/>
                <w:sz w:val="14"/>
                <w:szCs w:val="14"/>
                <w:lang w:val="fr-FR"/>
              </w:rPr>
              <w:t>Bicarburant</w:t>
            </w:r>
            <w:r w:rsidRPr="00103ED6">
              <w:rPr>
                <w:rFonts w:eastAsia="Times New Roman"/>
                <w:sz w:val="14"/>
                <w:szCs w:val="14"/>
                <w:vertAlign w:val="superscript"/>
                <w:lang w:val="fr-FR"/>
              </w:rPr>
              <w:t>1</w:t>
            </w:r>
          </w:p>
        </w:tc>
        <w:tc>
          <w:tcPr>
            <w:tcW w:w="1881" w:type="dxa"/>
            <w:shd w:val="clear" w:color="auto" w:fill="auto"/>
            <w:vAlign w:val="center"/>
          </w:tcPr>
          <w:p w:rsidR="00103ED6" w:rsidRPr="00103ED6" w:rsidRDefault="00103ED6" w:rsidP="00103ED6">
            <w:pPr>
              <w:kinsoku/>
              <w:overflowPunct/>
              <w:autoSpaceDE/>
              <w:autoSpaceDN/>
              <w:adjustRightInd/>
              <w:snapToGrid/>
              <w:spacing w:before="40" w:after="40" w:line="180" w:lineRule="atLeast"/>
              <w:jc w:val="center"/>
              <w:rPr>
                <w:rFonts w:eastAsia="Times New Roman"/>
                <w:sz w:val="14"/>
                <w:szCs w:val="14"/>
                <w:lang w:val="fr-FR"/>
              </w:rPr>
            </w:pPr>
            <w:r w:rsidRPr="00103ED6">
              <w:rPr>
                <w:rFonts w:eastAsia="Times New Roman"/>
                <w:i/>
                <w:sz w:val="14"/>
                <w:szCs w:val="14"/>
                <w:lang w:val="fr-FR"/>
              </w:rPr>
              <w:t>Polycarburant</w:t>
            </w:r>
            <w:r w:rsidRPr="00103ED6">
              <w:rPr>
                <w:rFonts w:eastAsia="Times New Roman"/>
                <w:sz w:val="14"/>
                <w:szCs w:val="14"/>
                <w:vertAlign w:val="superscript"/>
                <w:lang w:val="fr-FR"/>
              </w:rPr>
              <w:t>1</w:t>
            </w:r>
          </w:p>
        </w:tc>
        <w:tc>
          <w:tcPr>
            <w:tcW w:w="964" w:type="dxa"/>
            <w:shd w:val="clear" w:color="auto" w:fill="auto"/>
            <w:vAlign w:val="center"/>
          </w:tcPr>
          <w:p w:rsidR="00103ED6" w:rsidRPr="00103ED6" w:rsidRDefault="00103ED6" w:rsidP="00103ED6">
            <w:pPr>
              <w:kinsoku/>
              <w:overflowPunct/>
              <w:autoSpaceDE/>
              <w:autoSpaceDN/>
              <w:adjustRightInd/>
              <w:snapToGrid/>
              <w:spacing w:before="40" w:after="40" w:line="180" w:lineRule="atLeast"/>
              <w:jc w:val="center"/>
              <w:rPr>
                <w:rFonts w:eastAsia="Times New Roman"/>
                <w:sz w:val="14"/>
                <w:szCs w:val="14"/>
                <w:lang w:val="fr-FR"/>
              </w:rPr>
            </w:pPr>
            <w:proofErr w:type="spellStart"/>
            <w:r w:rsidRPr="00103ED6">
              <w:rPr>
                <w:rFonts w:eastAsia="Times New Roman"/>
                <w:i/>
                <w:sz w:val="14"/>
                <w:szCs w:val="14"/>
                <w:lang w:val="fr-FR"/>
              </w:rPr>
              <w:t>Polycarburant</w:t>
            </w:r>
            <w:proofErr w:type="spellEnd"/>
          </w:p>
        </w:tc>
        <w:tc>
          <w:tcPr>
            <w:tcW w:w="691" w:type="dxa"/>
            <w:shd w:val="clear" w:color="auto" w:fill="auto"/>
            <w:vAlign w:val="center"/>
          </w:tcPr>
          <w:p w:rsidR="00103ED6" w:rsidRPr="00103ED6" w:rsidRDefault="00103ED6" w:rsidP="00103ED6">
            <w:pPr>
              <w:kinsoku/>
              <w:overflowPunct/>
              <w:autoSpaceDE/>
              <w:autoSpaceDN/>
              <w:adjustRightInd/>
              <w:snapToGrid/>
              <w:spacing w:before="40" w:after="40" w:line="180" w:lineRule="atLeast"/>
              <w:jc w:val="center"/>
              <w:rPr>
                <w:rFonts w:eastAsia="Times New Roman"/>
                <w:sz w:val="14"/>
                <w:szCs w:val="14"/>
                <w:lang w:val="fr-FR"/>
              </w:rPr>
            </w:pPr>
            <w:r w:rsidRPr="00103ED6">
              <w:rPr>
                <w:rFonts w:eastAsia="Times New Roman"/>
                <w:i/>
                <w:sz w:val="14"/>
                <w:szCs w:val="14"/>
                <w:lang w:val="fr-FR"/>
              </w:rPr>
              <w:t>Mono-carburant</w:t>
            </w:r>
          </w:p>
        </w:tc>
      </w:tr>
      <w:tr w:rsidR="00103ED6" w:rsidRPr="00103ED6" w:rsidTr="00103ED6">
        <w:trPr>
          <w:jc w:val="center"/>
        </w:trPr>
        <w:tc>
          <w:tcPr>
            <w:tcW w:w="870" w:type="dxa"/>
            <w:vMerge w:val="restart"/>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Carburant de référence</w:t>
            </w:r>
          </w:p>
        </w:tc>
        <w:tc>
          <w:tcPr>
            <w:tcW w:w="879" w:type="dxa"/>
            <w:vMerge w:val="restart"/>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Essence (E5/E10)</w:t>
            </w:r>
            <w:r w:rsidRPr="00103ED6">
              <w:rPr>
                <w:rFonts w:eastAsia="Times New Roman"/>
                <w:i/>
                <w:sz w:val="14"/>
                <w:szCs w:val="14"/>
                <w:vertAlign w:val="superscript"/>
                <w:lang w:val="fr-FR"/>
              </w:rPr>
              <w:t>7</w:t>
            </w:r>
          </w:p>
        </w:tc>
        <w:tc>
          <w:tcPr>
            <w:tcW w:w="503" w:type="dxa"/>
            <w:vMerge w:val="restart"/>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GPL</w:t>
            </w:r>
          </w:p>
        </w:tc>
        <w:tc>
          <w:tcPr>
            <w:tcW w:w="611" w:type="dxa"/>
            <w:vMerge w:val="restart"/>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pacing w:val="-3"/>
                <w:sz w:val="14"/>
                <w:szCs w:val="14"/>
                <w:lang w:val="fr-FR"/>
              </w:rPr>
            </w:pPr>
            <w:r w:rsidRPr="00103ED6">
              <w:rPr>
                <w:rFonts w:eastAsia="Times New Roman"/>
                <w:spacing w:val="-3"/>
                <w:sz w:val="14"/>
                <w:szCs w:val="14"/>
                <w:lang w:val="fr-FR"/>
              </w:rPr>
              <w:t>GN/</w:t>
            </w:r>
          </w:p>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pacing w:val="-3"/>
                <w:sz w:val="14"/>
                <w:szCs w:val="14"/>
                <w:lang w:val="fr-FR"/>
              </w:rPr>
              <w:t>bio-méthane</w:t>
            </w:r>
          </w:p>
        </w:tc>
        <w:tc>
          <w:tcPr>
            <w:tcW w:w="749" w:type="dxa"/>
            <w:vMerge w:val="restart"/>
            <w:shd w:val="clear" w:color="auto" w:fill="auto"/>
          </w:tcPr>
          <w:p w:rsidR="00103ED6" w:rsidRPr="00103ED6" w:rsidRDefault="00E516D4" w:rsidP="00103ED6">
            <w:pPr>
              <w:kinsoku/>
              <w:overflowPunct/>
              <w:autoSpaceDE/>
              <w:autoSpaceDN/>
              <w:adjustRightInd/>
              <w:snapToGrid/>
              <w:spacing w:before="40" w:after="40" w:line="180" w:lineRule="atLeast"/>
              <w:rPr>
                <w:rFonts w:eastAsia="Times New Roman"/>
                <w:sz w:val="14"/>
                <w:szCs w:val="14"/>
                <w:lang w:val="fr-FR"/>
              </w:rPr>
            </w:pPr>
            <w:r>
              <w:rPr>
                <w:rFonts w:eastAsia="Times New Roman"/>
                <w:sz w:val="14"/>
                <w:szCs w:val="14"/>
                <w:lang w:val="fr-FR"/>
              </w:rPr>
              <w:t>Hydro</w:t>
            </w:r>
            <w:r w:rsidR="00103ED6" w:rsidRPr="00103ED6">
              <w:rPr>
                <w:rFonts w:eastAsia="Times New Roman"/>
                <w:sz w:val="14"/>
                <w:szCs w:val="14"/>
                <w:lang w:val="fr-FR"/>
              </w:rPr>
              <w:t xml:space="preserve">gène (moteur à </w:t>
            </w:r>
            <w:proofErr w:type="spellStart"/>
            <w:r w:rsidR="00103ED6" w:rsidRPr="00103ED6">
              <w:rPr>
                <w:rFonts w:eastAsia="Times New Roman"/>
                <w:sz w:val="14"/>
                <w:szCs w:val="14"/>
                <w:lang w:val="fr-FR"/>
              </w:rPr>
              <w:t>combus-tion</w:t>
            </w:r>
            <w:proofErr w:type="spellEnd"/>
            <w:r w:rsidR="00103ED6" w:rsidRPr="00103ED6">
              <w:rPr>
                <w:rFonts w:eastAsia="Times New Roman"/>
                <w:sz w:val="14"/>
                <w:szCs w:val="14"/>
                <w:lang w:val="fr-FR"/>
              </w:rPr>
              <w:t xml:space="preserve"> interne)</w:t>
            </w:r>
            <w:r w:rsidR="00103ED6" w:rsidRPr="00103ED6">
              <w:rPr>
                <w:rFonts w:eastAsia="Times New Roman"/>
                <w:i/>
                <w:sz w:val="14"/>
                <w:szCs w:val="14"/>
                <w:vertAlign w:val="superscript"/>
                <w:lang w:val="fr-FR"/>
              </w:rPr>
              <w:t>5</w:t>
            </w: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Essence (E5/E10)</w:t>
            </w:r>
            <w:r w:rsidRPr="00103ED6">
              <w:rPr>
                <w:rFonts w:eastAsia="Times New Roman"/>
                <w:i/>
                <w:sz w:val="14"/>
                <w:szCs w:val="14"/>
                <w:vertAlign w:val="superscript"/>
                <w:lang w:val="fr-FR"/>
              </w:rPr>
              <w:t>7</w:t>
            </w:r>
          </w:p>
        </w:tc>
        <w:tc>
          <w:tcPr>
            <w:tcW w:w="82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Essence (E5/E10)</w:t>
            </w:r>
            <w:r w:rsidRPr="00103ED6">
              <w:rPr>
                <w:rFonts w:eastAsia="Times New Roman"/>
                <w:i/>
                <w:sz w:val="14"/>
                <w:szCs w:val="14"/>
                <w:vertAlign w:val="superscript"/>
                <w:lang w:val="fr-FR"/>
              </w:rPr>
              <w:t>7</w:t>
            </w:r>
          </w:p>
        </w:tc>
        <w:tc>
          <w:tcPr>
            <w:tcW w:w="8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Essence (E5/E10)</w:t>
            </w:r>
            <w:r w:rsidRPr="00103ED6">
              <w:rPr>
                <w:rFonts w:eastAsia="Times New Roman"/>
                <w:i/>
                <w:sz w:val="14"/>
                <w:szCs w:val="14"/>
                <w:vertAlign w:val="superscript"/>
                <w:lang w:val="fr-FR"/>
              </w:rPr>
              <w:t>7</w:t>
            </w:r>
            <w:r w:rsidRPr="00103ED6">
              <w:rPr>
                <w:rFonts w:eastAsia="Times New Roman"/>
                <w:sz w:val="14"/>
                <w:szCs w:val="14"/>
                <w:vertAlign w:val="superscript"/>
                <w:lang w:val="fr-FR"/>
              </w:rPr>
              <w:t xml:space="preserve"> </w:t>
            </w:r>
          </w:p>
        </w:tc>
        <w:tc>
          <w:tcPr>
            <w:tcW w:w="188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Essence (E5/E10)</w:t>
            </w:r>
            <w:r w:rsidRPr="00103ED6">
              <w:rPr>
                <w:rFonts w:eastAsia="Times New Roman"/>
                <w:i/>
                <w:sz w:val="14"/>
                <w:szCs w:val="14"/>
                <w:vertAlign w:val="superscript"/>
                <w:lang w:val="fr-FR"/>
              </w:rPr>
              <w:t>7</w:t>
            </w:r>
          </w:p>
        </w:tc>
        <w:tc>
          <w:tcPr>
            <w:tcW w:w="964"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Gazole (B5/B7)</w:t>
            </w:r>
            <w:r w:rsidRPr="00103ED6">
              <w:rPr>
                <w:rFonts w:eastAsia="Times New Roman"/>
                <w:i/>
                <w:sz w:val="14"/>
                <w:szCs w:val="14"/>
                <w:vertAlign w:val="superscript"/>
                <w:lang w:val="fr-FR"/>
              </w:rPr>
              <w:t>7</w:t>
            </w:r>
          </w:p>
        </w:tc>
        <w:tc>
          <w:tcPr>
            <w:tcW w:w="691" w:type="dxa"/>
            <w:vMerge w:val="restart"/>
            <w:shd w:val="clear" w:color="auto" w:fill="auto"/>
            <w:vAlign w:val="center"/>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 xml:space="preserve">Gazole </w:t>
            </w:r>
            <w:r w:rsidRPr="00103ED6">
              <w:rPr>
                <w:rFonts w:eastAsia="Times New Roman"/>
                <w:spacing w:val="-2"/>
                <w:sz w:val="14"/>
                <w:szCs w:val="14"/>
                <w:lang w:val="fr-FR"/>
              </w:rPr>
              <w:t>(B5/B7)</w:t>
            </w:r>
            <w:r w:rsidRPr="00103ED6">
              <w:rPr>
                <w:rFonts w:eastAsia="Times New Roman"/>
                <w:i/>
                <w:spacing w:val="-2"/>
                <w:sz w:val="14"/>
                <w:szCs w:val="14"/>
                <w:vertAlign w:val="superscript"/>
                <w:lang w:val="fr-FR"/>
              </w:rPr>
              <w:t>7</w:t>
            </w:r>
          </w:p>
        </w:tc>
      </w:tr>
      <w:tr w:rsidR="00103ED6" w:rsidRPr="00103ED6" w:rsidTr="00103ED6">
        <w:trPr>
          <w:jc w:val="center"/>
        </w:trPr>
        <w:tc>
          <w:tcPr>
            <w:tcW w:w="870" w:type="dxa"/>
            <w:vMerge/>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p>
        </w:tc>
        <w:tc>
          <w:tcPr>
            <w:tcW w:w="879" w:type="dxa"/>
            <w:vMerge/>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p>
        </w:tc>
        <w:tc>
          <w:tcPr>
            <w:tcW w:w="503" w:type="dxa"/>
            <w:vMerge/>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p>
        </w:tc>
        <w:tc>
          <w:tcPr>
            <w:tcW w:w="611" w:type="dxa"/>
            <w:vMerge/>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p>
        </w:tc>
        <w:tc>
          <w:tcPr>
            <w:tcW w:w="749" w:type="dxa"/>
            <w:vMerge/>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GPL</w:t>
            </w:r>
          </w:p>
        </w:tc>
        <w:tc>
          <w:tcPr>
            <w:tcW w:w="829" w:type="dxa"/>
            <w:tcBorders>
              <w:top w:val="nil"/>
            </w:tcBorders>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GN/bio- méthane</w:t>
            </w:r>
          </w:p>
        </w:tc>
        <w:tc>
          <w:tcPr>
            <w:tcW w:w="849" w:type="dxa"/>
            <w:tcBorders>
              <w:top w:val="nil"/>
            </w:tcBorders>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Hydrogène (moteur à </w:t>
            </w:r>
            <w:proofErr w:type="spellStart"/>
            <w:r w:rsidRPr="00103ED6">
              <w:rPr>
                <w:rFonts w:eastAsia="Times New Roman"/>
                <w:sz w:val="14"/>
                <w:szCs w:val="14"/>
                <w:lang w:val="fr-FR"/>
              </w:rPr>
              <w:t>combus-tion</w:t>
            </w:r>
            <w:proofErr w:type="spellEnd"/>
            <w:r w:rsidRPr="00103ED6">
              <w:rPr>
                <w:rFonts w:eastAsia="Times New Roman"/>
                <w:sz w:val="14"/>
                <w:szCs w:val="14"/>
                <w:lang w:val="fr-FR"/>
              </w:rPr>
              <w:t xml:space="preserve"> interne)</w:t>
            </w:r>
            <w:r w:rsidRPr="00103ED6">
              <w:rPr>
                <w:rFonts w:eastAsia="Times New Roman"/>
                <w:i/>
                <w:sz w:val="14"/>
                <w:szCs w:val="14"/>
                <w:vertAlign w:val="superscript"/>
                <w:lang w:val="fr-FR"/>
              </w:rPr>
              <w:t>5</w:t>
            </w:r>
          </w:p>
        </w:tc>
        <w:tc>
          <w:tcPr>
            <w:tcW w:w="1881" w:type="dxa"/>
            <w:tcBorders>
              <w:top w:val="nil"/>
            </w:tcBorders>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Éthanol (E85)</w:t>
            </w:r>
          </w:p>
        </w:tc>
        <w:tc>
          <w:tcPr>
            <w:tcW w:w="964" w:type="dxa"/>
            <w:tcBorders>
              <w:top w:val="nil"/>
            </w:tcBorders>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proofErr w:type="spellStart"/>
            <w:r w:rsidRPr="00103ED6">
              <w:rPr>
                <w:rFonts w:eastAsia="Times New Roman"/>
                <w:sz w:val="14"/>
                <w:szCs w:val="14"/>
                <w:lang w:val="fr-FR"/>
              </w:rPr>
              <w:t>Biogazole</w:t>
            </w:r>
            <w:proofErr w:type="spellEnd"/>
          </w:p>
        </w:tc>
        <w:tc>
          <w:tcPr>
            <w:tcW w:w="691" w:type="dxa"/>
            <w:vMerge/>
            <w:tcBorders>
              <w:top w:val="nil"/>
            </w:tcBorders>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p>
        </w:tc>
      </w:tr>
      <w:tr w:rsidR="00103ED6" w:rsidRPr="00103ED6" w:rsidTr="00103ED6">
        <w:trPr>
          <w:jc w:val="center"/>
        </w:trPr>
        <w:tc>
          <w:tcPr>
            <w:tcW w:w="870"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Polluants gazeux (essai du type I)</w:t>
            </w:r>
          </w:p>
        </w:tc>
        <w:tc>
          <w:tcPr>
            <w:tcW w:w="87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50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61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7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r w:rsidRPr="00103ED6">
              <w:rPr>
                <w:rFonts w:eastAsia="Times New Roman"/>
                <w:i/>
                <w:sz w:val="14"/>
                <w:szCs w:val="14"/>
                <w:vertAlign w:val="superscript"/>
                <w:lang w:val="fr-FR"/>
              </w:rPr>
              <w:t>4</w:t>
            </w: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pacing w:val="-2"/>
                <w:sz w:val="14"/>
                <w:szCs w:val="14"/>
                <w:lang w:val="fr-FR"/>
              </w:rPr>
            </w:pPr>
            <w:r w:rsidRPr="00103ED6">
              <w:rPr>
                <w:rFonts w:eastAsia="Times New Roman"/>
                <w:spacing w:val="-2"/>
                <w:sz w:val="14"/>
                <w:szCs w:val="14"/>
                <w:lang w:val="fr-FR"/>
              </w:rPr>
              <w:t xml:space="preserve">Oui </w:t>
            </w:r>
            <w:r w:rsidRPr="00103ED6">
              <w:rPr>
                <w:rFonts w:eastAsia="Times New Roman"/>
                <w:spacing w:val="-2"/>
                <w:sz w:val="14"/>
                <w:szCs w:val="14"/>
                <w:lang w:val="fr-FR"/>
              </w:rPr>
              <w:br/>
              <w:t>(les deux carburants)</w:t>
            </w:r>
          </w:p>
        </w:tc>
        <w:tc>
          <w:tcPr>
            <w:tcW w:w="82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pacing w:val="-3"/>
                <w:sz w:val="14"/>
                <w:szCs w:val="14"/>
                <w:lang w:val="fr-FR"/>
              </w:rPr>
            </w:pPr>
            <w:r w:rsidRPr="00103ED6">
              <w:rPr>
                <w:rFonts w:eastAsia="Times New Roman"/>
                <w:spacing w:val="-2"/>
                <w:sz w:val="14"/>
                <w:szCs w:val="14"/>
                <w:lang w:val="fr-FR"/>
              </w:rPr>
              <w:t xml:space="preserve">Oui </w:t>
            </w:r>
            <w:r w:rsidRPr="00103ED6">
              <w:rPr>
                <w:rFonts w:eastAsia="Times New Roman"/>
                <w:spacing w:val="-2"/>
                <w:sz w:val="14"/>
                <w:szCs w:val="14"/>
                <w:lang w:val="fr-FR"/>
              </w:rPr>
              <w:br/>
              <w:t>(les deux carburants)</w:t>
            </w:r>
          </w:p>
        </w:tc>
        <w:tc>
          <w:tcPr>
            <w:tcW w:w="8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pacing w:val="-2"/>
                <w:sz w:val="14"/>
                <w:szCs w:val="14"/>
                <w:lang w:val="fr-FR"/>
              </w:rPr>
            </w:pPr>
            <w:r w:rsidRPr="00103ED6">
              <w:rPr>
                <w:rFonts w:eastAsia="Times New Roman"/>
                <w:spacing w:val="-2"/>
                <w:sz w:val="14"/>
                <w:szCs w:val="14"/>
                <w:lang w:val="fr-FR"/>
              </w:rPr>
              <w:t xml:space="preserve">Oui </w:t>
            </w:r>
            <w:r w:rsidRPr="00103ED6">
              <w:rPr>
                <w:rFonts w:eastAsia="Times New Roman"/>
                <w:spacing w:val="-2"/>
                <w:sz w:val="14"/>
                <w:szCs w:val="14"/>
                <w:lang w:val="fr-FR"/>
              </w:rPr>
              <w:br/>
            </w:r>
            <w:r w:rsidRPr="00103ED6">
              <w:rPr>
                <w:rFonts w:eastAsia="Times New Roman"/>
                <w:spacing w:val="-4"/>
                <w:sz w:val="14"/>
                <w:szCs w:val="14"/>
                <w:lang w:val="fr-FR"/>
              </w:rPr>
              <w:t>(les deux carburants)</w:t>
            </w:r>
            <w:r w:rsidRPr="00103ED6">
              <w:rPr>
                <w:rFonts w:eastAsia="Times New Roman"/>
                <w:i/>
                <w:spacing w:val="-2"/>
                <w:sz w:val="14"/>
                <w:szCs w:val="14"/>
                <w:vertAlign w:val="superscript"/>
                <w:lang w:val="fr-FR"/>
              </w:rPr>
              <w:t>4</w:t>
            </w:r>
          </w:p>
        </w:tc>
        <w:tc>
          <w:tcPr>
            <w:tcW w:w="188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pacing w:val="-2"/>
                <w:sz w:val="14"/>
                <w:szCs w:val="14"/>
                <w:lang w:val="fr-FR"/>
              </w:rPr>
              <w:t xml:space="preserve">Oui </w:t>
            </w:r>
            <w:r w:rsidRPr="00103ED6">
              <w:rPr>
                <w:rFonts w:eastAsia="Times New Roman"/>
                <w:spacing w:val="-2"/>
                <w:sz w:val="14"/>
                <w:szCs w:val="14"/>
                <w:lang w:val="fr-FR"/>
              </w:rPr>
              <w:br/>
              <w:t>(les deux carburants)</w:t>
            </w:r>
          </w:p>
        </w:tc>
        <w:tc>
          <w:tcPr>
            <w:tcW w:w="964"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i/>
                <w:sz w:val="14"/>
                <w:szCs w:val="14"/>
                <w:vertAlign w:val="superscript"/>
                <w:lang w:val="fr-FR"/>
              </w:rPr>
            </w:pPr>
            <w:r w:rsidRPr="00103ED6">
              <w:rPr>
                <w:rFonts w:eastAsia="Times New Roman"/>
                <w:sz w:val="14"/>
                <w:szCs w:val="14"/>
                <w:lang w:val="fr-FR"/>
              </w:rPr>
              <w:t xml:space="preserve">Oui </w:t>
            </w:r>
            <w:r w:rsidRPr="00103ED6">
              <w:rPr>
                <w:rFonts w:eastAsia="Times New Roman"/>
                <w:sz w:val="14"/>
                <w:szCs w:val="14"/>
                <w:lang w:val="fr-FR"/>
              </w:rPr>
              <w:br/>
              <w:t>(B5/B7 seulement)</w:t>
            </w:r>
            <w:r w:rsidRPr="00103ED6">
              <w:rPr>
                <w:rFonts w:eastAsia="Times New Roman"/>
                <w:sz w:val="14"/>
                <w:szCs w:val="14"/>
                <w:vertAlign w:val="superscript"/>
                <w:lang w:val="fr-FR"/>
              </w:rPr>
              <w:t>2,7</w:t>
            </w:r>
          </w:p>
        </w:tc>
        <w:tc>
          <w:tcPr>
            <w:tcW w:w="69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r>
      <w:tr w:rsidR="00103ED6" w:rsidRPr="00103ED6" w:rsidTr="00103ED6">
        <w:trPr>
          <w:jc w:val="center"/>
        </w:trPr>
        <w:tc>
          <w:tcPr>
            <w:tcW w:w="870"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Masse et nombre des particules (essai du type I)</w:t>
            </w:r>
          </w:p>
        </w:tc>
        <w:tc>
          <w:tcPr>
            <w:tcW w:w="87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r w:rsidRPr="00103ED6">
              <w:rPr>
                <w:rFonts w:eastAsia="Times New Roman"/>
                <w:sz w:val="14"/>
                <w:szCs w:val="14"/>
                <w:vertAlign w:val="superscript"/>
                <w:lang w:val="fr-FR"/>
              </w:rPr>
              <w:t>6</w:t>
            </w:r>
            <w:r w:rsidRPr="00103ED6">
              <w:rPr>
                <w:rFonts w:eastAsia="Times New Roman"/>
                <w:sz w:val="14"/>
                <w:szCs w:val="14"/>
                <w:lang w:val="fr-FR"/>
              </w:rPr>
              <w:t xml:space="preserve"> </w:t>
            </w:r>
          </w:p>
        </w:tc>
        <w:tc>
          <w:tcPr>
            <w:tcW w:w="50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61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7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pacing w:val="-2"/>
                <w:sz w:val="14"/>
                <w:szCs w:val="14"/>
                <w:lang w:val="fr-FR"/>
              </w:rPr>
            </w:pPr>
            <w:r w:rsidRPr="00103ED6">
              <w:rPr>
                <w:rFonts w:eastAsia="Times New Roman"/>
                <w:spacing w:val="-2"/>
                <w:sz w:val="14"/>
                <w:szCs w:val="14"/>
                <w:lang w:val="fr-FR"/>
              </w:rPr>
              <w:t xml:space="preserve">Oui </w:t>
            </w:r>
            <w:r w:rsidRPr="00103ED6">
              <w:rPr>
                <w:rFonts w:eastAsia="Times New Roman"/>
                <w:spacing w:val="-2"/>
                <w:sz w:val="14"/>
                <w:szCs w:val="14"/>
                <w:lang w:val="fr-FR"/>
              </w:rPr>
              <w:br/>
              <w:t>(essence</w:t>
            </w:r>
            <w:r w:rsidRPr="00103ED6">
              <w:rPr>
                <w:rFonts w:eastAsia="Times New Roman"/>
                <w:spacing w:val="-2"/>
                <w:sz w:val="14"/>
                <w:szCs w:val="14"/>
                <w:lang w:val="fr-FR"/>
              </w:rPr>
              <w:br/>
              <w:t>seulement)</w:t>
            </w:r>
            <w:r w:rsidRPr="00103ED6">
              <w:rPr>
                <w:rFonts w:eastAsia="Times New Roman"/>
                <w:sz w:val="14"/>
                <w:szCs w:val="14"/>
                <w:vertAlign w:val="superscript"/>
                <w:lang w:val="fr-FR"/>
              </w:rPr>
              <w:t xml:space="preserve"> 6</w:t>
            </w:r>
          </w:p>
        </w:tc>
        <w:tc>
          <w:tcPr>
            <w:tcW w:w="82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pacing w:val="-2"/>
                <w:sz w:val="14"/>
                <w:szCs w:val="14"/>
                <w:lang w:val="fr-FR"/>
              </w:rPr>
            </w:pPr>
            <w:r w:rsidRPr="00103ED6">
              <w:rPr>
                <w:rFonts w:eastAsia="Times New Roman"/>
                <w:spacing w:val="-2"/>
                <w:sz w:val="14"/>
                <w:szCs w:val="14"/>
                <w:lang w:val="fr-FR"/>
              </w:rPr>
              <w:t xml:space="preserve">Oui </w:t>
            </w:r>
            <w:r w:rsidRPr="00103ED6">
              <w:rPr>
                <w:rFonts w:eastAsia="Times New Roman"/>
                <w:spacing w:val="-2"/>
                <w:sz w:val="14"/>
                <w:szCs w:val="14"/>
                <w:lang w:val="fr-FR"/>
              </w:rPr>
              <w:br/>
              <w:t>(essence</w:t>
            </w:r>
            <w:r w:rsidRPr="00103ED6">
              <w:rPr>
                <w:rFonts w:eastAsia="Times New Roman"/>
                <w:spacing w:val="-2"/>
                <w:sz w:val="14"/>
                <w:szCs w:val="14"/>
                <w:lang w:val="fr-FR"/>
              </w:rPr>
              <w:br/>
              <w:t>seulement)</w:t>
            </w:r>
            <w:r w:rsidRPr="00103ED6">
              <w:rPr>
                <w:rFonts w:eastAsia="Times New Roman"/>
                <w:sz w:val="14"/>
                <w:szCs w:val="14"/>
                <w:vertAlign w:val="superscript"/>
                <w:lang w:val="fr-FR"/>
              </w:rPr>
              <w:t xml:space="preserve"> 6</w:t>
            </w:r>
          </w:p>
        </w:tc>
        <w:tc>
          <w:tcPr>
            <w:tcW w:w="8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pacing w:val="-2"/>
                <w:sz w:val="14"/>
                <w:szCs w:val="14"/>
                <w:lang w:val="fr-FR"/>
              </w:rPr>
            </w:pPr>
            <w:r w:rsidRPr="00103ED6">
              <w:rPr>
                <w:rFonts w:eastAsia="Times New Roman"/>
                <w:spacing w:val="-2"/>
                <w:sz w:val="14"/>
                <w:szCs w:val="14"/>
                <w:lang w:val="fr-FR"/>
              </w:rPr>
              <w:t>Oui (essence</w:t>
            </w:r>
            <w:r w:rsidRPr="00103ED6">
              <w:rPr>
                <w:rFonts w:eastAsia="Times New Roman"/>
                <w:spacing w:val="-2"/>
                <w:sz w:val="14"/>
                <w:szCs w:val="14"/>
                <w:lang w:val="fr-FR"/>
              </w:rPr>
              <w:br/>
              <w:t>seulement)</w:t>
            </w:r>
            <w:r w:rsidRPr="00103ED6">
              <w:rPr>
                <w:rFonts w:eastAsia="Times New Roman"/>
                <w:sz w:val="14"/>
                <w:szCs w:val="14"/>
                <w:vertAlign w:val="superscript"/>
                <w:lang w:val="fr-FR"/>
              </w:rPr>
              <w:t xml:space="preserve"> 6</w:t>
            </w:r>
          </w:p>
        </w:tc>
        <w:tc>
          <w:tcPr>
            <w:tcW w:w="188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pacing w:val="-2"/>
                <w:sz w:val="14"/>
                <w:szCs w:val="14"/>
                <w:lang w:val="fr-FR"/>
              </w:rPr>
              <w:t xml:space="preserve">Oui </w:t>
            </w:r>
            <w:r w:rsidRPr="00103ED6">
              <w:rPr>
                <w:rFonts w:eastAsia="Times New Roman"/>
                <w:spacing w:val="-2"/>
                <w:sz w:val="14"/>
                <w:szCs w:val="14"/>
                <w:lang w:val="fr-FR"/>
              </w:rPr>
              <w:br/>
              <w:t>(les deux carburants)</w:t>
            </w:r>
            <w:r w:rsidRPr="00103ED6">
              <w:rPr>
                <w:rFonts w:eastAsia="Times New Roman"/>
                <w:sz w:val="14"/>
                <w:szCs w:val="14"/>
                <w:vertAlign w:val="superscript"/>
                <w:lang w:val="fr-FR"/>
              </w:rPr>
              <w:t xml:space="preserve"> 6</w:t>
            </w:r>
          </w:p>
        </w:tc>
        <w:tc>
          <w:tcPr>
            <w:tcW w:w="964"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i/>
                <w:sz w:val="14"/>
                <w:szCs w:val="14"/>
                <w:vertAlign w:val="superscript"/>
                <w:lang w:val="fr-FR"/>
              </w:rPr>
            </w:pPr>
            <w:r w:rsidRPr="00103ED6">
              <w:rPr>
                <w:rFonts w:eastAsia="Times New Roman"/>
                <w:sz w:val="14"/>
                <w:szCs w:val="14"/>
                <w:lang w:val="fr-FR"/>
              </w:rPr>
              <w:t xml:space="preserve">Oui </w:t>
            </w:r>
            <w:r w:rsidRPr="00103ED6">
              <w:rPr>
                <w:rFonts w:eastAsia="Times New Roman"/>
                <w:sz w:val="14"/>
                <w:szCs w:val="14"/>
                <w:lang w:val="fr-FR"/>
              </w:rPr>
              <w:br/>
              <w:t>(B5/B7 seulement)</w:t>
            </w:r>
            <w:r w:rsidRPr="00103ED6">
              <w:rPr>
                <w:rFonts w:eastAsia="Times New Roman"/>
                <w:i/>
                <w:spacing w:val="-2"/>
                <w:sz w:val="14"/>
                <w:szCs w:val="14"/>
                <w:vertAlign w:val="superscript"/>
                <w:lang w:val="fr-FR"/>
              </w:rPr>
              <w:t>2</w:t>
            </w:r>
            <w:r w:rsidRPr="00103ED6">
              <w:rPr>
                <w:rFonts w:eastAsia="Times New Roman"/>
                <w:spacing w:val="-2"/>
                <w:sz w:val="14"/>
                <w:szCs w:val="14"/>
                <w:vertAlign w:val="superscript"/>
                <w:lang w:val="fr-FR"/>
              </w:rPr>
              <w:t xml:space="preserve">, </w:t>
            </w:r>
            <w:r w:rsidRPr="00103ED6">
              <w:rPr>
                <w:rFonts w:eastAsia="Times New Roman"/>
                <w:i/>
                <w:spacing w:val="-2"/>
                <w:sz w:val="14"/>
                <w:szCs w:val="14"/>
                <w:vertAlign w:val="superscript"/>
                <w:lang w:val="fr-FR"/>
              </w:rPr>
              <w:t>7</w:t>
            </w:r>
          </w:p>
        </w:tc>
        <w:tc>
          <w:tcPr>
            <w:tcW w:w="69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r>
      <w:tr w:rsidR="00103ED6" w:rsidRPr="00103ED6" w:rsidTr="00103ED6">
        <w:trPr>
          <w:jc w:val="center"/>
        </w:trPr>
        <w:tc>
          <w:tcPr>
            <w:tcW w:w="870"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 xml:space="preserve">Émissions </w:t>
            </w:r>
            <w:r w:rsidRPr="00103ED6">
              <w:rPr>
                <w:rFonts w:eastAsia="Times New Roman"/>
                <w:sz w:val="14"/>
                <w:szCs w:val="14"/>
                <w:lang w:val="fr-FR"/>
              </w:rPr>
              <w:br/>
              <w:t xml:space="preserve">au ralenti </w:t>
            </w:r>
            <w:r w:rsidRPr="00103ED6">
              <w:rPr>
                <w:rFonts w:eastAsia="Times New Roman"/>
                <w:sz w:val="14"/>
                <w:szCs w:val="14"/>
                <w:lang w:val="fr-FR"/>
              </w:rPr>
              <w:br/>
              <w:t>(essai</w:t>
            </w:r>
            <w:r w:rsidRPr="00103ED6">
              <w:rPr>
                <w:rFonts w:eastAsia="Times New Roman"/>
                <w:sz w:val="14"/>
                <w:szCs w:val="14"/>
                <w:lang w:val="fr-FR"/>
              </w:rPr>
              <w:br/>
              <w:t>du type II)</w:t>
            </w:r>
          </w:p>
        </w:tc>
        <w:tc>
          <w:tcPr>
            <w:tcW w:w="87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50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61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7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pacing w:val="-2"/>
                <w:sz w:val="14"/>
                <w:szCs w:val="14"/>
                <w:lang w:val="fr-FR"/>
              </w:rPr>
            </w:pPr>
            <w:r w:rsidRPr="00103ED6">
              <w:rPr>
                <w:rFonts w:eastAsia="Times New Roman"/>
                <w:spacing w:val="-2"/>
                <w:sz w:val="14"/>
                <w:szCs w:val="14"/>
                <w:lang w:val="fr-FR"/>
              </w:rPr>
              <w:t xml:space="preserve">Oui </w:t>
            </w:r>
            <w:r w:rsidRPr="00103ED6">
              <w:rPr>
                <w:rFonts w:eastAsia="Times New Roman"/>
                <w:spacing w:val="-2"/>
                <w:sz w:val="14"/>
                <w:szCs w:val="14"/>
                <w:lang w:val="fr-FR"/>
              </w:rPr>
              <w:br/>
              <w:t>(les deux carburants)</w:t>
            </w:r>
          </w:p>
        </w:tc>
        <w:tc>
          <w:tcPr>
            <w:tcW w:w="82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pacing w:val="-2"/>
                <w:sz w:val="14"/>
                <w:szCs w:val="14"/>
                <w:lang w:val="fr-FR"/>
              </w:rPr>
            </w:pPr>
            <w:r w:rsidRPr="00103ED6">
              <w:rPr>
                <w:rFonts w:eastAsia="Times New Roman"/>
                <w:spacing w:val="-2"/>
                <w:sz w:val="14"/>
                <w:szCs w:val="14"/>
                <w:lang w:val="fr-FR"/>
              </w:rPr>
              <w:t xml:space="preserve">Oui </w:t>
            </w:r>
            <w:r w:rsidRPr="00103ED6">
              <w:rPr>
                <w:rFonts w:eastAsia="Times New Roman"/>
                <w:spacing w:val="-2"/>
                <w:sz w:val="14"/>
                <w:szCs w:val="14"/>
                <w:lang w:val="fr-FR"/>
              </w:rPr>
              <w:br/>
              <w:t>(les deux carburants)</w:t>
            </w:r>
          </w:p>
        </w:tc>
        <w:tc>
          <w:tcPr>
            <w:tcW w:w="8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pacing w:val="-2"/>
                <w:sz w:val="14"/>
                <w:szCs w:val="14"/>
                <w:lang w:val="fr-FR"/>
              </w:rPr>
            </w:pPr>
            <w:r w:rsidRPr="00103ED6">
              <w:rPr>
                <w:rFonts w:eastAsia="Times New Roman"/>
                <w:spacing w:val="-2"/>
                <w:sz w:val="14"/>
                <w:szCs w:val="14"/>
                <w:lang w:val="fr-FR"/>
              </w:rPr>
              <w:t>Oui (essence</w:t>
            </w:r>
            <w:r w:rsidRPr="00103ED6">
              <w:rPr>
                <w:rFonts w:eastAsia="Times New Roman"/>
                <w:spacing w:val="-2"/>
                <w:sz w:val="14"/>
                <w:szCs w:val="14"/>
                <w:lang w:val="fr-FR"/>
              </w:rPr>
              <w:br/>
              <w:t>seulement)</w:t>
            </w:r>
          </w:p>
        </w:tc>
        <w:tc>
          <w:tcPr>
            <w:tcW w:w="188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pacing w:val="-2"/>
                <w:sz w:val="14"/>
                <w:szCs w:val="14"/>
                <w:lang w:val="fr-FR"/>
              </w:rPr>
              <w:t xml:space="preserve">Oui </w:t>
            </w:r>
            <w:r w:rsidRPr="00103ED6">
              <w:rPr>
                <w:rFonts w:eastAsia="Times New Roman"/>
                <w:spacing w:val="-2"/>
                <w:sz w:val="14"/>
                <w:szCs w:val="14"/>
                <w:lang w:val="fr-FR"/>
              </w:rPr>
              <w:br/>
              <w:t>(les deux carburants)</w:t>
            </w:r>
          </w:p>
        </w:tc>
        <w:tc>
          <w:tcPr>
            <w:tcW w:w="964"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69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r>
      <w:tr w:rsidR="00103ED6" w:rsidRPr="00103ED6" w:rsidTr="00103ED6">
        <w:trPr>
          <w:jc w:val="center"/>
        </w:trPr>
        <w:tc>
          <w:tcPr>
            <w:tcW w:w="870"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 xml:space="preserve">Émissions </w:t>
            </w:r>
            <w:r w:rsidRPr="00103ED6">
              <w:rPr>
                <w:rFonts w:eastAsia="Times New Roman"/>
                <w:sz w:val="14"/>
                <w:szCs w:val="14"/>
                <w:lang w:val="fr-FR"/>
              </w:rPr>
              <w:br/>
              <w:t xml:space="preserve">du carter </w:t>
            </w:r>
            <w:r w:rsidRPr="00103ED6">
              <w:rPr>
                <w:rFonts w:eastAsia="Times New Roman"/>
                <w:sz w:val="14"/>
                <w:szCs w:val="14"/>
                <w:lang w:val="fr-FR"/>
              </w:rPr>
              <w:br/>
              <w:t>(essai</w:t>
            </w:r>
            <w:r w:rsidRPr="00103ED6">
              <w:rPr>
                <w:rFonts w:eastAsia="Times New Roman"/>
                <w:sz w:val="14"/>
                <w:szCs w:val="14"/>
                <w:lang w:val="fr-FR"/>
              </w:rPr>
              <w:br/>
              <w:t>du type III)</w:t>
            </w:r>
          </w:p>
        </w:tc>
        <w:tc>
          <w:tcPr>
            <w:tcW w:w="87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50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61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7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82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8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188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r w:rsidRPr="00103ED6">
              <w:rPr>
                <w:rFonts w:eastAsia="Times New Roman"/>
                <w:sz w:val="14"/>
                <w:szCs w:val="14"/>
                <w:lang w:val="fr-FR"/>
              </w:rPr>
              <w:br/>
              <w:t>(essence seulement)</w:t>
            </w:r>
          </w:p>
        </w:tc>
        <w:tc>
          <w:tcPr>
            <w:tcW w:w="964"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69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r>
      <w:tr w:rsidR="00103ED6" w:rsidRPr="00103ED6" w:rsidTr="00103ED6">
        <w:trPr>
          <w:jc w:val="center"/>
        </w:trPr>
        <w:tc>
          <w:tcPr>
            <w:tcW w:w="870"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Émissions par </w:t>
            </w:r>
            <w:proofErr w:type="spellStart"/>
            <w:r w:rsidRPr="00103ED6">
              <w:rPr>
                <w:rFonts w:eastAsia="Times New Roman"/>
                <w:sz w:val="14"/>
                <w:szCs w:val="14"/>
                <w:lang w:val="fr-FR"/>
              </w:rPr>
              <w:t>évapo-ration</w:t>
            </w:r>
            <w:proofErr w:type="spellEnd"/>
            <w:r w:rsidRPr="00103ED6">
              <w:rPr>
                <w:rFonts w:eastAsia="Times New Roman"/>
                <w:sz w:val="14"/>
                <w:szCs w:val="14"/>
                <w:lang w:val="fr-FR"/>
              </w:rPr>
              <w:t xml:space="preserve"> (essai du type IV)</w:t>
            </w:r>
          </w:p>
        </w:tc>
        <w:tc>
          <w:tcPr>
            <w:tcW w:w="87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50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61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7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82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8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188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r w:rsidRPr="00103ED6">
              <w:rPr>
                <w:rFonts w:eastAsia="Times New Roman"/>
                <w:sz w:val="14"/>
                <w:szCs w:val="14"/>
                <w:lang w:val="fr-FR"/>
              </w:rPr>
              <w:br/>
              <w:t>(essence seulement)</w:t>
            </w:r>
          </w:p>
        </w:tc>
        <w:tc>
          <w:tcPr>
            <w:tcW w:w="964"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69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r>
      <w:tr w:rsidR="00103ED6" w:rsidRPr="00103ED6" w:rsidTr="00103ED6">
        <w:trPr>
          <w:jc w:val="center"/>
        </w:trPr>
        <w:tc>
          <w:tcPr>
            <w:tcW w:w="870"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 xml:space="preserve">Durabilité </w:t>
            </w:r>
            <w:r w:rsidRPr="00103ED6">
              <w:rPr>
                <w:rFonts w:eastAsia="Times New Roman"/>
                <w:sz w:val="14"/>
                <w:szCs w:val="14"/>
                <w:lang w:val="fr-FR"/>
              </w:rPr>
              <w:br/>
              <w:t>(essai du type V)</w:t>
            </w:r>
          </w:p>
        </w:tc>
        <w:tc>
          <w:tcPr>
            <w:tcW w:w="87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50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61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7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82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8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188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r w:rsidRPr="00103ED6">
              <w:rPr>
                <w:rFonts w:eastAsia="Times New Roman"/>
                <w:sz w:val="14"/>
                <w:szCs w:val="14"/>
                <w:lang w:val="fr-FR"/>
              </w:rPr>
              <w:br/>
              <w:t>(essence</w:t>
            </w:r>
            <w:r w:rsidRPr="00103ED6">
              <w:rPr>
                <w:rFonts w:eastAsia="Times New Roman"/>
                <w:sz w:val="14"/>
                <w:szCs w:val="14"/>
                <w:lang w:val="fr-FR"/>
              </w:rPr>
              <w:br/>
              <w:t>seulement)</w:t>
            </w:r>
          </w:p>
        </w:tc>
        <w:tc>
          <w:tcPr>
            <w:tcW w:w="964"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i/>
                <w:sz w:val="14"/>
                <w:szCs w:val="14"/>
                <w:vertAlign w:val="superscript"/>
                <w:lang w:val="fr-FR"/>
              </w:rPr>
            </w:pPr>
            <w:r w:rsidRPr="00103ED6">
              <w:rPr>
                <w:rFonts w:eastAsia="Times New Roman"/>
                <w:sz w:val="14"/>
                <w:szCs w:val="14"/>
                <w:lang w:val="fr-FR"/>
              </w:rPr>
              <w:t xml:space="preserve">Oui </w:t>
            </w:r>
            <w:r w:rsidRPr="00103ED6">
              <w:rPr>
                <w:rFonts w:eastAsia="Times New Roman"/>
                <w:sz w:val="14"/>
                <w:szCs w:val="14"/>
                <w:lang w:val="fr-FR"/>
              </w:rPr>
              <w:br/>
              <w:t>(B5/B7 seulement)</w:t>
            </w:r>
            <w:r w:rsidRPr="00103ED6">
              <w:rPr>
                <w:rFonts w:eastAsia="Times New Roman"/>
                <w:sz w:val="14"/>
                <w:szCs w:val="14"/>
                <w:vertAlign w:val="superscript"/>
                <w:lang w:val="fr-FR"/>
              </w:rPr>
              <w:t>2,7</w:t>
            </w:r>
          </w:p>
        </w:tc>
        <w:tc>
          <w:tcPr>
            <w:tcW w:w="69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r>
      <w:tr w:rsidR="00103ED6" w:rsidRPr="00103ED6" w:rsidTr="00103ED6">
        <w:trPr>
          <w:jc w:val="center"/>
        </w:trPr>
        <w:tc>
          <w:tcPr>
            <w:tcW w:w="870"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 xml:space="preserve">Émissions </w:t>
            </w:r>
            <w:r w:rsidRPr="00103ED6">
              <w:rPr>
                <w:rFonts w:eastAsia="Times New Roman"/>
                <w:sz w:val="14"/>
                <w:szCs w:val="14"/>
                <w:lang w:val="fr-FR"/>
              </w:rPr>
              <w:br/>
              <w:t xml:space="preserve">à basse température </w:t>
            </w:r>
            <w:r w:rsidRPr="00103ED6">
              <w:rPr>
                <w:rFonts w:eastAsia="Times New Roman"/>
                <w:sz w:val="14"/>
                <w:szCs w:val="14"/>
                <w:lang w:val="fr-FR"/>
              </w:rPr>
              <w:br/>
              <w:t>(essai du type VI)</w:t>
            </w:r>
          </w:p>
        </w:tc>
        <w:tc>
          <w:tcPr>
            <w:tcW w:w="87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50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61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7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82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8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vertAlign w:val="superscript"/>
                <w:lang w:val="fr-FR"/>
              </w:rPr>
            </w:pPr>
            <w:r w:rsidRPr="00103ED6">
              <w:rPr>
                <w:rFonts w:eastAsia="Times New Roman"/>
                <w:sz w:val="14"/>
                <w:szCs w:val="14"/>
                <w:lang w:val="fr-FR"/>
              </w:rPr>
              <w:t>Oui (essence</w:t>
            </w:r>
            <w:r w:rsidRPr="00103ED6">
              <w:rPr>
                <w:rFonts w:eastAsia="Times New Roman"/>
                <w:sz w:val="14"/>
                <w:szCs w:val="14"/>
                <w:lang w:val="fr-FR"/>
              </w:rPr>
              <w:br/>
              <w:t>seulement)</w:t>
            </w:r>
          </w:p>
        </w:tc>
        <w:tc>
          <w:tcPr>
            <w:tcW w:w="188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r w:rsidRPr="00103ED6">
              <w:rPr>
                <w:rFonts w:eastAsia="Times New Roman"/>
                <w:i/>
                <w:sz w:val="14"/>
                <w:szCs w:val="14"/>
                <w:vertAlign w:val="superscript"/>
                <w:lang w:val="fr-FR"/>
              </w:rPr>
              <w:t>3</w:t>
            </w:r>
            <w:r w:rsidRPr="00103ED6">
              <w:rPr>
                <w:rFonts w:eastAsia="Times New Roman"/>
                <w:sz w:val="14"/>
                <w:szCs w:val="14"/>
                <w:lang w:val="fr-FR"/>
              </w:rPr>
              <w:t xml:space="preserve"> </w:t>
            </w:r>
            <w:r w:rsidRPr="00103ED6">
              <w:rPr>
                <w:rFonts w:eastAsia="Times New Roman"/>
                <w:sz w:val="14"/>
                <w:szCs w:val="14"/>
                <w:lang w:val="fr-FR"/>
              </w:rPr>
              <w:br/>
              <w:t>(les deux carburants)</w:t>
            </w:r>
          </w:p>
        </w:tc>
        <w:tc>
          <w:tcPr>
            <w:tcW w:w="964"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c>
          <w:tcPr>
            <w:tcW w:w="69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w:t>
            </w:r>
          </w:p>
        </w:tc>
      </w:tr>
      <w:tr w:rsidR="00103ED6" w:rsidRPr="00103ED6" w:rsidTr="00103ED6">
        <w:trPr>
          <w:jc w:val="center"/>
        </w:trPr>
        <w:tc>
          <w:tcPr>
            <w:tcW w:w="870"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Conformité en service</w:t>
            </w:r>
          </w:p>
        </w:tc>
        <w:tc>
          <w:tcPr>
            <w:tcW w:w="87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50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61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7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 xml:space="preserve">Oui </w:t>
            </w:r>
            <w:r w:rsidRPr="00103ED6">
              <w:rPr>
                <w:rFonts w:eastAsia="Times New Roman"/>
                <w:sz w:val="14"/>
                <w:szCs w:val="14"/>
                <w:lang w:val="fr-FR"/>
              </w:rPr>
              <w:br/>
              <w:t>(les deux carburants)</w:t>
            </w:r>
          </w:p>
        </w:tc>
        <w:tc>
          <w:tcPr>
            <w:tcW w:w="82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 xml:space="preserve">Oui </w:t>
            </w:r>
            <w:r w:rsidRPr="00103ED6">
              <w:rPr>
                <w:rFonts w:eastAsia="Times New Roman"/>
                <w:sz w:val="14"/>
                <w:szCs w:val="14"/>
                <w:lang w:val="fr-FR"/>
              </w:rPr>
              <w:br/>
              <w:t>(les deux carburants)</w:t>
            </w:r>
          </w:p>
        </w:tc>
        <w:tc>
          <w:tcPr>
            <w:tcW w:w="8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 xml:space="preserve">Oui </w:t>
            </w:r>
            <w:r w:rsidRPr="00103ED6">
              <w:rPr>
                <w:rFonts w:eastAsia="Times New Roman"/>
                <w:sz w:val="14"/>
                <w:szCs w:val="14"/>
                <w:lang w:val="fr-FR"/>
              </w:rPr>
              <w:br/>
              <w:t>(les deux carburants)</w:t>
            </w:r>
          </w:p>
        </w:tc>
        <w:tc>
          <w:tcPr>
            <w:tcW w:w="188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 xml:space="preserve">Oui </w:t>
            </w:r>
            <w:r w:rsidRPr="00103ED6">
              <w:rPr>
                <w:rFonts w:eastAsia="Times New Roman"/>
                <w:sz w:val="14"/>
                <w:szCs w:val="14"/>
                <w:lang w:val="fr-FR"/>
              </w:rPr>
              <w:br/>
              <w:t>(les deux carburants)</w:t>
            </w:r>
          </w:p>
        </w:tc>
        <w:tc>
          <w:tcPr>
            <w:tcW w:w="964"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i/>
                <w:sz w:val="14"/>
                <w:szCs w:val="14"/>
                <w:vertAlign w:val="superscript"/>
                <w:lang w:val="fr-FR"/>
              </w:rPr>
            </w:pPr>
            <w:r w:rsidRPr="00103ED6">
              <w:rPr>
                <w:rFonts w:eastAsia="Times New Roman"/>
                <w:sz w:val="14"/>
                <w:szCs w:val="14"/>
                <w:lang w:val="fr-FR"/>
              </w:rPr>
              <w:t xml:space="preserve">Oui </w:t>
            </w:r>
            <w:r w:rsidRPr="00103ED6">
              <w:rPr>
                <w:rFonts w:eastAsia="Times New Roman"/>
                <w:sz w:val="14"/>
                <w:szCs w:val="14"/>
                <w:lang w:val="fr-FR"/>
              </w:rPr>
              <w:br/>
              <w:t>(B5/B7 seulement)</w:t>
            </w:r>
            <w:r w:rsidRPr="00103ED6">
              <w:rPr>
                <w:rFonts w:eastAsia="Times New Roman"/>
                <w:sz w:val="14"/>
                <w:szCs w:val="14"/>
                <w:vertAlign w:val="superscript"/>
                <w:lang w:val="fr-FR"/>
              </w:rPr>
              <w:t>2,7</w:t>
            </w:r>
          </w:p>
        </w:tc>
        <w:tc>
          <w:tcPr>
            <w:tcW w:w="69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r>
      <w:tr w:rsidR="00103ED6" w:rsidRPr="00103ED6" w:rsidTr="00103ED6">
        <w:trPr>
          <w:jc w:val="center"/>
        </w:trPr>
        <w:tc>
          <w:tcPr>
            <w:tcW w:w="870"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Diagnostics embarqués</w:t>
            </w:r>
          </w:p>
        </w:tc>
        <w:tc>
          <w:tcPr>
            <w:tcW w:w="87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50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61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7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813"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82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849"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188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c>
          <w:tcPr>
            <w:tcW w:w="964"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 xml:space="preserve">Oui </w:t>
            </w:r>
          </w:p>
        </w:tc>
        <w:tc>
          <w:tcPr>
            <w:tcW w:w="691" w:type="dxa"/>
            <w:shd w:val="clear" w:color="auto" w:fill="auto"/>
          </w:tcPr>
          <w:p w:rsidR="00103ED6" w:rsidRPr="00103ED6" w:rsidRDefault="00103ED6" w:rsidP="00103ED6">
            <w:pPr>
              <w:kinsoku/>
              <w:overflowPunct/>
              <w:autoSpaceDE/>
              <w:autoSpaceDN/>
              <w:adjustRightInd/>
              <w:snapToGrid/>
              <w:spacing w:before="40" w:after="40" w:line="180" w:lineRule="atLeast"/>
              <w:rPr>
                <w:rFonts w:eastAsia="Times New Roman"/>
                <w:sz w:val="14"/>
                <w:szCs w:val="14"/>
                <w:lang w:val="fr-FR"/>
              </w:rPr>
            </w:pPr>
            <w:r w:rsidRPr="00103ED6">
              <w:rPr>
                <w:rFonts w:eastAsia="Times New Roman"/>
                <w:sz w:val="14"/>
                <w:szCs w:val="14"/>
                <w:lang w:val="fr-FR"/>
              </w:rPr>
              <w:t>Oui</w:t>
            </w:r>
          </w:p>
        </w:tc>
      </w:tr>
    </w:tbl>
    <w:p w:rsidR="00103ED6" w:rsidRPr="00A235DF" w:rsidRDefault="00103ED6" w:rsidP="00A235DF">
      <w:pPr>
        <w:spacing w:before="120"/>
        <w:ind w:firstLine="170"/>
        <w:rPr>
          <w:sz w:val="16"/>
          <w:szCs w:val="16"/>
          <w:lang w:val="fr-FR"/>
        </w:rPr>
      </w:pPr>
      <w:r w:rsidRPr="00A235DF">
        <w:rPr>
          <w:i/>
          <w:sz w:val="16"/>
          <w:szCs w:val="16"/>
          <w:vertAlign w:val="superscript"/>
          <w:lang w:val="fr-FR"/>
        </w:rPr>
        <w:t>1</w:t>
      </w:r>
      <w:r w:rsidRPr="00A235DF">
        <w:rPr>
          <w:sz w:val="16"/>
          <w:szCs w:val="16"/>
          <w:lang w:val="fr-FR"/>
        </w:rPr>
        <w:t xml:space="preserve">  Lorsqu</w:t>
      </w:r>
      <w:r w:rsidR="00DB4C2D">
        <w:rPr>
          <w:sz w:val="16"/>
          <w:szCs w:val="16"/>
          <w:lang w:val="fr-FR"/>
        </w:rPr>
        <w:t>’</w:t>
      </w:r>
      <w:r w:rsidRPr="00A235DF">
        <w:rPr>
          <w:sz w:val="16"/>
          <w:szCs w:val="16"/>
          <w:lang w:val="fr-FR"/>
        </w:rPr>
        <w:t xml:space="preserve">un véhicule à bicarburation est combiné à un véhicule </w:t>
      </w:r>
      <w:proofErr w:type="spellStart"/>
      <w:r w:rsidRPr="00A235DF">
        <w:rPr>
          <w:sz w:val="16"/>
          <w:szCs w:val="16"/>
          <w:lang w:val="fr-FR"/>
        </w:rPr>
        <w:t>polycarburant</w:t>
      </w:r>
      <w:proofErr w:type="spellEnd"/>
      <w:r w:rsidRPr="00A235DF">
        <w:rPr>
          <w:sz w:val="16"/>
          <w:szCs w:val="16"/>
          <w:lang w:val="fr-FR"/>
        </w:rPr>
        <w:t>, les deux prescriptions d</w:t>
      </w:r>
      <w:r w:rsidR="00DB4C2D">
        <w:rPr>
          <w:sz w:val="16"/>
          <w:szCs w:val="16"/>
          <w:lang w:val="fr-FR"/>
        </w:rPr>
        <w:t>’</w:t>
      </w:r>
      <w:r w:rsidRPr="00A235DF">
        <w:rPr>
          <w:sz w:val="16"/>
          <w:szCs w:val="16"/>
          <w:lang w:val="fr-FR"/>
        </w:rPr>
        <w:t>essai s</w:t>
      </w:r>
      <w:r w:rsidR="00DB4C2D">
        <w:rPr>
          <w:sz w:val="16"/>
          <w:szCs w:val="16"/>
          <w:lang w:val="fr-FR"/>
        </w:rPr>
        <w:t>’</w:t>
      </w:r>
      <w:r w:rsidRPr="00A235DF">
        <w:rPr>
          <w:sz w:val="16"/>
          <w:szCs w:val="16"/>
          <w:lang w:val="fr-FR"/>
        </w:rPr>
        <w:t>appliquent.</w:t>
      </w:r>
    </w:p>
    <w:p w:rsidR="00103ED6" w:rsidRPr="00A235DF" w:rsidRDefault="00103ED6" w:rsidP="00A235DF">
      <w:pPr>
        <w:ind w:firstLine="170"/>
        <w:rPr>
          <w:sz w:val="16"/>
          <w:szCs w:val="16"/>
          <w:lang w:val="fr-FR"/>
        </w:rPr>
      </w:pPr>
      <w:r w:rsidRPr="00A235DF">
        <w:rPr>
          <w:i/>
          <w:sz w:val="16"/>
          <w:szCs w:val="16"/>
          <w:vertAlign w:val="superscript"/>
          <w:lang w:val="fr-FR"/>
        </w:rPr>
        <w:t>2</w:t>
      </w:r>
      <w:r w:rsidRPr="00A235DF">
        <w:rPr>
          <w:sz w:val="16"/>
          <w:szCs w:val="16"/>
          <w:lang w:val="fr-FR"/>
        </w:rPr>
        <w:t xml:space="preserve">  Cette prescription est provisoire. D</w:t>
      </w:r>
      <w:r w:rsidR="00DB4C2D">
        <w:rPr>
          <w:sz w:val="16"/>
          <w:szCs w:val="16"/>
          <w:lang w:val="fr-FR"/>
        </w:rPr>
        <w:t>’</w:t>
      </w:r>
      <w:r w:rsidRPr="00A235DF">
        <w:rPr>
          <w:sz w:val="16"/>
          <w:szCs w:val="16"/>
          <w:lang w:val="fr-FR"/>
        </w:rPr>
        <w:t xml:space="preserve">autres prescriptions pour le </w:t>
      </w:r>
      <w:proofErr w:type="spellStart"/>
      <w:r w:rsidRPr="00A235DF">
        <w:rPr>
          <w:sz w:val="16"/>
          <w:szCs w:val="16"/>
          <w:lang w:val="fr-FR"/>
        </w:rPr>
        <w:t>biogazole</w:t>
      </w:r>
      <w:proofErr w:type="spellEnd"/>
      <w:r w:rsidRPr="00A235DF">
        <w:rPr>
          <w:sz w:val="16"/>
          <w:szCs w:val="16"/>
          <w:lang w:val="fr-FR"/>
        </w:rPr>
        <w:t xml:space="preserve"> et l</w:t>
      </w:r>
      <w:r w:rsidR="00DB4C2D">
        <w:rPr>
          <w:sz w:val="16"/>
          <w:szCs w:val="16"/>
          <w:lang w:val="fr-FR"/>
        </w:rPr>
        <w:t>’</w:t>
      </w:r>
      <w:r w:rsidRPr="00A235DF">
        <w:rPr>
          <w:sz w:val="16"/>
          <w:szCs w:val="16"/>
          <w:lang w:val="fr-FR"/>
        </w:rPr>
        <w:t>hydrogène seront proposées ultérieurement.</w:t>
      </w:r>
    </w:p>
    <w:p w:rsidR="00103ED6" w:rsidRPr="00A235DF" w:rsidRDefault="00103ED6" w:rsidP="00A235DF">
      <w:pPr>
        <w:ind w:firstLine="170"/>
        <w:rPr>
          <w:sz w:val="16"/>
          <w:szCs w:val="16"/>
          <w:lang w:val="fr-FR"/>
        </w:rPr>
      </w:pPr>
      <w:r w:rsidRPr="00A235DF">
        <w:rPr>
          <w:i/>
          <w:sz w:val="16"/>
          <w:szCs w:val="16"/>
          <w:vertAlign w:val="superscript"/>
          <w:lang w:val="fr-FR"/>
        </w:rPr>
        <w:t>3</w:t>
      </w:r>
      <w:r w:rsidRPr="00A235DF">
        <w:rPr>
          <w:sz w:val="16"/>
          <w:szCs w:val="16"/>
          <w:lang w:val="fr-FR"/>
        </w:rPr>
        <w:t xml:space="preserve">  L</w:t>
      </w:r>
      <w:r w:rsidR="00DB4C2D">
        <w:rPr>
          <w:sz w:val="16"/>
          <w:szCs w:val="16"/>
          <w:lang w:val="fr-FR"/>
        </w:rPr>
        <w:t>’</w:t>
      </w:r>
      <w:r w:rsidRPr="00A235DF">
        <w:rPr>
          <w:sz w:val="16"/>
          <w:szCs w:val="16"/>
          <w:lang w:val="fr-FR"/>
        </w:rPr>
        <w:t>essai sera effectué avec les deux carburants. Le carburant de référence E75 prescrit à l</w:t>
      </w:r>
      <w:r w:rsidR="00DB4C2D">
        <w:rPr>
          <w:sz w:val="16"/>
          <w:szCs w:val="16"/>
          <w:lang w:val="fr-FR"/>
        </w:rPr>
        <w:t>’</w:t>
      </w:r>
      <w:r w:rsidRPr="00A235DF">
        <w:rPr>
          <w:sz w:val="16"/>
          <w:szCs w:val="16"/>
          <w:lang w:val="fr-FR"/>
        </w:rPr>
        <w:t>annexe 10 doit être utilisé.</w:t>
      </w:r>
    </w:p>
    <w:p w:rsidR="00103ED6" w:rsidRPr="00A235DF" w:rsidRDefault="00103ED6" w:rsidP="00A235DF">
      <w:pPr>
        <w:ind w:firstLine="170"/>
        <w:rPr>
          <w:sz w:val="16"/>
          <w:szCs w:val="16"/>
          <w:lang w:val="fr-FR"/>
        </w:rPr>
      </w:pPr>
      <w:r w:rsidRPr="00A235DF">
        <w:rPr>
          <w:i/>
          <w:sz w:val="16"/>
          <w:szCs w:val="16"/>
          <w:vertAlign w:val="superscript"/>
          <w:lang w:val="fr-FR"/>
        </w:rPr>
        <w:t>4</w:t>
      </w:r>
      <w:r w:rsidRPr="00A235DF">
        <w:rPr>
          <w:sz w:val="16"/>
          <w:szCs w:val="16"/>
          <w:lang w:val="fr-FR"/>
        </w:rPr>
        <w:t xml:space="preserve">  Seules les émissions de </w:t>
      </w:r>
      <w:proofErr w:type="spellStart"/>
      <w:r w:rsidRPr="00A235DF">
        <w:rPr>
          <w:sz w:val="16"/>
          <w:szCs w:val="16"/>
          <w:lang w:val="fr-FR"/>
        </w:rPr>
        <w:t>NO</w:t>
      </w:r>
      <w:r w:rsidRPr="00A235DF">
        <w:rPr>
          <w:sz w:val="16"/>
          <w:szCs w:val="16"/>
          <w:vertAlign w:val="subscript"/>
          <w:lang w:val="fr-FR"/>
        </w:rPr>
        <w:t>x</w:t>
      </w:r>
      <w:proofErr w:type="spellEnd"/>
      <w:r w:rsidRPr="00A235DF">
        <w:rPr>
          <w:sz w:val="16"/>
          <w:szCs w:val="16"/>
          <w:lang w:val="fr-FR"/>
        </w:rPr>
        <w:t xml:space="preserve"> sont déterminées lorsque le véhicule fonctionne à l</w:t>
      </w:r>
      <w:r w:rsidR="00DB4C2D">
        <w:rPr>
          <w:sz w:val="16"/>
          <w:szCs w:val="16"/>
          <w:lang w:val="fr-FR"/>
        </w:rPr>
        <w:t>’</w:t>
      </w:r>
      <w:r w:rsidRPr="00A235DF">
        <w:rPr>
          <w:sz w:val="16"/>
          <w:szCs w:val="16"/>
          <w:lang w:val="fr-FR"/>
        </w:rPr>
        <w:t>hydrogène.</w:t>
      </w:r>
    </w:p>
    <w:p w:rsidR="00103ED6" w:rsidRPr="00A235DF" w:rsidRDefault="00103ED6" w:rsidP="00A235DF">
      <w:pPr>
        <w:ind w:firstLine="170"/>
        <w:rPr>
          <w:sz w:val="16"/>
          <w:szCs w:val="16"/>
          <w:lang w:val="fr-FR"/>
        </w:rPr>
      </w:pPr>
      <w:r w:rsidRPr="00A235DF">
        <w:rPr>
          <w:i/>
          <w:sz w:val="16"/>
          <w:szCs w:val="16"/>
          <w:vertAlign w:val="superscript"/>
          <w:lang w:val="fr-FR"/>
        </w:rPr>
        <w:t>5</w:t>
      </w:r>
      <w:r w:rsidRPr="00A235DF">
        <w:rPr>
          <w:sz w:val="16"/>
          <w:szCs w:val="16"/>
          <w:lang w:val="fr-FR"/>
        </w:rPr>
        <w:t xml:space="preserve">  Le carburant de référence est l</w:t>
      </w:r>
      <w:r w:rsidR="00DB4C2D">
        <w:rPr>
          <w:sz w:val="16"/>
          <w:szCs w:val="16"/>
          <w:lang w:val="fr-FR"/>
        </w:rPr>
        <w:t>’</w:t>
      </w:r>
      <w:r w:rsidRPr="00A235DF">
        <w:rPr>
          <w:sz w:val="16"/>
          <w:szCs w:val="16"/>
          <w:lang w:val="fr-FR"/>
        </w:rPr>
        <w:t>hydrogène pour moteur à combustion interne, ainsi qu</w:t>
      </w:r>
      <w:r w:rsidR="00DB4C2D">
        <w:rPr>
          <w:sz w:val="16"/>
          <w:szCs w:val="16"/>
          <w:lang w:val="fr-FR"/>
        </w:rPr>
        <w:t>’</w:t>
      </w:r>
      <w:r w:rsidRPr="00A235DF">
        <w:rPr>
          <w:sz w:val="16"/>
          <w:szCs w:val="16"/>
          <w:lang w:val="fr-FR"/>
        </w:rPr>
        <w:t>il est prescrit à l</w:t>
      </w:r>
      <w:r w:rsidR="00DB4C2D">
        <w:rPr>
          <w:sz w:val="16"/>
          <w:szCs w:val="16"/>
          <w:lang w:val="fr-FR"/>
        </w:rPr>
        <w:t>’</w:t>
      </w:r>
      <w:r w:rsidRPr="00A235DF">
        <w:rPr>
          <w:sz w:val="16"/>
          <w:szCs w:val="16"/>
          <w:lang w:val="fr-FR"/>
        </w:rPr>
        <w:t>annexe 10a.</w:t>
      </w:r>
    </w:p>
    <w:p w:rsidR="00103ED6" w:rsidRPr="00A235DF" w:rsidRDefault="00103ED6" w:rsidP="00A235DF">
      <w:pPr>
        <w:ind w:firstLine="170"/>
        <w:rPr>
          <w:sz w:val="16"/>
          <w:szCs w:val="16"/>
          <w:lang w:val="fr-FR"/>
        </w:rPr>
      </w:pPr>
      <w:r w:rsidRPr="00A235DF">
        <w:rPr>
          <w:i/>
          <w:sz w:val="16"/>
          <w:szCs w:val="16"/>
          <w:vertAlign w:val="superscript"/>
          <w:lang w:val="fr-FR"/>
        </w:rPr>
        <w:t>6</w:t>
      </w:r>
      <w:r w:rsidRPr="00A235DF">
        <w:rPr>
          <w:sz w:val="16"/>
          <w:szCs w:val="16"/>
          <w:lang w:val="fr-FR"/>
        </w:rPr>
        <w:t xml:space="preserve">  Les limites pour la masse et le nombre des particules dans le cas des véhicules équipés d</w:t>
      </w:r>
      <w:r w:rsidR="00DB4C2D">
        <w:rPr>
          <w:sz w:val="16"/>
          <w:szCs w:val="16"/>
          <w:lang w:val="fr-FR"/>
        </w:rPr>
        <w:t>’</w:t>
      </w:r>
      <w:r w:rsidRPr="00A235DF">
        <w:rPr>
          <w:sz w:val="16"/>
          <w:szCs w:val="16"/>
          <w:lang w:val="fr-FR"/>
        </w:rPr>
        <w:t>un moteur à allumage commandé, y compris les véhicules hybrides, s</w:t>
      </w:r>
      <w:r w:rsidR="00DB4C2D">
        <w:rPr>
          <w:sz w:val="16"/>
          <w:szCs w:val="16"/>
          <w:lang w:val="fr-FR"/>
        </w:rPr>
        <w:t>’</w:t>
      </w:r>
      <w:r w:rsidRPr="00A235DF">
        <w:rPr>
          <w:sz w:val="16"/>
          <w:szCs w:val="16"/>
          <w:lang w:val="fr-FR"/>
        </w:rPr>
        <w:t>appliquent uniquement aux véhicules ayant un moteur à injection directe.</w:t>
      </w:r>
    </w:p>
    <w:p w:rsidR="00103ED6" w:rsidRPr="00103ED6" w:rsidRDefault="00103ED6" w:rsidP="00A235DF">
      <w:pPr>
        <w:keepNext/>
        <w:ind w:firstLine="170"/>
        <w:rPr>
          <w:lang w:val="fr-FR"/>
        </w:rPr>
      </w:pPr>
      <w:r w:rsidRPr="00A235DF">
        <w:rPr>
          <w:i/>
          <w:sz w:val="16"/>
          <w:szCs w:val="16"/>
          <w:vertAlign w:val="superscript"/>
          <w:lang w:val="fr-FR"/>
        </w:rPr>
        <w:t>7</w:t>
      </w:r>
      <w:r w:rsidRPr="00A235DF">
        <w:rPr>
          <w:sz w:val="16"/>
          <w:szCs w:val="16"/>
          <w:lang w:val="fr-FR"/>
        </w:rPr>
        <w:t xml:space="preserve">  Au choix du fabricant, les véhicules à moteurs à allumage commandé et à allumage par compression peuvent être essayés avec soit les carburants E5 ou E10, soit les carburants B5 ou B7, respectivement. Toutefois:</w:t>
      </w:r>
    </w:p>
    <w:p w:rsidR="00103ED6" w:rsidRPr="00A235DF" w:rsidRDefault="00103ED6" w:rsidP="00103ED6">
      <w:pPr>
        <w:numPr>
          <w:ilvl w:val="0"/>
          <w:numId w:val="7"/>
        </w:numPr>
        <w:rPr>
          <w:sz w:val="16"/>
          <w:szCs w:val="16"/>
          <w:lang w:val="fr-FR"/>
        </w:rPr>
      </w:pPr>
      <w:r w:rsidRPr="00A235DF">
        <w:rPr>
          <w:sz w:val="16"/>
          <w:szCs w:val="16"/>
          <w:lang w:val="fr-FR"/>
        </w:rPr>
        <w:t>Au plus tard 16 mois après les dates fixées au paragraphe 12.2.1, les nouveaux essais d</w:t>
      </w:r>
      <w:r w:rsidR="00DB4C2D">
        <w:rPr>
          <w:sz w:val="16"/>
          <w:szCs w:val="16"/>
          <w:lang w:val="fr-FR"/>
        </w:rPr>
        <w:t>’</w:t>
      </w:r>
      <w:r w:rsidRPr="00A235DF">
        <w:rPr>
          <w:sz w:val="16"/>
          <w:szCs w:val="16"/>
          <w:lang w:val="fr-FR"/>
        </w:rPr>
        <w:t>homologation seront effectués seulement avec les carburants E10 et B7;</w:t>
      </w:r>
    </w:p>
    <w:p w:rsidR="00103ED6" w:rsidRPr="00A235DF" w:rsidRDefault="00103ED6" w:rsidP="00A23CCB">
      <w:pPr>
        <w:numPr>
          <w:ilvl w:val="0"/>
          <w:numId w:val="7"/>
        </w:numPr>
        <w:rPr>
          <w:sz w:val="16"/>
          <w:szCs w:val="16"/>
          <w:lang w:val="fr-FR"/>
        </w:rPr>
      </w:pPr>
      <w:r w:rsidRPr="00A235DF">
        <w:rPr>
          <w:sz w:val="16"/>
          <w:szCs w:val="16"/>
          <w:lang w:val="fr-FR"/>
        </w:rPr>
        <w:t>Au plus tard à compter des dates fixées au paragraphe 12.2.4, tous les nouveaux véhicules seront homologués avec les carburants E10 et B7.</w:t>
      </w:r>
    </w:p>
    <w:p w:rsidR="00A23CCB" w:rsidRPr="00A779B8" w:rsidRDefault="00A23CCB" w:rsidP="0027776E">
      <w:pPr>
        <w:pStyle w:val="SingleTxtG"/>
        <w:keepNext/>
        <w:ind w:left="2268" w:hanging="1134"/>
        <w:rPr>
          <w:lang w:val="fr-FR"/>
        </w:rPr>
      </w:pPr>
      <w:r w:rsidRPr="00A779B8">
        <w:rPr>
          <w:lang w:val="fr-FR"/>
        </w:rPr>
        <w:lastRenderedPageBreak/>
        <w:t>5.3</w:t>
      </w:r>
      <w:r w:rsidRPr="00A779B8">
        <w:rPr>
          <w:lang w:val="fr-FR"/>
        </w:rPr>
        <w:tab/>
      </w:r>
      <w:r w:rsidRPr="0027776E">
        <w:rPr>
          <w:rFonts w:eastAsia="Times New Roman"/>
          <w:lang w:val="fr-FR"/>
        </w:rPr>
        <w:t>Description</w:t>
      </w:r>
      <w:r w:rsidRPr="00A779B8">
        <w:rPr>
          <w:lang w:val="fr-FR"/>
        </w:rPr>
        <w:t xml:space="preserve"> des essais</w:t>
      </w:r>
    </w:p>
    <w:p w:rsidR="00A23CCB" w:rsidRPr="00A779B8" w:rsidRDefault="00A23CCB" w:rsidP="0027776E">
      <w:pPr>
        <w:pStyle w:val="SingleTxtG"/>
        <w:keepNext/>
        <w:ind w:left="2268" w:hanging="1134"/>
        <w:rPr>
          <w:lang w:val="fr-FR"/>
        </w:rPr>
      </w:pPr>
      <w:r w:rsidRPr="00A779B8">
        <w:rPr>
          <w:lang w:val="fr-FR"/>
        </w:rPr>
        <w:t>5.3.1</w:t>
      </w:r>
      <w:r w:rsidRPr="00A779B8">
        <w:rPr>
          <w:lang w:val="fr-FR"/>
        </w:rPr>
        <w:tab/>
        <w:t>Essai du type I (contrôle des émissions à l</w:t>
      </w:r>
      <w:r w:rsidR="00DB4C2D">
        <w:rPr>
          <w:lang w:val="fr-FR"/>
        </w:rPr>
        <w:t>’</w:t>
      </w:r>
      <w:r w:rsidRPr="00A779B8">
        <w:rPr>
          <w:lang w:val="fr-FR"/>
        </w:rPr>
        <w:t>échappement après un démarrage à froid).</w:t>
      </w:r>
    </w:p>
    <w:p w:rsidR="00A23CCB" w:rsidRPr="00A779B8" w:rsidRDefault="0027776E" w:rsidP="00A23CCB">
      <w:pPr>
        <w:pStyle w:val="SingleTxtG"/>
        <w:ind w:left="2268" w:hanging="1134"/>
        <w:rPr>
          <w:lang w:val="fr-FR"/>
        </w:rPr>
      </w:pPr>
      <w:r>
        <w:rPr>
          <w:lang w:val="fr-FR"/>
        </w:rPr>
        <w:t>5.3.1.1</w:t>
      </w:r>
      <w:r>
        <w:rPr>
          <w:lang w:val="fr-FR"/>
        </w:rPr>
        <w:tab/>
        <w:t>La figure </w:t>
      </w:r>
      <w:r w:rsidR="00A23CCB" w:rsidRPr="00A779B8">
        <w:rPr>
          <w:lang w:val="fr-FR"/>
        </w:rPr>
        <w:t>1 montre les différentes possibilités pour l</w:t>
      </w:r>
      <w:r w:rsidR="00DB4C2D">
        <w:rPr>
          <w:lang w:val="fr-FR"/>
        </w:rPr>
        <w:t>’</w:t>
      </w:r>
      <w:r w:rsidR="00A23CCB" w:rsidRPr="00A779B8">
        <w:rPr>
          <w:lang w:val="fr-FR"/>
        </w:rPr>
        <w:t xml:space="preserve">essai du type I. Cet essai doit être effectué sur </w:t>
      </w:r>
      <w:r w:rsidR="00A23CCB" w:rsidRPr="0027776E">
        <w:rPr>
          <w:rFonts w:eastAsia="Times New Roman"/>
          <w:lang w:val="fr-FR"/>
        </w:rPr>
        <w:t>tous</w:t>
      </w:r>
      <w:r w:rsidR="00A23CCB" w:rsidRPr="00A779B8">
        <w:rPr>
          <w:lang w:val="fr-FR"/>
        </w:rPr>
        <w:t xml:space="preserve"> les véhicules visés au paragraphe 1.</w:t>
      </w:r>
    </w:p>
    <w:p w:rsidR="00A23CCB" w:rsidRPr="00A779B8" w:rsidRDefault="00A23CCB" w:rsidP="00A23CCB">
      <w:pPr>
        <w:pStyle w:val="SingleTxtG"/>
        <w:ind w:left="2268" w:hanging="1134"/>
        <w:rPr>
          <w:lang w:val="fr-FR"/>
        </w:rPr>
      </w:pPr>
      <w:r w:rsidRPr="00A779B8">
        <w:rPr>
          <w:lang w:val="fr-FR"/>
        </w:rPr>
        <w:t>5.3.1.2</w:t>
      </w:r>
      <w:r w:rsidRPr="00A779B8">
        <w:rPr>
          <w:lang w:val="fr-FR"/>
        </w:rPr>
        <w:tab/>
        <w:t>Le véhicule est inst</w:t>
      </w:r>
      <w:r w:rsidRPr="0027776E">
        <w:rPr>
          <w:rFonts w:eastAsia="Times New Roman"/>
          <w:lang w:val="fr-FR"/>
        </w:rPr>
        <w:t>allé sur un banc dynamométrique muni d</w:t>
      </w:r>
      <w:r w:rsidR="00DB4C2D">
        <w:rPr>
          <w:rFonts w:eastAsia="Times New Roman"/>
          <w:lang w:val="fr-FR"/>
        </w:rPr>
        <w:t>’</w:t>
      </w:r>
      <w:r w:rsidRPr="0027776E">
        <w:rPr>
          <w:rFonts w:eastAsia="Times New Roman"/>
          <w:lang w:val="fr-FR"/>
        </w:rPr>
        <w:t>un système simulant la résistance</w:t>
      </w:r>
      <w:r w:rsidRPr="00A779B8">
        <w:rPr>
          <w:lang w:val="fr-FR"/>
        </w:rPr>
        <w:t xml:space="preserve"> à </w:t>
      </w:r>
      <w:r w:rsidRPr="0027776E">
        <w:rPr>
          <w:rFonts w:eastAsia="Times New Roman"/>
          <w:lang w:val="fr-FR"/>
        </w:rPr>
        <w:t>l</w:t>
      </w:r>
      <w:r w:rsidR="00DB4C2D">
        <w:rPr>
          <w:rFonts w:eastAsia="Times New Roman"/>
          <w:lang w:val="fr-FR"/>
        </w:rPr>
        <w:t>’</w:t>
      </w:r>
      <w:r w:rsidRPr="0027776E">
        <w:rPr>
          <w:rFonts w:eastAsia="Times New Roman"/>
          <w:lang w:val="fr-FR"/>
        </w:rPr>
        <w:t>avancement</w:t>
      </w:r>
      <w:r w:rsidRPr="00A779B8">
        <w:rPr>
          <w:lang w:val="fr-FR"/>
        </w:rPr>
        <w:t xml:space="preserve"> et l</w:t>
      </w:r>
      <w:r w:rsidR="00DB4C2D">
        <w:rPr>
          <w:lang w:val="fr-FR"/>
        </w:rPr>
        <w:t>’</w:t>
      </w:r>
      <w:r w:rsidRPr="00A779B8">
        <w:rPr>
          <w:lang w:val="fr-FR"/>
        </w:rPr>
        <w:t>inertie.</w:t>
      </w:r>
    </w:p>
    <w:p w:rsidR="00A23CCB" w:rsidRPr="00A779B8" w:rsidRDefault="00A23CCB" w:rsidP="00A23CCB">
      <w:pPr>
        <w:pStyle w:val="SingleTxtG"/>
        <w:ind w:left="2268" w:hanging="1134"/>
        <w:rPr>
          <w:lang w:val="fr-FR"/>
        </w:rPr>
      </w:pPr>
      <w:r w:rsidRPr="00A779B8">
        <w:rPr>
          <w:lang w:val="fr-FR"/>
        </w:rPr>
        <w:t>5.3.1.2.1</w:t>
      </w:r>
      <w:r w:rsidRPr="00A779B8">
        <w:rPr>
          <w:lang w:val="fr-FR"/>
        </w:rPr>
        <w:tab/>
        <w:t>On exécute sans interruption un essai d</w:t>
      </w:r>
      <w:r w:rsidR="00DB4C2D">
        <w:rPr>
          <w:lang w:val="fr-FR"/>
        </w:rPr>
        <w:t>’</w:t>
      </w:r>
      <w:r w:rsidRPr="00A779B8">
        <w:rPr>
          <w:lang w:val="fr-FR"/>
        </w:rPr>
        <w:t>une durée totale de 19 min 40 s et comprenant deux parties. Avec l</w:t>
      </w:r>
      <w:r w:rsidR="00DB4C2D">
        <w:rPr>
          <w:lang w:val="fr-FR"/>
        </w:rPr>
        <w:t>’</w:t>
      </w:r>
      <w:r w:rsidRPr="00A779B8">
        <w:rPr>
          <w:lang w:val="fr-FR"/>
        </w:rPr>
        <w:t xml:space="preserve">accord du constructeur, une période sans prélèvement ne </w:t>
      </w:r>
      <w:r w:rsidRPr="0027776E">
        <w:rPr>
          <w:rFonts w:eastAsia="Times New Roman"/>
          <w:lang w:val="fr-FR"/>
        </w:rPr>
        <w:t>dépassant</w:t>
      </w:r>
      <w:r w:rsidRPr="00A779B8">
        <w:rPr>
          <w:lang w:val="fr-FR"/>
        </w:rPr>
        <w:t xml:space="preserve"> pas 20 s peut être introduite entre la fin de la première partie et le début de la seconde, afin de faciliter les réglages de l</w:t>
      </w:r>
      <w:r w:rsidR="00DB4C2D">
        <w:rPr>
          <w:lang w:val="fr-FR"/>
        </w:rPr>
        <w:t>’</w:t>
      </w:r>
      <w:r w:rsidRPr="00A779B8">
        <w:rPr>
          <w:lang w:val="fr-FR"/>
        </w:rPr>
        <w:t>appareillage d</w:t>
      </w:r>
      <w:r w:rsidR="00DB4C2D">
        <w:rPr>
          <w:lang w:val="fr-FR"/>
        </w:rPr>
        <w:t>’</w:t>
      </w:r>
      <w:r w:rsidRPr="00A779B8">
        <w:rPr>
          <w:lang w:val="fr-FR"/>
        </w:rPr>
        <w:t>essai.</w:t>
      </w:r>
    </w:p>
    <w:p w:rsidR="00A23CCB" w:rsidRPr="00A779B8" w:rsidRDefault="00A23CCB" w:rsidP="00A23CCB">
      <w:pPr>
        <w:pStyle w:val="SingleTxtG"/>
        <w:ind w:left="2268" w:hanging="1134"/>
        <w:rPr>
          <w:lang w:val="fr-FR"/>
        </w:rPr>
      </w:pPr>
      <w:r w:rsidRPr="00A779B8">
        <w:rPr>
          <w:lang w:val="fr-FR"/>
        </w:rPr>
        <w:t>5.3.1.2.1.1</w:t>
      </w:r>
      <w:r w:rsidRPr="00A779B8">
        <w:rPr>
          <w:lang w:val="fr-FR"/>
        </w:rPr>
        <w:tab/>
        <w:t>Les véhicules fonctionnant au GPL ou au GN/</w:t>
      </w:r>
      <w:proofErr w:type="spellStart"/>
      <w:r w:rsidRPr="00A779B8">
        <w:rPr>
          <w:lang w:val="fr-FR"/>
        </w:rPr>
        <w:t>biométhane</w:t>
      </w:r>
      <w:proofErr w:type="spellEnd"/>
      <w:r w:rsidRPr="00A779B8">
        <w:rPr>
          <w:lang w:val="fr-FR"/>
        </w:rPr>
        <w:t xml:space="preserve"> sont soumis à l</w:t>
      </w:r>
      <w:r w:rsidR="00DB4C2D">
        <w:rPr>
          <w:lang w:val="fr-FR"/>
        </w:rPr>
        <w:t>’</w:t>
      </w:r>
      <w:r w:rsidRPr="00A779B8">
        <w:rPr>
          <w:lang w:val="fr-FR"/>
        </w:rPr>
        <w:t>essai du type I en vue de déterminer les variations de composition du GPL ou du GN/</w:t>
      </w:r>
      <w:proofErr w:type="spellStart"/>
      <w:r w:rsidRPr="00A779B8">
        <w:rPr>
          <w:lang w:val="fr-FR"/>
        </w:rPr>
        <w:t>biométhane</w:t>
      </w:r>
      <w:proofErr w:type="spellEnd"/>
      <w:r w:rsidRPr="00A779B8">
        <w:rPr>
          <w:lang w:val="fr-FR"/>
        </w:rPr>
        <w:t>, comme indiqué à l</w:t>
      </w:r>
      <w:r w:rsidR="00DB4C2D">
        <w:rPr>
          <w:lang w:val="fr-FR"/>
        </w:rPr>
        <w:t>’</w:t>
      </w:r>
      <w:r w:rsidRPr="00A779B8">
        <w:rPr>
          <w:lang w:val="fr-FR"/>
        </w:rPr>
        <w:t>annexe 12 du présent Règlement. Les véhicules qui peuvent fonctionner soit à l</w:t>
      </w:r>
      <w:r w:rsidR="00DB4C2D">
        <w:rPr>
          <w:lang w:val="fr-FR"/>
        </w:rPr>
        <w:t>’</w:t>
      </w:r>
      <w:r w:rsidRPr="00A779B8">
        <w:rPr>
          <w:lang w:val="fr-FR"/>
        </w:rPr>
        <w:t>essence, soit au GPL, soit au GN/</w:t>
      </w:r>
      <w:proofErr w:type="spellStart"/>
      <w:r w:rsidRPr="00A779B8">
        <w:rPr>
          <w:lang w:val="fr-FR"/>
        </w:rPr>
        <w:t>biométhane</w:t>
      </w:r>
      <w:proofErr w:type="spellEnd"/>
      <w:r w:rsidRPr="00A779B8">
        <w:rPr>
          <w:lang w:val="fr-FR"/>
        </w:rPr>
        <w:t xml:space="preserve"> doivent être soumis à l</w:t>
      </w:r>
      <w:r w:rsidR="00DB4C2D">
        <w:rPr>
          <w:lang w:val="fr-FR"/>
        </w:rPr>
        <w:t>’</w:t>
      </w:r>
      <w:r w:rsidRPr="00A779B8">
        <w:rPr>
          <w:lang w:val="fr-FR"/>
        </w:rPr>
        <w:t xml:space="preserve">essai du type I avec les deux types de carburant, des essais </w:t>
      </w:r>
      <w:r w:rsidRPr="0027776E">
        <w:rPr>
          <w:rFonts w:eastAsia="Times New Roman"/>
          <w:lang w:val="fr-FR"/>
        </w:rPr>
        <w:t>devant</w:t>
      </w:r>
      <w:r w:rsidRPr="00A779B8">
        <w:rPr>
          <w:lang w:val="fr-FR"/>
        </w:rPr>
        <w:t xml:space="preserve"> être effectués pour déterminer les variations de composition du GPL ou du GN/</w:t>
      </w:r>
      <w:proofErr w:type="spellStart"/>
      <w:r w:rsidRPr="00A779B8">
        <w:rPr>
          <w:lang w:val="fr-FR"/>
        </w:rPr>
        <w:t>biométhane</w:t>
      </w:r>
      <w:proofErr w:type="spellEnd"/>
      <w:r w:rsidRPr="00A779B8">
        <w:rPr>
          <w:lang w:val="fr-FR"/>
        </w:rPr>
        <w:t>, comme indiqué à l</w:t>
      </w:r>
      <w:r w:rsidR="00DB4C2D">
        <w:rPr>
          <w:lang w:val="fr-FR"/>
        </w:rPr>
        <w:t>’</w:t>
      </w:r>
      <w:r w:rsidRPr="00A779B8">
        <w:rPr>
          <w:lang w:val="fr-FR"/>
        </w:rPr>
        <w:t>annexe 12 du présent Règlement.</w:t>
      </w:r>
    </w:p>
    <w:p w:rsidR="00A23CCB" w:rsidRPr="00A779B8" w:rsidRDefault="00A23CCB" w:rsidP="00A23CCB">
      <w:pPr>
        <w:pStyle w:val="SingleTxtG"/>
        <w:ind w:left="2268" w:hanging="1134"/>
        <w:rPr>
          <w:lang w:val="fr-FR"/>
        </w:rPr>
      </w:pPr>
      <w:r w:rsidRPr="00A779B8">
        <w:rPr>
          <w:lang w:val="fr-FR"/>
        </w:rPr>
        <w:t>5.3.1.2.1.2</w:t>
      </w:r>
      <w:r w:rsidRPr="00A779B8">
        <w:rPr>
          <w:lang w:val="fr-FR"/>
        </w:rPr>
        <w:tab/>
        <w:t>Nonobstant les prescriptions du paragraphe 5.3.1.2.1.1, les véhicules pouvant fonctionner soit à l</w:t>
      </w:r>
      <w:r w:rsidR="00DB4C2D">
        <w:rPr>
          <w:lang w:val="fr-FR"/>
        </w:rPr>
        <w:t>’</w:t>
      </w:r>
      <w:r w:rsidRPr="00A779B8">
        <w:rPr>
          <w:lang w:val="fr-FR"/>
        </w:rPr>
        <w:t>essence soit avec un carburant gazeux, mais sur lesquels le circuit d</w:t>
      </w:r>
      <w:r w:rsidR="00DB4C2D">
        <w:rPr>
          <w:lang w:val="fr-FR"/>
        </w:rPr>
        <w:t>’</w:t>
      </w:r>
      <w:r w:rsidRPr="00A779B8">
        <w:rPr>
          <w:lang w:val="fr-FR"/>
        </w:rPr>
        <w:t>alimentation en essence sert uniquement en cas d</w:t>
      </w:r>
      <w:r w:rsidR="00DB4C2D">
        <w:rPr>
          <w:lang w:val="fr-FR"/>
        </w:rPr>
        <w:t>’</w:t>
      </w:r>
      <w:r w:rsidRPr="00A779B8">
        <w:rPr>
          <w:lang w:val="fr-FR"/>
        </w:rPr>
        <w:t xml:space="preserve">urgence ou pour le démarrage et dont le </w:t>
      </w:r>
      <w:r w:rsidRPr="0027776E">
        <w:rPr>
          <w:rFonts w:eastAsia="Times New Roman"/>
          <w:lang w:val="fr-FR"/>
        </w:rPr>
        <w:t>réservoir</w:t>
      </w:r>
      <w:r w:rsidRPr="00A779B8">
        <w:rPr>
          <w:lang w:val="fr-FR"/>
        </w:rPr>
        <w:t xml:space="preserve"> à essence a une contenance maximale de 15 litres, sont considérés aux fins de l</w:t>
      </w:r>
      <w:r w:rsidR="00DB4C2D">
        <w:rPr>
          <w:lang w:val="fr-FR"/>
        </w:rPr>
        <w:t>’</w:t>
      </w:r>
      <w:r w:rsidR="0027776E">
        <w:rPr>
          <w:lang w:val="fr-FR"/>
        </w:rPr>
        <w:t>essai du type </w:t>
      </w:r>
      <w:r w:rsidRPr="00A779B8">
        <w:rPr>
          <w:lang w:val="fr-FR"/>
        </w:rPr>
        <w:t>I comme des véhicules qui ne fonctionnent qu</w:t>
      </w:r>
      <w:r w:rsidR="00DB4C2D">
        <w:rPr>
          <w:lang w:val="fr-FR"/>
        </w:rPr>
        <w:t>’</w:t>
      </w:r>
      <w:r w:rsidRPr="00A779B8">
        <w:rPr>
          <w:lang w:val="fr-FR"/>
        </w:rPr>
        <w:t>avec un carburant gazeux.</w:t>
      </w:r>
    </w:p>
    <w:p w:rsidR="00A23CCB" w:rsidRPr="00A779B8" w:rsidRDefault="00A23CCB" w:rsidP="00A23CCB">
      <w:pPr>
        <w:pStyle w:val="SingleTxtG"/>
        <w:ind w:left="2268" w:hanging="1134"/>
        <w:rPr>
          <w:lang w:val="fr-FR"/>
        </w:rPr>
      </w:pPr>
      <w:r w:rsidRPr="00A779B8">
        <w:rPr>
          <w:lang w:val="fr-FR"/>
        </w:rPr>
        <w:t>5.3.1.2.2</w:t>
      </w:r>
      <w:r w:rsidRPr="00A779B8">
        <w:rPr>
          <w:lang w:val="fr-FR"/>
        </w:rPr>
        <w:tab/>
        <w:t>La première partie de l</w:t>
      </w:r>
      <w:r w:rsidR="00DB4C2D">
        <w:rPr>
          <w:lang w:val="fr-FR"/>
        </w:rPr>
        <w:t>’</w:t>
      </w:r>
      <w:r w:rsidR="0027776E">
        <w:rPr>
          <w:lang w:val="fr-FR"/>
        </w:rPr>
        <w:t>essai est constituée par 4 </w:t>
      </w:r>
      <w:r w:rsidRPr="00A779B8">
        <w:rPr>
          <w:lang w:val="fr-FR"/>
        </w:rPr>
        <w:t>cycles urbains élémentaires. Chacun</w:t>
      </w:r>
      <w:r w:rsidR="0027776E">
        <w:rPr>
          <w:lang w:val="fr-FR"/>
        </w:rPr>
        <w:t xml:space="preserve"> de ces cycles se compose de 15 </w:t>
      </w:r>
      <w:r w:rsidRPr="00A779B8">
        <w:rPr>
          <w:lang w:val="fr-FR"/>
        </w:rPr>
        <w:t xml:space="preserve">modes (ralenti, accélération, vitesse stabilisée, </w:t>
      </w:r>
      <w:r w:rsidRPr="0027776E">
        <w:rPr>
          <w:rFonts w:eastAsia="Times New Roman"/>
          <w:lang w:val="fr-FR"/>
        </w:rPr>
        <w:t>décélération</w:t>
      </w:r>
      <w:r w:rsidRPr="00A779B8">
        <w:rPr>
          <w:lang w:val="fr-FR"/>
        </w:rPr>
        <w:t>, etc.).</w:t>
      </w:r>
    </w:p>
    <w:p w:rsidR="00A23CCB" w:rsidRPr="00A779B8" w:rsidRDefault="00A23CCB" w:rsidP="00A23CCB">
      <w:pPr>
        <w:pStyle w:val="SingleTxtG"/>
        <w:ind w:left="2268" w:hanging="1134"/>
        <w:rPr>
          <w:lang w:val="fr-FR"/>
        </w:rPr>
      </w:pPr>
      <w:r w:rsidRPr="00A779B8">
        <w:rPr>
          <w:lang w:val="fr-FR"/>
        </w:rPr>
        <w:t>5.3.1.2.3</w:t>
      </w:r>
      <w:r w:rsidRPr="00A779B8">
        <w:rPr>
          <w:lang w:val="fr-FR"/>
        </w:rPr>
        <w:tab/>
        <w:t xml:space="preserve">La seconde partie consiste en un cycle extra-urbain qui se compose de 13 modes (ralenti, </w:t>
      </w:r>
      <w:r w:rsidRPr="0027776E">
        <w:rPr>
          <w:rFonts w:eastAsia="Times New Roman"/>
          <w:lang w:val="fr-FR"/>
        </w:rPr>
        <w:t>accélération</w:t>
      </w:r>
      <w:r w:rsidRPr="00A779B8">
        <w:rPr>
          <w:lang w:val="fr-FR"/>
        </w:rPr>
        <w:t>, vitesse stabilisée, décélération, etc.).</w:t>
      </w:r>
    </w:p>
    <w:p w:rsidR="00A23CCB" w:rsidRPr="00A779B8" w:rsidRDefault="00A23CCB" w:rsidP="00A23CCB">
      <w:pPr>
        <w:pStyle w:val="SingleTxtG"/>
        <w:ind w:left="2268" w:hanging="1134"/>
        <w:rPr>
          <w:lang w:val="fr-FR"/>
        </w:rPr>
      </w:pPr>
      <w:r w:rsidRPr="00A779B8">
        <w:rPr>
          <w:lang w:val="fr-FR"/>
        </w:rPr>
        <w:t>5.3.1.2.4</w:t>
      </w:r>
      <w:r w:rsidRPr="00A779B8">
        <w:rPr>
          <w:lang w:val="fr-FR"/>
        </w:rPr>
        <w:tab/>
        <w:t>Pendant l</w:t>
      </w:r>
      <w:r w:rsidR="00DB4C2D">
        <w:rPr>
          <w:lang w:val="fr-FR"/>
        </w:rPr>
        <w:t>’</w:t>
      </w:r>
      <w:r w:rsidRPr="00A779B8">
        <w:rPr>
          <w:lang w:val="fr-FR"/>
        </w:rPr>
        <w:t>essai, les gaz d</w:t>
      </w:r>
      <w:r w:rsidR="00DB4C2D">
        <w:rPr>
          <w:lang w:val="fr-FR"/>
        </w:rPr>
        <w:t>’</w:t>
      </w:r>
      <w:r w:rsidRPr="00A779B8">
        <w:rPr>
          <w:lang w:val="fr-FR"/>
        </w:rPr>
        <w:t>échappement du véhicule sont dilués et un échantillon proportionnel est recueilli dans un ou plusieurs sacs. Les gaz d</w:t>
      </w:r>
      <w:r w:rsidR="00DB4C2D">
        <w:rPr>
          <w:lang w:val="fr-FR"/>
        </w:rPr>
        <w:t>’</w:t>
      </w:r>
      <w:r w:rsidRPr="00A779B8">
        <w:rPr>
          <w:lang w:val="fr-FR"/>
        </w:rPr>
        <w:t>échappement du véhicule soumis à l</w:t>
      </w:r>
      <w:r w:rsidR="00DB4C2D">
        <w:rPr>
          <w:lang w:val="fr-FR"/>
        </w:rPr>
        <w:t>’</w:t>
      </w:r>
      <w:r w:rsidRPr="00A779B8">
        <w:rPr>
          <w:lang w:val="fr-FR"/>
        </w:rPr>
        <w:t>essai sont dilués, prélevés et analysés selon la procédure décrite ci-après, et on mesure le volume total des gaz d</w:t>
      </w:r>
      <w:r w:rsidR="00DB4C2D">
        <w:rPr>
          <w:lang w:val="fr-FR"/>
        </w:rPr>
        <w:t>’</w:t>
      </w:r>
      <w:r w:rsidRPr="00A779B8">
        <w:rPr>
          <w:lang w:val="fr-FR"/>
        </w:rPr>
        <w:t>échappement dilués. Dans le cas des moteurs à allumage par compression, on mesure non seulement les émissions de monoxyde de carbone, d</w:t>
      </w:r>
      <w:r w:rsidR="00DB4C2D">
        <w:rPr>
          <w:lang w:val="fr-FR"/>
        </w:rPr>
        <w:t>’</w:t>
      </w:r>
      <w:r w:rsidRPr="00A779B8">
        <w:rPr>
          <w:lang w:val="fr-FR"/>
        </w:rPr>
        <w:t>hydrocarbures et d</w:t>
      </w:r>
      <w:r w:rsidR="00DB4C2D">
        <w:rPr>
          <w:lang w:val="fr-FR"/>
        </w:rPr>
        <w:t>’</w:t>
      </w:r>
      <w:r w:rsidRPr="00A779B8">
        <w:rPr>
          <w:lang w:val="fr-FR"/>
        </w:rPr>
        <w:t>oxydes d</w:t>
      </w:r>
      <w:r w:rsidR="00DB4C2D">
        <w:rPr>
          <w:lang w:val="fr-FR"/>
        </w:rPr>
        <w:t>’</w:t>
      </w:r>
      <w:r w:rsidRPr="00A779B8">
        <w:rPr>
          <w:lang w:val="fr-FR"/>
        </w:rPr>
        <w:t>azote, mais aussi les émissions de particules polluantes.</w:t>
      </w:r>
    </w:p>
    <w:p w:rsidR="00A23CCB" w:rsidRDefault="00A23CCB" w:rsidP="00A23CCB">
      <w:pPr>
        <w:pStyle w:val="SingleTxtG"/>
        <w:ind w:left="2268" w:hanging="1134"/>
        <w:rPr>
          <w:lang w:val="fr-FR"/>
        </w:rPr>
      </w:pPr>
      <w:r w:rsidRPr="00A779B8">
        <w:rPr>
          <w:lang w:val="fr-FR"/>
        </w:rPr>
        <w:t>5.3.1.3</w:t>
      </w:r>
      <w:r w:rsidRPr="00A779B8">
        <w:rPr>
          <w:lang w:val="fr-FR"/>
        </w:rPr>
        <w:tab/>
        <w:t>L</w:t>
      </w:r>
      <w:r w:rsidR="00DB4C2D">
        <w:rPr>
          <w:lang w:val="fr-FR"/>
        </w:rPr>
        <w:t>’</w:t>
      </w:r>
      <w:r w:rsidRPr="00A779B8">
        <w:rPr>
          <w:lang w:val="fr-FR"/>
        </w:rPr>
        <w:t>essai est conduit selon la procédure applicable à l</w:t>
      </w:r>
      <w:r w:rsidR="00DB4C2D">
        <w:rPr>
          <w:lang w:val="fr-FR"/>
        </w:rPr>
        <w:t>’</w:t>
      </w:r>
      <w:r w:rsidRPr="00A779B8">
        <w:rPr>
          <w:lang w:val="fr-FR"/>
        </w:rPr>
        <w:t>essai du type I décrite à l</w:t>
      </w:r>
      <w:r w:rsidR="00DB4C2D">
        <w:rPr>
          <w:lang w:val="fr-FR"/>
        </w:rPr>
        <w:t>’</w:t>
      </w:r>
      <w:r w:rsidRPr="00A779B8">
        <w:rPr>
          <w:lang w:val="fr-FR"/>
        </w:rPr>
        <w:t>annexe 4a du présent Règlement. La méthode de collecte et d</w:t>
      </w:r>
      <w:r w:rsidR="00DB4C2D">
        <w:rPr>
          <w:lang w:val="fr-FR"/>
        </w:rPr>
        <w:t>’</w:t>
      </w:r>
      <w:r w:rsidRPr="00A779B8">
        <w:rPr>
          <w:lang w:val="fr-FR"/>
        </w:rPr>
        <w:t xml:space="preserve">analyse des gaz est prescrite aux </w:t>
      </w:r>
      <w:r w:rsidRPr="0027776E">
        <w:rPr>
          <w:rFonts w:eastAsia="Times New Roman"/>
          <w:lang w:val="fr-FR"/>
        </w:rPr>
        <w:t>appendices</w:t>
      </w:r>
      <w:r w:rsidRPr="00A779B8">
        <w:rPr>
          <w:lang w:val="fr-FR"/>
        </w:rPr>
        <w:t> 2 et 3 de l</w:t>
      </w:r>
      <w:r w:rsidR="00DB4C2D">
        <w:rPr>
          <w:lang w:val="fr-FR"/>
        </w:rPr>
        <w:t>’</w:t>
      </w:r>
      <w:r w:rsidRPr="00A779B8">
        <w:rPr>
          <w:lang w:val="fr-FR"/>
        </w:rPr>
        <w:t>annexe 4a du présent Règlement et la méthode d</w:t>
      </w:r>
      <w:r w:rsidR="00DB4C2D">
        <w:rPr>
          <w:lang w:val="fr-FR"/>
        </w:rPr>
        <w:t>’</w:t>
      </w:r>
      <w:r w:rsidRPr="00A779B8">
        <w:rPr>
          <w:lang w:val="fr-FR"/>
        </w:rPr>
        <w:t>échantillonnage et d</w:t>
      </w:r>
      <w:r w:rsidR="00DB4C2D">
        <w:rPr>
          <w:lang w:val="fr-FR"/>
        </w:rPr>
        <w:t>’</w:t>
      </w:r>
      <w:r w:rsidRPr="00A779B8">
        <w:rPr>
          <w:lang w:val="fr-FR"/>
        </w:rPr>
        <w:t>analyse des particules doit être celle qui est prescrite aux appendices 4 et 5 de l</w:t>
      </w:r>
      <w:r w:rsidR="00DB4C2D">
        <w:rPr>
          <w:lang w:val="fr-FR"/>
        </w:rPr>
        <w:t>’</w:t>
      </w:r>
      <w:r w:rsidRPr="00A779B8">
        <w:rPr>
          <w:lang w:val="fr-FR"/>
        </w:rPr>
        <w:t>annexe 4a du présent Règlement.</w:t>
      </w:r>
    </w:p>
    <w:p w:rsidR="00A23CCB" w:rsidRDefault="00A23CCB" w:rsidP="00A23CCB">
      <w:pPr>
        <w:pStyle w:val="SingleTxtG"/>
        <w:ind w:left="2268" w:hanging="1134"/>
        <w:rPr>
          <w:lang w:val="fr-FR"/>
        </w:rPr>
      </w:pPr>
      <w:r w:rsidRPr="00A779B8">
        <w:rPr>
          <w:lang w:val="fr-FR"/>
        </w:rPr>
        <w:t>5.3.1.4</w:t>
      </w:r>
      <w:r w:rsidRPr="00A779B8">
        <w:rPr>
          <w:lang w:val="fr-FR"/>
        </w:rPr>
        <w:tab/>
        <w:t>Sous réserve des dispositions du paragraphe 5.3.1.5, l</w:t>
      </w:r>
      <w:r w:rsidR="00DB4C2D">
        <w:rPr>
          <w:lang w:val="fr-FR"/>
        </w:rPr>
        <w:t>’</w:t>
      </w:r>
      <w:r w:rsidRPr="00A779B8">
        <w:rPr>
          <w:lang w:val="fr-FR"/>
        </w:rPr>
        <w:t>essai doit être exécuté trois fois. Pour chaque essai, les résultats doivent être multipliés par les facteurs de détérioration appropriés déterminés d</w:t>
      </w:r>
      <w:r w:rsidR="00DB4C2D">
        <w:rPr>
          <w:lang w:val="fr-FR"/>
        </w:rPr>
        <w:t>’</w:t>
      </w:r>
      <w:r w:rsidRPr="00A779B8">
        <w:rPr>
          <w:lang w:val="fr-FR"/>
        </w:rPr>
        <w:t>après le tableau 3 du paragraphe 5.3.6</w:t>
      </w:r>
      <w:r>
        <w:rPr>
          <w:lang w:val="fr-FR"/>
        </w:rPr>
        <w:t xml:space="preserve"> </w:t>
      </w:r>
      <w:r w:rsidRPr="00A779B8">
        <w:rPr>
          <w:lang w:val="fr-FR"/>
        </w:rPr>
        <w:t xml:space="preserve">et, dans le cas des dispositifs à régénération discontinue </w:t>
      </w:r>
      <w:r w:rsidRPr="00A779B8">
        <w:rPr>
          <w:lang w:val="fr-FR"/>
        </w:rPr>
        <w:lastRenderedPageBreak/>
        <w:t>définis au paragraphe 2.20, par les coefficients K</w:t>
      </w:r>
      <w:r w:rsidRPr="00A779B8">
        <w:rPr>
          <w:vertAlign w:val="subscript"/>
          <w:lang w:val="fr-FR"/>
        </w:rPr>
        <w:t>i</w:t>
      </w:r>
      <w:r w:rsidRPr="00A779B8">
        <w:rPr>
          <w:lang w:val="fr-FR"/>
        </w:rPr>
        <w:t xml:space="preserve"> déterminés selon l</w:t>
      </w:r>
      <w:r w:rsidR="00DB4C2D">
        <w:rPr>
          <w:lang w:val="fr-FR"/>
        </w:rPr>
        <w:t>’</w:t>
      </w:r>
      <w:r w:rsidRPr="00A779B8">
        <w:rPr>
          <w:lang w:val="fr-FR"/>
        </w:rPr>
        <w:t>annexe 13 du présent Règlement. Les masses résultantes d</w:t>
      </w:r>
      <w:r w:rsidR="00DB4C2D">
        <w:rPr>
          <w:lang w:val="fr-FR"/>
        </w:rPr>
        <w:t>’</w:t>
      </w:r>
      <w:r w:rsidRPr="00A779B8">
        <w:rPr>
          <w:lang w:val="fr-FR"/>
        </w:rPr>
        <w:t>émissions gazeuses et la masse des particules obtenue doivent être inférieures aux valeurs</w:t>
      </w:r>
      <w:r>
        <w:rPr>
          <w:lang w:val="fr-FR"/>
        </w:rPr>
        <w:t xml:space="preserve"> limites indiquées au tableau 1:</w:t>
      </w:r>
    </w:p>
    <w:p w:rsidR="003401F1" w:rsidRDefault="003401F1" w:rsidP="00A23CCB">
      <w:pPr>
        <w:pStyle w:val="SingleTxtG"/>
        <w:ind w:left="2268" w:hanging="1134"/>
        <w:rPr>
          <w:lang w:val="fr-FR"/>
        </w:rPr>
        <w:sectPr w:rsidR="003401F1" w:rsidSect="00780D96">
          <w:endnotePr>
            <w:numFmt w:val="decimal"/>
          </w:endnotePr>
          <w:pgSz w:w="11907" w:h="16840" w:code="9"/>
          <w:pgMar w:top="1701" w:right="1134" w:bottom="2268" w:left="1134" w:header="964" w:footer="1701" w:gutter="0"/>
          <w:cols w:space="720"/>
          <w:docGrid w:linePitch="272"/>
        </w:sectPr>
      </w:pPr>
    </w:p>
    <w:p w:rsidR="003401F1" w:rsidRDefault="003401F1" w:rsidP="0027776E">
      <w:pPr>
        <w:spacing w:after="120"/>
        <w:rPr>
          <w:b/>
          <w:lang w:val="fr-FR"/>
        </w:rPr>
      </w:pPr>
      <w:r w:rsidRPr="00A779B8">
        <w:rPr>
          <w:lang w:val="fr-FR"/>
        </w:rPr>
        <w:lastRenderedPageBreak/>
        <w:t>Tableau 1</w:t>
      </w:r>
      <w:r w:rsidRPr="00A779B8">
        <w:rPr>
          <w:lang w:val="fr-FR"/>
        </w:rPr>
        <w:br/>
      </w:r>
      <w:r w:rsidRPr="007B0D34">
        <w:rPr>
          <w:b/>
          <w:lang w:val="fr-FR"/>
        </w:rPr>
        <w:t>Limites d</w:t>
      </w:r>
      <w:r w:rsidR="00DB4C2D">
        <w:rPr>
          <w:b/>
          <w:lang w:val="fr-FR"/>
        </w:rPr>
        <w:t>’</w:t>
      </w:r>
      <w:r w:rsidRPr="007B0D34">
        <w:rPr>
          <w:b/>
          <w:lang w:val="fr-FR"/>
        </w:rPr>
        <w:t>émission</w:t>
      </w:r>
    </w:p>
    <w:tbl>
      <w:tblPr>
        <w:tblW w:w="123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1"/>
        <w:gridCol w:w="680"/>
        <w:gridCol w:w="1632"/>
        <w:gridCol w:w="570"/>
        <w:gridCol w:w="501"/>
        <w:gridCol w:w="638"/>
        <w:gridCol w:w="569"/>
        <w:gridCol w:w="612"/>
        <w:gridCol w:w="602"/>
        <w:gridCol w:w="469"/>
        <w:gridCol w:w="539"/>
        <w:gridCol w:w="588"/>
        <w:gridCol w:w="604"/>
        <w:gridCol w:w="569"/>
        <w:gridCol w:w="569"/>
        <w:gridCol w:w="1129"/>
        <w:gridCol w:w="1129"/>
      </w:tblGrid>
      <w:tr w:rsidR="0027776E" w:rsidRPr="0027776E" w:rsidTr="00B65C71">
        <w:tc>
          <w:tcPr>
            <w:tcW w:w="1641" w:type="dxa"/>
            <w:gridSpan w:val="2"/>
            <w:vMerge w:val="restart"/>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p>
        </w:tc>
        <w:tc>
          <w:tcPr>
            <w:tcW w:w="1632" w:type="dxa"/>
            <w:vMerge w:val="restart"/>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Masse de référence</w:t>
            </w:r>
            <w:r w:rsidRPr="0027776E">
              <w:rPr>
                <w:rFonts w:eastAsia="Times New Roman"/>
                <w:i/>
                <w:sz w:val="16"/>
                <w:szCs w:val="16"/>
                <w:lang w:val="fr-FR"/>
              </w:rPr>
              <w:br/>
              <w:t>(RM) (kg)</w:t>
            </w:r>
          </w:p>
        </w:tc>
        <w:tc>
          <w:tcPr>
            <w:tcW w:w="9088" w:type="dxa"/>
            <w:gridSpan w:val="14"/>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Valeurs limites</w:t>
            </w:r>
          </w:p>
        </w:tc>
      </w:tr>
      <w:tr w:rsidR="0027776E" w:rsidRPr="0027776E" w:rsidTr="00B65C71">
        <w:tc>
          <w:tcPr>
            <w:tcW w:w="1641" w:type="dxa"/>
            <w:gridSpan w:val="2"/>
            <w:vMerge/>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p>
        </w:tc>
        <w:tc>
          <w:tcPr>
            <w:tcW w:w="1632" w:type="dxa"/>
            <w:vMerge/>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p>
        </w:tc>
        <w:tc>
          <w:tcPr>
            <w:tcW w:w="1071"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 xml:space="preserve">Masse </w:t>
            </w:r>
            <w:r w:rsidRPr="0027776E">
              <w:rPr>
                <w:rFonts w:eastAsia="Times New Roman"/>
                <w:i/>
                <w:sz w:val="16"/>
                <w:szCs w:val="16"/>
                <w:lang w:val="fr-FR"/>
              </w:rPr>
              <w:br/>
              <w:t>de monoxyde de carbone (CO)</w:t>
            </w:r>
          </w:p>
        </w:tc>
        <w:tc>
          <w:tcPr>
            <w:tcW w:w="1207"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 xml:space="preserve">Masse </w:t>
            </w:r>
            <w:r w:rsidRPr="0027776E">
              <w:rPr>
                <w:rFonts w:eastAsia="Times New Roman"/>
                <w:i/>
                <w:sz w:val="16"/>
                <w:szCs w:val="16"/>
                <w:lang w:val="fr-FR"/>
              </w:rPr>
              <w:br/>
              <w:t>d</w:t>
            </w:r>
            <w:r w:rsidR="00DB4C2D">
              <w:rPr>
                <w:rFonts w:eastAsia="Times New Roman"/>
                <w:i/>
                <w:sz w:val="16"/>
                <w:szCs w:val="16"/>
                <w:lang w:val="fr-FR"/>
              </w:rPr>
              <w:t>’</w:t>
            </w:r>
            <w:r w:rsidRPr="0027776E">
              <w:rPr>
                <w:rFonts w:eastAsia="Times New Roman"/>
                <w:i/>
                <w:sz w:val="16"/>
                <w:szCs w:val="16"/>
                <w:lang w:val="fr-FR"/>
              </w:rPr>
              <w:t xml:space="preserve">hydrocarbures totaux </w:t>
            </w:r>
            <w:r w:rsidRPr="0027776E">
              <w:rPr>
                <w:rFonts w:eastAsia="Times New Roman"/>
                <w:i/>
                <w:sz w:val="16"/>
                <w:szCs w:val="16"/>
                <w:lang w:val="fr-FR"/>
              </w:rPr>
              <w:br/>
              <w:t>(HCT)</w:t>
            </w:r>
          </w:p>
        </w:tc>
        <w:tc>
          <w:tcPr>
            <w:tcW w:w="1214"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 xml:space="preserve">Masse </w:t>
            </w:r>
            <w:r w:rsidRPr="0027776E">
              <w:rPr>
                <w:rFonts w:eastAsia="Times New Roman"/>
                <w:i/>
                <w:sz w:val="16"/>
                <w:szCs w:val="16"/>
                <w:lang w:val="fr-FR"/>
              </w:rPr>
              <w:br/>
              <w:t>d</w:t>
            </w:r>
            <w:r w:rsidR="00DB4C2D">
              <w:rPr>
                <w:rFonts w:eastAsia="Times New Roman"/>
                <w:i/>
                <w:sz w:val="16"/>
                <w:szCs w:val="16"/>
                <w:lang w:val="fr-FR"/>
              </w:rPr>
              <w:t>’</w:t>
            </w:r>
            <w:r w:rsidRPr="0027776E">
              <w:rPr>
                <w:rFonts w:eastAsia="Times New Roman"/>
                <w:i/>
                <w:sz w:val="16"/>
                <w:szCs w:val="16"/>
                <w:lang w:val="fr-FR"/>
              </w:rPr>
              <w:t>hydrocarbures non méthaniques (NMHC)</w:t>
            </w:r>
          </w:p>
        </w:tc>
        <w:tc>
          <w:tcPr>
            <w:tcW w:w="1008"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Masse</w:t>
            </w:r>
            <w:r w:rsidRPr="0027776E">
              <w:rPr>
                <w:rFonts w:eastAsia="Times New Roman"/>
                <w:i/>
                <w:sz w:val="16"/>
                <w:szCs w:val="16"/>
                <w:lang w:val="fr-FR"/>
              </w:rPr>
              <w:br/>
              <w:t>d</w:t>
            </w:r>
            <w:r w:rsidR="00DB4C2D">
              <w:rPr>
                <w:rFonts w:eastAsia="Times New Roman"/>
                <w:i/>
                <w:sz w:val="16"/>
                <w:szCs w:val="16"/>
                <w:lang w:val="fr-FR"/>
              </w:rPr>
              <w:t>’</w:t>
            </w:r>
            <w:r w:rsidRPr="0027776E">
              <w:rPr>
                <w:rFonts w:eastAsia="Times New Roman"/>
                <w:i/>
                <w:sz w:val="16"/>
                <w:szCs w:val="16"/>
                <w:lang w:val="fr-FR"/>
              </w:rPr>
              <w:t>oxydes d</w:t>
            </w:r>
            <w:r w:rsidR="00DB4C2D">
              <w:rPr>
                <w:rFonts w:eastAsia="Times New Roman"/>
                <w:i/>
                <w:sz w:val="16"/>
                <w:szCs w:val="16"/>
                <w:lang w:val="fr-FR"/>
              </w:rPr>
              <w:t>’</w:t>
            </w:r>
            <w:r w:rsidRPr="0027776E">
              <w:rPr>
                <w:rFonts w:eastAsia="Times New Roman"/>
                <w:i/>
                <w:sz w:val="16"/>
                <w:szCs w:val="16"/>
                <w:lang w:val="fr-FR"/>
              </w:rPr>
              <w:t xml:space="preserve">azote </w:t>
            </w:r>
            <w:r w:rsidRPr="0027776E">
              <w:rPr>
                <w:rFonts w:eastAsia="Times New Roman"/>
                <w:i/>
                <w:sz w:val="16"/>
                <w:szCs w:val="16"/>
                <w:lang w:val="fr-FR"/>
              </w:rPr>
              <w:br/>
              <w:t>(NO</w:t>
            </w:r>
            <w:r w:rsidRPr="0027776E">
              <w:rPr>
                <w:rFonts w:eastAsia="Times New Roman"/>
                <w:i/>
                <w:sz w:val="16"/>
                <w:szCs w:val="16"/>
                <w:vertAlign w:val="subscript"/>
                <w:lang w:val="fr-FR"/>
              </w:rPr>
              <w:t>X</w:t>
            </w:r>
            <w:r w:rsidRPr="0027776E">
              <w:rPr>
                <w:rFonts w:eastAsia="Times New Roman"/>
                <w:i/>
                <w:sz w:val="16"/>
                <w:szCs w:val="16"/>
                <w:lang w:val="fr-FR"/>
              </w:rPr>
              <w:t>)</w:t>
            </w:r>
          </w:p>
        </w:tc>
        <w:tc>
          <w:tcPr>
            <w:tcW w:w="1192"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vertAlign w:val="subscript"/>
                <w:lang w:val="fr-FR"/>
              </w:rPr>
            </w:pPr>
            <w:r w:rsidRPr="0027776E">
              <w:rPr>
                <w:rFonts w:eastAsia="Times New Roman"/>
                <w:i/>
                <w:sz w:val="16"/>
                <w:szCs w:val="16"/>
                <w:lang w:val="fr-FR"/>
              </w:rPr>
              <w:t>Masse combinée d</w:t>
            </w:r>
            <w:r w:rsidR="00DB4C2D">
              <w:rPr>
                <w:rFonts w:eastAsia="Times New Roman"/>
                <w:i/>
                <w:sz w:val="16"/>
                <w:szCs w:val="16"/>
                <w:lang w:val="fr-FR"/>
              </w:rPr>
              <w:t>’</w:t>
            </w:r>
            <w:r w:rsidRPr="0027776E">
              <w:rPr>
                <w:rFonts w:eastAsia="Times New Roman"/>
                <w:i/>
                <w:sz w:val="16"/>
                <w:szCs w:val="16"/>
                <w:lang w:val="fr-FR"/>
              </w:rPr>
              <w:t>hydrocarbures et d</w:t>
            </w:r>
            <w:r w:rsidR="00DB4C2D">
              <w:rPr>
                <w:rFonts w:eastAsia="Times New Roman"/>
                <w:i/>
                <w:sz w:val="16"/>
                <w:szCs w:val="16"/>
                <w:lang w:val="fr-FR"/>
              </w:rPr>
              <w:t>’</w:t>
            </w:r>
            <w:r w:rsidRPr="0027776E">
              <w:rPr>
                <w:rFonts w:eastAsia="Times New Roman"/>
                <w:i/>
                <w:sz w:val="16"/>
                <w:szCs w:val="16"/>
                <w:lang w:val="fr-FR"/>
              </w:rPr>
              <w:t>oxydes d</w:t>
            </w:r>
            <w:r w:rsidR="00DB4C2D">
              <w:rPr>
                <w:rFonts w:eastAsia="Times New Roman"/>
                <w:i/>
                <w:sz w:val="16"/>
                <w:szCs w:val="16"/>
                <w:lang w:val="fr-FR"/>
              </w:rPr>
              <w:t>’</w:t>
            </w:r>
            <w:r w:rsidRPr="0027776E">
              <w:rPr>
                <w:rFonts w:eastAsia="Times New Roman"/>
                <w:i/>
                <w:sz w:val="16"/>
                <w:szCs w:val="16"/>
                <w:lang w:val="fr-FR"/>
              </w:rPr>
              <w:t>azote</w:t>
            </w:r>
            <w:r w:rsidRPr="0027776E">
              <w:rPr>
                <w:rFonts w:eastAsia="Times New Roman"/>
                <w:i/>
                <w:sz w:val="16"/>
                <w:szCs w:val="16"/>
                <w:lang w:val="fr-FR"/>
              </w:rPr>
              <w:br/>
              <w:t>(HCT + NO</w:t>
            </w:r>
            <w:r w:rsidRPr="0027776E">
              <w:rPr>
                <w:rFonts w:eastAsia="Times New Roman"/>
                <w:i/>
                <w:sz w:val="16"/>
                <w:szCs w:val="16"/>
                <w:vertAlign w:val="subscript"/>
                <w:lang w:val="fr-FR"/>
              </w:rPr>
              <w:t>X</w:t>
            </w:r>
            <w:r w:rsidRPr="0027776E">
              <w:rPr>
                <w:rFonts w:eastAsia="Times New Roman"/>
                <w:i/>
                <w:sz w:val="16"/>
                <w:szCs w:val="16"/>
                <w:lang w:val="fr-FR"/>
              </w:rPr>
              <w:t>)</w:t>
            </w:r>
          </w:p>
        </w:tc>
        <w:tc>
          <w:tcPr>
            <w:tcW w:w="1138"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Masse</w:t>
            </w:r>
            <w:r w:rsidRPr="0027776E">
              <w:rPr>
                <w:rFonts w:eastAsia="Times New Roman"/>
                <w:i/>
                <w:sz w:val="16"/>
                <w:szCs w:val="16"/>
                <w:lang w:val="fr-FR"/>
              </w:rPr>
              <w:br/>
              <w:t>de particules (PM)</w:t>
            </w:r>
          </w:p>
        </w:tc>
        <w:tc>
          <w:tcPr>
            <w:tcW w:w="2258"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 xml:space="preserve">Nombre </w:t>
            </w:r>
            <w:r w:rsidRPr="0027776E">
              <w:rPr>
                <w:rFonts w:eastAsia="Times New Roman"/>
                <w:i/>
                <w:sz w:val="16"/>
                <w:szCs w:val="16"/>
                <w:lang w:val="fr-FR"/>
              </w:rPr>
              <w:br/>
              <w:t>de particules (P)</w:t>
            </w:r>
          </w:p>
        </w:tc>
      </w:tr>
      <w:tr w:rsidR="0027776E" w:rsidRPr="0027776E" w:rsidTr="00B65C71">
        <w:tc>
          <w:tcPr>
            <w:tcW w:w="1641" w:type="dxa"/>
            <w:gridSpan w:val="2"/>
            <w:vMerge/>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p>
        </w:tc>
        <w:tc>
          <w:tcPr>
            <w:tcW w:w="1632" w:type="dxa"/>
            <w:vMerge/>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p>
        </w:tc>
        <w:tc>
          <w:tcPr>
            <w:tcW w:w="1071"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L</w:t>
            </w:r>
            <w:r w:rsidRPr="0027776E">
              <w:rPr>
                <w:rFonts w:eastAsia="Times New Roman"/>
                <w:i/>
                <w:sz w:val="16"/>
                <w:szCs w:val="16"/>
                <w:vertAlign w:val="subscript"/>
                <w:lang w:val="fr-FR"/>
              </w:rPr>
              <w:t xml:space="preserve">1 </w:t>
            </w:r>
            <w:r w:rsidRPr="0027776E">
              <w:rPr>
                <w:rFonts w:eastAsia="Times New Roman"/>
                <w:i/>
                <w:sz w:val="16"/>
                <w:szCs w:val="16"/>
                <w:vertAlign w:val="subscript"/>
                <w:lang w:val="fr-FR"/>
              </w:rPr>
              <w:br/>
            </w:r>
            <w:r w:rsidRPr="0027776E">
              <w:rPr>
                <w:rFonts w:eastAsia="Times New Roman"/>
                <w:i/>
                <w:sz w:val="16"/>
                <w:szCs w:val="16"/>
                <w:lang w:val="fr-FR"/>
              </w:rPr>
              <w:t>(mg/km)</w:t>
            </w:r>
          </w:p>
        </w:tc>
        <w:tc>
          <w:tcPr>
            <w:tcW w:w="1207"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L</w:t>
            </w:r>
            <w:r w:rsidRPr="0027776E">
              <w:rPr>
                <w:rFonts w:eastAsia="Times New Roman"/>
                <w:i/>
                <w:sz w:val="16"/>
                <w:szCs w:val="16"/>
                <w:vertAlign w:val="subscript"/>
                <w:lang w:val="fr-FR"/>
              </w:rPr>
              <w:t xml:space="preserve">2 </w:t>
            </w:r>
            <w:r w:rsidRPr="0027776E">
              <w:rPr>
                <w:rFonts w:eastAsia="Times New Roman"/>
                <w:i/>
                <w:sz w:val="16"/>
                <w:szCs w:val="16"/>
                <w:vertAlign w:val="subscript"/>
                <w:lang w:val="fr-FR"/>
              </w:rPr>
              <w:br/>
            </w:r>
            <w:r w:rsidRPr="0027776E">
              <w:rPr>
                <w:rFonts w:eastAsia="Times New Roman"/>
                <w:i/>
                <w:sz w:val="16"/>
                <w:szCs w:val="16"/>
                <w:lang w:val="fr-FR"/>
              </w:rPr>
              <w:t>(mg/km)</w:t>
            </w:r>
          </w:p>
        </w:tc>
        <w:tc>
          <w:tcPr>
            <w:tcW w:w="1214"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L</w:t>
            </w:r>
            <w:r w:rsidRPr="0027776E">
              <w:rPr>
                <w:rFonts w:eastAsia="Times New Roman"/>
                <w:i/>
                <w:sz w:val="16"/>
                <w:szCs w:val="16"/>
                <w:vertAlign w:val="subscript"/>
                <w:lang w:val="fr-FR"/>
              </w:rPr>
              <w:t xml:space="preserve">3 </w:t>
            </w:r>
            <w:r w:rsidRPr="0027776E">
              <w:rPr>
                <w:rFonts w:eastAsia="Times New Roman"/>
                <w:i/>
                <w:sz w:val="16"/>
                <w:szCs w:val="16"/>
                <w:vertAlign w:val="subscript"/>
                <w:lang w:val="fr-FR"/>
              </w:rPr>
              <w:br/>
            </w:r>
            <w:r w:rsidRPr="0027776E">
              <w:rPr>
                <w:rFonts w:eastAsia="Times New Roman"/>
                <w:i/>
                <w:sz w:val="16"/>
                <w:szCs w:val="16"/>
                <w:lang w:val="fr-FR"/>
              </w:rPr>
              <w:t>(mg/km)</w:t>
            </w:r>
          </w:p>
        </w:tc>
        <w:tc>
          <w:tcPr>
            <w:tcW w:w="1008"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L</w:t>
            </w:r>
            <w:r w:rsidRPr="0027776E">
              <w:rPr>
                <w:rFonts w:eastAsia="Times New Roman"/>
                <w:i/>
                <w:sz w:val="16"/>
                <w:szCs w:val="16"/>
                <w:vertAlign w:val="subscript"/>
                <w:lang w:val="fr-FR"/>
              </w:rPr>
              <w:t xml:space="preserve">4 </w:t>
            </w:r>
            <w:r w:rsidRPr="0027776E">
              <w:rPr>
                <w:rFonts w:eastAsia="Times New Roman"/>
                <w:i/>
                <w:sz w:val="16"/>
                <w:szCs w:val="16"/>
                <w:vertAlign w:val="subscript"/>
                <w:lang w:val="fr-FR"/>
              </w:rPr>
              <w:br/>
            </w:r>
            <w:r w:rsidRPr="0027776E">
              <w:rPr>
                <w:rFonts w:eastAsia="Times New Roman"/>
                <w:i/>
                <w:sz w:val="16"/>
                <w:szCs w:val="16"/>
                <w:lang w:val="fr-FR"/>
              </w:rPr>
              <w:t>(mg/km)</w:t>
            </w:r>
          </w:p>
        </w:tc>
        <w:tc>
          <w:tcPr>
            <w:tcW w:w="1192"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L</w:t>
            </w:r>
            <w:r w:rsidRPr="0027776E">
              <w:rPr>
                <w:rFonts w:eastAsia="Times New Roman"/>
                <w:i/>
                <w:sz w:val="16"/>
                <w:szCs w:val="16"/>
                <w:vertAlign w:val="subscript"/>
                <w:lang w:val="fr-FR"/>
              </w:rPr>
              <w:t>2</w:t>
            </w:r>
            <w:r w:rsidRPr="0027776E">
              <w:rPr>
                <w:rFonts w:eastAsia="Times New Roman"/>
                <w:i/>
                <w:sz w:val="16"/>
                <w:szCs w:val="16"/>
                <w:lang w:val="fr-FR"/>
              </w:rPr>
              <w:t xml:space="preserve"> + L</w:t>
            </w:r>
            <w:r w:rsidRPr="0027776E">
              <w:rPr>
                <w:rFonts w:eastAsia="Times New Roman"/>
                <w:i/>
                <w:sz w:val="16"/>
                <w:szCs w:val="16"/>
                <w:vertAlign w:val="subscript"/>
                <w:lang w:val="fr-FR"/>
              </w:rPr>
              <w:t xml:space="preserve">4 </w:t>
            </w:r>
            <w:r w:rsidRPr="0027776E">
              <w:rPr>
                <w:rFonts w:eastAsia="Times New Roman"/>
                <w:i/>
                <w:sz w:val="16"/>
                <w:szCs w:val="16"/>
                <w:vertAlign w:val="subscript"/>
                <w:lang w:val="fr-FR"/>
              </w:rPr>
              <w:br/>
            </w:r>
            <w:r w:rsidRPr="0027776E">
              <w:rPr>
                <w:rFonts w:eastAsia="Times New Roman"/>
                <w:i/>
                <w:sz w:val="16"/>
                <w:szCs w:val="16"/>
                <w:lang w:val="fr-FR"/>
              </w:rPr>
              <w:t>(mg/km)</w:t>
            </w:r>
          </w:p>
        </w:tc>
        <w:tc>
          <w:tcPr>
            <w:tcW w:w="1138"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L</w:t>
            </w:r>
            <w:r w:rsidRPr="0027776E">
              <w:rPr>
                <w:rFonts w:eastAsia="Times New Roman"/>
                <w:i/>
                <w:sz w:val="16"/>
                <w:szCs w:val="16"/>
                <w:vertAlign w:val="subscript"/>
                <w:lang w:val="fr-FR"/>
              </w:rPr>
              <w:t xml:space="preserve">5 </w:t>
            </w:r>
            <w:r w:rsidRPr="0027776E">
              <w:rPr>
                <w:rFonts w:eastAsia="Times New Roman"/>
                <w:i/>
                <w:sz w:val="16"/>
                <w:szCs w:val="16"/>
                <w:vertAlign w:val="subscript"/>
                <w:lang w:val="fr-FR"/>
              </w:rPr>
              <w:br/>
            </w:r>
            <w:r w:rsidRPr="0027776E">
              <w:rPr>
                <w:rFonts w:eastAsia="Times New Roman"/>
                <w:i/>
                <w:sz w:val="16"/>
                <w:szCs w:val="16"/>
                <w:lang w:val="fr-FR"/>
              </w:rPr>
              <w:t>(mg/km)</w:t>
            </w:r>
          </w:p>
        </w:tc>
        <w:tc>
          <w:tcPr>
            <w:tcW w:w="2258" w:type="dxa"/>
            <w:gridSpan w:val="2"/>
            <w:shd w:val="clear" w:color="auto" w:fill="auto"/>
            <w:vAlign w:val="center"/>
          </w:tcPr>
          <w:p w:rsidR="0027776E" w:rsidRPr="0027776E" w:rsidRDefault="0027776E" w:rsidP="0027776E">
            <w:pPr>
              <w:kinsoku/>
              <w:overflowPunct/>
              <w:autoSpaceDE/>
              <w:autoSpaceDN/>
              <w:adjustRightInd/>
              <w:snapToGrid/>
              <w:spacing w:before="80" w:after="80" w:line="200" w:lineRule="exact"/>
              <w:ind w:left="57" w:right="57"/>
              <w:jc w:val="center"/>
              <w:rPr>
                <w:rFonts w:eastAsia="Times New Roman"/>
                <w:i/>
                <w:sz w:val="16"/>
                <w:szCs w:val="16"/>
                <w:lang w:val="fr-FR"/>
              </w:rPr>
            </w:pPr>
            <w:r w:rsidRPr="0027776E">
              <w:rPr>
                <w:rFonts w:eastAsia="Times New Roman"/>
                <w:i/>
                <w:sz w:val="16"/>
                <w:szCs w:val="16"/>
                <w:lang w:val="fr-FR"/>
              </w:rPr>
              <w:t>L</w:t>
            </w:r>
            <w:r w:rsidRPr="0027776E">
              <w:rPr>
                <w:rFonts w:eastAsia="Times New Roman"/>
                <w:i/>
                <w:sz w:val="16"/>
                <w:szCs w:val="16"/>
                <w:vertAlign w:val="subscript"/>
                <w:lang w:val="fr-FR"/>
              </w:rPr>
              <w:t xml:space="preserve">6 </w:t>
            </w:r>
            <w:r w:rsidRPr="0027776E">
              <w:rPr>
                <w:rFonts w:eastAsia="Times New Roman"/>
                <w:i/>
                <w:sz w:val="16"/>
                <w:szCs w:val="16"/>
                <w:vertAlign w:val="subscript"/>
                <w:lang w:val="fr-FR"/>
              </w:rPr>
              <w:br/>
            </w:r>
            <w:r w:rsidRPr="0027776E">
              <w:rPr>
                <w:rFonts w:eastAsia="Times New Roman"/>
                <w:i/>
                <w:sz w:val="16"/>
                <w:szCs w:val="16"/>
                <w:lang w:val="fr-FR"/>
              </w:rPr>
              <w:t>(nombre/km)</w:t>
            </w:r>
          </w:p>
        </w:tc>
      </w:tr>
      <w:tr w:rsidR="0027776E" w:rsidRPr="0027776E" w:rsidTr="000C0ABC">
        <w:tc>
          <w:tcPr>
            <w:tcW w:w="961" w:type="dxa"/>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lang w:val="fr-FR"/>
              </w:rPr>
            </w:pPr>
            <w:r w:rsidRPr="0027776E">
              <w:rPr>
                <w:rFonts w:eastAsia="Times New Roman"/>
                <w:sz w:val="18"/>
                <w:szCs w:val="18"/>
                <w:lang w:val="fr-FR"/>
              </w:rPr>
              <w:t>Catégorie</w:t>
            </w:r>
          </w:p>
        </w:tc>
        <w:tc>
          <w:tcPr>
            <w:tcW w:w="680" w:type="dxa"/>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lang w:val="fr-FR"/>
              </w:rPr>
            </w:pPr>
            <w:r w:rsidRPr="0027776E">
              <w:rPr>
                <w:rFonts w:eastAsia="Times New Roman"/>
                <w:sz w:val="18"/>
                <w:szCs w:val="18"/>
                <w:lang w:val="fr-FR"/>
              </w:rPr>
              <w:t>Classe</w:t>
            </w:r>
          </w:p>
        </w:tc>
        <w:tc>
          <w:tcPr>
            <w:tcW w:w="1632" w:type="dxa"/>
            <w:shd w:val="clear" w:color="auto" w:fill="auto"/>
          </w:tcPr>
          <w:p w:rsidR="0027776E" w:rsidRPr="0027776E" w:rsidRDefault="0027776E" w:rsidP="0027776E">
            <w:pPr>
              <w:kinsoku/>
              <w:overflowPunct/>
              <w:autoSpaceDE/>
              <w:autoSpaceDN/>
              <w:adjustRightInd/>
              <w:snapToGrid/>
              <w:spacing w:before="60" w:after="60"/>
              <w:ind w:left="57" w:right="57"/>
              <w:jc w:val="right"/>
              <w:rPr>
                <w:rFonts w:eastAsia="Times New Roman"/>
                <w:sz w:val="18"/>
                <w:szCs w:val="18"/>
                <w:lang w:val="fr-FR"/>
              </w:rPr>
            </w:pPr>
          </w:p>
        </w:tc>
        <w:tc>
          <w:tcPr>
            <w:tcW w:w="57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PI</w:t>
            </w:r>
          </w:p>
        </w:tc>
        <w:tc>
          <w:tcPr>
            <w:tcW w:w="501"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CI</w:t>
            </w:r>
          </w:p>
        </w:tc>
        <w:tc>
          <w:tcPr>
            <w:tcW w:w="63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PI</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CI</w:t>
            </w:r>
          </w:p>
        </w:tc>
        <w:tc>
          <w:tcPr>
            <w:tcW w:w="61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PI</w:t>
            </w:r>
          </w:p>
        </w:tc>
        <w:tc>
          <w:tcPr>
            <w:tcW w:w="60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CI</w:t>
            </w:r>
          </w:p>
        </w:tc>
        <w:tc>
          <w:tcPr>
            <w:tcW w:w="4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PI</w:t>
            </w:r>
          </w:p>
        </w:tc>
        <w:tc>
          <w:tcPr>
            <w:tcW w:w="53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CI</w:t>
            </w:r>
          </w:p>
        </w:tc>
        <w:tc>
          <w:tcPr>
            <w:tcW w:w="58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PI</w:t>
            </w:r>
          </w:p>
        </w:tc>
        <w:tc>
          <w:tcPr>
            <w:tcW w:w="604"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CI</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vertAlign w:val="superscript"/>
                <w:lang w:val="fr-FR"/>
              </w:rPr>
            </w:pPr>
            <w:r w:rsidRPr="0027776E">
              <w:rPr>
                <w:rFonts w:eastAsia="Times New Roman"/>
                <w:sz w:val="18"/>
                <w:szCs w:val="18"/>
                <w:lang w:val="fr-FR"/>
              </w:rPr>
              <w:t>PI</w:t>
            </w:r>
            <w:r w:rsidRPr="0027776E">
              <w:rPr>
                <w:rFonts w:eastAsia="Times New Roman"/>
                <w:i/>
                <w:sz w:val="18"/>
                <w:szCs w:val="18"/>
                <w:vertAlign w:val="superscript"/>
                <w:lang w:val="fr-FR"/>
              </w:rPr>
              <w:t>1</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CI</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PI</w:t>
            </w:r>
            <w:r w:rsidRPr="0027776E">
              <w:rPr>
                <w:rFonts w:eastAsia="Times New Roman"/>
                <w:i/>
                <w:sz w:val="18"/>
                <w:szCs w:val="18"/>
                <w:vertAlign w:val="superscript"/>
                <w:lang w:val="fr-FR"/>
              </w:rPr>
              <w:t>1</w:t>
            </w:r>
            <w:r w:rsidRPr="0027776E">
              <w:rPr>
                <w:rFonts w:eastAsia="Times New Roman"/>
                <w:sz w:val="18"/>
                <w:szCs w:val="18"/>
                <w:vertAlign w:val="superscript"/>
                <w:lang w:val="fr-FR"/>
              </w:rPr>
              <w:t xml:space="preserve">, </w:t>
            </w:r>
            <w:r w:rsidRPr="0027776E">
              <w:rPr>
                <w:rFonts w:eastAsia="Times New Roman"/>
                <w:i/>
                <w:sz w:val="18"/>
                <w:szCs w:val="18"/>
                <w:vertAlign w:val="superscript"/>
                <w:lang w:val="fr-FR"/>
              </w:rPr>
              <w:t>2</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CI</w:t>
            </w:r>
          </w:p>
        </w:tc>
      </w:tr>
      <w:tr w:rsidR="0027776E" w:rsidRPr="0027776E" w:rsidTr="000C0ABC">
        <w:tc>
          <w:tcPr>
            <w:tcW w:w="961" w:type="dxa"/>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lang w:val="fr-FR"/>
              </w:rPr>
            </w:pPr>
            <w:r w:rsidRPr="0027776E">
              <w:rPr>
                <w:rFonts w:eastAsia="Times New Roman"/>
                <w:sz w:val="18"/>
                <w:szCs w:val="18"/>
                <w:lang w:val="fr-FR"/>
              </w:rPr>
              <w:t>M</w:t>
            </w:r>
          </w:p>
        </w:tc>
        <w:tc>
          <w:tcPr>
            <w:tcW w:w="68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1632" w:type="dxa"/>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lang w:val="fr-FR"/>
              </w:rPr>
            </w:pPr>
            <w:r w:rsidRPr="0027776E">
              <w:rPr>
                <w:rFonts w:eastAsia="Times New Roman"/>
                <w:sz w:val="18"/>
                <w:szCs w:val="18"/>
                <w:lang w:val="fr-FR"/>
              </w:rPr>
              <w:t>Toutes</w:t>
            </w:r>
          </w:p>
        </w:tc>
        <w:tc>
          <w:tcPr>
            <w:tcW w:w="57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1 000</w:t>
            </w:r>
          </w:p>
        </w:tc>
        <w:tc>
          <w:tcPr>
            <w:tcW w:w="501"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500</w:t>
            </w:r>
          </w:p>
        </w:tc>
        <w:tc>
          <w:tcPr>
            <w:tcW w:w="63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100</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61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68</w:t>
            </w:r>
          </w:p>
        </w:tc>
        <w:tc>
          <w:tcPr>
            <w:tcW w:w="60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4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w:t>
            </w:r>
          </w:p>
        </w:tc>
        <w:tc>
          <w:tcPr>
            <w:tcW w:w="53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80</w:t>
            </w:r>
          </w:p>
        </w:tc>
        <w:tc>
          <w:tcPr>
            <w:tcW w:w="58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604"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170</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4,5</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4,5</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 x 10</w:t>
            </w:r>
            <w:r w:rsidRPr="0027776E">
              <w:rPr>
                <w:rFonts w:eastAsia="Times New Roman"/>
                <w:sz w:val="18"/>
                <w:szCs w:val="18"/>
                <w:vertAlign w:val="superscript"/>
                <w:lang w:val="fr-FR"/>
              </w:rPr>
              <w:t>11</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 x 10</w:t>
            </w:r>
            <w:r w:rsidRPr="0027776E">
              <w:rPr>
                <w:rFonts w:eastAsia="Times New Roman"/>
                <w:sz w:val="18"/>
                <w:szCs w:val="18"/>
                <w:vertAlign w:val="superscript"/>
                <w:lang w:val="fr-FR"/>
              </w:rPr>
              <w:t>11</w:t>
            </w:r>
          </w:p>
        </w:tc>
      </w:tr>
      <w:tr w:rsidR="0027776E" w:rsidRPr="0027776E" w:rsidTr="000C0ABC">
        <w:tc>
          <w:tcPr>
            <w:tcW w:w="961" w:type="dxa"/>
            <w:vMerge w:val="restart"/>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vertAlign w:val="subscript"/>
                <w:lang w:val="fr-FR"/>
              </w:rPr>
            </w:pPr>
            <w:r w:rsidRPr="0027776E">
              <w:rPr>
                <w:rFonts w:eastAsia="Times New Roman"/>
                <w:sz w:val="18"/>
                <w:szCs w:val="18"/>
                <w:lang w:val="fr-FR"/>
              </w:rPr>
              <w:t>N</w:t>
            </w:r>
            <w:r w:rsidRPr="0027776E">
              <w:rPr>
                <w:rFonts w:eastAsia="Times New Roman"/>
                <w:sz w:val="18"/>
                <w:szCs w:val="18"/>
                <w:vertAlign w:val="subscript"/>
                <w:lang w:val="fr-FR"/>
              </w:rPr>
              <w:t>1</w:t>
            </w:r>
          </w:p>
        </w:tc>
        <w:tc>
          <w:tcPr>
            <w:tcW w:w="68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I</w:t>
            </w:r>
          </w:p>
        </w:tc>
        <w:tc>
          <w:tcPr>
            <w:tcW w:w="1632" w:type="dxa"/>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lang w:val="fr-FR"/>
              </w:rPr>
            </w:pPr>
            <w:r w:rsidRPr="0027776E">
              <w:rPr>
                <w:rFonts w:eastAsia="Times New Roman"/>
                <w:sz w:val="18"/>
                <w:szCs w:val="18"/>
                <w:lang w:val="fr-FR"/>
              </w:rPr>
              <w:t xml:space="preserve">RM </w:t>
            </w:r>
            <w:r w:rsidRPr="0027776E">
              <w:rPr>
                <w:rFonts w:eastAsia="Times New Roman"/>
                <w:sz w:val="18"/>
                <w:szCs w:val="18"/>
                <w:lang w:val="fr-FR"/>
              </w:rPr>
              <w:sym w:font="Symbol" w:char="F0A3"/>
            </w:r>
            <w:r w:rsidRPr="0027776E">
              <w:rPr>
                <w:rFonts w:eastAsia="Times New Roman"/>
                <w:sz w:val="18"/>
                <w:szCs w:val="18"/>
                <w:lang w:val="fr-FR"/>
              </w:rPr>
              <w:t xml:space="preserve"> 1 305</w:t>
            </w:r>
          </w:p>
        </w:tc>
        <w:tc>
          <w:tcPr>
            <w:tcW w:w="57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1 000</w:t>
            </w:r>
          </w:p>
        </w:tc>
        <w:tc>
          <w:tcPr>
            <w:tcW w:w="501"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500</w:t>
            </w:r>
          </w:p>
        </w:tc>
        <w:tc>
          <w:tcPr>
            <w:tcW w:w="63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100</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61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68</w:t>
            </w:r>
          </w:p>
        </w:tc>
        <w:tc>
          <w:tcPr>
            <w:tcW w:w="60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4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w:t>
            </w:r>
          </w:p>
        </w:tc>
        <w:tc>
          <w:tcPr>
            <w:tcW w:w="53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80</w:t>
            </w:r>
          </w:p>
        </w:tc>
        <w:tc>
          <w:tcPr>
            <w:tcW w:w="58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604"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170</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4,5</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4,5</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 x 10</w:t>
            </w:r>
            <w:r w:rsidRPr="0027776E">
              <w:rPr>
                <w:rFonts w:eastAsia="Times New Roman"/>
                <w:sz w:val="18"/>
                <w:szCs w:val="18"/>
                <w:vertAlign w:val="superscript"/>
                <w:lang w:val="fr-FR"/>
              </w:rPr>
              <w:t>11</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 x 10</w:t>
            </w:r>
            <w:r w:rsidRPr="0027776E">
              <w:rPr>
                <w:rFonts w:eastAsia="Times New Roman"/>
                <w:sz w:val="18"/>
                <w:szCs w:val="18"/>
                <w:vertAlign w:val="superscript"/>
                <w:lang w:val="fr-FR"/>
              </w:rPr>
              <w:t>11</w:t>
            </w:r>
          </w:p>
        </w:tc>
      </w:tr>
      <w:tr w:rsidR="0027776E" w:rsidRPr="0027776E" w:rsidTr="000C0ABC">
        <w:tc>
          <w:tcPr>
            <w:tcW w:w="961" w:type="dxa"/>
            <w:vMerge/>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lang w:val="fr-FR"/>
              </w:rPr>
            </w:pPr>
          </w:p>
        </w:tc>
        <w:tc>
          <w:tcPr>
            <w:tcW w:w="68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II</w:t>
            </w:r>
          </w:p>
        </w:tc>
        <w:tc>
          <w:tcPr>
            <w:tcW w:w="1632" w:type="dxa"/>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lang w:val="fr-FR"/>
              </w:rPr>
            </w:pPr>
            <w:r w:rsidRPr="0027776E">
              <w:rPr>
                <w:rFonts w:eastAsia="Times New Roman"/>
                <w:sz w:val="18"/>
                <w:szCs w:val="18"/>
                <w:lang w:val="fr-FR"/>
              </w:rPr>
              <w:t xml:space="preserve">1 305 </w:t>
            </w:r>
            <w:r w:rsidRPr="0027776E">
              <w:rPr>
                <w:rFonts w:eastAsia="Times New Roman"/>
                <w:sz w:val="18"/>
                <w:szCs w:val="18"/>
                <w:lang w:val="fr-FR"/>
              </w:rPr>
              <w:sym w:font="Symbol" w:char="F03C"/>
            </w:r>
            <w:r w:rsidRPr="0027776E">
              <w:rPr>
                <w:rFonts w:eastAsia="Times New Roman"/>
                <w:sz w:val="18"/>
                <w:szCs w:val="18"/>
                <w:lang w:val="fr-FR"/>
              </w:rPr>
              <w:t xml:space="preserve"> RM </w:t>
            </w:r>
            <w:r w:rsidRPr="0027776E">
              <w:rPr>
                <w:rFonts w:eastAsia="Times New Roman"/>
                <w:sz w:val="18"/>
                <w:szCs w:val="18"/>
                <w:lang w:val="fr-FR"/>
              </w:rPr>
              <w:sym w:font="Symbol" w:char="F0A3"/>
            </w:r>
            <w:r w:rsidRPr="0027776E">
              <w:rPr>
                <w:rFonts w:eastAsia="Times New Roman"/>
                <w:sz w:val="18"/>
                <w:szCs w:val="18"/>
                <w:lang w:val="fr-FR"/>
              </w:rPr>
              <w:t xml:space="preserve"> 1 760</w:t>
            </w:r>
          </w:p>
        </w:tc>
        <w:tc>
          <w:tcPr>
            <w:tcW w:w="57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1 810</w:t>
            </w:r>
          </w:p>
        </w:tc>
        <w:tc>
          <w:tcPr>
            <w:tcW w:w="501"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630</w:t>
            </w:r>
          </w:p>
        </w:tc>
        <w:tc>
          <w:tcPr>
            <w:tcW w:w="63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130</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61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90</w:t>
            </w:r>
          </w:p>
        </w:tc>
        <w:tc>
          <w:tcPr>
            <w:tcW w:w="60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4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75</w:t>
            </w:r>
          </w:p>
        </w:tc>
        <w:tc>
          <w:tcPr>
            <w:tcW w:w="53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105</w:t>
            </w:r>
          </w:p>
        </w:tc>
        <w:tc>
          <w:tcPr>
            <w:tcW w:w="58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604"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195</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4,5</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4,5</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 x 10</w:t>
            </w:r>
            <w:r w:rsidRPr="0027776E">
              <w:rPr>
                <w:rFonts w:eastAsia="Times New Roman"/>
                <w:sz w:val="18"/>
                <w:szCs w:val="18"/>
                <w:vertAlign w:val="superscript"/>
                <w:lang w:val="fr-FR"/>
              </w:rPr>
              <w:t>11</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 x 10</w:t>
            </w:r>
            <w:r w:rsidRPr="0027776E">
              <w:rPr>
                <w:rFonts w:eastAsia="Times New Roman"/>
                <w:sz w:val="18"/>
                <w:szCs w:val="18"/>
                <w:vertAlign w:val="superscript"/>
                <w:lang w:val="fr-FR"/>
              </w:rPr>
              <w:t>11</w:t>
            </w:r>
          </w:p>
        </w:tc>
      </w:tr>
      <w:tr w:rsidR="0027776E" w:rsidRPr="0027776E" w:rsidTr="000C0ABC">
        <w:tc>
          <w:tcPr>
            <w:tcW w:w="961" w:type="dxa"/>
            <w:vMerge/>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lang w:val="fr-FR"/>
              </w:rPr>
            </w:pPr>
          </w:p>
        </w:tc>
        <w:tc>
          <w:tcPr>
            <w:tcW w:w="68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III</w:t>
            </w:r>
          </w:p>
        </w:tc>
        <w:tc>
          <w:tcPr>
            <w:tcW w:w="1632" w:type="dxa"/>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lang w:val="fr-FR"/>
              </w:rPr>
            </w:pPr>
            <w:r w:rsidRPr="0027776E">
              <w:rPr>
                <w:rFonts w:eastAsia="Times New Roman"/>
                <w:sz w:val="18"/>
                <w:szCs w:val="18"/>
                <w:lang w:val="fr-FR"/>
              </w:rPr>
              <w:t xml:space="preserve">1 760 </w:t>
            </w:r>
            <w:r w:rsidRPr="0027776E">
              <w:rPr>
                <w:rFonts w:eastAsia="Times New Roman"/>
                <w:sz w:val="18"/>
                <w:szCs w:val="18"/>
                <w:lang w:val="fr-FR"/>
              </w:rPr>
              <w:sym w:font="Symbol" w:char="F03C"/>
            </w:r>
            <w:r w:rsidRPr="0027776E">
              <w:rPr>
                <w:rFonts w:eastAsia="Times New Roman"/>
                <w:sz w:val="18"/>
                <w:szCs w:val="18"/>
                <w:lang w:val="fr-FR"/>
              </w:rPr>
              <w:t xml:space="preserve"> RM</w:t>
            </w:r>
          </w:p>
        </w:tc>
        <w:tc>
          <w:tcPr>
            <w:tcW w:w="57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2 270</w:t>
            </w:r>
          </w:p>
        </w:tc>
        <w:tc>
          <w:tcPr>
            <w:tcW w:w="501"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740</w:t>
            </w:r>
          </w:p>
        </w:tc>
        <w:tc>
          <w:tcPr>
            <w:tcW w:w="63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160</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61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108</w:t>
            </w:r>
          </w:p>
        </w:tc>
        <w:tc>
          <w:tcPr>
            <w:tcW w:w="60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4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82</w:t>
            </w:r>
          </w:p>
        </w:tc>
        <w:tc>
          <w:tcPr>
            <w:tcW w:w="53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125</w:t>
            </w:r>
          </w:p>
        </w:tc>
        <w:tc>
          <w:tcPr>
            <w:tcW w:w="58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604"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215</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4,5</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4,5</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 x 10</w:t>
            </w:r>
            <w:r w:rsidRPr="0027776E">
              <w:rPr>
                <w:rFonts w:eastAsia="Times New Roman"/>
                <w:sz w:val="18"/>
                <w:szCs w:val="18"/>
                <w:vertAlign w:val="superscript"/>
                <w:lang w:val="fr-FR"/>
              </w:rPr>
              <w:t>11</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 x 10</w:t>
            </w:r>
            <w:r w:rsidRPr="0027776E">
              <w:rPr>
                <w:rFonts w:eastAsia="Times New Roman"/>
                <w:sz w:val="18"/>
                <w:szCs w:val="18"/>
                <w:vertAlign w:val="superscript"/>
                <w:lang w:val="fr-FR"/>
              </w:rPr>
              <w:t>11</w:t>
            </w:r>
          </w:p>
        </w:tc>
      </w:tr>
      <w:tr w:rsidR="0027776E" w:rsidRPr="0027776E" w:rsidTr="000C0ABC">
        <w:tc>
          <w:tcPr>
            <w:tcW w:w="961" w:type="dxa"/>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vertAlign w:val="subscript"/>
                <w:lang w:val="fr-FR"/>
              </w:rPr>
            </w:pPr>
            <w:r w:rsidRPr="0027776E">
              <w:rPr>
                <w:rFonts w:eastAsia="Times New Roman"/>
                <w:sz w:val="18"/>
                <w:szCs w:val="18"/>
                <w:lang w:val="fr-FR"/>
              </w:rPr>
              <w:t>N</w:t>
            </w:r>
            <w:r w:rsidRPr="0027776E">
              <w:rPr>
                <w:rFonts w:eastAsia="Times New Roman"/>
                <w:sz w:val="18"/>
                <w:szCs w:val="18"/>
                <w:vertAlign w:val="subscript"/>
                <w:lang w:val="fr-FR"/>
              </w:rPr>
              <w:t>2</w:t>
            </w:r>
          </w:p>
        </w:tc>
        <w:tc>
          <w:tcPr>
            <w:tcW w:w="68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1632" w:type="dxa"/>
            <w:shd w:val="clear" w:color="auto" w:fill="auto"/>
          </w:tcPr>
          <w:p w:rsidR="0027776E" w:rsidRPr="0027776E" w:rsidRDefault="0027776E" w:rsidP="0027776E">
            <w:pPr>
              <w:kinsoku/>
              <w:overflowPunct/>
              <w:autoSpaceDE/>
              <w:autoSpaceDN/>
              <w:adjustRightInd/>
              <w:snapToGrid/>
              <w:spacing w:before="60" w:after="60"/>
              <w:ind w:left="57" w:right="57"/>
              <w:rPr>
                <w:rFonts w:eastAsia="Times New Roman"/>
                <w:sz w:val="18"/>
                <w:szCs w:val="18"/>
                <w:lang w:val="fr-FR"/>
              </w:rPr>
            </w:pPr>
            <w:r w:rsidRPr="0027776E">
              <w:rPr>
                <w:rFonts w:eastAsia="Times New Roman"/>
                <w:sz w:val="18"/>
                <w:szCs w:val="18"/>
                <w:lang w:val="fr-FR"/>
              </w:rPr>
              <w:t>Toutes</w:t>
            </w:r>
          </w:p>
        </w:tc>
        <w:tc>
          <w:tcPr>
            <w:tcW w:w="570"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2 270</w:t>
            </w:r>
          </w:p>
        </w:tc>
        <w:tc>
          <w:tcPr>
            <w:tcW w:w="501"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740</w:t>
            </w:r>
          </w:p>
        </w:tc>
        <w:tc>
          <w:tcPr>
            <w:tcW w:w="63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160</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61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108</w:t>
            </w:r>
          </w:p>
        </w:tc>
        <w:tc>
          <w:tcPr>
            <w:tcW w:w="602"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4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82</w:t>
            </w:r>
          </w:p>
        </w:tc>
        <w:tc>
          <w:tcPr>
            <w:tcW w:w="53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125</w:t>
            </w:r>
          </w:p>
        </w:tc>
        <w:tc>
          <w:tcPr>
            <w:tcW w:w="588"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w:t>
            </w:r>
          </w:p>
        </w:tc>
        <w:tc>
          <w:tcPr>
            <w:tcW w:w="604"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215</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4,5</w:t>
            </w:r>
          </w:p>
        </w:tc>
        <w:tc>
          <w:tcPr>
            <w:tcW w:w="56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4,5</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 x 10</w:t>
            </w:r>
            <w:r w:rsidRPr="0027776E">
              <w:rPr>
                <w:rFonts w:eastAsia="Times New Roman"/>
                <w:sz w:val="18"/>
                <w:szCs w:val="18"/>
                <w:vertAlign w:val="superscript"/>
                <w:lang w:val="fr-FR"/>
              </w:rPr>
              <w:t>11</w:t>
            </w:r>
          </w:p>
        </w:tc>
        <w:tc>
          <w:tcPr>
            <w:tcW w:w="1129" w:type="dxa"/>
            <w:shd w:val="clear" w:color="auto" w:fill="auto"/>
          </w:tcPr>
          <w:p w:rsidR="0027776E" w:rsidRPr="0027776E" w:rsidRDefault="0027776E" w:rsidP="0027776E">
            <w:pPr>
              <w:kinsoku/>
              <w:overflowPunct/>
              <w:autoSpaceDE/>
              <w:autoSpaceDN/>
              <w:adjustRightInd/>
              <w:snapToGrid/>
              <w:spacing w:before="60" w:after="60"/>
              <w:ind w:left="57" w:right="57"/>
              <w:jc w:val="center"/>
              <w:rPr>
                <w:rFonts w:eastAsia="Times New Roman"/>
                <w:sz w:val="18"/>
                <w:szCs w:val="18"/>
                <w:lang w:val="fr-FR"/>
              </w:rPr>
            </w:pPr>
            <w:r w:rsidRPr="0027776E">
              <w:rPr>
                <w:rFonts w:eastAsia="Times New Roman"/>
                <w:sz w:val="18"/>
                <w:szCs w:val="18"/>
                <w:lang w:val="fr-FR"/>
              </w:rPr>
              <w:t>6,0 x 10</w:t>
            </w:r>
            <w:r w:rsidRPr="0027776E">
              <w:rPr>
                <w:rFonts w:eastAsia="Times New Roman"/>
                <w:sz w:val="18"/>
                <w:szCs w:val="18"/>
                <w:vertAlign w:val="superscript"/>
                <w:lang w:val="fr-FR"/>
              </w:rPr>
              <w:t>11</w:t>
            </w:r>
          </w:p>
        </w:tc>
      </w:tr>
    </w:tbl>
    <w:p w:rsidR="0027776E" w:rsidRPr="0027776E" w:rsidRDefault="0027776E" w:rsidP="0027776E">
      <w:pPr>
        <w:tabs>
          <w:tab w:val="left" w:pos="1017"/>
        </w:tabs>
        <w:kinsoku/>
        <w:overflowPunct/>
        <w:autoSpaceDE/>
        <w:autoSpaceDN/>
        <w:adjustRightInd/>
        <w:snapToGrid/>
        <w:spacing w:before="120"/>
        <w:ind w:left="284" w:firstLine="170"/>
        <w:rPr>
          <w:rFonts w:eastAsia="Times New Roman"/>
          <w:sz w:val="18"/>
          <w:szCs w:val="18"/>
          <w:lang w:val="fr-FR"/>
        </w:rPr>
      </w:pPr>
      <w:r w:rsidRPr="0027776E">
        <w:rPr>
          <w:rFonts w:eastAsia="Times New Roman"/>
          <w:sz w:val="18"/>
          <w:szCs w:val="18"/>
          <w:lang w:val="fr-FR"/>
        </w:rPr>
        <w:t>PI = allumage commandé.</w:t>
      </w:r>
    </w:p>
    <w:p w:rsidR="0027776E" w:rsidRPr="0027776E" w:rsidRDefault="0027776E" w:rsidP="0027776E">
      <w:pPr>
        <w:tabs>
          <w:tab w:val="left" w:pos="1017"/>
        </w:tabs>
        <w:kinsoku/>
        <w:overflowPunct/>
        <w:autoSpaceDE/>
        <w:autoSpaceDN/>
        <w:adjustRightInd/>
        <w:snapToGrid/>
        <w:ind w:left="284" w:firstLine="170"/>
        <w:rPr>
          <w:rFonts w:eastAsia="Times New Roman"/>
          <w:sz w:val="18"/>
          <w:szCs w:val="18"/>
          <w:lang w:val="fr-FR"/>
        </w:rPr>
      </w:pPr>
      <w:r w:rsidRPr="0027776E">
        <w:rPr>
          <w:rFonts w:eastAsia="Times New Roman"/>
          <w:sz w:val="18"/>
          <w:szCs w:val="18"/>
          <w:lang w:val="fr-FR"/>
        </w:rPr>
        <w:t>CI = allumage par compression.</w:t>
      </w:r>
    </w:p>
    <w:p w:rsidR="0027776E" w:rsidRPr="0027776E" w:rsidRDefault="0027776E" w:rsidP="0027776E">
      <w:pPr>
        <w:tabs>
          <w:tab w:val="left" w:pos="1017"/>
        </w:tabs>
        <w:kinsoku/>
        <w:overflowPunct/>
        <w:autoSpaceDE/>
        <w:autoSpaceDN/>
        <w:adjustRightInd/>
        <w:snapToGrid/>
        <w:ind w:left="284" w:firstLine="170"/>
        <w:rPr>
          <w:rFonts w:eastAsia="Times New Roman"/>
          <w:sz w:val="18"/>
          <w:szCs w:val="18"/>
          <w:lang w:val="fr-FR"/>
        </w:rPr>
      </w:pPr>
      <w:r w:rsidRPr="0027776E">
        <w:rPr>
          <w:rFonts w:eastAsia="Times New Roman"/>
          <w:i/>
          <w:sz w:val="18"/>
          <w:szCs w:val="18"/>
          <w:vertAlign w:val="superscript"/>
          <w:lang w:val="fr-FR"/>
        </w:rPr>
        <w:t>l</w:t>
      </w:r>
      <w:r w:rsidRPr="0027776E">
        <w:rPr>
          <w:rFonts w:eastAsia="Times New Roman"/>
          <w:sz w:val="18"/>
          <w:szCs w:val="18"/>
          <w:lang w:val="fr-FR"/>
        </w:rPr>
        <w:t xml:space="preserve">  Les limites relatives à la masse et au nombre de particules pour l</w:t>
      </w:r>
      <w:r w:rsidR="00DB4C2D">
        <w:rPr>
          <w:rFonts w:eastAsia="Times New Roman"/>
          <w:sz w:val="18"/>
          <w:szCs w:val="18"/>
          <w:lang w:val="fr-FR"/>
        </w:rPr>
        <w:t>’</w:t>
      </w:r>
      <w:r w:rsidRPr="0027776E">
        <w:rPr>
          <w:rFonts w:eastAsia="Times New Roman"/>
          <w:sz w:val="18"/>
          <w:szCs w:val="18"/>
          <w:lang w:val="fr-FR"/>
        </w:rPr>
        <w:t>allumage commandé s</w:t>
      </w:r>
      <w:r w:rsidR="00DB4C2D">
        <w:rPr>
          <w:rFonts w:eastAsia="Times New Roman"/>
          <w:sz w:val="18"/>
          <w:szCs w:val="18"/>
          <w:lang w:val="fr-FR"/>
        </w:rPr>
        <w:t>’</w:t>
      </w:r>
      <w:r w:rsidRPr="0027776E">
        <w:rPr>
          <w:rFonts w:eastAsia="Times New Roman"/>
          <w:sz w:val="18"/>
          <w:szCs w:val="18"/>
          <w:lang w:val="fr-FR"/>
        </w:rPr>
        <w:t>appliquent uniquement aux véhicules équipés d</w:t>
      </w:r>
      <w:r w:rsidR="00DB4C2D">
        <w:rPr>
          <w:rFonts w:eastAsia="Times New Roman"/>
          <w:sz w:val="18"/>
          <w:szCs w:val="18"/>
          <w:lang w:val="fr-FR"/>
        </w:rPr>
        <w:t>’</w:t>
      </w:r>
      <w:r w:rsidRPr="0027776E">
        <w:rPr>
          <w:rFonts w:eastAsia="Times New Roman"/>
          <w:sz w:val="18"/>
          <w:szCs w:val="18"/>
          <w:lang w:val="fr-FR"/>
        </w:rPr>
        <w:t>un moteur à injection directe.</w:t>
      </w:r>
    </w:p>
    <w:p w:rsidR="0027776E" w:rsidRDefault="0027776E" w:rsidP="0027776E">
      <w:pPr>
        <w:tabs>
          <w:tab w:val="left" w:pos="1017"/>
        </w:tabs>
        <w:kinsoku/>
        <w:overflowPunct/>
        <w:autoSpaceDE/>
        <w:autoSpaceDN/>
        <w:adjustRightInd/>
        <w:snapToGrid/>
        <w:ind w:left="284" w:firstLine="170"/>
        <w:rPr>
          <w:rFonts w:eastAsia="Times New Roman"/>
          <w:sz w:val="18"/>
          <w:szCs w:val="18"/>
          <w:lang w:val="fr-FR"/>
        </w:rPr>
      </w:pPr>
      <w:r w:rsidRPr="0027776E">
        <w:rPr>
          <w:rFonts w:eastAsia="Times New Roman"/>
          <w:i/>
          <w:sz w:val="18"/>
          <w:szCs w:val="18"/>
          <w:vertAlign w:val="superscript"/>
          <w:lang w:val="fr-FR"/>
        </w:rPr>
        <w:t>2</w:t>
      </w:r>
      <w:r w:rsidRPr="0027776E">
        <w:rPr>
          <w:rFonts w:eastAsia="Times New Roman"/>
          <w:sz w:val="18"/>
          <w:szCs w:val="18"/>
          <w:lang w:val="fr-FR"/>
        </w:rPr>
        <w:t xml:space="preserve">  Pendant une période s</w:t>
      </w:r>
      <w:r w:rsidR="00DB4C2D">
        <w:rPr>
          <w:rFonts w:eastAsia="Times New Roman"/>
          <w:sz w:val="18"/>
          <w:szCs w:val="18"/>
          <w:lang w:val="fr-FR"/>
        </w:rPr>
        <w:t>’</w:t>
      </w:r>
      <w:r w:rsidRPr="0027776E">
        <w:rPr>
          <w:rFonts w:eastAsia="Times New Roman"/>
          <w:sz w:val="18"/>
          <w:szCs w:val="18"/>
          <w:lang w:val="fr-FR"/>
        </w:rPr>
        <w:t>achevant trois ans après les dates indiquées aux paragraphes 12.2.1 et 12.2.2 du présent Règlement pour les nouvelles homologations de type et les nouveaux véhicules respectivement, une limite de 6,0 x 10</w:t>
      </w:r>
      <w:r w:rsidRPr="0027776E">
        <w:rPr>
          <w:rFonts w:eastAsia="Times New Roman"/>
          <w:sz w:val="18"/>
          <w:szCs w:val="18"/>
          <w:vertAlign w:val="superscript"/>
          <w:lang w:val="fr-FR"/>
        </w:rPr>
        <w:t>12</w:t>
      </w:r>
      <w:r w:rsidRPr="0027776E">
        <w:rPr>
          <w:rFonts w:eastAsia="Times New Roman"/>
          <w:sz w:val="18"/>
          <w:szCs w:val="18"/>
          <w:lang w:val="fr-FR"/>
        </w:rPr>
        <w:t xml:space="preserve"> particules émises par km s</w:t>
      </w:r>
      <w:r w:rsidR="00DB4C2D">
        <w:rPr>
          <w:rFonts w:eastAsia="Times New Roman"/>
          <w:sz w:val="18"/>
          <w:szCs w:val="18"/>
          <w:lang w:val="fr-FR"/>
        </w:rPr>
        <w:t>’</w:t>
      </w:r>
      <w:r w:rsidRPr="0027776E">
        <w:rPr>
          <w:rFonts w:eastAsia="Times New Roman"/>
          <w:sz w:val="18"/>
          <w:szCs w:val="18"/>
          <w:lang w:val="fr-FR"/>
        </w:rPr>
        <w:t>appliquera aux véhicules à allumage commandé à injection directe au choix du constructeur.</w:t>
      </w:r>
    </w:p>
    <w:p w:rsidR="00B55162" w:rsidRDefault="00B55162" w:rsidP="0027776E">
      <w:pPr>
        <w:tabs>
          <w:tab w:val="left" w:pos="1017"/>
        </w:tabs>
        <w:kinsoku/>
        <w:overflowPunct/>
        <w:autoSpaceDE/>
        <w:autoSpaceDN/>
        <w:adjustRightInd/>
        <w:snapToGrid/>
        <w:ind w:left="284" w:firstLine="170"/>
        <w:rPr>
          <w:lang w:val="fr-FR"/>
        </w:rPr>
        <w:sectPr w:rsidR="00B55162" w:rsidSect="003401F1">
          <w:headerReference w:type="even" r:id="rId14"/>
          <w:headerReference w:type="default" r:id="rId15"/>
          <w:footerReference w:type="even" r:id="rId16"/>
          <w:footerReference w:type="default" r:id="rId17"/>
          <w:endnotePr>
            <w:numFmt w:val="decimal"/>
          </w:endnotePr>
          <w:pgSz w:w="16840" w:h="11907" w:orient="landscape" w:code="9"/>
          <w:pgMar w:top="1134" w:right="1701" w:bottom="1134" w:left="2268" w:header="567" w:footer="567" w:gutter="0"/>
          <w:cols w:space="720"/>
          <w:docGrid w:linePitch="272"/>
        </w:sectPr>
      </w:pPr>
    </w:p>
    <w:p w:rsidR="00B55162" w:rsidRPr="00B55162" w:rsidRDefault="00B55162" w:rsidP="00B55162">
      <w:pPr>
        <w:kinsoku/>
        <w:overflowPunct/>
        <w:autoSpaceDE/>
        <w:autoSpaceDN/>
        <w:adjustRightInd/>
        <w:snapToGrid/>
        <w:spacing w:after="120"/>
        <w:ind w:left="2268" w:right="1134" w:hanging="1134"/>
        <w:jc w:val="both"/>
        <w:rPr>
          <w:rFonts w:eastAsia="Times New Roman"/>
          <w:lang w:val="fr-FR"/>
        </w:rPr>
      </w:pPr>
      <w:r w:rsidRPr="00B55162">
        <w:rPr>
          <w:rFonts w:eastAsia="Times New Roman"/>
          <w:lang w:val="fr-FR"/>
        </w:rPr>
        <w:lastRenderedPageBreak/>
        <w:t>5.3.1.4.1</w:t>
      </w:r>
      <w:r w:rsidRPr="00B55162">
        <w:rPr>
          <w:rFonts w:eastAsia="Times New Roman"/>
          <w:lang w:val="fr-FR"/>
        </w:rPr>
        <w:tab/>
        <w:t>Nonobstant les prescriptions du paragraphe 5.3.1.4, pour chacun des polluants ou combinaisons de polluants, un des trois résultats obtenus peut dépasser de 10 % au plus la limite prescrite, à condition que la moyenne arithmétique des trois résultats soit inférieure à la limite prescrite. Lorsque les limites prescrites sont dépassées pour plusieurs polluants, ce dépassement peut indifféremment avoir lieu lors du même essai ou lors d</w:t>
      </w:r>
      <w:r w:rsidR="00DB4C2D">
        <w:rPr>
          <w:rFonts w:eastAsia="Times New Roman"/>
          <w:lang w:val="fr-FR"/>
        </w:rPr>
        <w:t>’</w:t>
      </w:r>
      <w:r w:rsidRPr="00B55162">
        <w:rPr>
          <w:rFonts w:eastAsia="Times New Roman"/>
          <w:lang w:val="fr-FR"/>
        </w:rPr>
        <w:t>essais différents.</w:t>
      </w:r>
    </w:p>
    <w:p w:rsidR="00B55162" w:rsidRPr="00B55162" w:rsidRDefault="00B55162" w:rsidP="00B55162">
      <w:pPr>
        <w:kinsoku/>
        <w:overflowPunct/>
        <w:autoSpaceDE/>
        <w:autoSpaceDN/>
        <w:adjustRightInd/>
        <w:snapToGrid/>
        <w:spacing w:after="120"/>
        <w:ind w:left="2268" w:right="1134" w:hanging="1134"/>
        <w:jc w:val="both"/>
        <w:rPr>
          <w:rFonts w:eastAsia="Times New Roman"/>
          <w:lang w:val="fr-FR"/>
        </w:rPr>
      </w:pPr>
      <w:r w:rsidRPr="00B55162">
        <w:rPr>
          <w:rFonts w:eastAsia="Times New Roman"/>
          <w:lang w:val="fr-FR"/>
        </w:rPr>
        <w:t>5.3.1.4.2</w:t>
      </w:r>
      <w:r w:rsidRPr="00B55162">
        <w:rPr>
          <w:rFonts w:eastAsia="Times New Roman"/>
          <w:lang w:val="fr-FR"/>
        </w:rPr>
        <w:tab/>
        <w:t>Lorsque les essais sont exécutés avec des carburants gazeux, les masses résultantes des émissions gazeuses doivent être inférieures aux limites applicables aux véhicules à essence figurant dans le tableau 1.</w:t>
      </w:r>
    </w:p>
    <w:p w:rsidR="00B55162" w:rsidRPr="00B55162" w:rsidRDefault="00B55162" w:rsidP="00B55162">
      <w:pPr>
        <w:kinsoku/>
        <w:overflowPunct/>
        <w:autoSpaceDE/>
        <w:autoSpaceDN/>
        <w:adjustRightInd/>
        <w:snapToGrid/>
        <w:spacing w:after="120"/>
        <w:ind w:left="2268" w:right="1134" w:hanging="1134"/>
        <w:jc w:val="both"/>
        <w:rPr>
          <w:rFonts w:eastAsia="Times New Roman"/>
          <w:lang w:val="fr-FR"/>
        </w:rPr>
      </w:pPr>
      <w:r w:rsidRPr="00B55162">
        <w:rPr>
          <w:rFonts w:eastAsia="Times New Roman"/>
          <w:lang w:val="fr-FR"/>
        </w:rPr>
        <w:t>5.3.1.5</w:t>
      </w:r>
      <w:r w:rsidRPr="00B55162">
        <w:rPr>
          <w:rFonts w:eastAsia="Times New Roman"/>
          <w:lang w:val="fr-FR"/>
        </w:rPr>
        <w:tab/>
        <w:t>Le nombre d</w:t>
      </w:r>
      <w:r w:rsidR="00DB4C2D">
        <w:rPr>
          <w:rFonts w:eastAsia="Times New Roman"/>
          <w:lang w:val="fr-FR"/>
        </w:rPr>
        <w:t>’</w:t>
      </w:r>
      <w:r w:rsidRPr="00B55162">
        <w:rPr>
          <w:rFonts w:eastAsia="Times New Roman"/>
          <w:lang w:val="fr-FR"/>
        </w:rPr>
        <w:t>essais prescrit au paragraphe 5.3.1.4 est réduit dans les conditions définies ci-après, où V</w:t>
      </w:r>
      <w:r w:rsidRPr="00B55162">
        <w:rPr>
          <w:rFonts w:eastAsia="Times New Roman"/>
          <w:vertAlign w:val="subscript"/>
          <w:lang w:val="fr-FR"/>
        </w:rPr>
        <w:t>1</w:t>
      </w:r>
      <w:r w:rsidRPr="00B55162">
        <w:rPr>
          <w:rFonts w:eastAsia="Times New Roman"/>
          <w:lang w:val="fr-FR"/>
        </w:rPr>
        <w:t xml:space="preserve"> représente le résultat du premier essai, et V</w:t>
      </w:r>
      <w:r w:rsidRPr="00B55162">
        <w:rPr>
          <w:rFonts w:eastAsia="Times New Roman"/>
          <w:vertAlign w:val="subscript"/>
          <w:lang w:val="fr-FR"/>
        </w:rPr>
        <w:t>2</w:t>
      </w:r>
      <w:r w:rsidRPr="00B55162">
        <w:rPr>
          <w:rFonts w:eastAsia="Times New Roman"/>
          <w:lang w:val="fr-FR"/>
        </w:rPr>
        <w:t xml:space="preserve"> le résultat du second pour chacun des polluants ou pour l</w:t>
      </w:r>
      <w:r w:rsidR="00DB4C2D">
        <w:rPr>
          <w:rFonts w:eastAsia="Times New Roman"/>
          <w:lang w:val="fr-FR"/>
        </w:rPr>
        <w:t>’</w:t>
      </w:r>
      <w:r w:rsidRPr="00B55162">
        <w:rPr>
          <w:rFonts w:eastAsia="Times New Roman"/>
          <w:lang w:val="fr-FR"/>
        </w:rPr>
        <w:t>émission combinée de deux polluants sujets à limitation.</w:t>
      </w:r>
    </w:p>
    <w:p w:rsidR="00B55162" w:rsidRPr="00B55162" w:rsidRDefault="00B55162" w:rsidP="00B55162">
      <w:pPr>
        <w:kinsoku/>
        <w:overflowPunct/>
        <w:autoSpaceDE/>
        <w:autoSpaceDN/>
        <w:adjustRightInd/>
        <w:snapToGrid/>
        <w:spacing w:after="120"/>
        <w:ind w:left="2268" w:right="1134" w:hanging="1134"/>
        <w:jc w:val="both"/>
        <w:rPr>
          <w:rFonts w:eastAsia="Times New Roman"/>
          <w:lang w:val="fr-FR"/>
        </w:rPr>
      </w:pPr>
      <w:r w:rsidRPr="00B55162">
        <w:rPr>
          <w:rFonts w:eastAsia="Times New Roman"/>
          <w:lang w:val="fr-FR"/>
        </w:rPr>
        <w:t>5.3.1.5.1</w:t>
      </w:r>
      <w:r w:rsidRPr="00B55162">
        <w:rPr>
          <w:rFonts w:eastAsia="Times New Roman"/>
          <w:lang w:val="fr-FR"/>
        </w:rPr>
        <w:tab/>
        <w:t>Un seul essai est exécuté si les valeurs obtenues pour chaque polluant ou pour l</w:t>
      </w:r>
      <w:r w:rsidR="00DB4C2D">
        <w:rPr>
          <w:rFonts w:eastAsia="Times New Roman"/>
          <w:lang w:val="fr-FR"/>
        </w:rPr>
        <w:t>’</w:t>
      </w:r>
      <w:r w:rsidRPr="00B55162">
        <w:rPr>
          <w:rFonts w:eastAsia="Times New Roman"/>
          <w:lang w:val="fr-FR"/>
        </w:rPr>
        <w:t>émission combinée de deux polluants sujets à limitation sont inférieures ou égales à 0,70 L (V</w:t>
      </w:r>
      <w:r w:rsidRPr="00B55162">
        <w:rPr>
          <w:rFonts w:eastAsia="Times New Roman"/>
          <w:vertAlign w:val="subscript"/>
          <w:lang w:val="fr-FR"/>
        </w:rPr>
        <w:t>1</w:t>
      </w:r>
      <w:r w:rsidRPr="00B55162">
        <w:rPr>
          <w:rFonts w:eastAsia="Times New Roman"/>
          <w:lang w:val="fr-FR"/>
        </w:rPr>
        <w:t xml:space="preserve"> </w:t>
      </w:r>
      <w:r w:rsidRPr="00B55162">
        <w:rPr>
          <w:rFonts w:eastAsia="Times New Roman"/>
          <w:lang w:val="fr-FR"/>
        </w:rPr>
        <w:sym w:font="Symbol" w:char="F0A3"/>
      </w:r>
      <w:r w:rsidRPr="00B55162">
        <w:rPr>
          <w:rFonts w:eastAsia="Times New Roman"/>
          <w:lang w:val="fr-FR"/>
        </w:rPr>
        <w:t xml:space="preserve"> 0,70 L).</w:t>
      </w:r>
    </w:p>
    <w:p w:rsidR="00B55162" w:rsidRPr="00B55162" w:rsidRDefault="00B55162" w:rsidP="00B55162">
      <w:pPr>
        <w:kinsoku/>
        <w:overflowPunct/>
        <w:autoSpaceDE/>
        <w:autoSpaceDN/>
        <w:adjustRightInd/>
        <w:snapToGrid/>
        <w:spacing w:after="120"/>
        <w:ind w:left="2268" w:right="1134" w:hanging="1134"/>
        <w:jc w:val="both"/>
        <w:rPr>
          <w:rFonts w:eastAsia="Times New Roman"/>
          <w:lang w:val="fr-FR"/>
        </w:rPr>
      </w:pPr>
      <w:r w:rsidRPr="00B55162">
        <w:rPr>
          <w:rFonts w:eastAsia="Times New Roman"/>
          <w:lang w:val="fr-FR"/>
        </w:rPr>
        <w:t>5.3.1.5.2</w:t>
      </w:r>
      <w:r w:rsidRPr="00B55162">
        <w:rPr>
          <w:rFonts w:eastAsia="Times New Roman"/>
          <w:lang w:val="fr-FR"/>
        </w:rPr>
        <w:tab/>
        <w:t>Si la condition du paragraphe 5.3.1.5.1 n</w:t>
      </w:r>
      <w:r w:rsidR="00DB4C2D">
        <w:rPr>
          <w:rFonts w:eastAsia="Times New Roman"/>
          <w:lang w:val="fr-FR"/>
        </w:rPr>
        <w:t>’</w:t>
      </w:r>
      <w:r w:rsidRPr="00B55162">
        <w:rPr>
          <w:rFonts w:eastAsia="Times New Roman"/>
          <w:lang w:val="fr-FR"/>
        </w:rPr>
        <w:t>est pas remplie, deux essais seulement sont exécutés, si, pour chaque polluant ou l</w:t>
      </w:r>
      <w:r w:rsidR="00DB4C2D">
        <w:rPr>
          <w:rFonts w:eastAsia="Times New Roman"/>
          <w:lang w:val="fr-FR"/>
        </w:rPr>
        <w:t>’</w:t>
      </w:r>
      <w:r w:rsidRPr="00B55162">
        <w:rPr>
          <w:rFonts w:eastAsia="Times New Roman"/>
          <w:lang w:val="fr-FR"/>
        </w:rPr>
        <w:t>émission combinée de deux polluants sujets à limitation, les conditions suivantes sont remplies:</w:t>
      </w:r>
    </w:p>
    <w:p w:rsidR="00DB4C2D" w:rsidRDefault="00B55162" w:rsidP="00B55162">
      <w:pPr>
        <w:pStyle w:val="SingleTxtG"/>
        <w:ind w:left="2268"/>
        <w:rPr>
          <w:lang w:val="fr-FR"/>
        </w:rPr>
      </w:pPr>
      <w:r w:rsidRPr="00B55162">
        <w:rPr>
          <w:lang w:val="fr-FR"/>
        </w:rPr>
        <w:t>V</w:t>
      </w:r>
      <w:r w:rsidRPr="00B55162">
        <w:rPr>
          <w:vertAlign w:val="subscript"/>
          <w:lang w:val="fr-FR"/>
        </w:rPr>
        <w:t>1</w:t>
      </w:r>
      <w:r w:rsidRPr="00B55162">
        <w:rPr>
          <w:lang w:val="fr-FR"/>
        </w:rPr>
        <w:t xml:space="preserve"> </w:t>
      </w:r>
      <w:r w:rsidRPr="00B55162">
        <w:rPr>
          <w:u w:val="single"/>
          <w:lang w:val="fr-FR"/>
        </w:rPr>
        <w:t>&lt;</w:t>
      </w:r>
      <w:r w:rsidRPr="00B55162">
        <w:rPr>
          <w:lang w:val="fr-FR"/>
        </w:rPr>
        <w:t xml:space="preserve"> 0,85 L et V</w:t>
      </w:r>
      <w:r w:rsidRPr="00B55162">
        <w:rPr>
          <w:vertAlign w:val="subscript"/>
          <w:lang w:val="fr-FR"/>
        </w:rPr>
        <w:t>1</w:t>
      </w:r>
      <w:r w:rsidRPr="00B55162">
        <w:rPr>
          <w:lang w:val="fr-FR"/>
        </w:rPr>
        <w:t xml:space="preserve"> + V</w:t>
      </w:r>
      <w:r w:rsidRPr="00B55162">
        <w:rPr>
          <w:vertAlign w:val="subscript"/>
          <w:lang w:val="fr-FR"/>
        </w:rPr>
        <w:t>2</w:t>
      </w:r>
      <w:r w:rsidRPr="00B55162">
        <w:rPr>
          <w:lang w:val="fr-FR"/>
        </w:rPr>
        <w:t xml:space="preserve"> </w:t>
      </w:r>
      <w:r w:rsidRPr="00B55162">
        <w:rPr>
          <w:u w:val="single"/>
          <w:lang w:val="fr-FR"/>
        </w:rPr>
        <w:t>&lt;</w:t>
      </w:r>
      <w:r w:rsidRPr="00B55162">
        <w:rPr>
          <w:lang w:val="fr-FR"/>
        </w:rPr>
        <w:t xml:space="preserve"> 1,70 L et V</w:t>
      </w:r>
      <w:r w:rsidRPr="00B55162">
        <w:rPr>
          <w:vertAlign w:val="subscript"/>
          <w:lang w:val="fr-FR"/>
        </w:rPr>
        <w:t>2</w:t>
      </w:r>
      <w:r w:rsidRPr="00B55162">
        <w:rPr>
          <w:lang w:val="fr-FR"/>
        </w:rPr>
        <w:t xml:space="preserve"> </w:t>
      </w:r>
      <w:r w:rsidRPr="00B55162">
        <w:rPr>
          <w:u w:val="single"/>
          <w:lang w:val="fr-FR"/>
        </w:rPr>
        <w:t>&lt;</w:t>
      </w:r>
      <w:r w:rsidRPr="00B55162">
        <w:rPr>
          <w:lang w:val="fr-FR"/>
        </w:rPr>
        <w:t xml:space="preserve"> L.</w:t>
      </w:r>
    </w:p>
    <w:p w:rsidR="00B55162" w:rsidRDefault="00B55162" w:rsidP="00B55162">
      <w:pPr>
        <w:pStyle w:val="Titre1"/>
        <w:spacing w:after="120"/>
        <w:rPr>
          <w:b/>
          <w:lang w:val="fr-FR"/>
        </w:rPr>
      </w:pPr>
      <w:r w:rsidRPr="00A779B8">
        <w:rPr>
          <w:lang w:val="fr-FR"/>
        </w:rPr>
        <w:lastRenderedPageBreak/>
        <w:t>Figure 1</w:t>
      </w:r>
      <w:r w:rsidRPr="00A779B8">
        <w:rPr>
          <w:lang w:val="fr-FR"/>
        </w:rPr>
        <w:br/>
      </w:r>
      <w:r w:rsidRPr="00B55162">
        <w:rPr>
          <w:b/>
          <w:lang w:val="fr-FR"/>
        </w:rPr>
        <w:t>Diagramme logique de système d</w:t>
      </w:r>
      <w:r w:rsidR="00DB4C2D">
        <w:rPr>
          <w:b/>
          <w:lang w:val="fr-FR"/>
        </w:rPr>
        <w:t>’</w:t>
      </w:r>
      <w:r w:rsidRPr="00B55162">
        <w:rPr>
          <w:b/>
          <w:lang w:val="fr-FR"/>
        </w:rPr>
        <w:t>homologation − essai du type I</w:t>
      </w:r>
    </w:p>
    <w:bookmarkStart w:id="3" w:name="_MON_1432204629"/>
    <w:bookmarkStart w:id="4" w:name="_MON_1432204651"/>
    <w:bookmarkStart w:id="5" w:name="_MON_1432204674"/>
    <w:bookmarkStart w:id="6" w:name="_MON_1432204693"/>
    <w:bookmarkStart w:id="7" w:name="_MON_1432204990"/>
    <w:bookmarkStart w:id="8" w:name="_MON_1432205035"/>
    <w:bookmarkStart w:id="9" w:name="_MON_1433059067"/>
    <w:bookmarkStart w:id="10" w:name="_MON_1433059264"/>
    <w:bookmarkStart w:id="11" w:name="_MON_1448091129"/>
    <w:bookmarkStart w:id="12" w:name="_MON_1448091288"/>
    <w:bookmarkStart w:id="13" w:name="_MON_1448091317"/>
    <w:bookmarkStart w:id="14" w:name="_MON_1448091444"/>
    <w:bookmarkStart w:id="15" w:name="_MON_1448091470"/>
    <w:bookmarkStart w:id="16" w:name="_MON_1448715962"/>
    <w:bookmarkStart w:id="17" w:name="_MON_146201598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rsidR="00B55162" w:rsidRDefault="00B55162" w:rsidP="00B55162">
      <w:pPr>
        <w:ind w:left="1134"/>
        <w:rPr>
          <w:lang w:val="fr-FR"/>
        </w:rPr>
      </w:pPr>
      <w:r w:rsidRPr="00A779B8">
        <w:rPr>
          <w:lang w:val="fr-FR"/>
        </w:rPr>
        <w:object w:dxaOrig="8079" w:dyaOrig="10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45pt;height:476.85pt" o:ole="">
            <v:imagedata r:id="rId18" o:title=""/>
            <w10:bordertop type="single" width="4"/>
            <w10:borderleft type="single" width="4"/>
            <w10:borderbottom type="single" width="4"/>
            <w10:borderright type="single" width="4"/>
          </v:shape>
          <o:OLEObject Type="Embed" ProgID="Word.Picture.8" ShapeID="_x0000_i1025" DrawAspect="Content" ObjectID="_1490178407" r:id="rId19"/>
        </w:object>
      </w:r>
    </w:p>
    <w:p w:rsidR="00B55162" w:rsidRPr="00B55162" w:rsidRDefault="00B55162" w:rsidP="00BE63F4">
      <w:pPr>
        <w:pStyle w:val="SingleTxtG"/>
        <w:keepLines/>
        <w:spacing w:before="120"/>
        <w:ind w:left="2268" w:hanging="1134"/>
        <w:rPr>
          <w:lang w:val="fr-FR"/>
        </w:rPr>
      </w:pPr>
      <w:r w:rsidRPr="00B55162">
        <w:rPr>
          <w:lang w:val="fr-FR"/>
        </w:rPr>
        <w:t>5.3.2</w:t>
      </w:r>
      <w:r w:rsidRPr="00B55162">
        <w:rPr>
          <w:lang w:val="fr-FR"/>
        </w:rPr>
        <w:tab/>
        <w:t>Essai du type II (contrôle de l</w:t>
      </w:r>
      <w:r w:rsidR="00DB4C2D">
        <w:rPr>
          <w:lang w:val="fr-FR"/>
        </w:rPr>
        <w:t>’</w:t>
      </w:r>
      <w:r w:rsidRPr="00B55162">
        <w:rPr>
          <w:lang w:val="fr-FR"/>
        </w:rPr>
        <w:t>émission de monoxyde de carbone au régime de ralenti)</w:t>
      </w:r>
    </w:p>
    <w:p w:rsidR="00B55162" w:rsidRPr="00B55162" w:rsidRDefault="00B55162" w:rsidP="00B55162">
      <w:pPr>
        <w:pStyle w:val="SingleTxtG"/>
        <w:spacing w:before="120"/>
        <w:ind w:left="2268" w:hanging="1134"/>
        <w:rPr>
          <w:rFonts w:eastAsia="Times New Roman"/>
          <w:lang w:val="fr-FR"/>
        </w:rPr>
      </w:pPr>
      <w:r w:rsidRPr="00B55162">
        <w:rPr>
          <w:rFonts w:eastAsia="Times New Roman"/>
          <w:lang w:val="fr-FR"/>
        </w:rPr>
        <w:t>5.3.2.1</w:t>
      </w:r>
      <w:r w:rsidRPr="00B55162">
        <w:rPr>
          <w:rFonts w:eastAsia="Times New Roman"/>
          <w:lang w:val="fr-FR"/>
        </w:rPr>
        <w:tab/>
        <w:t>L</w:t>
      </w:r>
      <w:r w:rsidR="00DB4C2D">
        <w:rPr>
          <w:rFonts w:eastAsia="Times New Roman"/>
          <w:lang w:val="fr-FR"/>
        </w:rPr>
        <w:t>’</w:t>
      </w:r>
      <w:r w:rsidRPr="00B55162">
        <w:rPr>
          <w:rFonts w:eastAsia="Times New Roman"/>
          <w:lang w:val="fr-FR"/>
        </w:rPr>
        <w:t>essai doit être exécuté comme suit sur tous les véhicules équipés d</w:t>
      </w:r>
      <w:r w:rsidR="00DB4C2D">
        <w:rPr>
          <w:rFonts w:eastAsia="Times New Roman"/>
          <w:lang w:val="fr-FR"/>
        </w:rPr>
        <w:t>’</w:t>
      </w:r>
      <w:r w:rsidRPr="00B55162">
        <w:rPr>
          <w:rFonts w:eastAsia="Times New Roman"/>
          <w:lang w:val="fr-FR"/>
        </w:rPr>
        <w:t xml:space="preserve">un moteur à </w:t>
      </w:r>
      <w:r w:rsidRPr="00B55162">
        <w:rPr>
          <w:lang w:val="fr-FR"/>
        </w:rPr>
        <w:t>allumage</w:t>
      </w:r>
      <w:r w:rsidRPr="00B55162">
        <w:rPr>
          <w:rFonts w:eastAsia="Times New Roman"/>
          <w:lang w:val="fr-FR"/>
        </w:rPr>
        <w:t xml:space="preserve"> commandé:</w:t>
      </w:r>
    </w:p>
    <w:p w:rsidR="00B55162" w:rsidRDefault="00B55162" w:rsidP="00B55162">
      <w:pPr>
        <w:pStyle w:val="SingleTxtG"/>
        <w:spacing w:before="120"/>
        <w:ind w:left="2268" w:hanging="1134"/>
        <w:rPr>
          <w:rFonts w:eastAsia="Times New Roman"/>
          <w:lang w:val="fr-FR"/>
        </w:rPr>
      </w:pPr>
      <w:r w:rsidRPr="00B55162">
        <w:rPr>
          <w:rFonts w:eastAsia="Times New Roman"/>
          <w:lang w:val="fr-FR"/>
        </w:rPr>
        <w:t>5.3.2.1.1</w:t>
      </w:r>
      <w:r w:rsidRPr="00B55162">
        <w:rPr>
          <w:rFonts w:eastAsia="Times New Roman"/>
          <w:lang w:val="fr-FR"/>
        </w:rPr>
        <w:tab/>
        <w:t xml:space="preserve">Les véhicules </w:t>
      </w:r>
      <w:r w:rsidRPr="00B55162">
        <w:rPr>
          <w:lang w:val="fr-FR"/>
        </w:rPr>
        <w:t>pouvant</w:t>
      </w:r>
      <w:r w:rsidRPr="00B55162">
        <w:rPr>
          <w:rFonts w:eastAsia="Times New Roman"/>
          <w:lang w:val="fr-FR"/>
        </w:rPr>
        <w:t xml:space="preserve"> fonctionner soit à l</w:t>
      </w:r>
      <w:r w:rsidR="00DB4C2D">
        <w:rPr>
          <w:rFonts w:eastAsia="Times New Roman"/>
          <w:lang w:val="fr-FR"/>
        </w:rPr>
        <w:t>’</w:t>
      </w:r>
      <w:r w:rsidRPr="00B55162">
        <w:rPr>
          <w:rFonts w:eastAsia="Times New Roman"/>
          <w:lang w:val="fr-FR"/>
        </w:rPr>
        <w:t>essence, soit au GPL ou au GN/</w:t>
      </w:r>
      <w:proofErr w:type="spellStart"/>
      <w:r w:rsidRPr="00B55162">
        <w:rPr>
          <w:rFonts w:eastAsia="Times New Roman"/>
          <w:lang w:val="fr-FR"/>
        </w:rPr>
        <w:t>biométhane</w:t>
      </w:r>
      <w:proofErr w:type="spellEnd"/>
      <w:r w:rsidRPr="00B55162">
        <w:rPr>
          <w:rFonts w:eastAsia="Times New Roman"/>
          <w:lang w:val="fr-FR"/>
        </w:rPr>
        <w:t xml:space="preserve"> sont soumis à l</w:t>
      </w:r>
      <w:r w:rsidR="00DB4C2D">
        <w:rPr>
          <w:rFonts w:eastAsia="Times New Roman"/>
          <w:lang w:val="fr-FR"/>
        </w:rPr>
        <w:t>’</w:t>
      </w:r>
      <w:r w:rsidRPr="00B55162">
        <w:rPr>
          <w:rFonts w:eastAsia="Times New Roman"/>
          <w:lang w:val="fr-FR"/>
        </w:rPr>
        <w:t>essai du type II avec les deux types de carburants.</w:t>
      </w:r>
    </w:p>
    <w:p w:rsidR="00B55162" w:rsidRPr="00B55162" w:rsidRDefault="00B55162" w:rsidP="00B55162">
      <w:pPr>
        <w:pStyle w:val="SingleTxtG"/>
        <w:keepLines/>
        <w:spacing w:before="120"/>
        <w:ind w:left="2268" w:hanging="1134"/>
        <w:rPr>
          <w:rFonts w:eastAsia="Times New Roman"/>
          <w:lang w:val="fr-FR"/>
        </w:rPr>
      </w:pPr>
      <w:r w:rsidRPr="00B55162">
        <w:rPr>
          <w:rFonts w:eastAsia="Times New Roman"/>
          <w:lang w:val="fr-FR"/>
        </w:rPr>
        <w:lastRenderedPageBreak/>
        <w:t>5.3.2.1.2</w:t>
      </w:r>
      <w:r w:rsidRPr="00B55162">
        <w:rPr>
          <w:rFonts w:eastAsia="Times New Roman"/>
          <w:lang w:val="fr-FR"/>
        </w:rPr>
        <w:tab/>
        <w:t>Nonobstant les prescriptions du paragraphe 5.3.2.1.1, les véhicules pouvant fonctionner à l</w:t>
      </w:r>
      <w:r w:rsidR="00DB4C2D">
        <w:rPr>
          <w:rFonts w:eastAsia="Times New Roman"/>
          <w:lang w:val="fr-FR"/>
        </w:rPr>
        <w:t>’</w:t>
      </w:r>
      <w:r w:rsidRPr="00B55162">
        <w:rPr>
          <w:rFonts w:eastAsia="Times New Roman"/>
          <w:lang w:val="fr-FR"/>
        </w:rPr>
        <w:t>essence et avec un carburant gazeux, mais sur lesquels le circuit d</w:t>
      </w:r>
      <w:r w:rsidR="00DB4C2D">
        <w:rPr>
          <w:rFonts w:eastAsia="Times New Roman"/>
          <w:lang w:val="fr-FR"/>
        </w:rPr>
        <w:t>’</w:t>
      </w:r>
      <w:r w:rsidRPr="00B55162">
        <w:rPr>
          <w:rFonts w:eastAsia="Times New Roman"/>
          <w:lang w:val="fr-FR"/>
        </w:rPr>
        <w:t>alimentation en essence sert uniquement en cas d</w:t>
      </w:r>
      <w:r w:rsidR="00DB4C2D">
        <w:rPr>
          <w:rFonts w:eastAsia="Times New Roman"/>
          <w:lang w:val="fr-FR"/>
        </w:rPr>
        <w:t>’</w:t>
      </w:r>
      <w:r w:rsidRPr="00B55162">
        <w:rPr>
          <w:rFonts w:eastAsia="Times New Roman"/>
          <w:lang w:val="fr-FR"/>
        </w:rPr>
        <w:t>urgence ou pour le démarrage, et dont le réservoir à essence a une contenance maximale de 15 litres, sont considérés aux fins de l</w:t>
      </w:r>
      <w:r w:rsidR="00DB4C2D">
        <w:rPr>
          <w:rFonts w:eastAsia="Times New Roman"/>
          <w:lang w:val="fr-FR"/>
        </w:rPr>
        <w:t>’</w:t>
      </w:r>
      <w:r w:rsidRPr="00B55162">
        <w:rPr>
          <w:rFonts w:eastAsia="Times New Roman"/>
          <w:lang w:val="fr-FR"/>
        </w:rPr>
        <w:t>essai du type II comme des véhicules fonctionnant uniquement avec un carburant gazeux.</w:t>
      </w:r>
    </w:p>
    <w:p w:rsidR="00B55162" w:rsidRPr="00B55162" w:rsidRDefault="00B55162" w:rsidP="00B55162">
      <w:pPr>
        <w:pStyle w:val="SingleTxtG"/>
        <w:spacing w:before="120"/>
        <w:ind w:left="2268" w:hanging="1134"/>
        <w:rPr>
          <w:rFonts w:eastAsia="Times New Roman"/>
          <w:lang w:val="fr-FR"/>
        </w:rPr>
      </w:pPr>
      <w:r w:rsidRPr="00B55162">
        <w:rPr>
          <w:rFonts w:eastAsia="Times New Roman"/>
          <w:lang w:val="fr-FR"/>
        </w:rPr>
        <w:t>5.3.2.2</w:t>
      </w:r>
      <w:r w:rsidRPr="00B55162">
        <w:rPr>
          <w:rFonts w:eastAsia="Times New Roman"/>
          <w:lang w:val="fr-FR"/>
        </w:rPr>
        <w:tab/>
        <w:t>En ce qui concerne l</w:t>
      </w:r>
      <w:r w:rsidR="00DB4C2D">
        <w:rPr>
          <w:rFonts w:eastAsia="Times New Roman"/>
          <w:lang w:val="fr-FR"/>
        </w:rPr>
        <w:t>’</w:t>
      </w:r>
      <w:r w:rsidRPr="00B55162">
        <w:rPr>
          <w:rFonts w:eastAsia="Times New Roman"/>
          <w:lang w:val="fr-FR"/>
        </w:rPr>
        <w:t>essai du type II présenté à l</w:t>
      </w:r>
      <w:r w:rsidR="00DB4C2D">
        <w:rPr>
          <w:rFonts w:eastAsia="Times New Roman"/>
          <w:lang w:val="fr-FR"/>
        </w:rPr>
        <w:t>’</w:t>
      </w:r>
      <w:r w:rsidRPr="00B55162">
        <w:rPr>
          <w:rFonts w:eastAsia="Times New Roman"/>
          <w:lang w:val="fr-FR"/>
        </w:rPr>
        <w:t>annexe 5 du présent Règlement, au régime normal de ralenti, la teneur maximale admissible des gaz d</w:t>
      </w:r>
      <w:r w:rsidR="00DB4C2D">
        <w:rPr>
          <w:rFonts w:eastAsia="Times New Roman"/>
          <w:lang w:val="fr-FR"/>
        </w:rPr>
        <w:t>’</w:t>
      </w:r>
      <w:r w:rsidRPr="00B55162">
        <w:rPr>
          <w:rFonts w:eastAsia="Times New Roman"/>
          <w:lang w:val="fr-FR"/>
        </w:rPr>
        <w:t xml:space="preserve">échappement en </w:t>
      </w:r>
      <w:r w:rsidRPr="00B55162">
        <w:rPr>
          <w:lang w:val="fr-FR"/>
        </w:rPr>
        <w:t>monoxyde</w:t>
      </w:r>
      <w:r w:rsidRPr="00B55162">
        <w:rPr>
          <w:rFonts w:eastAsia="Times New Roman"/>
          <w:lang w:val="fr-FR"/>
        </w:rPr>
        <w:t xml:space="preserve"> de carbone est celle qui est mentionnée par le constructeur du véhicule. Toutefois, la teneur volumique maximale en monoxyde de carbone ne doit pas dépasser 0,3 %.</w:t>
      </w:r>
    </w:p>
    <w:p w:rsidR="00B55162" w:rsidRPr="00B55162" w:rsidRDefault="00B55162" w:rsidP="00B55162">
      <w:pPr>
        <w:pStyle w:val="SingleTxtG"/>
        <w:spacing w:before="120"/>
        <w:ind w:left="2268"/>
        <w:rPr>
          <w:rFonts w:eastAsia="Times New Roman"/>
          <w:lang w:val="fr-FR"/>
        </w:rPr>
      </w:pPr>
      <w:r w:rsidRPr="00B55162">
        <w:rPr>
          <w:rFonts w:eastAsia="Times New Roman"/>
          <w:lang w:val="fr-FR"/>
        </w:rPr>
        <w:t>Au ralenti accéléré, la teneur volumique en monoxyde de carbone des gaz d</w:t>
      </w:r>
      <w:r w:rsidR="00DB4C2D">
        <w:rPr>
          <w:rFonts w:eastAsia="Times New Roman"/>
          <w:lang w:val="fr-FR"/>
        </w:rPr>
        <w:t>’</w:t>
      </w:r>
      <w:r w:rsidRPr="00B55162">
        <w:rPr>
          <w:rFonts w:eastAsia="Times New Roman"/>
          <w:lang w:val="fr-FR"/>
        </w:rPr>
        <w:t>échappement ne doit pas dépasser 0,2 % pour un régime du moteur au moins égal à 2 000 min</w:t>
      </w:r>
      <w:r w:rsidRPr="00B55162">
        <w:rPr>
          <w:rFonts w:eastAsia="Times New Roman"/>
          <w:vertAlign w:val="superscript"/>
          <w:lang w:val="fr-FR"/>
        </w:rPr>
        <w:t>-1</w:t>
      </w:r>
      <w:r w:rsidRPr="00B55162">
        <w:rPr>
          <w:rFonts w:eastAsia="Times New Roman"/>
          <w:lang w:val="fr-FR"/>
        </w:rPr>
        <w:t xml:space="preserve">, </w:t>
      </w:r>
      <w:r w:rsidRPr="00B55162">
        <w:rPr>
          <w:lang w:val="fr-FR"/>
        </w:rPr>
        <w:t>la</w:t>
      </w:r>
      <w:r w:rsidRPr="00B55162">
        <w:rPr>
          <w:rFonts w:eastAsia="Times New Roman"/>
          <w:lang w:val="fr-FR"/>
        </w:rPr>
        <w:t xml:space="preserve"> valeur Lambda devant être égale à 1 </w:t>
      </w:r>
      <w:r w:rsidRPr="00B55162">
        <w:rPr>
          <w:rFonts w:eastAsia="Times New Roman"/>
          <w:lang w:val="fr-FR"/>
        </w:rPr>
        <w:sym w:font="Symbol" w:char="F0B1"/>
      </w:r>
      <w:r w:rsidRPr="00B55162">
        <w:rPr>
          <w:rFonts w:eastAsia="Times New Roman"/>
          <w:lang w:val="fr-FR"/>
        </w:rPr>
        <w:t> 0,03 ou conforme aux spécifications du constructeur.</w:t>
      </w:r>
    </w:p>
    <w:p w:rsidR="00B55162" w:rsidRPr="00B55162" w:rsidRDefault="00B55162" w:rsidP="00BE63F4">
      <w:pPr>
        <w:pStyle w:val="SingleTxtG"/>
        <w:keepLines/>
        <w:spacing w:before="120"/>
        <w:ind w:left="2268" w:hanging="1134"/>
        <w:rPr>
          <w:rFonts w:eastAsia="Times New Roman"/>
          <w:lang w:val="fr-FR"/>
        </w:rPr>
      </w:pPr>
      <w:r w:rsidRPr="00B55162">
        <w:rPr>
          <w:rFonts w:eastAsia="Times New Roman"/>
          <w:lang w:val="fr-FR"/>
        </w:rPr>
        <w:t>5.3.3</w:t>
      </w:r>
      <w:r w:rsidRPr="00B55162">
        <w:rPr>
          <w:rFonts w:eastAsia="Times New Roman"/>
          <w:lang w:val="fr-FR"/>
        </w:rPr>
        <w:tab/>
        <w:t>Essai du type III (contrôle des émissions de gaz de carter)</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5.3.3.1</w:t>
      </w:r>
      <w:r w:rsidRPr="00B55162">
        <w:rPr>
          <w:rFonts w:eastAsia="Times New Roman"/>
          <w:lang w:val="fr-FR"/>
        </w:rPr>
        <w:tab/>
        <w:t xml:space="preserve">Cet essai doit être effectué </w:t>
      </w:r>
      <w:r w:rsidRPr="00B55162">
        <w:rPr>
          <w:lang w:val="fr-FR"/>
        </w:rPr>
        <w:t>sur</w:t>
      </w:r>
      <w:r w:rsidRPr="00B55162">
        <w:rPr>
          <w:rFonts w:eastAsia="Times New Roman"/>
          <w:lang w:val="fr-FR"/>
        </w:rPr>
        <w:t xml:space="preserve"> tous les véhicules visés au paragraphe 1, à l</w:t>
      </w:r>
      <w:r w:rsidR="00DB4C2D">
        <w:rPr>
          <w:rFonts w:eastAsia="Times New Roman"/>
          <w:lang w:val="fr-FR"/>
        </w:rPr>
        <w:t>’</w:t>
      </w:r>
      <w:r w:rsidRPr="00B55162">
        <w:rPr>
          <w:rFonts w:eastAsia="Times New Roman"/>
          <w:lang w:val="fr-FR"/>
        </w:rPr>
        <w:t>exception de ceux qui ont un moteur à allumage par compression.</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5.3.3.1.1</w:t>
      </w:r>
      <w:r w:rsidRPr="00B55162">
        <w:rPr>
          <w:rFonts w:eastAsia="Times New Roman"/>
          <w:lang w:val="fr-FR"/>
        </w:rPr>
        <w:tab/>
        <w:t>Les véhicules pouvant fonctionner soit à l</w:t>
      </w:r>
      <w:r w:rsidR="00DB4C2D">
        <w:rPr>
          <w:rFonts w:eastAsia="Times New Roman"/>
          <w:lang w:val="fr-FR"/>
        </w:rPr>
        <w:t>’</w:t>
      </w:r>
      <w:r w:rsidRPr="00B55162">
        <w:rPr>
          <w:rFonts w:eastAsia="Times New Roman"/>
          <w:lang w:val="fr-FR"/>
        </w:rPr>
        <w:t>essence soit au GPL ou au GN ne doivent être soumis à l</w:t>
      </w:r>
      <w:r w:rsidR="00DB4C2D">
        <w:rPr>
          <w:rFonts w:eastAsia="Times New Roman"/>
          <w:lang w:val="fr-FR"/>
        </w:rPr>
        <w:t>’</w:t>
      </w:r>
      <w:r w:rsidRPr="00B55162">
        <w:rPr>
          <w:rFonts w:eastAsia="Times New Roman"/>
          <w:lang w:val="fr-FR"/>
        </w:rPr>
        <w:t>essai du type III qu</w:t>
      </w:r>
      <w:r w:rsidR="00DB4C2D">
        <w:rPr>
          <w:rFonts w:eastAsia="Times New Roman"/>
          <w:lang w:val="fr-FR"/>
        </w:rPr>
        <w:t>’</w:t>
      </w:r>
      <w:r w:rsidRPr="00B55162">
        <w:rPr>
          <w:rFonts w:eastAsia="Times New Roman"/>
          <w:lang w:val="fr-FR"/>
        </w:rPr>
        <w:t>avec de l</w:t>
      </w:r>
      <w:r w:rsidR="00DB4C2D">
        <w:rPr>
          <w:rFonts w:eastAsia="Times New Roman"/>
          <w:lang w:val="fr-FR"/>
        </w:rPr>
        <w:t>’</w:t>
      </w:r>
      <w:r w:rsidRPr="00B55162">
        <w:rPr>
          <w:rFonts w:eastAsia="Times New Roman"/>
          <w:lang w:val="fr-FR"/>
        </w:rPr>
        <w:t>essence.</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5.3.3.1.2</w:t>
      </w:r>
      <w:r w:rsidRPr="00B55162">
        <w:rPr>
          <w:rFonts w:eastAsia="Times New Roman"/>
          <w:lang w:val="fr-FR"/>
        </w:rPr>
        <w:tab/>
        <w:t>Nonobstant les prescriptions du paragraphe 5.3.3.1.1, les véhicules pouvant fonctionner à l</w:t>
      </w:r>
      <w:r w:rsidR="00DB4C2D">
        <w:rPr>
          <w:rFonts w:eastAsia="Times New Roman"/>
          <w:lang w:val="fr-FR"/>
        </w:rPr>
        <w:t>’</w:t>
      </w:r>
      <w:r w:rsidRPr="00B55162">
        <w:rPr>
          <w:rFonts w:eastAsia="Times New Roman"/>
          <w:lang w:val="fr-FR"/>
        </w:rPr>
        <w:t>essence et avec un carburant gazeux, mais sur lesquels le circuit d</w:t>
      </w:r>
      <w:r w:rsidR="00DB4C2D">
        <w:rPr>
          <w:rFonts w:eastAsia="Times New Roman"/>
          <w:lang w:val="fr-FR"/>
        </w:rPr>
        <w:t>’</w:t>
      </w:r>
      <w:r w:rsidRPr="00B55162">
        <w:rPr>
          <w:rFonts w:eastAsia="Times New Roman"/>
          <w:lang w:val="fr-FR"/>
        </w:rPr>
        <w:t>alimentation en essence sert uniquement en cas d</w:t>
      </w:r>
      <w:r w:rsidR="00DB4C2D">
        <w:rPr>
          <w:rFonts w:eastAsia="Times New Roman"/>
          <w:lang w:val="fr-FR"/>
        </w:rPr>
        <w:t>’</w:t>
      </w:r>
      <w:r w:rsidRPr="00B55162">
        <w:rPr>
          <w:rFonts w:eastAsia="Times New Roman"/>
          <w:lang w:val="fr-FR"/>
        </w:rPr>
        <w:t>urgence ou pour le démarrage, et dont le réservoir à essence a une contenance maximale de 15 litres, sont considérés aux fins de l</w:t>
      </w:r>
      <w:r w:rsidR="00DB4C2D">
        <w:rPr>
          <w:rFonts w:eastAsia="Times New Roman"/>
          <w:lang w:val="fr-FR"/>
        </w:rPr>
        <w:t>’</w:t>
      </w:r>
      <w:r w:rsidRPr="00B55162">
        <w:rPr>
          <w:rFonts w:eastAsia="Times New Roman"/>
          <w:lang w:val="fr-FR"/>
        </w:rPr>
        <w:t>essai du type III comme des véhicules fonctionnant uniquement avec un carburant gazeux.</w:t>
      </w:r>
    </w:p>
    <w:p w:rsidR="00B55162" w:rsidRPr="00B55162" w:rsidRDefault="00B55162" w:rsidP="00BE63F4">
      <w:pPr>
        <w:pStyle w:val="SingleTxtG"/>
        <w:spacing w:before="120"/>
        <w:ind w:left="2268" w:hanging="1134"/>
        <w:rPr>
          <w:rFonts w:eastAsia="Times New Roman"/>
          <w:u w:val="single"/>
          <w:lang w:val="fr-FR"/>
        </w:rPr>
      </w:pPr>
      <w:r w:rsidRPr="00B55162">
        <w:rPr>
          <w:rFonts w:eastAsia="Times New Roman"/>
          <w:lang w:val="fr-FR"/>
        </w:rPr>
        <w:t>5.3.3.2</w:t>
      </w:r>
      <w:r w:rsidRPr="00B55162">
        <w:rPr>
          <w:rFonts w:eastAsia="Times New Roman"/>
          <w:lang w:val="fr-FR"/>
        </w:rPr>
        <w:tab/>
        <w:t>Lors du contrôle dans les conditions prévues à l</w:t>
      </w:r>
      <w:r w:rsidR="00DB4C2D">
        <w:rPr>
          <w:rFonts w:eastAsia="Times New Roman"/>
          <w:lang w:val="fr-FR"/>
        </w:rPr>
        <w:t>’</w:t>
      </w:r>
      <w:r w:rsidRPr="00B55162">
        <w:rPr>
          <w:rFonts w:eastAsia="Times New Roman"/>
          <w:lang w:val="fr-FR"/>
        </w:rPr>
        <w:t>annexe 6 du présent Règlement, le système de ventilation du carter ne doit permettre aucune émission de gaz de carter dans l</w:t>
      </w:r>
      <w:r w:rsidR="00DB4C2D">
        <w:rPr>
          <w:rFonts w:eastAsia="Times New Roman"/>
          <w:lang w:val="fr-FR"/>
        </w:rPr>
        <w:t>’</w:t>
      </w:r>
      <w:r w:rsidRPr="00B55162">
        <w:rPr>
          <w:rFonts w:eastAsia="Times New Roman"/>
          <w:lang w:val="fr-FR"/>
        </w:rPr>
        <w:t>atmosphère.</w:t>
      </w:r>
    </w:p>
    <w:p w:rsidR="00B55162" w:rsidRPr="00B55162" w:rsidRDefault="00B55162" w:rsidP="00BE63F4">
      <w:pPr>
        <w:pStyle w:val="SingleTxtG"/>
        <w:keepLines/>
        <w:spacing w:before="120"/>
        <w:ind w:left="2268" w:hanging="1134"/>
        <w:rPr>
          <w:rFonts w:eastAsia="Times New Roman"/>
          <w:lang w:val="fr-FR"/>
        </w:rPr>
      </w:pPr>
      <w:r w:rsidRPr="00B55162">
        <w:rPr>
          <w:rFonts w:eastAsia="Times New Roman"/>
          <w:lang w:val="fr-FR"/>
        </w:rPr>
        <w:t>5.3.4</w:t>
      </w:r>
      <w:r w:rsidRPr="00B55162">
        <w:rPr>
          <w:rFonts w:eastAsia="Times New Roman"/>
          <w:lang w:val="fr-FR"/>
        </w:rPr>
        <w:tab/>
        <w:t>Essai du type IV (détermination des émissions par évaporation provenant des véhicules à moteur à allumage commandé)</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5.3.4.1</w:t>
      </w:r>
      <w:r w:rsidRPr="00B55162">
        <w:rPr>
          <w:rFonts w:eastAsia="Times New Roman"/>
          <w:lang w:val="fr-FR"/>
        </w:rPr>
        <w:tab/>
        <w:t>Cet essai doit être effectué sur tous les véhicules visés au paragraphe 1, à l</w:t>
      </w:r>
      <w:r w:rsidR="00DB4C2D">
        <w:rPr>
          <w:rFonts w:eastAsia="Times New Roman"/>
          <w:lang w:val="fr-FR"/>
        </w:rPr>
        <w:t>’</w:t>
      </w:r>
      <w:r w:rsidRPr="00B55162">
        <w:rPr>
          <w:rFonts w:eastAsia="Times New Roman"/>
          <w:lang w:val="fr-FR"/>
        </w:rPr>
        <w:t>exception de ceux qui ont un moteur à allumage par compression, alimentés au GPL ou au GN/</w:t>
      </w:r>
      <w:proofErr w:type="spellStart"/>
      <w:r w:rsidRPr="00B55162">
        <w:rPr>
          <w:rFonts w:eastAsia="Times New Roman"/>
          <w:lang w:val="fr-FR"/>
        </w:rPr>
        <w:t>biométhane</w:t>
      </w:r>
      <w:proofErr w:type="spellEnd"/>
      <w:r w:rsidRPr="00B55162">
        <w:rPr>
          <w:rFonts w:eastAsia="Times New Roman"/>
          <w:lang w:val="fr-FR"/>
        </w:rPr>
        <w:t>.</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5.3.4.1.1</w:t>
      </w:r>
      <w:r w:rsidRPr="00B55162">
        <w:rPr>
          <w:rFonts w:eastAsia="Times New Roman"/>
          <w:lang w:val="fr-FR"/>
        </w:rPr>
        <w:tab/>
        <w:t>Les véhicules pouvant fonctionner soit à l</w:t>
      </w:r>
      <w:r w:rsidR="00DB4C2D">
        <w:rPr>
          <w:rFonts w:eastAsia="Times New Roman"/>
          <w:lang w:val="fr-FR"/>
        </w:rPr>
        <w:t>’</w:t>
      </w:r>
      <w:r w:rsidRPr="00B55162">
        <w:rPr>
          <w:rFonts w:eastAsia="Times New Roman"/>
          <w:lang w:val="fr-FR"/>
        </w:rPr>
        <w:t>essence soit au GPL ou au GN/</w:t>
      </w:r>
      <w:proofErr w:type="spellStart"/>
      <w:r w:rsidRPr="00B55162">
        <w:rPr>
          <w:rFonts w:eastAsia="Times New Roman"/>
          <w:lang w:val="fr-FR"/>
        </w:rPr>
        <w:t>biométhane</w:t>
      </w:r>
      <w:proofErr w:type="spellEnd"/>
      <w:r w:rsidRPr="00B55162">
        <w:rPr>
          <w:rFonts w:eastAsia="Times New Roman"/>
          <w:lang w:val="fr-FR"/>
        </w:rPr>
        <w:t xml:space="preserve"> ne doivent être soumis à l</w:t>
      </w:r>
      <w:r w:rsidR="00DB4C2D">
        <w:rPr>
          <w:rFonts w:eastAsia="Times New Roman"/>
          <w:lang w:val="fr-FR"/>
        </w:rPr>
        <w:t>’</w:t>
      </w:r>
      <w:r w:rsidRPr="00B55162">
        <w:rPr>
          <w:rFonts w:eastAsia="Times New Roman"/>
          <w:lang w:val="fr-FR"/>
        </w:rPr>
        <w:t>essai du type IV qu</w:t>
      </w:r>
      <w:r w:rsidR="00DB4C2D">
        <w:rPr>
          <w:rFonts w:eastAsia="Times New Roman"/>
          <w:lang w:val="fr-FR"/>
        </w:rPr>
        <w:t>’</w:t>
      </w:r>
      <w:r w:rsidRPr="00B55162">
        <w:rPr>
          <w:rFonts w:eastAsia="Times New Roman"/>
          <w:lang w:val="fr-FR"/>
        </w:rPr>
        <w:t>avec de l</w:t>
      </w:r>
      <w:r w:rsidR="00DB4C2D">
        <w:rPr>
          <w:rFonts w:eastAsia="Times New Roman"/>
          <w:lang w:val="fr-FR"/>
        </w:rPr>
        <w:t>’</w:t>
      </w:r>
      <w:r w:rsidRPr="00B55162">
        <w:rPr>
          <w:rFonts w:eastAsia="Times New Roman"/>
          <w:lang w:val="fr-FR"/>
        </w:rPr>
        <w:t>essence.</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5.3.4.2</w:t>
      </w:r>
      <w:r w:rsidRPr="00B55162">
        <w:rPr>
          <w:rFonts w:eastAsia="Times New Roman"/>
          <w:lang w:val="fr-FR"/>
        </w:rPr>
        <w:tab/>
        <w:t>Lors du contrôle dans les conditions prévues à l</w:t>
      </w:r>
      <w:r w:rsidR="00DB4C2D">
        <w:rPr>
          <w:rFonts w:eastAsia="Times New Roman"/>
          <w:lang w:val="fr-FR"/>
        </w:rPr>
        <w:t>’</w:t>
      </w:r>
      <w:r w:rsidRPr="00B55162">
        <w:rPr>
          <w:rFonts w:eastAsia="Times New Roman"/>
          <w:lang w:val="fr-FR"/>
        </w:rPr>
        <w:t>annexe 7 du présent Règlement, les émissions par évaporation doi</w:t>
      </w:r>
      <w:r w:rsidR="00BE63F4">
        <w:rPr>
          <w:rFonts w:eastAsia="Times New Roman"/>
          <w:lang w:val="fr-FR"/>
        </w:rPr>
        <w:t>vent être inférieures à 2 g par </w:t>
      </w:r>
      <w:r w:rsidRPr="00B55162">
        <w:rPr>
          <w:rFonts w:eastAsia="Times New Roman"/>
          <w:lang w:val="fr-FR"/>
        </w:rPr>
        <w:t>essai.</w:t>
      </w:r>
    </w:p>
    <w:p w:rsidR="00B55162" w:rsidRPr="00B55162" w:rsidRDefault="00BE63F4" w:rsidP="00BE63F4">
      <w:pPr>
        <w:pStyle w:val="SingleTxtG"/>
        <w:keepLines/>
        <w:spacing w:before="120"/>
        <w:ind w:left="2268" w:hanging="1134"/>
        <w:rPr>
          <w:rFonts w:eastAsia="Times New Roman"/>
          <w:lang w:val="fr-FR"/>
        </w:rPr>
      </w:pPr>
      <w:r>
        <w:rPr>
          <w:rFonts w:eastAsia="Times New Roman"/>
          <w:lang w:val="fr-FR"/>
        </w:rPr>
        <w:t>5.3.5</w:t>
      </w:r>
      <w:r>
        <w:rPr>
          <w:rFonts w:eastAsia="Times New Roman"/>
          <w:lang w:val="fr-FR"/>
        </w:rPr>
        <w:tab/>
        <w:t>Essai du type </w:t>
      </w:r>
      <w:r w:rsidR="00B55162" w:rsidRPr="00B55162">
        <w:rPr>
          <w:rFonts w:eastAsia="Times New Roman"/>
          <w:lang w:val="fr-FR"/>
        </w:rPr>
        <w:t>VI (vérification des émissions moyennes à l</w:t>
      </w:r>
      <w:r w:rsidR="00DB4C2D">
        <w:rPr>
          <w:rFonts w:eastAsia="Times New Roman"/>
          <w:lang w:val="fr-FR"/>
        </w:rPr>
        <w:t>’</w:t>
      </w:r>
      <w:r w:rsidR="00B55162" w:rsidRPr="00B55162">
        <w:rPr>
          <w:rFonts w:eastAsia="Times New Roman"/>
          <w:lang w:val="fr-FR"/>
        </w:rPr>
        <w:t>échappement, à basse température ambiante, de monoxyde de carbone et d</w:t>
      </w:r>
      <w:r w:rsidR="00DB4C2D">
        <w:rPr>
          <w:rFonts w:eastAsia="Times New Roman"/>
          <w:lang w:val="fr-FR"/>
        </w:rPr>
        <w:t>’</w:t>
      </w:r>
      <w:r w:rsidR="00B55162" w:rsidRPr="00B55162">
        <w:rPr>
          <w:rFonts w:eastAsia="Times New Roman"/>
          <w:lang w:val="fr-FR"/>
        </w:rPr>
        <w:t>hydrocarbures après démarrage à froid)</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5.3.5.1</w:t>
      </w:r>
      <w:r w:rsidRPr="00B55162">
        <w:rPr>
          <w:rFonts w:eastAsia="Times New Roman"/>
          <w:lang w:val="fr-FR"/>
        </w:rPr>
        <w:tab/>
        <w:t>Cet essai ne doit pas être conduit sur les véhicules visés au paragraphe 1 à l</w:t>
      </w:r>
      <w:r w:rsidR="00DB4C2D">
        <w:rPr>
          <w:rFonts w:eastAsia="Times New Roman"/>
          <w:lang w:val="fr-FR"/>
        </w:rPr>
        <w:t>’</w:t>
      </w:r>
      <w:r w:rsidRPr="00B55162">
        <w:rPr>
          <w:rFonts w:eastAsia="Times New Roman"/>
          <w:lang w:val="fr-FR"/>
        </w:rPr>
        <w:t>exception de ceux qui sont équipés d</w:t>
      </w:r>
      <w:r w:rsidR="00DB4C2D">
        <w:rPr>
          <w:rFonts w:eastAsia="Times New Roman"/>
          <w:lang w:val="fr-FR"/>
        </w:rPr>
        <w:t>’</w:t>
      </w:r>
      <w:r w:rsidRPr="00B55162">
        <w:rPr>
          <w:rFonts w:eastAsia="Times New Roman"/>
          <w:lang w:val="fr-FR"/>
        </w:rPr>
        <w:t>un moteur à allumage par compression.</w:t>
      </w:r>
    </w:p>
    <w:p w:rsidR="00B55162" w:rsidRPr="00B55162" w:rsidRDefault="00B55162" w:rsidP="00BE63F4">
      <w:pPr>
        <w:pStyle w:val="SingleTxtG"/>
        <w:ind w:left="2268"/>
        <w:rPr>
          <w:lang w:val="fr-FR"/>
        </w:rPr>
      </w:pPr>
      <w:r w:rsidRPr="00B55162">
        <w:rPr>
          <w:lang w:val="fr-FR"/>
        </w:rPr>
        <w:lastRenderedPageBreak/>
        <w:t>Toutefois, pour les véhicules équipés d</w:t>
      </w:r>
      <w:r w:rsidR="00DB4C2D">
        <w:rPr>
          <w:lang w:val="fr-FR"/>
        </w:rPr>
        <w:t>’</w:t>
      </w:r>
      <w:r w:rsidRPr="00B55162">
        <w:rPr>
          <w:lang w:val="fr-FR"/>
        </w:rPr>
        <w:t>un moteur à allumage par compression, lors de la demande d</w:t>
      </w:r>
      <w:r w:rsidR="00DB4C2D">
        <w:rPr>
          <w:lang w:val="fr-FR"/>
        </w:rPr>
        <w:t>’</w:t>
      </w:r>
      <w:r w:rsidRPr="00B55162">
        <w:rPr>
          <w:lang w:val="fr-FR"/>
        </w:rPr>
        <w:t>homologation, les constructeurs doivent communiquer à l</w:t>
      </w:r>
      <w:r w:rsidR="00DB4C2D">
        <w:rPr>
          <w:lang w:val="fr-FR"/>
        </w:rPr>
        <w:t>’</w:t>
      </w:r>
      <w:r w:rsidRPr="00B55162">
        <w:rPr>
          <w:lang w:val="fr-FR"/>
        </w:rPr>
        <w:t>autorité d</w:t>
      </w:r>
      <w:r w:rsidR="00DB4C2D">
        <w:rPr>
          <w:lang w:val="fr-FR"/>
        </w:rPr>
        <w:t>’</w:t>
      </w:r>
      <w:r w:rsidRPr="00B55162">
        <w:rPr>
          <w:lang w:val="fr-FR"/>
        </w:rPr>
        <w:t>homologation de type des données montrant que le dispositif d</w:t>
      </w:r>
      <w:r w:rsidR="00DB4C2D">
        <w:rPr>
          <w:lang w:val="fr-FR"/>
        </w:rPr>
        <w:t>’</w:t>
      </w:r>
      <w:r w:rsidRPr="00B55162">
        <w:rPr>
          <w:lang w:val="fr-FR"/>
        </w:rPr>
        <w:t xml:space="preserve">épuration aval des </w:t>
      </w:r>
      <w:proofErr w:type="spellStart"/>
      <w:r w:rsidRPr="00B55162">
        <w:rPr>
          <w:lang w:val="fr-FR"/>
        </w:rPr>
        <w:t>NO</w:t>
      </w:r>
      <w:r w:rsidRPr="00B55162">
        <w:rPr>
          <w:vertAlign w:val="subscript"/>
          <w:lang w:val="fr-FR"/>
        </w:rPr>
        <w:t>x</w:t>
      </w:r>
      <w:proofErr w:type="spellEnd"/>
      <w:r w:rsidRPr="00B55162">
        <w:rPr>
          <w:lang w:val="fr-FR"/>
        </w:rPr>
        <w:t xml:space="preserve"> atteint une température suffisamment élevée pour un permettre un fonctionnement efficient dans les 400 s après un démarrage à froid à -7 °C comme il est décrit dans l</w:t>
      </w:r>
      <w:r w:rsidR="00DB4C2D">
        <w:rPr>
          <w:lang w:val="fr-FR"/>
        </w:rPr>
        <w:t>’</w:t>
      </w:r>
      <w:r w:rsidRPr="00B55162">
        <w:rPr>
          <w:lang w:val="fr-FR"/>
        </w:rPr>
        <w:t>essai du type VI.</w:t>
      </w:r>
    </w:p>
    <w:p w:rsidR="00B55162" w:rsidRPr="00B55162" w:rsidRDefault="00B55162" w:rsidP="00BE63F4">
      <w:pPr>
        <w:pStyle w:val="SingleTxtG"/>
        <w:ind w:left="2268"/>
        <w:rPr>
          <w:rFonts w:eastAsia="Times New Roman"/>
          <w:lang w:val="fr-FR"/>
        </w:rPr>
      </w:pPr>
      <w:r w:rsidRPr="00B55162">
        <w:rPr>
          <w:rFonts w:eastAsia="Times New Roman"/>
          <w:lang w:val="fr-FR"/>
        </w:rPr>
        <w:tab/>
        <w:t>Le constructeur doit fournir également à l</w:t>
      </w:r>
      <w:r w:rsidR="00DB4C2D">
        <w:rPr>
          <w:rFonts w:eastAsia="Times New Roman"/>
          <w:lang w:val="fr-FR"/>
        </w:rPr>
        <w:t>’</w:t>
      </w:r>
      <w:r w:rsidRPr="00B55162">
        <w:rPr>
          <w:rFonts w:eastAsia="Times New Roman"/>
          <w:lang w:val="fr-FR"/>
        </w:rPr>
        <w:t>autorité d</w:t>
      </w:r>
      <w:r w:rsidR="00DB4C2D">
        <w:rPr>
          <w:rFonts w:eastAsia="Times New Roman"/>
          <w:lang w:val="fr-FR"/>
        </w:rPr>
        <w:t>’</w:t>
      </w:r>
      <w:r w:rsidRPr="00B55162">
        <w:rPr>
          <w:rFonts w:eastAsia="Times New Roman"/>
          <w:lang w:val="fr-FR"/>
        </w:rPr>
        <w:t xml:space="preserve">homologation de type des </w:t>
      </w:r>
      <w:r w:rsidRPr="00B55162">
        <w:rPr>
          <w:lang w:val="fr-FR"/>
        </w:rPr>
        <w:t>informations</w:t>
      </w:r>
      <w:r w:rsidRPr="00B55162">
        <w:rPr>
          <w:rFonts w:eastAsia="Times New Roman"/>
          <w:lang w:val="fr-FR"/>
        </w:rPr>
        <w:t xml:space="preserve"> sur la stratégie de fonctionnement du système de recyclage des gaz d</w:t>
      </w:r>
      <w:r w:rsidR="00DB4C2D">
        <w:rPr>
          <w:rFonts w:eastAsia="Times New Roman"/>
          <w:lang w:val="fr-FR"/>
        </w:rPr>
        <w:t>’</w:t>
      </w:r>
      <w:r w:rsidRPr="00B55162">
        <w:rPr>
          <w:rFonts w:eastAsia="Times New Roman"/>
          <w:lang w:val="fr-FR"/>
        </w:rPr>
        <w:t>échappement (EGR), notamment sur son fonctionnement à basses températures.</w:t>
      </w:r>
    </w:p>
    <w:p w:rsidR="00B55162" w:rsidRPr="00B55162" w:rsidRDefault="00B55162" w:rsidP="00BE63F4">
      <w:pPr>
        <w:pStyle w:val="SingleTxtG"/>
        <w:ind w:left="2268"/>
        <w:rPr>
          <w:rFonts w:eastAsia="Times New Roman"/>
          <w:lang w:val="fr-FR"/>
        </w:rPr>
      </w:pPr>
      <w:r w:rsidRPr="00B55162">
        <w:rPr>
          <w:rFonts w:eastAsia="Times New Roman"/>
          <w:lang w:val="fr-FR"/>
        </w:rPr>
        <w:tab/>
        <w:t xml:space="preserve">Ces informations doivent inclure également une description de tous les effets sur les </w:t>
      </w:r>
      <w:r w:rsidRPr="00B55162">
        <w:rPr>
          <w:lang w:val="fr-FR"/>
        </w:rPr>
        <w:t>émissions</w:t>
      </w:r>
      <w:r w:rsidRPr="00B55162">
        <w:rPr>
          <w:rFonts w:eastAsia="Times New Roman"/>
          <w:lang w:val="fr-FR"/>
        </w:rPr>
        <w:t>.</w:t>
      </w:r>
    </w:p>
    <w:p w:rsidR="00B55162" w:rsidRPr="00B55162" w:rsidRDefault="00B55162" w:rsidP="00BE63F4">
      <w:pPr>
        <w:pStyle w:val="SingleTxtG"/>
        <w:ind w:left="2268"/>
        <w:rPr>
          <w:rFonts w:eastAsia="Times New Roman"/>
          <w:lang w:val="fr-FR"/>
        </w:rPr>
      </w:pPr>
      <w:r w:rsidRPr="00B55162">
        <w:rPr>
          <w:rFonts w:eastAsia="Times New Roman"/>
          <w:lang w:val="fr-FR"/>
        </w:rPr>
        <w:tab/>
        <w:t>L</w:t>
      </w:r>
      <w:r w:rsidR="00DB4C2D">
        <w:rPr>
          <w:rFonts w:eastAsia="Times New Roman"/>
          <w:lang w:val="fr-FR"/>
        </w:rPr>
        <w:t>’</w:t>
      </w:r>
      <w:r w:rsidRPr="00B55162">
        <w:rPr>
          <w:rFonts w:eastAsia="Times New Roman"/>
          <w:lang w:val="fr-FR"/>
        </w:rPr>
        <w:t>autorité compétente d</w:t>
      </w:r>
      <w:r w:rsidR="00DB4C2D">
        <w:rPr>
          <w:rFonts w:eastAsia="Times New Roman"/>
          <w:lang w:val="fr-FR"/>
        </w:rPr>
        <w:t>’</w:t>
      </w:r>
      <w:r w:rsidRPr="00B55162">
        <w:rPr>
          <w:rFonts w:eastAsia="Times New Roman"/>
          <w:lang w:val="fr-FR"/>
        </w:rPr>
        <w:t>homologation de type ne doit pas accorder l</w:t>
      </w:r>
      <w:r w:rsidR="00DB4C2D">
        <w:rPr>
          <w:rFonts w:eastAsia="Times New Roman"/>
          <w:lang w:val="fr-FR"/>
        </w:rPr>
        <w:t>’</w:t>
      </w:r>
      <w:r w:rsidRPr="00B55162">
        <w:rPr>
          <w:rFonts w:eastAsia="Times New Roman"/>
          <w:lang w:val="fr-FR"/>
        </w:rPr>
        <w:t xml:space="preserve">homologation si les informations communiquées ne suffisent pas à démontrer </w:t>
      </w:r>
      <w:r w:rsidRPr="00B55162">
        <w:rPr>
          <w:lang w:val="fr-FR"/>
        </w:rPr>
        <w:t>que</w:t>
      </w:r>
      <w:r w:rsidRPr="00B55162">
        <w:rPr>
          <w:rFonts w:eastAsia="Times New Roman"/>
          <w:lang w:val="fr-FR"/>
        </w:rPr>
        <w:t xml:space="preserve"> le dispositif de post-traitement atteint effectivement une température lui permettant de fonctionner de manière efficace dans le laps de temps déterminé.</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5.3.5.1.1</w:t>
      </w:r>
      <w:r w:rsidRPr="00B55162">
        <w:rPr>
          <w:rFonts w:eastAsia="Times New Roman"/>
          <w:lang w:val="fr-FR"/>
        </w:rPr>
        <w:tab/>
        <w:t>Le véhicule est placé sur un banc à rouleaux muni d</w:t>
      </w:r>
      <w:r w:rsidR="00DB4C2D">
        <w:rPr>
          <w:rFonts w:eastAsia="Times New Roman"/>
          <w:lang w:val="fr-FR"/>
        </w:rPr>
        <w:t>’</w:t>
      </w:r>
      <w:r w:rsidRPr="00B55162">
        <w:rPr>
          <w:rFonts w:eastAsia="Times New Roman"/>
          <w:lang w:val="fr-FR"/>
        </w:rPr>
        <w:t>un dispositif de simulation de charge et d</w:t>
      </w:r>
      <w:r w:rsidR="00DB4C2D">
        <w:rPr>
          <w:rFonts w:eastAsia="Times New Roman"/>
          <w:lang w:val="fr-FR"/>
        </w:rPr>
        <w:t>’</w:t>
      </w:r>
      <w:r w:rsidRPr="00B55162">
        <w:rPr>
          <w:rFonts w:eastAsia="Times New Roman"/>
          <w:lang w:val="fr-FR"/>
        </w:rPr>
        <w:t>inertie.</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5.3.5.1.2</w:t>
      </w:r>
      <w:r w:rsidRPr="00B55162">
        <w:rPr>
          <w:rFonts w:eastAsia="Times New Roman"/>
          <w:lang w:val="fr-FR"/>
        </w:rPr>
        <w:tab/>
        <w:t>L</w:t>
      </w:r>
      <w:r w:rsidR="00DB4C2D">
        <w:rPr>
          <w:rFonts w:eastAsia="Times New Roman"/>
          <w:lang w:val="fr-FR"/>
        </w:rPr>
        <w:t>’</w:t>
      </w:r>
      <w:r w:rsidRPr="00B55162">
        <w:rPr>
          <w:rFonts w:eastAsia="Times New Roman"/>
          <w:lang w:val="fr-FR"/>
        </w:rPr>
        <w:t>essai se compose des quatre cycles élémentaires de conduite urbaine de la première partie de l</w:t>
      </w:r>
      <w:r w:rsidR="00DB4C2D">
        <w:rPr>
          <w:rFonts w:eastAsia="Times New Roman"/>
          <w:lang w:val="fr-FR"/>
        </w:rPr>
        <w:t>’</w:t>
      </w:r>
      <w:r w:rsidRPr="00B55162">
        <w:rPr>
          <w:rFonts w:eastAsia="Times New Roman"/>
          <w:lang w:val="fr-FR"/>
        </w:rPr>
        <w:t>essai du type I, qui est décrite au paragraphe 6.1.1 de l</w:t>
      </w:r>
      <w:r w:rsidR="00DB4C2D">
        <w:rPr>
          <w:rFonts w:eastAsia="Times New Roman"/>
          <w:lang w:val="fr-FR"/>
        </w:rPr>
        <w:t>’</w:t>
      </w:r>
      <w:r w:rsidRPr="00B55162">
        <w:rPr>
          <w:rFonts w:eastAsia="Times New Roman"/>
          <w:lang w:val="fr-FR"/>
        </w:rPr>
        <w:t>annexe 4a du présent Règlement et illustrée à la figure A4a/1 de la même annexe. L</w:t>
      </w:r>
      <w:r w:rsidR="00DB4C2D">
        <w:rPr>
          <w:rFonts w:eastAsia="Times New Roman"/>
          <w:lang w:val="fr-FR"/>
        </w:rPr>
        <w:t>’</w:t>
      </w:r>
      <w:r w:rsidRPr="00B55162">
        <w:rPr>
          <w:rFonts w:eastAsia="Times New Roman"/>
          <w:lang w:val="fr-FR"/>
        </w:rPr>
        <w:t>essai à basse température ambiante, d</w:t>
      </w:r>
      <w:r w:rsidR="00DB4C2D">
        <w:rPr>
          <w:rFonts w:eastAsia="Times New Roman"/>
          <w:lang w:val="fr-FR"/>
        </w:rPr>
        <w:t>’</w:t>
      </w:r>
      <w:r w:rsidRPr="00B55162">
        <w:rPr>
          <w:rFonts w:eastAsia="Times New Roman"/>
          <w:lang w:val="fr-FR"/>
        </w:rPr>
        <w:t>une durée totale de 780 s, est effectué sans interruption à partir du démarrage du moteur.</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5.3.5.1.3</w:t>
      </w:r>
      <w:r w:rsidRPr="00B55162">
        <w:rPr>
          <w:rFonts w:eastAsia="Times New Roman"/>
          <w:lang w:val="fr-FR"/>
        </w:rPr>
        <w:tab/>
        <w:t>L</w:t>
      </w:r>
      <w:r w:rsidR="00DB4C2D">
        <w:rPr>
          <w:rFonts w:eastAsia="Times New Roman"/>
          <w:lang w:val="fr-FR"/>
        </w:rPr>
        <w:t>’</w:t>
      </w:r>
      <w:r w:rsidRPr="00B55162">
        <w:rPr>
          <w:rFonts w:eastAsia="Times New Roman"/>
          <w:lang w:val="fr-FR"/>
        </w:rPr>
        <w:t>essai à basse température est effectué à une température ambiante de 266 K (-7 °C). Avant l</w:t>
      </w:r>
      <w:r w:rsidR="00DB4C2D">
        <w:rPr>
          <w:rFonts w:eastAsia="Times New Roman"/>
          <w:lang w:val="fr-FR"/>
        </w:rPr>
        <w:t>’</w:t>
      </w:r>
      <w:r w:rsidRPr="00B55162">
        <w:rPr>
          <w:rFonts w:eastAsia="Times New Roman"/>
          <w:lang w:val="fr-FR"/>
        </w:rPr>
        <w:t>essai, les véhicules doivent être conditionnés de manière uniforme de sorte que les résultats de l</w:t>
      </w:r>
      <w:r w:rsidR="00DB4C2D">
        <w:rPr>
          <w:rFonts w:eastAsia="Times New Roman"/>
          <w:lang w:val="fr-FR"/>
        </w:rPr>
        <w:t>’</w:t>
      </w:r>
      <w:r w:rsidRPr="00B55162">
        <w:rPr>
          <w:rFonts w:eastAsia="Times New Roman"/>
          <w:lang w:val="fr-FR"/>
        </w:rPr>
        <w:t>essai soient reproductibles. Le conditionnement et les autres procédures de l</w:t>
      </w:r>
      <w:r w:rsidR="00DB4C2D">
        <w:rPr>
          <w:rFonts w:eastAsia="Times New Roman"/>
          <w:lang w:val="fr-FR"/>
        </w:rPr>
        <w:t>’</w:t>
      </w:r>
      <w:r w:rsidRPr="00B55162">
        <w:rPr>
          <w:rFonts w:eastAsia="Times New Roman"/>
          <w:lang w:val="fr-FR"/>
        </w:rPr>
        <w:t>essai sont effectués comme décrit à l</w:t>
      </w:r>
      <w:r w:rsidR="00DB4C2D">
        <w:rPr>
          <w:rFonts w:eastAsia="Times New Roman"/>
          <w:lang w:val="fr-FR"/>
        </w:rPr>
        <w:t>’</w:t>
      </w:r>
      <w:r w:rsidRPr="00B55162">
        <w:rPr>
          <w:rFonts w:eastAsia="Times New Roman"/>
          <w:lang w:val="fr-FR"/>
        </w:rPr>
        <w:t>annexe 8 du présent Règlement.</w:t>
      </w:r>
    </w:p>
    <w:p w:rsidR="00B55162" w:rsidRPr="00B55162" w:rsidRDefault="00B55162" w:rsidP="00BE63F4">
      <w:pPr>
        <w:pStyle w:val="SingleTxtG"/>
        <w:spacing w:before="120"/>
        <w:ind w:left="2268" w:hanging="1134"/>
        <w:rPr>
          <w:rFonts w:eastAsia="Times New Roman"/>
          <w:lang w:val="fr-FR"/>
        </w:rPr>
      </w:pPr>
      <w:r w:rsidRPr="00B55162">
        <w:rPr>
          <w:rFonts w:eastAsia="Times New Roman"/>
          <w:lang w:val="fr-FR"/>
        </w:rPr>
        <w:t>5.3.5.1.4</w:t>
      </w:r>
      <w:r w:rsidRPr="00B55162">
        <w:rPr>
          <w:rFonts w:eastAsia="Times New Roman"/>
          <w:lang w:val="fr-FR"/>
        </w:rPr>
        <w:tab/>
        <w:t>Au cours de l</w:t>
      </w:r>
      <w:r w:rsidR="00DB4C2D">
        <w:rPr>
          <w:rFonts w:eastAsia="Times New Roman"/>
          <w:lang w:val="fr-FR"/>
        </w:rPr>
        <w:t>’</w:t>
      </w:r>
      <w:r w:rsidRPr="00B55162">
        <w:rPr>
          <w:rFonts w:eastAsia="Times New Roman"/>
          <w:lang w:val="fr-FR"/>
        </w:rPr>
        <w:t>essai, les gaz d</w:t>
      </w:r>
      <w:r w:rsidR="00DB4C2D">
        <w:rPr>
          <w:rFonts w:eastAsia="Times New Roman"/>
          <w:lang w:val="fr-FR"/>
        </w:rPr>
        <w:t>’</w:t>
      </w:r>
      <w:r w:rsidRPr="00B55162">
        <w:rPr>
          <w:rFonts w:eastAsia="Times New Roman"/>
          <w:lang w:val="fr-FR"/>
        </w:rPr>
        <w:t>échappement sont dilués et un échantillon proportionnel est prélevé. Les gaz d</w:t>
      </w:r>
      <w:r w:rsidR="00DB4C2D">
        <w:rPr>
          <w:rFonts w:eastAsia="Times New Roman"/>
          <w:lang w:val="fr-FR"/>
        </w:rPr>
        <w:t>’</w:t>
      </w:r>
      <w:r w:rsidRPr="00B55162">
        <w:rPr>
          <w:rFonts w:eastAsia="Times New Roman"/>
          <w:lang w:val="fr-FR"/>
        </w:rPr>
        <w:t>échappement du véhicule d</w:t>
      </w:r>
      <w:r w:rsidR="00DB4C2D">
        <w:rPr>
          <w:rFonts w:eastAsia="Times New Roman"/>
          <w:lang w:val="fr-FR"/>
        </w:rPr>
        <w:t>’</w:t>
      </w:r>
      <w:r w:rsidRPr="00B55162">
        <w:rPr>
          <w:rFonts w:eastAsia="Times New Roman"/>
          <w:lang w:val="fr-FR"/>
        </w:rPr>
        <w:t>essai sont dilués, échantillonnés et analysés selon la procédure décrite à l</w:t>
      </w:r>
      <w:r w:rsidR="00DB4C2D">
        <w:rPr>
          <w:rFonts w:eastAsia="Times New Roman"/>
          <w:lang w:val="fr-FR"/>
        </w:rPr>
        <w:t>’</w:t>
      </w:r>
      <w:r w:rsidRPr="00B55162">
        <w:rPr>
          <w:rFonts w:eastAsia="Times New Roman"/>
          <w:lang w:val="fr-FR"/>
        </w:rPr>
        <w:t>annexe 8 du présent Règlement, puis on mesure le volume total des gaz d</w:t>
      </w:r>
      <w:r w:rsidR="00DB4C2D">
        <w:rPr>
          <w:rFonts w:eastAsia="Times New Roman"/>
          <w:lang w:val="fr-FR"/>
        </w:rPr>
        <w:t>’</w:t>
      </w:r>
      <w:r w:rsidRPr="00B55162">
        <w:rPr>
          <w:rFonts w:eastAsia="Times New Roman"/>
          <w:lang w:val="fr-FR"/>
        </w:rPr>
        <w:t>échappement dilués. On analyse ces gaz pour mesurer le monoxyde de carbone et les hydrocarbures totaux.</w:t>
      </w:r>
    </w:p>
    <w:p w:rsidR="00B55162" w:rsidRDefault="00B55162" w:rsidP="00BE63F4">
      <w:pPr>
        <w:pStyle w:val="SingleTxtG"/>
        <w:spacing w:before="120"/>
        <w:ind w:left="2268" w:hanging="1134"/>
        <w:rPr>
          <w:rFonts w:eastAsia="Times New Roman"/>
          <w:lang w:val="fr-FR"/>
        </w:rPr>
      </w:pPr>
      <w:r w:rsidRPr="00B55162">
        <w:rPr>
          <w:rFonts w:eastAsia="Times New Roman"/>
          <w:lang w:val="fr-FR"/>
        </w:rPr>
        <w:t>5.3.5.2</w:t>
      </w:r>
      <w:r w:rsidRPr="00B55162">
        <w:rPr>
          <w:rFonts w:eastAsia="Times New Roman"/>
          <w:lang w:val="fr-FR"/>
        </w:rPr>
        <w:tab/>
        <w:t>Sous réserve des prescriptions énoncées aux paragraphes 5.3.5.2.2 et 5.3.5.3, l</w:t>
      </w:r>
      <w:r w:rsidR="00DB4C2D">
        <w:rPr>
          <w:rFonts w:eastAsia="Times New Roman"/>
          <w:lang w:val="fr-FR"/>
        </w:rPr>
        <w:t>’</w:t>
      </w:r>
      <w:r w:rsidRPr="00B55162">
        <w:rPr>
          <w:rFonts w:eastAsia="Times New Roman"/>
          <w:lang w:val="fr-FR"/>
        </w:rPr>
        <w:t>essai doit être réalisé trois fois. La masse obtenue de l</w:t>
      </w:r>
      <w:r w:rsidR="00DB4C2D">
        <w:rPr>
          <w:rFonts w:eastAsia="Times New Roman"/>
          <w:lang w:val="fr-FR"/>
        </w:rPr>
        <w:t>’</w:t>
      </w:r>
      <w:r w:rsidRPr="00B55162">
        <w:rPr>
          <w:rFonts w:eastAsia="Times New Roman"/>
          <w:lang w:val="fr-FR"/>
        </w:rPr>
        <w:t>émission de monoxyde de carbone et d</w:t>
      </w:r>
      <w:r w:rsidR="00DB4C2D">
        <w:rPr>
          <w:rFonts w:eastAsia="Times New Roman"/>
          <w:lang w:val="fr-FR"/>
        </w:rPr>
        <w:t>’</w:t>
      </w:r>
      <w:r w:rsidRPr="00B55162">
        <w:rPr>
          <w:rFonts w:eastAsia="Times New Roman"/>
          <w:lang w:val="fr-FR"/>
        </w:rPr>
        <w:t>hydrocarbures doit être inférieure aux limites figurant dans le tableau 2.</w:t>
      </w:r>
    </w:p>
    <w:p w:rsidR="00BE63F4" w:rsidRDefault="00BE63F4" w:rsidP="00BE63F4">
      <w:pPr>
        <w:pStyle w:val="Titre1"/>
        <w:spacing w:after="120"/>
        <w:rPr>
          <w:b/>
          <w:lang w:val="fr-FR"/>
        </w:rPr>
      </w:pPr>
      <w:r w:rsidRPr="00BE63F4">
        <w:rPr>
          <w:lang w:val="fr-FR"/>
        </w:rPr>
        <w:lastRenderedPageBreak/>
        <w:t>Tableau 2</w:t>
      </w:r>
      <w:r w:rsidRPr="00BE63F4">
        <w:rPr>
          <w:lang w:val="fr-FR"/>
        </w:rPr>
        <w:br/>
      </w:r>
      <w:r w:rsidRPr="00BE63F4">
        <w:rPr>
          <w:b/>
          <w:lang w:val="fr-FR"/>
        </w:rPr>
        <w:t>Limite d</w:t>
      </w:r>
      <w:r w:rsidR="00DB4C2D">
        <w:rPr>
          <w:b/>
          <w:lang w:val="fr-FR"/>
        </w:rPr>
        <w:t>’</w:t>
      </w:r>
      <w:r w:rsidRPr="00BE63F4">
        <w:rPr>
          <w:b/>
          <w:lang w:val="fr-FR"/>
        </w:rPr>
        <w:t>émission pour les émissions d</w:t>
      </w:r>
      <w:r w:rsidR="00DB4C2D">
        <w:rPr>
          <w:b/>
          <w:lang w:val="fr-FR"/>
        </w:rPr>
        <w:t>’</w:t>
      </w:r>
      <w:r w:rsidRPr="00BE63F4">
        <w:rPr>
          <w:b/>
          <w:lang w:val="fr-FR"/>
        </w:rPr>
        <w:t>éch</w:t>
      </w:r>
      <w:r>
        <w:rPr>
          <w:b/>
          <w:lang w:val="fr-FR"/>
        </w:rPr>
        <w:t>appement de monoxyde de carbone</w:t>
      </w:r>
      <w:r>
        <w:rPr>
          <w:b/>
          <w:lang w:val="fr-FR"/>
        </w:rPr>
        <w:br/>
      </w:r>
      <w:r w:rsidRPr="00BE63F4">
        <w:rPr>
          <w:b/>
          <w:lang w:val="fr-FR"/>
        </w:rPr>
        <w:t>et d</w:t>
      </w:r>
      <w:r w:rsidR="00DB4C2D">
        <w:rPr>
          <w:b/>
          <w:lang w:val="fr-FR"/>
        </w:rPr>
        <w:t>’</w:t>
      </w:r>
      <w:r w:rsidRPr="00BE63F4">
        <w:rPr>
          <w:b/>
          <w:lang w:val="fr-FR"/>
        </w:rPr>
        <w:t>hydrocarbures après un essai de démarrage à froid</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7"/>
        <w:gridCol w:w="1418"/>
        <w:gridCol w:w="2268"/>
        <w:gridCol w:w="2268"/>
      </w:tblGrid>
      <w:tr w:rsidR="00BE63F4" w:rsidRPr="00BE63F4" w:rsidTr="00B65C71">
        <w:tblPrEx>
          <w:tblCellMar>
            <w:top w:w="0" w:type="dxa"/>
            <w:bottom w:w="0" w:type="dxa"/>
          </w:tblCellMar>
        </w:tblPrEx>
        <w:tc>
          <w:tcPr>
            <w:tcW w:w="7371" w:type="dxa"/>
            <w:gridSpan w:val="4"/>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i/>
                <w:sz w:val="16"/>
                <w:szCs w:val="16"/>
                <w:lang w:val="fr-FR"/>
              </w:rPr>
            </w:pPr>
            <w:r w:rsidRPr="00BE63F4">
              <w:rPr>
                <w:rFonts w:eastAsia="Times New Roman"/>
                <w:i/>
                <w:sz w:val="16"/>
                <w:szCs w:val="16"/>
                <w:lang w:val="fr-FR"/>
              </w:rPr>
              <w:t>Température d</w:t>
            </w:r>
            <w:r w:rsidR="00DB4C2D">
              <w:rPr>
                <w:rFonts w:eastAsia="Times New Roman"/>
                <w:i/>
                <w:sz w:val="16"/>
                <w:szCs w:val="16"/>
                <w:lang w:val="fr-FR"/>
              </w:rPr>
              <w:t>’</w:t>
            </w:r>
            <w:r w:rsidRPr="00BE63F4">
              <w:rPr>
                <w:rFonts w:eastAsia="Times New Roman"/>
                <w:i/>
                <w:sz w:val="16"/>
                <w:szCs w:val="16"/>
                <w:lang w:val="fr-FR"/>
              </w:rPr>
              <w:t>essai 266 K (-7 °C)</w:t>
            </w:r>
          </w:p>
        </w:tc>
      </w:tr>
      <w:tr w:rsidR="00BE63F4" w:rsidRPr="00BE63F4" w:rsidTr="00B65C71">
        <w:tblPrEx>
          <w:tblCellMar>
            <w:top w:w="0" w:type="dxa"/>
            <w:bottom w:w="0" w:type="dxa"/>
          </w:tblCellMar>
        </w:tblPrEx>
        <w:trPr>
          <w:trHeight w:val="857"/>
        </w:trPr>
        <w:tc>
          <w:tcPr>
            <w:tcW w:w="1417" w:type="dxa"/>
            <w:vAlign w:val="center"/>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i/>
                <w:sz w:val="16"/>
                <w:szCs w:val="16"/>
                <w:lang w:val="fr-FR"/>
              </w:rPr>
            </w:pPr>
            <w:r w:rsidRPr="00BE63F4">
              <w:rPr>
                <w:rFonts w:eastAsia="Times New Roman"/>
                <w:i/>
                <w:sz w:val="16"/>
                <w:szCs w:val="16"/>
                <w:lang w:val="fr-FR"/>
              </w:rPr>
              <w:t xml:space="preserve">Catégorie </w:t>
            </w:r>
            <w:r w:rsidRPr="00BE63F4">
              <w:rPr>
                <w:rFonts w:eastAsia="Times New Roman"/>
                <w:i/>
                <w:sz w:val="16"/>
                <w:szCs w:val="16"/>
                <w:lang w:val="fr-FR"/>
              </w:rPr>
              <w:br/>
              <w:t>de véhicules</w:t>
            </w:r>
          </w:p>
        </w:tc>
        <w:tc>
          <w:tcPr>
            <w:tcW w:w="1418" w:type="dxa"/>
            <w:vAlign w:val="center"/>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i/>
                <w:sz w:val="16"/>
                <w:szCs w:val="16"/>
                <w:lang w:val="fr-FR"/>
              </w:rPr>
            </w:pPr>
            <w:r w:rsidRPr="00BE63F4">
              <w:rPr>
                <w:rFonts w:eastAsia="Times New Roman"/>
                <w:i/>
                <w:sz w:val="16"/>
                <w:szCs w:val="16"/>
                <w:lang w:val="fr-FR"/>
              </w:rPr>
              <w:t>Classe</w:t>
            </w:r>
          </w:p>
        </w:tc>
        <w:tc>
          <w:tcPr>
            <w:tcW w:w="2268" w:type="dxa"/>
            <w:vAlign w:val="center"/>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i/>
                <w:sz w:val="16"/>
                <w:szCs w:val="16"/>
                <w:lang w:val="fr-FR"/>
              </w:rPr>
            </w:pPr>
            <w:r w:rsidRPr="00BE63F4">
              <w:rPr>
                <w:rFonts w:eastAsia="Times New Roman"/>
                <w:i/>
                <w:sz w:val="16"/>
                <w:szCs w:val="16"/>
                <w:lang w:val="fr-FR"/>
              </w:rPr>
              <w:t xml:space="preserve">Masse de monoxyde </w:t>
            </w:r>
            <w:r w:rsidRPr="00BE63F4">
              <w:rPr>
                <w:rFonts w:eastAsia="Times New Roman"/>
                <w:i/>
                <w:sz w:val="16"/>
                <w:szCs w:val="16"/>
                <w:lang w:val="fr-FR"/>
              </w:rPr>
              <w:br/>
              <w:t>de carbone (CO)</w:t>
            </w:r>
            <w:r w:rsidRPr="00BE63F4">
              <w:rPr>
                <w:rFonts w:eastAsia="Times New Roman"/>
                <w:i/>
                <w:sz w:val="16"/>
                <w:szCs w:val="16"/>
                <w:lang w:val="fr-FR"/>
              </w:rPr>
              <w:br/>
              <w:t>L</w:t>
            </w:r>
            <w:r w:rsidRPr="00BE63F4">
              <w:rPr>
                <w:rFonts w:eastAsia="Times New Roman"/>
                <w:i/>
                <w:sz w:val="16"/>
                <w:szCs w:val="16"/>
                <w:vertAlign w:val="subscript"/>
                <w:lang w:val="fr-FR"/>
              </w:rPr>
              <w:t>1</w:t>
            </w:r>
            <w:r w:rsidRPr="00BE63F4">
              <w:rPr>
                <w:rFonts w:eastAsia="Times New Roman"/>
                <w:i/>
                <w:sz w:val="16"/>
                <w:szCs w:val="16"/>
                <w:lang w:val="fr-FR"/>
              </w:rPr>
              <w:t xml:space="preserve"> (g/km)</w:t>
            </w:r>
          </w:p>
        </w:tc>
        <w:tc>
          <w:tcPr>
            <w:tcW w:w="2268" w:type="dxa"/>
            <w:vAlign w:val="center"/>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i/>
                <w:sz w:val="16"/>
                <w:szCs w:val="16"/>
                <w:lang w:val="fr-FR"/>
              </w:rPr>
            </w:pPr>
            <w:r w:rsidRPr="00BE63F4">
              <w:rPr>
                <w:rFonts w:eastAsia="Times New Roman"/>
                <w:i/>
                <w:sz w:val="16"/>
                <w:szCs w:val="16"/>
                <w:lang w:val="fr-FR"/>
              </w:rPr>
              <w:t>Masse d</w:t>
            </w:r>
            <w:r w:rsidR="00DB4C2D">
              <w:rPr>
                <w:rFonts w:eastAsia="Times New Roman"/>
                <w:i/>
                <w:sz w:val="16"/>
                <w:szCs w:val="16"/>
                <w:lang w:val="fr-FR"/>
              </w:rPr>
              <w:t>’</w:t>
            </w:r>
            <w:r w:rsidRPr="00BE63F4">
              <w:rPr>
                <w:rFonts w:eastAsia="Times New Roman"/>
                <w:i/>
                <w:sz w:val="16"/>
                <w:szCs w:val="16"/>
                <w:lang w:val="fr-FR"/>
              </w:rPr>
              <w:t>hydrocarbures (HC)</w:t>
            </w:r>
            <w:r w:rsidRPr="00BE63F4">
              <w:rPr>
                <w:rFonts w:eastAsia="Times New Roman"/>
                <w:i/>
                <w:sz w:val="16"/>
                <w:szCs w:val="16"/>
                <w:lang w:val="fr-FR"/>
              </w:rPr>
              <w:br/>
              <w:t>L</w:t>
            </w:r>
            <w:r w:rsidRPr="00BE63F4">
              <w:rPr>
                <w:rFonts w:eastAsia="Times New Roman"/>
                <w:i/>
                <w:sz w:val="16"/>
                <w:szCs w:val="16"/>
                <w:vertAlign w:val="subscript"/>
                <w:lang w:val="fr-FR"/>
              </w:rPr>
              <w:t>2</w:t>
            </w:r>
            <w:r w:rsidRPr="00BE63F4">
              <w:rPr>
                <w:rFonts w:eastAsia="Times New Roman"/>
                <w:i/>
                <w:sz w:val="16"/>
                <w:szCs w:val="16"/>
                <w:lang w:val="fr-FR"/>
              </w:rPr>
              <w:t xml:space="preserve"> (g/km)</w:t>
            </w:r>
          </w:p>
        </w:tc>
      </w:tr>
      <w:tr w:rsidR="00BE63F4" w:rsidRPr="00BE63F4" w:rsidTr="00B65C71">
        <w:tblPrEx>
          <w:tblCellMar>
            <w:top w:w="0" w:type="dxa"/>
            <w:bottom w:w="0" w:type="dxa"/>
          </w:tblCellMar>
        </w:tblPrEx>
        <w:tc>
          <w:tcPr>
            <w:tcW w:w="1417"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M</w:t>
            </w:r>
          </w:p>
        </w:tc>
        <w:tc>
          <w:tcPr>
            <w:tcW w:w="141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w:t>
            </w:r>
          </w:p>
        </w:tc>
        <w:tc>
          <w:tcPr>
            <w:tcW w:w="226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15</w:t>
            </w:r>
          </w:p>
        </w:tc>
        <w:tc>
          <w:tcPr>
            <w:tcW w:w="226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1,8</w:t>
            </w:r>
          </w:p>
        </w:tc>
      </w:tr>
      <w:tr w:rsidR="00BE63F4" w:rsidRPr="00BE63F4" w:rsidTr="00B65C71">
        <w:tblPrEx>
          <w:tblCellMar>
            <w:top w:w="0" w:type="dxa"/>
            <w:bottom w:w="0" w:type="dxa"/>
          </w:tblCellMar>
        </w:tblPrEx>
        <w:tc>
          <w:tcPr>
            <w:tcW w:w="1417" w:type="dxa"/>
            <w:vMerge w:val="restart"/>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N</w:t>
            </w:r>
            <w:r w:rsidRPr="00BE63F4">
              <w:rPr>
                <w:rFonts w:eastAsia="Times New Roman"/>
                <w:sz w:val="18"/>
                <w:szCs w:val="18"/>
                <w:vertAlign w:val="subscript"/>
                <w:lang w:val="fr-FR"/>
              </w:rPr>
              <w:t>1</w:t>
            </w:r>
          </w:p>
        </w:tc>
        <w:tc>
          <w:tcPr>
            <w:tcW w:w="141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I</w:t>
            </w:r>
          </w:p>
        </w:tc>
        <w:tc>
          <w:tcPr>
            <w:tcW w:w="226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15</w:t>
            </w:r>
          </w:p>
        </w:tc>
        <w:tc>
          <w:tcPr>
            <w:tcW w:w="226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1,8</w:t>
            </w:r>
          </w:p>
        </w:tc>
      </w:tr>
      <w:tr w:rsidR="00BE63F4" w:rsidRPr="00BE63F4" w:rsidTr="00B65C71">
        <w:tblPrEx>
          <w:tblCellMar>
            <w:top w:w="0" w:type="dxa"/>
            <w:bottom w:w="0" w:type="dxa"/>
          </w:tblCellMar>
        </w:tblPrEx>
        <w:tc>
          <w:tcPr>
            <w:tcW w:w="1417" w:type="dxa"/>
            <w:vMerge/>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p>
        </w:tc>
        <w:tc>
          <w:tcPr>
            <w:tcW w:w="141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II</w:t>
            </w:r>
          </w:p>
        </w:tc>
        <w:tc>
          <w:tcPr>
            <w:tcW w:w="226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24</w:t>
            </w:r>
          </w:p>
        </w:tc>
        <w:tc>
          <w:tcPr>
            <w:tcW w:w="226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2,7</w:t>
            </w:r>
          </w:p>
        </w:tc>
      </w:tr>
      <w:tr w:rsidR="00BE63F4" w:rsidRPr="00BE63F4" w:rsidTr="00B65C71">
        <w:tblPrEx>
          <w:tblCellMar>
            <w:top w:w="0" w:type="dxa"/>
            <w:bottom w:w="0" w:type="dxa"/>
          </w:tblCellMar>
        </w:tblPrEx>
        <w:tc>
          <w:tcPr>
            <w:tcW w:w="1417" w:type="dxa"/>
            <w:vMerge/>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p>
        </w:tc>
        <w:tc>
          <w:tcPr>
            <w:tcW w:w="141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III</w:t>
            </w:r>
          </w:p>
        </w:tc>
        <w:tc>
          <w:tcPr>
            <w:tcW w:w="226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30</w:t>
            </w:r>
          </w:p>
        </w:tc>
        <w:tc>
          <w:tcPr>
            <w:tcW w:w="226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3,2</w:t>
            </w:r>
          </w:p>
        </w:tc>
      </w:tr>
      <w:tr w:rsidR="00BE63F4" w:rsidRPr="00BE63F4" w:rsidTr="00B65C71">
        <w:tblPrEx>
          <w:tblCellMar>
            <w:top w:w="0" w:type="dxa"/>
            <w:bottom w:w="0" w:type="dxa"/>
          </w:tblCellMar>
        </w:tblPrEx>
        <w:tc>
          <w:tcPr>
            <w:tcW w:w="1417"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N</w:t>
            </w:r>
            <w:r w:rsidRPr="00BE63F4">
              <w:rPr>
                <w:rFonts w:eastAsia="Times New Roman"/>
                <w:sz w:val="18"/>
                <w:szCs w:val="18"/>
                <w:vertAlign w:val="subscript"/>
                <w:lang w:val="fr-FR"/>
              </w:rPr>
              <w:t>2</w:t>
            </w:r>
          </w:p>
        </w:tc>
        <w:tc>
          <w:tcPr>
            <w:tcW w:w="141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w:t>
            </w:r>
          </w:p>
        </w:tc>
        <w:tc>
          <w:tcPr>
            <w:tcW w:w="226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30</w:t>
            </w:r>
          </w:p>
        </w:tc>
        <w:tc>
          <w:tcPr>
            <w:tcW w:w="2268" w:type="dxa"/>
          </w:tcPr>
          <w:p w:rsidR="00BE63F4" w:rsidRPr="00BE63F4" w:rsidRDefault="00BE63F4" w:rsidP="00BE63F4">
            <w:pPr>
              <w:keepNext/>
              <w:kinsoku/>
              <w:overflowPunct/>
              <w:autoSpaceDE/>
              <w:autoSpaceDN/>
              <w:adjustRightInd/>
              <w:snapToGrid/>
              <w:spacing w:before="40" w:after="40" w:line="220" w:lineRule="atLeast"/>
              <w:ind w:left="57" w:right="57"/>
              <w:jc w:val="center"/>
              <w:rPr>
                <w:rFonts w:eastAsia="Times New Roman"/>
                <w:sz w:val="18"/>
                <w:szCs w:val="18"/>
                <w:lang w:val="fr-FR"/>
              </w:rPr>
            </w:pPr>
            <w:r w:rsidRPr="00BE63F4">
              <w:rPr>
                <w:rFonts w:eastAsia="Times New Roman"/>
                <w:sz w:val="18"/>
                <w:szCs w:val="18"/>
                <w:lang w:val="fr-FR"/>
              </w:rPr>
              <w:t>3,2</w:t>
            </w:r>
          </w:p>
        </w:tc>
      </w:tr>
    </w:tbl>
    <w:p w:rsidR="00F6700B" w:rsidRPr="00F6700B" w:rsidRDefault="00F6700B" w:rsidP="00F6700B">
      <w:pPr>
        <w:pStyle w:val="SingleTxtG"/>
        <w:spacing w:before="120"/>
        <w:ind w:left="2268" w:hanging="1134"/>
        <w:rPr>
          <w:rFonts w:eastAsia="Times New Roman"/>
          <w:lang w:val="fr-FR"/>
        </w:rPr>
      </w:pPr>
      <w:r w:rsidRPr="00F6700B">
        <w:rPr>
          <w:rFonts w:eastAsia="Times New Roman"/>
          <w:lang w:val="fr-FR"/>
        </w:rPr>
        <w:t>5.3.5.2.1</w:t>
      </w:r>
      <w:r w:rsidRPr="00F6700B">
        <w:rPr>
          <w:rFonts w:eastAsia="Times New Roman"/>
          <w:lang w:val="fr-FR"/>
        </w:rPr>
        <w:tab/>
      </w:r>
      <w:r w:rsidRPr="00F6700B">
        <w:rPr>
          <w:rFonts w:eastAsia="Times New Roman"/>
          <w:lang w:val="fr-FR"/>
        </w:rPr>
        <w:tab/>
        <w:t>Nonobstant les prescriptions du paragraphe 5.3.5.2, seul un des trois résultats obtenus peut, pour chaque polluant, dépasser de plus de 10 % la limite prescrite, pour autant que la moyenne arithmétique des trois résultats soit inférieure à la limite prescrite. Lorsque les limites prescrites sont dépassées pour plus d</w:t>
      </w:r>
      <w:r w:rsidR="00DB4C2D">
        <w:rPr>
          <w:rFonts w:eastAsia="Times New Roman"/>
          <w:lang w:val="fr-FR"/>
        </w:rPr>
        <w:t>’</w:t>
      </w:r>
      <w:r w:rsidRPr="00F6700B">
        <w:rPr>
          <w:rFonts w:eastAsia="Times New Roman"/>
          <w:lang w:val="fr-FR"/>
        </w:rPr>
        <w:t>un polluant, peu importe que ce soit au cours du même essai ou au cours d</w:t>
      </w:r>
      <w:r w:rsidR="00DB4C2D">
        <w:rPr>
          <w:rFonts w:eastAsia="Times New Roman"/>
          <w:lang w:val="fr-FR"/>
        </w:rPr>
        <w:t>’</w:t>
      </w:r>
      <w:r w:rsidRPr="00F6700B">
        <w:rPr>
          <w:rFonts w:eastAsia="Times New Roman"/>
          <w:lang w:val="fr-FR"/>
        </w:rPr>
        <w:t>essais différents.</w:t>
      </w:r>
    </w:p>
    <w:p w:rsidR="00F6700B" w:rsidRPr="00F6700B" w:rsidRDefault="00F6700B" w:rsidP="00F6700B">
      <w:pPr>
        <w:pStyle w:val="SingleTxtG"/>
        <w:spacing w:before="120"/>
        <w:ind w:left="2268" w:hanging="1134"/>
        <w:rPr>
          <w:rFonts w:eastAsia="Times New Roman"/>
          <w:lang w:val="fr-FR"/>
        </w:rPr>
      </w:pPr>
      <w:r w:rsidRPr="00F6700B">
        <w:rPr>
          <w:rFonts w:eastAsia="Times New Roman"/>
          <w:lang w:val="fr-FR"/>
        </w:rPr>
        <w:t>5.3.5.2.2</w:t>
      </w:r>
      <w:r w:rsidRPr="00F6700B">
        <w:rPr>
          <w:rFonts w:eastAsia="Times New Roman"/>
          <w:lang w:val="fr-FR"/>
        </w:rPr>
        <w:tab/>
        <w:t>Le nombre d</w:t>
      </w:r>
      <w:r w:rsidR="00DB4C2D">
        <w:rPr>
          <w:rFonts w:eastAsia="Times New Roman"/>
          <w:lang w:val="fr-FR"/>
        </w:rPr>
        <w:t>’</w:t>
      </w:r>
      <w:r w:rsidRPr="00F6700B">
        <w:rPr>
          <w:rFonts w:eastAsia="Times New Roman"/>
          <w:lang w:val="fr-FR"/>
        </w:rPr>
        <w:t>essais prescrit au paragraphe 5.3.5.2 peut, à la demande du constructeur, être porté à 10 si la moyenne arithmétique des trois premiers résultats est inférieure à 110 % de la limite. Dans ce cas, la seule exigence est que la moyenne arithmétique des 10 résultats des essais soit inférieure à la valeur limite.</w:t>
      </w:r>
    </w:p>
    <w:p w:rsidR="00F6700B" w:rsidRPr="00F6700B" w:rsidRDefault="00F6700B" w:rsidP="00F6700B">
      <w:pPr>
        <w:pStyle w:val="SingleTxtG"/>
        <w:spacing w:before="120"/>
        <w:ind w:left="2268" w:hanging="1134"/>
        <w:rPr>
          <w:rFonts w:eastAsia="Times New Roman"/>
          <w:lang w:val="fr-FR"/>
        </w:rPr>
      </w:pPr>
      <w:r w:rsidRPr="00F6700B">
        <w:rPr>
          <w:rFonts w:eastAsia="Times New Roman"/>
          <w:lang w:val="fr-FR"/>
        </w:rPr>
        <w:t>5.3.5.3</w:t>
      </w:r>
      <w:r w:rsidRPr="00F6700B">
        <w:rPr>
          <w:rFonts w:eastAsia="Times New Roman"/>
          <w:lang w:val="fr-FR"/>
        </w:rPr>
        <w:tab/>
        <w:t>Le nombre d</w:t>
      </w:r>
      <w:r w:rsidR="00DB4C2D">
        <w:rPr>
          <w:rFonts w:eastAsia="Times New Roman"/>
          <w:lang w:val="fr-FR"/>
        </w:rPr>
        <w:t>’</w:t>
      </w:r>
      <w:r w:rsidRPr="00F6700B">
        <w:rPr>
          <w:rFonts w:eastAsia="Times New Roman"/>
          <w:lang w:val="fr-FR"/>
        </w:rPr>
        <w:t>essais prescrit au paragraphe 5.3.5.2 peut être réduit en fonction des paragraphes 5.3.5.3.1 et 5.3.5.3.2.</w:t>
      </w:r>
    </w:p>
    <w:p w:rsidR="00F6700B" w:rsidRPr="00F6700B" w:rsidRDefault="00F6700B" w:rsidP="00F6700B">
      <w:pPr>
        <w:pStyle w:val="SingleTxtG"/>
        <w:spacing w:before="120"/>
        <w:ind w:left="2268" w:hanging="1134"/>
        <w:rPr>
          <w:rFonts w:eastAsia="Times New Roman"/>
          <w:lang w:val="fr-FR"/>
        </w:rPr>
      </w:pPr>
      <w:r w:rsidRPr="00F6700B">
        <w:rPr>
          <w:rFonts w:eastAsia="Times New Roman"/>
          <w:lang w:val="fr-FR"/>
        </w:rPr>
        <w:t>5.3.5.3.1</w:t>
      </w:r>
      <w:r w:rsidRPr="00F6700B">
        <w:rPr>
          <w:rFonts w:eastAsia="Times New Roman"/>
          <w:lang w:val="fr-FR"/>
        </w:rPr>
        <w:tab/>
        <w:t>Un seul essai est réalisé si le résultat obtenu pour chaque polluant lors du premier essai est inférieur ou égal à 0,70 L.</w:t>
      </w:r>
    </w:p>
    <w:p w:rsidR="00F6700B" w:rsidRPr="00F6700B" w:rsidRDefault="00F6700B" w:rsidP="00F6700B">
      <w:pPr>
        <w:pStyle w:val="SingleTxtG"/>
        <w:spacing w:before="120"/>
        <w:ind w:left="2268" w:hanging="1134"/>
        <w:rPr>
          <w:rFonts w:eastAsia="Times New Roman"/>
          <w:lang w:val="fr-FR"/>
        </w:rPr>
      </w:pPr>
      <w:r w:rsidRPr="00F6700B">
        <w:rPr>
          <w:rFonts w:eastAsia="Times New Roman"/>
          <w:lang w:val="fr-FR"/>
        </w:rPr>
        <w:t>5.3.5.3.2</w:t>
      </w:r>
      <w:r w:rsidRPr="00F6700B">
        <w:rPr>
          <w:rFonts w:eastAsia="Times New Roman"/>
          <w:lang w:val="fr-FR"/>
        </w:rPr>
        <w:tab/>
        <w:t>Si la condition énoncée au paragraphe 5.3.5.3.1 n</w:t>
      </w:r>
      <w:r w:rsidR="00DB4C2D">
        <w:rPr>
          <w:rFonts w:eastAsia="Times New Roman"/>
          <w:lang w:val="fr-FR"/>
        </w:rPr>
        <w:t>’</w:t>
      </w:r>
      <w:r w:rsidRPr="00F6700B">
        <w:rPr>
          <w:rFonts w:eastAsia="Times New Roman"/>
          <w:lang w:val="fr-FR"/>
        </w:rPr>
        <w:t>est pas remplie, seuls deux essais sont effectués si, pour chaque polluant, le résultat du premier essai est inférieur ou égal à 0,85 L, la somme des deux premiers résultats est inférieure ou égale à 1,70 L et le résultat du deuxième essai est inférieur ou égal à L.</w:t>
      </w:r>
    </w:p>
    <w:p w:rsidR="00F6700B" w:rsidRPr="00F6700B" w:rsidRDefault="00F6700B" w:rsidP="00F6700B">
      <w:pPr>
        <w:pStyle w:val="SingleTxtG"/>
        <w:ind w:left="2268"/>
        <w:rPr>
          <w:lang w:val="fr-FR"/>
        </w:rPr>
      </w:pPr>
      <w:r w:rsidRPr="00F6700B">
        <w:rPr>
          <w:lang w:val="fr-FR"/>
        </w:rPr>
        <w:t>(V</w:t>
      </w:r>
      <w:r w:rsidRPr="00F6700B">
        <w:rPr>
          <w:vertAlign w:val="subscript"/>
          <w:lang w:val="fr-FR"/>
        </w:rPr>
        <w:t>1</w:t>
      </w:r>
      <w:r w:rsidRPr="00F6700B">
        <w:rPr>
          <w:lang w:val="fr-FR"/>
        </w:rPr>
        <w:t xml:space="preserve"> </w:t>
      </w:r>
      <w:r w:rsidRPr="00F6700B">
        <w:rPr>
          <w:lang w:val="fr-FR"/>
        </w:rPr>
        <w:sym w:font="Symbol" w:char="F0A3"/>
      </w:r>
      <w:r w:rsidRPr="00F6700B">
        <w:rPr>
          <w:lang w:val="fr-FR"/>
        </w:rPr>
        <w:t xml:space="preserve"> 0,85 L et V</w:t>
      </w:r>
      <w:r w:rsidRPr="00F6700B">
        <w:rPr>
          <w:vertAlign w:val="subscript"/>
          <w:lang w:val="fr-FR"/>
        </w:rPr>
        <w:t>1</w:t>
      </w:r>
      <w:r w:rsidRPr="00F6700B">
        <w:rPr>
          <w:lang w:val="fr-FR"/>
        </w:rPr>
        <w:t xml:space="preserve"> + V</w:t>
      </w:r>
      <w:r w:rsidRPr="00F6700B">
        <w:rPr>
          <w:vertAlign w:val="subscript"/>
          <w:lang w:val="fr-FR"/>
        </w:rPr>
        <w:t>2</w:t>
      </w:r>
      <w:r w:rsidRPr="00F6700B">
        <w:rPr>
          <w:lang w:val="fr-FR"/>
        </w:rPr>
        <w:t xml:space="preserve"> </w:t>
      </w:r>
      <w:r w:rsidRPr="00F6700B">
        <w:rPr>
          <w:lang w:val="fr-FR"/>
        </w:rPr>
        <w:sym w:font="Symbol" w:char="F0A3"/>
      </w:r>
      <w:r w:rsidRPr="00F6700B">
        <w:rPr>
          <w:lang w:val="fr-FR"/>
        </w:rPr>
        <w:t xml:space="preserve"> 1,70 L et V</w:t>
      </w:r>
      <w:r w:rsidRPr="00F6700B">
        <w:rPr>
          <w:vertAlign w:val="subscript"/>
          <w:lang w:val="fr-FR"/>
        </w:rPr>
        <w:t>2</w:t>
      </w:r>
      <w:r w:rsidRPr="00F6700B">
        <w:rPr>
          <w:lang w:val="fr-FR"/>
        </w:rPr>
        <w:t xml:space="preserve"> </w:t>
      </w:r>
      <w:r w:rsidRPr="00F6700B">
        <w:rPr>
          <w:lang w:val="fr-FR"/>
        </w:rPr>
        <w:sym w:font="Symbol" w:char="F0A3"/>
      </w:r>
      <w:r w:rsidRPr="00F6700B">
        <w:rPr>
          <w:lang w:val="fr-FR"/>
        </w:rPr>
        <w:t xml:space="preserve"> L).</w:t>
      </w:r>
    </w:p>
    <w:p w:rsidR="00F6700B" w:rsidRPr="00F6700B" w:rsidRDefault="00F6700B" w:rsidP="00F6700B">
      <w:pPr>
        <w:pStyle w:val="SingleTxtG"/>
        <w:keepNext/>
        <w:spacing w:before="120"/>
        <w:ind w:left="2268" w:hanging="1134"/>
        <w:rPr>
          <w:rFonts w:eastAsia="Times New Roman"/>
          <w:lang w:val="fr-FR"/>
        </w:rPr>
      </w:pPr>
      <w:r w:rsidRPr="00F6700B">
        <w:rPr>
          <w:rFonts w:eastAsia="Times New Roman"/>
          <w:lang w:val="fr-FR"/>
        </w:rPr>
        <w:t>5.3.6</w:t>
      </w:r>
      <w:r w:rsidRPr="00F6700B">
        <w:rPr>
          <w:rFonts w:eastAsia="Times New Roman"/>
          <w:lang w:val="fr-FR"/>
        </w:rPr>
        <w:tab/>
        <w:t>Essai du type V (Description de l</w:t>
      </w:r>
      <w:r w:rsidR="00DB4C2D">
        <w:rPr>
          <w:rFonts w:eastAsia="Times New Roman"/>
          <w:lang w:val="fr-FR"/>
        </w:rPr>
        <w:t>’</w:t>
      </w:r>
      <w:r w:rsidRPr="00F6700B">
        <w:rPr>
          <w:rFonts w:eastAsia="Times New Roman"/>
          <w:lang w:val="fr-FR"/>
        </w:rPr>
        <w:t>essai d</w:t>
      </w:r>
      <w:r w:rsidR="00DB4C2D">
        <w:rPr>
          <w:rFonts w:eastAsia="Times New Roman"/>
          <w:lang w:val="fr-FR"/>
        </w:rPr>
        <w:t>’</w:t>
      </w:r>
      <w:r w:rsidRPr="00F6700B">
        <w:rPr>
          <w:rFonts w:eastAsia="Times New Roman"/>
          <w:lang w:val="fr-FR"/>
        </w:rPr>
        <w:t>endurance permettant de vérifier la durabilité des dispositifs antipollution)</w:t>
      </w:r>
    </w:p>
    <w:p w:rsidR="00F6700B" w:rsidRPr="00F6700B" w:rsidRDefault="00F6700B" w:rsidP="00F6700B">
      <w:pPr>
        <w:pStyle w:val="SingleTxtG"/>
        <w:spacing w:before="120"/>
        <w:ind w:left="2268" w:hanging="1134"/>
        <w:rPr>
          <w:rFonts w:eastAsia="Times New Roman"/>
          <w:lang w:val="fr-FR"/>
        </w:rPr>
      </w:pPr>
      <w:r w:rsidRPr="00F6700B">
        <w:rPr>
          <w:rFonts w:eastAsia="Times New Roman"/>
          <w:lang w:val="fr-FR"/>
        </w:rPr>
        <w:t>5.3.6.1</w:t>
      </w:r>
      <w:r w:rsidRPr="00F6700B">
        <w:rPr>
          <w:rFonts w:eastAsia="Times New Roman"/>
          <w:lang w:val="fr-FR"/>
        </w:rPr>
        <w:tab/>
        <w:t>Cet essai doit être exécuté sur tous les véhicules visés au paragraphe 1 et concernés par l</w:t>
      </w:r>
      <w:r w:rsidR="00DB4C2D">
        <w:rPr>
          <w:rFonts w:eastAsia="Times New Roman"/>
          <w:lang w:val="fr-FR"/>
        </w:rPr>
        <w:t>’</w:t>
      </w:r>
      <w:r w:rsidRPr="00F6700B">
        <w:rPr>
          <w:rFonts w:eastAsia="Times New Roman"/>
          <w:lang w:val="fr-FR"/>
        </w:rPr>
        <w:t>essai décrit au paragraphe 5.3.1. L</w:t>
      </w:r>
      <w:r w:rsidR="00DB4C2D">
        <w:rPr>
          <w:rFonts w:eastAsia="Times New Roman"/>
          <w:lang w:val="fr-FR"/>
        </w:rPr>
        <w:t>’</w:t>
      </w:r>
      <w:r w:rsidRPr="00F6700B">
        <w:rPr>
          <w:rFonts w:eastAsia="Times New Roman"/>
          <w:lang w:val="fr-FR"/>
        </w:rPr>
        <w:t>essai représente un vieillissement de 160 000 km effectués suivant le programme décrit à l</w:t>
      </w:r>
      <w:r w:rsidR="00DB4C2D">
        <w:rPr>
          <w:rFonts w:eastAsia="Times New Roman"/>
          <w:lang w:val="fr-FR"/>
        </w:rPr>
        <w:t>’</w:t>
      </w:r>
      <w:r w:rsidRPr="00F6700B">
        <w:rPr>
          <w:rFonts w:eastAsia="Times New Roman"/>
          <w:lang w:val="fr-FR"/>
        </w:rPr>
        <w:t>annexe 9 du présent Règlement sur piste, sur la route ou sur un banc à rouleaux.</w:t>
      </w:r>
    </w:p>
    <w:p w:rsidR="00F6700B" w:rsidRPr="00F6700B" w:rsidRDefault="00F6700B" w:rsidP="00F6700B">
      <w:pPr>
        <w:pStyle w:val="SingleTxtG"/>
        <w:spacing w:before="120"/>
        <w:ind w:left="2268" w:hanging="1134"/>
        <w:rPr>
          <w:rFonts w:eastAsia="Times New Roman"/>
          <w:lang w:val="fr-FR"/>
        </w:rPr>
      </w:pPr>
      <w:r w:rsidRPr="00F6700B">
        <w:rPr>
          <w:rFonts w:eastAsia="Times New Roman"/>
          <w:lang w:val="fr-FR"/>
        </w:rPr>
        <w:t>5.3.6.1.1</w:t>
      </w:r>
      <w:r w:rsidRPr="00F6700B">
        <w:rPr>
          <w:rFonts w:eastAsia="Times New Roman"/>
          <w:lang w:val="fr-FR"/>
        </w:rPr>
        <w:tab/>
        <w:t>Les véhicules qui peuvent fonctionner soit à l</w:t>
      </w:r>
      <w:r w:rsidR="00DB4C2D">
        <w:rPr>
          <w:rFonts w:eastAsia="Times New Roman"/>
          <w:lang w:val="fr-FR"/>
        </w:rPr>
        <w:t>’</w:t>
      </w:r>
      <w:r w:rsidRPr="00F6700B">
        <w:rPr>
          <w:rFonts w:eastAsia="Times New Roman"/>
          <w:lang w:val="fr-FR"/>
        </w:rPr>
        <w:t>essence, soit au GPL ou au GN ne doivent être soumis à l</w:t>
      </w:r>
      <w:r w:rsidR="00DB4C2D">
        <w:rPr>
          <w:rFonts w:eastAsia="Times New Roman"/>
          <w:lang w:val="fr-FR"/>
        </w:rPr>
        <w:t>’</w:t>
      </w:r>
      <w:r w:rsidRPr="00F6700B">
        <w:rPr>
          <w:rFonts w:eastAsia="Times New Roman"/>
          <w:lang w:val="fr-FR"/>
        </w:rPr>
        <w:t>essai du type V qu</w:t>
      </w:r>
      <w:r w:rsidR="00DB4C2D">
        <w:rPr>
          <w:rFonts w:eastAsia="Times New Roman"/>
          <w:lang w:val="fr-FR"/>
        </w:rPr>
        <w:t>’</w:t>
      </w:r>
      <w:r w:rsidRPr="00F6700B">
        <w:rPr>
          <w:rFonts w:eastAsia="Times New Roman"/>
          <w:lang w:val="fr-FR"/>
        </w:rPr>
        <w:t>avec de l</w:t>
      </w:r>
      <w:r w:rsidR="00DB4C2D">
        <w:rPr>
          <w:rFonts w:eastAsia="Times New Roman"/>
          <w:lang w:val="fr-FR"/>
        </w:rPr>
        <w:t>’</w:t>
      </w:r>
      <w:r w:rsidRPr="00F6700B">
        <w:rPr>
          <w:rFonts w:eastAsia="Times New Roman"/>
          <w:lang w:val="fr-FR"/>
        </w:rPr>
        <w:t>essence. Dans ce cas, les facteurs de détérioration trouvés avec l</w:t>
      </w:r>
      <w:r w:rsidR="00DB4C2D">
        <w:rPr>
          <w:rFonts w:eastAsia="Times New Roman"/>
          <w:lang w:val="fr-FR"/>
        </w:rPr>
        <w:t>’</w:t>
      </w:r>
      <w:r w:rsidRPr="00F6700B">
        <w:rPr>
          <w:rFonts w:eastAsia="Times New Roman"/>
          <w:lang w:val="fr-FR"/>
        </w:rPr>
        <w:t>essence sans plomb seront également pris pour le GPL ou le GN.</w:t>
      </w:r>
    </w:p>
    <w:p w:rsidR="00BE63F4" w:rsidRDefault="00F6700B" w:rsidP="00F6700B">
      <w:pPr>
        <w:pStyle w:val="SingleTxtG"/>
        <w:spacing w:before="120"/>
        <w:ind w:left="2268" w:hanging="1134"/>
        <w:rPr>
          <w:rFonts w:eastAsia="Times New Roman"/>
          <w:lang w:val="fr-FR"/>
        </w:rPr>
      </w:pPr>
      <w:r w:rsidRPr="00F6700B">
        <w:rPr>
          <w:rFonts w:eastAsia="Times New Roman"/>
          <w:lang w:val="fr-FR"/>
        </w:rPr>
        <w:lastRenderedPageBreak/>
        <w:t>5.3.6.2</w:t>
      </w:r>
      <w:r w:rsidRPr="00F6700B">
        <w:rPr>
          <w:rFonts w:eastAsia="Times New Roman"/>
          <w:lang w:val="fr-FR"/>
        </w:rPr>
        <w:tab/>
        <w:t>Par dérogation aux prescriptions du paragraphe 5.3.6.1, le constructeur peut choisir d</w:t>
      </w:r>
      <w:r w:rsidR="00DB4C2D">
        <w:rPr>
          <w:rFonts w:eastAsia="Times New Roman"/>
          <w:lang w:val="fr-FR"/>
        </w:rPr>
        <w:t>’</w:t>
      </w:r>
      <w:r w:rsidRPr="00F6700B">
        <w:rPr>
          <w:rFonts w:eastAsia="Times New Roman"/>
          <w:lang w:val="fr-FR"/>
        </w:rPr>
        <w:t>utiliser les facteurs de détérioration indiqués au tableau 3 au lieu d</w:t>
      </w:r>
      <w:r w:rsidR="00DB4C2D">
        <w:rPr>
          <w:rFonts w:eastAsia="Times New Roman"/>
          <w:lang w:val="fr-FR"/>
        </w:rPr>
        <w:t>’</w:t>
      </w:r>
      <w:r w:rsidRPr="00F6700B">
        <w:rPr>
          <w:rFonts w:eastAsia="Times New Roman"/>
          <w:lang w:val="fr-FR"/>
        </w:rPr>
        <w:t>effectuer l</w:t>
      </w:r>
      <w:r w:rsidR="00DB4C2D">
        <w:rPr>
          <w:rFonts w:eastAsia="Times New Roman"/>
          <w:lang w:val="fr-FR"/>
        </w:rPr>
        <w:t>’</w:t>
      </w:r>
      <w:r w:rsidRPr="00F6700B">
        <w:rPr>
          <w:rFonts w:eastAsia="Times New Roman"/>
          <w:lang w:val="fr-FR"/>
        </w:rPr>
        <w:t>essai prévu par le paragraphe 5.3.6.1.</w:t>
      </w:r>
    </w:p>
    <w:p w:rsidR="002366C6" w:rsidRDefault="002366C6" w:rsidP="00A1202C">
      <w:pPr>
        <w:pStyle w:val="Titre1"/>
        <w:spacing w:after="120"/>
        <w:ind w:left="0"/>
        <w:rPr>
          <w:b/>
          <w:lang w:val="fr-FR"/>
        </w:rPr>
      </w:pPr>
      <w:r w:rsidRPr="00A1202C">
        <w:t>Tableau</w:t>
      </w:r>
      <w:r w:rsidRPr="002366C6">
        <w:rPr>
          <w:lang w:val="fr-FR"/>
        </w:rPr>
        <w:t xml:space="preserve"> 3</w:t>
      </w:r>
      <w:r w:rsidR="00A1202C">
        <w:rPr>
          <w:lang w:val="fr-FR"/>
        </w:rPr>
        <w:br/>
      </w:r>
      <w:r w:rsidRPr="00A1202C">
        <w:rPr>
          <w:b/>
          <w:lang w:val="fr-FR"/>
        </w:rPr>
        <w:t>Facteurs de détérioration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22"/>
        <w:gridCol w:w="636"/>
        <w:gridCol w:w="763"/>
        <w:gridCol w:w="890"/>
        <w:gridCol w:w="763"/>
        <w:gridCol w:w="1149"/>
        <w:gridCol w:w="1520"/>
        <w:gridCol w:w="996"/>
      </w:tblGrid>
      <w:tr w:rsidR="00A1202C" w:rsidRPr="00A1202C" w:rsidTr="00A1202C">
        <w:tc>
          <w:tcPr>
            <w:tcW w:w="2922" w:type="dxa"/>
            <w:vMerge w:val="restart"/>
            <w:vAlign w:val="center"/>
          </w:tcPr>
          <w:p w:rsidR="00A1202C" w:rsidRPr="00A1202C" w:rsidRDefault="00A1202C" w:rsidP="00A1202C">
            <w:pPr>
              <w:keepNext/>
              <w:kinsoku/>
              <w:overflowPunct/>
              <w:autoSpaceDE/>
              <w:autoSpaceDN/>
              <w:adjustRightInd/>
              <w:snapToGrid/>
              <w:spacing w:before="60" w:after="60" w:line="220" w:lineRule="atLeast"/>
              <w:ind w:left="57" w:right="57"/>
              <w:rPr>
                <w:rFonts w:eastAsia="Times New Roman"/>
                <w:sz w:val="16"/>
                <w:szCs w:val="16"/>
                <w:lang w:val="fr-FR"/>
              </w:rPr>
            </w:pPr>
            <w:r w:rsidRPr="00A1202C">
              <w:rPr>
                <w:rFonts w:eastAsia="Times New Roman"/>
                <w:i/>
                <w:sz w:val="16"/>
                <w:szCs w:val="16"/>
                <w:lang w:val="fr-FR"/>
              </w:rPr>
              <w:t>Catégorie de moteur</w:t>
            </w:r>
          </w:p>
        </w:tc>
        <w:tc>
          <w:tcPr>
            <w:tcW w:w="6717" w:type="dxa"/>
            <w:gridSpan w:val="7"/>
            <w:vAlign w:val="center"/>
          </w:tcPr>
          <w:p w:rsidR="00A1202C" w:rsidRPr="00A1202C" w:rsidRDefault="00A1202C" w:rsidP="00A1202C">
            <w:pPr>
              <w:keepNext/>
              <w:kinsoku/>
              <w:overflowPunct/>
              <w:autoSpaceDE/>
              <w:autoSpaceDN/>
              <w:adjustRightInd/>
              <w:snapToGrid/>
              <w:spacing w:before="60" w:after="60" w:line="220" w:lineRule="atLeast"/>
              <w:ind w:left="57" w:right="57"/>
              <w:jc w:val="center"/>
              <w:rPr>
                <w:rFonts w:eastAsia="Times New Roman"/>
                <w:i/>
                <w:sz w:val="16"/>
                <w:szCs w:val="16"/>
                <w:lang w:val="fr-FR"/>
              </w:rPr>
            </w:pPr>
            <w:r w:rsidRPr="00A1202C">
              <w:rPr>
                <w:rFonts w:eastAsia="Times New Roman"/>
                <w:i/>
                <w:sz w:val="16"/>
                <w:szCs w:val="16"/>
                <w:lang w:val="fr-FR"/>
              </w:rPr>
              <w:t>Facteurs de détérioration attribués</w:t>
            </w:r>
          </w:p>
        </w:tc>
      </w:tr>
      <w:tr w:rsidR="00A1202C" w:rsidRPr="00A1202C" w:rsidTr="00A1202C">
        <w:tc>
          <w:tcPr>
            <w:tcW w:w="2922" w:type="dxa"/>
            <w:vMerge/>
            <w:vAlign w:val="center"/>
          </w:tcPr>
          <w:p w:rsidR="00A1202C" w:rsidRPr="00A1202C" w:rsidRDefault="00A1202C" w:rsidP="00A1202C">
            <w:pPr>
              <w:keepNext/>
              <w:kinsoku/>
              <w:overflowPunct/>
              <w:autoSpaceDE/>
              <w:autoSpaceDN/>
              <w:adjustRightInd/>
              <w:snapToGrid/>
              <w:spacing w:before="60" w:after="60" w:line="220" w:lineRule="atLeast"/>
              <w:ind w:left="57" w:right="57" w:firstLine="648"/>
              <w:jc w:val="both"/>
              <w:rPr>
                <w:rFonts w:eastAsia="Times New Roman"/>
                <w:sz w:val="16"/>
                <w:szCs w:val="16"/>
                <w:lang w:val="fr-FR"/>
              </w:rPr>
            </w:pPr>
          </w:p>
        </w:tc>
        <w:tc>
          <w:tcPr>
            <w:tcW w:w="636" w:type="dxa"/>
            <w:vAlign w:val="center"/>
          </w:tcPr>
          <w:p w:rsidR="00A1202C" w:rsidRPr="00A1202C" w:rsidRDefault="00A1202C" w:rsidP="00A1202C">
            <w:pPr>
              <w:keepNext/>
              <w:kinsoku/>
              <w:overflowPunct/>
              <w:autoSpaceDE/>
              <w:autoSpaceDN/>
              <w:adjustRightInd/>
              <w:snapToGrid/>
              <w:spacing w:before="60" w:after="60" w:line="220" w:lineRule="atLeast"/>
              <w:ind w:left="57" w:right="57"/>
              <w:jc w:val="center"/>
              <w:rPr>
                <w:rFonts w:eastAsia="Times New Roman"/>
                <w:i/>
                <w:sz w:val="16"/>
                <w:szCs w:val="16"/>
                <w:lang w:val="fr-FR"/>
              </w:rPr>
            </w:pPr>
            <w:r w:rsidRPr="00A1202C">
              <w:rPr>
                <w:rFonts w:eastAsia="Times New Roman"/>
                <w:i/>
                <w:sz w:val="16"/>
                <w:szCs w:val="16"/>
                <w:lang w:val="fr-FR"/>
              </w:rPr>
              <w:t>CO</w:t>
            </w:r>
          </w:p>
        </w:tc>
        <w:tc>
          <w:tcPr>
            <w:tcW w:w="763" w:type="dxa"/>
            <w:vAlign w:val="center"/>
          </w:tcPr>
          <w:p w:rsidR="00A1202C" w:rsidRPr="00A1202C" w:rsidRDefault="00A1202C" w:rsidP="00A1202C">
            <w:pPr>
              <w:keepNext/>
              <w:kinsoku/>
              <w:overflowPunct/>
              <w:autoSpaceDE/>
              <w:autoSpaceDN/>
              <w:adjustRightInd/>
              <w:snapToGrid/>
              <w:spacing w:before="60" w:after="60" w:line="220" w:lineRule="atLeast"/>
              <w:ind w:left="57" w:right="57"/>
              <w:jc w:val="center"/>
              <w:rPr>
                <w:rFonts w:eastAsia="Times New Roman"/>
                <w:i/>
                <w:sz w:val="16"/>
                <w:szCs w:val="16"/>
                <w:lang w:val="fr-FR"/>
              </w:rPr>
            </w:pPr>
            <w:r w:rsidRPr="00A1202C">
              <w:rPr>
                <w:rFonts w:eastAsia="Times New Roman"/>
                <w:i/>
                <w:sz w:val="16"/>
                <w:szCs w:val="16"/>
                <w:lang w:val="fr-FR"/>
              </w:rPr>
              <w:t>HCT</w:t>
            </w:r>
          </w:p>
        </w:tc>
        <w:tc>
          <w:tcPr>
            <w:tcW w:w="890" w:type="dxa"/>
            <w:shd w:val="clear" w:color="auto" w:fill="auto"/>
            <w:vAlign w:val="center"/>
          </w:tcPr>
          <w:p w:rsidR="00A1202C" w:rsidRPr="00A1202C" w:rsidRDefault="00A1202C" w:rsidP="00A1202C">
            <w:pPr>
              <w:keepNext/>
              <w:kinsoku/>
              <w:overflowPunct/>
              <w:autoSpaceDE/>
              <w:autoSpaceDN/>
              <w:adjustRightInd/>
              <w:snapToGrid/>
              <w:spacing w:before="60" w:after="60" w:line="220" w:lineRule="atLeast"/>
              <w:ind w:left="57" w:right="57"/>
              <w:jc w:val="center"/>
              <w:rPr>
                <w:rFonts w:eastAsia="Times New Roman"/>
                <w:i/>
                <w:sz w:val="16"/>
                <w:szCs w:val="16"/>
                <w:lang w:val="fr-FR"/>
              </w:rPr>
            </w:pPr>
            <w:r w:rsidRPr="00A1202C">
              <w:rPr>
                <w:rFonts w:eastAsia="Times New Roman"/>
                <w:i/>
                <w:sz w:val="16"/>
                <w:szCs w:val="16"/>
                <w:lang w:val="fr-FR"/>
              </w:rPr>
              <w:t>NMHC</w:t>
            </w:r>
          </w:p>
        </w:tc>
        <w:tc>
          <w:tcPr>
            <w:tcW w:w="763" w:type="dxa"/>
            <w:shd w:val="clear" w:color="auto" w:fill="auto"/>
            <w:vAlign w:val="center"/>
          </w:tcPr>
          <w:p w:rsidR="00A1202C" w:rsidRPr="00A1202C" w:rsidRDefault="00A1202C" w:rsidP="00A1202C">
            <w:pPr>
              <w:keepNext/>
              <w:kinsoku/>
              <w:overflowPunct/>
              <w:autoSpaceDE/>
              <w:autoSpaceDN/>
              <w:adjustRightInd/>
              <w:snapToGrid/>
              <w:spacing w:before="60" w:after="60" w:line="220" w:lineRule="atLeast"/>
              <w:ind w:left="57" w:right="57"/>
              <w:jc w:val="center"/>
              <w:rPr>
                <w:rFonts w:eastAsia="Times New Roman"/>
                <w:i/>
                <w:sz w:val="16"/>
                <w:szCs w:val="16"/>
                <w:lang w:val="fr-FR"/>
              </w:rPr>
            </w:pPr>
            <w:proofErr w:type="spellStart"/>
            <w:r w:rsidRPr="00A1202C">
              <w:rPr>
                <w:rFonts w:eastAsia="Times New Roman"/>
                <w:i/>
                <w:sz w:val="16"/>
                <w:szCs w:val="16"/>
                <w:lang w:val="fr-FR"/>
              </w:rPr>
              <w:t>NO</w:t>
            </w:r>
            <w:r w:rsidRPr="00A1202C">
              <w:rPr>
                <w:rFonts w:eastAsia="Times New Roman"/>
                <w:i/>
                <w:sz w:val="16"/>
                <w:szCs w:val="16"/>
                <w:vertAlign w:val="subscript"/>
                <w:lang w:val="fr-FR"/>
              </w:rPr>
              <w:t>x</w:t>
            </w:r>
            <w:proofErr w:type="spellEnd"/>
          </w:p>
        </w:tc>
        <w:tc>
          <w:tcPr>
            <w:tcW w:w="1149" w:type="dxa"/>
            <w:vAlign w:val="center"/>
          </w:tcPr>
          <w:p w:rsidR="00A1202C" w:rsidRPr="00A1202C" w:rsidRDefault="00A1202C" w:rsidP="00A1202C">
            <w:pPr>
              <w:keepNext/>
              <w:kinsoku/>
              <w:overflowPunct/>
              <w:autoSpaceDE/>
              <w:autoSpaceDN/>
              <w:adjustRightInd/>
              <w:snapToGrid/>
              <w:spacing w:before="60" w:after="60" w:line="220" w:lineRule="atLeast"/>
              <w:ind w:left="57" w:right="57"/>
              <w:jc w:val="center"/>
              <w:rPr>
                <w:rFonts w:eastAsia="Times New Roman"/>
                <w:i/>
                <w:sz w:val="16"/>
                <w:szCs w:val="16"/>
                <w:vertAlign w:val="subscript"/>
                <w:lang w:val="fr-FR"/>
              </w:rPr>
            </w:pPr>
            <w:r w:rsidRPr="00A1202C">
              <w:rPr>
                <w:rFonts w:eastAsia="Times New Roman"/>
                <w:i/>
                <w:sz w:val="16"/>
                <w:szCs w:val="16"/>
                <w:lang w:val="fr-FR"/>
              </w:rPr>
              <w:t xml:space="preserve">HC + </w:t>
            </w:r>
            <w:proofErr w:type="spellStart"/>
            <w:r w:rsidRPr="00A1202C">
              <w:rPr>
                <w:rFonts w:eastAsia="Times New Roman"/>
                <w:i/>
                <w:sz w:val="16"/>
                <w:szCs w:val="16"/>
                <w:lang w:val="fr-FR"/>
              </w:rPr>
              <w:t>NO</w:t>
            </w:r>
            <w:r w:rsidRPr="00A1202C">
              <w:rPr>
                <w:rFonts w:eastAsia="Times New Roman"/>
                <w:i/>
                <w:sz w:val="16"/>
                <w:szCs w:val="16"/>
                <w:vertAlign w:val="subscript"/>
                <w:lang w:val="fr-FR"/>
              </w:rPr>
              <w:t>x</w:t>
            </w:r>
            <w:proofErr w:type="spellEnd"/>
          </w:p>
        </w:tc>
        <w:tc>
          <w:tcPr>
            <w:tcW w:w="1520" w:type="dxa"/>
            <w:vAlign w:val="center"/>
          </w:tcPr>
          <w:p w:rsidR="00A1202C" w:rsidRPr="00A1202C" w:rsidRDefault="00A1202C" w:rsidP="00A1202C">
            <w:pPr>
              <w:keepNext/>
              <w:kinsoku/>
              <w:overflowPunct/>
              <w:autoSpaceDE/>
              <w:autoSpaceDN/>
              <w:adjustRightInd/>
              <w:snapToGrid/>
              <w:spacing w:before="60" w:after="60" w:line="220" w:lineRule="atLeast"/>
              <w:ind w:left="57" w:right="57"/>
              <w:jc w:val="center"/>
              <w:rPr>
                <w:rFonts w:eastAsia="Times New Roman"/>
                <w:i/>
                <w:sz w:val="16"/>
                <w:szCs w:val="16"/>
                <w:lang w:val="fr-FR"/>
              </w:rPr>
            </w:pPr>
            <w:r w:rsidRPr="00A1202C">
              <w:rPr>
                <w:rFonts w:eastAsia="Times New Roman"/>
                <w:i/>
                <w:sz w:val="16"/>
                <w:szCs w:val="16"/>
                <w:lang w:val="fr-FR"/>
              </w:rPr>
              <w:t>Matières particulaires (PM)</w:t>
            </w:r>
          </w:p>
        </w:tc>
        <w:tc>
          <w:tcPr>
            <w:tcW w:w="996" w:type="dxa"/>
            <w:vAlign w:val="center"/>
          </w:tcPr>
          <w:p w:rsidR="00A1202C" w:rsidRPr="00A1202C" w:rsidRDefault="00A1202C" w:rsidP="00A1202C">
            <w:pPr>
              <w:keepNext/>
              <w:kinsoku/>
              <w:overflowPunct/>
              <w:autoSpaceDE/>
              <w:autoSpaceDN/>
              <w:adjustRightInd/>
              <w:snapToGrid/>
              <w:spacing w:before="60" w:after="60" w:line="220" w:lineRule="atLeast"/>
              <w:ind w:left="57" w:right="57"/>
              <w:jc w:val="center"/>
              <w:rPr>
                <w:rFonts w:eastAsia="Times New Roman"/>
                <w:i/>
                <w:sz w:val="16"/>
                <w:szCs w:val="16"/>
                <w:lang w:val="fr-FR"/>
              </w:rPr>
            </w:pPr>
            <w:r w:rsidRPr="00A1202C">
              <w:rPr>
                <w:rFonts w:eastAsia="Times New Roman"/>
                <w:i/>
                <w:sz w:val="16"/>
                <w:szCs w:val="16"/>
                <w:lang w:val="fr-FR"/>
              </w:rPr>
              <w:t>Particules</w:t>
            </w:r>
          </w:p>
        </w:tc>
      </w:tr>
      <w:tr w:rsidR="00A1202C" w:rsidRPr="00A1202C" w:rsidTr="00A1202C">
        <w:tc>
          <w:tcPr>
            <w:tcW w:w="2922" w:type="dxa"/>
          </w:tcPr>
          <w:p w:rsidR="00A1202C" w:rsidRPr="00A1202C" w:rsidRDefault="00A1202C" w:rsidP="00A1202C">
            <w:pPr>
              <w:keepNext/>
              <w:kinsoku/>
              <w:overflowPunct/>
              <w:autoSpaceDE/>
              <w:autoSpaceDN/>
              <w:adjustRightInd/>
              <w:snapToGrid/>
              <w:spacing w:before="60" w:after="60"/>
              <w:ind w:left="57" w:right="57"/>
              <w:rPr>
                <w:rFonts w:eastAsia="Times New Roman"/>
                <w:lang w:val="fr-FR"/>
              </w:rPr>
            </w:pPr>
            <w:r w:rsidRPr="00A1202C">
              <w:rPr>
                <w:rFonts w:eastAsia="Times New Roman"/>
                <w:lang w:val="fr-FR"/>
              </w:rPr>
              <w:t>Allumage commandé</w:t>
            </w:r>
          </w:p>
        </w:tc>
        <w:tc>
          <w:tcPr>
            <w:tcW w:w="636" w:type="dxa"/>
            <w:vAlign w:val="bottom"/>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r w:rsidRPr="00A1202C">
              <w:rPr>
                <w:rFonts w:eastAsia="Times New Roman"/>
                <w:lang w:val="fr-FR"/>
              </w:rPr>
              <w:t>1,5</w:t>
            </w:r>
          </w:p>
        </w:tc>
        <w:tc>
          <w:tcPr>
            <w:tcW w:w="763" w:type="dxa"/>
            <w:vAlign w:val="bottom"/>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r w:rsidRPr="00A1202C">
              <w:rPr>
                <w:rFonts w:eastAsia="Times New Roman"/>
                <w:lang w:val="fr-FR"/>
              </w:rPr>
              <w:t>1,3</w:t>
            </w:r>
          </w:p>
        </w:tc>
        <w:tc>
          <w:tcPr>
            <w:tcW w:w="890" w:type="dxa"/>
            <w:shd w:val="clear" w:color="auto" w:fill="auto"/>
            <w:vAlign w:val="bottom"/>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r w:rsidRPr="00A1202C">
              <w:rPr>
                <w:rFonts w:eastAsia="Times New Roman"/>
                <w:lang w:val="fr-FR"/>
              </w:rPr>
              <w:t>1,3</w:t>
            </w:r>
          </w:p>
        </w:tc>
        <w:tc>
          <w:tcPr>
            <w:tcW w:w="763" w:type="dxa"/>
            <w:shd w:val="clear" w:color="auto" w:fill="auto"/>
            <w:vAlign w:val="bottom"/>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r w:rsidRPr="00A1202C">
              <w:rPr>
                <w:rFonts w:eastAsia="Times New Roman"/>
                <w:lang w:val="fr-FR"/>
              </w:rPr>
              <w:t>1,6</w:t>
            </w:r>
          </w:p>
        </w:tc>
        <w:tc>
          <w:tcPr>
            <w:tcW w:w="1149" w:type="dxa"/>
            <w:vAlign w:val="bottom"/>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r w:rsidRPr="00A1202C">
              <w:rPr>
                <w:rFonts w:eastAsia="Times New Roman"/>
                <w:lang w:val="fr-FR"/>
              </w:rPr>
              <w:t>−</w:t>
            </w:r>
          </w:p>
        </w:tc>
        <w:tc>
          <w:tcPr>
            <w:tcW w:w="1520" w:type="dxa"/>
            <w:vAlign w:val="bottom"/>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r w:rsidRPr="00A1202C">
              <w:rPr>
                <w:rFonts w:eastAsia="Times New Roman"/>
                <w:lang w:val="fr-FR"/>
              </w:rPr>
              <w:t>1,0</w:t>
            </w:r>
          </w:p>
        </w:tc>
        <w:tc>
          <w:tcPr>
            <w:tcW w:w="996" w:type="dxa"/>
            <w:vAlign w:val="bottom"/>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r w:rsidRPr="00A1202C">
              <w:rPr>
                <w:rFonts w:eastAsia="Times New Roman"/>
                <w:lang w:val="fr-FR"/>
              </w:rPr>
              <w:t>1,0</w:t>
            </w:r>
          </w:p>
        </w:tc>
      </w:tr>
      <w:tr w:rsidR="00A1202C" w:rsidRPr="00A1202C" w:rsidTr="00A1202C">
        <w:tc>
          <w:tcPr>
            <w:tcW w:w="2922" w:type="dxa"/>
          </w:tcPr>
          <w:p w:rsidR="00A1202C" w:rsidRPr="00A1202C" w:rsidRDefault="00A1202C" w:rsidP="00A1202C">
            <w:pPr>
              <w:keepNext/>
              <w:kinsoku/>
              <w:overflowPunct/>
              <w:autoSpaceDE/>
              <w:autoSpaceDN/>
              <w:adjustRightInd/>
              <w:snapToGrid/>
              <w:spacing w:before="60" w:after="60"/>
              <w:ind w:left="57" w:right="57"/>
              <w:rPr>
                <w:rFonts w:eastAsia="Times New Roman"/>
                <w:lang w:val="fr-FR"/>
              </w:rPr>
            </w:pPr>
            <w:r w:rsidRPr="00A1202C">
              <w:rPr>
                <w:rFonts w:eastAsia="Times New Roman"/>
                <w:lang w:val="fr-FR"/>
              </w:rPr>
              <w:t>Allumage par compression</w:t>
            </w:r>
          </w:p>
        </w:tc>
        <w:tc>
          <w:tcPr>
            <w:tcW w:w="636" w:type="dxa"/>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p>
        </w:tc>
        <w:tc>
          <w:tcPr>
            <w:tcW w:w="763" w:type="dxa"/>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p>
        </w:tc>
        <w:tc>
          <w:tcPr>
            <w:tcW w:w="890" w:type="dxa"/>
            <w:shd w:val="clear" w:color="auto" w:fill="auto"/>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p>
        </w:tc>
        <w:tc>
          <w:tcPr>
            <w:tcW w:w="763" w:type="dxa"/>
            <w:shd w:val="clear" w:color="auto" w:fill="auto"/>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p>
        </w:tc>
        <w:tc>
          <w:tcPr>
            <w:tcW w:w="1149" w:type="dxa"/>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p>
        </w:tc>
        <w:tc>
          <w:tcPr>
            <w:tcW w:w="1520" w:type="dxa"/>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p>
        </w:tc>
        <w:tc>
          <w:tcPr>
            <w:tcW w:w="996" w:type="dxa"/>
          </w:tcPr>
          <w:p w:rsidR="00A1202C" w:rsidRPr="00A1202C" w:rsidRDefault="00A1202C" w:rsidP="00A1202C">
            <w:pPr>
              <w:keepNext/>
              <w:kinsoku/>
              <w:overflowPunct/>
              <w:autoSpaceDE/>
              <w:autoSpaceDN/>
              <w:adjustRightInd/>
              <w:snapToGrid/>
              <w:spacing w:before="60" w:after="60"/>
              <w:ind w:left="57" w:right="57"/>
              <w:jc w:val="center"/>
              <w:rPr>
                <w:rFonts w:eastAsia="Times New Roman"/>
                <w:lang w:val="fr-FR"/>
              </w:rPr>
            </w:pPr>
          </w:p>
        </w:tc>
      </w:tr>
    </w:tbl>
    <w:p w:rsidR="00A1202C" w:rsidRPr="00A1202C" w:rsidRDefault="00A1202C" w:rsidP="00A1202C">
      <w:pPr>
        <w:pStyle w:val="SingleTxtG"/>
        <w:spacing w:before="120"/>
        <w:ind w:left="2268" w:hanging="1134"/>
        <w:rPr>
          <w:rFonts w:eastAsia="Times New Roman"/>
          <w:lang w:val="fr-FR"/>
        </w:rPr>
      </w:pPr>
      <w:r w:rsidRPr="00A1202C">
        <w:rPr>
          <w:rFonts w:eastAsia="Times New Roman"/>
          <w:lang w:val="fr-FR"/>
        </w:rPr>
        <w:t>5.3.6.3</w:t>
      </w:r>
      <w:r w:rsidRPr="00A1202C">
        <w:rPr>
          <w:rFonts w:eastAsia="Times New Roman"/>
          <w:lang w:val="fr-FR"/>
        </w:rPr>
        <w:tab/>
        <w:t>À la demande du constructeur, le service technique peut réaliser les essais du type I avant la fin des essais du type V en utilisant les facteurs de détérioration indiqués dans le tableau ci-dessus. Après la fin des essais du type V, le service technique peut changer les résultats d</w:t>
      </w:r>
      <w:r w:rsidR="00DB4C2D">
        <w:rPr>
          <w:rFonts w:eastAsia="Times New Roman"/>
          <w:lang w:val="fr-FR"/>
        </w:rPr>
        <w:t>’</w:t>
      </w:r>
      <w:r w:rsidRPr="00A1202C">
        <w:rPr>
          <w:rFonts w:eastAsia="Times New Roman"/>
          <w:lang w:val="fr-FR"/>
        </w:rPr>
        <w:t>homologation de type consignés dans la formule de l</w:t>
      </w:r>
      <w:r w:rsidR="00DB4C2D">
        <w:rPr>
          <w:rFonts w:eastAsia="Times New Roman"/>
          <w:lang w:val="fr-FR"/>
        </w:rPr>
        <w:t>’</w:t>
      </w:r>
      <w:r w:rsidRPr="00A1202C">
        <w:rPr>
          <w:rFonts w:eastAsia="Times New Roman"/>
          <w:lang w:val="fr-FR"/>
        </w:rPr>
        <w:t>annexe 2 du présent Règlement, en remplaçant les facteurs de détérioration indiqués dans le tableau ci-dessus par ceux mesurés dans l</w:t>
      </w:r>
      <w:r w:rsidR="00DB4C2D">
        <w:rPr>
          <w:rFonts w:eastAsia="Times New Roman"/>
          <w:lang w:val="fr-FR"/>
        </w:rPr>
        <w:t>’</w:t>
      </w:r>
      <w:r w:rsidRPr="00A1202C">
        <w:rPr>
          <w:rFonts w:eastAsia="Times New Roman"/>
          <w:lang w:val="fr-FR"/>
        </w:rPr>
        <w:t>essai de type V.</w:t>
      </w:r>
    </w:p>
    <w:p w:rsidR="00A1202C" w:rsidRPr="00A1202C" w:rsidRDefault="00A1202C" w:rsidP="00A1202C">
      <w:pPr>
        <w:pStyle w:val="SingleTxtG"/>
        <w:spacing w:before="120"/>
        <w:ind w:left="2268" w:hanging="1134"/>
        <w:rPr>
          <w:rFonts w:eastAsia="Times New Roman"/>
          <w:lang w:val="fr-FR"/>
        </w:rPr>
      </w:pPr>
      <w:r w:rsidRPr="00A1202C">
        <w:rPr>
          <w:rFonts w:eastAsia="Times New Roman"/>
          <w:lang w:val="fr-FR"/>
        </w:rPr>
        <w:t>5.3.6.4</w:t>
      </w:r>
      <w:r w:rsidRPr="00A1202C">
        <w:rPr>
          <w:rFonts w:eastAsia="Times New Roman"/>
          <w:lang w:val="fr-FR"/>
        </w:rPr>
        <w:tab/>
        <w:t>En l</w:t>
      </w:r>
      <w:r w:rsidR="00DB4C2D">
        <w:rPr>
          <w:rFonts w:eastAsia="Times New Roman"/>
          <w:lang w:val="fr-FR"/>
        </w:rPr>
        <w:t>’</w:t>
      </w:r>
      <w:r w:rsidRPr="00A1202C">
        <w:rPr>
          <w:rFonts w:eastAsia="Times New Roman"/>
          <w:lang w:val="fr-FR"/>
        </w:rPr>
        <w:t>absence de facteurs de détérioration pour les véhicules à allumage par compression, les constructeurs doivent appliquer les procédures relatives à l</w:t>
      </w:r>
      <w:r w:rsidR="00DB4C2D">
        <w:rPr>
          <w:rFonts w:eastAsia="Times New Roman"/>
          <w:lang w:val="fr-FR"/>
        </w:rPr>
        <w:t>’</w:t>
      </w:r>
      <w:r w:rsidRPr="00A1202C">
        <w:rPr>
          <w:rFonts w:eastAsia="Times New Roman"/>
          <w:lang w:val="fr-FR"/>
        </w:rPr>
        <w:t>essai de durabilité sur le véhicule complet ou à l</w:t>
      </w:r>
      <w:r w:rsidR="00DB4C2D">
        <w:rPr>
          <w:rFonts w:eastAsia="Times New Roman"/>
          <w:lang w:val="fr-FR"/>
        </w:rPr>
        <w:t>’</w:t>
      </w:r>
      <w:r w:rsidRPr="00A1202C">
        <w:rPr>
          <w:rFonts w:eastAsia="Times New Roman"/>
          <w:lang w:val="fr-FR"/>
        </w:rPr>
        <w:t>essai d</w:t>
      </w:r>
      <w:r w:rsidR="00DB4C2D">
        <w:rPr>
          <w:rFonts w:eastAsia="Times New Roman"/>
          <w:lang w:val="fr-FR"/>
        </w:rPr>
        <w:t>’</w:t>
      </w:r>
      <w:r w:rsidRPr="00A1202C">
        <w:rPr>
          <w:rFonts w:eastAsia="Times New Roman"/>
          <w:lang w:val="fr-FR"/>
        </w:rPr>
        <w:t>endurance sur banc pour déterminer ces facteurs.</w:t>
      </w:r>
    </w:p>
    <w:p w:rsidR="00A1202C" w:rsidRPr="00A1202C" w:rsidRDefault="00A1202C" w:rsidP="00A1202C">
      <w:pPr>
        <w:pStyle w:val="SingleTxtG"/>
        <w:spacing w:before="120"/>
        <w:ind w:left="2268" w:hanging="1134"/>
        <w:rPr>
          <w:rFonts w:eastAsia="Times New Roman"/>
          <w:lang w:val="fr-FR"/>
        </w:rPr>
      </w:pPr>
      <w:r w:rsidRPr="00A1202C">
        <w:rPr>
          <w:rFonts w:eastAsia="Times New Roman"/>
          <w:lang w:val="fr-FR"/>
        </w:rPr>
        <w:t>5.3.6.5</w:t>
      </w:r>
      <w:r w:rsidRPr="00A1202C">
        <w:rPr>
          <w:rFonts w:eastAsia="Times New Roman"/>
          <w:lang w:val="fr-FR"/>
        </w:rPr>
        <w:tab/>
        <w:t>Les facteurs de détérioration sont déterminés en utilisant soit la procédure prévue au paragraphe 5.3.6.1, soit les valeurs indiquées dans le tableau 3 du paragraphe 5.3.6.2. Ces facteurs doivent être utilisés pour établir la conformité avec les exigences des paragraphes 5.3.1 et 8.2.</w:t>
      </w:r>
    </w:p>
    <w:p w:rsidR="00A1202C" w:rsidRPr="00A1202C" w:rsidRDefault="00A1202C" w:rsidP="00A1202C">
      <w:pPr>
        <w:pStyle w:val="SingleTxtG"/>
        <w:keepNext/>
        <w:spacing w:before="120"/>
        <w:ind w:left="2268" w:hanging="1134"/>
        <w:rPr>
          <w:rFonts w:eastAsia="Times New Roman"/>
          <w:lang w:val="fr-FR"/>
        </w:rPr>
      </w:pPr>
      <w:r w:rsidRPr="00A1202C">
        <w:rPr>
          <w:rFonts w:eastAsia="Times New Roman"/>
          <w:lang w:val="fr-FR"/>
        </w:rPr>
        <w:t>5.3.7</w:t>
      </w:r>
      <w:r w:rsidRPr="00A1202C">
        <w:rPr>
          <w:rFonts w:eastAsia="Times New Roman"/>
          <w:lang w:val="fr-FR"/>
        </w:rPr>
        <w:tab/>
        <w:t>Données sur les émission requises pour les besoins du contrôle technique</w:t>
      </w:r>
      <w:r>
        <w:rPr>
          <w:rFonts w:eastAsia="Times New Roman"/>
          <w:lang w:val="fr-FR"/>
        </w:rPr>
        <w:t xml:space="preserve"> des </w:t>
      </w:r>
      <w:r w:rsidRPr="00A1202C">
        <w:rPr>
          <w:rFonts w:eastAsia="Times New Roman"/>
          <w:lang w:val="fr-FR"/>
        </w:rPr>
        <w:t>véhicules</w:t>
      </w:r>
    </w:p>
    <w:p w:rsidR="00A1202C" w:rsidRPr="00A1202C" w:rsidRDefault="00A1202C" w:rsidP="00A1202C">
      <w:pPr>
        <w:pStyle w:val="SingleTxtG"/>
        <w:spacing w:before="120"/>
        <w:ind w:left="2268" w:hanging="1134"/>
        <w:rPr>
          <w:rFonts w:eastAsia="Times New Roman"/>
          <w:lang w:val="fr-FR"/>
        </w:rPr>
      </w:pPr>
      <w:r w:rsidRPr="00A1202C">
        <w:rPr>
          <w:rFonts w:eastAsia="Times New Roman"/>
          <w:lang w:val="fr-FR"/>
        </w:rPr>
        <w:t>5.3.7.1</w:t>
      </w:r>
      <w:r w:rsidRPr="00A1202C">
        <w:rPr>
          <w:rFonts w:eastAsia="Times New Roman"/>
          <w:lang w:val="fr-FR"/>
        </w:rPr>
        <w:tab/>
        <w:t>Cette prescription s</w:t>
      </w:r>
      <w:r w:rsidR="00DB4C2D">
        <w:rPr>
          <w:rFonts w:eastAsia="Times New Roman"/>
          <w:lang w:val="fr-FR"/>
        </w:rPr>
        <w:t>’</w:t>
      </w:r>
      <w:r w:rsidRPr="00A1202C">
        <w:rPr>
          <w:rFonts w:eastAsia="Times New Roman"/>
          <w:lang w:val="fr-FR"/>
        </w:rPr>
        <w:t>applique à tous les véhicules équipés d</w:t>
      </w:r>
      <w:r w:rsidR="00DB4C2D">
        <w:rPr>
          <w:rFonts w:eastAsia="Times New Roman"/>
          <w:lang w:val="fr-FR"/>
        </w:rPr>
        <w:t>’</w:t>
      </w:r>
      <w:r w:rsidRPr="00A1202C">
        <w:rPr>
          <w:rFonts w:eastAsia="Times New Roman"/>
          <w:lang w:val="fr-FR"/>
        </w:rPr>
        <w:t>un moteur à allumage commandé pour lesquels une homologation de type est demandée conformément au présent Règlement.</w:t>
      </w:r>
    </w:p>
    <w:p w:rsidR="00A1202C" w:rsidRPr="00A1202C" w:rsidRDefault="00A1202C" w:rsidP="00A1202C">
      <w:pPr>
        <w:pStyle w:val="SingleTxtG"/>
        <w:spacing w:before="120"/>
        <w:ind w:left="2268" w:hanging="1134"/>
        <w:rPr>
          <w:rFonts w:eastAsia="Times New Roman"/>
          <w:lang w:val="fr-FR"/>
        </w:rPr>
      </w:pPr>
      <w:r w:rsidRPr="00A1202C">
        <w:rPr>
          <w:rFonts w:eastAsia="Times New Roman"/>
          <w:lang w:val="fr-FR"/>
        </w:rPr>
        <w:t>5.3.7.2</w:t>
      </w:r>
      <w:r w:rsidRPr="00A1202C">
        <w:rPr>
          <w:rFonts w:eastAsia="Times New Roman"/>
          <w:lang w:val="fr-FR"/>
        </w:rPr>
        <w:tab/>
        <w:t>Lors d</w:t>
      </w:r>
      <w:r w:rsidR="00DB4C2D">
        <w:rPr>
          <w:rFonts w:eastAsia="Times New Roman"/>
          <w:lang w:val="fr-FR"/>
        </w:rPr>
        <w:t>’</w:t>
      </w:r>
      <w:r w:rsidRPr="00A1202C">
        <w:rPr>
          <w:rFonts w:eastAsia="Times New Roman"/>
          <w:lang w:val="fr-FR"/>
        </w:rPr>
        <w:t>un essai effectué conformément à l</w:t>
      </w:r>
      <w:r w:rsidR="00DB4C2D">
        <w:rPr>
          <w:rFonts w:eastAsia="Times New Roman"/>
          <w:lang w:val="fr-FR"/>
        </w:rPr>
        <w:t>’</w:t>
      </w:r>
      <w:r w:rsidRPr="00A1202C">
        <w:rPr>
          <w:rFonts w:eastAsia="Times New Roman"/>
          <w:lang w:val="fr-FR"/>
        </w:rPr>
        <w:t>annexe 5 du présent Règlement (essai du type II) au régime normal de ralenti, on enregistre:</w:t>
      </w:r>
    </w:p>
    <w:p w:rsidR="00A1202C" w:rsidRPr="00A1202C" w:rsidRDefault="00A1202C" w:rsidP="00A1202C">
      <w:pPr>
        <w:pStyle w:val="SingleTxtG"/>
        <w:ind w:left="2835" w:hanging="567"/>
        <w:rPr>
          <w:lang w:val="fr-FR"/>
        </w:rPr>
      </w:pPr>
      <w:r w:rsidRPr="00A1202C">
        <w:rPr>
          <w:lang w:val="fr-FR"/>
        </w:rPr>
        <w:t>a)</w:t>
      </w:r>
      <w:r w:rsidRPr="00A1202C">
        <w:rPr>
          <w:lang w:val="fr-FR"/>
        </w:rPr>
        <w:tab/>
        <w:t>La teneur en monoxyde de carbone rapportée au volume des gaz d</w:t>
      </w:r>
      <w:r w:rsidR="00DB4C2D">
        <w:rPr>
          <w:lang w:val="fr-FR"/>
        </w:rPr>
        <w:t>’</w:t>
      </w:r>
      <w:r w:rsidRPr="00A1202C">
        <w:rPr>
          <w:lang w:val="fr-FR"/>
        </w:rPr>
        <w:t>échappement émis; et</w:t>
      </w:r>
    </w:p>
    <w:p w:rsidR="00A1202C" w:rsidRPr="00A1202C" w:rsidRDefault="00A1202C" w:rsidP="00A1202C">
      <w:pPr>
        <w:pStyle w:val="SingleTxtG"/>
        <w:ind w:left="2835" w:hanging="567"/>
        <w:rPr>
          <w:rFonts w:eastAsia="Times New Roman"/>
          <w:lang w:val="fr-FR"/>
        </w:rPr>
      </w:pPr>
      <w:r w:rsidRPr="00A1202C">
        <w:rPr>
          <w:rFonts w:eastAsia="Times New Roman"/>
          <w:lang w:val="fr-FR"/>
        </w:rPr>
        <w:t>b)</w:t>
      </w:r>
      <w:r w:rsidRPr="00A1202C">
        <w:rPr>
          <w:rFonts w:eastAsia="Times New Roman"/>
          <w:lang w:val="fr-FR"/>
        </w:rPr>
        <w:tab/>
        <w:t xml:space="preserve">Le </w:t>
      </w:r>
      <w:r w:rsidRPr="00A1202C">
        <w:rPr>
          <w:lang w:val="fr-FR"/>
        </w:rPr>
        <w:t>régime</w:t>
      </w:r>
      <w:r w:rsidRPr="00A1202C">
        <w:rPr>
          <w:rFonts w:eastAsia="Times New Roman"/>
          <w:lang w:val="fr-FR"/>
        </w:rPr>
        <w:t xml:space="preserve"> du moteur au cours de l</w:t>
      </w:r>
      <w:r w:rsidR="00DB4C2D">
        <w:rPr>
          <w:rFonts w:eastAsia="Times New Roman"/>
          <w:lang w:val="fr-FR"/>
        </w:rPr>
        <w:t>’</w:t>
      </w:r>
      <w:r w:rsidRPr="00A1202C">
        <w:rPr>
          <w:rFonts w:eastAsia="Times New Roman"/>
          <w:lang w:val="fr-FR"/>
        </w:rPr>
        <w:t>essai, avec les tolérances éventuelles.</w:t>
      </w:r>
    </w:p>
    <w:p w:rsidR="00A1202C" w:rsidRPr="00A1202C" w:rsidRDefault="00A1202C" w:rsidP="00A1202C">
      <w:pPr>
        <w:pStyle w:val="SingleTxtG"/>
        <w:spacing w:before="120"/>
        <w:ind w:left="2268" w:hanging="1134"/>
        <w:rPr>
          <w:rFonts w:eastAsia="Times New Roman"/>
          <w:lang w:val="fr-FR"/>
        </w:rPr>
      </w:pPr>
      <w:r w:rsidRPr="00A1202C">
        <w:rPr>
          <w:rFonts w:eastAsia="Times New Roman"/>
          <w:lang w:val="fr-FR"/>
        </w:rPr>
        <w:t>5.3.7.3</w:t>
      </w:r>
      <w:r w:rsidRPr="00A1202C">
        <w:rPr>
          <w:rFonts w:eastAsia="Times New Roman"/>
          <w:lang w:val="fr-FR"/>
        </w:rPr>
        <w:tab/>
        <w:t>Lors d</w:t>
      </w:r>
      <w:r w:rsidR="00DB4C2D">
        <w:rPr>
          <w:rFonts w:eastAsia="Times New Roman"/>
          <w:lang w:val="fr-FR"/>
        </w:rPr>
        <w:t>’</w:t>
      </w:r>
      <w:r w:rsidRPr="00A1202C">
        <w:rPr>
          <w:rFonts w:eastAsia="Times New Roman"/>
          <w:lang w:val="fr-FR"/>
        </w:rPr>
        <w:t>un essai au ralenti accéléré (c</w:t>
      </w:r>
      <w:r w:rsidR="00DB4C2D">
        <w:rPr>
          <w:rFonts w:eastAsia="Times New Roman"/>
          <w:lang w:val="fr-FR"/>
        </w:rPr>
        <w:t>’</w:t>
      </w:r>
      <w:r w:rsidRPr="00A1202C">
        <w:rPr>
          <w:rFonts w:eastAsia="Times New Roman"/>
          <w:lang w:val="fr-FR"/>
        </w:rPr>
        <w:t xml:space="preserve">est-à-dire &gt;2 000 </w:t>
      </w:r>
      <w:proofErr w:type="spellStart"/>
      <w:r w:rsidRPr="00A1202C">
        <w:rPr>
          <w:rFonts w:eastAsia="Times New Roman"/>
          <w:lang w:val="fr-FR"/>
        </w:rPr>
        <w:t>min</w:t>
      </w:r>
      <w:r w:rsidRPr="00A1202C">
        <w:rPr>
          <w:rFonts w:eastAsia="Times New Roman"/>
          <w:vertAlign w:val="superscript"/>
          <w:lang w:val="fr-FR"/>
        </w:rPr>
        <w:t>-l</w:t>
      </w:r>
      <w:proofErr w:type="spellEnd"/>
      <w:r w:rsidRPr="00A1202C">
        <w:rPr>
          <w:rFonts w:eastAsia="Times New Roman"/>
          <w:lang w:val="fr-FR"/>
        </w:rPr>
        <w:t>), on enregistre:</w:t>
      </w:r>
    </w:p>
    <w:p w:rsidR="00A1202C" w:rsidRPr="00A1202C" w:rsidRDefault="00A1202C" w:rsidP="003D07A4">
      <w:pPr>
        <w:pStyle w:val="SingleTxtG"/>
        <w:ind w:left="2835" w:hanging="567"/>
        <w:rPr>
          <w:rFonts w:eastAsia="Times New Roman"/>
          <w:lang w:val="fr-FR"/>
        </w:rPr>
      </w:pPr>
      <w:r w:rsidRPr="00A1202C">
        <w:rPr>
          <w:rFonts w:eastAsia="Times New Roman"/>
          <w:lang w:val="fr-FR"/>
        </w:rPr>
        <w:t>a)</w:t>
      </w:r>
      <w:r w:rsidRPr="00A1202C">
        <w:rPr>
          <w:rFonts w:eastAsia="Times New Roman"/>
          <w:lang w:val="fr-FR"/>
        </w:rPr>
        <w:tab/>
        <w:t xml:space="preserve">La teneur en monoxyde de carbone rapportée au volume des gaz </w:t>
      </w:r>
      <w:r w:rsidRPr="00A1202C">
        <w:rPr>
          <w:lang w:val="fr-FR"/>
        </w:rPr>
        <w:t>d</w:t>
      </w:r>
      <w:r w:rsidR="00DB4C2D">
        <w:rPr>
          <w:lang w:val="fr-FR"/>
        </w:rPr>
        <w:t>’</w:t>
      </w:r>
      <w:r w:rsidRPr="00A1202C">
        <w:rPr>
          <w:lang w:val="fr-FR"/>
        </w:rPr>
        <w:t>échappement</w:t>
      </w:r>
      <w:r w:rsidRPr="00A1202C">
        <w:rPr>
          <w:rFonts w:eastAsia="Times New Roman"/>
          <w:lang w:val="fr-FR"/>
        </w:rPr>
        <w:t xml:space="preserve"> émis;</w:t>
      </w:r>
    </w:p>
    <w:p w:rsidR="00A1202C" w:rsidRPr="00A1202C" w:rsidRDefault="00A1202C" w:rsidP="003D07A4">
      <w:pPr>
        <w:pStyle w:val="SingleTxtG"/>
        <w:ind w:left="2835" w:hanging="567"/>
        <w:rPr>
          <w:rFonts w:eastAsia="Times New Roman"/>
          <w:lang w:val="fr-FR"/>
        </w:rPr>
      </w:pPr>
      <w:r w:rsidRPr="00A1202C">
        <w:rPr>
          <w:rFonts w:eastAsia="Times New Roman"/>
          <w:lang w:val="fr-FR"/>
        </w:rPr>
        <w:t>b)</w:t>
      </w:r>
      <w:r w:rsidRPr="00A1202C">
        <w:rPr>
          <w:rFonts w:eastAsia="Times New Roman"/>
          <w:lang w:val="fr-FR"/>
        </w:rPr>
        <w:tab/>
        <w:t>La valeur Lambda; et</w:t>
      </w:r>
    </w:p>
    <w:p w:rsidR="00A1202C" w:rsidRPr="00A1202C" w:rsidRDefault="00A1202C" w:rsidP="003D07A4">
      <w:pPr>
        <w:pStyle w:val="SingleTxtG"/>
        <w:ind w:left="2835" w:hanging="567"/>
        <w:rPr>
          <w:rFonts w:eastAsia="Times New Roman"/>
          <w:lang w:val="fr-FR"/>
        </w:rPr>
      </w:pPr>
      <w:r w:rsidRPr="00A1202C">
        <w:rPr>
          <w:rFonts w:eastAsia="Times New Roman"/>
          <w:lang w:val="fr-FR"/>
        </w:rPr>
        <w:t>c)</w:t>
      </w:r>
      <w:r w:rsidRPr="00A1202C">
        <w:rPr>
          <w:rFonts w:eastAsia="Times New Roman"/>
          <w:lang w:val="fr-FR"/>
        </w:rPr>
        <w:tab/>
        <w:t xml:space="preserve">Le </w:t>
      </w:r>
      <w:r w:rsidRPr="00A1202C">
        <w:rPr>
          <w:lang w:val="fr-FR"/>
        </w:rPr>
        <w:t>régime</w:t>
      </w:r>
      <w:r w:rsidRPr="00A1202C">
        <w:rPr>
          <w:rFonts w:eastAsia="Times New Roman"/>
          <w:lang w:val="fr-FR"/>
        </w:rPr>
        <w:t xml:space="preserve"> du moteur au cours de l</w:t>
      </w:r>
      <w:r w:rsidR="00DB4C2D">
        <w:rPr>
          <w:rFonts w:eastAsia="Times New Roman"/>
          <w:lang w:val="fr-FR"/>
        </w:rPr>
        <w:t>’</w:t>
      </w:r>
      <w:r w:rsidRPr="00A1202C">
        <w:rPr>
          <w:rFonts w:eastAsia="Times New Roman"/>
          <w:lang w:val="fr-FR"/>
        </w:rPr>
        <w:t>essai, avec les tolérances éventuelles.</w:t>
      </w:r>
    </w:p>
    <w:p w:rsidR="00A1202C" w:rsidRDefault="00A1202C" w:rsidP="003D07A4">
      <w:pPr>
        <w:pStyle w:val="SingleTxtG"/>
        <w:keepNext/>
        <w:ind w:left="2268"/>
        <w:rPr>
          <w:lang w:val="fr-FR"/>
        </w:rPr>
      </w:pPr>
      <w:r w:rsidRPr="00A1202C">
        <w:rPr>
          <w:lang w:val="fr-FR"/>
        </w:rPr>
        <w:lastRenderedPageBreak/>
        <w:t>La valeur Lambda doit être calculée au moyen de l</w:t>
      </w:r>
      <w:r w:rsidR="00DB4C2D">
        <w:rPr>
          <w:lang w:val="fr-FR"/>
        </w:rPr>
        <w:t>’</w:t>
      </w:r>
      <w:r w:rsidRPr="00A1202C">
        <w:rPr>
          <w:lang w:val="fr-FR"/>
        </w:rPr>
        <w:t xml:space="preserve">équation de </w:t>
      </w:r>
      <w:proofErr w:type="spellStart"/>
      <w:r w:rsidRPr="00A1202C">
        <w:rPr>
          <w:lang w:val="fr-FR"/>
        </w:rPr>
        <w:t>Brettschneider</w:t>
      </w:r>
      <w:proofErr w:type="spellEnd"/>
      <w:r w:rsidRPr="00A1202C">
        <w:rPr>
          <w:lang w:val="fr-FR"/>
        </w:rPr>
        <w:t xml:space="preserve"> simplifiée, comme suit:</w:t>
      </w:r>
    </w:p>
    <w:p w:rsidR="003D07A4" w:rsidRDefault="003D07A4" w:rsidP="003D07A4">
      <w:pPr>
        <w:ind w:left="2268"/>
        <w:rPr>
          <w:lang w:val="fr-FR"/>
        </w:rPr>
      </w:pPr>
      <w:r w:rsidRPr="00A779B8">
        <w:rPr>
          <w:position w:val="-54"/>
          <w:lang w:val="fr-FR"/>
        </w:rPr>
        <w:object w:dxaOrig="5400" w:dyaOrig="1719">
          <v:shape id="_x0000_i1026" type="#_x0000_t75" style="width:270.35pt;height:86.25pt" o:ole="">
            <v:imagedata r:id="rId20" o:title=""/>
          </v:shape>
          <o:OLEObject Type="Embed" ProgID="Equation.3" ShapeID="_x0000_i1026" DrawAspect="Content" ObjectID="_1490178408" r:id="rId21"/>
        </w:object>
      </w:r>
    </w:p>
    <w:p w:rsidR="003D07A4" w:rsidRDefault="003D07A4" w:rsidP="003D07A4">
      <w:pPr>
        <w:pStyle w:val="SingleTxtG"/>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428"/>
        <w:gridCol w:w="306"/>
        <w:gridCol w:w="5503"/>
      </w:tblGrid>
      <w:tr w:rsidR="003D07A4" w:rsidRPr="003D07A4" w:rsidTr="003D07A4">
        <w:tc>
          <w:tcPr>
            <w:tcW w:w="428" w:type="dxa"/>
            <w:shd w:val="clear" w:color="auto" w:fill="auto"/>
          </w:tcPr>
          <w:p w:rsidR="003D07A4" w:rsidRPr="003D07A4" w:rsidRDefault="003D07A4" w:rsidP="003D07A4">
            <w:pPr>
              <w:kinsoku/>
              <w:overflowPunct/>
              <w:autoSpaceDE/>
              <w:autoSpaceDN/>
              <w:adjustRightInd/>
              <w:snapToGrid/>
              <w:spacing w:after="120"/>
              <w:rPr>
                <w:rFonts w:eastAsia="Times New Roman"/>
                <w:lang w:val="fr-FR"/>
              </w:rPr>
            </w:pPr>
            <w:r w:rsidRPr="003D07A4">
              <w:rPr>
                <w:rFonts w:eastAsia="Times New Roman"/>
                <w:lang w:val="fr-FR"/>
              </w:rPr>
              <w:t>[ ]</w:t>
            </w:r>
          </w:p>
        </w:tc>
        <w:tc>
          <w:tcPr>
            <w:tcW w:w="306" w:type="dxa"/>
            <w:shd w:val="clear" w:color="auto" w:fill="auto"/>
          </w:tcPr>
          <w:p w:rsidR="003D07A4" w:rsidRPr="003D07A4" w:rsidRDefault="003D07A4" w:rsidP="003D07A4">
            <w:pPr>
              <w:kinsoku/>
              <w:overflowPunct/>
              <w:autoSpaceDE/>
              <w:autoSpaceDN/>
              <w:adjustRightInd/>
              <w:snapToGrid/>
              <w:spacing w:after="120"/>
              <w:ind w:right="1134"/>
              <w:jc w:val="right"/>
              <w:rPr>
                <w:rFonts w:eastAsia="Times New Roman"/>
                <w:lang w:val="fr-FR"/>
              </w:rPr>
            </w:pPr>
            <w:r w:rsidRPr="003D07A4">
              <w:rPr>
                <w:rFonts w:eastAsia="Times New Roman"/>
                <w:lang w:val="fr-FR"/>
              </w:rPr>
              <w:t>=</w:t>
            </w:r>
          </w:p>
        </w:tc>
        <w:tc>
          <w:tcPr>
            <w:tcW w:w="5503" w:type="dxa"/>
            <w:shd w:val="clear" w:color="auto" w:fill="auto"/>
          </w:tcPr>
          <w:p w:rsidR="003D07A4" w:rsidRPr="003D07A4" w:rsidRDefault="003D07A4" w:rsidP="003D07A4">
            <w:pPr>
              <w:kinsoku/>
              <w:overflowPunct/>
              <w:autoSpaceDE/>
              <w:autoSpaceDN/>
              <w:adjustRightInd/>
              <w:snapToGrid/>
              <w:spacing w:after="120"/>
              <w:rPr>
                <w:rFonts w:eastAsia="Times New Roman"/>
                <w:lang w:val="fr-FR"/>
              </w:rPr>
            </w:pPr>
            <w:r w:rsidRPr="003D07A4">
              <w:rPr>
                <w:rFonts w:eastAsia="Times New Roman"/>
                <w:lang w:val="fr-FR"/>
              </w:rPr>
              <w:t>concentration en % vol,</w:t>
            </w:r>
          </w:p>
        </w:tc>
      </w:tr>
      <w:tr w:rsidR="003D07A4" w:rsidRPr="003D07A4" w:rsidTr="003D07A4">
        <w:tc>
          <w:tcPr>
            <w:tcW w:w="428" w:type="dxa"/>
            <w:shd w:val="clear" w:color="auto" w:fill="auto"/>
          </w:tcPr>
          <w:p w:rsidR="003D07A4" w:rsidRPr="003D07A4" w:rsidRDefault="003D07A4" w:rsidP="003D07A4">
            <w:pPr>
              <w:kinsoku/>
              <w:overflowPunct/>
              <w:autoSpaceDE/>
              <w:autoSpaceDN/>
              <w:adjustRightInd/>
              <w:snapToGrid/>
              <w:spacing w:after="120"/>
              <w:rPr>
                <w:rFonts w:eastAsia="Times New Roman"/>
                <w:lang w:val="fr-FR"/>
              </w:rPr>
            </w:pPr>
            <w:r w:rsidRPr="003D07A4">
              <w:rPr>
                <w:rFonts w:eastAsia="Times New Roman"/>
                <w:lang w:val="fr-FR"/>
              </w:rPr>
              <w:t>K1</w:t>
            </w:r>
          </w:p>
        </w:tc>
        <w:tc>
          <w:tcPr>
            <w:tcW w:w="306" w:type="dxa"/>
            <w:shd w:val="clear" w:color="auto" w:fill="auto"/>
          </w:tcPr>
          <w:p w:rsidR="003D07A4" w:rsidRPr="003D07A4" w:rsidRDefault="003D07A4" w:rsidP="003D07A4">
            <w:pPr>
              <w:kinsoku/>
              <w:overflowPunct/>
              <w:autoSpaceDE/>
              <w:autoSpaceDN/>
              <w:adjustRightInd/>
              <w:snapToGrid/>
              <w:spacing w:after="120"/>
              <w:rPr>
                <w:rFonts w:eastAsia="Times New Roman"/>
                <w:lang w:val="fr-FR"/>
              </w:rPr>
            </w:pPr>
            <w:r w:rsidRPr="003D07A4">
              <w:rPr>
                <w:rFonts w:eastAsia="Times New Roman"/>
                <w:lang w:val="fr-FR"/>
              </w:rPr>
              <w:t>=</w:t>
            </w:r>
          </w:p>
        </w:tc>
        <w:tc>
          <w:tcPr>
            <w:tcW w:w="5503" w:type="dxa"/>
            <w:shd w:val="clear" w:color="auto" w:fill="auto"/>
          </w:tcPr>
          <w:p w:rsidR="003D07A4" w:rsidRPr="003D07A4" w:rsidRDefault="003D07A4" w:rsidP="003D07A4">
            <w:pPr>
              <w:kinsoku/>
              <w:overflowPunct/>
              <w:autoSpaceDE/>
              <w:autoSpaceDN/>
              <w:adjustRightInd/>
              <w:snapToGrid/>
              <w:spacing w:after="120"/>
              <w:rPr>
                <w:rFonts w:eastAsia="Times New Roman"/>
                <w:lang w:val="fr-FR"/>
              </w:rPr>
            </w:pPr>
            <w:r w:rsidRPr="003D07A4">
              <w:rPr>
                <w:rFonts w:eastAsia="Times New Roman"/>
                <w:lang w:val="fr-FR"/>
              </w:rPr>
              <w:t>facteur de conversion de la mesure au moyen d</w:t>
            </w:r>
            <w:r w:rsidR="00DB4C2D">
              <w:rPr>
                <w:rFonts w:eastAsia="Times New Roman"/>
                <w:lang w:val="fr-FR"/>
              </w:rPr>
              <w:t>’</w:t>
            </w:r>
            <w:r w:rsidRPr="003D07A4">
              <w:rPr>
                <w:rFonts w:eastAsia="Times New Roman"/>
                <w:lang w:val="fr-FR"/>
              </w:rPr>
              <w:t xml:space="preserve">un analyseur de gaz </w:t>
            </w:r>
            <w:proofErr w:type="spellStart"/>
            <w:r w:rsidRPr="003D07A4">
              <w:rPr>
                <w:rFonts w:eastAsia="Times New Roman"/>
                <w:lang w:val="fr-FR"/>
              </w:rPr>
              <w:t>infrarouge</w:t>
            </w:r>
            <w:proofErr w:type="spellEnd"/>
            <w:r w:rsidRPr="003D07A4">
              <w:rPr>
                <w:rFonts w:eastAsia="Times New Roman"/>
                <w:lang w:val="fr-FR"/>
              </w:rPr>
              <w:t xml:space="preserve"> non dispersif (NDIR) dans la mesure au moyen d</w:t>
            </w:r>
            <w:r w:rsidR="00DB4C2D">
              <w:rPr>
                <w:rFonts w:eastAsia="Times New Roman"/>
                <w:lang w:val="fr-FR"/>
              </w:rPr>
              <w:t>’</w:t>
            </w:r>
            <w:r w:rsidRPr="003D07A4">
              <w:rPr>
                <w:rFonts w:eastAsia="Times New Roman"/>
                <w:lang w:val="fr-FR"/>
              </w:rPr>
              <w:t>un détecteur à ionisation de flamme (FID) (communiqué par le fabricant de l</w:t>
            </w:r>
            <w:r w:rsidR="00DB4C2D">
              <w:rPr>
                <w:rFonts w:eastAsia="Times New Roman"/>
                <w:lang w:val="fr-FR"/>
              </w:rPr>
              <w:t>’</w:t>
            </w:r>
            <w:r w:rsidRPr="003D07A4">
              <w:rPr>
                <w:rFonts w:eastAsia="Times New Roman"/>
                <w:lang w:val="fr-FR"/>
              </w:rPr>
              <w:t>appareillage de mesure),</w:t>
            </w:r>
          </w:p>
        </w:tc>
      </w:tr>
      <w:tr w:rsidR="003D07A4" w:rsidRPr="003D07A4" w:rsidTr="003D07A4">
        <w:tc>
          <w:tcPr>
            <w:tcW w:w="428" w:type="dxa"/>
            <w:shd w:val="clear" w:color="auto" w:fill="auto"/>
          </w:tcPr>
          <w:p w:rsidR="003D07A4" w:rsidRPr="003D07A4" w:rsidRDefault="003D07A4" w:rsidP="003D07A4">
            <w:pPr>
              <w:kinsoku/>
              <w:overflowPunct/>
              <w:autoSpaceDE/>
              <w:autoSpaceDN/>
              <w:adjustRightInd/>
              <w:snapToGrid/>
              <w:spacing w:after="120"/>
              <w:rPr>
                <w:rFonts w:eastAsia="Times New Roman"/>
                <w:lang w:val="fr-FR"/>
              </w:rPr>
            </w:pPr>
            <w:proofErr w:type="spellStart"/>
            <w:r w:rsidRPr="003D07A4">
              <w:rPr>
                <w:rFonts w:eastAsia="Times New Roman"/>
                <w:lang w:val="fr-FR"/>
              </w:rPr>
              <w:t>H</w:t>
            </w:r>
            <w:r w:rsidRPr="003D07A4">
              <w:rPr>
                <w:rFonts w:eastAsia="Times New Roman"/>
                <w:vertAlign w:val="subscript"/>
                <w:lang w:val="fr-FR"/>
              </w:rPr>
              <w:t>cv</w:t>
            </w:r>
            <w:proofErr w:type="spellEnd"/>
          </w:p>
        </w:tc>
        <w:tc>
          <w:tcPr>
            <w:tcW w:w="306" w:type="dxa"/>
            <w:shd w:val="clear" w:color="auto" w:fill="auto"/>
          </w:tcPr>
          <w:p w:rsidR="003D07A4" w:rsidRPr="003D07A4" w:rsidRDefault="003D07A4" w:rsidP="003D07A4">
            <w:pPr>
              <w:kinsoku/>
              <w:overflowPunct/>
              <w:autoSpaceDE/>
              <w:autoSpaceDN/>
              <w:adjustRightInd/>
              <w:snapToGrid/>
              <w:spacing w:after="120"/>
              <w:ind w:right="1134"/>
              <w:jc w:val="right"/>
              <w:rPr>
                <w:rFonts w:eastAsia="Times New Roman"/>
                <w:lang w:val="fr-FR"/>
              </w:rPr>
            </w:pPr>
            <w:r w:rsidRPr="003D07A4">
              <w:rPr>
                <w:rFonts w:eastAsia="Times New Roman"/>
                <w:lang w:val="fr-FR"/>
              </w:rPr>
              <w:t>=</w:t>
            </w:r>
          </w:p>
        </w:tc>
        <w:tc>
          <w:tcPr>
            <w:tcW w:w="5503" w:type="dxa"/>
            <w:shd w:val="clear" w:color="auto" w:fill="auto"/>
          </w:tcPr>
          <w:p w:rsidR="003D07A4" w:rsidRPr="003D07A4" w:rsidRDefault="003D07A4" w:rsidP="003D07A4">
            <w:pPr>
              <w:kinsoku/>
              <w:overflowPunct/>
              <w:autoSpaceDE/>
              <w:autoSpaceDN/>
              <w:adjustRightInd/>
              <w:snapToGrid/>
              <w:spacing w:after="120"/>
              <w:rPr>
                <w:rFonts w:eastAsia="Times New Roman"/>
                <w:lang w:val="fr-FR"/>
              </w:rPr>
            </w:pPr>
            <w:r w:rsidRPr="003D07A4">
              <w:rPr>
                <w:rFonts w:eastAsia="Times New Roman"/>
                <w:lang w:val="fr-FR"/>
              </w:rPr>
              <w:t>rapport atomique hydrogène/carbone:</w:t>
            </w:r>
          </w:p>
        </w:tc>
      </w:tr>
    </w:tbl>
    <w:p w:rsidR="003D07A4" w:rsidRPr="003D07A4" w:rsidRDefault="003D07A4" w:rsidP="003D07A4">
      <w:pPr>
        <w:pStyle w:val="SingleTxtG"/>
        <w:tabs>
          <w:tab w:val="left" w:pos="3402"/>
          <w:tab w:val="left" w:pos="3969"/>
          <w:tab w:val="right" w:pos="6500"/>
        </w:tabs>
        <w:kinsoku/>
        <w:overflowPunct/>
        <w:autoSpaceDE/>
        <w:autoSpaceDN/>
        <w:adjustRightInd/>
        <w:snapToGrid/>
        <w:ind w:left="3005"/>
        <w:rPr>
          <w:lang w:val="fr-FR"/>
        </w:rPr>
      </w:pPr>
      <w:r w:rsidRPr="003D07A4">
        <w:rPr>
          <w:lang w:val="fr-FR"/>
        </w:rPr>
        <w:t>a)</w:t>
      </w:r>
      <w:r w:rsidRPr="003D07A4">
        <w:rPr>
          <w:lang w:val="fr-FR"/>
        </w:rPr>
        <w:tab/>
        <w:t>pour l</w:t>
      </w:r>
      <w:r w:rsidR="00DB4C2D">
        <w:rPr>
          <w:lang w:val="fr-FR"/>
        </w:rPr>
        <w:t>’</w:t>
      </w:r>
      <w:r w:rsidRPr="003D07A4">
        <w:rPr>
          <w:lang w:val="fr-FR"/>
        </w:rPr>
        <w:t>essence (E5)</w:t>
      </w:r>
      <w:r w:rsidRPr="003D07A4">
        <w:rPr>
          <w:lang w:val="fr-FR"/>
        </w:rPr>
        <w:tab/>
        <w:t>1,89;</w:t>
      </w:r>
    </w:p>
    <w:p w:rsidR="003D07A4" w:rsidRPr="003D07A4" w:rsidRDefault="003D07A4" w:rsidP="003D07A4">
      <w:pPr>
        <w:pStyle w:val="SingleTxtG"/>
        <w:tabs>
          <w:tab w:val="left" w:pos="3402"/>
          <w:tab w:val="left" w:pos="3969"/>
          <w:tab w:val="right" w:pos="6500"/>
        </w:tabs>
        <w:kinsoku/>
        <w:overflowPunct/>
        <w:autoSpaceDE/>
        <w:autoSpaceDN/>
        <w:adjustRightInd/>
        <w:snapToGrid/>
        <w:ind w:left="3005"/>
        <w:rPr>
          <w:rFonts w:eastAsia="Times New Roman"/>
          <w:lang w:val="fr-FR"/>
        </w:rPr>
      </w:pPr>
      <w:r w:rsidRPr="003D07A4">
        <w:rPr>
          <w:rFonts w:eastAsia="Times New Roman"/>
          <w:lang w:val="fr-FR"/>
        </w:rPr>
        <w:t>b)</w:t>
      </w:r>
      <w:r w:rsidRPr="003D07A4">
        <w:rPr>
          <w:rFonts w:eastAsia="Times New Roman"/>
          <w:lang w:val="fr-FR"/>
        </w:rPr>
        <w:tab/>
        <w:t xml:space="preserve">pour </w:t>
      </w:r>
      <w:r w:rsidRPr="003D07A4">
        <w:rPr>
          <w:lang w:val="fr-FR"/>
        </w:rPr>
        <w:t>l</w:t>
      </w:r>
      <w:r w:rsidR="00DB4C2D">
        <w:rPr>
          <w:lang w:val="fr-FR"/>
        </w:rPr>
        <w:t>’</w:t>
      </w:r>
      <w:r w:rsidRPr="003D07A4">
        <w:rPr>
          <w:lang w:val="fr-FR"/>
        </w:rPr>
        <w:t>essence</w:t>
      </w:r>
      <w:r w:rsidRPr="003D07A4">
        <w:rPr>
          <w:rFonts w:eastAsia="Times New Roman"/>
          <w:lang w:val="fr-FR"/>
        </w:rPr>
        <w:t xml:space="preserve"> (E10)</w:t>
      </w:r>
      <w:r w:rsidRPr="003D07A4">
        <w:rPr>
          <w:rFonts w:eastAsia="Times New Roman"/>
          <w:lang w:val="fr-FR"/>
        </w:rPr>
        <w:tab/>
        <w:t>1,93;</w:t>
      </w:r>
    </w:p>
    <w:p w:rsidR="003D07A4" w:rsidRPr="003D07A4" w:rsidRDefault="003D07A4" w:rsidP="003D07A4">
      <w:pPr>
        <w:pStyle w:val="SingleTxtG"/>
        <w:tabs>
          <w:tab w:val="left" w:pos="3402"/>
          <w:tab w:val="left" w:pos="3969"/>
          <w:tab w:val="right" w:pos="6500"/>
        </w:tabs>
        <w:kinsoku/>
        <w:overflowPunct/>
        <w:autoSpaceDE/>
        <w:autoSpaceDN/>
        <w:adjustRightInd/>
        <w:snapToGrid/>
        <w:ind w:left="3005"/>
        <w:rPr>
          <w:rFonts w:eastAsia="Times New Roman"/>
          <w:lang w:val="fr-FR"/>
        </w:rPr>
      </w:pPr>
      <w:r w:rsidRPr="003D07A4">
        <w:rPr>
          <w:rFonts w:eastAsia="Times New Roman"/>
          <w:lang w:val="fr-FR"/>
        </w:rPr>
        <w:t>c)</w:t>
      </w:r>
      <w:r w:rsidRPr="003D07A4">
        <w:rPr>
          <w:rFonts w:eastAsia="Times New Roman"/>
          <w:lang w:val="fr-FR"/>
        </w:rPr>
        <w:tab/>
        <w:t>pour le GPL</w:t>
      </w:r>
      <w:r w:rsidRPr="003D07A4">
        <w:rPr>
          <w:rFonts w:eastAsia="Times New Roman"/>
          <w:lang w:val="fr-FR"/>
        </w:rPr>
        <w:tab/>
        <w:t>2,53;</w:t>
      </w:r>
    </w:p>
    <w:p w:rsidR="003D07A4" w:rsidRPr="003D07A4" w:rsidRDefault="003D07A4" w:rsidP="003D07A4">
      <w:pPr>
        <w:pStyle w:val="SingleTxtG"/>
        <w:tabs>
          <w:tab w:val="left" w:pos="3402"/>
          <w:tab w:val="left" w:pos="3969"/>
          <w:tab w:val="right" w:pos="6500"/>
        </w:tabs>
        <w:kinsoku/>
        <w:overflowPunct/>
        <w:autoSpaceDE/>
        <w:autoSpaceDN/>
        <w:adjustRightInd/>
        <w:snapToGrid/>
        <w:ind w:left="3005"/>
        <w:rPr>
          <w:rFonts w:eastAsia="Times New Roman"/>
          <w:lang w:val="fr-FR"/>
        </w:rPr>
      </w:pPr>
      <w:r w:rsidRPr="003D07A4">
        <w:rPr>
          <w:rFonts w:eastAsia="Times New Roman"/>
          <w:lang w:val="fr-FR"/>
        </w:rPr>
        <w:t>d)</w:t>
      </w:r>
      <w:r w:rsidRPr="003D07A4">
        <w:rPr>
          <w:rFonts w:eastAsia="Times New Roman"/>
          <w:lang w:val="fr-FR"/>
        </w:rPr>
        <w:tab/>
        <w:t>pour le GN/</w:t>
      </w:r>
      <w:proofErr w:type="spellStart"/>
      <w:r w:rsidRPr="003D07A4">
        <w:rPr>
          <w:rFonts w:eastAsia="Times New Roman"/>
          <w:lang w:val="fr-FR"/>
        </w:rPr>
        <w:t>biomét</w:t>
      </w:r>
      <w:r>
        <w:rPr>
          <w:rFonts w:eastAsia="Times New Roman"/>
          <w:lang w:val="fr-FR"/>
        </w:rPr>
        <w:t>hane</w:t>
      </w:r>
      <w:proofErr w:type="spellEnd"/>
      <w:r>
        <w:rPr>
          <w:rFonts w:eastAsia="Times New Roman"/>
          <w:lang w:val="fr-FR"/>
        </w:rPr>
        <w:tab/>
      </w:r>
      <w:r w:rsidRPr="003D07A4">
        <w:rPr>
          <w:rFonts w:eastAsia="Times New Roman"/>
          <w:lang w:val="fr-FR"/>
        </w:rPr>
        <w:t>4,00;</w:t>
      </w:r>
    </w:p>
    <w:p w:rsidR="003D07A4" w:rsidRPr="003D07A4" w:rsidRDefault="003D07A4" w:rsidP="003D07A4">
      <w:pPr>
        <w:pStyle w:val="SingleTxtG"/>
        <w:tabs>
          <w:tab w:val="left" w:pos="3402"/>
          <w:tab w:val="left" w:pos="3969"/>
          <w:tab w:val="right" w:pos="6500"/>
        </w:tabs>
        <w:kinsoku/>
        <w:overflowPunct/>
        <w:autoSpaceDE/>
        <w:autoSpaceDN/>
        <w:adjustRightInd/>
        <w:snapToGrid/>
        <w:ind w:left="3005"/>
        <w:rPr>
          <w:rFonts w:eastAsia="Times New Roman"/>
          <w:lang w:val="es-BO"/>
        </w:rPr>
      </w:pPr>
      <w:r w:rsidRPr="003D07A4">
        <w:rPr>
          <w:rFonts w:eastAsia="Times New Roman"/>
          <w:lang w:val="es-BO"/>
        </w:rPr>
        <w:t>e)</w:t>
      </w:r>
      <w:r w:rsidRPr="003D07A4">
        <w:rPr>
          <w:rFonts w:eastAsia="Times New Roman"/>
          <w:lang w:val="es-BO"/>
        </w:rPr>
        <w:tab/>
      </w:r>
      <w:proofErr w:type="spellStart"/>
      <w:r w:rsidRPr="003D07A4">
        <w:rPr>
          <w:rFonts w:eastAsia="Times New Roman"/>
          <w:lang w:val="es-BO"/>
        </w:rPr>
        <w:t>pour</w:t>
      </w:r>
      <w:proofErr w:type="spellEnd"/>
      <w:r w:rsidRPr="003D07A4">
        <w:rPr>
          <w:rFonts w:eastAsia="Times New Roman"/>
          <w:lang w:val="es-BO"/>
        </w:rPr>
        <w:t xml:space="preserve"> </w:t>
      </w:r>
      <w:r w:rsidRPr="003D07A4">
        <w:rPr>
          <w:lang w:val="fr-FR"/>
        </w:rPr>
        <w:t>l</w:t>
      </w:r>
      <w:r w:rsidR="00DB4C2D">
        <w:rPr>
          <w:lang w:val="fr-FR"/>
        </w:rPr>
        <w:t>’</w:t>
      </w:r>
      <w:r w:rsidRPr="003D07A4">
        <w:rPr>
          <w:lang w:val="fr-FR"/>
        </w:rPr>
        <w:t>éthanol</w:t>
      </w:r>
      <w:r w:rsidRPr="003D07A4">
        <w:rPr>
          <w:rFonts w:eastAsia="Times New Roman"/>
          <w:lang w:val="es-BO"/>
        </w:rPr>
        <w:t xml:space="preserve"> (E85)</w:t>
      </w:r>
      <w:r w:rsidRPr="003D07A4">
        <w:rPr>
          <w:rFonts w:eastAsia="Times New Roman"/>
          <w:lang w:val="es-BO"/>
        </w:rPr>
        <w:tab/>
        <w:t>2,74;</w:t>
      </w:r>
    </w:p>
    <w:p w:rsidR="003D07A4" w:rsidRDefault="003D07A4" w:rsidP="003D07A4">
      <w:pPr>
        <w:pStyle w:val="SingleTxtG"/>
        <w:tabs>
          <w:tab w:val="left" w:pos="3402"/>
          <w:tab w:val="left" w:pos="3969"/>
          <w:tab w:val="right" w:pos="6500"/>
        </w:tabs>
        <w:kinsoku/>
        <w:overflowPunct/>
        <w:autoSpaceDE/>
        <w:autoSpaceDN/>
        <w:adjustRightInd/>
        <w:snapToGrid/>
        <w:ind w:left="3005"/>
        <w:rPr>
          <w:rFonts w:eastAsia="Times New Roman"/>
          <w:lang w:val="es-BO"/>
        </w:rPr>
      </w:pPr>
      <w:r w:rsidRPr="003D07A4">
        <w:rPr>
          <w:rFonts w:eastAsia="Times New Roman"/>
          <w:lang w:val="es-BO"/>
        </w:rPr>
        <w:t>f)</w:t>
      </w:r>
      <w:r w:rsidRPr="003D07A4">
        <w:rPr>
          <w:rFonts w:eastAsia="Times New Roman"/>
          <w:lang w:val="es-BO"/>
        </w:rPr>
        <w:tab/>
      </w:r>
      <w:proofErr w:type="spellStart"/>
      <w:r w:rsidRPr="003D07A4">
        <w:rPr>
          <w:rFonts w:eastAsia="Times New Roman"/>
          <w:lang w:val="es-BO"/>
        </w:rPr>
        <w:t>pour</w:t>
      </w:r>
      <w:proofErr w:type="spellEnd"/>
      <w:r w:rsidRPr="003D07A4">
        <w:rPr>
          <w:rFonts w:eastAsia="Times New Roman"/>
          <w:lang w:val="es-BO"/>
        </w:rPr>
        <w:t xml:space="preserve"> </w:t>
      </w:r>
      <w:r w:rsidRPr="003D07A4">
        <w:rPr>
          <w:lang w:val="fr-FR"/>
        </w:rPr>
        <w:t>l</w:t>
      </w:r>
      <w:r w:rsidR="00DB4C2D">
        <w:rPr>
          <w:lang w:val="fr-FR"/>
        </w:rPr>
        <w:t>’</w:t>
      </w:r>
      <w:r w:rsidRPr="003D07A4">
        <w:rPr>
          <w:lang w:val="fr-FR"/>
        </w:rPr>
        <w:t>éthanol</w:t>
      </w:r>
      <w:r w:rsidRPr="003D07A4">
        <w:rPr>
          <w:rFonts w:eastAsia="Times New Roman"/>
          <w:lang w:val="es-BO"/>
        </w:rPr>
        <w:t xml:space="preserve"> (E75)</w:t>
      </w:r>
      <w:r w:rsidRPr="003D07A4">
        <w:rPr>
          <w:rFonts w:eastAsia="Times New Roman"/>
          <w:lang w:val="es-BO"/>
        </w:rPr>
        <w:tab/>
        <w:t>2,61;</w:t>
      </w:r>
    </w:p>
    <w:tbl>
      <w:tblPr>
        <w:tblW w:w="6237" w:type="dxa"/>
        <w:tblInd w:w="2268" w:type="dxa"/>
        <w:tblLayout w:type="fixed"/>
        <w:tblCellMar>
          <w:left w:w="0" w:type="dxa"/>
          <w:right w:w="0" w:type="dxa"/>
        </w:tblCellMar>
        <w:tblLook w:val="01E0" w:firstRow="1" w:lastRow="1" w:firstColumn="1" w:lastColumn="1" w:noHBand="0" w:noVBand="0"/>
      </w:tblPr>
      <w:tblGrid>
        <w:gridCol w:w="428"/>
        <w:gridCol w:w="306"/>
        <w:gridCol w:w="5503"/>
      </w:tblGrid>
      <w:tr w:rsidR="002C016C" w:rsidRPr="002C016C" w:rsidTr="002C016C">
        <w:tc>
          <w:tcPr>
            <w:tcW w:w="428" w:type="dxa"/>
            <w:shd w:val="clear" w:color="auto" w:fill="auto"/>
          </w:tcPr>
          <w:p w:rsidR="002C016C" w:rsidRPr="002C016C" w:rsidRDefault="002C016C" w:rsidP="002C016C">
            <w:pPr>
              <w:kinsoku/>
              <w:overflowPunct/>
              <w:autoSpaceDE/>
              <w:autoSpaceDN/>
              <w:adjustRightInd/>
              <w:snapToGrid/>
              <w:spacing w:after="120"/>
              <w:rPr>
                <w:rFonts w:eastAsia="Times New Roman"/>
                <w:lang w:val="fr-FR"/>
              </w:rPr>
            </w:pPr>
            <w:proofErr w:type="spellStart"/>
            <w:r w:rsidRPr="002C016C">
              <w:rPr>
                <w:rFonts w:eastAsia="Times New Roman"/>
                <w:lang w:val="fr-FR"/>
              </w:rPr>
              <w:t>O</w:t>
            </w:r>
            <w:r w:rsidRPr="002C016C">
              <w:rPr>
                <w:rFonts w:eastAsia="Times New Roman"/>
                <w:vertAlign w:val="subscript"/>
                <w:lang w:val="fr-FR"/>
              </w:rPr>
              <w:t>cv</w:t>
            </w:r>
            <w:proofErr w:type="spellEnd"/>
          </w:p>
        </w:tc>
        <w:tc>
          <w:tcPr>
            <w:tcW w:w="306" w:type="dxa"/>
            <w:shd w:val="clear" w:color="auto" w:fill="auto"/>
          </w:tcPr>
          <w:p w:rsidR="002C016C" w:rsidRPr="002C016C" w:rsidRDefault="002C016C" w:rsidP="002C016C">
            <w:pPr>
              <w:kinsoku/>
              <w:overflowPunct/>
              <w:autoSpaceDE/>
              <w:autoSpaceDN/>
              <w:adjustRightInd/>
              <w:snapToGrid/>
              <w:spacing w:after="120"/>
              <w:ind w:right="1134"/>
              <w:jc w:val="right"/>
              <w:rPr>
                <w:rFonts w:eastAsia="Times New Roman"/>
                <w:lang w:val="fr-FR"/>
              </w:rPr>
            </w:pPr>
            <w:r w:rsidRPr="002C016C">
              <w:rPr>
                <w:rFonts w:eastAsia="Times New Roman"/>
                <w:lang w:val="fr-FR"/>
              </w:rPr>
              <w:t>=</w:t>
            </w:r>
          </w:p>
        </w:tc>
        <w:tc>
          <w:tcPr>
            <w:tcW w:w="5503" w:type="dxa"/>
            <w:shd w:val="clear" w:color="auto" w:fill="auto"/>
          </w:tcPr>
          <w:p w:rsidR="002C016C" w:rsidRPr="002C016C" w:rsidRDefault="002C016C" w:rsidP="002C016C">
            <w:pPr>
              <w:kinsoku/>
              <w:overflowPunct/>
              <w:autoSpaceDE/>
              <w:autoSpaceDN/>
              <w:adjustRightInd/>
              <w:snapToGrid/>
              <w:spacing w:after="120"/>
              <w:rPr>
                <w:rFonts w:eastAsia="Times New Roman"/>
                <w:lang w:val="fr-FR"/>
              </w:rPr>
            </w:pPr>
            <w:r w:rsidRPr="002C016C">
              <w:rPr>
                <w:rFonts w:eastAsia="Times New Roman"/>
                <w:lang w:val="fr-FR"/>
              </w:rPr>
              <w:t>rapport atomique oxygène/carbone:</w:t>
            </w:r>
          </w:p>
        </w:tc>
      </w:tr>
    </w:tbl>
    <w:p w:rsidR="002C016C" w:rsidRPr="002C016C" w:rsidRDefault="002C016C" w:rsidP="000B1351">
      <w:pPr>
        <w:pStyle w:val="SingleTxtG"/>
        <w:tabs>
          <w:tab w:val="left" w:pos="3402"/>
          <w:tab w:val="left" w:pos="3969"/>
          <w:tab w:val="right" w:pos="6500"/>
        </w:tabs>
        <w:kinsoku/>
        <w:overflowPunct/>
        <w:autoSpaceDE/>
        <w:autoSpaceDN/>
        <w:adjustRightInd/>
        <w:snapToGrid/>
        <w:ind w:left="3005"/>
        <w:rPr>
          <w:rFonts w:eastAsia="Times New Roman"/>
          <w:lang w:val="fr-FR"/>
        </w:rPr>
      </w:pPr>
      <w:r w:rsidRPr="002C016C">
        <w:rPr>
          <w:rFonts w:eastAsia="Times New Roman"/>
          <w:lang w:val="fr-FR"/>
        </w:rPr>
        <w:t>a)</w:t>
      </w:r>
      <w:r w:rsidRPr="002C016C">
        <w:rPr>
          <w:rFonts w:eastAsia="Times New Roman"/>
          <w:lang w:val="fr-FR"/>
        </w:rPr>
        <w:tab/>
        <w:t>pour l</w:t>
      </w:r>
      <w:r w:rsidR="00DB4C2D">
        <w:rPr>
          <w:rFonts w:eastAsia="Times New Roman"/>
          <w:lang w:val="fr-FR"/>
        </w:rPr>
        <w:t>’</w:t>
      </w:r>
      <w:r w:rsidRPr="002C016C">
        <w:rPr>
          <w:rFonts w:eastAsia="Times New Roman"/>
          <w:lang w:val="fr-FR"/>
        </w:rPr>
        <w:t>essence (E5)</w:t>
      </w:r>
      <w:r w:rsidRPr="002C016C">
        <w:rPr>
          <w:rFonts w:eastAsia="Times New Roman"/>
          <w:lang w:val="fr-FR"/>
        </w:rPr>
        <w:tab/>
        <w:t>0,016;</w:t>
      </w:r>
    </w:p>
    <w:p w:rsidR="002C016C" w:rsidRPr="002C016C" w:rsidRDefault="002C016C" w:rsidP="000B1351">
      <w:pPr>
        <w:pStyle w:val="SingleTxtG"/>
        <w:tabs>
          <w:tab w:val="left" w:pos="3402"/>
          <w:tab w:val="left" w:pos="3969"/>
          <w:tab w:val="right" w:pos="6500"/>
        </w:tabs>
        <w:kinsoku/>
        <w:overflowPunct/>
        <w:autoSpaceDE/>
        <w:autoSpaceDN/>
        <w:adjustRightInd/>
        <w:snapToGrid/>
        <w:ind w:left="3005"/>
        <w:rPr>
          <w:rFonts w:eastAsia="Times New Roman"/>
          <w:lang w:val="fr-FR"/>
        </w:rPr>
      </w:pPr>
      <w:r w:rsidRPr="002C016C">
        <w:rPr>
          <w:rFonts w:eastAsia="Times New Roman"/>
          <w:lang w:val="fr-FR"/>
        </w:rPr>
        <w:t>b)</w:t>
      </w:r>
      <w:r w:rsidRPr="002C016C">
        <w:rPr>
          <w:rFonts w:eastAsia="Times New Roman"/>
          <w:lang w:val="fr-FR"/>
        </w:rPr>
        <w:tab/>
        <w:t>pour l</w:t>
      </w:r>
      <w:r w:rsidR="00DB4C2D">
        <w:rPr>
          <w:rFonts w:eastAsia="Times New Roman"/>
          <w:lang w:val="fr-FR"/>
        </w:rPr>
        <w:t>’</w:t>
      </w:r>
      <w:r w:rsidRPr="002C016C">
        <w:rPr>
          <w:rFonts w:eastAsia="Times New Roman"/>
          <w:lang w:val="fr-FR"/>
        </w:rPr>
        <w:t>essence (E10)</w:t>
      </w:r>
      <w:r w:rsidRPr="002C016C">
        <w:rPr>
          <w:rFonts w:eastAsia="Times New Roman"/>
          <w:lang w:val="fr-FR"/>
        </w:rPr>
        <w:tab/>
        <w:t>0,033;</w:t>
      </w:r>
    </w:p>
    <w:p w:rsidR="002C016C" w:rsidRPr="002C016C" w:rsidRDefault="002C016C" w:rsidP="000B1351">
      <w:pPr>
        <w:pStyle w:val="SingleTxtG"/>
        <w:tabs>
          <w:tab w:val="left" w:pos="3402"/>
          <w:tab w:val="left" w:pos="3969"/>
          <w:tab w:val="right" w:pos="6500"/>
        </w:tabs>
        <w:kinsoku/>
        <w:overflowPunct/>
        <w:autoSpaceDE/>
        <w:autoSpaceDN/>
        <w:adjustRightInd/>
        <w:snapToGrid/>
        <w:ind w:left="3005"/>
        <w:rPr>
          <w:rFonts w:eastAsia="Times New Roman"/>
          <w:lang w:val="fr-FR"/>
        </w:rPr>
      </w:pPr>
      <w:r w:rsidRPr="002C016C">
        <w:rPr>
          <w:rFonts w:eastAsia="Times New Roman"/>
          <w:lang w:val="fr-FR"/>
        </w:rPr>
        <w:t>c)</w:t>
      </w:r>
      <w:r w:rsidRPr="002C016C">
        <w:rPr>
          <w:rFonts w:eastAsia="Times New Roman"/>
          <w:lang w:val="fr-FR"/>
        </w:rPr>
        <w:tab/>
        <w:t>pour le GPL</w:t>
      </w:r>
      <w:r w:rsidRPr="002C016C">
        <w:rPr>
          <w:rFonts w:eastAsia="Times New Roman"/>
          <w:lang w:val="fr-FR"/>
        </w:rPr>
        <w:tab/>
        <w:t>0,00;</w:t>
      </w:r>
    </w:p>
    <w:p w:rsidR="002C016C" w:rsidRPr="002C016C" w:rsidRDefault="002C016C" w:rsidP="000B1351">
      <w:pPr>
        <w:pStyle w:val="SingleTxtG"/>
        <w:tabs>
          <w:tab w:val="left" w:pos="3402"/>
          <w:tab w:val="left" w:pos="3969"/>
          <w:tab w:val="right" w:pos="6500"/>
        </w:tabs>
        <w:kinsoku/>
        <w:overflowPunct/>
        <w:autoSpaceDE/>
        <w:autoSpaceDN/>
        <w:adjustRightInd/>
        <w:snapToGrid/>
        <w:ind w:left="3005"/>
        <w:rPr>
          <w:rFonts w:eastAsia="Times New Roman"/>
          <w:lang w:val="fr-FR"/>
        </w:rPr>
      </w:pPr>
      <w:r w:rsidRPr="002C016C">
        <w:rPr>
          <w:rFonts w:eastAsia="Times New Roman"/>
          <w:lang w:val="fr-FR"/>
        </w:rPr>
        <w:t>d)</w:t>
      </w:r>
      <w:r w:rsidRPr="002C016C">
        <w:rPr>
          <w:rFonts w:eastAsia="Times New Roman"/>
          <w:lang w:val="fr-FR"/>
        </w:rPr>
        <w:tab/>
        <w:t>pour le GN/</w:t>
      </w:r>
      <w:proofErr w:type="spellStart"/>
      <w:r w:rsidRPr="002C016C">
        <w:rPr>
          <w:rFonts w:eastAsia="Times New Roman"/>
          <w:lang w:val="fr-FR"/>
        </w:rPr>
        <w:t>biométhane</w:t>
      </w:r>
      <w:proofErr w:type="spellEnd"/>
      <w:r w:rsidRPr="002C016C">
        <w:rPr>
          <w:rFonts w:eastAsia="Times New Roman"/>
          <w:lang w:val="fr-FR"/>
        </w:rPr>
        <w:tab/>
        <w:t>0,00;</w:t>
      </w:r>
    </w:p>
    <w:p w:rsidR="002C016C" w:rsidRPr="002C016C" w:rsidRDefault="002C016C" w:rsidP="000B1351">
      <w:pPr>
        <w:pStyle w:val="SingleTxtG"/>
        <w:tabs>
          <w:tab w:val="left" w:pos="3402"/>
          <w:tab w:val="left" w:pos="3969"/>
          <w:tab w:val="right" w:pos="6500"/>
        </w:tabs>
        <w:kinsoku/>
        <w:overflowPunct/>
        <w:autoSpaceDE/>
        <w:autoSpaceDN/>
        <w:adjustRightInd/>
        <w:snapToGrid/>
        <w:ind w:left="3005"/>
        <w:rPr>
          <w:rFonts w:eastAsia="Times New Roman"/>
          <w:lang w:val="es-BO"/>
        </w:rPr>
      </w:pPr>
      <w:r w:rsidRPr="002C016C">
        <w:rPr>
          <w:rFonts w:eastAsia="Times New Roman"/>
          <w:lang w:val="es-BO"/>
        </w:rPr>
        <w:t>e)</w:t>
      </w:r>
      <w:r w:rsidRPr="002C016C">
        <w:rPr>
          <w:rFonts w:eastAsia="Times New Roman"/>
          <w:lang w:val="es-BO"/>
        </w:rPr>
        <w:tab/>
      </w:r>
      <w:proofErr w:type="spellStart"/>
      <w:r w:rsidRPr="002C016C">
        <w:rPr>
          <w:rFonts w:eastAsia="Times New Roman"/>
          <w:lang w:val="es-BO"/>
        </w:rPr>
        <w:t>pour</w:t>
      </w:r>
      <w:proofErr w:type="spellEnd"/>
      <w:r w:rsidRPr="002C016C">
        <w:rPr>
          <w:rFonts w:eastAsia="Times New Roman"/>
          <w:lang w:val="es-BO"/>
        </w:rPr>
        <w:t xml:space="preserve"> </w:t>
      </w:r>
      <w:proofErr w:type="spellStart"/>
      <w:r w:rsidRPr="002C016C">
        <w:rPr>
          <w:rFonts w:eastAsia="Times New Roman"/>
          <w:lang w:val="es-BO"/>
        </w:rPr>
        <w:t>l</w:t>
      </w:r>
      <w:r w:rsidR="00DB4C2D">
        <w:rPr>
          <w:rFonts w:eastAsia="Times New Roman"/>
          <w:lang w:val="es-BO"/>
        </w:rPr>
        <w:t>’</w:t>
      </w:r>
      <w:r w:rsidRPr="002C016C">
        <w:rPr>
          <w:rFonts w:eastAsia="Times New Roman"/>
          <w:lang w:val="es-BO"/>
        </w:rPr>
        <w:t>éthanol</w:t>
      </w:r>
      <w:proofErr w:type="spellEnd"/>
      <w:r w:rsidRPr="002C016C">
        <w:rPr>
          <w:rFonts w:eastAsia="Times New Roman"/>
          <w:lang w:val="es-BO"/>
        </w:rPr>
        <w:t xml:space="preserve"> (E85)</w:t>
      </w:r>
      <w:r w:rsidRPr="002C016C">
        <w:rPr>
          <w:rFonts w:eastAsia="Times New Roman"/>
          <w:lang w:val="es-BO"/>
        </w:rPr>
        <w:tab/>
        <w:t>0,39;</w:t>
      </w:r>
    </w:p>
    <w:p w:rsidR="002C016C" w:rsidRDefault="002C016C" w:rsidP="000B1351">
      <w:pPr>
        <w:pStyle w:val="SingleTxtG"/>
        <w:tabs>
          <w:tab w:val="left" w:pos="3402"/>
          <w:tab w:val="left" w:pos="3969"/>
          <w:tab w:val="right" w:pos="6500"/>
        </w:tabs>
        <w:kinsoku/>
        <w:overflowPunct/>
        <w:autoSpaceDE/>
        <w:autoSpaceDN/>
        <w:adjustRightInd/>
        <w:snapToGrid/>
        <w:ind w:left="3005"/>
        <w:rPr>
          <w:rFonts w:eastAsia="Times New Roman"/>
          <w:lang w:val="es-BO"/>
        </w:rPr>
      </w:pPr>
      <w:r w:rsidRPr="002C016C">
        <w:rPr>
          <w:rFonts w:eastAsia="Times New Roman"/>
          <w:lang w:val="es-BO"/>
        </w:rPr>
        <w:t>f)</w:t>
      </w:r>
      <w:r w:rsidRPr="002C016C">
        <w:rPr>
          <w:rFonts w:eastAsia="Times New Roman"/>
          <w:lang w:val="es-BO"/>
        </w:rPr>
        <w:tab/>
      </w:r>
      <w:proofErr w:type="spellStart"/>
      <w:r w:rsidRPr="002C016C">
        <w:rPr>
          <w:rFonts w:eastAsia="Times New Roman"/>
          <w:lang w:val="es-BO"/>
        </w:rPr>
        <w:t>pour</w:t>
      </w:r>
      <w:proofErr w:type="spellEnd"/>
      <w:r w:rsidRPr="002C016C">
        <w:rPr>
          <w:rFonts w:eastAsia="Times New Roman"/>
          <w:lang w:val="es-BO"/>
        </w:rPr>
        <w:t xml:space="preserve"> </w:t>
      </w:r>
      <w:r w:rsidRPr="002C016C">
        <w:rPr>
          <w:rFonts w:eastAsia="Times New Roman"/>
          <w:lang w:val="fr-FR"/>
        </w:rPr>
        <w:t>l</w:t>
      </w:r>
      <w:r w:rsidR="00DB4C2D">
        <w:rPr>
          <w:rFonts w:eastAsia="Times New Roman"/>
          <w:lang w:val="fr-FR"/>
        </w:rPr>
        <w:t>’</w:t>
      </w:r>
      <w:r w:rsidRPr="002C016C">
        <w:rPr>
          <w:rFonts w:eastAsia="Times New Roman"/>
          <w:lang w:val="fr-FR"/>
        </w:rPr>
        <w:t>éthanol</w:t>
      </w:r>
      <w:r w:rsidRPr="002C016C">
        <w:rPr>
          <w:rFonts w:eastAsia="Times New Roman"/>
          <w:lang w:val="es-BO"/>
        </w:rPr>
        <w:t xml:space="preserve"> (E75)</w:t>
      </w:r>
      <w:r w:rsidRPr="002C016C">
        <w:rPr>
          <w:rFonts w:eastAsia="Times New Roman"/>
          <w:lang w:val="es-BO"/>
        </w:rPr>
        <w:tab/>
        <w:t>0,329.</w:t>
      </w:r>
    </w:p>
    <w:p w:rsidR="00546963" w:rsidRPr="00546963" w:rsidRDefault="00546963" w:rsidP="00546963">
      <w:pPr>
        <w:pStyle w:val="SingleTxtG"/>
        <w:spacing w:before="120"/>
        <w:ind w:left="2268" w:hanging="1134"/>
        <w:rPr>
          <w:lang w:val="fr-FR"/>
        </w:rPr>
      </w:pPr>
      <w:r w:rsidRPr="00546963">
        <w:rPr>
          <w:lang w:val="fr-FR"/>
        </w:rPr>
        <w:t>5.3.7.4</w:t>
      </w:r>
      <w:r w:rsidRPr="00546963">
        <w:rPr>
          <w:lang w:val="fr-FR"/>
        </w:rPr>
        <w:tab/>
        <w:t xml:space="preserve">La </w:t>
      </w:r>
      <w:r w:rsidRPr="00546963">
        <w:rPr>
          <w:rFonts w:eastAsia="Times New Roman"/>
          <w:lang w:val="fr-FR"/>
        </w:rPr>
        <w:t>température</w:t>
      </w:r>
      <w:r w:rsidRPr="00546963">
        <w:rPr>
          <w:lang w:val="fr-FR"/>
        </w:rPr>
        <w:t xml:space="preserve"> de l</w:t>
      </w:r>
      <w:r w:rsidR="00DB4C2D">
        <w:rPr>
          <w:lang w:val="fr-FR"/>
        </w:rPr>
        <w:t>’</w:t>
      </w:r>
      <w:r w:rsidRPr="00546963">
        <w:rPr>
          <w:lang w:val="fr-FR"/>
        </w:rPr>
        <w:t>huile du moteur au moment de l</w:t>
      </w:r>
      <w:r w:rsidR="00DB4C2D">
        <w:rPr>
          <w:lang w:val="fr-FR"/>
        </w:rPr>
        <w:t>’</w:t>
      </w:r>
      <w:r w:rsidRPr="00546963">
        <w:rPr>
          <w:lang w:val="fr-FR"/>
        </w:rPr>
        <w:t>essai doit être mesurée et enregistrée.</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5.3.7.5</w:t>
      </w:r>
      <w:r w:rsidRPr="00546963">
        <w:rPr>
          <w:rFonts w:eastAsia="Times New Roman"/>
          <w:lang w:val="fr-FR"/>
        </w:rPr>
        <w:tab/>
        <w:t>Le tableau sous le point 2.2 de l</w:t>
      </w:r>
      <w:r w:rsidR="00DB4C2D">
        <w:rPr>
          <w:rFonts w:eastAsia="Times New Roman"/>
          <w:lang w:val="fr-FR"/>
        </w:rPr>
        <w:t>’</w:t>
      </w:r>
      <w:r w:rsidRPr="00546963">
        <w:rPr>
          <w:rFonts w:eastAsia="Times New Roman"/>
          <w:lang w:val="fr-FR"/>
        </w:rPr>
        <w:t>additif à l</w:t>
      </w:r>
      <w:r w:rsidR="00DB4C2D">
        <w:rPr>
          <w:rFonts w:eastAsia="Times New Roman"/>
          <w:lang w:val="fr-FR"/>
        </w:rPr>
        <w:t>’</w:t>
      </w:r>
      <w:r w:rsidRPr="00546963">
        <w:rPr>
          <w:rFonts w:eastAsia="Times New Roman"/>
          <w:lang w:val="fr-FR"/>
        </w:rPr>
        <w:t>annexe 2 du présent Règlement doit être complété.</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5.3.7.6</w:t>
      </w:r>
      <w:r w:rsidRPr="00546963">
        <w:rPr>
          <w:rFonts w:eastAsia="Times New Roman"/>
          <w:lang w:val="fr-FR"/>
        </w:rPr>
        <w:tab/>
      </w:r>
      <w:r w:rsidRPr="00546963">
        <w:rPr>
          <w:rFonts w:eastAsia="Times New Roman"/>
          <w:lang w:val="fr-FR"/>
        </w:rPr>
        <w:tab/>
        <w:t>Le constructeur doit confirmer que la valeur Lambda enregistrée au moment de l</w:t>
      </w:r>
      <w:r w:rsidR="00DB4C2D">
        <w:rPr>
          <w:rFonts w:eastAsia="Times New Roman"/>
          <w:lang w:val="fr-FR"/>
        </w:rPr>
        <w:t>’</w:t>
      </w:r>
      <w:r w:rsidRPr="00546963">
        <w:rPr>
          <w:rFonts w:eastAsia="Times New Roman"/>
          <w:lang w:val="fr-FR"/>
        </w:rPr>
        <w:t>homologation de type visée au paragraphe 5.3.7.3 est exacte et représentative des véhicules types de série dans un délai de 24 mois à compter de l</w:t>
      </w:r>
      <w:r w:rsidR="00DB4C2D">
        <w:rPr>
          <w:rFonts w:eastAsia="Times New Roman"/>
          <w:lang w:val="fr-FR"/>
        </w:rPr>
        <w:t>’</w:t>
      </w:r>
      <w:r w:rsidRPr="00546963">
        <w:rPr>
          <w:rFonts w:eastAsia="Times New Roman"/>
          <w:lang w:val="fr-FR"/>
        </w:rPr>
        <w:t>octroi de l</w:t>
      </w:r>
      <w:r w:rsidR="00DB4C2D">
        <w:rPr>
          <w:rFonts w:eastAsia="Times New Roman"/>
          <w:lang w:val="fr-FR"/>
        </w:rPr>
        <w:t>’</w:t>
      </w:r>
      <w:r w:rsidRPr="00546963">
        <w:rPr>
          <w:rFonts w:eastAsia="Times New Roman"/>
          <w:lang w:val="fr-FR"/>
        </w:rPr>
        <w:t>homologation par l</w:t>
      </w:r>
      <w:r w:rsidR="00DB4C2D">
        <w:rPr>
          <w:rFonts w:eastAsia="Times New Roman"/>
          <w:lang w:val="fr-FR"/>
        </w:rPr>
        <w:t>’</w:t>
      </w:r>
      <w:r w:rsidRPr="00546963">
        <w:rPr>
          <w:rFonts w:eastAsia="Times New Roman"/>
          <w:lang w:val="fr-FR"/>
        </w:rPr>
        <w:t>autorité d</w:t>
      </w:r>
      <w:r w:rsidR="00DB4C2D">
        <w:rPr>
          <w:rFonts w:eastAsia="Times New Roman"/>
          <w:lang w:val="fr-FR"/>
        </w:rPr>
        <w:t>’</w:t>
      </w:r>
      <w:r w:rsidRPr="00546963">
        <w:rPr>
          <w:rFonts w:eastAsia="Times New Roman"/>
          <w:lang w:val="fr-FR"/>
        </w:rPr>
        <w:t>homologation de type. Une évaluation doit être faite sur la base des enquêtes et études portant sur les véhicules de série.</w:t>
      </w:r>
    </w:p>
    <w:p w:rsidR="00546963" w:rsidRPr="00546963" w:rsidRDefault="00546963" w:rsidP="00546963">
      <w:pPr>
        <w:pStyle w:val="SingleTxtG"/>
        <w:keepNext/>
        <w:spacing w:before="120"/>
        <w:ind w:left="2268" w:hanging="1134"/>
        <w:rPr>
          <w:rFonts w:eastAsia="Times New Roman"/>
          <w:lang w:val="fr-FR"/>
        </w:rPr>
      </w:pPr>
      <w:r w:rsidRPr="00546963">
        <w:rPr>
          <w:rFonts w:eastAsia="Times New Roman"/>
          <w:lang w:val="fr-FR"/>
        </w:rPr>
        <w:t>5.3.8</w:t>
      </w:r>
      <w:r w:rsidRPr="00546963">
        <w:rPr>
          <w:rFonts w:eastAsia="Times New Roman"/>
          <w:lang w:val="fr-FR"/>
        </w:rPr>
        <w:tab/>
        <w:t>Essai des systèmes OBD</w:t>
      </w:r>
    </w:p>
    <w:p w:rsidR="00546963" w:rsidRPr="00546963" w:rsidRDefault="00546963" w:rsidP="00546963">
      <w:pPr>
        <w:pStyle w:val="SingleTxtG"/>
        <w:ind w:left="2268"/>
        <w:rPr>
          <w:lang w:val="fr-FR"/>
        </w:rPr>
      </w:pPr>
      <w:r w:rsidRPr="00546963">
        <w:rPr>
          <w:lang w:val="fr-FR"/>
        </w:rPr>
        <w:t>Cet essai doit être effectué sur tous les véhicules visés au paragraphe 1</w:t>
      </w:r>
      <w:r>
        <w:rPr>
          <w:lang w:val="fr-FR"/>
        </w:rPr>
        <w:t>, selon l</w:t>
      </w:r>
      <w:r w:rsidRPr="00546963">
        <w:rPr>
          <w:lang w:val="fr-FR"/>
        </w:rPr>
        <w:t>a procédure décrite au paragraphe 3 de l</w:t>
      </w:r>
      <w:r w:rsidR="00DB4C2D">
        <w:rPr>
          <w:lang w:val="fr-FR"/>
        </w:rPr>
        <w:t>’</w:t>
      </w:r>
      <w:r w:rsidRPr="00546963">
        <w:rPr>
          <w:lang w:val="fr-FR"/>
        </w:rPr>
        <w:t>annexe 11 du présent Règlement.</w:t>
      </w:r>
    </w:p>
    <w:p w:rsidR="00546963" w:rsidRPr="00546963" w:rsidRDefault="00546963" w:rsidP="00546963">
      <w:pPr>
        <w:pStyle w:val="HChG"/>
        <w:rPr>
          <w:rFonts w:eastAsia="Times New Roman"/>
          <w:lang w:val="fr-FR"/>
        </w:rPr>
      </w:pPr>
      <w:r>
        <w:rPr>
          <w:lang w:val="fr-FR"/>
        </w:rPr>
        <w:lastRenderedPageBreak/>
        <w:tab/>
      </w:r>
      <w:r>
        <w:rPr>
          <w:lang w:val="fr-FR"/>
        </w:rPr>
        <w:tab/>
      </w:r>
      <w:r w:rsidRPr="00546963">
        <w:rPr>
          <w:lang w:val="fr-FR"/>
        </w:rPr>
        <w:t>6.</w:t>
      </w:r>
      <w:r w:rsidRPr="00546963">
        <w:rPr>
          <w:lang w:val="fr-FR"/>
        </w:rPr>
        <w:tab/>
      </w:r>
      <w:r w:rsidRPr="00546963">
        <w:rPr>
          <w:lang w:val="fr-FR"/>
        </w:rPr>
        <w:tab/>
        <w:t>Modifications du type de véhicule</w:t>
      </w:r>
    </w:p>
    <w:p w:rsidR="00546963" w:rsidRPr="00546963" w:rsidRDefault="00546963" w:rsidP="00546963">
      <w:pPr>
        <w:pStyle w:val="SingleTxtG"/>
        <w:keepLines/>
        <w:spacing w:before="120"/>
        <w:ind w:left="2268" w:hanging="1134"/>
        <w:rPr>
          <w:rFonts w:eastAsia="Times New Roman"/>
          <w:lang w:val="fr-FR"/>
        </w:rPr>
      </w:pPr>
      <w:r w:rsidRPr="00546963">
        <w:rPr>
          <w:rFonts w:eastAsia="Times New Roman"/>
          <w:lang w:val="fr-FR"/>
        </w:rPr>
        <w:t>6.1</w:t>
      </w:r>
      <w:r w:rsidRPr="00546963">
        <w:rPr>
          <w:rFonts w:eastAsia="Times New Roman"/>
          <w:lang w:val="fr-FR"/>
        </w:rPr>
        <w:tab/>
      </w:r>
      <w:r w:rsidRPr="00546963">
        <w:rPr>
          <w:rFonts w:eastAsia="Times New Roman"/>
          <w:lang w:val="fr-FR"/>
        </w:rPr>
        <w:tab/>
        <w:t>Toute modification du type de véhicule doit être portée à la connaissance de l</w:t>
      </w:r>
      <w:r w:rsidR="00DB4C2D">
        <w:rPr>
          <w:rFonts w:eastAsia="Times New Roman"/>
          <w:lang w:val="fr-FR"/>
        </w:rPr>
        <w:t>’</w:t>
      </w:r>
      <w:r w:rsidRPr="00546963">
        <w:rPr>
          <w:rFonts w:eastAsia="Times New Roman"/>
          <w:lang w:val="fr-FR"/>
        </w:rPr>
        <w:t>autorité d</w:t>
      </w:r>
      <w:r w:rsidR="00DB4C2D">
        <w:rPr>
          <w:rFonts w:eastAsia="Times New Roman"/>
          <w:lang w:val="fr-FR"/>
        </w:rPr>
        <w:t>’</w:t>
      </w:r>
      <w:r w:rsidRPr="00546963">
        <w:rPr>
          <w:rFonts w:eastAsia="Times New Roman"/>
          <w:lang w:val="fr-FR"/>
        </w:rPr>
        <w:t>homologation de type qui a accordé l</w:t>
      </w:r>
      <w:r w:rsidR="00DB4C2D">
        <w:rPr>
          <w:rFonts w:eastAsia="Times New Roman"/>
          <w:lang w:val="fr-FR"/>
        </w:rPr>
        <w:t>’</w:t>
      </w:r>
      <w:r w:rsidRPr="00546963">
        <w:rPr>
          <w:rFonts w:eastAsia="Times New Roman"/>
          <w:lang w:val="fr-FR"/>
        </w:rPr>
        <w:t>homologation de type de ce véhicule. L</w:t>
      </w:r>
      <w:r w:rsidR="00DB4C2D">
        <w:rPr>
          <w:rFonts w:eastAsia="Times New Roman"/>
          <w:lang w:val="fr-FR"/>
        </w:rPr>
        <w:t>’</w:t>
      </w:r>
      <w:r w:rsidRPr="00546963">
        <w:rPr>
          <w:rFonts w:eastAsia="Times New Roman"/>
          <w:lang w:val="fr-FR"/>
        </w:rPr>
        <w:t>autorité d</w:t>
      </w:r>
      <w:r w:rsidR="00DB4C2D">
        <w:rPr>
          <w:rFonts w:eastAsia="Times New Roman"/>
          <w:lang w:val="fr-FR"/>
        </w:rPr>
        <w:t>’</w:t>
      </w:r>
      <w:r w:rsidRPr="00546963">
        <w:rPr>
          <w:rFonts w:eastAsia="Times New Roman"/>
          <w:lang w:val="fr-FR"/>
        </w:rPr>
        <w:t>homologation de type peut alors:</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6.1.1</w:t>
      </w:r>
      <w:r w:rsidRPr="00546963">
        <w:rPr>
          <w:rFonts w:eastAsia="Times New Roman"/>
          <w:lang w:val="fr-FR"/>
        </w:rPr>
        <w:tab/>
        <w:t>Soit considérer que les modifications apportées ne risquent pas d</w:t>
      </w:r>
      <w:r w:rsidR="00DB4C2D">
        <w:rPr>
          <w:rFonts w:eastAsia="Times New Roman"/>
          <w:lang w:val="fr-FR"/>
        </w:rPr>
        <w:t>’</w:t>
      </w:r>
      <w:r w:rsidRPr="00546963">
        <w:rPr>
          <w:rFonts w:eastAsia="Times New Roman"/>
          <w:lang w:val="fr-FR"/>
        </w:rPr>
        <w:t>avoir un effet défavorable notable et qu</w:t>
      </w:r>
      <w:r w:rsidR="00DB4C2D">
        <w:rPr>
          <w:rFonts w:eastAsia="Times New Roman"/>
          <w:lang w:val="fr-FR"/>
        </w:rPr>
        <w:t>’</w:t>
      </w:r>
      <w:r w:rsidRPr="00546963">
        <w:rPr>
          <w:rFonts w:eastAsia="Times New Roman"/>
          <w:lang w:val="fr-FR"/>
        </w:rPr>
        <w:t>en tout cas le véhicule satisfait encore aux prescriptions;</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6.1.2</w:t>
      </w:r>
      <w:r w:rsidRPr="00546963">
        <w:rPr>
          <w:rFonts w:eastAsia="Times New Roman"/>
          <w:lang w:val="fr-FR"/>
        </w:rPr>
        <w:tab/>
        <w:t>Soit demander un nouveau procès-verbal du service technique chargé des essais.</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6.2</w:t>
      </w:r>
      <w:r w:rsidRPr="00546963">
        <w:rPr>
          <w:rFonts w:eastAsia="Times New Roman"/>
          <w:lang w:val="fr-FR"/>
        </w:rPr>
        <w:tab/>
        <w:t>La confirmation ou le refus de l</w:t>
      </w:r>
      <w:r w:rsidR="00DB4C2D">
        <w:rPr>
          <w:rFonts w:eastAsia="Times New Roman"/>
          <w:lang w:val="fr-FR"/>
        </w:rPr>
        <w:t>’</w:t>
      </w:r>
      <w:r w:rsidRPr="00546963">
        <w:rPr>
          <w:rFonts w:eastAsia="Times New Roman"/>
          <w:lang w:val="fr-FR"/>
        </w:rPr>
        <w:t>homologation, avec l</w:t>
      </w:r>
      <w:r w:rsidR="00DB4C2D">
        <w:rPr>
          <w:rFonts w:eastAsia="Times New Roman"/>
          <w:lang w:val="fr-FR"/>
        </w:rPr>
        <w:t>’</w:t>
      </w:r>
      <w:r w:rsidRPr="00546963">
        <w:rPr>
          <w:rFonts w:eastAsia="Times New Roman"/>
          <w:lang w:val="fr-FR"/>
        </w:rPr>
        <w:t>indication des modifications, doit être notifié aux Parties à l</w:t>
      </w:r>
      <w:r w:rsidR="00DB4C2D">
        <w:rPr>
          <w:rFonts w:eastAsia="Times New Roman"/>
          <w:lang w:val="fr-FR"/>
        </w:rPr>
        <w:t>’</w:t>
      </w:r>
      <w:r w:rsidRPr="00546963">
        <w:rPr>
          <w:rFonts w:eastAsia="Times New Roman"/>
          <w:lang w:val="fr-FR"/>
        </w:rPr>
        <w:t>Accord qui appliquent le présent Règlement par la procédure indiquée au paragraphe 4.3.</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6.3</w:t>
      </w:r>
      <w:r w:rsidRPr="00546963">
        <w:rPr>
          <w:rFonts w:eastAsia="Times New Roman"/>
          <w:lang w:val="fr-FR"/>
        </w:rPr>
        <w:tab/>
        <w:t>L</w:t>
      </w:r>
      <w:r w:rsidR="00DB4C2D">
        <w:rPr>
          <w:rFonts w:eastAsia="Times New Roman"/>
          <w:lang w:val="fr-FR"/>
        </w:rPr>
        <w:t>’</w:t>
      </w:r>
      <w:r w:rsidRPr="00546963">
        <w:rPr>
          <w:rFonts w:eastAsia="Times New Roman"/>
          <w:lang w:val="fr-FR"/>
        </w:rPr>
        <w:t>autorité d</w:t>
      </w:r>
      <w:r w:rsidR="00DB4C2D">
        <w:rPr>
          <w:rFonts w:eastAsia="Times New Roman"/>
          <w:lang w:val="fr-FR"/>
        </w:rPr>
        <w:t>’</w:t>
      </w:r>
      <w:r w:rsidRPr="00546963">
        <w:rPr>
          <w:rFonts w:eastAsia="Times New Roman"/>
          <w:lang w:val="fr-FR"/>
        </w:rPr>
        <w:t>homologation de type qui a délivré l</w:t>
      </w:r>
      <w:r w:rsidR="00DB4C2D">
        <w:rPr>
          <w:rFonts w:eastAsia="Times New Roman"/>
          <w:lang w:val="fr-FR"/>
        </w:rPr>
        <w:t>’</w:t>
      </w:r>
      <w:r w:rsidRPr="00546963">
        <w:rPr>
          <w:rFonts w:eastAsia="Times New Roman"/>
          <w:lang w:val="fr-FR"/>
        </w:rPr>
        <w:t>extension d</w:t>
      </w:r>
      <w:r w:rsidR="00DB4C2D">
        <w:rPr>
          <w:rFonts w:eastAsia="Times New Roman"/>
          <w:lang w:val="fr-FR"/>
        </w:rPr>
        <w:t>’</w:t>
      </w:r>
      <w:r w:rsidRPr="00546963">
        <w:rPr>
          <w:rFonts w:eastAsia="Times New Roman"/>
          <w:lang w:val="fr-FR"/>
        </w:rPr>
        <w:t>homologation doit attribuer un numéro de série à l</w:t>
      </w:r>
      <w:r w:rsidR="00DB4C2D">
        <w:rPr>
          <w:rFonts w:eastAsia="Times New Roman"/>
          <w:lang w:val="fr-FR"/>
        </w:rPr>
        <w:t>’</w:t>
      </w:r>
      <w:r w:rsidRPr="00546963">
        <w:rPr>
          <w:rFonts w:eastAsia="Times New Roman"/>
          <w:lang w:val="fr-FR"/>
        </w:rPr>
        <w:t>extension et en informer les autres Parties contractantes qui appliquent le présent Règlement, au moyen d</w:t>
      </w:r>
      <w:r w:rsidR="00DB4C2D">
        <w:rPr>
          <w:rFonts w:eastAsia="Times New Roman"/>
          <w:lang w:val="fr-FR"/>
        </w:rPr>
        <w:t>’</w:t>
      </w:r>
      <w:r w:rsidRPr="00546963">
        <w:rPr>
          <w:rFonts w:eastAsia="Times New Roman"/>
          <w:lang w:val="fr-FR"/>
        </w:rPr>
        <w:t>une fiche de communication conforme au modèle de l</w:t>
      </w:r>
      <w:r w:rsidR="00DB4C2D">
        <w:rPr>
          <w:rFonts w:eastAsia="Times New Roman"/>
          <w:lang w:val="fr-FR"/>
        </w:rPr>
        <w:t>’</w:t>
      </w:r>
      <w:r w:rsidRPr="00546963">
        <w:rPr>
          <w:rFonts w:eastAsia="Times New Roman"/>
          <w:lang w:val="fr-FR"/>
        </w:rPr>
        <w:t>annexe 2 du présent Règlement.</w:t>
      </w:r>
    </w:p>
    <w:p w:rsidR="00546963" w:rsidRPr="00546963" w:rsidRDefault="00546963" w:rsidP="00546963">
      <w:pPr>
        <w:pStyle w:val="HChG"/>
        <w:rPr>
          <w:lang w:val="fr-FR"/>
        </w:rPr>
      </w:pPr>
      <w:r>
        <w:rPr>
          <w:lang w:val="fr-FR"/>
        </w:rPr>
        <w:tab/>
      </w:r>
      <w:r>
        <w:rPr>
          <w:lang w:val="fr-FR"/>
        </w:rPr>
        <w:tab/>
      </w:r>
      <w:r w:rsidRPr="00546963">
        <w:rPr>
          <w:lang w:val="fr-FR"/>
        </w:rPr>
        <w:t>7.</w:t>
      </w:r>
      <w:r w:rsidRPr="00546963">
        <w:rPr>
          <w:lang w:val="fr-FR"/>
        </w:rPr>
        <w:tab/>
      </w:r>
      <w:r w:rsidRPr="00546963">
        <w:rPr>
          <w:lang w:val="fr-FR"/>
        </w:rPr>
        <w:tab/>
        <w:t>Extension d</w:t>
      </w:r>
      <w:r w:rsidR="00DB4C2D">
        <w:rPr>
          <w:lang w:val="fr-FR"/>
        </w:rPr>
        <w:t>’</w:t>
      </w:r>
      <w:r w:rsidRPr="00546963">
        <w:rPr>
          <w:lang w:val="fr-FR"/>
        </w:rPr>
        <w:t>homologations de type</w:t>
      </w:r>
    </w:p>
    <w:p w:rsidR="00546963" w:rsidRPr="00546963" w:rsidRDefault="00546963" w:rsidP="00546963">
      <w:pPr>
        <w:pStyle w:val="SingleTxtG"/>
        <w:keepLines/>
        <w:spacing w:before="120"/>
        <w:ind w:left="2268" w:hanging="1134"/>
        <w:rPr>
          <w:rFonts w:eastAsia="Times New Roman"/>
          <w:lang w:val="fr-FR"/>
        </w:rPr>
      </w:pPr>
      <w:r w:rsidRPr="00546963">
        <w:rPr>
          <w:rFonts w:eastAsia="Times New Roman"/>
          <w:lang w:val="fr-FR"/>
        </w:rPr>
        <w:t>7.1</w:t>
      </w:r>
      <w:r w:rsidRPr="00546963">
        <w:rPr>
          <w:rFonts w:eastAsia="Times New Roman"/>
          <w:lang w:val="fr-FR"/>
        </w:rPr>
        <w:tab/>
        <w:t>Extensions pour les émissions à l</w:t>
      </w:r>
      <w:r w:rsidR="00DB4C2D">
        <w:rPr>
          <w:rFonts w:eastAsia="Times New Roman"/>
          <w:lang w:val="fr-FR"/>
        </w:rPr>
        <w:t>’</w:t>
      </w:r>
      <w:r w:rsidRPr="00546963">
        <w:rPr>
          <w:rFonts w:eastAsia="Times New Roman"/>
          <w:lang w:val="fr-FR"/>
        </w:rPr>
        <w:t>échappement (essais du type I, du type II et du type VI)</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7.1.1</w:t>
      </w:r>
      <w:r w:rsidRPr="00546963">
        <w:rPr>
          <w:rFonts w:eastAsia="Times New Roman"/>
          <w:lang w:val="fr-FR"/>
        </w:rPr>
        <w:tab/>
        <w:t>Véhicules ayant des masses de référence différentes</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7.1.1.1</w:t>
      </w:r>
      <w:r w:rsidRPr="00546963">
        <w:rPr>
          <w:rFonts w:eastAsia="Times New Roman"/>
          <w:lang w:val="fr-FR"/>
        </w:rPr>
        <w:tab/>
        <w:t>L</w:t>
      </w:r>
      <w:r w:rsidR="00DB4C2D">
        <w:rPr>
          <w:rFonts w:eastAsia="Times New Roman"/>
          <w:lang w:val="fr-FR"/>
        </w:rPr>
        <w:t>’</w:t>
      </w:r>
      <w:r w:rsidRPr="00546963">
        <w:rPr>
          <w:rFonts w:eastAsia="Times New Roman"/>
          <w:lang w:val="fr-FR"/>
        </w:rPr>
        <w:t>extension de l</w:t>
      </w:r>
      <w:r w:rsidR="00DB4C2D">
        <w:rPr>
          <w:rFonts w:eastAsia="Times New Roman"/>
          <w:lang w:val="fr-FR"/>
        </w:rPr>
        <w:t>’</w:t>
      </w:r>
      <w:r w:rsidRPr="00546963">
        <w:rPr>
          <w:rFonts w:eastAsia="Times New Roman"/>
          <w:lang w:val="fr-FR"/>
        </w:rPr>
        <w:t>homologation de type ne doit être accordée qu</w:t>
      </w:r>
      <w:r w:rsidR="00DB4C2D">
        <w:rPr>
          <w:rFonts w:eastAsia="Times New Roman"/>
          <w:lang w:val="fr-FR"/>
        </w:rPr>
        <w:t>’</w:t>
      </w:r>
      <w:r w:rsidRPr="00546963">
        <w:rPr>
          <w:rFonts w:eastAsia="Times New Roman"/>
          <w:lang w:val="fr-FR"/>
        </w:rPr>
        <w:t>aux véhicules dont la masse de référence nécessite l</w:t>
      </w:r>
      <w:r w:rsidR="00DB4C2D">
        <w:rPr>
          <w:rFonts w:eastAsia="Times New Roman"/>
          <w:lang w:val="fr-FR"/>
        </w:rPr>
        <w:t>’</w:t>
      </w:r>
      <w:r w:rsidRPr="00546963">
        <w:rPr>
          <w:rFonts w:eastAsia="Times New Roman"/>
          <w:lang w:val="fr-FR"/>
        </w:rPr>
        <w:t>utilisation des deux classes d</w:t>
      </w:r>
      <w:r w:rsidR="00DB4C2D">
        <w:rPr>
          <w:rFonts w:eastAsia="Times New Roman"/>
          <w:lang w:val="fr-FR"/>
        </w:rPr>
        <w:t>’</w:t>
      </w:r>
      <w:r w:rsidRPr="00546963">
        <w:rPr>
          <w:rFonts w:eastAsia="Times New Roman"/>
          <w:lang w:val="fr-FR"/>
        </w:rPr>
        <w:t>inertie équivalente immédiatement supérieures ou de toute classe d</w:t>
      </w:r>
      <w:r w:rsidR="00DB4C2D">
        <w:rPr>
          <w:rFonts w:eastAsia="Times New Roman"/>
          <w:lang w:val="fr-FR"/>
        </w:rPr>
        <w:t>’</w:t>
      </w:r>
      <w:r w:rsidRPr="00546963">
        <w:rPr>
          <w:rFonts w:eastAsia="Times New Roman"/>
          <w:lang w:val="fr-FR"/>
        </w:rPr>
        <w:t>inertie équivalente inférieure.</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7.1.1.2</w:t>
      </w:r>
      <w:r w:rsidRPr="00546963">
        <w:rPr>
          <w:rFonts w:eastAsia="Times New Roman"/>
          <w:lang w:val="fr-FR"/>
        </w:rPr>
        <w:tab/>
        <w:t>Dans le cas des véhicules de la catégorie N, l</w:t>
      </w:r>
      <w:r w:rsidR="00DB4C2D">
        <w:rPr>
          <w:rFonts w:eastAsia="Times New Roman"/>
          <w:lang w:val="fr-FR"/>
        </w:rPr>
        <w:t>’</w:t>
      </w:r>
      <w:r w:rsidRPr="00546963">
        <w:rPr>
          <w:rFonts w:eastAsia="Times New Roman"/>
          <w:lang w:val="fr-FR"/>
        </w:rPr>
        <w:t>extension de l</w:t>
      </w:r>
      <w:r w:rsidR="00DB4C2D">
        <w:rPr>
          <w:rFonts w:eastAsia="Times New Roman"/>
          <w:lang w:val="fr-FR"/>
        </w:rPr>
        <w:t>’</w:t>
      </w:r>
      <w:r w:rsidRPr="00546963">
        <w:rPr>
          <w:rFonts w:eastAsia="Times New Roman"/>
          <w:lang w:val="fr-FR"/>
        </w:rPr>
        <w:t>homologation ne doit être accordée qu</w:t>
      </w:r>
      <w:r w:rsidR="00DB4C2D">
        <w:rPr>
          <w:rFonts w:eastAsia="Times New Roman"/>
          <w:lang w:val="fr-FR"/>
        </w:rPr>
        <w:t>’</w:t>
      </w:r>
      <w:r w:rsidRPr="00546963">
        <w:rPr>
          <w:rFonts w:eastAsia="Times New Roman"/>
          <w:lang w:val="fr-FR"/>
        </w:rPr>
        <w:t>aux véhicules ayant une masse de référence plus faible, si les émissions du véhicule déjà homologué satisfont aux limites prescrites pour le véhicule pour lequel l</w:t>
      </w:r>
      <w:r w:rsidR="00DB4C2D">
        <w:rPr>
          <w:rFonts w:eastAsia="Times New Roman"/>
          <w:lang w:val="fr-FR"/>
        </w:rPr>
        <w:t>’</w:t>
      </w:r>
      <w:r w:rsidRPr="00546963">
        <w:rPr>
          <w:rFonts w:eastAsia="Times New Roman"/>
          <w:lang w:val="fr-FR"/>
        </w:rPr>
        <w:t>extension de l</w:t>
      </w:r>
      <w:r w:rsidR="00DB4C2D">
        <w:rPr>
          <w:rFonts w:eastAsia="Times New Roman"/>
          <w:lang w:val="fr-FR"/>
        </w:rPr>
        <w:t>’</w:t>
      </w:r>
      <w:r w:rsidRPr="00546963">
        <w:rPr>
          <w:rFonts w:eastAsia="Times New Roman"/>
          <w:lang w:val="fr-FR"/>
        </w:rPr>
        <w:t>homologation est demandée.</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7.1.2</w:t>
      </w:r>
      <w:r w:rsidRPr="00546963">
        <w:rPr>
          <w:rFonts w:eastAsia="Times New Roman"/>
          <w:lang w:val="fr-FR"/>
        </w:rPr>
        <w:tab/>
        <w:t>Véhicules ayant des rapports globaux de démultiplication différents</w:t>
      </w:r>
    </w:p>
    <w:p w:rsidR="00546963" w:rsidRPr="00546963" w:rsidRDefault="00546963" w:rsidP="00546963">
      <w:pPr>
        <w:pStyle w:val="SingleTxtG"/>
        <w:spacing w:before="120"/>
        <w:ind w:left="2268" w:hanging="1134"/>
        <w:rPr>
          <w:rFonts w:eastAsia="Times New Roman"/>
          <w:lang w:val="fr-FR"/>
        </w:rPr>
      </w:pPr>
      <w:r w:rsidRPr="00546963">
        <w:rPr>
          <w:rFonts w:eastAsia="Times New Roman"/>
          <w:lang w:val="fr-FR"/>
        </w:rPr>
        <w:t>7.1.2.1</w:t>
      </w:r>
      <w:r w:rsidRPr="00546963">
        <w:rPr>
          <w:rFonts w:eastAsia="Times New Roman"/>
          <w:lang w:val="fr-FR"/>
        </w:rPr>
        <w:tab/>
        <w:t>L</w:t>
      </w:r>
      <w:r w:rsidR="00DB4C2D">
        <w:rPr>
          <w:rFonts w:eastAsia="Times New Roman"/>
          <w:lang w:val="fr-FR"/>
        </w:rPr>
        <w:t>’</w:t>
      </w:r>
      <w:r w:rsidRPr="00546963">
        <w:rPr>
          <w:rFonts w:eastAsia="Times New Roman"/>
          <w:lang w:val="fr-FR"/>
        </w:rPr>
        <w:t>extension de l</w:t>
      </w:r>
      <w:r w:rsidR="00DB4C2D">
        <w:rPr>
          <w:rFonts w:eastAsia="Times New Roman"/>
          <w:lang w:val="fr-FR"/>
        </w:rPr>
        <w:t>’</w:t>
      </w:r>
      <w:r w:rsidRPr="00546963">
        <w:rPr>
          <w:rFonts w:eastAsia="Times New Roman"/>
          <w:lang w:val="fr-FR"/>
        </w:rPr>
        <w:t>homologation n</w:t>
      </w:r>
      <w:r w:rsidR="00DB4C2D">
        <w:rPr>
          <w:rFonts w:eastAsia="Times New Roman"/>
          <w:lang w:val="fr-FR"/>
        </w:rPr>
        <w:t>’</w:t>
      </w:r>
      <w:r w:rsidRPr="00546963">
        <w:rPr>
          <w:rFonts w:eastAsia="Times New Roman"/>
          <w:lang w:val="fr-FR"/>
        </w:rPr>
        <w:t>est accordée aux véhicules ayant des rapports de transmission différents que dans certaines conditions.</w:t>
      </w:r>
    </w:p>
    <w:p w:rsidR="00546963" w:rsidRDefault="00546963" w:rsidP="00546963">
      <w:pPr>
        <w:pStyle w:val="SingleTxtG"/>
        <w:spacing w:before="120"/>
        <w:ind w:left="2268" w:hanging="1134"/>
        <w:rPr>
          <w:rFonts w:eastAsia="Times New Roman"/>
          <w:lang w:val="fr-FR"/>
        </w:rPr>
      </w:pPr>
      <w:r w:rsidRPr="00546963">
        <w:rPr>
          <w:rFonts w:eastAsia="Times New Roman"/>
          <w:lang w:val="fr-FR"/>
        </w:rPr>
        <w:t>7.1.2.2</w:t>
      </w:r>
      <w:r w:rsidRPr="00546963">
        <w:rPr>
          <w:rFonts w:eastAsia="Times New Roman"/>
          <w:lang w:val="fr-FR"/>
        </w:rPr>
        <w:tab/>
        <w:t>Pour déterminer si l</w:t>
      </w:r>
      <w:r w:rsidR="00DB4C2D">
        <w:rPr>
          <w:rFonts w:eastAsia="Times New Roman"/>
          <w:lang w:val="fr-FR"/>
        </w:rPr>
        <w:t>’</w:t>
      </w:r>
      <w:r w:rsidRPr="00546963">
        <w:rPr>
          <w:rFonts w:eastAsia="Times New Roman"/>
          <w:lang w:val="fr-FR"/>
        </w:rPr>
        <w:t>homologation de type peut être étendue, il faut calculer pour chacun des rapports de démultiplication utilisés lors de l</w:t>
      </w:r>
      <w:r w:rsidR="00DB4C2D">
        <w:rPr>
          <w:rFonts w:eastAsia="Times New Roman"/>
          <w:lang w:val="fr-FR"/>
        </w:rPr>
        <w:t>’</w:t>
      </w:r>
      <w:r>
        <w:rPr>
          <w:rFonts w:eastAsia="Times New Roman"/>
          <w:lang w:val="fr-FR"/>
        </w:rPr>
        <w:t>essai du type I et du type </w:t>
      </w:r>
      <w:r w:rsidRPr="00546963">
        <w:rPr>
          <w:rFonts w:eastAsia="Times New Roman"/>
          <w:lang w:val="fr-FR"/>
        </w:rPr>
        <w:t>VI, le rapport</w:t>
      </w:r>
    </w:p>
    <w:p w:rsidR="00B65C71" w:rsidRDefault="00B65C71" w:rsidP="00B65C71">
      <w:pPr>
        <w:pStyle w:val="SingleTxtG"/>
        <w:spacing w:before="120"/>
        <w:ind w:left="3402" w:hanging="1134"/>
        <w:rPr>
          <w:vertAlign w:val="subscript"/>
          <w:lang w:val="fr-FR"/>
        </w:rPr>
      </w:pPr>
      <w:r w:rsidRPr="00A779B8">
        <w:rPr>
          <w:lang w:val="fr-FR"/>
        </w:rPr>
        <w:t>E = [(V</w:t>
      </w:r>
      <w:r w:rsidRPr="00A779B8">
        <w:rPr>
          <w:vertAlign w:val="subscript"/>
          <w:lang w:val="fr-FR"/>
        </w:rPr>
        <w:t>2</w:t>
      </w:r>
      <w:r w:rsidRPr="00A779B8">
        <w:rPr>
          <w:lang w:val="fr-FR"/>
        </w:rPr>
        <w:t xml:space="preserve"> – V</w:t>
      </w:r>
      <w:r w:rsidRPr="00A779B8">
        <w:rPr>
          <w:vertAlign w:val="subscript"/>
          <w:lang w:val="fr-FR"/>
        </w:rPr>
        <w:t>1</w:t>
      </w:r>
      <w:r w:rsidRPr="00A779B8">
        <w:rPr>
          <w:lang w:val="fr-FR"/>
        </w:rPr>
        <w:t>)]/V</w:t>
      </w:r>
      <w:r w:rsidRPr="00A779B8">
        <w:rPr>
          <w:vertAlign w:val="subscript"/>
          <w:lang w:val="fr-FR"/>
        </w:rPr>
        <w:t>1</w:t>
      </w:r>
    </w:p>
    <w:p w:rsidR="00B65C71" w:rsidRPr="00B65C71" w:rsidRDefault="00B65C71" w:rsidP="00B65C71">
      <w:pPr>
        <w:kinsoku/>
        <w:overflowPunct/>
        <w:autoSpaceDE/>
        <w:autoSpaceDN/>
        <w:adjustRightInd/>
        <w:snapToGrid/>
        <w:spacing w:after="120"/>
        <w:ind w:left="2268" w:right="1134"/>
        <w:jc w:val="both"/>
        <w:rPr>
          <w:rFonts w:eastAsia="Times New Roman"/>
          <w:lang w:val="fr-FR"/>
        </w:rPr>
      </w:pPr>
      <w:r w:rsidRPr="00B65C71">
        <w:rPr>
          <w:rFonts w:eastAsia="Times New Roman"/>
          <w:lang w:val="fr-FR"/>
        </w:rPr>
        <w:t>dans lequel, pour un régime de 1 000 min</w:t>
      </w:r>
      <w:r w:rsidRPr="00B65C71">
        <w:rPr>
          <w:rFonts w:eastAsia="Times New Roman"/>
          <w:vertAlign w:val="superscript"/>
          <w:lang w:val="fr-FR"/>
        </w:rPr>
        <w:t>-1</w:t>
      </w:r>
      <w:r w:rsidRPr="00B65C71">
        <w:rPr>
          <w:rFonts w:eastAsia="Times New Roman"/>
          <w:lang w:val="fr-FR"/>
        </w:rPr>
        <w:t xml:space="preserve"> du moteur, V</w:t>
      </w:r>
      <w:r w:rsidRPr="00B65C71">
        <w:rPr>
          <w:rFonts w:eastAsia="Times New Roman"/>
          <w:vertAlign w:val="subscript"/>
          <w:lang w:val="fr-FR"/>
        </w:rPr>
        <w:t>1</w:t>
      </w:r>
      <w:r w:rsidRPr="00B65C71">
        <w:rPr>
          <w:rFonts w:eastAsia="Times New Roman"/>
          <w:lang w:val="fr-FR"/>
        </w:rPr>
        <w:t xml:space="preserve"> est la vitesse du type de véhicule homologué et V</w:t>
      </w:r>
      <w:r w:rsidRPr="00B65C71">
        <w:rPr>
          <w:rFonts w:eastAsia="Times New Roman"/>
          <w:vertAlign w:val="subscript"/>
          <w:lang w:val="fr-FR"/>
        </w:rPr>
        <w:t xml:space="preserve">2 </w:t>
      </w:r>
      <w:r w:rsidRPr="00B65C71">
        <w:rPr>
          <w:rFonts w:eastAsia="Times New Roman"/>
          <w:lang w:val="fr-FR"/>
        </w:rPr>
        <w:t>celle du type de véhicule pour lequel l</w:t>
      </w:r>
      <w:r w:rsidR="00DB4C2D">
        <w:rPr>
          <w:rFonts w:eastAsia="Times New Roman"/>
          <w:lang w:val="fr-FR"/>
        </w:rPr>
        <w:t>’</w:t>
      </w:r>
      <w:r w:rsidRPr="00B65C71">
        <w:rPr>
          <w:rFonts w:eastAsia="Times New Roman"/>
          <w:lang w:val="fr-FR"/>
        </w:rPr>
        <w:t>extension est demandée.</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7.1.2.3</w:t>
      </w:r>
      <w:r w:rsidRPr="00B65C71">
        <w:rPr>
          <w:rFonts w:eastAsia="Times New Roman"/>
          <w:lang w:val="fr-FR"/>
        </w:rPr>
        <w:tab/>
        <w:t>Si, pour chaque rapport de démultiplication E ≤ 8 %, l</w:t>
      </w:r>
      <w:r w:rsidR="00DB4C2D">
        <w:rPr>
          <w:rFonts w:eastAsia="Times New Roman"/>
          <w:lang w:val="fr-FR"/>
        </w:rPr>
        <w:t>’</w:t>
      </w:r>
      <w:r w:rsidRPr="00B65C71">
        <w:rPr>
          <w:rFonts w:eastAsia="Times New Roman"/>
          <w:lang w:val="fr-FR"/>
        </w:rPr>
        <w:t>extension d</w:t>
      </w:r>
      <w:r w:rsidR="00DB4C2D">
        <w:rPr>
          <w:rFonts w:eastAsia="Times New Roman"/>
          <w:lang w:val="fr-FR"/>
        </w:rPr>
        <w:t>’</w:t>
      </w:r>
      <w:r w:rsidRPr="00B65C71">
        <w:rPr>
          <w:rFonts w:eastAsia="Times New Roman"/>
          <w:lang w:val="fr-FR"/>
        </w:rPr>
        <w:t>homologation est accordée sans répétition des essais du type I et du type VI.</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lastRenderedPageBreak/>
        <w:t>7.1.2.4</w:t>
      </w:r>
      <w:r w:rsidRPr="00B65C71">
        <w:rPr>
          <w:rFonts w:eastAsia="Times New Roman"/>
          <w:lang w:val="fr-FR"/>
        </w:rPr>
        <w:tab/>
        <w:t>Si, pour un rapport de démultiplication au moins E &gt; 8 %, et si pour chaque rapport de boîte de vitesses E ≤ 13 %, les essais du type I et du type VI doivent être répétés mais ils peuvent être effectués dans un laboratoire choisi par le constructeur sous réserve de l</w:t>
      </w:r>
      <w:r w:rsidR="00DB4C2D">
        <w:rPr>
          <w:rFonts w:eastAsia="Times New Roman"/>
          <w:lang w:val="fr-FR"/>
        </w:rPr>
        <w:t>’</w:t>
      </w:r>
      <w:r w:rsidRPr="00B65C71">
        <w:rPr>
          <w:rFonts w:eastAsia="Times New Roman"/>
          <w:lang w:val="fr-FR"/>
        </w:rPr>
        <w:t>approbation du service technique. Le procès-verbal d</w:t>
      </w:r>
      <w:r w:rsidR="00DB4C2D">
        <w:rPr>
          <w:rFonts w:eastAsia="Times New Roman"/>
          <w:lang w:val="fr-FR"/>
        </w:rPr>
        <w:t>’</w:t>
      </w:r>
      <w:r w:rsidRPr="00B65C71">
        <w:rPr>
          <w:rFonts w:eastAsia="Times New Roman"/>
          <w:lang w:val="fr-FR"/>
        </w:rPr>
        <w:t>essais doit être envoyé au service technique chargé des essais d</w:t>
      </w:r>
      <w:r w:rsidR="00DB4C2D">
        <w:rPr>
          <w:rFonts w:eastAsia="Times New Roman"/>
          <w:lang w:val="fr-FR"/>
        </w:rPr>
        <w:t>’</w:t>
      </w:r>
      <w:r w:rsidRPr="00B65C71">
        <w:rPr>
          <w:rFonts w:eastAsia="Times New Roman"/>
          <w:lang w:val="fr-FR"/>
        </w:rPr>
        <w:t>homologation de type.</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t>7.1.3</w:t>
      </w:r>
      <w:r w:rsidRPr="00B65C71">
        <w:rPr>
          <w:rFonts w:eastAsia="Times New Roman"/>
          <w:lang w:val="fr-FR"/>
        </w:rPr>
        <w:tab/>
        <w:t>Véhicules ayant des masses de référence et des rapports de démultiplication différents</w:t>
      </w:r>
    </w:p>
    <w:p w:rsidR="00B65C71" w:rsidRPr="00B65C71" w:rsidRDefault="00B65C71" w:rsidP="00B65C71">
      <w:pPr>
        <w:pStyle w:val="SingleTxtG"/>
        <w:ind w:left="2268"/>
        <w:rPr>
          <w:lang w:val="fr-FR"/>
        </w:rPr>
      </w:pPr>
      <w:r w:rsidRPr="00B65C71">
        <w:rPr>
          <w:lang w:val="fr-FR"/>
        </w:rPr>
        <w:t>L</w:t>
      </w:r>
      <w:r w:rsidR="00DB4C2D">
        <w:rPr>
          <w:lang w:val="fr-FR"/>
        </w:rPr>
        <w:t>’</w:t>
      </w:r>
      <w:r w:rsidRPr="00B65C71">
        <w:rPr>
          <w:lang w:val="fr-FR"/>
        </w:rPr>
        <w:t>homologation doit être étendue aux véhicules présentant des masses de référence et des rapports de démultiplication différents sous réserve qu</w:t>
      </w:r>
      <w:r w:rsidR="00DB4C2D">
        <w:rPr>
          <w:lang w:val="fr-FR"/>
        </w:rPr>
        <w:t>’</w:t>
      </w:r>
      <w:r w:rsidRPr="00B65C71">
        <w:rPr>
          <w:lang w:val="fr-FR"/>
        </w:rPr>
        <w:t>il soit satisfait à l</w:t>
      </w:r>
      <w:r w:rsidR="00DB4C2D">
        <w:rPr>
          <w:lang w:val="fr-FR"/>
        </w:rPr>
        <w:t>’</w:t>
      </w:r>
      <w:r w:rsidRPr="00B65C71">
        <w:rPr>
          <w:lang w:val="fr-FR"/>
        </w:rPr>
        <w:t>ensemble des conditions énoncées aux paragraphes 7.1.1 et 7.1.2.</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t>7.1.4</w:t>
      </w:r>
      <w:r w:rsidRPr="00B65C71">
        <w:rPr>
          <w:rFonts w:eastAsia="Times New Roman"/>
          <w:lang w:val="fr-FR"/>
        </w:rPr>
        <w:tab/>
        <w:t>Véhicules équipés d</w:t>
      </w:r>
      <w:r w:rsidR="00DB4C2D">
        <w:rPr>
          <w:rFonts w:eastAsia="Times New Roman"/>
          <w:lang w:val="fr-FR"/>
        </w:rPr>
        <w:t>’</w:t>
      </w:r>
      <w:r w:rsidRPr="00B65C71">
        <w:rPr>
          <w:rFonts w:eastAsia="Times New Roman"/>
          <w:lang w:val="fr-FR"/>
        </w:rPr>
        <w:t>un dispositif à régénération discontinue</w:t>
      </w:r>
    </w:p>
    <w:p w:rsidR="00B65C71" w:rsidRPr="00B65C71" w:rsidRDefault="00B65C71" w:rsidP="00B65C71">
      <w:pPr>
        <w:pStyle w:val="SingleTxtG"/>
        <w:ind w:left="2268"/>
        <w:rPr>
          <w:lang w:val="fr-FR"/>
        </w:rPr>
      </w:pPr>
      <w:r w:rsidRPr="00B65C71">
        <w:rPr>
          <w:lang w:val="fr-FR"/>
        </w:rPr>
        <w:t>L</w:t>
      </w:r>
      <w:r w:rsidR="00DB4C2D">
        <w:rPr>
          <w:lang w:val="fr-FR"/>
        </w:rPr>
        <w:t>’</w:t>
      </w:r>
      <w:r w:rsidRPr="00B65C71">
        <w:rPr>
          <w:lang w:val="fr-FR"/>
        </w:rPr>
        <w:t>homologation d</w:t>
      </w:r>
      <w:r w:rsidR="00DB4C2D">
        <w:rPr>
          <w:lang w:val="fr-FR"/>
        </w:rPr>
        <w:t>’</w:t>
      </w:r>
      <w:r w:rsidRPr="00B65C71">
        <w:rPr>
          <w:lang w:val="fr-FR"/>
        </w:rPr>
        <w:t>un type de véhicule équipé d</w:t>
      </w:r>
      <w:r w:rsidR="00DB4C2D">
        <w:rPr>
          <w:lang w:val="fr-FR"/>
        </w:rPr>
        <w:t>’</w:t>
      </w:r>
      <w:r w:rsidRPr="00B65C71">
        <w:rPr>
          <w:lang w:val="fr-FR"/>
        </w:rPr>
        <w:t>un dispositif à régénération discontinue doit être étendue aux autres véhicules dotés de tels systèmes et dont les paramètres décrits ci-après sont identiques ou se situent dans les limites spécifiées. L</w:t>
      </w:r>
      <w:r w:rsidR="00DB4C2D">
        <w:rPr>
          <w:lang w:val="fr-FR"/>
        </w:rPr>
        <w:t>’</w:t>
      </w:r>
      <w:r w:rsidRPr="00B65C71">
        <w:rPr>
          <w:lang w:val="fr-FR"/>
        </w:rPr>
        <w:t>extension ne concerne que les mesures spécifiques au système à régénération discontinue défini.</w:t>
      </w:r>
    </w:p>
    <w:p w:rsidR="00B65C71" w:rsidRDefault="00B65C71" w:rsidP="00B65C71">
      <w:pPr>
        <w:pStyle w:val="SingleTxtG"/>
        <w:keepNext/>
        <w:spacing w:before="120"/>
        <w:ind w:left="2268" w:hanging="1134"/>
        <w:rPr>
          <w:rFonts w:eastAsia="Times New Roman"/>
          <w:lang w:val="fr-FR"/>
        </w:rPr>
      </w:pPr>
      <w:r w:rsidRPr="00B65C71">
        <w:rPr>
          <w:rFonts w:eastAsia="Times New Roman"/>
          <w:lang w:val="fr-FR"/>
        </w:rPr>
        <w:t>7.1.4.1</w:t>
      </w:r>
      <w:r w:rsidRPr="00B65C71">
        <w:rPr>
          <w:rFonts w:eastAsia="Times New Roman"/>
          <w:lang w:val="fr-FR"/>
        </w:rPr>
        <w:tab/>
        <w:t>Les paramètres identiques à prendre en compte pour l</w:t>
      </w:r>
      <w:r w:rsidR="00DB4C2D">
        <w:rPr>
          <w:rFonts w:eastAsia="Times New Roman"/>
          <w:lang w:val="fr-FR"/>
        </w:rPr>
        <w:t>’</w:t>
      </w:r>
      <w:r w:rsidRPr="00B65C71">
        <w:rPr>
          <w:rFonts w:eastAsia="Times New Roman"/>
          <w:lang w:val="fr-FR"/>
        </w:rPr>
        <w:t>extension de l</w:t>
      </w:r>
      <w:r w:rsidR="00DB4C2D">
        <w:rPr>
          <w:rFonts w:eastAsia="Times New Roman"/>
          <w:lang w:val="fr-FR"/>
        </w:rPr>
        <w:t>’</w:t>
      </w:r>
      <w:r w:rsidRPr="00B65C71">
        <w:rPr>
          <w:rFonts w:eastAsia="Times New Roman"/>
          <w:lang w:val="fr-FR"/>
        </w:rPr>
        <w:t>homologation sont les suivants:</w:t>
      </w:r>
    </w:p>
    <w:p w:rsidR="00B65C71" w:rsidRPr="00B65C71" w:rsidRDefault="00B65C71" w:rsidP="00B65C71">
      <w:pPr>
        <w:pStyle w:val="SingleTxtG"/>
        <w:ind w:left="2835" w:hanging="567"/>
        <w:rPr>
          <w:lang w:val="fr-FR"/>
        </w:rPr>
      </w:pPr>
      <w:r w:rsidRPr="00B65C71">
        <w:rPr>
          <w:lang w:val="fr-FR"/>
        </w:rPr>
        <w:t>a)</w:t>
      </w:r>
      <w:r w:rsidRPr="00B65C71">
        <w:rPr>
          <w:lang w:val="fr-FR"/>
        </w:rPr>
        <w:tab/>
        <w:t>Moteur;</w:t>
      </w:r>
    </w:p>
    <w:p w:rsidR="00B65C71" w:rsidRPr="00B65C71" w:rsidRDefault="00B65C71" w:rsidP="00B65C71">
      <w:pPr>
        <w:pStyle w:val="SingleTxtG"/>
        <w:ind w:left="2835" w:hanging="567"/>
        <w:rPr>
          <w:lang w:val="fr-FR"/>
        </w:rPr>
      </w:pPr>
      <w:r w:rsidRPr="00B65C71">
        <w:rPr>
          <w:lang w:val="fr-FR"/>
        </w:rPr>
        <w:t>b)</w:t>
      </w:r>
      <w:r w:rsidRPr="00B65C71">
        <w:rPr>
          <w:lang w:val="fr-FR"/>
        </w:rPr>
        <w:tab/>
        <w:t>Procédé de combustion;</w:t>
      </w:r>
    </w:p>
    <w:p w:rsidR="00B65C71" w:rsidRPr="00B65C71" w:rsidRDefault="00B65C71" w:rsidP="00B65C71">
      <w:pPr>
        <w:pStyle w:val="SingleTxtG"/>
        <w:ind w:left="2835" w:hanging="567"/>
        <w:rPr>
          <w:lang w:val="fr-FR"/>
        </w:rPr>
      </w:pPr>
      <w:r w:rsidRPr="00B65C71">
        <w:rPr>
          <w:lang w:val="fr-FR"/>
        </w:rPr>
        <w:t>c)</w:t>
      </w:r>
      <w:r w:rsidRPr="00B65C71">
        <w:rPr>
          <w:lang w:val="fr-FR"/>
        </w:rPr>
        <w:tab/>
        <w:t>Dispositif à régénération discontinue (catalyseur, piège à particules);</w:t>
      </w:r>
    </w:p>
    <w:p w:rsidR="00B65C71" w:rsidRPr="00B65C71" w:rsidRDefault="00B65C71" w:rsidP="00B65C71">
      <w:pPr>
        <w:pStyle w:val="SingleTxtG"/>
        <w:ind w:left="2835" w:hanging="567"/>
        <w:rPr>
          <w:lang w:val="fr-FR"/>
        </w:rPr>
      </w:pPr>
      <w:r w:rsidRPr="00B65C71">
        <w:rPr>
          <w:lang w:val="fr-FR"/>
        </w:rPr>
        <w:t>d)</w:t>
      </w:r>
      <w:r w:rsidRPr="00B65C71">
        <w:rPr>
          <w:lang w:val="fr-FR"/>
        </w:rPr>
        <w:tab/>
        <w:t>Configuration (type d</w:t>
      </w:r>
      <w:r w:rsidR="00DB4C2D">
        <w:rPr>
          <w:lang w:val="fr-FR"/>
        </w:rPr>
        <w:t>’</w:t>
      </w:r>
      <w:r w:rsidRPr="00B65C71">
        <w:rPr>
          <w:lang w:val="fr-FR"/>
        </w:rPr>
        <w:t>enveloppe, nature du métal précieux, et du substrat, densité alvéolaire);</w:t>
      </w:r>
    </w:p>
    <w:p w:rsidR="00B65C71" w:rsidRPr="00B65C71" w:rsidRDefault="00B65C71" w:rsidP="00B65C71">
      <w:pPr>
        <w:pStyle w:val="SingleTxtG"/>
        <w:ind w:left="2835" w:hanging="567"/>
        <w:rPr>
          <w:lang w:val="fr-FR"/>
        </w:rPr>
      </w:pPr>
      <w:r w:rsidRPr="00B65C71">
        <w:rPr>
          <w:lang w:val="fr-FR"/>
        </w:rPr>
        <w:t>e)</w:t>
      </w:r>
      <w:r w:rsidRPr="00B65C71">
        <w:rPr>
          <w:lang w:val="fr-FR"/>
        </w:rPr>
        <w:tab/>
        <w:t>Type et principe de fonctionnement;</w:t>
      </w:r>
    </w:p>
    <w:p w:rsidR="00B65C71" w:rsidRPr="00B65C71" w:rsidRDefault="00B65C71" w:rsidP="00B65C71">
      <w:pPr>
        <w:pStyle w:val="SingleTxtG"/>
        <w:ind w:left="2835" w:hanging="567"/>
        <w:rPr>
          <w:lang w:val="fr-FR"/>
        </w:rPr>
      </w:pPr>
      <w:r w:rsidRPr="00B65C71">
        <w:rPr>
          <w:lang w:val="fr-FR"/>
        </w:rPr>
        <w:t>f)</w:t>
      </w:r>
      <w:r w:rsidRPr="00B65C71">
        <w:rPr>
          <w:lang w:val="fr-FR"/>
        </w:rPr>
        <w:tab/>
        <w:t>Système d</w:t>
      </w:r>
      <w:r w:rsidR="00DB4C2D">
        <w:rPr>
          <w:lang w:val="fr-FR"/>
        </w:rPr>
        <w:t>’</w:t>
      </w:r>
      <w:r w:rsidRPr="00B65C71">
        <w:rPr>
          <w:lang w:val="fr-FR"/>
        </w:rPr>
        <w:t>additif et dosage;</w:t>
      </w:r>
    </w:p>
    <w:p w:rsidR="00B65C71" w:rsidRPr="00B65C71" w:rsidRDefault="00B65C71" w:rsidP="00B65C71">
      <w:pPr>
        <w:pStyle w:val="SingleTxtG"/>
        <w:ind w:left="2835" w:hanging="567"/>
        <w:rPr>
          <w:lang w:val="fr-FR"/>
        </w:rPr>
      </w:pPr>
      <w:r w:rsidRPr="00B65C71">
        <w:rPr>
          <w:lang w:val="fr-FR"/>
        </w:rPr>
        <w:t>g)</w:t>
      </w:r>
      <w:r w:rsidRPr="00B65C71">
        <w:rPr>
          <w:lang w:val="fr-FR"/>
        </w:rPr>
        <w:tab/>
        <w:t>Volume (</w:t>
      </w:r>
      <w:r w:rsidRPr="00B65C71">
        <w:rPr>
          <w:lang w:val="fr-FR"/>
        </w:rPr>
        <w:sym w:font="Symbol" w:char="F0B1"/>
      </w:r>
      <w:r w:rsidRPr="00B65C71">
        <w:rPr>
          <w:lang w:val="fr-FR"/>
        </w:rPr>
        <w:t>10 %); et</w:t>
      </w:r>
    </w:p>
    <w:p w:rsidR="00B65C71" w:rsidRDefault="00B65C71" w:rsidP="00B65C71">
      <w:pPr>
        <w:pStyle w:val="SingleTxtG"/>
        <w:ind w:left="2835" w:hanging="567"/>
        <w:rPr>
          <w:lang w:val="fr-FR"/>
        </w:rPr>
      </w:pPr>
      <w:r w:rsidRPr="00B65C71">
        <w:rPr>
          <w:lang w:val="fr-FR"/>
        </w:rPr>
        <w:t>h)</w:t>
      </w:r>
      <w:r w:rsidRPr="00B65C71">
        <w:rPr>
          <w:lang w:val="fr-FR"/>
        </w:rPr>
        <w:tab/>
        <w:t xml:space="preserve">Emplacement (température </w:t>
      </w:r>
      <w:r w:rsidRPr="00B65C71">
        <w:rPr>
          <w:lang w:val="fr-FR"/>
        </w:rPr>
        <w:sym w:font="Symbol" w:char="F0B1"/>
      </w:r>
      <w:r w:rsidRPr="00B65C71">
        <w:rPr>
          <w:lang w:val="fr-FR"/>
        </w:rPr>
        <w:t>50 °C à 120 km/h ou température maximale moins 5 % à la pression maximale).</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t>7.1.4.2</w:t>
      </w:r>
      <w:r w:rsidRPr="00B65C71">
        <w:rPr>
          <w:rFonts w:eastAsia="Times New Roman"/>
          <w:lang w:val="fr-FR"/>
        </w:rPr>
        <w:tab/>
        <w:t>Utilisation des coefficients K</w:t>
      </w:r>
      <w:r w:rsidRPr="00B65C71">
        <w:rPr>
          <w:rFonts w:eastAsia="Times New Roman"/>
          <w:vertAlign w:val="subscript"/>
          <w:lang w:val="fr-FR"/>
        </w:rPr>
        <w:t>i</w:t>
      </w:r>
      <w:r w:rsidRPr="00B65C71">
        <w:rPr>
          <w:rFonts w:eastAsia="Times New Roman"/>
          <w:lang w:val="fr-FR"/>
        </w:rPr>
        <w:t xml:space="preserve"> pour les véhicules ayant des masses de référence différentes</w:t>
      </w:r>
    </w:p>
    <w:p w:rsidR="00B65C71" w:rsidRPr="00B65C71" w:rsidRDefault="00B65C71" w:rsidP="00B65C71">
      <w:pPr>
        <w:pStyle w:val="SingleTxtG"/>
        <w:ind w:left="2268"/>
        <w:rPr>
          <w:lang w:val="fr-FR"/>
        </w:rPr>
      </w:pPr>
      <w:r w:rsidRPr="00B65C71">
        <w:rPr>
          <w:lang w:val="fr-FR"/>
        </w:rPr>
        <w:t>Les coefficients K</w:t>
      </w:r>
      <w:r w:rsidRPr="00B65C71">
        <w:rPr>
          <w:vertAlign w:val="subscript"/>
          <w:lang w:val="fr-FR"/>
        </w:rPr>
        <w:t>i</w:t>
      </w:r>
      <w:r w:rsidRPr="00B65C71">
        <w:rPr>
          <w:lang w:val="fr-FR"/>
        </w:rPr>
        <w:t xml:space="preserve"> déterminés selon les procédures décrites au paragraphe 3 de l</w:t>
      </w:r>
      <w:r w:rsidR="00DB4C2D">
        <w:rPr>
          <w:lang w:val="fr-FR"/>
        </w:rPr>
        <w:t>’</w:t>
      </w:r>
      <w:r w:rsidRPr="00B65C71">
        <w:rPr>
          <w:lang w:val="fr-FR"/>
        </w:rPr>
        <w:t>annexe 13 du présent Règlement pour l</w:t>
      </w:r>
      <w:r w:rsidR="00DB4C2D">
        <w:rPr>
          <w:lang w:val="fr-FR"/>
        </w:rPr>
        <w:t>’</w:t>
      </w:r>
      <w:r w:rsidRPr="00B65C71">
        <w:rPr>
          <w:lang w:val="fr-FR"/>
        </w:rPr>
        <w:t>homologation d</w:t>
      </w:r>
      <w:r w:rsidR="00DB4C2D">
        <w:rPr>
          <w:lang w:val="fr-FR"/>
        </w:rPr>
        <w:t>’</w:t>
      </w:r>
      <w:r w:rsidRPr="00B65C71">
        <w:rPr>
          <w:lang w:val="fr-FR"/>
        </w:rPr>
        <w:t>un type de véhicule équipé d</w:t>
      </w:r>
      <w:r w:rsidR="00DB4C2D">
        <w:rPr>
          <w:lang w:val="fr-FR"/>
        </w:rPr>
        <w:t>’</w:t>
      </w:r>
      <w:r w:rsidRPr="00B65C71">
        <w:rPr>
          <w:lang w:val="fr-FR"/>
        </w:rPr>
        <w:t>un dispositif à régénération discontinue peuvent être utilisés pour d</w:t>
      </w:r>
      <w:r w:rsidR="00DB4C2D">
        <w:rPr>
          <w:lang w:val="fr-FR"/>
        </w:rPr>
        <w:t>’</w:t>
      </w:r>
      <w:r w:rsidRPr="00B65C71">
        <w:rPr>
          <w:lang w:val="fr-FR"/>
        </w:rPr>
        <w:t>autres véhicules qui répondent aux critères du paragraphe 7.1.4.1 et dont la masse de référence se situe dans les limites des deux classes d</w:t>
      </w:r>
      <w:r w:rsidR="00DB4C2D">
        <w:rPr>
          <w:lang w:val="fr-FR"/>
        </w:rPr>
        <w:t>’</w:t>
      </w:r>
      <w:r w:rsidRPr="00B65C71">
        <w:rPr>
          <w:lang w:val="fr-FR"/>
        </w:rPr>
        <w:t>inertie équivalente plus élevées ou dans toute autre classe d</w:t>
      </w:r>
      <w:r w:rsidR="00DB4C2D">
        <w:rPr>
          <w:lang w:val="fr-FR"/>
        </w:rPr>
        <w:t>’</w:t>
      </w:r>
      <w:r w:rsidRPr="00B65C71">
        <w:rPr>
          <w:lang w:val="fr-FR"/>
        </w:rPr>
        <w:t>inertie équivalente plus basse.</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t>7.1.5</w:t>
      </w:r>
      <w:r w:rsidRPr="00B65C71">
        <w:rPr>
          <w:rFonts w:eastAsia="Times New Roman"/>
          <w:lang w:val="fr-FR"/>
        </w:rPr>
        <w:tab/>
        <w:t>Extensions à d</w:t>
      </w:r>
      <w:r w:rsidR="00DB4C2D">
        <w:rPr>
          <w:rFonts w:eastAsia="Times New Roman"/>
          <w:lang w:val="fr-FR"/>
        </w:rPr>
        <w:t>’</w:t>
      </w:r>
      <w:r w:rsidRPr="00B65C71">
        <w:rPr>
          <w:rFonts w:eastAsia="Times New Roman"/>
          <w:lang w:val="fr-FR"/>
        </w:rPr>
        <w:t>autres véhicules</w:t>
      </w:r>
    </w:p>
    <w:p w:rsidR="00B65C71" w:rsidRPr="00B65C71" w:rsidRDefault="00B65C71" w:rsidP="00B65C71">
      <w:pPr>
        <w:pStyle w:val="SingleTxtG"/>
        <w:ind w:left="2268"/>
        <w:rPr>
          <w:rFonts w:eastAsia="Times New Roman"/>
          <w:lang w:val="fr-FR"/>
        </w:rPr>
      </w:pPr>
      <w:r w:rsidRPr="00B65C71">
        <w:rPr>
          <w:rFonts w:eastAsia="Times New Roman"/>
          <w:lang w:val="fr-FR"/>
        </w:rPr>
        <w:tab/>
      </w:r>
      <w:r w:rsidRPr="00B65C71">
        <w:rPr>
          <w:lang w:val="fr-FR"/>
        </w:rPr>
        <w:t>Lorsqu</w:t>
      </w:r>
      <w:r w:rsidR="00DB4C2D">
        <w:rPr>
          <w:lang w:val="fr-FR"/>
        </w:rPr>
        <w:t>’</w:t>
      </w:r>
      <w:r w:rsidRPr="00B65C71">
        <w:rPr>
          <w:lang w:val="fr-FR"/>
        </w:rPr>
        <w:t>une</w:t>
      </w:r>
      <w:r w:rsidRPr="00B65C71">
        <w:rPr>
          <w:rFonts w:eastAsia="Times New Roman"/>
          <w:lang w:val="fr-FR"/>
        </w:rPr>
        <w:t xml:space="preserve"> </w:t>
      </w:r>
      <w:r w:rsidRPr="00B65C71">
        <w:rPr>
          <w:lang w:val="fr-FR"/>
        </w:rPr>
        <w:t>homologation</w:t>
      </w:r>
      <w:r w:rsidRPr="00B65C71">
        <w:rPr>
          <w:rFonts w:eastAsia="Times New Roman"/>
          <w:lang w:val="fr-FR"/>
        </w:rPr>
        <w:t xml:space="preserve"> de type a été étendue conformément aux paragraphes 7.1.1 à 7.1.4.2, elle ne peut être étendue une nouvelle fois à d</w:t>
      </w:r>
      <w:r w:rsidR="00DB4C2D">
        <w:rPr>
          <w:rFonts w:eastAsia="Times New Roman"/>
          <w:lang w:val="fr-FR"/>
        </w:rPr>
        <w:t>’</w:t>
      </w:r>
      <w:r w:rsidRPr="00B65C71">
        <w:rPr>
          <w:rFonts w:eastAsia="Times New Roman"/>
          <w:lang w:val="fr-FR"/>
        </w:rPr>
        <w:t>autres véhicules.</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lastRenderedPageBreak/>
        <w:t>7.2</w:t>
      </w:r>
      <w:r w:rsidRPr="00B65C71">
        <w:rPr>
          <w:rFonts w:eastAsia="Times New Roman"/>
          <w:lang w:val="fr-FR"/>
        </w:rPr>
        <w:tab/>
        <w:t>Extensions pour les émissions par évaporation (essai du type IV)</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t>7.2.1</w:t>
      </w:r>
      <w:r w:rsidRPr="00B65C71">
        <w:rPr>
          <w:rFonts w:eastAsia="Times New Roman"/>
          <w:lang w:val="fr-FR"/>
        </w:rPr>
        <w:tab/>
        <w:t>L</w:t>
      </w:r>
      <w:r w:rsidR="00DB4C2D">
        <w:rPr>
          <w:rFonts w:eastAsia="Times New Roman"/>
          <w:lang w:val="fr-FR"/>
        </w:rPr>
        <w:t>’</w:t>
      </w:r>
      <w:r w:rsidRPr="00B65C71">
        <w:rPr>
          <w:rFonts w:eastAsia="Times New Roman"/>
          <w:lang w:val="fr-FR"/>
        </w:rPr>
        <w:t>homologation doit être étendue aux véhicules équipés d</w:t>
      </w:r>
      <w:r w:rsidR="00DB4C2D">
        <w:rPr>
          <w:rFonts w:eastAsia="Times New Roman"/>
          <w:lang w:val="fr-FR"/>
        </w:rPr>
        <w:t>’</w:t>
      </w:r>
      <w:r w:rsidRPr="00B65C71">
        <w:rPr>
          <w:rFonts w:eastAsia="Times New Roman"/>
          <w:lang w:val="fr-FR"/>
        </w:rPr>
        <w:t>un système de contrôle des émissions par évaporation qui satisfont aux conditions suivantes:</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7.2.1.1</w:t>
      </w:r>
      <w:r w:rsidRPr="00B65C71">
        <w:rPr>
          <w:rFonts w:eastAsia="Times New Roman"/>
          <w:lang w:val="fr-FR"/>
        </w:rPr>
        <w:tab/>
        <w:t xml:space="preserve">Le principe de base du système assurant le dosage du mélange air/carburant (par exemple, injection </w:t>
      </w:r>
      <w:proofErr w:type="spellStart"/>
      <w:r w:rsidRPr="00B65C71">
        <w:rPr>
          <w:rFonts w:eastAsia="Times New Roman"/>
          <w:lang w:val="fr-FR"/>
        </w:rPr>
        <w:t>monopoint</w:t>
      </w:r>
      <w:proofErr w:type="spellEnd"/>
      <w:r w:rsidRPr="00B65C71">
        <w:rPr>
          <w:rFonts w:eastAsia="Times New Roman"/>
          <w:lang w:val="fr-FR"/>
        </w:rPr>
        <w:t>) est le même;</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7.2.1.2</w:t>
      </w:r>
      <w:r w:rsidRPr="00B65C71">
        <w:rPr>
          <w:rFonts w:eastAsia="Times New Roman"/>
          <w:lang w:val="fr-FR"/>
        </w:rPr>
        <w:tab/>
        <w:t>La forme du réservoir de carburant ainsi que la matière dont sont faits le réservoir et les tuyauteries de carburant sont identiques;</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7.2.1.3</w:t>
      </w:r>
      <w:r w:rsidRPr="00B65C71">
        <w:rPr>
          <w:rFonts w:eastAsia="Times New Roman"/>
          <w:lang w:val="fr-FR"/>
        </w:rPr>
        <w:tab/>
        <w:t>La section et la longueur approximative des tuyauteries doivent être les mêmes dans le cas le plus défavorable pour un véhicule essayé. Le service technique responsable des essais d</w:t>
      </w:r>
      <w:r w:rsidR="00DB4C2D">
        <w:rPr>
          <w:rFonts w:eastAsia="Times New Roman"/>
          <w:lang w:val="fr-FR"/>
        </w:rPr>
        <w:t>’</w:t>
      </w:r>
      <w:r w:rsidRPr="00B65C71">
        <w:rPr>
          <w:rFonts w:eastAsia="Times New Roman"/>
          <w:lang w:val="fr-FR"/>
        </w:rPr>
        <w:t>homologation décide si des séparateurs vapeur/liquide différents sont acceptables;</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7.2.1.4</w:t>
      </w:r>
      <w:r w:rsidRPr="00B65C71">
        <w:rPr>
          <w:rFonts w:eastAsia="Times New Roman"/>
          <w:lang w:val="fr-FR"/>
        </w:rPr>
        <w:tab/>
        <w:t xml:space="preserve">Le volume du réservoir de carburant se situe dans une fourchette de </w:t>
      </w:r>
      <w:r w:rsidRPr="00B65C71">
        <w:rPr>
          <w:rFonts w:eastAsia="Times New Roman"/>
          <w:lang w:val="fr-FR"/>
        </w:rPr>
        <w:sym w:font="Symbol" w:char="F0B1"/>
      </w:r>
      <w:r w:rsidRPr="00B65C71">
        <w:rPr>
          <w:rFonts w:eastAsia="Times New Roman"/>
          <w:lang w:val="fr-FR"/>
        </w:rPr>
        <w:t>10 %;</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t>7.2.1.5</w:t>
      </w:r>
      <w:r w:rsidRPr="00B65C71">
        <w:rPr>
          <w:rFonts w:eastAsia="Times New Roman"/>
          <w:lang w:val="fr-FR"/>
        </w:rPr>
        <w:tab/>
        <w:t>Le réglage de la soupape de sécurité du réservoir de carburant est identique;</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7.2.1.6</w:t>
      </w:r>
      <w:r w:rsidRPr="00B65C71">
        <w:rPr>
          <w:rFonts w:eastAsia="Times New Roman"/>
          <w:lang w:val="fr-FR"/>
        </w:rPr>
        <w:tab/>
        <w:t>La méthode de stockage des vapeurs de carburant est identique, en ce qui concerne la forme et le volume du piège, le moyen de stockage, le filtre à air (s</w:t>
      </w:r>
      <w:r w:rsidR="00DB4C2D">
        <w:rPr>
          <w:rFonts w:eastAsia="Times New Roman"/>
          <w:lang w:val="fr-FR"/>
        </w:rPr>
        <w:t>’</w:t>
      </w:r>
      <w:r w:rsidRPr="00B65C71">
        <w:rPr>
          <w:rFonts w:eastAsia="Times New Roman"/>
          <w:lang w:val="fr-FR"/>
        </w:rPr>
        <w:t>il est utilisé pour réduire les émissions par évaporation), etc.</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7.2.1.7</w:t>
      </w:r>
      <w:r w:rsidRPr="00B65C71">
        <w:rPr>
          <w:rFonts w:eastAsia="Times New Roman"/>
          <w:lang w:val="fr-FR"/>
        </w:rPr>
        <w:tab/>
        <w:t xml:space="preserve">La méthode de purge des vapeurs de carburant stockées est identique (en ce qui concerne par exemple le débit, le point de départ ou le volume purgé durant le cycle de </w:t>
      </w:r>
      <w:proofErr w:type="spellStart"/>
      <w:r w:rsidRPr="00B65C71">
        <w:rPr>
          <w:rFonts w:eastAsia="Times New Roman"/>
          <w:lang w:val="fr-FR"/>
        </w:rPr>
        <w:t>préconditionnement</w:t>
      </w:r>
      <w:proofErr w:type="spellEnd"/>
      <w:r w:rsidRPr="00B65C71">
        <w:rPr>
          <w:rFonts w:eastAsia="Times New Roman"/>
          <w:lang w:val="fr-FR"/>
        </w:rPr>
        <w:t>); et</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7.2.1.8</w:t>
      </w:r>
      <w:r w:rsidRPr="00B65C71">
        <w:rPr>
          <w:rFonts w:eastAsia="Times New Roman"/>
          <w:lang w:val="fr-FR"/>
        </w:rPr>
        <w:tab/>
        <w:t>La méthode utilisée pour assurer l</w:t>
      </w:r>
      <w:r w:rsidR="00DB4C2D">
        <w:rPr>
          <w:rFonts w:eastAsia="Times New Roman"/>
          <w:lang w:val="fr-FR"/>
        </w:rPr>
        <w:t>’</w:t>
      </w:r>
      <w:r w:rsidRPr="00B65C71">
        <w:rPr>
          <w:rFonts w:eastAsia="Times New Roman"/>
          <w:lang w:val="fr-FR"/>
        </w:rPr>
        <w:t>étanchéité et la ventilation du dispositif de dosage de carburant est identique.</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t>7.2.2</w:t>
      </w:r>
      <w:r w:rsidRPr="00B65C71">
        <w:rPr>
          <w:rFonts w:eastAsia="Times New Roman"/>
          <w:lang w:val="fr-FR"/>
        </w:rPr>
        <w:tab/>
        <w:t>L</w:t>
      </w:r>
      <w:r w:rsidR="00DB4C2D">
        <w:rPr>
          <w:rFonts w:eastAsia="Times New Roman"/>
          <w:lang w:val="fr-FR"/>
        </w:rPr>
        <w:t>’</w:t>
      </w:r>
      <w:r w:rsidRPr="00B65C71">
        <w:rPr>
          <w:rFonts w:eastAsia="Times New Roman"/>
          <w:lang w:val="fr-FR"/>
        </w:rPr>
        <w:t>homologation de type doit être étendue aux véhicules:</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7.2.2.1</w:t>
      </w:r>
      <w:r w:rsidRPr="00B65C71">
        <w:rPr>
          <w:rFonts w:eastAsia="Times New Roman"/>
          <w:lang w:val="fr-FR"/>
        </w:rPr>
        <w:tab/>
        <w:t>Équipés de moteurs de cylindrées différentes;</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7.2.2.2</w:t>
      </w:r>
      <w:r w:rsidRPr="00B65C71">
        <w:rPr>
          <w:rFonts w:eastAsia="Times New Roman"/>
          <w:lang w:val="fr-FR"/>
        </w:rPr>
        <w:tab/>
        <w:t>Équipés de moteurs de puissances différentes;</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7.2.2.3</w:t>
      </w:r>
      <w:r w:rsidRPr="00B65C71">
        <w:rPr>
          <w:rFonts w:eastAsia="Times New Roman"/>
          <w:lang w:val="fr-FR"/>
        </w:rPr>
        <w:tab/>
        <w:t>Équipés d</w:t>
      </w:r>
      <w:r w:rsidR="00DB4C2D">
        <w:rPr>
          <w:rFonts w:eastAsia="Times New Roman"/>
          <w:lang w:val="fr-FR"/>
        </w:rPr>
        <w:t>’</w:t>
      </w:r>
      <w:r w:rsidRPr="00B65C71">
        <w:rPr>
          <w:rFonts w:eastAsia="Times New Roman"/>
          <w:lang w:val="fr-FR"/>
        </w:rPr>
        <w:t>une boîte de vitesses automatique ou manuelle;</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7.2.2.4</w:t>
      </w:r>
      <w:r w:rsidRPr="00B65C71">
        <w:rPr>
          <w:rFonts w:eastAsia="Times New Roman"/>
          <w:lang w:val="fr-FR"/>
        </w:rPr>
        <w:tab/>
        <w:t>Équipés d</w:t>
      </w:r>
      <w:r w:rsidR="00DB4C2D">
        <w:rPr>
          <w:rFonts w:eastAsia="Times New Roman"/>
          <w:lang w:val="fr-FR"/>
        </w:rPr>
        <w:t>’</w:t>
      </w:r>
      <w:r w:rsidRPr="00B65C71">
        <w:rPr>
          <w:rFonts w:eastAsia="Times New Roman"/>
          <w:lang w:val="fr-FR"/>
        </w:rPr>
        <w:t>une transmission à deux ou quatre roues motrices;</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7.2.2.5</w:t>
      </w:r>
      <w:r w:rsidRPr="00B65C71">
        <w:rPr>
          <w:rFonts w:eastAsia="Times New Roman"/>
          <w:lang w:val="fr-FR"/>
        </w:rPr>
        <w:tab/>
        <w:t>Présentant des styles de carrosserie différents; et</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7.2.2.6</w:t>
      </w:r>
      <w:r w:rsidRPr="00B65C71">
        <w:rPr>
          <w:rFonts w:eastAsia="Times New Roman"/>
          <w:lang w:val="fr-FR"/>
        </w:rPr>
        <w:tab/>
        <w:t>Équipés de roues et de pneumatiques de tailles différentes.</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t>7.3</w:t>
      </w:r>
      <w:r w:rsidRPr="00B65C71">
        <w:rPr>
          <w:rFonts w:eastAsia="Times New Roman"/>
          <w:lang w:val="fr-FR"/>
        </w:rPr>
        <w:tab/>
        <w:t>Extensions relatives à la durabilité des dispositifs antipollution</w:t>
      </w:r>
      <w:r>
        <w:rPr>
          <w:rFonts w:eastAsia="Times New Roman"/>
          <w:lang w:val="fr-FR"/>
        </w:rPr>
        <w:t xml:space="preserve"> (essai du </w:t>
      </w:r>
      <w:r w:rsidRPr="00B65C71">
        <w:rPr>
          <w:rFonts w:eastAsia="Times New Roman"/>
          <w:lang w:val="fr-FR"/>
        </w:rPr>
        <w:t>type V)</w:t>
      </w:r>
    </w:p>
    <w:p w:rsidR="00B65C71" w:rsidRPr="00B65C71" w:rsidRDefault="00B65C71" w:rsidP="00B65C71">
      <w:pPr>
        <w:pStyle w:val="SingleTxtG"/>
        <w:spacing w:before="120"/>
        <w:ind w:left="2268" w:hanging="1134"/>
        <w:rPr>
          <w:rFonts w:eastAsia="Times New Roman"/>
          <w:lang w:val="fr-FR"/>
        </w:rPr>
      </w:pPr>
      <w:r w:rsidRPr="00B65C71">
        <w:rPr>
          <w:rFonts w:eastAsia="Times New Roman"/>
          <w:lang w:val="fr-FR"/>
        </w:rPr>
        <w:t>7.3.1</w:t>
      </w:r>
      <w:r w:rsidRPr="00B65C71">
        <w:rPr>
          <w:rFonts w:eastAsia="Times New Roman"/>
          <w:lang w:val="fr-FR"/>
        </w:rPr>
        <w:tab/>
        <w:t>L</w:t>
      </w:r>
      <w:r w:rsidR="00DB4C2D">
        <w:rPr>
          <w:rFonts w:eastAsia="Times New Roman"/>
          <w:lang w:val="fr-FR"/>
        </w:rPr>
        <w:t>’</w:t>
      </w:r>
      <w:r w:rsidRPr="00B65C71">
        <w:rPr>
          <w:rFonts w:eastAsia="Times New Roman"/>
          <w:lang w:val="fr-FR"/>
        </w:rPr>
        <w:t>homologation doit être étendue à différents types de véhicules à condition que le véhicule, le moteur ou le dispositif antipollution soit identique ou reste dans les tolérances indiquées:</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t>7.3.1.1</w:t>
      </w:r>
      <w:r w:rsidRPr="00B65C71">
        <w:rPr>
          <w:rFonts w:eastAsia="Times New Roman"/>
          <w:lang w:val="fr-FR"/>
        </w:rPr>
        <w:tab/>
        <w:t>Véhicule:</w:t>
      </w:r>
    </w:p>
    <w:p w:rsidR="00B65C71" w:rsidRPr="00B65C71" w:rsidRDefault="00B65C71" w:rsidP="00B65C71">
      <w:pPr>
        <w:kinsoku/>
        <w:overflowPunct/>
        <w:autoSpaceDE/>
        <w:autoSpaceDN/>
        <w:adjustRightInd/>
        <w:snapToGrid/>
        <w:spacing w:after="120"/>
        <w:ind w:left="2268" w:right="1134"/>
        <w:jc w:val="both"/>
        <w:rPr>
          <w:rFonts w:eastAsia="Times New Roman"/>
          <w:lang w:val="fr-FR"/>
        </w:rPr>
      </w:pPr>
      <w:r w:rsidRPr="00B65C71">
        <w:rPr>
          <w:rFonts w:eastAsia="Times New Roman"/>
          <w:lang w:val="fr-FR"/>
        </w:rPr>
        <w:tab/>
        <w:t>Classe d</w:t>
      </w:r>
      <w:r w:rsidR="00DB4C2D">
        <w:rPr>
          <w:rFonts w:eastAsia="Times New Roman"/>
          <w:lang w:val="fr-FR"/>
        </w:rPr>
        <w:t>’</w:t>
      </w:r>
      <w:r w:rsidRPr="00B65C71">
        <w:rPr>
          <w:rFonts w:eastAsia="Times New Roman"/>
          <w:lang w:val="fr-FR"/>
        </w:rPr>
        <w:t>inertie: les deux classes immédiatement supérieures et toute classe inférieure.</w:t>
      </w:r>
    </w:p>
    <w:p w:rsidR="00B65C71" w:rsidRPr="00B65C71" w:rsidRDefault="00B65C71" w:rsidP="00B65C71">
      <w:pPr>
        <w:kinsoku/>
        <w:overflowPunct/>
        <w:autoSpaceDE/>
        <w:autoSpaceDN/>
        <w:adjustRightInd/>
        <w:snapToGrid/>
        <w:spacing w:after="120"/>
        <w:ind w:left="2268" w:right="1134"/>
        <w:jc w:val="both"/>
        <w:rPr>
          <w:rFonts w:eastAsia="Times New Roman"/>
          <w:lang w:val="fr-FR"/>
        </w:rPr>
      </w:pPr>
      <w:r w:rsidRPr="00B65C71">
        <w:rPr>
          <w:rFonts w:eastAsia="Times New Roman"/>
          <w:lang w:val="fr-FR"/>
        </w:rPr>
        <w:tab/>
        <w:t>Résistance totale à l</w:t>
      </w:r>
      <w:r w:rsidR="00DB4C2D">
        <w:rPr>
          <w:rFonts w:eastAsia="Times New Roman"/>
          <w:lang w:val="fr-FR"/>
        </w:rPr>
        <w:t>’</w:t>
      </w:r>
      <w:r w:rsidRPr="00B65C71">
        <w:rPr>
          <w:rFonts w:eastAsia="Times New Roman"/>
          <w:lang w:val="fr-FR"/>
        </w:rPr>
        <w:t>avancement à 80 km/h + 5 % au-dessus et à une valeur quelconque au-dessous.</w:t>
      </w:r>
    </w:p>
    <w:p w:rsidR="00B65C71" w:rsidRPr="00B65C71" w:rsidRDefault="00B65C71" w:rsidP="00B65C71">
      <w:pPr>
        <w:pStyle w:val="SingleTxtG"/>
        <w:keepNext/>
        <w:spacing w:before="120"/>
        <w:ind w:left="2268" w:hanging="1134"/>
        <w:rPr>
          <w:rFonts w:eastAsia="Times New Roman"/>
          <w:lang w:val="fr-FR"/>
        </w:rPr>
      </w:pPr>
      <w:r w:rsidRPr="00B65C71">
        <w:rPr>
          <w:rFonts w:eastAsia="Times New Roman"/>
          <w:lang w:val="fr-FR"/>
        </w:rPr>
        <w:t>7.3.1.2</w:t>
      </w:r>
      <w:r w:rsidRPr="00B65C71">
        <w:rPr>
          <w:rFonts w:eastAsia="Times New Roman"/>
          <w:lang w:val="fr-FR"/>
        </w:rPr>
        <w:tab/>
        <w:t>Moteur:</w:t>
      </w:r>
    </w:p>
    <w:p w:rsidR="00B65C71" w:rsidRPr="00B65C71" w:rsidRDefault="00B65C71" w:rsidP="001A03EB">
      <w:pPr>
        <w:pStyle w:val="SingleTxtG"/>
        <w:ind w:left="2268"/>
        <w:rPr>
          <w:lang w:val="fr-FR"/>
        </w:rPr>
      </w:pPr>
      <w:r w:rsidRPr="00B65C71">
        <w:rPr>
          <w:lang w:val="fr-FR"/>
        </w:rPr>
        <w:t>a)</w:t>
      </w:r>
      <w:r w:rsidRPr="00B65C71">
        <w:rPr>
          <w:lang w:val="fr-FR"/>
        </w:rPr>
        <w:tab/>
        <w:t>Cylindrée (</w:t>
      </w:r>
      <w:r w:rsidRPr="00B65C71">
        <w:rPr>
          <w:lang w:val="fr-FR"/>
        </w:rPr>
        <w:sym w:font="Symbol" w:char="F0B1"/>
      </w:r>
      <w:r w:rsidRPr="00B65C71">
        <w:rPr>
          <w:lang w:val="fr-FR"/>
        </w:rPr>
        <w:t>15 %);</w:t>
      </w:r>
    </w:p>
    <w:p w:rsidR="00B65C71" w:rsidRPr="00B65C71" w:rsidRDefault="00B65C71" w:rsidP="001A03EB">
      <w:pPr>
        <w:pStyle w:val="SingleTxtG"/>
        <w:ind w:left="2268"/>
        <w:rPr>
          <w:rFonts w:eastAsia="Times New Roman"/>
          <w:lang w:val="fr-FR"/>
        </w:rPr>
      </w:pPr>
      <w:r w:rsidRPr="00B65C71">
        <w:rPr>
          <w:rFonts w:eastAsia="Times New Roman"/>
          <w:lang w:val="fr-FR"/>
        </w:rPr>
        <w:t>b)</w:t>
      </w:r>
      <w:r w:rsidRPr="00B65C71">
        <w:rPr>
          <w:rFonts w:eastAsia="Times New Roman"/>
          <w:lang w:val="fr-FR"/>
        </w:rPr>
        <w:tab/>
      </w:r>
      <w:r w:rsidRPr="001A03EB">
        <w:rPr>
          <w:lang w:val="fr-FR"/>
        </w:rPr>
        <w:t>Nombre</w:t>
      </w:r>
      <w:r w:rsidRPr="00B65C71">
        <w:rPr>
          <w:rFonts w:eastAsia="Times New Roman"/>
          <w:lang w:val="fr-FR"/>
        </w:rPr>
        <w:t xml:space="preserve"> et commande des soupapes;</w:t>
      </w:r>
    </w:p>
    <w:p w:rsidR="00B65C71" w:rsidRPr="00B65C71" w:rsidRDefault="00B65C71" w:rsidP="001A03EB">
      <w:pPr>
        <w:pStyle w:val="SingleTxtG"/>
        <w:ind w:left="2268"/>
        <w:rPr>
          <w:rFonts w:eastAsia="Times New Roman"/>
          <w:lang w:val="fr-FR"/>
        </w:rPr>
      </w:pPr>
      <w:r w:rsidRPr="00B65C71">
        <w:rPr>
          <w:rFonts w:eastAsia="Times New Roman"/>
          <w:lang w:val="fr-FR"/>
        </w:rPr>
        <w:lastRenderedPageBreak/>
        <w:t>c)</w:t>
      </w:r>
      <w:r w:rsidRPr="00B65C71">
        <w:rPr>
          <w:rFonts w:eastAsia="Times New Roman"/>
          <w:lang w:val="fr-FR"/>
        </w:rPr>
        <w:tab/>
        <w:t xml:space="preserve">Système </w:t>
      </w:r>
      <w:r w:rsidRPr="001A03EB">
        <w:rPr>
          <w:lang w:val="fr-FR"/>
        </w:rPr>
        <w:t>d</w:t>
      </w:r>
      <w:r w:rsidR="00DB4C2D">
        <w:rPr>
          <w:lang w:val="fr-FR"/>
        </w:rPr>
        <w:t>’</w:t>
      </w:r>
      <w:r w:rsidRPr="001A03EB">
        <w:rPr>
          <w:lang w:val="fr-FR"/>
        </w:rPr>
        <w:t>alimentation</w:t>
      </w:r>
      <w:r w:rsidRPr="00B65C71">
        <w:rPr>
          <w:rFonts w:eastAsia="Times New Roman"/>
          <w:lang w:val="fr-FR"/>
        </w:rPr>
        <w:t xml:space="preserve"> en carburant;</w:t>
      </w:r>
    </w:p>
    <w:p w:rsidR="00B65C71" w:rsidRPr="00B65C71" w:rsidRDefault="00B65C71" w:rsidP="001A03EB">
      <w:pPr>
        <w:pStyle w:val="SingleTxtG"/>
        <w:ind w:left="2268"/>
        <w:rPr>
          <w:rFonts w:eastAsia="Times New Roman"/>
          <w:lang w:val="fr-FR"/>
        </w:rPr>
      </w:pPr>
      <w:r w:rsidRPr="00B65C71">
        <w:rPr>
          <w:rFonts w:eastAsia="Times New Roman"/>
          <w:lang w:val="fr-FR"/>
        </w:rPr>
        <w:t>d)</w:t>
      </w:r>
      <w:r w:rsidRPr="00B65C71">
        <w:rPr>
          <w:rFonts w:eastAsia="Times New Roman"/>
          <w:lang w:val="fr-FR"/>
        </w:rPr>
        <w:tab/>
        <w:t xml:space="preserve">Type de </w:t>
      </w:r>
      <w:r w:rsidRPr="001A03EB">
        <w:rPr>
          <w:lang w:val="fr-FR"/>
        </w:rPr>
        <w:t>système</w:t>
      </w:r>
      <w:r w:rsidRPr="00B65C71">
        <w:rPr>
          <w:rFonts w:eastAsia="Times New Roman"/>
          <w:lang w:val="fr-FR"/>
        </w:rPr>
        <w:t xml:space="preserve"> de refroidissement; et</w:t>
      </w:r>
    </w:p>
    <w:p w:rsidR="00B65C71" w:rsidRPr="00B65C71" w:rsidRDefault="00B65C71" w:rsidP="001A03EB">
      <w:pPr>
        <w:pStyle w:val="SingleTxtG"/>
        <w:ind w:left="2268"/>
        <w:rPr>
          <w:rFonts w:eastAsia="Times New Roman"/>
          <w:lang w:val="fr-FR"/>
        </w:rPr>
      </w:pPr>
      <w:r w:rsidRPr="00B65C71">
        <w:rPr>
          <w:rFonts w:eastAsia="Times New Roman"/>
          <w:lang w:val="fr-FR"/>
        </w:rPr>
        <w:t>e)</w:t>
      </w:r>
      <w:r w:rsidRPr="00B65C71">
        <w:rPr>
          <w:rFonts w:eastAsia="Times New Roman"/>
          <w:lang w:val="fr-FR"/>
        </w:rPr>
        <w:tab/>
        <w:t xml:space="preserve">Procédé de </w:t>
      </w:r>
      <w:r w:rsidRPr="001A03EB">
        <w:rPr>
          <w:lang w:val="fr-FR"/>
        </w:rPr>
        <w:t>combustion</w:t>
      </w:r>
      <w:r w:rsidRPr="00B65C71">
        <w:rPr>
          <w:rFonts w:eastAsia="Times New Roman"/>
          <w:lang w:val="fr-FR"/>
        </w:rPr>
        <w:t>.</w:t>
      </w:r>
    </w:p>
    <w:p w:rsidR="00B65C71" w:rsidRPr="00B65C71" w:rsidRDefault="00B65C71" w:rsidP="001A03EB">
      <w:pPr>
        <w:pStyle w:val="SingleTxtG"/>
        <w:keepNext/>
        <w:spacing w:before="120"/>
        <w:ind w:left="2268" w:hanging="1134"/>
        <w:rPr>
          <w:rFonts w:eastAsia="Times New Roman"/>
          <w:lang w:val="fr-FR"/>
        </w:rPr>
      </w:pPr>
      <w:r w:rsidRPr="00B65C71">
        <w:rPr>
          <w:rFonts w:eastAsia="Times New Roman"/>
          <w:lang w:val="fr-FR"/>
        </w:rPr>
        <w:t>7.3.1.3</w:t>
      </w:r>
      <w:r w:rsidRPr="00B65C71">
        <w:rPr>
          <w:rFonts w:eastAsia="Times New Roman"/>
          <w:lang w:val="fr-FR"/>
        </w:rPr>
        <w:tab/>
        <w:t>Paramètres du système antipollution:</w:t>
      </w:r>
    </w:p>
    <w:p w:rsidR="00B65C71" w:rsidRPr="00B65C71" w:rsidRDefault="00B65C71" w:rsidP="001A03EB">
      <w:pPr>
        <w:pStyle w:val="SingleTxtG"/>
        <w:keepNext/>
        <w:ind w:left="2268"/>
        <w:rPr>
          <w:rFonts w:eastAsia="Times New Roman"/>
          <w:lang w:val="fr-FR"/>
        </w:rPr>
      </w:pPr>
      <w:r w:rsidRPr="00B65C71">
        <w:rPr>
          <w:rFonts w:eastAsia="Times New Roman"/>
          <w:lang w:val="fr-FR"/>
        </w:rPr>
        <w:t>a)</w:t>
      </w:r>
      <w:r w:rsidRPr="00B65C71">
        <w:rPr>
          <w:rFonts w:eastAsia="Times New Roman"/>
          <w:lang w:val="fr-FR"/>
        </w:rPr>
        <w:tab/>
      </w:r>
      <w:r w:rsidRPr="001A03EB">
        <w:rPr>
          <w:lang w:val="fr-FR"/>
        </w:rPr>
        <w:t>Convertisseurs</w:t>
      </w:r>
      <w:r w:rsidRPr="00B65C71">
        <w:rPr>
          <w:rFonts w:eastAsia="Times New Roman"/>
          <w:lang w:val="fr-FR"/>
        </w:rPr>
        <w:t xml:space="preserve"> catalytiques et filtres à particules:</w:t>
      </w:r>
    </w:p>
    <w:p w:rsidR="00B65C71" w:rsidRPr="00B65C71" w:rsidRDefault="00B65C71" w:rsidP="001A03EB">
      <w:pPr>
        <w:pStyle w:val="SingleTxtG"/>
        <w:ind w:left="3402" w:hanging="567"/>
        <w:rPr>
          <w:lang w:val="fr-FR"/>
        </w:rPr>
      </w:pPr>
      <w:r w:rsidRPr="00B65C71">
        <w:rPr>
          <w:lang w:val="fr-FR"/>
        </w:rPr>
        <w:t>i)</w:t>
      </w:r>
      <w:r w:rsidRPr="00B65C71">
        <w:rPr>
          <w:lang w:val="fr-FR"/>
        </w:rPr>
        <w:tab/>
        <w:t xml:space="preserve">Nombre </w:t>
      </w:r>
      <w:r w:rsidRPr="001A03EB">
        <w:rPr>
          <w:rFonts w:eastAsia="Times New Roman"/>
          <w:lang w:val="fr-FR"/>
        </w:rPr>
        <w:t>de</w:t>
      </w:r>
      <w:r w:rsidRPr="00B65C71">
        <w:rPr>
          <w:lang w:val="fr-FR"/>
        </w:rPr>
        <w:t xml:space="preserve"> convertisseurs catalytiques, de filtres et d</w:t>
      </w:r>
      <w:r w:rsidR="00DB4C2D">
        <w:rPr>
          <w:lang w:val="fr-FR"/>
        </w:rPr>
        <w:t>’</w:t>
      </w:r>
      <w:r w:rsidRPr="00B65C71">
        <w:rPr>
          <w:lang w:val="fr-FR"/>
        </w:rPr>
        <w:t>éléments;</w:t>
      </w:r>
    </w:p>
    <w:p w:rsidR="00B65C71" w:rsidRPr="00B65C71" w:rsidRDefault="00B65C71" w:rsidP="001A03EB">
      <w:pPr>
        <w:pStyle w:val="SingleTxtG"/>
        <w:ind w:left="3402" w:hanging="567"/>
        <w:rPr>
          <w:rFonts w:eastAsia="Times New Roman"/>
          <w:lang w:val="fr-FR"/>
        </w:rPr>
      </w:pPr>
      <w:r w:rsidRPr="00B65C71">
        <w:rPr>
          <w:rFonts w:eastAsia="Times New Roman"/>
          <w:lang w:val="fr-FR"/>
        </w:rPr>
        <w:t>ii)</w:t>
      </w:r>
      <w:r w:rsidRPr="00B65C71">
        <w:rPr>
          <w:rFonts w:eastAsia="Times New Roman"/>
          <w:lang w:val="fr-FR"/>
        </w:rPr>
        <w:tab/>
        <w:t xml:space="preserve">Dimension des convertisseurs catalytiques et des filtres (volume de monolithe </w:t>
      </w:r>
      <w:r w:rsidRPr="00B65C71">
        <w:rPr>
          <w:rFonts w:eastAsia="Times New Roman"/>
          <w:lang w:val="fr-FR"/>
        </w:rPr>
        <w:sym w:font="Symbol" w:char="F0B1"/>
      </w:r>
      <w:r w:rsidRPr="00B65C71">
        <w:rPr>
          <w:rFonts w:eastAsia="Times New Roman"/>
          <w:lang w:val="fr-FR"/>
        </w:rPr>
        <w:t>10 %);</w:t>
      </w:r>
    </w:p>
    <w:p w:rsidR="00B65C71" w:rsidRPr="00B65C71" w:rsidRDefault="00B65C71" w:rsidP="001A03EB">
      <w:pPr>
        <w:pStyle w:val="SingleTxtG"/>
        <w:ind w:left="3402" w:hanging="567"/>
        <w:rPr>
          <w:rFonts w:eastAsia="Times New Roman"/>
          <w:lang w:val="fr-FR"/>
        </w:rPr>
      </w:pPr>
      <w:r w:rsidRPr="00B65C71">
        <w:rPr>
          <w:rFonts w:eastAsia="Times New Roman"/>
          <w:lang w:val="fr-FR"/>
        </w:rPr>
        <w:t>iii)</w:t>
      </w:r>
      <w:r w:rsidRPr="00B65C71">
        <w:rPr>
          <w:rFonts w:eastAsia="Times New Roman"/>
          <w:lang w:val="fr-FR"/>
        </w:rPr>
        <w:tab/>
        <w:t>Type d</w:t>
      </w:r>
      <w:r w:rsidR="00DB4C2D">
        <w:rPr>
          <w:rFonts w:eastAsia="Times New Roman"/>
          <w:lang w:val="fr-FR"/>
        </w:rPr>
        <w:t>’</w:t>
      </w:r>
      <w:r w:rsidRPr="00B65C71">
        <w:rPr>
          <w:rFonts w:eastAsia="Times New Roman"/>
          <w:lang w:val="fr-FR"/>
        </w:rPr>
        <w:t xml:space="preserve">activité catalytique (oxydation, trois voies, piège à </w:t>
      </w:r>
      <w:proofErr w:type="spellStart"/>
      <w:r w:rsidRPr="00B65C71">
        <w:rPr>
          <w:rFonts w:eastAsia="Times New Roman"/>
          <w:lang w:val="fr-FR"/>
        </w:rPr>
        <w:t>NO</w:t>
      </w:r>
      <w:r w:rsidRPr="00B65C71">
        <w:rPr>
          <w:rFonts w:eastAsia="Times New Roman"/>
          <w:vertAlign w:val="subscript"/>
          <w:lang w:val="fr-FR"/>
        </w:rPr>
        <w:t>x</w:t>
      </w:r>
      <w:proofErr w:type="spellEnd"/>
      <w:r w:rsidRPr="00B65C71">
        <w:rPr>
          <w:rFonts w:eastAsia="Times New Roman"/>
          <w:lang w:val="fr-FR"/>
        </w:rPr>
        <w:t xml:space="preserve"> à mélange pauvre, réduction sélective catalytique (SCR), catalyseur de </w:t>
      </w:r>
      <w:proofErr w:type="spellStart"/>
      <w:r w:rsidRPr="00B65C71">
        <w:rPr>
          <w:rFonts w:eastAsia="Times New Roman"/>
          <w:lang w:val="fr-FR"/>
        </w:rPr>
        <w:t>NO</w:t>
      </w:r>
      <w:r w:rsidRPr="00B65C71">
        <w:rPr>
          <w:rFonts w:eastAsia="Times New Roman"/>
          <w:vertAlign w:val="subscript"/>
          <w:lang w:val="fr-FR"/>
        </w:rPr>
        <w:t>x</w:t>
      </w:r>
      <w:proofErr w:type="spellEnd"/>
      <w:r w:rsidRPr="00B65C71">
        <w:rPr>
          <w:rFonts w:eastAsia="Times New Roman"/>
          <w:lang w:val="fr-FR"/>
        </w:rPr>
        <w:t xml:space="preserve"> à mélange pauvre ou autre);</w:t>
      </w:r>
    </w:p>
    <w:p w:rsidR="00B65C71" w:rsidRPr="00B65C71" w:rsidRDefault="00B65C71" w:rsidP="001A03EB">
      <w:pPr>
        <w:pStyle w:val="SingleTxtG"/>
        <w:ind w:left="3402" w:hanging="567"/>
        <w:rPr>
          <w:rFonts w:eastAsia="Times New Roman"/>
          <w:lang w:val="fr-FR"/>
        </w:rPr>
      </w:pPr>
      <w:r w:rsidRPr="00B65C71">
        <w:rPr>
          <w:rFonts w:eastAsia="Times New Roman"/>
          <w:lang w:val="fr-FR"/>
        </w:rPr>
        <w:t>iv)</w:t>
      </w:r>
      <w:r w:rsidRPr="00B65C71">
        <w:rPr>
          <w:rFonts w:eastAsia="Times New Roman"/>
          <w:lang w:val="fr-FR"/>
        </w:rPr>
        <w:tab/>
        <w:t>Charge en métaux précieux (identique ou supérieure);</w:t>
      </w:r>
    </w:p>
    <w:p w:rsidR="00B65C71" w:rsidRPr="00B65C71" w:rsidRDefault="00B65C71" w:rsidP="001A03EB">
      <w:pPr>
        <w:pStyle w:val="SingleTxtG"/>
        <w:ind w:left="3402" w:hanging="567"/>
        <w:rPr>
          <w:rFonts w:eastAsia="Times New Roman"/>
          <w:lang w:val="fr-FR"/>
        </w:rPr>
      </w:pPr>
      <w:r w:rsidRPr="00B65C71">
        <w:rPr>
          <w:rFonts w:eastAsia="Times New Roman"/>
          <w:lang w:val="fr-FR"/>
        </w:rPr>
        <w:t>v)</w:t>
      </w:r>
      <w:r w:rsidRPr="00B65C71">
        <w:rPr>
          <w:rFonts w:eastAsia="Times New Roman"/>
          <w:lang w:val="fr-FR"/>
        </w:rPr>
        <w:tab/>
        <w:t>Type de métaux précieux et rapport (</w:t>
      </w:r>
      <w:r w:rsidRPr="00B65C71">
        <w:rPr>
          <w:rFonts w:eastAsia="Times New Roman"/>
          <w:lang w:val="fr-FR"/>
        </w:rPr>
        <w:sym w:font="Symbol" w:char="F0B1"/>
      </w:r>
      <w:r w:rsidRPr="00B65C71">
        <w:rPr>
          <w:rFonts w:eastAsia="Times New Roman"/>
          <w:lang w:val="fr-FR"/>
        </w:rPr>
        <w:t>15 %);</w:t>
      </w:r>
    </w:p>
    <w:p w:rsidR="00B65C71" w:rsidRPr="00B65C71" w:rsidRDefault="00B65C71" w:rsidP="001A03EB">
      <w:pPr>
        <w:pStyle w:val="SingleTxtG"/>
        <w:ind w:left="3402" w:hanging="567"/>
        <w:rPr>
          <w:rFonts w:eastAsia="Times New Roman"/>
          <w:lang w:val="fr-FR"/>
        </w:rPr>
      </w:pPr>
      <w:r w:rsidRPr="00B65C71">
        <w:rPr>
          <w:rFonts w:eastAsia="Times New Roman"/>
          <w:lang w:val="fr-FR"/>
        </w:rPr>
        <w:t>vi)</w:t>
      </w:r>
      <w:r w:rsidRPr="00B65C71">
        <w:rPr>
          <w:rFonts w:eastAsia="Times New Roman"/>
          <w:lang w:val="fr-FR"/>
        </w:rPr>
        <w:tab/>
        <w:t>Substrat (structure et matériau);</w:t>
      </w:r>
    </w:p>
    <w:p w:rsidR="00B65C71" w:rsidRPr="00B65C71" w:rsidRDefault="00B65C71" w:rsidP="001A03EB">
      <w:pPr>
        <w:pStyle w:val="SingleTxtG"/>
        <w:ind w:left="3402" w:hanging="567"/>
        <w:rPr>
          <w:rFonts w:eastAsia="Times New Roman"/>
          <w:lang w:val="fr-FR"/>
        </w:rPr>
      </w:pPr>
      <w:r w:rsidRPr="00B65C71">
        <w:rPr>
          <w:rFonts w:eastAsia="Times New Roman"/>
          <w:lang w:val="fr-FR"/>
        </w:rPr>
        <w:t>vii)</w:t>
      </w:r>
      <w:r w:rsidRPr="00B65C71">
        <w:rPr>
          <w:rFonts w:eastAsia="Times New Roman"/>
          <w:lang w:val="fr-FR"/>
        </w:rPr>
        <w:tab/>
        <w:t>Densité alvéolaire; et</w:t>
      </w:r>
    </w:p>
    <w:p w:rsidR="00B65C71" w:rsidRPr="00B65C71" w:rsidRDefault="00B65C71" w:rsidP="001A03EB">
      <w:pPr>
        <w:pStyle w:val="SingleTxtG"/>
        <w:ind w:left="3402" w:hanging="567"/>
        <w:rPr>
          <w:rFonts w:eastAsia="Times New Roman"/>
          <w:lang w:val="fr-FR"/>
        </w:rPr>
      </w:pPr>
      <w:r w:rsidRPr="00B65C71">
        <w:rPr>
          <w:rFonts w:eastAsia="Times New Roman"/>
          <w:lang w:val="fr-FR"/>
        </w:rPr>
        <w:t>viii)</w:t>
      </w:r>
      <w:r w:rsidRPr="00B65C71">
        <w:rPr>
          <w:rFonts w:eastAsia="Times New Roman"/>
          <w:lang w:val="fr-FR"/>
        </w:rPr>
        <w:tab/>
        <w:t>Variation de température ne dépassant pas 50 K à l</w:t>
      </w:r>
      <w:r w:rsidR="00DB4C2D">
        <w:rPr>
          <w:rFonts w:eastAsia="Times New Roman"/>
          <w:lang w:val="fr-FR"/>
        </w:rPr>
        <w:t>’</w:t>
      </w:r>
      <w:r w:rsidRPr="00B65C71">
        <w:rPr>
          <w:rFonts w:eastAsia="Times New Roman"/>
          <w:lang w:val="fr-FR"/>
        </w:rPr>
        <w:t>entrée du convertisseur catalytique ou du filtre. Cette variation de température est contrôlée dans des conditions stables à une vitesse de 120 km/h et avec un réglage de freins correspondant à l</w:t>
      </w:r>
      <w:r w:rsidR="00DB4C2D">
        <w:rPr>
          <w:rFonts w:eastAsia="Times New Roman"/>
          <w:lang w:val="fr-FR"/>
        </w:rPr>
        <w:t>’</w:t>
      </w:r>
      <w:r w:rsidRPr="00B65C71">
        <w:rPr>
          <w:rFonts w:eastAsia="Times New Roman"/>
          <w:lang w:val="fr-FR"/>
        </w:rPr>
        <w:t>essai du type I;</w:t>
      </w:r>
    </w:p>
    <w:p w:rsidR="00B65C71" w:rsidRPr="00B65C71" w:rsidRDefault="00B65C71" w:rsidP="001A03EB">
      <w:pPr>
        <w:pStyle w:val="SingleTxtG"/>
        <w:keepNext/>
        <w:ind w:left="2268"/>
        <w:rPr>
          <w:rFonts w:eastAsia="Times New Roman"/>
          <w:lang w:val="fr-FR"/>
        </w:rPr>
      </w:pPr>
      <w:r w:rsidRPr="00B65C71">
        <w:rPr>
          <w:rFonts w:eastAsia="Times New Roman"/>
          <w:lang w:val="fr-FR"/>
        </w:rPr>
        <w:t>b)</w:t>
      </w:r>
      <w:r w:rsidRPr="00B65C71">
        <w:rPr>
          <w:rFonts w:eastAsia="Times New Roman"/>
          <w:lang w:val="fr-FR"/>
        </w:rPr>
        <w:tab/>
        <w:t xml:space="preserve">Injection </w:t>
      </w:r>
      <w:r w:rsidRPr="001A03EB">
        <w:rPr>
          <w:lang w:val="fr-FR"/>
        </w:rPr>
        <w:t>d</w:t>
      </w:r>
      <w:r w:rsidR="00DB4C2D">
        <w:rPr>
          <w:lang w:val="fr-FR"/>
        </w:rPr>
        <w:t>’</w:t>
      </w:r>
      <w:r w:rsidRPr="001A03EB">
        <w:rPr>
          <w:lang w:val="fr-FR"/>
        </w:rPr>
        <w:t>air</w:t>
      </w:r>
      <w:r w:rsidRPr="00B65C71">
        <w:rPr>
          <w:rFonts w:eastAsia="Times New Roman"/>
          <w:lang w:val="fr-FR"/>
        </w:rPr>
        <w:t>:</w:t>
      </w:r>
    </w:p>
    <w:p w:rsidR="00B65C71" w:rsidRPr="00B65C71" w:rsidRDefault="00B65C71" w:rsidP="001A03EB">
      <w:pPr>
        <w:pStyle w:val="SingleTxtG"/>
        <w:ind w:left="3402" w:hanging="567"/>
        <w:rPr>
          <w:rFonts w:eastAsia="Times New Roman"/>
          <w:lang w:val="fr-FR"/>
        </w:rPr>
      </w:pPr>
      <w:r w:rsidRPr="00B65C71">
        <w:rPr>
          <w:rFonts w:eastAsia="Times New Roman"/>
          <w:lang w:val="fr-FR"/>
        </w:rPr>
        <w:t>i)</w:t>
      </w:r>
      <w:r w:rsidRPr="00B65C71">
        <w:rPr>
          <w:rFonts w:eastAsia="Times New Roman"/>
          <w:lang w:val="fr-FR"/>
        </w:rPr>
        <w:tab/>
        <w:t>Avec ou sans;</w:t>
      </w:r>
    </w:p>
    <w:p w:rsidR="00B65C71" w:rsidRPr="00B65C71" w:rsidRDefault="00B65C71" w:rsidP="001A03EB">
      <w:pPr>
        <w:pStyle w:val="SingleTxtG"/>
        <w:ind w:left="3402" w:hanging="567"/>
        <w:rPr>
          <w:rFonts w:eastAsia="Times New Roman"/>
          <w:lang w:val="fr-FR"/>
        </w:rPr>
      </w:pPr>
      <w:r w:rsidRPr="00B65C71">
        <w:rPr>
          <w:rFonts w:eastAsia="Times New Roman"/>
          <w:lang w:val="fr-FR"/>
        </w:rPr>
        <w:t>ii)</w:t>
      </w:r>
      <w:r w:rsidRPr="00B65C71">
        <w:rPr>
          <w:rFonts w:eastAsia="Times New Roman"/>
          <w:lang w:val="fr-FR"/>
        </w:rPr>
        <w:tab/>
        <w:t>Type (air pulsé, pompe à air, etc.);</w:t>
      </w:r>
    </w:p>
    <w:p w:rsidR="00B65C71" w:rsidRPr="00B65C71" w:rsidRDefault="00B65C71" w:rsidP="001A03EB">
      <w:pPr>
        <w:pStyle w:val="SingleTxtG"/>
        <w:keepNext/>
        <w:ind w:left="2268"/>
        <w:rPr>
          <w:rFonts w:eastAsia="Times New Roman"/>
          <w:lang w:val="fr-FR"/>
        </w:rPr>
      </w:pPr>
      <w:r w:rsidRPr="00B65C71">
        <w:rPr>
          <w:rFonts w:eastAsia="Times New Roman"/>
          <w:lang w:val="fr-FR"/>
        </w:rPr>
        <w:t>c)</w:t>
      </w:r>
      <w:r w:rsidRPr="00B65C71">
        <w:rPr>
          <w:rFonts w:eastAsia="Times New Roman"/>
          <w:lang w:val="fr-FR"/>
        </w:rPr>
        <w:tab/>
        <w:t>RGE (</w:t>
      </w:r>
      <w:r w:rsidRPr="001A03EB">
        <w:rPr>
          <w:lang w:val="fr-FR"/>
        </w:rPr>
        <w:t>recyclage</w:t>
      </w:r>
      <w:r w:rsidRPr="00B65C71">
        <w:rPr>
          <w:rFonts w:eastAsia="Times New Roman"/>
          <w:lang w:val="fr-FR"/>
        </w:rPr>
        <w:t xml:space="preserve"> des gaz d</w:t>
      </w:r>
      <w:r w:rsidR="00DB4C2D">
        <w:rPr>
          <w:rFonts w:eastAsia="Times New Roman"/>
          <w:lang w:val="fr-FR"/>
        </w:rPr>
        <w:t>’</w:t>
      </w:r>
      <w:r w:rsidRPr="00B65C71">
        <w:rPr>
          <w:rFonts w:eastAsia="Times New Roman"/>
          <w:lang w:val="fr-FR"/>
        </w:rPr>
        <w:t>échappement):</w:t>
      </w:r>
    </w:p>
    <w:p w:rsidR="00B65C71" w:rsidRPr="00B65C71" w:rsidRDefault="00B65C71" w:rsidP="001A03EB">
      <w:pPr>
        <w:pStyle w:val="SingleTxtG"/>
        <w:ind w:left="3402" w:hanging="567"/>
        <w:rPr>
          <w:rFonts w:eastAsia="Times New Roman"/>
          <w:lang w:val="fr-FR"/>
        </w:rPr>
      </w:pPr>
      <w:r w:rsidRPr="00B65C71">
        <w:rPr>
          <w:rFonts w:eastAsia="Times New Roman"/>
          <w:lang w:val="fr-FR"/>
        </w:rPr>
        <w:t>i)</w:t>
      </w:r>
      <w:r w:rsidRPr="00B65C71">
        <w:rPr>
          <w:rFonts w:eastAsia="Times New Roman"/>
          <w:lang w:val="fr-FR"/>
        </w:rPr>
        <w:tab/>
        <w:t xml:space="preserve">Avec </w:t>
      </w:r>
      <w:r w:rsidRPr="001A03EB">
        <w:rPr>
          <w:lang w:val="fr-FR"/>
        </w:rPr>
        <w:t>ou</w:t>
      </w:r>
      <w:r w:rsidRPr="00B65C71">
        <w:rPr>
          <w:rFonts w:eastAsia="Times New Roman"/>
          <w:lang w:val="fr-FR"/>
        </w:rPr>
        <w:t xml:space="preserve"> sans;</w:t>
      </w:r>
    </w:p>
    <w:p w:rsidR="00B65C71" w:rsidRPr="00B65C71" w:rsidRDefault="00B65C71" w:rsidP="001A03EB">
      <w:pPr>
        <w:pStyle w:val="SingleTxtG"/>
        <w:ind w:left="3402" w:hanging="567"/>
        <w:rPr>
          <w:rFonts w:eastAsia="Times New Roman"/>
          <w:lang w:val="fr-FR"/>
        </w:rPr>
      </w:pPr>
      <w:r w:rsidRPr="00B65C71">
        <w:rPr>
          <w:rFonts w:eastAsia="Times New Roman"/>
          <w:lang w:val="fr-FR"/>
        </w:rPr>
        <w:t>ii)</w:t>
      </w:r>
      <w:r w:rsidRPr="00B65C71">
        <w:rPr>
          <w:rFonts w:eastAsia="Times New Roman"/>
          <w:lang w:val="fr-FR"/>
        </w:rPr>
        <w:tab/>
        <w:t>Type (refroidi ou non, commande active ou passive, haute ou basse pression).</w:t>
      </w:r>
    </w:p>
    <w:p w:rsidR="00B65C71" w:rsidRPr="00B65C71" w:rsidRDefault="00B65C71" w:rsidP="001A03EB">
      <w:pPr>
        <w:pStyle w:val="SingleTxtG"/>
        <w:spacing w:before="120"/>
        <w:ind w:left="2268" w:hanging="1134"/>
        <w:rPr>
          <w:rFonts w:eastAsia="Times New Roman"/>
          <w:lang w:val="fr-FR"/>
        </w:rPr>
      </w:pPr>
      <w:r w:rsidRPr="00B65C71">
        <w:rPr>
          <w:rFonts w:eastAsia="Times New Roman"/>
          <w:lang w:val="fr-FR"/>
        </w:rPr>
        <w:t>7.3.1.4</w:t>
      </w:r>
      <w:r w:rsidRPr="00B65C71">
        <w:rPr>
          <w:rFonts w:eastAsia="Times New Roman"/>
          <w:lang w:val="fr-FR"/>
        </w:rPr>
        <w:tab/>
        <w:t>L</w:t>
      </w:r>
      <w:r w:rsidR="00DB4C2D">
        <w:rPr>
          <w:rFonts w:eastAsia="Times New Roman"/>
          <w:lang w:val="fr-FR"/>
        </w:rPr>
        <w:t>’</w:t>
      </w:r>
      <w:r w:rsidRPr="00B65C71">
        <w:rPr>
          <w:rFonts w:eastAsia="Times New Roman"/>
          <w:lang w:val="fr-FR"/>
        </w:rPr>
        <w:t>essai de durabilité peut être réalisé en utilisant un véhicule ayant une carrosserie, une boîte de vitesses (automatique ou manuelle), des dimensions de roues ou de pneumatiques différentes de celles du véhicule pour lequel l</w:t>
      </w:r>
      <w:r w:rsidR="00DB4C2D">
        <w:rPr>
          <w:rFonts w:eastAsia="Times New Roman"/>
          <w:lang w:val="fr-FR"/>
        </w:rPr>
        <w:t>’</w:t>
      </w:r>
      <w:r w:rsidRPr="00B65C71">
        <w:rPr>
          <w:rFonts w:eastAsia="Times New Roman"/>
          <w:lang w:val="fr-FR"/>
        </w:rPr>
        <w:t>homologation est demandée.</w:t>
      </w:r>
    </w:p>
    <w:p w:rsidR="00B65C71" w:rsidRPr="00B65C71" w:rsidRDefault="00B65C71" w:rsidP="001A03EB">
      <w:pPr>
        <w:pStyle w:val="SingleTxtG"/>
        <w:keepNext/>
        <w:spacing w:before="120"/>
        <w:ind w:left="2268" w:hanging="1134"/>
        <w:rPr>
          <w:rFonts w:eastAsia="Times New Roman"/>
          <w:lang w:val="fr-FR"/>
        </w:rPr>
      </w:pPr>
      <w:r w:rsidRPr="00B65C71">
        <w:rPr>
          <w:rFonts w:eastAsia="Times New Roman"/>
          <w:lang w:val="fr-FR"/>
        </w:rPr>
        <w:t>7.4</w:t>
      </w:r>
      <w:r w:rsidRPr="00B65C71">
        <w:rPr>
          <w:rFonts w:eastAsia="Times New Roman"/>
          <w:lang w:val="fr-FR"/>
        </w:rPr>
        <w:tab/>
      </w:r>
      <w:r w:rsidRPr="00B65C71">
        <w:rPr>
          <w:rFonts w:eastAsia="Times New Roman"/>
          <w:lang w:val="fr-FR"/>
        </w:rPr>
        <w:tab/>
        <w:t>Extensions pour les systèmes d</w:t>
      </w:r>
      <w:r w:rsidR="00DB4C2D">
        <w:rPr>
          <w:rFonts w:eastAsia="Times New Roman"/>
          <w:lang w:val="fr-FR"/>
        </w:rPr>
        <w:t>’</w:t>
      </w:r>
      <w:r w:rsidRPr="00B65C71">
        <w:rPr>
          <w:rFonts w:eastAsia="Times New Roman"/>
          <w:lang w:val="fr-FR"/>
        </w:rPr>
        <w:t>autodiagnostic</w:t>
      </w:r>
    </w:p>
    <w:p w:rsidR="00B65C71" w:rsidRPr="00B65C71" w:rsidRDefault="00B65C71" w:rsidP="001A03EB">
      <w:pPr>
        <w:pStyle w:val="SingleTxtG"/>
        <w:keepNext/>
        <w:spacing w:before="120"/>
        <w:ind w:left="2268" w:hanging="1134"/>
        <w:rPr>
          <w:rFonts w:eastAsia="Times New Roman"/>
          <w:lang w:val="fr-FR"/>
        </w:rPr>
      </w:pPr>
      <w:r w:rsidRPr="00B65C71">
        <w:rPr>
          <w:rFonts w:eastAsia="Times New Roman"/>
          <w:lang w:val="fr-FR"/>
        </w:rPr>
        <w:t>7.4.1</w:t>
      </w:r>
      <w:r w:rsidRPr="00B65C71">
        <w:rPr>
          <w:rFonts w:eastAsia="Times New Roman"/>
          <w:lang w:val="fr-FR"/>
        </w:rPr>
        <w:tab/>
        <w:t>L</w:t>
      </w:r>
      <w:r w:rsidR="00DB4C2D">
        <w:rPr>
          <w:rFonts w:eastAsia="Times New Roman"/>
          <w:lang w:val="fr-FR"/>
        </w:rPr>
        <w:t>’</w:t>
      </w:r>
      <w:r w:rsidRPr="00B65C71">
        <w:rPr>
          <w:rFonts w:eastAsia="Times New Roman"/>
          <w:lang w:val="fr-FR"/>
        </w:rPr>
        <w:t>homologation de type doit être étendue à des véhicules différents équipés de moteurs et de systèmes de contrôle des émissions identiques tels qu</w:t>
      </w:r>
      <w:r w:rsidR="00DB4C2D">
        <w:rPr>
          <w:rFonts w:eastAsia="Times New Roman"/>
          <w:lang w:val="fr-FR"/>
        </w:rPr>
        <w:t>’</w:t>
      </w:r>
      <w:r w:rsidRPr="00B65C71">
        <w:rPr>
          <w:rFonts w:eastAsia="Times New Roman"/>
          <w:lang w:val="fr-FR"/>
        </w:rPr>
        <w:t>ils sont définis à l</w:t>
      </w:r>
      <w:r w:rsidR="00DB4C2D">
        <w:rPr>
          <w:rFonts w:eastAsia="Times New Roman"/>
          <w:lang w:val="fr-FR"/>
        </w:rPr>
        <w:t>’</w:t>
      </w:r>
      <w:r w:rsidRPr="00B65C71">
        <w:rPr>
          <w:rFonts w:eastAsia="Times New Roman"/>
          <w:lang w:val="fr-FR"/>
        </w:rPr>
        <w:t>appendice 2 de l</w:t>
      </w:r>
      <w:r w:rsidR="00DB4C2D">
        <w:rPr>
          <w:rFonts w:eastAsia="Times New Roman"/>
          <w:lang w:val="fr-FR"/>
        </w:rPr>
        <w:t>’</w:t>
      </w:r>
      <w:r w:rsidRPr="00B65C71">
        <w:rPr>
          <w:rFonts w:eastAsia="Times New Roman"/>
          <w:lang w:val="fr-FR"/>
        </w:rPr>
        <w:t>annexe 11 du présent Règlement. L</w:t>
      </w:r>
      <w:r w:rsidR="00DB4C2D">
        <w:rPr>
          <w:rFonts w:eastAsia="Times New Roman"/>
          <w:lang w:val="fr-FR"/>
        </w:rPr>
        <w:t>’</w:t>
      </w:r>
      <w:r w:rsidRPr="00B65C71">
        <w:rPr>
          <w:rFonts w:eastAsia="Times New Roman"/>
          <w:lang w:val="fr-FR"/>
        </w:rPr>
        <w:t>homologation doit être étendue indépendamment des caractéristiques suivantes du véhicule:</w:t>
      </w:r>
    </w:p>
    <w:p w:rsidR="00B65C71" w:rsidRPr="001A03EB" w:rsidRDefault="00B65C71" w:rsidP="001A03EB">
      <w:pPr>
        <w:pStyle w:val="SingleTxtG"/>
        <w:ind w:left="2268"/>
        <w:rPr>
          <w:lang w:val="fr-FR"/>
        </w:rPr>
      </w:pPr>
      <w:r w:rsidRPr="001A03EB">
        <w:rPr>
          <w:lang w:val="fr-FR"/>
        </w:rPr>
        <w:t>a)</w:t>
      </w:r>
      <w:r w:rsidRPr="001A03EB">
        <w:rPr>
          <w:lang w:val="fr-FR"/>
        </w:rPr>
        <w:tab/>
        <w:t>Accessoires du moteur;</w:t>
      </w:r>
    </w:p>
    <w:p w:rsidR="00B65C71" w:rsidRPr="001A03EB" w:rsidRDefault="00B65C71" w:rsidP="001A03EB">
      <w:pPr>
        <w:pStyle w:val="SingleTxtG"/>
        <w:ind w:left="2268"/>
        <w:rPr>
          <w:lang w:val="fr-FR"/>
        </w:rPr>
      </w:pPr>
      <w:r w:rsidRPr="001A03EB">
        <w:rPr>
          <w:lang w:val="fr-FR"/>
        </w:rPr>
        <w:t>b)</w:t>
      </w:r>
      <w:r w:rsidRPr="001A03EB">
        <w:rPr>
          <w:lang w:val="fr-FR"/>
        </w:rPr>
        <w:tab/>
        <w:t>Pneumatiques;</w:t>
      </w:r>
    </w:p>
    <w:p w:rsidR="00B65C71" w:rsidRPr="001A03EB" w:rsidRDefault="00B65C71" w:rsidP="001A03EB">
      <w:pPr>
        <w:pStyle w:val="SingleTxtG"/>
        <w:ind w:left="2268"/>
        <w:rPr>
          <w:lang w:val="fr-FR"/>
        </w:rPr>
      </w:pPr>
      <w:r w:rsidRPr="001A03EB">
        <w:rPr>
          <w:lang w:val="fr-FR"/>
        </w:rPr>
        <w:t>c)</w:t>
      </w:r>
      <w:r w:rsidRPr="001A03EB">
        <w:rPr>
          <w:lang w:val="fr-FR"/>
        </w:rPr>
        <w:tab/>
        <w:t>Inertie équivalente;</w:t>
      </w:r>
    </w:p>
    <w:p w:rsidR="00B65C71" w:rsidRPr="001A03EB" w:rsidRDefault="00B65C71" w:rsidP="001A03EB">
      <w:pPr>
        <w:pStyle w:val="SingleTxtG"/>
        <w:ind w:left="2268"/>
        <w:rPr>
          <w:lang w:val="fr-FR"/>
        </w:rPr>
      </w:pPr>
      <w:r w:rsidRPr="001A03EB">
        <w:rPr>
          <w:lang w:val="fr-FR"/>
        </w:rPr>
        <w:t>d)</w:t>
      </w:r>
      <w:r w:rsidRPr="001A03EB">
        <w:rPr>
          <w:lang w:val="fr-FR"/>
        </w:rPr>
        <w:tab/>
        <w:t>Système de refroidissement;</w:t>
      </w:r>
    </w:p>
    <w:p w:rsidR="00B65C71" w:rsidRPr="001A03EB" w:rsidRDefault="00B65C71" w:rsidP="001A03EB">
      <w:pPr>
        <w:pStyle w:val="SingleTxtG"/>
        <w:ind w:left="2268"/>
        <w:rPr>
          <w:lang w:val="fr-FR"/>
        </w:rPr>
      </w:pPr>
      <w:r w:rsidRPr="001A03EB">
        <w:rPr>
          <w:lang w:val="fr-FR"/>
        </w:rPr>
        <w:lastRenderedPageBreak/>
        <w:t>e)</w:t>
      </w:r>
      <w:r w:rsidRPr="001A03EB">
        <w:rPr>
          <w:lang w:val="fr-FR"/>
        </w:rPr>
        <w:tab/>
        <w:t>Rapport global de démultiplication;</w:t>
      </w:r>
    </w:p>
    <w:p w:rsidR="00B65C71" w:rsidRPr="001A03EB" w:rsidRDefault="00B65C71" w:rsidP="001A03EB">
      <w:pPr>
        <w:pStyle w:val="SingleTxtG"/>
        <w:ind w:left="2268"/>
        <w:rPr>
          <w:lang w:val="fr-FR"/>
        </w:rPr>
      </w:pPr>
      <w:r w:rsidRPr="001A03EB">
        <w:rPr>
          <w:lang w:val="fr-FR"/>
        </w:rPr>
        <w:t>f)</w:t>
      </w:r>
      <w:r w:rsidRPr="001A03EB">
        <w:rPr>
          <w:lang w:val="fr-FR"/>
        </w:rPr>
        <w:tab/>
        <w:t>Type de transmission; et</w:t>
      </w:r>
    </w:p>
    <w:p w:rsidR="00B65C71" w:rsidRPr="00B65C71" w:rsidRDefault="00B65C71" w:rsidP="001A03EB">
      <w:pPr>
        <w:pStyle w:val="SingleTxtG"/>
        <w:ind w:left="2268"/>
        <w:rPr>
          <w:rFonts w:eastAsia="Times New Roman"/>
          <w:lang w:val="fr-FR"/>
        </w:rPr>
      </w:pPr>
      <w:r w:rsidRPr="001A03EB">
        <w:rPr>
          <w:lang w:val="fr-FR"/>
        </w:rPr>
        <w:t>g)</w:t>
      </w:r>
      <w:r w:rsidRPr="001A03EB">
        <w:rPr>
          <w:lang w:val="fr-FR"/>
        </w:rPr>
        <w:tab/>
        <w:t>Type de carrosserie.</w:t>
      </w:r>
    </w:p>
    <w:p w:rsidR="00B65C71" w:rsidRPr="00B65C71" w:rsidRDefault="001A03EB" w:rsidP="001A03EB">
      <w:pPr>
        <w:pStyle w:val="HChG"/>
        <w:rPr>
          <w:lang w:val="fr-FR"/>
        </w:rPr>
      </w:pPr>
      <w:r>
        <w:rPr>
          <w:lang w:val="fr-FR"/>
        </w:rPr>
        <w:tab/>
      </w:r>
      <w:r>
        <w:rPr>
          <w:lang w:val="fr-FR"/>
        </w:rPr>
        <w:tab/>
      </w:r>
      <w:r w:rsidR="00B65C71" w:rsidRPr="00B65C71">
        <w:rPr>
          <w:lang w:val="fr-FR"/>
        </w:rPr>
        <w:t>8.</w:t>
      </w:r>
      <w:r w:rsidR="00B65C71" w:rsidRPr="00B65C71">
        <w:rPr>
          <w:lang w:val="fr-FR"/>
        </w:rPr>
        <w:tab/>
      </w:r>
      <w:r w:rsidR="00B65C71" w:rsidRPr="00B65C71">
        <w:rPr>
          <w:lang w:val="fr-FR"/>
        </w:rPr>
        <w:tab/>
        <w:t>Conformité de la production (COP)</w:t>
      </w:r>
    </w:p>
    <w:p w:rsidR="00B65C71" w:rsidRPr="00B65C71" w:rsidRDefault="00B65C71" w:rsidP="001A03EB">
      <w:pPr>
        <w:pStyle w:val="SingleTxtG"/>
        <w:spacing w:before="120"/>
        <w:ind w:left="2268" w:hanging="1134"/>
        <w:rPr>
          <w:rFonts w:eastAsia="Times New Roman"/>
          <w:lang w:val="fr-FR"/>
        </w:rPr>
      </w:pPr>
      <w:r w:rsidRPr="00B65C71">
        <w:rPr>
          <w:rFonts w:eastAsia="Times New Roman"/>
          <w:lang w:val="fr-FR"/>
        </w:rPr>
        <w:t>8.1</w:t>
      </w:r>
      <w:r w:rsidRPr="00B65C71">
        <w:rPr>
          <w:rFonts w:eastAsia="Times New Roman"/>
          <w:lang w:val="fr-FR"/>
        </w:rPr>
        <w:tab/>
        <w:t>Tout véhicule portant une marque d</w:t>
      </w:r>
      <w:r w:rsidR="00DB4C2D">
        <w:rPr>
          <w:rFonts w:eastAsia="Times New Roman"/>
          <w:lang w:val="fr-FR"/>
        </w:rPr>
        <w:t>’</w:t>
      </w:r>
      <w:r w:rsidRPr="00B65C71">
        <w:rPr>
          <w:rFonts w:eastAsia="Times New Roman"/>
          <w:lang w:val="fr-FR"/>
        </w:rPr>
        <w:t>homologation en application du présent Règlement doit être conforme au type de véhicule homologué quant aux éléments influant sur les émissions de gaz et de particules polluants par le moteur, les émissions de gaz de carter et les émissions par évaporation. Les procédures de contrôle de la conformité de la production doivent être conformes à celles de l</w:t>
      </w:r>
      <w:r w:rsidR="00DB4C2D">
        <w:rPr>
          <w:rFonts w:eastAsia="Times New Roman"/>
          <w:lang w:val="fr-FR"/>
        </w:rPr>
        <w:t>’</w:t>
      </w:r>
      <w:r w:rsidRPr="00B65C71">
        <w:rPr>
          <w:rFonts w:eastAsia="Times New Roman"/>
          <w:lang w:val="fr-FR"/>
        </w:rPr>
        <w:t>appendice 2 de l</w:t>
      </w:r>
      <w:r w:rsidR="00DB4C2D">
        <w:rPr>
          <w:rFonts w:eastAsia="Times New Roman"/>
          <w:lang w:val="fr-FR"/>
        </w:rPr>
        <w:t>’</w:t>
      </w:r>
      <w:r w:rsidRPr="00B65C71">
        <w:rPr>
          <w:rFonts w:eastAsia="Times New Roman"/>
          <w:lang w:val="fr-FR"/>
        </w:rPr>
        <w:t>Accord de 1958 (E/ECE/324-E/ECE/TRANS/505/Rev.2), les prescriptions à appliquer étant énoncées dans les paragraphes ci</w:t>
      </w:r>
      <w:r w:rsidRPr="00B65C71">
        <w:rPr>
          <w:rFonts w:eastAsia="Times New Roman"/>
          <w:lang w:val="fr-FR"/>
        </w:rPr>
        <w:noBreakHyphen/>
        <w:t>après.</w:t>
      </w:r>
    </w:p>
    <w:p w:rsidR="00B65C71" w:rsidRPr="00B65C71" w:rsidRDefault="00B65C71" w:rsidP="001A03EB">
      <w:pPr>
        <w:pStyle w:val="SingleTxtG"/>
        <w:spacing w:before="120"/>
        <w:ind w:left="2268" w:hanging="1134"/>
        <w:rPr>
          <w:rFonts w:eastAsia="Times New Roman"/>
          <w:lang w:val="fr-FR"/>
        </w:rPr>
      </w:pPr>
      <w:r w:rsidRPr="00B65C71">
        <w:rPr>
          <w:rFonts w:eastAsia="Times New Roman"/>
          <w:lang w:val="fr-FR"/>
        </w:rPr>
        <w:t>8.1.1</w:t>
      </w:r>
      <w:r w:rsidRPr="00B65C71">
        <w:rPr>
          <w:rFonts w:eastAsia="Times New Roman"/>
          <w:lang w:val="fr-FR"/>
        </w:rPr>
        <w:tab/>
        <w:t>Le cas échéant, les essais des types I, II, III, IV et l</w:t>
      </w:r>
      <w:r w:rsidR="00DB4C2D">
        <w:rPr>
          <w:rFonts w:eastAsia="Times New Roman"/>
          <w:lang w:val="fr-FR"/>
        </w:rPr>
        <w:t>’</w:t>
      </w:r>
      <w:r w:rsidRPr="00B65C71">
        <w:rPr>
          <w:rFonts w:eastAsia="Times New Roman"/>
          <w:lang w:val="fr-FR"/>
        </w:rPr>
        <w:t>essai concernant l</w:t>
      </w:r>
      <w:r w:rsidR="00DB4C2D">
        <w:rPr>
          <w:rFonts w:eastAsia="Times New Roman"/>
          <w:lang w:val="fr-FR"/>
        </w:rPr>
        <w:t>’</w:t>
      </w:r>
      <w:r w:rsidRPr="00B65C71">
        <w:rPr>
          <w:rFonts w:eastAsia="Times New Roman"/>
          <w:lang w:val="fr-FR"/>
        </w:rPr>
        <w:t>OBD doivent être exécutés comme il est décrit au tableau A du présent Règlement. Les procédures spécifiques de contrôle de la conformité de la production sont définies aux paragraphes 8.2 à 8.6.</w:t>
      </w:r>
    </w:p>
    <w:p w:rsidR="00B65C71" w:rsidRPr="00B65C71" w:rsidRDefault="00B65C71" w:rsidP="001A03EB">
      <w:pPr>
        <w:pStyle w:val="SingleTxtG"/>
        <w:keepNext/>
        <w:spacing w:before="120"/>
        <w:ind w:left="2268" w:hanging="1134"/>
        <w:rPr>
          <w:rFonts w:eastAsia="Times New Roman"/>
          <w:lang w:val="fr-FR"/>
        </w:rPr>
      </w:pPr>
      <w:r w:rsidRPr="00B65C71">
        <w:rPr>
          <w:rFonts w:eastAsia="Times New Roman"/>
          <w:lang w:val="fr-FR"/>
        </w:rPr>
        <w:t>8.2</w:t>
      </w:r>
      <w:r w:rsidRPr="00B65C71">
        <w:rPr>
          <w:rFonts w:eastAsia="Times New Roman"/>
          <w:lang w:val="fr-FR"/>
        </w:rPr>
        <w:tab/>
        <w:t>Contrôle de la conformité du véhicule pour un essai du type I</w:t>
      </w:r>
    </w:p>
    <w:p w:rsidR="00B65C71" w:rsidRPr="00B65C71" w:rsidRDefault="00B65C71" w:rsidP="001A03EB">
      <w:pPr>
        <w:pStyle w:val="SingleTxtG"/>
        <w:spacing w:before="120"/>
        <w:ind w:left="2268" w:hanging="1134"/>
        <w:rPr>
          <w:rFonts w:eastAsia="Times New Roman"/>
          <w:lang w:val="fr-FR"/>
        </w:rPr>
      </w:pPr>
      <w:r w:rsidRPr="00B65C71">
        <w:rPr>
          <w:rFonts w:eastAsia="Times New Roman"/>
          <w:lang w:val="fr-FR"/>
        </w:rPr>
        <w:t>8.2.1</w:t>
      </w:r>
      <w:r w:rsidRPr="00B65C71">
        <w:rPr>
          <w:rFonts w:eastAsia="Times New Roman"/>
          <w:lang w:val="fr-FR"/>
        </w:rPr>
        <w:tab/>
        <w:t>L</w:t>
      </w:r>
      <w:r w:rsidR="00DB4C2D">
        <w:rPr>
          <w:rFonts w:eastAsia="Times New Roman"/>
          <w:lang w:val="fr-FR"/>
        </w:rPr>
        <w:t>’</w:t>
      </w:r>
      <w:r w:rsidRPr="00B65C71">
        <w:rPr>
          <w:rFonts w:eastAsia="Times New Roman"/>
          <w:lang w:val="fr-FR"/>
        </w:rPr>
        <w:t>essai du type I doit être exécuté sur un véhicule présentant les mêmes caractéristiques que celles indiquées dans le certificat d</w:t>
      </w:r>
      <w:r w:rsidR="00DB4C2D">
        <w:rPr>
          <w:rFonts w:eastAsia="Times New Roman"/>
          <w:lang w:val="fr-FR"/>
        </w:rPr>
        <w:t>’</w:t>
      </w:r>
      <w:r w:rsidRPr="00B65C71">
        <w:rPr>
          <w:rFonts w:eastAsia="Times New Roman"/>
          <w:lang w:val="fr-FR"/>
        </w:rPr>
        <w:t>homologation. Lorsque des essais du type I sont exécutés pour une homologation de type assortie d</w:t>
      </w:r>
      <w:r w:rsidR="00DB4C2D">
        <w:rPr>
          <w:rFonts w:eastAsia="Times New Roman"/>
          <w:lang w:val="fr-FR"/>
        </w:rPr>
        <w:t>’</w:t>
      </w:r>
      <w:r w:rsidRPr="00B65C71">
        <w:rPr>
          <w:rFonts w:eastAsia="Times New Roman"/>
          <w:lang w:val="fr-FR"/>
        </w:rPr>
        <w:t>une ou de plusieurs extensions, ils sont effectués soit sur le véhicule décrit dans le dossier d</w:t>
      </w:r>
      <w:r w:rsidR="00DB4C2D">
        <w:rPr>
          <w:rFonts w:eastAsia="Times New Roman"/>
          <w:lang w:val="fr-FR"/>
        </w:rPr>
        <w:t>’</w:t>
      </w:r>
      <w:r w:rsidRPr="00B65C71">
        <w:rPr>
          <w:rFonts w:eastAsia="Times New Roman"/>
          <w:lang w:val="fr-FR"/>
        </w:rPr>
        <w:t>homologation initial soit sur le véhicule décrit dans le dossier d</w:t>
      </w:r>
      <w:r w:rsidR="00DB4C2D">
        <w:rPr>
          <w:rFonts w:eastAsia="Times New Roman"/>
          <w:lang w:val="fr-FR"/>
        </w:rPr>
        <w:t>’</w:t>
      </w:r>
      <w:r w:rsidRPr="00B65C71">
        <w:rPr>
          <w:rFonts w:eastAsia="Times New Roman"/>
          <w:lang w:val="fr-FR"/>
        </w:rPr>
        <w:t>homologation relatif à l</w:t>
      </w:r>
      <w:r w:rsidR="00DB4C2D">
        <w:rPr>
          <w:rFonts w:eastAsia="Times New Roman"/>
          <w:lang w:val="fr-FR"/>
        </w:rPr>
        <w:t>’</w:t>
      </w:r>
      <w:r w:rsidRPr="00B65C71">
        <w:rPr>
          <w:rFonts w:eastAsia="Times New Roman"/>
          <w:lang w:val="fr-FR"/>
        </w:rPr>
        <w:t>extension considérée.</w:t>
      </w:r>
    </w:p>
    <w:p w:rsidR="00B65C71" w:rsidRPr="00B65C71" w:rsidRDefault="00B65C71" w:rsidP="001A03EB">
      <w:pPr>
        <w:pStyle w:val="SingleTxtG"/>
        <w:spacing w:before="120"/>
        <w:ind w:left="2268" w:hanging="1134"/>
        <w:rPr>
          <w:rFonts w:eastAsia="Times New Roman"/>
          <w:lang w:val="fr-FR"/>
        </w:rPr>
      </w:pPr>
      <w:r w:rsidRPr="00B65C71">
        <w:rPr>
          <w:rFonts w:eastAsia="Times New Roman"/>
          <w:lang w:val="fr-FR"/>
        </w:rPr>
        <w:t>8.2.2</w:t>
      </w:r>
      <w:r w:rsidRPr="00B65C71">
        <w:rPr>
          <w:rFonts w:eastAsia="Times New Roman"/>
          <w:lang w:val="fr-FR"/>
        </w:rPr>
        <w:tab/>
        <w:t>Après sélection par l</w:t>
      </w:r>
      <w:r w:rsidR="00DB4C2D">
        <w:rPr>
          <w:rFonts w:eastAsia="Times New Roman"/>
          <w:lang w:val="fr-FR"/>
        </w:rPr>
        <w:t>’</w:t>
      </w:r>
      <w:r w:rsidRPr="00B65C71">
        <w:rPr>
          <w:rFonts w:eastAsia="Times New Roman"/>
          <w:lang w:val="fr-FR"/>
        </w:rPr>
        <w:t>autorité d</w:t>
      </w:r>
      <w:r w:rsidR="00DB4C2D">
        <w:rPr>
          <w:rFonts w:eastAsia="Times New Roman"/>
          <w:lang w:val="fr-FR"/>
        </w:rPr>
        <w:t>’</w:t>
      </w:r>
      <w:r w:rsidRPr="00B65C71">
        <w:rPr>
          <w:rFonts w:eastAsia="Times New Roman"/>
          <w:lang w:val="fr-FR"/>
        </w:rPr>
        <w:t>homologation de type, le constructeur ne doit effectuer aucun réglage sur les véhicules sélectionnés.</w:t>
      </w:r>
    </w:p>
    <w:p w:rsidR="00B65C71" w:rsidRPr="00B65C71" w:rsidRDefault="00B65C71" w:rsidP="001A03EB">
      <w:pPr>
        <w:pStyle w:val="SingleTxtG"/>
        <w:spacing w:before="120"/>
        <w:ind w:left="2268" w:hanging="1134"/>
        <w:rPr>
          <w:rFonts w:eastAsia="Times New Roman"/>
          <w:lang w:val="fr-FR"/>
        </w:rPr>
      </w:pPr>
      <w:r w:rsidRPr="00B65C71">
        <w:rPr>
          <w:rFonts w:eastAsia="Times New Roman"/>
          <w:lang w:val="fr-FR"/>
        </w:rPr>
        <w:t>8.2.2.1</w:t>
      </w:r>
      <w:r w:rsidRPr="00B65C71">
        <w:rPr>
          <w:rFonts w:eastAsia="Times New Roman"/>
          <w:lang w:val="fr-FR"/>
        </w:rPr>
        <w:tab/>
        <w:t>Trois véhicules doivent être sélectionnés au hasard dans la série et soumis à des essais conformément au paragraphe 5.3.1 du présent Règlement. Les facteurs de détérioration sont appliqués de la même façon. Les valeurs limites sont indiquées au tableau du paragraphe 5.3.1.4.</w:t>
      </w:r>
    </w:p>
    <w:p w:rsidR="00B65C71" w:rsidRPr="00B65C71" w:rsidRDefault="00B65C71" w:rsidP="001A03EB">
      <w:pPr>
        <w:pStyle w:val="SingleTxtG"/>
        <w:spacing w:before="120"/>
        <w:ind w:left="2268" w:hanging="1134"/>
        <w:rPr>
          <w:rFonts w:eastAsia="Times New Roman"/>
          <w:lang w:val="fr-FR"/>
        </w:rPr>
      </w:pPr>
      <w:r w:rsidRPr="00B65C71">
        <w:rPr>
          <w:rFonts w:eastAsia="Times New Roman"/>
          <w:lang w:val="fr-FR"/>
        </w:rPr>
        <w:t>8.2.2.2</w:t>
      </w:r>
      <w:r w:rsidRPr="00B65C71">
        <w:rPr>
          <w:rFonts w:eastAsia="Times New Roman"/>
          <w:lang w:val="fr-FR"/>
        </w:rPr>
        <w:tab/>
        <w:t>Si l</w:t>
      </w:r>
      <w:r w:rsidR="00DB4C2D">
        <w:rPr>
          <w:rFonts w:eastAsia="Times New Roman"/>
          <w:lang w:val="fr-FR"/>
        </w:rPr>
        <w:t>’</w:t>
      </w:r>
      <w:r w:rsidRPr="00B65C71">
        <w:rPr>
          <w:rFonts w:eastAsia="Times New Roman"/>
          <w:lang w:val="fr-FR"/>
        </w:rPr>
        <w:t>autorité d</w:t>
      </w:r>
      <w:r w:rsidR="00DB4C2D">
        <w:rPr>
          <w:rFonts w:eastAsia="Times New Roman"/>
          <w:lang w:val="fr-FR"/>
        </w:rPr>
        <w:t>’</w:t>
      </w:r>
      <w:r w:rsidRPr="00B65C71">
        <w:rPr>
          <w:rFonts w:eastAsia="Times New Roman"/>
          <w:lang w:val="fr-FR"/>
        </w:rPr>
        <w:t>homologation de type est satisfaite de la valeur de l</w:t>
      </w:r>
      <w:r w:rsidR="00DB4C2D">
        <w:rPr>
          <w:rFonts w:eastAsia="Times New Roman"/>
          <w:lang w:val="fr-FR"/>
        </w:rPr>
        <w:t>’</w:t>
      </w:r>
      <w:r w:rsidRPr="00B65C71">
        <w:rPr>
          <w:rFonts w:eastAsia="Times New Roman"/>
          <w:lang w:val="fr-FR"/>
        </w:rPr>
        <w:t>écart type de production donnée par le constructeur, les essais doivent être réalisés conformément à l</w:t>
      </w:r>
      <w:r w:rsidR="00DB4C2D">
        <w:rPr>
          <w:rFonts w:eastAsia="Times New Roman"/>
          <w:lang w:val="fr-FR"/>
        </w:rPr>
        <w:t>’</w:t>
      </w:r>
      <w:r w:rsidRPr="00B65C71">
        <w:rPr>
          <w:rFonts w:eastAsia="Times New Roman"/>
          <w:lang w:val="fr-FR"/>
        </w:rPr>
        <w:t>appendice 1 du présent Règlement. Si elle n</w:t>
      </w:r>
      <w:r w:rsidR="00DB4C2D">
        <w:rPr>
          <w:rFonts w:eastAsia="Times New Roman"/>
          <w:lang w:val="fr-FR"/>
        </w:rPr>
        <w:t>’</w:t>
      </w:r>
      <w:r w:rsidRPr="00B65C71">
        <w:rPr>
          <w:rFonts w:eastAsia="Times New Roman"/>
          <w:lang w:val="fr-FR"/>
        </w:rPr>
        <w:t>est pas satisfaite de la valeur de l</w:t>
      </w:r>
      <w:r w:rsidR="00DB4C2D">
        <w:rPr>
          <w:rFonts w:eastAsia="Times New Roman"/>
          <w:lang w:val="fr-FR"/>
        </w:rPr>
        <w:t>’</w:t>
      </w:r>
      <w:r w:rsidRPr="00B65C71">
        <w:rPr>
          <w:rFonts w:eastAsia="Times New Roman"/>
          <w:lang w:val="fr-FR"/>
        </w:rPr>
        <w:t>écart type de production donnée par le constructeur, ils doivent être réalisés conformément à l</w:t>
      </w:r>
      <w:r w:rsidR="00DB4C2D">
        <w:rPr>
          <w:rFonts w:eastAsia="Times New Roman"/>
          <w:lang w:val="fr-FR"/>
        </w:rPr>
        <w:t>’</w:t>
      </w:r>
      <w:r w:rsidRPr="00B65C71">
        <w:rPr>
          <w:rFonts w:eastAsia="Times New Roman"/>
          <w:lang w:val="fr-FR"/>
        </w:rPr>
        <w:t>appendice 2 du présent Règlement.</w:t>
      </w:r>
    </w:p>
    <w:p w:rsidR="00B65C71" w:rsidRPr="00B65C71" w:rsidRDefault="00B65C71" w:rsidP="001A03EB">
      <w:pPr>
        <w:pStyle w:val="SingleTxtG"/>
        <w:spacing w:before="120"/>
        <w:ind w:left="2268" w:hanging="1134"/>
        <w:rPr>
          <w:rFonts w:eastAsia="Times New Roman"/>
          <w:lang w:val="fr-FR"/>
        </w:rPr>
      </w:pPr>
      <w:r w:rsidRPr="00B65C71">
        <w:rPr>
          <w:rFonts w:eastAsia="Times New Roman"/>
          <w:lang w:val="fr-FR"/>
        </w:rPr>
        <w:t>8.2.2.3</w:t>
      </w:r>
      <w:r w:rsidRPr="00B65C71">
        <w:rPr>
          <w:rFonts w:eastAsia="Times New Roman"/>
          <w:lang w:val="fr-FR"/>
        </w:rPr>
        <w:tab/>
        <w:t>La production d</w:t>
      </w:r>
      <w:r w:rsidR="00DB4C2D">
        <w:rPr>
          <w:rFonts w:eastAsia="Times New Roman"/>
          <w:lang w:val="fr-FR"/>
        </w:rPr>
        <w:t>’</w:t>
      </w:r>
      <w:r w:rsidRPr="00B65C71">
        <w:rPr>
          <w:rFonts w:eastAsia="Times New Roman"/>
          <w:lang w:val="fr-FR"/>
        </w:rPr>
        <w:t>une série doit être jugée conforme ou non conforme sur la base d</w:t>
      </w:r>
      <w:r w:rsidR="00DB4C2D">
        <w:rPr>
          <w:rFonts w:eastAsia="Times New Roman"/>
          <w:lang w:val="fr-FR"/>
        </w:rPr>
        <w:t>’</w:t>
      </w:r>
      <w:r w:rsidRPr="00B65C71">
        <w:rPr>
          <w:rFonts w:eastAsia="Times New Roman"/>
          <w:lang w:val="fr-FR"/>
        </w:rPr>
        <w:t>un essai des véhicules par échantillonnage dès qu</w:t>
      </w:r>
      <w:r w:rsidR="00DB4C2D">
        <w:rPr>
          <w:rFonts w:eastAsia="Times New Roman"/>
          <w:lang w:val="fr-FR"/>
        </w:rPr>
        <w:t>’</w:t>
      </w:r>
      <w:r w:rsidRPr="00B65C71">
        <w:rPr>
          <w:rFonts w:eastAsia="Times New Roman"/>
          <w:lang w:val="fr-FR"/>
        </w:rPr>
        <w:t>a été prise une décision d</w:t>
      </w:r>
      <w:r w:rsidR="00DB4C2D">
        <w:rPr>
          <w:rFonts w:eastAsia="Times New Roman"/>
          <w:lang w:val="fr-FR"/>
        </w:rPr>
        <w:t>’</w:t>
      </w:r>
      <w:r w:rsidRPr="00B65C71">
        <w:rPr>
          <w:rFonts w:eastAsia="Times New Roman"/>
          <w:lang w:val="fr-FR"/>
        </w:rPr>
        <w:t>acceptation pour tous les polluants ou de refus pour un polluant, conformément aux critères d</w:t>
      </w:r>
      <w:r w:rsidR="00DB4C2D">
        <w:rPr>
          <w:rFonts w:eastAsia="Times New Roman"/>
          <w:lang w:val="fr-FR"/>
        </w:rPr>
        <w:t>’</w:t>
      </w:r>
      <w:r w:rsidRPr="00B65C71">
        <w:rPr>
          <w:rFonts w:eastAsia="Times New Roman"/>
          <w:lang w:val="fr-FR"/>
        </w:rPr>
        <w:t>essai appliqués selon l</w:t>
      </w:r>
      <w:r w:rsidR="00DB4C2D">
        <w:rPr>
          <w:rFonts w:eastAsia="Times New Roman"/>
          <w:lang w:val="fr-FR"/>
        </w:rPr>
        <w:t>’</w:t>
      </w:r>
      <w:r w:rsidRPr="00B65C71">
        <w:rPr>
          <w:rFonts w:eastAsia="Times New Roman"/>
          <w:lang w:val="fr-FR"/>
        </w:rPr>
        <w:t>appendice adéquat.</w:t>
      </w:r>
    </w:p>
    <w:p w:rsidR="00B65C71" w:rsidRPr="00B65C71" w:rsidRDefault="00B65C71" w:rsidP="0063247A">
      <w:pPr>
        <w:pStyle w:val="SingleTxtG"/>
        <w:ind w:left="2268"/>
        <w:rPr>
          <w:lang w:val="fr-FR"/>
        </w:rPr>
      </w:pPr>
      <w:r w:rsidRPr="00B65C71">
        <w:rPr>
          <w:lang w:val="fr-FR"/>
        </w:rPr>
        <w:t>Lorsqu</w:t>
      </w:r>
      <w:r w:rsidR="00DB4C2D">
        <w:rPr>
          <w:lang w:val="fr-FR"/>
        </w:rPr>
        <w:t>’</w:t>
      </w:r>
      <w:r w:rsidRPr="00B65C71">
        <w:rPr>
          <w:lang w:val="fr-FR"/>
        </w:rPr>
        <w:t>une décision d</w:t>
      </w:r>
      <w:r w:rsidR="00DB4C2D">
        <w:rPr>
          <w:lang w:val="fr-FR"/>
        </w:rPr>
        <w:t>’</w:t>
      </w:r>
      <w:r w:rsidRPr="00B65C71">
        <w:rPr>
          <w:lang w:val="fr-FR"/>
        </w:rPr>
        <w:t>acceptation a été prise pour un polluant, elle n</w:t>
      </w:r>
      <w:r w:rsidR="00DB4C2D">
        <w:rPr>
          <w:lang w:val="fr-FR"/>
        </w:rPr>
        <w:t>’</w:t>
      </w:r>
      <w:r w:rsidRPr="00B65C71">
        <w:rPr>
          <w:lang w:val="fr-FR"/>
        </w:rPr>
        <w:t xml:space="preserve">est pas modifiée par </w:t>
      </w:r>
      <w:r w:rsidRPr="001A03EB">
        <w:rPr>
          <w:rFonts w:eastAsia="Times New Roman"/>
          <w:lang w:val="fr-FR"/>
        </w:rPr>
        <w:t>les</w:t>
      </w:r>
      <w:r w:rsidRPr="00B65C71">
        <w:rPr>
          <w:lang w:val="fr-FR"/>
        </w:rPr>
        <w:t xml:space="preserve"> résultats d</w:t>
      </w:r>
      <w:r w:rsidR="00DB4C2D">
        <w:rPr>
          <w:lang w:val="fr-FR"/>
        </w:rPr>
        <w:t>’</w:t>
      </w:r>
      <w:r w:rsidRPr="00B65C71">
        <w:rPr>
          <w:lang w:val="fr-FR"/>
        </w:rPr>
        <w:t>essais supplémentaires effectués pour prendre une décision pour les autres polluants.</w:t>
      </w:r>
    </w:p>
    <w:p w:rsidR="00B65C71" w:rsidRDefault="00B65C71" w:rsidP="0063247A">
      <w:pPr>
        <w:pStyle w:val="SingleTxtG"/>
        <w:ind w:left="2268"/>
        <w:rPr>
          <w:rFonts w:eastAsia="Times New Roman"/>
          <w:lang w:val="fr-FR"/>
        </w:rPr>
      </w:pPr>
      <w:r w:rsidRPr="00B65C71">
        <w:rPr>
          <w:rFonts w:eastAsia="Times New Roman"/>
          <w:lang w:val="fr-FR"/>
        </w:rPr>
        <w:tab/>
        <w:t>Si aucune décision d</w:t>
      </w:r>
      <w:r w:rsidR="00DB4C2D">
        <w:rPr>
          <w:rFonts w:eastAsia="Times New Roman"/>
          <w:lang w:val="fr-FR"/>
        </w:rPr>
        <w:t>’</w:t>
      </w:r>
      <w:r w:rsidRPr="00B65C71">
        <w:rPr>
          <w:rFonts w:eastAsia="Times New Roman"/>
          <w:lang w:val="fr-FR"/>
        </w:rPr>
        <w:t>acceptation n</w:t>
      </w:r>
      <w:r w:rsidR="00DB4C2D">
        <w:rPr>
          <w:rFonts w:eastAsia="Times New Roman"/>
          <w:lang w:val="fr-FR"/>
        </w:rPr>
        <w:t>’</w:t>
      </w:r>
      <w:r w:rsidRPr="00B65C71">
        <w:rPr>
          <w:rFonts w:eastAsia="Times New Roman"/>
          <w:lang w:val="fr-FR"/>
        </w:rPr>
        <w:t xml:space="preserve">est prise pour tous les polluants et si aucune </w:t>
      </w:r>
      <w:r w:rsidRPr="001A03EB">
        <w:rPr>
          <w:lang w:val="fr-FR"/>
        </w:rPr>
        <w:t>décision</w:t>
      </w:r>
      <w:r w:rsidRPr="00B65C71">
        <w:rPr>
          <w:rFonts w:eastAsia="Times New Roman"/>
          <w:lang w:val="fr-FR"/>
        </w:rPr>
        <w:t xml:space="preserve"> de refus n</w:t>
      </w:r>
      <w:r w:rsidR="00DB4C2D">
        <w:rPr>
          <w:rFonts w:eastAsia="Times New Roman"/>
          <w:lang w:val="fr-FR"/>
        </w:rPr>
        <w:t>’</w:t>
      </w:r>
      <w:r w:rsidRPr="00B65C71">
        <w:rPr>
          <w:rFonts w:eastAsia="Times New Roman"/>
          <w:lang w:val="fr-FR"/>
        </w:rPr>
        <w:t>est prise pour un polluant, il faut procéder à un essai sur un autre véhicule (voir fig. 2).</w:t>
      </w:r>
    </w:p>
    <w:p w:rsidR="001A03EB" w:rsidRDefault="001A03EB" w:rsidP="001A03EB">
      <w:pPr>
        <w:pStyle w:val="Titre1"/>
        <w:spacing w:after="120"/>
        <w:rPr>
          <w:rFonts w:eastAsia="Times New Roman"/>
          <w:b/>
          <w:lang w:val="fr-FR"/>
        </w:rPr>
      </w:pPr>
      <w:r>
        <w:rPr>
          <w:lang w:val="fr-FR"/>
        </w:rPr>
        <w:lastRenderedPageBreak/>
        <w:t>Figure 2</w:t>
      </w:r>
      <w:r>
        <w:rPr>
          <w:lang w:val="fr-FR"/>
        </w:rPr>
        <w:br/>
      </w:r>
      <w:r w:rsidRPr="001A03EB">
        <w:rPr>
          <w:rFonts w:eastAsia="Times New Roman"/>
          <w:b/>
          <w:lang w:val="fr-FR"/>
        </w:rPr>
        <w:t>Vérification de la conformité du véhicule</w:t>
      </w:r>
    </w:p>
    <w:bookmarkStart w:id="18" w:name="_MON_1315988326"/>
    <w:bookmarkStart w:id="19" w:name="_MON_1316869890"/>
    <w:bookmarkStart w:id="20" w:name="_MON_1433078569"/>
    <w:bookmarkStart w:id="21" w:name="_MON_1448093525"/>
    <w:bookmarkStart w:id="22" w:name="_MON_1448094209"/>
    <w:bookmarkStart w:id="23" w:name="_MON_1448094241"/>
    <w:bookmarkStart w:id="24" w:name="_MON_1448094339"/>
    <w:bookmarkEnd w:id="18"/>
    <w:bookmarkEnd w:id="19"/>
    <w:bookmarkEnd w:id="20"/>
    <w:bookmarkEnd w:id="21"/>
    <w:bookmarkEnd w:id="22"/>
    <w:bookmarkEnd w:id="23"/>
    <w:bookmarkEnd w:id="24"/>
    <w:p w:rsidR="001A03EB" w:rsidRDefault="001A03EB" w:rsidP="001A03EB">
      <w:pPr>
        <w:ind w:left="1134"/>
        <w:rPr>
          <w:lang w:val="fr-FR"/>
        </w:rPr>
      </w:pPr>
      <w:r w:rsidRPr="00A779B8">
        <w:rPr>
          <w:lang w:val="fr-FR"/>
        </w:rPr>
        <w:object w:dxaOrig="5999" w:dyaOrig="8175">
          <v:shape id="_x0000_i1027" type="#_x0000_t75" style="width:365.45pt;height:391.9pt" o:ole="">
            <v:imagedata r:id="rId22" o:title="" cropleft="-8670f" cropright="-8670f"/>
            <w10:bordertop type="single" width="4"/>
            <w10:borderleft type="single" width="4"/>
            <w10:borderbottom type="single" width="4"/>
            <w10:borderright type="single" width="4"/>
          </v:shape>
          <o:OLEObject Type="Embed" ProgID="Word.Picture.8" ShapeID="_x0000_i1027" DrawAspect="Content" ObjectID="_1490178409" r:id="rId23"/>
        </w:object>
      </w:r>
    </w:p>
    <w:p w:rsidR="001A03EB" w:rsidRPr="001A03EB" w:rsidRDefault="001A03EB" w:rsidP="001A03EB">
      <w:pPr>
        <w:pStyle w:val="SingleTxtG"/>
        <w:spacing w:before="120"/>
        <w:ind w:left="2268" w:hanging="1134"/>
        <w:rPr>
          <w:lang w:val="fr-FR"/>
        </w:rPr>
      </w:pPr>
      <w:r w:rsidRPr="001A03EB">
        <w:rPr>
          <w:lang w:val="fr-FR"/>
        </w:rPr>
        <w:t>8.2.3</w:t>
      </w:r>
      <w:r w:rsidRPr="001A03EB">
        <w:rPr>
          <w:lang w:val="fr-FR"/>
        </w:rPr>
        <w:tab/>
        <w:t xml:space="preserve">Nonobstant les prescriptions du paragraphe 5.3.1, les essais doivent être effectués sur des véhicules sortant </w:t>
      </w:r>
      <w:r w:rsidRPr="001A03EB">
        <w:rPr>
          <w:rFonts w:eastAsia="Times New Roman"/>
          <w:lang w:val="fr-FR"/>
        </w:rPr>
        <w:t>directement</w:t>
      </w:r>
      <w:r w:rsidRPr="001A03EB">
        <w:rPr>
          <w:lang w:val="fr-FR"/>
        </w:rPr>
        <w:t xml:space="preserve"> des chaînes de production.</w:t>
      </w:r>
    </w:p>
    <w:p w:rsidR="001A03EB" w:rsidRPr="001A03EB" w:rsidRDefault="001A03EB" w:rsidP="001A03EB">
      <w:pPr>
        <w:pStyle w:val="SingleTxtG"/>
        <w:keepNext/>
        <w:spacing w:before="120"/>
        <w:ind w:left="2268" w:hanging="1134"/>
        <w:rPr>
          <w:rFonts w:eastAsia="Times New Roman"/>
          <w:lang w:val="fr-FR"/>
        </w:rPr>
      </w:pPr>
      <w:r w:rsidRPr="001A03EB">
        <w:rPr>
          <w:rFonts w:eastAsia="Times New Roman"/>
          <w:lang w:val="fr-FR"/>
        </w:rPr>
        <w:t>8.2.3.1</w:t>
      </w:r>
      <w:r w:rsidRPr="001A03EB">
        <w:rPr>
          <w:rFonts w:eastAsia="Times New Roman"/>
          <w:lang w:val="fr-FR"/>
        </w:rPr>
        <w:tab/>
        <w:t>Toutefois, à la demande du constructeur, les essais peuvent être effectués sur des véhicules qui ont parcouru:</w:t>
      </w:r>
    </w:p>
    <w:p w:rsidR="001A03EB" w:rsidRPr="001A03EB" w:rsidRDefault="0061774F" w:rsidP="00D53805">
      <w:pPr>
        <w:pStyle w:val="SingleTxtG"/>
        <w:ind w:left="2835" w:hanging="567"/>
        <w:rPr>
          <w:lang w:val="fr-FR"/>
        </w:rPr>
      </w:pPr>
      <w:r>
        <w:rPr>
          <w:lang w:val="fr-FR"/>
        </w:rPr>
        <w:t>a)</w:t>
      </w:r>
      <w:r>
        <w:rPr>
          <w:lang w:val="fr-FR"/>
        </w:rPr>
        <w:tab/>
        <w:t>Un maximum de 3 000 </w:t>
      </w:r>
      <w:r w:rsidR="001A03EB" w:rsidRPr="001A03EB">
        <w:rPr>
          <w:lang w:val="fr-FR"/>
        </w:rPr>
        <w:t>km pour les véhicules équipés d</w:t>
      </w:r>
      <w:r w:rsidR="00DB4C2D">
        <w:rPr>
          <w:lang w:val="fr-FR"/>
        </w:rPr>
        <w:t>’</w:t>
      </w:r>
      <w:r w:rsidR="001A03EB" w:rsidRPr="001A03EB">
        <w:rPr>
          <w:lang w:val="fr-FR"/>
        </w:rPr>
        <w:t>un moteur à allumage commandé;</w:t>
      </w:r>
    </w:p>
    <w:p w:rsidR="001A03EB" w:rsidRPr="001A03EB" w:rsidRDefault="001A03EB" w:rsidP="00D53805">
      <w:pPr>
        <w:pStyle w:val="SingleTxtG"/>
        <w:ind w:left="2835" w:hanging="567"/>
        <w:rPr>
          <w:rFonts w:eastAsia="Times New Roman"/>
          <w:lang w:val="fr-FR"/>
        </w:rPr>
      </w:pPr>
      <w:r w:rsidRPr="001A03EB">
        <w:rPr>
          <w:rFonts w:eastAsia="Times New Roman"/>
          <w:lang w:val="fr-FR"/>
        </w:rPr>
        <w:t>b)</w:t>
      </w:r>
      <w:r w:rsidRPr="001A03EB">
        <w:rPr>
          <w:rFonts w:eastAsia="Times New Roman"/>
          <w:lang w:val="fr-FR"/>
        </w:rPr>
        <w:tab/>
        <w:t>Un maximum de 15 000</w:t>
      </w:r>
      <w:r w:rsidR="0061774F">
        <w:rPr>
          <w:rFonts w:eastAsia="Times New Roman"/>
          <w:lang w:val="fr-FR"/>
        </w:rPr>
        <w:t> </w:t>
      </w:r>
      <w:r w:rsidRPr="001A03EB">
        <w:rPr>
          <w:rFonts w:eastAsia="Times New Roman"/>
          <w:lang w:val="fr-FR"/>
        </w:rPr>
        <w:t>km pour les véhicules équipés d</w:t>
      </w:r>
      <w:r w:rsidR="00DB4C2D">
        <w:rPr>
          <w:rFonts w:eastAsia="Times New Roman"/>
          <w:lang w:val="fr-FR"/>
        </w:rPr>
        <w:t>’</w:t>
      </w:r>
      <w:r w:rsidRPr="001A03EB">
        <w:rPr>
          <w:rFonts w:eastAsia="Times New Roman"/>
          <w:lang w:val="fr-FR"/>
        </w:rPr>
        <w:t>un moteur à allumage par compression.</w:t>
      </w:r>
    </w:p>
    <w:p w:rsidR="001A03EB" w:rsidRPr="001A03EB" w:rsidRDefault="001A03EB" w:rsidP="00D53805">
      <w:pPr>
        <w:pStyle w:val="SingleTxtG"/>
        <w:ind w:left="2268"/>
        <w:rPr>
          <w:lang w:val="fr-FR"/>
        </w:rPr>
      </w:pPr>
      <w:r w:rsidRPr="001A03EB">
        <w:rPr>
          <w:lang w:val="fr-FR"/>
        </w:rPr>
        <w:t>Ce rodage doit être réalisé par le constructeur, qui s</w:t>
      </w:r>
      <w:r w:rsidR="00DB4C2D">
        <w:rPr>
          <w:lang w:val="fr-FR"/>
        </w:rPr>
        <w:t>’</w:t>
      </w:r>
      <w:r w:rsidRPr="001A03EB">
        <w:rPr>
          <w:lang w:val="fr-FR"/>
        </w:rPr>
        <w:t>engage à n</w:t>
      </w:r>
      <w:r w:rsidR="00DB4C2D">
        <w:rPr>
          <w:lang w:val="fr-FR"/>
        </w:rPr>
        <w:t>’</w:t>
      </w:r>
      <w:r w:rsidRPr="001A03EB">
        <w:rPr>
          <w:lang w:val="fr-FR"/>
        </w:rPr>
        <w:t>effectuer aucun réglage sur ces véhicules.</w:t>
      </w:r>
    </w:p>
    <w:p w:rsidR="001A03EB" w:rsidRPr="001A03EB" w:rsidRDefault="001A03EB" w:rsidP="00B11222">
      <w:pPr>
        <w:pStyle w:val="SingleTxtG"/>
        <w:keepNext/>
        <w:spacing w:before="120"/>
        <w:ind w:left="2268" w:hanging="1134"/>
        <w:rPr>
          <w:rFonts w:eastAsia="Times New Roman"/>
          <w:lang w:val="fr-FR"/>
        </w:rPr>
      </w:pPr>
      <w:r w:rsidRPr="001A03EB">
        <w:rPr>
          <w:rFonts w:eastAsia="Times New Roman"/>
          <w:lang w:val="fr-FR"/>
        </w:rPr>
        <w:lastRenderedPageBreak/>
        <w:t>8.2.3.2</w:t>
      </w:r>
      <w:r w:rsidRPr="001A03EB">
        <w:rPr>
          <w:rFonts w:eastAsia="Times New Roman"/>
          <w:lang w:val="fr-FR"/>
        </w:rPr>
        <w:tab/>
        <w:t>Si le constructeur souhaite roder les véhicules («x» km, où lequel x ≤ 3 000 km pour les véhicules équipés d</w:t>
      </w:r>
      <w:r w:rsidR="00DB4C2D">
        <w:rPr>
          <w:rFonts w:eastAsia="Times New Roman"/>
          <w:lang w:val="fr-FR"/>
        </w:rPr>
        <w:t>’</w:t>
      </w:r>
      <w:r w:rsidRPr="001A03EB">
        <w:rPr>
          <w:rFonts w:eastAsia="Times New Roman"/>
          <w:lang w:val="fr-FR"/>
        </w:rPr>
        <w:t>un moteur à allumage commandé et x ≤ 15 000 km pour ceux qui sont équipés d</w:t>
      </w:r>
      <w:r w:rsidR="00DB4C2D">
        <w:rPr>
          <w:rFonts w:eastAsia="Times New Roman"/>
          <w:lang w:val="fr-FR"/>
        </w:rPr>
        <w:t>’</w:t>
      </w:r>
      <w:r w:rsidRPr="001A03EB">
        <w:rPr>
          <w:rFonts w:eastAsia="Times New Roman"/>
          <w:lang w:val="fr-FR"/>
        </w:rPr>
        <w:t>un moteur à allumage par compression), la procédure est la suivante:</w:t>
      </w:r>
    </w:p>
    <w:p w:rsidR="001A03EB" w:rsidRPr="001A03EB" w:rsidRDefault="001A03EB" w:rsidP="00B11222">
      <w:pPr>
        <w:pStyle w:val="SingleTxtG"/>
        <w:ind w:left="2835" w:hanging="567"/>
        <w:rPr>
          <w:rFonts w:eastAsia="Times New Roman"/>
          <w:lang w:val="fr-FR"/>
        </w:rPr>
      </w:pPr>
      <w:r w:rsidRPr="001A03EB">
        <w:rPr>
          <w:rFonts w:eastAsia="Times New Roman"/>
          <w:lang w:val="fr-FR"/>
        </w:rPr>
        <w:t>a)</w:t>
      </w:r>
      <w:r w:rsidRPr="001A03EB">
        <w:rPr>
          <w:rFonts w:eastAsia="Times New Roman"/>
          <w:lang w:val="fr-FR"/>
        </w:rPr>
        <w:tab/>
        <w:t>Les émissions de polluant (type I) sont mesurées à zéro et à «x» km sur le premier véhicule essayé;</w:t>
      </w:r>
    </w:p>
    <w:p w:rsidR="001A03EB" w:rsidRPr="001A03EB" w:rsidRDefault="001A03EB" w:rsidP="00B11222">
      <w:pPr>
        <w:pStyle w:val="SingleTxtG"/>
        <w:ind w:left="2835" w:hanging="567"/>
        <w:rPr>
          <w:rFonts w:eastAsia="Times New Roman"/>
          <w:lang w:val="fr-FR"/>
        </w:rPr>
      </w:pPr>
      <w:r w:rsidRPr="001A03EB">
        <w:rPr>
          <w:rFonts w:eastAsia="Times New Roman"/>
          <w:lang w:val="fr-FR"/>
        </w:rPr>
        <w:t>b)</w:t>
      </w:r>
      <w:r w:rsidRPr="001A03EB">
        <w:rPr>
          <w:rFonts w:eastAsia="Times New Roman"/>
          <w:lang w:val="fr-FR"/>
        </w:rPr>
        <w:tab/>
        <w:t>Le coefficient d</w:t>
      </w:r>
      <w:r w:rsidR="00DB4C2D">
        <w:rPr>
          <w:rFonts w:eastAsia="Times New Roman"/>
          <w:lang w:val="fr-FR"/>
        </w:rPr>
        <w:t>’</w:t>
      </w:r>
      <w:r w:rsidRPr="001A03EB">
        <w:rPr>
          <w:rFonts w:eastAsia="Times New Roman"/>
          <w:lang w:val="fr-FR"/>
        </w:rPr>
        <w:t>évolution des émissions entre zéro et «x» km est calculé pour chacun des polluants:</w:t>
      </w:r>
    </w:p>
    <w:p w:rsidR="001A03EB" w:rsidRPr="001A03EB" w:rsidRDefault="001A03EB" w:rsidP="00B11222">
      <w:pPr>
        <w:pStyle w:val="SingleTxtG"/>
        <w:ind w:left="2835"/>
        <w:rPr>
          <w:lang w:val="fr-FR"/>
        </w:rPr>
      </w:pPr>
      <w:r w:rsidRPr="001A03EB">
        <w:rPr>
          <w:lang w:val="fr-FR"/>
        </w:rPr>
        <w:t>Émissions «x» km/Émissions zéro km;</w:t>
      </w:r>
    </w:p>
    <w:p w:rsidR="001A03EB" w:rsidRPr="001A03EB" w:rsidRDefault="001A03EB" w:rsidP="00B11222">
      <w:pPr>
        <w:pStyle w:val="SingleTxtG"/>
        <w:ind w:left="2835"/>
        <w:rPr>
          <w:rFonts w:eastAsia="Times New Roman"/>
          <w:lang w:val="fr-FR"/>
        </w:rPr>
      </w:pPr>
      <w:r w:rsidRPr="001A03EB">
        <w:rPr>
          <w:rFonts w:eastAsia="Times New Roman"/>
          <w:lang w:val="fr-FR"/>
        </w:rPr>
        <w:t xml:space="preserve">Ce coefficient peut être </w:t>
      </w:r>
      <w:r w:rsidRPr="001A03EB">
        <w:rPr>
          <w:lang w:val="fr-FR"/>
        </w:rPr>
        <w:t>inférieur</w:t>
      </w:r>
      <w:r w:rsidRPr="001A03EB">
        <w:rPr>
          <w:rFonts w:eastAsia="Times New Roman"/>
          <w:lang w:val="fr-FR"/>
        </w:rPr>
        <w:t xml:space="preserve"> à 1; et</w:t>
      </w:r>
    </w:p>
    <w:p w:rsidR="001A03EB" w:rsidRPr="001A03EB" w:rsidRDefault="001A03EB" w:rsidP="00B11222">
      <w:pPr>
        <w:pStyle w:val="SingleTxtG"/>
        <w:ind w:left="2835" w:hanging="567"/>
        <w:rPr>
          <w:rFonts w:eastAsia="Times New Roman"/>
          <w:lang w:val="fr-FR"/>
        </w:rPr>
      </w:pPr>
      <w:r w:rsidRPr="001A03EB">
        <w:rPr>
          <w:rFonts w:eastAsia="Times New Roman"/>
          <w:lang w:val="fr-FR"/>
        </w:rPr>
        <w:t>c)</w:t>
      </w:r>
      <w:r w:rsidRPr="001A03EB">
        <w:rPr>
          <w:rFonts w:eastAsia="Times New Roman"/>
          <w:lang w:val="fr-FR"/>
        </w:rPr>
        <w:tab/>
        <w:t>Les autres véhicules ne doivent pas subir de rodage mais leurs émissions à zéro km doivent être multipliées par ce coefficient.</w:t>
      </w:r>
    </w:p>
    <w:p w:rsidR="001A03EB" w:rsidRPr="001A03EB" w:rsidRDefault="001A03EB" w:rsidP="00B11222">
      <w:pPr>
        <w:pStyle w:val="SingleTxtG"/>
        <w:ind w:left="2835"/>
        <w:rPr>
          <w:rFonts w:eastAsia="Times New Roman"/>
          <w:lang w:val="fr-FR"/>
        </w:rPr>
      </w:pPr>
      <w:r w:rsidRPr="001A03EB">
        <w:rPr>
          <w:rFonts w:eastAsia="Times New Roman"/>
          <w:lang w:val="fr-FR"/>
        </w:rPr>
        <w:t xml:space="preserve">Dans ce cas, les </w:t>
      </w:r>
      <w:r w:rsidRPr="001A03EB">
        <w:rPr>
          <w:lang w:val="fr-FR"/>
        </w:rPr>
        <w:t>valeurs</w:t>
      </w:r>
      <w:r w:rsidRPr="001A03EB">
        <w:rPr>
          <w:rFonts w:eastAsia="Times New Roman"/>
          <w:lang w:val="fr-FR"/>
        </w:rPr>
        <w:t xml:space="preserve"> à retenir sont les suivantes:</w:t>
      </w:r>
    </w:p>
    <w:p w:rsidR="001A03EB" w:rsidRPr="001A03EB" w:rsidRDefault="001A03EB" w:rsidP="00B11222">
      <w:pPr>
        <w:pStyle w:val="SingleTxtG"/>
        <w:ind w:left="3402" w:hanging="567"/>
        <w:rPr>
          <w:lang w:val="fr-FR"/>
        </w:rPr>
      </w:pPr>
      <w:r w:rsidRPr="001A03EB">
        <w:rPr>
          <w:lang w:val="fr-FR"/>
        </w:rPr>
        <w:t>i)</w:t>
      </w:r>
      <w:r w:rsidRPr="001A03EB">
        <w:rPr>
          <w:lang w:val="fr-FR"/>
        </w:rPr>
        <w:tab/>
        <w:t>Les valeurs à «x» km pour le premier véhicule;</w:t>
      </w:r>
    </w:p>
    <w:p w:rsidR="001A03EB" w:rsidRPr="001A03EB" w:rsidRDefault="001A03EB" w:rsidP="00B11222">
      <w:pPr>
        <w:pStyle w:val="SingleTxtG"/>
        <w:ind w:left="3402" w:hanging="567"/>
        <w:rPr>
          <w:rFonts w:eastAsia="Times New Roman"/>
          <w:lang w:val="fr-FR"/>
        </w:rPr>
      </w:pPr>
      <w:r w:rsidRPr="001A03EB">
        <w:rPr>
          <w:rFonts w:eastAsia="Times New Roman"/>
          <w:lang w:val="fr-FR"/>
        </w:rPr>
        <w:t>ii)</w:t>
      </w:r>
      <w:r w:rsidRPr="001A03EB">
        <w:rPr>
          <w:rFonts w:eastAsia="Times New Roman"/>
          <w:lang w:val="fr-FR"/>
        </w:rPr>
        <w:tab/>
        <w:t xml:space="preserve">Les </w:t>
      </w:r>
      <w:r w:rsidRPr="001A03EB">
        <w:rPr>
          <w:lang w:val="fr-FR"/>
        </w:rPr>
        <w:t>valeurs</w:t>
      </w:r>
      <w:r w:rsidRPr="001A03EB">
        <w:rPr>
          <w:rFonts w:eastAsia="Times New Roman"/>
          <w:lang w:val="fr-FR"/>
        </w:rPr>
        <w:t xml:space="preserve"> à zéro km multipliées par le coefficient d</w:t>
      </w:r>
      <w:r w:rsidR="00DB4C2D">
        <w:rPr>
          <w:rFonts w:eastAsia="Times New Roman"/>
          <w:lang w:val="fr-FR"/>
        </w:rPr>
        <w:t>’</w:t>
      </w:r>
      <w:r w:rsidRPr="001A03EB">
        <w:rPr>
          <w:rFonts w:eastAsia="Times New Roman"/>
          <w:lang w:val="fr-FR"/>
        </w:rPr>
        <w:t>évolution pour les autres véhicules.</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8.2.3.3</w:t>
      </w:r>
      <w:r w:rsidRPr="001A03EB">
        <w:rPr>
          <w:rFonts w:eastAsia="Times New Roman"/>
          <w:lang w:val="fr-FR"/>
        </w:rPr>
        <w:tab/>
        <w:t xml:space="preserve">Tous les essais doivent être effectués avec du carburant du commerce. Toutefois, à </w:t>
      </w:r>
      <w:r w:rsidRPr="001A03EB">
        <w:rPr>
          <w:lang w:val="fr-FR"/>
        </w:rPr>
        <w:t>la</w:t>
      </w:r>
      <w:r w:rsidRPr="001A03EB">
        <w:rPr>
          <w:rFonts w:eastAsia="Times New Roman"/>
          <w:lang w:val="fr-FR"/>
        </w:rPr>
        <w:t xml:space="preserve"> demande du constructeur, les carburants de référence décrits à l</w:t>
      </w:r>
      <w:r w:rsidR="00DB4C2D">
        <w:rPr>
          <w:rFonts w:eastAsia="Times New Roman"/>
          <w:lang w:val="fr-FR"/>
        </w:rPr>
        <w:t>’</w:t>
      </w:r>
      <w:r w:rsidRPr="001A03EB">
        <w:rPr>
          <w:rFonts w:eastAsia="Times New Roman"/>
          <w:lang w:val="fr-FR"/>
        </w:rPr>
        <w:t>annexe 10 ou 10a du présent Règlement peuvent être utilisés.</w:t>
      </w:r>
    </w:p>
    <w:p w:rsidR="001A03EB" w:rsidRPr="001A03EB" w:rsidRDefault="001A03EB" w:rsidP="00B11222">
      <w:pPr>
        <w:pStyle w:val="SingleTxtG"/>
        <w:keepNext/>
        <w:spacing w:before="120"/>
        <w:ind w:left="2268" w:hanging="1134"/>
        <w:rPr>
          <w:rFonts w:eastAsia="Times New Roman"/>
          <w:bCs/>
          <w:lang w:val="fr-FR"/>
        </w:rPr>
      </w:pPr>
      <w:r w:rsidRPr="001A03EB">
        <w:rPr>
          <w:rFonts w:eastAsia="Times New Roman"/>
          <w:lang w:val="fr-FR"/>
        </w:rPr>
        <w:t>8.3</w:t>
      </w:r>
      <w:r w:rsidRPr="001A03EB">
        <w:rPr>
          <w:rFonts w:eastAsia="Times New Roman"/>
          <w:lang w:val="fr-FR"/>
        </w:rPr>
        <w:tab/>
      </w:r>
      <w:r w:rsidRPr="001A03EB">
        <w:rPr>
          <w:rFonts w:eastAsia="Times New Roman"/>
          <w:bCs/>
          <w:lang w:val="fr-FR"/>
        </w:rPr>
        <w:t xml:space="preserve">Contrôle de la </w:t>
      </w:r>
      <w:r w:rsidRPr="001A03EB">
        <w:rPr>
          <w:rFonts w:eastAsia="Times New Roman"/>
          <w:lang w:val="fr-FR"/>
        </w:rPr>
        <w:t>conformité</w:t>
      </w:r>
      <w:r w:rsidRPr="001A03EB">
        <w:rPr>
          <w:rFonts w:eastAsia="Times New Roman"/>
          <w:bCs/>
          <w:lang w:val="fr-FR"/>
        </w:rPr>
        <w:t xml:space="preserve"> pour un essai du type III</w:t>
      </w:r>
    </w:p>
    <w:p w:rsidR="001A03EB" w:rsidRPr="001A03EB" w:rsidRDefault="001A03EB" w:rsidP="00B11222">
      <w:pPr>
        <w:pStyle w:val="SingleTxtG"/>
        <w:spacing w:before="120"/>
        <w:ind w:left="2268" w:hanging="1134"/>
        <w:rPr>
          <w:rFonts w:eastAsia="Times New Roman"/>
          <w:lang w:val="fr-FR"/>
        </w:rPr>
      </w:pPr>
      <w:r w:rsidRPr="001A03EB">
        <w:rPr>
          <w:rFonts w:eastAsia="Times New Roman"/>
          <w:bCs/>
          <w:lang w:val="fr-FR"/>
        </w:rPr>
        <w:t>8.3.1</w:t>
      </w:r>
      <w:r w:rsidRPr="001A03EB">
        <w:rPr>
          <w:rFonts w:eastAsia="Times New Roman"/>
          <w:bCs/>
          <w:lang w:val="fr-FR"/>
        </w:rPr>
        <w:tab/>
      </w:r>
      <w:r w:rsidRPr="001A03EB">
        <w:rPr>
          <w:rFonts w:eastAsia="Times New Roman"/>
          <w:lang w:val="fr-FR"/>
        </w:rPr>
        <w:t>Si un essai du type III doit être effectué, il doit l</w:t>
      </w:r>
      <w:r w:rsidR="00DB4C2D">
        <w:rPr>
          <w:rFonts w:eastAsia="Times New Roman"/>
          <w:lang w:val="fr-FR"/>
        </w:rPr>
        <w:t>’</w:t>
      </w:r>
      <w:r w:rsidRPr="001A03EB">
        <w:rPr>
          <w:rFonts w:eastAsia="Times New Roman"/>
          <w:lang w:val="fr-FR"/>
        </w:rPr>
        <w:t>être sur tous les véhicules sélectionnés pour l</w:t>
      </w:r>
      <w:r w:rsidR="00DB4C2D">
        <w:rPr>
          <w:rFonts w:eastAsia="Times New Roman"/>
          <w:lang w:val="fr-FR"/>
        </w:rPr>
        <w:t>’</w:t>
      </w:r>
      <w:r w:rsidRPr="001A03EB">
        <w:rPr>
          <w:rFonts w:eastAsia="Times New Roman"/>
          <w:lang w:val="fr-FR"/>
        </w:rPr>
        <w:t>essai du type I relatif à la conformité de la production qui est défini au paragraphe 8.2. Les essais doivent être effectués dans les conditions indiquées à l</w:t>
      </w:r>
      <w:r w:rsidR="00DB4C2D">
        <w:rPr>
          <w:rFonts w:eastAsia="Times New Roman"/>
          <w:lang w:val="fr-FR"/>
        </w:rPr>
        <w:t>’</w:t>
      </w:r>
      <w:r w:rsidRPr="001A03EB">
        <w:rPr>
          <w:rFonts w:eastAsia="Times New Roman"/>
          <w:lang w:val="fr-FR"/>
        </w:rPr>
        <w:t>annexe 6 du présent Règlement.</w:t>
      </w:r>
    </w:p>
    <w:p w:rsidR="001A03EB" w:rsidRPr="001A03EB" w:rsidRDefault="001A03EB" w:rsidP="00B11222">
      <w:pPr>
        <w:pStyle w:val="SingleTxtG"/>
        <w:keepNext/>
        <w:spacing w:before="120"/>
        <w:ind w:left="2268" w:hanging="1134"/>
        <w:rPr>
          <w:rFonts w:eastAsia="Times New Roman"/>
          <w:bCs/>
          <w:lang w:val="fr-FR"/>
        </w:rPr>
      </w:pPr>
      <w:r w:rsidRPr="001A03EB">
        <w:rPr>
          <w:rFonts w:eastAsia="Times New Roman"/>
          <w:lang w:val="fr-FR"/>
        </w:rPr>
        <w:t>8.4</w:t>
      </w:r>
      <w:r w:rsidRPr="001A03EB">
        <w:rPr>
          <w:rFonts w:eastAsia="Times New Roman"/>
          <w:lang w:val="fr-FR"/>
        </w:rPr>
        <w:tab/>
      </w:r>
      <w:r w:rsidRPr="001A03EB">
        <w:rPr>
          <w:rFonts w:eastAsia="Times New Roman"/>
          <w:bCs/>
          <w:lang w:val="fr-FR"/>
        </w:rPr>
        <w:t>Contrôle de la conformité du véhicule pour un essai du type IV</w:t>
      </w:r>
    </w:p>
    <w:p w:rsidR="001A03EB" w:rsidRPr="001A03EB" w:rsidRDefault="001A03EB" w:rsidP="00B11222">
      <w:pPr>
        <w:pStyle w:val="SingleTxtG"/>
        <w:spacing w:before="120"/>
        <w:ind w:left="2268" w:hanging="1134"/>
        <w:rPr>
          <w:rFonts w:eastAsia="Times New Roman"/>
          <w:lang w:val="fr-FR"/>
        </w:rPr>
      </w:pPr>
      <w:r w:rsidRPr="001A03EB">
        <w:rPr>
          <w:rFonts w:eastAsia="Times New Roman"/>
          <w:bCs/>
          <w:lang w:val="fr-FR"/>
        </w:rPr>
        <w:t>8.4.1</w:t>
      </w:r>
      <w:r w:rsidRPr="001A03EB">
        <w:rPr>
          <w:rFonts w:eastAsia="Times New Roman"/>
          <w:bCs/>
          <w:lang w:val="fr-FR"/>
        </w:rPr>
        <w:tab/>
        <w:t xml:space="preserve">Si </w:t>
      </w:r>
      <w:r w:rsidRPr="001A03EB">
        <w:rPr>
          <w:rFonts w:eastAsia="Times New Roman"/>
          <w:lang w:val="fr-FR"/>
        </w:rPr>
        <w:t>un essai du type IV doit être effectué, il doit l</w:t>
      </w:r>
      <w:r w:rsidR="00DB4C2D">
        <w:rPr>
          <w:rFonts w:eastAsia="Times New Roman"/>
          <w:lang w:val="fr-FR"/>
        </w:rPr>
        <w:t>’</w:t>
      </w:r>
      <w:r w:rsidRPr="001A03EB">
        <w:rPr>
          <w:rFonts w:eastAsia="Times New Roman"/>
          <w:lang w:val="fr-FR"/>
        </w:rPr>
        <w:t>être conformément à l</w:t>
      </w:r>
      <w:r w:rsidR="00DB4C2D">
        <w:rPr>
          <w:rFonts w:eastAsia="Times New Roman"/>
          <w:lang w:val="fr-FR"/>
        </w:rPr>
        <w:t>’</w:t>
      </w:r>
      <w:r w:rsidRPr="001A03EB">
        <w:rPr>
          <w:rFonts w:eastAsia="Times New Roman"/>
          <w:lang w:val="fr-FR"/>
        </w:rPr>
        <w:t>annexe 7 du présent Règlement.</w:t>
      </w:r>
    </w:p>
    <w:p w:rsidR="001A03EB" w:rsidRPr="001A03EB" w:rsidRDefault="001A03EB" w:rsidP="00B11222">
      <w:pPr>
        <w:pStyle w:val="SingleTxtG"/>
        <w:keepNext/>
        <w:spacing w:before="120"/>
        <w:ind w:left="2268" w:hanging="1134"/>
        <w:rPr>
          <w:rFonts w:eastAsia="Times New Roman"/>
          <w:bCs/>
          <w:lang w:val="fr-FR"/>
        </w:rPr>
      </w:pPr>
      <w:r w:rsidRPr="001A03EB">
        <w:rPr>
          <w:rFonts w:eastAsia="Times New Roman"/>
          <w:lang w:val="fr-FR"/>
        </w:rPr>
        <w:t>8.5</w:t>
      </w:r>
      <w:r w:rsidRPr="001A03EB">
        <w:rPr>
          <w:rFonts w:eastAsia="Times New Roman"/>
          <w:lang w:val="fr-FR"/>
        </w:rPr>
        <w:tab/>
      </w:r>
      <w:r w:rsidRPr="001A03EB">
        <w:rPr>
          <w:rFonts w:eastAsia="Times New Roman"/>
          <w:bCs/>
          <w:lang w:val="fr-FR"/>
        </w:rPr>
        <w:t>Contrôle de la conformité du véhicule en ce qui concerne</w:t>
      </w:r>
      <w:r w:rsidR="00B11222">
        <w:rPr>
          <w:rFonts w:eastAsia="Times New Roman"/>
          <w:bCs/>
          <w:lang w:val="fr-FR"/>
        </w:rPr>
        <w:t xml:space="preserve"> </w:t>
      </w:r>
      <w:r w:rsidRPr="001A03EB">
        <w:rPr>
          <w:rFonts w:eastAsia="Times New Roman"/>
          <w:bCs/>
          <w:lang w:val="fr-FR"/>
        </w:rPr>
        <w:t>le système d</w:t>
      </w:r>
      <w:r w:rsidR="00DB4C2D">
        <w:rPr>
          <w:rFonts w:eastAsia="Times New Roman"/>
          <w:bCs/>
          <w:lang w:val="fr-FR"/>
        </w:rPr>
        <w:t>’</w:t>
      </w:r>
      <w:r w:rsidRPr="001A03EB">
        <w:rPr>
          <w:rFonts w:eastAsia="Times New Roman"/>
          <w:bCs/>
          <w:lang w:val="fr-FR"/>
        </w:rPr>
        <w:t>autodiagnostic (OBD)</w:t>
      </w:r>
    </w:p>
    <w:p w:rsidR="001A03EB" w:rsidRPr="001A03EB" w:rsidRDefault="001A03EB" w:rsidP="00B11222">
      <w:pPr>
        <w:pStyle w:val="SingleTxtG"/>
        <w:keepNext/>
        <w:spacing w:before="120"/>
        <w:ind w:left="2268" w:hanging="1134"/>
        <w:rPr>
          <w:rFonts w:eastAsia="Times New Roman"/>
          <w:lang w:val="fr-FR"/>
        </w:rPr>
      </w:pPr>
      <w:r w:rsidRPr="001A03EB">
        <w:rPr>
          <w:rFonts w:eastAsia="Times New Roman"/>
          <w:bCs/>
          <w:lang w:val="fr-FR"/>
        </w:rPr>
        <w:t>8.5.1</w:t>
      </w:r>
      <w:r w:rsidRPr="001A03EB">
        <w:rPr>
          <w:rFonts w:eastAsia="Times New Roman"/>
          <w:bCs/>
          <w:lang w:val="fr-FR"/>
        </w:rPr>
        <w:tab/>
      </w:r>
      <w:r w:rsidRPr="001A03EB">
        <w:rPr>
          <w:rFonts w:eastAsia="Times New Roman"/>
          <w:lang w:val="fr-FR"/>
        </w:rPr>
        <w:t>Si une vérification des performances du système OBD doit être effectuée, elle doit l</w:t>
      </w:r>
      <w:r w:rsidR="00DB4C2D">
        <w:rPr>
          <w:rFonts w:eastAsia="Times New Roman"/>
          <w:lang w:val="fr-FR"/>
        </w:rPr>
        <w:t>’</w:t>
      </w:r>
      <w:r w:rsidRPr="001A03EB">
        <w:rPr>
          <w:rFonts w:eastAsia="Times New Roman"/>
          <w:lang w:val="fr-FR"/>
        </w:rPr>
        <w:t>être conformément aux dispositions suivantes:</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8.5.1.1</w:t>
      </w:r>
      <w:r w:rsidRPr="001A03EB">
        <w:rPr>
          <w:rFonts w:eastAsia="Times New Roman"/>
          <w:lang w:val="fr-FR"/>
        </w:rPr>
        <w:tab/>
        <w:t>Lorsque l</w:t>
      </w:r>
      <w:r w:rsidR="00DB4C2D">
        <w:rPr>
          <w:rFonts w:eastAsia="Times New Roman"/>
          <w:lang w:val="fr-FR"/>
        </w:rPr>
        <w:t>’</w:t>
      </w:r>
      <w:r w:rsidRPr="001A03EB">
        <w:rPr>
          <w:rFonts w:eastAsia="Times New Roman"/>
          <w:lang w:val="fr-FR"/>
        </w:rPr>
        <w:t>autorité d</w:t>
      </w:r>
      <w:r w:rsidR="00DB4C2D">
        <w:rPr>
          <w:rFonts w:eastAsia="Times New Roman"/>
          <w:lang w:val="fr-FR"/>
        </w:rPr>
        <w:t>’</w:t>
      </w:r>
      <w:r w:rsidRPr="001A03EB">
        <w:rPr>
          <w:rFonts w:eastAsia="Times New Roman"/>
          <w:lang w:val="fr-FR"/>
        </w:rPr>
        <w:t>homologation de type détermine que la qualité de la production ne semble pas satisfaisante, un véhicule doit être prélevé au hasard dans la série et est soumis aux essais décrits à l</w:t>
      </w:r>
      <w:r w:rsidR="00DB4C2D">
        <w:rPr>
          <w:rFonts w:eastAsia="Times New Roman"/>
          <w:lang w:val="fr-FR"/>
        </w:rPr>
        <w:t>’</w:t>
      </w:r>
      <w:r w:rsidRPr="001A03EB">
        <w:rPr>
          <w:rFonts w:eastAsia="Times New Roman"/>
          <w:lang w:val="fr-FR"/>
        </w:rPr>
        <w:t>appendice 1 de l</w:t>
      </w:r>
      <w:r w:rsidR="00DB4C2D">
        <w:rPr>
          <w:rFonts w:eastAsia="Times New Roman"/>
          <w:lang w:val="fr-FR"/>
        </w:rPr>
        <w:t>’</w:t>
      </w:r>
      <w:r w:rsidRPr="001A03EB">
        <w:rPr>
          <w:rFonts w:eastAsia="Times New Roman"/>
          <w:lang w:val="fr-FR"/>
        </w:rPr>
        <w:t>annexe 11 du présent Règlement.</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8.5.1.2</w:t>
      </w:r>
      <w:r w:rsidRPr="001A03EB">
        <w:rPr>
          <w:rFonts w:eastAsia="Times New Roman"/>
          <w:lang w:val="fr-FR"/>
        </w:rPr>
        <w:tab/>
        <w:t>La production doit être jugée conforme si ce véhicule répond aux exigences des essais décrits à l</w:t>
      </w:r>
      <w:r w:rsidR="00DB4C2D">
        <w:rPr>
          <w:rFonts w:eastAsia="Times New Roman"/>
          <w:lang w:val="fr-FR"/>
        </w:rPr>
        <w:t>’</w:t>
      </w:r>
      <w:r w:rsidRPr="001A03EB">
        <w:rPr>
          <w:rFonts w:eastAsia="Times New Roman"/>
          <w:lang w:val="fr-FR"/>
        </w:rPr>
        <w:t>appendice 1 de l</w:t>
      </w:r>
      <w:r w:rsidR="00DB4C2D">
        <w:rPr>
          <w:rFonts w:eastAsia="Times New Roman"/>
          <w:lang w:val="fr-FR"/>
        </w:rPr>
        <w:t>’</w:t>
      </w:r>
      <w:r w:rsidRPr="001A03EB">
        <w:rPr>
          <w:rFonts w:eastAsia="Times New Roman"/>
          <w:lang w:val="fr-FR"/>
        </w:rPr>
        <w:t>annexe 11 du présent Règlement.</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8.5.1.3</w:t>
      </w:r>
      <w:r w:rsidRPr="001A03EB">
        <w:rPr>
          <w:rFonts w:eastAsia="Times New Roman"/>
          <w:lang w:val="fr-FR"/>
        </w:rPr>
        <w:tab/>
        <w:t>Si le véhicule prélevé dans la série ne satisfait pas aux prescriptions du paragraphe 8.5.1.1, un nouvel échantillon de quatre véhicules doit être prélevé de manière aléatoire dans la série et soumis aux essais décrits à l</w:t>
      </w:r>
      <w:r w:rsidR="00DB4C2D">
        <w:rPr>
          <w:rFonts w:eastAsia="Times New Roman"/>
          <w:lang w:val="fr-FR"/>
        </w:rPr>
        <w:t>’</w:t>
      </w:r>
      <w:r w:rsidRPr="001A03EB">
        <w:rPr>
          <w:rFonts w:eastAsia="Times New Roman"/>
          <w:lang w:val="fr-FR"/>
        </w:rPr>
        <w:t>appendice 1 de l</w:t>
      </w:r>
      <w:r w:rsidR="00DB4C2D">
        <w:rPr>
          <w:rFonts w:eastAsia="Times New Roman"/>
          <w:lang w:val="fr-FR"/>
        </w:rPr>
        <w:t>’</w:t>
      </w:r>
      <w:r w:rsidRPr="001A03EB">
        <w:rPr>
          <w:rFonts w:eastAsia="Times New Roman"/>
          <w:lang w:val="fr-FR"/>
        </w:rPr>
        <w:t>annexe 11 du présent Règlement. Les essais peuvent être effectués sur des véhicules qui ont subi un rodage de 15 000 km au maximum.</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lastRenderedPageBreak/>
        <w:t>8.5.1.4</w:t>
      </w:r>
      <w:r w:rsidRPr="001A03EB">
        <w:rPr>
          <w:rFonts w:eastAsia="Times New Roman"/>
          <w:lang w:val="fr-FR"/>
        </w:rPr>
        <w:tab/>
        <w:t>La production doit être jugée conforme si au moins trois véhicules répondent aux exigences des essais décrits à l</w:t>
      </w:r>
      <w:r w:rsidR="00DB4C2D">
        <w:rPr>
          <w:rFonts w:eastAsia="Times New Roman"/>
          <w:lang w:val="fr-FR"/>
        </w:rPr>
        <w:t>’</w:t>
      </w:r>
      <w:r w:rsidRPr="001A03EB">
        <w:rPr>
          <w:rFonts w:eastAsia="Times New Roman"/>
          <w:lang w:val="fr-FR"/>
        </w:rPr>
        <w:t>appendice 1 de l</w:t>
      </w:r>
      <w:r w:rsidR="00DB4C2D">
        <w:rPr>
          <w:rFonts w:eastAsia="Times New Roman"/>
          <w:lang w:val="fr-FR"/>
        </w:rPr>
        <w:t>’</w:t>
      </w:r>
      <w:r w:rsidRPr="001A03EB">
        <w:rPr>
          <w:rFonts w:eastAsia="Times New Roman"/>
          <w:lang w:val="fr-FR"/>
        </w:rPr>
        <w:t>annexe 11 du présent Règlement.</w:t>
      </w:r>
    </w:p>
    <w:p w:rsidR="001A03EB" w:rsidRPr="001A03EB" w:rsidRDefault="001A03EB" w:rsidP="00B11222">
      <w:pPr>
        <w:pStyle w:val="SingleTxtG"/>
        <w:keepNext/>
        <w:spacing w:before="120"/>
        <w:ind w:left="2268" w:hanging="1134"/>
        <w:rPr>
          <w:rFonts w:eastAsia="Times New Roman"/>
          <w:bCs/>
          <w:lang w:val="fr-FR"/>
        </w:rPr>
      </w:pPr>
      <w:r w:rsidRPr="001A03EB">
        <w:rPr>
          <w:rFonts w:eastAsia="Times New Roman"/>
          <w:lang w:val="fr-FR"/>
        </w:rPr>
        <w:t>8.6</w:t>
      </w:r>
      <w:r w:rsidRPr="001A03EB">
        <w:rPr>
          <w:rFonts w:eastAsia="Times New Roman"/>
          <w:lang w:val="fr-FR"/>
        </w:rPr>
        <w:tab/>
      </w:r>
      <w:r w:rsidRPr="001A03EB">
        <w:rPr>
          <w:rFonts w:eastAsia="Times New Roman"/>
          <w:bCs/>
          <w:lang w:val="fr-FR"/>
        </w:rPr>
        <w:t>Contrôle de la conformité d</w:t>
      </w:r>
      <w:r w:rsidR="00DB4C2D">
        <w:rPr>
          <w:rFonts w:eastAsia="Times New Roman"/>
          <w:bCs/>
          <w:lang w:val="fr-FR"/>
        </w:rPr>
        <w:t>’</w:t>
      </w:r>
      <w:r w:rsidRPr="001A03EB">
        <w:rPr>
          <w:rFonts w:eastAsia="Times New Roman"/>
          <w:bCs/>
          <w:lang w:val="fr-FR"/>
        </w:rPr>
        <w:t>un véhicule fonctionnant au GPL</w:t>
      </w:r>
      <w:r w:rsidR="00B11222">
        <w:rPr>
          <w:rFonts w:eastAsia="Times New Roman"/>
          <w:bCs/>
          <w:lang w:val="fr-FR"/>
        </w:rPr>
        <w:t xml:space="preserve"> </w:t>
      </w:r>
      <w:r w:rsidRPr="001A03EB">
        <w:rPr>
          <w:rFonts w:eastAsia="Times New Roman"/>
          <w:bCs/>
          <w:lang w:val="fr-FR"/>
        </w:rPr>
        <w:t>ou au GN/</w:t>
      </w:r>
      <w:proofErr w:type="spellStart"/>
      <w:r w:rsidRPr="001A03EB">
        <w:rPr>
          <w:rFonts w:eastAsia="Times New Roman"/>
          <w:bCs/>
          <w:lang w:val="fr-FR"/>
        </w:rPr>
        <w:t>biométhane</w:t>
      </w:r>
      <w:proofErr w:type="spellEnd"/>
    </w:p>
    <w:p w:rsidR="001A03EB" w:rsidRPr="001A03EB" w:rsidRDefault="001A03EB" w:rsidP="00B11222">
      <w:pPr>
        <w:pStyle w:val="SingleTxtG"/>
        <w:spacing w:before="120"/>
        <w:ind w:left="2268" w:hanging="1134"/>
        <w:rPr>
          <w:rFonts w:eastAsia="Times New Roman"/>
          <w:lang w:val="fr-FR"/>
        </w:rPr>
      </w:pPr>
      <w:r w:rsidRPr="001A03EB">
        <w:rPr>
          <w:rFonts w:eastAsia="Times New Roman"/>
          <w:bCs/>
          <w:lang w:val="fr-FR"/>
        </w:rPr>
        <w:t>8.6.1</w:t>
      </w:r>
      <w:r w:rsidRPr="001A03EB">
        <w:rPr>
          <w:rFonts w:eastAsia="Times New Roman"/>
          <w:bCs/>
          <w:lang w:val="fr-FR"/>
        </w:rPr>
        <w:tab/>
      </w:r>
      <w:r w:rsidRPr="001A03EB">
        <w:rPr>
          <w:rFonts w:eastAsia="Times New Roman"/>
          <w:lang w:val="fr-FR"/>
        </w:rPr>
        <w:t>Les essais de contrôle de la conformité de la production peuvent être réalisés avec un carburant disponible dans le commerce dont le rapport C3/C4 se situe entre ceux des carburants de référence dans le cas du GPL, ou dont l</w:t>
      </w:r>
      <w:r w:rsidR="00DB4C2D">
        <w:rPr>
          <w:rFonts w:eastAsia="Times New Roman"/>
          <w:lang w:val="fr-FR"/>
        </w:rPr>
        <w:t>’</w:t>
      </w:r>
      <w:r w:rsidRPr="001A03EB">
        <w:rPr>
          <w:rFonts w:eastAsia="Times New Roman"/>
          <w:lang w:val="fr-FR"/>
        </w:rPr>
        <w:t xml:space="preserve">indice de </w:t>
      </w:r>
      <w:proofErr w:type="spellStart"/>
      <w:r w:rsidRPr="001A03EB">
        <w:rPr>
          <w:rFonts w:eastAsia="Times New Roman"/>
          <w:lang w:val="fr-FR"/>
        </w:rPr>
        <w:t>Wobbe</w:t>
      </w:r>
      <w:proofErr w:type="spellEnd"/>
      <w:r w:rsidRPr="001A03EB">
        <w:rPr>
          <w:rFonts w:eastAsia="Times New Roman"/>
          <w:lang w:val="fr-FR"/>
        </w:rPr>
        <w:t xml:space="preserve"> se situe entre ceux des carburants de référence extrêmes dans le cas du GN. Dans ce cas, une analyse de carburant doit être présentée à l</w:t>
      </w:r>
      <w:r w:rsidR="00DB4C2D">
        <w:rPr>
          <w:rFonts w:eastAsia="Times New Roman"/>
          <w:lang w:val="fr-FR"/>
        </w:rPr>
        <w:t>’</w:t>
      </w:r>
      <w:r w:rsidRPr="001A03EB">
        <w:rPr>
          <w:rFonts w:eastAsia="Times New Roman"/>
          <w:lang w:val="fr-FR"/>
        </w:rPr>
        <w:t>autorité d</w:t>
      </w:r>
      <w:r w:rsidR="00DB4C2D">
        <w:rPr>
          <w:rFonts w:eastAsia="Times New Roman"/>
          <w:lang w:val="fr-FR"/>
        </w:rPr>
        <w:t>’</w:t>
      </w:r>
      <w:r w:rsidRPr="001A03EB">
        <w:rPr>
          <w:rFonts w:eastAsia="Times New Roman"/>
          <w:lang w:val="fr-FR"/>
        </w:rPr>
        <w:t>homologation de type.</w:t>
      </w:r>
    </w:p>
    <w:p w:rsidR="001A03EB" w:rsidRPr="001A03EB" w:rsidRDefault="00B11222" w:rsidP="00B11222">
      <w:pPr>
        <w:pStyle w:val="HChG"/>
        <w:rPr>
          <w:lang w:val="fr-FR"/>
        </w:rPr>
      </w:pPr>
      <w:r>
        <w:rPr>
          <w:lang w:val="fr-FR"/>
        </w:rPr>
        <w:tab/>
      </w:r>
      <w:r>
        <w:rPr>
          <w:lang w:val="fr-FR"/>
        </w:rPr>
        <w:tab/>
      </w:r>
      <w:r w:rsidR="001A03EB" w:rsidRPr="001A03EB">
        <w:rPr>
          <w:lang w:val="fr-FR"/>
        </w:rPr>
        <w:t>9.</w:t>
      </w:r>
      <w:r w:rsidR="001A03EB" w:rsidRPr="001A03EB">
        <w:rPr>
          <w:lang w:val="fr-FR"/>
        </w:rPr>
        <w:tab/>
      </w:r>
      <w:r w:rsidR="001A03EB" w:rsidRPr="001A03EB">
        <w:rPr>
          <w:lang w:val="fr-FR"/>
        </w:rPr>
        <w:tab/>
        <w:t>Conformité en service</w:t>
      </w:r>
    </w:p>
    <w:p w:rsidR="001A03EB" w:rsidRPr="001A03EB" w:rsidRDefault="001A03EB" w:rsidP="00B11222">
      <w:pPr>
        <w:pStyle w:val="SingleTxtG"/>
        <w:keepNext/>
        <w:spacing w:before="120"/>
        <w:ind w:left="2268" w:hanging="1134"/>
        <w:rPr>
          <w:rFonts w:eastAsia="Times New Roman"/>
          <w:bCs/>
          <w:lang w:val="fr-FR"/>
        </w:rPr>
      </w:pPr>
      <w:r w:rsidRPr="001A03EB">
        <w:rPr>
          <w:rFonts w:eastAsia="Times New Roman"/>
          <w:lang w:val="fr-FR"/>
        </w:rPr>
        <w:t>9.1</w:t>
      </w:r>
      <w:r w:rsidRPr="001A03EB">
        <w:rPr>
          <w:rFonts w:eastAsia="Times New Roman"/>
          <w:lang w:val="fr-FR"/>
        </w:rPr>
        <w:tab/>
      </w:r>
      <w:r w:rsidRPr="001A03EB">
        <w:rPr>
          <w:rFonts w:eastAsia="Times New Roman"/>
          <w:lang w:val="fr-FR"/>
        </w:rPr>
        <w:tab/>
      </w:r>
      <w:r w:rsidRPr="001A03EB">
        <w:rPr>
          <w:rFonts w:eastAsia="Times New Roman"/>
          <w:bCs/>
          <w:lang w:val="fr-FR"/>
        </w:rPr>
        <w:t>Introduction</w:t>
      </w:r>
    </w:p>
    <w:p w:rsidR="001A03EB" w:rsidRPr="001A03EB" w:rsidRDefault="001A03EB" w:rsidP="00B11222">
      <w:pPr>
        <w:pStyle w:val="SingleTxtG"/>
        <w:ind w:left="2268"/>
        <w:rPr>
          <w:lang w:val="fr-FR"/>
        </w:rPr>
      </w:pPr>
      <w:r w:rsidRPr="001A03EB">
        <w:rPr>
          <w:lang w:val="fr-FR"/>
        </w:rPr>
        <w:t>Le présent paragraphe énonce, pour les émissions d</w:t>
      </w:r>
      <w:r w:rsidR="00DB4C2D">
        <w:rPr>
          <w:lang w:val="fr-FR"/>
        </w:rPr>
        <w:t>’</w:t>
      </w:r>
      <w:r w:rsidRPr="001A03EB">
        <w:rPr>
          <w:lang w:val="fr-FR"/>
        </w:rPr>
        <w:t>échappement et les systèmes OBD (y compris l</w:t>
      </w:r>
      <w:r w:rsidR="00DB4C2D">
        <w:rPr>
          <w:lang w:val="fr-FR"/>
        </w:rPr>
        <w:t>’</w:t>
      </w:r>
      <w:r w:rsidRPr="001A03EB">
        <w:rPr>
          <w:lang w:val="fr-FR"/>
        </w:rPr>
        <w:t>IUPR</w:t>
      </w:r>
      <w:r w:rsidRPr="001A03EB">
        <w:rPr>
          <w:vertAlign w:val="subscript"/>
          <w:lang w:val="fr-FR"/>
        </w:rPr>
        <w:t>M</w:t>
      </w:r>
      <w:r w:rsidRPr="001A03EB">
        <w:rPr>
          <w:lang w:val="fr-FR"/>
        </w:rPr>
        <w:t>), les prescriptions en matière de conformité en service applicables au type de véhicules homologué conformément au présent Règlement.</w:t>
      </w:r>
    </w:p>
    <w:p w:rsidR="001A03EB" w:rsidRPr="001A03EB" w:rsidRDefault="001A03EB" w:rsidP="00B11222">
      <w:pPr>
        <w:pStyle w:val="SingleTxtG"/>
        <w:keepNext/>
        <w:spacing w:before="120"/>
        <w:ind w:left="2268" w:hanging="1134"/>
        <w:rPr>
          <w:rFonts w:eastAsia="Times New Roman"/>
          <w:lang w:val="fr-FR"/>
        </w:rPr>
      </w:pPr>
      <w:r w:rsidRPr="001A03EB">
        <w:rPr>
          <w:rFonts w:eastAsia="Times New Roman"/>
          <w:lang w:val="fr-FR"/>
        </w:rPr>
        <w:t>9.2</w:t>
      </w:r>
      <w:r w:rsidRPr="001A03EB">
        <w:rPr>
          <w:rFonts w:eastAsia="Times New Roman"/>
          <w:lang w:val="fr-FR"/>
        </w:rPr>
        <w:tab/>
      </w:r>
      <w:r w:rsidRPr="001A03EB">
        <w:rPr>
          <w:rFonts w:eastAsia="Times New Roman"/>
          <w:lang w:val="fr-FR"/>
        </w:rPr>
        <w:tab/>
      </w:r>
      <w:r w:rsidRPr="001A03EB">
        <w:rPr>
          <w:rFonts w:eastAsia="Times New Roman"/>
          <w:bCs/>
          <w:lang w:val="fr-FR"/>
        </w:rPr>
        <w:t>Vérification de la conformité en service</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9.2.1</w:t>
      </w:r>
      <w:r w:rsidRPr="001A03EB">
        <w:rPr>
          <w:rFonts w:eastAsia="Times New Roman"/>
          <w:lang w:val="fr-FR"/>
        </w:rPr>
        <w:tab/>
      </w:r>
      <w:r w:rsidRPr="008C3659">
        <w:rPr>
          <w:rFonts w:eastAsia="Times New Roman"/>
          <w:spacing w:val="-2"/>
          <w:lang w:val="fr-FR"/>
        </w:rPr>
        <w:t>La vérification de la conformité en service doit être effectuée par l</w:t>
      </w:r>
      <w:r w:rsidR="00DB4C2D" w:rsidRPr="008C3659">
        <w:rPr>
          <w:rFonts w:eastAsia="Times New Roman"/>
          <w:spacing w:val="-2"/>
          <w:lang w:val="fr-FR"/>
        </w:rPr>
        <w:t>’</w:t>
      </w:r>
      <w:r w:rsidRPr="008C3659">
        <w:rPr>
          <w:rFonts w:eastAsia="Times New Roman"/>
          <w:spacing w:val="-2"/>
          <w:lang w:val="fr-FR"/>
        </w:rPr>
        <w:t>autorité d</w:t>
      </w:r>
      <w:r w:rsidR="00DB4C2D" w:rsidRPr="008C3659">
        <w:rPr>
          <w:rFonts w:eastAsia="Times New Roman"/>
          <w:spacing w:val="-2"/>
          <w:lang w:val="fr-FR"/>
        </w:rPr>
        <w:t>’</w:t>
      </w:r>
      <w:r w:rsidRPr="008C3659">
        <w:rPr>
          <w:rFonts w:eastAsia="Times New Roman"/>
          <w:spacing w:val="-2"/>
          <w:lang w:val="fr-FR"/>
        </w:rPr>
        <w:t>homologation de type sur la base des informations pertinentes fournies par le constructeur, selon des procédures similaires à celles définies à l</w:t>
      </w:r>
      <w:r w:rsidR="00DB4C2D" w:rsidRPr="008C3659">
        <w:rPr>
          <w:rFonts w:eastAsia="Times New Roman"/>
          <w:spacing w:val="-2"/>
          <w:lang w:val="fr-FR"/>
        </w:rPr>
        <w:t>’</w:t>
      </w:r>
      <w:r w:rsidRPr="008C3659">
        <w:rPr>
          <w:rFonts w:eastAsia="Times New Roman"/>
          <w:spacing w:val="-2"/>
          <w:lang w:val="fr-FR"/>
        </w:rPr>
        <w:t>appendice 2 de l</w:t>
      </w:r>
      <w:r w:rsidR="00DB4C2D" w:rsidRPr="008C3659">
        <w:rPr>
          <w:rFonts w:eastAsia="Times New Roman"/>
          <w:spacing w:val="-2"/>
          <w:lang w:val="fr-FR"/>
        </w:rPr>
        <w:t>’</w:t>
      </w:r>
      <w:r w:rsidRPr="008C3659">
        <w:rPr>
          <w:rFonts w:eastAsia="Times New Roman"/>
          <w:spacing w:val="-2"/>
          <w:lang w:val="fr-FR"/>
        </w:rPr>
        <w:t>Acc</w:t>
      </w:r>
      <w:r w:rsidR="008C3659" w:rsidRPr="008C3659">
        <w:rPr>
          <w:rFonts w:eastAsia="Times New Roman"/>
          <w:spacing w:val="-2"/>
          <w:lang w:val="fr-FR"/>
        </w:rPr>
        <w:t>ord de 1958 (document E/ECE/324</w:t>
      </w:r>
      <w:r w:rsidR="008C3659" w:rsidRPr="008C3659">
        <w:rPr>
          <w:rFonts w:eastAsia="Times New Roman"/>
          <w:spacing w:val="-2"/>
          <w:lang w:val="fr-FR"/>
        </w:rPr>
        <w:noBreakHyphen/>
      </w:r>
      <w:r w:rsidRPr="008C3659">
        <w:rPr>
          <w:rFonts w:eastAsia="Times New Roman"/>
          <w:spacing w:val="-2"/>
          <w:lang w:val="fr-FR"/>
        </w:rPr>
        <w:t>E/ECE/TRANS/505/Rev.2). Des renseignements fournis par l</w:t>
      </w:r>
      <w:r w:rsidR="00DB4C2D" w:rsidRPr="008C3659">
        <w:rPr>
          <w:rFonts w:eastAsia="Times New Roman"/>
          <w:spacing w:val="-2"/>
          <w:lang w:val="fr-FR"/>
        </w:rPr>
        <w:t>’</w:t>
      </w:r>
      <w:r w:rsidRPr="008C3659">
        <w:rPr>
          <w:rFonts w:eastAsia="Times New Roman"/>
          <w:spacing w:val="-2"/>
          <w:lang w:val="fr-FR"/>
        </w:rPr>
        <w:t>autorité d</w:t>
      </w:r>
      <w:r w:rsidR="00DB4C2D" w:rsidRPr="008C3659">
        <w:rPr>
          <w:rFonts w:eastAsia="Times New Roman"/>
          <w:spacing w:val="-2"/>
          <w:lang w:val="fr-FR"/>
        </w:rPr>
        <w:t>’</w:t>
      </w:r>
      <w:r w:rsidRPr="008C3659">
        <w:rPr>
          <w:rFonts w:eastAsia="Times New Roman"/>
          <w:spacing w:val="-2"/>
          <w:lang w:val="fr-FR"/>
        </w:rPr>
        <w:t>homologation de type et les essais de contrôle menés par un État membre peuvent compléter les rapports de suivi en service communiqués par le constructeur.</w:t>
      </w:r>
    </w:p>
    <w:p w:rsidR="001A03EB" w:rsidRPr="001A03EB" w:rsidRDefault="008C3659" w:rsidP="00B11222">
      <w:pPr>
        <w:pStyle w:val="SingleTxtG"/>
        <w:spacing w:before="120"/>
        <w:ind w:left="2268" w:hanging="1134"/>
        <w:rPr>
          <w:rFonts w:eastAsia="Times New Roman"/>
          <w:lang w:val="fr-FR"/>
        </w:rPr>
      </w:pPr>
      <w:r>
        <w:rPr>
          <w:rFonts w:eastAsia="Times New Roman"/>
          <w:lang w:val="fr-FR"/>
        </w:rPr>
        <w:t>9.2.2</w:t>
      </w:r>
      <w:r>
        <w:rPr>
          <w:rFonts w:eastAsia="Times New Roman"/>
          <w:lang w:val="fr-FR"/>
        </w:rPr>
        <w:tab/>
        <w:t>Les figures </w:t>
      </w:r>
      <w:r w:rsidR="001A03EB" w:rsidRPr="001A03EB">
        <w:rPr>
          <w:rFonts w:eastAsia="Times New Roman"/>
          <w:lang w:val="fr-FR"/>
        </w:rPr>
        <w:t>App4/1 et App4/2 de l</w:t>
      </w:r>
      <w:r w:rsidR="00DB4C2D">
        <w:rPr>
          <w:rFonts w:eastAsia="Times New Roman"/>
          <w:lang w:val="fr-FR"/>
        </w:rPr>
        <w:t>’</w:t>
      </w:r>
      <w:r w:rsidR="001A03EB" w:rsidRPr="001A03EB">
        <w:rPr>
          <w:rFonts w:eastAsia="Times New Roman"/>
          <w:lang w:val="fr-FR"/>
        </w:rPr>
        <w:t>appendice 4 du présent Règlement illustrent la procédure de vérification de la conformité en service. Le processus de contrôle est décrit à l</w:t>
      </w:r>
      <w:r w:rsidR="00DB4C2D">
        <w:rPr>
          <w:rFonts w:eastAsia="Times New Roman"/>
          <w:lang w:val="fr-FR"/>
        </w:rPr>
        <w:t>’</w:t>
      </w:r>
      <w:r w:rsidR="001A03EB" w:rsidRPr="001A03EB">
        <w:rPr>
          <w:rFonts w:eastAsia="Times New Roman"/>
          <w:lang w:val="fr-FR"/>
        </w:rPr>
        <w:t>appendice 5 du présent Règlement.</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9.2.3</w:t>
      </w:r>
      <w:r w:rsidRPr="001A03EB">
        <w:rPr>
          <w:rFonts w:eastAsia="Times New Roman"/>
          <w:lang w:val="fr-FR"/>
        </w:rPr>
        <w:tab/>
        <w:t>Dans les informations communiquées, à la demande de l</w:t>
      </w:r>
      <w:r w:rsidR="00DB4C2D">
        <w:rPr>
          <w:rFonts w:eastAsia="Times New Roman"/>
          <w:lang w:val="fr-FR"/>
        </w:rPr>
        <w:t>’</w:t>
      </w:r>
      <w:r w:rsidRPr="001A03EB">
        <w:rPr>
          <w:rFonts w:eastAsia="Times New Roman"/>
          <w:lang w:val="fr-FR"/>
        </w:rPr>
        <w:t>autorité d</w:t>
      </w:r>
      <w:r w:rsidR="00DB4C2D">
        <w:rPr>
          <w:rFonts w:eastAsia="Times New Roman"/>
          <w:lang w:val="fr-FR"/>
        </w:rPr>
        <w:t>’</w:t>
      </w:r>
      <w:r w:rsidRPr="001A03EB">
        <w:rPr>
          <w:rFonts w:eastAsia="Times New Roman"/>
          <w:lang w:val="fr-FR"/>
        </w:rPr>
        <w:t>homologation de type, pour le contrôle de la conformité en service, le constructeur doit signaler les demandes d</w:t>
      </w:r>
      <w:r w:rsidR="00DB4C2D">
        <w:rPr>
          <w:rFonts w:eastAsia="Times New Roman"/>
          <w:lang w:val="fr-FR"/>
        </w:rPr>
        <w:t>’</w:t>
      </w:r>
      <w:r w:rsidRPr="001A03EB">
        <w:rPr>
          <w:rFonts w:eastAsia="Times New Roman"/>
          <w:lang w:val="fr-FR"/>
        </w:rPr>
        <w:t>activation de garantie, les réparations effectuées sous garantie et les dysfonctionnements enregistrés par l</w:t>
      </w:r>
      <w:r w:rsidR="00DB4C2D">
        <w:rPr>
          <w:rFonts w:eastAsia="Times New Roman"/>
          <w:lang w:val="fr-FR"/>
        </w:rPr>
        <w:t>’</w:t>
      </w:r>
      <w:r w:rsidRPr="001A03EB">
        <w:rPr>
          <w:rFonts w:eastAsia="Times New Roman"/>
          <w:lang w:val="fr-FR"/>
        </w:rPr>
        <w:t>OBD lors de l</w:t>
      </w:r>
      <w:r w:rsidR="00DB4C2D">
        <w:rPr>
          <w:rFonts w:eastAsia="Times New Roman"/>
          <w:lang w:val="fr-FR"/>
        </w:rPr>
        <w:t>’</w:t>
      </w:r>
      <w:r w:rsidRPr="001A03EB">
        <w:rPr>
          <w:rFonts w:eastAsia="Times New Roman"/>
          <w:lang w:val="fr-FR"/>
        </w:rPr>
        <w:t>entretien selon un format convenu au moment de l</w:t>
      </w:r>
      <w:r w:rsidR="00DB4C2D">
        <w:rPr>
          <w:rFonts w:eastAsia="Times New Roman"/>
          <w:lang w:val="fr-FR"/>
        </w:rPr>
        <w:t>’</w:t>
      </w:r>
      <w:r w:rsidRPr="001A03EB">
        <w:rPr>
          <w:rFonts w:eastAsia="Times New Roman"/>
          <w:lang w:val="fr-FR"/>
        </w:rPr>
        <w:t>homologation. Ces renseignements doivent indiquer de façon détaillée la fréquence et la teneur des dysfonctionnements des composants et systèmes liés aux émissions. Les rapports doivent être établis au moins une fois par an pour chaque modèle de véhicule pendant une période de 5 ans au maximum ou jusqu</w:t>
      </w:r>
      <w:r w:rsidR="00DB4C2D">
        <w:rPr>
          <w:rFonts w:eastAsia="Times New Roman"/>
          <w:lang w:val="fr-FR"/>
        </w:rPr>
        <w:t>’</w:t>
      </w:r>
      <w:r w:rsidRPr="001A03EB">
        <w:rPr>
          <w:rFonts w:eastAsia="Times New Roman"/>
          <w:lang w:val="fr-FR"/>
        </w:rPr>
        <w:t>à 100 000 km, au premier des deux termes échus.</w:t>
      </w:r>
    </w:p>
    <w:p w:rsidR="001A03EB" w:rsidRPr="001A03EB" w:rsidRDefault="001A03EB" w:rsidP="00B11222">
      <w:pPr>
        <w:pStyle w:val="SingleTxtG"/>
        <w:keepNext/>
        <w:spacing w:before="120"/>
        <w:ind w:left="2268" w:hanging="1134"/>
        <w:rPr>
          <w:rFonts w:eastAsia="Times New Roman"/>
          <w:iCs/>
          <w:lang w:val="fr-FR"/>
        </w:rPr>
      </w:pPr>
      <w:r w:rsidRPr="001A03EB">
        <w:rPr>
          <w:rFonts w:eastAsia="Times New Roman"/>
          <w:lang w:val="fr-FR"/>
        </w:rPr>
        <w:t>9.2.4</w:t>
      </w:r>
      <w:r w:rsidRPr="001A03EB">
        <w:rPr>
          <w:rFonts w:eastAsia="Times New Roman"/>
          <w:lang w:val="fr-FR"/>
        </w:rPr>
        <w:tab/>
      </w:r>
      <w:r w:rsidRPr="001A03EB">
        <w:rPr>
          <w:rFonts w:eastAsia="Times New Roman"/>
          <w:iCs/>
          <w:lang w:val="fr-FR"/>
        </w:rPr>
        <w:t xml:space="preserve">Paramètres </w:t>
      </w:r>
      <w:r w:rsidRPr="001A03EB">
        <w:rPr>
          <w:rFonts w:eastAsia="Times New Roman"/>
          <w:bCs/>
          <w:lang w:val="fr-FR"/>
        </w:rPr>
        <w:t>définissant</w:t>
      </w:r>
      <w:r w:rsidRPr="001A03EB">
        <w:rPr>
          <w:rFonts w:eastAsia="Times New Roman"/>
          <w:iCs/>
          <w:lang w:val="fr-FR"/>
        </w:rPr>
        <w:t xml:space="preserve"> la famille de véhicules en service</w:t>
      </w:r>
    </w:p>
    <w:p w:rsidR="001A03EB" w:rsidRPr="008E1CE8" w:rsidRDefault="001A03EB" w:rsidP="00B11222">
      <w:pPr>
        <w:pStyle w:val="SingleTxtG"/>
        <w:keepNext/>
        <w:ind w:left="2268"/>
        <w:rPr>
          <w:rFonts w:eastAsia="Times New Roman"/>
          <w:spacing w:val="-2"/>
          <w:lang w:val="fr-FR"/>
        </w:rPr>
      </w:pPr>
      <w:r w:rsidRPr="001A03EB">
        <w:rPr>
          <w:rFonts w:eastAsia="Times New Roman"/>
          <w:lang w:val="fr-FR"/>
        </w:rPr>
        <w:tab/>
      </w:r>
      <w:r w:rsidRPr="008E1CE8">
        <w:rPr>
          <w:rFonts w:eastAsia="Times New Roman"/>
          <w:spacing w:val="-2"/>
          <w:lang w:val="fr-FR"/>
        </w:rPr>
        <w:t xml:space="preserve">La famille de véhicules en service peut être définie par des paramètres de conception de base </w:t>
      </w:r>
      <w:r w:rsidRPr="008E1CE8">
        <w:rPr>
          <w:spacing w:val="-2"/>
          <w:lang w:val="fr-FR"/>
        </w:rPr>
        <w:t>communs</w:t>
      </w:r>
      <w:r w:rsidRPr="008E1CE8">
        <w:rPr>
          <w:rFonts w:eastAsia="Times New Roman"/>
          <w:spacing w:val="-2"/>
          <w:lang w:val="fr-FR"/>
        </w:rPr>
        <w:t xml:space="preserve"> aux véhicules appartenant à cette famille. Par conséquent, les types de véhicules qui ont en commun au moins les paramètres décrits ci-dessous, ou qui se situent dans les limites spécifiées, peuvent être considérés comme appartenant à la même famille de véhicules en service:</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9.2.4.1</w:t>
      </w:r>
      <w:r w:rsidRPr="001A03EB">
        <w:rPr>
          <w:rFonts w:eastAsia="Times New Roman"/>
          <w:lang w:val="fr-FR"/>
        </w:rPr>
        <w:tab/>
        <w:t>Procédé de combustion (moteur deux-temps, quatre-temps, rotatif);</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lastRenderedPageBreak/>
        <w:t>9.2.4.2</w:t>
      </w:r>
      <w:r w:rsidRPr="001A03EB">
        <w:rPr>
          <w:rFonts w:eastAsia="Times New Roman"/>
          <w:lang w:val="fr-FR"/>
        </w:rPr>
        <w:tab/>
        <w:t>Nombre de cylindres;</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9.2.4.3</w:t>
      </w:r>
      <w:r w:rsidRPr="001A03EB">
        <w:rPr>
          <w:rFonts w:eastAsia="Times New Roman"/>
          <w:lang w:val="fr-FR"/>
        </w:rPr>
        <w:tab/>
        <w:t>Configuration du bloc cylindre (en ligne, en V, radial, horizontal, autre). L</w:t>
      </w:r>
      <w:r w:rsidR="00DB4C2D">
        <w:rPr>
          <w:rFonts w:eastAsia="Times New Roman"/>
          <w:lang w:val="fr-FR"/>
        </w:rPr>
        <w:t>’</w:t>
      </w:r>
      <w:r w:rsidRPr="001A03EB">
        <w:rPr>
          <w:rFonts w:eastAsia="Times New Roman"/>
          <w:lang w:val="fr-FR"/>
        </w:rPr>
        <w:t>inclinaison ou l</w:t>
      </w:r>
      <w:r w:rsidR="00DB4C2D">
        <w:rPr>
          <w:rFonts w:eastAsia="Times New Roman"/>
          <w:lang w:val="fr-FR"/>
        </w:rPr>
        <w:t>’</w:t>
      </w:r>
      <w:r w:rsidRPr="001A03EB">
        <w:rPr>
          <w:rFonts w:eastAsia="Times New Roman"/>
          <w:lang w:val="fr-FR"/>
        </w:rPr>
        <w:t>orientation des cylindres n</w:t>
      </w:r>
      <w:r w:rsidR="00DB4C2D">
        <w:rPr>
          <w:rFonts w:eastAsia="Times New Roman"/>
          <w:lang w:val="fr-FR"/>
        </w:rPr>
        <w:t>’</w:t>
      </w:r>
      <w:r w:rsidRPr="001A03EB">
        <w:rPr>
          <w:rFonts w:eastAsia="Times New Roman"/>
          <w:lang w:val="fr-FR"/>
        </w:rPr>
        <w:t>est pas un critère;</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9.2.4.4</w:t>
      </w:r>
      <w:r w:rsidRPr="001A03EB">
        <w:rPr>
          <w:rFonts w:eastAsia="Times New Roman"/>
          <w:lang w:val="fr-FR"/>
        </w:rPr>
        <w:tab/>
        <w:t>Méthode d</w:t>
      </w:r>
      <w:r w:rsidR="00DB4C2D">
        <w:rPr>
          <w:rFonts w:eastAsia="Times New Roman"/>
          <w:lang w:val="fr-FR"/>
        </w:rPr>
        <w:t>’</w:t>
      </w:r>
      <w:r w:rsidRPr="001A03EB">
        <w:rPr>
          <w:rFonts w:eastAsia="Times New Roman"/>
          <w:lang w:val="fr-FR"/>
        </w:rPr>
        <w:t>alimentation du moteur (par exemple injection directe ou indirecte);</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9.2.4.5</w:t>
      </w:r>
      <w:r w:rsidRPr="001A03EB">
        <w:rPr>
          <w:rFonts w:eastAsia="Times New Roman"/>
          <w:lang w:val="fr-FR"/>
        </w:rPr>
        <w:tab/>
        <w:t>Type de système de refroidissement (air, eau, huile);</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9.2.4.6</w:t>
      </w:r>
      <w:r w:rsidRPr="001A03EB">
        <w:rPr>
          <w:rFonts w:eastAsia="Times New Roman"/>
          <w:lang w:val="fr-FR"/>
        </w:rPr>
        <w:tab/>
        <w:t>Méthode d</w:t>
      </w:r>
      <w:r w:rsidR="00DB4C2D">
        <w:rPr>
          <w:rFonts w:eastAsia="Times New Roman"/>
          <w:lang w:val="fr-FR"/>
        </w:rPr>
        <w:t>’</w:t>
      </w:r>
      <w:r w:rsidRPr="001A03EB">
        <w:rPr>
          <w:rFonts w:eastAsia="Times New Roman"/>
          <w:lang w:val="fr-FR"/>
        </w:rPr>
        <w:t>aspiration de l</w:t>
      </w:r>
      <w:r w:rsidR="00DB4C2D">
        <w:rPr>
          <w:rFonts w:eastAsia="Times New Roman"/>
          <w:lang w:val="fr-FR"/>
        </w:rPr>
        <w:t>’</w:t>
      </w:r>
      <w:r w:rsidRPr="001A03EB">
        <w:rPr>
          <w:rFonts w:eastAsia="Times New Roman"/>
          <w:lang w:val="fr-FR"/>
        </w:rPr>
        <w:t>air (aspiration naturelle, suralimentation);</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9.2.4.7</w:t>
      </w:r>
      <w:r w:rsidRPr="001A03EB">
        <w:rPr>
          <w:rFonts w:eastAsia="Times New Roman"/>
          <w:lang w:val="fr-FR"/>
        </w:rPr>
        <w:tab/>
        <w:t>Carburant pour lequel le moteur est conçu (essence, gazole, GN/</w:t>
      </w:r>
      <w:proofErr w:type="spellStart"/>
      <w:r w:rsidRPr="001A03EB">
        <w:rPr>
          <w:rFonts w:eastAsia="Times New Roman"/>
          <w:lang w:val="fr-FR"/>
        </w:rPr>
        <w:t>biométhane</w:t>
      </w:r>
      <w:proofErr w:type="spellEnd"/>
      <w:r w:rsidRPr="001A03EB">
        <w:rPr>
          <w:rFonts w:eastAsia="Times New Roman"/>
          <w:lang w:val="fr-FR"/>
        </w:rPr>
        <w:t xml:space="preserve">, GPL, etc.). Les véhicules </w:t>
      </w:r>
      <w:proofErr w:type="spellStart"/>
      <w:r w:rsidRPr="001A03EB">
        <w:rPr>
          <w:rFonts w:eastAsia="Times New Roman"/>
          <w:lang w:val="fr-FR"/>
        </w:rPr>
        <w:t>bicarburant</w:t>
      </w:r>
      <w:proofErr w:type="spellEnd"/>
      <w:r w:rsidRPr="001A03EB">
        <w:rPr>
          <w:rFonts w:eastAsia="Times New Roman"/>
          <w:lang w:val="fr-FR"/>
        </w:rPr>
        <w:t xml:space="preserve"> peuvent être regroupés avec les véhicules </w:t>
      </w:r>
      <w:proofErr w:type="spellStart"/>
      <w:r w:rsidRPr="001A03EB">
        <w:rPr>
          <w:rFonts w:eastAsia="Times New Roman"/>
          <w:lang w:val="fr-FR"/>
        </w:rPr>
        <w:t>monocarburant</w:t>
      </w:r>
      <w:proofErr w:type="spellEnd"/>
      <w:r w:rsidRPr="001A03EB">
        <w:rPr>
          <w:rFonts w:eastAsia="Times New Roman"/>
          <w:lang w:val="fr-FR"/>
        </w:rPr>
        <w:t xml:space="preserve"> à condition que l</w:t>
      </w:r>
      <w:r w:rsidR="00DB4C2D">
        <w:rPr>
          <w:rFonts w:eastAsia="Times New Roman"/>
          <w:lang w:val="fr-FR"/>
        </w:rPr>
        <w:t>’</w:t>
      </w:r>
      <w:r w:rsidRPr="001A03EB">
        <w:rPr>
          <w:rFonts w:eastAsia="Times New Roman"/>
          <w:lang w:val="fr-FR"/>
        </w:rPr>
        <w:t>un des carburants soit commun;</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9.2.4.8</w:t>
      </w:r>
      <w:r w:rsidRPr="001A03EB">
        <w:rPr>
          <w:rFonts w:eastAsia="Times New Roman"/>
          <w:lang w:val="fr-FR"/>
        </w:rPr>
        <w:tab/>
        <w:t xml:space="preserve">Type de convertisseur catalytique (pot catalytique à trois voies, piège à </w:t>
      </w:r>
      <w:proofErr w:type="spellStart"/>
      <w:r w:rsidRPr="001A03EB">
        <w:rPr>
          <w:rFonts w:eastAsia="Times New Roman"/>
          <w:lang w:val="fr-FR"/>
        </w:rPr>
        <w:t>NO</w:t>
      </w:r>
      <w:r w:rsidRPr="001A03EB">
        <w:rPr>
          <w:rFonts w:eastAsia="Times New Roman"/>
          <w:vertAlign w:val="subscript"/>
          <w:lang w:val="fr-FR"/>
        </w:rPr>
        <w:t>x</w:t>
      </w:r>
      <w:proofErr w:type="spellEnd"/>
      <w:r w:rsidRPr="001A03EB">
        <w:rPr>
          <w:rFonts w:eastAsia="Times New Roman"/>
          <w:lang w:val="fr-FR"/>
        </w:rPr>
        <w:t xml:space="preserve"> à mélange pauvre, SCR, catalyseur </w:t>
      </w:r>
      <w:proofErr w:type="spellStart"/>
      <w:r w:rsidRPr="001A03EB">
        <w:rPr>
          <w:rFonts w:eastAsia="Times New Roman"/>
          <w:lang w:val="fr-FR"/>
        </w:rPr>
        <w:t>NO</w:t>
      </w:r>
      <w:r w:rsidRPr="001A03EB">
        <w:rPr>
          <w:rFonts w:eastAsia="Times New Roman"/>
          <w:vertAlign w:val="subscript"/>
          <w:lang w:val="fr-FR"/>
        </w:rPr>
        <w:t>x</w:t>
      </w:r>
      <w:proofErr w:type="spellEnd"/>
      <w:r w:rsidRPr="001A03EB">
        <w:rPr>
          <w:rFonts w:eastAsia="Times New Roman"/>
          <w:lang w:val="fr-FR"/>
        </w:rPr>
        <w:t xml:space="preserve"> à mélange pauvre ou autre(s));</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9.2.4.9</w:t>
      </w:r>
      <w:r w:rsidRPr="001A03EB">
        <w:rPr>
          <w:rFonts w:eastAsia="Times New Roman"/>
          <w:lang w:val="fr-FR"/>
        </w:rPr>
        <w:tab/>
      </w:r>
      <w:r w:rsidRPr="001A03EB">
        <w:rPr>
          <w:rFonts w:eastAsia="Times New Roman"/>
          <w:lang w:val="fr-FR"/>
        </w:rPr>
        <w:tab/>
        <w:t>Type de piège à particules (avec ou sans);</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9.2.4.10</w:t>
      </w:r>
      <w:r w:rsidRPr="001A03EB">
        <w:rPr>
          <w:rFonts w:eastAsia="Times New Roman"/>
          <w:lang w:val="fr-FR"/>
        </w:rPr>
        <w:tab/>
        <w:t>Recyclage des gaz d</w:t>
      </w:r>
      <w:r w:rsidR="00DB4C2D">
        <w:rPr>
          <w:rFonts w:eastAsia="Times New Roman"/>
          <w:lang w:val="fr-FR"/>
        </w:rPr>
        <w:t>’</w:t>
      </w:r>
      <w:r w:rsidRPr="001A03EB">
        <w:rPr>
          <w:rFonts w:eastAsia="Times New Roman"/>
          <w:lang w:val="fr-FR"/>
        </w:rPr>
        <w:t>échappement (avec ou sans, refroidi ou non); et</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9.2.4.11</w:t>
      </w:r>
      <w:r w:rsidRPr="001A03EB">
        <w:rPr>
          <w:rFonts w:eastAsia="Times New Roman"/>
          <w:lang w:val="fr-FR"/>
        </w:rPr>
        <w:tab/>
        <w:t>Capacité de la cylindrée du plus gros moteur de la famille moins 30 %.</w:t>
      </w:r>
    </w:p>
    <w:p w:rsidR="001A03EB" w:rsidRPr="001A03EB" w:rsidRDefault="001A03EB" w:rsidP="00B11222">
      <w:pPr>
        <w:pStyle w:val="SingleTxtG"/>
        <w:keepNext/>
        <w:spacing w:before="120"/>
        <w:ind w:left="2268" w:hanging="1134"/>
        <w:rPr>
          <w:rFonts w:eastAsia="Times New Roman"/>
          <w:iCs/>
          <w:lang w:val="fr-FR"/>
        </w:rPr>
      </w:pPr>
      <w:r w:rsidRPr="001A03EB">
        <w:rPr>
          <w:rFonts w:eastAsia="Times New Roman"/>
          <w:lang w:val="fr-FR"/>
        </w:rPr>
        <w:t>9.2.5</w:t>
      </w:r>
      <w:r w:rsidRPr="001A03EB">
        <w:rPr>
          <w:rFonts w:eastAsia="Times New Roman"/>
          <w:lang w:val="fr-FR"/>
        </w:rPr>
        <w:tab/>
      </w:r>
      <w:r w:rsidRPr="001A03EB">
        <w:rPr>
          <w:rFonts w:eastAsia="Times New Roman"/>
          <w:iCs/>
          <w:lang w:val="fr-FR"/>
        </w:rPr>
        <w:t>Informations requises</w:t>
      </w:r>
    </w:p>
    <w:p w:rsidR="001A03EB" w:rsidRPr="001A03EB" w:rsidRDefault="001A03EB" w:rsidP="008E1CE8">
      <w:pPr>
        <w:pStyle w:val="SingleTxtG"/>
        <w:keepNext/>
        <w:ind w:left="2268"/>
        <w:rPr>
          <w:lang w:val="fr-FR"/>
        </w:rPr>
      </w:pPr>
      <w:r w:rsidRPr="001A03EB">
        <w:rPr>
          <w:lang w:val="fr-FR"/>
        </w:rPr>
        <w:t>Une vérification de la conformité en service doit être effectuée par l</w:t>
      </w:r>
      <w:r w:rsidR="00DB4C2D">
        <w:rPr>
          <w:lang w:val="fr-FR"/>
        </w:rPr>
        <w:t>’</w:t>
      </w:r>
      <w:r w:rsidRPr="001A03EB">
        <w:rPr>
          <w:lang w:val="fr-FR"/>
        </w:rPr>
        <w:t>autorité d</w:t>
      </w:r>
      <w:r w:rsidR="00DB4C2D">
        <w:rPr>
          <w:lang w:val="fr-FR"/>
        </w:rPr>
        <w:t>’</w:t>
      </w:r>
      <w:r w:rsidRPr="001A03EB">
        <w:rPr>
          <w:lang w:val="fr-FR"/>
        </w:rPr>
        <w:t>homologation de type sur la base des informations fournies par le constructeur. Ces informations doivent comprendre au moins les éléments suivants:</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9.2.5.1</w:t>
      </w:r>
      <w:r w:rsidRPr="001A03EB">
        <w:rPr>
          <w:rFonts w:eastAsia="Times New Roman"/>
          <w:lang w:val="fr-FR"/>
        </w:rPr>
        <w:tab/>
        <w:t>Le nom et l</w:t>
      </w:r>
      <w:r w:rsidR="00DB4C2D">
        <w:rPr>
          <w:rFonts w:eastAsia="Times New Roman"/>
          <w:lang w:val="fr-FR"/>
        </w:rPr>
        <w:t>’</w:t>
      </w:r>
      <w:r w:rsidRPr="001A03EB">
        <w:rPr>
          <w:rFonts w:eastAsia="Times New Roman"/>
          <w:lang w:val="fr-FR"/>
        </w:rPr>
        <w:t>adresse du constructeur;</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9.2.5.2</w:t>
      </w:r>
      <w:r w:rsidRPr="001A03EB">
        <w:rPr>
          <w:rFonts w:eastAsia="Times New Roman"/>
          <w:lang w:val="fr-FR"/>
        </w:rPr>
        <w:tab/>
        <w:t>Le nom, l</w:t>
      </w:r>
      <w:r w:rsidR="00DB4C2D">
        <w:rPr>
          <w:rFonts w:eastAsia="Times New Roman"/>
          <w:lang w:val="fr-FR"/>
        </w:rPr>
        <w:t>’</w:t>
      </w:r>
      <w:r w:rsidRPr="001A03EB">
        <w:rPr>
          <w:rFonts w:eastAsia="Times New Roman"/>
          <w:lang w:val="fr-FR"/>
        </w:rPr>
        <w:t>adresse et les numéros de téléphone et de télécopieur ainsi que l</w:t>
      </w:r>
      <w:r w:rsidR="00DB4C2D">
        <w:rPr>
          <w:rFonts w:eastAsia="Times New Roman"/>
          <w:lang w:val="fr-FR"/>
        </w:rPr>
        <w:t>’</w:t>
      </w:r>
      <w:r w:rsidRPr="001A03EB">
        <w:rPr>
          <w:rFonts w:eastAsia="Times New Roman"/>
          <w:lang w:val="fr-FR"/>
        </w:rPr>
        <w:t>adresse électronique de son mandataire dans les zones géographiques sur lesquelles portent les informations du constructeur;</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9.2.5.3</w:t>
      </w:r>
      <w:r w:rsidRPr="001A03EB">
        <w:rPr>
          <w:rFonts w:eastAsia="Times New Roman"/>
          <w:lang w:val="fr-FR"/>
        </w:rPr>
        <w:tab/>
        <w:t>Le ou les noms du modèle des véhicules visés par les informations du constructeur;</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9.2.5.4</w:t>
      </w:r>
      <w:r w:rsidRPr="001A03EB">
        <w:rPr>
          <w:rFonts w:eastAsia="Times New Roman"/>
          <w:lang w:val="fr-FR"/>
        </w:rPr>
        <w:tab/>
        <w:t>Le cas échéant, la liste des types de véhicule visés par les informations du constructeur, c</w:t>
      </w:r>
      <w:r w:rsidR="00DB4C2D">
        <w:rPr>
          <w:rFonts w:eastAsia="Times New Roman"/>
          <w:lang w:val="fr-FR"/>
        </w:rPr>
        <w:t>’</w:t>
      </w:r>
      <w:r w:rsidRPr="001A03EB">
        <w:rPr>
          <w:rFonts w:eastAsia="Times New Roman"/>
          <w:lang w:val="fr-FR"/>
        </w:rPr>
        <w:t>est-à-dire, pour les émissions d</w:t>
      </w:r>
      <w:r w:rsidR="00DB4C2D">
        <w:rPr>
          <w:rFonts w:eastAsia="Times New Roman"/>
          <w:lang w:val="fr-FR"/>
        </w:rPr>
        <w:t>’</w:t>
      </w:r>
      <w:r w:rsidRPr="001A03EB">
        <w:rPr>
          <w:rFonts w:eastAsia="Times New Roman"/>
          <w:lang w:val="fr-FR"/>
        </w:rPr>
        <w:t>échappement, la famille de véhicules en service au sens du paragraphe 9.2.4 et, pour les systèmes OBD et l</w:t>
      </w:r>
      <w:r w:rsidR="00DB4C2D">
        <w:rPr>
          <w:rFonts w:eastAsia="Times New Roman"/>
          <w:lang w:val="fr-FR"/>
        </w:rPr>
        <w:t>’</w:t>
      </w:r>
      <w:r w:rsidRPr="001A03EB">
        <w:rPr>
          <w:rFonts w:eastAsia="Times New Roman"/>
          <w:lang w:val="fr-FR"/>
        </w:rPr>
        <w:t>IUPR</w:t>
      </w:r>
      <w:r w:rsidRPr="001A03EB">
        <w:rPr>
          <w:rFonts w:eastAsia="Times New Roman"/>
          <w:vertAlign w:val="subscript"/>
          <w:lang w:val="fr-FR"/>
        </w:rPr>
        <w:t>M</w:t>
      </w:r>
      <w:r w:rsidRPr="001A03EB">
        <w:rPr>
          <w:rFonts w:eastAsia="Times New Roman"/>
          <w:lang w:val="fr-FR"/>
        </w:rPr>
        <w:t>, la famille de systèmes OBD au sens de l</w:t>
      </w:r>
      <w:r w:rsidR="00DB4C2D">
        <w:rPr>
          <w:rFonts w:eastAsia="Times New Roman"/>
          <w:lang w:val="fr-FR"/>
        </w:rPr>
        <w:t>’</w:t>
      </w:r>
      <w:r w:rsidRPr="001A03EB">
        <w:rPr>
          <w:rFonts w:eastAsia="Times New Roman"/>
          <w:lang w:val="fr-FR"/>
        </w:rPr>
        <w:t>appendice 2 de l</w:t>
      </w:r>
      <w:r w:rsidR="00DB4C2D">
        <w:rPr>
          <w:rFonts w:eastAsia="Times New Roman"/>
          <w:lang w:val="fr-FR"/>
        </w:rPr>
        <w:t>’</w:t>
      </w:r>
      <w:r w:rsidRPr="001A03EB">
        <w:rPr>
          <w:rFonts w:eastAsia="Times New Roman"/>
          <w:lang w:val="fr-FR"/>
        </w:rPr>
        <w:t>annexe 11 du présent Règlement;</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9.2.5.5</w:t>
      </w:r>
      <w:r w:rsidRPr="001A03EB">
        <w:rPr>
          <w:rFonts w:eastAsia="Times New Roman"/>
          <w:lang w:val="fr-FR"/>
        </w:rPr>
        <w:tab/>
        <w:t>Les codes du numéro d</w:t>
      </w:r>
      <w:r w:rsidR="00DB4C2D">
        <w:rPr>
          <w:rFonts w:eastAsia="Times New Roman"/>
          <w:lang w:val="fr-FR"/>
        </w:rPr>
        <w:t>’</w:t>
      </w:r>
      <w:r w:rsidRPr="001A03EB">
        <w:rPr>
          <w:rFonts w:eastAsia="Times New Roman"/>
          <w:lang w:val="fr-FR"/>
        </w:rPr>
        <w:t>identification du véhicule (VIN) applicables au type de véhicule appartenant à la famille de véhicules en service (préfixe VIN);</w:t>
      </w:r>
    </w:p>
    <w:p w:rsidR="001A03EB" w:rsidRPr="001A03EB" w:rsidRDefault="001A03EB" w:rsidP="008E1CE8">
      <w:pPr>
        <w:pStyle w:val="SingleTxtG"/>
        <w:spacing w:before="120"/>
        <w:ind w:left="2268" w:hanging="1134"/>
        <w:rPr>
          <w:rFonts w:eastAsia="Times New Roman"/>
          <w:lang w:val="fr-FR"/>
        </w:rPr>
      </w:pPr>
      <w:r w:rsidRPr="001A03EB">
        <w:rPr>
          <w:rFonts w:eastAsia="Times New Roman"/>
          <w:lang w:val="fr-FR"/>
        </w:rPr>
        <w:t>9.2.5.6</w:t>
      </w:r>
      <w:r w:rsidRPr="001A03EB">
        <w:rPr>
          <w:rFonts w:eastAsia="Times New Roman"/>
          <w:lang w:val="fr-FR"/>
        </w:rPr>
        <w:tab/>
        <w:t>Les numéros d</w:t>
      </w:r>
      <w:r w:rsidR="00DB4C2D">
        <w:rPr>
          <w:rFonts w:eastAsia="Times New Roman"/>
          <w:lang w:val="fr-FR"/>
        </w:rPr>
        <w:t>’</w:t>
      </w:r>
      <w:r w:rsidRPr="001A03EB">
        <w:rPr>
          <w:rFonts w:eastAsia="Times New Roman"/>
          <w:lang w:val="fr-FR"/>
        </w:rPr>
        <w:t>homologation de type des véhicules qui appartiennent à la famille de véhicules en service, y compris le cas échéant, les numéros de toutes les extensions et les corrections locales et/ou les rappels de véhicules en circulation (retours à l</w:t>
      </w:r>
      <w:r w:rsidR="00DB4C2D">
        <w:rPr>
          <w:rFonts w:eastAsia="Times New Roman"/>
          <w:lang w:val="fr-FR"/>
        </w:rPr>
        <w:t>’</w:t>
      </w:r>
      <w:r w:rsidRPr="001A03EB">
        <w:rPr>
          <w:rFonts w:eastAsia="Times New Roman"/>
          <w:lang w:val="fr-FR"/>
        </w:rPr>
        <w:t>usine);</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9.2.5.7</w:t>
      </w:r>
      <w:r w:rsidRPr="001A03EB">
        <w:rPr>
          <w:rFonts w:eastAsia="Times New Roman"/>
          <w:lang w:val="fr-FR"/>
        </w:rPr>
        <w:tab/>
        <w:t>Les détails des extensions et des corrections locales ou des rappels pour les véhicules visés par les informations du constructeur (si l</w:t>
      </w:r>
      <w:r w:rsidR="00DB4C2D">
        <w:rPr>
          <w:rFonts w:eastAsia="Times New Roman"/>
          <w:lang w:val="fr-FR"/>
        </w:rPr>
        <w:t>’</w:t>
      </w:r>
      <w:r w:rsidRPr="001A03EB">
        <w:rPr>
          <w:rFonts w:eastAsia="Times New Roman"/>
          <w:lang w:val="fr-FR"/>
        </w:rPr>
        <w:t>autorité d</w:t>
      </w:r>
      <w:r w:rsidR="00DB4C2D">
        <w:rPr>
          <w:rFonts w:eastAsia="Times New Roman"/>
          <w:lang w:val="fr-FR"/>
        </w:rPr>
        <w:t>’</w:t>
      </w:r>
      <w:r w:rsidRPr="001A03EB">
        <w:rPr>
          <w:rFonts w:eastAsia="Times New Roman"/>
          <w:lang w:val="fr-FR"/>
        </w:rPr>
        <w:t>homologation de type en fait la demande);</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t>9.2.5.8</w:t>
      </w:r>
      <w:r w:rsidRPr="001A03EB">
        <w:rPr>
          <w:rFonts w:eastAsia="Times New Roman"/>
          <w:lang w:val="fr-FR"/>
        </w:rPr>
        <w:tab/>
        <w:t>La période au cours de laquelle les informations du constructeur ont été recueillies;</w:t>
      </w:r>
    </w:p>
    <w:p w:rsidR="001A03EB" w:rsidRPr="001A03EB" w:rsidRDefault="001A03EB" w:rsidP="00B11222">
      <w:pPr>
        <w:pStyle w:val="SingleTxtG"/>
        <w:spacing w:before="120"/>
        <w:ind w:left="2268" w:hanging="1134"/>
        <w:rPr>
          <w:rFonts w:eastAsia="Times New Roman"/>
          <w:lang w:val="fr-FR"/>
        </w:rPr>
      </w:pPr>
      <w:r w:rsidRPr="001A03EB">
        <w:rPr>
          <w:rFonts w:eastAsia="Times New Roman"/>
          <w:lang w:val="fr-FR"/>
        </w:rPr>
        <w:lastRenderedPageBreak/>
        <w:t>9.2.5.9</w:t>
      </w:r>
      <w:r w:rsidRPr="001A03EB">
        <w:rPr>
          <w:rFonts w:eastAsia="Times New Roman"/>
          <w:lang w:val="fr-FR"/>
        </w:rPr>
        <w:tab/>
        <w:t>La période de fabrication des véhicules visée par les informations du constructeur (par exemple véhicules fabriqués au cours de l</w:t>
      </w:r>
      <w:r w:rsidR="00DB4C2D">
        <w:rPr>
          <w:rFonts w:eastAsia="Times New Roman"/>
          <w:lang w:val="fr-FR"/>
        </w:rPr>
        <w:t>’</w:t>
      </w:r>
      <w:r w:rsidRPr="001A03EB">
        <w:rPr>
          <w:rFonts w:eastAsia="Times New Roman"/>
          <w:lang w:val="fr-FR"/>
        </w:rPr>
        <w:t>année civile 2014);</w:t>
      </w:r>
    </w:p>
    <w:p w:rsidR="001A03EB" w:rsidRPr="001A03EB" w:rsidRDefault="001A03EB" w:rsidP="00B11222">
      <w:pPr>
        <w:pStyle w:val="SingleTxtG"/>
        <w:keepNext/>
        <w:spacing w:before="120"/>
        <w:ind w:left="2268" w:hanging="1134"/>
        <w:rPr>
          <w:rFonts w:eastAsia="Times New Roman"/>
          <w:lang w:val="fr-FR"/>
        </w:rPr>
      </w:pPr>
      <w:r w:rsidRPr="001A03EB">
        <w:rPr>
          <w:rFonts w:eastAsia="Times New Roman"/>
          <w:lang w:val="fr-FR"/>
        </w:rPr>
        <w:t>9.2.5.10</w:t>
      </w:r>
      <w:r w:rsidRPr="001A03EB">
        <w:rPr>
          <w:rFonts w:eastAsia="Times New Roman"/>
          <w:lang w:val="fr-FR"/>
        </w:rPr>
        <w:tab/>
        <w:t>La procédure de contrôle de la conformité en service appliquée par le constructeur, y compris:</w:t>
      </w:r>
    </w:p>
    <w:p w:rsidR="001A03EB" w:rsidRPr="001A03EB" w:rsidRDefault="001A03EB" w:rsidP="00B11222">
      <w:pPr>
        <w:pStyle w:val="SingleTxtG"/>
        <w:ind w:left="2835" w:hanging="567"/>
        <w:rPr>
          <w:rFonts w:eastAsia="Times New Roman"/>
          <w:lang w:val="fr-FR"/>
        </w:rPr>
      </w:pPr>
      <w:r w:rsidRPr="001A03EB">
        <w:rPr>
          <w:rFonts w:eastAsia="Times New Roman"/>
          <w:lang w:val="fr-FR"/>
        </w:rPr>
        <w:t>a)</w:t>
      </w:r>
      <w:r w:rsidRPr="001A03EB">
        <w:rPr>
          <w:rFonts w:eastAsia="Times New Roman"/>
          <w:lang w:val="fr-FR"/>
        </w:rPr>
        <w:tab/>
        <w:t>La méthode de localisation des véhicules;</w:t>
      </w:r>
    </w:p>
    <w:p w:rsidR="001A03EB" w:rsidRPr="001A03EB" w:rsidRDefault="001A03EB" w:rsidP="00B11222">
      <w:pPr>
        <w:pStyle w:val="SingleTxtG"/>
        <w:ind w:left="2835" w:hanging="567"/>
        <w:rPr>
          <w:rFonts w:eastAsia="Times New Roman"/>
          <w:lang w:val="fr-FR"/>
        </w:rPr>
      </w:pPr>
      <w:r w:rsidRPr="001A03EB">
        <w:rPr>
          <w:rFonts w:eastAsia="Times New Roman"/>
          <w:lang w:val="fr-FR"/>
        </w:rPr>
        <w:t>b)</w:t>
      </w:r>
      <w:r w:rsidRPr="001A03EB">
        <w:rPr>
          <w:rFonts w:eastAsia="Times New Roman"/>
          <w:lang w:val="fr-FR"/>
        </w:rPr>
        <w:tab/>
        <w:t>Les critères de sélection et de rejet des véhicules;</w:t>
      </w:r>
    </w:p>
    <w:p w:rsidR="001A03EB" w:rsidRPr="001A03EB" w:rsidRDefault="001A03EB" w:rsidP="00B11222">
      <w:pPr>
        <w:pStyle w:val="SingleTxtG"/>
        <w:ind w:left="2835" w:hanging="567"/>
        <w:rPr>
          <w:rFonts w:eastAsia="Times New Roman"/>
          <w:lang w:val="fr-FR"/>
        </w:rPr>
      </w:pPr>
      <w:r w:rsidRPr="001A03EB">
        <w:rPr>
          <w:rFonts w:eastAsia="Times New Roman"/>
          <w:lang w:val="fr-FR"/>
        </w:rPr>
        <w:t>c)</w:t>
      </w:r>
      <w:r w:rsidRPr="001A03EB">
        <w:rPr>
          <w:rFonts w:eastAsia="Times New Roman"/>
          <w:lang w:val="fr-FR"/>
        </w:rPr>
        <w:tab/>
        <w:t>Les types et procédures d</w:t>
      </w:r>
      <w:r w:rsidR="00DB4C2D">
        <w:rPr>
          <w:rFonts w:eastAsia="Times New Roman"/>
          <w:lang w:val="fr-FR"/>
        </w:rPr>
        <w:t>’</w:t>
      </w:r>
      <w:r w:rsidRPr="001A03EB">
        <w:rPr>
          <w:rFonts w:eastAsia="Times New Roman"/>
          <w:lang w:val="fr-FR"/>
        </w:rPr>
        <w:t>essai utilisés par le programme;</w:t>
      </w:r>
    </w:p>
    <w:p w:rsidR="001A03EB" w:rsidRPr="001A03EB" w:rsidRDefault="001A03EB" w:rsidP="00B11222">
      <w:pPr>
        <w:pStyle w:val="SingleTxtG"/>
        <w:ind w:left="2835" w:hanging="567"/>
        <w:rPr>
          <w:rFonts w:eastAsia="Times New Roman"/>
          <w:lang w:val="fr-FR"/>
        </w:rPr>
      </w:pPr>
      <w:r w:rsidRPr="001A03EB">
        <w:rPr>
          <w:rFonts w:eastAsia="Times New Roman"/>
          <w:lang w:val="fr-FR"/>
        </w:rPr>
        <w:t>d)</w:t>
      </w:r>
      <w:r w:rsidRPr="001A03EB">
        <w:rPr>
          <w:rFonts w:eastAsia="Times New Roman"/>
          <w:lang w:val="fr-FR"/>
        </w:rPr>
        <w:tab/>
        <w:t>Les critères d</w:t>
      </w:r>
      <w:r w:rsidR="00DB4C2D">
        <w:rPr>
          <w:rFonts w:eastAsia="Times New Roman"/>
          <w:lang w:val="fr-FR"/>
        </w:rPr>
        <w:t>’</w:t>
      </w:r>
      <w:r w:rsidRPr="001A03EB">
        <w:rPr>
          <w:rFonts w:eastAsia="Times New Roman"/>
          <w:lang w:val="fr-FR"/>
        </w:rPr>
        <w:t>acceptation/de rejet appliqués par le constructeur pour la famille de véhicules en service;</w:t>
      </w:r>
    </w:p>
    <w:p w:rsidR="001A03EB" w:rsidRPr="001A03EB" w:rsidRDefault="001A03EB" w:rsidP="00B11222">
      <w:pPr>
        <w:pStyle w:val="SingleTxtG"/>
        <w:ind w:left="2835" w:hanging="567"/>
        <w:rPr>
          <w:rFonts w:eastAsia="Times New Roman"/>
          <w:lang w:val="fr-FR"/>
        </w:rPr>
      </w:pPr>
      <w:r w:rsidRPr="001A03EB">
        <w:rPr>
          <w:rFonts w:eastAsia="Times New Roman"/>
          <w:lang w:val="fr-FR"/>
        </w:rPr>
        <w:t>e)</w:t>
      </w:r>
      <w:r w:rsidRPr="001A03EB">
        <w:rPr>
          <w:rFonts w:eastAsia="Times New Roman"/>
          <w:lang w:val="fr-FR"/>
        </w:rPr>
        <w:tab/>
        <w:t>La ou les zones géographiques dans lesquelles le constructeur a recueilli les informations; et</w:t>
      </w:r>
    </w:p>
    <w:p w:rsidR="001A03EB" w:rsidRPr="001A03EB" w:rsidRDefault="001A03EB" w:rsidP="00B11222">
      <w:pPr>
        <w:pStyle w:val="SingleTxtG"/>
        <w:ind w:left="2835" w:hanging="567"/>
        <w:rPr>
          <w:rFonts w:eastAsia="Times New Roman"/>
          <w:lang w:val="fr-FR"/>
        </w:rPr>
      </w:pPr>
      <w:r w:rsidRPr="001A03EB">
        <w:rPr>
          <w:rFonts w:eastAsia="Times New Roman"/>
          <w:lang w:val="fr-FR"/>
        </w:rPr>
        <w:t>f)</w:t>
      </w:r>
      <w:r w:rsidRPr="001A03EB">
        <w:rPr>
          <w:rFonts w:eastAsia="Times New Roman"/>
          <w:lang w:val="fr-FR"/>
        </w:rPr>
        <w:tab/>
        <w:t>La taille des échantillons et le plan d</w:t>
      </w:r>
      <w:r w:rsidR="00DB4C2D">
        <w:rPr>
          <w:rFonts w:eastAsia="Times New Roman"/>
          <w:lang w:val="fr-FR"/>
        </w:rPr>
        <w:t>’</w:t>
      </w:r>
      <w:r w:rsidR="008E1CE8">
        <w:rPr>
          <w:rFonts w:eastAsia="Times New Roman"/>
          <w:lang w:val="fr-FR"/>
        </w:rPr>
        <w:t>échantillonnage utilisé.</w:t>
      </w:r>
    </w:p>
    <w:p w:rsidR="001A03EB" w:rsidRPr="001A03EB" w:rsidRDefault="001A03EB" w:rsidP="00B11222">
      <w:pPr>
        <w:pStyle w:val="SingleTxtG"/>
        <w:keepNext/>
        <w:spacing w:before="120"/>
        <w:ind w:left="2268" w:hanging="1134"/>
        <w:rPr>
          <w:rFonts w:eastAsia="Times New Roman"/>
          <w:lang w:val="fr-FR"/>
        </w:rPr>
      </w:pPr>
      <w:r w:rsidRPr="001A03EB">
        <w:rPr>
          <w:rFonts w:eastAsia="Times New Roman"/>
          <w:lang w:val="fr-FR"/>
        </w:rPr>
        <w:t>9.2.5.11</w:t>
      </w:r>
      <w:r w:rsidRPr="001A03EB">
        <w:rPr>
          <w:rFonts w:eastAsia="Times New Roman"/>
          <w:lang w:val="fr-FR"/>
        </w:rPr>
        <w:tab/>
        <w:t>Les résultats de la procédure de contrôle de la conformité en service appliquée par le constructeur, y compris:</w:t>
      </w:r>
    </w:p>
    <w:p w:rsidR="001A03EB" w:rsidRPr="001A03EB" w:rsidRDefault="001A03EB" w:rsidP="0082368A">
      <w:pPr>
        <w:pStyle w:val="SingleTxtG"/>
        <w:keepNext/>
        <w:ind w:left="2835" w:hanging="567"/>
        <w:rPr>
          <w:rFonts w:eastAsia="Times New Roman"/>
          <w:lang w:val="fr-FR"/>
        </w:rPr>
      </w:pPr>
      <w:r w:rsidRPr="001A03EB">
        <w:rPr>
          <w:rFonts w:eastAsia="Times New Roman"/>
          <w:lang w:val="fr-FR"/>
        </w:rPr>
        <w:t>a)</w:t>
      </w:r>
      <w:r w:rsidRPr="001A03EB">
        <w:rPr>
          <w:rFonts w:eastAsia="Times New Roman"/>
          <w:lang w:val="fr-FR"/>
        </w:rPr>
        <w:tab/>
        <w:t>L</w:t>
      </w:r>
      <w:r w:rsidR="00DB4C2D">
        <w:rPr>
          <w:rFonts w:eastAsia="Times New Roman"/>
          <w:lang w:val="fr-FR"/>
        </w:rPr>
        <w:t>’</w:t>
      </w:r>
      <w:r w:rsidRPr="001A03EB">
        <w:rPr>
          <w:rFonts w:eastAsia="Times New Roman"/>
          <w:lang w:val="fr-FR"/>
        </w:rPr>
        <w:t>identification des véhicules inclus dans le programme (qu</w:t>
      </w:r>
      <w:r w:rsidR="00DB4C2D">
        <w:rPr>
          <w:rFonts w:eastAsia="Times New Roman"/>
          <w:lang w:val="fr-FR"/>
        </w:rPr>
        <w:t>’</w:t>
      </w:r>
      <w:r w:rsidRPr="001A03EB">
        <w:rPr>
          <w:rFonts w:eastAsia="Times New Roman"/>
          <w:lang w:val="fr-FR"/>
        </w:rPr>
        <w:t>ils aient ou non été soumis aux essais); cette identification comprend:</w:t>
      </w:r>
    </w:p>
    <w:p w:rsidR="001A03EB" w:rsidRPr="001A03EB" w:rsidRDefault="001A03EB" w:rsidP="00B11222">
      <w:pPr>
        <w:pStyle w:val="SingleTxtG"/>
        <w:ind w:left="3402" w:hanging="567"/>
        <w:rPr>
          <w:rFonts w:eastAsia="Times New Roman"/>
          <w:lang w:val="fr-FR"/>
        </w:rPr>
      </w:pPr>
      <w:r w:rsidRPr="001A03EB">
        <w:rPr>
          <w:rFonts w:eastAsia="Times New Roman"/>
          <w:lang w:val="fr-FR"/>
        </w:rPr>
        <w:t>i)</w:t>
      </w:r>
      <w:r w:rsidRPr="001A03EB">
        <w:rPr>
          <w:rFonts w:eastAsia="Times New Roman"/>
          <w:lang w:val="fr-FR"/>
        </w:rPr>
        <w:tab/>
        <w:t>Le nom du modèle;</w:t>
      </w:r>
    </w:p>
    <w:p w:rsidR="001A03EB" w:rsidRPr="001A03EB" w:rsidRDefault="001A03EB" w:rsidP="00B11222">
      <w:pPr>
        <w:pStyle w:val="SingleTxtG"/>
        <w:ind w:left="3402" w:hanging="567"/>
        <w:rPr>
          <w:rFonts w:eastAsia="Times New Roman"/>
          <w:lang w:val="fr-FR"/>
        </w:rPr>
      </w:pPr>
      <w:r w:rsidRPr="001A03EB">
        <w:rPr>
          <w:rFonts w:eastAsia="Times New Roman"/>
          <w:lang w:val="fr-FR"/>
        </w:rPr>
        <w:t>ii)</w:t>
      </w:r>
      <w:r w:rsidRPr="001A03EB">
        <w:rPr>
          <w:rFonts w:eastAsia="Times New Roman"/>
          <w:lang w:val="fr-FR"/>
        </w:rPr>
        <w:tab/>
        <w:t xml:space="preserve">Le </w:t>
      </w:r>
      <w:r w:rsidRPr="001A03EB">
        <w:rPr>
          <w:lang w:val="fr-FR"/>
        </w:rPr>
        <w:t>numéro</w:t>
      </w:r>
      <w:r w:rsidRPr="001A03EB">
        <w:rPr>
          <w:rFonts w:eastAsia="Times New Roman"/>
          <w:lang w:val="fr-FR"/>
        </w:rPr>
        <w:t xml:space="preserve"> d</w:t>
      </w:r>
      <w:r w:rsidR="00DB4C2D">
        <w:rPr>
          <w:rFonts w:eastAsia="Times New Roman"/>
          <w:lang w:val="fr-FR"/>
        </w:rPr>
        <w:t>’</w:t>
      </w:r>
      <w:r w:rsidRPr="001A03EB">
        <w:rPr>
          <w:rFonts w:eastAsia="Times New Roman"/>
          <w:lang w:val="fr-FR"/>
        </w:rPr>
        <w:t>identification du véhicule (VIN);</w:t>
      </w:r>
    </w:p>
    <w:p w:rsidR="001A03EB" w:rsidRPr="001A03EB" w:rsidRDefault="001A03EB" w:rsidP="00B11222">
      <w:pPr>
        <w:pStyle w:val="SingleTxtG"/>
        <w:ind w:left="3402" w:hanging="567"/>
        <w:rPr>
          <w:rFonts w:eastAsia="Times New Roman"/>
          <w:lang w:val="fr-FR"/>
        </w:rPr>
      </w:pPr>
      <w:r w:rsidRPr="001A03EB">
        <w:rPr>
          <w:rFonts w:eastAsia="Times New Roman"/>
          <w:lang w:val="fr-FR"/>
        </w:rPr>
        <w:t>iii)</w:t>
      </w:r>
      <w:r w:rsidRPr="001A03EB">
        <w:rPr>
          <w:rFonts w:eastAsia="Times New Roman"/>
          <w:lang w:val="fr-FR"/>
        </w:rPr>
        <w:tab/>
        <w:t xml:space="preserve">Le </w:t>
      </w:r>
      <w:r w:rsidRPr="001A03EB">
        <w:rPr>
          <w:lang w:val="fr-FR"/>
        </w:rPr>
        <w:t>numéro</w:t>
      </w:r>
      <w:r w:rsidRPr="001A03EB">
        <w:rPr>
          <w:rFonts w:eastAsia="Times New Roman"/>
          <w:lang w:val="fr-FR"/>
        </w:rPr>
        <w:t xml:space="preserve"> d</w:t>
      </w:r>
      <w:r w:rsidR="00DB4C2D">
        <w:rPr>
          <w:rFonts w:eastAsia="Times New Roman"/>
          <w:lang w:val="fr-FR"/>
        </w:rPr>
        <w:t>’</w:t>
      </w:r>
      <w:r w:rsidRPr="001A03EB">
        <w:rPr>
          <w:rFonts w:eastAsia="Times New Roman"/>
          <w:lang w:val="fr-FR"/>
        </w:rPr>
        <w:t>immatriculation du véhicule;</w:t>
      </w:r>
    </w:p>
    <w:p w:rsidR="001A03EB" w:rsidRPr="001A03EB" w:rsidRDefault="001A03EB" w:rsidP="00B11222">
      <w:pPr>
        <w:pStyle w:val="SingleTxtG"/>
        <w:ind w:left="3402" w:hanging="567"/>
        <w:rPr>
          <w:rFonts w:eastAsia="Times New Roman"/>
          <w:lang w:val="fr-FR"/>
        </w:rPr>
      </w:pPr>
      <w:r w:rsidRPr="001A03EB">
        <w:rPr>
          <w:rFonts w:eastAsia="Times New Roman"/>
          <w:lang w:val="fr-FR"/>
        </w:rPr>
        <w:t>iv)</w:t>
      </w:r>
      <w:r w:rsidRPr="001A03EB">
        <w:rPr>
          <w:rFonts w:eastAsia="Times New Roman"/>
          <w:lang w:val="fr-FR"/>
        </w:rPr>
        <w:tab/>
        <w:t>La date de construction;</w:t>
      </w:r>
    </w:p>
    <w:p w:rsidR="001A03EB" w:rsidRPr="001A03EB" w:rsidRDefault="001A03EB" w:rsidP="00B11222">
      <w:pPr>
        <w:pStyle w:val="SingleTxtG"/>
        <w:ind w:left="3402" w:hanging="567"/>
        <w:rPr>
          <w:rFonts w:eastAsia="Times New Roman"/>
          <w:lang w:val="fr-FR"/>
        </w:rPr>
      </w:pPr>
      <w:r w:rsidRPr="001A03EB">
        <w:rPr>
          <w:rFonts w:eastAsia="Times New Roman"/>
          <w:lang w:val="fr-FR"/>
        </w:rPr>
        <w:t>v)</w:t>
      </w:r>
      <w:r w:rsidRPr="001A03EB">
        <w:rPr>
          <w:rFonts w:eastAsia="Times New Roman"/>
          <w:lang w:val="fr-FR"/>
        </w:rPr>
        <w:tab/>
        <w:t xml:space="preserve">La </w:t>
      </w:r>
      <w:r w:rsidRPr="001A03EB">
        <w:rPr>
          <w:lang w:val="fr-FR"/>
        </w:rPr>
        <w:t>région</w:t>
      </w:r>
      <w:r w:rsidRPr="001A03EB">
        <w:rPr>
          <w:rFonts w:eastAsia="Times New Roman"/>
          <w:lang w:val="fr-FR"/>
        </w:rPr>
        <w:t xml:space="preserve"> d</w:t>
      </w:r>
      <w:r w:rsidR="00DB4C2D">
        <w:rPr>
          <w:rFonts w:eastAsia="Times New Roman"/>
          <w:lang w:val="fr-FR"/>
        </w:rPr>
        <w:t>’</w:t>
      </w:r>
      <w:r w:rsidRPr="001A03EB">
        <w:rPr>
          <w:rFonts w:eastAsia="Times New Roman"/>
          <w:lang w:val="fr-FR"/>
        </w:rPr>
        <w:t>utilisation (si elle est connue); et</w:t>
      </w:r>
    </w:p>
    <w:p w:rsidR="001A03EB" w:rsidRPr="001A03EB" w:rsidRDefault="001A03EB" w:rsidP="00B11222">
      <w:pPr>
        <w:pStyle w:val="SingleTxtG"/>
        <w:ind w:left="3402" w:hanging="567"/>
        <w:rPr>
          <w:rFonts w:eastAsia="Times New Roman"/>
          <w:lang w:val="fr-FR"/>
        </w:rPr>
      </w:pPr>
      <w:r w:rsidRPr="001A03EB">
        <w:rPr>
          <w:rFonts w:eastAsia="Times New Roman"/>
          <w:lang w:val="fr-FR"/>
        </w:rPr>
        <w:t>vi)</w:t>
      </w:r>
      <w:r w:rsidRPr="001A03EB">
        <w:rPr>
          <w:rFonts w:eastAsia="Times New Roman"/>
          <w:lang w:val="fr-FR"/>
        </w:rPr>
        <w:tab/>
        <w:t xml:space="preserve">Les </w:t>
      </w:r>
      <w:r w:rsidRPr="001A03EB">
        <w:rPr>
          <w:lang w:val="fr-FR"/>
        </w:rPr>
        <w:t>pneumatiques</w:t>
      </w:r>
      <w:r w:rsidRPr="001A03EB">
        <w:rPr>
          <w:rFonts w:eastAsia="Times New Roman"/>
          <w:lang w:val="fr-FR"/>
        </w:rPr>
        <w:t xml:space="preserve"> équipant le véhicule (émissions </w:t>
      </w:r>
      <w:r w:rsidRPr="001A03EB">
        <w:rPr>
          <w:lang w:val="fr-FR"/>
        </w:rPr>
        <w:t>d</w:t>
      </w:r>
      <w:r w:rsidR="00DB4C2D">
        <w:rPr>
          <w:lang w:val="fr-FR"/>
        </w:rPr>
        <w:t>’</w:t>
      </w:r>
      <w:r w:rsidRPr="001A03EB">
        <w:rPr>
          <w:lang w:val="fr-FR"/>
        </w:rPr>
        <w:t>échappement</w:t>
      </w:r>
      <w:r w:rsidRPr="001A03EB">
        <w:rPr>
          <w:rFonts w:eastAsia="Times New Roman"/>
          <w:lang w:val="fr-FR"/>
        </w:rPr>
        <w:t xml:space="preserve"> seulement);</w:t>
      </w:r>
    </w:p>
    <w:p w:rsidR="001A03EB" w:rsidRPr="001A03EB" w:rsidRDefault="001A03EB" w:rsidP="0082368A">
      <w:pPr>
        <w:pStyle w:val="SingleTxtG"/>
        <w:ind w:left="2835" w:hanging="567"/>
        <w:rPr>
          <w:rFonts w:eastAsia="Times New Roman"/>
          <w:lang w:val="fr-FR"/>
        </w:rPr>
      </w:pPr>
      <w:r w:rsidRPr="001A03EB">
        <w:rPr>
          <w:rFonts w:eastAsia="Times New Roman"/>
          <w:lang w:val="fr-FR"/>
        </w:rPr>
        <w:t>b)</w:t>
      </w:r>
      <w:r w:rsidRPr="001A03EB">
        <w:rPr>
          <w:rFonts w:eastAsia="Times New Roman"/>
          <w:lang w:val="fr-FR"/>
        </w:rPr>
        <w:tab/>
        <w:t>La ou les raisons motivant le rejet d</w:t>
      </w:r>
      <w:r w:rsidR="00DB4C2D">
        <w:rPr>
          <w:rFonts w:eastAsia="Times New Roman"/>
          <w:lang w:val="fr-FR"/>
        </w:rPr>
        <w:t>’</w:t>
      </w:r>
      <w:r w:rsidRPr="001A03EB">
        <w:rPr>
          <w:rFonts w:eastAsia="Times New Roman"/>
          <w:lang w:val="fr-FR"/>
        </w:rPr>
        <w:t>un véhicule de l</w:t>
      </w:r>
      <w:r w:rsidR="00DB4C2D">
        <w:rPr>
          <w:rFonts w:eastAsia="Times New Roman"/>
          <w:lang w:val="fr-FR"/>
        </w:rPr>
        <w:t>’</w:t>
      </w:r>
      <w:r w:rsidRPr="001A03EB">
        <w:rPr>
          <w:rFonts w:eastAsia="Times New Roman"/>
          <w:lang w:val="fr-FR"/>
        </w:rPr>
        <w:t>échantillon;</w:t>
      </w:r>
    </w:p>
    <w:p w:rsidR="001A03EB" w:rsidRPr="001A03EB" w:rsidRDefault="001A03EB" w:rsidP="0082368A">
      <w:pPr>
        <w:pStyle w:val="SingleTxtG"/>
        <w:ind w:left="2835" w:hanging="567"/>
        <w:rPr>
          <w:rFonts w:eastAsia="Times New Roman"/>
          <w:lang w:val="fr-FR"/>
        </w:rPr>
      </w:pPr>
      <w:r w:rsidRPr="001A03EB">
        <w:rPr>
          <w:rFonts w:eastAsia="Times New Roman"/>
          <w:lang w:val="fr-FR"/>
        </w:rPr>
        <w:t>c)</w:t>
      </w:r>
      <w:r w:rsidRPr="001A03EB">
        <w:rPr>
          <w:rFonts w:eastAsia="Times New Roman"/>
          <w:lang w:val="fr-FR"/>
        </w:rPr>
        <w:tab/>
        <w:t>L</w:t>
      </w:r>
      <w:r w:rsidR="00DB4C2D">
        <w:rPr>
          <w:rFonts w:eastAsia="Times New Roman"/>
          <w:lang w:val="fr-FR"/>
        </w:rPr>
        <w:t>’</w:t>
      </w:r>
      <w:r w:rsidRPr="001A03EB">
        <w:rPr>
          <w:rFonts w:eastAsia="Times New Roman"/>
          <w:lang w:val="fr-FR"/>
        </w:rPr>
        <w:t>historique de chaque véhicule de l</w:t>
      </w:r>
      <w:r w:rsidR="00DB4C2D">
        <w:rPr>
          <w:rFonts w:eastAsia="Times New Roman"/>
          <w:lang w:val="fr-FR"/>
        </w:rPr>
        <w:t>’</w:t>
      </w:r>
      <w:r w:rsidRPr="001A03EB">
        <w:rPr>
          <w:rFonts w:eastAsia="Times New Roman"/>
          <w:lang w:val="fr-FR"/>
        </w:rPr>
        <w:t>échantillon (y compris les éventuels rappels à l</w:t>
      </w:r>
      <w:r w:rsidR="00DB4C2D">
        <w:rPr>
          <w:rFonts w:eastAsia="Times New Roman"/>
          <w:lang w:val="fr-FR"/>
        </w:rPr>
        <w:t>’</w:t>
      </w:r>
      <w:r w:rsidRPr="001A03EB">
        <w:rPr>
          <w:rFonts w:eastAsia="Times New Roman"/>
          <w:lang w:val="fr-FR"/>
        </w:rPr>
        <w:t>usine);</w:t>
      </w:r>
    </w:p>
    <w:p w:rsidR="001A03EB" w:rsidRPr="001A03EB" w:rsidRDefault="001A03EB" w:rsidP="0082368A">
      <w:pPr>
        <w:pStyle w:val="SingleTxtG"/>
        <w:ind w:left="2835" w:hanging="567"/>
        <w:rPr>
          <w:rFonts w:eastAsia="Times New Roman"/>
          <w:lang w:val="fr-FR"/>
        </w:rPr>
      </w:pPr>
      <w:r w:rsidRPr="001A03EB">
        <w:rPr>
          <w:rFonts w:eastAsia="Times New Roman"/>
          <w:lang w:val="fr-FR"/>
        </w:rPr>
        <w:t>d)</w:t>
      </w:r>
      <w:r w:rsidRPr="001A03EB">
        <w:rPr>
          <w:rFonts w:eastAsia="Times New Roman"/>
          <w:lang w:val="fr-FR"/>
        </w:rPr>
        <w:tab/>
        <w:t>L</w:t>
      </w:r>
      <w:r w:rsidR="00DB4C2D">
        <w:rPr>
          <w:rFonts w:eastAsia="Times New Roman"/>
          <w:lang w:val="fr-FR"/>
        </w:rPr>
        <w:t>’</w:t>
      </w:r>
      <w:r w:rsidRPr="001A03EB">
        <w:rPr>
          <w:rFonts w:eastAsia="Times New Roman"/>
          <w:lang w:val="fr-FR"/>
        </w:rPr>
        <w:t>historique des réparations de chaque véhicule de l</w:t>
      </w:r>
      <w:r w:rsidR="00DB4C2D">
        <w:rPr>
          <w:rFonts w:eastAsia="Times New Roman"/>
          <w:lang w:val="fr-FR"/>
        </w:rPr>
        <w:t>’</w:t>
      </w:r>
      <w:r w:rsidRPr="001A03EB">
        <w:rPr>
          <w:rFonts w:eastAsia="Times New Roman"/>
          <w:lang w:val="fr-FR"/>
        </w:rPr>
        <w:t>échantillon (s</w:t>
      </w:r>
      <w:r w:rsidR="00DB4C2D">
        <w:rPr>
          <w:rFonts w:eastAsia="Times New Roman"/>
          <w:lang w:val="fr-FR"/>
        </w:rPr>
        <w:t>’</w:t>
      </w:r>
      <w:r w:rsidRPr="001A03EB">
        <w:rPr>
          <w:rFonts w:eastAsia="Times New Roman"/>
          <w:lang w:val="fr-FR"/>
        </w:rPr>
        <w:t>il est connu); et</w:t>
      </w:r>
    </w:p>
    <w:p w:rsidR="001A03EB" w:rsidRPr="001A03EB" w:rsidRDefault="001A03EB" w:rsidP="0082368A">
      <w:pPr>
        <w:pStyle w:val="SingleTxtG"/>
        <w:keepNext/>
        <w:ind w:left="2835" w:hanging="567"/>
        <w:rPr>
          <w:rFonts w:eastAsia="Times New Roman"/>
          <w:lang w:val="fr-FR"/>
        </w:rPr>
      </w:pPr>
      <w:r w:rsidRPr="001A03EB">
        <w:rPr>
          <w:rFonts w:eastAsia="Times New Roman"/>
          <w:lang w:val="fr-FR"/>
        </w:rPr>
        <w:t>e)</w:t>
      </w:r>
      <w:r w:rsidRPr="001A03EB">
        <w:rPr>
          <w:rFonts w:eastAsia="Times New Roman"/>
          <w:lang w:val="fr-FR"/>
        </w:rPr>
        <w:tab/>
        <w:t>Les données relatives aux essais:</w:t>
      </w:r>
    </w:p>
    <w:p w:rsidR="001A03EB" w:rsidRPr="001A03EB" w:rsidRDefault="001A03EB" w:rsidP="0082368A">
      <w:pPr>
        <w:pStyle w:val="SingleTxtG"/>
        <w:ind w:left="3402" w:hanging="567"/>
        <w:rPr>
          <w:rFonts w:eastAsia="Times New Roman"/>
          <w:lang w:val="fr-FR"/>
        </w:rPr>
      </w:pPr>
      <w:r w:rsidRPr="001A03EB">
        <w:rPr>
          <w:rFonts w:eastAsia="Times New Roman"/>
          <w:lang w:val="fr-FR"/>
        </w:rPr>
        <w:t>i)</w:t>
      </w:r>
      <w:r w:rsidRPr="001A03EB">
        <w:rPr>
          <w:rFonts w:eastAsia="Times New Roman"/>
          <w:lang w:val="fr-FR"/>
        </w:rPr>
        <w:tab/>
        <w:t>Date de l</w:t>
      </w:r>
      <w:r w:rsidR="00DB4C2D">
        <w:rPr>
          <w:rFonts w:eastAsia="Times New Roman"/>
          <w:lang w:val="fr-FR"/>
        </w:rPr>
        <w:t>’</w:t>
      </w:r>
      <w:r w:rsidRPr="001A03EB">
        <w:rPr>
          <w:rFonts w:eastAsia="Times New Roman"/>
          <w:lang w:val="fr-FR"/>
        </w:rPr>
        <w:t>essai/du téléchargement;</w:t>
      </w:r>
    </w:p>
    <w:p w:rsidR="001A03EB" w:rsidRPr="001A03EB" w:rsidRDefault="001A03EB" w:rsidP="0082368A">
      <w:pPr>
        <w:pStyle w:val="SingleTxtG"/>
        <w:ind w:left="3402" w:hanging="567"/>
        <w:rPr>
          <w:rFonts w:eastAsia="Times New Roman"/>
          <w:lang w:val="fr-FR"/>
        </w:rPr>
      </w:pPr>
      <w:r w:rsidRPr="001A03EB">
        <w:rPr>
          <w:rFonts w:eastAsia="Times New Roman"/>
          <w:lang w:val="fr-FR"/>
        </w:rPr>
        <w:t>ii)</w:t>
      </w:r>
      <w:r w:rsidRPr="001A03EB">
        <w:rPr>
          <w:rFonts w:eastAsia="Times New Roman"/>
          <w:lang w:val="fr-FR"/>
        </w:rPr>
        <w:tab/>
        <w:t>Lieu de l</w:t>
      </w:r>
      <w:r w:rsidR="00DB4C2D">
        <w:rPr>
          <w:rFonts w:eastAsia="Times New Roman"/>
          <w:lang w:val="fr-FR"/>
        </w:rPr>
        <w:t>’</w:t>
      </w:r>
      <w:r w:rsidRPr="001A03EB">
        <w:rPr>
          <w:rFonts w:eastAsia="Times New Roman"/>
          <w:lang w:val="fr-FR"/>
        </w:rPr>
        <w:t>essai/du téléchargement;</w:t>
      </w:r>
    </w:p>
    <w:p w:rsidR="001A03EB" w:rsidRPr="001A03EB" w:rsidRDefault="001A03EB" w:rsidP="0082368A">
      <w:pPr>
        <w:pStyle w:val="SingleTxtG"/>
        <w:ind w:left="3402" w:hanging="567"/>
        <w:rPr>
          <w:rFonts w:eastAsia="Times New Roman"/>
          <w:lang w:val="fr-FR"/>
        </w:rPr>
      </w:pPr>
      <w:r w:rsidRPr="001A03EB">
        <w:rPr>
          <w:rFonts w:eastAsia="Times New Roman"/>
          <w:lang w:val="fr-FR"/>
        </w:rPr>
        <w:t>iii)</w:t>
      </w:r>
      <w:r w:rsidRPr="001A03EB">
        <w:rPr>
          <w:rFonts w:eastAsia="Times New Roman"/>
          <w:lang w:val="fr-FR"/>
        </w:rPr>
        <w:tab/>
        <w:t>Kilométrage au compteur;</w:t>
      </w:r>
    </w:p>
    <w:p w:rsidR="001A03EB" w:rsidRPr="001A03EB" w:rsidRDefault="001A03EB" w:rsidP="0082368A">
      <w:pPr>
        <w:pStyle w:val="SingleTxtG"/>
        <w:keepNext/>
        <w:ind w:left="2835"/>
        <w:rPr>
          <w:lang w:val="fr-FR"/>
        </w:rPr>
      </w:pPr>
      <w:r w:rsidRPr="001A03EB">
        <w:rPr>
          <w:lang w:val="fr-FR"/>
        </w:rPr>
        <w:t>Pour les émissions d</w:t>
      </w:r>
      <w:r w:rsidR="00DB4C2D">
        <w:rPr>
          <w:lang w:val="fr-FR"/>
        </w:rPr>
        <w:t>’</w:t>
      </w:r>
      <w:r w:rsidRPr="001A03EB">
        <w:rPr>
          <w:lang w:val="fr-FR"/>
        </w:rPr>
        <w:t>échappement seulement:</w:t>
      </w:r>
    </w:p>
    <w:p w:rsidR="001A03EB" w:rsidRPr="001A03EB" w:rsidRDefault="001A03EB" w:rsidP="0082368A">
      <w:pPr>
        <w:pStyle w:val="SingleTxtG"/>
        <w:ind w:left="3402" w:hanging="567"/>
        <w:rPr>
          <w:rFonts w:eastAsia="Times New Roman"/>
          <w:lang w:val="fr-FR"/>
        </w:rPr>
      </w:pPr>
      <w:r w:rsidRPr="001A03EB">
        <w:rPr>
          <w:rFonts w:eastAsia="Times New Roman"/>
          <w:lang w:val="fr-FR"/>
        </w:rPr>
        <w:t>iv)</w:t>
      </w:r>
      <w:r w:rsidRPr="001A03EB">
        <w:rPr>
          <w:rFonts w:eastAsia="Times New Roman"/>
          <w:lang w:val="fr-FR"/>
        </w:rPr>
        <w:tab/>
        <w:t>Spécifications du carburant utilisé pour l</w:t>
      </w:r>
      <w:r w:rsidR="00DB4C2D">
        <w:rPr>
          <w:rFonts w:eastAsia="Times New Roman"/>
          <w:lang w:val="fr-FR"/>
        </w:rPr>
        <w:t>’</w:t>
      </w:r>
      <w:r w:rsidRPr="001A03EB">
        <w:rPr>
          <w:rFonts w:eastAsia="Times New Roman"/>
          <w:lang w:val="fr-FR"/>
        </w:rPr>
        <w:t>essai (par exemple, carburant de référence ou carburant du marché);</w:t>
      </w:r>
    </w:p>
    <w:p w:rsidR="001A03EB" w:rsidRPr="001A03EB" w:rsidRDefault="001A03EB" w:rsidP="0082368A">
      <w:pPr>
        <w:pStyle w:val="SingleTxtG"/>
        <w:ind w:left="3402" w:hanging="567"/>
        <w:rPr>
          <w:rFonts w:eastAsia="Times New Roman"/>
          <w:lang w:val="fr-FR"/>
        </w:rPr>
      </w:pPr>
      <w:r w:rsidRPr="001A03EB">
        <w:rPr>
          <w:rFonts w:eastAsia="Times New Roman"/>
          <w:lang w:val="fr-FR"/>
        </w:rPr>
        <w:t>v)</w:t>
      </w:r>
      <w:r w:rsidRPr="001A03EB">
        <w:rPr>
          <w:rFonts w:eastAsia="Times New Roman"/>
          <w:lang w:val="fr-FR"/>
        </w:rPr>
        <w:tab/>
        <w:t>Conditions de l</w:t>
      </w:r>
      <w:r w:rsidR="00DB4C2D">
        <w:rPr>
          <w:rFonts w:eastAsia="Times New Roman"/>
          <w:lang w:val="fr-FR"/>
        </w:rPr>
        <w:t>’</w:t>
      </w:r>
      <w:r w:rsidRPr="001A03EB">
        <w:rPr>
          <w:rFonts w:eastAsia="Times New Roman"/>
          <w:lang w:val="fr-FR"/>
        </w:rPr>
        <w:t>essai (température, humidité, masse inertielle du dynamomètre);</w:t>
      </w:r>
    </w:p>
    <w:p w:rsidR="001A03EB" w:rsidRPr="001A03EB" w:rsidRDefault="001A03EB" w:rsidP="0082368A">
      <w:pPr>
        <w:pStyle w:val="SingleTxtG"/>
        <w:ind w:left="3402" w:hanging="567"/>
        <w:rPr>
          <w:rFonts w:eastAsia="Times New Roman"/>
          <w:lang w:val="fr-FR"/>
        </w:rPr>
      </w:pPr>
      <w:r w:rsidRPr="001A03EB">
        <w:rPr>
          <w:rFonts w:eastAsia="Times New Roman"/>
          <w:lang w:val="fr-FR"/>
        </w:rPr>
        <w:t>vi)</w:t>
      </w:r>
      <w:r w:rsidRPr="001A03EB">
        <w:rPr>
          <w:rFonts w:eastAsia="Times New Roman"/>
          <w:lang w:val="fr-FR"/>
        </w:rPr>
        <w:tab/>
        <w:t>Réglage du dynamomètre (par exemple, puissance affichée);</w:t>
      </w:r>
    </w:p>
    <w:p w:rsidR="001A03EB" w:rsidRPr="001A03EB" w:rsidRDefault="001A03EB" w:rsidP="0082368A">
      <w:pPr>
        <w:pStyle w:val="SingleTxtG"/>
        <w:ind w:left="3402" w:hanging="567"/>
        <w:rPr>
          <w:rFonts w:eastAsia="Times New Roman"/>
          <w:lang w:val="fr-FR"/>
        </w:rPr>
      </w:pPr>
      <w:r w:rsidRPr="001A03EB">
        <w:rPr>
          <w:rFonts w:eastAsia="Times New Roman"/>
          <w:lang w:val="fr-FR"/>
        </w:rPr>
        <w:lastRenderedPageBreak/>
        <w:t>vii)</w:t>
      </w:r>
      <w:r w:rsidRPr="001A03EB">
        <w:rPr>
          <w:rFonts w:eastAsia="Times New Roman"/>
          <w:lang w:val="fr-FR"/>
        </w:rPr>
        <w:tab/>
        <w:t>Résultats de l</w:t>
      </w:r>
      <w:r w:rsidR="00DB4C2D">
        <w:rPr>
          <w:rFonts w:eastAsia="Times New Roman"/>
          <w:lang w:val="fr-FR"/>
        </w:rPr>
        <w:t>’</w:t>
      </w:r>
      <w:r w:rsidRPr="001A03EB">
        <w:rPr>
          <w:rFonts w:eastAsia="Times New Roman"/>
          <w:lang w:val="fr-FR"/>
        </w:rPr>
        <w:t>essai (concernant au moins trois véhicules différents par famille);</w:t>
      </w:r>
    </w:p>
    <w:p w:rsidR="001A03EB" w:rsidRPr="001A03EB" w:rsidRDefault="001A03EB" w:rsidP="009F4AFC">
      <w:pPr>
        <w:pStyle w:val="SingleTxtG"/>
        <w:keepNext/>
        <w:ind w:left="2835"/>
        <w:rPr>
          <w:lang w:val="fr-FR"/>
        </w:rPr>
      </w:pPr>
      <w:r w:rsidRPr="001A03EB">
        <w:rPr>
          <w:lang w:val="fr-FR"/>
        </w:rPr>
        <w:t>et pour l</w:t>
      </w:r>
      <w:r w:rsidR="00DB4C2D">
        <w:rPr>
          <w:lang w:val="fr-FR"/>
        </w:rPr>
        <w:t>’</w:t>
      </w:r>
      <w:r w:rsidRPr="001A03EB">
        <w:rPr>
          <w:lang w:val="fr-FR"/>
        </w:rPr>
        <w:t>IUPR</w:t>
      </w:r>
      <w:r w:rsidRPr="001A03EB">
        <w:rPr>
          <w:vertAlign w:val="subscript"/>
          <w:lang w:val="fr-FR"/>
        </w:rPr>
        <w:t>M</w:t>
      </w:r>
      <w:r w:rsidRPr="001A03EB">
        <w:rPr>
          <w:lang w:val="fr-FR"/>
        </w:rPr>
        <w:t xml:space="preserve"> </w:t>
      </w:r>
      <w:r w:rsidRPr="009F4AFC">
        <w:t>seulement</w:t>
      </w:r>
      <w:r w:rsidRPr="001A03EB">
        <w:rPr>
          <w:lang w:val="fr-FR"/>
        </w:rPr>
        <w:t>:</w:t>
      </w:r>
    </w:p>
    <w:p w:rsidR="001A03EB" w:rsidRPr="001A03EB" w:rsidRDefault="001A03EB" w:rsidP="009F4AFC">
      <w:pPr>
        <w:pStyle w:val="SingleTxtG"/>
        <w:ind w:left="3402" w:hanging="567"/>
        <w:rPr>
          <w:rFonts w:eastAsia="Times New Roman"/>
          <w:lang w:val="fr-FR"/>
        </w:rPr>
      </w:pPr>
      <w:r w:rsidRPr="001A03EB">
        <w:rPr>
          <w:rFonts w:eastAsia="Times New Roman"/>
          <w:lang w:val="fr-FR"/>
        </w:rPr>
        <w:t>viii)</w:t>
      </w:r>
      <w:r w:rsidRPr="001A03EB">
        <w:rPr>
          <w:rFonts w:eastAsia="Times New Roman"/>
          <w:lang w:val="fr-FR"/>
        </w:rPr>
        <w:tab/>
        <w:t>Toutes les données téléchargées depuis le véhicule;</w:t>
      </w:r>
    </w:p>
    <w:p w:rsidR="001A03EB" w:rsidRPr="001A03EB" w:rsidRDefault="001A03EB" w:rsidP="009F4AFC">
      <w:pPr>
        <w:pStyle w:val="SingleTxtG"/>
        <w:ind w:left="3402" w:hanging="567"/>
        <w:rPr>
          <w:rFonts w:eastAsia="Times New Roman"/>
          <w:lang w:val="fr-FR"/>
        </w:rPr>
      </w:pPr>
      <w:r w:rsidRPr="001A03EB">
        <w:rPr>
          <w:rFonts w:eastAsia="Times New Roman"/>
          <w:lang w:val="fr-FR"/>
        </w:rPr>
        <w:t>ix)</w:t>
      </w:r>
      <w:r w:rsidRPr="001A03EB">
        <w:rPr>
          <w:rFonts w:eastAsia="Times New Roman"/>
          <w:lang w:val="fr-FR"/>
        </w:rPr>
        <w:tab/>
        <w:t>Pour chaque surveillance devant faire l</w:t>
      </w:r>
      <w:r w:rsidR="00DB4C2D">
        <w:rPr>
          <w:rFonts w:eastAsia="Times New Roman"/>
          <w:lang w:val="fr-FR"/>
        </w:rPr>
        <w:t>’</w:t>
      </w:r>
      <w:r w:rsidRPr="001A03EB">
        <w:rPr>
          <w:rFonts w:eastAsia="Times New Roman"/>
          <w:lang w:val="fr-FR"/>
        </w:rPr>
        <w:t>objet d</w:t>
      </w:r>
      <w:r w:rsidR="00DB4C2D">
        <w:rPr>
          <w:rFonts w:eastAsia="Times New Roman"/>
          <w:lang w:val="fr-FR"/>
        </w:rPr>
        <w:t>’</w:t>
      </w:r>
      <w:r w:rsidRPr="001A03EB">
        <w:rPr>
          <w:rFonts w:eastAsia="Times New Roman"/>
          <w:lang w:val="fr-FR"/>
        </w:rPr>
        <w:t>un rapport, le rapport d</w:t>
      </w:r>
      <w:r w:rsidR="00DB4C2D">
        <w:rPr>
          <w:rFonts w:eastAsia="Times New Roman"/>
          <w:lang w:val="fr-FR"/>
        </w:rPr>
        <w:t>’</w:t>
      </w:r>
      <w:r w:rsidRPr="001A03EB">
        <w:rPr>
          <w:rFonts w:eastAsia="Times New Roman"/>
          <w:lang w:val="fr-FR"/>
        </w:rPr>
        <w:t>efficacité en service (IUPR</w:t>
      </w:r>
      <w:r w:rsidRPr="001A03EB">
        <w:rPr>
          <w:rFonts w:eastAsia="Times New Roman"/>
          <w:vertAlign w:val="subscript"/>
          <w:lang w:val="fr-FR"/>
        </w:rPr>
        <w:t>M</w:t>
      </w:r>
      <w:r w:rsidR="008E1CE8">
        <w:rPr>
          <w:rFonts w:eastAsia="Times New Roman"/>
          <w:lang w:val="fr-FR"/>
        </w:rPr>
        <w:t>).</w:t>
      </w:r>
    </w:p>
    <w:p w:rsidR="001A03EB" w:rsidRPr="001A03EB" w:rsidRDefault="001A03EB" w:rsidP="009F4AFC">
      <w:pPr>
        <w:pStyle w:val="SingleTxtG"/>
        <w:spacing w:before="120"/>
        <w:ind w:left="2268" w:hanging="1134"/>
        <w:rPr>
          <w:rFonts w:eastAsia="Times New Roman"/>
          <w:lang w:val="fr-FR"/>
        </w:rPr>
      </w:pPr>
      <w:r w:rsidRPr="001A03EB">
        <w:rPr>
          <w:rFonts w:eastAsia="Times New Roman"/>
          <w:lang w:val="fr-FR"/>
        </w:rPr>
        <w:t>9.2.5.12</w:t>
      </w:r>
      <w:r w:rsidRPr="001A03EB">
        <w:rPr>
          <w:rFonts w:eastAsia="Times New Roman"/>
          <w:lang w:val="fr-FR"/>
        </w:rPr>
        <w:tab/>
        <w:t>Enregistrement des indications fournies par le système OBD;</w:t>
      </w:r>
    </w:p>
    <w:p w:rsidR="001A03EB" w:rsidRPr="001A03EB" w:rsidRDefault="001A03EB" w:rsidP="009F4AFC">
      <w:pPr>
        <w:pStyle w:val="SingleTxtG"/>
        <w:spacing w:before="120"/>
        <w:ind w:left="2268" w:hanging="1134"/>
        <w:rPr>
          <w:rFonts w:eastAsia="Times New Roman"/>
          <w:lang w:val="fr-FR"/>
        </w:rPr>
      </w:pPr>
      <w:r w:rsidRPr="001A03EB">
        <w:rPr>
          <w:rFonts w:eastAsia="Times New Roman"/>
          <w:lang w:val="fr-FR"/>
        </w:rPr>
        <w:t>9.2.5.13</w:t>
      </w:r>
      <w:r w:rsidRPr="001A03EB">
        <w:rPr>
          <w:rFonts w:eastAsia="Times New Roman"/>
          <w:lang w:val="fr-FR"/>
        </w:rPr>
        <w:tab/>
        <w:t>Pour l</w:t>
      </w:r>
      <w:r w:rsidR="00DB4C2D">
        <w:rPr>
          <w:rFonts w:eastAsia="Times New Roman"/>
          <w:lang w:val="fr-FR"/>
        </w:rPr>
        <w:t>’</w:t>
      </w:r>
      <w:r w:rsidRPr="001A03EB">
        <w:rPr>
          <w:rFonts w:eastAsia="Times New Roman"/>
          <w:lang w:val="fr-FR"/>
        </w:rPr>
        <w:t>échantillonnage de l</w:t>
      </w:r>
      <w:r w:rsidR="00DB4C2D">
        <w:rPr>
          <w:rFonts w:eastAsia="Times New Roman"/>
          <w:lang w:val="fr-FR"/>
        </w:rPr>
        <w:t>’</w:t>
      </w:r>
      <w:r w:rsidRPr="001A03EB">
        <w:rPr>
          <w:rFonts w:eastAsia="Times New Roman"/>
          <w:lang w:val="fr-FR"/>
        </w:rPr>
        <w:t>IUPR</w:t>
      </w:r>
      <w:r w:rsidRPr="001A03EB">
        <w:rPr>
          <w:rFonts w:eastAsia="Times New Roman"/>
          <w:vertAlign w:val="subscript"/>
          <w:lang w:val="fr-FR"/>
        </w:rPr>
        <w:t>M</w:t>
      </w:r>
      <w:r w:rsidRPr="001A03EB">
        <w:rPr>
          <w:rFonts w:eastAsia="Times New Roman"/>
          <w:lang w:val="fr-FR"/>
        </w:rPr>
        <w:t>, les informations suivantes:</w:t>
      </w:r>
    </w:p>
    <w:p w:rsidR="001A03EB" w:rsidRPr="001A03EB" w:rsidRDefault="001A03EB" w:rsidP="009F4AFC">
      <w:pPr>
        <w:pStyle w:val="SingleTxtG"/>
        <w:ind w:left="2835" w:hanging="567"/>
        <w:rPr>
          <w:rFonts w:eastAsia="Times New Roman"/>
          <w:lang w:val="fr-FR"/>
        </w:rPr>
      </w:pPr>
      <w:r w:rsidRPr="001A03EB">
        <w:rPr>
          <w:rFonts w:eastAsia="Times New Roman"/>
          <w:lang w:val="fr-FR"/>
        </w:rPr>
        <w:t>a)</w:t>
      </w:r>
      <w:r w:rsidRPr="001A03EB">
        <w:rPr>
          <w:rFonts w:eastAsia="Times New Roman"/>
          <w:lang w:val="fr-FR"/>
        </w:rPr>
        <w:tab/>
        <w:t>Le rapport d</w:t>
      </w:r>
      <w:r w:rsidR="00DB4C2D">
        <w:rPr>
          <w:rFonts w:eastAsia="Times New Roman"/>
          <w:lang w:val="fr-FR"/>
        </w:rPr>
        <w:t>’</w:t>
      </w:r>
      <w:r w:rsidRPr="001A03EB">
        <w:rPr>
          <w:rFonts w:eastAsia="Times New Roman"/>
          <w:lang w:val="fr-FR"/>
        </w:rPr>
        <w:t>efficacité en service moyen (IUPR</w:t>
      </w:r>
      <w:r w:rsidRPr="001A03EB">
        <w:rPr>
          <w:rFonts w:eastAsia="Times New Roman"/>
          <w:vertAlign w:val="subscript"/>
          <w:lang w:val="fr-FR"/>
        </w:rPr>
        <w:t>M</w:t>
      </w:r>
      <w:r w:rsidRPr="001A03EB">
        <w:rPr>
          <w:rFonts w:eastAsia="Times New Roman"/>
          <w:lang w:val="fr-FR"/>
        </w:rPr>
        <w:t>) pour tous les véhicules sélectionnés pour chaque surveillance, conformément aux paragraphes 7.1.4 et 7.1.5 de l</w:t>
      </w:r>
      <w:r w:rsidR="00DB4C2D">
        <w:rPr>
          <w:rFonts w:eastAsia="Times New Roman"/>
          <w:lang w:val="fr-FR"/>
        </w:rPr>
        <w:t>’</w:t>
      </w:r>
      <w:r w:rsidRPr="001A03EB">
        <w:rPr>
          <w:rFonts w:eastAsia="Times New Roman"/>
          <w:lang w:val="fr-FR"/>
        </w:rPr>
        <w:t>appendice 1 de l</w:t>
      </w:r>
      <w:r w:rsidR="00DB4C2D">
        <w:rPr>
          <w:rFonts w:eastAsia="Times New Roman"/>
          <w:lang w:val="fr-FR"/>
        </w:rPr>
        <w:t>’</w:t>
      </w:r>
      <w:r w:rsidRPr="001A03EB">
        <w:rPr>
          <w:rFonts w:eastAsia="Times New Roman"/>
          <w:lang w:val="fr-FR"/>
        </w:rPr>
        <w:t>annexe 11 du présent Règlement;</w:t>
      </w:r>
    </w:p>
    <w:p w:rsidR="001A03EB" w:rsidRPr="001A03EB" w:rsidRDefault="001A03EB" w:rsidP="009F4AFC">
      <w:pPr>
        <w:pStyle w:val="SingleTxtG"/>
        <w:ind w:left="2835" w:hanging="567"/>
        <w:rPr>
          <w:rFonts w:eastAsia="Times New Roman"/>
          <w:lang w:val="fr-FR"/>
        </w:rPr>
      </w:pPr>
      <w:r w:rsidRPr="001A03EB">
        <w:rPr>
          <w:rFonts w:eastAsia="Times New Roman"/>
          <w:lang w:val="fr-FR"/>
        </w:rPr>
        <w:t>b)</w:t>
      </w:r>
      <w:r w:rsidRPr="001A03EB">
        <w:rPr>
          <w:rFonts w:eastAsia="Times New Roman"/>
          <w:lang w:val="fr-FR"/>
        </w:rPr>
        <w:tab/>
        <w:t>Le pourcentage de véhicules dont l</w:t>
      </w:r>
      <w:r w:rsidR="00DB4C2D">
        <w:rPr>
          <w:rFonts w:eastAsia="Times New Roman"/>
          <w:lang w:val="fr-FR"/>
        </w:rPr>
        <w:t>’</w:t>
      </w:r>
      <w:r w:rsidRPr="001A03EB">
        <w:rPr>
          <w:rFonts w:eastAsia="Times New Roman"/>
          <w:lang w:val="fr-FR"/>
        </w:rPr>
        <w:t>IUPR</w:t>
      </w:r>
      <w:r w:rsidRPr="001A03EB">
        <w:rPr>
          <w:rFonts w:eastAsia="Times New Roman"/>
          <w:vertAlign w:val="subscript"/>
          <w:lang w:val="fr-FR"/>
        </w:rPr>
        <w:t>M</w:t>
      </w:r>
      <w:r w:rsidRPr="001A03EB">
        <w:rPr>
          <w:rFonts w:eastAsia="Times New Roman"/>
          <w:lang w:val="fr-FR"/>
        </w:rPr>
        <w:t xml:space="preserve"> est supérieur ou égal à la valeur minimale applicable à la surveillance, conformément aux paragraphes 7.1.4 et 7.1.5 de l</w:t>
      </w:r>
      <w:r w:rsidR="00DB4C2D">
        <w:rPr>
          <w:rFonts w:eastAsia="Times New Roman"/>
          <w:lang w:val="fr-FR"/>
        </w:rPr>
        <w:t>’</w:t>
      </w:r>
      <w:r w:rsidRPr="001A03EB">
        <w:rPr>
          <w:rFonts w:eastAsia="Times New Roman"/>
          <w:lang w:val="fr-FR"/>
        </w:rPr>
        <w:t>appendice 1 à l</w:t>
      </w:r>
      <w:r w:rsidR="00DB4C2D">
        <w:rPr>
          <w:rFonts w:eastAsia="Times New Roman"/>
          <w:lang w:val="fr-FR"/>
        </w:rPr>
        <w:t>’</w:t>
      </w:r>
      <w:r w:rsidRPr="001A03EB">
        <w:rPr>
          <w:rFonts w:eastAsia="Times New Roman"/>
          <w:lang w:val="fr-FR"/>
        </w:rPr>
        <w:t>annexe 11 du présent Règlement.</w:t>
      </w:r>
    </w:p>
    <w:p w:rsidR="001A03EB" w:rsidRPr="001A03EB" w:rsidRDefault="001A03EB" w:rsidP="009F4AFC">
      <w:pPr>
        <w:pStyle w:val="SingleTxtG"/>
        <w:keepNext/>
        <w:spacing w:before="120"/>
        <w:ind w:left="2268" w:hanging="1134"/>
        <w:rPr>
          <w:rFonts w:eastAsia="Times New Roman"/>
          <w:bCs/>
          <w:lang w:val="fr-FR"/>
        </w:rPr>
      </w:pPr>
      <w:r w:rsidRPr="001A03EB">
        <w:rPr>
          <w:rFonts w:eastAsia="Times New Roman"/>
          <w:lang w:val="fr-FR"/>
        </w:rPr>
        <w:t>9.3</w:t>
      </w:r>
      <w:r w:rsidRPr="001A03EB">
        <w:rPr>
          <w:rFonts w:eastAsia="Times New Roman"/>
          <w:lang w:val="fr-FR"/>
        </w:rPr>
        <w:tab/>
      </w:r>
      <w:r w:rsidRPr="001A03EB">
        <w:rPr>
          <w:rFonts w:eastAsia="Times New Roman"/>
          <w:bCs/>
          <w:lang w:val="fr-FR"/>
        </w:rPr>
        <w:t>Sélection de véhicules soumis au contrôle de la conformité en service</w:t>
      </w:r>
    </w:p>
    <w:p w:rsidR="001A03EB" w:rsidRPr="001A03EB" w:rsidRDefault="001A03EB" w:rsidP="009F4AFC">
      <w:pPr>
        <w:pStyle w:val="SingleTxtG"/>
        <w:spacing w:before="120"/>
        <w:ind w:left="2268" w:hanging="1134"/>
        <w:rPr>
          <w:rFonts w:eastAsia="Times New Roman"/>
          <w:lang w:val="fr-FR"/>
        </w:rPr>
      </w:pPr>
      <w:r w:rsidRPr="001A03EB">
        <w:rPr>
          <w:rFonts w:eastAsia="Times New Roman"/>
          <w:lang w:val="fr-FR"/>
        </w:rPr>
        <w:t>9.3.1</w:t>
      </w:r>
      <w:r w:rsidRPr="001A03EB">
        <w:rPr>
          <w:rFonts w:eastAsia="Times New Roman"/>
          <w:lang w:val="fr-FR"/>
        </w:rPr>
        <w:tab/>
        <w:t>Les informations réunies par le constructeur doivent être suffisamment complètes pour que les performances en service puissent être évaluées pour les conditions normales d</w:t>
      </w:r>
      <w:r w:rsidR="00DB4C2D">
        <w:rPr>
          <w:rFonts w:eastAsia="Times New Roman"/>
          <w:lang w:val="fr-FR"/>
        </w:rPr>
        <w:t>’</w:t>
      </w:r>
      <w:r w:rsidRPr="001A03EB">
        <w:rPr>
          <w:rFonts w:eastAsia="Times New Roman"/>
          <w:lang w:val="fr-FR"/>
        </w:rPr>
        <w:t>utilisation. L</w:t>
      </w:r>
      <w:r w:rsidR="00DB4C2D">
        <w:rPr>
          <w:rFonts w:eastAsia="Times New Roman"/>
          <w:lang w:val="fr-FR"/>
        </w:rPr>
        <w:t>’</w:t>
      </w:r>
      <w:r w:rsidRPr="001A03EB">
        <w:rPr>
          <w:rFonts w:eastAsia="Times New Roman"/>
          <w:lang w:val="fr-FR"/>
        </w:rPr>
        <w:t>échantillonnage doit provenir d</w:t>
      </w:r>
      <w:r w:rsidR="00DB4C2D">
        <w:rPr>
          <w:rFonts w:eastAsia="Times New Roman"/>
          <w:lang w:val="fr-FR"/>
        </w:rPr>
        <w:t>’</w:t>
      </w:r>
      <w:r w:rsidRPr="001A03EB">
        <w:rPr>
          <w:rFonts w:eastAsia="Times New Roman"/>
          <w:lang w:val="fr-FR"/>
        </w:rPr>
        <w:t>au moins deux Parties contractantes présentant des conditions d</w:t>
      </w:r>
      <w:r w:rsidR="00DB4C2D">
        <w:rPr>
          <w:rFonts w:eastAsia="Times New Roman"/>
          <w:lang w:val="fr-FR"/>
        </w:rPr>
        <w:t>’</w:t>
      </w:r>
      <w:r w:rsidRPr="001A03EB">
        <w:rPr>
          <w:rFonts w:eastAsia="Times New Roman"/>
          <w:lang w:val="fr-FR"/>
        </w:rPr>
        <w:t>utilisation de véhicules notablement différentes. Les facteurs tels que les différences entre carburants, les conditions ambiantes, les vitesses moyennes sur route et les différences de conduite sur route et sur autoroute seront pris en considération dans la sélection des Parties contractantes.</w:t>
      </w:r>
    </w:p>
    <w:p w:rsidR="001A03EB" w:rsidRPr="001A03EB" w:rsidRDefault="001A03EB" w:rsidP="009F4AFC">
      <w:pPr>
        <w:pStyle w:val="SingleTxtG"/>
        <w:spacing w:before="120"/>
        <w:ind w:left="2268"/>
        <w:rPr>
          <w:rFonts w:eastAsia="Times New Roman"/>
          <w:lang w:val="fr-FR"/>
        </w:rPr>
      </w:pPr>
      <w:r w:rsidRPr="001A03EB">
        <w:rPr>
          <w:rFonts w:eastAsia="Times New Roman"/>
          <w:lang w:val="fr-FR"/>
        </w:rPr>
        <w:t>Pour les essais relatifs à l</w:t>
      </w:r>
      <w:r w:rsidR="00DB4C2D">
        <w:rPr>
          <w:rFonts w:eastAsia="Times New Roman"/>
          <w:lang w:val="fr-FR"/>
        </w:rPr>
        <w:t>’</w:t>
      </w:r>
      <w:r w:rsidRPr="001A03EB">
        <w:rPr>
          <w:rFonts w:eastAsia="Times New Roman"/>
          <w:lang w:val="fr-FR"/>
        </w:rPr>
        <w:t>IUPR</w:t>
      </w:r>
      <w:r w:rsidRPr="001A03EB">
        <w:rPr>
          <w:rFonts w:eastAsia="Times New Roman"/>
          <w:vertAlign w:val="subscript"/>
          <w:lang w:val="fr-FR"/>
        </w:rPr>
        <w:t>M</w:t>
      </w:r>
      <w:r w:rsidRPr="001A03EB">
        <w:rPr>
          <w:rFonts w:eastAsia="Times New Roman"/>
          <w:lang w:val="fr-FR"/>
        </w:rPr>
        <w:t xml:space="preserve"> des systèmes OBD seulement, les véhicules qui remplissent les critères visés au paragraphe 2.2.1 de l</w:t>
      </w:r>
      <w:r w:rsidR="00DB4C2D">
        <w:rPr>
          <w:rFonts w:eastAsia="Times New Roman"/>
          <w:lang w:val="fr-FR"/>
        </w:rPr>
        <w:t>’</w:t>
      </w:r>
      <w:r w:rsidRPr="001A03EB">
        <w:rPr>
          <w:rFonts w:eastAsia="Times New Roman"/>
          <w:lang w:val="fr-FR"/>
        </w:rPr>
        <w:t>appendice 3 du présent Règlement doivent être inclus dans l</w:t>
      </w:r>
      <w:r w:rsidR="00DB4C2D">
        <w:rPr>
          <w:rFonts w:eastAsia="Times New Roman"/>
          <w:lang w:val="fr-FR"/>
        </w:rPr>
        <w:t>’</w:t>
      </w:r>
      <w:r w:rsidRPr="001A03EB">
        <w:rPr>
          <w:rFonts w:eastAsia="Times New Roman"/>
          <w:lang w:val="fr-FR"/>
        </w:rPr>
        <w:t>échantillon d</w:t>
      </w:r>
      <w:r w:rsidR="00DB4C2D">
        <w:rPr>
          <w:rFonts w:eastAsia="Times New Roman"/>
          <w:lang w:val="fr-FR"/>
        </w:rPr>
        <w:t>’</w:t>
      </w:r>
      <w:r w:rsidRPr="001A03EB">
        <w:rPr>
          <w:rFonts w:eastAsia="Times New Roman"/>
          <w:lang w:val="fr-FR"/>
        </w:rPr>
        <w:t>essai.</w:t>
      </w:r>
    </w:p>
    <w:p w:rsidR="001A03EB" w:rsidRPr="001A03EB" w:rsidRDefault="001A03EB" w:rsidP="009F4AFC">
      <w:pPr>
        <w:pStyle w:val="SingleTxtG"/>
        <w:spacing w:before="120"/>
        <w:ind w:left="2268" w:hanging="1134"/>
        <w:rPr>
          <w:rFonts w:eastAsia="Times New Roman"/>
          <w:lang w:val="fr-FR"/>
        </w:rPr>
      </w:pPr>
      <w:r w:rsidRPr="001A03EB">
        <w:rPr>
          <w:rFonts w:eastAsia="Times New Roman"/>
          <w:lang w:val="fr-FR"/>
        </w:rPr>
        <w:t>9.3.2</w:t>
      </w:r>
      <w:r w:rsidRPr="001A03EB">
        <w:rPr>
          <w:rFonts w:eastAsia="Times New Roman"/>
          <w:lang w:val="fr-FR"/>
        </w:rPr>
        <w:tab/>
        <w:t>Lorsqu</w:t>
      </w:r>
      <w:r w:rsidR="00DB4C2D">
        <w:rPr>
          <w:rFonts w:eastAsia="Times New Roman"/>
          <w:lang w:val="fr-FR"/>
        </w:rPr>
        <w:t>’</w:t>
      </w:r>
      <w:r w:rsidRPr="001A03EB">
        <w:rPr>
          <w:rFonts w:eastAsia="Times New Roman"/>
          <w:lang w:val="fr-FR"/>
        </w:rPr>
        <w:t>il choisit les Parties contractantes pour l</w:t>
      </w:r>
      <w:r w:rsidR="00DB4C2D">
        <w:rPr>
          <w:rFonts w:eastAsia="Times New Roman"/>
          <w:lang w:val="fr-FR"/>
        </w:rPr>
        <w:t>’</w:t>
      </w:r>
      <w:r w:rsidRPr="001A03EB">
        <w:rPr>
          <w:rFonts w:eastAsia="Times New Roman"/>
          <w:lang w:val="fr-FR"/>
        </w:rPr>
        <w:t>échantillonnage des véhicules, le constructeur peut sélectionner les véhicules d</w:t>
      </w:r>
      <w:r w:rsidR="00DB4C2D">
        <w:rPr>
          <w:rFonts w:eastAsia="Times New Roman"/>
          <w:lang w:val="fr-FR"/>
        </w:rPr>
        <w:t>’</w:t>
      </w:r>
      <w:r w:rsidRPr="001A03EB">
        <w:rPr>
          <w:rFonts w:eastAsia="Times New Roman"/>
          <w:lang w:val="fr-FR"/>
        </w:rPr>
        <w:t>une Partie contractante jugée particulièrement représentative. Dans ce cas, il doit démontrer à l</w:t>
      </w:r>
      <w:r w:rsidR="00DB4C2D">
        <w:rPr>
          <w:rFonts w:eastAsia="Times New Roman"/>
          <w:lang w:val="fr-FR"/>
        </w:rPr>
        <w:t>’</w:t>
      </w:r>
      <w:r w:rsidRPr="001A03EB">
        <w:rPr>
          <w:rFonts w:eastAsia="Times New Roman"/>
          <w:lang w:val="fr-FR"/>
        </w:rPr>
        <w:t>autorité compétente qui a accordé l</w:t>
      </w:r>
      <w:r w:rsidR="00DB4C2D">
        <w:rPr>
          <w:rFonts w:eastAsia="Times New Roman"/>
          <w:lang w:val="fr-FR"/>
        </w:rPr>
        <w:t>’</w:t>
      </w:r>
      <w:r w:rsidRPr="001A03EB">
        <w:rPr>
          <w:rFonts w:eastAsia="Times New Roman"/>
          <w:lang w:val="fr-FR"/>
        </w:rPr>
        <w:t>homologation de type que la sélection est représentative (par exemple du marché qui connaît les plus grandes ventes annuelles d</w:t>
      </w:r>
      <w:r w:rsidR="00DB4C2D">
        <w:rPr>
          <w:rFonts w:eastAsia="Times New Roman"/>
          <w:lang w:val="fr-FR"/>
        </w:rPr>
        <w:t>’</w:t>
      </w:r>
      <w:r w:rsidRPr="001A03EB">
        <w:rPr>
          <w:rFonts w:eastAsia="Times New Roman"/>
          <w:lang w:val="fr-FR"/>
        </w:rPr>
        <w:t>une famille de véhicules dans la Partie contractante applicable). Lorsque, dans une famille, il est nécessaire d</w:t>
      </w:r>
      <w:r w:rsidR="00DB4C2D">
        <w:rPr>
          <w:rFonts w:eastAsia="Times New Roman"/>
          <w:lang w:val="fr-FR"/>
        </w:rPr>
        <w:t>’</w:t>
      </w:r>
      <w:r w:rsidRPr="001A03EB">
        <w:rPr>
          <w:rFonts w:eastAsia="Times New Roman"/>
          <w:lang w:val="fr-FR"/>
        </w:rPr>
        <w:t>essayer plus d</w:t>
      </w:r>
      <w:r w:rsidR="00DB4C2D">
        <w:rPr>
          <w:rFonts w:eastAsia="Times New Roman"/>
          <w:lang w:val="fr-FR"/>
        </w:rPr>
        <w:t>’</w:t>
      </w:r>
      <w:r w:rsidRPr="001A03EB">
        <w:rPr>
          <w:rFonts w:eastAsia="Times New Roman"/>
          <w:lang w:val="fr-FR"/>
        </w:rPr>
        <w:t>un échantillon défini au paragraphe 9.3.5, les véhicules des deuxième et troisième lots d</w:t>
      </w:r>
      <w:r w:rsidR="00DB4C2D">
        <w:rPr>
          <w:rFonts w:eastAsia="Times New Roman"/>
          <w:lang w:val="fr-FR"/>
        </w:rPr>
        <w:t>’</w:t>
      </w:r>
      <w:r w:rsidRPr="001A03EB">
        <w:rPr>
          <w:rFonts w:eastAsia="Times New Roman"/>
          <w:lang w:val="fr-FR"/>
        </w:rPr>
        <w:t>échantillons doivent refléter des conditions de fonctionnement différentes de celles des véhicules sélectionnés pour le premier échantillon.</w:t>
      </w:r>
    </w:p>
    <w:p w:rsidR="001A03EB" w:rsidRPr="001A03EB" w:rsidRDefault="001A03EB" w:rsidP="00A431F6">
      <w:pPr>
        <w:pStyle w:val="SingleTxtG"/>
        <w:spacing w:before="120"/>
        <w:ind w:left="2268" w:hanging="1134"/>
        <w:rPr>
          <w:rFonts w:eastAsia="Times New Roman"/>
          <w:lang w:val="fr-FR"/>
        </w:rPr>
      </w:pPr>
      <w:r w:rsidRPr="001A03EB">
        <w:rPr>
          <w:rFonts w:eastAsia="Times New Roman"/>
          <w:lang w:val="fr-FR"/>
        </w:rPr>
        <w:t>9.3.3</w:t>
      </w:r>
      <w:r w:rsidRPr="001A03EB">
        <w:rPr>
          <w:rFonts w:eastAsia="Times New Roman"/>
          <w:lang w:val="fr-FR"/>
        </w:rPr>
        <w:tab/>
        <w:t>Les essais relatifs aux émissions peuvent être effectués dans une installation d</w:t>
      </w:r>
      <w:r w:rsidR="00DB4C2D">
        <w:rPr>
          <w:rFonts w:eastAsia="Times New Roman"/>
          <w:lang w:val="fr-FR"/>
        </w:rPr>
        <w:t>’</w:t>
      </w:r>
      <w:r w:rsidRPr="001A03EB">
        <w:rPr>
          <w:rFonts w:eastAsia="Times New Roman"/>
          <w:lang w:val="fr-FR"/>
        </w:rPr>
        <w:t>essai située dans un marché ou une région différent de ceux où les véhicules ont été sélectionnés.</w:t>
      </w:r>
    </w:p>
    <w:p w:rsidR="001A03EB" w:rsidRPr="001A03EB" w:rsidRDefault="001A03EB" w:rsidP="00A431F6">
      <w:pPr>
        <w:pStyle w:val="SingleTxtG"/>
        <w:spacing w:before="120"/>
        <w:ind w:left="2268" w:hanging="1134"/>
        <w:rPr>
          <w:rFonts w:eastAsia="Times New Roman"/>
          <w:lang w:val="fr-FR"/>
        </w:rPr>
      </w:pPr>
      <w:r w:rsidRPr="001A03EB">
        <w:rPr>
          <w:rFonts w:eastAsia="Times New Roman"/>
          <w:lang w:val="fr-FR"/>
        </w:rPr>
        <w:t>9.3.4</w:t>
      </w:r>
      <w:r w:rsidRPr="001A03EB">
        <w:rPr>
          <w:rFonts w:eastAsia="Times New Roman"/>
          <w:lang w:val="fr-FR"/>
        </w:rPr>
        <w:tab/>
        <w:t>Les essais relatifs à la conformité en service pour les émissions d</w:t>
      </w:r>
      <w:r w:rsidR="00DB4C2D">
        <w:rPr>
          <w:rFonts w:eastAsia="Times New Roman"/>
          <w:lang w:val="fr-FR"/>
        </w:rPr>
        <w:t>’</w:t>
      </w:r>
      <w:r w:rsidRPr="001A03EB">
        <w:rPr>
          <w:rFonts w:eastAsia="Times New Roman"/>
          <w:lang w:val="fr-FR"/>
        </w:rPr>
        <w:t xml:space="preserve">échappement doivent être effectués de façon continue par le constructeur pour mettre en évidence le cycle de production des types de véhicules concernés dans une famille donnée de véhicules en service. La période maximale entre deux vérifications de la conformité en service ne doit pas </w:t>
      </w:r>
      <w:r w:rsidRPr="001A03EB">
        <w:rPr>
          <w:rFonts w:eastAsia="Times New Roman"/>
          <w:lang w:val="fr-FR"/>
        </w:rPr>
        <w:lastRenderedPageBreak/>
        <w:t>dépasser 18 mois. Dans le cas de types de véhicules couverts par une extension de l</w:t>
      </w:r>
      <w:r w:rsidR="00DB4C2D">
        <w:rPr>
          <w:rFonts w:eastAsia="Times New Roman"/>
          <w:lang w:val="fr-FR"/>
        </w:rPr>
        <w:t>’</w:t>
      </w:r>
      <w:r w:rsidRPr="001A03EB">
        <w:rPr>
          <w:rFonts w:eastAsia="Times New Roman"/>
          <w:lang w:val="fr-FR"/>
        </w:rPr>
        <w:t>homologation qui n</w:t>
      </w:r>
      <w:r w:rsidR="00DB4C2D">
        <w:rPr>
          <w:rFonts w:eastAsia="Times New Roman"/>
          <w:lang w:val="fr-FR"/>
        </w:rPr>
        <w:t>’</w:t>
      </w:r>
      <w:r w:rsidRPr="001A03EB">
        <w:rPr>
          <w:rFonts w:eastAsia="Times New Roman"/>
          <w:lang w:val="fr-FR"/>
        </w:rPr>
        <w:t>a pas nécessité d</w:t>
      </w:r>
      <w:r w:rsidR="00DB4C2D">
        <w:rPr>
          <w:rFonts w:eastAsia="Times New Roman"/>
          <w:lang w:val="fr-FR"/>
        </w:rPr>
        <w:t>’</w:t>
      </w:r>
      <w:r w:rsidRPr="001A03EB">
        <w:rPr>
          <w:rFonts w:eastAsia="Times New Roman"/>
          <w:lang w:val="fr-FR"/>
        </w:rPr>
        <w:t>essai relatif aux émissions, cette période peut être portée à 24 mois.</w:t>
      </w:r>
    </w:p>
    <w:p w:rsidR="001A03EB" w:rsidRPr="001A03EB" w:rsidRDefault="001A03EB" w:rsidP="00A431F6">
      <w:pPr>
        <w:pStyle w:val="SingleTxtG"/>
        <w:keepNext/>
        <w:spacing w:before="120"/>
        <w:ind w:left="2268" w:hanging="1134"/>
        <w:rPr>
          <w:rFonts w:eastAsia="Times New Roman"/>
          <w:lang w:val="fr-FR"/>
        </w:rPr>
      </w:pPr>
      <w:r w:rsidRPr="001A03EB">
        <w:rPr>
          <w:rFonts w:eastAsia="Times New Roman"/>
          <w:lang w:val="fr-FR"/>
        </w:rPr>
        <w:t>9.3.5</w:t>
      </w:r>
      <w:r w:rsidRPr="001A03EB">
        <w:rPr>
          <w:rFonts w:eastAsia="Times New Roman"/>
          <w:lang w:val="fr-FR"/>
        </w:rPr>
        <w:tab/>
        <w:t>Taille de l</w:t>
      </w:r>
      <w:r w:rsidR="00DB4C2D">
        <w:rPr>
          <w:rFonts w:eastAsia="Times New Roman"/>
          <w:lang w:val="fr-FR"/>
        </w:rPr>
        <w:t>’</w:t>
      </w:r>
      <w:r w:rsidRPr="001A03EB">
        <w:rPr>
          <w:rFonts w:eastAsia="Times New Roman"/>
          <w:lang w:val="fr-FR"/>
        </w:rPr>
        <w:t>échantillon</w:t>
      </w:r>
    </w:p>
    <w:p w:rsidR="001A03EB" w:rsidRDefault="001A03EB" w:rsidP="00A431F6">
      <w:pPr>
        <w:pStyle w:val="SingleTxtG"/>
        <w:spacing w:before="120"/>
        <w:ind w:left="2268" w:hanging="1134"/>
        <w:rPr>
          <w:rFonts w:eastAsia="Times New Roman"/>
          <w:spacing w:val="-3"/>
          <w:lang w:val="fr-FR"/>
        </w:rPr>
      </w:pPr>
      <w:r w:rsidRPr="001A03EB">
        <w:rPr>
          <w:rFonts w:eastAsia="Times New Roman"/>
          <w:lang w:val="fr-FR"/>
        </w:rPr>
        <w:t>9.3.5.1</w:t>
      </w:r>
      <w:r w:rsidRPr="001A03EB">
        <w:rPr>
          <w:rFonts w:eastAsia="Times New Roman"/>
          <w:lang w:val="fr-FR"/>
        </w:rPr>
        <w:tab/>
        <w:t>Lorsqu</w:t>
      </w:r>
      <w:r w:rsidR="00DB4C2D">
        <w:rPr>
          <w:rFonts w:eastAsia="Times New Roman"/>
          <w:lang w:val="fr-FR"/>
        </w:rPr>
        <w:t>’</w:t>
      </w:r>
      <w:r w:rsidRPr="001A03EB">
        <w:rPr>
          <w:rFonts w:eastAsia="Times New Roman"/>
          <w:lang w:val="fr-FR"/>
        </w:rPr>
        <w:t>on applique la procédure statistique qui est définie à l</w:t>
      </w:r>
      <w:r w:rsidR="00DB4C2D">
        <w:rPr>
          <w:rFonts w:eastAsia="Times New Roman"/>
          <w:lang w:val="fr-FR"/>
        </w:rPr>
        <w:t>’</w:t>
      </w:r>
      <w:r w:rsidRPr="001A03EB">
        <w:rPr>
          <w:rFonts w:eastAsia="Times New Roman"/>
          <w:lang w:val="fr-FR"/>
        </w:rPr>
        <w:t>appendice 4 du présent Règlement (donc pour les émissions d</w:t>
      </w:r>
      <w:r w:rsidR="00DB4C2D">
        <w:rPr>
          <w:rFonts w:eastAsia="Times New Roman"/>
          <w:lang w:val="fr-FR"/>
        </w:rPr>
        <w:t>’</w:t>
      </w:r>
      <w:r w:rsidRPr="001A03EB">
        <w:rPr>
          <w:rFonts w:eastAsia="Times New Roman"/>
          <w:lang w:val="fr-FR"/>
        </w:rPr>
        <w:t>échappement), le nombre de lots d</w:t>
      </w:r>
      <w:r w:rsidR="00DB4C2D">
        <w:rPr>
          <w:rFonts w:eastAsia="Times New Roman"/>
          <w:lang w:val="fr-FR"/>
        </w:rPr>
        <w:t>’</w:t>
      </w:r>
      <w:r w:rsidRPr="001A03EB">
        <w:rPr>
          <w:rFonts w:eastAsia="Times New Roman"/>
          <w:lang w:val="fr-FR"/>
        </w:rPr>
        <w:t>échantillons doit dépendre du volume de vente annuelle d</w:t>
      </w:r>
      <w:r w:rsidR="00DB4C2D">
        <w:rPr>
          <w:rFonts w:eastAsia="Times New Roman"/>
          <w:lang w:val="fr-FR"/>
        </w:rPr>
        <w:t>’</w:t>
      </w:r>
      <w:r w:rsidRPr="001A03EB">
        <w:rPr>
          <w:rFonts w:eastAsia="Times New Roman"/>
          <w:lang w:val="fr-FR"/>
        </w:rPr>
        <w:t xml:space="preserve">une </w:t>
      </w:r>
      <w:r w:rsidRPr="001A03EB">
        <w:rPr>
          <w:rFonts w:eastAsia="Times New Roman"/>
          <w:spacing w:val="-3"/>
          <w:lang w:val="fr-FR"/>
        </w:rPr>
        <w:t>famille en service dans les territoires d</w:t>
      </w:r>
      <w:r w:rsidR="00DB4C2D">
        <w:rPr>
          <w:rFonts w:eastAsia="Times New Roman"/>
          <w:spacing w:val="-3"/>
          <w:lang w:val="fr-FR"/>
        </w:rPr>
        <w:t>’</w:t>
      </w:r>
      <w:r w:rsidRPr="001A03EB">
        <w:rPr>
          <w:rFonts w:eastAsia="Times New Roman"/>
          <w:spacing w:val="-3"/>
          <w:lang w:val="fr-FR"/>
        </w:rPr>
        <w:t>une organisation régionale (Union européenne, par exemple), tel que défini dans le tableau 4.</w:t>
      </w:r>
    </w:p>
    <w:p w:rsidR="00FD29D5" w:rsidRDefault="00FD29D5" w:rsidP="00FD29D5">
      <w:pPr>
        <w:pStyle w:val="Titre1"/>
        <w:spacing w:after="120"/>
        <w:ind w:left="2268"/>
        <w:rPr>
          <w:b/>
          <w:lang w:val="fr-FR"/>
        </w:rPr>
      </w:pPr>
      <w:r w:rsidRPr="00A779B8">
        <w:rPr>
          <w:lang w:val="fr-FR"/>
        </w:rPr>
        <w:t>Tableau 4</w:t>
      </w:r>
      <w:r w:rsidRPr="00A779B8">
        <w:rPr>
          <w:lang w:val="fr-FR"/>
        </w:rPr>
        <w:br/>
      </w:r>
      <w:r w:rsidRPr="00FD29D5">
        <w:rPr>
          <w:b/>
          <w:lang w:val="fr-FR"/>
        </w:rPr>
        <w:t>Taille de l</w:t>
      </w:r>
      <w:r w:rsidR="00DB4C2D">
        <w:rPr>
          <w:b/>
          <w:lang w:val="fr-FR"/>
        </w:rPr>
        <w:t>’</w:t>
      </w:r>
      <w:r w:rsidRPr="00FD29D5">
        <w:rPr>
          <w:b/>
          <w:lang w:val="fr-FR"/>
        </w:rPr>
        <w:t>échantillon</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69"/>
        <w:gridCol w:w="2268"/>
      </w:tblGrid>
      <w:tr w:rsidR="00FD29D5" w:rsidRPr="00FD29D5" w:rsidTr="00B31EED">
        <w:tc>
          <w:tcPr>
            <w:tcW w:w="3969" w:type="dxa"/>
            <w:shd w:val="clear" w:color="auto" w:fill="auto"/>
            <w:vAlign w:val="center"/>
          </w:tcPr>
          <w:p w:rsidR="00FD29D5" w:rsidRPr="00FD29D5" w:rsidRDefault="00FD29D5" w:rsidP="00FD29D5">
            <w:pPr>
              <w:kinsoku/>
              <w:overflowPunct/>
              <w:autoSpaceDE/>
              <w:autoSpaceDN/>
              <w:adjustRightInd/>
              <w:snapToGrid/>
              <w:spacing w:before="60" w:after="60" w:line="200" w:lineRule="exact"/>
              <w:ind w:left="57" w:right="57"/>
              <w:rPr>
                <w:rFonts w:eastAsia="Times New Roman"/>
                <w:i/>
                <w:sz w:val="16"/>
                <w:szCs w:val="16"/>
                <w:lang w:val="fr-FR"/>
              </w:rPr>
            </w:pPr>
            <w:r w:rsidRPr="00FD29D5">
              <w:rPr>
                <w:rFonts w:eastAsia="Times New Roman"/>
                <w:i/>
                <w:sz w:val="16"/>
                <w:szCs w:val="16"/>
                <w:lang w:val="fr-FR"/>
              </w:rPr>
              <w:t>Immatriculations</w:t>
            </w:r>
          </w:p>
          <w:p w:rsidR="00FD29D5" w:rsidRPr="00FD29D5" w:rsidRDefault="00FD29D5" w:rsidP="00FD29D5">
            <w:pPr>
              <w:kinsoku/>
              <w:overflowPunct/>
              <w:autoSpaceDE/>
              <w:autoSpaceDN/>
              <w:adjustRightInd/>
              <w:snapToGrid/>
              <w:spacing w:before="60" w:after="60" w:line="200" w:lineRule="exact"/>
              <w:ind w:left="57" w:right="57"/>
              <w:rPr>
                <w:rFonts w:eastAsia="Times New Roman"/>
                <w:i/>
                <w:sz w:val="16"/>
                <w:szCs w:val="16"/>
                <w:lang w:val="fr-FR"/>
              </w:rPr>
            </w:pPr>
            <w:r w:rsidRPr="00FD29D5">
              <w:rPr>
                <w:rFonts w:eastAsia="Times New Roman"/>
                <w:i/>
                <w:sz w:val="16"/>
                <w:szCs w:val="16"/>
                <w:lang w:val="fr-FR"/>
              </w:rPr>
              <w:t xml:space="preserve">- Par année civile (pour les essais concernant </w:t>
            </w:r>
            <w:r w:rsidRPr="00FD29D5">
              <w:rPr>
                <w:rFonts w:eastAsia="Times New Roman"/>
                <w:i/>
                <w:sz w:val="16"/>
                <w:szCs w:val="16"/>
                <w:lang w:val="fr-FR"/>
              </w:rPr>
              <w:br/>
              <w:t>les émissions d</w:t>
            </w:r>
            <w:r w:rsidR="00DB4C2D">
              <w:rPr>
                <w:rFonts w:eastAsia="Times New Roman"/>
                <w:i/>
                <w:sz w:val="16"/>
                <w:szCs w:val="16"/>
                <w:lang w:val="fr-FR"/>
              </w:rPr>
              <w:t>’</w:t>
            </w:r>
            <w:r w:rsidRPr="00FD29D5">
              <w:rPr>
                <w:rFonts w:eastAsia="Times New Roman"/>
                <w:i/>
                <w:sz w:val="16"/>
                <w:szCs w:val="16"/>
                <w:lang w:val="fr-FR"/>
              </w:rPr>
              <w:t>échappement)</w:t>
            </w:r>
          </w:p>
          <w:p w:rsidR="00FD29D5" w:rsidRPr="00FD29D5" w:rsidRDefault="00FD29D5" w:rsidP="00FD29D5">
            <w:pPr>
              <w:kinsoku/>
              <w:overflowPunct/>
              <w:autoSpaceDE/>
              <w:autoSpaceDN/>
              <w:adjustRightInd/>
              <w:snapToGrid/>
              <w:spacing w:before="60" w:after="60" w:line="200" w:lineRule="exact"/>
              <w:ind w:left="57" w:right="57"/>
              <w:rPr>
                <w:rFonts w:eastAsia="Times New Roman"/>
                <w:i/>
                <w:sz w:val="16"/>
                <w:szCs w:val="16"/>
                <w:lang w:val="fr-FR"/>
              </w:rPr>
            </w:pPr>
            <w:r w:rsidRPr="00FD29D5">
              <w:rPr>
                <w:rFonts w:eastAsia="Times New Roman"/>
                <w:i/>
                <w:sz w:val="16"/>
                <w:szCs w:val="16"/>
                <w:lang w:val="fr-FR"/>
              </w:rPr>
              <w:t>- Des véhicules d</w:t>
            </w:r>
            <w:r w:rsidR="00DB4C2D">
              <w:rPr>
                <w:rFonts w:eastAsia="Times New Roman"/>
                <w:i/>
                <w:sz w:val="16"/>
                <w:szCs w:val="16"/>
                <w:lang w:val="fr-FR"/>
              </w:rPr>
              <w:t>’</w:t>
            </w:r>
            <w:r w:rsidRPr="00FD29D5">
              <w:rPr>
                <w:rFonts w:eastAsia="Times New Roman"/>
                <w:i/>
                <w:sz w:val="16"/>
                <w:szCs w:val="16"/>
                <w:lang w:val="fr-FR"/>
              </w:rPr>
              <w:t>une famille d</w:t>
            </w:r>
            <w:r w:rsidR="00DB4C2D">
              <w:rPr>
                <w:rFonts w:eastAsia="Times New Roman"/>
                <w:i/>
                <w:sz w:val="16"/>
                <w:szCs w:val="16"/>
                <w:lang w:val="fr-FR"/>
              </w:rPr>
              <w:t>’</w:t>
            </w:r>
            <w:r w:rsidRPr="00FD29D5">
              <w:rPr>
                <w:rFonts w:eastAsia="Times New Roman"/>
                <w:i/>
                <w:sz w:val="16"/>
                <w:szCs w:val="16"/>
                <w:lang w:val="fr-FR"/>
              </w:rPr>
              <w:t>OBD avec IUPR dans la période d</w:t>
            </w:r>
            <w:r w:rsidR="00DB4C2D">
              <w:rPr>
                <w:rFonts w:eastAsia="Times New Roman"/>
                <w:i/>
                <w:sz w:val="16"/>
                <w:szCs w:val="16"/>
                <w:lang w:val="fr-FR"/>
              </w:rPr>
              <w:t>’</w:t>
            </w:r>
            <w:r w:rsidRPr="00FD29D5">
              <w:rPr>
                <w:rFonts w:eastAsia="Times New Roman"/>
                <w:i/>
                <w:sz w:val="16"/>
                <w:szCs w:val="16"/>
                <w:lang w:val="fr-FR"/>
              </w:rPr>
              <w:t>échantillonnage</w:t>
            </w:r>
          </w:p>
        </w:tc>
        <w:tc>
          <w:tcPr>
            <w:tcW w:w="2268" w:type="dxa"/>
            <w:shd w:val="clear" w:color="auto" w:fill="auto"/>
            <w:vAlign w:val="center"/>
          </w:tcPr>
          <w:p w:rsidR="00FD29D5" w:rsidRPr="00FD29D5" w:rsidRDefault="00FD29D5" w:rsidP="00FD29D5">
            <w:pPr>
              <w:kinsoku/>
              <w:overflowPunct/>
              <w:autoSpaceDE/>
              <w:autoSpaceDN/>
              <w:adjustRightInd/>
              <w:snapToGrid/>
              <w:spacing w:before="60" w:after="60" w:line="200" w:lineRule="exact"/>
              <w:ind w:left="57" w:right="57"/>
              <w:rPr>
                <w:rFonts w:eastAsia="Times New Roman"/>
                <w:i/>
                <w:sz w:val="16"/>
                <w:szCs w:val="16"/>
                <w:lang w:val="fr-FR"/>
              </w:rPr>
            </w:pPr>
            <w:r w:rsidRPr="00FD29D5">
              <w:rPr>
                <w:rFonts w:eastAsia="Times New Roman"/>
                <w:i/>
                <w:sz w:val="16"/>
                <w:szCs w:val="16"/>
                <w:lang w:val="fr-FR"/>
              </w:rPr>
              <w:t>Nombre de lots d</w:t>
            </w:r>
            <w:r w:rsidR="00DB4C2D">
              <w:rPr>
                <w:rFonts w:eastAsia="Times New Roman"/>
                <w:i/>
                <w:sz w:val="16"/>
                <w:szCs w:val="16"/>
                <w:lang w:val="fr-FR"/>
              </w:rPr>
              <w:t>’</w:t>
            </w:r>
            <w:r w:rsidRPr="00FD29D5">
              <w:rPr>
                <w:rFonts w:eastAsia="Times New Roman"/>
                <w:i/>
                <w:sz w:val="16"/>
                <w:szCs w:val="16"/>
                <w:lang w:val="fr-FR"/>
              </w:rPr>
              <w:t>échantillons</w:t>
            </w:r>
          </w:p>
        </w:tc>
      </w:tr>
      <w:tr w:rsidR="00FD29D5" w:rsidRPr="00FD29D5" w:rsidTr="00B31EED">
        <w:tc>
          <w:tcPr>
            <w:tcW w:w="3969" w:type="dxa"/>
            <w:shd w:val="clear" w:color="auto" w:fill="auto"/>
          </w:tcPr>
          <w:p w:rsidR="00FD29D5" w:rsidRPr="00FD29D5" w:rsidRDefault="00FD29D5" w:rsidP="00FD29D5">
            <w:pPr>
              <w:kinsoku/>
              <w:overflowPunct/>
              <w:autoSpaceDE/>
              <w:autoSpaceDN/>
              <w:adjustRightInd/>
              <w:snapToGrid/>
              <w:spacing w:before="60" w:after="60"/>
              <w:ind w:left="57" w:right="57"/>
              <w:rPr>
                <w:rFonts w:eastAsia="Times New Roman"/>
                <w:lang w:val="fr-FR"/>
              </w:rPr>
            </w:pPr>
            <w:r w:rsidRPr="00FD29D5">
              <w:rPr>
                <w:rFonts w:eastAsia="Times New Roman"/>
                <w:lang w:val="fr-FR"/>
              </w:rPr>
              <w:t>Jusqu</w:t>
            </w:r>
            <w:r w:rsidR="00DB4C2D">
              <w:rPr>
                <w:rFonts w:eastAsia="Times New Roman"/>
                <w:lang w:val="fr-FR"/>
              </w:rPr>
              <w:t>’</w:t>
            </w:r>
            <w:r w:rsidRPr="00FD29D5">
              <w:rPr>
                <w:rFonts w:eastAsia="Times New Roman"/>
                <w:lang w:val="fr-FR"/>
              </w:rPr>
              <w:t>à 100 000</w:t>
            </w:r>
          </w:p>
        </w:tc>
        <w:tc>
          <w:tcPr>
            <w:tcW w:w="2268" w:type="dxa"/>
            <w:shd w:val="clear" w:color="auto" w:fill="auto"/>
          </w:tcPr>
          <w:p w:rsidR="00FD29D5" w:rsidRPr="00FD29D5" w:rsidRDefault="00FD29D5" w:rsidP="00FD29D5">
            <w:pPr>
              <w:kinsoku/>
              <w:overflowPunct/>
              <w:autoSpaceDE/>
              <w:autoSpaceDN/>
              <w:adjustRightInd/>
              <w:snapToGrid/>
              <w:spacing w:before="60" w:after="60"/>
              <w:ind w:left="57" w:right="57"/>
              <w:jc w:val="center"/>
              <w:rPr>
                <w:rFonts w:eastAsia="Times New Roman"/>
                <w:lang w:val="fr-FR"/>
              </w:rPr>
            </w:pPr>
            <w:r w:rsidRPr="00FD29D5">
              <w:rPr>
                <w:rFonts w:eastAsia="Times New Roman"/>
                <w:lang w:val="fr-FR"/>
              </w:rPr>
              <w:t>1</w:t>
            </w:r>
          </w:p>
        </w:tc>
      </w:tr>
      <w:tr w:rsidR="00FD29D5" w:rsidRPr="00FD29D5" w:rsidTr="00B31EED">
        <w:tc>
          <w:tcPr>
            <w:tcW w:w="3969" w:type="dxa"/>
            <w:shd w:val="clear" w:color="auto" w:fill="auto"/>
          </w:tcPr>
          <w:p w:rsidR="00FD29D5" w:rsidRPr="00FD29D5" w:rsidRDefault="00FD29D5" w:rsidP="00FD29D5">
            <w:pPr>
              <w:kinsoku/>
              <w:overflowPunct/>
              <w:autoSpaceDE/>
              <w:autoSpaceDN/>
              <w:adjustRightInd/>
              <w:snapToGrid/>
              <w:spacing w:before="60" w:after="60"/>
              <w:ind w:left="57" w:right="57"/>
              <w:rPr>
                <w:rFonts w:eastAsia="Times New Roman"/>
                <w:lang w:val="fr-FR"/>
              </w:rPr>
            </w:pPr>
            <w:r w:rsidRPr="00FD29D5">
              <w:rPr>
                <w:rFonts w:eastAsia="Times New Roman"/>
                <w:lang w:val="fr-FR"/>
              </w:rPr>
              <w:t>100 001 à 200 000</w:t>
            </w:r>
          </w:p>
        </w:tc>
        <w:tc>
          <w:tcPr>
            <w:tcW w:w="2268" w:type="dxa"/>
            <w:shd w:val="clear" w:color="auto" w:fill="auto"/>
          </w:tcPr>
          <w:p w:rsidR="00FD29D5" w:rsidRPr="00FD29D5" w:rsidRDefault="00FD29D5" w:rsidP="00FD29D5">
            <w:pPr>
              <w:kinsoku/>
              <w:overflowPunct/>
              <w:autoSpaceDE/>
              <w:autoSpaceDN/>
              <w:adjustRightInd/>
              <w:snapToGrid/>
              <w:spacing w:before="60" w:after="60"/>
              <w:ind w:left="57" w:right="57"/>
              <w:jc w:val="center"/>
              <w:rPr>
                <w:rFonts w:eastAsia="Times New Roman"/>
                <w:lang w:val="fr-FR"/>
              </w:rPr>
            </w:pPr>
            <w:r w:rsidRPr="00FD29D5">
              <w:rPr>
                <w:rFonts w:eastAsia="Times New Roman"/>
                <w:lang w:val="fr-FR"/>
              </w:rPr>
              <w:t>2</w:t>
            </w:r>
          </w:p>
        </w:tc>
      </w:tr>
      <w:tr w:rsidR="00FD29D5" w:rsidRPr="00FD29D5" w:rsidTr="00B31EED">
        <w:tc>
          <w:tcPr>
            <w:tcW w:w="3969" w:type="dxa"/>
            <w:shd w:val="clear" w:color="auto" w:fill="auto"/>
          </w:tcPr>
          <w:p w:rsidR="00FD29D5" w:rsidRPr="00FD29D5" w:rsidRDefault="00FD29D5" w:rsidP="00FD29D5">
            <w:pPr>
              <w:kinsoku/>
              <w:overflowPunct/>
              <w:autoSpaceDE/>
              <w:autoSpaceDN/>
              <w:adjustRightInd/>
              <w:snapToGrid/>
              <w:spacing w:before="60" w:after="60"/>
              <w:ind w:left="57" w:right="57"/>
              <w:rPr>
                <w:rFonts w:eastAsia="Times New Roman"/>
                <w:lang w:val="fr-FR"/>
              </w:rPr>
            </w:pPr>
            <w:r w:rsidRPr="00FD29D5">
              <w:rPr>
                <w:rFonts w:eastAsia="Times New Roman"/>
                <w:lang w:val="fr-FR"/>
              </w:rPr>
              <w:t>Plus de 200 000</w:t>
            </w:r>
          </w:p>
        </w:tc>
        <w:tc>
          <w:tcPr>
            <w:tcW w:w="2268" w:type="dxa"/>
            <w:shd w:val="clear" w:color="auto" w:fill="auto"/>
          </w:tcPr>
          <w:p w:rsidR="00FD29D5" w:rsidRPr="00FD29D5" w:rsidRDefault="00FD29D5" w:rsidP="00FD29D5">
            <w:pPr>
              <w:kinsoku/>
              <w:overflowPunct/>
              <w:autoSpaceDE/>
              <w:autoSpaceDN/>
              <w:adjustRightInd/>
              <w:snapToGrid/>
              <w:spacing w:before="60" w:after="60"/>
              <w:ind w:left="57" w:right="57"/>
              <w:jc w:val="center"/>
              <w:rPr>
                <w:rFonts w:eastAsia="Times New Roman"/>
                <w:lang w:val="fr-FR"/>
              </w:rPr>
            </w:pPr>
            <w:r w:rsidRPr="00FD29D5">
              <w:rPr>
                <w:rFonts w:eastAsia="Times New Roman"/>
                <w:lang w:val="fr-FR"/>
              </w:rPr>
              <w:t>3</w:t>
            </w:r>
          </w:p>
        </w:tc>
      </w:tr>
    </w:tbl>
    <w:p w:rsidR="00FD29D5" w:rsidRPr="00FD29D5" w:rsidRDefault="00FD29D5" w:rsidP="00FD29D5">
      <w:pPr>
        <w:pStyle w:val="SingleTxtG"/>
        <w:spacing w:before="120"/>
        <w:ind w:left="2268" w:hanging="1134"/>
        <w:rPr>
          <w:rFonts w:eastAsia="Times New Roman"/>
          <w:lang w:val="fr-FR"/>
        </w:rPr>
      </w:pPr>
      <w:r w:rsidRPr="00FD29D5">
        <w:rPr>
          <w:rFonts w:eastAsia="Times New Roman"/>
          <w:lang w:val="fr-FR"/>
        </w:rPr>
        <w:t>9.3.5.2</w:t>
      </w:r>
      <w:r w:rsidRPr="00FD29D5">
        <w:rPr>
          <w:rFonts w:eastAsia="Times New Roman"/>
          <w:lang w:val="fr-FR"/>
        </w:rPr>
        <w:tab/>
        <w:t>Pour l</w:t>
      </w:r>
      <w:r w:rsidR="00DB4C2D">
        <w:rPr>
          <w:rFonts w:eastAsia="Times New Roman"/>
          <w:lang w:val="fr-FR"/>
        </w:rPr>
        <w:t>’</w:t>
      </w:r>
      <w:r w:rsidRPr="00FD29D5">
        <w:rPr>
          <w:rFonts w:eastAsia="Times New Roman"/>
          <w:lang w:val="fr-FR"/>
        </w:rPr>
        <w:t>IUPR, le nombre de lots d</w:t>
      </w:r>
      <w:r w:rsidR="00DB4C2D">
        <w:rPr>
          <w:rFonts w:eastAsia="Times New Roman"/>
          <w:lang w:val="fr-FR"/>
        </w:rPr>
        <w:t>’</w:t>
      </w:r>
      <w:r w:rsidRPr="00FD29D5">
        <w:rPr>
          <w:rFonts w:eastAsia="Times New Roman"/>
          <w:lang w:val="fr-FR"/>
        </w:rPr>
        <w:t>échantillons à prélever figure dans le tableau 4 et dépend du nombre de véhicules d</w:t>
      </w:r>
      <w:r w:rsidR="00DB4C2D">
        <w:rPr>
          <w:rFonts w:eastAsia="Times New Roman"/>
          <w:lang w:val="fr-FR"/>
        </w:rPr>
        <w:t>’</w:t>
      </w:r>
      <w:r w:rsidRPr="00FD29D5">
        <w:rPr>
          <w:rFonts w:eastAsia="Times New Roman"/>
          <w:lang w:val="fr-FR"/>
        </w:rPr>
        <w:t>une famille de systèmes OBD qui sont homologués avec IUPR (soumis à échantillonnage).</w:t>
      </w:r>
    </w:p>
    <w:p w:rsidR="00FD29D5" w:rsidRPr="00FD29D5" w:rsidRDefault="00FD29D5" w:rsidP="00FD29D5">
      <w:pPr>
        <w:pStyle w:val="SingleTxtG"/>
        <w:spacing w:before="120"/>
        <w:ind w:left="2268"/>
        <w:rPr>
          <w:rFonts w:eastAsia="Times New Roman"/>
          <w:lang w:val="fr-FR"/>
        </w:rPr>
      </w:pPr>
      <w:r w:rsidRPr="00FD29D5">
        <w:rPr>
          <w:rFonts w:eastAsia="Times New Roman"/>
          <w:lang w:val="fr-FR"/>
        </w:rPr>
        <w:t>Pour la première période d</w:t>
      </w:r>
      <w:r w:rsidR="00DB4C2D">
        <w:rPr>
          <w:rFonts w:eastAsia="Times New Roman"/>
          <w:lang w:val="fr-FR"/>
        </w:rPr>
        <w:t>’</w:t>
      </w:r>
      <w:r w:rsidRPr="00FD29D5">
        <w:rPr>
          <w:rFonts w:eastAsia="Times New Roman"/>
          <w:lang w:val="fr-FR"/>
        </w:rPr>
        <w:t>échantillonnage d</w:t>
      </w:r>
      <w:r w:rsidR="00DB4C2D">
        <w:rPr>
          <w:rFonts w:eastAsia="Times New Roman"/>
          <w:lang w:val="fr-FR"/>
        </w:rPr>
        <w:t>’</w:t>
      </w:r>
      <w:r w:rsidRPr="00FD29D5">
        <w:rPr>
          <w:rFonts w:eastAsia="Times New Roman"/>
          <w:lang w:val="fr-FR"/>
        </w:rPr>
        <w:t>une famille de systèmes OBD, tous les types de véhicules de la famille qui sont homologués avec IUPR sont susceptibles d</w:t>
      </w:r>
      <w:r w:rsidR="00DB4C2D">
        <w:rPr>
          <w:rFonts w:eastAsia="Times New Roman"/>
          <w:lang w:val="fr-FR"/>
        </w:rPr>
        <w:t>’</w:t>
      </w:r>
      <w:r w:rsidRPr="00FD29D5">
        <w:rPr>
          <w:rFonts w:eastAsia="Times New Roman"/>
          <w:lang w:val="fr-FR"/>
        </w:rPr>
        <w:t>être soumis à échantillonnage. Pour les périodes d</w:t>
      </w:r>
      <w:r w:rsidR="00DB4C2D">
        <w:rPr>
          <w:rFonts w:eastAsia="Times New Roman"/>
          <w:lang w:val="fr-FR"/>
        </w:rPr>
        <w:t>’</w:t>
      </w:r>
      <w:r w:rsidRPr="00FD29D5">
        <w:rPr>
          <w:rFonts w:eastAsia="Times New Roman"/>
          <w:lang w:val="fr-FR"/>
        </w:rPr>
        <w:t>échantillonnage ultérieures, seuls les types de véhicules n</w:t>
      </w:r>
      <w:r w:rsidR="00DB4C2D">
        <w:rPr>
          <w:rFonts w:eastAsia="Times New Roman"/>
          <w:lang w:val="fr-FR"/>
        </w:rPr>
        <w:t>’</w:t>
      </w:r>
      <w:r w:rsidRPr="00FD29D5">
        <w:rPr>
          <w:rFonts w:eastAsia="Times New Roman"/>
          <w:lang w:val="fr-FR"/>
        </w:rPr>
        <w:t>ayant pas encore été mis à l</w:t>
      </w:r>
      <w:r w:rsidR="00DB4C2D">
        <w:rPr>
          <w:rFonts w:eastAsia="Times New Roman"/>
          <w:lang w:val="fr-FR"/>
        </w:rPr>
        <w:t>’</w:t>
      </w:r>
      <w:r w:rsidRPr="00FD29D5">
        <w:rPr>
          <w:rFonts w:eastAsia="Times New Roman"/>
          <w:lang w:val="fr-FR"/>
        </w:rPr>
        <w:t>essai ou qui sont couverts par des homologations concernant les émissions qui ont été étendues depuis la période précédente doivent être prises en considération pour l</w:t>
      </w:r>
      <w:r w:rsidR="00DB4C2D">
        <w:rPr>
          <w:rFonts w:eastAsia="Times New Roman"/>
          <w:lang w:val="fr-FR"/>
        </w:rPr>
        <w:t>’</w:t>
      </w:r>
      <w:r w:rsidRPr="00FD29D5">
        <w:rPr>
          <w:rFonts w:eastAsia="Times New Roman"/>
          <w:lang w:val="fr-FR"/>
        </w:rPr>
        <w:t>échantillonnage.</w:t>
      </w:r>
    </w:p>
    <w:p w:rsidR="00FD29D5" w:rsidRPr="00FD29D5" w:rsidRDefault="00FD29D5" w:rsidP="00FD29D5">
      <w:pPr>
        <w:pStyle w:val="SingleTxtG"/>
        <w:spacing w:before="120"/>
        <w:ind w:left="2268"/>
        <w:rPr>
          <w:rFonts w:eastAsia="Times New Roman"/>
          <w:lang w:val="fr-FR"/>
        </w:rPr>
      </w:pPr>
      <w:r w:rsidRPr="00FD29D5">
        <w:rPr>
          <w:rFonts w:eastAsia="Times New Roman"/>
          <w:lang w:val="fr-FR"/>
        </w:rPr>
        <w:t>Pour les familles comptant moins de 5 000 immatriculations soumises à échantillonnage au cours de la période considérée, le nombre minimum de véhicules par lot d</w:t>
      </w:r>
      <w:r w:rsidR="00DB4C2D">
        <w:rPr>
          <w:rFonts w:eastAsia="Times New Roman"/>
          <w:lang w:val="fr-FR"/>
        </w:rPr>
        <w:t>’</w:t>
      </w:r>
      <w:r w:rsidRPr="00FD29D5">
        <w:rPr>
          <w:rFonts w:eastAsia="Times New Roman"/>
          <w:lang w:val="fr-FR"/>
        </w:rPr>
        <w:t>échantillons est de 6. Pour toutes les autres familles, le nombre minimum de véhicules par lot d</w:t>
      </w:r>
      <w:r w:rsidR="00DB4C2D">
        <w:rPr>
          <w:rFonts w:eastAsia="Times New Roman"/>
          <w:lang w:val="fr-FR"/>
        </w:rPr>
        <w:t>’</w:t>
      </w:r>
      <w:r w:rsidRPr="00FD29D5">
        <w:rPr>
          <w:rFonts w:eastAsia="Times New Roman"/>
          <w:lang w:val="fr-FR"/>
        </w:rPr>
        <w:t>échantillons est de 15.</w:t>
      </w:r>
    </w:p>
    <w:p w:rsidR="00FD29D5" w:rsidRPr="00FD29D5" w:rsidRDefault="00FD29D5" w:rsidP="00FD29D5">
      <w:pPr>
        <w:pStyle w:val="SingleTxtG"/>
        <w:spacing w:before="120"/>
        <w:ind w:left="2268"/>
        <w:rPr>
          <w:rFonts w:eastAsia="Times New Roman"/>
          <w:lang w:val="fr-FR"/>
        </w:rPr>
      </w:pPr>
      <w:r w:rsidRPr="00FD29D5">
        <w:rPr>
          <w:rFonts w:eastAsia="Times New Roman"/>
          <w:lang w:val="fr-FR"/>
        </w:rPr>
        <w:tab/>
        <w:t>Chaque lot d</w:t>
      </w:r>
      <w:r w:rsidR="00DB4C2D">
        <w:rPr>
          <w:rFonts w:eastAsia="Times New Roman"/>
          <w:lang w:val="fr-FR"/>
        </w:rPr>
        <w:t>’</w:t>
      </w:r>
      <w:r w:rsidRPr="00FD29D5">
        <w:rPr>
          <w:rFonts w:eastAsia="Times New Roman"/>
          <w:lang w:val="fr-FR"/>
        </w:rPr>
        <w:t>échantillons doit rendre correctement compte de la répartition des ventes, de telle sorte qu</w:t>
      </w:r>
      <w:r w:rsidR="00DB4C2D">
        <w:rPr>
          <w:rFonts w:eastAsia="Times New Roman"/>
          <w:lang w:val="fr-FR"/>
        </w:rPr>
        <w:t>’</w:t>
      </w:r>
      <w:r w:rsidRPr="00FD29D5">
        <w:rPr>
          <w:rFonts w:eastAsia="Times New Roman"/>
          <w:lang w:val="fr-FR"/>
        </w:rPr>
        <w:t>au moins les types de véhicule les plus vendus (au moins 20 % de l</w:t>
      </w:r>
      <w:r w:rsidR="00DB4C2D">
        <w:rPr>
          <w:rFonts w:eastAsia="Times New Roman"/>
          <w:lang w:val="fr-FR"/>
        </w:rPr>
        <w:t>’</w:t>
      </w:r>
      <w:r w:rsidRPr="00FD29D5">
        <w:rPr>
          <w:rFonts w:eastAsia="Times New Roman"/>
          <w:lang w:val="fr-FR"/>
        </w:rPr>
        <w:t>ensemble des ventes de la famille) soient représentés.</w:t>
      </w:r>
    </w:p>
    <w:p w:rsidR="00FD29D5" w:rsidRPr="00FD29D5" w:rsidRDefault="00FD29D5" w:rsidP="00FD29D5">
      <w:pPr>
        <w:pStyle w:val="SingleTxtG"/>
        <w:keepNext/>
        <w:spacing w:before="120"/>
        <w:ind w:left="2268" w:hanging="1134"/>
        <w:rPr>
          <w:rFonts w:eastAsia="Times New Roman"/>
          <w:lang w:val="fr-FR"/>
        </w:rPr>
      </w:pPr>
      <w:r w:rsidRPr="00FD29D5">
        <w:rPr>
          <w:rFonts w:eastAsia="Times New Roman"/>
          <w:lang w:val="fr-FR"/>
        </w:rPr>
        <w:t>9.4</w:t>
      </w:r>
      <w:r w:rsidRPr="00FD29D5">
        <w:rPr>
          <w:rFonts w:eastAsia="Times New Roman"/>
          <w:b/>
          <w:lang w:val="fr-FR"/>
        </w:rPr>
        <w:tab/>
      </w:r>
      <w:r w:rsidRPr="00FD29D5">
        <w:rPr>
          <w:rFonts w:eastAsia="Times New Roman"/>
          <w:lang w:val="fr-FR"/>
        </w:rPr>
        <w:t>Sur la base de la vérification évoquée au paragraphe 9.2, l</w:t>
      </w:r>
      <w:r w:rsidR="00DB4C2D">
        <w:rPr>
          <w:rFonts w:eastAsia="Times New Roman"/>
          <w:lang w:val="fr-FR"/>
        </w:rPr>
        <w:t>’</w:t>
      </w:r>
      <w:r w:rsidRPr="00FD29D5">
        <w:rPr>
          <w:rFonts w:eastAsia="Times New Roman"/>
          <w:lang w:val="fr-FR"/>
        </w:rPr>
        <w:t>autorité d</w:t>
      </w:r>
      <w:r w:rsidR="00DB4C2D">
        <w:rPr>
          <w:rFonts w:eastAsia="Times New Roman"/>
          <w:lang w:val="fr-FR"/>
        </w:rPr>
        <w:t>’</w:t>
      </w:r>
      <w:r w:rsidRPr="00FD29D5">
        <w:rPr>
          <w:rFonts w:eastAsia="Times New Roman"/>
          <w:lang w:val="fr-FR"/>
        </w:rPr>
        <w:t>homologation de type doit prendre l</w:t>
      </w:r>
      <w:r w:rsidR="00DB4C2D">
        <w:rPr>
          <w:rFonts w:eastAsia="Times New Roman"/>
          <w:lang w:val="fr-FR"/>
        </w:rPr>
        <w:t>’</w:t>
      </w:r>
      <w:r w:rsidRPr="00FD29D5">
        <w:rPr>
          <w:rFonts w:eastAsia="Times New Roman"/>
          <w:lang w:val="fr-FR"/>
        </w:rPr>
        <w:t>une des mesures suivantes:</w:t>
      </w:r>
    </w:p>
    <w:p w:rsidR="00FD29D5" w:rsidRPr="00FD29D5" w:rsidRDefault="00FD29D5" w:rsidP="00FD29D5">
      <w:pPr>
        <w:pStyle w:val="SingleTxtG"/>
        <w:ind w:left="2835" w:hanging="567"/>
        <w:rPr>
          <w:rFonts w:eastAsia="Times New Roman"/>
          <w:lang w:val="fr-FR"/>
        </w:rPr>
      </w:pPr>
      <w:r w:rsidRPr="00FD29D5">
        <w:rPr>
          <w:rFonts w:eastAsia="Times New Roman"/>
          <w:lang w:val="fr-FR"/>
        </w:rPr>
        <w:t>a)</w:t>
      </w:r>
      <w:r w:rsidRPr="00FD29D5">
        <w:rPr>
          <w:rFonts w:eastAsia="Times New Roman"/>
          <w:lang w:val="fr-FR"/>
        </w:rPr>
        <w:tab/>
        <w:t>Décider que la conformité en service d</w:t>
      </w:r>
      <w:r w:rsidR="00DB4C2D">
        <w:rPr>
          <w:rFonts w:eastAsia="Times New Roman"/>
          <w:lang w:val="fr-FR"/>
        </w:rPr>
        <w:t>’</w:t>
      </w:r>
      <w:r w:rsidRPr="00FD29D5">
        <w:rPr>
          <w:rFonts w:eastAsia="Times New Roman"/>
          <w:lang w:val="fr-FR"/>
        </w:rPr>
        <w:t>un type de véhicule ou d</w:t>
      </w:r>
      <w:r w:rsidR="00DB4C2D">
        <w:rPr>
          <w:rFonts w:eastAsia="Times New Roman"/>
          <w:lang w:val="fr-FR"/>
        </w:rPr>
        <w:t>’</w:t>
      </w:r>
      <w:r w:rsidRPr="00FD29D5">
        <w:rPr>
          <w:rFonts w:eastAsia="Times New Roman"/>
          <w:lang w:val="fr-FR"/>
        </w:rPr>
        <w:t>une famille de véhicules en service ou d</w:t>
      </w:r>
      <w:r w:rsidR="00DB4C2D">
        <w:rPr>
          <w:rFonts w:eastAsia="Times New Roman"/>
          <w:lang w:val="fr-FR"/>
        </w:rPr>
        <w:t>’</w:t>
      </w:r>
      <w:r w:rsidRPr="00FD29D5">
        <w:rPr>
          <w:rFonts w:eastAsia="Times New Roman"/>
          <w:lang w:val="fr-FR"/>
        </w:rPr>
        <w:t>une famille de systèmes OBD est satisfaisante et ne prendre aucune mesure supplémentaire;</w:t>
      </w:r>
    </w:p>
    <w:p w:rsidR="00FD29D5" w:rsidRPr="00FD29D5" w:rsidRDefault="00FD29D5" w:rsidP="00FD29D5">
      <w:pPr>
        <w:pStyle w:val="SingleTxtG"/>
        <w:ind w:left="2835" w:hanging="567"/>
        <w:rPr>
          <w:rFonts w:eastAsia="Times New Roman"/>
          <w:lang w:val="fr-FR"/>
        </w:rPr>
      </w:pPr>
      <w:r w:rsidRPr="00FD29D5">
        <w:rPr>
          <w:rFonts w:eastAsia="Times New Roman"/>
          <w:lang w:val="fr-FR"/>
        </w:rPr>
        <w:t>b)</w:t>
      </w:r>
      <w:r w:rsidRPr="00FD29D5">
        <w:rPr>
          <w:rFonts w:eastAsia="Times New Roman"/>
          <w:lang w:val="fr-FR"/>
        </w:rPr>
        <w:tab/>
        <w:t>Décider que les données fournies par le constructeur sont insuffisantes pour prendre une décision et demander des informations ou des données d</w:t>
      </w:r>
      <w:r w:rsidR="00DB4C2D">
        <w:rPr>
          <w:rFonts w:eastAsia="Times New Roman"/>
          <w:lang w:val="fr-FR"/>
        </w:rPr>
        <w:t>’</w:t>
      </w:r>
      <w:r w:rsidRPr="00FD29D5">
        <w:rPr>
          <w:rFonts w:eastAsia="Times New Roman"/>
          <w:lang w:val="fr-FR"/>
        </w:rPr>
        <w:t>essai supplémentaires au constructeur;</w:t>
      </w:r>
    </w:p>
    <w:p w:rsidR="00FD29D5" w:rsidRPr="00FD29D5" w:rsidRDefault="00FD29D5" w:rsidP="00FD29D5">
      <w:pPr>
        <w:pStyle w:val="SingleTxtG"/>
        <w:ind w:left="2835" w:hanging="567"/>
        <w:rPr>
          <w:rFonts w:eastAsia="Times New Roman"/>
          <w:lang w:val="fr-FR"/>
        </w:rPr>
      </w:pPr>
      <w:r w:rsidRPr="00FD29D5">
        <w:rPr>
          <w:rFonts w:eastAsia="Times New Roman"/>
          <w:lang w:val="fr-FR"/>
        </w:rPr>
        <w:lastRenderedPageBreak/>
        <w:t>c)</w:t>
      </w:r>
      <w:r w:rsidRPr="00FD29D5">
        <w:rPr>
          <w:rFonts w:eastAsia="Times New Roman"/>
          <w:lang w:val="fr-FR"/>
        </w:rPr>
        <w:tab/>
        <w:t>Décider qu</w:t>
      </w:r>
      <w:r w:rsidR="00DB4C2D">
        <w:rPr>
          <w:rFonts w:eastAsia="Times New Roman"/>
          <w:lang w:val="fr-FR"/>
        </w:rPr>
        <w:t>’</w:t>
      </w:r>
      <w:r w:rsidRPr="00FD29D5">
        <w:rPr>
          <w:rFonts w:eastAsia="Times New Roman"/>
          <w:lang w:val="fr-FR"/>
        </w:rPr>
        <w:t>en fonction des données communiquées par l</w:t>
      </w:r>
      <w:r w:rsidR="00DB4C2D">
        <w:rPr>
          <w:rFonts w:eastAsia="Times New Roman"/>
          <w:lang w:val="fr-FR"/>
        </w:rPr>
        <w:t>’</w:t>
      </w:r>
      <w:r w:rsidRPr="00FD29D5">
        <w:rPr>
          <w:rFonts w:eastAsia="Times New Roman"/>
          <w:lang w:val="fr-FR"/>
        </w:rPr>
        <w:t>autorité compétente ou des programmes d</w:t>
      </w:r>
      <w:r w:rsidR="00DB4C2D">
        <w:rPr>
          <w:rFonts w:eastAsia="Times New Roman"/>
          <w:lang w:val="fr-FR"/>
        </w:rPr>
        <w:t>’</w:t>
      </w:r>
      <w:r w:rsidRPr="00FD29D5">
        <w:rPr>
          <w:rFonts w:eastAsia="Times New Roman"/>
          <w:lang w:val="fr-FR"/>
        </w:rPr>
        <w:t>essai de suivi des Parties contractantes, les informations communiquées par le constructeur sont insuffisantes pour prendre une décision et demander des informations ou des données d</w:t>
      </w:r>
      <w:r w:rsidR="00DB4C2D">
        <w:rPr>
          <w:rFonts w:eastAsia="Times New Roman"/>
          <w:lang w:val="fr-FR"/>
        </w:rPr>
        <w:t>’</w:t>
      </w:r>
      <w:r w:rsidRPr="00FD29D5">
        <w:rPr>
          <w:rFonts w:eastAsia="Times New Roman"/>
          <w:lang w:val="fr-FR"/>
        </w:rPr>
        <w:t>essai supplémentaires au constructeur; ou</w:t>
      </w:r>
    </w:p>
    <w:p w:rsidR="00FD29D5" w:rsidRPr="00FD29D5" w:rsidRDefault="00FD29D5" w:rsidP="00FD29D5">
      <w:pPr>
        <w:pStyle w:val="SingleTxtG"/>
        <w:ind w:left="2835" w:hanging="567"/>
        <w:rPr>
          <w:rFonts w:eastAsia="Times New Roman"/>
          <w:lang w:val="fr-FR"/>
        </w:rPr>
      </w:pPr>
      <w:r w:rsidRPr="00FD29D5">
        <w:rPr>
          <w:rFonts w:eastAsia="Times New Roman"/>
          <w:lang w:val="fr-FR"/>
        </w:rPr>
        <w:t>d)</w:t>
      </w:r>
      <w:r w:rsidRPr="00FD29D5">
        <w:rPr>
          <w:rFonts w:eastAsia="Times New Roman"/>
          <w:lang w:val="fr-FR"/>
        </w:rPr>
        <w:tab/>
        <w:t>Décider que la conformité en service d</w:t>
      </w:r>
      <w:r w:rsidR="00DB4C2D">
        <w:rPr>
          <w:rFonts w:eastAsia="Times New Roman"/>
          <w:lang w:val="fr-FR"/>
        </w:rPr>
        <w:t>’</w:t>
      </w:r>
      <w:r w:rsidRPr="00FD29D5">
        <w:rPr>
          <w:rFonts w:eastAsia="Times New Roman"/>
          <w:lang w:val="fr-FR"/>
        </w:rPr>
        <w:t>un type de véhicule appartenant à une famille de véhicules en service, ou d</w:t>
      </w:r>
      <w:r w:rsidR="00DB4C2D">
        <w:rPr>
          <w:rFonts w:eastAsia="Times New Roman"/>
          <w:lang w:val="fr-FR"/>
        </w:rPr>
        <w:t>’</w:t>
      </w:r>
      <w:r w:rsidRPr="00FD29D5">
        <w:rPr>
          <w:rFonts w:eastAsia="Times New Roman"/>
          <w:lang w:val="fr-FR"/>
        </w:rPr>
        <w:t>une famille de systèmes OBD, n</w:t>
      </w:r>
      <w:r w:rsidR="00DB4C2D">
        <w:rPr>
          <w:rFonts w:eastAsia="Times New Roman"/>
          <w:lang w:val="fr-FR"/>
        </w:rPr>
        <w:t>’</w:t>
      </w:r>
      <w:r w:rsidRPr="00FD29D5">
        <w:rPr>
          <w:rFonts w:eastAsia="Times New Roman"/>
          <w:lang w:val="fr-FR"/>
        </w:rPr>
        <w:t>est pas satisfaisante et faire procéder aux essais de ce type de véhicule ou de la famille de systèmes OBD conformément à l</w:t>
      </w:r>
      <w:r w:rsidR="00DB4C2D">
        <w:rPr>
          <w:rFonts w:eastAsia="Times New Roman"/>
          <w:lang w:val="fr-FR"/>
        </w:rPr>
        <w:t>’</w:t>
      </w:r>
      <w:r w:rsidRPr="00FD29D5">
        <w:rPr>
          <w:rFonts w:eastAsia="Times New Roman"/>
          <w:lang w:val="fr-FR"/>
        </w:rPr>
        <w:t>appendice 3 du présent Règlement.</w:t>
      </w:r>
    </w:p>
    <w:p w:rsidR="00FD29D5" w:rsidRPr="00FD29D5" w:rsidRDefault="00FD29D5" w:rsidP="00FD29D5">
      <w:pPr>
        <w:pStyle w:val="SingleTxtG"/>
        <w:ind w:left="2268"/>
        <w:rPr>
          <w:lang w:val="fr-FR"/>
        </w:rPr>
      </w:pPr>
      <w:r w:rsidRPr="00FD29D5">
        <w:rPr>
          <w:lang w:val="fr-FR"/>
        </w:rPr>
        <w:t>Si, d</w:t>
      </w:r>
      <w:r w:rsidR="00DB4C2D">
        <w:rPr>
          <w:lang w:val="fr-FR"/>
        </w:rPr>
        <w:t>’</w:t>
      </w:r>
      <w:r w:rsidRPr="00FD29D5">
        <w:rPr>
          <w:lang w:val="fr-FR"/>
        </w:rPr>
        <w:t>après la vérification de l</w:t>
      </w:r>
      <w:r w:rsidR="00DB4C2D">
        <w:rPr>
          <w:lang w:val="fr-FR"/>
        </w:rPr>
        <w:t>’</w:t>
      </w:r>
      <w:r w:rsidRPr="00FD29D5">
        <w:rPr>
          <w:lang w:val="fr-FR"/>
        </w:rPr>
        <w:t>IUPR</w:t>
      </w:r>
      <w:r w:rsidRPr="00FD29D5">
        <w:rPr>
          <w:vertAlign w:val="subscript"/>
          <w:lang w:val="fr-FR"/>
        </w:rPr>
        <w:t>M</w:t>
      </w:r>
      <w:r w:rsidRPr="00FD29D5">
        <w:rPr>
          <w:lang w:val="fr-FR"/>
        </w:rPr>
        <w:t>, les critères d</w:t>
      </w:r>
      <w:r w:rsidR="00DB4C2D">
        <w:rPr>
          <w:lang w:val="fr-FR"/>
        </w:rPr>
        <w:t>’</w:t>
      </w:r>
      <w:r w:rsidRPr="00FD29D5">
        <w:rPr>
          <w:lang w:val="fr-FR"/>
        </w:rPr>
        <w:t>essai visés à l</w:t>
      </w:r>
      <w:r w:rsidR="00DB4C2D">
        <w:rPr>
          <w:lang w:val="fr-FR"/>
        </w:rPr>
        <w:t>’</w:t>
      </w:r>
      <w:r w:rsidRPr="00FD29D5">
        <w:rPr>
          <w:lang w:val="fr-FR"/>
        </w:rPr>
        <w:t>alinéa </w:t>
      </w:r>
      <w:r w:rsidRPr="00FD29D5">
        <w:rPr>
          <w:i/>
          <w:lang w:val="fr-FR"/>
        </w:rPr>
        <w:t>a</w:t>
      </w:r>
      <w:r w:rsidRPr="00FD29D5">
        <w:rPr>
          <w:lang w:val="fr-FR"/>
        </w:rPr>
        <w:t xml:space="preserve"> ou </w:t>
      </w:r>
      <w:r w:rsidRPr="00FD29D5">
        <w:rPr>
          <w:i/>
          <w:lang w:val="fr-FR"/>
        </w:rPr>
        <w:t>b</w:t>
      </w:r>
      <w:r w:rsidRPr="00FD29D5">
        <w:rPr>
          <w:lang w:val="fr-FR"/>
        </w:rPr>
        <w:t xml:space="preserve"> du paragraphe 6.1.2 de l</w:t>
      </w:r>
      <w:r w:rsidR="00DB4C2D">
        <w:rPr>
          <w:lang w:val="fr-FR"/>
        </w:rPr>
        <w:t>’</w:t>
      </w:r>
      <w:r w:rsidRPr="00FD29D5">
        <w:rPr>
          <w:lang w:val="fr-FR"/>
        </w:rPr>
        <w:t>appendice 3 du présent Règlement sont respectés pour les véhicules d</w:t>
      </w:r>
      <w:r w:rsidR="00DB4C2D">
        <w:rPr>
          <w:lang w:val="fr-FR"/>
        </w:rPr>
        <w:t>’</w:t>
      </w:r>
      <w:r w:rsidRPr="00FD29D5">
        <w:rPr>
          <w:lang w:val="fr-FR"/>
        </w:rPr>
        <w:t>un lot d</w:t>
      </w:r>
      <w:r w:rsidR="00DB4C2D">
        <w:rPr>
          <w:lang w:val="fr-FR"/>
        </w:rPr>
        <w:t>’</w:t>
      </w:r>
      <w:r w:rsidRPr="00FD29D5">
        <w:rPr>
          <w:lang w:val="fr-FR"/>
        </w:rPr>
        <w:t>échantillons, l</w:t>
      </w:r>
      <w:r w:rsidR="00DB4C2D">
        <w:rPr>
          <w:lang w:val="fr-FR"/>
        </w:rPr>
        <w:t>’</w:t>
      </w:r>
      <w:r w:rsidRPr="00FD29D5">
        <w:rPr>
          <w:lang w:val="fr-FR"/>
        </w:rPr>
        <w:t>autorité d</w:t>
      </w:r>
      <w:r w:rsidR="00DB4C2D">
        <w:rPr>
          <w:lang w:val="fr-FR"/>
        </w:rPr>
        <w:t>’</w:t>
      </w:r>
      <w:r w:rsidRPr="00FD29D5">
        <w:rPr>
          <w:lang w:val="fr-FR"/>
        </w:rPr>
        <w:t>homologation de type doit prendre les mesures supplémentaires décrites à l</w:t>
      </w:r>
      <w:r w:rsidR="00DB4C2D">
        <w:rPr>
          <w:lang w:val="fr-FR"/>
        </w:rPr>
        <w:t>’</w:t>
      </w:r>
      <w:r w:rsidRPr="00FD29D5">
        <w:rPr>
          <w:lang w:val="fr-FR"/>
        </w:rPr>
        <w:t xml:space="preserve">alinéa </w:t>
      </w:r>
      <w:r w:rsidRPr="00FD29D5">
        <w:rPr>
          <w:i/>
          <w:lang w:val="fr-FR"/>
        </w:rPr>
        <w:t>d</w:t>
      </w:r>
      <w:r w:rsidRPr="00FD29D5">
        <w:rPr>
          <w:lang w:val="fr-FR"/>
        </w:rPr>
        <w:t xml:space="preserve"> ci-dessus.</w:t>
      </w:r>
    </w:p>
    <w:p w:rsidR="00FD29D5" w:rsidRPr="00FD29D5" w:rsidRDefault="00FD29D5" w:rsidP="00FD29D5">
      <w:pPr>
        <w:pStyle w:val="SingleTxtG"/>
        <w:spacing w:before="120"/>
        <w:ind w:left="2268" w:hanging="1134"/>
        <w:rPr>
          <w:rFonts w:eastAsia="Times New Roman"/>
          <w:lang w:val="fr-FR"/>
        </w:rPr>
      </w:pPr>
      <w:r w:rsidRPr="00FD29D5">
        <w:rPr>
          <w:rFonts w:eastAsia="Times New Roman"/>
          <w:lang w:val="fr-FR"/>
        </w:rPr>
        <w:t>9.4.1</w:t>
      </w:r>
      <w:r w:rsidRPr="00FD29D5">
        <w:rPr>
          <w:rFonts w:eastAsia="Times New Roman"/>
          <w:lang w:val="fr-FR"/>
        </w:rPr>
        <w:tab/>
        <w:t>Lorsqu</w:t>
      </w:r>
      <w:r w:rsidR="00DB4C2D">
        <w:rPr>
          <w:rFonts w:eastAsia="Times New Roman"/>
          <w:lang w:val="fr-FR"/>
        </w:rPr>
        <w:t>’</w:t>
      </w:r>
      <w:r w:rsidRPr="00FD29D5">
        <w:rPr>
          <w:rFonts w:eastAsia="Times New Roman"/>
          <w:lang w:val="fr-FR"/>
        </w:rPr>
        <w:t>il est jugé nécessaire de procéder à des essais du type I afin de vérifier la conformité des dispositifs antipollution en regard des exigences concernant leurs performances en service, ces essais doivent être réalisés à l</w:t>
      </w:r>
      <w:r w:rsidR="00DB4C2D">
        <w:rPr>
          <w:rFonts w:eastAsia="Times New Roman"/>
          <w:lang w:val="fr-FR"/>
        </w:rPr>
        <w:t>’</w:t>
      </w:r>
      <w:r w:rsidRPr="00FD29D5">
        <w:rPr>
          <w:rFonts w:eastAsia="Times New Roman"/>
          <w:lang w:val="fr-FR"/>
        </w:rPr>
        <w:t>aide d</w:t>
      </w:r>
      <w:r w:rsidR="00DB4C2D">
        <w:rPr>
          <w:rFonts w:eastAsia="Times New Roman"/>
          <w:lang w:val="fr-FR"/>
        </w:rPr>
        <w:t>’</w:t>
      </w:r>
      <w:r w:rsidRPr="00FD29D5">
        <w:rPr>
          <w:rFonts w:eastAsia="Times New Roman"/>
          <w:lang w:val="fr-FR"/>
        </w:rPr>
        <w:t>une procédure d</w:t>
      </w:r>
      <w:r w:rsidR="00DB4C2D">
        <w:rPr>
          <w:rFonts w:eastAsia="Times New Roman"/>
          <w:lang w:val="fr-FR"/>
        </w:rPr>
        <w:t>’</w:t>
      </w:r>
      <w:r w:rsidRPr="00FD29D5">
        <w:rPr>
          <w:rFonts w:eastAsia="Times New Roman"/>
          <w:lang w:val="fr-FR"/>
        </w:rPr>
        <w:t>essai suivant les critères statistiques définis à l</w:t>
      </w:r>
      <w:r w:rsidR="00DB4C2D">
        <w:rPr>
          <w:rFonts w:eastAsia="Times New Roman"/>
          <w:lang w:val="fr-FR"/>
        </w:rPr>
        <w:t>’</w:t>
      </w:r>
      <w:r w:rsidRPr="00FD29D5">
        <w:rPr>
          <w:rFonts w:eastAsia="Times New Roman"/>
          <w:lang w:val="fr-FR"/>
        </w:rPr>
        <w:t>appendice 4 du présent Règlement.</w:t>
      </w:r>
    </w:p>
    <w:p w:rsidR="00FD29D5" w:rsidRPr="00FD29D5" w:rsidRDefault="00FD29D5" w:rsidP="00FD29D5">
      <w:pPr>
        <w:pStyle w:val="SingleTxtG"/>
        <w:spacing w:before="120"/>
        <w:ind w:left="2268" w:hanging="1134"/>
        <w:rPr>
          <w:rFonts w:eastAsia="Times New Roman"/>
          <w:lang w:val="fr-FR"/>
        </w:rPr>
      </w:pPr>
      <w:r w:rsidRPr="00FD29D5">
        <w:rPr>
          <w:rFonts w:eastAsia="Times New Roman"/>
          <w:lang w:val="fr-FR"/>
        </w:rPr>
        <w:t>9.4.2</w:t>
      </w:r>
      <w:r w:rsidRPr="00FD29D5">
        <w:rPr>
          <w:rFonts w:eastAsia="Times New Roman"/>
          <w:lang w:val="fr-FR"/>
        </w:rPr>
        <w:tab/>
        <w:t>L</w:t>
      </w:r>
      <w:r w:rsidR="00DB4C2D">
        <w:rPr>
          <w:rFonts w:eastAsia="Times New Roman"/>
          <w:lang w:val="fr-FR"/>
        </w:rPr>
        <w:t>’</w:t>
      </w:r>
      <w:r w:rsidRPr="00FD29D5">
        <w:rPr>
          <w:rFonts w:eastAsia="Times New Roman"/>
          <w:lang w:val="fr-FR"/>
        </w:rPr>
        <w:t>autorité d</w:t>
      </w:r>
      <w:r w:rsidR="00DB4C2D">
        <w:rPr>
          <w:rFonts w:eastAsia="Times New Roman"/>
          <w:lang w:val="fr-FR"/>
        </w:rPr>
        <w:t>’</w:t>
      </w:r>
      <w:r w:rsidRPr="00FD29D5">
        <w:rPr>
          <w:rFonts w:eastAsia="Times New Roman"/>
          <w:lang w:val="fr-FR"/>
        </w:rPr>
        <w:t>homologation doit choisir, en coopération avec le constructeur, un échantillon de véhicules ayant un kilométrage suffisant et pour lesquels une utilisation dans des conditions normales peut être raisonnablement garantie. Le constructeur doit être consulté sur le choix de l</w:t>
      </w:r>
      <w:r w:rsidR="00DB4C2D">
        <w:rPr>
          <w:rFonts w:eastAsia="Times New Roman"/>
          <w:lang w:val="fr-FR"/>
        </w:rPr>
        <w:t>’</w:t>
      </w:r>
      <w:r w:rsidRPr="00FD29D5">
        <w:rPr>
          <w:rFonts w:eastAsia="Times New Roman"/>
          <w:lang w:val="fr-FR"/>
        </w:rPr>
        <w:t>échantillon et être autorisé à assister aux contrôles de confirmation des véhicules.</w:t>
      </w:r>
    </w:p>
    <w:p w:rsidR="00FD29D5" w:rsidRPr="00FD29D5" w:rsidRDefault="00FD29D5" w:rsidP="00FD29D5">
      <w:pPr>
        <w:pStyle w:val="SingleTxtG"/>
        <w:spacing w:before="120"/>
        <w:ind w:left="2268" w:hanging="1134"/>
        <w:rPr>
          <w:rFonts w:eastAsia="Times New Roman"/>
          <w:lang w:val="fr-FR"/>
        </w:rPr>
      </w:pPr>
      <w:r w:rsidRPr="00FD29D5">
        <w:rPr>
          <w:rFonts w:eastAsia="Times New Roman"/>
          <w:lang w:val="fr-FR"/>
        </w:rPr>
        <w:t>9.4.3</w:t>
      </w:r>
      <w:r w:rsidRPr="00FD29D5">
        <w:rPr>
          <w:rFonts w:eastAsia="Times New Roman"/>
          <w:lang w:val="fr-FR"/>
        </w:rPr>
        <w:tab/>
        <w:t>Le constructeur doit être autorisé, sous la supervision de l</w:t>
      </w:r>
      <w:r w:rsidR="00DB4C2D">
        <w:rPr>
          <w:rFonts w:eastAsia="Times New Roman"/>
          <w:lang w:val="fr-FR"/>
        </w:rPr>
        <w:t>’</w:t>
      </w:r>
      <w:r w:rsidRPr="00FD29D5">
        <w:rPr>
          <w:rFonts w:eastAsia="Times New Roman"/>
          <w:lang w:val="fr-FR"/>
        </w:rPr>
        <w:t>autorité d</w:t>
      </w:r>
      <w:r w:rsidR="00DB4C2D">
        <w:rPr>
          <w:rFonts w:eastAsia="Times New Roman"/>
          <w:lang w:val="fr-FR"/>
        </w:rPr>
        <w:t>’</w:t>
      </w:r>
      <w:r w:rsidRPr="00FD29D5">
        <w:rPr>
          <w:rFonts w:eastAsia="Times New Roman"/>
          <w:lang w:val="fr-FR"/>
        </w:rPr>
        <w:t>homologation de type, à effectuer des contrôles, même de nature destructive, sur les véhicules dont les niveaux d</w:t>
      </w:r>
      <w:r w:rsidR="00DB4C2D">
        <w:rPr>
          <w:rFonts w:eastAsia="Times New Roman"/>
          <w:lang w:val="fr-FR"/>
        </w:rPr>
        <w:t>’</w:t>
      </w:r>
      <w:r w:rsidRPr="00FD29D5">
        <w:rPr>
          <w:rFonts w:eastAsia="Times New Roman"/>
          <w:lang w:val="fr-FR"/>
        </w:rPr>
        <w:t>émission dépassent les valeurs limites en vue d</w:t>
      </w:r>
      <w:r w:rsidR="00DB4C2D">
        <w:rPr>
          <w:rFonts w:eastAsia="Times New Roman"/>
          <w:lang w:val="fr-FR"/>
        </w:rPr>
        <w:t>’</w:t>
      </w:r>
      <w:r w:rsidRPr="00FD29D5">
        <w:rPr>
          <w:rFonts w:eastAsia="Times New Roman"/>
          <w:lang w:val="fr-FR"/>
        </w:rPr>
        <w:t>établir les causes possibles de détérioration qui ne peuvent être attribuées au constructeur (par exemple, l</w:t>
      </w:r>
      <w:r w:rsidR="00DB4C2D">
        <w:rPr>
          <w:rFonts w:eastAsia="Times New Roman"/>
          <w:lang w:val="fr-FR"/>
        </w:rPr>
        <w:t>’</w:t>
      </w:r>
      <w:r w:rsidRPr="00FD29D5">
        <w:rPr>
          <w:rFonts w:eastAsia="Times New Roman"/>
          <w:lang w:val="fr-FR"/>
        </w:rPr>
        <w:t>utilisation d</w:t>
      </w:r>
      <w:r w:rsidR="00DB4C2D">
        <w:rPr>
          <w:rFonts w:eastAsia="Times New Roman"/>
          <w:lang w:val="fr-FR"/>
        </w:rPr>
        <w:t>’</w:t>
      </w:r>
      <w:r w:rsidRPr="00FD29D5">
        <w:rPr>
          <w:rFonts w:eastAsia="Times New Roman"/>
          <w:lang w:val="fr-FR"/>
        </w:rPr>
        <w:t>essence au plomb avant la date d</w:t>
      </w:r>
      <w:r w:rsidR="00DB4C2D">
        <w:rPr>
          <w:rFonts w:eastAsia="Times New Roman"/>
          <w:lang w:val="fr-FR"/>
        </w:rPr>
        <w:t>’</w:t>
      </w:r>
      <w:r w:rsidRPr="00FD29D5">
        <w:rPr>
          <w:rFonts w:eastAsia="Times New Roman"/>
          <w:lang w:val="fr-FR"/>
        </w:rPr>
        <w:t>essai). Lorsque les résultats des contrôles confirment de telles causes, ces résultats doivent être exclus de la vérification de la conformité.</w:t>
      </w:r>
    </w:p>
    <w:p w:rsidR="00FD29D5" w:rsidRPr="00FD29D5" w:rsidRDefault="00FD29D5" w:rsidP="00FD29D5">
      <w:pPr>
        <w:pStyle w:val="HChG"/>
        <w:rPr>
          <w:lang w:val="fr-FR"/>
        </w:rPr>
      </w:pPr>
      <w:r>
        <w:rPr>
          <w:lang w:val="fr-FR"/>
        </w:rPr>
        <w:tab/>
      </w:r>
      <w:r>
        <w:rPr>
          <w:lang w:val="fr-FR"/>
        </w:rPr>
        <w:tab/>
      </w:r>
      <w:r w:rsidRPr="00FD29D5">
        <w:rPr>
          <w:lang w:val="fr-FR"/>
        </w:rPr>
        <w:t>10.</w:t>
      </w:r>
      <w:r w:rsidRPr="00FD29D5">
        <w:rPr>
          <w:lang w:val="fr-FR"/>
        </w:rPr>
        <w:tab/>
      </w:r>
      <w:r w:rsidRPr="00FD29D5">
        <w:rPr>
          <w:lang w:val="fr-FR"/>
        </w:rPr>
        <w:tab/>
        <w:t>Sanctions pour non-conformité de la production</w:t>
      </w:r>
    </w:p>
    <w:p w:rsidR="00FD29D5" w:rsidRPr="00FD29D5" w:rsidRDefault="00FD29D5" w:rsidP="00FD29D5">
      <w:pPr>
        <w:pStyle w:val="SingleTxtG"/>
        <w:spacing w:before="120"/>
        <w:ind w:left="2268" w:hanging="1134"/>
        <w:rPr>
          <w:rFonts w:eastAsia="Times New Roman"/>
          <w:lang w:val="fr-FR"/>
        </w:rPr>
      </w:pPr>
      <w:r w:rsidRPr="00FD29D5">
        <w:rPr>
          <w:rFonts w:eastAsia="Times New Roman"/>
          <w:lang w:val="fr-FR"/>
        </w:rPr>
        <w:t>10.1</w:t>
      </w:r>
      <w:r w:rsidRPr="00FD29D5">
        <w:rPr>
          <w:rFonts w:eastAsia="Times New Roman"/>
          <w:lang w:val="fr-FR"/>
        </w:rPr>
        <w:tab/>
        <w:t>L</w:t>
      </w:r>
      <w:r w:rsidR="00DB4C2D">
        <w:rPr>
          <w:rFonts w:eastAsia="Times New Roman"/>
          <w:lang w:val="fr-FR"/>
        </w:rPr>
        <w:t>’</w:t>
      </w:r>
      <w:r w:rsidRPr="00FD29D5">
        <w:rPr>
          <w:rFonts w:eastAsia="Times New Roman"/>
          <w:lang w:val="fr-FR"/>
        </w:rPr>
        <w:t>homologation délivrée pour un type de véhicule en application du présent Règlement peut être retirée si les conditions énoncées au paragraphe 8.1 ne sont pas respectée ou si le ou les véhicules prélevés n</w:t>
      </w:r>
      <w:r w:rsidR="00DB4C2D">
        <w:rPr>
          <w:rFonts w:eastAsia="Times New Roman"/>
          <w:lang w:val="fr-FR"/>
        </w:rPr>
        <w:t>’</w:t>
      </w:r>
      <w:r w:rsidRPr="00FD29D5">
        <w:rPr>
          <w:rFonts w:eastAsia="Times New Roman"/>
          <w:lang w:val="fr-FR"/>
        </w:rPr>
        <w:t>ont pas subi avec succès les essais prévus au paragraphe 8.1.1.</w:t>
      </w:r>
    </w:p>
    <w:p w:rsidR="00FD29D5" w:rsidRPr="00FD29D5" w:rsidRDefault="00FD29D5" w:rsidP="00FD29D5">
      <w:pPr>
        <w:pStyle w:val="SingleTxtG"/>
        <w:spacing w:before="120"/>
        <w:ind w:left="2268" w:hanging="1134"/>
        <w:rPr>
          <w:rFonts w:eastAsia="Times New Roman"/>
          <w:lang w:val="fr-FR"/>
        </w:rPr>
      </w:pPr>
      <w:r w:rsidRPr="00FD29D5">
        <w:rPr>
          <w:rFonts w:eastAsia="Times New Roman"/>
          <w:lang w:val="fr-FR"/>
        </w:rPr>
        <w:t>10.2</w:t>
      </w:r>
      <w:r w:rsidRPr="00FD29D5">
        <w:rPr>
          <w:rFonts w:eastAsia="Times New Roman"/>
          <w:lang w:val="fr-FR"/>
        </w:rPr>
        <w:tab/>
        <w:t>Lorsqu</w:t>
      </w:r>
      <w:r w:rsidR="00DB4C2D">
        <w:rPr>
          <w:rFonts w:eastAsia="Times New Roman"/>
          <w:lang w:val="fr-FR"/>
        </w:rPr>
        <w:t>’</w:t>
      </w:r>
      <w:r w:rsidRPr="00FD29D5">
        <w:rPr>
          <w:rFonts w:eastAsia="Times New Roman"/>
          <w:lang w:val="fr-FR"/>
        </w:rPr>
        <w:t>une Partie contractante appliquant le présent Règlement retire une homologation qu</w:t>
      </w:r>
      <w:r w:rsidR="00DB4C2D">
        <w:rPr>
          <w:rFonts w:eastAsia="Times New Roman"/>
          <w:lang w:val="fr-FR"/>
        </w:rPr>
        <w:t>’</w:t>
      </w:r>
      <w:r w:rsidRPr="00FD29D5">
        <w:rPr>
          <w:rFonts w:eastAsia="Times New Roman"/>
          <w:lang w:val="fr-FR"/>
        </w:rPr>
        <w:t>elle avait accordée, elle doit en aviser immédiatement les autres Parties contractantes appliquant le présent Règlement, au moyen d</w:t>
      </w:r>
      <w:r w:rsidR="00DB4C2D">
        <w:rPr>
          <w:rFonts w:eastAsia="Times New Roman"/>
          <w:lang w:val="fr-FR"/>
        </w:rPr>
        <w:t>’</w:t>
      </w:r>
      <w:r w:rsidRPr="00FD29D5">
        <w:rPr>
          <w:rFonts w:eastAsia="Times New Roman"/>
          <w:lang w:val="fr-FR"/>
        </w:rPr>
        <w:t>une fiche de communication conforme au modèle de l</w:t>
      </w:r>
      <w:r w:rsidR="00DB4C2D">
        <w:rPr>
          <w:rFonts w:eastAsia="Times New Roman"/>
          <w:lang w:val="fr-FR"/>
        </w:rPr>
        <w:t>’</w:t>
      </w:r>
      <w:r w:rsidRPr="00FD29D5">
        <w:rPr>
          <w:rFonts w:eastAsia="Times New Roman"/>
          <w:lang w:val="fr-FR"/>
        </w:rPr>
        <w:t>annexe 2 du présent Règlement.</w:t>
      </w:r>
    </w:p>
    <w:p w:rsidR="00FD29D5" w:rsidRPr="00FD29D5" w:rsidRDefault="00FD29D5" w:rsidP="00FD29D5">
      <w:pPr>
        <w:pStyle w:val="HChG"/>
        <w:rPr>
          <w:rFonts w:eastAsia="Times New Roman"/>
          <w:lang w:val="fr-FR"/>
        </w:rPr>
      </w:pPr>
      <w:r>
        <w:rPr>
          <w:rFonts w:eastAsia="Times New Roman"/>
          <w:lang w:val="fr-FR"/>
        </w:rPr>
        <w:lastRenderedPageBreak/>
        <w:tab/>
      </w:r>
      <w:r>
        <w:rPr>
          <w:rFonts w:eastAsia="Times New Roman"/>
          <w:lang w:val="fr-FR"/>
        </w:rPr>
        <w:tab/>
      </w:r>
      <w:r w:rsidRPr="00FD29D5">
        <w:rPr>
          <w:rFonts w:eastAsia="Times New Roman"/>
          <w:lang w:val="fr-FR"/>
        </w:rPr>
        <w:t>11.</w:t>
      </w:r>
      <w:r w:rsidRPr="00FD29D5">
        <w:rPr>
          <w:rFonts w:eastAsia="Times New Roman"/>
          <w:lang w:val="fr-FR"/>
        </w:rPr>
        <w:tab/>
      </w:r>
      <w:r w:rsidRPr="00FD29D5">
        <w:rPr>
          <w:rFonts w:eastAsia="Times New Roman"/>
          <w:lang w:val="fr-FR"/>
        </w:rPr>
        <w:tab/>
        <w:t xml:space="preserve">Arrêt </w:t>
      </w:r>
      <w:r w:rsidRPr="00FD29D5">
        <w:rPr>
          <w:lang w:val="fr-FR"/>
        </w:rPr>
        <w:t>définitif</w:t>
      </w:r>
      <w:r w:rsidRPr="00FD29D5">
        <w:rPr>
          <w:rFonts w:eastAsia="Times New Roman"/>
          <w:lang w:val="fr-FR"/>
        </w:rPr>
        <w:t xml:space="preserve"> de la production</w:t>
      </w:r>
    </w:p>
    <w:p w:rsidR="00FD29D5" w:rsidRPr="00FD29D5" w:rsidRDefault="00FD29D5" w:rsidP="00FD29D5">
      <w:pPr>
        <w:pStyle w:val="SingleTxtG"/>
        <w:ind w:left="2268"/>
        <w:rPr>
          <w:rFonts w:eastAsia="Times New Roman"/>
          <w:lang w:val="fr-FR"/>
        </w:rPr>
      </w:pPr>
      <w:r w:rsidRPr="00FD29D5">
        <w:rPr>
          <w:rFonts w:eastAsia="Times New Roman"/>
          <w:lang w:val="fr-FR"/>
        </w:rPr>
        <w:tab/>
        <w:t>Si le titulaire d</w:t>
      </w:r>
      <w:r w:rsidR="00DB4C2D">
        <w:rPr>
          <w:rFonts w:eastAsia="Times New Roman"/>
          <w:lang w:val="fr-FR"/>
        </w:rPr>
        <w:t>’</w:t>
      </w:r>
      <w:r w:rsidRPr="00FD29D5">
        <w:rPr>
          <w:rFonts w:eastAsia="Times New Roman"/>
          <w:lang w:val="fr-FR"/>
        </w:rPr>
        <w:t>une homologation arrête définitivement la production d</w:t>
      </w:r>
      <w:r w:rsidR="00DB4C2D">
        <w:rPr>
          <w:rFonts w:eastAsia="Times New Roman"/>
          <w:lang w:val="fr-FR"/>
        </w:rPr>
        <w:t>’</w:t>
      </w:r>
      <w:r w:rsidRPr="00FD29D5">
        <w:rPr>
          <w:rFonts w:eastAsia="Times New Roman"/>
          <w:lang w:val="fr-FR"/>
        </w:rPr>
        <w:t xml:space="preserve">un type de véhicule homologué </w:t>
      </w:r>
      <w:r w:rsidRPr="00FD29D5">
        <w:rPr>
          <w:lang w:val="fr-FR"/>
        </w:rPr>
        <w:t>conformément</w:t>
      </w:r>
      <w:r w:rsidRPr="00FD29D5">
        <w:rPr>
          <w:rFonts w:eastAsia="Times New Roman"/>
          <w:lang w:val="fr-FR"/>
        </w:rPr>
        <w:t xml:space="preserve"> au présent Règlement, il doit en informer l</w:t>
      </w:r>
      <w:r w:rsidR="00DB4C2D">
        <w:rPr>
          <w:rFonts w:eastAsia="Times New Roman"/>
          <w:lang w:val="fr-FR"/>
        </w:rPr>
        <w:t>’</w:t>
      </w:r>
      <w:r w:rsidRPr="00FD29D5">
        <w:rPr>
          <w:rFonts w:eastAsia="Times New Roman"/>
          <w:lang w:val="fr-FR"/>
        </w:rPr>
        <w:t>autorité qui a délivré l</w:t>
      </w:r>
      <w:r w:rsidR="00DB4C2D">
        <w:rPr>
          <w:rFonts w:eastAsia="Times New Roman"/>
          <w:lang w:val="fr-FR"/>
        </w:rPr>
        <w:t>’</w:t>
      </w:r>
      <w:r w:rsidRPr="00FD29D5">
        <w:rPr>
          <w:rFonts w:eastAsia="Times New Roman"/>
          <w:lang w:val="fr-FR"/>
        </w:rPr>
        <w:t>homologation, laquelle, à son tour, le notifiera aux autres Parties contractantes à l</w:t>
      </w:r>
      <w:r w:rsidR="00DB4C2D">
        <w:rPr>
          <w:rFonts w:eastAsia="Times New Roman"/>
          <w:lang w:val="fr-FR"/>
        </w:rPr>
        <w:t>’</w:t>
      </w:r>
      <w:r w:rsidRPr="00FD29D5">
        <w:rPr>
          <w:rFonts w:eastAsia="Times New Roman"/>
          <w:lang w:val="fr-FR"/>
        </w:rPr>
        <w:t>Accord de 1958 qui appliquent le présent Règlement, au moyen d</w:t>
      </w:r>
      <w:r w:rsidR="00DB4C2D">
        <w:rPr>
          <w:rFonts w:eastAsia="Times New Roman"/>
          <w:lang w:val="fr-FR"/>
        </w:rPr>
        <w:t>’</w:t>
      </w:r>
      <w:r w:rsidRPr="00FD29D5">
        <w:rPr>
          <w:rFonts w:eastAsia="Times New Roman"/>
          <w:lang w:val="fr-FR"/>
        </w:rPr>
        <w:t>une copie de la fiche de communication conforme au modèle de l</w:t>
      </w:r>
      <w:r w:rsidR="00DB4C2D">
        <w:rPr>
          <w:rFonts w:eastAsia="Times New Roman"/>
          <w:lang w:val="fr-FR"/>
        </w:rPr>
        <w:t>’</w:t>
      </w:r>
      <w:r w:rsidRPr="00FD29D5">
        <w:rPr>
          <w:rFonts w:eastAsia="Times New Roman"/>
          <w:lang w:val="fr-FR"/>
        </w:rPr>
        <w:t>annexe 2 du présent Règlement.</w:t>
      </w:r>
    </w:p>
    <w:p w:rsidR="00FD29D5" w:rsidRPr="00FD29D5" w:rsidRDefault="00FD29D5" w:rsidP="00FD29D5">
      <w:pPr>
        <w:pStyle w:val="HChG"/>
        <w:rPr>
          <w:rFonts w:eastAsia="Times New Roman"/>
          <w:lang w:val="fr-FR"/>
        </w:rPr>
      </w:pPr>
      <w:r>
        <w:rPr>
          <w:rFonts w:eastAsia="Times New Roman"/>
          <w:lang w:val="fr-FR"/>
        </w:rPr>
        <w:tab/>
      </w:r>
      <w:r>
        <w:rPr>
          <w:rFonts w:eastAsia="Times New Roman"/>
          <w:lang w:val="fr-FR"/>
        </w:rPr>
        <w:tab/>
      </w:r>
      <w:r w:rsidRPr="00FD29D5">
        <w:rPr>
          <w:rFonts w:eastAsia="Times New Roman"/>
          <w:lang w:val="fr-FR"/>
        </w:rPr>
        <w:t>12.</w:t>
      </w:r>
      <w:r w:rsidRPr="00FD29D5">
        <w:rPr>
          <w:rFonts w:eastAsia="Times New Roman"/>
          <w:lang w:val="fr-FR"/>
        </w:rPr>
        <w:tab/>
      </w:r>
      <w:r w:rsidRPr="00FD29D5">
        <w:rPr>
          <w:rFonts w:eastAsia="Times New Roman"/>
          <w:lang w:val="fr-FR"/>
        </w:rPr>
        <w:tab/>
      </w:r>
      <w:r w:rsidRPr="00FD29D5">
        <w:rPr>
          <w:lang w:val="fr-FR"/>
        </w:rPr>
        <w:t>Dispositions</w:t>
      </w:r>
      <w:r w:rsidRPr="00FD29D5">
        <w:rPr>
          <w:rFonts w:eastAsia="Times New Roman"/>
          <w:lang w:val="fr-FR"/>
        </w:rPr>
        <w:t xml:space="preserve"> transitoires</w:t>
      </w:r>
    </w:p>
    <w:p w:rsidR="00FD29D5" w:rsidRPr="00FD29D5" w:rsidRDefault="00FD29D5" w:rsidP="00FD29D5">
      <w:pPr>
        <w:pStyle w:val="SingleTxtG"/>
        <w:keepNext/>
        <w:spacing w:before="120"/>
        <w:ind w:left="2268" w:hanging="1134"/>
        <w:rPr>
          <w:rFonts w:eastAsia="Times New Roman"/>
          <w:lang w:val="fr-FR"/>
        </w:rPr>
      </w:pPr>
      <w:r w:rsidRPr="00FD29D5">
        <w:rPr>
          <w:rFonts w:eastAsia="Times New Roman"/>
          <w:lang w:val="fr-FR"/>
        </w:rPr>
        <w:t>12.1</w:t>
      </w:r>
      <w:r w:rsidRPr="00FD29D5">
        <w:rPr>
          <w:rFonts w:eastAsia="Times New Roman"/>
          <w:lang w:val="fr-FR"/>
        </w:rPr>
        <w:tab/>
        <w:t>Généralités</w:t>
      </w:r>
    </w:p>
    <w:p w:rsidR="00FD29D5" w:rsidRPr="00FD29D5" w:rsidRDefault="00FD29D5" w:rsidP="00FD29D5">
      <w:pPr>
        <w:pStyle w:val="SingleTxtG"/>
        <w:spacing w:before="120"/>
        <w:ind w:left="2268" w:hanging="1134"/>
        <w:rPr>
          <w:rFonts w:eastAsia="Times New Roman"/>
          <w:lang w:val="fr-FR"/>
        </w:rPr>
      </w:pPr>
      <w:r w:rsidRPr="00FD29D5">
        <w:rPr>
          <w:rFonts w:eastAsia="Times New Roman"/>
          <w:lang w:val="fr-FR"/>
        </w:rPr>
        <w:t>12.1.1</w:t>
      </w:r>
      <w:r w:rsidRPr="00FD29D5">
        <w:rPr>
          <w:rFonts w:eastAsia="Times New Roman"/>
          <w:lang w:val="fr-FR"/>
        </w:rPr>
        <w:tab/>
        <w:t>À compter de la date officielle d</w:t>
      </w:r>
      <w:r w:rsidR="00DB4C2D">
        <w:rPr>
          <w:rFonts w:eastAsia="Times New Roman"/>
          <w:lang w:val="fr-FR"/>
        </w:rPr>
        <w:t>’</w:t>
      </w:r>
      <w:r w:rsidRPr="00FD29D5">
        <w:rPr>
          <w:rFonts w:eastAsia="Times New Roman"/>
          <w:lang w:val="fr-FR"/>
        </w:rPr>
        <w:t>entrée en vigueur de la série 07 d</w:t>
      </w:r>
      <w:r w:rsidR="00DB4C2D">
        <w:rPr>
          <w:rFonts w:eastAsia="Times New Roman"/>
          <w:lang w:val="fr-FR"/>
        </w:rPr>
        <w:t>’</w:t>
      </w:r>
      <w:r w:rsidRPr="00FD29D5">
        <w:rPr>
          <w:rFonts w:eastAsia="Times New Roman"/>
          <w:lang w:val="fr-FR"/>
        </w:rPr>
        <w:t>amendements, aucune Partie contractante appliquant le présent Règlement ne peut refuser de délivrer une homologation en application du présent Règlement tel qu</w:t>
      </w:r>
      <w:r w:rsidR="00DB4C2D">
        <w:rPr>
          <w:rFonts w:eastAsia="Times New Roman"/>
          <w:lang w:val="fr-FR"/>
        </w:rPr>
        <w:t>’</w:t>
      </w:r>
      <w:r w:rsidRPr="00FD29D5">
        <w:rPr>
          <w:rFonts w:eastAsia="Times New Roman"/>
          <w:lang w:val="fr-FR"/>
        </w:rPr>
        <w:t>il est modifié par la série 07 d</w:t>
      </w:r>
      <w:r w:rsidR="00DB4C2D">
        <w:rPr>
          <w:rFonts w:eastAsia="Times New Roman"/>
          <w:lang w:val="fr-FR"/>
        </w:rPr>
        <w:t>’</w:t>
      </w:r>
      <w:r w:rsidRPr="00FD29D5">
        <w:rPr>
          <w:rFonts w:eastAsia="Times New Roman"/>
          <w:lang w:val="fr-FR"/>
        </w:rPr>
        <w:t>amendements.</w:t>
      </w:r>
    </w:p>
    <w:p w:rsidR="00FD29D5" w:rsidRPr="00FD29D5" w:rsidRDefault="00FD29D5" w:rsidP="00FD29D5">
      <w:pPr>
        <w:pStyle w:val="SingleTxtG"/>
        <w:spacing w:before="120"/>
        <w:ind w:left="2268" w:hanging="1134"/>
        <w:rPr>
          <w:rFonts w:eastAsia="Times New Roman"/>
          <w:lang w:val="fr-FR"/>
        </w:rPr>
      </w:pPr>
      <w:r w:rsidRPr="00FD29D5">
        <w:rPr>
          <w:rFonts w:eastAsia="Times New Roman"/>
          <w:lang w:val="fr-FR"/>
        </w:rPr>
        <w:t>12.1.2</w:t>
      </w:r>
      <w:r w:rsidRPr="00FD29D5">
        <w:rPr>
          <w:rFonts w:eastAsia="Times New Roman"/>
          <w:lang w:val="fr-FR"/>
        </w:rPr>
        <w:tab/>
        <w:t>Les dispositions relatives à l</w:t>
      </w:r>
      <w:r w:rsidR="00DB4C2D">
        <w:rPr>
          <w:rFonts w:eastAsia="Times New Roman"/>
          <w:lang w:val="fr-FR"/>
        </w:rPr>
        <w:t>’</w:t>
      </w:r>
      <w:r w:rsidRPr="00FD29D5">
        <w:rPr>
          <w:rFonts w:eastAsia="Times New Roman"/>
          <w:lang w:val="fr-FR"/>
        </w:rPr>
        <w:t>homologation de type et à la vérification de la conformité de la production, telles qu</w:t>
      </w:r>
      <w:r w:rsidR="00DB4C2D">
        <w:rPr>
          <w:rFonts w:eastAsia="Times New Roman"/>
          <w:lang w:val="fr-FR"/>
        </w:rPr>
        <w:t>’</w:t>
      </w:r>
      <w:r w:rsidRPr="00FD29D5">
        <w:rPr>
          <w:rFonts w:eastAsia="Times New Roman"/>
          <w:lang w:val="fr-FR"/>
        </w:rPr>
        <w:t>elles sont énoncées dans le présent Règlement tel que modifié par la série 06 d</w:t>
      </w:r>
      <w:r w:rsidR="00DB4C2D">
        <w:rPr>
          <w:rFonts w:eastAsia="Times New Roman"/>
          <w:lang w:val="fr-FR"/>
        </w:rPr>
        <w:t>’</w:t>
      </w:r>
      <w:r w:rsidRPr="00FD29D5">
        <w:rPr>
          <w:rFonts w:eastAsia="Times New Roman"/>
          <w:lang w:val="fr-FR"/>
        </w:rPr>
        <w:t>amendements, restent applicables jusqu</w:t>
      </w:r>
      <w:r w:rsidR="00DB4C2D">
        <w:rPr>
          <w:rFonts w:eastAsia="Times New Roman"/>
          <w:lang w:val="fr-FR"/>
        </w:rPr>
        <w:t>’</w:t>
      </w:r>
      <w:r w:rsidRPr="00FD29D5">
        <w:rPr>
          <w:rFonts w:eastAsia="Times New Roman"/>
          <w:lang w:val="fr-FR"/>
        </w:rPr>
        <w:t>aux dates indiquées aux paragraphes 12.2.1 et 12.2.2.</w:t>
      </w:r>
    </w:p>
    <w:p w:rsidR="00FD29D5" w:rsidRPr="00FD29D5" w:rsidRDefault="00FD29D5" w:rsidP="00FD29D5">
      <w:pPr>
        <w:pStyle w:val="SingleTxtG"/>
        <w:keepNext/>
        <w:spacing w:before="120"/>
        <w:ind w:left="2268" w:hanging="1134"/>
        <w:rPr>
          <w:rFonts w:eastAsia="Times New Roman"/>
          <w:lang w:val="fr-FR"/>
        </w:rPr>
      </w:pPr>
      <w:r w:rsidRPr="00FD29D5">
        <w:rPr>
          <w:rFonts w:eastAsia="Times New Roman"/>
          <w:lang w:val="fr-FR"/>
        </w:rPr>
        <w:t>12.2</w:t>
      </w:r>
      <w:r w:rsidRPr="00FD29D5">
        <w:rPr>
          <w:rFonts w:eastAsia="Times New Roman"/>
          <w:lang w:val="fr-FR"/>
        </w:rPr>
        <w:tab/>
        <w:t>Nouvelles homologations de type</w:t>
      </w:r>
    </w:p>
    <w:p w:rsidR="00FD29D5" w:rsidRPr="00FD29D5" w:rsidRDefault="00FD29D5" w:rsidP="00FD29D5">
      <w:pPr>
        <w:pStyle w:val="SingleTxtG"/>
        <w:keepNext/>
        <w:spacing w:before="120"/>
        <w:ind w:left="2268" w:hanging="1134"/>
        <w:rPr>
          <w:rFonts w:eastAsia="Times New Roman"/>
          <w:lang w:val="fr-FR"/>
        </w:rPr>
      </w:pPr>
      <w:r w:rsidRPr="00FD29D5">
        <w:rPr>
          <w:rFonts w:eastAsia="Times New Roman"/>
          <w:lang w:val="fr-FR"/>
        </w:rPr>
        <w:t>12.2.1</w:t>
      </w:r>
      <w:r w:rsidRPr="00FD29D5">
        <w:rPr>
          <w:rFonts w:eastAsia="Times New Roman"/>
          <w:lang w:val="fr-FR"/>
        </w:rPr>
        <w:tab/>
        <w:t>Les Parties contractantes appliquant le présent Règlement ne doivent, à compter du 1</w:t>
      </w:r>
      <w:r w:rsidRPr="00FD29D5">
        <w:rPr>
          <w:rFonts w:eastAsia="Times New Roman"/>
          <w:vertAlign w:val="superscript"/>
          <w:lang w:val="fr-FR"/>
        </w:rPr>
        <w:t>er</w:t>
      </w:r>
      <w:r w:rsidRPr="00FD29D5">
        <w:rPr>
          <w:rFonts w:eastAsia="Times New Roman"/>
          <w:lang w:val="fr-FR"/>
        </w:rPr>
        <w:t> septembre 2014 pour les véhicules des catégories M ou N</w:t>
      </w:r>
      <w:r w:rsidRPr="00FD29D5">
        <w:rPr>
          <w:rFonts w:eastAsia="Times New Roman"/>
          <w:vertAlign w:val="subscript"/>
          <w:lang w:val="fr-FR"/>
        </w:rPr>
        <w:t>1</w:t>
      </w:r>
      <w:r w:rsidRPr="00FD29D5">
        <w:rPr>
          <w:rFonts w:eastAsia="Times New Roman"/>
          <w:lang w:val="fr-FR"/>
        </w:rPr>
        <w:t xml:space="preserve"> (classe I) et à compter du 1</w:t>
      </w:r>
      <w:r w:rsidRPr="00FD29D5">
        <w:rPr>
          <w:rFonts w:eastAsia="Times New Roman"/>
          <w:vertAlign w:val="superscript"/>
          <w:lang w:val="fr-FR"/>
        </w:rPr>
        <w:t>er</w:t>
      </w:r>
      <w:r w:rsidRPr="00FD29D5">
        <w:rPr>
          <w:rFonts w:eastAsia="Times New Roman"/>
          <w:lang w:val="fr-FR"/>
        </w:rPr>
        <w:t> septembre 2015 pour les véhicules de la catégorie N</w:t>
      </w:r>
      <w:r w:rsidRPr="00FD29D5">
        <w:rPr>
          <w:rFonts w:eastAsia="Times New Roman"/>
          <w:vertAlign w:val="subscript"/>
          <w:lang w:val="fr-FR"/>
        </w:rPr>
        <w:t>1</w:t>
      </w:r>
      <w:r w:rsidRPr="00FD29D5">
        <w:rPr>
          <w:rFonts w:eastAsia="Times New Roman"/>
          <w:lang w:val="fr-FR"/>
        </w:rPr>
        <w:t xml:space="preserve"> (classes II ou III) et de la catégorie N</w:t>
      </w:r>
      <w:r w:rsidRPr="00FD29D5">
        <w:rPr>
          <w:rFonts w:eastAsia="Times New Roman"/>
          <w:vertAlign w:val="subscript"/>
          <w:lang w:val="fr-FR"/>
        </w:rPr>
        <w:t>2</w:t>
      </w:r>
      <w:r w:rsidRPr="00FD29D5">
        <w:rPr>
          <w:rFonts w:eastAsia="Times New Roman"/>
          <w:lang w:val="fr-FR"/>
        </w:rPr>
        <w:t>, délivrer une homologation CEE pour de nouveaux types de véhicules que s</w:t>
      </w:r>
      <w:r w:rsidR="00DB4C2D">
        <w:rPr>
          <w:rFonts w:eastAsia="Times New Roman"/>
          <w:lang w:val="fr-FR"/>
        </w:rPr>
        <w:t>’</w:t>
      </w:r>
      <w:r w:rsidRPr="00FD29D5">
        <w:rPr>
          <w:rFonts w:eastAsia="Times New Roman"/>
          <w:lang w:val="fr-FR"/>
        </w:rPr>
        <w:t>ils satisfont:</w:t>
      </w:r>
    </w:p>
    <w:p w:rsidR="00FD29D5" w:rsidRPr="00FD29D5" w:rsidRDefault="00FD29D5" w:rsidP="00FD29D5">
      <w:pPr>
        <w:pStyle w:val="SingleTxtG"/>
        <w:ind w:left="2835" w:hanging="567"/>
        <w:rPr>
          <w:rFonts w:eastAsia="Times New Roman"/>
          <w:lang w:val="fr-FR"/>
        </w:rPr>
      </w:pPr>
      <w:r w:rsidRPr="00FD29D5">
        <w:rPr>
          <w:rFonts w:eastAsia="Times New Roman"/>
          <w:lang w:val="fr-FR"/>
        </w:rPr>
        <w:t>a)</w:t>
      </w:r>
      <w:r w:rsidRPr="00FD29D5">
        <w:rPr>
          <w:rFonts w:eastAsia="Times New Roman"/>
          <w:lang w:val="fr-FR"/>
        </w:rPr>
        <w:tab/>
        <w:t>Aux limites applicables pour l</w:t>
      </w:r>
      <w:r w:rsidR="00DB4C2D">
        <w:rPr>
          <w:rFonts w:eastAsia="Times New Roman"/>
          <w:lang w:val="fr-FR"/>
        </w:rPr>
        <w:t>’</w:t>
      </w:r>
      <w:r w:rsidRPr="00FD29D5">
        <w:rPr>
          <w:rFonts w:eastAsia="Times New Roman"/>
          <w:lang w:val="fr-FR"/>
        </w:rPr>
        <w:t>essai de type I indiquées dans le tableau 1 du paragraphe 5.3.1.4 du présent Règlement; et</w:t>
      </w:r>
    </w:p>
    <w:p w:rsidR="00FD29D5" w:rsidRPr="00FD29D5" w:rsidRDefault="00FD29D5" w:rsidP="00FD29D5">
      <w:pPr>
        <w:pStyle w:val="SingleTxtG"/>
        <w:ind w:left="2835" w:hanging="567"/>
        <w:rPr>
          <w:rFonts w:eastAsia="Times New Roman"/>
          <w:lang w:val="fr-FR"/>
        </w:rPr>
      </w:pPr>
      <w:r w:rsidRPr="00FD29D5">
        <w:rPr>
          <w:rFonts w:eastAsia="Times New Roman"/>
          <w:lang w:val="fr-FR"/>
        </w:rPr>
        <w:t>b)</w:t>
      </w:r>
      <w:r w:rsidRPr="00FD29D5">
        <w:rPr>
          <w:rFonts w:eastAsia="Times New Roman"/>
          <w:lang w:val="fr-FR"/>
        </w:rPr>
        <w:tab/>
        <w:t>Aux valeurs limites préliminaires OBD indiquées dans le tableau A11/2 du paragraphe 3.3.2.2 de l</w:t>
      </w:r>
      <w:r w:rsidR="00DB4C2D">
        <w:rPr>
          <w:rFonts w:eastAsia="Times New Roman"/>
          <w:lang w:val="fr-FR"/>
        </w:rPr>
        <w:t>’</w:t>
      </w:r>
      <w:r w:rsidRPr="00FD29D5">
        <w:rPr>
          <w:rFonts w:eastAsia="Times New Roman"/>
          <w:lang w:val="fr-FR"/>
        </w:rPr>
        <w:t>annexe 11 du présent Règlement.</w:t>
      </w:r>
    </w:p>
    <w:p w:rsidR="00FD29D5" w:rsidRPr="00FD29D5" w:rsidRDefault="00FD29D5" w:rsidP="00FD29D5">
      <w:pPr>
        <w:pStyle w:val="SingleTxtG"/>
        <w:keepNext/>
        <w:spacing w:before="120"/>
        <w:ind w:left="2268" w:hanging="1134"/>
        <w:rPr>
          <w:rFonts w:eastAsia="Times New Roman"/>
          <w:lang w:val="fr-FR"/>
        </w:rPr>
      </w:pPr>
      <w:r w:rsidRPr="00FD29D5">
        <w:rPr>
          <w:rFonts w:eastAsia="Times New Roman"/>
          <w:lang w:val="fr-FR"/>
        </w:rPr>
        <w:t>12.2.2</w:t>
      </w:r>
      <w:r w:rsidRPr="00FD29D5">
        <w:rPr>
          <w:rFonts w:eastAsia="Times New Roman"/>
          <w:lang w:val="fr-FR"/>
        </w:rPr>
        <w:tab/>
        <w:t>Les Parties contractantes appliquant le présent Règlement ne doivent, à compter du 1</w:t>
      </w:r>
      <w:r w:rsidRPr="00FD29D5">
        <w:rPr>
          <w:rFonts w:eastAsia="Times New Roman"/>
          <w:vertAlign w:val="superscript"/>
          <w:lang w:val="fr-FR"/>
        </w:rPr>
        <w:t>er</w:t>
      </w:r>
      <w:r w:rsidRPr="00FD29D5">
        <w:rPr>
          <w:rFonts w:eastAsia="Times New Roman"/>
          <w:lang w:val="fr-FR"/>
        </w:rPr>
        <w:t> septembre 2015 pour les véhicules des catégories M ou N</w:t>
      </w:r>
      <w:r w:rsidRPr="00FD29D5">
        <w:rPr>
          <w:rFonts w:eastAsia="Times New Roman"/>
          <w:vertAlign w:val="subscript"/>
          <w:lang w:val="fr-FR"/>
        </w:rPr>
        <w:t>1</w:t>
      </w:r>
      <w:r w:rsidRPr="00FD29D5">
        <w:rPr>
          <w:rFonts w:eastAsia="Times New Roman"/>
          <w:lang w:val="fr-FR"/>
        </w:rPr>
        <w:t xml:space="preserve"> (classe I) et à compter du 1</w:t>
      </w:r>
      <w:r w:rsidRPr="00FD29D5">
        <w:rPr>
          <w:rFonts w:eastAsia="Times New Roman"/>
          <w:vertAlign w:val="superscript"/>
          <w:lang w:val="fr-FR"/>
        </w:rPr>
        <w:t>er</w:t>
      </w:r>
      <w:r w:rsidRPr="00FD29D5">
        <w:rPr>
          <w:rFonts w:eastAsia="Times New Roman"/>
          <w:lang w:val="fr-FR"/>
        </w:rPr>
        <w:t> septembre 2016 pour les véhicules de la catégorie N</w:t>
      </w:r>
      <w:r w:rsidRPr="00FD29D5">
        <w:rPr>
          <w:rFonts w:eastAsia="Times New Roman"/>
          <w:vertAlign w:val="subscript"/>
          <w:lang w:val="fr-FR"/>
        </w:rPr>
        <w:t>1</w:t>
      </w:r>
      <w:r w:rsidRPr="00FD29D5">
        <w:rPr>
          <w:rFonts w:eastAsia="Times New Roman"/>
          <w:lang w:val="fr-FR"/>
        </w:rPr>
        <w:t xml:space="preserve"> (classes II ou III) et de la catégorie N</w:t>
      </w:r>
      <w:r w:rsidRPr="00FD29D5">
        <w:rPr>
          <w:rFonts w:eastAsia="Times New Roman"/>
          <w:vertAlign w:val="subscript"/>
          <w:lang w:val="fr-FR"/>
        </w:rPr>
        <w:t>2</w:t>
      </w:r>
      <w:r w:rsidRPr="00FD29D5">
        <w:rPr>
          <w:rFonts w:eastAsia="Times New Roman"/>
          <w:lang w:val="fr-FR"/>
        </w:rPr>
        <w:t>, délivrer une homologation CEE pour de nouveaux types de véhicules que s</w:t>
      </w:r>
      <w:r w:rsidR="00DB4C2D">
        <w:rPr>
          <w:rFonts w:eastAsia="Times New Roman"/>
          <w:lang w:val="fr-FR"/>
        </w:rPr>
        <w:t>’</w:t>
      </w:r>
      <w:r w:rsidRPr="00FD29D5">
        <w:rPr>
          <w:rFonts w:eastAsia="Times New Roman"/>
          <w:lang w:val="fr-FR"/>
        </w:rPr>
        <w:t>ils satisfont:</w:t>
      </w:r>
    </w:p>
    <w:p w:rsidR="00FD29D5" w:rsidRPr="00FD29D5" w:rsidRDefault="00FD29D5" w:rsidP="00FD29D5">
      <w:pPr>
        <w:pStyle w:val="SingleTxtG"/>
        <w:ind w:left="2835" w:hanging="567"/>
        <w:rPr>
          <w:rFonts w:eastAsia="Times New Roman"/>
          <w:lang w:val="fr-FR"/>
        </w:rPr>
      </w:pPr>
      <w:r w:rsidRPr="00FD29D5">
        <w:rPr>
          <w:rFonts w:eastAsia="Times New Roman"/>
          <w:lang w:val="fr-FR"/>
        </w:rPr>
        <w:t>a)</w:t>
      </w:r>
      <w:r w:rsidRPr="00FD29D5">
        <w:rPr>
          <w:rFonts w:eastAsia="Times New Roman"/>
          <w:lang w:val="fr-FR"/>
        </w:rPr>
        <w:tab/>
        <w:t>Aux limites applicables pour l</w:t>
      </w:r>
      <w:r w:rsidR="00DB4C2D">
        <w:rPr>
          <w:rFonts w:eastAsia="Times New Roman"/>
          <w:lang w:val="fr-FR"/>
        </w:rPr>
        <w:t>’</w:t>
      </w:r>
      <w:r w:rsidRPr="00FD29D5">
        <w:rPr>
          <w:rFonts w:eastAsia="Times New Roman"/>
          <w:lang w:val="fr-FR"/>
        </w:rPr>
        <w:t>essai de type I indiquées dans le tableau 1 du paragraphe 5.3.1.4; et</w:t>
      </w:r>
    </w:p>
    <w:p w:rsidR="00FD29D5" w:rsidRPr="00FD29D5" w:rsidRDefault="00FD29D5" w:rsidP="00FD29D5">
      <w:pPr>
        <w:pStyle w:val="SingleTxtG"/>
        <w:ind w:left="2835" w:hanging="567"/>
        <w:rPr>
          <w:rFonts w:eastAsia="Times New Roman"/>
          <w:lang w:val="fr-FR"/>
        </w:rPr>
      </w:pPr>
      <w:r w:rsidRPr="00FD29D5">
        <w:rPr>
          <w:rFonts w:eastAsia="Times New Roman"/>
          <w:lang w:val="fr-FR"/>
        </w:rPr>
        <w:t>b)</w:t>
      </w:r>
      <w:r w:rsidRPr="00FD29D5">
        <w:rPr>
          <w:rFonts w:eastAsia="Times New Roman"/>
          <w:lang w:val="fr-FR"/>
        </w:rPr>
        <w:tab/>
        <w:t>Aux valeurs limites préliminaires OBD indiquées dans le tableau A11/2 du paragraphe 3.3.2.2 de l</w:t>
      </w:r>
      <w:r w:rsidR="00DB4C2D">
        <w:rPr>
          <w:rFonts w:eastAsia="Times New Roman"/>
          <w:lang w:val="fr-FR"/>
        </w:rPr>
        <w:t>’</w:t>
      </w:r>
      <w:r w:rsidRPr="00FD29D5">
        <w:rPr>
          <w:rFonts w:eastAsia="Times New Roman"/>
          <w:lang w:val="fr-FR"/>
        </w:rPr>
        <w:t>annexe 11 du présent Règlement.</w:t>
      </w:r>
    </w:p>
    <w:p w:rsidR="00FD29D5" w:rsidRPr="00FD29D5" w:rsidRDefault="00FD29D5" w:rsidP="00FD29D5">
      <w:pPr>
        <w:pStyle w:val="SingleTxtG"/>
        <w:keepNext/>
        <w:spacing w:before="120"/>
        <w:ind w:left="2268" w:hanging="1134"/>
        <w:rPr>
          <w:rFonts w:eastAsia="Times New Roman"/>
          <w:lang w:val="fr-FR"/>
        </w:rPr>
      </w:pPr>
      <w:r w:rsidRPr="00FD29D5">
        <w:rPr>
          <w:rFonts w:eastAsia="Times New Roman"/>
          <w:lang w:val="fr-FR"/>
        </w:rPr>
        <w:lastRenderedPageBreak/>
        <w:t>12.2.3</w:t>
      </w:r>
      <w:r w:rsidRPr="00FD29D5">
        <w:rPr>
          <w:rFonts w:eastAsia="Times New Roman"/>
          <w:lang w:val="fr-FR"/>
        </w:rPr>
        <w:tab/>
        <w:t>Les Parties contractantes appliquant le présent Règlement ne doivent, à compter du 1</w:t>
      </w:r>
      <w:r w:rsidRPr="00FD29D5">
        <w:rPr>
          <w:rFonts w:eastAsia="Times New Roman"/>
          <w:vertAlign w:val="superscript"/>
          <w:lang w:val="fr-FR"/>
        </w:rPr>
        <w:t>er</w:t>
      </w:r>
      <w:r w:rsidRPr="00FD29D5">
        <w:rPr>
          <w:rFonts w:eastAsia="Times New Roman"/>
          <w:lang w:val="fr-FR"/>
        </w:rPr>
        <w:t> septembre 2017 pour les véhicules des catégories M ou N</w:t>
      </w:r>
      <w:r w:rsidRPr="00FD29D5">
        <w:rPr>
          <w:rFonts w:eastAsia="Times New Roman"/>
          <w:vertAlign w:val="subscript"/>
          <w:lang w:val="fr-FR"/>
        </w:rPr>
        <w:t>1</w:t>
      </w:r>
      <w:r w:rsidRPr="00FD29D5">
        <w:rPr>
          <w:rFonts w:eastAsia="Times New Roman"/>
          <w:lang w:val="fr-FR"/>
        </w:rPr>
        <w:t xml:space="preserve"> (classe I) et à compter du 1</w:t>
      </w:r>
      <w:r w:rsidRPr="00FD29D5">
        <w:rPr>
          <w:rFonts w:eastAsia="Times New Roman"/>
          <w:vertAlign w:val="superscript"/>
          <w:lang w:val="fr-FR"/>
        </w:rPr>
        <w:t>er</w:t>
      </w:r>
      <w:r w:rsidRPr="00FD29D5">
        <w:rPr>
          <w:rFonts w:eastAsia="Times New Roman"/>
          <w:lang w:val="fr-FR"/>
        </w:rPr>
        <w:t> septembre 2018 pour les véhicules de la catégorie N</w:t>
      </w:r>
      <w:r w:rsidRPr="00FD29D5">
        <w:rPr>
          <w:rFonts w:eastAsia="Times New Roman"/>
          <w:vertAlign w:val="subscript"/>
          <w:lang w:val="fr-FR"/>
        </w:rPr>
        <w:t>1</w:t>
      </w:r>
      <w:r w:rsidRPr="00FD29D5">
        <w:rPr>
          <w:rFonts w:eastAsia="Times New Roman"/>
          <w:lang w:val="fr-FR"/>
        </w:rPr>
        <w:t xml:space="preserve"> (classes II ou III) et de la catégorie N</w:t>
      </w:r>
      <w:r w:rsidRPr="00FD29D5">
        <w:rPr>
          <w:rFonts w:eastAsia="Times New Roman"/>
          <w:vertAlign w:val="subscript"/>
          <w:lang w:val="fr-FR"/>
        </w:rPr>
        <w:t>2</w:t>
      </w:r>
      <w:r w:rsidRPr="00FD29D5">
        <w:rPr>
          <w:rFonts w:eastAsia="Times New Roman"/>
          <w:lang w:val="fr-FR"/>
        </w:rPr>
        <w:t>, délivrer une homologation CEE pour de nouveaux types de véhicules que s</w:t>
      </w:r>
      <w:r w:rsidR="00DB4C2D">
        <w:rPr>
          <w:rFonts w:eastAsia="Times New Roman"/>
          <w:lang w:val="fr-FR"/>
        </w:rPr>
        <w:t>’</w:t>
      </w:r>
      <w:r w:rsidRPr="00FD29D5">
        <w:rPr>
          <w:rFonts w:eastAsia="Times New Roman"/>
          <w:lang w:val="fr-FR"/>
        </w:rPr>
        <w:t>ils satisfont:</w:t>
      </w:r>
    </w:p>
    <w:p w:rsidR="00FD29D5" w:rsidRPr="00FD29D5" w:rsidRDefault="00FD29D5" w:rsidP="00FD29D5">
      <w:pPr>
        <w:pStyle w:val="SingleTxtG"/>
        <w:ind w:left="2835" w:hanging="567"/>
        <w:rPr>
          <w:rFonts w:eastAsia="Times New Roman"/>
          <w:lang w:val="fr-FR"/>
        </w:rPr>
      </w:pPr>
      <w:r w:rsidRPr="00FD29D5">
        <w:rPr>
          <w:rFonts w:eastAsia="Times New Roman"/>
          <w:lang w:val="fr-FR"/>
        </w:rPr>
        <w:t>a)</w:t>
      </w:r>
      <w:r w:rsidRPr="00FD29D5">
        <w:rPr>
          <w:rFonts w:eastAsia="Times New Roman"/>
          <w:lang w:val="fr-FR"/>
        </w:rPr>
        <w:tab/>
        <w:t>Aux limites applicables pour l</w:t>
      </w:r>
      <w:r w:rsidR="00DB4C2D">
        <w:rPr>
          <w:rFonts w:eastAsia="Times New Roman"/>
          <w:lang w:val="fr-FR"/>
        </w:rPr>
        <w:t>’</w:t>
      </w:r>
      <w:r w:rsidRPr="00FD29D5">
        <w:rPr>
          <w:rFonts w:eastAsia="Times New Roman"/>
          <w:lang w:val="fr-FR"/>
        </w:rPr>
        <w:t>essai de type I indiquées dans le tableau 1 du paragraphe 5.3.1.4; et</w:t>
      </w:r>
    </w:p>
    <w:p w:rsidR="00FD29D5" w:rsidRPr="00FD29D5" w:rsidRDefault="00FD29D5" w:rsidP="00FD29D5">
      <w:pPr>
        <w:pStyle w:val="SingleTxtG"/>
        <w:ind w:left="2835" w:hanging="567"/>
        <w:rPr>
          <w:rFonts w:eastAsia="Times New Roman"/>
          <w:lang w:val="fr-FR"/>
        </w:rPr>
      </w:pPr>
      <w:r w:rsidRPr="00FD29D5">
        <w:rPr>
          <w:rFonts w:eastAsia="Times New Roman"/>
          <w:lang w:val="fr-FR"/>
        </w:rPr>
        <w:t>b)</w:t>
      </w:r>
      <w:r w:rsidRPr="00FD29D5">
        <w:rPr>
          <w:rFonts w:eastAsia="Times New Roman"/>
          <w:lang w:val="fr-FR"/>
        </w:rPr>
        <w:tab/>
        <w:t>Aux valeurs limites finales OBD indiquées dans le tableau A11/1 du paragraphe 3.3.2.1 de l</w:t>
      </w:r>
      <w:r w:rsidR="00DB4C2D">
        <w:rPr>
          <w:rFonts w:eastAsia="Times New Roman"/>
          <w:lang w:val="fr-FR"/>
        </w:rPr>
        <w:t>’</w:t>
      </w:r>
      <w:r w:rsidRPr="00FD29D5">
        <w:rPr>
          <w:rFonts w:eastAsia="Times New Roman"/>
          <w:lang w:val="fr-FR"/>
        </w:rPr>
        <w:t>annexe 11 du présent Règlement.</w:t>
      </w:r>
    </w:p>
    <w:p w:rsidR="00FD29D5" w:rsidRPr="00FD29D5" w:rsidRDefault="00FD29D5" w:rsidP="00FD29D5">
      <w:pPr>
        <w:pStyle w:val="SingleTxtG"/>
        <w:keepNext/>
        <w:spacing w:before="120"/>
        <w:ind w:left="2268" w:hanging="1134"/>
        <w:rPr>
          <w:rFonts w:eastAsia="Times New Roman"/>
          <w:lang w:val="fr-FR"/>
        </w:rPr>
      </w:pPr>
      <w:r w:rsidRPr="00FD29D5">
        <w:rPr>
          <w:rFonts w:eastAsia="Times New Roman"/>
          <w:lang w:val="fr-FR"/>
        </w:rPr>
        <w:t>12.2.4</w:t>
      </w:r>
      <w:r w:rsidRPr="00FD29D5">
        <w:rPr>
          <w:rFonts w:eastAsia="Times New Roman"/>
          <w:lang w:val="fr-FR"/>
        </w:rPr>
        <w:tab/>
        <w:t>Les Parties contractantes appliquant le présent Règlement ne doivent, à compter du 1</w:t>
      </w:r>
      <w:r w:rsidRPr="00FD29D5">
        <w:rPr>
          <w:rFonts w:eastAsia="Times New Roman"/>
          <w:vertAlign w:val="superscript"/>
          <w:lang w:val="fr-FR"/>
        </w:rPr>
        <w:t>er</w:t>
      </w:r>
      <w:r w:rsidRPr="00FD29D5">
        <w:rPr>
          <w:rFonts w:eastAsia="Times New Roman"/>
          <w:lang w:val="fr-FR"/>
        </w:rPr>
        <w:t> septembre 2018 pour les véhicules des catégories M ou N</w:t>
      </w:r>
      <w:r w:rsidRPr="00FD29D5">
        <w:rPr>
          <w:rFonts w:eastAsia="Times New Roman"/>
          <w:vertAlign w:val="subscript"/>
          <w:lang w:val="fr-FR"/>
        </w:rPr>
        <w:t>1</w:t>
      </w:r>
      <w:r w:rsidRPr="00FD29D5">
        <w:rPr>
          <w:rFonts w:eastAsia="Times New Roman"/>
          <w:lang w:val="fr-FR"/>
        </w:rPr>
        <w:t xml:space="preserve"> (classe I) et à compter du 1</w:t>
      </w:r>
      <w:r w:rsidRPr="00FD29D5">
        <w:rPr>
          <w:rFonts w:eastAsia="Times New Roman"/>
          <w:vertAlign w:val="superscript"/>
          <w:lang w:val="fr-FR"/>
        </w:rPr>
        <w:t>er</w:t>
      </w:r>
      <w:r w:rsidRPr="00FD29D5">
        <w:rPr>
          <w:rFonts w:eastAsia="Times New Roman"/>
          <w:lang w:val="fr-FR"/>
        </w:rPr>
        <w:t> septembre 2019 pour les véhicules de la catégorie N</w:t>
      </w:r>
      <w:r w:rsidRPr="00FD29D5">
        <w:rPr>
          <w:rFonts w:eastAsia="Times New Roman"/>
          <w:vertAlign w:val="subscript"/>
          <w:lang w:val="fr-FR"/>
        </w:rPr>
        <w:t>1</w:t>
      </w:r>
      <w:r w:rsidRPr="00FD29D5">
        <w:rPr>
          <w:rFonts w:eastAsia="Times New Roman"/>
          <w:lang w:val="fr-FR"/>
        </w:rPr>
        <w:t xml:space="preserve"> (classes II ou III) et de la catégorie N</w:t>
      </w:r>
      <w:r w:rsidRPr="00FD29D5">
        <w:rPr>
          <w:rFonts w:eastAsia="Times New Roman"/>
          <w:vertAlign w:val="subscript"/>
          <w:lang w:val="fr-FR"/>
        </w:rPr>
        <w:t>2</w:t>
      </w:r>
      <w:r w:rsidRPr="00FD29D5">
        <w:rPr>
          <w:rFonts w:eastAsia="Times New Roman"/>
          <w:lang w:val="fr-FR"/>
        </w:rPr>
        <w:t>, délivrer une homologation CEE pour de nouveaux véhicules que s</w:t>
      </w:r>
      <w:r w:rsidR="00DB4C2D">
        <w:rPr>
          <w:rFonts w:eastAsia="Times New Roman"/>
          <w:lang w:val="fr-FR"/>
        </w:rPr>
        <w:t>’</w:t>
      </w:r>
      <w:r w:rsidRPr="00FD29D5">
        <w:rPr>
          <w:rFonts w:eastAsia="Times New Roman"/>
          <w:lang w:val="fr-FR"/>
        </w:rPr>
        <w:t>ils satisfont:</w:t>
      </w:r>
    </w:p>
    <w:p w:rsidR="00FD29D5" w:rsidRPr="00FD29D5" w:rsidRDefault="00FD29D5" w:rsidP="00FD29D5">
      <w:pPr>
        <w:pStyle w:val="SingleTxtG"/>
        <w:ind w:left="2835" w:hanging="567"/>
        <w:rPr>
          <w:rFonts w:eastAsia="Times New Roman"/>
          <w:lang w:val="fr-FR"/>
        </w:rPr>
      </w:pPr>
      <w:r w:rsidRPr="00FD29D5">
        <w:rPr>
          <w:rFonts w:eastAsia="Times New Roman"/>
          <w:lang w:val="fr-FR"/>
        </w:rPr>
        <w:t>a)</w:t>
      </w:r>
      <w:r w:rsidRPr="00FD29D5">
        <w:rPr>
          <w:rFonts w:eastAsia="Times New Roman"/>
          <w:lang w:val="fr-FR"/>
        </w:rPr>
        <w:tab/>
        <w:t>Aux limites applicables pour l</w:t>
      </w:r>
      <w:r w:rsidR="00DB4C2D">
        <w:rPr>
          <w:rFonts w:eastAsia="Times New Roman"/>
          <w:lang w:val="fr-FR"/>
        </w:rPr>
        <w:t>’</w:t>
      </w:r>
      <w:r w:rsidRPr="00FD29D5">
        <w:rPr>
          <w:rFonts w:eastAsia="Times New Roman"/>
          <w:lang w:val="fr-FR"/>
        </w:rPr>
        <w:t>essai de type I indiquées dans le tableau 1 du paragraphe 5.3.1.4; et</w:t>
      </w:r>
    </w:p>
    <w:p w:rsidR="00FD29D5" w:rsidRPr="00FD29D5" w:rsidRDefault="00FD29D5" w:rsidP="00FD29D5">
      <w:pPr>
        <w:pStyle w:val="SingleTxtG"/>
        <w:ind w:left="2835" w:hanging="567"/>
        <w:rPr>
          <w:rFonts w:eastAsia="Times New Roman"/>
          <w:lang w:val="fr-FR"/>
        </w:rPr>
      </w:pPr>
      <w:r w:rsidRPr="00FD29D5">
        <w:rPr>
          <w:rFonts w:eastAsia="Times New Roman"/>
          <w:lang w:val="fr-FR"/>
        </w:rPr>
        <w:t>b)</w:t>
      </w:r>
      <w:r w:rsidRPr="00FD29D5">
        <w:rPr>
          <w:rFonts w:eastAsia="Times New Roman"/>
          <w:lang w:val="fr-FR"/>
        </w:rPr>
        <w:tab/>
        <w:t>Aux valeurs limites finales OBD indiquées dans le tableau A11/1 du paragraphe 3.3.2.1 de l</w:t>
      </w:r>
      <w:r w:rsidR="00DB4C2D">
        <w:rPr>
          <w:rFonts w:eastAsia="Times New Roman"/>
          <w:lang w:val="fr-FR"/>
        </w:rPr>
        <w:t>’</w:t>
      </w:r>
      <w:r w:rsidRPr="00FD29D5">
        <w:rPr>
          <w:rFonts w:eastAsia="Times New Roman"/>
          <w:lang w:val="fr-FR"/>
        </w:rPr>
        <w:t>annexe 11 du présent Règlement.</w:t>
      </w:r>
    </w:p>
    <w:p w:rsidR="00FD29D5" w:rsidRPr="00FD29D5" w:rsidRDefault="00FD29D5" w:rsidP="00FD29D5">
      <w:pPr>
        <w:pStyle w:val="SingleTxtG"/>
        <w:keepNext/>
        <w:spacing w:before="120"/>
        <w:ind w:left="2268" w:hanging="1134"/>
        <w:rPr>
          <w:rFonts w:eastAsia="Times New Roman"/>
          <w:lang w:val="fr-FR"/>
        </w:rPr>
      </w:pPr>
      <w:r w:rsidRPr="00FD29D5">
        <w:rPr>
          <w:rFonts w:eastAsia="Times New Roman"/>
          <w:lang w:val="fr-FR"/>
        </w:rPr>
        <w:t>12.3</w:t>
      </w:r>
      <w:r w:rsidRPr="00FD29D5">
        <w:rPr>
          <w:rFonts w:eastAsia="Times New Roman"/>
          <w:lang w:val="fr-FR"/>
        </w:rPr>
        <w:tab/>
        <w:t>Dispositions particulières</w:t>
      </w:r>
    </w:p>
    <w:p w:rsidR="00FD29D5" w:rsidRPr="00FD29D5" w:rsidRDefault="00FD29D5" w:rsidP="00FD29D5">
      <w:pPr>
        <w:pStyle w:val="SingleTxtG"/>
        <w:spacing w:before="120"/>
        <w:ind w:left="2268" w:hanging="1134"/>
        <w:rPr>
          <w:rFonts w:eastAsia="MS Mincho"/>
          <w:lang w:val="fr-FR" w:eastAsia="ja-JP"/>
        </w:rPr>
      </w:pPr>
      <w:r w:rsidRPr="00FD29D5">
        <w:rPr>
          <w:rFonts w:eastAsia="Times New Roman"/>
          <w:lang w:val="fr-FR"/>
        </w:rPr>
        <w:t>12.3.1</w:t>
      </w:r>
      <w:r w:rsidRPr="00FD29D5">
        <w:rPr>
          <w:rFonts w:eastAsia="Times New Roman"/>
          <w:lang w:val="fr-FR"/>
        </w:rPr>
        <w:tab/>
        <w:t>Les Parties contractantes appliquant le présent Règlement peuvent continuer d</w:t>
      </w:r>
      <w:r w:rsidR="00DB4C2D">
        <w:rPr>
          <w:rFonts w:eastAsia="Times New Roman"/>
          <w:lang w:val="fr-FR"/>
        </w:rPr>
        <w:t>’</w:t>
      </w:r>
      <w:r w:rsidRPr="00FD29D5">
        <w:rPr>
          <w:rFonts w:eastAsia="Times New Roman"/>
          <w:lang w:val="fr-FR"/>
        </w:rPr>
        <w:t>accorder des homologations aux véhicules qui satisfont aux dispositions d</w:t>
      </w:r>
      <w:r w:rsidR="00DB4C2D">
        <w:rPr>
          <w:rFonts w:eastAsia="Times New Roman"/>
          <w:lang w:val="fr-FR"/>
        </w:rPr>
        <w:t>’</w:t>
      </w:r>
      <w:r w:rsidRPr="00FD29D5">
        <w:rPr>
          <w:rFonts w:eastAsia="Times New Roman"/>
          <w:lang w:val="fr-FR"/>
        </w:rPr>
        <w:t>une précédente série d</w:t>
      </w:r>
      <w:r w:rsidR="00DB4C2D">
        <w:rPr>
          <w:rFonts w:eastAsia="Times New Roman"/>
          <w:lang w:val="fr-FR"/>
        </w:rPr>
        <w:t>’</w:t>
      </w:r>
      <w:r w:rsidRPr="00FD29D5">
        <w:rPr>
          <w:rFonts w:eastAsia="Times New Roman"/>
          <w:lang w:val="fr-FR"/>
        </w:rPr>
        <w:t>amendements, ou à tout niveau du présent Règlement, à condition que ces véhicules soient destinés à être vendus ou exportés dans des pays appliquant les prescriptions correspondantes de leur législation nationale.</w:t>
      </w:r>
    </w:p>
    <w:p w:rsidR="00FD29D5" w:rsidRPr="00FD29D5" w:rsidRDefault="00FD29D5" w:rsidP="00FD29D5">
      <w:pPr>
        <w:pStyle w:val="HChG"/>
        <w:tabs>
          <w:tab w:val="left" w:pos="1134"/>
        </w:tabs>
        <w:suppressAutoHyphens w:val="0"/>
        <w:kinsoku/>
        <w:overflowPunct/>
        <w:autoSpaceDE/>
        <w:autoSpaceDN/>
        <w:adjustRightInd/>
        <w:snapToGrid/>
        <w:ind w:left="2268" w:hanging="2268"/>
        <w:rPr>
          <w:rFonts w:eastAsia="Times New Roman"/>
          <w:szCs w:val="28"/>
          <w:lang w:val="fr-FR"/>
        </w:rPr>
      </w:pPr>
      <w:r>
        <w:rPr>
          <w:rFonts w:eastAsia="Times New Roman"/>
          <w:szCs w:val="28"/>
          <w:lang w:val="fr-FR"/>
        </w:rPr>
        <w:tab/>
      </w:r>
      <w:r>
        <w:rPr>
          <w:rFonts w:eastAsia="Times New Roman"/>
          <w:szCs w:val="28"/>
          <w:lang w:val="fr-FR"/>
        </w:rPr>
        <w:tab/>
      </w:r>
      <w:r w:rsidRPr="00FD29D5">
        <w:rPr>
          <w:rFonts w:eastAsia="Times New Roman"/>
          <w:szCs w:val="28"/>
          <w:lang w:val="fr-FR"/>
        </w:rPr>
        <w:t>13.</w:t>
      </w:r>
      <w:r w:rsidRPr="00FD29D5">
        <w:rPr>
          <w:rFonts w:eastAsia="Times New Roman"/>
          <w:szCs w:val="28"/>
          <w:lang w:val="fr-FR"/>
        </w:rPr>
        <w:tab/>
        <w:t xml:space="preserve">Noms et adresses des services techniques chargés des </w:t>
      </w:r>
      <w:proofErr w:type="spellStart"/>
      <w:r w:rsidRPr="00FD29D5">
        <w:rPr>
          <w:rFonts w:eastAsia="Times New Roman"/>
          <w:lang w:val="en-GB"/>
        </w:rPr>
        <w:t>essais</w:t>
      </w:r>
      <w:proofErr w:type="spellEnd"/>
      <w:r w:rsidRPr="00FD29D5">
        <w:rPr>
          <w:rFonts w:eastAsia="Times New Roman"/>
          <w:szCs w:val="28"/>
          <w:lang w:val="fr-FR"/>
        </w:rPr>
        <w:t xml:space="preserve"> </w:t>
      </w:r>
      <w:r w:rsidRPr="00FD29D5">
        <w:rPr>
          <w:lang w:val="fr-FR"/>
        </w:rPr>
        <w:t>d</w:t>
      </w:r>
      <w:r w:rsidR="00DB4C2D">
        <w:rPr>
          <w:lang w:val="fr-FR"/>
        </w:rPr>
        <w:t>’</w:t>
      </w:r>
      <w:r w:rsidRPr="00FD29D5">
        <w:rPr>
          <w:lang w:val="fr-FR"/>
        </w:rPr>
        <w:t>homologation</w:t>
      </w:r>
      <w:r w:rsidRPr="00FD29D5">
        <w:rPr>
          <w:rFonts w:eastAsia="Times New Roman"/>
          <w:szCs w:val="28"/>
          <w:lang w:val="fr-FR"/>
        </w:rPr>
        <w:t xml:space="preserve"> et des autorités d</w:t>
      </w:r>
      <w:r w:rsidR="00DB4C2D">
        <w:rPr>
          <w:rFonts w:eastAsia="Times New Roman"/>
          <w:szCs w:val="28"/>
          <w:lang w:val="fr-FR"/>
        </w:rPr>
        <w:t>’</w:t>
      </w:r>
      <w:r w:rsidRPr="00FD29D5">
        <w:rPr>
          <w:rFonts w:eastAsia="Times New Roman"/>
          <w:szCs w:val="28"/>
          <w:lang w:val="fr-FR"/>
        </w:rPr>
        <w:t>homologation de type</w:t>
      </w:r>
    </w:p>
    <w:p w:rsidR="00DB4C2D" w:rsidRDefault="00FD29D5" w:rsidP="00FD29D5">
      <w:pPr>
        <w:pStyle w:val="SingleTxtG"/>
        <w:ind w:left="2268"/>
        <w:rPr>
          <w:lang w:val="fr-FR"/>
        </w:rPr>
      </w:pPr>
      <w:r w:rsidRPr="00FD29D5">
        <w:rPr>
          <w:lang w:val="fr-FR"/>
        </w:rPr>
        <w:t>Les Parties à l</w:t>
      </w:r>
      <w:r w:rsidR="00DB4C2D">
        <w:rPr>
          <w:lang w:val="fr-FR"/>
        </w:rPr>
        <w:t>’</w:t>
      </w:r>
      <w:r w:rsidRPr="00FD29D5">
        <w:rPr>
          <w:lang w:val="fr-FR"/>
        </w:rPr>
        <w:t>Accord de 1958 appliquant le présent Règlement doivent communiquer au Secrétariat de l</w:t>
      </w:r>
      <w:r w:rsidR="00DB4C2D">
        <w:rPr>
          <w:lang w:val="fr-FR"/>
        </w:rPr>
        <w:t>’</w:t>
      </w:r>
      <w:r w:rsidRPr="00FD29D5">
        <w:rPr>
          <w:lang w:val="fr-FR"/>
        </w:rPr>
        <w:t>Organisation des Nations Unies les noms et adresses des services techniques chargés des essais d</w:t>
      </w:r>
      <w:r w:rsidR="00DB4C2D">
        <w:rPr>
          <w:lang w:val="fr-FR"/>
        </w:rPr>
        <w:t>’</w:t>
      </w:r>
      <w:r w:rsidRPr="00FD29D5">
        <w:rPr>
          <w:lang w:val="fr-FR"/>
        </w:rPr>
        <w:t>homologation et ceux des autorités d</w:t>
      </w:r>
      <w:r w:rsidR="00DB4C2D">
        <w:rPr>
          <w:lang w:val="fr-FR"/>
        </w:rPr>
        <w:t>’</w:t>
      </w:r>
      <w:r w:rsidRPr="00FD29D5">
        <w:rPr>
          <w:lang w:val="fr-FR"/>
        </w:rPr>
        <w:t>homologation de type qui délivrent l</w:t>
      </w:r>
      <w:r w:rsidR="00DB4C2D">
        <w:rPr>
          <w:lang w:val="fr-FR"/>
        </w:rPr>
        <w:t>’</w:t>
      </w:r>
      <w:r w:rsidRPr="00FD29D5">
        <w:rPr>
          <w:lang w:val="fr-FR"/>
        </w:rPr>
        <w:t>homologation et auxquels doivent être envoyées les fiches d</w:t>
      </w:r>
      <w:r w:rsidR="00DB4C2D">
        <w:rPr>
          <w:lang w:val="fr-FR"/>
        </w:rPr>
        <w:t>’</w:t>
      </w:r>
      <w:r w:rsidRPr="00FD29D5">
        <w:rPr>
          <w:lang w:val="fr-FR"/>
        </w:rPr>
        <w:t>homologation ou d</w:t>
      </w:r>
      <w:r w:rsidR="00DB4C2D">
        <w:rPr>
          <w:lang w:val="fr-FR"/>
        </w:rPr>
        <w:t>’</w:t>
      </w:r>
      <w:r w:rsidRPr="00FD29D5">
        <w:rPr>
          <w:lang w:val="fr-FR"/>
        </w:rPr>
        <w:t>extension, de refus ou de retrait d</w:t>
      </w:r>
      <w:r w:rsidR="00DB4C2D">
        <w:rPr>
          <w:lang w:val="fr-FR"/>
        </w:rPr>
        <w:t>’</w:t>
      </w:r>
      <w:r w:rsidRPr="00FD29D5">
        <w:rPr>
          <w:lang w:val="fr-FR"/>
        </w:rPr>
        <w:t>homologation émises dans d</w:t>
      </w:r>
      <w:r w:rsidR="00DB4C2D">
        <w:rPr>
          <w:lang w:val="fr-FR"/>
        </w:rPr>
        <w:t>’</w:t>
      </w:r>
      <w:r w:rsidRPr="00FD29D5">
        <w:rPr>
          <w:lang w:val="fr-FR"/>
        </w:rPr>
        <w:t>autres pays</w:t>
      </w:r>
      <w:r w:rsidR="007E572E">
        <w:rPr>
          <w:lang w:val="fr-FR"/>
        </w:rPr>
        <w:t>.</w:t>
      </w:r>
    </w:p>
    <w:p w:rsidR="007E572E" w:rsidRDefault="007E572E" w:rsidP="00FD29D5">
      <w:pPr>
        <w:pStyle w:val="SingleTxtG"/>
        <w:ind w:left="2268"/>
        <w:rPr>
          <w:lang w:val="fr-FR"/>
        </w:rPr>
      </w:pPr>
    </w:p>
    <w:p w:rsidR="00C460F7" w:rsidRDefault="00C460F7" w:rsidP="00FD29D5">
      <w:pPr>
        <w:pStyle w:val="SingleTxtG"/>
        <w:ind w:left="2268"/>
        <w:rPr>
          <w:lang w:val="fr-FR"/>
        </w:rPr>
        <w:sectPr w:rsidR="00C460F7" w:rsidSect="00BE63F4">
          <w:headerReference w:type="even" r:id="rId24"/>
          <w:headerReference w:type="default" r:id="rId25"/>
          <w:footerReference w:type="even" r:id="rId26"/>
          <w:footerReference w:type="default" r:id="rId27"/>
          <w:endnotePr>
            <w:numFmt w:val="decimal"/>
          </w:endnotePr>
          <w:pgSz w:w="11907" w:h="16840" w:code="9"/>
          <w:pgMar w:top="1701" w:right="1134" w:bottom="2268" w:left="1134" w:header="964" w:footer="1701" w:gutter="0"/>
          <w:cols w:space="720"/>
          <w:docGrid w:linePitch="272"/>
        </w:sectPr>
      </w:pPr>
    </w:p>
    <w:p w:rsidR="00DD024D" w:rsidRPr="00DD024D" w:rsidRDefault="00DD024D" w:rsidP="006609D8">
      <w:pPr>
        <w:pStyle w:val="HChG"/>
        <w:rPr>
          <w:lang w:val="fr-FR"/>
        </w:rPr>
      </w:pPr>
      <w:r w:rsidRPr="00DD024D">
        <w:rPr>
          <w:lang w:val="fr-FR"/>
        </w:rPr>
        <w:lastRenderedPageBreak/>
        <w:t>Appendice 1</w:t>
      </w:r>
    </w:p>
    <w:p w:rsidR="00DD024D" w:rsidRPr="00DD024D" w:rsidRDefault="00DD024D" w:rsidP="006609D8">
      <w:pPr>
        <w:pStyle w:val="HChG"/>
        <w:rPr>
          <w:lang w:val="fr-FR"/>
        </w:rPr>
      </w:pPr>
      <w:r w:rsidRPr="00DD024D">
        <w:rPr>
          <w:lang w:val="fr-FR"/>
        </w:rPr>
        <w:tab/>
      </w:r>
      <w:r w:rsidRPr="00DD024D">
        <w:rPr>
          <w:lang w:val="fr-FR"/>
        </w:rPr>
        <w:tab/>
        <w:t>Procédure à suivre pour vérifier les exigences</w:t>
      </w:r>
      <w:r w:rsidRPr="00DD024D">
        <w:rPr>
          <w:lang w:val="fr-FR"/>
        </w:rPr>
        <w:br/>
        <w:t>de la conformité de production lorsque l</w:t>
      </w:r>
      <w:r w:rsidR="00DB4C2D">
        <w:rPr>
          <w:lang w:val="fr-FR"/>
        </w:rPr>
        <w:t>’</w:t>
      </w:r>
      <w:r w:rsidRPr="00DD024D">
        <w:rPr>
          <w:lang w:val="fr-FR"/>
        </w:rPr>
        <w:t>écart type</w:t>
      </w:r>
      <w:r w:rsidRPr="00DD024D">
        <w:rPr>
          <w:lang w:val="fr-FR"/>
        </w:rPr>
        <w:br/>
        <w:t>de production donné par le constructeur est satisfaisant</w:t>
      </w:r>
    </w:p>
    <w:p w:rsidR="00DD024D" w:rsidRPr="00DD024D" w:rsidRDefault="00DD024D" w:rsidP="006609D8">
      <w:pPr>
        <w:pStyle w:val="SingleTxtG"/>
        <w:ind w:left="2268" w:hanging="1134"/>
        <w:rPr>
          <w:lang w:val="fr-FR"/>
        </w:rPr>
      </w:pPr>
      <w:r w:rsidRPr="00DD024D">
        <w:rPr>
          <w:lang w:val="fr-FR"/>
        </w:rPr>
        <w:t>1.</w:t>
      </w:r>
      <w:r w:rsidRPr="00DD024D">
        <w:rPr>
          <w:lang w:val="fr-FR"/>
        </w:rPr>
        <w:tab/>
        <w:t>Le présent appendice décrit la procédure à suivre pour vérifier les exigences de la conformité de production pour l</w:t>
      </w:r>
      <w:r w:rsidR="00DB4C2D">
        <w:rPr>
          <w:lang w:val="fr-FR"/>
        </w:rPr>
        <w:t>’</w:t>
      </w:r>
      <w:r w:rsidRPr="00DD024D">
        <w:rPr>
          <w:lang w:val="fr-FR"/>
        </w:rPr>
        <w:t>essai du type I lorsque l</w:t>
      </w:r>
      <w:r w:rsidR="00DB4C2D">
        <w:rPr>
          <w:lang w:val="fr-FR"/>
        </w:rPr>
        <w:t>’</w:t>
      </w:r>
      <w:r w:rsidRPr="00DD024D">
        <w:rPr>
          <w:lang w:val="fr-FR"/>
        </w:rPr>
        <w:t>écart type de production donné par le constructeur est satisfaisant.</w:t>
      </w:r>
    </w:p>
    <w:p w:rsidR="00DD024D" w:rsidRPr="00DD024D" w:rsidRDefault="00DD024D" w:rsidP="006609D8">
      <w:pPr>
        <w:pStyle w:val="SingleTxtG"/>
        <w:ind w:left="2268" w:hanging="1134"/>
        <w:rPr>
          <w:rFonts w:eastAsia="Times New Roman"/>
          <w:lang w:val="fr-FR"/>
        </w:rPr>
      </w:pPr>
      <w:r w:rsidRPr="00DD024D">
        <w:rPr>
          <w:rFonts w:eastAsia="Times New Roman"/>
          <w:lang w:val="fr-FR"/>
        </w:rPr>
        <w:t>2.</w:t>
      </w:r>
      <w:r w:rsidRPr="00DD024D">
        <w:rPr>
          <w:rFonts w:eastAsia="Times New Roman"/>
          <w:lang w:val="fr-FR"/>
        </w:rPr>
        <w:tab/>
        <w:t>Avec une taille minimale d</w:t>
      </w:r>
      <w:r w:rsidR="00DB4C2D">
        <w:rPr>
          <w:rFonts w:eastAsia="Times New Roman"/>
          <w:lang w:val="fr-FR"/>
        </w:rPr>
        <w:t>’</w:t>
      </w:r>
      <w:r w:rsidRPr="00DD024D">
        <w:rPr>
          <w:rFonts w:eastAsia="Times New Roman"/>
          <w:lang w:val="fr-FR"/>
        </w:rPr>
        <w:t>échantillon de trois la procédure d</w:t>
      </w:r>
      <w:r w:rsidR="00DB4C2D">
        <w:rPr>
          <w:rFonts w:eastAsia="Times New Roman"/>
          <w:lang w:val="fr-FR"/>
        </w:rPr>
        <w:t>’</w:t>
      </w:r>
      <w:r w:rsidRPr="00DD024D">
        <w:rPr>
          <w:rFonts w:eastAsia="Times New Roman"/>
          <w:lang w:val="fr-FR"/>
        </w:rPr>
        <w:t>échantillonnage est établie de telle manière que la probabilité qu</w:t>
      </w:r>
      <w:r w:rsidR="00DB4C2D">
        <w:rPr>
          <w:rFonts w:eastAsia="Times New Roman"/>
          <w:lang w:val="fr-FR"/>
        </w:rPr>
        <w:t>’</w:t>
      </w:r>
      <w:r w:rsidRPr="00DD024D">
        <w:rPr>
          <w:rFonts w:eastAsia="Times New Roman"/>
          <w:lang w:val="fr-FR"/>
        </w:rPr>
        <w:t>un lot comprenant 40 % de moteurs défectueux soit accepté soit atteigne 0,95 (risque producteur = 5 %), et que la probabilité qu</w:t>
      </w:r>
      <w:r w:rsidR="00DB4C2D">
        <w:rPr>
          <w:rFonts w:eastAsia="Times New Roman"/>
          <w:lang w:val="fr-FR"/>
        </w:rPr>
        <w:t>’</w:t>
      </w:r>
      <w:r w:rsidRPr="00DD024D">
        <w:rPr>
          <w:rFonts w:eastAsia="Times New Roman"/>
          <w:lang w:val="fr-FR"/>
        </w:rPr>
        <w:t xml:space="preserve">un lot comprenant 65 % de moteurs défectueux soit accepté atteigne 0,10 (risque consommateur = 10 %). </w:t>
      </w:r>
    </w:p>
    <w:p w:rsidR="00C460F7" w:rsidRDefault="00DD024D" w:rsidP="006609D8">
      <w:pPr>
        <w:pStyle w:val="SingleTxtG"/>
        <w:ind w:left="2268" w:hanging="1134"/>
        <w:rPr>
          <w:rFonts w:eastAsia="Times New Roman"/>
          <w:lang w:val="fr-FR"/>
        </w:rPr>
      </w:pPr>
      <w:r w:rsidRPr="00DD024D">
        <w:rPr>
          <w:rFonts w:eastAsia="Times New Roman"/>
          <w:lang w:val="fr-FR"/>
        </w:rPr>
        <w:t>3.</w:t>
      </w:r>
      <w:r w:rsidRPr="00DD024D">
        <w:rPr>
          <w:rFonts w:eastAsia="Times New Roman"/>
          <w:lang w:val="fr-FR"/>
        </w:rPr>
        <w:tab/>
        <w:t xml:space="preserve">Pour chacun des polluants visés au tableau 1 du paragraphe 5.3.1.4 du présent Règlement, la procédure </w:t>
      </w:r>
      <w:r w:rsidRPr="006609D8">
        <w:rPr>
          <w:lang w:val="fr-FR"/>
        </w:rPr>
        <w:t>suivante</w:t>
      </w:r>
      <w:r w:rsidRPr="00DD024D">
        <w:rPr>
          <w:rFonts w:eastAsia="Times New Roman"/>
          <w:lang w:val="fr-FR"/>
        </w:rPr>
        <w:t xml:space="preserve"> est appliquée (voir la figure 2 au paragraphe 8.2 du présent Règlement) avec:</w:t>
      </w:r>
    </w:p>
    <w:tbl>
      <w:tblPr>
        <w:tblW w:w="6372" w:type="dxa"/>
        <w:tblInd w:w="2268" w:type="dxa"/>
        <w:tblLayout w:type="fixed"/>
        <w:tblCellMar>
          <w:left w:w="0" w:type="dxa"/>
          <w:right w:w="0" w:type="dxa"/>
        </w:tblCellMar>
        <w:tblLook w:val="01E0" w:firstRow="1" w:lastRow="1" w:firstColumn="1" w:lastColumn="1" w:noHBand="0" w:noVBand="0"/>
      </w:tblPr>
      <w:tblGrid>
        <w:gridCol w:w="561"/>
        <w:gridCol w:w="356"/>
        <w:gridCol w:w="5455"/>
      </w:tblGrid>
      <w:tr w:rsidR="006609D8" w:rsidRPr="0041480D" w:rsidTr="0041480D">
        <w:tc>
          <w:tcPr>
            <w:tcW w:w="561" w:type="dxa"/>
            <w:shd w:val="clear" w:color="auto" w:fill="auto"/>
          </w:tcPr>
          <w:p w:rsidR="006609D8" w:rsidRPr="0041480D" w:rsidRDefault="006609D8" w:rsidP="0041480D">
            <w:pPr>
              <w:kinsoku/>
              <w:overflowPunct/>
              <w:autoSpaceDE/>
              <w:autoSpaceDN/>
              <w:adjustRightInd/>
              <w:snapToGrid/>
              <w:spacing w:after="120"/>
              <w:rPr>
                <w:rFonts w:eastAsia="Times New Roman"/>
                <w:lang w:val="fr-FR"/>
              </w:rPr>
            </w:pPr>
            <w:r w:rsidRPr="0041480D">
              <w:rPr>
                <w:rFonts w:eastAsia="Times New Roman"/>
                <w:lang w:val="fr-FR"/>
              </w:rPr>
              <w:t>L</w:t>
            </w:r>
          </w:p>
        </w:tc>
        <w:tc>
          <w:tcPr>
            <w:tcW w:w="356" w:type="dxa"/>
            <w:shd w:val="clear" w:color="auto" w:fill="auto"/>
          </w:tcPr>
          <w:p w:rsidR="006609D8" w:rsidRPr="0041480D" w:rsidRDefault="006609D8" w:rsidP="0041480D">
            <w:pPr>
              <w:kinsoku/>
              <w:overflowPunct/>
              <w:autoSpaceDE/>
              <w:autoSpaceDN/>
              <w:adjustRightInd/>
              <w:snapToGrid/>
              <w:spacing w:after="120"/>
              <w:ind w:right="1134"/>
              <w:jc w:val="right"/>
              <w:rPr>
                <w:rFonts w:eastAsia="Times New Roman"/>
                <w:lang w:val="fr-FR"/>
              </w:rPr>
            </w:pPr>
            <w:r w:rsidRPr="0041480D">
              <w:rPr>
                <w:rFonts w:eastAsia="Times New Roman"/>
                <w:lang w:val="fr-FR"/>
              </w:rPr>
              <w:t>=</w:t>
            </w:r>
          </w:p>
        </w:tc>
        <w:tc>
          <w:tcPr>
            <w:tcW w:w="5455" w:type="dxa"/>
            <w:shd w:val="clear" w:color="auto" w:fill="auto"/>
          </w:tcPr>
          <w:p w:rsidR="006609D8" w:rsidRPr="0041480D" w:rsidRDefault="006609D8" w:rsidP="0041480D">
            <w:pPr>
              <w:kinsoku/>
              <w:overflowPunct/>
              <w:autoSpaceDE/>
              <w:autoSpaceDN/>
              <w:adjustRightInd/>
              <w:snapToGrid/>
              <w:spacing w:after="120"/>
              <w:rPr>
                <w:rFonts w:eastAsia="Times New Roman"/>
                <w:lang w:val="fr-FR"/>
              </w:rPr>
            </w:pPr>
            <w:r w:rsidRPr="0041480D">
              <w:rPr>
                <w:rFonts w:eastAsia="Times New Roman"/>
                <w:lang w:val="fr-FR"/>
              </w:rPr>
              <w:t>logarithme naturel de la valeur limite pour le polluant,</w:t>
            </w:r>
          </w:p>
        </w:tc>
      </w:tr>
      <w:tr w:rsidR="006609D8" w:rsidRPr="0041480D" w:rsidTr="0041480D">
        <w:tc>
          <w:tcPr>
            <w:tcW w:w="561" w:type="dxa"/>
            <w:shd w:val="clear" w:color="auto" w:fill="auto"/>
          </w:tcPr>
          <w:p w:rsidR="006609D8" w:rsidRPr="0041480D" w:rsidRDefault="006609D8" w:rsidP="0041480D">
            <w:pPr>
              <w:kinsoku/>
              <w:overflowPunct/>
              <w:autoSpaceDE/>
              <w:autoSpaceDN/>
              <w:adjustRightInd/>
              <w:snapToGrid/>
              <w:spacing w:after="120"/>
              <w:rPr>
                <w:rFonts w:eastAsia="Times New Roman"/>
                <w:lang w:val="fr-FR"/>
              </w:rPr>
            </w:pPr>
            <w:r w:rsidRPr="0041480D">
              <w:rPr>
                <w:rFonts w:eastAsia="Times New Roman"/>
                <w:lang w:val="fr-FR"/>
              </w:rPr>
              <w:t>x</w:t>
            </w:r>
            <w:r w:rsidRPr="0041480D">
              <w:rPr>
                <w:rFonts w:eastAsia="Times New Roman"/>
                <w:vertAlign w:val="subscript"/>
                <w:lang w:val="fr-FR"/>
              </w:rPr>
              <w:t>i</w:t>
            </w:r>
          </w:p>
        </w:tc>
        <w:tc>
          <w:tcPr>
            <w:tcW w:w="356" w:type="dxa"/>
            <w:shd w:val="clear" w:color="auto" w:fill="auto"/>
          </w:tcPr>
          <w:p w:rsidR="006609D8" w:rsidRPr="0041480D" w:rsidRDefault="006609D8" w:rsidP="0041480D">
            <w:pPr>
              <w:kinsoku/>
              <w:overflowPunct/>
              <w:autoSpaceDE/>
              <w:autoSpaceDN/>
              <w:adjustRightInd/>
              <w:snapToGrid/>
              <w:spacing w:after="120"/>
              <w:rPr>
                <w:rFonts w:eastAsia="Times New Roman"/>
                <w:lang w:val="fr-FR"/>
              </w:rPr>
            </w:pPr>
            <w:r w:rsidRPr="0041480D">
              <w:rPr>
                <w:rFonts w:eastAsia="Times New Roman"/>
                <w:lang w:val="fr-FR"/>
              </w:rPr>
              <w:t>=</w:t>
            </w:r>
          </w:p>
        </w:tc>
        <w:tc>
          <w:tcPr>
            <w:tcW w:w="5455" w:type="dxa"/>
            <w:shd w:val="clear" w:color="auto" w:fill="auto"/>
          </w:tcPr>
          <w:p w:rsidR="006609D8" w:rsidRPr="0041480D" w:rsidRDefault="006609D8" w:rsidP="0041480D">
            <w:pPr>
              <w:kinsoku/>
              <w:overflowPunct/>
              <w:autoSpaceDE/>
              <w:autoSpaceDN/>
              <w:adjustRightInd/>
              <w:snapToGrid/>
              <w:spacing w:after="120"/>
              <w:rPr>
                <w:rFonts w:eastAsia="Times New Roman"/>
                <w:lang w:val="fr-FR"/>
              </w:rPr>
            </w:pPr>
            <w:r w:rsidRPr="0041480D">
              <w:rPr>
                <w:rFonts w:eastAsia="Times New Roman"/>
                <w:lang w:val="fr-FR"/>
              </w:rPr>
              <w:t>logarithme naturel de la valeur mesurée pour le i-</w:t>
            </w:r>
            <w:proofErr w:type="spellStart"/>
            <w:r w:rsidRPr="0041480D">
              <w:rPr>
                <w:rFonts w:eastAsia="Times New Roman"/>
                <w:lang w:val="fr-FR"/>
              </w:rPr>
              <w:t>ème</w:t>
            </w:r>
            <w:proofErr w:type="spellEnd"/>
            <w:r w:rsidRPr="0041480D">
              <w:rPr>
                <w:rFonts w:eastAsia="Times New Roman"/>
                <w:lang w:val="fr-FR"/>
              </w:rPr>
              <w:t xml:space="preserve"> véhicule de l</w:t>
            </w:r>
            <w:r w:rsidR="00DB4C2D">
              <w:rPr>
                <w:rFonts w:eastAsia="Times New Roman"/>
                <w:lang w:val="fr-FR"/>
              </w:rPr>
              <w:t>’</w:t>
            </w:r>
            <w:r w:rsidRPr="0041480D">
              <w:rPr>
                <w:rFonts w:eastAsia="Times New Roman"/>
                <w:lang w:val="fr-FR"/>
              </w:rPr>
              <w:t>échantillon,</w:t>
            </w:r>
          </w:p>
        </w:tc>
      </w:tr>
      <w:tr w:rsidR="006609D8" w:rsidRPr="0041480D" w:rsidTr="0041480D">
        <w:tc>
          <w:tcPr>
            <w:tcW w:w="561" w:type="dxa"/>
            <w:shd w:val="clear" w:color="auto" w:fill="auto"/>
          </w:tcPr>
          <w:p w:rsidR="006609D8" w:rsidRPr="0041480D" w:rsidRDefault="006609D8" w:rsidP="0041480D">
            <w:pPr>
              <w:kinsoku/>
              <w:overflowPunct/>
              <w:autoSpaceDE/>
              <w:autoSpaceDN/>
              <w:adjustRightInd/>
              <w:snapToGrid/>
              <w:spacing w:after="120"/>
              <w:rPr>
                <w:rFonts w:eastAsia="Times New Roman"/>
                <w:lang w:val="fr-FR"/>
              </w:rPr>
            </w:pPr>
            <w:r w:rsidRPr="0041480D">
              <w:rPr>
                <w:rFonts w:eastAsia="Times New Roman"/>
                <w:lang w:val="fr-FR"/>
              </w:rPr>
              <w:t>s</w:t>
            </w:r>
          </w:p>
        </w:tc>
        <w:tc>
          <w:tcPr>
            <w:tcW w:w="356" w:type="dxa"/>
            <w:shd w:val="clear" w:color="auto" w:fill="auto"/>
          </w:tcPr>
          <w:p w:rsidR="006609D8" w:rsidRPr="0041480D" w:rsidRDefault="006609D8" w:rsidP="0041480D">
            <w:pPr>
              <w:kinsoku/>
              <w:overflowPunct/>
              <w:autoSpaceDE/>
              <w:autoSpaceDN/>
              <w:adjustRightInd/>
              <w:snapToGrid/>
              <w:spacing w:after="120"/>
              <w:ind w:right="1134"/>
              <w:jc w:val="right"/>
              <w:rPr>
                <w:rFonts w:eastAsia="Times New Roman"/>
                <w:lang w:val="fr-FR"/>
              </w:rPr>
            </w:pPr>
            <w:r w:rsidRPr="0041480D">
              <w:rPr>
                <w:rFonts w:eastAsia="Times New Roman"/>
                <w:lang w:val="fr-FR"/>
              </w:rPr>
              <w:t>=</w:t>
            </w:r>
          </w:p>
        </w:tc>
        <w:tc>
          <w:tcPr>
            <w:tcW w:w="5455" w:type="dxa"/>
            <w:shd w:val="clear" w:color="auto" w:fill="auto"/>
          </w:tcPr>
          <w:p w:rsidR="006609D8" w:rsidRPr="0041480D" w:rsidRDefault="006609D8" w:rsidP="0041480D">
            <w:pPr>
              <w:kinsoku/>
              <w:overflowPunct/>
              <w:autoSpaceDE/>
              <w:autoSpaceDN/>
              <w:adjustRightInd/>
              <w:snapToGrid/>
              <w:spacing w:after="120"/>
              <w:rPr>
                <w:rFonts w:eastAsia="Times New Roman"/>
                <w:lang w:val="fr-FR"/>
              </w:rPr>
            </w:pPr>
            <w:r w:rsidRPr="0041480D">
              <w:rPr>
                <w:rFonts w:eastAsia="Times New Roman"/>
                <w:lang w:val="fr-FR"/>
              </w:rPr>
              <w:t>estimation de l</w:t>
            </w:r>
            <w:r w:rsidR="00DB4C2D">
              <w:rPr>
                <w:rFonts w:eastAsia="Times New Roman"/>
                <w:lang w:val="fr-FR"/>
              </w:rPr>
              <w:t>’</w:t>
            </w:r>
            <w:r w:rsidRPr="0041480D">
              <w:rPr>
                <w:rFonts w:eastAsia="Times New Roman"/>
                <w:lang w:val="fr-FR"/>
              </w:rPr>
              <w:t>écart type de production, après transformation des mesurages en logarithme naturel,</w:t>
            </w:r>
          </w:p>
        </w:tc>
      </w:tr>
      <w:tr w:rsidR="006609D8" w:rsidRPr="0041480D" w:rsidTr="0041480D">
        <w:tc>
          <w:tcPr>
            <w:tcW w:w="561" w:type="dxa"/>
            <w:shd w:val="clear" w:color="auto" w:fill="auto"/>
          </w:tcPr>
          <w:p w:rsidR="006609D8" w:rsidRPr="0041480D" w:rsidRDefault="006609D8" w:rsidP="0041480D">
            <w:pPr>
              <w:kinsoku/>
              <w:overflowPunct/>
              <w:autoSpaceDE/>
              <w:autoSpaceDN/>
              <w:adjustRightInd/>
              <w:snapToGrid/>
              <w:spacing w:after="120"/>
              <w:rPr>
                <w:rFonts w:eastAsia="Times New Roman"/>
                <w:lang w:val="fr-FR"/>
              </w:rPr>
            </w:pPr>
            <w:r w:rsidRPr="0041480D">
              <w:rPr>
                <w:rFonts w:eastAsia="Times New Roman"/>
                <w:lang w:val="fr-FR"/>
              </w:rPr>
              <w:t>n</w:t>
            </w:r>
          </w:p>
        </w:tc>
        <w:tc>
          <w:tcPr>
            <w:tcW w:w="356" w:type="dxa"/>
            <w:shd w:val="clear" w:color="auto" w:fill="auto"/>
          </w:tcPr>
          <w:p w:rsidR="006609D8" w:rsidRPr="0041480D" w:rsidRDefault="006609D8" w:rsidP="0041480D">
            <w:pPr>
              <w:kinsoku/>
              <w:overflowPunct/>
              <w:autoSpaceDE/>
              <w:autoSpaceDN/>
              <w:adjustRightInd/>
              <w:snapToGrid/>
              <w:spacing w:after="120"/>
              <w:ind w:right="1134"/>
              <w:jc w:val="right"/>
              <w:rPr>
                <w:rFonts w:eastAsia="Times New Roman"/>
                <w:lang w:val="fr-FR"/>
              </w:rPr>
            </w:pPr>
            <w:r w:rsidRPr="0041480D">
              <w:rPr>
                <w:rFonts w:eastAsia="Times New Roman"/>
                <w:lang w:val="fr-FR"/>
              </w:rPr>
              <w:t>=</w:t>
            </w:r>
          </w:p>
        </w:tc>
        <w:tc>
          <w:tcPr>
            <w:tcW w:w="5455" w:type="dxa"/>
            <w:shd w:val="clear" w:color="auto" w:fill="auto"/>
          </w:tcPr>
          <w:p w:rsidR="006609D8" w:rsidRPr="0041480D" w:rsidRDefault="006609D8" w:rsidP="0041480D">
            <w:pPr>
              <w:kinsoku/>
              <w:overflowPunct/>
              <w:autoSpaceDE/>
              <w:autoSpaceDN/>
              <w:adjustRightInd/>
              <w:snapToGrid/>
              <w:spacing w:after="120"/>
              <w:rPr>
                <w:rFonts w:eastAsia="Times New Roman"/>
                <w:lang w:val="fr-FR"/>
              </w:rPr>
            </w:pPr>
            <w:r w:rsidRPr="0041480D">
              <w:rPr>
                <w:rFonts w:eastAsia="Times New Roman"/>
                <w:lang w:val="fr-FR"/>
              </w:rPr>
              <w:t>taille de l</w:t>
            </w:r>
            <w:r w:rsidR="00DB4C2D">
              <w:rPr>
                <w:rFonts w:eastAsia="Times New Roman"/>
                <w:lang w:val="fr-FR"/>
              </w:rPr>
              <w:t>’</w:t>
            </w:r>
            <w:r w:rsidRPr="0041480D">
              <w:rPr>
                <w:rFonts w:eastAsia="Times New Roman"/>
                <w:lang w:val="fr-FR"/>
              </w:rPr>
              <w:t>échantillon.</w:t>
            </w:r>
          </w:p>
        </w:tc>
      </w:tr>
    </w:tbl>
    <w:p w:rsidR="006609D8" w:rsidRPr="006609D8" w:rsidRDefault="006609D8" w:rsidP="006609D8">
      <w:pPr>
        <w:pStyle w:val="SingleTxtG"/>
        <w:keepNext/>
        <w:spacing w:before="120"/>
        <w:ind w:left="2268" w:hanging="1134"/>
        <w:rPr>
          <w:rFonts w:eastAsia="Times New Roman"/>
          <w:lang w:val="fr-FR"/>
        </w:rPr>
      </w:pPr>
      <w:r w:rsidRPr="006609D8">
        <w:rPr>
          <w:rFonts w:eastAsia="Times New Roman"/>
          <w:lang w:val="fr-FR"/>
        </w:rPr>
        <w:t>4.</w:t>
      </w:r>
      <w:r w:rsidRPr="006609D8">
        <w:rPr>
          <w:rFonts w:eastAsia="Times New Roman"/>
          <w:lang w:val="fr-FR"/>
        </w:rPr>
        <w:tab/>
        <w:t>On calcule pour l</w:t>
      </w:r>
      <w:r w:rsidR="00DB4C2D">
        <w:rPr>
          <w:rFonts w:eastAsia="Times New Roman"/>
          <w:lang w:val="fr-FR"/>
        </w:rPr>
        <w:t>’</w:t>
      </w:r>
      <w:r w:rsidRPr="006609D8">
        <w:rPr>
          <w:rFonts w:eastAsia="Times New Roman"/>
          <w:lang w:val="fr-FR"/>
        </w:rPr>
        <w:t xml:space="preserve">échantillon la statistique de test représentant la somme des écarts réduits à la limite et définie par: </w:t>
      </w:r>
    </w:p>
    <w:p w:rsidR="006609D8" w:rsidRPr="006609D8" w:rsidRDefault="006609D8" w:rsidP="006609D8">
      <w:pPr>
        <w:pBdr>
          <w:top w:val="single" w:sz="6" w:space="0" w:color="FFFFFF"/>
          <w:left w:val="single" w:sz="6" w:space="0" w:color="FFFFFF"/>
          <w:bottom w:val="single" w:sz="6" w:space="0" w:color="FFFFFF"/>
          <w:right w:val="single" w:sz="6" w:space="0" w:color="FFFFFF"/>
        </w:pBdr>
        <w:kinsoku/>
        <w:overflowPunct/>
        <w:autoSpaceDE/>
        <w:autoSpaceDN/>
        <w:adjustRightInd/>
        <w:snapToGrid/>
        <w:spacing w:after="120"/>
        <w:ind w:left="2268" w:right="57"/>
        <w:rPr>
          <w:rFonts w:eastAsia="Times New Roman"/>
          <w:lang w:val="fr-FR"/>
        </w:rPr>
      </w:pPr>
      <w:r w:rsidRPr="006609D8">
        <w:rPr>
          <w:rFonts w:eastAsia="Times New Roman"/>
          <w:position w:val="-26"/>
          <w:lang w:val="fr-FR"/>
        </w:rPr>
        <w:object w:dxaOrig="1040" w:dyaOrig="620">
          <v:shape id="_x0000_i1028" type="#_x0000_t75" style="width:52.3pt;height:31.25pt">
            <v:imagedata r:id="rId28" o:title=""/>
          </v:shape>
        </w:object>
      </w:r>
    </w:p>
    <w:p w:rsidR="006609D8" w:rsidRPr="006609D8" w:rsidRDefault="006609D8" w:rsidP="006609D8">
      <w:pPr>
        <w:pStyle w:val="SingleTxtG"/>
        <w:keepNext/>
        <w:ind w:left="2268" w:hanging="1134"/>
        <w:rPr>
          <w:rFonts w:eastAsia="Times New Roman"/>
          <w:lang w:val="fr-FR"/>
        </w:rPr>
      </w:pPr>
      <w:r w:rsidRPr="006609D8">
        <w:rPr>
          <w:rFonts w:eastAsia="Times New Roman"/>
          <w:lang w:val="fr-FR"/>
        </w:rPr>
        <w:t>5.</w:t>
      </w:r>
      <w:r w:rsidRPr="006609D8">
        <w:rPr>
          <w:rFonts w:eastAsia="Times New Roman"/>
          <w:lang w:val="fr-FR"/>
        </w:rPr>
        <w:tab/>
        <w:t>Alors:</w:t>
      </w:r>
    </w:p>
    <w:p w:rsidR="006609D8" w:rsidRPr="006609D8" w:rsidRDefault="006609D8" w:rsidP="006609D8">
      <w:pPr>
        <w:pStyle w:val="SingleTxtG"/>
        <w:ind w:left="2268" w:hanging="1134"/>
        <w:rPr>
          <w:rFonts w:eastAsia="Times New Roman"/>
          <w:lang w:val="fr-FR"/>
        </w:rPr>
      </w:pPr>
      <w:r w:rsidRPr="006609D8">
        <w:rPr>
          <w:rFonts w:eastAsia="Times New Roman"/>
          <w:lang w:val="fr-FR"/>
        </w:rPr>
        <w:t>5.1</w:t>
      </w:r>
      <w:r w:rsidRPr="006609D8">
        <w:rPr>
          <w:rFonts w:eastAsia="Times New Roman"/>
          <w:lang w:val="fr-FR"/>
        </w:rPr>
        <w:tab/>
        <w:t>Si la statistique de test est supérieure au seuil d</w:t>
      </w:r>
      <w:r w:rsidR="00DB4C2D">
        <w:rPr>
          <w:rFonts w:eastAsia="Times New Roman"/>
          <w:lang w:val="fr-FR"/>
        </w:rPr>
        <w:t>’</w:t>
      </w:r>
      <w:r w:rsidRPr="006609D8">
        <w:rPr>
          <w:rFonts w:eastAsia="Times New Roman"/>
          <w:lang w:val="fr-FR"/>
        </w:rPr>
        <w:t>acceptation prévu pour la taille de l</w:t>
      </w:r>
      <w:r w:rsidR="00DB4C2D">
        <w:rPr>
          <w:rFonts w:eastAsia="Times New Roman"/>
          <w:lang w:val="fr-FR"/>
        </w:rPr>
        <w:t>’</w:t>
      </w:r>
      <w:r w:rsidRPr="006609D8">
        <w:rPr>
          <w:rFonts w:eastAsia="Times New Roman"/>
          <w:lang w:val="fr-FR"/>
        </w:rPr>
        <w:t>échantillon figurant au tableau App1/1, l</w:t>
      </w:r>
      <w:r w:rsidR="00DB4C2D">
        <w:rPr>
          <w:rFonts w:eastAsia="Times New Roman"/>
          <w:lang w:val="fr-FR"/>
        </w:rPr>
        <w:t>’</w:t>
      </w:r>
      <w:r w:rsidRPr="006609D8">
        <w:rPr>
          <w:rFonts w:eastAsia="Times New Roman"/>
          <w:lang w:val="fr-FR"/>
        </w:rPr>
        <w:t>acceptation est décidée pour le polluant;</w:t>
      </w:r>
    </w:p>
    <w:p w:rsidR="006609D8" w:rsidRDefault="006609D8" w:rsidP="006609D8">
      <w:pPr>
        <w:pStyle w:val="SingleTxtG"/>
        <w:ind w:left="2268" w:hanging="1134"/>
        <w:rPr>
          <w:rFonts w:eastAsia="Times New Roman"/>
          <w:lang w:val="fr-FR"/>
        </w:rPr>
      </w:pPr>
      <w:r w:rsidRPr="006609D8">
        <w:rPr>
          <w:rFonts w:eastAsia="Times New Roman"/>
          <w:lang w:val="fr-FR"/>
        </w:rPr>
        <w:t>5.2</w:t>
      </w:r>
      <w:r w:rsidRPr="006609D8">
        <w:rPr>
          <w:rFonts w:eastAsia="Times New Roman"/>
          <w:lang w:val="fr-FR"/>
        </w:rPr>
        <w:tab/>
        <w:t>Si la statistique de test est inférieure au seuil de refus prévu pour la taille de l</w:t>
      </w:r>
      <w:r w:rsidR="00DB4C2D">
        <w:rPr>
          <w:rFonts w:eastAsia="Times New Roman"/>
          <w:lang w:val="fr-FR"/>
        </w:rPr>
        <w:t>’</w:t>
      </w:r>
      <w:r w:rsidRPr="006609D8">
        <w:rPr>
          <w:rFonts w:eastAsia="Times New Roman"/>
          <w:lang w:val="fr-FR"/>
        </w:rPr>
        <w:t>échantillon figurant au tableau App1/1, le refus est décidé pour le polluant; sinon, un véhicule supplémentaire doit être soumis à l</w:t>
      </w:r>
      <w:r w:rsidR="00DB4C2D">
        <w:rPr>
          <w:rFonts w:eastAsia="Times New Roman"/>
          <w:lang w:val="fr-FR"/>
        </w:rPr>
        <w:t>’</w:t>
      </w:r>
      <w:r w:rsidRPr="006609D8">
        <w:rPr>
          <w:rFonts w:eastAsia="Times New Roman"/>
          <w:lang w:val="fr-FR"/>
        </w:rPr>
        <w:t>essai et le calcul appliqué à nouveau avec une taille d</w:t>
      </w:r>
      <w:r w:rsidR="00DB4C2D">
        <w:rPr>
          <w:rFonts w:eastAsia="Times New Roman"/>
          <w:lang w:val="fr-FR"/>
        </w:rPr>
        <w:t>’</w:t>
      </w:r>
      <w:r w:rsidRPr="006609D8">
        <w:rPr>
          <w:rFonts w:eastAsia="Times New Roman"/>
          <w:lang w:val="fr-FR"/>
        </w:rPr>
        <w:t>échantillon augmentée d</w:t>
      </w:r>
      <w:r w:rsidR="00DB4C2D">
        <w:rPr>
          <w:rFonts w:eastAsia="Times New Roman"/>
          <w:lang w:val="fr-FR"/>
        </w:rPr>
        <w:t>’</w:t>
      </w:r>
      <w:r w:rsidRPr="006609D8">
        <w:rPr>
          <w:rFonts w:eastAsia="Times New Roman"/>
          <w:lang w:val="fr-FR"/>
        </w:rPr>
        <w:t>une unité.</w:t>
      </w:r>
    </w:p>
    <w:p w:rsidR="006609D8" w:rsidRDefault="007E572E" w:rsidP="007E572E">
      <w:pPr>
        <w:pStyle w:val="Titre1"/>
        <w:spacing w:before="360" w:after="120"/>
        <w:rPr>
          <w:lang w:val="fr-FR"/>
        </w:rPr>
      </w:pPr>
      <w:r>
        <w:rPr>
          <w:lang w:val="fr-FR"/>
        </w:rPr>
        <w:br w:type="page"/>
      </w:r>
      <w:r w:rsidR="006609D8" w:rsidRPr="006609D8">
        <w:rPr>
          <w:lang w:val="fr-FR"/>
        </w:rPr>
        <w:lastRenderedPageBreak/>
        <w:t xml:space="preserve">Tableau App1/1 </w:t>
      </w:r>
      <w:r w:rsidR="006609D8">
        <w:rPr>
          <w:lang w:val="fr-FR"/>
        </w:rPr>
        <w:br/>
      </w:r>
      <w:r w:rsidR="006609D8" w:rsidRPr="007E572E">
        <w:rPr>
          <w:b/>
          <w:lang w:val="fr-FR"/>
        </w:rPr>
        <w:t>Seuil d</w:t>
      </w:r>
      <w:r w:rsidR="00DB4C2D" w:rsidRPr="007E572E">
        <w:rPr>
          <w:b/>
          <w:lang w:val="fr-FR"/>
        </w:rPr>
        <w:t>’</w:t>
      </w:r>
      <w:r w:rsidR="006609D8" w:rsidRPr="007E572E">
        <w:rPr>
          <w:b/>
          <w:lang w:val="fr-FR"/>
        </w:rPr>
        <w:t>acceptation pour la taille de l</w:t>
      </w:r>
      <w:r w:rsidR="00DB4C2D" w:rsidRPr="007E572E">
        <w:rPr>
          <w:b/>
          <w:lang w:val="fr-FR"/>
        </w:rPr>
        <w:t>’</w:t>
      </w:r>
      <w:r w:rsidR="006609D8" w:rsidRPr="007E572E">
        <w:rPr>
          <w:b/>
          <w:lang w:val="fr-FR"/>
        </w:rPr>
        <w:t>échantillon</w:t>
      </w:r>
    </w:p>
    <w:tbl>
      <w:tblPr>
        <w:tblW w:w="7371" w:type="dxa"/>
        <w:tblInd w:w="1134" w:type="dxa"/>
        <w:tblLayout w:type="fixed"/>
        <w:tblCellMar>
          <w:left w:w="0" w:type="dxa"/>
          <w:right w:w="0" w:type="dxa"/>
        </w:tblCellMar>
        <w:tblLook w:val="0000" w:firstRow="0" w:lastRow="0" w:firstColumn="0" w:lastColumn="0" w:noHBand="0" w:noVBand="0"/>
      </w:tblPr>
      <w:tblGrid>
        <w:gridCol w:w="2456"/>
        <w:gridCol w:w="2455"/>
        <w:gridCol w:w="2460"/>
      </w:tblGrid>
      <w:tr w:rsidR="006609D8" w:rsidRPr="006609D8" w:rsidTr="00B31EED">
        <w:trPr>
          <w:trHeight w:val="689"/>
        </w:trPr>
        <w:tc>
          <w:tcPr>
            <w:tcW w:w="2456" w:type="dxa"/>
            <w:tcBorders>
              <w:top w:val="single" w:sz="7" w:space="0" w:color="000000"/>
              <w:left w:val="single" w:sz="7" w:space="0" w:color="000000"/>
              <w:bottom w:val="single" w:sz="7" w:space="0" w:color="000000"/>
              <w:right w:val="single" w:sz="7" w:space="0" w:color="000000"/>
            </w:tcBorders>
            <w:vAlign w:val="center"/>
          </w:tcPr>
          <w:p w:rsidR="006609D8" w:rsidRPr="006609D8" w:rsidRDefault="006609D8" w:rsidP="006609D8">
            <w:pPr>
              <w:keepNext/>
              <w:pBdr>
                <w:top w:val="single" w:sz="6" w:space="0" w:color="FFFFFF"/>
                <w:left w:val="single" w:sz="6" w:space="0" w:color="FFFFFF"/>
                <w:bottom w:val="single" w:sz="6" w:space="0" w:color="FFFFFF"/>
                <w:right w:val="single" w:sz="6" w:space="0" w:color="FFFFFF"/>
              </w:pBdr>
              <w:kinsoku/>
              <w:overflowPunct/>
              <w:autoSpaceDE/>
              <w:autoSpaceDN/>
              <w:adjustRightInd/>
              <w:snapToGrid/>
              <w:spacing w:before="80" w:after="80" w:line="200" w:lineRule="exact"/>
              <w:jc w:val="center"/>
              <w:rPr>
                <w:rFonts w:eastAsia="Times New Roman"/>
                <w:i/>
                <w:sz w:val="16"/>
                <w:szCs w:val="16"/>
                <w:lang w:val="fr-FR"/>
              </w:rPr>
            </w:pPr>
            <w:r w:rsidRPr="006609D8">
              <w:rPr>
                <w:rFonts w:eastAsia="Times New Roman"/>
                <w:i/>
                <w:sz w:val="16"/>
                <w:szCs w:val="16"/>
                <w:lang w:val="fr-FR"/>
              </w:rPr>
              <w:t xml:space="preserve">Nombre cumulé de véhicules soumis </w:t>
            </w:r>
            <w:r w:rsidRPr="006609D8">
              <w:rPr>
                <w:rFonts w:eastAsia="Times New Roman"/>
                <w:i/>
                <w:sz w:val="16"/>
                <w:szCs w:val="16"/>
                <w:lang w:val="fr-FR"/>
              </w:rPr>
              <w:br/>
              <w:t>aux essais (taille de l</w:t>
            </w:r>
            <w:r w:rsidR="00DB4C2D">
              <w:rPr>
                <w:rFonts w:eastAsia="Times New Roman"/>
                <w:i/>
                <w:sz w:val="16"/>
                <w:szCs w:val="16"/>
                <w:lang w:val="fr-FR"/>
              </w:rPr>
              <w:t>’</w:t>
            </w:r>
            <w:r w:rsidRPr="006609D8">
              <w:rPr>
                <w:rFonts w:eastAsia="Times New Roman"/>
                <w:i/>
                <w:sz w:val="16"/>
                <w:szCs w:val="16"/>
                <w:lang w:val="fr-FR"/>
              </w:rPr>
              <w:t>échantillon)</w:t>
            </w:r>
          </w:p>
        </w:tc>
        <w:tc>
          <w:tcPr>
            <w:tcW w:w="2455" w:type="dxa"/>
            <w:tcBorders>
              <w:top w:val="single" w:sz="7" w:space="0" w:color="000000"/>
              <w:left w:val="single" w:sz="7" w:space="0" w:color="000000"/>
              <w:bottom w:val="single" w:sz="7" w:space="0" w:color="000000"/>
              <w:right w:val="single" w:sz="7" w:space="0" w:color="000000"/>
            </w:tcBorders>
            <w:vAlign w:val="center"/>
          </w:tcPr>
          <w:p w:rsidR="006609D8" w:rsidRPr="006609D8" w:rsidRDefault="006609D8" w:rsidP="006609D8">
            <w:pPr>
              <w:keepNext/>
              <w:pBdr>
                <w:top w:val="single" w:sz="6" w:space="0" w:color="FFFFFF"/>
                <w:left w:val="single" w:sz="6" w:space="0" w:color="FFFFFF"/>
                <w:bottom w:val="single" w:sz="6" w:space="0" w:color="FFFFFF"/>
                <w:right w:val="single" w:sz="6" w:space="0" w:color="FFFFFF"/>
              </w:pBdr>
              <w:kinsoku/>
              <w:overflowPunct/>
              <w:autoSpaceDE/>
              <w:autoSpaceDN/>
              <w:adjustRightInd/>
              <w:snapToGrid/>
              <w:spacing w:before="80" w:after="80" w:line="200" w:lineRule="exact"/>
              <w:jc w:val="center"/>
              <w:rPr>
                <w:rFonts w:eastAsia="Times New Roman"/>
                <w:i/>
                <w:sz w:val="16"/>
                <w:szCs w:val="16"/>
                <w:lang w:val="fr-FR"/>
              </w:rPr>
            </w:pPr>
            <w:r w:rsidRPr="006609D8">
              <w:rPr>
                <w:rFonts w:eastAsia="Times New Roman"/>
                <w:i/>
                <w:sz w:val="16"/>
                <w:szCs w:val="16"/>
                <w:lang w:val="fr-FR"/>
              </w:rPr>
              <w:t>Seuil d</w:t>
            </w:r>
            <w:r w:rsidR="00DB4C2D">
              <w:rPr>
                <w:rFonts w:eastAsia="Times New Roman"/>
                <w:i/>
                <w:sz w:val="16"/>
                <w:szCs w:val="16"/>
                <w:lang w:val="fr-FR"/>
              </w:rPr>
              <w:t>’</w:t>
            </w:r>
            <w:r w:rsidRPr="006609D8">
              <w:rPr>
                <w:rFonts w:eastAsia="Times New Roman"/>
                <w:i/>
                <w:sz w:val="16"/>
                <w:szCs w:val="16"/>
                <w:lang w:val="fr-FR"/>
              </w:rPr>
              <w:t>acceptation</w:t>
            </w:r>
          </w:p>
        </w:tc>
        <w:tc>
          <w:tcPr>
            <w:tcW w:w="2460" w:type="dxa"/>
            <w:tcBorders>
              <w:top w:val="single" w:sz="7" w:space="0" w:color="000000"/>
              <w:left w:val="single" w:sz="7" w:space="0" w:color="000000"/>
              <w:bottom w:val="single" w:sz="7" w:space="0" w:color="000000"/>
              <w:right w:val="single" w:sz="7" w:space="0" w:color="000000"/>
            </w:tcBorders>
            <w:vAlign w:val="center"/>
          </w:tcPr>
          <w:p w:rsidR="006609D8" w:rsidRPr="006609D8" w:rsidRDefault="006609D8" w:rsidP="006609D8">
            <w:pPr>
              <w:keepNext/>
              <w:pBdr>
                <w:top w:val="single" w:sz="6" w:space="0" w:color="FFFFFF"/>
                <w:left w:val="single" w:sz="6" w:space="0" w:color="FFFFFF"/>
                <w:bottom w:val="single" w:sz="6" w:space="0" w:color="FFFFFF"/>
                <w:right w:val="single" w:sz="6" w:space="0" w:color="FFFFFF"/>
              </w:pBdr>
              <w:kinsoku/>
              <w:overflowPunct/>
              <w:autoSpaceDE/>
              <w:autoSpaceDN/>
              <w:adjustRightInd/>
              <w:snapToGrid/>
              <w:spacing w:before="80" w:after="80" w:line="200" w:lineRule="exact"/>
              <w:jc w:val="center"/>
              <w:rPr>
                <w:rFonts w:eastAsia="Times New Roman"/>
                <w:i/>
                <w:sz w:val="16"/>
                <w:szCs w:val="16"/>
                <w:lang w:val="fr-FR"/>
              </w:rPr>
            </w:pPr>
            <w:r w:rsidRPr="006609D8">
              <w:rPr>
                <w:rFonts w:eastAsia="Times New Roman"/>
                <w:i/>
                <w:sz w:val="16"/>
                <w:szCs w:val="16"/>
                <w:lang w:val="fr-FR"/>
              </w:rPr>
              <w:t>Seuil de refus</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eepLines/>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3</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3,327</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-4,724</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eepLines/>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4</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3,261</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-4,790</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eepLines/>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5</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3,195</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-4,856</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eepLines/>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6</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3,129</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-4,922</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eepLines/>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7</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3,063</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-4,988</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eepLines/>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8</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2,997</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-5,054</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eepLines/>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9</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2,931</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-5,120</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10</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2,865</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-5,185</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11</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2,799</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-5,251</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12</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2,733</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-5,317</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13</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2,667</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-5,383</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14</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2,601</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-5,449</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15</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2,535</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-5,515</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16</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2,469</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-5,581</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17</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2,403</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-5,647</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18</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2,337</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-5,713</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19</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2,271</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-5,779</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20</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2,205</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-5,845</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21</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2,139</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-5,911</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22</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2,073</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-5,977</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23</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2,007</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-6,043</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24</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1,941</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-6,109</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25</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1,875</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-6,175</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26</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1,809</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-6,241</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27</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1,743</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-6,307</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28</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1,677</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-6,373</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29</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1,611</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-6,439</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30</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1,545</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-6,505</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31</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1,479</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-6,571</w:t>
            </w:r>
          </w:p>
        </w:tc>
      </w:tr>
      <w:tr w:rsidR="006609D8" w:rsidRPr="006609D8" w:rsidTr="00B31EED">
        <w:tc>
          <w:tcPr>
            <w:tcW w:w="2456"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line="220" w:lineRule="exact"/>
              <w:ind w:right="113"/>
              <w:jc w:val="center"/>
              <w:rPr>
                <w:rFonts w:eastAsia="Times New Roman"/>
                <w:sz w:val="18"/>
                <w:szCs w:val="18"/>
                <w:lang w:val="fr-FR"/>
              </w:rPr>
            </w:pPr>
            <w:r w:rsidRPr="006609D8">
              <w:rPr>
                <w:rFonts w:eastAsia="Times New Roman"/>
                <w:sz w:val="18"/>
                <w:szCs w:val="18"/>
                <w:lang w:val="fr-FR"/>
              </w:rPr>
              <w:t>32</w:t>
            </w:r>
          </w:p>
        </w:tc>
        <w:tc>
          <w:tcPr>
            <w:tcW w:w="2455"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-2,112</w:t>
            </w:r>
          </w:p>
        </w:tc>
        <w:tc>
          <w:tcPr>
            <w:tcW w:w="2460" w:type="dxa"/>
            <w:tcBorders>
              <w:top w:val="single" w:sz="7" w:space="0" w:color="000000"/>
              <w:left w:val="single" w:sz="7" w:space="0" w:color="000000"/>
              <w:bottom w:val="single" w:sz="7" w:space="0" w:color="000000"/>
              <w:right w:val="single" w:sz="7" w:space="0" w:color="000000"/>
            </w:tcBorders>
          </w:tcPr>
          <w:p w:rsidR="006609D8" w:rsidRPr="006609D8" w:rsidRDefault="006609D8" w:rsidP="006609D8">
            <w:pPr>
              <w:keepNext/>
              <w:kinsoku/>
              <w:overflowPunct/>
              <w:autoSpaceDE/>
              <w:autoSpaceDN/>
              <w:adjustRightInd/>
              <w:snapToGrid/>
              <w:spacing w:before="40" w:after="40"/>
              <w:jc w:val="center"/>
              <w:rPr>
                <w:rFonts w:eastAsia="Times New Roman"/>
                <w:lang w:val="fr-FR"/>
              </w:rPr>
            </w:pPr>
            <w:r w:rsidRPr="006609D8">
              <w:rPr>
                <w:rFonts w:eastAsia="Times New Roman"/>
                <w:lang w:val="fr-FR"/>
              </w:rPr>
              <w:t>-2,112</w:t>
            </w:r>
          </w:p>
        </w:tc>
      </w:tr>
    </w:tbl>
    <w:p w:rsidR="006609D8" w:rsidRDefault="006609D8" w:rsidP="006609D8">
      <w:pPr>
        <w:rPr>
          <w:lang w:val="fr-FR"/>
        </w:rPr>
        <w:sectPr w:rsidR="006609D8" w:rsidSect="008605A8">
          <w:headerReference w:type="even" r:id="rId29"/>
          <w:headerReference w:type="default" r:id="rId30"/>
          <w:endnotePr>
            <w:numFmt w:val="decimal"/>
          </w:endnotePr>
          <w:pgSz w:w="11907" w:h="16840" w:code="9"/>
          <w:pgMar w:top="1701" w:right="1134" w:bottom="2268" w:left="1134" w:header="794" w:footer="1701" w:gutter="0"/>
          <w:cols w:space="720"/>
          <w:docGrid w:linePitch="272"/>
        </w:sectPr>
      </w:pPr>
    </w:p>
    <w:p w:rsidR="006609D8" w:rsidRPr="006609D8" w:rsidRDefault="006609D8" w:rsidP="00E62762">
      <w:pPr>
        <w:pStyle w:val="HChG"/>
        <w:rPr>
          <w:lang w:val="fr-FR"/>
        </w:rPr>
      </w:pPr>
      <w:r w:rsidRPr="006609D8">
        <w:rPr>
          <w:lang w:val="fr-FR"/>
        </w:rPr>
        <w:lastRenderedPageBreak/>
        <w:t>Appendice 2</w:t>
      </w:r>
    </w:p>
    <w:p w:rsidR="006609D8" w:rsidRPr="006609D8" w:rsidRDefault="006609D8" w:rsidP="00E62762">
      <w:pPr>
        <w:pStyle w:val="HChG"/>
        <w:rPr>
          <w:lang w:val="fr-FR"/>
        </w:rPr>
      </w:pPr>
      <w:r w:rsidRPr="006609D8">
        <w:rPr>
          <w:lang w:val="fr-FR"/>
        </w:rPr>
        <w:tab/>
      </w:r>
      <w:r w:rsidRPr="006609D8">
        <w:rPr>
          <w:lang w:val="fr-FR"/>
        </w:rPr>
        <w:tab/>
        <w:t>Procédure à suivre pour vérifier les prescriptions relatives</w:t>
      </w:r>
      <w:r w:rsidRPr="006609D8">
        <w:rPr>
          <w:lang w:val="fr-FR"/>
        </w:rPr>
        <w:br/>
        <w:t>à la conformité de la production lorsque l</w:t>
      </w:r>
      <w:r w:rsidR="00DB4C2D">
        <w:rPr>
          <w:lang w:val="fr-FR"/>
        </w:rPr>
        <w:t>’</w:t>
      </w:r>
      <w:r w:rsidRPr="006609D8">
        <w:rPr>
          <w:lang w:val="fr-FR"/>
        </w:rPr>
        <w:t>écart type de production donné par le constructeur</w:t>
      </w:r>
      <w:r w:rsidRPr="006609D8">
        <w:rPr>
          <w:lang w:val="fr-FR"/>
        </w:rPr>
        <w:br/>
        <w:t>n</w:t>
      </w:r>
      <w:r w:rsidR="00DB4C2D">
        <w:rPr>
          <w:lang w:val="fr-FR"/>
        </w:rPr>
        <w:t>’</w:t>
      </w:r>
      <w:r w:rsidRPr="006609D8">
        <w:rPr>
          <w:lang w:val="fr-FR"/>
        </w:rPr>
        <w:t>est pas satisfaisant ou pas disponible</w:t>
      </w:r>
    </w:p>
    <w:p w:rsidR="006609D8" w:rsidRPr="006609D8" w:rsidRDefault="006609D8" w:rsidP="00E62762">
      <w:pPr>
        <w:pStyle w:val="SingleTxtG"/>
        <w:ind w:left="2268" w:hanging="1134"/>
        <w:rPr>
          <w:rFonts w:eastAsia="Times New Roman"/>
          <w:lang w:val="fr-FR"/>
        </w:rPr>
      </w:pPr>
      <w:r w:rsidRPr="006609D8">
        <w:rPr>
          <w:rFonts w:eastAsia="Times New Roman"/>
          <w:lang w:val="fr-FR"/>
        </w:rPr>
        <w:t>1.</w:t>
      </w:r>
      <w:r w:rsidRPr="006609D8">
        <w:rPr>
          <w:rFonts w:eastAsia="Times New Roman"/>
          <w:lang w:val="fr-FR"/>
        </w:rPr>
        <w:tab/>
        <w:t xml:space="preserve">Cet appendice décrit la procédure à suivre pour vérifier les prescriptions relatives à la </w:t>
      </w:r>
      <w:r w:rsidRPr="006609D8">
        <w:rPr>
          <w:lang w:val="fr-FR"/>
        </w:rPr>
        <w:t>conformité</w:t>
      </w:r>
      <w:r w:rsidRPr="006609D8">
        <w:rPr>
          <w:rFonts w:eastAsia="Times New Roman"/>
          <w:lang w:val="fr-FR"/>
        </w:rPr>
        <w:t xml:space="preserve"> de la production pour l</w:t>
      </w:r>
      <w:r w:rsidR="00DB4C2D">
        <w:rPr>
          <w:rFonts w:eastAsia="Times New Roman"/>
          <w:lang w:val="fr-FR"/>
        </w:rPr>
        <w:t>’</w:t>
      </w:r>
      <w:r w:rsidRPr="006609D8">
        <w:rPr>
          <w:rFonts w:eastAsia="Times New Roman"/>
          <w:lang w:val="fr-FR"/>
        </w:rPr>
        <w:t>essai du type I lorsque l</w:t>
      </w:r>
      <w:r w:rsidR="00DB4C2D">
        <w:rPr>
          <w:rFonts w:eastAsia="Times New Roman"/>
          <w:lang w:val="fr-FR"/>
        </w:rPr>
        <w:t>’</w:t>
      </w:r>
      <w:r w:rsidRPr="006609D8">
        <w:rPr>
          <w:rFonts w:eastAsia="Times New Roman"/>
          <w:lang w:val="fr-FR"/>
        </w:rPr>
        <w:t>écart type de production donné par le constructeur n</w:t>
      </w:r>
      <w:r w:rsidR="00DB4C2D">
        <w:rPr>
          <w:rFonts w:eastAsia="Times New Roman"/>
          <w:lang w:val="fr-FR"/>
        </w:rPr>
        <w:t>’</w:t>
      </w:r>
      <w:r w:rsidRPr="006609D8">
        <w:rPr>
          <w:rFonts w:eastAsia="Times New Roman"/>
          <w:lang w:val="fr-FR"/>
        </w:rPr>
        <w:t>est pas satisfaisant ou pas disponible.</w:t>
      </w:r>
    </w:p>
    <w:p w:rsidR="006609D8" w:rsidRPr="006609D8" w:rsidRDefault="006609D8" w:rsidP="00E62762">
      <w:pPr>
        <w:pStyle w:val="SingleTxtG"/>
        <w:ind w:left="2268" w:hanging="1134"/>
        <w:rPr>
          <w:rFonts w:eastAsia="Times New Roman"/>
          <w:lang w:val="fr-FR"/>
        </w:rPr>
      </w:pPr>
      <w:r w:rsidRPr="006609D8">
        <w:rPr>
          <w:rFonts w:eastAsia="Times New Roman"/>
          <w:lang w:val="fr-FR"/>
        </w:rPr>
        <w:t>2.</w:t>
      </w:r>
      <w:r w:rsidRPr="006609D8">
        <w:rPr>
          <w:rFonts w:eastAsia="Times New Roman"/>
          <w:lang w:val="fr-FR"/>
        </w:rPr>
        <w:tab/>
        <w:t>Avec une taille minimale d</w:t>
      </w:r>
      <w:r w:rsidR="00DB4C2D">
        <w:rPr>
          <w:rFonts w:eastAsia="Times New Roman"/>
          <w:lang w:val="fr-FR"/>
        </w:rPr>
        <w:t>’</w:t>
      </w:r>
      <w:r w:rsidRPr="006609D8">
        <w:rPr>
          <w:rFonts w:eastAsia="Times New Roman"/>
          <w:lang w:val="fr-FR"/>
        </w:rPr>
        <w:t>échantillon de trois la procédure d</w:t>
      </w:r>
      <w:r w:rsidR="00DB4C2D">
        <w:rPr>
          <w:rFonts w:eastAsia="Times New Roman"/>
          <w:lang w:val="fr-FR"/>
        </w:rPr>
        <w:t>’</w:t>
      </w:r>
      <w:r w:rsidRPr="006609D8">
        <w:rPr>
          <w:rFonts w:eastAsia="Times New Roman"/>
          <w:lang w:val="fr-FR"/>
        </w:rPr>
        <w:t xml:space="preserve">échantillonnage est établie de </w:t>
      </w:r>
      <w:r w:rsidRPr="006609D8">
        <w:rPr>
          <w:lang w:val="fr-FR"/>
        </w:rPr>
        <w:t>telle</w:t>
      </w:r>
      <w:r w:rsidRPr="006609D8">
        <w:rPr>
          <w:rFonts w:eastAsia="Times New Roman"/>
          <w:lang w:val="fr-FR"/>
        </w:rPr>
        <w:t xml:space="preserve"> manière que la probabilité qu</w:t>
      </w:r>
      <w:r w:rsidR="00DB4C2D">
        <w:rPr>
          <w:rFonts w:eastAsia="Times New Roman"/>
          <w:lang w:val="fr-FR"/>
        </w:rPr>
        <w:t>’</w:t>
      </w:r>
      <w:r w:rsidRPr="006609D8">
        <w:rPr>
          <w:rFonts w:eastAsia="Times New Roman"/>
          <w:lang w:val="fr-FR"/>
        </w:rPr>
        <w:t>un lot comprenant 40 % de moteurs défectueux soit accepté soit atteigne 0,95 (risque producteur = 5 %), et que la probabilité qu</w:t>
      </w:r>
      <w:r w:rsidR="00DB4C2D">
        <w:rPr>
          <w:rFonts w:eastAsia="Times New Roman"/>
          <w:lang w:val="fr-FR"/>
        </w:rPr>
        <w:t>’</w:t>
      </w:r>
      <w:r w:rsidRPr="006609D8">
        <w:rPr>
          <w:rFonts w:eastAsia="Times New Roman"/>
          <w:lang w:val="fr-FR"/>
        </w:rPr>
        <w:t xml:space="preserve">un lot comprenant 65 % de moteurs défectueux soit accepté atteigne 0,10 (risque consommateur = 10 %). </w:t>
      </w:r>
    </w:p>
    <w:p w:rsidR="006609D8" w:rsidRPr="006609D8" w:rsidRDefault="006609D8" w:rsidP="00E62762">
      <w:pPr>
        <w:pStyle w:val="SingleTxtG"/>
        <w:ind w:left="2268" w:hanging="1134"/>
        <w:rPr>
          <w:rFonts w:eastAsia="Times New Roman"/>
          <w:lang w:val="fr-FR"/>
        </w:rPr>
      </w:pPr>
      <w:r w:rsidRPr="006609D8">
        <w:rPr>
          <w:rFonts w:eastAsia="Times New Roman"/>
          <w:lang w:val="fr-FR"/>
        </w:rPr>
        <w:t>3.</w:t>
      </w:r>
      <w:r w:rsidRPr="006609D8">
        <w:rPr>
          <w:rFonts w:eastAsia="Times New Roman"/>
          <w:lang w:val="fr-FR"/>
        </w:rPr>
        <w:tab/>
        <w:t xml:space="preserve">Les valeurs, mesurées pour les polluants définis au tableau 1 du paragraphe 5.3.1.4 du présent Règlement sont considérées comme étant distribuées selon une loi log normale et doivent donc être transformées par calcul de leurs logarithmes </w:t>
      </w:r>
      <w:r w:rsidRPr="006609D8">
        <w:rPr>
          <w:lang w:val="fr-FR"/>
        </w:rPr>
        <w:t>naturels</w:t>
      </w:r>
      <w:r w:rsidRPr="006609D8">
        <w:rPr>
          <w:rFonts w:eastAsia="Times New Roman"/>
          <w:lang w:val="fr-FR"/>
        </w:rPr>
        <w:t>. Les valeurs m</w:t>
      </w:r>
      <w:r w:rsidRPr="006609D8">
        <w:rPr>
          <w:rFonts w:eastAsia="Times New Roman"/>
          <w:vertAlign w:val="subscript"/>
          <w:lang w:val="fr-FR"/>
        </w:rPr>
        <w:t>o</w:t>
      </w:r>
      <w:r w:rsidRPr="006609D8">
        <w:rPr>
          <w:rFonts w:eastAsia="Times New Roman"/>
          <w:lang w:val="fr-FR"/>
        </w:rPr>
        <w:t xml:space="preserve"> et m sont respectivement les tailles d</w:t>
      </w:r>
      <w:r w:rsidR="00DB4C2D">
        <w:rPr>
          <w:rFonts w:eastAsia="Times New Roman"/>
          <w:lang w:val="fr-FR"/>
        </w:rPr>
        <w:t>’</w:t>
      </w:r>
      <w:r w:rsidRPr="006609D8">
        <w:rPr>
          <w:rFonts w:eastAsia="Times New Roman"/>
          <w:lang w:val="fr-FR"/>
        </w:rPr>
        <w:t>échantillons minimales et maximales (m</w:t>
      </w:r>
      <w:r w:rsidRPr="006609D8">
        <w:rPr>
          <w:rFonts w:eastAsia="Times New Roman"/>
          <w:vertAlign w:val="subscript"/>
          <w:lang w:val="fr-FR"/>
        </w:rPr>
        <w:t>o</w:t>
      </w:r>
      <w:r w:rsidRPr="006609D8">
        <w:rPr>
          <w:rFonts w:eastAsia="Times New Roman"/>
          <w:lang w:val="fr-FR"/>
        </w:rPr>
        <w:t> = 3 et m = 32), alors que n est la taille de l</w:t>
      </w:r>
      <w:r w:rsidR="00DB4C2D">
        <w:rPr>
          <w:rFonts w:eastAsia="Times New Roman"/>
          <w:lang w:val="fr-FR"/>
        </w:rPr>
        <w:t>’</w:t>
      </w:r>
      <w:r w:rsidRPr="006609D8">
        <w:rPr>
          <w:rFonts w:eastAsia="Times New Roman"/>
          <w:lang w:val="fr-FR"/>
        </w:rPr>
        <w:t>échantillon considéré.</w:t>
      </w:r>
    </w:p>
    <w:p w:rsidR="006609D8" w:rsidRPr="006609D8" w:rsidRDefault="006609D8" w:rsidP="00E62762">
      <w:pPr>
        <w:pStyle w:val="SingleTxtG"/>
        <w:ind w:left="2268" w:hanging="1134"/>
        <w:rPr>
          <w:rFonts w:eastAsia="Times New Roman"/>
          <w:lang w:val="fr-FR"/>
        </w:rPr>
      </w:pPr>
      <w:r w:rsidRPr="006609D8">
        <w:rPr>
          <w:rFonts w:eastAsia="Times New Roman"/>
          <w:lang w:val="fr-FR"/>
        </w:rPr>
        <w:t>4.</w:t>
      </w:r>
      <w:r w:rsidRPr="006609D8">
        <w:rPr>
          <w:rFonts w:eastAsia="Times New Roman"/>
          <w:lang w:val="fr-FR"/>
        </w:rPr>
        <w:tab/>
        <w:t xml:space="preserve">Si les logarithmes naturels des valeurs </w:t>
      </w:r>
      <w:r w:rsidRPr="006609D8">
        <w:rPr>
          <w:lang w:val="fr-FR"/>
        </w:rPr>
        <w:t>mesurées</w:t>
      </w:r>
      <w:r w:rsidRPr="006609D8">
        <w:rPr>
          <w:rFonts w:eastAsia="Times New Roman"/>
          <w:lang w:val="fr-FR"/>
        </w:rPr>
        <w:t xml:space="preserve"> dans la série sont x</w:t>
      </w:r>
      <w:r w:rsidRPr="006609D8">
        <w:rPr>
          <w:rFonts w:eastAsia="Times New Roman"/>
          <w:vertAlign w:val="subscript"/>
          <w:lang w:val="fr-FR"/>
        </w:rPr>
        <w:t>1</w:t>
      </w:r>
      <w:r w:rsidRPr="006609D8">
        <w:rPr>
          <w:rFonts w:eastAsia="Times New Roman"/>
          <w:lang w:val="fr-FR"/>
        </w:rPr>
        <w:t>, x</w:t>
      </w:r>
      <w:r w:rsidRPr="006609D8">
        <w:rPr>
          <w:rFonts w:eastAsia="Times New Roman"/>
          <w:vertAlign w:val="subscript"/>
          <w:lang w:val="fr-FR"/>
        </w:rPr>
        <w:t>2</w:t>
      </w:r>
      <w:r w:rsidRPr="006609D8">
        <w:rPr>
          <w:rFonts w:eastAsia="Times New Roman"/>
          <w:lang w:val="fr-FR"/>
        </w:rPr>
        <w:t>,.., x</w:t>
      </w:r>
      <w:r w:rsidRPr="007E572E">
        <w:rPr>
          <w:rFonts w:eastAsia="Times New Roman"/>
          <w:vertAlign w:val="subscript"/>
          <w:lang w:val="fr-FR"/>
        </w:rPr>
        <w:t>i</w:t>
      </w:r>
      <w:r w:rsidRPr="006609D8">
        <w:rPr>
          <w:rFonts w:eastAsia="Times New Roman"/>
          <w:lang w:val="fr-FR"/>
        </w:rPr>
        <w:t xml:space="preserve"> et si </w:t>
      </w:r>
      <w:proofErr w:type="spellStart"/>
      <w:r w:rsidRPr="006609D8">
        <w:rPr>
          <w:rFonts w:eastAsia="Times New Roman"/>
          <w:lang w:val="fr-FR"/>
        </w:rPr>
        <w:t>L est</w:t>
      </w:r>
      <w:proofErr w:type="spellEnd"/>
      <w:r w:rsidRPr="006609D8">
        <w:rPr>
          <w:rFonts w:eastAsia="Times New Roman"/>
          <w:lang w:val="fr-FR"/>
        </w:rPr>
        <w:t xml:space="preserve"> le logarithme naturel de la valeur limite pour le polluant, on a:</w:t>
      </w:r>
    </w:p>
    <w:p w:rsidR="006609D8" w:rsidRPr="006609D8" w:rsidRDefault="006609D8" w:rsidP="006609D8">
      <w:pPr>
        <w:kinsoku/>
        <w:overflowPunct/>
        <w:autoSpaceDE/>
        <w:autoSpaceDN/>
        <w:adjustRightInd/>
        <w:snapToGrid/>
        <w:spacing w:after="120"/>
        <w:ind w:left="2268"/>
        <w:rPr>
          <w:rFonts w:eastAsia="Times New Roman"/>
          <w:lang w:val="fr-FR"/>
        </w:rPr>
      </w:pPr>
      <w:r w:rsidRPr="006609D8">
        <w:rPr>
          <w:rFonts w:eastAsia="Times New Roman"/>
          <w:lang w:val="fr-FR"/>
        </w:rPr>
        <w:t>d</w:t>
      </w:r>
      <w:r w:rsidRPr="006609D8">
        <w:rPr>
          <w:rFonts w:eastAsia="Times New Roman"/>
          <w:vertAlign w:val="subscript"/>
          <w:lang w:val="fr-FR"/>
        </w:rPr>
        <w:t>i</w:t>
      </w:r>
      <w:r w:rsidRPr="006609D8">
        <w:rPr>
          <w:rFonts w:eastAsia="Times New Roman"/>
          <w:lang w:val="fr-FR"/>
        </w:rPr>
        <w:t xml:space="preserve"> = x</w:t>
      </w:r>
      <w:r w:rsidRPr="006609D8">
        <w:rPr>
          <w:rFonts w:eastAsia="Times New Roman"/>
          <w:vertAlign w:val="subscript"/>
          <w:lang w:val="fr-FR"/>
        </w:rPr>
        <w:t>1</w:t>
      </w:r>
      <w:r w:rsidRPr="006609D8">
        <w:rPr>
          <w:rFonts w:eastAsia="Times New Roman"/>
          <w:lang w:val="fr-FR"/>
        </w:rPr>
        <w:t xml:space="preserve"> - L</w:t>
      </w:r>
    </w:p>
    <w:p w:rsidR="006609D8" w:rsidRPr="006609D8" w:rsidRDefault="006609D8" w:rsidP="006609D8">
      <w:pPr>
        <w:kinsoku/>
        <w:overflowPunct/>
        <w:autoSpaceDE/>
        <w:autoSpaceDN/>
        <w:adjustRightInd/>
        <w:snapToGrid/>
        <w:spacing w:after="120"/>
        <w:ind w:left="2268"/>
        <w:rPr>
          <w:rFonts w:eastAsia="Times New Roman"/>
          <w:lang w:val="fr-FR"/>
        </w:rPr>
      </w:pPr>
      <w:r w:rsidRPr="006609D8">
        <w:rPr>
          <w:rFonts w:eastAsia="Times New Roman"/>
          <w:lang w:val="fr-FR"/>
        </w:rPr>
        <w:fldChar w:fldCharType="begin"/>
      </w:r>
      <w:r w:rsidRPr="006609D8">
        <w:rPr>
          <w:rFonts w:eastAsia="Times New Roman"/>
          <w:lang w:val="fr-FR"/>
        </w:rPr>
        <w:instrText>ADVANCE \u4</w:instrText>
      </w:r>
      <w:r w:rsidRPr="006609D8">
        <w:rPr>
          <w:rFonts w:eastAsia="Times New Roman"/>
          <w:lang w:val="fr-FR"/>
        </w:rPr>
        <w:fldChar w:fldCharType="end"/>
      </w:r>
      <w:r w:rsidR="009D55DD">
        <w:rPr>
          <w:rFonts w:eastAsia="Times New Roman"/>
          <w:noProof/>
          <w:position w:val="-28"/>
          <w:lang w:val="en-US"/>
        </w:rPr>
        <w:drawing>
          <wp:inline distT="0" distB="0" distL="0" distR="0">
            <wp:extent cx="828040" cy="431165"/>
            <wp:effectExtent l="0" t="0" r="0" b="6985"/>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040" cy="431165"/>
                    </a:xfrm>
                    <a:prstGeom prst="rect">
                      <a:avLst/>
                    </a:prstGeom>
                    <a:noFill/>
                    <a:ln>
                      <a:noFill/>
                    </a:ln>
                  </pic:spPr>
                </pic:pic>
              </a:graphicData>
            </a:graphic>
          </wp:inline>
        </w:drawing>
      </w:r>
    </w:p>
    <w:p w:rsidR="006609D8" w:rsidRPr="006609D8" w:rsidRDefault="006609D8" w:rsidP="006609D8">
      <w:pPr>
        <w:kinsoku/>
        <w:overflowPunct/>
        <w:autoSpaceDE/>
        <w:autoSpaceDN/>
        <w:adjustRightInd/>
        <w:snapToGrid/>
        <w:spacing w:after="120"/>
        <w:ind w:left="2268"/>
        <w:jc w:val="both"/>
        <w:rPr>
          <w:rFonts w:eastAsia="Times New Roman"/>
          <w:lang w:val="fr-FR"/>
        </w:rPr>
      </w:pPr>
      <w:r w:rsidRPr="006609D8">
        <w:rPr>
          <w:rFonts w:eastAsia="Times New Roman"/>
          <w:lang w:val="fr-FR"/>
        </w:rPr>
        <w:tab/>
        <w:t>et</w:t>
      </w:r>
    </w:p>
    <w:p w:rsidR="006609D8" w:rsidRPr="006609D8" w:rsidRDefault="009D55DD" w:rsidP="006609D8">
      <w:pPr>
        <w:kinsoku/>
        <w:overflowPunct/>
        <w:autoSpaceDE/>
        <w:autoSpaceDN/>
        <w:adjustRightInd/>
        <w:snapToGrid/>
        <w:spacing w:after="120"/>
        <w:ind w:left="2268"/>
        <w:rPr>
          <w:rFonts w:eastAsia="Times New Roman"/>
          <w:lang w:val="fr-FR"/>
        </w:rPr>
      </w:pPr>
      <w:r>
        <w:rPr>
          <w:rFonts w:eastAsia="Times New Roman"/>
          <w:noProof/>
          <w:position w:val="-28"/>
          <w:lang w:val="en-US"/>
        </w:rPr>
        <w:drawing>
          <wp:inline distT="0" distB="0" distL="0" distR="0">
            <wp:extent cx="1294130" cy="431165"/>
            <wp:effectExtent l="0" t="0" r="0" b="6985"/>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4130" cy="431165"/>
                    </a:xfrm>
                    <a:prstGeom prst="rect">
                      <a:avLst/>
                    </a:prstGeom>
                    <a:noFill/>
                    <a:ln>
                      <a:noFill/>
                    </a:ln>
                  </pic:spPr>
                </pic:pic>
              </a:graphicData>
            </a:graphic>
          </wp:inline>
        </w:drawing>
      </w:r>
    </w:p>
    <w:p w:rsidR="006609D8" w:rsidRPr="006609D8" w:rsidRDefault="006609D8" w:rsidP="00E62762">
      <w:pPr>
        <w:pStyle w:val="SingleTxtG"/>
        <w:ind w:left="2268" w:hanging="1134"/>
        <w:rPr>
          <w:rFonts w:eastAsia="Times New Roman"/>
          <w:lang w:val="fr-FR"/>
        </w:rPr>
      </w:pPr>
      <w:r w:rsidRPr="006609D8">
        <w:rPr>
          <w:rFonts w:eastAsia="Times New Roman"/>
          <w:lang w:val="fr-FR"/>
        </w:rPr>
        <w:t>5.</w:t>
      </w:r>
      <w:r w:rsidRPr="006609D8">
        <w:rPr>
          <w:rFonts w:eastAsia="Times New Roman"/>
          <w:lang w:val="fr-FR"/>
        </w:rPr>
        <w:tab/>
        <w:t>Le tableau App2/1 donne les seuils d</w:t>
      </w:r>
      <w:r w:rsidR="00DB4C2D">
        <w:rPr>
          <w:rFonts w:eastAsia="Times New Roman"/>
          <w:lang w:val="fr-FR"/>
        </w:rPr>
        <w:t>’</w:t>
      </w:r>
      <w:r w:rsidRPr="006609D8">
        <w:rPr>
          <w:rFonts w:eastAsia="Times New Roman"/>
          <w:lang w:val="fr-FR"/>
        </w:rPr>
        <w:t>acceptation (A</w:t>
      </w:r>
      <w:r w:rsidRPr="006609D8">
        <w:rPr>
          <w:rFonts w:eastAsia="Times New Roman"/>
          <w:vertAlign w:val="subscript"/>
          <w:lang w:val="fr-FR"/>
        </w:rPr>
        <w:t>n</w:t>
      </w:r>
      <w:r w:rsidRPr="006609D8">
        <w:rPr>
          <w:rFonts w:eastAsia="Times New Roman"/>
          <w:lang w:val="fr-FR"/>
        </w:rPr>
        <w:t>) et de refus (</w:t>
      </w:r>
      <w:proofErr w:type="spellStart"/>
      <w:r w:rsidRPr="006609D8">
        <w:rPr>
          <w:rFonts w:eastAsia="Times New Roman"/>
          <w:lang w:val="fr-FR"/>
        </w:rPr>
        <w:t>B</w:t>
      </w:r>
      <w:r w:rsidRPr="006609D8">
        <w:rPr>
          <w:rFonts w:eastAsia="Times New Roman"/>
          <w:vertAlign w:val="subscript"/>
          <w:lang w:val="fr-FR"/>
        </w:rPr>
        <w:t>n</w:t>
      </w:r>
      <w:proofErr w:type="spellEnd"/>
      <w:r w:rsidRPr="006609D8">
        <w:rPr>
          <w:rFonts w:eastAsia="Times New Roman"/>
          <w:lang w:val="fr-FR"/>
        </w:rPr>
        <w:t>) en fonction de la taille de l</w:t>
      </w:r>
      <w:r w:rsidR="00DB4C2D">
        <w:rPr>
          <w:rFonts w:eastAsia="Times New Roman"/>
          <w:lang w:val="fr-FR"/>
        </w:rPr>
        <w:t>’</w:t>
      </w:r>
      <w:r w:rsidRPr="006609D8">
        <w:rPr>
          <w:rFonts w:eastAsia="Times New Roman"/>
          <w:lang w:val="fr-FR"/>
        </w:rPr>
        <w:t>échantillon considéré. La variable d</w:t>
      </w:r>
      <w:r w:rsidR="00DB4C2D">
        <w:rPr>
          <w:rFonts w:eastAsia="Times New Roman"/>
          <w:lang w:val="fr-FR"/>
        </w:rPr>
        <w:t>’</w:t>
      </w:r>
      <w:r w:rsidRPr="006609D8">
        <w:rPr>
          <w:rFonts w:eastAsia="Times New Roman"/>
          <w:lang w:val="fr-FR"/>
        </w:rPr>
        <w:t xml:space="preserve">essai est le rapport </w:t>
      </w:r>
      <w:r w:rsidR="009D55DD">
        <w:rPr>
          <w:rFonts w:eastAsia="Times New Roman"/>
          <w:noProof/>
          <w:position w:val="-6"/>
          <w:lang w:val="en-US"/>
        </w:rPr>
        <w:drawing>
          <wp:inline distT="0" distB="0" distL="0" distR="0">
            <wp:extent cx="137795" cy="215900"/>
            <wp:effectExtent l="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795" cy="215900"/>
                    </a:xfrm>
                    <a:prstGeom prst="rect">
                      <a:avLst/>
                    </a:prstGeom>
                    <a:noFill/>
                    <a:ln>
                      <a:noFill/>
                    </a:ln>
                  </pic:spPr>
                </pic:pic>
              </a:graphicData>
            </a:graphic>
          </wp:inline>
        </w:drawing>
      </w:r>
      <w:r w:rsidRPr="006609D8">
        <w:rPr>
          <w:rFonts w:eastAsia="Times New Roman"/>
          <w:vertAlign w:val="subscript"/>
          <w:lang w:val="fr-FR"/>
        </w:rPr>
        <w:t>n</w:t>
      </w:r>
      <w:r w:rsidRPr="006609D8">
        <w:rPr>
          <w:rFonts w:eastAsia="Times New Roman"/>
          <w:lang w:val="fr-FR"/>
        </w:rPr>
        <w:t>/</w:t>
      </w:r>
      <w:proofErr w:type="spellStart"/>
      <w:r w:rsidRPr="006609D8">
        <w:rPr>
          <w:rFonts w:eastAsia="Times New Roman"/>
          <w:lang w:val="fr-FR"/>
        </w:rPr>
        <w:t>V</w:t>
      </w:r>
      <w:r w:rsidRPr="006609D8">
        <w:rPr>
          <w:rFonts w:eastAsia="Times New Roman"/>
          <w:vertAlign w:val="subscript"/>
          <w:lang w:val="fr-FR"/>
        </w:rPr>
        <w:t>n</w:t>
      </w:r>
      <w:proofErr w:type="spellEnd"/>
      <w:r w:rsidRPr="006609D8">
        <w:rPr>
          <w:rFonts w:eastAsia="Times New Roman"/>
          <w:lang w:val="fr-FR"/>
        </w:rPr>
        <w:t>, qui doit être utilisé pour déterminer si la série est acceptée ou refusée comme suit:</w:t>
      </w:r>
    </w:p>
    <w:p w:rsidR="006609D8" w:rsidRPr="006609D8" w:rsidRDefault="006609D8" w:rsidP="00E62762">
      <w:pPr>
        <w:pStyle w:val="SingleTxtG"/>
        <w:keepNext/>
        <w:ind w:left="2268"/>
        <w:rPr>
          <w:lang w:val="fr-FR"/>
        </w:rPr>
      </w:pPr>
      <w:r w:rsidRPr="006609D8">
        <w:rPr>
          <w:lang w:val="fr-FR"/>
        </w:rPr>
        <w:t>Pour m</w:t>
      </w:r>
      <w:r w:rsidRPr="006609D8">
        <w:rPr>
          <w:vertAlign w:val="subscript"/>
          <w:lang w:val="fr-FR"/>
        </w:rPr>
        <w:t xml:space="preserve">o </w:t>
      </w:r>
      <w:r w:rsidRPr="006609D8">
        <w:rPr>
          <w:lang w:val="fr-FR"/>
        </w:rPr>
        <w:sym w:font="Symbol" w:char="F0A3"/>
      </w:r>
      <w:r w:rsidRPr="006609D8">
        <w:rPr>
          <w:lang w:val="fr-FR"/>
        </w:rPr>
        <w:t xml:space="preserve"> n </w:t>
      </w:r>
      <w:r w:rsidRPr="006609D8">
        <w:rPr>
          <w:lang w:val="fr-FR"/>
        </w:rPr>
        <w:sym w:font="Symbol" w:char="F0A3"/>
      </w:r>
      <w:r w:rsidRPr="006609D8">
        <w:rPr>
          <w:lang w:val="fr-FR"/>
        </w:rPr>
        <w:t xml:space="preserve"> m:</w:t>
      </w:r>
    </w:p>
    <w:p w:rsidR="006609D8" w:rsidRPr="007E572E" w:rsidRDefault="006609D8" w:rsidP="00E62762">
      <w:pPr>
        <w:pStyle w:val="SingleTxtG"/>
        <w:tabs>
          <w:tab w:val="left" w:pos="2835"/>
          <w:tab w:val="left" w:pos="6237"/>
        </w:tabs>
        <w:ind w:left="2268"/>
        <w:rPr>
          <w:lang w:val="fr-FR"/>
        </w:rPr>
      </w:pPr>
      <w:r w:rsidRPr="006609D8">
        <w:rPr>
          <w:lang w:val="fr-FR"/>
        </w:rPr>
        <w:t>i)</w:t>
      </w:r>
      <w:r w:rsidRPr="006609D8">
        <w:rPr>
          <w:lang w:val="fr-FR"/>
        </w:rPr>
        <w:tab/>
        <w:t>La série est acceptée si:</w:t>
      </w:r>
      <w:r w:rsidRPr="006609D8">
        <w:rPr>
          <w:lang w:val="fr-FR"/>
        </w:rPr>
        <w:tab/>
      </w:r>
      <w:r w:rsidR="009D55DD">
        <w:rPr>
          <w:noProof/>
          <w:position w:val="-10"/>
          <w:lang w:val="en-US"/>
        </w:rPr>
        <w:drawing>
          <wp:inline distT="0" distB="0" distL="0" distR="0">
            <wp:extent cx="543560" cy="396875"/>
            <wp:effectExtent l="0" t="0" r="8890" b="3175"/>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560" cy="396875"/>
                    </a:xfrm>
                    <a:prstGeom prst="rect">
                      <a:avLst/>
                    </a:prstGeom>
                    <a:noFill/>
                    <a:ln>
                      <a:noFill/>
                    </a:ln>
                  </pic:spPr>
                </pic:pic>
              </a:graphicData>
            </a:graphic>
          </wp:inline>
        </w:drawing>
      </w:r>
    </w:p>
    <w:p w:rsidR="006609D8" w:rsidRPr="006609D8" w:rsidRDefault="006609D8" w:rsidP="00E62762">
      <w:pPr>
        <w:pStyle w:val="SingleTxtG"/>
        <w:tabs>
          <w:tab w:val="left" w:pos="2835"/>
          <w:tab w:val="left" w:pos="6237"/>
        </w:tabs>
        <w:ind w:left="2268"/>
        <w:rPr>
          <w:rFonts w:eastAsia="Times New Roman"/>
          <w:lang w:val="fr-FR"/>
        </w:rPr>
      </w:pPr>
      <w:r w:rsidRPr="006609D8">
        <w:rPr>
          <w:rFonts w:eastAsia="Times New Roman"/>
          <w:lang w:val="fr-FR"/>
        </w:rPr>
        <w:t>ii)</w:t>
      </w:r>
      <w:r w:rsidRPr="006609D8">
        <w:rPr>
          <w:rFonts w:eastAsia="Times New Roman"/>
          <w:lang w:val="fr-FR"/>
        </w:rPr>
        <w:tab/>
        <w:t xml:space="preserve">La série est </w:t>
      </w:r>
      <w:r w:rsidRPr="006609D8">
        <w:rPr>
          <w:lang w:val="fr-FR"/>
        </w:rPr>
        <w:t>refusée</w:t>
      </w:r>
      <w:r w:rsidRPr="006609D8">
        <w:rPr>
          <w:rFonts w:eastAsia="Times New Roman"/>
          <w:lang w:val="fr-FR"/>
        </w:rPr>
        <w:t xml:space="preserve"> si</w:t>
      </w:r>
      <w:r w:rsidRPr="006609D8">
        <w:rPr>
          <w:rFonts w:eastAsia="Times New Roman"/>
          <w:lang w:val="fr-FR"/>
        </w:rPr>
        <w:t>:</w:t>
      </w:r>
      <w:r w:rsidRPr="006609D8">
        <w:rPr>
          <w:rFonts w:eastAsia="Times New Roman"/>
          <w:lang w:val="fr-FR"/>
        </w:rPr>
        <w:tab/>
      </w:r>
      <w:r w:rsidR="009D55DD">
        <w:rPr>
          <w:rFonts w:eastAsia="Times New Roman"/>
          <w:noProof/>
          <w:position w:val="-30"/>
          <w:lang w:val="en-US"/>
        </w:rPr>
        <w:drawing>
          <wp:inline distT="0" distB="0" distL="0" distR="0">
            <wp:extent cx="543560" cy="457200"/>
            <wp:effectExtent l="0" t="0" r="889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3560" cy="457200"/>
                    </a:xfrm>
                    <a:prstGeom prst="rect">
                      <a:avLst/>
                    </a:prstGeom>
                    <a:noFill/>
                    <a:ln>
                      <a:noFill/>
                    </a:ln>
                  </pic:spPr>
                </pic:pic>
              </a:graphicData>
            </a:graphic>
          </wp:inline>
        </w:drawing>
      </w:r>
    </w:p>
    <w:p w:rsidR="006609D8" w:rsidRPr="006609D8" w:rsidRDefault="006609D8" w:rsidP="00E62762">
      <w:pPr>
        <w:pStyle w:val="SingleTxtG"/>
        <w:tabs>
          <w:tab w:val="left" w:pos="2835"/>
          <w:tab w:val="left" w:pos="6237"/>
        </w:tabs>
        <w:ind w:left="2268"/>
        <w:rPr>
          <w:rFonts w:eastAsia="Times New Roman"/>
          <w:vertAlign w:val="superscript"/>
          <w:lang w:val="fr-FR"/>
        </w:rPr>
      </w:pPr>
      <w:r w:rsidRPr="006609D8">
        <w:rPr>
          <w:rFonts w:eastAsia="Times New Roman"/>
          <w:lang w:val="fr-FR"/>
        </w:rPr>
        <w:lastRenderedPageBreak/>
        <w:t>iii)</w:t>
      </w:r>
      <w:r w:rsidRPr="006609D8">
        <w:rPr>
          <w:rFonts w:eastAsia="Times New Roman"/>
          <w:lang w:val="fr-FR"/>
        </w:rPr>
        <w:tab/>
        <w:t>Une nouvelle mesure doit être faite si:</w:t>
      </w:r>
      <w:r w:rsidRPr="006609D8">
        <w:rPr>
          <w:rFonts w:eastAsia="Times New Roman"/>
          <w:lang w:val="fr-FR"/>
        </w:rPr>
        <w:tab/>
      </w:r>
      <w:r w:rsidR="009D55DD">
        <w:rPr>
          <w:rFonts w:eastAsia="Times New Roman"/>
          <w:noProof/>
          <w:position w:val="-16"/>
          <w:lang w:val="en-US"/>
        </w:rPr>
        <w:drawing>
          <wp:inline distT="0" distB="0" distL="0" distR="0">
            <wp:extent cx="810895" cy="327660"/>
            <wp:effectExtent l="0" t="0" r="8255"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0895" cy="327660"/>
                    </a:xfrm>
                    <a:prstGeom prst="rect">
                      <a:avLst/>
                    </a:prstGeom>
                    <a:noFill/>
                    <a:ln>
                      <a:noFill/>
                    </a:ln>
                  </pic:spPr>
                </pic:pic>
              </a:graphicData>
            </a:graphic>
          </wp:inline>
        </w:drawing>
      </w:r>
      <w:r w:rsidRPr="006609D8">
        <w:rPr>
          <w:rFonts w:eastAsia="Times New Roman"/>
          <w:lang w:val="fr-FR"/>
        </w:rPr>
        <w:fldChar w:fldCharType="begin"/>
      </w:r>
      <w:r w:rsidRPr="006609D8">
        <w:rPr>
          <w:rFonts w:eastAsia="Times New Roman"/>
          <w:lang w:val="fr-FR"/>
        </w:rPr>
        <w:instrText>ADVANCE \d15</w:instrText>
      </w:r>
      <w:r w:rsidRPr="006609D8">
        <w:rPr>
          <w:rFonts w:eastAsia="Times New Roman"/>
          <w:lang w:val="fr-FR"/>
        </w:rPr>
        <w:fldChar w:fldCharType="end"/>
      </w:r>
      <w:r w:rsidRPr="006609D8">
        <w:rPr>
          <w:rFonts w:eastAsia="Times New Roman"/>
          <w:lang w:val="fr-FR"/>
        </w:rPr>
        <w:fldChar w:fldCharType="begin"/>
      </w:r>
      <w:r w:rsidRPr="006609D8">
        <w:rPr>
          <w:rFonts w:eastAsia="Times New Roman"/>
          <w:lang w:val="fr-FR"/>
        </w:rPr>
        <w:instrText>ADVANCE \u15</w:instrText>
      </w:r>
      <w:r w:rsidRPr="006609D8">
        <w:rPr>
          <w:rFonts w:eastAsia="Times New Roman"/>
          <w:lang w:val="fr-FR"/>
        </w:rPr>
        <w:fldChar w:fldCharType="end"/>
      </w:r>
    </w:p>
    <w:p w:rsidR="006609D8" w:rsidRPr="006609D8" w:rsidRDefault="006609D8" w:rsidP="00E62762">
      <w:pPr>
        <w:pStyle w:val="SingleTxtG"/>
        <w:ind w:left="2268" w:hanging="1134"/>
        <w:rPr>
          <w:lang w:val="fr-FR"/>
        </w:rPr>
      </w:pPr>
      <w:r w:rsidRPr="006609D8">
        <w:rPr>
          <w:lang w:val="fr-FR"/>
        </w:rPr>
        <w:t>6.</w:t>
      </w:r>
      <w:r w:rsidRPr="006609D8">
        <w:rPr>
          <w:lang w:val="fr-FR"/>
        </w:rPr>
        <w:tab/>
        <w:t>Remarques</w:t>
      </w:r>
    </w:p>
    <w:p w:rsidR="006609D8" w:rsidRPr="006609D8" w:rsidRDefault="006609D8" w:rsidP="00E62762">
      <w:pPr>
        <w:pStyle w:val="SingleTxtG"/>
        <w:ind w:left="2268"/>
        <w:rPr>
          <w:lang w:val="fr-FR"/>
        </w:rPr>
      </w:pPr>
      <w:r w:rsidRPr="006609D8">
        <w:rPr>
          <w:lang w:val="fr-FR"/>
        </w:rPr>
        <w:t>Les formules de récurrence suivantes sont utiles pour calculer les valeurs successives de la variable d</w:t>
      </w:r>
      <w:r w:rsidR="00DB4C2D">
        <w:rPr>
          <w:lang w:val="fr-FR"/>
        </w:rPr>
        <w:t>’</w:t>
      </w:r>
      <w:r w:rsidRPr="006609D8">
        <w:rPr>
          <w:lang w:val="fr-FR"/>
        </w:rPr>
        <w:t>essai:</w:t>
      </w:r>
    </w:p>
    <w:p w:rsidR="006609D8" w:rsidRPr="006609D8" w:rsidRDefault="006609D8" w:rsidP="00E62762">
      <w:pPr>
        <w:pStyle w:val="SingleTxtG"/>
        <w:ind w:left="2268"/>
        <w:rPr>
          <w:lang w:val="fr-FR"/>
        </w:rPr>
      </w:pPr>
      <w:r w:rsidRPr="006609D8">
        <w:rPr>
          <w:position w:val="-24"/>
          <w:lang w:val="fr-FR"/>
        </w:rPr>
        <w:object w:dxaOrig="2079" w:dyaOrig="580">
          <v:shape id="_x0000_i1035" type="#_x0000_t75" style="width:103.9pt;height:29.2pt">
            <v:imagedata r:id="rId37" o:title=""/>
          </v:shape>
        </w:object>
      </w:r>
    </w:p>
    <w:p w:rsidR="006609D8" w:rsidRPr="006609D8" w:rsidRDefault="006609D8" w:rsidP="00E62762">
      <w:pPr>
        <w:pStyle w:val="SingleTxtG"/>
        <w:ind w:left="2268"/>
        <w:rPr>
          <w:lang w:val="fr-FR"/>
        </w:rPr>
      </w:pPr>
      <w:r w:rsidRPr="006609D8">
        <w:rPr>
          <w:position w:val="-30"/>
          <w:lang w:val="fr-FR"/>
        </w:rPr>
        <w:object w:dxaOrig="2720" w:dyaOrig="760">
          <v:shape id="_x0000_i1036" type="#_x0000_t75" style="width:135.85pt;height:38.05pt">
            <v:imagedata r:id="rId38" o:title=""/>
          </v:shape>
        </w:object>
      </w:r>
    </w:p>
    <w:p w:rsidR="006609D8" w:rsidRDefault="006609D8" w:rsidP="00E62762">
      <w:pPr>
        <w:pStyle w:val="SingleTxtG"/>
        <w:ind w:left="2268"/>
        <w:rPr>
          <w:lang w:val="fr-FR"/>
        </w:rPr>
      </w:pPr>
      <w:r w:rsidRPr="006609D8">
        <w:rPr>
          <w:position w:val="-10"/>
          <w:lang w:val="fr-FR"/>
        </w:rPr>
        <w:object w:dxaOrig="2640" w:dyaOrig="340">
          <v:shape id="_x0000_i1037" type="#_x0000_t75" style="width:131.75pt;height:17pt">
            <v:imagedata r:id="rId39" o:title=""/>
          </v:shape>
        </w:object>
      </w:r>
    </w:p>
    <w:p w:rsidR="00B31EED" w:rsidRDefault="00B31EED" w:rsidP="009C6337">
      <w:pPr>
        <w:pStyle w:val="Titre1"/>
        <w:spacing w:after="120"/>
        <w:rPr>
          <w:lang w:val="fr-FR"/>
        </w:rPr>
      </w:pPr>
      <w:r w:rsidRPr="00B31EED">
        <w:rPr>
          <w:lang w:val="fr-FR"/>
        </w:rPr>
        <w:lastRenderedPageBreak/>
        <w:t xml:space="preserve">Tableau </w:t>
      </w:r>
      <w:r w:rsidRPr="00B31EED">
        <w:rPr>
          <w:color w:val="000000"/>
          <w:lang w:val="fr-FR"/>
        </w:rPr>
        <w:t>App2/1</w:t>
      </w:r>
      <w:r>
        <w:rPr>
          <w:color w:val="000000"/>
          <w:lang w:val="fr-FR"/>
        </w:rPr>
        <w:br/>
      </w:r>
      <w:r w:rsidRPr="007E572E">
        <w:rPr>
          <w:b/>
          <w:lang w:val="fr-FR"/>
        </w:rPr>
        <w:t>Taille de l</w:t>
      </w:r>
      <w:r w:rsidR="00DB4C2D" w:rsidRPr="007E572E">
        <w:rPr>
          <w:b/>
          <w:lang w:val="fr-FR"/>
        </w:rPr>
        <w:t>’</w:t>
      </w:r>
      <w:r w:rsidRPr="007E572E">
        <w:rPr>
          <w:b/>
          <w:lang w:val="fr-FR"/>
        </w:rPr>
        <w:t>échantillon minimal = 3</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5"/>
        <w:gridCol w:w="2402"/>
        <w:gridCol w:w="2944"/>
      </w:tblGrid>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60" w:after="60" w:line="200" w:lineRule="exact"/>
              <w:jc w:val="center"/>
              <w:rPr>
                <w:rFonts w:eastAsia="Times New Roman"/>
                <w:i/>
                <w:sz w:val="16"/>
                <w:szCs w:val="16"/>
                <w:lang w:val="fr-FR"/>
              </w:rPr>
            </w:pPr>
            <w:r w:rsidRPr="00B31EED">
              <w:rPr>
                <w:rFonts w:eastAsia="Times New Roman"/>
                <w:i/>
                <w:sz w:val="16"/>
                <w:szCs w:val="16"/>
                <w:lang w:val="fr-FR"/>
              </w:rPr>
              <w:t>Taille de l</w:t>
            </w:r>
            <w:r w:rsidR="00DB4C2D">
              <w:rPr>
                <w:rFonts w:eastAsia="Times New Roman"/>
                <w:i/>
                <w:sz w:val="16"/>
                <w:szCs w:val="16"/>
                <w:lang w:val="fr-FR"/>
              </w:rPr>
              <w:t>’</w:t>
            </w:r>
            <w:r w:rsidRPr="00B31EED">
              <w:rPr>
                <w:rFonts w:eastAsia="Times New Roman"/>
                <w:i/>
                <w:sz w:val="16"/>
                <w:szCs w:val="16"/>
                <w:lang w:val="fr-FR"/>
              </w:rPr>
              <w:t>échantillon (n)</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60" w:after="60" w:line="200" w:lineRule="exact"/>
              <w:jc w:val="center"/>
              <w:rPr>
                <w:rFonts w:eastAsia="Times New Roman"/>
                <w:i/>
                <w:sz w:val="16"/>
                <w:szCs w:val="16"/>
                <w:lang w:val="fr-FR"/>
              </w:rPr>
            </w:pPr>
            <w:r w:rsidRPr="00B31EED">
              <w:rPr>
                <w:rFonts w:eastAsia="Times New Roman"/>
                <w:i/>
                <w:sz w:val="16"/>
                <w:szCs w:val="16"/>
                <w:lang w:val="fr-FR"/>
              </w:rPr>
              <w:t>Seuil d</w:t>
            </w:r>
            <w:r w:rsidR="00DB4C2D">
              <w:rPr>
                <w:rFonts w:eastAsia="Times New Roman"/>
                <w:i/>
                <w:sz w:val="16"/>
                <w:szCs w:val="16"/>
                <w:lang w:val="fr-FR"/>
              </w:rPr>
              <w:t>’</w:t>
            </w:r>
            <w:r w:rsidRPr="00B31EED">
              <w:rPr>
                <w:rFonts w:eastAsia="Times New Roman"/>
                <w:i/>
                <w:sz w:val="16"/>
                <w:szCs w:val="16"/>
                <w:lang w:val="fr-FR"/>
              </w:rPr>
              <w:t>acceptation (A</w:t>
            </w:r>
            <w:r w:rsidRPr="00B31EED">
              <w:rPr>
                <w:rFonts w:eastAsia="Times New Roman"/>
                <w:i/>
                <w:sz w:val="16"/>
                <w:szCs w:val="16"/>
                <w:vertAlign w:val="subscript"/>
                <w:lang w:val="fr-FR"/>
              </w:rPr>
              <w:t>n</w:t>
            </w:r>
            <w:r w:rsidRPr="00B31EED">
              <w:rPr>
                <w:rFonts w:eastAsia="Times New Roman"/>
                <w:i/>
                <w:sz w:val="16"/>
                <w:szCs w:val="16"/>
                <w:lang w:val="fr-FR"/>
              </w:rPr>
              <w:t>)</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60" w:after="60" w:line="200" w:lineRule="exact"/>
              <w:jc w:val="center"/>
              <w:rPr>
                <w:rFonts w:eastAsia="Times New Roman"/>
                <w:i/>
                <w:sz w:val="16"/>
                <w:szCs w:val="16"/>
                <w:lang w:val="fr-FR"/>
              </w:rPr>
            </w:pPr>
            <w:r w:rsidRPr="00B31EED">
              <w:rPr>
                <w:rFonts w:eastAsia="Times New Roman"/>
                <w:i/>
                <w:sz w:val="16"/>
                <w:szCs w:val="16"/>
                <w:lang w:val="fr-FR"/>
              </w:rPr>
              <w:t>Seuil de refus (</w:t>
            </w:r>
            <w:proofErr w:type="spellStart"/>
            <w:r w:rsidRPr="00B31EED">
              <w:rPr>
                <w:rFonts w:eastAsia="Times New Roman"/>
                <w:i/>
                <w:sz w:val="16"/>
                <w:szCs w:val="16"/>
                <w:lang w:val="fr-FR"/>
              </w:rPr>
              <w:t>B</w:t>
            </w:r>
            <w:r w:rsidRPr="00B31EED">
              <w:rPr>
                <w:rFonts w:eastAsia="Times New Roman"/>
                <w:i/>
                <w:sz w:val="16"/>
                <w:szCs w:val="16"/>
                <w:vertAlign w:val="subscript"/>
                <w:lang w:val="fr-FR"/>
              </w:rPr>
              <w:t>n</w:t>
            </w:r>
            <w:proofErr w:type="spellEnd"/>
            <w:r w:rsidRPr="00B31EED">
              <w:rPr>
                <w:rFonts w:eastAsia="Times New Roman"/>
                <w:i/>
                <w:sz w:val="16"/>
                <w:szCs w:val="16"/>
                <w:lang w:val="fr-FR"/>
              </w:rPr>
              <w:t>)</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b/>
                <w:sz w:val="18"/>
                <w:szCs w:val="18"/>
                <w:lang w:val="fr-FR"/>
              </w:rPr>
            </w:pPr>
            <w:r w:rsidRPr="00B31EED">
              <w:rPr>
                <w:rFonts w:eastAsia="Times New Roman"/>
                <w:sz w:val="18"/>
                <w:szCs w:val="18"/>
                <w:lang w:val="fr-FR"/>
              </w:rPr>
              <w:t>3</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-0,80381</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16,64743</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4</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-0,76339</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7,68627</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5</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-0,72982</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4,67136</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6</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-0,69962</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3,25573</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7</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-0,67129</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2,45431</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8</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-0,64406</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1,94369</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9</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-0,61750</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1,59105</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10</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-0,59135</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1,33295</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11</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-0,56542</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1,13566</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12</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-0,53960</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0,97970</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13</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-0,51379</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0,85307</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14</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-0,48791</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0,74801</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15</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-0,46191</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0,65928</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16</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-0,43573</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0,58321</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17</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-0,40933</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0,51718</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18</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-0,38266</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0,45922</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19</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-0,35570</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0,40788</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20</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-0,32840</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0,36203</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21</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-0,30072</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0,32078</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22</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-0,27263</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0,28343</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23</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-0,24410</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0,24943</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24</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-0,21509</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0,21831</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25</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-0,18557</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0,18970</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26</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-0,15550</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0,16328</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27</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noBreakHyphen/>
              <w:t>0,12483</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0,13880</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28</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-0,09354</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0,11603</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29</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-0,06159</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0,09480</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30</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-0,02892</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0,07493</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31</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0,00449</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0,05629</w:t>
            </w:r>
          </w:p>
        </w:tc>
      </w:tr>
      <w:tr w:rsidR="00B31EED" w:rsidRPr="00B31EED" w:rsidTr="00B31EED">
        <w:tc>
          <w:tcPr>
            <w:tcW w:w="2025"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32</w:t>
            </w:r>
          </w:p>
        </w:tc>
        <w:tc>
          <w:tcPr>
            <w:tcW w:w="2402"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0,03876</w:t>
            </w:r>
          </w:p>
        </w:tc>
        <w:tc>
          <w:tcPr>
            <w:tcW w:w="2944" w:type="dxa"/>
            <w:shd w:val="clear" w:color="auto" w:fill="auto"/>
            <w:vAlign w:val="center"/>
          </w:tcPr>
          <w:p w:rsidR="00B31EED" w:rsidRPr="00B31EED" w:rsidRDefault="00B31EED" w:rsidP="00B31EED">
            <w:pPr>
              <w:keepNext/>
              <w:kinsoku/>
              <w:overflowPunct/>
              <w:autoSpaceDE/>
              <w:autoSpaceDN/>
              <w:adjustRightInd/>
              <w:snapToGrid/>
              <w:spacing w:before="40" w:after="40" w:line="220" w:lineRule="atLeast"/>
              <w:jc w:val="center"/>
              <w:rPr>
                <w:rFonts w:eastAsia="Times New Roman"/>
                <w:sz w:val="18"/>
                <w:szCs w:val="18"/>
                <w:lang w:val="fr-FR"/>
              </w:rPr>
            </w:pPr>
            <w:r w:rsidRPr="00B31EED">
              <w:rPr>
                <w:rFonts w:eastAsia="Times New Roman"/>
                <w:sz w:val="18"/>
                <w:szCs w:val="18"/>
                <w:lang w:val="fr-FR"/>
              </w:rPr>
              <w:t>0,03876</w:t>
            </w:r>
          </w:p>
        </w:tc>
      </w:tr>
    </w:tbl>
    <w:p w:rsidR="00A76E68" w:rsidRDefault="00A76E68" w:rsidP="00B31EED">
      <w:pPr>
        <w:rPr>
          <w:lang w:val="fr-FR"/>
        </w:rPr>
        <w:sectPr w:rsidR="00A76E68" w:rsidSect="008605A8">
          <w:headerReference w:type="even" r:id="rId40"/>
          <w:headerReference w:type="default" r:id="rId41"/>
          <w:endnotePr>
            <w:numFmt w:val="decimal"/>
          </w:endnotePr>
          <w:pgSz w:w="11907" w:h="16840" w:code="9"/>
          <w:pgMar w:top="1701" w:right="1134" w:bottom="2268" w:left="1134" w:header="794" w:footer="1701" w:gutter="0"/>
          <w:cols w:space="720"/>
          <w:docGrid w:linePitch="272"/>
        </w:sectPr>
      </w:pPr>
    </w:p>
    <w:p w:rsidR="00A76E68" w:rsidRPr="00A76E68" w:rsidRDefault="00A76E68" w:rsidP="003A202B">
      <w:pPr>
        <w:pStyle w:val="HChG"/>
        <w:rPr>
          <w:lang w:val="fr-FR"/>
        </w:rPr>
      </w:pPr>
      <w:r w:rsidRPr="00A76E68">
        <w:rPr>
          <w:lang w:val="fr-FR"/>
        </w:rPr>
        <w:lastRenderedPageBreak/>
        <w:t>Appendice 3</w:t>
      </w:r>
    </w:p>
    <w:p w:rsidR="00A76E68" w:rsidRPr="00A76E68" w:rsidRDefault="00A76E68" w:rsidP="003A202B">
      <w:pPr>
        <w:pStyle w:val="HChG"/>
        <w:rPr>
          <w:lang w:val="fr-FR"/>
        </w:rPr>
      </w:pPr>
      <w:r w:rsidRPr="00A76E68">
        <w:rPr>
          <w:lang w:val="fr-FR"/>
        </w:rPr>
        <w:tab/>
      </w:r>
      <w:r w:rsidRPr="00A76E68">
        <w:rPr>
          <w:lang w:val="fr-FR"/>
        </w:rPr>
        <w:tab/>
        <w:t>Contrôle de la conformité en service</w:t>
      </w:r>
    </w:p>
    <w:p w:rsidR="00A76E68" w:rsidRPr="00A76E68" w:rsidRDefault="00A76E68" w:rsidP="003A202B">
      <w:pPr>
        <w:pStyle w:val="SingleTxtG"/>
        <w:keepNext/>
        <w:ind w:left="2268" w:hanging="1134"/>
        <w:rPr>
          <w:lang w:val="fr-FR"/>
        </w:rPr>
      </w:pPr>
      <w:r w:rsidRPr="00A76E68">
        <w:rPr>
          <w:lang w:val="fr-FR"/>
        </w:rPr>
        <w:t>1.</w:t>
      </w:r>
      <w:r w:rsidRPr="00A76E68">
        <w:rPr>
          <w:lang w:val="fr-FR"/>
        </w:rPr>
        <w:tab/>
        <w:t>Introduction</w:t>
      </w:r>
    </w:p>
    <w:p w:rsidR="00A76E68" w:rsidRPr="00A76E68" w:rsidRDefault="00A76E68" w:rsidP="003A202B">
      <w:pPr>
        <w:pStyle w:val="SingleTxtG"/>
        <w:ind w:left="2268"/>
        <w:rPr>
          <w:lang w:val="fr-FR"/>
        </w:rPr>
      </w:pPr>
      <w:r w:rsidRPr="00A76E68">
        <w:rPr>
          <w:lang w:val="fr-FR"/>
        </w:rPr>
        <w:t>Le présent appendice décrit les critères visés aux paragraphes 9.3 et 9.4 du présent Règlement, concernant la sélection des véhicules d</w:t>
      </w:r>
      <w:r w:rsidR="00DB4C2D">
        <w:rPr>
          <w:lang w:val="fr-FR"/>
        </w:rPr>
        <w:t>’</w:t>
      </w:r>
      <w:r w:rsidRPr="00A76E68">
        <w:rPr>
          <w:lang w:val="fr-FR"/>
        </w:rPr>
        <w:t>essais, et les procédures de contrôle de la conformité en service.</w:t>
      </w:r>
    </w:p>
    <w:p w:rsidR="00A76E68" w:rsidRPr="00A76E68" w:rsidRDefault="00A76E68" w:rsidP="003A202B">
      <w:pPr>
        <w:pStyle w:val="SingleTxtG"/>
        <w:keepNext/>
        <w:ind w:left="2268" w:hanging="1134"/>
        <w:rPr>
          <w:rFonts w:eastAsia="Times New Roman"/>
          <w:lang w:val="fr-FR"/>
        </w:rPr>
      </w:pPr>
      <w:r w:rsidRPr="00A76E68">
        <w:rPr>
          <w:rFonts w:eastAsia="Times New Roman"/>
          <w:lang w:val="fr-FR"/>
        </w:rPr>
        <w:t>2.</w:t>
      </w:r>
      <w:r w:rsidRPr="00A76E68">
        <w:rPr>
          <w:rFonts w:eastAsia="Times New Roman"/>
          <w:lang w:val="fr-FR"/>
        </w:rPr>
        <w:tab/>
        <w:t xml:space="preserve">Critères de </w:t>
      </w:r>
      <w:r w:rsidRPr="00A76E68">
        <w:rPr>
          <w:lang w:val="fr-FR"/>
        </w:rPr>
        <w:t>sélection</w:t>
      </w:r>
      <w:r w:rsidRPr="00A76E68">
        <w:rPr>
          <w:rFonts w:eastAsia="Times New Roman"/>
          <w:lang w:val="fr-FR"/>
        </w:rPr>
        <w:t xml:space="preserve"> </w:t>
      </w:r>
    </w:p>
    <w:p w:rsidR="00A76E68" w:rsidRPr="00A76E68" w:rsidRDefault="00A76E68" w:rsidP="003A202B">
      <w:pPr>
        <w:pStyle w:val="SingleTxtG"/>
        <w:ind w:left="2268"/>
        <w:rPr>
          <w:rFonts w:eastAsia="Times New Roman"/>
          <w:lang w:val="fr-FR"/>
        </w:rPr>
      </w:pPr>
      <w:r w:rsidRPr="00A76E68">
        <w:rPr>
          <w:rFonts w:eastAsia="Times New Roman"/>
          <w:lang w:val="fr-FR"/>
        </w:rPr>
        <w:tab/>
        <w:t>Les critères d</w:t>
      </w:r>
      <w:r w:rsidR="00DB4C2D">
        <w:rPr>
          <w:rFonts w:eastAsia="Times New Roman"/>
          <w:lang w:val="fr-FR"/>
        </w:rPr>
        <w:t>’</w:t>
      </w:r>
      <w:r w:rsidRPr="00A76E68">
        <w:rPr>
          <w:rFonts w:eastAsia="Times New Roman"/>
          <w:lang w:val="fr-FR"/>
        </w:rPr>
        <w:t>acceptation d</w:t>
      </w:r>
      <w:r w:rsidR="00DB4C2D">
        <w:rPr>
          <w:rFonts w:eastAsia="Times New Roman"/>
          <w:lang w:val="fr-FR"/>
        </w:rPr>
        <w:t>’</w:t>
      </w:r>
      <w:r w:rsidRPr="00A76E68">
        <w:rPr>
          <w:rFonts w:eastAsia="Times New Roman"/>
          <w:lang w:val="fr-FR"/>
        </w:rPr>
        <w:t>un véhicule sélectionné sont définis aux paragraphes 2.1 à 2.8 du présent appendice pour les émissions d</w:t>
      </w:r>
      <w:r w:rsidR="00DB4C2D">
        <w:rPr>
          <w:rFonts w:eastAsia="Times New Roman"/>
          <w:lang w:val="fr-FR"/>
        </w:rPr>
        <w:t>’</w:t>
      </w:r>
      <w:r w:rsidRPr="00A76E68">
        <w:rPr>
          <w:rFonts w:eastAsia="Times New Roman"/>
          <w:lang w:val="fr-FR"/>
        </w:rPr>
        <w:t xml:space="preserve">échappement et aux </w:t>
      </w:r>
      <w:r w:rsidRPr="00A76E68">
        <w:rPr>
          <w:lang w:val="fr-FR"/>
        </w:rPr>
        <w:t>paragraphes</w:t>
      </w:r>
      <w:r w:rsidRPr="00A76E68">
        <w:rPr>
          <w:rFonts w:eastAsia="Times New Roman"/>
          <w:lang w:val="fr-FR"/>
        </w:rPr>
        <w:t> 2.1 à 2.5 du présent appendice pour l</w:t>
      </w:r>
      <w:r w:rsidR="00DB4C2D">
        <w:rPr>
          <w:rFonts w:eastAsia="Times New Roman"/>
          <w:lang w:val="fr-FR"/>
        </w:rPr>
        <w:t>’</w:t>
      </w:r>
      <w:r w:rsidRPr="00A76E68">
        <w:rPr>
          <w:rFonts w:eastAsia="Times New Roman"/>
          <w:lang w:val="fr-FR"/>
        </w:rPr>
        <w:t>IUPR</w:t>
      </w:r>
      <w:r w:rsidRPr="00A76E68">
        <w:rPr>
          <w:rFonts w:eastAsia="Times New Roman"/>
          <w:vertAlign w:val="subscript"/>
          <w:lang w:val="fr-FR"/>
        </w:rPr>
        <w:t>M</w:t>
      </w:r>
      <w:r w:rsidRPr="00A76E68">
        <w:rPr>
          <w:rFonts w:eastAsia="Times New Roman"/>
          <w:lang w:val="fr-FR"/>
        </w:rPr>
        <w:t>. Les informations sont collectées au moyen de l</w:t>
      </w:r>
      <w:r w:rsidR="00DB4C2D">
        <w:rPr>
          <w:rFonts w:eastAsia="Times New Roman"/>
          <w:lang w:val="fr-FR"/>
        </w:rPr>
        <w:t>’</w:t>
      </w:r>
      <w:r w:rsidRPr="00A76E68">
        <w:rPr>
          <w:rFonts w:eastAsia="Times New Roman"/>
          <w:lang w:val="fr-FR"/>
        </w:rPr>
        <w:t>examen du véhicule et d</w:t>
      </w:r>
      <w:r w:rsidR="00DB4C2D">
        <w:rPr>
          <w:rFonts w:eastAsia="Times New Roman"/>
          <w:lang w:val="fr-FR"/>
        </w:rPr>
        <w:t>’</w:t>
      </w:r>
      <w:r w:rsidRPr="00A76E68">
        <w:rPr>
          <w:rFonts w:eastAsia="Times New Roman"/>
          <w:lang w:val="fr-FR"/>
        </w:rPr>
        <w:t>un entretien avec le propriétaire/conducteur.</w:t>
      </w:r>
    </w:p>
    <w:p w:rsidR="00A76E68" w:rsidRPr="00A76E68" w:rsidRDefault="00A76E68" w:rsidP="003A202B">
      <w:pPr>
        <w:pStyle w:val="SingleTxtG"/>
        <w:ind w:left="2268" w:hanging="1134"/>
        <w:rPr>
          <w:rFonts w:eastAsia="Times New Roman"/>
          <w:lang w:val="fr-FR"/>
        </w:rPr>
      </w:pPr>
      <w:r w:rsidRPr="00A76E68">
        <w:rPr>
          <w:rFonts w:eastAsia="Times New Roman"/>
          <w:lang w:val="fr-FR"/>
        </w:rPr>
        <w:t>2.1</w:t>
      </w:r>
      <w:r w:rsidRPr="00A76E68">
        <w:rPr>
          <w:rFonts w:eastAsia="Times New Roman"/>
          <w:lang w:val="fr-FR"/>
        </w:rPr>
        <w:tab/>
        <w:t>Le véhicule doit appartenir à un type de véhicule qui a fait l</w:t>
      </w:r>
      <w:r w:rsidR="00DB4C2D">
        <w:rPr>
          <w:rFonts w:eastAsia="Times New Roman"/>
          <w:lang w:val="fr-FR"/>
        </w:rPr>
        <w:t>’</w:t>
      </w:r>
      <w:r w:rsidRPr="00A76E68">
        <w:rPr>
          <w:rFonts w:eastAsia="Times New Roman"/>
          <w:lang w:val="fr-FR"/>
        </w:rPr>
        <w:t>objet d</w:t>
      </w:r>
      <w:r w:rsidR="00DB4C2D">
        <w:rPr>
          <w:rFonts w:eastAsia="Times New Roman"/>
          <w:lang w:val="fr-FR"/>
        </w:rPr>
        <w:t>’</w:t>
      </w:r>
      <w:r w:rsidRPr="00A76E68">
        <w:rPr>
          <w:rFonts w:eastAsia="Times New Roman"/>
          <w:lang w:val="fr-FR"/>
        </w:rPr>
        <w:t>une homologation de type conformément au présent Règlement et qui est couvert par un certificat de conformité suivant l</w:t>
      </w:r>
      <w:r w:rsidR="00DB4C2D">
        <w:rPr>
          <w:rFonts w:eastAsia="Times New Roman"/>
          <w:lang w:val="fr-FR"/>
        </w:rPr>
        <w:t>’</w:t>
      </w:r>
      <w:r w:rsidRPr="00A76E68">
        <w:rPr>
          <w:rFonts w:eastAsia="Times New Roman"/>
          <w:lang w:val="fr-FR"/>
        </w:rPr>
        <w:t>Accord de 1958. Il doit être immatriculé et utilisé dans un pays des Parties contractantes.</w:t>
      </w:r>
    </w:p>
    <w:p w:rsidR="00A76E68" w:rsidRPr="00A76E68" w:rsidRDefault="00A76E68" w:rsidP="003A202B">
      <w:pPr>
        <w:pStyle w:val="SingleTxtG"/>
        <w:ind w:left="2268" w:hanging="1134"/>
        <w:rPr>
          <w:rFonts w:eastAsia="Times New Roman"/>
          <w:lang w:val="fr-FR"/>
        </w:rPr>
      </w:pPr>
      <w:r w:rsidRPr="00A76E68">
        <w:rPr>
          <w:rFonts w:eastAsia="Times New Roman"/>
          <w:lang w:val="fr-FR"/>
        </w:rPr>
        <w:t>2.2</w:t>
      </w:r>
      <w:r w:rsidRPr="00A76E68">
        <w:rPr>
          <w:rFonts w:eastAsia="Times New Roman"/>
          <w:lang w:val="fr-FR"/>
        </w:rPr>
        <w:tab/>
        <w:t xml:space="preserve">Le véhicule doit avoir parcouru au moins 15 000 km depuis sa mise en circulation ou avoir au moins 6 mois, selon le dernier de ces événements qui survient, et moins de 100 000 km depuis sa mise en circulation et/ou avoir moins de 5 ans, selon le premier de ces événements qui survient. </w:t>
      </w:r>
    </w:p>
    <w:p w:rsidR="00A76E68" w:rsidRPr="00A76E68" w:rsidRDefault="00A76E68" w:rsidP="003A202B">
      <w:pPr>
        <w:pStyle w:val="SingleTxtG"/>
        <w:keepNext/>
        <w:ind w:left="2268" w:hanging="1134"/>
        <w:rPr>
          <w:rFonts w:eastAsia="Times New Roman"/>
          <w:lang w:val="fr-FR"/>
        </w:rPr>
      </w:pPr>
      <w:r w:rsidRPr="00A76E68">
        <w:rPr>
          <w:rFonts w:eastAsia="Times New Roman"/>
          <w:lang w:val="fr-FR"/>
        </w:rPr>
        <w:t>2.2.1</w:t>
      </w:r>
      <w:r w:rsidRPr="00A76E68">
        <w:rPr>
          <w:rFonts w:eastAsia="Times New Roman"/>
          <w:lang w:val="fr-FR"/>
        </w:rPr>
        <w:tab/>
        <w:t>Pour la vérification de l</w:t>
      </w:r>
      <w:r w:rsidR="00DB4C2D">
        <w:rPr>
          <w:rFonts w:eastAsia="Times New Roman"/>
          <w:lang w:val="fr-FR"/>
        </w:rPr>
        <w:t>’</w:t>
      </w:r>
      <w:r w:rsidRPr="00A76E68">
        <w:rPr>
          <w:rFonts w:eastAsia="Times New Roman"/>
          <w:lang w:val="fr-FR"/>
        </w:rPr>
        <w:t>IUPR</w:t>
      </w:r>
      <w:r w:rsidRPr="00A76E68">
        <w:rPr>
          <w:rFonts w:eastAsia="Times New Roman"/>
          <w:vertAlign w:val="subscript"/>
          <w:lang w:val="fr-FR"/>
        </w:rPr>
        <w:t>M</w:t>
      </w:r>
      <w:r w:rsidRPr="00A76E68">
        <w:rPr>
          <w:rFonts w:eastAsia="Times New Roman"/>
          <w:lang w:val="fr-FR"/>
        </w:rPr>
        <w:t>, l</w:t>
      </w:r>
      <w:r w:rsidR="00DB4C2D">
        <w:rPr>
          <w:rFonts w:eastAsia="Times New Roman"/>
          <w:lang w:val="fr-FR"/>
        </w:rPr>
        <w:t>’</w:t>
      </w:r>
      <w:r w:rsidRPr="00A76E68">
        <w:rPr>
          <w:rFonts w:eastAsia="Times New Roman"/>
          <w:lang w:val="fr-FR"/>
        </w:rPr>
        <w:t>échantillon d</w:t>
      </w:r>
      <w:r w:rsidR="00DB4C2D">
        <w:rPr>
          <w:rFonts w:eastAsia="Times New Roman"/>
          <w:lang w:val="fr-FR"/>
        </w:rPr>
        <w:t>’</w:t>
      </w:r>
      <w:r w:rsidRPr="00A76E68">
        <w:rPr>
          <w:rFonts w:eastAsia="Times New Roman"/>
          <w:lang w:val="fr-FR"/>
        </w:rPr>
        <w:t>essai ne doit comporter que des véhicules:</w:t>
      </w:r>
    </w:p>
    <w:p w:rsidR="00A76E68" w:rsidRPr="00A76E68" w:rsidRDefault="00A76E68" w:rsidP="003B646C">
      <w:pPr>
        <w:pStyle w:val="SingleTxtG"/>
        <w:ind w:left="2835" w:hanging="567"/>
        <w:rPr>
          <w:lang w:val="fr-FR"/>
        </w:rPr>
      </w:pPr>
      <w:r w:rsidRPr="00A76E68">
        <w:rPr>
          <w:lang w:val="fr-FR"/>
        </w:rPr>
        <w:t>a)</w:t>
      </w:r>
      <w:r w:rsidRPr="00A76E68">
        <w:rPr>
          <w:lang w:val="fr-FR"/>
        </w:rPr>
        <w:tab/>
        <w:t>Qui ont enregistré suffisamment de données relatives au fonctionnement du véhicule que la surveillance soit soumise à essais.</w:t>
      </w:r>
    </w:p>
    <w:p w:rsidR="00A76E68" w:rsidRPr="00A76E68" w:rsidRDefault="00A76E68" w:rsidP="003B646C">
      <w:pPr>
        <w:pStyle w:val="SingleTxtG"/>
        <w:ind w:left="2835"/>
        <w:rPr>
          <w:lang w:val="fr-FR"/>
        </w:rPr>
      </w:pPr>
      <w:r w:rsidRPr="00A76E68">
        <w:rPr>
          <w:lang w:val="fr-FR"/>
        </w:rPr>
        <w:t>Pour les surveillances qui doivent respecter le rapport d</w:t>
      </w:r>
      <w:r w:rsidR="00DB4C2D">
        <w:rPr>
          <w:lang w:val="fr-FR"/>
        </w:rPr>
        <w:t>’</w:t>
      </w:r>
      <w:r w:rsidRPr="00A76E68">
        <w:rPr>
          <w:lang w:val="fr-FR"/>
        </w:rPr>
        <w:t>efficacité en service et suivre et communiquer des données relatives à ce rapport conformément au paragraphe 7.6.1 de l</w:t>
      </w:r>
      <w:r w:rsidR="00DB4C2D">
        <w:rPr>
          <w:lang w:val="fr-FR"/>
        </w:rPr>
        <w:t>’</w:t>
      </w:r>
      <w:r w:rsidRPr="00A76E68">
        <w:rPr>
          <w:lang w:val="fr-FR"/>
        </w:rPr>
        <w:t>appendice 1 à l</w:t>
      </w:r>
      <w:r w:rsidR="00DB4C2D">
        <w:rPr>
          <w:lang w:val="fr-FR"/>
        </w:rPr>
        <w:t>’</w:t>
      </w:r>
      <w:r w:rsidRPr="00A76E68">
        <w:rPr>
          <w:lang w:val="fr-FR"/>
        </w:rPr>
        <w:t>annexe 11 du présent Règlement, on entend par données relatives au fonctionnement du véhicule en quantité suffisante le fait que le dénominateur remplit les critères énoncés ci-après. Le dénominateur de la surveillance à mettre à l</w:t>
      </w:r>
      <w:r w:rsidR="00DB4C2D">
        <w:rPr>
          <w:lang w:val="fr-FR"/>
        </w:rPr>
        <w:t>’</w:t>
      </w:r>
      <w:r w:rsidRPr="00A76E68">
        <w:rPr>
          <w:lang w:val="fr-FR"/>
        </w:rPr>
        <w:t>essai, au sens des paragraphes 7.3 et 7.5 de l</w:t>
      </w:r>
      <w:r w:rsidR="00DB4C2D">
        <w:rPr>
          <w:lang w:val="fr-FR"/>
        </w:rPr>
        <w:t>’</w:t>
      </w:r>
      <w:r w:rsidRPr="00A76E68">
        <w:rPr>
          <w:lang w:val="fr-FR"/>
        </w:rPr>
        <w:t>appendice 1 à l</w:t>
      </w:r>
      <w:r w:rsidR="00DB4C2D">
        <w:rPr>
          <w:lang w:val="fr-FR"/>
        </w:rPr>
        <w:t>’</w:t>
      </w:r>
      <w:r w:rsidRPr="00A76E68">
        <w:rPr>
          <w:lang w:val="fr-FR"/>
        </w:rPr>
        <w:t>annexe 11 du présent Règlement, doit avoir une valeur supérieure ou égale à:</w:t>
      </w:r>
    </w:p>
    <w:p w:rsidR="00A76E68" w:rsidRPr="00A76E68" w:rsidRDefault="00A76E68" w:rsidP="003B646C">
      <w:pPr>
        <w:pStyle w:val="SingleTxtG"/>
        <w:ind w:left="3402" w:hanging="567"/>
        <w:rPr>
          <w:lang w:val="fr-FR"/>
        </w:rPr>
      </w:pPr>
      <w:r w:rsidRPr="00A76E68">
        <w:rPr>
          <w:lang w:val="fr-FR"/>
        </w:rPr>
        <w:t>i)</w:t>
      </w:r>
      <w:r w:rsidRPr="00A76E68">
        <w:rPr>
          <w:lang w:val="fr-FR"/>
        </w:rPr>
        <w:tab/>
        <w:t>75 pour la surveillance des systèmes d</w:t>
      </w:r>
      <w:r w:rsidR="00DB4C2D">
        <w:rPr>
          <w:lang w:val="fr-FR"/>
        </w:rPr>
        <w:t>’</w:t>
      </w:r>
      <w:r w:rsidRPr="00A76E68">
        <w:rPr>
          <w:lang w:val="fr-FR"/>
        </w:rPr>
        <w:t>évaporation, la surveillance des systèmes d</w:t>
      </w:r>
      <w:r w:rsidR="00DB4C2D">
        <w:rPr>
          <w:lang w:val="fr-FR"/>
        </w:rPr>
        <w:t>’</w:t>
      </w:r>
      <w:r w:rsidRPr="00A76E68">
        <w:rPr>
          <w:lang w:val="fr-FR"/>
        </w:rPr>
        <w:t>air secondaire et les surveillances dont le dénominateur est augmenté conformément aux alinéas </w:t>
      </w:r>
      <w:r w:rsidRPr="00A76E68">
        <w:rPr>
          <w:i/>
          <w:lang w:val="fr-FR"/>
        </w:rPr>
        <w:t>a</w:t>
      </w:r>
      <w:r w:rsidRPr="00A76E68">
        <w:rPr>
          <w:lang w:val="fr-FR"/>
        </w:rPr>
        <w:t xml:space="preserve">, </w:t>
      </w:r>
      <w:r w:rsidRPr="00A76E68">
        <w:rPr>
          <w:i/>
          <w:lang w:val="fr-FR"/>
        </w:rPr>
        <w:t>b</w:t>
      </w:r>
      <w:r w:rsidRPr="00A76E68">
        <w:rPr>
          <w:lang w:val="fr-FR"/>
        </w:rPr>
        <w:t xml:space="preserve"> ou </w:t>
      </w:r>
      <w:r w:rsidRPr="00A76E68">
        <w:rPr>
          <w:i/>
          <w:lang w:val="fr-FR"/>
        </w:rPr>
        <w:t>c</w:t>
      </w:r>
      <w:r w:rsidRPr="00A76E68">
        <w:rPr>
          <w:lang w:val="fr-FR"/>
        </w:rPr>
        <w:t xml:space="preserve"> du paragraphe 7.3.2 de l</w:t>
      </w:r>
      <w:r w:rsidR="00DB4C2D">
        <w:rPr>
          <w:lang w:val="fr-FR"/>
        </w:rPr>
        <w:t>’</w:t>
      </w:r>
      <w:r w:rsidRPr="00A76E68">
        <w:rPr>
          <w:lang w:val="fr-FR"/>
        </w:rPr>
        <w:t>appendice 1 à l</w:t>
      </w:r>
      <w:r w:rsidR="00DB4C2D">
        <w:rPr>
          <w:lang w:val="fr-FR"/>
        </w:rPr>
        <w:t>’</w:t>
      </w:r>
      <w:r w:rsidRPr="00A76E68">
        <w:rPr>
          <w:lang w:val="fr-FR"/>
        </w:rPr>
        <w:t>annexe 11 du présent Règlement (par exemple, surveillance du démarrage à froid, surveillance du système de climatisation, etc.); ou</w:t>
      </w:r>
    </w:p>
    <w:p w:rsidR="00A76E68" w:rsidRPr="00A76E68" w:rsidRDefault="00A76E68" w:rsidP="003B646C">
      <w:pPr>
        <w:pStyle w:val="SingleTxtG"/>
        <w:ind w:left="3402" w:hanging="567"/>
        <w:rPr>
          <w:rFonts w:eastAsia="Times New Roman"/>
          <w:lang w:val="fr-FR"/>
        </w:rPr>
      </w:pPr>
      <w:r w:rsidRPr="00A76E68">
        <w:rPr>
          <w:rFonts w:eastAsia="Times New Roman"/>
          <w:lang w:val="fr-FR"/>
        </w:rPr>
        <w:t>ii)</w:t>
      </w:r>
      <w:r w:rsidRPr="00A76E68">
        <w:rPr>
          <w:rFonts w:eastAsia="Times New Roman"/>
          <w:lang w:val="fr-FR"/>
        </w:rPr>
        <w:tab/>
        <w:t xml:space="preserve">25 pour la surveillance des </w:t>
      </w:r>
      <w:r w:rsidRPr="00A76E68">
        <w:rPr>
          <w:lang w:val="fr-FR"/>
        </w:rPr>
        <w:t>filtres</w:t>
      </w:r>
      <w:r w:rsidRPr="00A76E68">
        <w:rPr>
          <w:rFonts w:eastAsia="Times New Roman"/>
          <w:lang w:val="fr-FR"/>
        </w:rPr>
        <w:t xml:space="preserve"> à particules et la surveillance des catalyseurs à oxydation dont le dénominateur est augmenté conformément à l</w:t>
      </w:r>
      <w:r w:rsidR="00DB4C2D">
        <w:rPr>
          <w:rFonts w:eastAsia="Times New Roman"/>
          <w:lang w:val="fr-FR"/>
        </w:rPr>
        <w:t>’</w:t>
      </w:r>
      <w:r w:rsidRPr="00A76E68">
        <w:rPr>
          <w:rFonts w:eastAsia="Times New Roman"/>
          <w:lang w:val="fr-FR"/>
        </w:rPr>
        <w:t>alinéa </w:t>
      </w:r>
      <w:r w:rsidRPr="00A76E68">
        <w:rPr>
          <w:rFonts w:eastAsia="Times New Roman"/>
          <w:i/>
          <w:lang w:val="fr-FR"/>
        </w:rPr>
        <w:t>d</w:t>
      </w:r>
      <w:r w:rsidRPr="00A76E68">
        <w:rPr>
          <w:rFonts w:eastAsia="Times New Roman"/>
          <w:lang w:val="fr-FR"/>
        </w:rPr>
        <w:t xml:space="preserve"> du paragraphe 7.3.2 de l</w:t>
      </w:r>
      <w:r w:rsidR="00DB4C2D">
        <w:rPr>
          <w:rFonts w:eastAsia="Times New Roman"/>
          <w:lang w:val="fr-FR"/>
        </w:rPr>
        <w:t>’</w:t>
      </w:r>
      <w:r w:rsidRPr="00A76E68">
        <w:rPr>
          <w:rFonts w:eastAsia="Times New Roman"/>
          <w:lang w:val="fr-FR"/>
        </w:rPr>
        <w:t>appendice 1 à l</w:t>
      </w:r>
      <w:r w:rsidR="00DB4C2D">
        <w:rPr>
          <w:rFonts w:eastAsia="Times New Roman"/>
          <w:lang w:val="fr-FR"/>
        </w:rPr>
        <w:t>’</w:t>
      </w:r>
      <w:r w:rsidRPr="00A76E68">
        <w:rPr>
          <w:rFonts w:eastAsia="Times New Roman"/>
          <w:lang w:val="fr-FR"/>
        </w:rPr>
        <w:t>annexe 11 du présent Règlement; ou</w:t>
      </w:r>
    </w:p>
    <w:p w:rsidR="00A76E68" w:rsidRPr="00A76E68" w:rsidRDefault="00A76E68" w:rsidP="003B646C">
      <w:pPr>
        <w:pStyle w:val="SingleTxtG"/>
        <w:ind w:left="3402" w:hanging="567"/>
        <w:rPr>
          <w:rFonts w:eastAsia="Times New Roman"/>
          <w:lang w:val="fr-FR"/>
        </w:rPr>
      </w:pPr>
      <w:r w:rsidRPr="00A76E68">
        <w:rPr>
          <w:rFonts w:eastAsia="Times New Roman"/>
          <w:lang w:val="fr-FR"/>
        </w:rPr>
        <w:lastRenderedPageBreak/>
        <w:t>iii)</w:t>
      </w:r>
      <w:r w:rsidRPr="00A76E68">
        <w:rPr>
          <w:rFonts w:eastAsia="Times New Roman"/>
          <w:lang w:val="fr-FR"/>
        </w:rPr>
        <w:tab/>
        <w:t>150 pour la surveillance des catalyseurs, des capteurs d</w:t>
      </w:r>
      <w:r w:rsidR="00DB4C2D">
        <w:rPr>
          <w:rFonts w:eastAsia="Times New Roman"/>
          <w:lang w:val="fr-FR"/>
        </w:rPr>
        <w:t>’</w:t>
      </w:r>
      <w:r w:rsidRPr="00A76E68">
        <w:rPr>
          <w:rFonts w:eastAsia="Times New Roman"/>
          <w:lang w:val="fr-FR"/>
        </w:rPr>
        <w:t>oxygène, des systèmes RGE, des systèmes VVT et de tous les autres composants;</w:t>
      </w:r>
    </w:p>
    <w:p w:rsidR="00A76E68" w:rsidRPr="00A76E68" w:rsidRDefault="00A76E68" w:rsidP="003B646C">
      <w:pPr>
        <w:pStyle w:val="SingleTxtG"/>
        <w:ind w:left="2835" w:hanging="567"/>
        <w:rPr>
          <w:rFonts w:eastAsia="Times New Roman"/>
          <w:lang w:val="fr-FR"/>
        </w:rPr>
      </w:pPr>
      <w:r w:rsidRPr="00A76E68">
        <w:rPr>
          <w:rFonts w:eastAsia="Times New Roman"/>
          <w:lang w:val="fr-FR"/>
        </w:rPr>
        <w:t>b)</w:t>
      </w:r>
      <w:r w:rsidRPr="00A76E68">
        <w:rPr>
          <w:rFonts w:eastAsia="Times New Roman"/>
          <w:lang w:val="fr-FR"/>
        </w:rPr>
        <w:tab/>
        <w:t>Qui n</w:t>
      </w:r>
      <w:r w:rsidR="00DB4C2D">
        <w:rPr>
          <w:rFonts w:eastAsia="Times New Roman"/>
          <w:lang w:val="fr-FR"/>
        </w:rPr>
        <w:t>’</w:t>
      </w:r>
      <w:r w:rsidRPr="00A76E68">
        <w:rPr>
          <w:rFonts w:eastAsia="Times New Roman"/>
          <w:lang w:val="fr-FR"/>
        </w:rPr>
        <w:t>ont pas fait l</w:t>
      </w:r>
      <w:r w:rsidR="00DB4C2D">
        <w:rPr>
          <w:rFonts w:eastAsia="Times New Roman"/>
          <w:lang w:val="fr-FR"/>
        </w:rPr>
        <w:t>’</w:t>
      </w:r>
      <w:r w:rsidRPr="00A76E68">
        <w:rPr>
          <w:rFonts w:eastAsia="Times New Roman"/>
          <w:lang w:val="fr-FR"/>
        </w:rPr>
        <w:t xml:space="preserve">objet de manipulations ni été équipés de pièces </w:t>
      </w:r>
      <w:r w:rsidRPr="00A76E68">
        <w:rPr>
          <w:lang w:val="fr-FR"/>
        </w:rPr>
        <w:t>supplémentaires</w:t>
      </w:r>
      <w:r w:rsidRPr="00A76E68">
        <w:rPr>
          <w:rFonts w:eastAsia="Times New Roman"/>
          <w:lang w:val="fr-FR"/>
        </w:rPr>
        <w:t xml:space="preserve"> ou modifiées qui auraient pour effet d</w:t>
      </w:r>
      <w:r w:rsidR="00DB4C2D">
        <w:rPr>
          <w:rFonts w:eastAsia="Times New Roman"/>
          <w:lang w:val="fr-FR"/>
        </w:rPr>
        <w:t>’</w:t>
      </w:r>
      <w:r w:rsidRPr="00A76E68">
        <w:rPr>
          <w:rFonts w:eastAsia="Times New Roman"/>
          <w:lang w:val="fr-FR"/>
        </w:rPr>
        <w:t>empêcher le système OBD de satisfaire aux prescriptions de l</w:t>
      </w:r>
      <w:r w:rsidR="00DB4C2D">
        <w:rPr>
          <w:rFonts w:eastAsia="Times New Roman"/>
          <w:lang w:val="fr-FR"/>
        </w:rPr>
        <w:t>’</w:t>
      </w:r>
      <w:r w:rsidRPr="00A76E68">
        <w:rPr>
          <w:rFonts w:eastAsia="Times New Roman"/>
          <w:lang w:val="fr-FR"/>
        </w:rPr>
        <w:t>annexe 11 du présent Règlement.</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2.3</w:t>
      </w:r>
      <w:r w:rsidRPr="00A76E68">
        <w:rPr>
          <w:rFonts w:eastAsia="Times New Roman"/>
          <w:lang w:val="fr-FR"/>
        </w:rPr>
        <w:tab/>
        <w:t>Un dossier d</w:t>
      </w:r>
      <w:r w:rsidR="00DB4C2D">
        <w:rPr>
          <w:rFonts w:eastAsia="Times New Roman"/>
          <w:lang w:val="fr-FR"/>
        </w:rPr>
        <w:t>’</w:t>
      </w:r>
      <w:r w:rsidRPr="00A76E68">
        <w:rPr>
          <w:rFonts w:eastAsia="Times New Roman"/>
          <w:lang w:val="fr-FR"/>
        </w:rPr>
        <w:t>entretien doit attester que le véhicule a été entretenu correctement, par exemple, qu</w:t>
      </w:r>
      <w:r w:rsidR="00DB4C2D">
        <w:rPr>
          <w:rFonts w:eastAsia="Times New Roman"/>
          <w:lang w:val="fr-FR"/>
        </w:rPr>
        <w:t>’</w:t>
      </w:r>
      <w:r w:rsidRPr="00A76E68">
        <w:rPr>
          <w:rFonts w:eastAsia="Times New Roman"/>
          <w:lang w:val="fr-FR"/>
        </w:rPr>
        <w:t>il a subi les entretiens nécessaires selon les recommandations du constructeur.</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2.4</w:t>
      </w:r>
      <w:r w:rsidRPr="00A76E68">
        <w:rPr>
          <w:rFonts w:eastAsia="Times New Roman"/>
          <w:lang w:val="fr-FR"/>
        </w:rPr>
        <w:tab/>
        <w:t>Le véhicule ne doit présenter aucun signe de mauvaise utilisation (participation à des courses de vitesse, surcharge, utilisation d</w:t>
      </w:r>
      <w:r w:rsidR="00DB4C2D">
        <w:rPr>
          <w:rFonts w:eastAsia="Times New Roman"/>
          <w:lang w:val="fr-FR"/>
        </w:rPr>
        <w:t>’</w:t>
      </w:r>
      <w:r w:rsidRPr="00A76E68">
        <w:rPr>
          <w:rFonts w:eastAsia="Times New Roman"/>
          <w:lang w:val="fr-FR"/>
        </w:rPr>
        <w:t>un carburant inadéquat ou autre), ni d</w:t>
      </w:r>
      <w:r w:rsidR="00DB4C2D">
        <w:rPr>
          <w:rFonts w:eastAsia="Times New Roman"/>
          <w:lang w:val="fr-FR"/>
        </w:rPr>
        <w:t>’</w:t>
      </w:r>
      <w:r w:rsidRPr="00A76E68">
        <w:rPr>
          <w:rFonts w:eastAsia="Times New Roman"/>
          <w:lang w:val="fr-FR"/>
        </w:rPr>
        <w:t>autres facteurs (par exemple, manipulations) susceptibles d</w:t>
      </w:r>
      <w:r w:rsidR="00DB4C2D">
        <w:rPr>
          <w:rFonts w:eastAsia="Times New Roman"/>
          <w:lang w:val="fr-FR"/>
        </w:rPr>
        <w:t>’</w:t>
      </w:r>
      <w:r w:rsidRPr="00A76E68">
        <w:rPr>
          <w:rFonts w:eastAsia="Times New Roman"/>
          <w:lang w:val="fr-FR"/>
        </w:rPr>
        <w:t>avoir une incidence sur le comportement du véhicule en matière d</w:t>
      </w:r>
      <w:r w:rsidR="00DB4C2D">
        <w:rPr>
          <w:rFonts w:eastAsia="Times New Roman"/>
          <w:lang w:val="fr-FR"/>
        </w:rPr>
        <w:t>’</w:t>
      </w:r>
      <w:r w:rsidRPr="00A76E68">
        <w:rPr>
          <w:rFonts w:eastAsia="Times New Roman"/>
          <w:lang w:val="fr-FR"/>
        </w:rPr>
        <w:t>émissions. Les informations concernant le code d</w:t>
      </w:r>
      <w:r w:rsidR="00DB4C2D">
        <w:rPr>
          <w:rFonts w:eastAsia="Times New Roman"/>
          <w:lang w:val="fr-FR"/>
        </w:rPr>
        <w:t>’</w:t>
      </w:r>
      <w:r w:rsidRPr="00A76E68">
        <w:rPr>
          <w:rFonts w:eastAsia="Times New Roman"/>
          <w:lang w:val="fr-FR"/>
        </w:rPr>
        <w:t>erreur et le kilométrage stockées dans l</w:t>
      </w:r>
      <w:r w:rsidR="00DB4C2D">
        <w:rPr>
          <w:rFonts w:eastAsia="Times New Roman"/>
          <w:lang w:val="fr-FR"/>
        </w:rPr>
        <w:t>’</w:t>
      </w:r>
      <w:r w:rsidRPr="00A76E68">
        <w:rPr>
          <w:rFonts w:eastAsia="Times New Roman"/>
          <w:lang w:val="fr-FR"/>
        </w:rPr>
        <w:t>ordinateur sont prises en considération. On ne doit pas sélectionner pour l</w:t>
      </w:r>
      <w:r w:rsidR="00DB4C2D">
        <w:rPr>
          <w:rFonts w:eastAsia="Times New Roman"/>
          <w:lang w:val="fr-FR"/>
        </w:rPr>
        <w:t>’</w:t>
      </w:r>
      <w:r w:rsidRPr="00A76E68">
        <w:rPr>
          <w:rFonts w:eastAsia="Times New Roman"/>
          <w:lang w:val="fr-FR"/>
        </w:rPr>
        <w:t>essai un véhicule dont les informations stockées dans l</w:t>
      </w:r>
      <w:r w:rsidR="00DB4C2D">
        <w:rPr>
          <w:rFonts w:eastAsia="Times New Roman"/>
          <w:lang w:val="fr-FR"/>
        </w:rPr>
        <w:t>’</w:t>
      </w:r>
      <w:r w:rsidRPr="00A76E68">
        <w:rPr>
          <w:rFonts w:eastAsia="Times New Roman"/>
          <w:lang w:val="fr-FR"/>
        </w:rPr>
        <w:t>ordinateur montrent qu</w:t>
      </w:r>
      <w:r w:rsidR="00DB4C2D">
        <w:rPr>
          <w:rFonts w:eastAsia="Times New Roman"/>
          <w:lang w:val="fr-FR"/>
        </w:rPr>
        <w:t>’</w:t>
      </w:r>
      <w:r w:rsidRPr="00A76E68">
        <w:rPr>
          <w:rFonts w:eastAsia="Times New Roman"/>
          <w:lang w:val="fr-FR"/>
        </w:rPr>
        <w:t>il a fonctionné après l</w:t>
      </w:r>
      <w:r w:rsidR="00DB4C2D">
        <w:rPr>
          <w:rFonts w:eastAsia="Times New Roman"/>
          <w:lang w:val="fr-FR"/>
        </w:rPr>
        <w:t>’</w:t>
      </w:r>
      <w:r w:rsidRPr="00A76E68">
        <w:rPr>
          <w:rFonts w:eastAsia="Times New Roman"/>
          <w:lang w:val="fr-FR"/>
        </w:rPr>
        <w:t>enregistrement d</w:t>
      </w:r>
      <w:r w:rsidR="00DB4C2D">
        <w:rPr>
          <w:rFonts w:eastAsia="Times New Roman"/>
          <w:lang w:val="fr-FR"/>
        </w:rPr>
        <w:t>’</w:t>
      </w:r>
      <w:r w:rsidRPr="00A76E68">
        <w:rPr>
          <w:rFonts w:eastAsia="Times New Roman"/>
          <w:lang w:val="fr-FR"/>
        </w:rPr>
        <w:t>un code d</w:t>
      </w:r>
      <w:r w:rsidR="00DB4C2D">
        <w:rPr>
          <w:rFonts w:eastAsia="Times New Roman"/>
          <w:lang w:val="fr-FR"/>
        </w:rPr>
        <w:t>’</w:t>
      </w:r>
      <w:r w:rsidRPr="00A76E68">
        <w:rPr>
          <w:rFonts w:eastAsia="Times New Roman"/>
          <w:lang w:val="fr-FR"/>
        </w:rPr>
        <w:t>erreur et qu</w:t>
      </w:r>
      <w:r w:rsidR="00DB4C2D">
        <w:rPr>
          <w:rFonts w:eastAsia="Times New Roman"/>
          <w:lang w:val="fr-FR"/>
        </w:rPr>
        <w:t>’</w:t>
      </w:r>
      <w:r w:rsidRPr="00A76E68">
        <w:rPr>
          <w:rFonts w:eastAsia="Times New Roman"/>
          <w:lang w:val="fr-FR"/>
        </w:rPr>
        <w:t>il n</w:t>
      </w:r>
      <w:r w:rsidR="00DB4C2D">
        <w:rPr>
          <w:rFonts w:eastAsia="Times New Roman"/>
          <w:lang w:val="fr-FR"/>
        </w:rPr>
        <w:t>’</w:t>
      </w:r>
      <w:r w:rsidRPr="00A76E68">
        <w:rPr>
          <w:rFonts w:eastAsia="Times New Roman"/>
          <w:lang w:val="fr-FR"/>
        </w:rPr>
        <w:t>a pas été réparé rapidement.</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2.5</w:t>
      </w:r>
      <w:r w:rsidRPr="00A76E68">
        <w:rPr>
          <w:rFonts w:eastAsia="Times New Roman"/>
          <w:lang w:val="fr-FR"/>
        </w:rPr>
        <w:tab/>
        <w:t>Il ne doit y avoir eu aucune réparation importante non autorisée du moteur du véhicule ni aucune réparation importante du véhicule lui-même.</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2.6</w:t>
      </w:r>
      <w:r w:rsidRPr="00A76E68">
        <w:rPr>
          <w:rFonts w:eastAsia="Times New Roman"/>
          <w:lang w:val="fr-FR"/>
        </w:rPr>
        <w:tab/>
        <w:t>La teneur en plomb et en soufre d</w:t>
      </w:r>
      <w:r w:rsidR="00DB4C2D">
        <w:rPr>
          <w:rFonts w:eastAsia="Times New Roman"/>
          <w:lang w:val="fr-FR"/>
        </w:rPr>
        <w:t>’</w:t>
      </w:r>
      <w:r w:rsidRPr="00A76E68">
        <w:rPr>
          <w:rFonts w:eastAsia="Times New Roman"/>
          <w:lang w:val="fr-FR"/>
        </w:rPr>
        <w:t>un échantillon de carburant prélevé dans le réservoir du véhicule doit correspondre aux normes en vigueur et le véhicule ne doit présenter aucun signe d</w:t>
      </w:r>
      <w:r w:rsidR="00DB4C2D">
        <w:rPr>
          <w:rFonts w:eastAsia="Times New Roman"/>
          <w:lang w:val="fr-FR"/>
        </w:rPr>
        <w:t>’</w:t>
      </w:r>
      <w:r w:rsidRPr="00A76E68">
        <w:rPr>
          <w:rFonts w:eastAsia="Times New Roman"/>
          <w:lang w:val="fr-FR"/>
        </w:rPr>
        <w:t>utilisation d</w:t>
      </w:r>
      <w:r w:rsidR="00DB4C2D">
        <w:rPr>
          <w:rFonts w:eastAsia="Times New Roman"/>
          <w:lang w:val="fr-FR"/>
        </w:rPr>
        <w:t>’</w:t>
      </w:r>
      <w:r w:rsidRPr="00A76E68">
        <w:rPr>
          <w:rFonts w:eastAsia="Times New Roman"/>
          <w:lang w:val="fr-FR"/>
        </w:rPr>
        <w:t>un carburant inadéquat. Des contrôles peuvent être opérés au niveau du tuyau d</w:t>
      </w:r>
      <w:r w:rsidR="00DB4C2D">
        <w:rPr>
          <w:rFonts w:eastAsia="Times New Roman"/>
          <w:lang w:val="fr-FR"/>
        </w:rPr>
        <w:t>’</w:t>
      </w:r>
      <w:r w:rsidRPr="00A76E68">
        <w:rPr>
          <w:rFonts w:eastAsia="Times New Roman"/>
          <w:lang w:val="fr-FR"/>
        </w:rPr>
        <w:t>échappement, etc.</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2.7</w:t>
      </w:r>
      <w:r w:rsidRPr="00A76E68">
        <w:rPr>
          <w:rFonts w:eastAsia="Times New Roman"/>
          <w:lang w:val="fr-FR"/>
        </w:rPr>
        <w:tab/>
        <w:t>Le véhicule ne doit présenter aucun signe de problème susceptible de compromettre la sécurité du personnel de laboratoire.</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2.8</w:t>
      </w:r>
      <w:r w:rsidRPr="00A76E68">
        <w:rPr>
          <w:rFonts w:eastAsia="Times New Roman"/>
          <w:lang w:val="fr-FR"/>
        </w:rPr>
        <w:tab/>
        <w:t>Tous les composants du système antipollution du véhicule doivent être conformes au type homologué.</w:t>
      </w:r>
    </w:p>
    <w:p w:rsidR="00A76E68" w:rsidRPr="00A76E68" w:rsidRDefault="00A76E68" w:rsidP="003B646C">
      <w:pPr>
        <w:pStyle w:val="SingleTxtG"/>
        <w:keepNext/>
        <w:ind w:left="2268" w:hanging="1134"/>
        <w:rPr>
          <w:rFonts w:eastAsia="Times New Roman"/>
          <w:lang w:val="fr-FR"/>
        </w:rPr>
      </w:pPr>
      <w:r w:rsidRPr="00A76E68">
        <w:rPr>
          <w:rFonts w:eastAsia="Times New Roman"/>
          <w:lang w:val="fr-FR"/>
        </w:rPr>
        <w:t>3.</w:t>
      </w:r>
      <w:r w:rsidRPr="00A76E68">
        <w:rPr>
          <w:rFonts w:eastAsia="Times New Roman"/>
          <w:lang w:val="fr-FR"/>
        </w:rPr>
        <w:tab/>
      </w:r>
      <w:r w:rsidRPr="00A76E68">
        <w:rPr>
          <w:rFonts w:eastAsia="Times New Roman"/>
          <w:lang w:val="fr-FR"/>
        </w:rPr>
        <w:tab/>
        <w:t xml:space="preserve">Diagnostic et entretien </w:t>
      </w:r>
    </w:p>
    <w:p w:rsidR="00A76E68" w:rsidRPr="00A76E68" w:rsidRDefault="00A76E68" w:rsidP="003B646C">
      <w:pPr>
        <w:pStyle w:val="SingleTxtG"/>
        <w:ind w:left="2268"/>
        <w:rPr>
          <w:rFonts w:eastAsia="Times New Roman"/>
          <w:lang w:val="fr-FR"/>
        </w:rPr>
      </w:pPr>
      <w:r w:rsidRPr="00A76E68">
        <w:rPr>
          <w:rFonts w:eastAsia="Times New Roman"/>
          <w:lang w:val="fr-FR"/>
        </w:rPr>
        <w:tab/>
        <w:t>Il faut procéder au diagnostic et à l</w:t>
      </w:r>
      <w:r w:rsidR="00DB4C2D">
        <w:rPr>
          <w:rFonts w:eastAsia="Times New Roman"/>
          <w:lang w:val="fr-FR"/>
        </w:rPr>
        <w:t>’</w:t>
      </w:r>
      <w:r w:rsidRPr="00A76E68">
        <w:rPr>
          <w:rFonts w:eastAsia="Times New Roman"/>
          <w:lang w:val="fr-FR"/>
        </w:rPr>
        <w:t xml:space="preserve">entretien normal nécessaire des véhicules acceptés pour les </w:t>
      </w:r>
      <w:r w:rsidRPr="00A76E68">
        <w:rPr>
          <w:lang w:val="fr-FR"/>
        </w:rPr>
        <w:t>essais</w:t>
      </w:r>
      <w:r w:rsidRPr="00A76E68">
        <w:rPr>
          <w:rFonts w:eastAsia="Times New Roman"/>
          <w:lang w:val="fr-FR"/>
        </w:rPr>
        <w:t xml:space="preserve"> avant de mesurer les émissions à l</w:t>
      </w:r>
      <w:r w:rsidR="00DB4C2D">
        <w:rPr>
          <w:rFonts w:eastAsia="Times New Roman"/>
          <w:lang w:val="fr-FR"/>
        </w:rPr>
        <w:t>’</w:t>
      </w:r>
      <w:r w:rsidRPr="00A76E68">
        <w:rPr>
          <w:rFonts w:eastAsia="Times New Roman"/>
          <w:lang w:val="fr-FR"/>
        </w:rPr>
        <w:t>échappement selon la procédure prévue aux paragraphes 3.1 à 3.8.</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3.1</w:t>
      </w:r>
      <w:r w:rsidRPr="00A76E68">
        <w:rPr>
          <w:rFonts w:eastAsia="Times New Roman"/>
          <w:lang w:val="fr-FR"/>
        </w:rPr>
        <w:tab/>
        <w:t>Il faut vérifier le filtre à air, toutes les courroies d</w:t>
      </w:r>
      <w:r w:rsidR="00DB4C2D">
        <w:rPr>
          <w:rFonts w:eastAsia="Times New Roman"/>
          <w:lang w:val="fr-FR"/>
        </w:rPr>
        <w:t>’</w:t>
      </w:r>
      <w:r w:rsidRPr="00A76E68">
        <w:rPr>
          <w:rFonts w:eastAsia="Times New Roman"/>
          <w:lang w:val="fr-FR"/>
        </w:rPr>
        <w:t>entraînement, tous les niveaux de liquides, le bouchon du radiateur, tous les flexibles à dépression et le câblage électrique du système antipollution. Il y a lieu de vérifier également que les composants de l</w:t>
      </w:r>
      <w:r w:rsidR="00DB4C2D">
        <w:rPr>
          <w:rFonts w:eastAsia="Times New Roman"/>
          <w:lang w:val="fr-FR"/>
        </w:rPr>
        <w:t>’</w:t>
      </w:r>
      <w:r w:rsidRPr="00A76E68">
        <w:rPr>
          <w:rFonts w:eastAsia="Times New Roman"/>
          <w:lang w:val="fr-FR"/>
        </w:rPr>
        <w:t>allumage, de la mesure du carburant et des dispositifs antipollution ne présentent aucun mauvais réglage et n</w:t>
      </w:r>
      <w:r w:rsidR="00DB4C2D">
        <w:rPr>
          <w:rFonts w:eastAsia="Times New Roman"/>
          <w:lang w:val="fr-FR"/>
        </w:rPr>
        <w:t>’</w:t>
      </w:r>
      <w:r w:rsidRPr="00A76E68">
        <w:rPr>
          <w:rFonts w:eastAsia="Times New Roman"/>
          <w:lang w:val="fr-FR"/>
        </w:rPr>
        <w:t>ont subi aucune manipulation. Toutes les anomalies doivent être enregistrées.</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3.2</w:t>
      </w:r>
      <w:r w:rsidRPr="00A76E68">
        <w:rPr>
          <w:rFonts w:eastAsia="Times New Roman"/>
          <w:lang w:val="fr-FR"/>
        </w:rPr>
        <w:tab/>
        <w:t>Le bon fonctionnement du système OBD doit être vérifié. Toutes les informations de dysfonctionnement contenues dans la mémoire du système OBD doivent être enregistrées, et les réparations nécessaires doivent être effectuées. Si le témoin de défaillance OBD enregistre un dysfonctionnement au cours d</w:t>
      </w:r>
      <w:r w:rsidR="00DB4C2D">
        <w:rPr>
          <w:rFonts w:eastAsia="Times New Roman"/>
          <w:lang w:val="fr-FR"/>
        </w:rPr>
        <w:t>’</w:t>
      </w:r>
      <w:r w:rsidRPr="00A76E68">
        <w:rPr>
          <w:rFonts w:eastAsia="Times New Roman"/>
          <w:lang w:val="fr-FR"/>
        </w:rPr>
        <w:t xml:space="preserve">un cycle de </w:t>
      </w:r>
      <w:proofErr w:type="spellStart"/>
      <w:r w:rsidRPr="00A76E68">
        <w:rPr>
          <w:rFonts w:eastAsia="Times New Roman"/>
          <w:lang w:val="fr-FR"/>
        </w:rPr>
        <w:t>préconditionnement</w:t>
      </w:r>
      <w:proofErr w:type="spellEnd"/>
      <w:r w:rsidRPr="00A76E68">
        <w:rPr>
          <w:rFonts w:eastAsia="Times New Roman"/>
          <w:lang w:val="fr-FR"/>
        </w:rPr>
        <w:t>, la défaillance peut être identifiée et le véhicule peut être réparé. L</w:t>
      </w:r>
      <w:r w:rsidR="00DB4C2D">
        <w:rPr>
          <w:rFonts w:eastAsia="Times New Roman"/>
          <w:lang w:val="fr-FR"/>
        </w:rPr>
        <w:t>’</w:t>
      </w:r>
      <w:r w:rsidRPr="00A76E68">
        <w:rPr>
          <w:rFonts w:eastAsia="Times New Roman"/>
          <w:lang w:val="fr-FR"/>
        </w:rPr>
        <w:t>essai peut être exécuté à nouveau et les résultats obtenus pour ce véhicule réparé peuvent être utilisés.</w:t>
      </w:r>
    </w:p>
    <w:p w:rsidR="00A76E68" w:rsidRPr="00A76E68" w:rsidRDefault="00A76E68" w:rsidP="003B646C">
      <w:pPr>
        <w:pStyle w:val="SingleTxtG"/>
        <w:ind w:left="2268" w:hanging="1134"/>
        <w:rPr>
          <w:rFonts w:eastAsia="Times New Roman"/>
          <w:lang w:val="fr-FR"/>
        </w:rPr>
      </w:pPr>
      <w:r w:rsidRPr="00A76E68">
        <w:rPr>
          <w:rFonts w:eastAsia="Times New Roman"/>
          <w:lang w:val="fr-FR"/>
        </w:rPr>
        <w:lastRenderedPageBreak/>
        <w:t>3.3</w:t>
      </w:r>
      <w:r w:rsidRPr="00A76E68">
        <w:rPr>
          <w:rFonts w:eastAsia="Times New Roman"/>
          <w:lang w:val="fr-FR"/>
        </w:rPr>
        <w:tab/>
        <w:t>Le système d</w:t>
      </w:r>
      <w:r w:rsidR="00DB4C2D">
        <w:rPr>
          <w:rFonts w:eastAsia="Times New Roman"/>
          <w:lang w:val="fr-FR"/>
        </w:rPr>
        <w:t>’</w:t>
      </w:r>
      <w:r w:rsidRPr="00A76E68">
        <w:rPr>
          <w:rFonts w:eastAsia="Times New Roman"/>
          <w:lang w:val="fr-FR"/>
        </w:rPr>
        <w:t>allumage doit être vérifié et les composants défectueux remplacés, par exemple les bougies d</w:t>
      </w:r>
      <w:r w:rsidR="00DB4C2D">
        <w:rPr>
          <w:rFonts w:eastAsia="Times New Roman"/>
          <w:lang w:val="fr-FR"/>
        </w:rPr>
        <w:t>’</w:t>
      </w:r>
      <w:r w:rsidRPr="00A76E68">
        <w:rPr>
          <w:rFonts w:eastAsia="Times New Roman"/>
          <w:lang w:val="fr-FR"/>
        </w:rPr>
        <w:t>allumage, le câblage, etc.</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3.4</w:t>
      </w:r>
      <w:r w:rsidRPr="00A76E68">
        <w:rPr>
          <w:rFonts w:eastAsia="Times New Roman"/>
          <w:lang w:val="fr-FR"/>
        </w:rPr>
        <w:tab/>
        <w:t>La compression doit être vérifiée. Si le résultat n</w:t>
      </w:r>
      <w:r w:rsidR="00DB4C2D">
        <w:rPr>
          <w:rFonts w:eastAsia="Times New Roman"/>
          <w:lang w:val="fr-FR"/>
        </w:rPr>
        <w:t>’</w:t>
      </w:r>
      <w:r w:rsidRPr="00A76E68">
        <w:rPr>
          <w:rFonts w:eastAsia="Times New Roman"/>
          <w:lang w:val="fr-FR"/>
        </w:rPr>
        <w:t>est pas satisfaisant, le véhicule est rejeté.</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3.5</w:t>
      </w:r>
      <w:r w:rsidRPr="00A76E68">
        <w:rPr>
          <w:rFonts w:eastAsia="Times New Roman"/>
          <w:lang w:val="fr-FR"/>
        </w:rPr>
        <w:tab/>
        <w:t>Les paramètres du moteur doivent être vérifiés par rapport aux spécifications du constructeur et adaptés si nécessaire.</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3.6</w:t>
      </w:r>
      <w:r w:rsidRPr="00A76E68">
        <w:rPr>
          <w:rFonts w:eastAsia="Times New Roman"/>
          <w:lang w:val="fr-FR"/>
        </w:rPr>
        <w:tab/>
        <w:t>Si le véhicule doit subir un entretien programmé au cours des 800 km suivants, il faut effectuer cet entretien conformément aux instructions du constructeur. Indépendamment du kilométrage indiqué par le compteur, les filtres à huile et à air peuvent être changés à la demande du constructeur.</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3.7</w:t>
      </w:r>
      <w:r w:rsidRPr="00A76E68">
        <w:rPr>
          <w:rFonts w:eastAsia="Times New Roman"/>
          <w:lang w:val="fr-FR"/>
        </w:rPr>
        <w:tab/>
        <w:t>Lorsque le véhicule est accepté, le carburant doit être remplacé par le carburant de référence approprié pour les essais d</w:t>
      </w:r>
      <w:r w:rsidR="00DB4C2D">
        <w:rPr>
          <w:rFonts w:eastAsia="Times New Roman"/>
          <w:lang w:val="fr-FR"/>
        </w:rPr>
        <w:t>’</w:t>
      </w:r>
      <w:r w:rsidRPr="00A76E68">
        <w:rPr>
          <w:rFonts w:eastAsia="Times New Roman"/>
          <w:lang w:val="fr-FR"/>
        </w:rPr>
        <w:t>émissions, sauf si le constructeur accepte l</w:t>
      </w:r>
      <w:r w:rsidR="00DB4C2D">
        <w:rPr>
          <w:rFonts w:eastAsia="Times New Roman"/>
          <w:lang w:val="fr-FR"/>
        </w:rPr>
        <w:t>’</w:t>
      </w:r>
      <w:r w:rsidRPr="00A76E68">
        <w:rPr>
          <w:rFonts w:eastAsia="Times New Roman"/>
          <w:lang w:val="fr-FR"/>
        </w:rPr>
        <w:t>utilisation de carburant disponible sur le marché.</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3.8</w:t>
      </w:r>
      <w:r w:rsidRPr="00A76E68">
        <w:rPr>
          <w:rFonts w:eastAsia="Times New Roman"/>
          <w:lang w:val="fr-FR"/>
        </w:rPr>
        <w:tab/>
        <w:t>Dans le cas des véhicules équipés de dispositifs à régénération discontinue tels qu</w:t>
      </w:r>
      <w:r w:rsidR="00DB4C2D">
        <w:rPr>
          <w:rFonts w:eastAsia="Times New Roman"/>
          <w:lang w:val="fr-FR"/>
        </w:rPr>
        <w:t>’</w:t>
      </w:r>
      <w:r w:rsidRPr="00A76E68">
        <w:rPr>
          <w:rFonts w:eastAsia="Times New Roman"/>
          <w:lang w:val="fr-FR"/>
        </w:rPr>
        <w:t>ils sont définis au paragraphe 2.20 du présent Règlement, on doit vérifier que le véhicule n</w:t>
      </w:r>
      <w:r w:rsidR="00DB4C2D">
        <w:rPr>
          <w:rFonts w:eastAsia="Times New Roman"/>
          <w:lang w:val="fr-FR"/>
        </w:rPr>
        <w:t>’</w:t>
      </w:r>
      <w:r w:rsidRPr="00A76E68">
        <w:rPr>
          <w:rFonts w:eastAsia="Times New Roman"/>
          <w:lang w:val="fr-FR"/>
        </w:rPr>
        <w:t>est pas proche d</w:t>
      </w:r>
      <w:r w:rsidR="00DB4C2D">
        <w:rPr>
          <w:rFonts w:eastAsia="Times New Roman"/>
          <w:lang w:val="fr-FR"/>
        </w:rPr>
        <w:t>’</w:t>
      </w:r>
      <w:r w:rsidRPr="00A76E68">
        <w:rPr>
          <w:rFonts w:eastAsia="Times New Roman"/>
          <w:lang w:val="fr-FR"/>
        </w:rPr>
        <w:t>une phase de régénération (la possibilité doit être donnée au constructeur de confirmer ce point).</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3.8.1</w:t>
      </w:r>
      <w:r w:rsidRPr="00A76E68">
        <w:rPr>
          <w:rFonts w:eastAsia="Times New Roman"/>
          <w:lang w:val="fr-FR"/>
        </w:rPr>
        <w:tab/>
        <w:t>Si tel est le cas, on doit faire fonctionner le véhicule jusqu</w:t>
      </w:r>
      <w:r w:rsidR="00DB4C2D">
        <w:rPr>
          <w:rFonts w:eastAsia="Times New Roman"/>
          <w:lang w:val="fr-FR"/>
        </w:rPr>
        <w:t>’</w:t>
      </w:r>
      <w:r w:rsidRPr="00A76E68">
        <w:rPr>
          <w:rFonts w:eastAsia="Times New Roman"/>
          <w:lang w:val="fr-FR"/>
        </w:rPr>
        <w:t>à la fin de la phase de régénération. Si une régénération se produit durant la mesure d</w:t>
      </w:r>
      <w:r w:rsidR="00DB4C2D">
        <w:rPr>
          <w:rFonts w:eastAsia="Times New Roman"/>
          <w:lang w:val="fr-FR"/>
        </w:rPr>
        <w:t>’</w:t>
      </w:r>
      <w:r w:rsidRPr="00A76E68">
        <w:rPr>
          <w:rFonts w:eastAsia="Times New Roman"/>
          <w:lang w:val="fr-FR"/>
        </w:rPr>
        <w:t>émissions de polluants, un nouvel essai doit être effectué pour vérifier que la phase de régénération est terminée. On doit ensuite exécuter un nouvel essai complet, et les résultats des premier et deuxième essais ne sont pas pris en compte.</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3.8.2</w:t>
      </w:r>
      <w:r w:rsidRPr="00A76E68">
        <w:rPr>
          <w:rFonts w:eastAsia="Times New Roman"/>
          <w:lang w:val="fr-FR"/>
        </w:rPr>
        <w:tab/>
      </w:r>
      <w:r w:rsidRPr="00A76E68">
        <w:rPr>
          <w:rFonts w:eastAsia="Times New Roman"/>
          <w:lang w:val="fr-FR"/>
        </w:rPr>
        <w:tab/>
        <w:t>À défaut de l</w:t>
      </w:r>
      <w:r w:rsidR="00DB4C2D">
        <w:rPr>
          <w:rFonts w:eastAsia="Times New Roman"/>
          <w:lang w:val="fr-FR"/>
        </w:rPr>
        <w:t>’</w:t>
      </w:r>
      <w:r w:rsidRPr="00A76E68">
        <w:rPr>
          <w:rFonts w:eastAsia="Times New Roman"/>
          <w:lang w:val="fr-FR"/>
        </w:rPr>
        <w:t>application des dispositions du paragraphe 3.8.1 du présent appendice, le constructeur peut demander qu</w:t>
      </w:r>
      <w:r w:rsidR="00DB4C2D">
        <w:rPr>
          <w:rFonts w:eastAsia="Times New Roman"/>
          <w:lang w:val="fr-FR"/>
        </w:rPr>
        <w:t>’</w:t>
      </w:r>
      <w:r w:rsidRPr="00A76E68">
        <w:rPr>
          <w:rFonts w:eastAsia="Times New Roman"/>
          <w:lang w:val="fr-FR"/>
        </w:rPr>
        <w:t>un cycle particulier de conditionnement soit exécuté pour provoquer la survenue de la phase de régénération si le véhicule est proche d</w:t>
      </w:r>
      <w:r w:rsidR="00DB4C2D">
        <w:rPr>
          <w:rFonts w:eastAsia="Times New Roman"/>
          <w:lang w:val="fr-FR"/>
        </w:rPr>
        <w:t>’</w:t>
      </w:r>
      <w:r w:rsidRPr="00A76E68">
        <w:rPr>
          <w:rFonts w:eastAsia="Times New Roman"/>
          <w:lang w:val="fr-FR"/>
        </w:rPr>
        <w:t>une telle phase (ce qui peut nécessiter un fonctionnement à grande vitesse et à forte charge).</w:t>
      </w:r>
    </w:p>
    <w:p w:rsidR="00A76E68" w:rsidRPr="00A76E68" w:rsidRDefault="00A76E68" w:rsidP="003B646C">
      <w:pPr>
        <w:pStyle w:val="SingleTxtG"/>
        <w:ind w:left="2268"/>
        <w:rPr>
          <w:rFonts w:eastAsia="Times New Roman"/>
          <w:lang w:val="fr-FR"/>
        </w:rPr>
      </w:pPr>
      <w:r w:rsidRPr="00A76E68">
        <w:rPr>
          <w:rFonts w:eastAsia="Times New Roman"/>
          <w:lang w:val="fr-FR"/>
        </w:rPr>
        <w:tab/>
        <w:t xml:space="preserve">Le constructeur peut demander que les essais puissent être exécutés immédiatement </w:t>
      </w:r>
      <w:r w:rsidRPr="00A76E68">
        <w:rPr>
          <w:rFonts w:eastAsia="Times New Roman"/>
          <w:spacing w:val="-4"/>
          <w:lang w:val="fr-FR"/>
        </w:rPr>
        <w:t xml:space="preserve">après la régénération ou après le cycle de conditionnement prescrit par le </w:t>
      </w:r>
      <w:r w:rsidRPr="00A76E68">
        <w:rPr>
          <w:rFonts w:eastAsia="Times New Roman"/>
          <w:lang w:val="fr-FR"/>
        </w:rPr>
        <w:t>constructeur</w:t>
      </w:r>
      <w:r w:rsidRPr="00A76E68">
        <w:rPr>
          <w:rFonts w:eastAsia="Times New Roman"/>
          <w:spacing w:val="-4"/>
          <w:lang w:val="fr-FR"/>
        </w:rPr>
        <w:t xml:space="preserve"> </w:t>
      </w:r>
      <w:r w:rsidRPr="00A76E68">
        <w:rPr>
          <w:rFonts w:eastAsia="Times New Roman"/>
          <w:lang w:val="fr-FR"/>
        </w:rPr>
        <w:t xml:space="preserve">et le </w:t>
      </w:r>
      <w:proofErr w:type="spellStart"/>
      <w:r w:rsidRPr="00A76E68">
        <w:rPr>
          <w:rFonts w:eastAsia="Times New Roman"/>
          <w:lang w:val="fr-FR"/>
        </w:rPr>
        <w:t>préconditionnement</w:t>
      </w:r>
      <w:proofErr w:type="spellEnd"/>
      <w:r w:rsidRPr="00A76E68">
        <w:rPr>
          <w:rFonts w:eastAsia="Times New Roman"/>
          <w:lang w:val="fr-FR"/>
        </w:rPr>
        <w:t xml:space="preserve"> normal pour l</w:t>
      </w:r>
      <w:r w:rsidR="00DB4C2D">
        <w:rPr>
          <w:rFonts w:eastAsia="Times New Roman"/>
          <w:lang w:val="fr-FR"/>
        </w:rPr>
        <w:t>’</w:t>
      </w:r>
      <w:r w:rsidRPr="00A76E68">
        <w:rPr>
          <w:rFonts w:eastAsia="Times New Roman"/>
          <w:lang w:val="fr-FR"/>
        </w:rPr>
        <w:t>essai.</w:t>
      </w:r>
    </w:p>
    <w:p w:rsidR="00A76E68" w:rsidRPr="00A76E68" w:rsidRDefault="00A76E68" w:rsidP="003B646C">
      <w:pPr>
        <w:pStyle w:val="SingleTxtG"/>
        <w:keepNext/>
        <w:ind w:left="2268" w:hanging="1134"/>
        <w:rPr>
          <w:rFonts w:eastAsia="Times New Roman"/>
          <w:lang w:val="fr-FR"/>
        </w:rPr>
      </w:pPr>
      <w:r w:rsidRPr="00A76E68">
        <w:rPr>
          <w:rFonts w:eastAsia="Times New Roman"/>
          <w:lang w:val="fr-FR"/>
        </w:rPr>
        <w:t>4.</w:t>
      </w:r>
      <w:r w:rsidRPr="00A76E68">
        <w:rPr>
          <w:rFonts w:eastAsia="Times New Roman"/>
          <w:lang w:val="fr-FR"/>
        </w:rPr>
        <w:tab/>
      </w:r>
      <w:r w:rsidRPr="00A76E68">
        <w:rPr>
          <w:rFonts w:eastAsia="Times New Roman"/>
          <w:lang w:val="fr-FR"/>
        </w:rPr>
        <w:tab/>
        <w:t>Essai d</w:t>
      </w:r>
      <w:r w:rsidR="00DB4C2D">
        <w:rPr>
          <w:rFonts w:eastAsia="Times New Roman"/>
          <w:lang w:val="fr-FR"/>
        </w:rPr>
        <w:t>’</w:t>
      </w:r>
      <w:r w:rsidR="003B646C">
        <w:rPr>
          <w:rFonts w:eastAsia="Times New Roman"/>
          <w:lang w:val="fr-FR"/>
        </w:rPr>
        <w:t>un véhicule en service</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4.1</w:t>
      </w:r>
      <w:r w:rsidRPr="00A76E68">
        <w:rPr>
          <w:rFonts w:eastAsia="Times New Roman"/>
          <w:lang w:val="fr-FR"/>
        </w:rPr>
        <w:tab/>
      </w:r>
      <w:r w:rsidRPr="00A76E68">
        <w:rPr>
          <w:rFonts w:eastAsia="Times New Roman"/>
          <w:lang w:val="fr-FR"/>
        </w:rPr>
        <w:tab/>
        <w:t>Lorsqu</w:t>
      </w:r>
      <w:r w:rsidR="00DB4C2D">
        <w:rPr>
          <w:rFonts w:eastAsia="Times New Roman"/>
          <w:lang w:val="fr-FR"/>
        </w:rPr>
        <w:t>’</w:t>
      </w:r>
      <w:r w:rsidRPr="00A76E68">
        <w:rPr>
          <w:rFonts w:eastAsia="Times New Roman"/>
          <w:lang w:val="fr-FR"/>
        </w:rPr>
        <w:t>il est jugé nécessaire d</w:t>
      </w:r>
      <w:r w:rsidR="00DB4C2D">
        <w:rPr>
          <w:rFonts w:eastAsia="Times New Roman"/>
          <w:lang w:val="fr-FR"/>
        </w:rPr>
        <w:t>’</w:t>
      </w:r>
      <w:r w:rsidRPr="00A76E68">
        <w:rPr>
          <w:rFonts w:eastAsia="Times New Roman"/>
          <w:lang w:val="fr-FR"/>
        </w:rPr>
        <w:t>effectuer une vérification sur des véhicules, les essais d</w:t>
      </w:r>
      <w:r w:rsidR="00DB4C2D">
        <w:rPr>
          <w:rFonts w:eastAsia="Times New Roman"/>
          <w:lang w:val="fr-FR"/>
        </w:rPr>
        <w:t>’</w:t>
      </w:r>
      <w:r w:rsidRPr="00A76E68">
        <w:rPr>
          <w:rFonts w:eastAsia="Times New Roman"/>
          <w:lang w:val="fr-FR"/>
        </w:rPr>
        <w:t>émissions pratiqués conformément à l</w:t>
      </w:r>
      <w:r w:rsidR="00DB4C2D">
        <w:rPr>
          <w:rFonts w:eastAsia="Times New Roman"/>
          <w:lang w:val="fr-FR"/>
        </w:rPr>
        <w:t>’</w:t>
      </w:r>
      <w:r w:rsidRPr="00A76E68">
        <w:rPr>
          <w:rFonts w:eastAsia="Times New Roman"/>
          <w:lang w:val="fr-FR"/>
        </w:rPr>
        <w:t xml:space="preserve">annexe 4a du présent Règlement doivent être réalisés sur des véhicules </w:t>
      </w:r>
      <w:proofErr w:type="spellStart"/>
      <w:r w:rsidRPr="00A76E68">
        <w:rPr>
          <w:rFonts w:eastAsia="Times New Roman"/>
          <w:lang w:val="fr-FR"/>
        </w:rPr>
        <w:t>préconditionnés</w:t>
      </w:r>
      <w:proofErr w:type="spellEnd"/>
      <w:r w:rsidRPr="00A76E68">
        <w:rPr>
          <w:rFonts w:eastAsia="Times New Roman"/>
          <w:lang w:val="fr-FR"/>
        </w:rPr>
        <w:t xml:space="preserve"> sélectionnés conformément aux prescriptions des paragraphes 2 et 3 du présent appendice. Les cycles de </w:t>
      </w:r>
      <w:proofErr w:type="spellStart"/>
      <w:r w:rsidRPr="00A76E68">
        <w:rPr>
          <w:rFonts w:eastAsia="Times New Roman"/>
          <w:lang w:val="fr-FR"/>
        </w:rPr>
        <w:t>préconditionnement</w:t>
      </w:r>
      <w:proofErr w:type="spellEnd"/>
      <w:r w:rsidRPr="00A76E68">
        <w:rPr>
          <w:rFonts w:eastAsia="Times New Roman"/>
          <w:lang w:val="fr-FR"/>
        </w:rPr>
        <w:t xml:space="preserve"> complémentaires à ceux qui sont spécifiés au paragraphe 6.3 de l</w:t>
      </w:r>
      <w:r w:rsidR="00DB4C2D">
        <w:rPr>
          <w:rFonts w:eastAsia="Times New Roman"/>
          <w:lang w:val="fr-FR"/>
        </w:rPr>
        <w:t>’</w:t>
      </w:r>
      <w:r w:rsidRPr="00A76E68">
        <w:rPr>
          <w:rFonts w:eastAsia="Times New Roman"/>
          <w:lang w:val="fr-FR"/>
        </w:rPr>
        <w:t>annexe 4a du présent Règlement ne sont autorisés que s</w:t>
      </w:r>
      <w:r w:rsidR="00DB4C2D">
        <w:rPr>
          <w:rFonts w:eastAsia="Times New Roman"/>
          <w:lang w:val="fr-FR"/>
        </w:rPr>
        <w:t>’</w:t>
      </w:r>
      <w:r w:rsidRPr="00A76E68">
        <w:rPr>
          <w:rFonts w:eastAsia="Times New Roman"/>
          <w:lang w:val="fr-FR"/>
        </w:rPr>
        <w:t xml:space="preserve">ils sont représentatifs de conditions de conduite normales. </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4.2</w:t>
      </w:r>
      <w:r w:rsidRPr="00A76E68">
        <w:rPr>
          <w:rFonts w:eastAsia="Times New Roman"/>
          <w:lang w:val="fr-FR"/>
        </w:rPr>
        <w:tab/>
        <w:t>Pour les véhicules équipés d</w:t>
      </w:r>
      <w:r w:rsidR="00DB4C2D">
        <w:rPr>
          <w:rFonts w:eastAsia="Times New Roman"/>
          <w:lang w:val="fr-FR"/>
        </w:rPr>
        <w:t>’</w:t>
      </w:r>
      <w:r w:rsidRPr="00A76E68">
        <w:rPr>
          <w:rFonts w:eastAsia="Times New Roman"/>
          <w:lang w:val="fr-FR"/>
        </w:rPr>
        <w:t>un système OBD, on peut vérifier le bon fonctionnement en service des indications de dysfonctionnement, etc., en relation avec les niveaux d</w:t>
      </w:r>
      <w:r w:rsidR="00DB4C2D">
        <w:rPr>
          <w:rFonts w:eastAsia="Times New Roman"/>
          <w:lang w:val="fr-FR"/>
        </w:rPr>
        <w:t>’</w:t>
      </w:r>
      <w:r w:rsidRPr="00A76E68">
        <w:rPr>
          <w:rFonts w:eastAsia="Times New Roman"/>
          <w:lang w:val="fr-FR"/>
        </w:rPr>
        <w:t>émissions (par exemple, les limites d</w:t>
      </w:r>
      <w:r w:rsidR="00DB4C2D">
        <w:rPr>
          <w:rFonts w:eastAsia="Times New Roman"/>
          <w:lang w:val="fr-FR"/>
        </w:rPr>
        <w:t>’</w:t>
      </w:r>
      <w:r w:rsidRPr="00A76E68">
        <w:rPr>
          <w:rFonts w:eastAsia="Times New Roman"/>
          <w:lang w:val="fr-FR"/>
        </w:rPr>
        <w:t>indication de dysfonctionnement définies à l</w:t>
      </w:r>
      <w:r w:rsidR="00DB4C2D">
        <w:rPr>
          <w:rFonts w:eastAsia="Times New Roman"/>
          <w:lang w:val="fr-FR"/>
        </w:rPr>
        <w:t>’</w:t>
      </w:r>
      <w:r w:rsidRPr="00A76E68">
        <w:rPr>
          <w:rFonts w:eastAsia="Times New Roman"/>
          <w:lang w:val="fr-FR"/>
        </w:rPr>
        <w:t>annexe 11 du présent Règlement) par rapport aux spécifications applicables pour l</w:t>
      </w:r>
      <w:r w:rsidR="00DB4C2D">
        <w:rPr>
          <w:rFonts w:eastAsia="Times New Roman"/>
          <w:lang w:val="fr-FR"/>
        </w:rPr>
        <w:t>’</w:t>
      </w:r>
      <w:r w:rsidRPr="00A76E68">
        <w:rPr>
          <w:rFonts w:eastAsia="Times New Roman"/>
          <w:lang w:val="fr-FR"/>
        </w:rPr>
        <w:t>homologation.</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4.3</w:t>
      </w:r>
      <w:r w:rsidRPr="00A76E68">
        <w:rPr>
          <w:rFonts w:eastAsia="Times New Roman"/>
          <w:lang w:val="fr-FR"/>
        </w:rPr>
        <w:tab/>
        <w:t>En ce qui concerne le système OBD, les vérifications peuvent par exemple avoir pour but de détecter les niveaux d</w:t>
      </w:r>
      <w:r w:rsidR="00DB4C2D">
        <w:rPr>
          <w:rFonts w:eastAsia="Times New Roman"/>
          <w:lang w:val="fr-FR"/>
        </w:rPr>
        <w:t>’</w:t>
      </w:r>
      <w:r w:rsidRPr="00A76E68">
        <w:rPr>
          <w:rFonts w:eastAsia="Times New Roman"/>
          <w:lang w:val="fr-FR"/>
        </w:rPr>
        <w:t>émissions supérieurs aux valeurs limites applicables qui ne provoquent pas d</w:t>
      </w:r>
      <w:r w:rsidR="00DB4C2D">
        <w:rPr>
          <w:rFonts w:eastAsia="Times New Roman"/>
          <w:lang w:val="fr-FR"/>
        </w:rPr>
        <w:t>’</w:t>
      </w:r>
      <w:r w:rsidRPr="00A76E68">
        <w:rPr>
          <w:rFonts w:eastAsia="Times New Roman"/>
          <w:lang w:val="fr-FR"/>
        </w:rPr>
        <w:t xml:space="preserve">indications de </w:t>
      </w:r>
      <w:r w:rsidRPr="00A76E68">
        <w:rPr>
          <w:rFonts w:eastAsia="Times New Roman"/>
          <w:lang w:val="fr-FR"/>
        </w:rPr>
        <w:lastRenderedPageBreak/>
        <w:t>dysfonctionnement, l</w:t>
      </w:r>
      <w:r w:rsidR="00DB4C2D">
        <w:rPr>
          <w:rFonts w:eastAsia="Times New Roman"/>
          <w:lang w:val="fr-FR"/>
        </w:rPr>
        <w:t>’</w:t>
      </w:r>
      <w:r w:rsidRPr="00A76E68">
        <w:rPr>
          <w:rFonts w:eastAsia="Times New Roman"/>
          <w:lang w:val="fr-FR"/>
        </w:rPr>
        <w:t>activation erronée systématique du témoin de défaillance et les composants du système OBD identifiés comme étant à l</w:t>
      </w:r>
      <w:r w:rsidR="00DB4C2D">
        <w:rPr>
          <w:rFonts w:eastAsia="Times New Roman"/>
          <w:lang w:val="fr-FR"/>
        </w:rPr>
        <w:t>’</w:t>
      </w:r>
      <w:r w:rsidRPr="00A76E68">
        <w:rPr>
          <w:rFonts w:eastAsia="Times New Roman"/>
          <w:lang w:val="fr-FR"/>
        </w:rPr>
        <w:t>origine d</w:t>
      </w:r>
      <w:r w:rsidR="00DB4C2D">
        <w:rPr>
          <w:rFonts w:eastAsia="Times New Roman"/>
          <w:lang w:val="fr-FR"/>
        </w:rPr>
        <w:t>’</w:t>
      </w:r>
      <w:r w:rsidRPr="00A76E68">
        <w:rPr>
          <w:rFonts w:eastAsia="Times New Roman"/>
          <w:lang w:val="fr-FR"/>
        </w:rPr>
        <w:t>un dysfonctionnement ou détériorés.</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4.4</w:t>
      </w:r>
      <w:r w:rsidRPr="00A76E68">
        <w:rPr>
          <w:rFonts w:eastAsia="Times New Roman"/>
          <w:lang w:val="fr-FR"/>
        </w:rPr>
        <w:tab/>
        <w:t>Si un composant ou un système fonctionne d</w:t>
      </w:r>
      <w:r w:rsidR="00DB4C2D">
        <w:rPr>
          <w:rFonts w:eastAsia="Times New Roman"/>
          <w:lang w:val="fr-FR"/>
        </w:rPr>
        <w:t>’</w:t>
      </w:r>
      <w:r w:rsidRPr="00A76E68">
        <w:rPr>
          <w:rFonts w:eastAsia="Times New Roman"/>
          <w:lang w:val="fr-FR"/>
        </w:rPr>
        <w:t>une manière non conforme à ce qui est indiqué dans le certificat d</w:t>
      </w:r>
      <w:r w:rsidR="00DB4C2D">
        <w:rPr>
          <w:rFonts w:eastAsia="Times New Roman"/>
          <w:lang w:val="fr-FR"/>
        </w:rPr>
        <w:t>’</w:t>
      </w:r>
      <w:r w:rsidRPr="00A76E68">
        <w:rPr>
          <w:rFonts w:eastAsia="Times New Roman"/>
          <w:lang w:val="fr-FR"/>
        </w:rPr>
        <w:t>homologation et/ou dans le dossier d</w:t>
      </w:r>
      <w:r w:rsidR="00DB4C2D">
        <w:rPr>
          <w:rFonts w:eastAsia="Times New Roman"/>
          <w:lang w:val="fr-FR"/>
        </w:rPr>
        <w:t>’</w:t>
      </w:r>
      <w:r w:rsidRPr="00A76E68">
        <w:rPr>
          <w:rFonts w:eastAsia="Times New Roman"/>
          <w:lang w:val="fr-FR"/>
        </w:rPr>
        <w:t>homologation de ce type de véhicule et si cet écart n</w:t>
      </w:r>
      <w:r w:rsidR="00DB4C2D">
        <w:rPr>
          <w:rFonts w:eastAsia="Times New Roman"/>
          <w:lang w:val="fr-FR"/>
        </w:rPr>
        <w:t>’</w:t>
      </w:r>
      <w:r w:rsidRPr="00A76E68">
        <w:rPr>
          <w:rFonts w:eastAsia="Times New Roman"/>
          <w:lang w:val="fr-FR"/>
        </w:rPr>
        <w:t>a pas été autorisé en application de l</w:t>
      </w:r>
      <w:r w:rsidR="00DB4C2D">
        <w:rPr>
          <w:rFonts w:eastAsia="Times New Roman"/>
          <w:lang w:val="fr-FR"/>
        </w:rPr>
        <w:t>’</w:t>
      </w:r>
      <w:r w:rsidRPr="00A76E68">
        <w:rPr>
          <w:rFonts w:eastAsia="Times New Roman"/>
          <w:lang w:val="fr-FR"/>
        </w:rPr>
        <w:t>Accord de 1958, sans que le système OBD signale un dysfonctionnement, ce composant ou système ne doit pas être remplacé avant les essais d</w:t>
      </w:r>
      <w:r w:rsidR="00DB4C2D">
        <w:rPr>
          <w:rFonts w:eastAsia="Times New Roman"/>
          <w:lang w:val="fr-FR"/>
        </w:rPr>
        <w:t>’</w:t>
      </w:r>
      <w:r w:rsidRPr="00A76E68">
        <w:rPr>
          <w:rFonts w:eastAsia="Times New Roman"/>
          <w:lang w:val="fr-FR"/>
        </w:rPr>
        <w:t>émissions, sauf s</w:t>
      </w:r>
      <w:r w:rsidR="00DB4C2D">
        <w:rPr>
          <w:rFonts w:eastAsia="Times New Roman"/>
          <w:lang w:val="fr-FR"/>
        </w:rPr>
        <w:t>’</w:t>
      </w:r>
      <w:r w:rsidRPr="00A76E68">
        <w:rPr>
          <w:rFonts w:eastAsia="Times New Roman"/>
          <w:lang w:val="fr-FR"/>
        </w:rPr>
        <w:t>il est établi qu</w:t>
      </w:r>
      <w:r w:rsidR="00DB4C2D">
        <w:rPr>
          <w:rFonts w:eastAsia="Times New Roman"/>
          <w:lang w:val="fr-FR"/>
        </w:rPr>
        <w:t>’</w:t>
      </w:r>
      <w:r w:rsidRPr="00A76E68">
        <w:rPr>
          <w:rFonts w:eastAsia="Times New Roman"/>
          <w:lang w:val="fr-FR"/>
        </w:rPr>
        <w:t>il a fait l</w:t>
      </w:r>
      <w:r w:rsidR="00DB4C2D">
        <w:rPr>
          <w:rFonts w:eastAsia="Times New Roman"/>
          <w:lang w:val="fr-FR"/>
        </w:rPr>
        <w:t>’</w:t>
      </w:r>
      <w:r w:rsidRPr="00A76E68">
        <w:rPr>
          <w:rFonts w:eastAsia="Times New Roman"/>
          <w:lang w:val="fr-FR"/>
        </w:rPr>
        <w:t>objet de manipulations ou d</w:t>
      </w:r>
      <w:r w:rsidR="00DB4C2D">
        <w:rPr>
          <w:rFonts w:eastAsia="Times New Roman"/>
          <w:lang w:val="fr-FR"/>
        </w:rPr>
        <w:t>’</w:t>
      </w:r>
      <w:r w:rsidRPr="00A76E68">
        <w:rPr>
          <w:rFonts w:eastAsia="Times New Roman"/>
          <w:lang w:val="fr-FR"/>
        </w:rPr>
        <w:t>une utilisation incorrecte ayant pour effet que le système OBD ne détecte pas le dysfonctionnement qui en résulte.</w:t>
      </w:r>
    </w:p>
    <w:p w:rsidR="00A76E68" w:rsidRPr="00A76E68" w:rsidRDefault="00A76E68" w:rsidP="003B646C">
      <w:pPr>
        <w:pStyle w:val="SingleTxtG"/>
        <w:keepNext/>
        <w:ind w:left="2268" w:hanging="1134"/>
        <w:rPr>
          <w:lang w:val="fr-FR"/>
        </w:rPr>
      </w:pPr>
      <w:r w:rsidRPr="00A76E68">
        <w:rPr>
          <w:lang w:val="fr-FR"/>
        </w:rPr>
        <w:t>5.</w:t>
      </w:r>
      <w:r w:rsidRPr="00A76E68">
        <w:rPr>
          <w:lang w:val="fr-FR"/>
        </w:rPr>
        <w:tab/>
        <w:t>Évaluation des résultats des essais d</w:t>
      </w:r>
      <w:r w:rsidR="00DB4C2D">
        <w:rPr>
          <w:lang w:val="fr-FR"/>
        </w:rPr>
        <w:t>’</w:t>
      </w:r>
      <w:r w:rsidRPr="00A76E68">
        <w:rPr>
          <w:lang w:val="fr-FR"/>
        </w:rPr>
        <w:t>émissions</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5.1</w:t>
      </w:r>
      <w:r w:rsidRPr="00A76E68">
        <w:rPr>
          <w:rFonts w:eastAsia="Times New Roman"/>
          <w:lang w:val="fr-FR"/>
        </w:rPr>
        <w:tab/>
        <w:t>Les résultats des essais sont soumis à la procédure d</w:t>
      </w:r>
      <w:r w:rsidR="00DB4C2D">
        <w:rPr>
          <w:rFonts w:eastAsia="Times New Roman"/>
          <w:lang w:val="fr-FR"/>
        </w:rPr>
        <w:t>’</w:t>
      </w:r>
      <w:r w:rsidRPr="00A76E68">
        <w:rPr>
          <w:rFonts w:eastAsia="Times New Roman"/>
          <w:lang w:val="fr-FR"/>
        </w:rPr>
        <w:t>évaluation prévue à l</w:t>
      </w:r>
      <w:r w:rsidR="00DB4C2D">
        <w:rPr>
          <w:rFonts w:eastAsia="Times New Roman"/>
          <w:lang w:val="fr-FR"/>
        </w:rPr>
        <w:t>’</w:t>
      </w:r>
      <w:r w:rsidRPr="00A76E68">
        <w:rPr>
          <w:rFonts w:eastAsia="Times New Roman"/>
          <w:lang w:val="fr-FR"/>
        </w:rPr>
        <w:t>appendice 4 du présent Règlement.</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5.2</w:t>
      </w:r>
      <w:r w:rsidRPr="00A76E68">
        <w:rPr>
          <w:rFonts w:eastAsia="Times New Roman"/>
          <w:lang w:val="fr-FR"/>
        </w:rPr>
        <w:tab/>
        <w:t>Les résultats des essais ne doivent pas être multipliés par les facteurs de détérioration.</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5.3</w:t>
      </w:r>
      <w:r w:rsidRPr="00A76E68">
        <w:rPr>
          <w:rFonts w:eastAsia="Times New Roman"/>
          <w:lang w:val="fr-FR"/>
        </w:rPr>
        <w:tab/>
        <w:t>Dans le cas des dispositifs à régénération discontinue définis au paragraphe 2.20 du présent Règlement, les résultats doivent être multipliés par les coefficients K</w:t>
      </w:r>
      <w:r w:rsidRPr="00A76E68">
        <w:rPr>
          <w:rFonts w:eastAsia="Times New Roman"/>
          <w:vertAlign w:val="subscript"/>
          <w:lang w:val="fr-FR"/>
        </w:rPr>
        <w:t>i</w:t>
      </w:r>
      <w:r w:rsidRPr="00A76E68">
        <w:rPr>
          <w:rFonts w:eastAsia="Times New Roman"/>
          <w:lang w:val="fr-FR"/>
        </w:rPr>
        <w:t xml:space="preserve"> déterminés au moment où l</w:t>
      </w:r>
      <w:r w:rsidR="00DB4C2D">
        <w:rPr>
          <w:rFonts w:eastAsia="Times New Roman"/>
          <w:lang w:val="fr-FR"/>
        </w:rPr>
        <w:t>’</w:t>
      </w:r>
      <w:r w:rsidRPr="00A76E68">
        <w:rPr>
          <w:rFonts w:eastAsia="Times New Roman"/>
          <w:lang w:val="fr-FR"/>
        </w:rPr>
        <w:t>homologation de type est accordée.</w:t>
      </w:r>
    </w:p>
    <w:p w:rsidR="00A76E68" w:rsidRPr="00A76E68" w:rsidRDefault="00A76E68" w:rsidP="003B646C">
      <w:pPr>
        <w:pStyle w:val="SingleTxtG"/>
        <w:keepNext/>
        <w:ind w:left="2268" w:hanging="1134"/>
        <w:rPr>
          <w:rFonts w:eastAsia="Times New Roman"/>
          <w:lang w:val="fr-FR"/>
        </w:rPr>
      </w:pPr>
      <w:r w:rsidRPr="00A76E68">
        <w:rPr>
          <w:rFonts w:eastAsia="Times New Roman"/>
          <w:lang w:val="fr-FR"/>
        </w:rPr>
        <w:t>6.</w:t>
      </w:r>
      <w:r w:rsidRPr="00A76E68">
        <w:rPr>
          <w:rFonts w:eastAsia="Times New Roman"/>
          <w:lang w:val="fr-FR"/>
        </w:rPr>
        <w:tab/>
        <w:t xml:space="preserve">Plan de </w:t>
      </w:r>
      <w:r w:rsidRPr="00A76E68">
        <w:rPr>
          <w:lang w:val="fr-FR"/>
        </w:rPr>
        <w:t>mesures</w:t>
      </w:r>
      <w:r w:rsidRPr="00A76E68">
        <w:rPr>
          <w:rFonts w:eastAsia="Times New Roman"/>
          <w:lang w:val="fr-FR"/>
        </w:rPr>
        <w:t xml:space="preserve"> correctives</w:t>
      </w:r>
    </w:p>
    <w:p w:rsidR="00A76E68" w:rsidRPr="00A76E68" w:rsidRDefault="00A76E68" w:rsidP="003B646C">
      <w:pPr>
        <w:pStyle w:val="SingleTxtG"/>
        <w:ind w:left="2268" w:hanging="1134"/>
        <w:rPr>
          <w:rFonts w:eastAsia="Times New Roman"/>
          <w:lang w:val="fr-FR"/>
        </w:rPr>
      </w:pPr>
      <w:r w:rsidRPr="00A76E68">
        <w:rPr>
          <w:rFonts w:eastAsia="Times New Roman"/>
          <w:lang w:val="fr-FR"/>
        </w:rPr>
        <w:t>6.1</w:t>
      </w:r>
      <w:r w:rsidRPr="00A76E68">
        <w:rPr>
          <w:rFonts w:eastAsia="Times New Roman"/>
          <w:lang w:val="fr-FR"/>
        </w:rPr>
        <w:tab/>
        <w:t>L</w:t>
      </w:r>
      <w:r w:rsidR="00DB4C2D">
        <w:rPr>
          <w:rFonts w:eastAsia="Times New Roman"/>
          <w:lang w:val="fr-FR"/>
        </w:rPr>
        <w:t>’</w:t>
      </w:r>
      <w:r w:rsidRPr="00A76E68">
        <w:rPr>
          <w:rFonts w:eastAsia="Times New Roman"/>
          <w:lang w:val="fr-FR"/>
        </w:rPr>
        <w:t>autorité d</w:t>
      </w:r>
      <w:r w:rsidR="00DB4C2D">
        <w:rPr>
          <w:rFonts w:eastAsia="Times New Roman"/>
          <w:lang w:val="fr-FR"/>
        </w:rPr>
        <w:t>’</w:t>
      </w:r>
      <w:r w:rsidRPr="00A76E68">
        <w:rPr>
          <w:rFonts w:eastAsia="Times New Roman"/>
          <w:lang w:val="fr-FR"/>
        </w:rPr>
        <w:t>homologation de type doit demander au constructeur de soumettre un plan de mesures correctives destinées à remédier à l</w:t>
      </w:r>
      <w:r w:rsidR="00DB4C2D">
        <w:rPr>
          <w:rFonts w:eastAsia="Times New Roman"/>
          <w:lang w:val="fr-FR"/>
        </w:rPr>
        <w:t>’</w:t>
      </w:r>
      <w:r w:rsidRPr="00A76E68">
        <w:rPr>
          <w:rFonts w:eastAsia="Times New Roman"/>
          <w:lang w:val="fr-FR"/>
        </w:rPr>
        <w:t>état de non</w:t>
      </w:r>
      <w:r w:rsidRPr="00A76E68">
        <w:rPr>
          <w:rFonts w:eastAsia="Times New Roman"/>
          <w:lang w:val="fr-FR"/>
        </w:rPr>
        <w:noBreakHyphen/>
        <w:t>conformité lorsque:</w:t>
      </w:r>
    </w:p>
    <w:p w:rsidR="00A76E68" w:rsidRPr="00A76E68" w:rsidRDefault="00A76E68" w:rsidP="003B646C">
      <w:pPr>
        <w:pStyle w:val="SingleTxtG"/>
        <w:keepNext/>
        <w:ind w:left="2268" w:hanging="1134"/>
        <w:rPr>
          <w:rFonts w:eastAsia="Times New Roman"/>
          <w:lang w:val="fr-FR"/>
        </w:rPr>
      </w:pPr>
      <w:r w:rsidRPr="00A76E68">
        <w:rPr>
          <w:rFonts w:eastAsia="Times New Roman"/>
          <w:lang w:val="fr-FR"/>
        </w:rPr>
        <w:t>6.1.1</w:t>
      </w:r>
      <w:r w:rsidRPr="00A76E68">
        <w:rPr>
          <w:rFonts w:eastAsia="Times New Roman"/>
          <w:lang w:val="fr-FR"/>
        </w:rPr>
        <w:tab/>
        <w:t>Pour les émissions d</w:t>
      </w:r>
      <w:r w:rsidR="00DB4C2D">
        <w:rPr>
          <w:rFonts w:eastAsia="Times New Roman"/>
          <w:lang w:val="fr-FR"/>
        </w:rPr>
        <w:t>’</w:t>
      </w:r>
      <w:r w:rsidRPr="00A76E68">
        <w:rPr>
          <w:rFonts w:eastAsia="Times New Roman"/>
          <w:lang w:val="fr-FR"/>
        </w:rPr>
        <w:t>échappement, plusieurs véhicules s</w:t>
      </w:r>
      <w:r w:rsidR="00DB4C2D">
        <w:rPr>
          <w:rFonts w:eastAsia="Times New Roman"/>
          <w:lang w:val="fr-FR"/>
        </w:rPr>
        <w:t>’</w:t>
      </w:r>
      <w:r w:rsidRPr="00A76E68">
        <w:rPr>
          <w:rFonts w:eastAsia="Times New Roman"/>
          <w:lang w:val="fr-FR"/>
        </w:rPr>
        <w:t>avèrent dépasser les normes d</w:t>
      </w:r>
      <w:r w:rsidR="00DB4C2D">
        <w:rPr>
          <w:rFonts w:eastAsia="Times New Roman"/>
          <w:lang w:val="fr-FR"/>
        </w:rPr>
        <w:t>’</w:t>
      </w:r>
      <w:r w:rsidRPr="00A76E68">
        <w:rPr>
          <w:rFonts w:eastAsia="Times New Roman"/>
          <w:lang w:val="fr-FR"/>
        </w:rPr>
        <w:t>émission qui:</w:t>
      </w:r>
    </w:p>
    <w:p w:rsidR="00A76E68" w:rsidRPr="00A76E68" w:rsidRDefault="00A76E68" w:rsidP="003B646C">
      <w:pPr>
        <w:pStyle w:val="SingleTxtG"/>
        <w:ind w:left="2835" w:hanging="567"/>
        <w:rPr>
          <w:lang w:val="fr-FR"/>
        </w:rPr>
      </w:pPr>
      <w:r w:rsidRPr="00A76E68">
        <w:rPr>
          <w:lang w:val="fr-FR"/>
        </w:rPr>
        <w:t>a)</w:t>
      </w:r>
      <w:r w:rsidRPr="00A76E68">
        <w:rPr>
          <w:lang w:val="fr-FR"/>
        </w:rPr>
        <w:tab/>
        <w:t>Remplissent les conditions du paragraphe 3.2.2 de l</w:t>
      </w:r>
      <w:r w:rsidR="00DB4C2D">
        <w:rPr>
          <w:lang w:val="fr-FR"/>
        </w:rPr>
        <w:t>’</w:t>
      </w:r>
      <w:r w:rsidRPr="00A76E68">
        <w:rPr>
          <w:lang w:val="fr-FR"/>
        </w:rPr>
        <w:t>appendice 4 du présent Règlement alors que l</w:t>
      </w:r>
      <w:r w:rsidR="00DB4C2D">
        <w:rPr>
          <w:lang w:val="fr-FR"/>
        </w:rPr>
        <w:t>’</w:t>
      </w:r>
      <w:r w:rsidRPr="00A76E68">
        <w:rPr>
          <w:lang w:val="fr-FR"/>
        </w:rPr>
        <w:t>autorité d</w:t>
      </w:r>
      <w:r w:rsidR="00DB4C2D">
        <w:rPr>
          <w:lang w:val="fr-FR"/>
        </w:rPr>
        <w:t>’</w:t>
      </w:r>
      <w:r w:rsidRPr="00A76E68">
        <w:rPr>
          <w:lang w:val="fr-FR"/>
        </w:rPr>
        <w:t>homologation de type et le constructeur s</w:t>
      </w:r>
      <w:r w:rsidR="00DB4C2D">
        <w:rPr>
          <w:lang w:val="fr-FR"/>
        </w:rPr>
        <w:t>’</w:t>
      </w:r>
      <w:r w:rsidRPr="00A76E68">
        <w:rPr>
          <w:lang w:val="fr-FR"/>
        </w:rPr>
        <w:t>accordent sur le fait que les émissions excessives sont dues à la même cause; ou qui</w:t>
      </w:r>
    </w:p>
    <w:p w:rsidR="00A76E68" w:rsidRPr="00A76E68" w:rsidRDefault="00A76E68" w:rsidP="003B646C">
      <w:pPr>
        <w:pStyle w:val="SingleTxtG"/>
        <w:ind w:left="2835" w:hanging="567"/>
        <w:rPr>
          <w:rFonts w:eastAsia="Times New Roman"/>
          <w:lang w:val="fr-FR"/>
        </w:rPr>
      </w:pPr>
      <w:r w:rsidRPr="00A76E68">
        <w:rPr>
          <w:rFonts w:eastAsia="Times New Roman"/>
          <w:lang w:val="fr-FR"/>
        </w:rPr>
        <w:t>b)</w:t>
      </w:r>
      <w:r w:rsidRPr="00A76E68">
        <w:rPr>
          <w:rFonts w:eastAsia="Times New Roman"/>
          <w:lang w:val="fr-FR"/>
        </w:rPr>
        <w:tab/>
        <w:t>Remplissent les conditions du paragraphe 3.2.3 de l</w:t>
      </w:r>
      <w:r w:rsidR="00DB4C2D">
        <w:rPr>
          <w:rFonts w:eastAsia="Times New Roman"/>
          <w:lang w:val="fr-FR"/>
        </w:rPr>
        <w:t>’</w:t>
      </w:r>
      <w:r w:rsidRPr="00A76E68">
        <w:rPr>
          <w:rFonts w:eastAsia="Times New Roman"/>
          <w:lang w:val="fr-FR"/>
        </w:rPr>
        <w:t xml:space="preserve">appendice 4 du présent Règlement </w:t>
      </w:r>
      <w:r w:rsidRPr="00A76E68">
        <w:rPr>
          <w:lang w:val="fr-FR"/>
        </w:rPr>
        <w:t>alors</w:t>
      </w:r>
      <w:r w:rsidRPr="00A76E68">
        <w:rPr>
          <w:rFonts w:eastAsia="Times New Roman"/>
          <w:lang w:val="fr-FR"/>
        </w:rPr>
        <w:t xml:space="preserve"> que l</w:t>
      </w:r>
      <w:r w:rsidR="00DB4C2D">
        <w:rPr>
          <w:rFonts w:eastAsia="Times New Roman"/>
          <w:lang w:val="fr-FR"/>
        </w:rPr>
        <w:t>’</w:t>
      </w:r>
      <w:r w:rsidRPr="00A76E68">
        <w:rPr>
          <w:rFonts w:eastAsia="Times New Roman"/>
          <w:lang w:val="fr-FR"/>
        </w:rPr>
        <w:t>autorité d</w:t>
      </w:r>
      <w:r w:rsidR="00DB4C2D">
        <w:rPr>
          <w:rFonts w:eastAsia="Times New Roman"/>
          <w:lang w:val="fr-FR"/>
        </w:rPr>
        <w:t>’</w:t>
      </w:r>
      <w:r w:rsidRPr="00A76E68">
        <w:rPr>
          <w:rFonts w:eastAsia="Times New Roman"/>
          <w:lang w:val="fr-FR"/>
        </w:rPr>
        <w:t>homologation de type a déterminé que les émissions excessives sont dues à la même cause.</w:t>
      </w:r>
    </w:p>
    <w:p w:rsidR="00A76E68" w:rsidRPr="00A76E68" w:rsidRDefault="00A76E68" w:rsidP="003B646C">
      <w:pPr>
        <w:pStyle w:val="SingleTxtG"/>
        <w:ind w:left="2268"/>
        <w:rPr>
          <w:rFonts w:eastAsia="Times New Roman"/>
          <w:lang w:val="fr-FR"/>
        </w:rPr>
      </w:pPr>
      <w:r w:rsidRPr="00A76E68">
        <w:rPr>
          <w:rFonts w:eastAsia="Times New Roman"/>
          <w:lang w:val="fr-FR"/>
        </w:rPr>
        <w:t>L</w:t>
      </w:r>
      <w:r w:rsidR="00DB4C2D">
        <w:rPr>
          <w:rFonts w:eastAsia="Times New Roman"/>
          <w:lang w:val="fr-FR"/>
        </w:rPr>
        <w:t>’</w:t>
      </w:r>
      <w:r w:rsidRPr="00A76E68">
        <w:rPr>
          <w:rFonts w:eastAsia="Times New Roman"/>
          <w:lang w:val="fr-FR"/>
        </w:rPr>
        <w:t xml:space="preserve">autorité </w:t>
      </w:r>
      <w:r w:rsidRPr="00A76E68">
        <w:rPr>
          <w:rFonts w:eastAsia="Times New Roman"/>
          <w:spacing w:val="-4"/>
          <w:lang w:val="fr-FR"/>
        </w:rPr>
        <w:t>d</w:t>
      </w:r>
      <w:r w:rsidR="00DB4C2D">
        <w:rPr>
          <w:rFonts w:eastAsia="Times New Roman"/>
          <w:spacing w:val="-4"/>
          <w:lang w:val="fr-FR"/>
        </w:rPr>
        <w:t>’</w:t>
      </w:r>
      <w:r w:rsidRPr="00A76E68">
        <w:rPr>
          <w:rFonts w:eastAsia="Times New Roman"/>
          <w:spacing w:val="-4"/>
          <w:lang w:val="fr-FR"/>
        </w:rPr>
        <w:t>homologation</w:t>
      </w:r>
      <w:r w:rsidRPr="00A76E68">
        <w:rPr>
          <w:rFonts w:eastAsia="Times New Roman"/>
          <w:lang w:val="fr-FR"/>
        </w:rPr>
        <w:t xml:space="preserve"> de type </w:t>
      </w:r>
      <w:r w:rsidRPr="00A76E68">
        <w:rPr>
          <w:rFonts w:eastAsia="Times New Roman"/>
          <w:spacing w:val="-4"/>
          <w:lang w:val="fr-FR"/>
        </w:rPr>
        <w:t>doit</w:t>
      </w:r>
      <w:r w:rsidRPr="00A76E68">
        <w:rPr>
          <w:rFonts w:eastAsia="Times New Roman"/>
          <w:lang w:val="fr-FR"/>
        </w:rPr>
        <w:t xml:space="preserve"> imposer au constructeur de soumettre un plan de mesures correctives destiné à remédier à l</w:t>
      </w:r>
      <w:r w:rsidR="00DB4C2D">
        <w:rPr>
          <w:rFonts w:eastAsia="Times New Roman"/>
          <w:lang w:val="fr-FR"/>
        </w:rPr>
        <w:t>’</w:t>
      </w:r>
      <w:r w:rsidRPr="00A76E68">
        <w:rPr>
          <w:rFonts w:eastAsia="Times New Roman"/>
          <w:lang w:val="fr-FR"/>
        </w:rPr>
        <w:t>état de non-conformité.</w:t>
      </w:r>
    </w:p>
    <w:p w:rsidR="00A76E68" w:rsidRPr="00A76E68" w:rsidRDefault="00A76E68" w:rsidP="003B646C">
      <w:pPr>
        <w:pStyle w:val="SingleTxtG"/>
        <w:keepNext/>
        <w:ind w:left="2268" w:hanging="1134"/>
        <w:rPr>
          <w:rFonts w:eastAsia="Times New Roman"/>
          <w:lang w:val="fr-FR"/>
        </w:rPr>
      </w:pPr>
      <w:r w:rsidRPr="00A76E68">
        <w:rPr>
          <w:rFonts w:eastAsia="Times New Roman"/>
          <w:lang w:val="fr-FR"/>
        </w:rPr>
        <w:t>6.1.2</w:t>
      </w:r>
      <w:r w:rsidRPr="00A76E68">
        <w:rPr>
          <w:rFonts w:eastAsia="Times New Roman"/>
          <w:lang w:val="fr-FR"/>
        </w:rPr>
        <w:tab/>
        <w:t>Pour l</w:t>
      </w:r>
      <w:r w:rsidR="00DB4C2D">
        <w:rPr>
          <w:rFonts w:eastAsia="Times New Roman"/>
          <w:lang w:val="fr-FR"/>
        </w:rPr>
        <w:t>’</w:t>
      </w:r>
      <w:r w:rsidRPr="00A76E68">
        <w:rPr>
          <w:rFonts w:eastAsia="Times New Roman"/>
          <w:lang w:val="fr-FR"/>
        </w:rPr>
        <w:t>IUPR</w:t>
      </w:r>
      <w:r w:rsidRPr="00A76E68">
        <w:rPr>
          <w:rFonts w:eastAsia="Times New Roman"/>
          <w:vertAlign w:val="subscript"/>
          <w:lang w:val="fr-FR"/>
        </w:rPr>
        <w:t>M</w:t>
      </w:r>
      <w:r w:rsidRPr="00A76E68">
        <w:rPr>
          <w:rFonts w:eastAsia="Times New Roman"/>
          <w:lang w:val="fr-FR"/>
        </w:rPr>
        <w:t xml:space="preserve"> d</w:t>
      </w:r>
      <w:r w:rsidR="00DB4C2D">
        <w:rPr>
          <w:rFonts w:eastAsia="Times New Roman"/>
          <w:lang w:val="fr-FR"/>
        </w:rPr>
        <w:t>’</w:t>
      </w:r>
      <w:r w:rsidRPr="00A76E68">
        <w:rPr>
          <w:rFonts w:eastAsia="Times New Roman"/>
          <w:lang w:val="fr-FR"/>
        </w:rPr>
        <w:t>une surveillance spécifique M, lorsque les conditions statistiques suivantes sont réunies dans un échantillon d</w:t>
      </w:r>
      <w:r w:rsidR="00DB4C2D">
        <w:rPr>
          <w:rFonts w:eastAsia="Times New Roman"/>
          <w:lang w:val="fr-FR"/>
        </w:rPr>
        <w:t>’</w:t>
      </w:r>
      <w:r w:rsidRPr="00A76E68">
        <w:rPr>
          <w:rFonts w:eastAsia="Times New Roman"/>
          <w:lang w:val="fr-FR"/>
        </w:rPr>
        <w:t>essai dont la taille est déterminée conformément au paragraphe 9.3.5 du présent Règlement:</w:t>
      </w:r>
    </w:p>
    <w:p w:rsidR="00A76E68" w:rsidRPr="00A76E68" w:rsidRDefault="00A76E68" w:rsidP="003B646C">
      <w:pPr>
        <w:pStyle w:val="SingleTxtG"/>
        <w:ind w:left="2835" w:hanging="567"/>
        <w:rPr>
          <w:rFonts w:eastAsia="Times New Roman"/>
          <w:lang w:val="fr-FR"/>
        </w:rPr>
      </w:pPr>
      <w:r w:rsidRPr="00A76E68">
        <w:rPr>
          <w:rFonts w:eastAsia="Times New Roman"/>
          <w:lang w:val="fr-FR"/>
        </w:rPr>
        <w:t>a)</w:t>
      </w:r>
      <w:r w:rsidRPr="00A76E68">
        <w:rPr>
          <w:rFonts w:eastAsia="Times New Roman"/>
          <w:lang w:val="fr-FR"/>
        </w:rPr>
        <w:tab/>
        <w:t>Pour les véhicules homologués pour un rapport de 0,1 conformément au paragraphe 7.1.5 de l</w:t>
      </w:r>
      <w:r w:rsidR="00DB4C2D">
        <w:rPr>
          <w:rFonts w:eastAsia="Times New Roman"/>
          <w:lang w:val="fr-FR"/>
        </w:rPr>
        <w:t>’</w:t>
      </w:r>
      <w:r w:rsidRPr="00A76E68">
        <w:rPr>
          <w:rFonts w:eastAsia="Times New Roman"/>
          <w:lang w:val="fr-FR"/>
        </w:rPr>
        <w:t>appendice 1 à l</w:t>
      </w:r>
      <w:r w:rsidR="00DB4C2D">
        <w:rPr>
          <w:rFonts w:eastAsia="Times New Roman"/>
          <w:lang w:val="fr-FR"/>
        </w:rPr>
        <w:t>’</w:t>
      </w:r>
      <w:r w:rsidRPr="00A76E68">
        <w:rPr>
          <w:rFonts w:eastAsia="Times New Roman"/>
          <w:lang w:val="fr-FR"/>
        </w:rPr>
        <w:t>annexe 11 du présent Règlement, les données collectées dans les véhicules indiquent, pour au moins une surveillance M de l</w:t>
      </w:r>
      <w:r w:rsidR="00DB4C2D">
        <w:rPr>
          <w:rFonts w:eastAsia="Times New Roman"/>
          <w:lang w:val="fr-FR"/>
        </w:rPr>
        <w:t>’</w:t>
      </w:r>
      <w:r w:rsidRPr="00A76E68">
        <w:rPr>
          <w:rFonts w:eastAsia="Times New Roman"/>
          <w:lang w:val="fr-FR"/>
        </w:rPr>
        <w:t>échantillon d</w:t>
      </w:r>
      <w:r w:rsidR="00DB4C2D">
        <w:rPr>
          <w:rFonts w:eastAsia="Times New Roman"/>
          <w:lang w:val="fr-FR"/>
        </w:rPr>
        <w:t>’</w:t>
      </w:r>
      <w:r w:rsidRPr="00A76E68">
        <w:rPr>
          <w:rFonts w:eastAsia="Times New Roman"/>
          <w:lang w:val="fr-FR"/>
        </w:rPr>
        <w:t>essai, soit que le rapport d</w:t>
      </w:r>
      <w:r w:rsidR="00DB4C2D">
        <w:rPr>
          <w:rFonts w:eastAsia="Times New Roman"/>
          <w:lang w:val="fr-FR"/>
        </w:rPr>
        <w:t>’</w:t>
      </w:r>
      <w:r w:rsidRPr="00A76E68">
        <w:rPr>
          <w:rFonts w:eastAsia="Times New Roman"/>
          <w:lang w:val="fr-FR"/>
        </w:rPr>
        <w:t>efficacité en service moyen de l</w:t>
      </w:r>
      <w:r w:rsidR="00DB4C2D">
        <w:rPr>
          <w:rFonts w:eastAsia="Times New Roman"/>
          <w:lang w:val="fr-FR"/>
        </w:rPr>
        <w:t>’</w:t>
      </w:r>
      <w:r w:rsidRPr="00A76E68">
        <w:rPr>
          <w:rFonts w:eastAsia="Times New Roman"/>
          <w:lang w:val="fr-FR"/>
        </w:rPr>
        <w:t>échantillon est inférieur à 0,1, soit que 66 % ou plus des véhicules composant l</w:t>
      </w:r>
      <w:r w:rsidR="00DB4C2D">
        <w:rPr>
          <w:rFonts w:eastAsia="Times New Roman"/>
          <w:lang w:val="fr-FR"/>
        </w:rPr>
        <w:t>’</w:t>
      </w:r>
      <w:r w:rsidRPr="00A76E68">
        <w:rPr>
          <w:rFonts w:eastAsia="Times New Roman"/>
          <w:lang w:val="fr-FR"/>
        </w:rPr>
        <w:t>échantillon d</w:t>
      </w:r>
      <w:r w:rsidR="00DB4C2D">
        <w:rPr>
          <w:rFonts w:eastAsia="Times New Roman"/>
          <w:lang w:val="fr-FR"/>
        </w:rPr>
        <w:t>’</w:t>
      </w:r>
      <w:r w:rsidRPr="00A76E68">
        <w:rPr>
          <w:rFonts w:eastAsia="Times New Roman"/>
          <w:lang w:val="fr-FR"/>
        </w:rPr>
        <w:t>essai ont un rapport d</w:t>
      </w:r>
      <w:r w:rsidR="00DB4C2D">
        <w:rPr>
          <w:rFonts w:eastAsia="Times New Roman"/>
          <w:lang w:val="fr-FR"/>
        </w:rPr>
        <w:t>’</w:t>
      </w:r>
      <w:r w:rsidRPr="00A76E68">
        <w:rPr>
          <w:rFonts w:eastAsia="Times New Roman"/>
          <w:lang w:val="fr-FR"/>
        </w:rPr>
        <w:t>efficacité en service inférieur à 0,1;</w:t>
      </w:r>
    </w:p>
    <w:p w:rsidR="00A76E68" w:rsidRPr="00A76E68" w:rsidRDefault="00A76E68" w:rsidP="003B646C">
      <w:pPr>
        <w:pStyle w:val="SingleTxtG"/>
        <w:ind w:left="2835" w:hanging="567"/>
        <w:rPr>
          <w:rFonts w:eastAsia="Times New Roman"/>
          <w:lang w:val="fr-FR"/>
        </w:rPr>
      </w:pPr>
      <w:r w:rsidRPr="00A76E68">
        <w:rPr>
          <w:rFonts w:eastAsia="Times New Roman"/>
          <w:lang w:val="fr-FR"/>
        </w:rPr>
        <w:lastRenderedPageBreak/>
        <w:t>b)</w:t>
      </w:r>
      <w:r w:rsidRPr="00A76E68">
        <w:rPr>
          <w:rFonts w:eastAsia="Times New Roman"/>
          <w:lang w:val="fr-FR"/>
        </w:rPr>
        <w:tab/>
        <w:t>Pour les véhicules homologués pour des rapports intégraux conformément au paragraphe 7.1.4 de l</w:t>
      </w:r>
      <w:r w:rsidR="00DB4C2D">
        <w:rPr>
          <w:rFonts w:eastAsia="Times New Roman"/>
          <w:lang w:val="fr-FR"/>
        </w:rPr>
        <w:t>’</w:t>
      </w:r>
      <w:r w:rsidRPr="00A76E68">
        <w:rPr>
          <w:rFonts w:eastAsia="Times New Roman"/>
          <w:lang w:val="fr-FR"/>
        </w:rPr>
        <w:t>appendice 1 à l</w:t>
      </w:r>
      <w:r w:rsidR="00DB4C2D">
        <w:rPr>
          <w:rFonts w:eastAsia="Times New Roman"/>
          <w:lang w:val="fr-FR"/>
        </w:rPr>
        <w:t>’</w:t>
      </w:r>
      <w:r w:rsidRPr="00A76E68">
        <w:rPr>
          <w:rFonts w:eastAsia="Times New Roman"/>
          <w:lang w:val="fr-FR"/>
        </w:rPr>
        <w:t>annexe 11 du présent Règlement, les données collectées dans les véhicules indiquent, pour au moins une surveillance M de l</w:t>
      </w:r>
      <w:r w:rsidR="00DB4C2D">
        <w:rPr>
          <w:rFonts w:eastAsia="Times New Roman"/>
          <w:lang w:val="fr-FR"/>
        </w:rPr>
        <w:t>’</w:t>
      </w:r>
      <w:r w:rsidRPr="00A76E68">
        <w:rPr>
          <w:rFonts w:eastAsia="Times New Roman"/>
          <w:lang w:val="fr-FR"/>
        </w:rPr>
        <w:t>échantillon d</w:t>
      </w:r>
      <w:r w:rsidR="00DB4C2D">
        <w:rPr>
          <w:rFonts w:eastAsia="Times New Roman"/>
          <w:lang w:val="fr-FR"/>
        </w:rPr>
        <w:t>’</w:t>
      </w:r>
      <w:r w:rsidRPr="00A76E68">
        <w:rPr>
          <w:rFonts w:eastAsia="Times New Roman"/>
          <w:lang w:val="fr-FR"/>
        </w:rPr>
        <w:t>essai, soit que le rapport d</w:t>
      </w:r>
      <w:r w:rsidR="00DB4C2D">
        <w:rPr>
          <w:rFonts w:eastAsia="Times New Roman"/>
          <w:lang w:val="fr-FR"/>
        </w:rPr>
        <w:t>’</w:t>
      </w:r>
      <w:r w:rsidRPr="00A76E68">
        <w:rPr>
          <w:rFonts w:eastAsia="Times New Roman"/>
          <w:lang w:val="fr-FR"/>
        </w:rPr>
        <w:t>efficacité en service moyen de l</w:t>
      </w:r>
      <w:r w:rsidR="00DB4C2D">
        <w:rPr>
          <w:rFonts w:eastAsia="Times New Roman"/>
          <w:lang w:val="fr-FR"/>
        </w:rPr>
        <w:t>’</w:t>
      </w:r>
      <w:r w:rsidRPr="00A76E68">
        <w:rPr>
          <w:rFonts w:eastAsia="Times New Roman"/>
          <w:lang w:val="fr-FR"/>
        </w:rPr>
        <w:t xml:space="preserve">échantillon est inférieur à la valeur </w:t>
      </w:r>
      <w:proofErr w:type="spellStart"/>
      <w:r w:rsidRPr="00A76E68">
        <w:rPr>
          <w:rFonts w:eastAsia="Times New Roman"/>
          <w:lang w:val="fr-FR"/>
        </w:rPr>
        <w:t>Test</w:t>
      </w:r>
      <w:r w:rsidRPr="00A76E68">
        <w:rPr>
          <w:rFonts w:eastAsia="Times New Roman"/>
          <w:vertAlign w:val="subscript"/>
          <w:lang w:val="fr-FR"/>
        </w:rPr>
        <w:t>min</w:t>
      </w:r>
      <w:proofErr w:type="spellEnd"/>
      <w:r w:rsidRPr="00A76E68">
        <w:rPr>
          <w:rFonts w:eastAsia="Times New Roman"/>
          <w:vertAlign w:val="subscript"/>
          <w:lang w:val="fr-FR"/>
        </w:rPr>
        <w:t xml:space="preserve"> </w:t>
      </w:r>
      <w:r w:rsidRPr="00A76E68">
        <w:rPr>
          <w:rFonts w:eastAsia="Times New Roman"/>
          <w:lang w:val="fr-FR"/>
        </w:rPr>
        <w:t>(M), soit que 66 % ou plus des véhicules composant l</w:t>
      </w:r>
      <w:r w:rsidR="00DB4C2D">
        <w:rPr>
          <w:rFonts w:eastAsia="Times New Roman"/>
          <w:lang w:val="fr-FR"/>
        </w:rPr>
        <w:t>’</w:t>
      </w:r>
      <w:r w:rsidRPr="00A76E68">
        <w:rPr>
          <w:rFonts w:eastAsia="Times New Roman"/>
          <w:lang w:val="fr-FR"/>
        </w:rPr>
        <w:t>échantillon ont un rapport d</w:t>
      </w:r>
      <w:r w:rsidR="00DB4C2D">
        <w:rPr>
          <w:rFonts w:eastAsia="Times New Roman"/>
          <w:lang w:val="fr-FR"/>
        </w:rPr>
        <w:t>’</w:t>
      </w:r>
      <w:r w:rsidRPr="00A76E68">
        <w:rPr>
          <w:rFonts w:eastAsia="Times New Roman"/>
          <w:lang w:val="fr-FR"/>
        </w:rPr>
        <w:t xml:space="preserve">efficacité en service inférieur à </w:t>
      </w:r>
      <w:proofErr w:type="spellStart"/>
      <w:r w:rsidRPr="00A76E68">
        <w:rPr>
          <w:rFonts w:eastAsia="Times New Roman"/>
          <w:lang w:val="fr-FR"/>
        </w:rPr>
        <w:t>Test</w:t>
      </w:r>
      <w:r w:rsidRPr="00A76E68">
        <w:rPr>
          <w:rFonts w:eastAsia="Times New Roman"/>
          <w:vertAlign w:val="subscript"/>
          <w:lang w:val="fr-FR"/>
        </w:rPr>
        <w:t>min</w:t>
      </w:r>
      <w:proofErr w:type="spellEnd"/>
      <w:r w:rsidRPr="00A76E68">
        <w:rPr>
          <w:rFonts w:eastAsia="Times New Roman"/>
          <w:vertAlign w:val="subscript"/>
          <w:lang w:val="fr-FR"/>
        </w:rPr>
        <w:t> </w:t>
      </w:r>
      <w:r w:rsidRPr="00A76E68">
        <w:rPr>
          <w:rFonts w:eastAsia="Times New Roman"/>
          <w:lang w:val="fr-FR"/>
        </w:rPr>
        <w:t>(M).</w:t>
      </w:r>
    </w:p>
    <w:p w:rsidR="00A76E68" w:rsidRPr="00A76E68" w:rsidRDefault="00A76E68" w:rsidP="00381C7A">
      <w:pPr>
        <w:pStyle w:val="SingleTxtG"/>
        <w:keepNext/>
        <w:ind w:left="2835"/>
        <w:rPr>
          <w:lang w:val="fr-FR"/>
        </w:rPr>
      </w:pPr>
      <w:r w:rsidRPr="00A76E68">
        <w:rPr>
          <w:lang w:val="fr-FR"/>
        </w:rPr>
        <w:t xml:space="preserve">La valeur de </w:t>
      </w:r>
      <w:proofErr w:type="spellStart"/>
      <w:r w:rsidRPr="00A76E68">
        <w:rPr>
          <w:lang w:val="fr-FR"/>
        </w:rPr>
        <w:t>Test</w:t>
      </w:r>
      <w:r w:rsidRPr="00A76E68">
        <w:rPr>
          <w:vertAlign w:val="subscript"/>
          <w:lang w:val="fr-FR"/>
        </w:rPr>
        <w:t>min</w:t>
      </w:r>
      <w:proofErr w:type="spellEnd"/>
      <w:r w:rsidRPr="00A76E68">
        <w:rPr>
          <w:vertAlign w:val="subscript"/>
          <w:lang w:val="fr-FR"/>
        </w:rPr>
        <w:t xml:space="preserve"> </w:t>
      </w:r>
      <w:r w:rsidRPr="00A76E68">
        <w:rPr>
          <w:lang w:val="fr-FR"/>
        </w:rPr>
        <w:t>(M) doit être de:</w:t>
      </w:r>
    </w:p>
    <w:p w:rsidR="00A76E68" w:rsidRPr="00A76E68" w:rsidRDefault="00A76E68" w:rsidP="00381C7A">
      <w:pPr>
        <w:pStyle w:val="SingleTxtG"/>
        <w:ind w:left="3402" w:hanging="567"/>
        <w:rPr>
          <w:rFonts w:eastAsia="Times New Roman"/>
          <w:lang w:val="fr-FR"/>
        </w:rPr>
      </w:pPr>
      <w:r w:rsidRPr="00A76E68">
        <w:rPr>
          <w:rFonts w:eastAsia="Times New Roman"/>
          <w:lang w:val="fr-FR"/>
        </w:rPr>
        <w:t>i)</w:t>
      </w:r>
      <w:r w:rsidRPr="00A76E68">
        <w:rPr>
          <w:rFonts w:eastAsia="Times New Roman"/>
          <w:lang w:val="fr-FR"/>
        </w:rPr>
        <w:tab/>
        <w:t>0,230 si la surveillance M doit avoir un rapport d</w:t>
      </w:r>
      <w:r w:rsidR="00DB4C2D">
        <w:rPr>
          <w:rFonts w:eastAsia="Times New Roman"/>
          <w:lang w:val="fr-FR"/>
        </w:rPr>
        <w:t>’</w:t>
      </w:r>
      <w:r w:rsidRPr="00A76E68">
        <w:rPr>
          <w:rFonts w:eastAsia="Times New Roman"/>
          <w:lang w:val="fr-FR"/>
        </w:rPr>
        <w:t>efficacité en service de 0,26;</w:t>
      </w:r>
    </w:p>
    <w:p w:rsidR="00A76E68" w:rsidRPr="00A76E68" w:rsidRDefault="00A76E68" w:rsidP="00381C7A">
      <w:pPr>
        <w:pStyle w:val="SingleTxtG"/>
        <w:ind w:left="3402" w:hanging="567"/>
        <w:rPr>
          <w:rFonts w:eastAsia="Times New Roman"/>
          <w:lang w:val="fr-FR"/>
        </w:rPr>
      </w:pPr>
      <w:r w:rsidRPr="00A76E68">
        <w:rPr>
          <w:rFonts w:eastAsia="Times New Roman"/>
          <w:lang w:val="fr-FR"/>
        </w:rPr>
        <w:t>ii)</w:t>
      </w:r>
      <w:r w:rsidRPr="00A76E68">
        <w:rPr>
          <w:rFonts w:eastAsia="Times New Roman"/>
          <w:lang w:val="fr-FR"/>
        </w:rPr>
        <w:tab/>
        <w:t>0,460 si la surveillance M doit avoir un rapport d</w:t>
      </w:r>
      <w:r w:rsidR="00DB4C2D">
        <w:rPr>
          <w:rFonts w:eastAsia="Times New Roman"/>
          <w:lang w:val="fr-FR"/>
        </w:rPr>
        <w:t>’</w:t>
      </w:r>
      <w:r w:rsidRPr="00A76E68">
        <w:rPr>
          <w:rFonts w:eastAsia="Times New Roman"/>
          <w:lang w:val="fr-FR"/>
        </w:rPr>
        <w:t>efficacité en service de 0,52;</w:t>
      </w:r>
    </w:p>
    <w:p w:rsidR="00A76E68" w:rsidRPr="00A76E68" w:rsidRDefault="00A76E68" w:rsidP="00381C7A">
      <w:pPr>
        <w:pStyle w:val="SingleTxtG"/>
        <w:ind w:left="3402" w:hanging="567"/>
        <w:rPr>
          <w:rFonts w:eastAsia="Times New Roman"/>
          <w:lang w:val="fr-FR"/>
        </w:rPr>
      </w:pPr>
      <w:r w:rsidRPr="00A76E68">
        <w:rPr>
          <w:rFonts w:eastAsia="Times New Roman"/>
          <w:lang w:val="fr-FR"/>
        </w:rPr>
        <w:t>iii)</w:t>
      </w:r>
      <w:r w:rsidRPr="00A76E68">
        <w:rPr>
          <w:rFonts w:eastAsia="Times New Roman"/>
          <w:lang w:val="fr-FR"/>
        </w:rPr>
        <w:tab/>
        <w:t>0,297 si la surveillance M doit avoir un rapport d</w:t>
      </w:r>
      <w:r w:rsidR="00DB4C2D">
        <w:rPr>
          <w:rFonts w:eastAsia="Times New Roman"/>
          <w:lang w:val="fr-FR"/>
        </w:rPr>
        <w:t>’</w:t>
      </w:r>
      <w:r w:rsidRPr="00A76E68">
        <w:rPr>
          <w:rFonts w:eastAsia="Times New Roman"/>
          <w:lang w:val="fr-FR"/>
        </w:rPr>
        <w:t xml:space="preserve">efficacité en service de 0,336; </w:t>
      </w:r>
    </w:p>
    <w:p w:rsidR="00A76E68" w:rsidRPr="00A76E68" w:rsidRDefault="00A76E68" w:rsidP="00381C7A">
      <w:pPr>
        <w:pStyle w:val="SingleTxtG"/>
        <w:ind w:left="2835"/>
        <w:rPr>
          <w:lang w:val="fr-FR"/>
        </w:rPr>
      </w:pPr>
      <w:r w:rsidRPr="00A76E68">
        <w:rPr>
          <w:lang w:val="fr-FR"/>
        </w:rPr>
        <w:t>conformément au paragraphe 7.1.4 de l</w:t>
      </w:r>
      <w:r w:rsidR="00DB4C2D">
        <w:rPr>
          <w:lang w:val="fr-FR"/>
        </w:rPr>
        <w:t>’</w:t>
      </w:r>
      <w:r w:rsidRPr="00A76E68">
        <w:rPr>
          <w:lang w:val="fr-FR"/>
        </w:rPr>
        <w:t>appendice 1 à l</w:t>
      </w:r>
      <w:r w:rsidR="00DB4C2D">
        <w:rPr>
          <w:lang w:val="fr-FR"/>
        </w:rPr>
        <w:t>’</w:t>
      </w:r>
      <w:r w:rsidRPr="00A76E68">
        <w:rPr>
          <w:lang w:val="fr-FR"/>
        </w:rPr>
        <w:t>annexe 11 du présent Règlement.</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6.2</w:t>
      </w:r>
      <w:r w:rsidRPr="00A76E68">
        <w:rPr>
          <w:rFonts w:eastAsia="Times New Roman"/>
          <w:lang w:val="fr-FR"/>
        </w:rPr>
        <w:tab/>
        <w:t>Le plan de mesures correctives doit être envoyé à l</w:t>
      </w:r>
      <w:r w:rsidR="00DB4C2D">
        <w:rPr>
          <w:rFonts w:eastAsia="Times New Roman"/>
          <w:lang w:val="fr-FR"/>
        </w:rPr>
        <w:t>’</w:t>
      </w:r>
      <w:r w:rsidRPr="00A76E68">
        <w:rPr>
          <w:rFonts w:eastAsia="Times New Roman"/>
          <w:lang w:val="fr-FR"/>
        </w:rPr>
        <w:t>autorité d</w:t>
      </w:r>
      <w:r w:rsidR="00DB4C2D">
        <w:rPr>
          <w:rFonts w:eastAsia="Times New Roman"/>
          <w:lang w:val="fr-FR"/>
        </w:rPr>
        <w:t>’</w:t>
      </w:r>
      <w:r w:rsidRPr="00A76E68">
        <w:rPr>
          <w:rFonts w:eastAsia="Times New Roman"/>
          <w:lang w:val="fr-FR"/>
        </w:rPr>
        <w:t>homologation de type au plus tard 60 jours ouvrables à compter de la date de la notification visée au paragraphe 6.1 de cet appendice. Dans les 30 jours ouvrables qui suivent, l</w:t>
      </w:r>
      <w:r w:rsidR="00DB4C2D">
        <w:rPr>
          <w:rFonts w:eastAsia="Times New Roman"/>
          <w:lang w:val="fr-FR"/>
        </w:rPr>
        <w:t>’</w:t>
      </w:r>
      <w:r w:rsidRPr="00A76E68">
        <w:rPr>
          <w:rFonts w:eastAsia="Times New Roman"/>
          <w:lang w:val="fr-FR"/>
        </w:rPr>
        <w:t>autorité doit déclarer approuver ou désapprouver le plan de mesures correctives. Cependant, lorsque le constructeur parvient à convaincre l</w:t>
      </w:r>
      <w:r w:rsidR="00DB4C2D">
        <w:rPr>
          <w:rFonts w:eastAsia="Times New Roman"/>
          <w:lang w:val="fr-FR"/>
        </w:rPr>
        <w:t>’</w:t>
      </w:r>
      <w:r w:rsidRPr="00A76E68">
        <w:rPr>
          <w:rFonts w:eastAsia="Times New Roman"/>
          <w:lang w:val="fr-FR"/>
        </w:rPr>
        <w:t>autorité d</w:t>
      </w:r>
      <w:r w:rsidR="00DB4C2D">
        <w:rPr>
          <w:rFonts w:eastAsia="Times New Roman"/>
          <w:lang w:val="fr-FR"/>
        </w:rPr>
        <w:t>’</w:t>
      </w:r>
      <w:r w:rsidRPr="00A76E68">
        <w:rPr>
          <w:rFonts w:eastAsia="Times New Roman"/>
          <w:lang w:val="fr-FR"/>
        </w:rPr>
        <w:t>homologation de type de la nécessité d</w:t>
      </w:r>
      <w:r w:rsidR="00DB4C2D">
        <w:rPr>
          <w:rFonts w:eastAsia="Times New Roman"/>
          <w:lang w:val="fr-FR"/>
        </w:rPr>
        <w:t>’</w:t>
      </w:r>
      <w:r w:rsidRPr="00A76E68">
        <w:rPr>
          <w:rFonts w:eastAsia="Times New Roman"/>
          <w:lang w:val="fr-FR"/>
        </w:rPr>
        <w:t>un délai supplémentaire pour examiner l</w:t>
      </w:r>
      <w:r w:rsidR="00DB4C2D">
        <w:rPr>
          <w:rFonts w:eastAsia="Times New Roman"/>
          <w:lang w:val="fr-FR"/>
        </w:rPr>
        <w:t>’</w:t>
      </w:r>
      <w:r w:rsidRPr="00A76E68">
        <w:rPr>
          <w:rFonts w:eastAsia="Times New Roman"/>
          <w:lang w:val="fr-FR"/>
        </w:rPr>
        <w:t>état de non-conformité afin de présenter un plan de mesures correctives, une prorogation est accordée.</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6.3</w:t>
      </w:r>
      <w:r w:rsidRPr="00A76E68">
        <w:rPr>
          <w:rFonts w:eastAsia="Times New Roman"/>
          <w:lang w:val="fr-FR"/>
        </w:rPr>
        <w:tab/>
        <w:t>Les mesures correctives doivent concerner tous les véhicules qui sont susceptibles d</w:t>
      </w:r>
      <w:r w:rsidR="00DB4C2D">
        <w:rPr>
          <w:rFonts w:eastAsia="Times New Roman"/>
          <w:lang w:val="fr-FR"/>
        </w:rPr>
        <w:t>’</w:t>
      </w:r>
      <w:r w:rsidRPr="00A76E68">
        <w:rPr>
          <w:rFonts w:eastAsia="Times New Roman"/>
          <w:lang w:val="fr-FR"/>
        </w:rPr>
        <w:t>être affectés du même défaut. La nécessité de modifier les documents d</w:t>
      </w:r>
      <w:r w:rsidR="00DB4C2D">
        <w:rPr>
          <w:rFonts w:eastAsia="Times New Roman"/>
          <w:lang w:val="fr-FR"/>
        </w:rPr>
        <w:t>’</w:t>
      </w:r>
      <w:r w:rsidRPr="00A76E68">
        <w:rPr>
          <w:rFonts w:eastAsia="Times New Roman"/>
          <w:lang w:val="fr-FR"/>
        </w:rPr>
        <w:t>homologation du type doit être évaluée.</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6.4</w:t>
      </w:r>
      <w:r w:rsidRPr="00A76E68">
        <w:rPr>
          <w:rFonts w:eastAsia="Times New Roman"/>
          <w:lang w:val="fr-FR"/>
        </w:rPr>
        <w:tab/>
        <w:t>Le constructeur doit fournir une copie de toutes les communications relatives au plan de mesures correctives. Il doit conserver un dossier de la campagne de rappel et présenter régulièrement des rapports sur son état d</w:t>
      </w:r>
      <w:r w:rsidR="00DB4C2D">
        <w:rPr>
          <w:rFonts w:eastAsia="Times New Roman"/>
          <w:lang w:val="fr-FR"/>
        </w:rPr>
        <w:t>’</w:t>
      </w:r>
      <w:r w:rsidRPr="00A76E68">
        <w:rPr>
          <w:rFonts w:eastAsia="Times New Roman"/>
          <w:lang w:val="fr-FR"/>
        </w:rPr>
        <w:t>avancement à l</w:t>
      </w:r>
      <w:r w:rsidR="00DB4C2D">
        <w:rPr>
          <w:rFonts w:eastAsia="Times New Roman"/>
          <w:lang w:val="fr-FR"/>
        </w:rPr>
        <w:t>’</w:t>
      </w:r>
      <w:r w:rsidRPr="00A76E68">
        <w:rPr>
          <w:rFonts w:eastAsia="Times New Roman"/>
          <w:lang w:val="fr-FR"/>
        </w:rPr>
        <w:t>autorité d</w:t>
      </w:r>
      <w:r w:rsidR="00DB4C2D">
        <w:rPr>
          <w:rFonts w:eastAsia="Times New Roman"/>
          <w:lang w:val="fr-FR"/>
        </w:rPr>
        <w:t>’</w:t>
      </w:r>
      <w:r w:rsidRPr="00A76E68">
        <w:rPr>
          <w:rFonts w:eastAsia="Times New Roman"/>
          <w:lang w:val="fr-FR"/>
        </w:rPr>
        <w:t>homologation de type.</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w:t>
      </w:r>
      <w:r w:rsidRPr="00A76E68">
        <w:rPr>
          <w:rFonts w:eastAsia="Times New Roman"/>
          <w:lang w:val="fr-FR"/>
        </w:rPr>
        <w:tab/>
        <w:t>Le plan de mesures correctives doit comporter les prescriptions spécifiées aux paragraphes 6.5.1 à 6.5.11 de cet appendice. Le constructeur doit attribuer au plan de mesures correctives une dénomination ou un numéro d</w:t>
      </w:r>
      <w:r w:rsidR="00DB4C2D">
        <w:rPr>
          <w:rFonts w:eastAsia="Times New Roman"/>
          <w:lang w:val="fr-FR"/>
        </w:rPr>
        <w:t>’</w:t>
      </w:r>
      <w:r w:rsidRPr="00A76E68">
        <w:rPr>
          <w:rFonts w:eastAsia="Times New Roman"/>
          <w:lang w:val="fr-FR"/>
        </w:rPr>
        <w:t>identification unique.</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6.5.1</w:t>
      </w:r>
      <w:r w:rsidRPr="00A76E68">
        <w:rPr>
          <w:rFonts w:eastAsia="Times New Roman"/>
          <w:lang w:val="fr-FR"/>
        </w:rPr>
        <w:tab/>
        <w:t>Une description de chaque type de véhicule faisant l</w:t>
      </w:r>
      <w:r w:rsidR="00DB4C2D">
        <w:rPr>
          <w:rFonts w:eastAsia="Times New Roman"/>
          <w:lang w:val="fr-FR"/>
        </w:rPr>
        <w:t>’</w:t>
      </w:r>
      <w:r w:rsidRPr="00A76E68">
        <w:rPr>
          <w:rFonts w:eastAsia="Times New Roman"/>
          <w:lang w:val="fr-FR"/>
        </w:rPr>
        <w:t>objet du plan de mesures correctives.</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6.5.2</w:t>
      </w:r>
      <w:r w:rsidRPr="00A76E68">
        <w:rPr>
          <w:rFonts w:eastAsia="Times New Roman"/>
          <w:lang w:val="fr-FR"/>
        </w:rPr>
        <w:tab/>
        <w:t>Une description des modifications, adaptations, réparations, corrections, ajustements ou autres changements à apporter pour mettre les véhicules en conformité, ainsi qu</w:t>
      </w:r>
      <w:r w:rsidR="00DB4C2D">
        <w:rPr>
          <w:rFonts w:eastAsia="Times New Roman"/>
          <w:lang w:val="fr-FR"/>
        </w:rPr>
        <w:t>’</w:t>
      </w:r>
      <w:r w:rsidRPr="00A76E68">
        <w:rPr>
          <w:rFonts w:eastAsia="Times New Roman"/>
          <w:lang w:val="fr-FR"/>
        </w:rPr>
        <w:t>un bref résumé des données et des études techniques sur lesquelles se fonde la décision du constructeur quant aux différentes mesures à prendre pour remédier à l</w:t>
      </w:r>
      <w:r w:rsidR="00DB4C2D">
        <w:rPr>
          <w:rFonts w:eastAsia="Times New Roman"/>
          <w:lang w:val="fr-FR"/>
        </w:rPr>
        <w:t>’</w:t>
      </w:r>
      <w:r w:rsidRPr="00A76E68">
        <w:rPr>
          <w:rFonts w:eastAsia="Times New Roman"/>
          <w:lang w:val="fr-FR"/>
        </w:rPr>
        <w:t>état de non-conformité.</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6.5.3</w:t>
      </w:r>
      <w:r w:rsidRPr="00A76E68">
        <w:rPr>
          <w:rFonts w:eastAsia="Times New Roman"/>
          <w:lang w:val="fr-FR"/>
        </w:rPr>
        <w:tab/>
        <w:t>Une description de la méthode que le constructeur appliquera pour informer les propriétaires des véhicules.</w:t>
      </w:r>
    </w:p>
    <w:p w:rsidR="00A76E68" w:rsidRPr="00A76E68" w:rsidRDefault="00A76E68" w:rsidP="00A370AC">
      <w:pPr>
        <w:pStyle w:val="SingleTxtG"/>
        <w:keepLines/>
        <w:ind w:left="2268" w:hanging="1134"/>
        <w:rPr>
          <w:rFonts w:eastAsia="Times New Roman"/>
          <w:lang w:val="fr-FR"/>
        </w:rPr>
      </w:pPr>
      <w:r w:rsidRPr="00A76E68">
        <w:rPr>
          <w:rFonts w:eastAsia="Times New Roman"/>
          <w:lang w:val="fr-FR"/>
        </w:rPr>
        <w:lastRenderedPageBreak/>
        <w:t>6.5.4</w:t>
      </w:r>
      <w:r w:rsidRPr="00A76E68">
        <w:rPr>
          <w:rFonts w:eastAsia="Times New Roman"/>
          <w:lang w:val="fr-FR"/>
        </w:rPr>
        <w:tab/>
      </w:r>
      <w:r w:rsidRPr="00A370AC">
        <w:rPr>
          <w:rFonts w:eastAsia="Times New Roman"/>
          <w:spacing w:val="-2"/>
          <w:lang w:val="fr-FR"/>
        </w:rPr>
        <w:t>Une description de l</w:t>
      </w:r>
      <w:r w:rsidR="00DB4C2D" w:rsidRPr="00A370AC">
        <w:rPr>
          <w:rFonts w:eastAsia="Times New Roman"/>
          <w:spacing w:val="-2"/>
          <w:lang w:val="fr-FR"/>
        </w:rPr>
        <w:t>’</w:t>
      </w:r>
      <w:r w:rsidRPr="00A370AC">
        <w:rPr>
          <w:rFonts w:eastAsia="Times New Roman"/>
          <w:spacing w:val="-2"/>
          <w:lang w:val="fr-FR"/>
        </w:rPr>
        <w:t>entretien ou de l</w:t>
      </w:r>
      <w:r w:rsidR="00DB4C2D" w:rsidRPr="00A370AC">
        <w:rPr>
          <w:rFonts w:eastAsia="Times New Roman"/>
          <w:spacing w:val="-2"/>
          <w:lang w:val="fr-FR"/>
        </w:rPr>
        <w:t>’</w:t>
      </w:r>
      <w:r w:rsidRPr="00A370AC">
        <w:rPr>
          <w:rFonts w:eastAsia="Times New Roman"/>
          <w:spacing w:val="-2"/>
          <w:lang w:val="fr-FR"/>
        </w:rPr>
        <w:t>utilisation corrects auxquels le constructeur subordonne, le cas échéant, le droit aux réparations à effectuer dans le cadre du plan de mesures correctives, et une explication des raisons pour lesquelles le constructeur impose ces conditions. Aucune condition relative à l</w:t>
      </w:r>
      <w:r w:rsidR="00DB4C2D" w:rsidRPr="00A370AC">
        <w:rPr>
          <w:rFonts w:eastAsia="Times New Roman"/>
          <w:spacing w:val="-2"/>
          <w:lang w:val="fr-FR"/>
        </w:rPr>
        <w:t>’</w:t>
      </w:r>
      <w:r w:rsidRPr="00A370AC">
        <w:rPr>
          <w:rFonts w:eastAsia="Times New Roman"/>
          <w:spacing w:val="-2"/>
          <w:lang w:val="fr-FR"/>
        </w:rPr>
        <w:t>entretien ou à l</w:t>
      </w:r>
      <w:r w:rsidR="00DB4C2D" w:rsidRPr="00A370AC">
        <w:rPr>
          <w:rFonts w:eastAsia="Times New Roman"/>
          <w:spacing w:val="-2"/>
          <w:lang w:val="fr-FR"/>
        </w:rPr>
        <w:t>’</w:t>
      </w:r>
      <w:r w:rsidRPr="00A370AC">
        <w:rPr>
          <w:rFonts w:eastAsia="Times New Roman"/>
          <w:spacing w:val="-2"/>
          <w:lang w:val="fr-FR"/>
        </w:rPr>
        <w:t>utilisation ne peut être imposée sauf s</w:t>
      </w:r>
      <w:r w:rsidR="00DB4C2D" w:rsidRPr="00A370AC">
        <w:rPr>
          <w:rFonts w:eastAsia="Times New Roman"/>
          <w:spacing w:val="-2"/>
          <w:lang w:val="fr-FR"/>
        </w:rPr>
        <w:t>’</w:t>
      </w:r>
      <w:r w:rsidRPr="00A370AC">
        <w:rPr>
          <w:rFonts w:eastAsia="Times New Roman"/>
          <w:spacing w:val="-2"/>
          <w:lang w:val="fr-FR"/>
        </w:rPr>
        <w:t>il peut être démontré qu</w:t>
      </w:r>
      <w:r w:rsidR="00DB4C2D" w:rsidRPr="00A370AC">
        <w:rPr>
          <w:rFonts w:eastAsia="Times New Roman"/>
          <w:spacing w:val="-2"/>
          <w:lang w:val="fr-FR"/>
        </w:rPr>
        <w:t>’</w:t>
      </w:r>
      <w:r w:rsidRPr="00A370AC">
        <w:rPr>
          <w:rFonts w:eastAsia="Times New Roman"/>
          <w:spacing w:val="-2"/>
          <w:lang w:val="fr-FR"/>
        </w:rPr>
        <w:t>elle est liée à l</w:t>
      </w:r>
      <w:r w:rsidR="00DB4C2D" w:rsidRPr="00A370AC">
        <w:rPr>
          <w:rFonts w:eastAsia="Times New Roman"/>
          <w:spacing w:val="-2"/>
          <w:lang w:val="fr-FR"/>
        </w:rPr>
        <w:t>’</w:t>
      </w:r>
      <w:r w:rsidRPr="00A370AC">
        <w:rPr>
          <w:rFonts w:eastAsia="Times New Roman"/>
          <w:spacing w:val="-2"/>
          <w:lang w:val="fr-FR"/>
        </w:rPr>
        <w:t>état de non-conformité et aux mesures correctives.</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6.5.5</w:t>
      </w:r>
      <w:r w:rsidRPr="00A76E68">
        <w:rPr>
          <w:rFonts w:eastAsia="Times New Roman"/>
          <w:lang w:val="fr-FR"/>
        </w:rPr>
        <w:tab/>
        <w:t>Une description de la procédure que doivent suivre les propriétaires de véhicules pour obtenir la mise en conformité de leur véhicule. Elle comprend la date à partir de laquelle les mesures correctives peuvent être prises, la durée estimée des réparations en atelier et l</w:t>
      </w:r>
      <w:r w:rsidR="00DB4C2D">
        <w:rPr>
          <w:rFonts w:eastAsia="Times New Roman"/>
          <w:lang w:val="fr-FR"/>
        </w:rPr>
        <w:t>’</w:t>
      </w:r>
      <w:r w:rsidRPr="00A76E68">
        <w:rPr>
          <w:rFonts w:eastAsia="Times New Roman"/>
          <w:lang w:val="fr-FR"/>
        </w:rPr>
        <w:t>indication du lieu où elles peuvent être faites. Les réparations sont effectuées de manière appropriée dans un délai raisonnable à compter de la remise du véhicule.</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6.5.6</w:t>
      </w:r>
      <w:r w:rsidRPr="00A76E68">
        <w:rPr>
          <w:rFonts w:eastAsia="Times New Roman"/>
          <w:lang w:val="fr-FR"/>
        </w:rPr>
        <w:tab/>
        <w:t>Une copie des informations transmises aux propriétaires de véhicules.</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6.5.7</w:t>
      </w:r>
      <w:r w:rsidRPr="00A76E68">
        <w:rPr>
          <w:rFonts w:eastAsia="Times New Roman"/>
          <w:lang w:val="fr-FR"/>
        </w:rPr>
        <w:tab/>
        <w:t>Une brève description du système que le constructeur utilisera pour assurer un approvisionnement adéquat en composants ou systèmes afin de mener à bien l</w:t>
      </w:r>
      <w:r w:rsidR="00DB4C2D">
        <w:rPr>
          <w:rFonts w:eastAsia="Times New Roman"/>
          <w:lang w:val="fr-FR"/>
        </w:rPr>
        <w:t>’</w:t>
      </w:r>
      <w:r w:rsidRPr="00A76E68">
        <w:rPr>
          <w:rFonts w:eastAsia="Times New Roman"/>
          <w:lang w:val="fr-FR"/>
        </w:rPr>
        <w:t>action corrective. La date à laquelle un stock suffisant de composants ou systèmes aura été constitué pour lancer la campagne doit être indiquée.</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6.5.8</w:t>
      </w:r>
      <w:r w:rsidRPr="00A76E68">
        <w:rPr>
          <w:rFonts w:eastAsia="Times New Roman"/>
          <w:lang w:val="fr-FR"/>
        </w:rPr>
        <w:tab/>
        <w:t>Une copie de toutes les instructions à envoyer aux personnes qui sont chargées des réparations.</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6.5.9</w:t>
      </w:r>
      <w:r w:rsidRPr="00A76E68">
        <w:rPr>
          <w:rFonts w:eastAsia="Times New Roman"/>
          <w:lang w:val="fr-FR"/>
        </w:rPr>
        <w:tab/>
        <w:t>U</w:t>
      </w:r>
      <w:r w:rsidRPr="00A76E68">
        <w:rPr>
          <w:rFonts w:eastAsia="Times New Roman"/>
          <w:lang w:val="fr-FR"/>
        </w:rPr>
        <w:t>n</w:t>
      </w:r>
      <w:r w:rsidRPr="00A76E68">
        <w:rPr>
          <w:rFonts w:eastAsia="Times New Roman"/>
          <w:lang w:val="fr-FR"/>
        </w:rPr>
        <w:t>e description de l</w:t>
      </w:r>
      <w:r w:rsidR="00DB4C2D">
        <w:rPr>
          <w:rFonts w:eastAsia="Times New Roman"/>
          <w:lang w:val="fr-FR"/>
        </w:rPr>
        <w:t>’</w:t>
      </w:r>
      <w:r w:rsidRPr="00A76E68">
        <w:rPr>
          <w:rFonts w:eastAsia="Times New Roman"/>
          <w:lang w:val="fr-FR"/>
        </w:rPr>
        <w:t>incidence des mesures correctives proposées sur les émissions, la consommation de carburant, l</w:t>
      </w:r>
      <w:r w:rsidR="00DB4C2D">
        <w:rPr>
          <w:rFonts w:eastAsia="Times New Roman"/>
          <w:lang w:val="fr-FR"/>
        </w:rPr>
        <w:t>’</w:t>
      </w:r>
      <w:r w:rsidRPr="00A76E68">
        <w:rPr>
          <w:rFonts w:eastAsia="Times New Roman"/>
          <w:lang w:val="fr-FR"/>
        </w:rPr>
        <w:t>agrément de conduite et la sécurité de chaque type de véhicule concerné par le plan de mesures correctives, accompagnée des données, études techniques et autres éléments étayant ces conclusions.</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6.5.10</w:t>
      </w:r>
      <w:r w:rsidRPr="00A76E68">
        <w:rPr>
          <w:rFonts w:eastAsia="Times New Roman"/>
          <w:lang w:val="fr-FR"/>
        </w:rPr>
        <w:tab/>
        <w:t>Tous les autres rapports, informations ou données que l</w:t>
      </w:r>
      <w:r w:rsidR="00DB4C2D">
        <w:rPr>
          <w:rFonts w:eastAsia="Times New Roman"/>
          <w:lang w:val="fr-FR"/>
        </w:rPr>
        <w:t>’</w:t>
      </w:r>
      <w:r w:rsidRPr="00A76E68">
        <w:rPr>
          <w:rFonts w:eastAsia="Times New Roman"/>
          <w:lang w:val="fr-FR"/>
        </w:rPr>
        <w:t>autorité d</w:t>
      </w:r>
      <w:r w:rsidR="00DB4C2D">
        <w:rPr>
          <w:rFonts w:eastAsia="Times New Roman"/>
          <w:lang w:val="fr-FR"/>
        </w:rPr>
        <w:t>’</w:t>
      </w:r>
      <w:r w:rsidRPr="00A76E68">
        <w:rPr>
          <w:rFonts w:eastAsia="Times New Roman"/>
          <w:lang w:val="fr-FR"/>
        </w:rPr>
        <w:t>homologation de type peut raisonnablement juger nécessaires pour évaluer le plan de mesures correctives.</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6.5.11</w:t>
      </w:r>
      <w:r w:rsidRPr="00A76E68">
        <w:rPr>
          <w:rFonts w:eastAsia="Times New Roman"/>
          <w:lang w:val="fr-FR"/>
        </w:rPr>
        <w:tab/>
        <w:t>Si le plan de mesures correctives comprend un rappel de véhicules, une description de la méthode d</w:t>
      </w:r>
      <w:r w:rsidR="00DB4C2D">
        <w:rPr>
          <w:rFonts w:eastAsia="Times New Roman"/>
          <w:lang w:val="fr-FR"/>
        </w:rPr>
        <w:t>’</w:t>
      </w:r>
      <w:r w:rsidRPr="00A76E68">
        <w:rPr>
          <w:rFonts w:eastAsia="Times New Roman"/>
          <w:lang w:val="fr-FR"/>
        </w:rPr>
        <w:t>enregistrement des réparations est présentée à l</w:t>
      </w:r>
      <w:r w:rsidR="00DB4C2D">
        <w:rPr>
          <w:rFonts w:eastAsia="Times New Roman"/>
          <w:lang w:val="fr-FR"/>
        </w:rPr>
        <w:t>’</w:t>
      </w:r>
      <w:r w:rsidRPr="00A76E68">
        <w:rPr>
          <w:rFonts w:eastAsia="Times New Roman"/>
          <w:lang w:val="fr-FR"/>
        </w:rPr>
        <w:t>autorité d</w:t>
      </w:r>
      <w:r w:rsidR="00DB4C2D">
        <w:rPr>
          <w:rFonts w:eastAsia="Times New Roman"/>
          <w:lang w:val="fr-FR"/>
        </w:rPr>
        <w:t>’</w:t>
      </w:r>
      <w:r w:rsidRPr="00A76E68">
        <w:rPr>
          <w:rFonts w:eastAsia="Times New Roman"/>
          <w:lang w:val="fr-FR"/>
        </w:rPr>
        <w:t>homologation. Si une étiquette est utilisée un exemplaire en est fourni.</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6.6</w:t>
      </w:r>
      <w:r w:rsidRPr="00A76E68">
        <w:rPr>
          <w:rFonts w:eastAsia="Times New Roman"/>
          <w:lang w:val="fr-FR"/>
        </w:rPr>
        <w:tab/>
        <w:t>Il peut être demandé au constructeur d</w:t>
      </w:r>
      <w:r w:rsidR="00DB4C2D">
        <w:rPr>
          <w:rFonts w:eastAsia="Times New Roman"/>
          <w:lang w:val="fr-FR"/>
        </w:rPr>
        <w:t>’</w:t>
      </w:r>
      <w:r w:rsidRPr="00A76E68">
        <w:rPr>
          <w:rFonts w:eastAsia="Times New Roman"/>
          <w:lang w:val="fr-FR"/>
        </w:rPr>
        <w:t>effectuer des essais raisonnablement conçus et nécessaires sur les composants et les véhicules auxquels ont été appliqués les modifications, réparations ou remplacements proposés pour démontrer l</w:t>
      </w:r>
      <w:r w:rsidR="00DB4C2D">
        <w:rPr>
          <w:rFonts w:eastAsia="Times New Roman"/>
          <w:lang w:val="fr-FR"/>
        </w:rPr>
        <w:t>’</w:t>
      </w:r>
      <w:r w:rsidRPr="00A76E68">
        <w:rPr>
          <w:rFonts w:eastAsia="Times New Roman"/>
          <w:lang w:val="fr-FR"/>
        </w:rPr>
        <w:t>efficacité de ces interventions.</w:t>
      </w:r>
    </w:p>
    <w:p w:rsidR="00A76E68" w:rsidRPr="00A76E68" w:rsidRDefault="00A76E68" w:rsidP="00381C7A">
      <w:pPr>
        <w:pStyle w:val="SingleTxtG"/>
        <w:ind w:left="2268" w:hanging="1134"/>
        <w:rPr>
          <w:rFonts w:eastAsia="Times New Roman"/>
          <w:lang w:val="fr-FR"/>
        </w:rPr>
      </w:pPr>
      <w:r w:rsidRPr="00A76E68">
        <w:rPr>
          <w:rFonts w:eastAsia="Times New Roman"/>
          <w:lang w:val="fr-FR"/>
        </w:rPr>
        <w:t>6.7</w:t>
      </w:r>
      <w:r w:rsidRPr="00A76E68">
        <w:rPr>
          <w:rFonts w:eastAsia="Times New Roman"/>
          <w:lang w:val="fr-FR"/>
        </w:rPr>
        <w:tab/>
        <w:t>Le constructeur a la responsabilité de constituer un dossier mentionnant tous les véhicules rappelés et réparés, avec indication de l</w:t>
      </w:r>
      <w:r w:rsidR="00DB4C2D">
        <w:rPr>
          <w:rFonts w:eastAsia="Times New Roman"/>
          <w:lang w:val="fr-FR"/>
        </w:rPr>
        <w:t>’</w:t>
      </w:r>
      <w:r w:rsidRPr="00A76E68">
        <w:rPr>
          <w:rFonts w:eastAsia="Times New Roman"/>
          <w:lang w:val="fr-FR"/>
        </w:rPr>
        <w:t>atelier qui a effectué les réparations. L</w:t>
      </w:r>
      <w:r w:rsidR="00DB4C2D">
        <w:rPr>
          <w:rFonts w:eastAsia="Times New Roman"/>
          <w:lang w:val="fr-FR"/>
        </w:rPr>
        <w:t>’</w:t>
      </w:r>
      <w:r w:rsidRPr="00A76E68">
        <w:rPr>
          <w:rFonts w:eastAsia="Times New Roman"/>
          <w:lang w:val="fr-FR"/>
        </w:rPr>
        <w:t>autorité d</w:t>
      </w:r>
      <w:r w:rsidR="00DB4C2D">
        <w:rPr>
          <w:rFonts w:eastAsia="Times New Roman"/>
          <w:lang w:val="fr-FR"/>
        </w:rPr>
        <w:t>’</w:t>
      </w:r>
      <w:r w:rsidRPr="00A76E68">
        <w:rPr>
          <w:rFonts w:eastAsia="Times New Roman"/>
          <w:lang w:val="fr-FR"/>
        </w:rPr>
        <w:t>homologation de type doit avoir accès sur demande à ce dossier pendant une période de 5 ans à partir de la mise en œuvre du plan de mesures correctives.</w:t>
      </w:r>
    </w:p>
    <w:p w:rsidR="00B31EED" w:rsidRDefault="00A76E68" w:rsidP="00381C7A">
      <w:pPr>
        <w:pStyle w:val="SingleTxtG"/>
        <w:ind w:left="2268" w:hanging="1134"/>
        <w:rPr>
          <w:rFonts w:eastAsia="Times New Roman"/>
          <w:lang w:val="fr-FR"/>
        </w:rPr>
      </w:pPr>
      <w:r w:rsidRPr="00A76E68">
        <w:rPr>
          <w:rFonts w:eastAsia="Times New Roman"/>
          <w:lang w:val="fr-FR"/>
        </w:rPr>
        <w:t>6.8</w:t>
      </w:r>
      <w:r w:rsidRPr="00A76E68">
        <w:rPr>
          <w:rFonts w:eastAsia="Times New Roman"/>
          <w:lang w:val="fr-FR"/>
        </w:rPr>
        <w:tab/>
        <w:t>La réparation effectuée et/ou la modification apportée ou l</w:t>
      </w:r>
      <w:r w:rsidR="00DB4C2D">
        <w:rPr>
          <w:rFonts w:eastAsia="Times New Roman"/>
          <w:lang w:val="fr-FR"/>
        </w:rPr>
        <w:t>’</w:t>
      </w:r>
      <w:r w:rsidRPr="00A76E68">
        <w:rPr>
          <w:rFonts w:eastAsia="Times New Roman"/>
          <w:lang w:val="fr-FR"/>
        </w:rPr>
        <w:t>ajout de nouveaux équipements doivent être signalés dans un certificat remis par le constructeur au propriétaire du véhicule.</w:t>
      </w:r>
    </w:p>
    <w:p w:rsidR="00A370AC" w:rsidRDefault="00A370AC" w:rsidP="00381C7A">
      <w:pPr>
        <w:pStyle w:val="SingleTxtG"/>
        <w:ind w:left="2268" w:hanging="1134"/>
        <w:rPr>
          <w:rFonts w:eastAsia="Times New Roman"/>
          <w:lang w:val="fr-FR"/>
        </w:rPr>
      </w:pPr>
    </w:p>
    <w:p w:rsidR="00071E05" w:rsidRDefault="00071E05" w:rsidP="00381C7A">
      <w:pPr>
        <w:pStyle w:val="SingleTxtG"/>
        <w:ind w:left="2268" w:hanging="1134"/>
        <w:rPr>
          <w:lang w:val="fr-FR"/>
        </w:rPr>
        <w:sectPr w:rsidR="00071E05" w:rsidSect="00C46DB4">
          <w:headerReference w:type="even" r:id="rId42"/>
          <w:headerReference w:type="default" r:id="rId43"/>
          <w:endnotePr>
            <w:numFmt w:val="decimal"/>
          </w:endnotePr>
          <w:pgSz w:w="11907" w:h="16840" w:code="9"/>
          <w:pgMar w:top="1701" w:right="1134" w:bottom="2268" w:left="1134" w:header="794" w:footer="1701" w:gutter="0"/>
          <w:cols w:space="720"/>
          <w:docGrid w:linePitch="272"/>
        </w:sectPr>
      </w:pPr>
    </w:p>
    <w:p w:rsidR="00071E05" w:rsidRPr="00071E05" w:rsidRDefault="00071E05" w:rsidP="00F473C7">
      <w:pPr>
        <w:pStyle w:val="HChG"/>
        <w:rPr>
          <w:lang w:val="fr-FR"/>
        </w:rPr>
      </w:pPr>
      <w:r w:rsidRPr="00071E05">
        <w:rPr>
          <w:lang w:val="fr-FR"/>
        </w:rPr>
        <w:lastRenderedPageBreak/>
        <w:t>Appendice 4</w:t>
      </w:r>
    </w:p>
    <w:p w:rsidR="00071E05" w:rsidRPr="00071E05" w:rsidRDefault="00071E05" w:rsidP="00F473C7">
      <w:pPr>
        <w:pStyle w:val="HChG"/>
        <w:rPr>
          <w:lang w:val="fr-FR"/>
        </w:rPr>
      </w:pPr>
      <w:r w:rsidRPr="00071E05">
        <w:rPr>
          <w:lang w:val="fr-FR"/>
        </w:rPr>
        <w:tab/>
      </w:r>
      <w:r w:rsidRPr="00071E05">
        <w:rPr>
          <w:lang w:val="fr-FR"/>
        </w:rPr>
        <w:tab/>
        <w:t>Procédure statistiqu</w:t>
      </w:r>
      <w:r w:rsidR="00F473C7">
        <w:rPr>
          <w:lang w:val="fr-FR"/>
        </w:rPr>
        <w:t>e pour les essais de conformité</w:t>
      </w:r>
      <w:r w:rsidRPr="00071E05">
        <w:rPr>
          <w:lang w:val="fr-FR"/>
        </w:rPr>
        <w:br/>
        <w:t>en service en matière d</w:t>
      </w:r>
      <w:r w:rsidR="00DB4C2D">
        <w:rPr>
          <w:lang w:val="fr-FR"/>
        </w:rPr>
        <w:t>’</w:t>
      </w:r>
      <w:r w:rsidRPr="00071E05">
        <w:rPr>
          <w:lang w:val="fr-FR"/>
        </w:rPr>
        <w:t>émissions d</w:t>
      </w:r>
      <w:r w:rsidR="00DB4C2D">
        <w:rPr>
          <w:lang w:val="fr-FR"/>
        </w:rPr>
        <w:t>’</w:t>
      </w:r>
      <w:r w:rsidRPr="00071E05">
        <w:rPr>
          <w:lang w:val="fr-FR"/>
        </w:rPr>
        <w:t>échappement</w:t>
      </w:r>
    </w:p>
    <w:p w:rsidR="00071E05" w:rsidRPr="00071E05" w:rsidRDefault="00071E05" w:rsidP="00F473C7">
      <w:pPr>
        <w:pStyle w:val="SingleTxtG"/>
        <w:ind w:left="2268" w:hanging="1134"/>
        <w:rPr>
          <w:lang w:val="fr-FR"/>
        </w:rPr>
      </w:pPr>
      <w:r w:rsidRPr="00071E05">
        <w:rPr>
          <w:lang w:val="fr-FR"/>
        </w:rPr>
        <w:t>1.</w:t>
      </w:r>
      <w:r w:rsidRPr="00071E05">
        <w:rPr>
          <w:lang w:val="fr-FR"/>
        </w:rPr>
        <w:tab/>
        <w:t>Le présent appendice décrit la procédure à suivre pour contrôler le respect des exigences en matière de conformité en service dans le cadre de l</w:t>
      </w:r>
      <w:r w:rsidR="00DB4C2D">
        <w:rPr>
          <w:lang w:val="fr-FR"/>
        </w:rPr>
        <w:t>’</w:t>
      </w:r>
      <w:r w:rsidRPr="00071E05">
        <w:rPr>
          <w:lang w:val="fr-FR"/>
        </w:rPr>
        <w:t>essai du type I.</w:t>
      </w:r>
    </w:p>
    <w:p w:rsidR="00071E05" w:rsidRPr="00071E05" w:rsidRDefault="00071E05" w:rsidP="00F473C7">
      <w:pPr>
        <w:pStyle w:val="SingleTxtG"/>
        <w:keepNext/>
        <w:ind w:left="2268" w:hanging="1134"/>
        <w:rPr>
          <w:rFonts w:eastAsia="Times New Roman"/>
          <w:lang w:val="fr-FR"/>
        </w:rPr>
      </w:pPr>
      <w:r w:rsidRPr="00071E05">
        <w:rPr>
          <w:rFonts w:eastAsia="Times New Roman"/>
          <w:lang w:val="fr-FR"/>
        </w:rPr>
        <w:t>2.</w:t>
      </w:r>
      <w:r w:rsidRPr="00071E05">
        <w:rPr>
          <w:rFonts w:eastAsia="Times New Roman"/>
          <w:lang w:val="fr-FR"/>
        </w:rPr>
        <w:tab/>
        <w:t>Il convient de suivre deux procédures différentes:</w:t>
      </w:r>
    </w:p>
    <w:p w:rsidR="00071E05" w:rsidRPr="00071E05" w:rsidRDefault="00071E05" w:rsidP="00F473C7">
      <w:pPr>
        <w:pStyle w:val="SingleTxtG"/>
        <w:ind w:left="2835" w:hanging="567"/>
        <w:rPr>
          <w:lang w:val="fr-FR"/>
        </w:rPr>
      </w:pPr>
      <w:r w:rsidRPr="00071E05">
        <w:rPr>
          <w:lang w:val="fr-FR"/>
        </w:rPr>
        <w:t>a)</w:t>
      </w:r>
      <w:r w:rsidRPr="00071E05">
        <w:rPr>
          <w:lang w:val="fr-FR"/>
        </w:rPr>
        <w:tab/>
      </w:r>
      <w:r w:rsidRPr="00071E05">
        <w:rPr>
          <w:lang w:val="fr-FR"/>
        </w:rPr>
        <w:t>L</w:t>
      </w:r>
      <w:r w:rsidRPr="00071E05">
        <w:rPr>
          <w:lang w:val="fr-FR"/>
        </w:rPr>
        <w:t>a première procédure concerne les véhicules de l</w:t>
      </w:r>
      <w:r w:rsidR="00DB4C2D">
        <w:rPr>
          <w:lang w:val="fr-FR"/>
        </w:rPr>
        <w:t>’</w:t>
      </w:r>
      <w:r w:rsidRPr="00071E05">
        <w:rPr>
          <w:lang w:val="fr-FR"/>
        </w:rPr>
        <w:t>échantillon qui, à cause d</w:t>
      </w:r>
      <w:r w:rsidR="00DB4C2D">
        <w:rPr>
          <w:lang w:val="fr-FR"/>
        </w:rPr>
        <w:t>’</w:t>
      </w:r>
      <w:r w:rsidRPr="00071E05">
        <w:rPr>
          <w:lang w:val="fr-FR"/>
        </w:rPr>
        <w:t>un défaut lié aux émissions, entraîne des observations aberrantes dans les résultats (par. 3 du présent appendice);</w:t>
      </w:r>
    </w:p>
    <w:p w:rsidR="00071E05" w:rsidRPr="00071E05" w:rsidRDefault="00071E05" w:rsidP="00F473C7">
      <w:pPr>
        <w:pStyle w:val="SingleTxtG"/>
        <w:ind w:left="2835" w:hanging="567"/>
        <w:rPr>
          <w:rFonts w:eastAsia="Times New Roman"/>
          <w:lang w:val="fr-FR"/>
        </w:rPr>
      </w:pPr>
      <w:r w:rsidRPr="00071E05">
        <w:rPr>
          <w:rFonts w:eastAsia="Times New Roman"/>
          <w:lang w:val="fr-FR"/>
        </w:rPr>
        <w:t>b)</w:t>
      </w:r>
      <w:r w:rsidRPr="00071E05">
        <w:rPr>
          <w:rFonts w:eastAsia="Times New Roman"/>
          <w:lang w:val="fr-FR"/>
        </w:rPr>
        <w:tab/>
      </w:r>
      <w:r w:rsidRPr="00071E05">
        <w:rPr>
          <w:lang w:val="fr-FR"/>
        </w:rPr>
        <w:t>L</w:t>
      </w:r>
      <w:r w:rsidR="00DB4C2D">
        <w:rPr>
          <w:lang w:val="fr-FR"/>
        </w:rPr>
        <w:t>’</w:t>
      </w:r>
      <w:r w:rsidRPr="00071E05">
        <w:rPr>
          <w:lang w:val="fr-FR"/>
        </w:rPr>
        <w:t>autre</w:t>
      </w:r>
      <w:r w:rsidRPr="00071E05">
        <w:rPr>
          <w:rFonts w:eastAsia="Times New Roman"/>
          <w:lang w:val="fr-FR"/>
        </w:rPr>
        <w:t xml:space="preserve"> procédure concerne la totalité de l</w:t>
      </w:r>
      <w:r w:rsidR="00DB4C2D">
        <w:rPr>
          <w:rFonts w:eastAsia="Times New Roman"/>
          <w:lang w:val="fr-FR"/>
        </w:rPr>
        <w:t>’</w:t>
      </w:r>
      <w:r w:rsidRPr="00071E05">
        <w:rPr>
          <w:rFonts w:eastAsia="Times New Roman"/>
          <w:lang w:val="fr-FR"/>
        </w:rPr>
        <w:t>échantillon (par. 4 du présent appendice).</w:t>
      </w:r>
    </w:p>
    <w:p w:rsidR="00071E05" w:rsidRPr="00071E05" w:rsidRDefault="00071E05" w:rsidP="00F473C7">
      <w:pPr>
        <w:pStyle w:val="SingleTxtG"/>
        <w:keepNext/>
        <w:ind w:left="2268" w:hanging="1134"/>
        <w:rPr>
          <w:rFonts w:eastAsia="Times New Roman"/>
          <w:lang w:val="fr-FR"/>
        </w:rPr>
      </w:pPr>
      <w:r w:rsidRPr="00071E05">
        <w:rPr>
          <w:rFonts w:eastAsia="Times New Roman"/>
          <w:lang w:val="fr-FR"/>
        </w:rPr>
        <w:t>3.</w:t>
      </w:r>
      <w:r w:rsidRPr="00071E05">
        <w:rPr>
          <w:rFonts w:eastAsia="Times New Roman"/>
          <w:lang w:val="fr-FR"/>
        </w:rPr>
        <w:tab/>
        <w:t>Procédure à appliquer aux véhicules dépassant les normes d</w:t>
      </w:r>
      <w:r w:rsidR="00DB4C2D">
        <w:rPr>
          <w:rFonts w:eastAsia="Times New Roman"/>
          <w:lang w:val="fr-FR"/>
        </w:rPr>
        <w:t>’</w:t>
      </w:r>
      <w:r w:rsidRPr="00071E05">
        <w:rPr>
          <w:rFonts w:eastAsia="Times New Roman"/>
          <w:lang w:val="fr-FR"/>
        </w:rPr>
        <w:t>émission</w:t>
      </w:r>
      <w:r w:rsidR="00F473C7">
        <w:rPr>
          <w:rFonts w:eastAsia="Times New Roman"/>
          <w:lang w:val="fr-FR"/>
        </w:rPr>
        <w:t xml:space="preserve"> de </w:t>
      </w:r>
      <w:r w:rsidRPr="00071E05">
        <w:rPr>
          <w:rFonts w:eastAsia="Times New Roman"/>
          <w:lang w:val="fr-FR"/>
        </w:rPr>
        <w:t>l</w:t>
      </w:r>
      <w:r w:rsidR="00DB4C2D">
        <w:rPr>
          <w:rFonts w:eastAsia="Times New Roman"/>
          <w:lang w:val="fr-FR"/>
        </w:rPr>
        <w:t>’</w:t>
      </w:r>
      <w:r w:rsidRPr="00071E05">
        <w:rPr>
          <w:rFonts w:eastAsia="Times New Roman"/>
          <w:lang w:val="fr-FR"/>
        </w:rPr>
        <w:t>échantillon</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3.1</w:t>
      </w:r>
      <w:r w:rsidRPr="00071E05">
        <w:rPr>
          <w:rFonts w:eastAsia="Times New Roman"/>
          <w:lang w:val="fr-FR"/>
        </w:rPr>
        <w:tab/>
        <w:t xml:space="preserve">Avec un échantillon minimal de trois véhicules et un échantillon maximal déterminé par la procédure définie au paragraphe 4 du présent appendice, un véhicule est prélevé au </w:t>
      </w:r>
      <w:r w:rsidRPr="00071E05">
        <w:rPr>
          <w:lang w:val="fr-FR"/>
        </w:rPr>
        <w:t>hasard</w:t>
      </w:r>
      <w:r w:rsidRPr="00071E05">
        <w:rPr>
          <w:rFonts w:eastAsia="Times New Roman"/>
          <w:lang w:val="fr-FR"/>
        </w:rPr>
        <w:t xml:space="preserve"> sur l</w:t>
      </w:r>
      <w:r w:rsidR="00DB4C2D">
        <w:rPr>
          <w:rFonts w:eastAsia="Times New Roman"/>
          <w:lang w:val="fr-FR"/>
        </w:rPr>
        <w:t>’</w:t>
      </w:r>
      <w:r w:rsidRPr="00071E05">
        <w:rPr>
          <w:rFonts w:eastAsia="Times New Roman"/>
          <w:lang w:val="fr-FR"/>
        </w:rPr>
        <w:t>échantillon et soumis à des essais pour déterminer s</w:t>
      </w:r>
      <w:r w:rsidR="00DB4C2D">
        <w:rPr>
          <w:rFonts w:eastAsia="Times New Roman"/>
          <w:lang w:val="fr-FR"/>
        </w:rPr>
        <w:t>’</w:t>
      </w:r>
      <w:r w:rsidRPr="00071E05">
        <w:rPr>
          <w:rFonts w:eastAsia="Times New Roman"/>
          <w:lang w:val="fr-FR"/>
        </w:rPr>
        <w:t>il dépasse les normes d</w:t>
      </w:r>
      <w:r w:rsidR="00DB4C2D">
        <w:rPr>
          <w:rFonts w:eastAsia="Times New Roman"/>
          <w:lang w:val="fr-FR"/>
        </w:rPr>
        <w:t>’</w:t>
      </w:r>
      <w:r w:rsidRPr="00071E05">
        <w:rPr>
          <w:rFonts w:eastAsia="Times New Roman"/>
          <w:lang w:val="fr-FR"/>
        </w:rPr>
        <w:t>émission.</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w:t>
      </w:r>
      <w:r w:rsidRPr="00071E05">
        <w:rPr>
          <w:rFonts w:eastAsia="Times New Roman"/>
          <w:lang w:val="fr-FR"/>
        </w:rPr>
        <w:tab/>
        <w:t>On dit qu</w:t>
      </w:r>
      <w:r w:rsidR="00DB4C2D">
        <w:rPr>
          <w:rFonts w:eastAsia="Times New Roman"/>
          <w:lang w:val="fr-FR"/>
        </w:rPr>
        <w:t>’</w:t>
      </w:r>
      <w:r w:rsidRPr="00071E05">
        <w:rPr>
          <w:rFonts w:eastAsia="Times New Roman"/>
          <w:lang w:val="fr-FR"/>
        </w:rPr>
        <w:t>un véhicule dépasse les normes d</w:t>
      </w:r>
      <w:r w:rsidR="00DB4C2D">
        <w:rPr>
          <w:rFonts w:eastAsia="Times New Roman"/>
          <w:lang w:val="fr-FR"/>
        </w:rPr>
        <w:t>’</w:t>
      </w:r>
      <w:r w:rsidRPr="00071E05">
        <w:rPr>
          <w:rFonts w:eastAsia="Times New Roman"/>
          <w:lang w:val="fr-FR"/>
        </w:rPr>
        <w:t>émission lorsque les conditions indiquées au paragraphe 3.2.1 ci-</w:t>
      </w:r>
      <w:r w:rsidRPr="00071E05">
        <w:rPr>
          <w:lang w:val="fr-FR"/>
        </w:rPr>
        <w:t>dessous</w:t>
      </w:r>
      <w:r w:rsidRPr="00071E05">
        <w:rPr>
          <w:rFonts w:eastAsia="Times New Roman"/>
          <w:lang w:val="fr-FR"/>
        </w:rPr>
        <w:t xml:space="preserve"> sont remplies.</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3.2.1</w:t>
      </w:r>
      <w:r w:rsidRPr="00071E05">
        <w:rPr>
          <w:rFonts w:eastAsia="Times New Roman"/>
          <w:lang w:val="fr-FR"/>
        </w:rPr>
        <w:tab/>
        <w:t>S</w:t>
      </w:r>
      <w:r w:rsidR="00DB4C2D">
        <w:rPr>
          <w:rFonts w:eastAsia="Times New Roman"/>
          <w:lang w:val="fr-FR"/>
        </w:rPr>
        <w:t>’</w:t>
      </w:r>
      <w:r w:rsidRPr="00071E05">
        <w:rPr>
          <w:rFonts w:eastAsia="Times New Roman"/>
          <w:lang w:val="fr-FR"/>
        </w:rPr>
        <w:t>il s</w:t>
      </w:r>
      <w:r w:rsidR="00DB4C2D">
        <w:rPr>
          <w:rFonts w:eastAsia="Times New Roman"/>
          <w:lang w:val="fr-FR"/>
        </w:rPr>
        <w:t>’</w:t>
      </w:r>
      <w:r w:rsidRPr="00071E05">
        <w:rPr>
          <w:rFonts w:eastAsia="Times New Roman"/>
          <w:lang w:val="fr-FR"/>
        </w:rPr>
        <w:t>agit d</w:t>
      </w:r>
      <w:r w:rsidR="00DB4C2D">
        <w:rPr>
          <w:rFonts w:eastAsia="Times New Roman"/>
          <w:lang w:val="fr-FR"/>
        </w:rPr>
        <w:t>’</w:t>
      </w:r>
      <w:r w:rsidRPr="00071E05">
        <w:rPr>
          <w:rFonts w:eastAsia="Times New Roman"/>
          <w:lang w:val="fr-FR"/>
        </w:rPr>
        <w:t>un véhicule homologué en fonction des valeurs limites indiquées au tableau 1 du paragraphe 5.3.1.4 du présent Règlement, un véhicule dépassant les normes d</w:t>
      </w:r>
      <w:r w:rsidR="00DB4C2D">
        <w:rPr>
          <w:rFonts w:eastAsia="Times New Roman"/>
          <w:lang w:val="fr-FR"/>
        </w:rPr>
        <w:t>’</w:t>
      </w:r>
      <w:r w:rsidRPr="00071E05">
        <w:rPr>
          <w:rFonts w:eastAsia="Times New Roman"/>
          <w:lang w:val="fr-FR"/>
        </w:rPr>
        <w:t xml:space="preserve">émission est celui </w:t>
      </w:r>
      <w:r w:rsidRPr="00071E05">
        <w:rPr>
          <w:lang w:val="fr-FR"/>
        </w:rPr>
        <w:t>pour</w:t>
      </w:r>
      <w:r w:rsidRPr="00071E05">
        <w:rPr>
          <w:rFonts w:eastAsia="Times New Roman"/>
          <w:lang w:val="fr-FR"/>
        </w:rPr>
        <w:t xml:space="preserve"> lequel la valeur limite applicable en ce qui concerne tout polluant réglementé est dépassée selon un facteur de 1,5.</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3.2.2</w:t>
      </w:r>
      <w:r w:rsidRPr="00071E05">
        <w:rPr>
          <w:rFonts w:eastAsia="Times New Roman"/>
          <w:lang w:val="fr-FR"/>
        </w:rPr>
        <w:tab/>
        <w:t>Dans le cas particulier d</w:t>
      </w:r>
      <w:r w:rsidR="00DB4C2D">
        <w:rPr>
          <w:rFonts w:eastAsia="Times New Roman"/>
          <w:lang w:val="fr-FR"/>
        </w:rPr>
        <w:t>’</w:t>
      </w:r>
      <w:r w:rsidRPr="00071E05">
        <w:rPr>
          <w:rFonts w:eastAsia="Times New Roman"/>
          <w:lang w:val="fr-FR"/>
        </w:rPr>
        <w:t xml:space="preserve">un véhicule </w:t>
      </w:r>
      <w:r w:rsidRPr="008E0091">
        <w:rPr>
          <w:lang w:val="fr-FR"/>
        </w:rPr>
        <w:t>dont</w:t>
      </w:r>
      <w:r w:rsidRPr="00071E05">
        <w:rPr>
          <w:rFonts w:eastAsia="Times New Roman"/>
          <w:lang w:val="fr-FR"/>
        </w:rPr>
        <w:t xml:space="preserve"> les émissions mesurées pour tout polluant réglementé s</w:t>
      </w:r>
      <w:r w:rsidR="00DB4C2D">
        <w:rPr>
          <w:rFonts w:eastAsia="Times New Roman"/>
          <w:lang w:val="fr-FR"/>
        </w:rPr>
        <w:t>’</w:t>
      </w:r>
      <w:r w:rsidRPr="00071E05">
        <w:rPr>
          <w:rFonts w:eastAsia="Times New Roman"/>
          <w:lang w:val="fr-FR"/>
        </w:rPr>
        <w:t>inscrivent dans la «zone intermédiaire»</w:t>
      </w:r>
      <w:r w:rsidRPr="00071E05">
        <w:rPr>
          <w:rFonts w:eastAsia="Times New Roman"/>
          <w:sz w:val="18"/>
          <w:vertAlign w:val="superscript"/>
        </w:rPr>
        <w:footnoteReference w:id="6"/>
      </w:r>
      <w:r w:rsidRPr="00071E05">
        <w:rPr>
          <w:rFonts w:eastAsia="Times New Roman"/>
          <w:lang w:val="fr-FR"/>
        </w:rPr>
        <w:t>.</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3.2.2.1</w:t>
      </w:r>
      <w:r w:rsidRPr="00071E05">
        <w:rPr>
          <w:rFonts w:eastAsia="Times New Roman"/>
          <w:lang w:val="fr-FR"/>
        </w:rPr>
        <w:tab/>
        <w:t>Si le véhicule remplit les conditions du présent paragraphe, la cause des émissions excessives doit être déterminée et un autre véhicule est alors prélevé au hasard sur l</w:t>
      </w:r>
      <w:r w:rsidR="00DB4C2D">
        <w:rPr>
          <w:rFonts w:eastAsia="Times New Roman"/>
          <w:lang w:val="fr-FR"/>
        </w:rPr>
        <w:t>’</w:t>
      </w:r>
      <w:r w:rsidRPr="00071E05">
        <w:rPr>
          <w:rFonts w:eastAsia="Times New Roman"/>
          <w:lang w:val="fr-FR"/>
        </w:rPr>
        <w:t>échantillon.</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3.2.2.2</w:t>
      </w:r>
      <w:r w:rsidRPr="00071E05">
        <w:rPr>
          <w:rFonts w:eastAsia="Times New Roman"/>
          <w:lang w:val="fr-FR"/>
        </w:rPr>
        <w:tab/>
        <w:t>Lorsqu</w:t>
      </w:r>
      <w:r w:rsidR="00DB4C2D">
        <w:rPr>
          <w:rFonts w:eastAsia="Times New Roman"/>
          <w:lang w:val="fr-FR"/>
        </w:rPr>
        <w:t>’</w:t>
      </w:r>
      <w:r w:rsidRPr="00071E05">
        <w:rPr>
          <w:rFonts w:eastAsia="Times New Roman"/>
          <w:lang w:val="fr-FR"/>
        </w:rPr>
        <w:t>un autre véhicule remplit les conditions du présent paragraphe, l</w:t>
      </w:r>
      <w:r w:rsidR="00DB4C2D">
        <w:rPr>
          <w:rFonts w:eastAsia="Times New Roman"/>
          <w:lang w:val="fr-FR"/>
        </w:rPr>
        <w:t>’</w:t>
      </w:r>
      <w:r w:rsidRPr="00071E05">
        <w:rPr>
          <w:rFonts w:eastAsia="Times New Roman"/>
          <w:lang w:val="fr-FR"/>
        </w:rPr>
        <w:t>autorité d</w:t>
      </w:r>
      <w:r w:rsidR="00DB4C2D">
        <w:rPr>
          <w:rFonts w:eastAsia="Times New Roman"/>
          <w:lang w:val="fr-FR"/>
        </w:rPr>
        <w:t>’</w:t>
      </w:r>
      <w:r w:rsidRPr="00071E05">
        <w:rPr>
          <w:rFonts w:eastAsia="Times New Roman"/>
          <w:lang w:val="fr-FR"/>
        </w:rPr>
        <w:t>homologation de type et le constructeur doivent déterminer si les émissions excessives des deux véhicules sont dues à la même cause.</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3.2.2.2.1</w:t>
      </w:r>
      <w:r w:rsidRPr="00071E05">
        <w:rPr>
          <w:rFonts w:eastAsia="Times New Roman"/>
          <w:lang w:val="fr-FR"/>
        </w:rPr>
        <w:tab/>
        <w:t>Si l</w:t>
      </w:r>
      <w:r w:rsidR="00DB4C2D">
        <w:rPr>
          <w:rFonts w:eastAsia="Times New Roman"/>
          <w:lang w:val="fr-FR"/>
        </w:rPr>
        <w:t>’</w:t>
      </w:r>
      <w:r w:rsidRPr="00071E05">
        <w:rPr>
          <w:rFonts w:eastAsia="Times New Roman"/>
          <w:lang w:val="fr-FR"/>
        </w:rPr>
        <w:t>autorité d</w:t>
      </w:r>
      <w:r w:rsidR="00DB4C2D">
        <w:rPr>
          <w:rFonts w:eastAsia="Times New Roman"/>
          <w:lang w:val="fr-FR"/>
        </w:rPr>
        <w:t>’</w:t>
      </w:r>
      <w:r w:rsidRPr="00071E05">
        <w:rPr>
          <w:rFonts w:eastAsia="Times New Roman"/>
          <w:lang w:val="fr-FR"/>
        </w:rPr>
        <w:t>homologation de type et le constructeur s</w:t>
      </w:r>
      <w:r w:rsidR="00DB4C2D">
        <w:rPr>
          <w:rFonts w:eastAsia="Times New Roman"/>
          <w:lang w:val="fr-FR"/>
        </w:rPr>
        <w:t>’</w:t>
      </w:r>
      <w:r w:rsidRPr="00071E05">
        <w:rPr>
          <w:rFonts w:eastAsia="Times New Roman"/>
          <w:lang w:val="fr-FR"/>
        </w:rPr>
        <w:t>accordent sur le fait que les émissions excessives sont dues à la même cause, l</w:t>
      </w:r>
      <w:r w:rsidR="00DB4C2D">
        <w:rPr>
          <w:rFonts w:eastAsia="Times New Roman"/>
          <w:lang w:val="fr-FR"/>
        </w:rPr>
        <w:t>’</w:t>
      </w:r>
      <w:r w:rsidRPr="00071E05">
        <w:rPr>
          <w:rFonts w:eastAsia="Times New Roman"/>
          <w:lang w:val="fr-FR"/>
        </w:rPr>
        <w:t>échantillon est considéré comme non conforme et le plan de mesures correctives indiqué au paragraphe 6 de l</w:t>
      </w:r>
      <w:r w:rsidR="00DB4C2D">
        <w:rPr>
          <w:rFonts w:eastAsia="Times New Roman"/>
          <w:lang w:val="fr-FR"/>
        </w:rPr>
        <w:t>’</w:t>
      </w:r>
      <w:r w:rsidRPr="00071E05">
        <w:rPr>
          <w:rFonts w:eastAsia="Times New Roman"/>
          <w:lang w:val="fr-FR"/>
        </w:rPr>
        <w:t xml:space="preserve">appendice 3 du </w:t>
      </w:r>
      <w:r w:rsidRPr="00071E05">
        <w:rPr>
          <w:lang w:val="fr-FR"/>
        </w:rPr>
        <w:t>présent</w:t>
      </w:r>
      <w:r w:rsidRPr="00071E05">
        <w:rPr>
          <w:rFonts w:eastAsia="Times New Roman"/>
          <w:lang w:val="fr-FR"/>
        </w:rPr>
        <w:t xml:space="preserve"> Règlement s</w:t>
      </w:r>
      <w:r w:rsidR="00DB4C2D">
        <w:rPr>
          <w:rFonts w:eastAsia="Times New Roman"/>
          <w:lang w:val="fr-FR"/>
        </w:rPr>
        <w:t>’</w:t>
      </w:r>
      <w:r w:rsidRPr="00071E05">
        <w:rPr>
          <w:rFonts w:eastAsia="Times New Roman"/>
          <w:lang w:val="fr-FR"/>
        </w:rPr>
        <w:t>applique.</w:t>
      </w:r>
    </w:p>
    <w:p w:rsidR="00071E05" w:rsidRPr="00071E05" w:rsidRDefault="00071E05" w:rsidP="008E0091">
      <w:pPr>
        <w:pStyle w:val="SingleTxtG"/>
        <w:ind w:left="2268" w:hanging="1134"/>
        <w:rPr>
          <w:rFonts w:eastAsia="Times New Roman"/>
          <w:lang w:val="fr-FR"/>
        </w:rPr>
      </w:pPr>
      <w:r w:rsidRPr="00071E05">
        <w:rPr>
          <w:rFonts w:eastAsia="Times New Roman"/>
          <w:lang w:val="fr-FR"/>
        </w:rPr>
        <w:lastRenderedPageBreak/>
        <w:t>3.2.2.2.2</w:t>
      </w:r>
      <w:r w:rsidRPr="00071E05">
        <w:rPr>
          <w:rFonts w:eastAsia="Times New Roman"/>
          <w:lang w:val="fr-FR"/>
        </w:rPr>
        <w:tab/>
        <w:t>Si l</w:t>
      </w:r>
      <w:r w:rsidR="00DB4C2D">
        <w:rPr>
          <w:rFonts w:eastAsia="Times New Roman"/>
          <w:lang w:val="fr-FR"/>
        </w:rPr>
        <w:t>’</w:t>
      </w:r>
      <w:r w:rsidRPr="00071E05">
        <w:rPr>
          <w:rFonts w:eastAsia="Times New Roman"/>
          <w:lang w:val="fr-FR"/>
        </w:rPr>
        <w:t>autorité d</w:t>
      </w:r>
      <w:r w:rsidR="00DB4C2D">
        <w:rPr>
          <w:rFonts w:eastAsia="Times New Roman"/>
          <w:lang w:val="fr-FR"/>
        </w:rPr>
        <w:t>’</w:t>
      </w:r>
      <w:r w:rsidRPr="00071E05">
        <w:rPr>
          <w:rFonts w:eastAsia="Times New Roman"/>
          <w:lang w:val="fr-FR"/>
        </w:rPr>
        <w:t>homologation de type et le constructeur ne peuvent s</w:t>
      </w:r>
      <w:r w:rsidR="00DB4C2D">
        <w:rPr>
          <w:rFonts w:eastAsia="Times New Roman"/>
          <w:lang w:val="fr-FR"/>
        </w:rPr>
        <w:t>’</w:t>
      </w:r>
      <w:r w:rsidRPr="00071E05">
        <w:rPr>
          <w:rFonts w:eastAsia="Times New Roman"/>
          <w:lang w:val="fr-FR"/>
        </w:rPr>
        <w:t>accorder sur la cause des émissions excessives d</w:t>
      </w:r>
      <w:r w:rsidR="00DB4C2D">
        <w:rPr>
          <w:rFonts w:eastAsia="Times New Roman"/>
          <w:lang w:val="fr-FR"/>
        </w:rPr>
        <w:t>’</w:t>
      </w:r>
      <w:r w:rsidRPr="00071E05">
        <w:rPr>
          <w:rFonts w:eastAsia="Times New Roman"/>
          <w:lang w:val="fr-FR"/>
        </w:rPr>
        <w:t>un des véhicules ou sur l</w:t>
      </w:r>
      <w:r w:rsidR="00DB4C2D">
        <w:rPr>
          <w:rFonts w:eastAsia="Times New Roman"/>
          <w:lang w:val="fr-FR"/>
        </w:rPr>
        <w:t>’</w:t>
      </w:r>
      <w:r w:rsidRPr="00071E05">
        <w:rPr>
          <w:rFonts w:eastAsia="Times New Roman"/>
          <w:lang w:val="fr-FR"/>
        </w:rPr>
        <w:t>unicité des causes pour plus d</w:t>
      </w:r>
      <w:r w:rsidR="00DB4C2D">
        <w:rPr>
          <w:rFonts w:eastAsia="Times New Roman"/>
          <w:lang w:val="fr-FR"/>
        </w:rPr>
        <w:t>’</w:t>
      </w:r>
      <w:r w:rsidRPr="00071E05">
        <w:rPr>
          <w:rFonts w:eastAsia="Times New Roman"/>
          <w:lang w:val="fr-FR"/>
        </w:rPr>
        <w:t xml:space="preserve">un </w:t>
      </w:r>
      <w:r w:rsidRPr="00071E05">
        <w:rPr>
          <w:lang w:val="fr-FR"/>
        </w:rPr>
        <w:t>véhicule</w:t>
      </w:r>
      <w:r w:rsidRPr="00071E05">
        <w:rPr>
          <w:rFonts w:eastAsia="Times New Roman"/>
          <w:lang w:val="fr-FR"/>
        </w:rPr>
        <w:t>, un autre véhicule est prélevé au hasard sur l</w:t>
      </w:r>
      <w:r w:rsidR="00DB4C2D">
        <w:rPr>
          <w:rFonts w:eastAsia="Times New Roman"/>
          <w:lang w:val="fr-FR"/>
        </w:rPr>
        <w:t>’</w:t>
      </w:r>
      <w:r w:rsidRPr="00071E05">
        <w:rPr>
          <w:rFonts w:eastAsia="Times New Roman"/>
          <w:lang w:val="fr-FR"/>
        </w:rPr>
        <w:t>échantillon à moins que la taille maximale de l</w:t>
      </w:r>
      <w:r w:rsidR="00DB4C2D">
        <w:rPr>
          <w:rFonts w:eastAsia="Times New Roman"/>
          <w:lang w:val="fr-FR"/>
        </w:rPr>
        <w:t>’</w:t>
      </w:r>
      <w:r w:rsidRPr="00071E05">
        <w:rPr>
          <w:rFonts w:eastAsia="Times New Roman"/>
          <w:lang w:val="fr-FR"/>
        </w:rPr>
        <w:t>échantillon n</w:t>
      </w:r>
      <w:r w:rsidR="00DB4C2D">
        <w:rPr>
          <w:rFonts w:eastAsia="Times New Roman"/>
          <w:lang w:val="fr-FR"/>
        </w:rPr>
        <w:t>’</w:t>
      </w:r>
      <w:r w:rsidRPr="00071E05">
        <w:rPr>
          <w:rFonts w:eastAsia="Times New Roman"/>
          <w:lang w:val="fr-FR"/>
        </w:rPr>
        <w:t>ait déjà été atteinte.</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3.2.2.3</w:t>
      </w:r>
      <w:r w:rsidRPr="00071E05">
        <w:rPr>
          <w:rFonts w:eastAsia="Times New Roman"/>
          <w:lang w:val="fr-FR"/>
        </w:rPr>
        <w:tab/>
        <w:t>Lorsqu</w:t>
      </w:r>
      <w:r w:rsidR="00DB4C2D">
        <w:rPr>
          <w:rFonts w:eastAsia="Times New Roman"/>
          <w:lang w:val="fr-FR"/>
        </w:rPr>
        <w:t>’</w:t>
      </w:r>
      <w:r w:rsidRPr="00071E05">
        <w:rPr>
          <w:rFonts w:eastAsia="Times New Roman"/>
          <w:lang w:val="fr-FR"/>
        </w:rPr>
        <w:t>un seul véhicule remplit les conditions du présent paragraphe ou si plusieurs véhicules le font et que l</w:t>
      </w:r>
      <w:r w:rsidR="00DB4C2D">
        <w:rPr>
          <w:rFonts w:eastAsia="Times New Roman"/>
          <w:lang w:val="fr-FR"/>
        </w:rPr>
        <w:t>’</w:t>
      </w:r>
      <w:r w:rsidRPr="00071E05">
        <w:rPr>
          <w:rFonts w:eastAsia="Times New Roman"/>
          <w:lang w:val="fr-FR"/>
        </w:rPr>
        <w:t>autorité d</w:t>
      </w:r>
      <w:r w:rsidR="00DB4C2D">
        <w:rPr>
          <w:rFonts w:eastAsia="Times New Roman"/>
          <w:lang w:val="fr-FR"/>
        </w:rPr>
        <w:t>’</w:t>
      </w:r>
      <w:r w:rsidRPr="00071E05">
        <w:rPr>
          <w:rFonts w:eastAsia="Times New Roman"/>
          <w:lang w:val="fr-FR"/>
        </w:rPr>
        <w:t xml:space="preserve">homologation de type et le constructeur conviennent </w:t>
      </w:r>
      <w:r w:rsidRPr="00071E05">
        <w:rPr>
          <w:lang w:val="fr-FR"/>
        </w:rPr>
        <w:t>que</w:t>
      </w:r>
      <w:r w:rsidRPr="00071E05">
        <w:rPr>
          <w:rFonts w:eastAsia="Times New Roman"/>
          <w:lang w:val="fr-FR"/>
        </w:rPr>
        <w:t xml:space="preserve"> les causes sont différentes, un autre véhicule est prélevé au hasard sur l</w:t>
      </w:r>
      <w:r w:rsidR="00DB4C2D">
        <w:rPr>
          <w:rFonts w:eastAsia="Times New Roman"/>
          <w:lang w:val="fr-FR"/>
        </w:rPr>
        <w:t>’</w:t>
      </w:r>
      <w:r w:rsidRPr="00071E05">
        <w:rPr>
          <w:rFonts w:eastAsia="Times New Roman"/>
          <w:lang w:val="fr-FR"/>
        </w:rPr>
        <w:t>échantillon à moins que la taille maximale de l</w:t>
      </w:r>
      <w:r w:rsidR="00DB4C2D">
        <w:rPr>
          <w:rFonts w:eastAsia="Times New Roman"/>
          <w:lang w:val="fr-FR"/>
        </w:rPr>
        <w:t>’</w:t>
      </w:r>
      <w:r w:rsidRPr="00071E05">
        <w:rPr>
          <w:rFonts w:eastAsia="Times New Roman"/>
          <w:lang w:val="fr-FR"/>
        </w:rPr>
        <w:t>échantillon n</w:t>
      </w:r>
      <w:r w:rsidR="00DB4C2D">
        <w:rPr>
          <w:rFonts w:eastAsia="Times New Roman"/>
          <w:lang w:val="fr-FR"/>
        </w:rPr>
        <w:t>’</w:t>
      </w:r>
      <w:r w:rsidRPr="00071E05">
        <w:rPr>
          <w:rFonts w:eastAsia="Times New Roman"/>
          <w:lang w:val="fr-FR"/>
        </w:rPr>
        <w:t>ait déjà été atteinte.</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3.2.2.4</w:t>
      </w:r>
      <w:r w:rsidRPr="00071E05">
        <w:rPr>
          <w:rFonts w:eastAsia="Times New Roman"/>
          <w:lang w:val="fr-FR"/>
        </w:rPr>
        <w:tab/>
        <w:t>Si la taille maximale de l</w:t>
      </w:r>
      <w:r w:rsidR="00DB4C2D">
        <w:rPr>
          <w:rFonts w:eastAsia="Times New Roman"/>
          <w:lang w:val="fr-FR"/>
        </w:rPr>
        <w:t>’</w:t>
      </w:r>
      <w:r w:rsidRPr="00071E05">
        <w:rPr>
          <w:rFonts w:eastAsia="Times New Roman"/>
          <w:lang w:val="fr-FR"/>
        </w:rPr>
        <w:t>échantillon est atteinte, qu</w:t>
      </w:r>
      <w:r w:rsidR="00DB4C2D">
        <w:rPr>
          <w:rFonts w:eastAsia="Times New Roman"/>
          <w:lang w:val="fr-FR"/>
        </w:rPr>
        <w:t>’</w:t>
      </w:r>
      <w:r w:rsidRPr="00071E05">
        <w:rPr>
          <w:rFonts w:eastAsia="Times New Roman"/>
          <w:lang w:val="fr-FR"/>
        </w:rPr>
        <w:t xml:space="preserve">un seul véhicule est considéré comme satisfaisant aux exigences du présent paragraphe et que les émissions excessives sont </w:t>
      </w:r>
      <w:r w:rsidRPr="00071E05">
        <w:rPr>
          <w:lang w:val="fr-FR"/>
        </w:rPr>
        <w:t>dues</w:t>
      </w:r>
      <w:r w:rsidRPr="00071E05">
        <w:rPr>
          <w:rFonts w:eastAsia="Times New Roman"/>
          <w:lang w:val="fr-FR"/>
        </w:rPr>
        <w:t xml:space="preserve"> à la même cause, l</w:t>
      </w:r>
      <w:r w:rsidR="00DB4C2D">
        <w:rPr>
          <w:rFonts w:eastAsia="Times New Roman"/>
          <w:lang w:val="fr-FR"/>
        </w:rPr>
        <w:t>’</w:t>
      </w:r>
      <w:r w:rsidRPr="00071E05">
        <w:rPr>
          <w:rFonts w:eastAsia="Times New Roman"/>
          <w:lang w:val="fr-FR"/>
        </w:rPr>
        <w:t>échantillon est considéré comme satisfaisant aux exigences du paragraphe 3 du présent appendice.</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3.2.2.5</w:t>
      </w:r>
      <w:r w:rsidRPr="00071E05">
        <w:rPr>
          <w:rFonts w:eastAsia="Times New Roman"/>
          <w:lang w:val="fr-FR"/>
        </w:rPr>
        <w:tab/>
        <w:t>Si, à un moment donné, l</w:t>
      </w:r>
      <w:r w:rsidR="00DB4C2D">
        <w:rPr>
          <w:rFonts w:eastAsia="Times New Roman"/>
          <w:lang w:val="fr-FR"/>
        </w:rPr>
        <w:t>’</w:t>
      </w:r>
      <w:r w:rsidRPr="00071E05">
        <w:rPr>
          <w:rFonts w:eastAsia="Times New Roman"/>
          <w:lang w:val="fr-FR"/>
        </w:rPr>
        <w:t xml:space="preserve">échantillon initial est épuisé, il lui est ajouté un autre véhicule qui est </w:t>
      </w:r>
      <w:r w:rsidRPr="00071E05">
        <w:rPr>
          <w:lang w:val="fr-FR"/>
        </w:rPr>
        <w:t>prélevé</w:t>
      </w:r>
      <w:r w:rsidRPr="00071E05">
        <w:rPr>
          <w:rFonts w:eastAsia="Times New Roman"/>
          <w:lang w:val="fr-FR"/>
        </w:rPr>
        <w:t>.</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3.2.2.6</w:t>
      </w:r>
      <w:r w:rsidRPr="00071E05">
        <w:rPr>
          <w:rFonts w:eastAsia="Times New Roman"/>
          <w:lang w:val="fr-FR"/>
        </w:rPr>
        <w:tab/>
        <w:t>Lorsqu</w:t>
      </w:r>
      <w:r w:rsidR="00DB4C2D">
        <w:rPr>
          <w:rFonts w:eastAsia="Times New Roman"/>
          <w:lang w:val="fr-FR"/>
        </w:rPr>
        <w:t>’</w:t>
      </w:r>
      <w:r w:rsidRPr="00071E05">
        <w:rPr>
          <w:rFonts w:eastAsia="Times New Roman"/>
          <w:lang w:val="fr-FR"/>
        </w:rPr>
        <w:t>un autre véhicule est prélevé sur l</w:t>
      </w:r>
      <w:r w:rsidR="00DB4C2D">
        <w:rPr>
          <w:rFonts w:eastAsia="Times New Roman"/>
          <w:lang w:val="fr-FR"/>
        </w:rPr>
        <w:t>’</w:t>
      </w:r>
      <w:r w:rsidRPr="00071E05">
        <w:rPr>
          <w:rFonts w:eastAsia="Times New Roman"/>
          <w:lang w:val="fr-FR"/>
        </w:rPr>
        <w:t xml:space="preserve">échantillon, la procédure statistique du paragraphe 4 du </w:t>
      </w:r>
      <w:r w:rsidRPr="00071E05">
        <w:rPr>
          <w:lang w:val="fr-FR"/>
        </w:rPr>
        <w:t>présent</w:t>
      </w:r>
      <w:r w:rsidRPr="00071E05">
        <w:rPr>
          <w:rFonts w:eastAsia="Times New Roman"/>
          <w:lang w:val="fr-FR"/>
        </w:rPr>
        <w:t xml:space="preserve"> appendice est appliquée à l</w:t>
      </w:r>
      <w:r w:rsidR="00DB4C2D">
        <w:rPr>
          <w:rFonts w:eastAsia="Times New Roman"/>
          <w:lang w:val="fr-FR"/>
        </w:rPr>
        <w:t>’</w:t>
      </w:r>
      <w:r w:rsidRPr="00071E05">
        <w:rPr>
          <w:rFonts w:eastAsia="Times New Roman"/>
          <w:lang w:val="fr-FR"/>
        </w:rPr>
        <w:t>échantillon augmenté.</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3.2.3</w:t>
      </w:r>
      <w:r w:rsidRPr="00071E05">
        <w:rPr>
          <w:rFonts w:eastAsia="Times New Roman"/>
          <w:lang w:val="fr-FR"/>
        </w:rPr>
        <w:tab/>
        <w:t>Dans le cas particulier d</w:t>
      </w:r>
      <w:r w:rsidR="00DB4C2D">
        <w:rPr>
          <w:rFonts w:eastAsia="Times New Roman"/>
          <w:lang w:val="fr-FR"/>
        </w:rPr>
        <w:t>’</w:t>
      </w:r>
      <w:r w:rsidRPr="00071E05">
        <w:rPr>
          <w:rFonts w:eastAsia="Times New Roman"/>
          <w:lang w:val="fr-FR"/>
        </w:rPr>
        <w:t xml:space="preserve">un véhicule dont les émissions mesurées pour tout polluant réglementé </w:t>
      </w:r>
      <w:r w:rsidRPr="00071E05">
        <w:rPr>
          <w:lang w:val="fr-FR"/>
        </w:rPr>
        <w:t>s</w:t>
      </w:r>
      <w:r w:rsidR="00DB4C2D">
        <w:rPr>
          <w:lang w:val="fr-FR"/>
        </w:rPr>
        <w:t>’</w:t>
      </w:r>
      <w:r w:rsidRPr="00071E05">
        <w:rPr>
          <w:lang w:val="fr-FR"/>
        </w:rPr>
        <w:t>inscrivent</w:t>
      </w:r>
      <w:r w:rsidRPr="00071E05">
        <w:rPr>
          <w:rFonts w:eastAsia="Times New Roman"/>
          <w:lang w:val="fr-FR"/>
        </w:rPr>
        <w:t xml:space="preserve"> dans la «zone de défaillance»</w:t>
      </w:r>
      <w:r w:rsidR="00397EA6">
        <w:rPr>
          <w:rStyle w:val="Appelnotedebasdep"/>
          <w:rFonts w:eastAsia="Times New Roman"/>
        </w:rPr>
        <w:footnoteReference w:id="7"/>
      </w:r>
      <w:r w:rsidRPr="00071E05">
        <w:rPr>
          <w:rFonts w:eastAsia="Times New Roman"/>
          <w:lang w:val="fr-FR"/>
        </w:rPr>
        <w:t>.</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3.2.3.1</w:t>
      </w:r>
      <w:r w:rsidRPr="00071E05">
        <w:rPr>
          <w:rFonts w:eastAsia="Times New Roman"/>
          <w:lang w:val="fr-FR"/>
        </w:rPr>
        <w:tab/>
        <w:t>Si le véhicule remplit les conditions du présent paragraphe, l</w:t>
      </w:r>
      <w:r w:rsidR="00DB4C2D">
        <w:rPr>
          <w:rFonts w:eastAsia="Times New Roman"/>
          <w:lang w:val="fr-FR"/>
        </w:rPr>
        <w:t>’</w:t>
      </w:r>
      <w:r w:rsidRPr="00071E05">
        <w:rPr>
          <w:rFonts w:eastAsia="Times New Roman"/>
          <w:lang w:val="fr-FR"/>
        </w:rPr>
        <w:t>autorité d</w:t>
      </w:r>
      <w:r w:rsidR="00DB4C2D">
        <w:rPr>
          <w:rFonts w:eastAsia="Times New Roman"/>
          <w:lang w:val="fr-FR"/>
        </w:rPr>
        <w:t>’</w:t>
      </w:r>
      <w:r w:rsidRPr="00071E05">
        <w:rPr>
          <w:rFonts w:eastAsia="Times New Roman"/>
          <w:lang w:val="fr-FR"/>
        </w:rPr>
        <w:t xml:space="preserve">homologation de type </w:t>
      </w:r>
      <w:r w:rsidRPr="00071E05">
        <w:rPr>
          <w:lang w:val="fr-FR"/>
        </w:rPr>
        <w:t>doit</w:t>
      </w:r>
      <w:r w:rsidRPr="00071E05">
        <w:rPr>
          <w:rFonts w:eastAsia="Times New Roman"/>
          <w:lang w:val="fr-FR"/>
        </w:rPr>
        <w:t xml:space="preserve"> déterminer la cause des émissions excessives et un autre véhicule est alors prélevé au hasard sur l</w:t>
      </w:r>
      <w:r w:rsidR="00DB4C2D">
        <w:rPr>
          <w:rFonts w:eastAsia="Times New Roman"/>
          <w:lang w:val="fr-FR"/>
        </w:rPr>
        <w:t>’</w:t>
      </w:r>
      <w:r w:rsidRPr="00071E05">
        <w:rPr>
          <w:rFonts w:eastAsia="Times New Roman"/>
          <w:lang w:val="fr-FR"/>
        </w:rPr>
        <w:t>échantillon.</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3.2.3.2</w:t>
      </w:r>
      <w:r w:rsidRPr="00071E05">
        <w:rPr>
          <w:rFonts w:eastAsia="Times New Roman"/>
          <w:lang w:val="fr-FR"/>
        </w:rPr>
        <w:tab/>
        <w:t>Lorsque plus d</w:t>
      </w:r>
      <w:r w:rsidR="00DB4C2D">
        <w:rPr>
          <w:rFonts w:eastAsia="Times New Roman"/>
          <w:lang w:val="fr-FR"/>
        </w:rPr>
        <w:t>’</w:t>
      </w:r>
      <w:r w:rsidRPr="00071E05">
        <w:rPr>
          <w:rFonts w:eastAsia="Times New Roman"/>
          <w:lang w:val="fr-FR"/>
        </w:rPr>
        <w:t>un véhicule remplit les conditions du présent paragraphe et que l</w:t>
      </w:r>
      <w:r w:rsidR="00DB4C2D">
        <w:rPr>
          <w:rFonts w:eastAsia="Times New Roman"/>
          <w:lang w:val="fr-FR"/>
        </w:rPr>
        <w:t>’</w:t>
      </w:r>
      <w:r w:rsidRPr="00071E05">
        <w:rPr>
          <w:rFonts w:eastAsia="Times New Roman"/>
          <w:lang w:val="fr-FR"/>
        </w:rPr>
        <w:t>autorité d</w:t>
      </w:r>
      <w:r w:rsidR="00DB4C2D">
        <w:rPr>
          <w:rFonts w:eastAsia="Times New Roman"/>
          <w:lang w:val="fr-FR"/>
        </w:rPr>
        <w:t>’</w:t>
      </w:r>
      <w:r w:rsidRPr="00071E05">
        <w:rPr>
          <w:rFonts w:eastAsia="Times New Roman"/>
          <w:lang w:val="fr-FR"/>
        </w:rPr>
        <w:t>homologation de type établit que les émissions excessives sont dues à la même cause, il faut informer le constructeur que l</w:t>
      </w:r>
      <w:r w:rsidR="00DB4C2D">
        <w:rPr>
          <w:rFonts w:eastAsia="Times New Roman"/>
          <w:lang w:val="fr-FR"/>
        </w:rPr>
        <w:t>’</w:t>
      </w:r>
      <w:r w:rsidRPr="00071E05">
        <w:rPr>
          <w:rFonts w:eastAsia="Times New Roman"/>
          <w:lang w:val="fr-FR"/>
        </w:rPr>
        <w:t>échantillon est considéré comme non conforme en lui donnant les raisons de cette décision et le plan de mesures correctives énoncé au paragraphe 6 de l</w:t>
      </w:r>
      <w:r w:rsidR="00DB4C2D">
        <w:rPr>
          <w:rFonts w:eastAsia="Times New Roman"/>
          <w:lang w:val="fr-FR"/>
        </w:rPr>
        <w:t>’</w:t>
      </w:r>
      <w:r w:rsidRPr="00071E05">
        <w:rPr>
          <w:rFonts w:eastAsia="Times New Roman"/>
          <w:lang w:val="fr-FR"/>
        </w:rPr>
        <w:t>appendice 3 du présent Règlement s</w:t>
      </w:r>
      <w:r w:rsidR="00DB4C2D">
        <w:rPr>
          <w:rFonts w:eastAsia="Times New Roman"/>
          <w:lang w:val="fr-FR"/>
        </w:rPr>
        <w:t>’</w:t>
      </w:r>
      <w:r w:rsidRPr="00071E05">
        <w:rPr>
          <w:rFonts w:eastAsia="Times New Roman"/>
          <w:lang w:val="fr-FR"/>
        </w:rPr>
        <w:t>applique.</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3.2.3.3</w:t>
      </w:r>
      <w:r w:rsidRPr="00071E05">
        <w:rPr>
          <w:rFonts w:eastAsia="Times New Roman"/>
          <w:lang w:val="fr-FR"/>
        </w:rPr>
        <w:tab/>
        <w:t>Lorsqu</w:t>
      </w:r>
      <w:r w:rsidR="00DB4C2D">
        <w:rPr>
          <w:rFonts w:eastAsia="Times New Roman"/>
          <w:lang w:val="fr-FR"/>
        </w:rPr>
        <w:t>’</w:t>
      </w:r>
      <w:r w:rsidRPr="00071E05">
        <w:rPr>
          <w:rFonts w:eastAsia="Times New Roman"/>
          <w:lang w:val="fr-FR"/>
        </w:rPr>
        <w:t>un seul véhicule remplit les conditions du présent paragraphe ou si plusieurs véhicules le font et que l</w:t>
      </w:r>
      <w:r w:rsidR="00DB4C2D">
        <w:rPr>
          <w:rFonts w:eastAsia="Times New Roman"/>
          <w:lang w:val="fr-FR"/>
        </w:rPr>
        <w:t>’</w:t>
      </w:r>
      <w:r w:rsidRPr="00071E05">
        <w:rPr>
          <w:rFonts w:eastAsia="Times New Roman"/>
          <w:lang w:val="fr-FR"/>
        </w:rPr>
        <w:t>autorité d</w:t>
      </w:r>
      <w:r w:rsidR="00DB4C2D">
        <w:rPr>
          <w:rFonts w:eastAsia="Times New Roman"/>
          <w:lang w:val="fr-FR"/>
        </w:rPr>
        <w:t>’</w:t>
      </w:r>
      <w:r w:rsidRPr="00071E05">
        <w:rPr>
          <w:rFonts w:eastAsia="Times New Roman"/>
          <w:lang w:val="fr-FR"/>
        </w:rPr>
        <w:t xml:space="preserve">homologation de type a établi que les causes sont différentes, </w:t>
      </w:r>
      <w:r w:rsidRPr="00071E05">
        <w:rPr>
          <w:lang w:val="fr-FR"/>
        </w:rPr>
        <w:t>un</w:t>
      </w:r>
      <w:r w:rsidRPr="00071E05">
        <w:rPr>
          <w:rFonts w:eastAsia="Times New Roman"/>
          <w:lang w:val="fr-FR"/>
        </w:rPr>
        <w:t xml:space="preserve"> autre véhicule est prélevé au hasard sur l</w:t>
      </w:r>
      <w:r w:rsidR="00DB4C2D">
        <w:rPr>
          <w:rFonts w:eastAsia="Times New Roman"/>
          <w:lang w:val="fr-FR"/>
        </w:rPr>
        <w:t>’</w:t>
      </w:r>
      <w:r w:rsidRPr="00071E05">
        <w:rPr>
          <w:rFonts w:eastAsia="Times New Roman"/>
          <w:lang w:val="fr-FR"/>
        </w:rPr>
        <w:t>échantillon à moins que la taille maximale de l</w:t>
      </w:r>
      <w:r w:rsidR="00DB4C2D">
        <w:rPr>
          <w:rFonts w:eastAsia="Times New Roman"/>
          <w:lang w:val="fr-FR"/>
        </w:rPr>
        <w:t>’</w:t>
      </w:r>
      <w:r w:rsidRPr="00071E05">
        <w:rPr>
          <w:rFonts w:eastAsia="Times New Roman"/>
          <w:lang w:val="fr-FR"/>
        </w:rPr>
        <w:t>échantillon n</w:t>
      </w:r>
      <w:r w:rsidR="00DB4C2D">
        <w:rPr>
          <w:rFonts w:eastAsia="Times New Roman"/>
          <w:lang w:val="fr-FR"/>
        </w:rPr>
        <w:t>’</w:t>
      </w:r>
      <w:r w:rsidRPr="00071E05">
        <w:rPr>
          <w:rFonts w:eastAsia="Times New Roman"/>
          <w:lang w:val="fr-FR"/>
        </w:rPr>
        <w:t>ait déjà été atteinte.</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3.2.3.4</w:t>
      </w:r>
      <w:r w:rsidRPr="00071E05">
        <w:rPr>
          <w:rFonts w:eastAsia="Times New Roman"/>
          <w:lang w:val="fr-FR"/>
        </w:rPr>
        <w:tab/>
        <w:t>Si la taille maximale de l</w:t>
      </w:r>
      <w:r w:rsidR="00DB4C2D">
        <w:rPr>
          <w:rFonts w:eastAsia="Times New Roman"/>
          <w:lang w:val="fr-FR"/>
        </w:rPr>
        <w:t>’</w:t>
      </w:r>
      <w:r w:rsidRPr="00071E05">
        <w:rPr>
          <w:rFonts w:eastAsia="Times New Roman"/>
          <w:lang w:val="fr-FR"/>
        </w:rPr>
        <w:t>échantillon est atteinte, qu</w:t>
      </w:r>
      <w:r w:rsidR="00DB4C2D">
        <w:rPr>
          <w:rFonts w:eastAsia="Times New Roman"/>
          <w:lang w:val="fr-FR"/>
        </w:rPr>
        <w:t>’</w:t>
      </w:r>
      <w:r w:rsidRPr="00071E05">
        <w:rPr>
          <w:rFonts w:eastAsia="Times New Roman"/>
          <w:lang w:val="fr-FR"/>
        </w:rPr>
        <w:t xml:space="preserve">un seul véhicule est considéré comme satisfaisant </w:t>
      </w:r>
      <w:r w:rsidRPr="00071E05">
        <w:rPr>
          <w:lang w:val="fr-FR"/>
        </w:rPr>
        <w:t>aux</w:t>
      </w:r>
      <w:r w:rsidRPr="00071E05">
        <w:rPr>
          <w:rFonts w:eastAsia="Times New Roman"/>
          <w:lang w:val="fr-FR"/>
        </w:rPr>
        <w:t xml:space="preserve"> exigences du présent paragraphe et que les émissions excessives sont dues à la même cause, l</w:t>
      </w:r>
      <w:r w:rsidR="00DB4C2D">
        <w:rPr>
          <w:rFonts w:eastAsia="Times New Roman"/>
          <w:lang w:val="fr-FR"/>
        </w:rPr>
        <w:t>’</w:t>
      </w:r>
      <w:r w:rsidRPr="00071E05">
        <w:rPr>
          <w:rFonts w:eastAsia="Times New Roman"/>
          <w:lang w:val="fr-FR"/>
        </w:rPr>
        <w:t>échantillon est considéré comme satisfaisant aux exigences du paragraphe 3 du présent appendice.</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3.2.3.5</w:t>
      </w:r>
      <w:r w:rsidRPr="00071E05">
        <w:rPr>
          <w:rFonts w:eastAsia="Times New Roman"/>
          <w:lang w:val="fr-FR"/>
        </w:rPr>
        <w:tab/>
        <w:t xml:space="preserve">Si, à un moment </w:t>
      </w:r>
      <w:r w:rsidRPr="00071E05">
        <w:rPr>
          <w:lang w:val="fr-FR"/>
        </w:rPr>
        <w:t>donné</w:t>
      </w:r>
      <w:r w:rsidRPr="00071E05">
        <w:rPr>
          <w:rFonts w:eastAsia="Times New Roman"/>
          <w:lang w:val="fr-FR"/>
        </w:rPr>
        <w:t>, l</w:t>
      </w:r>
      <w:r w:rsidR="00DB4C2D">
        <w:rPr>
          <w:rFonts w:eastAsia="Times New Roman"/>
          <w:lang w:val="fr-FR"/>
        </w:rPr>
        <w:t>’</w:t>
      </w:r>
      <w:r w:rsidRPr="00071E05">
        <w:rPr>
          <w:rFonts w:eastAsia="Times New Roman"/>
          <w:lang w:val="fr-FR"/>
        </w:rPr>
        <w:t>échantillon initial est épuisé, il lui est ajouté un autre véhicule qui est prélevé.</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3.2.3.6</w:t>
      </w:r>
      <w:r w:rsidRPr="00071E05">
        <w:rPr>
          <w:rFonts w:eastAsia="Times New Roman"/>
          <w:lang w:val="fr-FR"/>
        </w:rPr>
        <w:tab/>
        <w:t>Lorsqu</w:t>
      </w:r>
      <w:r w:rsidR="00DB4C2D">
        <w:rPr>
          <w:rFonts w:eastAsia="Times New Roman"/>
          <w:lang w:val="fr-FR"/>
        </w:rPr>
        <w:t>’</w:t>
      </w:r>
      <w:r w:rsidRPr="00071E05">
        <w:rPr>
          <w:rFonts w:eastAsia="Times New Roman"/>
          <w:lang w:val="fr-FR"/>
        </w:rPr>
        <w:t>un autre véhicule est prélevé sur l</w:t>
      </w:r>
      <w:r w:rsidR="00DB4C2D">
        <w:rPr>
          <w:rFonts w:eastAsia="Times New Roman"/>
          <w:lang w:val="fr-FR"/>
        </w:rPr>
        <w:t>’</w:t>
      </w:r>
      <w:r w:rsidRPr="00071E05">
        <w:rPr>
          <w:rFonts w:eastAsia="Times New Roman"/>
          <w:lang w:val="fr-FR"/>
        </w:rPr>
        <w:t xml:space="preserve">échantillon, la procédure statistique du paragraphe 4 du </w:t>
      </w:r>
      <w:r w:rsidRPr="00071E05">
        <w:rPr>
          <w:lang w:val="fr-FR"/>
        </w:rPr>
        <w:t>présent</w:t>
      </w:r>
      <w:r w:rsidRPr="00071E05">
        <w:rPr>
          <w:rFonts w:eastAsia="Times New Roman"/>
          <w:lang w:val="fr-FR"/>
        </w:rPr>
        <w:t xml:space="preserve"> appendice est appliquée à l</w:t>
      </w:r>
      <w:r w:rsidR="00DB4C2D">
        <w:rPr>
          <w:rFonts w:eastAsia="Times New Roman"/>
          <w:lang w:val="fr-FR"/>
        </w:rPr>
        <w:t>’</w:t>
      </w:r>
      <w:r w:rsidRPr="00071E05">
        <w:rPr>
          <w:rFonts w:eastAsia="Times New Roman"/>
          <w:lang w:val="fr-FR"/>
        </w:rPr>
        <w:t>échantillon élargi.</w:t>
      </w:r>
    </w:p>
    <w:p w:rsidR="00071E05" w:rsidRPr="00071E05" w:rsidRDefault="00071E05" w:rsidP="008E0091">
      <w:pPr>
        <w:pStyle w:val="SingleTxtG"/>
        <w:ind w:left="2268" w:hanging="1134"/>
        <w:rPr>
          <w:rFonts w:eastAsia="Times New Roman"/>
          <w:lang w:val="fr-FR"/>
        </w:rPr>
      </w:pPr>
      <w:r w:rsidRPr="00071E05">
        <w:rPr>
          <w:rFonts w:eastAsia="Times New Roman"/>
          <w:lang w:val="fr-FR"/>
        </w:rPr>
        <w:lastRenderedPageBreak/>
        <w:t>3.2.4</w:t>
      </w:r>
      <w:r w:rsidRPr="00071E05">
        <w:rPr>
          <w:rFonts w:eastAsia="Times New Roman"/>
          <w:lang w:val="fr-FR"/>
        </w:rPr>
        <w:tab/>
        <w:t>Lorsqu</w:t>
      </w:r>
      <w:r w:rsidR="00DB4C2D">
        <w:rPr>
          <w:rFonts w:eastAsia="Times New Roman"/>
          <w:lang w:val="fr-FR"/>
        </w:rPr>
        <w:t>’</w:t>
      </w:r>
      <w:r w:rsidRPr="00071E05">
        <w:rPr>
          <w:rFonts w:eastAsia="Times New Roman"/>
          <w:lang w:val="fr-FR"/>
        </w:rPr>
        <w:t>il est constaté qu</w:t>
      </w:r>
      <w:r w:rsidR="00DB4C2D">
        <w:rPr>
          <w:rFonts w:eastAsia="Times New Roman"/>
          <w:lang w:val="fr-FR"/>
        </w:rPr>
        <w:t>’</w:t>
      </w:r>
      <w:r w:rsidRPr="00071E05">
        <w:rPr>
          <w:rFonts w:eastAsia="Times New Roman"/>
          <w:lang w:val="fr-FR"/>
        </w:rPr>
        <w:t>un véhicule ne dépasse pas les normes d</w:t>
      </w:r>
      <w:r w:rsidR="00DB4C2D">
        <w:rPr>
          <w:rFonts w:eastAsia="Times New Roman"/>
          <w:lang w:val="fr-FR"/>
        </w:rPr>
        <w:t>’</w:t>
      </w:r>
      <w:r w:rsidRPr="00071E05">
        <w:rPr>
          <w:rFonts w:eastAsia="Times New Roman"/>
          <w:lang w:val="fr-FR"/>
        </w:rPr>
        <w:t xml:space="preserve">émission, un autre véhicule est </w:t>
      </w:r>
      <w:r w:rsidRPr="00071E05">
        <w:rPr>
          <w:lang w:val="fr-FR"/>
        </w:rPr>
        <w:t>prélevé</w:t>
      </w:r>
      <w:r w:rsidRPr="00071E05">
        <w:rPr>
          <w:rFonts w:eastAsia="Times New Roman"/>
          <w:lang w:val="fr-FR"/>
        </w:rPr>
        <w:t xml:space="preserve"> au hasard sur l</w:t>
      </w:r>
      <w:r w:rsidR="00DB4C2D">
        <w:rPr>
          <w:rFonts w:eastAsia="Times New Roman"/>
          <w:lang w:val="fr-FR"/>
        </w:rPr>
        <w:t>’</w:t>
      </w:r>
      <w:r w:rsidRPr="00071E05">
        <w:rPr>
          <w:rFonts w:eastAsia="Times New Roman"/>
          <w:lang w:val="fr-FR"/>
        </w:rPr>
        <w:t>échantillon.</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3.3</w:t>
      </w:r>
      <w:r w:rsidRPr="00071E05">
        <w:rPr>
          <w:rFonts w:eastAsia="Times New Roman"/>
          <w:lang w:val="fr-FR"/>
        </w:rPr>
        <w:tab/>
        <w:t>Si un véhicule dépassant les normes d</w:t>
      </w:r>
      <w:r w:rsidR="00DB4C2D">
        <w:rPr>
          <w:rFonts w:eastAsia="Times New Roman"/>
          <w:lang w:val="fr-FR"/>
        </w:rPr>
        <w:t>’</w:t>
      </w:r>
      <w:r w:rsidRPr="00071E05">
        <w:rPr>
          <w:rFonts w:eastAsia="Times New Roman"/>
          <w:lang w:val="fr-FR"/>
        </w:rPr>
        <w:t>émission est repéré, il faut déterminer la cause des émissions excessives.</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3.4</w:t>
      </w:r>
      <w:r w:rsidRPr="00071E05">
        <w:rPr>
          <w:rFonts w:eastAsia="Times New Roman"/>
          <w:lang w:val="fr-FR"/>
        </w:rPr>
        <w:tab/>
        <w:t>S</w:t>
      </w:r>
      <w:r w:rsidR="00DB4C2D">
        <w:rPr>
          <w:rFonts w:eastAsia="Times New Roman"/>
          <w:lang w:val="fr-FR"/>
        </w:rPr>
        <w:t>’</w:t>
      </w:r>
      <w:r w:rsidRPr="00071E05">
        <w:rPr>
          <w:rFonts w:eastAsia="Times New Roman"/>
          <w:lang w:val="fr-FR"/>
        </w:rPr>
        <w:t>il est constaté que plusieurs véhicules produisent des émissions excessives dues aux mêmes causes, l</w:t>
      </w:r>
      <w:r w:rsidR="00DB4C2D">
        <w:rPr>
          <w:rFonts w:eastAsia="Times New Roman"/>
          <w:lang w:val="fr-FR"/>
        </w:rPr>
        <w:t>’</w:t>
      </w:r>
      <w:r w:rsidRPr="00071E05">
        <w:rPr>
          <w:rFonts w:eastAsia="Times New Roman"/>
          <w:lang w:val="fr-FR"/>
        </w:rPr>
        <w:t>échantillon est considéré comme refusé.</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3.5</w:t>
      </w:r>
      <w:r w:rsidRPr="00071E05">
        <w:rPr>
          <w:rFonts w:eastAsia="Times New Roman"/>
          <w:lang w:val="fr-FR"/>
        </w:rPr>
        <w:tab/>
        <w:t>Si un seul véhicule dépassant les normes d</w:t>
      </w:r>
      <w:r w:rsidR="00DB4C2D">
        <w:rPr>
          <w:rFonts w:eastAsia="Times New Roman"/>
          <w:lang w:val="fr-FR"/>
        </w:rPr>
        <w:t>’</w:t>
      </w:r>
      <w:r w:rsidRPr="00071E05">
        <w:rPr>
          <w:rFonts w:eastAsia="Times New Roman"/>
          <w:lang w:val="fr-FR"/>
        </w:rPr>
        <w:t>émission est repéré, ou si plusieurs de ces véhicules sont repérés mais que leurs émissions excessives sont dues à des causes différentes, on élargit l</w:t>
      </w:r>
      <w:r w:rsidR="00DB4C2D">
        <w:rPr>
          <w:rFonts w:eastAsia="Times New Roman"/>
          <w:lang w:val="fr-FR"/>
        </w:rPr>
        <w:t>’</w:t>
      </w:r>
      <w:r w:rsidRPr="00071E05">
        <w:rPr>
          <w:rFonts w:eastAsia="Times New Roman"/>
          <w:lang w:val="fr-FR"/>
        </w:rPr>
        <w:t>échantillon d</w:t>
      </w:r>
      <w:r w:rsidR="00DB4C2D">
        <w:rPr>
          <w:rFonts w:eastAsia="Times New Roman"/>
          <w:lang w:val="fr-FR"/>
        </w:rPr>
        <w:t>’</w:t>
      </w:r>
      <w:r w:rsidRPr="00071E05">
        <w:rPr>
          <w:rFonts w:eastAsia="Times New Roman"/>
          <w:lang w:val="fr-FR"/>
        </w:rPr>
        <w:t>un véhicule, sauf si la taille maximale de l</w:t>
      </w:r>
      <w:r w:rsidR="00DB4C2D">
        <w:rPr>
          <w:rFonts w:eastAsia="Times New Roman"/>
          <w:lang w:val="fr-FR"/>
        </w:rPr>
        <w:t>’</w:t>
      </w:r>
      <w:r w:rsidRPr="00071E05">
        <w:rPr>
          <w:rFonts w:eastAsia="Times New Roman"/>
          <w:lang w:val="fr-FR"/>
        </w:rPr>
        <w:t>échantillon a déjà été atteinte.</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3.5.1</w:t>
      </w:r>
      <w:r w:rsidRPr="00071E05">
        <w:rPr>
          <w:rFonts w:eastAsia="Times New Roman"/>
          <w:lang w:val="fr-FR"/>
        </w:rPr>
        <w:tab/>
        <w:t>Si, dans l</w:t>
      </w:r>
      <w:r w:rsidR="00DB4C2D">
        <w:rPr>
          <w:rFonts w:eastAsia="Times New Roman"/>
          <w:lang w:val="fr-FR"/>
        </w:rPr>
        <w:t>’</w:t>
      </w:r>
      <w:r w:rsidRPr="00071E05">
        <w:rPr>
          <w:rFonts w:eastAsia="Times New Roman"/>
          <w:lang w:val="fr-FR"/>
        </w:rPr>
        <w:t xml:space="preserve">échantillon élargi, on </w:t>
      </w:r>
      <w:r w:rsidRPr="00071E05">
        <w:rPr>
          <w:lang w:val="fr-FR"/>
        </w:rPr>
        <w:t>constate</w:t>
      </w:r>
      <w:r w:rsidRPr="00071E05">
        <w:rPr>
          <w:rFonts w:eastAsia="Times New Roman"/>
          <w:lang w:val="fr-FR"/>
        </w:rPr>
        <w:t xml:space="preserve"> que plusieurs véhicules produisent des émissions excessives dues aux mêmes causes, l</w:t>
      </w:r>
      <w:r w:rsidR="00DB4C2D">
        <w:rPr>
          <w:rFonts w:eastAsia="Times New Roman"/>
          <w:lang w:val="fr-FR"/>
        </w:rPr>
        <w:t>’</w:t>
      </w:r>
      <w:r w:rsidRPr="00071E05">
        <w:rPr>
          <w:rFonts w:eastAsia="Times New Roman"/>
          <w:lang w:val="fr-FR"/>
        </w:rPr>
        <w:t>échantillon est considéré comme étant refusé.</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3.5.2</w:t>
      </w:r>
      <w:r w:rsidRPr="00071E05">
        <w:rPr>
          <w:rFonts w:eastAsia="Times New Roman"/>
          <w:lang w:val="fr-FR"/>
        </w:rPr>
        <w:tab/>
        <w:t>Si, dans l</w:t>
      </w:r>
      <w:r w:rsidR="00DB4C2D">
        <w:rPr>
          <w:rFonts w:eastAsia="Times New Roman"/>
          <w:lang w:val="fr-FR"/>
        </w:rPr>
        <w:t>’</w:t>
      </w:r>
      <w:r w:rsidRPr="00071E05">
        <w:rPr>
          <w:rFonts w:eastAsia="Times New Roman"/>
          <w:lang w:val="fr-FR"/>
        </w:rPr>
        <w:t xml:space="preserve">échantillon de taille </w:t>
      </w:r>
      <w:r w:rsidRPr="00071E05">
        <w:rPr>
          <w:lang w:val="fr-FR"/>
        </w:rPr>
        <w:t>maximale</w:t>
      </w:r>
      <w:r w:rsidRPr="00071E05">
        <w:rPr>
          <w:rFonts w:eastAsia="Times New Roman"/>
          <w:lang w:val="fr-FR"/>
        </w:rPr>
        <w:t>, un seul véhicule produisant des émissions excessives est repéré et que les émissions excessives sont dues à la même cause, l</w:t>
      </w:r>
      <w:r w:rsidR="00DB4C2D">
        <w:rPr>
          <w:rFonts w:eastAsia="Times New Roman"/>
          <w:lang w:val="fr-FR"/>
        </w:rPr>
        <w:t>’</w:t>
      </w:r>
      <w:r w:rsidRPr="00071E05">
        <w:rPr>
          <w:rFonts w:eastAsia="Times New Roman"/>
          <w:lang w:val="fr-FR"/>
        </w:rPr>
        <w:t>échantillon est réputé accepté qu</w:t>
      </w:r>
      <w:r w:rsidR="00995AD1">
        <w:rPr>
          <w:rFonts w:eastAsia="Times New Roman"/>
          <w:lang w:val="fr-FR"/>
        </w:rPr>
        <w:t>ant aux exigences du paragraphe </w:t>
      </w:r>
      <w:r w:rsidRPr="00071E05">
        <w:rPr>
          <w:rFonts w:eastAsia="Times New Roman"/>
          <w:lang w:val="fr-FR"/>
        </w:rPr>
        <w:t>3 du présent appendice.</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3.6</w:t>
      </w:r>
      <w:r w:rsidRPr="00071E05">
        <w:rPr>
          <w:rFonts w:eastAsia="Times New Roman"/>
          <w:lang w:val="fr-FR"/>
        </w:rPr>
        <w:tab/>
        <w:t>Chaque fois qu</w:t>
      </w:r>
      <w:r w:rsidR="00DB4C2D">
        <w:rPr>
          <w:rFonts w:eastAsia="Times New Roman"/>
          <w:lang w:val="fr-FR"/>
        </w:rPr>
        <w:t>’</w:t>
      </w:r>
      <w:r w:rsidRPr="00071E05">
        <w:rPr>
          <w:rFonts w:eastAsia="Times New Roman"/>
          <w:lang w:val="fr-FR"/>
        </w:rPr>
        <w:t>un échantillon est élargi en raison des exigences du paragraphe 3.5 ci-dessus la procédure statistique du paragraphe 4 s</w:t>
      </w:r>
      <w:r w:rsidR="00DB4C2D">
        <w:rPr>
          <w:rFonts w:eastAsia="Times New Roman"/>
          <w:lang w:val="fr-FR"/>
        </w:rPr>
        <w:t>’</w:t>
      </w:r>
      <w:r w:rsidRPr="00071E05">
        <w:rPr>
          <w:rFonts w:eastAsia="Times New Roman"/>
          <w:lang w:val="fr-FR"/>
        </w:rPr>
        <w:t>applique à l</w:t>
      </w:r>
      <w:r w:rsidR="00DB4C2D">
        <w:rPr>
          <w:rFonts w:eastAsia="Times New Roman"/>
          <w:lang w:val="fr-FR"/>
        </w:rPr>
        <w:t>’</w:t>
      </w:r>
      <w:r w:rsidRPr="00071E05">
        <w:rPr>
          <w:rFonts w:eastAsia="Times New Roman"/>
          <w:lang w:val="fr-FR"/>
        </w:rPr>
        <w:t>échantillon élargi.</w:t>
      </w:r>
    </w:p>
    <w:p w:rsidR="00071E05" w:rsidRPr="00071E05" w:rsidRDefault="00071E05" w:rsidP="008E0091">
      <w:pPr>
        <w:pStyle w:val="SingleTxtG"/>
        <w:keepNext/>
        <w:ind w:left="2268" w:hanging="1134"/>
        <w:rPr>
          <w:rFonts w:eastAsia="Times New Roman"/>
          <w:lang w:val="fr-FR"/>
        </w:rPr>
      </w:pPr>
      <w:r w:rsidRPr="00071E05">
        <w:rPr>
          <w:rFonts w:eastAsia="Times New Roman"/>
          <w:lang w:val="fr-FR"/>
        </w:rPr>
        <w:t>4.</w:t>
      </w:r>
      <w:r w:rsidRPr="00071E05">
        <w:rPr>
          <w:rFonts w:eastAsia="Times New Roman"/>
          <w:lang w:val="fr-FR"/>
        </w:rPr>
        <w:tab/>
        <w:t>Procédure à suivre dans les cas où les véhicules produisant des émissions excessives ne font pas l</w:t>
      </w:r>
      <w:r w:rsidR="00DB4C2D">
        <w:rPr>
          <w:rFonts w:eastAsia="Times New Roman"/>
          <w:lang w:val="fr-FR"/>
        </w:rPr>
        <w:t>’</w:t>
      </w:r>
      <w:r w:rsidRPr="00071E05">
        <w:rPr>
          <w:rFonts w:eastAsia="Times New Roman"/>
          <w:lang w:val="fr-FR"/>
        </w:rPr>
        <w:t>objet d</w:t>
      </w:r>
      <w:r w:rsidR="00DB4C2D">
        <w:rPr>
          <w:rFonts w:eastAsia="Times New Roman"/>
          <w:lang w:val="fr-FR"/>
        </w:rPr>
        <w:t>’</w:t>
      </w:r>
      <w:r w:rsidRPr="00071E05">
        <w:rPr>
          <w:rFonts w:eastAsia="Times New Roman"/>
          <w:lang w:val="fr-FR"/>
        </w:rPr>
        <w:t>une évaluation distincte dans l</w:t>
      </w:r>
      <w:r w:rsidR="00DB4C2D">
        <w:rPr>
          <w:rFonts w:eastAsia="Times New Roman"/>
          <w:lang w:val="fr-FR"/>
        </w:rPr>
        <w:t>’</w:t>
      </w:r>
      <w:r w:rsidRPr="00071E05">
        <w:rPr>
          <w:rFonts w:eastAsia="Times New Roman"/>
          <w:lang w:val="fr-FR"/>
        </w:rPr>
        <w:t>échantillon</w:t>
      </w:r>
    </w:p>
    <w:p w:rsidR="00071E05" w:rsidRPr="00071E05" w:rsidRDefault="00071E05" w:rsidP="008E0091">
      <w:pPr>
        <w:pStyle w:val="SingleTxtG"/>
        <w:ind w:left="2268" w:hanging="1134"/>
        <w:rPr>
          <w:rFonts w:eastAsia="Times New Roman"/>
          <w:lang w:val="fr-FR"/>
        </w:rPr>
      </w:pPr>
      <w:r w:rsidRPr="00071E05">
        <w:rPr>
          <w:rFonts w:eastAsia="Times New Roman"/>
          <w:lang w:val="fr-FR"/>
        </w:rPr>
        <w:t>4.1</w:t>
      </w:r>
      <w:r w:rsidRPr="00071E05">
        <w:rPr>
          <w:rFonts w:eastAsia="Times New Roman"/>
          <w:lang w:val="fr-FR"/>
        </w:rPr>
        <w:tab/>
        <w:t>L</w:t>
      </w:r>
      <w:r w:rsidR="00DB4C2D">
        <w:rPr>
          <w:rFonts w:eastAsia="Times New Roman"/>
          <w:lang w:val="fr-FR"/>
        </w:rPr>
        <w:t>’</w:t>
      </w:r>
      <w:r w:rsidRPr="00071E05">
        <w:rPr>
          <w:rFonts w:eastAsia="Times New Roman"/>
          <w:lang w:val="fr-FR"/>
        </w:rPr>
        <w:t>échantillon étant composé au minimum de trois véhicules, la procédure d</w:t>
      </w:r>
      <w:r w:rsidR="00DB4C2D">
        <w:rPr>
          <w:rFonts w:eastAsia="Times New Roman"/>
          <w:lang w:val="fr-FR"/>
        </w:rPr>
        <w:t>’</w:t>
      </w:r>
      <w:r w:rsidRPr="00071E05">
        <w:rPr>
          <w:rFonts w:eastAsia="Times New Roman"/>
          <w:lang w:val="fr-FR"/>
        </w:rPr>
        <w:t xml:space="preserve">échantillonnage est </w:t>
      </w:r>
      <w:r w:rsidRPr="00071E05">
        <w:rPr>
          <w:lang w:val="fr-FR"/>
        </w:rPr>
        <w:t>établie</w:t>
      </w:r>
      <w:r w:rsidRPr="00071E05">
        <w:rPr>
          <w:rFonts w:eastAsia="Times New Roman"/>
          <w:lang w:val="fr-FR"/>
        </w:rPr>
        <w:t xml:space="preserve"> de manière à ce que la probabilité qu</w:t>
      </w:r>
      <w:r w:rsidR="00DB4C2D">
        <w:rPr>
          <w:rFonts w:eastAsia="Times New Roman"/>
          <w:lang w:val="fr-FR"/>
        </w:rPr>
        <w:t>’</w:t>
      </w:r>
      <w:r w:rsidRPr="00071E05">
        <w:rPr>
          <w:rFonts w:eastAsia="Times New Roman"/>
          <w:lang w:val="fr-FR"/>
        </w:rPr>
        <w:t>un lot soit accepté atteigne 0,95 avec une proportion de défectueux de 40 % (risque fournisseur = 5 %), et que la celle qu</w:t>
      </w:r>
      <w:r w:rsidR="00DB4C2D">
        <w:rPr>
          <w:rFonts w:eastAsia="Times New Roman"/>
          <w:lang w:val="fr-FR"/>
        </w:rPr>
        <w:t>’</w:t>
      </w:r>
      <w:r w:rsidRPr="00071E05">
        <w:rPr>
          <w:rFonts w:eastAsia="Times New Roman"/>
          <w:lang w:val="fr-FR"/>
        </w:rPr>
        <w:t>un lot soit accepté soit de 0,15 avec une proportion de défectueux de 75 % (risque client = 15 %).</w:t>
      </w:r>
    </w:p>
    <w:p w:rsidR="00071E05" w:rsidRPr="00071E05" w:rsidRDefault="00071E05" w:rsidP="00995AD1">
      <w:pPr>
        <w:pStyle w:val="SingleTxtG"/>
        <w:keepNext/>
        <w:ind w:left="2268" w:hanging="1134"/>
        <w:rPr>
          <w:rFonts w:eastAsia="Times New Roman"/>
          <w:lang w:val="fr-FR"/>
        </w:rPr>
      </w:pPr>
      <w:r w:rsidRPr="00071E05">
        <w:rPr>
          <w:rFonts w:eastAsia="Times New Roman"/>
          <w:lang w:val="fr-FR"/>
        </w:rPr>
        <w:t>4.2</w:t>
      </w:r>
      <w:r w:rsidRPr="00071E05">
        <w:rPr>
          <w:rFonts w:eastAsia="Times New Roman"/>
          <w:lang w:val="fr-FR"/>
        </w:rPr>
        <w:tab/>
        <w:t xml:space="preserve">Pour chacun des polluants </w:t>
      </w:r>
      <w:r w:rsidRPr="00071E05">
        <w:rPr>
          <w:lang w:val="fr-FR"/>
        </w:rPr>
        <w:t>définis</w:t>
      </w:r>
      <w:r w:rsidRPr="00071E05">
        <w:rPr>
          <w:rFonts w:eastAsia="Times New Roman"/>
          <w:lang w:val="fr-FR"/>
        </w:rPr>
        <w:t xml:space="preserve"> dans le tableau 1 du paragraphe 5.3.1.4 du présent Règlement, on applique la procédure suivante (voir fig. App4/2 ci</w:t>
      </w:r>
      <w:r w:rsidRPr="00071E05">
        <w:rPr>
          <w:rFonts w:eastAsia="Times New Roman"/>
          <w:lang w:val="fr-FR"/>
        </w:rPr>
        <w:noBreakHyphen/>
        <w:t>dessous):</w:t>
      </w:r>
    </w:p>
    <w:p w:rsidR="00836AD3" w:rsidRDefault="00071E05" w:rsidP="008E0091">
      <w:pPr>
        <w:pStyle w:val="SingleTxtG"/>
        <w:keepNext/>
        <w:ind w:left="2268"/>
        <w:rPr>
          <w:rFonts w:eastAsia="Times New Roman"/>
          <w:lang w:val="fr-FR"/>
        </w:rPr>
      </w:pPr>
      <w:r w:rsidRPr="00071E05">
        <w:rPr>
          <w:rFonts w:eastAsia="Times New Roman"/>
          <w:lang w:val="fr-FR"/>
        </w:rPr>
        <w:tab/>
      </w:r>
      <w:r w:rsidRPr="008E0091">
        <w:rPr>
          <w:lang w:val="fr-FR"/>
        </w:rPr>
        <w:t>où</w:t>
      </w:r>
      <w:r w:rsidRPr="00071E05">
        <w:rPr>
          <w:rFonts w:eastAsia="Times New Roman"/>
          <w:lang w:val="fr-FR"/>
        </w:rPr>
        <w:t>:</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8"/>
        <w:gridCol w:w="5345"/>
      </w:tblGrid>
      <w:tr w:rsidR="008E0091" w:rsidRPr="008E0091" w:rsidTr="00995AD1">
        <w:tc>
          <w:tcPr>
            <w:tcW w:w="594" w:type="dxa"/>
            <w:shd w:val="clear" w:color="auto" w:fill="auto"/>
          </w:tcPr>
          <w:p w:rsidR="008E0091" w:rsidRPr="008E0091" w:rsidRDefault="008E0091" w:rsidP="008E0091">
            <w:pPr>
              <w:kinsoku/>
              <w:overflowPunct/>
              <w:autoSpaceDE/>
              <w:autoSpaceDN/>
              <w:adjustRightInd/>
              <w:snapToGrid/>
              <w:spacing w:after="120"/>
              <w:rPr>
                <w:rFonts w:eastAsia="Times New Roman"/>
                <w:lang w:val="fr-FR"/>
              </w:rPr>
            </w:pPr>
            <w:r w:rsidRPr="008E0091">
              <w:rPr>
                <w:rFonts w:eastAsia="Times New Roman"/>
                <w:lang w:val="fr-FR"/>
              </w:rPr>
              <w:t>L</w:t>
            </w:r>
          </w:p>
        </w:tc>
        <w:tc>
          <w:tcPr>
            <w:tcW w:w="298" w:type="dxa"/>
            <w:shd w:val="clear" w:color="auto" w:fill="auto"/>
          </w:tcPr>
          <w:p w:rsidR="008E0091" w:rsidRPr="008E0091" w:rsidRDefault="008E0091" w:rsidP="008E0091">
            <w:pPr>
              <w:kinsoku/>
              <w:overflowPunct/>
              <w:autoSpaceDE/>
              <w:autoSpaceDN/>
              <w:adjustRightInd/>
              <w:snapToGrid/>
              <w:spacing w:after="120"/>
              <w:rPr>
                <w:rFonts w:eastAsia="Times New Roman"/>
                <w:lang w:val="fr-FR"/>
              </w:rPr>
            </w:pPr>
            <w:r w:rsidRPr="008E0091">
              <w:rPr>
                <w:rFonts w:eastAsia="Times New Roman"/>
                <w:lang w:val="fr-FR"/>
              </w:rPr>
              <w:t>=</w:t>
            </w:r>
          </w:p>
        </w:tc>
        <w:tc>
          <w:tcPr>
            <w:tcW w:w="5345" w:type="dxa"/>
            <w:shd w:val="clear" w:color="auto" w:fill="auto"/>
          </w:tcPr>
          <w:p w:rsidR="008E0091" w:rsidRPr="008E0091" w:rsidRDefault="008E0091" w:rsidP="008E0091">
            <w:pPr>
              <w:kinsoku/>
              <w:overflowPunct/>
              <w:autoSpaceDE/>
              <w:autoSpaceDN/>
              <w:adjustRightInd/>
              <w:snapToGrid/>
              <w:spacing w:after="120"/>
              <w:rPr>
                <w:rFonts w:eastAsia="Times New Roman"/>
                <w:lang w:val="fr-FR"/>
              </w:rPr>
            </w:pPr>
            <w:r w:rsidRPr="008E0091">
              <w:rPr>
                <w:rFonts w:eastAsia="Times New Roman"/>
                <w:lang w:val="fr-FR"/>
              </w:rPr>
              <w:t>valeur limite prescrite pour le polluant,</w:t>
            </w:r>
          </w:p>
        </w:tc>
      </w:tr>
      <w:tr w:rsidR="008E0091" w:rsidRPr="008E0091" w:rsidTr="00995AD1">
        <w:tc>
          <w:tcPr>
            <w:tcW w:w="594" w:type="dxa"/>
            <w:shd w:val="clear" w:color="auto" w:fill="auto"/>
          </w:tcPr>
          <w:p w:rsidR="008E0091" w:rsidRPr="008E0091" w:rsidRDefault="008E0091" w:rsidP="008E0091">
            <w:pPr>
              <w:kinsoku/>
              <w:overflowPunct/>
              <w:autoSpaceDE/>
              <w:autoSpaceDN/>
              <w:adjustRightInd/>
              <w:snapToGrid/>
              <w:spacing w:after="120"/>
              <w:rPr>
                <w:rFonts w:eastAsia="Times New Roman"/>
                <w:lang w:val="fr-FR"/>
              </w:rPr>
            </w:pPr>
            <w:r w:rsidRPr="008E0091">
              <w:rPr>
                <w:rFonts w:eastAsia="Times New Roman"/>
                <w:lang w:val="fr-FR"/>
              </w:rPr>
              <w:t>x</w:t>
            </w:r>
            <w:r w:rsidRPr="008E0091">
              <w:rPr>
                <w:rFonts w:eastAsia="Times New Roman"/>
                <w:vertAlign w:val="subscript"/>
                <w:lang w:val="fr-FR"/>
              </w:rPr>
              <w:t>i</w:t>
            </w:r>
          </w:p>
        </w:tc>
        <w:tc>
          <w:tcPr>
            <w:tcW w:w="298" w:type="dxa"/>
            <w:shd w:val="clear" w:color="auto" w:fill="auto"/>
          </w:tcPr>
          <w:p w:rsidR="008E0091" w:rsidRPr="008E0091" w:rsidRDefault="008E0091" w:rsidP="008E0091">
            <w:pPr>
              <w:kinsoku/>
              <w:overflowPunct/>
              <w:autoSpaceDE/>
              <w:autoSpaceDN/>
              <w:adjustRightInd/>
              <w:snapToGrid/>
              <w:spacing w:after="120"/>
              <w:rPr>
                <w:rFonts w:eastAsia="Times New Roman"/>
                <w:lang w:val="fr-FR"/>
              </w:rPr>
            </w:pPr>
            <w:r w:rsidRPr="008E0091">
              <w:rPr>
                <w:rFonts w:eastAsia="Times New Roman"/>
                <w:lang w:val="fr-FR"/>
              </w:rPr>
              <w:t>=</w:t>
            </w:r>
          </w:p>
        </w:tc>
        <w:tc>
          <w:tcPr>
            <w:tcW w:w="5345" w:type="dxa"/>
            <w:shd w:val="clear" w:color="auto" w:fill="auto"/>
          </w:tcPr>
          <w:p w:rsidR="008E0091" w:rsidRPr="008E0091" w:rsidRDefault="008E0091" w:rsidP="008E0091">
            <w:pPr>
              <w:kinsoku/>
              <w:overflowPunct/>
              <w:autoSpaceDE/>
              <w:autoSpaceDN/>
              <w:adjustRightInd/>
              <w:snapToGrid/>
              <w:spacing w:after="120"/>
              <w:rPr>
                <w:rFonts w:eastAsia="Times New Roman"/>
                <w:lang w:val="fr-FR"/>
              </w:rPr>
            </w:pPr>
            <w:r w:rsidRPr="008E0091">
              <w:rPr>
                <w:rFonts w:eastAsia="Times New Roman"/>
                <w:lang w:val="fr-FR"/>
              </w:rPr>
              <w:t>valeur mesurée pour l</w:t>
            </w:r>
            <w:r w:rsidR="00DB4C2D">
              <w:rPr>
                <w:rFonts w:eastAsia="Times New Roman"/>
                <w:lang w:val="fr-FR"/>
              </w:rPr>
              <w:t>’</w:t>
            </w:r>
            <w:r w:rsidRPr="008E0091">
              <w:rPr>
                <w:rFonts w:eastAsia="Times New Roman"/>
                <w:lang w:val="fr-FR"/>
              </w:rPr>
              <w:t>i-</w:t>
            </w:r>
            <w:proofErr w:type="spellStart"/>
            <w:r w:rsidRPr="008E0091">
              <w:rPr>
                <w:rFonts w:eastAsia="Times New Roman"/>
                <w:lang w:val="fr-FR"/>
              </w:rPr>
              <w:t>ème</w:t>
            </w:r>
            <w:proofErr w:type="spellEnd"/>
            <w:r w:rsidRPr="008E0091">
              <w:rPr>
                <w:rFonts w:eastAsia="Times New Roman"/>
                <w:lang w:val="fr-FR"/>
              </w:rPr>
              <w:t xml:space="preserve"> véhicule de l</w:t>
            </w:r>
            <w:r w:rsidR="00DB4C2D">
              <w:rPr>
                <w:rFonts w:eastAsia="Times New Roman"/>
                <w:lang w:val="fr-FR"/>
              </w:rPr>
              <w:t>’</w:t>
            </w:r>
            <w:r w:rsidRPr="008E0091">
              <w:rPr>
                <w:rFonts w:eastAsia="Times New Roman"/>
                <w:lang w:val="fr-FR"/>
              </w:rPr>
              <w:t>échantillon,</w:t>
            </w:r>
          </w:p>
        </w:tc>
      </w:tr>
      <w:tr w:rsidR="008E0091" w:rsidRPr="008E0091" w:rsidTr="00995AD1">
        <w:tc>
          <w:tcPr>
            <w:tcW w:w="594" w:type="dxa"/>
            <w:shd w:val="clear" w:color="auto" w:fill="auto"/>
          </w:tcPr>
          <w:p w:rsidR="008E0091" w:rsidRPr="008E0091" w:rsidRDefault="008E0091" w:rsidP="008E0091">
            <w:pPr>
              <w:kinsoku/>
              <w:overflowPunct/>
              <w:autoSpaceDE/>
              <w:autoSpaceDN/>
              <w:adjustRightInd/>
              <w:snapToGrid/>
              <w:spacing w:after="120"/>
              <w:rPr>
                <w:rFonts w:eastAsia="Times New Roman"/>
                <w:lang w:val="fr-FR"/>
              </w:rPr>
            </w:pPr>
            <w:r w:rsidRPr="008E0091">
              <w:rPr>
                <w:rFonts w:eastAsia="Times New Roman"/>
                <w:lang w:val="fr-FR"/>
              </w:rPr>
              <w:t>n</w:t>
            </w:r>
          </w:p>
        </w:tc>
        <w:tc>
          <w:tcPr>
            <w:tcW w:w="298" w:type="dxa"/>
            <w:shd w:val="clear" w:color="auto" w:fill="auto"/>
          </w:tcPr>
          <w:p w:rsidR="008E0091" w:rsidRPr="008E0091" w:rsidRDefault="008E0091" w:rsidP="008E0091">
            <w:pPr>
              <w:kinsoku/>
              <w:overflowPunct/>
              <w:autoSpaceDE/>
              <w:autoSpaceDN/>
              <w:adjustRightInd/>
              <w:snapToGrid/>
              <w:spacing w:after="120"/>
              <w:rPr>
                <w:rFonts w:eastAsia="Times New Roman"/>
                <w:lang w:val="fr-FR"/>
              </w:rPr>
            </w:pPr>
            <w:r w:rsidRPr="008E0091">
              <w:rPr>
                <w:rFonts w:eastAsia="Times New Roman"/>
                <w:lang w:val="fr-FR"/>
              </w:rPr>
              <w:t>=</w:t>
            </w:r>
          </w:p>
        </w:tc>
        <w:tc>
          <w:tcPr>
            <w:tcW w:w="5345" w:type="dxa"/>
            <w:shd w:val="clear" w:color="auto" w:fill="auto"/>
          </w:tcPr>
          <w:p w:rsidR="008E0091" w:rsidRPr="008E0091" w:rsidRDefault="008E0091" w:rsidP="008E0091">
            <w:pPr>
              <w:kinsoku/>
              <w:overflowPunct/>
              <w:autoSpaceDE/>
              <w:autoSpaceDN/>
              <w:adjustRightInd/>
              <w:snapToGrid/>
              <w:spacing w:after="120"/>
              <w:rPr>
                <w:rFonts w:eastAsia="Times New Roman"/>
                <w:lang w:val="fr-FR"/>
              </w:rPr>
            </w:pPr>
            <w:r w:rsidRPr="008E0091">
              <w:rPr>
                <w:rFonts w:eastAsia="Times New Roman"/>
                <w:lang w:val="fr-FR"/>
              </w:rPr>
              <w:t>taille de l</w:t>
            </w:r>
            <w:r w:rsidR="00DB4C2D">
              <w:rPr>
                <w:rFonts w:eastAsia="Times New Roman"/>
                <w:lang w:val="fr-FR"/>
              </w:rPr>
              <w:t>’</w:t>
            </w:r>
            <w:r w:rsidRPr="008E0091">
              <w:rPr>
                <w:rFonts w:eastAsia="Times New Roman"/>
                <w:lang w:val="fr-FR"/>
              </w:rPr>
              <w:t>échantillon.</w:t>
            </w:r>
          </w:p>
        </w:tc>
      </w:tr>
    </w:tbl>
    <w:p w:rsidR="00995AD1" w:rsidRPr="00995AD1" w:rsidRDefault="00995AD1" w:rsidP="00995AD1">
      <w:pPr>
        <w:pStyle w:val="SingleTxtG"/>
        <w:spacing w:before="120"/>
        <w:ind w:left="2268" w:hanging="1134"/>
        <w:rPr>
          <w:rFonts w:eastAsia="Times New Roman"/>
          <w:lang w:val="fr-FR"/>
        </w:rPr>
      </w:pPr>
      <w:r w:rsidRPr="00995AD1">
        <w:rPr>
          <w:rFonts w:eastAsia="Times New Roman"/>
          <w:lang w:val="fr-FR"/>
        </w:rPr>
        <w:t>4.3</w:t>
      </w:r>
      <w:r w:rsidRPr="00995AD1">
        <w:rPr>
          <w:rFonts w:eastAsia="Times New Roman"/>
          <w:lang w:val="fr-FR"/>
        </w:rPr>
        <w:tab/>
        <w:t>On calcule pour l</w:t>
      </w:r>
      <w:r w:rsidR="00DB4C2D">
        <w:rPr>
          <w:rFonts w:eastAsia="Times New Roman"/>
          <w:lang w:val="fr-FR"/>
        </w:rPr>
        <w:t>’</w:t>
      </w:r>
      <w:r w:rsidRPr="00995AD1">
        <w:rPr>
          <w:rFonts w:eastAsia="Times New Roman"/>
          <w:lang w:val="fr-FR"/>
        </w:rPr>
        <w:t>échantillon la variable d</w:t>
      </w:r>
      <w:r w:rsidR="00DB4C2D">
        <w:rPr>
          <w:rFonts w:eastAsia="Times New Roman"/>
          <w:lang w:val="fr-FR"/>
        </w:rPr>
        <w:t>’</w:t>
      </w:r>
      <w:r w:rsidRPr="00995AD1">
        <w:rPr>
          <w:rFonts w:eastAsia="Times New Roman"/>
          <w:lang w:val="fr-FR"/>
        </w:rPr>
        <w:t>essai représentant le nombre de véhicules non conformes, soit x</w:t>
      </w:r>
      <w:r w:rsidRPr="00995AD1">
        <w:rPr>
          <w:rFonts w:eastAsia="Times New Roman"/>
          <w:vertAlign w:val="subscript"/>
          <w:lang w:val="fr-FR"/>
        </w:rPr>
        <w:t>i</w:t>
      </w:r>
      <w:r w:rsidRPr="00995AD1">
        <w:rPr>
          <w:rFonts w:eastAsia="Times New Roman"/>
          <w:lang w:val="fr-FR"/>
        </w:rPr>
        <w:t xml:space="preserve"> &gt; L.</w:t>
      </w:r>
    </w:p>
    <w:p w:rsidR="00995AD1" w:rsidRPr="00995AD1" w:rsidRDefault="00995AD1" w:rsidP="00995AD1">
      <w:pPr>
        <w:pStyle w:val="SingleTxtG"/>
        <w:keepNext/>
        <w:ind w:left="2268" w:hanging="1134"/>
        <w:rPr>
          <w:rFonts w:eastAsia="Times New Roman"/>
          <w:lang w:val="fr-FR"/>
        </w:rPr>
      </w:pPr>
      <w:r w:rsidRPr="00995AD1">
        <w:rPr>
          <w:rFonts w:eastAsia="Times New Roman"/>
          <w:lang w:val="fr-FR"/>
        </w:rPr>
        <w:t>4.4</w:t>
      </w:r>
      <w:r w:rsidRPr="00995AD1">
        <w:rPr>
          <w:rFonts w:eastAsia="Times New Roman"/>
          <w:lang w:val="fr-FR"/>
        </w:rPr>
        <w:tab/>
        <w:t>Puis:</w:t>
      </w:r>
    </w:p>
    <w:p w:rsidR="00995AD1" w:rsidRPr="00995AD1" w:rsidRDefault="00995AD1" w:rsidP="00995AD1">
      <w:pPr>
        <w:pStyle w:val="SingleTxtG"/>
        <w:ind w:left="2835" w:hanging="567"/>
        <w:rPr>
          <w:rFonts w:eastAsia="Times New Roman"/>
          <w:lang w:val="fr-FR"/>
        </w:rPr>
      </w:pPr>
      <w:r w:rsidRPr="00995AD1">
        <w:rPr>
          <w:rFonts w:eastAsia="Times New Roman"/>
          <w:lang w:val="fr-FR"/>
        </w:rPr>
        <w:t>a)</w:t>
      </w:r>
      <w:r w:rsidRPr="00995AD1">
        <w:rPr>
          <w:rFonts w:eastAsia="Times New Roman"/>
          <w:lang w:val="fr-FR"/>
        </w:rPr>
        <w:tab/>
        <w:t>Si la variable d</w:t>
      </w:r>
      <w:r w:rsidR="00DB4C2D">
        <w:rPr>
          <w:rFonts w:eastAsia="Times New Roman"/>
          <w:lang w:val="fr-FR"/>
        </w:rPr>
        <w:t>’</w:t>
      </w:r>
      <w:r w:rsidRPr="00995AD1">
        <w:rPr>
          <w:rFonts w:eastAsia="Times New Roman"/>
          <w:lang w:val="fr-FR"/>
        </w:rPr>
        <w:t>essai est inférieure ou égale au seuil de décision positive pour la taille d</w:t>
      </w:r>
      <w:r w:rsidR="00DB4C2D">
        <w:rPr>
          <w:rFonts w:eastAsia="Times New Roman"/>
          <w:lang w:val="fr-FR"/>
        </w:rPr>
        <w:t>’</w:t>
      </w:r>
      <w:r w:rsidRPr="00995AD1">
        <w:rPr>
          <w:rFonts w:eastAsia="Times New Roman"/>
          <w:lang w:val="fr-FR"/>
        </w:rPr>
        <w:t>échantillon indiquée au tableau App4/1, une décision positive est prise pour le polluant considéré;</w:t>
      </w:r>
    </w:p>
    <w:p w:rsidR="00995AD1" w:rsidRPr="00995AD1" w:rsidRDefault="00995AD1" w:rsidP="00995AD1">
      <w:pPr>
        <w:pStyle w:val="SingleTxtG"/>
        <w:ind w:left="2835" w:hanging="567"/>
        <w:rPr>
          <w:rFonts w:eastAsia="Times New Roman"/>
          <w:lang w:val="fr-FR"/>
        </w:rPr>
      </w:pPr>
      <w:r w:rsidRPr="00995AD1">
        <w:rPr>
          <w:rFonts w:eastAsia="Times New Roman"/>
          <w:lang w:val="fr-FR"/>
        </w:rPr>
        <w:t>b)</w:t>
      </w:r>
      <w:r w:rsidRPr="00995AD1">
        <w:rPr>
          <w:rFonts w:eastAsia="Times New Roman"/>
          <w:lang w:val="fr-FR"/>
        </w:rPr>
        <w:tab/>
        <w:t>Si la variable d</w:t>
      </w:r>
      <w:r w:rsidR="00DB4C2D">
        <w:rPr>
          <w:rFonts w:eastAsia="Times New Roman"/>
          <w:lang w:val="fr-FR"/>
        </w:rPr>
        <w:t>’</w:t>
      </w:r>
      <w:r w:rsidRPr="00995AD1">
        <w:rPr>
          <w:rFonts w:eastAsia="Times New Roman"/>
          <w:lang w:val="fr-FR"/>
        </w:rPr>
        <w:t>essai est supérieure ou égale au seuil de décision négative pour la taille d</w:t>
      </w:r>
      <w:r w:rsidR="00DB4C2D">
        <w:rPr>
          <w:rFonts w:eastAsia="Times New Roman"/>
          <w:lang w:val="fr-FR"/>
        </w:rPr>
        <w:t>’</w:t>
      </w:r>
      <w:r w:rsidRPr="00995AD1">
        <w:rPr>
          <w:rFonts w:eastAsia="Times New Roman"/>
          <w:lang w:val="fr-FR"/>
        </w:rPr>
        <w:t>échantillon indiquée au tableau App4/1, une décision négative est prise pour le polluant considéré;</w:t>
      </w:r>
    </w:p>
    <w:p w:rsidR="00995AD1" w:rsidRPr="00995AD1" w:rsidRDefault="00995AD1" w:rsidP="00995AD1">
      <w:pPr>
        <w:pStyle w:val="SingleTxtG"/>
        <w:ind w:left="2835" w:hanging="567"/>
        <w:rPr>
          <w:rFonts w:eastAsia="Times New Roman"/>
          <w:lang w:val="fr-FR"/>
        </w:rPr>
      </w:pPr>
      <w:r w:rsidRPr="00995AD1">
        <w:rPr>
          <w:rFonts w:eastAsia="Times New Roman"/>
          <w:lang w:val="fr-FR"/>
        </w:rPr>
        <w:lastRenderedPageBreak/>
        <w:t>c)</w:t>
      </w:r>
      <w:r w:rsidRPr="00995AD1">
        <w:rPr>
          <w:rFonts w:eastAsia="Times New Roman"/>
          <w:lang w:val="fr-FR"/>
        </w:rPr>
        <w:tab/>
        <w:t>Dans les autres cas, un véhicule supplémentaire est soumis à l</w:t>
      </w:r>
      <w:r w:rsidR="00DB4C2D">
        <w:rPr>
          <w:rFonts w:eastAsia="Times New Roman"/>
          <w:lang w:val="fr-FR"/>
        </w:rPr>
        <w:t>’</w:t>
      </w:r>
      <w:r w:rsidRPr="00995AD1">
        <w:rPr>
          <w:rFonts w:eastAsia="Times New Roman"/>
          <w:lang w:val="fr-FR"/>
        </w:rPr>
        <w:t xml:space="preserve">essai et la procédure est </w:t>
      </w:r>
      <w:r w:rsidRPr="00995AD1">
        <w:rPr>
          <w:lang w:val="fr-FR"/>
        </w:rPr>
        <w:t>appliquée</w:t>
      </w:r>
      <w:r w:rsidRPr="00995AD1">
        <w:rPr>
          <w:rFonts w:eastAsia="Times New Roman"/>
          <w:lang w:val="fr-FR"/>
        </w:rPr>
        <w:t xml:space="preserve"> à l</w:t>
      </w:r>
      <w:r w:rsidR="00DB4C2D">
        <w:rPr>
          <w:rFonts w:eastAsia="Times New Roman"/>
          <w:lang w:val="fr-FR"/>
        </w:rPr>
        <w:t>’</w:t>
      </w:r>
      <w:r w:rsidRPr="00995AD1">
        <w:rPr>
          <w:rFonts w:eastAsia="Times New Roman"/>
          <w:lang w:val="fr-FR"/>
        </w:rPr>
        <w:t>échantillon augmenté d</w:t>
      </w:r>
      <w:r w:rsidR="00DB4C2D">
        <w:rPr>
          <w:rFonts w:eastAsia="Times New Roman"/>
          <w:lang w:val="fr-FR"/>
        </w:rPr>
        <w:t>’</w:t>
      </w:r>
      <w:r w:rsidRPr="00995AD1">
        <w:rPr>
          <w:rFonts w:eastAsia="Times New Roman"/>
          <w:lang w:val="fr-FR"/>
        </w:rPr>
        <w:t>une unité.</w:t>
      </w:r>
    </w:p>
    <w:p w:rsidR="00995AD1" w:rsidRPr="00995AD1" w:rsidRDefault="00995AD1" w:rsidP="00995AD1">
      <w:pPr>
        <w:pStyle w:val="SingleTxtG"/>
        <w:ind w:left="2268"/>
        <w:rPr>
          <w:lang w:val="fr-FR"/>
        </w:rPr>
      </w:pPr>
      <w:r w:rsidRPr="00995AD1">
        <w:rPr>
          <w:lang w:val="fr-FR"/>
        </w:rPr>
        <w:t>Dans le tableau suivant, les valeurs d</w:t>
      </w:r>
      <w:r w:rsidR="00DB4C2D">
        <w:rPr>
          <w:lang w:val="fr-FR"/>
        </w:rPr>
        <w:t>’</w:t>
      </w:r>
      <w:r w:rsidRPr="00995AD1">
        <w:rPr>
          <w:lang w:val="fr-FR"/>
        </w:rPr>
        <w:t>acceptation et de refus sont calculées selon la norme internationale ISO 8422:1991.</w:t>
      </w:r>
    </w:p>
    <w:p w:rsidR="008E0091" w:rsidRDefault="00995AD1" w:rsidP="00995AD1">
      <w:pPr>
        <w:pStyle w:val="SingleTxtG"/>
        <w:spacing w:before="120"/>
        <w:ind w:left="2268" w:hanging="1134"/>
        <w:rPr>
          <w:rFonts w:eastAsia="Times New Roman"/>
          <w:lang w:val="fr-FR"/>
        </w:rPr>
      </w:pPr>
      <w:r w:rsidRPr="00995AD1">
        <w:rPr>
          <w:rFonts w:eastAsia="Times New Roman"/>
          <w:lang w:val="fr-FR"/>
        </w:rPr>
        <w:t>5.</w:t>
      </w:r>
      <w:r w:rsidRPr="00995AD1">
        <w:rPr>
          <w:rFonts w:eastAsia="Times New Roman"/>
          <w:lang w:val="fr-FR"/>
        </w:rPr>
        <w:tab/>
        <w:t>Un échantillon est réputé accepté lorsqu</w:t>
      </w:r>
      <w:r w:rsidR="00DB4C2D">
        <w:rPr>
          <w:rFonts w:eastAsia="Times New Roman"/>
          <w:lang w:val="fr-FR"/>
        </w:rPr>
        <w:t>’</w:t>
      </w:r>
      <w:r w:rsidRPr="00995AD1">
        <w:rPr>
          <w:rFonts w:eastAsia="Times New Roman"/>
          <w:lang w:val="fr-FR"/>
        </w:rPr>
        <w:t>il satisfait aux exigences à la fois du paragraphe 3 et du paragraphe 4 du présent appendice.</w:t>
      </w:r>
    </w:p>
    <w:p w:rsidR="00995AD1" w:rsidRDefault="00995AD1" w:rsidP="00995AD1">
      <w:pPr>
        <w:pStyle w:val="Titre1"/>
        <w:spacing w:after="120"/>
        <w:rPr>
          <w:b/>
          <w:lang w:val="fr-FR"/>
        </w:rPr>
      </w:pPr>
      <w:r w:rsidRPr="00995AD1">
        <w:rPr>
          <w:lang w:val="fr-FR"/>
        </w:rPr>
        <w:t>Tableau App4/1</w:t>
      </w:r>
      <w:r w:rsidRPr="00995AD1">
        <w:rPr>
          <w:lang w:val="fr-FR"/>
        </w:rPr>
        <w:br/>
      </w:r>
      <w:r w:rsidRPr="00995AD1">
        <w:rPr>
          <w:b/>
          <w:lang w:val="fr-FR"/>
        </w:rPr>
        <w:t>Tableau d</w:t>
      </w:r>
      <w:r w:rsidR="00DB4C2D">
        <w:rPr>
          <w:b/>
          <w:lang w:val="fr-FR"/>
        </w:rPr>
        <w:t>’</w:t>
      </w:r>
      <w:r w:rsidRPr="00995AD1">
        <w:rPr>
          <w:b/>
          <w:lang w:val="fr-FR"/>
        </w:rPr>
        <w:t>acceptation et de refus/Plan d</w:t>
      </w:r>
      <w:r w:rsidR="00DB4C2D">
        <w:rPr>
          <w:b/>
          <w:lang w:val="fr-FR"/>
        </w:rPr>
        <w:t>’</w:t>
      </w:r>
      <w:r w:rsidRPr="00995AD1">
        <w:rPr>
          <w:b/>
          <w:lang w:val="fr-FR"/>
        </w:rPr>
        <w:t>échantillonnage par attributs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5"/>
        <w:gridCol w:w="2268"/>
        <w:gridCol w:w="2268"/>
      </w:tblGrid>
      <w:tr w:rsidR="00995AD1" w:rsidRPr="00995AD1" w:rsidTr="00965C52">
        <w:tblPrEx>
          <w:tblCellMar>
            <w:top w:w="0" w:type="dxa"/>
            <w:bottom w:w="0" w:type="dxa"/>
          </w:tblCellMar>
        </w:tblPrEx>
        <w:trPr>
          <w:tblHeader/>
          <w:jc w:val="center"/>
        </w:trPr>
        <w:tc>
          <w:tcPr>
            <w:tcW w:w="2835" w:type="dxa"/>
            <w:vAlign w:val="center"/>
          </w:tcPr>
          <w:p w:rsidR="00995AD1" w:rsidRPr="00995AD1" w:rsidRDefault="00995AD1" w:rsidP="00995AD1">
            <w:pPr>
              <w:pBdr>
                <w:top w:val="single" w:sz="6" w:space="0" w:color="FFFFFF"/>
                <w:left w:val="single" w:sz="6" w:space="0" w:color="FFFFFF"/>
                <w:bottom w:val="single" w:sz="6" w:space="0" w:color="FFFFFF"/>
                <w:right w:val="single" w:sz="6" w:space="0" w:color="FFFFFF"/>
              </w:pBdr>
              <w:kinsoku/>
              <w:overflowPunct/>
              <w:autoSpaceDE/>
              <w:autoSpaceDN/>
              <w:adjustRightInd/>
              <w:snapToGrid/>
              <w:spacing w:before="60" w:after="60" w:line="200" w:lineRule="exact"/>
              <w:jc w:val="center"/>
              <w:rPr>
                <w:rFonts w:eastAsia="Times New Roman"/>
                <w:i/>
                <w:sz w:val="16"/>
                <w:szCs w:val="16"/>
                <w:lang w:val="fr-FR"/>
              </w:rPr>
            </w:pPr>
            <w:r w:rsidRPr="00995AD1">
              <w:rPr>
                <w:rFonts w:eastAsia="Times New Roman"/>
                <w:i/>
                <w:sz w:val="16"/>
                <w:szCs w:val="16"/>
                <w:lang w:val="fr-FR"/>
              </w:rPr>
              <w:t>Taille cumulée de l</w:t>
            </w:r>
            <w:r w:rsidR="00DB4C2D">
              <w:rPr>
                <w:rFonts w:eastAsia="Times New Roman"/>
                <w:i/>
                <w:sz w:val="16"/>
                <w:szCs w:val="16"/>
                <w:lang w:val="fr-FR"/>
              </w:rPr>
              <w:t>’</w:t>
            </w:r>
            <w:r w:rsidRPr="00995AD1">
              <w:rPr>
                <w:rFonts w:eastAsia="Times New Roman"/>
                <w:i/>
                <w:sz w:val="16"/>
                <w:szCs w:val="16"/>
                <w:lang w:val="fr-FR"/>
              </w:rPr>
              <w:t>échantillon</w:t>
            </w:r>
          </w:p>
        </w:tc>
        <w:tc>
          <w:tcPr>
            <w:tcW w:w="2268" w:type="dxa"/>
            <w:vAlign w:val="center"/>
          </w:tcPr>
          <w:p w:rsidR="00995AD1" w:rsidRPr="00995AD1" w:rsidRDefault="00995AD1" w:rsidP="00995AD1">
            <w:pPr>
              <w:pBdr>
                <w:top w:val="single" w:sz="6" w:space="0" w:color="FFFFFF"/>
                <w:left w:val="single" w:sz="6" w:space="0" w:color="FFFFFF"/>
                <w:bottom w:val="single" w:sz="6" w:space="0" w:color="FFFFFF"/>
                <w:right w:val="single" w:sz="6" w:space="0" w:color="FFFFFF"/>
              </w:pBdr>
              <w:kinsoku/>
              <w:overflowPunct/>
              <w:autoSpaceDE/>
              <w:autoSpaceDN/>
              <w:adjustRightInd/>
              <w:snapToGrid/>
              <w:spacing w:before="60" w:after="60" w:line="200" w:lineRule="exact"/>
              <w:jc w:val="center"/>
              <w:rPr>
                <w:rFonts w:eastAsia="Times New Roman"/>
                <w:i/>
                <w:sz w:val="16"/>
                <w:szCs w:val="16"/>
                <w:lang w:val="fr-FR"/>
              </w:rPr>
            </w:pPr>
            <w:r w:rsidRPr="00995AD1">
              <w:rPr>
                <w:rFonts w:eastAsia="Times New Roman"/>
                <w:i/>
                <w:sz w:val="16"/>
                <w:szCs w:val="16"/>
                <w:lang w:val="fr-FR"/>
              </w:rPr>
              <w:t>Seuil d</w:t>
            </w:r>
            <w:r w:rsidR="00DB4C2D">
              <w:rPr>
                <w:rFonts w:eastAsia="Times New Roman"/>
                <w:i/>
                <w:sz w:val="16"/>
                <w:szCs w:val="16"/>
                <w:lang w:val="fr-FR"/>
              </w:rPr>
              <w:t>’</w:t>
            </w:r>
            <w:r w:rsidRPr="00995AD1">
              <w:rPr>
                <w:rFonts w:eastAsia="Times New Roman"/>
                <w:i/>
                <w:sz w:val="16"/>
                <w:szCs w:val="16"/>
                <w:lang w:val="fr-FR"/>
              </w:rPr>
              <w:t>acceptation</w:t>
            </w:r>
          </w:p>
        </w:tc>
        <w:tc>
          <w:tcPr>
            <w:tcW w:w="2268" w:type="dxa"/>
            <w:vAlign w:val="center"/>
          </w:tcPr>
          <w:p w:rsidR="00995AD1" w:rsidRPr="00995AD1" w:rsidRDefault="00995AD1" w:rsidP="00995AD1">
            <w:pPr>
              <w:pBdr>
                <w:top w:val="single" w:sz="6" w:space="0" w:color="FFFFFF"/>
                <w:left w:val="single" w:sz="6" w:space="0" w:color="FFFFFF"/>
                <w:bottom w:val="single" w:sz="6" w:space="0" w:color="FFFFFF"/>
                <w:right w:val="single" w:sz="6" w:space="0" w:color="FFFFFF"/>
              </w:pBdr>
              <w:kinsoku/>
              <w:overflowPunct/>
              <w:autoSpaceDE/>
              <w:autoSpaceDN/>
              <w:adjustRightInd/>
              <w:snapToGrid/>
              <w:spacing w:before="60" w:after="60" w:line="200" w:lineRule="exact"/>
              <w:jc w:val="center"/>
              <w:rPr>
                <w:rFonts w:eastAsia="Times New Roman"/>
                <w:i/>
                <w:sz w:val="16"/>
                <w:szCs w:val="16"/>
                <w:lang w:val="fr-FR"/>
              </w:rPr>
            </w:pPr>
            <w:r w:rsidRPr="00995AD1">
              <w:rPr>
                <w:rFonts w:eastAsia="Times New Roman"/>
                <w:i/>
                <w:sz w:val="16"/>
                <w:szCs w:val="16"/>
                <w:lang w:val="fr-FR"/>
              </w:rPr>
              <w:t>Seuil de refus</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3</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0</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4</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5</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5</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6</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2</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6</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7</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2</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6</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8</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3</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7</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9</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4</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8</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10</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4</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8</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11</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5</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9</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12</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5</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9</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13</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6</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10</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14</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6</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11</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15</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7</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11</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16</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8</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12</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17</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8</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12</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18</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9</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13</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19</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9</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13</w:t>
            </w:r>
          </w:p>
        </w:tc>
      </w:tr>
      <w:tr w:rsidR="00995AD1" w:rsidRPr="00995AD1" w:rsidTr="00965C52">
        <w:tblPrEx>
          <w:tblCellMar>
            <w:top w:w="0" w:type="dxa"/>
            <w:bottom w:w="0" w:type="dxa"/>
          </w:tblCellMar>
        </w:tblPrEx>
        <w:trPr>
          <w:jc w:val="center"/>
        </w:trPr>
        <w:tc>
          <w:tcPr>
            <w:tcW w:w="2835"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20</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11</w:t>
            </w:r>
          </w:p>
        </w:tc>
        <w:tc>
          <w:tcPr>
            <w:tcW w:w="2268" w:type="dxa"/>
            <w:vAlign w:val="center"/>
          </w:tcPr>
          <w:p w:rsidR="00995AD1" w:rsidRPr="00995AD1" w:rsidRDefault="00995AD1" w:rsidP="00995AD1">
            <w:pPr>
              <w:kinsoku/>
              <w:overflowPunct/>
              <w:autoSpaceDE/>
              <w:autoSpaceDN/>
              <w:adjustRightInd/>
              <w:snapToGrid/>
              <w:spacing w:before="60" w:after="60"/>
              <w:jc w:val="center"/>
              <w:rPr>
                <w:rFonts w:eastAsia="Times New Roman"/>
                <w:lang w:val="fr-FR"/>
              </w:rPr>
            </w:pPr>
            <w:r w:rsidRPr="00995AD1">
              <w:rPr>
                <w:rFonts w:eastAsia="Times New Roman"/>
                <w:lang w:val="fr-FR"/>
              </w:rPr>
              <w:t>12</w:t>
            </w:r>
          </w:p>
        </w:tc>
      </w:tr>
    </w:tbl>
    <w:p w:rsidR="00995AD1" w:rsidRDefault="00995AD1" w:rsidP="00995AD1">
      <w:pPr>
        <w:pStyle w:val="Titre1"/>
        <w:spacing w:before="120" w:after="120"/>
        <w:rPr>
          <w:b/>
          <w:lang w:val="fr-FR"/>
        </w:rPr>
      </w:pPr>
      <w:r w:rsidRPr="00A779B8">
        <w:rPr>
          <w:lang w:val="fr-FR"/>
        </w:rPr>
        <w:lastRenderedPageBreak/>
        <w:t>Figure App4/1</w:t>
      </w:r>
      <w:r w:rsidRPr="00A779B8">
        <w:rPr>
          <w:lang w:val="fr-FR"/>
        </w:rPr>
        <w:br/>
      </w:r>
      <w:r w:rsidRPr="00995AD1">
        <w:rPr>
          <w:b/>
          <w:lang w:val="fr-FR"/>
        </w:rPr>
        <w:t>Vérification de la conformité en service − procédure de contrôle</w:t>
      </w:r>
    </w:p>
    <w:bookmarkStart w:id="25" w:name="_MON_1432536600"/>
    <w:bookmarkStart w:id="26" w:name="_MON_1433224239"/>
    <w:bookmarkStart w:id="27" w:name="_MON_1433224288"/>
    <w:bookmarkStart w:id="28" w:name="_MON_1433224369"/>
    <w:bookmarkStart w:id="29" w:name="_MON_1433224419"/>
    <w:bookmarkStart w:id="30" w:name="_MON_1433224569"/>
    <w:bookmarkStart w:id="31" w:name="_MON_1433224790"/>
    <w:bookmarkStart w:id="32" w:name="_MON_1433224933"/>
    <w:bookmarkStart w:id="33" w:name="_MON_1433225058"/>
    <w:bookmarkStart w:id="34" w:name="_MON_1433225363"/>
    <w:bookmarkStart w:id="35" w:name="_MON_1433225569"/>
    <w:bookmarkStart w:id="36" w:name="_MON_1433225599"/>
    <w:bookmarkStart w:id="37" w:name="_MON_1433225678"/>
    <w:bookmarkStart w:id="38" w:name="_MON_1433225703"/>
    <w:bookmarkStart w:id="39" w:name="_MON_1433225749"/>
    <w:bookmarkStart w:id="40" w:name="_MON_1433225761"/>
    <w:bookmarkStart w:id="41" w:name="_MON_1433225773"/>
    <w:bookmarkStart w:id="42" w:name="_MON_1433225785"/>
    <w:bookmarkStart w:id="43" w:name="_MON_1433225826"/>
    <w:bookmarkStart w:id="44" w:name="_MON_1433225976"/>
    <w:bookmarkStart w:id="45" w:name="_MON_1433226997"/>
    <w:bookmarkStart w:id="46" w:name="_MON_1433227277"/>
    <w:bookmarkStart w:id="47" w:name="_MON_1433227423"/>
    <w:bookmarkStart w:id="48" w:name="_MON_1433227943"/>
    <w:bookmarkStart w:id="49" w:name="_MON_1433227973"/>
    <w:bookmarkStart w:id="50" w:name="_MON_1433228095"/>
    <w:bookmarkStart w:id="51" w:name="_MON_1433230411"/>
    <w:bookmarkStart w:id="52" w:name="_MON_1433230653"/>
    <w:bookmarkStart w:id="53" w:name="_MON_1433231261"/>
    <w:bookmarkStart w:id="54" w:name="_MON_1433231745"/>
    <w:bookmarkStart w:id="55" w:name="_MON_1433232465"/>
    <w:bookmarkStart w:id="56" w:name="_MON_1433232559"/>
    <w:bookmarkStart w:id="57" w:name="_MON_1433232835"/>
    <w:bookmarkStart w:id="58" w:name="_MON_1433232907"/>
    <w:bookmarkStart w:id="59" w:name="_MON_1433232942"/>
    <w:bookmarkStart w:id="60" w:name="_MON_1433233102"/>
    <w:bookmarkStart w:id="61" w:name="_MON_1433233113"/>
    <w:bookmarkStart w:id="62" w:name="_MON_1433233168"/>
    <w:bookmarkStart w:id="63" w:name="_MON_1433233563"/>
    <w:bookmarkStart w:id="64" w:name="_MON_1433233599"/>
    <w:bookmarkStart w:id="65" w:name="_MON_1433233622"/>
    <w:bookmarkStart w:id="66" w:name="_MON_1433233685"/>
    <w:bookmarkStart w:id="67" w:name="_MON_1433233721"/>
    <w:bookmarkStart w:id="68" w:name="_MON_1433233749"/>
    <w:bookmarkStart w:id="69" w:name="_MON_1433587625"/>
    <w:bookmarkStart w:id="70" w:name="_MON_1433587697"/>
    <w:bookmarkStart w:id="71" w:name="_MON_1433588907"/>
    <w:bookmarkStart w:id="72" w:name="_MON_1448103205"/>
    <w:bookmarkStart w:id="73" w:name="_MON_1448103314"/>
    <w:bookmarkStart w:id="74" w:name="_MON_144810355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rsidR="00995AD1" w:rsidRDefault="00995AD1" w:rsidP="00995AD1">
      <w:pPr>
        <w:ind w:left="1134"/>
        <w:rPr>
          <w:lang w:val="fr-FR"/>
        </w:rPr>
      </w:pPr>
      <w:r w:rsidRPr="00A779B8">
        <w:rPr>
          <w:lang w:val="fr-FR"/>
        </w:rPr>
        <w:object w:dxaOrig="8145" w:dyaOrig="11324">
          <v:shape id="_x0000_i1038" type="#_x0000_t75" style="width:366.8pt;height:505.35pt" o:ole="">
            <v:imagedata r:id="rId44" o:title="" croptop="-656f" cropbottom="-656f" cropleft="-912f" cropright="-912f"/>
            <w10:bordertop type="single" width="4"/>
            <w10:borderleft type="single" width="4"/>
            <w10:borderbottom type="single" width="4"/>
            <w10:borderright type="single" width="4"/>
          </v:shape>
          <o:OLEObject Type="Embed" ProgID="Word.Picture.8" ShapeID="_x0000_i1038" DrawAspect="Content" ObjectID="_1490178410" r:id="rId45"/>
        </w:object>
      </w:r>
    </w:p>
    <w:p w:rsidR="00995AD1" w:rsidRDefault="00995AD1" w:rsidP="00995AD1">
      <w:pPr>
        <w:pStyle w:val="SingleTxtG"/>
        <w:spacing w:before="120"/>
        <w:ind w:firstLine="170"/>
        <w:rPr>
          <w:sz w:val="18"/>
          <w:szCs w:val="18"/>
          <w:lang w:val="fr-FR"/>
        </w:rPr>
      </w:pPr>
      <w:r w:rsidRPr="00A779B8">
        <w:rPr>
          <w:vertAlign w:val="superscript"/>
          <w:lang w:val="fr-FR"/>
        </w:rPr>
        <w:t>3</w:t>
      </w:r>
      <w:r w:rsidRPr="00A779B8">
        <w:rPr>
          <w:lang w:val="fr-FR"/>
        </w:rPr>
        <w:t xml:space="preserve">  </w:t>
      </w:r>
      <w:r w:rsidRPr="00A779B8">
        <w:rPr>
          <w:sz w:val="18"/>
          <w:szCs w:val="18"/>
          <w:lang w:val="fr-FR"/>
        </w:rPr>
        <w:t>L</w:t>
      </w:r>
      <w:r w:rsidR="00DB4C2D">
        <w:rPr>
          <w:sz w:val="18"/>
          <w:szCs w:val="18"/>
          <w:lang w:val="fr-FR"/>
        </w:rPr>
        <w:t>’</w:t>
      </w:r>
      <w:r w:rsidRPr="00A779B8">
        <w:rPr>
          <w:sz w:val="18"/>
          <w:szCs w:val="18"/>
          <w:lang w:val="fr-FR"/>
        </w:rPr>
        <w:t>autorité d</w:t>
      </w:r>
      <w:r w:rsidR="00DB4C2D">
        <w:rPr>
          <w:sz w:val="18"/>
          <w:szCs w:val="18"/>
          <w:lang w:val="fr-FR"/>
        </w:rPr>
        <w:t>’</w:t>
      </w:r>
      <w:r w:rsidRPr="00A779B8">
        <w:rPr>
          <w:sz w:val="18"/>
          <w:szCs w:val="18"/>
          <w:lang w:val="fr-FR"/>
        </w:rPr>
        <w:t>homologation désigne l</w:t>
      </w:r>
      <w:r w:rsidR="00DB4C2D">
        <w:rPr>
          <w:sz w:val="18"/>
          <w:szCs w:val="18"/>
          <w:lang w:val="fr-FR"/>
        </w:rPr>
        <w:t>’</w:t>
      </w:r>
      <w:r w:rsidRPr="00A779B8">
        <w:rPr>
          <w:sz w:val="18"/>
          <w:szCs w:val="18"/>
          <w:lang w:val="fr-FR"/>
        </w:rPr>
        <w:t>autorité compétente qui a accordé l</w:t>
      </w:r>
      <w:r w:rsidR="00DB4C2D">
        <w:rPr>
          <w:sz w:val="18"/>
          <w:szCs w:val="18"/>
          <w:lang w:val="fr-FR"/>
        </w:rPr>
        <w:t>’</w:t>
      </w:r>
      <w:r w:rsidRPr="00A779B8">
        <w:rPr>
          <w:sz w:val="18"/>
          <w:szCs w:val="18"/>
          <w:lang w:val="fr-FR"/>
        </w:rPr>
        <w:t>homologation de type conformément au présent Règlement (voir la définition figurant dans le document ECE/TRANS/WP.29/10</w:t>
      </w:r>
      <w:r>
        <w:rPr>
          <w:sz w:val="18"/>
          <w:szCs w:val="18"/>
          <w:lang w:val="fr-FR"/>
        </w:rPr>
        <w:t>91</w:t>
      </w:r>
      <w:r w:rsidRPr="00A779B8">
        <w:rPr>
          <w:sz w:val="18"/>
          <w:szCs w:val="18"/>
          <w:lang w:val="fr-FR"/>
        </w:rPr>
        <w:t>, p</w:t>
      </w:r>
      <w:r>
        <w:rPr>
          <w:sz w:val="18"/>
          <w:szCs w:val="18"/>
          <w:lang w:val="fr-FR"/>
        </w:rPr>
        <w:t>ar. 9</w:t>
      </w:r>
      <w:r w:rsidRPr="00A779B8">
        <w:rPr>
          <w:sz w:val="18"/>
          <w:szCs w:val="18"/>
          <w:lang w:val="fr-FR"/>
        </w:rPr>
        <w:t>).</w:t>
      </w:r>
    </w:p>
    <w:p w:rsidR="00223B97" w:rsidRDefault="00223B97" w:rsidP="00223B97">
      <w:pPr>
        <w:pStyle w:val="Titre1"/>
        <w:spacing w:after="120"/>
        <w:rPr>
          <w:b/>
          <w:lang w:val="fr-FR"/>
        </w:rPr>
      </w:pPr>
      <w:r w:rsidRPr="00A779B8">
        <w:rPr>
          <w:lang w:val="fr-FR"/>
        </w:rPr>
        <w:lastRenderedPageBreak/>
        <w:t>Figure App4/2</w:t>
      </w:r>
      <w:r w:rsidRPr="00A779B8">
        <w:rPr>
          <w:lang w:val="fr-FR"/>
        </w:rPr>
        <w:br/>
      </w:r>
      <w:r w:rsidRPr="00223B97">
        <w:rPr>
          <w:b/>
          <w:lang w:val="fr-FR"/>
        </w:rPr>
        <w:t>Vérification de la conformité en service − Sélection et essai des véhicules</w:t>
      </w:r>
    </w:p>
    <w:bookmarkStart w:id="75" w:name="_MON_1447759964"/>
    <w:bookmarkStart w:id="76" w:name="_MON_1448103645"/>
    <w:bookmarkStart w:id="77" w:name="_MON_1448103831"/>
    <w:bookmarkStart w:id="78" w:name="_MON_1448103845"/>
    <w:bookmarkStart w:id="79" w:name="_MON_1448103931"/>
    <w:bookmarkStart w:id="80" w:name="_MON_1448104066"/>
    <w:bookmarkStart w:id="81" w:name="_MON_1448104088"/>
    <w:bookmarkStart w:id="82" w:name="_MON_1448104201"/>
    <w:bookmarkEnd w:id="75"/>
    <w:bookmarkEnd w:id="76"/>
    <w:bookmarkEnd w:id="77"/>
    <w:bookmarkEnd w:id="78"/>
    <w:bookmarkEnd w:id="79"/>
    <w:bookmarkEnd w:id="80"/>
    <w:bookmarkEnd w:id="81"/>
    <w:bookmarkEnd w:id="82"/>
    <w:p w:rsidR="00223B97" w:rsidRDefault="00223B97" w:rsidP="00223B97">
      <w:pPr>
        <w:ind w:left="1134"/>
        <w:rPr>
          <w:lang w:val="fr-FR"/>
        </w:rPr>
      </w:pPr>
      <w:r w:rsidRPr="00A779B8">
        <w:rPr>
          <w:lang w:val="fr-FR"/>
        </w:rPr>
        <w:object w:dxaOrig="6884" w:dyaOrig="7469">
          <v:shape id="_x0000_i1039" type="#_x0000_t75" style="width:367.45pt;height:362.05pt" o:ole="">
            <v:imagedata r:id="rId46" o:title="" cropbottom="1990f" cropleft="-2159f" cropright="-2159f"/>
            <w10:bordertop type="single" width="4"/>
            <w10:borderleft type="single" width="4"/>
            <w10:borderbottom type="single" width="4"/>
            <w10:borderright type="single" width="4"/>
          </v:shape>
          <o:OLEObject Type="Embed" ProgID="Word.Picture.8" ShapeID="_x0000_i1039" DrawAspect="Content" ObjectID="_1490178411" r:id="rId47"/>
        </w:object>
      </w:r>
    </w:p>
    <w:p w:rsidR="00223B97" w:rsidRDefault="00223B97" w:rsidP="00223B97">
      <w:pPr>
        <w:pStyle w:val="SingleTxtG"/>
        <w:spacing w:before="120"/>
        <w:ind w:firstLine="170"/>
        <w:rPr>
          <w:lang w:val="fr-FR"/>
        </w:rPr>
      </w:pPr>
      <w:r w:rsidRPr="00223B97">
        <w:rPr>
          <w:lang w:val="fr-FR"/>
        </w:rPr>
        <w:t>*  Si les deux essais sont réussis.</w:t>
      </w:r>
    </w:p>
    <w:p w:rsidR="00223B97" w:rsidRDefault="00223B97" w:rsidP="00223B97">
      <w:pPr>
        <w:spacing w:before="120"/>
        <w:ind w:left="1134" w:firstLine="170"/>
        <w:rPr>
          <w:lang w:val="fr-FR"/>
        </w:rPr>
        <w:sectPr w:rsidR="00223B97" w:rsidSect="00C46DB4">
          <w:headerReference w:type="even" r:id="rId48"/>
          <w:headerReference w:type="default" r:id="rId49"/>
          <w:footnotePr>
            <w:numRestart w:val="eachSect"/>
          </w:footnotePr>
          <w:endnotePr>
            <w:numFmt w:val="decimal"/>
          </w:endnotePr>
          <w:pgSz w:w="11907" w:h="16840" w:code="9"/>
          <w:pgMar w:top="1701" w:right="1134" w:bottom="2268" w:left="1134" w:header="794" w:footer="1701" w:gutter="0"/>
          <w:cols w:space="720"/>
          <w:docGrid w:linePitch="272"/>
        </w:sectPr>
      </w:pPr>
    </w:p>
    <w:p w:rsidR="00223B97" w:rsidRPr="00223B97" w:rsidRDefault="00223B97" w:rsidP="007C7020">
      <w:pPr>
        <w:pStyle w:val="HChG"/>
        <w:rPr>
          <w:lang w:val="fr-FR"/>
        </w:rPr>
      </w:pPr>
      <w:r w:rsidRPr="00223B97">
        <w:rPr>
          <w:lang w:val="fr-FR"/>
        </w:rPr>
        <w:lastRenderedPageBreak/>
        <w:t>Appendice 5</w:t>
      </w:r>
    </w:p>
    <w:p w:rsidR="00223B97" w:rsidRPr="00223B97" w:rsidRDefault="00223B97" w:rsidP="007C7020">
      <w:pPr>
        <w:pStyle w:val="HChG"/>
        <w:rPr>
          <w:lang w:val="fr-FR"/>
        </w:rPr>
      </w:pPr>
      <w:r w:rsidRPr="00223B97">
        <w:rPr>
          <w:lang w:val="fr-FR"/>
        </w:rPr>
        <w:tab/>
      </w:r>
      <w:r w:rsidRPr="00223B97">
        <w:rPr>
          <w:lang w:val="fr-FR"/>
        </w:rPr>
        <w:tab/>
        <w:t>Responsabilités concernant la conformité en service</w:t>
      </w:r>
    </w:p>
    <w:p w:rsidR="00223B97" w:rsidRPr="00223B97" w:rsidRDefault="00223B97" w:rsidP="00D729F5">
      <w:pPr>
        <w:pStyle w:val="SingleTxtG"/>
        <w:spacing w:before="120"/>
        <w:ind w:left="2268" w:hanging="1134"/>
        <w:rPr>
          <w:rFonts w:eastAsia="Times New Roman"/>
          <w:lang w:val="fr-FR"/>
        </w:rPr>
      </w:pPr>
      <w:r w:rsidRPr="00223B97">
        <w:rPr>
          <w:rFonts w:eastAsia="Times New Roman"/>
          <w:lang w:val="fr-FR"/>
        </w:rPr>
        <w:t>1.</w:t>
      </w:r>
      <w:r w:rsidRPr="00223B97">
        <w:rPr>
          <w:rFonts w:eastAsia="Times New Roman"/>
          <w:lang w:val="fr-FR"/>
        </w:rPr>
        <w:tab/>
        <w:t>Le processus de vérification de la conformité en service est illustré par la figure App5/1.</w:t>
      </w:r>
    </w:p>
    <w:p w:rsidR="00223B97" w:rsidRPr="00223B97" w:rsidRDefault="00223B97" w:rsidP="00D729F5">
      <w:pPr>
        <w:pStyle w:val="SingleTxtG"/>
        <w:spacing w:before="120"/>
        <w:ind w:left="2268" w:hanging="1134"/>
        <w:rPr>
          <w:rFonts w:eastAsia="Times New Roman"/>
          <w:lang w:val="fr-FR"/>
        </w:rPr>
      </w:pPr>
      <w:r w:rsidRPr="00223B97">
        <w:rPr>
          <w:rFonts w:eastAsia="Times New Roman"/>
          <w:lang w:val="fr-FR"/>
        </w:rPr>
        <w:t>2.</w:t>
      </w:r>
      <w:r w:rsidRPr="00223B97">
        <w:rPr>
          <w:rFonts w:eastAsia="Times New Roman"/>
          <w:lang w:val="fr-FR"/>
        </w:rPr>
        <w:tab/>
        <w:t>Le constructeur doit recueillir toutes les informations nécessaires au respect des exigences de la présente annexe. L</w:t>
      </w:r>
      <w:r w:rsidR="00DB4C2D">
        <w:rPr>
          <w:rFonts w:eastAsia="Times New Roman"/>
          <w:lang w:val="fr-FR"/>
        </w:rPr>
        <w:t>’</w:t>
      </w:r>
      <w:r w:rsidRPr="00223B97">
        <w:rPr>
          <w:rFonts w:eastAsia="Times New Roman"/>
          <w:lang w:val="fr-FR"/>
        </w:rPr>
        <w:t>autorité d</w:t>
      </w:r>
      <w:r w:rsidR="00DB4C2D">
        <w:rPr>
          <w:rFonts w:eastAsia="Times New Roman"/>
          <w:lang w:val="fr-FR"/>
        </w:rPr>
        <w:t>’</w:t>
      </w:r>
      <w:r w:rsidRPr="00223B97">
        <w:rPr>
          <w:rFonts w:eastAsia="Times New Roman"/>
          <w:lang w:val="fr-FR"/>
        </w:rPr>
        <w:t>homologation de type peut également tenir compte des informations résultant des programmes de surveillance.</w:t>
      </w:r>
    </w:p>
    <w:p w:rsidR="00223B97" w:rsidRPr="00223B97" w:rsidRDefault="00223B97" w:rsidP="00D729F5">
      <w:pPr>
        <w:pStyle w:val="SingleTxtG"/>
        <w:spacing w:before="120"/>
        <w:ind w:left="2268" w:hanging="1134"/>
        <w:rPr>
          <w:rFonts w:eastAsia="Times New Roman"/>
          <w:lang w:val="fr-FR"/>
        </w:rPr>
      </w:pPr>
      <w:r w:rsidRPr="00223B97">
        <w:rPr>
          <w:rFonts w:eastAsia="Times New Roman"/>
          <w:lang w:val="fr-FR"/>
        </w:rPr>
        <w:t>3.</w:t>
      </w:r>
      <w:r w:rsidRPr="00223B97">
        <w:rPr>
          <w:rFonts w:eastAsia="Times New Roman"/>
          <w:lang w:val="fr-FR"/>
        </w:rPr>
        <w:tab/>
        <w:t>L</w:t>
      </w:r>
      <w:r w:rsidR="00DB4C2D">
        <w:rPr>
          <w:rFonts w:eastAsia="Times New Roman"/>
          <w:lang w:val="fr-FR"/>
        </w:rPr>
        <w:t>’</w:t>
      </w:r>
      <w:r w:rsidRPr="00223B97">
        <w:rPr>
          <w:rFonts w:eastAsia="Times New Roman"/>
          <w:lang w:val="fr-FR"/>
        </w:rPr>
        <w:t>autorité d</w:t>
      </w:r>
      <w:r w:rsidR="00DB4C2D">
        <w:rPr>
          <w:rFonts w:eastAsia="Times New Roman"/>
          <w:lang w:val="fr-FR"/>
        </w:rPr>
        <w:t>’</w:t>
      </w:r>
      <w:r w:rsidRPr="00223B97">
        <w:rPr>
          <w:rFonts w:eastAsia="Times New Roman"/>
          <w:lang w:val="fr-FR"/>
        </w:rPr>
        <w:t>homologation de type doit effectuer toutes les procédures et les essais nécessaires pour s</w:t>
      </w:r>
      <w:r w:rsidR="00DB4C2D">
        <w:rPr>
          <w:rFonts w:eastAsia="Times New Roman"/>
          <w:lang w:val="fr-FR"/>
        </w:rPr>
        <w:t>’</w:t>
      </w:r>
      <w:r w:rsidRPr="00223B97">
        <w:rPr>
          <w:rFonts w:eastAsia="Times New Roman"/>
          <w:lang w:val="fr-FR"/>
        </w:rPr>
        <w:t>assurer que les exigences concernant la conformité en service sont respectées (phases 2 à 4).</w:t>
      </w:r>
    </w:p>
    <w:p w:rsidR="00223B97" w:rsidRPr="00223B97" w:rsidRDefault="00223B97" w:rsidP="00D729F5">
      <w:pPr>
        <w:pStyle w:val="SingleTxtG"/>
        <w:spacing w:before="120"/>
        <w:ind w:left="2268" w:hanging="1134"/>
        <w:rPr>
          <w:rFonts w:eastAsia="Times New Roman"/>
          <w:lang w:val="fr-FR"/>
        </w:rPr>
      </w:pPr>
      <w:r w:rsidRPr="00223B97">
        <w:rPr>
          <w:rFonts w:eastAsia="Times New Roman"/>
          <w:lang w:val="fr-FR"/>
        </w:rPr>
        <w:t>4.</w:t>
      </w:r>
      <w:r w:rsidRPr="00223B97">
        <w:rPr>
          <w:rFonts w:eastAsia="Times New Roman"/>
          <w:lang w:val="fr-FR"/>
        </w:rPr>
        <w:tab/>
        <w:t>En cas de divergences ou de désaccord dans l</w:t>
      </w:r>
      <w:r w:rsidR="00DB4C2D">
        <w:rPr>
          <w:rFonts w:eastAsia="Times New Roman"/>
          <w:lang w:val="fr-FR"/>
        </w:rPr>
        <w:t>’</w:t>
      </w:r>
      <w:r w:rsidRPr="00223B97">
        <w:rPr>
          <w:rFonts w:eastAsia="Times New Roman"/>
          <w:lang w:val="fr-FR"/>
        </w:rPr>
        <w:t>évaluation des informations soumises, l</w:t>
      </w:r>
      <w:r w:rsidR="00DB4C2D">
        <w:rPr>
          <w:rFonts w:eastAsia="Times New Roman"/>
          <w:lang w:val="fr-FR"/>
        </w:rPr>
        <w:t>’</w:t>
      </w:r>
      <w:r w:rsidRPr="00223B97">
        <w:rPr>
          <w:rFonts w:eastAsia="Times New Roman"/>
          <w:lang w:val="fr-FR"/>
        </w:rPr>
        <w:t>autorité d</w:t>
      </w:r>
      <w:r w:rsidR="00DB4C2D">
        <w:rPr>
          <w:rFonts w:eastAsia="Times New Roman"/>
          <w:lang w:val="fr-FR"/>
        </w:rPr>
        <w:t>’</w:t>
      </w:r>
      <w:r w:rsidRPr="00223B97">
        <w:rPr>
          <w:rFonts w:eastAsia="Times New Roman"/>
          <w:lang w:val="fr-FR"/>
        </w:rPr>
        <w:t>homologation de type doit demander des éclaircissements au service technique qui a mené l</w:t>
      </w:r>
      <w:r w:rsidR="00DB4C2D">
        <w:rPr>
          <w:rFonts w:eastAsia="Times New Roman"/>
          <w:lang w:val="fr-FR"/>
        </w:rPr>
        <w:t>’</w:t>
      </w:r>
      <w:r w:rsidRPr="00223B97">
        <w:rPr>
          <w:rFonts w:eastAsia="Times New Roman"/>
          <w:lang w:val="fr-FR"/>
        </w:rPr>
        <w:t>essai d</w:t>
      </w:r>
      <w:r w:rsidR="00DB4C2D">
        <w:rPr>
          <w:rFonts w:eastAsia="Times New Roman"/>
          <w:lang w:val="fr-FR"/>
        </w:rPr>
        <w:t>’</w:t>
      </w:r>
      <w:r w:rsidRPr="00223B97">
        <w:rPr>
          <w:rFonts w:eastAsia="Times New Roman"/>
          <w:lang w:val="fr-FR"/>
        </w:rPr>
        <w:t>homologation.</w:t>
      </w:r>
    </w:p>
    <w:p w:rsidR="00223B97" w:rsidRDefault="00223B97" w:rsidP="00D729F5">
      <w:pPr>
        <w:pStyle w:val="SingleTxtG"/>
        <w:spacing w:before="120"/>
        <w:ind w:left="2268" w:hanging="1134"/>
        <w:rPr>
          <w:rFonts w:eastAsia="Times New Roman"/>
          <w:lang w:val="fr-FR"/>
        </w:rPr>
      </w:pPr>
      <w:r w:rsidRPr="00223B97">
        <w:rPr>
          <w:rFonts w:eastAsia="Times New Roman"/>
          <w:lang w:val="fr-FR"/>
        </w:rPr>
        <w:t>5.</w:t>
      </w:r>
      <w:r w:rsidRPr="00223B97">
        <w:rPr>
          <w:rFonts w:eastAsia="Times New Roman"/>
          <w:lang w:val="fr-FR"/>
        </w:rPr>
        <w:tab/>
        <w:t>Le constructeur doit établir et mettre en œuvre un plan de mesures correctives. Ce plan doit être approuvé par l</w:t>
      </w:r>
      <w:r w:rsidR="00DB4C2D">
        <w:rPr>
          <w:rFonts w:eastAsia="Times New Roman"/>
          <w:lang w:val="fr-FR"/>
        </w:rPr>
        <w:t>’</w:t>
      </w:r>
      <w:r w:rsidRPr="00223B97">
        <w:rPr>
          <w:rFonts w:eastAsia="Times New Roman"/>
          <w:lang w:val="fr-FR"/>
        </w:rPr>
        <w:t>autorité d</w:t>
      </w:r>
      <w:r w:rsidR="00DB4C2D">
        <w:rPr>
          <w:rFonts w:eastAsia="Times New Roman"/>
          <w:lang w:val="fr-FR"/>
        </w:rPr>
        <w:t>’</w:t>
      </w:r>
      <w:r w:rsidRPr="00223B97">
        <w:rPr>
          <w:rFonts w:eastAsia="Times New Roman"/>
          <w:lang w:val="fr-FR"/>
        </w:rPr>
        <w:t>homologation de type avant sa mise en œuvre (phase 5).</w:t>
      </w:r>
    </w:p>
    <w:p w:rsidR="007C7020" w:rsidRDefault="007C7020" w:rsidP="007C7020">
      <w:pPr>
        <w:pStyle w:val="Titre1"/>
        <w:spacing w:after="120"/>
        <w:rPr>
          <w:b/>
          <w:lang w:val="fr-FR"/>
        </w:rPr>
      </w:pPr>
      <w:r w:rsidRPr="007C7020">
        <w:rPr>
          <w:lang w:val="fr-FR"/>
        </w:rPr>
        <w:t>Figure App5/1</w:t>
      </w:r>
      <w:r>
        <w:rPr>
          <w:lang w:val="fr-FR"/>
        </w:rPr>
        <w:br/>
      </w:r>
      <w:r w:rsidRPr="007C7020">
        <w:rPr>
          <w:b/>
          <w:lang w:val="fr-FR"/>
        </w:rPr>
        <w:t>Illustration du processus de vérification de la conformité en service</w:t>
      </w:r>
    </w:p>
    <w:bookmarkStart w:id="83" w:name="_MON_1309267017"/>
    <w:bookmarkStart w:id="84" w:name="_MON_1309267651"/>
    <w:bookmarkStart w:id="85" w:name="_MON_1316258163"/>
    <w:bookmarkStart w:id="86" w:name="_MON_1316258205"/>
    <w:bookmarkStart w:id="87" w:name="_MON_1432536782"/>
    <w:bookmarkStart w:id="88" w:name="_MON_1433146099"/>
    <w:bookmarkStart w:id="89" w:name="_MON_1433146131"/>
    <w:bookmarkStart w:id="90" w:name="_MON_1433146291"/>
    <w:bookmarkStart w:id="91" w:name="_MON_1433146312"/>
    <w:bookmarkStart w:id="92" w:name="_MON_1448104397"/>
    <w:bookmarkStart w:id="93" w:name="_MON_1462021119"/>
    <w:bookmarkEnd w:id="83"/>
    <w:bookmarkEnd w:id="84"/>
    <w:bookmarkEnd w:id="85"/>
    <w:bookmarkEnd w:id="86"/>
    <w:bookmarkEnd w:id="87"/>
    <w:bookmarkEnd w:id="88"/>
    <w:bookmarkEnd w:id="89"/>
    <w:bookmarkEnd w:id="90"/>
    <w:bookmarkEnd w:id="91"/>
    <w:bookmarkEnd w:id="92"/>
    <w:bookmarkEnd w:id="93"/>
    <w:p w:rsidR="00DB4C2D" w:rsidRDefault="007C7020" w:rsidP="007C7020">
      <w:pPr>
        <w:ind w:left="1134"/>
        <w:rPr>
          <w:lang w:val="fr-FR"/>
        </w:rPr>
      </w:pPr>
      <w:r w:rsidRPr="00A779B8">
        <w:rPr>
          <w:lang w:val="fr-FR"/>
        </w:rPr>
        <w:object w:dxaOrig="9391" w:dyaOrig="5482">
          <v:shape id="_x0000_i1040" type="#_x0000_t75" style="width:381.05pt;height:222.1pt" o:ole="">
            <v:imagedata r:id="rId50" o:title=""/>
          </v:shape>
          <o:OLEObject Type="Embed" ProgID="Word.Picture.8" ShapeID="_x0000_i1040" DrawAspect="Content" ObjectID="_1490178412" r:id="rId51"/>
        </w:object>
      </w:r>
    </w:p>
    <w:p w:rsidR="00850D3A" w:rsidRDefault="00850D3A" w:rsidP="007C7020">
      <w:pPr>
        <w:ind w:left="1134"/>
        <w:rPr>
          <w:lang w:val="fr-FR"/>
        </w:rPr>
      </w:pPr>
    </w:p>
    <w:p w:rsidR="007C7020" w:rsidRDefault="007C7020" w:rsidP="007C7020">
      <w:pPr>
        <w:ind w:left="1134"/>
        <w:rPr>
          <w:lang w:val="fr-FR"/>
        </w:rPr>
        <w:sectPr w:rsidR="007C7020" w:rsidSect="00C46DB4">
          <w:headerReference w:type="even" r:id="rId52"/>
          <w:headerReference w:type="default" r:id="rId53"/>
          <w:endnotePr>
            <w:numFmt w:val="decimal"/>
          </w:endnotePr>
          <w:pgSz w:w="11907" w:h="16840" w:code="9"/>
          <w:pgMar w:top="1701" w:right="1134" w:bottom="2268" w:left="1134" w:header="794" w:footer="1701" w:gutter="0"/>
          <w:cols w:space="720"/>
          <w:docGrid w:linePitch="272"/>
        </w:sectPr>
      </w:pPr>
    </w:p>
    <w:p w:rsidR="007C7020" w:rsidRPr="007C7020" w:rsidRDefault="007C7020" w:rsidP="007C7020">
      <w:pPr>
        <w:pStyle w:val="HChG"/>
        <w:rPr>
          <w:lang w:val="fr-FR"/>
        </w:rPr>
      </w:pPr>
      <w:r w:rsidRPr="007C7020">
        <w:rPr>
          <w:lang w:val="fr-FR"/>
        </w:rPr>
        <w:lastRenderedPageBreak/>
        <w:t>Appendice 6</w:t>
      </w:r>
    </w:p>
    <w:p w:rsidR="007C7020" w:rsidRPr="007C7020" w:rsidRDefault="007C7020" w:rsidP="007C7020">
      <w:pPr>
        <w:pStyle w:val="HChG"/>
        <w:rPr>
          <w:lang w:val="fr-FR"/>
        </w:rPr>
      </w:pPr>
      <w:r w:rsidRPr="007C7020">
        <w:rPr>
          <w:lang w:val="fr-FR"/>
        </w:rPr>
        <w:tab/>
      </w:r>
      <w:r w:rsidRPr="007C7020">
        <w:rPr>
          <w:lang w:val="fr-FR"/>
        </w:rPr>
        <w:tab/>
        <w:t>Prescriptions applicables aux véhicules nécessitant</w:t>
      </w:r>
      <w:r w:rsidRPr="007C7020">
        <w:rPr>
          <w:lang w:val="fr-FR"/>
        </w:rPr>
        <w:br/>
        <w:t>l</w:t>
      </w:r>
      <w:r w:rsidR="00DB4C2D">
        <w:rPr>
          <w:lang w:val="fr-FR"/>
        </w:rPr>
        <w:t>’</w:t>
      </w:r>
      <w:r w:rsidRPr="007C7020">
        <w:rPr>
          <w:lang w:val="fr-FR"/>
        </w:rPr>
        <w:t>usage d</w:t>
      </w:r>
      <w:r w:rsidR="00DB4C2D">
        <w:rPr>
          <w:lang w:val="fr-FR"/>
        </w:rPr>
        <w:t>’</w:t>
      </w:r>
      <w:r w:rsidRPr="007C7020">
        <w:rPr>
          <w:lang w:val="fr-FR"/>
        </w:rPr>
        <w:t>un réactif pour le système de traitement aval</w:t>
      </w:r>
      <w:r w:rsidRPr="007C7020">
        <w:rPr>
          <w:lang w:val="fr-FR"/>
        </w:rPr>
        <w:br/>
        <w:t>des gaz d</w:t>
      </w:r>
      <w:r w:rsidR="00DB4C2D">
        <w:rPr>
          <w:lang w:val="fr-FR"/>
        </w:rPr>
        <w:t>’</w:t>
      </w:r>
      <w:r w:rsidR="00880678">
        <w:rPr>
          <w:lang w:val="fr-FR"/>
        </w:rPr>
        <w:t>échappement</w:t>
      </w:r>
    </w:p>
    <w:p w:rsidR="007C7020" w:rsidRPr="007C7020" w:rsidRDefault="007C7020" w:rsidP="007C7020">
      <w:pPr>
        <w:pStyle w:val="SingleTxtG"/>
        <w:keepNext/>
        <w:spacing w:before="120"/>
        <w:ind w:left="2268" w:hanging="1134"/>
        <w:rPr>
          <w:rFonts w:eastAsia="Times New Roman"/>
          <w:lang w:val="fr-FR"/>
        </w:rPr>
      </w:pPr>
      <w:r w:rsidRPr="007C7020">
        <w:rPr>
          <w:rFonts w:eastAsia="Times New Roman"/>
          <w:lang w:val="fr-FR"/>
        </w:rPr>
        <w:t>1.</w:t>
      </w:r>
      <w:r w:rsidRPr="007C7020">
        <w:rPr>
          <w:rFonts w:eastAsia="Times New Roman"/>
          <w:lang w:val="fr-FR"/>
        </w:rPr>
        <w:tab/>
        <w:t>Introduction</w:t>
      </w:r>
    </w:p>
    <w:p w:rsidR="007C7020" w:rsidRPr="007C7020" w:rsidRDefault="007C7020" w:rsidP="007C7020">
      <w:pPr>
        <w:pStyle w:val="SingleTxtG"/>
        <w:ind w:left="2268"/>
        <w:rPr>
          <w:lang w:val="fr-FR"/>
        </w:rPr>
      </w:pPr>
      <w:r w:rsidRPr="007C7020">
        <w:rPr>
          <w:lang w:val="fr-FR"/>
        </w:rPr>
        <w:t>Le présent appendice définit les prescriptions applicables aux véhicules qui ont besoin d</w:t>
      </w:r>
      <w:r w:rsidR="00DB4C2D">
        <w:rPr>
          <w:lang w:val="fr-FR"/>
        </w:rPr>
        <w:t>’</w:t>
      </w:r>
      <w:r w:rsidRPr="007C7020">
        <w:rPr>
          <w:lang w:val="fr-FR"/>
        </w:rPr>
        <w:t>un réactif pour leur système de traitement aval destiné à réduire les émissions.</w:t>
      </w:r>
    </w:p>
    <w:p w:rsidR="007C7020" w:rsidRPr="007C7020" w:rsidRDefault="007C7020" w:rsidP="007C7020">
      <w:pPr>
        <w:pStyle w:val="SingleTxtG"/>
        <w:keepNext/>
        <w:spacing w:before="120"/>
        <w:ind w:left="2268" w:hanging="1134"/>
        <w:rPr>
          <w:rFonts w:eastAsia="Times New Roman"/>
          <w:lang w:val="fr-FR"/>
        </w:rPr>
      </w:pPr>
      <w:r w:rsidRPr="007C7020">
        <w:rPr>
          <w:rFonts w:eastAsia="Times New Roman"/>
          <w:lang w:val="fr-FR"/>
        </w:rPr>
        <w:t>2.</w:t>
      </w:r>
      <w:r w:rsidRPr="007C7020">
        <w:rPr>
          <w:rFonts w:eastAsia="Times New Roman"/>
          <w:lang w:val="fr-FR"/>
        </w:rPr>
        <w:tab/>
        <w:t>Indicateur de réactif</w:t>
      </w:r>
    </w:p>
    <w:p w:rsidR="007C7020" w:rsidRPr="007C7020" w:rsidRDefault="007C7020" w:rsidP="007C7020">
      <w:pPr>
        <w:pStyle w:val="SingleTxtG"/>
        <w:spacing w:before="120"/>
        <w:ind w:left="2268" w:hanging="1134"/>
        <w:rPr>
          <w:rFonts w:eastAsia="Times New Roman"/>
          <w:lang w:val="fr-FR"/>
        </w:rPr>
      </w:pPr>
      <w:r w:rsidRPr="007C7020">
        <w:rPr>
          <w:rFonts w:eastAsia="Times New Roman"/>
          <w:lang w:val="fr-FR"/>
        </w:rPr>
        <w:t>2.1</w:t>
      </w:r>
      <w:r w:rsidRPr="007C7020">
        <w:rPr>
          <w:rFonts w:eastAsia="Times New Roman"/>
          <w:lang w:val="fr-FR"/>
        </w:rPr>
        <w:tab/>
        <w:t>Les véhicules doivent être équipés d</w:t>
      </w:r>
      <w:r w:rsidR="00DB4C2D">
        <w:rPr>
          <w:rFonts w:eastAsia="Times New Roman"/>
          <w:lang w:val="fr-FR"/>
        </w:rPr>
        <w:t>’</w:t>
      </w:r>
      <w:r w:rsidRPr="007C7020">
        <w:rPr>
          <w:rFonts w:eastAsia="Times New Roman"/>
          <w:lang w:val="fr-FR"/>
        </w:rPr>
        <w:t>un indicateur spécifique sur le tableau de bord qui signale au conducteur que le niveau du réservoir de réactif est bas ou que le réservoir est vide.</w:t>
      </w:r>
    </w:p>
    <w:p w:rsidR="007C7020" w:rsidRPr="007C7020" w:rsidRDefault="007C7020" w:rsidP="007C7020">
      <w:pPr>
        <w:pStyle w:val="SingleTxtG"/>
        <w:keepNext/>
        <w:spacing w:before="120"/>
        <w:ind w:left="2268" w:hanging="1134"/>
        <w:rPr>
          <w:rFonts w:eastAsia="Times New Roman"/>
          <w:lang w:val="fr-FR"/>
        </w:rPr>
      </w:pPr>
      <w:r w:rsidRPr="007C7020">
        <w:rPr>
          <w:rFonts w:eastAsia="Times New Roman"/>
          <w:lang w:val="fr-FR"/>
        </w:rPr>
        <w:t>3.</w:t>
      </w:r>
      <w:r w:rsidRPr="007C7020">
        <w:rPr>
          <w:rFonts w:eastAsia="Times New Roman"/>
          <w:lang w:val="fr-FR"/>
        </w:rPr>
        <w:tab/>
        <w:t>Système d</w:t>
      </w:r>
      <w:r w:rsidR="00DB4C2D">
        <w:rPr>
          <w:rFonts w:eastAsia="Times New Roman"/>
          <w:lang w:val="fr-FR"/>
        </w:rPr>
        <w:t>’</w:t>
      </w:r>
      <w:r w:rsidRPr="007C7020">
        <w:rPr>
          <w:rFonts w:eastAsia="Times New Roman"/>
          <w:lang w:val="fr-FR"/>
        </w:rPr>
        <w:t>alerte du conducteur</w:t>
      </w:r>
    </w:p>
    <w:p w:rsidR="007C7020" w:rsidRPr="007C7020" w:rsidRDefault="007C7020" w:rsidP="007C7020">
      <w:pPr>
        <w:pStyle w:val="SingleTxtG"/>
        <w:spacing w:before="120"/>
        <w:ind w:left="2268" w:hanging="1134"/>
        <w:rPr>
          <w:rFonts w:eastAsia="Times New Roman"/>
          <w:lang w:val="fr-FR"/>
        </w:rPr>
      </w:pPr>
      <w:r w:rsidRPr="007C7020">
        <w:rPr>
          <w:rFonts w:eastAsia="Times New Roman"/>
          <w:lang w:val="fr-FR"/>
        </w:rPr>
        <w:t>3.1</w:t>
      </w:r>
      <w:r w:rsidRPr="007C7020">
        <w:rPr>
          <w:rFonts w:eastAsia="Times New Roman"/>
          <w:lang w:val="fr-FR"/>
        </w:rPr>
        <w:tab/>
        <w:t>Le véhicule doit être équipé d</w:t>
      </w:r>
      <w:r w:rsidR="00DB4C2D">
        <w:rPr>
          <w:rFonts w:eastAsia="Times New Roman"/>
          <w:lang w:val="fr-FR"/>
        </w:rPr>
        <w:t>’</w:t>
      </w:r>
      <w:r w:rsidRPr="007C7020">
        <w:rPr>
          <w:rFonts w:eastAsia="Times New Roman"/>
          <w:lang w:val="fr-FR"/>
        </w:rPr>
        <w:t>un système d</w:t>
      </w:r>
      <w:r w:rsidR="00DB4C2D">
        <w:rPr>
          <w:rFonts w:eastAsia="Times New Roman"/>
          <w:lang w:val="fr-FR"/>
        </w:rPr>
        <w:t>’</w:t>
      </w:r>
      <w:r w:rsidRPr="007C7020">
        <w:rPr>
          <w:rFonts w:eastAsia="Times New Roman"/>
          <w:lang w:val="fr-FR"/>
        </w:rPr>
        <w:t>alerte constitué d</w:t>
      </w:r>
      <w:r w:rsidR="00DB4C2D">
        <w:rPr>
          <w:rFonts w:eastAsia="Times New Roman"/>
          <w:lang w:val="fr-FR"/>
        </w:rPr>
        <w:t>’</w:t>
      </w:r>
      <w:r w:rsidRPr="007C7020">
        <w:rPr>
          <w:rFonts w:eastAsia="Times New Roman"/>
          <w:lang w:val="fr-FR"/>
        </w:rPr>
        <w:t>alarmes visuelles qui signalent au conducteur que le niveau de réactif est bas, que le réservoir doit être rechargé ou que la qualité du réactif ne correspond pas à celle qui est préconisée par le constructeur. Le système d</w:t>
      </w:r>
      <w:r w:rsidR="00DB4C2D">
        <w:rPr>
          <w:rFonts w:eastAsia="Times New Roman"/>
          <w:lang w:val="fr-FR"/>
        </w:rPr>
        <w:t>’</w:t>
      </w:r>
      <w:r w:rsidRPr="007C7020">
        <w:rPr>
          <w:rFonts w:eastAsia="Times New Roman"/>
          <w:lang w:val="fr-FR"/>
        </w:rPr>
        <w:t>alerte peut également utiliser un composant sonore pour alerter le conducteur.</w:t>
      </w:r>
    </w:p>
    <w:p w:rsidR="007C7020" w:rsidRPr="007C7020" w:rsidRDefault="007C7020" w:rsidP="007C7020">
      <w:pPr>
        <w:pStyle w:val="SingleTxtG"/>
        <w:spacing w:before="120"/>
        <w:ind w:left="2268" w:hanging="1134"/>
        <w:rPr>
          <w:rFonts w:eastAsia="Times New Roman"/>
          <w:lang w:val="fr-FR"/>
        </w:rPr>
      </w:pPr>
      <w:r w:rsidRPr="007C7020">
        <w:rPr>
          <w:rFonts w:eastAsia="Times New Roman"/>
          <w:lang w:val="fr-FR"/>
        </w:rPr>
        <w:t>3.2</w:t>
      </w:r>
      <w:r w:rsidRPr="007C7020">
        <w:rPr>
          <w:rFonts w:eastAsia="Times New Roman"/>
          <w:lang w:val="fr-FR"/>
        </w:rPr>
        <w:tab/>
        <w:t>Le système d</w:t>
      </w:r>
      <w:r w:rsidR="00DB4C2D">
        <w:rPr>
          <w:rFonts w:eastAsia="Times New Roman"/>
          <w:lang w:val="fr-FR"/>
        </w:rPr>
        <w:t>’</w:t>
      </w:r>
      <w:r w:rsidRPr="007C7020">
        <w:rPr>
          <w:rFonts w:eastAsia="Times New Roman"/>
          <w:lang w:val="fr-FR"/>
        </w:rPr>
        <w:t>alerte doit augmenter en intensité au fur et à mesure de l</w:t>
      </w:r>
      <w:r w:rsidR="00DB4C2D">
        <w:rPr>
          <w:rFonts w:eastAsia="Times New Roman"/>
          <w:lang w:val="fr-FR"/>
        </w:rPr>
        <w:t>’</w:t>
      </w:r>
      <w:r w:rsidRPr="007C7020">
        <w:rPr>
          <w:rFonts w:eastAsia="Times New Roman"/>
          <w:lang w:val="fr-FR"/>
        </w:rPr>
        <w:t>épuisement du réservoir de réactif. Il doit culminer par un signal au conducteur qui ne peut pas être aisément arrêté ou ignoré. Il ne doit pas être possible de le désactiver avant la recharge du réservoir de réactif.</w:t>
      </w:r>
    </w:p>
    <w:p w:rsidR="007C7020" w:rsidRPr="007C7020" w:rsidRDefault="007C7020" w:rsidP="007C7020">
      <w:pPr>
        <w:pStyle w:val="SingleTxtG"/>
        <w:spacing w:before="120"/>
        <w:ind w:left="2268" w:hanging="1134"/>
        <w:rPr>
          <w:rFonts w:eastAsia="Times New Roman"/>
          <w:lang w:val="fr-FR"/>
        </w:rPr>
      </w:pPr>
      <w:r w:rsidRPr="007C7020">
        <w:rPr>
          <w:rFonts w:eastAsia="Times New Roman"/>
          <w:lang w:val="fr-FR"/>
        </w:rPr>
        <w:t>3.3</w:t>
      </w:r>
      <w:r w:rsidRPr="007C7020">
        <w:rPr>
          <w:rFonts w:eastAsia="Times New Roman"/>
          <w:lang w:val="fr-FR"/>
        </w:rPr>
        <w:tab/>
        <w:t>L</w:t>
      </w:r>
      <w:r w:rsidR="00DB4C2D">
        <w:rPr>
          <w:rFonts w:eastAsia="Times New Roman"/>
          <w:lang w:val="fr-FR"/>
        </w:rPr>
        <w:t>’</w:t>
      </w:r>
      <w:r w:rsidRPr="007C7020">
        <w:rPr>
          <w:rFonts w:eastAsia="Times New Roman"/>
          <w:lang w:val="fr-FR"/>
        </w:rPr>
        <w:t>alerte visuelle doit afficher un message indiquant que le niveau du réservoir de réactif est bas. Elle ne doit pas être identique à celle qui est utilisée aux fins du système OBD ou d</w:t>
      </w:r>
      <w:r w:rsidR="00DB4C2D">
        <w:rPr>
          <w:rFonts w:eastAsia="Times New Roman"/>
          <w:lang w:val="fr-FR"/>
        </w:rPr>
        <w:t>’</w:t>
      </w:r>
      <w:r w:rsidRPr="007C7020">
        <w:rPr>
          <w:rFonts w:eastAsia="Times New Roman"/>
          <w:lang w:val="fr-FR"/>
        </w:rPr>
        <w:t>un autre entretien du moteur. Elle doit être suffisamment claire pour que le conducteur comprenne que le niveau du réservoir de réactif est bas (en affichant par exemple des messages tels que «niveau d</w:t>
      </w:r>
      <w:r w:rsidR="00DB4C2D">
        <w:rPr>
          <w:rFonts w:eastAsia="Times New Roman"/>
          <w:lang w:val="fr-FR"/>
        </w:rPr>
        <w:t>’</w:t>
      </w:r>
      <w:r w:rsidRPr="007C7020">
        <w:rPr>
          <w:rFonts w:eastAsia="Times New Roman"/>
          <w:lang w:val="fr-FR"/>
        </w:rPr>
        <w:t xml:space="preserve">urée bas», «niveau </w:t>
      </w:r>
      <w:proofErr w:type="spellStart"/>
      <w:r w:rsidRPr="007C7020">
        <w:rPr>
          <w:rFonts w:eastAsia="Times New Roman"/>
          <w:lang w:val="fr-FR"/>
        </w:rPr>
        <w:t>AdBlue</w:t>
      </w:r>
      <w:proofErr w:type="spellEnd"/>
      <w:r w:rsidRPr="007C7020">
        <w:rPr>
          <w:rFonts w:eastAsia="Times New Roman"/>
          <w:lang w:val="fr-FR"/>
        </w:rPr>
        <w:t xml:space="preserve"> bas» ou «réactif insuffisant»).</w:t>
      </w:r>
    </w:p>
    <w:p w:rsidR="007C7020" w:rsidRPr="007C7020" w:rsidRDefault="007C7020" w:rsidP="007C7020">
      <w:pPr>
        <w:pStyle w:val="SingleTxtG"/>
        <w:spacing w:before="120"/>
        <w:ind w:left="2268" w:hanging="1134"/>
        <w:rPr>
          <w:rFonts w:eastAsia="Times New Roman"/>
          <w:lang w:val="fr-FR"/>
        </w:rPr>
      </w:pPr>
      <w:r w:rsidRPr="007C7020">
        <w:rPr>
          <w:rFonts w:eastAsia="Times New Roman"/>
          <w:lang w:val="fr-FR"/>
        </w:rPr>
        <w:t>3.4</w:t>
      </w:r>
      <w:r w:rsidRPr="007C7020">
        <w:rPr>
          <w:rFonts w:eastAsia="Times New Roman"/>
          <w:lang w:val="fr-FR"/>
        </w:rPr>
        <w:tab/>
        <w:t>Le système d</w:t>
      </w:r>
      <w:r w:rsidR="00DB4C2D">
        <w:rPr>
          <w:rFonts w:eastAsia="Times New Roman"/>
          <w:lang w:val="fr-FR"/>
        </w:rPr>
        <w:t>’</w:t>
      </w:r>
      <w:r w:rsidRPr="007C7020">
        <w:rPr>
          <w:rFonts w:eastAsia="Times New Roman"/>
          <w:lang w:val="fr-FR"/>
        </w:rPr>
        <w:t>alerte ne doit au départ pas être activé en continu, mais l</w:t>
      </w:r>
      <w:r w:rsidR="00DB4C2D">
        <w:rPr>
          <w:rFonts w:eastAsia="Times New Roman"/>
          <w:lang w:val="fr-FR"/>
        </w:rPr>
        <w:t>’</w:t>
      </w:r>
      <w:r w:rsidRPr="007C7020">
        <w:rPr>
          <w:rFonts w:eastAsia="Times New Roman"/>
          <w:lang w:val="fr-FR"/>
        </w:rPr>
        <w:t>avertissement doit augmenter en intensité jusqu</w:t>
      </w:r>
      <w:r w:rsidR="00DB4C2D">
        <w:rPr>
          <w:rFonts w:eastAsia="Times New Roman"/>
          <w:lang w:val="fr-FR"/>
        </w:rPr>
        <w:t>’</w:t>
      </w:r>
      <w:r w:rsidRPr="007C7020">
        <w:rPr>
          <w:rFonts w:eastAsia="Times New Roman"/>
          <w:lang w:val="fr-FR"/>
        </w:rPr>
        <w:t>à devenir continu lorsque le niveau du réservoir de réactif se rapproche du point d</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incitation évoqué au paragraphe 8 du présent appendice. Un message explicite doit s</w:t>
      </w:r>
      <w:r w:rsidR="00DB4C2D">
        <w:rPr>
          <w:rFonts w:eastAsia="Times New Roman"/>
          <w:lang w:val="fr-FR"/>
        </w:rPr>
        <w:t>’</w:t>
      </w:r>
      <w:r w:rsidRPr="007C7020">
        <w:rPr>
          <w:rFonts w:eastAsia="Times New Roman"/>
          <w:lang w:val="fr-FR"/>
        </w:rPr>
        <w:t xml:space="preserve">afficher (par exemple, «ajouter urée», «ajouter </w:t>
      </w:r>
      <w:proofErr w:type="spellStart"/>
      <w:r w:rsidRPr="007C7020">
        <w:rPr>
          <w:rFonts w:eastAsia="Times New Roman"/>
          <w:lang w:val="fr-FR"/>
        </w:rPr>
        <w:t>AdBlue</w:t>
      </w:r>
      <w:proofErr w:type="spellEnd"/>
      <w:r w:rsidRPr="007C7020">
        <w:rPr>
          <w:rFonts w:eastAsia="Times New Roman"/>
          <w:lang w:val="fr-FR"/>
        </w:rPr>
        <w:t>» ou «ajouter réactif»). Le système d</w:t>
      </w:r>
      <w:r w:rsidR="00DB4C2D">
        <w:rPr>
          <w:rFonts w:eastAsia="Times New Roman"/>
          <w:lang w:val="fr-FR"/>
        </w:rPr>
        <w:t>’</w:t>
      </w:r>
      <w:r w:rsidRPr="007C7020">
        <w:rPr>
          <w:rFonts w:eastAsia="Times New Roman"/>
          <w:lang w:val="fr-FR"/>
        </w:rPr>
        <w:t>alerte continue peut être temporairement désactivé par d</w:t>
      </w:r>
      <w:r w:rsidR="00DB4C2D">
        <w:rPr>
          <w:rFonts w:eastAsia="Times New Roman"/>
          <w:lang w:val="fr-FR"/>
        </w:rPr>
        <w:t>’</w:t>
      </w:r>
      <w:r w:rsidRPr="007C7020">
        <w:rPr>
          <w:rFonts w:eastAsia="Times New Roman"/>
          <w:lang w:val="fr-FR"/>
        </w:rPr>
        <w:t>autres signaux d</w:t>
      </w:r>
      <w:r w:rsidR="00DB4C2D">
        <w:rPr>
          <w:rFonts w:eastAsia="Times New Roman"/>
          <w:lang w:val="fr-FR"/>
        </w:rPr>
        <w:t>’</w:t>
      </w:r>
      <w:r w:rsidRPr="007C7020">
        <w:rPr>
          <w:rFonts w:eastAsia="Times New Roman"/>
          <w:lang w:val="fr-FR"/>
        </w:rPr>
        <w:t>avertissement donnant des informations importantes liées à la sécurité.</w:t>
      </w:r>
    </w:p>
    <w:p w:rsidR="007C7020" w:rsidRPr="007C7020" w:rsidRDefault="007C7020" w:rsidP="007C7020">
      <w:pPr>
        <w:pStyle w:val="SingleTxtG"/>
        <w:spacing w:before="120"/>
        <w:ind w:left="2268" w:hanging="1134"/>
        <w:rPr>
          <w:rFonts w:eastAsia="Times New Roman"/>
          <w:lang w:val="fr-FR"/>
        </w:rPr>
      </w:pPr>
      <w:r w:rsidRPr="007C7020">
        <w:rPr>
          <w:rFonts w:eastAsia="Times New Roman"/>
          <w:lang w:val="fr-FR"/>
        </w:rPr>
        <w:t>3.5</w:t>
      </w:r>
      <w:r w:rsidRPr="007C7020">
        <w:rPr>
          <w:rFonts w:eastAsia="Times New Roman"/>
          <w:lang w:val="fr-FR"/>
        </w:rPr>
        <w:tab/>
        <w:t>Le système d</w:t>
      </w:r>
      <w:r w:rsidR="00DB4C2D">
        <w:rPr>
          <w:rFonts w:eastAsia="Times New Roman"/>
          <w:lang w:val="fr-FR"/>
        </w:rPr>
        <w:t>’</w:t>
      </w:r>
      <w:r w:rsidRPr="007C7020">
        <w:rPr>
          <w:rFonts w:eastAsia="Times New Roman"/>
          <w:lang w:val="fr-FR"/>
        </w:rPr>
        <w:t>alerte doit être activé lorsqu</w:t>
      </w:r>
      <w:r w:rsidR="00DB4C2D">
        <w:rPr>
          <w:rFonts w:eastAsia="Times New Roman"/>
          <w:lang w:val="fr-FR"/>
        </w:rPr>
        <w:t>’</w:t>
      </w:r>
      <w:r w:rsidRPr="007C7020">
        <w:rPr>
          <w:rFonts w:eastAsia="Times New Roman"/>
          <w:lang w:val="fr-FR"/>
        </w:rPr>
        <w:t>il reste encore de quoi parcourir au moins 2 400 km avant l</w:t>
      </w:r>
      <w:r w:rsidR="00DB4C2D">
        <w:rPr>
          <w:rFonts w:eastAsia="Times New Roman"/>
          <w:lang w:val="fr-FR"/>
        </w:rPr>
        <w:t>’</w:t>
      </w:r>
      <w:r w:rsidRPr="007C7020">
        <w:rPr>
          <w:rFonts w:eastAsia="Times New Roman"/>
          <w:lang w:val="fr-FR"/>
        </w:rPr>
        <w:t>épuisement complet du réactif.</w:t>
      </w:r>
    </w:p>
    <w:p w:rsidR="007C7020" w:rsidRPr="007C7020" w:rsidRDefault="007C7020" w:rsidP="007C7020">
      <w:pPr>
        <w:pStyle w:val="SingleTxtG"/>
        <w:keepNext/>
        <w:spacing w:before="120"/>
        <w:ind w:left="2268" w:hanging="1134"/>
        <w:rPr>
          <w:rFonts w:eastAsia="Times New Roman"/>
          <w:lang w:val="fr-FR"/>
        </w:rPr>
      </w:pPr>
      <w:r w:rsidRPr="007C7020">
        <w:rPr>
          <w:rFonts w:eastAsia="Times New Roman"/>
          <w:lang w:val="fr-FR"/>
        </w:rPr>
        <w:t>4.</w:t>
      </w:r>
      <w:r w:rsidRPr="007C7020">
        <w:rPr>
          <w:rFonts w:eastAsia="Times New Roman"/>
          <w:lang w:val="fr-FR"/>
        </w:rPr>
        <w:tab/>
        <w:t>Détection d</w:t>
      </w:r>
      <w:r w:rsidR="00DB4C2D">
        <w:rPr>
          <w:rFonts w:eastAsia="Times New Roman"/>
          <w:lang w:val="fr-FR"/>
        </w:rPr>
        <w:t>’</w:t>
      </w:r>
      <w:r w:rsidRPr="007C7020">
        <w:rPr>
          <w:rFonts w:eastAsia="Times New Roman"/>
          <w:lang w:val="fr-FR"/>
        </w:rPr>
        <w:t>un réactif inadapté</w:t>
      </w:r>
    </w:p>
    <w:p w:rsidR="007C7020" w:rsidRPr="007C7020" w:rsidRDefault="007C7020" w:rsidP="007C7020">
      <w:pPr>
        <w:pStyle w:val="SingleTxtG"/>
        <w:spacing w:before="120"/>
        <w:ind w:left="2268" w:hanging="1134"/>
        <w:rPr>
          <w:rFonts w:eastAsia="Times New Roman"/>
          <w:lang w:val="fr-FR"/>
        </w:rPr>
      </w:pPr>
      <w:r w:rsidRPr="007C7020">
        <w:rPr>
          <w:rFonts w:eastAsia="Times New Roman"/>
          <w:lang w:val="fr-FR"/>
        </w:rPr>
        <w:t>4.1</w:t>
      </w:r>
      <w:r w:rsidRPr="007C7020">
        <w:rPr>
          <w:rFonts w:eastAsia="Times New Roman"/>
          <w:lang w:val="fr-FR"/>
        </w:rPr>
        <w:tab/>
        <w:t>Le véhicule doit comprendre un dispositif permettant de détecter si un réactif présent sur le véhicule correspond aux caractéristiques déclarées par le constructeur et figurant à l</w:t>
      </w:r>
      <w:r w:rsidR="00DB4C2D">
        <w:rPr>
          <w:rFonts w:eastAsia="Times New Roman"/>
          <w:lang w:val="fr-FR"/>
        </w:rPr>
        <w:t>’</w:t>
      </w:r>
      <w:r w:rsidRPr="007C7020">
        <w:rPr>
          <w:rFonts w:eastAsia="Times New Roman"/>
          <w:lang w:val="fr-FR"/>
        </w:rPr>
        <w:t>annexe 1 du présent Règlement.</w:t>
      </w:r>
    </w:p>
    <w:p w:rsidR="007C7020" w:rsidRPr="007C7020" w:rsidRDefault="007C7020" w:rsidP="007C7020">
      <w:pPr>
        <w:pStyle w:val="SingleTxtG"/>
        <w:spacing w:before="120"/>
        <w:ind w:left="2268" w:hanging="1134"/>
        <w:rPr>
          <w:rFonts w:eastAsia="Times New Roman"/>
          <w:lang w:val="fr-FR"/>
        </w:rPr>
      </w:pPr>
      <w:r w:rsidRPr="007C7020">
        <w:rPr>
          <w:rFonts w:eastAsia="Times New Roman"/>
          <w:lang w:val="fr-FR"/>
        </w:rPr>
        <w:lastRenderedPageBreak/>
        <w:t>4.2</w:t>
      </w:r>
      <w:r w:rsidRPr="007C7020">
        <w:rPr>
          <w:rFonts w:eastAsia="Times New Roman"/>
          <w:lang w:val="fr-FR"/>
        </w:rPr>
        <w:tab/>
        <w:t>Si le réactif contenu dans le réservoir ne correspond pas aux exigences minimales prescrites par le constructeur, le système d</w:t>
      </w:r>
      <w:r w:rsidR="00DB4C2D">
        <w:rPr>
          <w:rFonts w:eastAsia="Times New Roman"/>
          <w:lang w:val="fr-FR"/>
        </w:rPr>
        <w:t>’</w:t>
      </w:r>
      <w:r w:rsidRPr="007C7020">
        <w:rPr>
          <w:rFonts w:eastAsia="Times New Roman"/>
          <w:lang w:val="fr-FR"/>
        </w:rPr>
        <w:t>alerte du conducteur mentionné au paragraphe 3 du présent appendice doit s</w:t>
      </w:r>
      <w:r w:rsidR="00DB4C2D">
        <w:rPr>
          <w:rFonts w:eastAsia="Times New Roman"/>
          <w:lang w:val="fr-FR"/>
        </w:rPr>
        <w:t>’</w:t>
      </w:r>
      <w:r w:rsidRPr="007C7020">
        <w:rPr>
          <w:rFonts w:eastAsia="Times New Roman"/>
          <w:lang w:val="fr-FR"/>
        </w:rPr>
        <w:t>activer et afficher un message d</w:t>
      </w:r>
      <w:r w:rsidR="00DB4C2D">
        <w:rPr>
          <w:rFonts w:eastAsia="Times New Roman"/>
          <w:lang w:val="fr-FR"/>
        </w:rPr>
        <w:t>’</w:t>
      </w:r>
      <w:r w:rsidRPr="007C7020">
        <w:rPr>
          <w:rFonts w:eastAsia="Times New Roman"/>
          <w:lang w:val="fr-FR"/>
        </w:rPr>
        <w:t>avertissement approprié (par exemple, «urée incorrecte détectée», «</w:t>
      </w:r>
      <w:proofErr w:type="spellStart"/>
      <w:r w:rsidRPr="007C7020">
        <w:rPr>
          <w:rFonts w:eastAsia="Times New Roman"/>
          <w:lang w:val="fr-FR"/>
        </w:rPr>
        <w:t>AdBlue</w:t>
      </w:r>
      <w:proofErr w:type="spellEnd"/>
      <w:r w:rsidRPr="007C7020">
        <w:rPr>
          <w:rFonts w:eastAsia="Times New Roman"/>
          <w:lang w:val="fr-FR"/>
        </w:rPr>
        <w:t xml:space="preserve"> incorrect détecté» ou «réactif incorrect détecté»). Si la qualité du réactif n</w:t>
      </w:r>
      <w:r w:rsidR="00DB4C2D">
        <w:rPr>
          <w:rFonts w:eastAsia="Times New Roman"/>
          <w:lang w:val="fr-FR"/>
        </w:rPr>
        <w:t>’</w:t>
      </w:r>
      <w:r w:rsidRPr="007C7020">
        <w:rPr>
          <w:rFonts w:eastAsia="Times New Roman"/>
          <w:lang w:val="fr-FR"/>
        </w:rPr>
        <w:t>est pas corrigée dans les 50 km qui suivent l</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alerte, les prescriptions relatives au système d</w:t>
      </w:r>
      <w:r w:rsidR="00DB4C2D">
        <w:rPr>
          <w:rFonts w:eastAsia="Times New Roman"/>
          <w:lang w:val="fr-FR"/>
        </w:rPr>
        <w:t>’</w:t>
      </w:r>
      <w:r w:rsidRPr="007C7020">
        <w:rPr>
          <w:rFonts w:eastAsia="Times New Roman"/>
          <w:lang w:val="fr-FR"/>
        </w:rPr>
        <w:t>incitation du conducteur mentionné au paragraphe 8 du présent appendice doivent s</w:t>
      </w:r>
      <w:r w:rsidR="00DB4C2D">
        <w:rPr>
          <w:rFonts w:eastAsia="Times New Roman"/>
          <w:lang w:val="fr-FR"/>
        </w:rPr>
        <w:t>’</w:t>
      </w:r>
      <w:r w:rsidRPr="007C7020">
        <w:rPr>
          <w:rFonts w:eastAsia="Times New Roman"/>
          <w:lang w:val="fr-FR"/>
        </w:rPr>
        <w:t>appliquer.</w:t>
      </w:r>
    </w:p>
    <w:p w:rsidR="007C7020" w:rsidRPr="007C7020" w:rsidRDefault="007C7020" w:rsidP="007C7020">
      <w:pPr>
        <w:pStyle w:val="SingleTxtG"/>
        <w:keepNext/>
        <w:spacing w:before="120"/>
        <w:ind w:left="2268" w:hanging="1134"/>
        <w:rPr>
          <w:rFonts w:eastAsia="Times New Roman"/>
          <w:lang w:val="fr-FR"/>
        </w:rPr>
      </w:pPr>
      <w:r w:rsidRPr="007C7020">
        <w:rPr>
          <w:rFonts w:eastAsia="Times New Roman"/>
          <w:lang w:val="fr-FR"/>
        </w:rPr>
        <w:t>5.</w:t>
      </w:r>
      <w:r w:rsidRPr="007C7020">
        <w:rPr>
          <w:rFonts w:eastAsia="Times New Roman"/>
          <w:lang w:val="fr-FR"/>
        </w:rPr>
        <w:tab/>
        <w:t>Surveillance de la consommation de réactif</w:t>
      </w:r>
    </w:p>
    <w:p w:rsidR="007C7020" w:rsidRPr="007C7020" w:rsidRDefault="007C7020" w:rsidP="007C7020">
      <w:pPr>
        <w:pStyle w:val="SingleTxtG"/>
        <w:spacing w:before="120"/>
        <w:ind w:left="2268" w:hanging="1134"/>
        <w:rPr>
          <w:rFonts w:eastAsia="Times New Roman"/>
          <w:lang w:val="fr-FR"/>
        </w:rPr>
      </w:pPr>
      <w:r w:rsidRPr="007C7020">
        <w:rPr>
          <w:rFonts w:eastAsia="Times New Roman"/>
          <w:lang w:val="fr-FR"/>
        </w:rPr>
        <w:t>5.1</w:t>
      </w:r>
      <w:r w:rsidRPr="007C7020">
        <w:rPr>
          <w:rFonts w:eastAsia="Times New Roman"/>
          <w:lang w:val="fr-FR"/>
        </w:rPr>
        <w:tab/>
        <w:t>Le véhicule doit comprendre un dispositif permettant de déterminer la consommation de réactif et de fournir un accès externe aux données relatives à la consommation.</w:t>
      </w:r>
    </w:p>
    <w:p w:rsidR="007C7020" w:rsidRPr="007C7020" w:rsidRDefault="007C7020" w:rsidP="007C7020">
      <w:pPr>
        <w:pStyle w:val="SingleTxtG"/>
        <w:spacing w:before="120"/>
        <w:ind w:left="2268" w:hanging="1134"/>
        <w:rPr>
          <w:rFonts w:eastAsia="Times New Roman"/>
          <w:lang w:val="fr-FR"/>
        </w:rPr>
      </w:pPr>
      <w:r w:rsidRPr="007C7020">
        <w:rPr>
          <w:rFonts w:eastAsia="Times New Roman"/>
          <w:lang w:val="fr-FR"/>
        </w:rPr>
        <w:t>5.2</w:t>
      </w:r>
      <w:r w:rsidRPr="007C7020">
        <w:rPr>
          <w:rFonts w:eastAsia="Times New Roman"/>
          <w:lang w:val="fr-FR"/>
        </w:rPr>
        <w:tab/>
        <w:t>Les chiffres relatifs à la consommation moyenne de réactif et à la consommation moyenne prescrite de réactif par le système moteur doivent être disponibles par l</w:t>
      </w:r>
      <w:r w:rsidR="00DB4C2D">
        <w:rPr>
          <w:rFonts w:eastAsia="Times New Roman"/>
          <w:lang w:val="fr-FR"/>
        </w:rPr>
        <w:t>’</w:t>
      </w:r>
      <w:r w:rsidRPr="007C7020">
        <w:rPr>
          <w:rFonts w:eastAsia="Times New Roman"/>
          <w:lang w:val="fr-FR"/>
        </w:rPr>
        <w:t>intermédiaire du port série du connecteur de diagnostic normalisé. Les données doivent être disponibles pour la totalité des 2 400 km parcourus précédemment.</w:t>
      </w:r>
    </w:p>
    <w:p w:rsidR="007C7020" w:rsidRPr="007C7020" w:rsidRDefault="007C7020" w:rsidP="007C7020">
      <w:pPr>
        <w:pStyle w:val="SingleTxtG"/>
        <w:keepNext/>
        <w:spacing w:before="120"/>
        <w:ind w:left="2268" w:hanging="1134"/>
        <w:rPr>
          <w:rFonts w:eastAsia="Times New Roman"/>
          <w:lang w:val="fr-FR"/>
        </w:rPr>
      </w:pPr>
      <w:r w:rsidRPr="007C7020">
        <w:rPr>
          <w:rFonts w:eastAsia="Times New Roman"/>
          <w:lang w:val="fr-FR"/>
        </w:rPr>
        <w:t>5.3</w:t>
      </w:r>
      <w:r w:rsidRPr="007C7020">
        <w:rPr>
          <w:rFonts w:eastAsia="Times New Roman"/>
          <w:lang w:val="fr-FR"/>
        </w:rPr>
        <w:tab/>
        <w:t>Pour surveiller la consommation de réactif, il faut surveiller au moins les paramètres suivants du véhicule:</w:t>
      </w:r>
    </w:p>
    <w:p w:rsidR="007C7020" w:rsidRPr="007C7020" w:rsidRDefault="007C7020" w:rsidP="007C7020">
      <w:pPr>
        <w:pStyle w:val="SingleTxtG"/>
        <w:ind w:left="2835" w:hanging="567"/>
        <w:rPr>
          <w:lang w:val="fr-FR"/>
        </w:rPr>
      </w:pPr>
      <w:r w:rsidRPr="007C7020">
        <w:rPr>
          <w:lang w:val="fr-FR"/>
        </w:rPr>
        <w:t>a)</w:t>
      </w:r>
      <w:r w:rsidRPr="007C7020">
        <w:rPr>
          <w:lang w:val="fr-FR"/>
        </w:rPr>
        <w:tab/>
        <w:t>Le niveau de réactif dans le réservoir embarqué; et</w:t>
      </w:r>
    </w:p>
    <w:p w:rsidR="007C7020" w:rsidRPr="007C7020" w:rsidRDefault="007C7020" w:rsidP="007C7020">
      <w:pPr>
        <w:pStyle w:val="SingleTxtG"/>
        <w:ind w:left="2835" w:hanging="567"/>
        <w:rPr>
          <w:rFonts w:eastAsia="Times New Roman"/>
          <w:lang w:val="fr-FR"/>
        </w:rPr>
      </w:pPr>
      <w:r w:rsidRPr="007C7020">
        <w:rPr>
          <w:rFonts w:eastAsia="Times New Roman"/>
          <w:lang w:val="fr-FR"/>
        </w:rPr>
        <w:t>b)</w:t>
      </w:r>
      <w:r w:rsidRPr="007C7020">
        <w:rPr>
          <w:rFonts w:eastAsia="Times New Roman"/>
          <w:lang w:val="fr-FR"/>
        </w:rPr>
        <w:tab/>
        <w:t>Le débit de réactif ou l</w:t>
      </w:r>
      <w:r w:rsidR="00DB4C2D">
        <w:rPr>
          <w:rFonts w:eastAsia="Times New Roman"/>
          <w:lang w:val="fr-FR"/>
        </w:rPr>
        <w:t>’</w:t>
      </w:r>
      <w:r w:rsidRPr="007C7020">
        <w:rPr>
          <w:rFonts w:eastAsia="Times New Roman"/>
          <w:lang w:val="fr-FR"/>
        </w:rPr>
        <w:t>injection de réactif aussi près qu</w:t>
      </w:r>
      <w:r w:rsidR="00DB4C2D">
        <w:rPr>
          <w:rFonts w:eastAsia="Times New Roman"/>
          <w:lang w:val="fr-FR"/>
        </w:rPr>
        <w:t>’</w:t>
      </w:r>
      <w:r w:rsidRPr="007C7020">
        <w:rPr>
          <w:rFonts w:eastAsia="Times New Roman"/>
          <w:lang w:val="fr-FR"/>
        </w:rPr>
        <w:t xml:space="preserve">il est techniquement </w:t>
      </w:r>
      <w:r w:rsidRPr="007C7020">
        <w:rPr>
          <w:lang w:val="fr-FR"/>
        </w:rPr>
        <w:t>possible</w:t>
      </w:r>
      <w:r w:rsidRPr="007C7020">
        <w:rPr>
          <w:rFonts w:eastAsia="Times New Roman"/>
          <w:lang w:val="fr-FR"/>
        </w:rPr>
        <w:t xml:space="preserve"> </w:t>
      </w:r>
      <w:r w:rsidRPr="007C7020">
        <w:rPr>
          <w:lang w:val="fr-FR"/>
        </w:rPr>
        <w:t>du</w:t>
      </w:r>
      <w:r w:rsidRPr="007C7020">
        <w:rPr>
          <w:rFonts w:eastAsia="Times New Roman"/>
          <w:lang w:val="fr-FR"/>
        </w:rPr>
        <w:t xml:space="preserve"> point d</w:t>
      </w:r>
      <w:r w:rsidR="00DB4C2D">
        <w:rPr>
          <w:rFonts w:eastAsia="Times New Roman"/>
          <w:lang w:val="fr-FR"/>
        </w:rPr>
        <w:t>’</w:t>
      </w:r>
      <w:r w:rsidRPr="007C7020">
        <w:rPr>
          <w:rFonts w:eastAsia="Times New Roman"/>
          <w:lang w:val="fr-FR"/>
        </w:rPr>
        <w:t>injection dans un système de traitement aval des gaz d</w:t>
      </w:r>
      <w:r w:rsidR="00DB4C2D">
        <w:rPr>
          <w:rFonts w:eastAsia="Times New Roman"/>
          <w:lang w:val="fr-FR"/>
        </w:rPr>
        <w:t>’</w:t>
      </w:r>
      <w:r w:rsidRPr="007C7020">
        <w:rPr>
          <w:rFonts w:eastAsia="Times New Roman"/>
          <w:lang w:val="fr-FR"/>
        </w:rPr>
        <w:t>échappement.</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5.4</w:t>
      </w:r>
      <w:r w:rsidRPr="007C7020">
        <w:rPr>
          <w:rFonts w:eastAsia="Times New Roman"/>
          <w:lang w:val="fr-FR"/>
        </w:rPr>
        <w:tab/>
        <w:t>Tout écart de plus de 50 %, sur une période de 30 min de fonctionnement du véhicule, entre la consommation moyenne de réactif par le système moteur et la consommation moyenne prescrite doit provoquer l</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alerte du conducteur mentionné au paragraphe 3 ci-dessus, qui doit afficher un message d</w:t>
      </w:r>
      <w:r w:rsidR="00DB4C2D">
        <w:rPr>
          <w:rFonts w:eastAsia="Times New Roman"/>
          <w:lang w:val="fr-FR"/>
        </w:rPr>
        <w:t>’</w:t>
      </w:r>
      <w:r w:rsidRPr="007C7020">
        <w:rPr>
          <w:rFonts w:eastAsia="Times New Roman"/>
          <w:lang w:val="fr-FR"/>
        </w:rPr>
        <w:t xml:space="preserve">avertissement approprié (par exemple, «défaut dosage urée», «défaut dosage </w:t>
      </w:r>
      <w:proofErr w:type="spellStart"/>
      <w:r w:rsidRPr="007C7020">
        <w:rPr>
          <w:rFonts w:eastAsia="Times New Roman"/>
          <w:lang w:val="fr-FR"/>
        </w:rPr>
        <w:t>AdBlue</w:t>
      </w:r>
      <w:proofErr w:type="spellEnd"/>
      <w:r w:rsidRPr="007C7020">
        <w:rPr>
          <w:rFonts w:eastAsia="Times New Roman"/>
          <w:lang w:val="fr-FR"/>
        </w:rPr>
        <w:t>» ou «défaut dosage réactif»). Si la consommation de réactif n</w:t>
      </w:r>
      <w:r w:rsidR="00DB4C2D">
        <w:rPr>
          <w:rFonts w:eastAsia="Times New Roman"/>
          <w:lang w:val="fr-FR"/>
        </w:rPr>
        <w:t>’</w:t>
      </w:r>
      <w:r w:rsidRPr="007C7020">
        <w:rPr>
          <w:rFonts w:eastAsia="Times New Roman"/>
          <w:lang w:val="fr-FR"/>
        </w:rPr>
        <w:t>est pas corrigée dans les 50 km qui suivent l</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alerte, les prescriptions relatives au système d</w:t>
      </w:r>
      <w:r w:rsidR="00DB4C2D">
        <w:rPr>
          <w:rFonts w:eastAsia="Times New Roman"/>
          <w:lang w:val="fr-FR"/>
        </w:rPr>
        <w:t>’</w:t>
      </w:r>
      <w:r w:rsidRPr="007C7020">
        <w:rPr>
          <w:rFonts w:eastAsia="Times New Roman"/>
          <w:lang w:val="fr-FR"/>
        </w:rPr>
        <w:t>incitation du conducteur mentionné au paragraphe 8 ci-dessous doivent s</w:t>
      </w:r>
      <w:r w:rsidR="00DB4C2D">
        <w:rPr>
          <w:rFonts w:eastAsia="Times New Roman"/>
          <w:lang w:val="fr-FR"/>
        </w:rPr>
        <w:t>’</w:t>
      </w:r>
      <w:r w:rsidRPr="007C7020">
        <w:rPr>
          <w:rFonts w:eastAsia="Times New Roman"/>
          <w:lang w:val="fr-FR"/>
        </w:rPr>
        <w:t>appliquer.</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5.5</w:t>
      </w:r>
      <w:r w:rsidRPr="007C7020">
        <w:rPr>
          <w:rFonts w:eastAsia="Times New Roman"/>
          <w:lang w:val="fr-FR"/>
        </w:rPr>
        <w:tab/>
        <w:t>En cas d</w:t>
      </w:r>
      <w:r w:rsidR="00DB4C2D">
        <w:rPr>
          <w:rFonts w:eastAsia="Times New Roman"/>
          <w:lang w:val="fr-FR"/>
        </w:rPr>
        <w:t>’</w:t>
      </w:r>
      <w:r w:rsidRPr="007C7020">
        <w:rPr>
          <w:rFonts w:eastAsia="Times New Roman"/>
          <w:lang w:val="fr-FR"/>
        </w:rPr>
        <w:t>interruption du dosage du réactif, le système d</w:t>
      </w:r>
      <w:r w:rsidR="00DB4C2D">
        <w:rPr>
          <w:rFonts w:eastAsia="Times New Roman"/>
          <w:lang w:val="fr-FR"/>
        </w:rPr>
        <w:t>’</w:t>
      </w:r>
      <w:r w:rsidRPr="007C7020">
        <w:rPr>
          <w:rFonts w:eastAsia="Times New Roman"/>
          <w:lang w:val="fr-FR"/>
        </w:rPr>
        <w:t>alerte du conducteur visé au paragraphe 3 doit être activé et afficher un message d</w:t>
      </w:r>
      <w:r w:rsidR="00DB4C2D">
        <w:rPr>
          <w:rFonts w:eastAsia="Times New Roman"/>
          <w:lang w:val="fr-FR"/>
        </w:rPr>
        <w:t>’</w:t>
      </w:r>
      <w:r w:rsidRPr="007C7020">
        <w:rPr>
          <w:rFonts w:eastAsia="Times New Roman"/>
          <w:lang w:val="fr-FR"/>
        </w:rPr>
        <w:t>avertissement approprié. Cette activation n</w:t>
      </w:r>
      <w:r w:rsidR="00DB4C2D">
        <w:rPr>
          <w:rFonts w:eastAsia="Times New Roman"/>
          <w:lang w:val="fr-FR"/>
        </w:rPr>
        <w:t>’</w:t>
      </w:r>
      <w:r w:rsidRPr="007C7020">
        <w:rPr>
          <w:rFonts w:eastAsia="Times New Roman"/>
          <w:lang w:val="fr-FR"/>
        </w:rPr>
        <w:t>est pas requise lorsque cette interruption est imposée par le boîtier de commande du moteur parce que les conditions de fonctionnement du véhicule sont telles que ses émissions ne nécessitent pas le dosage du réactif, pour autant que le constructeur ait clairement informé l</w:t>
      </w:r>
      <w:r w:rsidR="00DB4C2D">
        <w:rPr>
          <w:rFonts w:eastAsia="Times New Roman"/>
          <w:lang w:val="fr-FR"/>
        </w:rPr>
        <w:t>’</w:t>
      </w:r>
      <w:r w:rsidRPr="007C7020">
        <w:rPr>
          <w:rFonts w:eastAsia="Times New Roman"/>
          <w:lang w:val="fr-FR"/>
        </w:rPr>
        <w:t>autorité d</w:t>
      </w:r>
      <w:r w:rsidR="00DB4C2D">
        <w:rPr>
          <w:rFonts w:eastAsia="Times New Roman"/>
          <w:lang w:val="fr-FR"/>
        </w:rPr>
        <w:t>’</w:t>
      </w:r>
      <w:r w:rsidRPr="007C7020">
        <w:rPr>
          <w:rFonts w:eastAsia="Times New Roman"/>
          <w:lang w:val="fr-FR"/>
        </w:rPr>
        <w:t>homologation de type d</w:t>
      </w:r>
      <w:r w:rsidR="00DB4C2D">
        <w:rPr>
          <w:rFonts w:eastAsia="Times New Roman"/>
          <w:lang w:val="fr-FR"/>
        </w:rPr>
        <w:t>’</w:t>
      </w:r>
      <w:r w:rsidRPr="007C7020">
        <w:rPr>
          <w:rFonts w:eastAsia="Times New Roman"/>
          <w:lang w:val="fr-FR"/>
        </w:rPr>
        <w:t>un tel cas de figure. Si le dosage du réactif n</w:t>
      </w:r>
      <w:r w:rsidR="00DB4C2D">
        <w:rPr>
          <w:rFonts w:eastAsia="Times New Roman"/>
          <w:lang w:val="fr-FR"/>
        </w:rPr>
        <w:t>’</w:t>
      </w:r>
      <w:r w:rsidRPr="007C7020">
        <w:rPr>
          <w:rFonts w:eastAsia="Times New Roman"/>
          <w:lang w:val="fr-FR"/>
        </w:rPr>
        <w:t>est pas corrigé dans les 50 km qui suivent l</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alerte, les prescriptions relatives au système d</w:t>
      </w:r>
      <w:r w:rsidR="00DB4C2D">
        <w:rPr>
          <w:rFonts w:eastAsia="Times New Roman"/>
          <w:lang w:val="fr-FR"/>
        </w:rPr>
        <w:t>’</w:t>
      </w:r>
      <w:r w:rsidRPr="007C7020">
        <w:rPr>
          <w:rFonts w:eastAsia="Times New Roman"/>
          <w:lang w:val="fr-FR"/>
        </w:rPr>
        <w:t>incitation du conducteur mentionné au paragraphe 8 ci-dessous doivent s</w:t>
      </w:r>
      <w:r w:rsidR="00DB4C2D">
        <w:rPr>
          <w:rFonts w:eastAsia="Times New Roman"/>
          <w:lang w:val="fr-FR"/>
        </w:rPr>
        <w:t>’</w:t>
      </w:r>
      <w:r w:rsidRPr="007C7020">
        <w:rPr>
          <w:rFonts w:eastAsia="Times New Roman"/>
          <w:lang w:val="fr-FR"/>
        </w:rPr>
        <w:t>appliquer.</w:t>
      </w:r>
    </w:p>
    <w:p w:rsidR="007C7020" w:rsidRPr="007C7020" w:rsidRDefault="007C7020" w:rsidP="007C7AE2">
      <w:pPr>
        <w:pStyle w:val="SingleTxtG"/>
        <w:keepNext/>
        <w:spacing w:before="120"/>
        <w:ind w:left="2268" w:hanging="1134"/>
        <w:rPr>
          <w:rFonts w:eastAsia="Times New Roman"/>
          <w:lang w:val="fr-FR"/>
        </w:rPr>
      </w:pPr>
      <w:r w:rsidRPr="007C7020">
        <w:rPr>
          <w:rFonts w:eastAsia="Times New Roman"/>
          <w:lang w:val="fr-FR"/>
        </w:rPr>
        <w:t>6.</w:t>
      </w:r>
      <w:r w:rsidRPr="007C7020">
        <w:rPr>
          <w:rFonts w:eastAsia="Times New Roman"/>
          <w:lang w:val="fr-FR"/>
        </w:rPr>
        <w:tab/>
      </w:r>
      <w:r w:rsidRPr="007C7020">
        <w:rPr>
          <w:rFonts w:eastAsia="Times New Roman"/>
          <w:lang w:val="fr-FR"/>
        </w:rPr>
        <w:tab/>
        <w:t xml:space="preserve">Surveillance des émissions de </w:t>
      </w:r>
      <w:proofErr w:type="spellStart"/>
      <w:r w:rsidRPr="007C7020">
        <w:rPr>
          <w:rFonts w:eastAsia="Times New Roman"/>
          <w:lang w:val="fr-FR"/>
        </w:rPr>
        <w:t>NO</w:t>
      </w:r>
      <w:r w:rsidRPr="007C7020">
        <w:rPr>
          <w:rFonts w:eastAsia="Times New Roman"/>
          <w:vertAlign w:val="subscript"/>
          <w:lang w:val="fr-FR"/>
        </w:rPr>
        <w:t>x</w:t>
      </w:r>
      <w:proofErr w:type="spellEnd"/>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6.1</w:t>
      </w:r>
      <w:r w:rsidRPr="007C7020">
        <w:rPr>
          <w:rFonts w:eastAsia="Times New Roman"/>
          <w:lang w:val="fr-FR"/>
        </w:rPr>
        <w:tab/>
        <w:t>Au lieu d</w:t>
      </w:r>
      <w:r w:rsidR="00DB4C2D">
        <w:rPr>
          <w:rFonts w:eastAsia="Times New Roman"/>
          <w:lang w:val="fr-FR"/>
        </w:rPr>
        <w:t>’</w:t>
      </w:r>
      <w:r w:rsidRPr="007C7020">
        <w:rPr>
          <w:rFonts w:eastAsia="Times New Roman"/>
          <w:lang w:val="fr-FR"/>
        </w:rPr>
        <w:t>appliquer les prescriptions relatives à la surveillance visées aux paragraphes 4 et 5 ci-dessus, les constructeurs peuvent utiliser directement des capteurs de gaz d</w:t>
      </w:r>
      <w:r w:rsidR="00DB4C2D">
        <w:rPr>
          <w:rFonts w:eastAsia="Times New Roman"/>
          <w:lang w:val="fr-FR"/>
        </w:rPr>
        <w:t>’</w:t>
      </w:r>
      <w:r w:rsidRPr="007C7020">
        <w:rPr>
          <w:rFonts w:eastAsia="Times New Roman"/>
          <w:lang w:val="fr-FR"/>
        </w:rPr>
        <w:t xml:space="preserve">échappement pour repérer les niveaux excessifs de </w:t>
      </w:r>
      <w:proofErr w:type="spellStart"/>
      <w:r w:rsidRPr="007C7020">
        <w:rPr>
          <w:rFonts w:eastAsia="Times New Roman"/>
          <w:lang w:val="fr-FR"/>
        </w:rPr>
        <w:t>NO</w:t>
      </w:r>
      <w:r w:rsidRPr="007C7020">
        <w:rPr>
          <w:rFonts w:eastAsia="Times New Roman"/>
          <w:vertAlign w:val="subscript"/>
          <w:lang w:val="fr-FR"/>
        </w:rPr>
        <w:t>x</w:t>
      </w:r>
      <w:proofErr w:type="spellEnd"/>
      <w:r w:rsidRPr="007C7020">
        <w:rPr>
          <w:rFonts w:eastAsia="Times New Roman"/>
          <w:lang w:val="fr-FR"/>
        </w:rPr>
        <w:t xml:space="preserve"> à l</w:t>
      </w:r>
      <w:r w:rsidR="00DB4C2D">
        <w:rPr>
          <w:rFonts w:eastAsia="Times New Roman"/>
          <w:lang w:val="fr-FR"/>
        </w:rPr>
        <w:t>’</w:t>
      </w:r>
      <w:r w:rsidRPr="007C7020">
        <w:rPr>
          <w:rFonts w:eastAsia="Times New Roman"/>
          <w:lang w:val="fr-FR"/>
        </w:rPr>
        <w:t>échappement.</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lastRenderedPageBreak/>
        <w:t>6.2</w:t>
      </w:r>
      <w:r w:rsidRPr="007C7020">
        <w:rPr>
          <w:rFonts w:eastAsia="Times New Roman"/>
          <w:lang w:val="fr-FR"/>
        </w:rPr>
        <w:tab/>
        <w:t>Le constructeur doit démontrer que l</w:t>
      </w:r>
      <w:r w:rsidR="00DB4C2D">
        <w:rPr>
          <w:rFonts w:eastAsia="Times New Roman"/>
          <w:lang w:val="fr-FR"/>
        </w:rPr>
        <w:t>’</w:t>
      </w:r>
      <w:r w:rsidRPr="007C7020">
        <w:rPr>
          <w:rFonts w:eastAsia="Times New Roman"/>
          <w:lang w:val="fr-FR"/>
        </w:rPr>
        <w:t>utilisation des capteurs mentionnés au paragraphe 6.1 ci-dessus et de tout autre capteur présent sur le véhicule entraîne l</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alerte du conducteur visé au paragraphe 3 ci-dessus, l</w:t>
      </w:r>
      <w:r w:rsidR="00DB4C2D">
        <w:rPr>
          <w:rFonts w:eastAsia="Times New Roman"/>
          <w:lang w:val="fr-FR"/>
        </w:rPr>
        <w:t>’</w:t>
      </w:r>
      <w:r w:rsidRPr="007C7020">
        <w:rPr>
          <w:rFonts w:eastAsia="Times New Roman"/>
          <w:lang w:val="fr-FR"/>
        </w:rPr>
        <w:t>affichage d</w:t>
      </w:r>
      <w:r w:rsidR="00DB4C2D">
        <w:rPr>
          <w:rFonts w:eastAsia="Times New Roman"/>
          <w:lang w:val="fr-FR"/>
        </w:rPr>
        <w:t>’</w:t>
      </w:r>
      <w:r w:rsidRPr="007C7020">
        <w:rPr>
          <w:rFonts w:eastAsia="Times New Roman"/>
          <w:lang w:val="fr-FR"/>
        </w:rPr>
        <w:t>un message donnant un avertissement approprié (signalant par exemple, des émissions excessives et demandant de contrôler le niveau d</w:t>
      </w:r>
      <w:r w:rsidR="00DB4C2D">
        <w:rPr>
          <w:rFonts w:eastAsia="Times New Roman"/>
          <w:lang w:val="fr-FR"/>
        </w:rPr>
        <w:t>’</w:t>
      </w:r>
      <w:r w:rsidRPr="007C7020">
        <w:rPr>
          <w:rFonts w:eastAsia="Times New Roman"/>
          <w:lang w:val="fr-FR"/>
        </w:rPr>
        <w:t>urée/</w:t>
      </w:r>
      <w:proofErr w:type="spellStart"/>
      <w:r w:rsidRPr="007C7020">
        <w:rPr>
          <w:rFonts w:eastAsia="Times New Roman"/>
          <w:lang w:val="fr-FR"/>
        </w:rPr>
        <w:t>AdBlue</w:t>
      </w:r>
      <w:proofErr w:type="spellEnd"/>
      <w:r w:rsidRPr="007C7020">
        <w:rPr>
          <w:rFonts w:eastAsia="Times New Roman"/>
          <w:lang w:val="fr-FR"/>
        </w:rPr>
        <w:t>/réactif) et l</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incitation du conducteur visé au paragraphe 8.3 ci-dessous, lorsque les situations évoquées aux paragraphes 4.2, 5.4 ou 5.5 ci-dessus surviennent.</w:t>
      </w:r>
    </w:p>
    <w:p w:rsidR="007C7020" w:rsidRPr="007C7020" w:rsidRDefault="007C7020" w:rsidP="007C7AE2">
      <w:pPr>
        <w:pStyle w:val="SingleTxtG"/>
        <w:ind w:left="2268"/>
        <w:rPr>
          <w:lang w:val="fr-FR"/>
        </w:rPr>
      </w:pPr>
      <w:r w:rsidRPr="007C7020">
        <w:rPr>
          <w:lang w:val="fr-FR"/>
        </w:rPr>
        <w:t>Aux fins du présent paragraphe, de telles situations sont réputées survenir si les valeurs limites OBD pour les émissions d</w:t>
      </w:r>
      <w:r w:rsidR="00DB4C2D">
        <w:rPr>
          <w:lang w:val="fr-FR"/>
        </w:rPr>
        <w:t>’</w:t>
      </w:r>
      <w:r w:rsidRPr="007C7020">
        <w:rPr>
          <w:lang w:val="fr-FR"/>
        </w:rPr>
        <w:t>oxydes d</w:t>
      </w:r>
      <w:r w:rsidR="00DB4C2D">
        <w:rPr>
          <w:lang w:val="fr-FR"/>
        </w:rPr>
        <w:t>’</w:t>
      </w:r>
      <w:r w:rsidRPr="007C7020">
        <w:rPr>
          <w:lang w:val="fr-FR"/>
        </w:rPr>
        <w:t>azote (</w:t>
      </w:r>
      <w:proofErr w:type="spellStart"/>
      <w:r w:rsidRPr="007C7020">
        <w:rPr>
          <w:lang w:val="fr-FR"/>
        </w:rPr>
        <w:t>NO</w:t>
      </w:r>
      <w:r w:rsidRPr="007C7020">
        <w:rPr>
          <w:vertAlign w:val="subscript"/>
          <w:lang w:val="fr-FR"/>
        </w:rPr>
        <w:t>x</w:t>
      </w:r>
      <w:proofErr w:type="spellEnd"/>
      <w:r w:rsidRPr="007C7020">
        <w:rPr>
          <w:lang w:val="fr-FR"/>
        </w:rPr>
        <w:t>) indiquées dans les tableaux du paragraphe 3.3.2 de l</w:t>
      </w:r>
      <w:r w:rsidR="00DB4C2D">
        <w:rPr>
          <w:lang w:val="fr-FR"/>
        </w:rPr>
        <w:t>’</w:t>
      </w:r>
      <w:r w:rsidRPr="007C7020">
        <w:rPr>
          <w:lang w:val="fr-FR"/>
        </w:rPr>
        <w:t>annexe 11 du présent Règlement sont dépassées.</w:t>
      </w:r>
    </w:p>
    <w:p w:rsidR="007C7020" w:rsidRPr="007C7020" w:rsidRDefault="007C7020" w:rsidP="007C7AE2">
      <w:pPr>
        <w:pStyle w:val="SingleTxtG"/>
        <w:ind w:left="2268"/>
        <w:rPr>
          <w:rFonts w:eastAsia="Times New Roman"/>
          <w:lang w:val="fr-FR"/>
        </w:rPr>
      </w:pPr>
      <w:r w:rsidRPr="007C7020">
        <w:rPr>
          <w:rFonts w:eastAsia="Times New Roman"/>
          <w:lang w:val="fr-FR"/>
        </w:rPr>
        <w:t>Les émissions d</w:t>
      </w:r>
      <w:r w:rsidR="00DB4C2D">
        <w:rPr>
          <w:rFonts w:eastAsia="Times New Roman"/>
          <w:lang w:val="fr-FR"/>
        </w:rPr>
        <w:t>’</w:t>
      </w:r>
      <w:r w:rsidRPr="007C7020">
        <w:rPr>
          <w:rFonts w:eastAsia="Times New Roman"/>
          <w:lang w:val="fr-FR"/>
        </w:rPr>
        <w:t>oxydes d</w:t>
      </w:r>
      <w:r w:rsidR="00DB4C2D">
        <w:rPr>
          <w:rFonts w:eastAsia="Times New Roman"/>
          <w:lang w:val="fr-FR"/>
        </w:rPr>
        <w:t>’</w:t>
      </w:r>
      <w:r w:rsidRPr="007C7020">
        <w:rPr>
          <w:rFonts w:eastAsia="Times New Roman"/>
          <w:lang w:val="fr-FR"/>
        </w:rPr>
        <w:t>azote relevées au coures de l</w:t>
      </w:r>
      <w:r w:rsidR="00DB4C2D">
        <w:rPr>
          <w:rFonts w:eastAsia="Times New Roman"/>
          <w:lang w:val="fr-FR"/>
        </w:rPr>
        <w:t>’</w:t>
      </w:r>
      <w:r w:rsidRPr="007C7020">
        <w:rPr>
          <w:rFonts w:eastAsia="Times New Roman"/>
          <w:lang w:val="fr-FR"/>
        </w:rPr>
        <w:t xml:space="preserve">essai visant à démontrer la </w:t>
      </w:r>
      <w:r w:rsidRPr="007C7020">
        <w:rPr>
          <w:lang w:val="fr-FR"/>
        </w:rPr>
        <w:t>conformité</w:t>
      </w:r>
      <w:r w:rsidRPr="007C7020">
        <w:rPr>
          <w:rFonts w:eastAsia="Times New Roman"/>
          <w:lang w:val="fr-FR"/>
        </w:rPr>
        <w:t xml:space="preserve"> à ces prescriptions ne doivent pas dépasser de plus de 20 % les valeurs limites OBD.</w:t>
      </w:r>
    </w:p>
    <w:p w:rsidR="007C7020" w:rsidRPr="007C7020" w:rsidRDefault="007C7020" w:rsidP="007C7AE2">
      <w:pPr>
        <w:pStyle w:val="SingleTxtG"/>
        <w:keepNext/>
        <w:spacing w:before="120"/>
        <w:ind w:left="2268" w:hanging="1134"/>
        <w:rPr>
          <w:rFonts w:eastAsia="Times New Roman"/>
          <w:lang w:val="fr-FR"/>
        </w:rPr>
      </w:pPr>
      <w:r w:rsidRPr="007C7020">
        <w:rPr>
          <w:rFonts w:eastAsia="Times New Roman"/>
          <w:lang w:val="fr-FR"/>
        </w:rPr>
        <w:t>7.</w:t>
      </w:r>
      <w:r w:rsidRPr="007C7020">
        <w:rPr>
          <w:rFonts w:eastAsia="Times New Roman"/>
          <w:lang w:val="fr-FR"/>
        </w:rPr>
        <w:tab/>
        <w:t>Mémorisation des données relatives à des dysfonctionnements</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7.1</w:t>
      </w:r>
      <w:r w:rsidRPr="007C7020">
        <w:rPr>
          <w:rFonts w:eastAsia="Times New Roman"/>
          <w:lang w:val="fr-FR"/>
        </w:rPr>
        <w:tab/>
        <w:t>Lorsqu</w:t>
      </w:r>
      <w:r w:rsidR="00DB4C2D">
        <w:rPr>
          <w:rFonts w:eastAsia="Times New Roman"/>
          <w:lang w:val="fr-FR"/>
        </w:rPr>
        <w:t>’</w:t>
      </w:r>
      <w:r w:rsidRPr="007C7020">
        <w:rPr>
          <w:rFonts w:eastAsia="Times New Roman"/>
          <w:lang w:val="fr-FR"/>
        </w:rPr>
        <w:t>il est fait référence au présent paragraphe, des identificateurs de paramètre (PID) non effaçables identifiant la raison pour laquelle le système d</w:t>
      </w:r>
      <w:r w:rsidR="00DB4C2D">
        <w:rPr>
          <w:rFonts w:eastAsia="Times New Roman"/>
          <w:lang w:val="fr-FR"/>
        </w:rPr>
        <w:t>’</w:t>
      </w:r>
      <w:r w:rsidRPr="007C7020">
        <w:rPr>
          <w:rFonts w:eastAsia="Times New Roman"/>
          <w:lang w:val="fr-FR"/>
        </w:rPr>
        <w:t>incitation est activé et la distance parcourue par le véhicule au cours de son activation doivent être mémorisés. Le véhicule doit conserver l</w:t>
      </w:r>
      <w:r w:rsidR="00DB4C2D">
        <w:rPr>
          <w:rFonts w:eastAsia="Times New Roman"/>
          <w:lang w:val="fr-FR"/>
        </w:rPr>
        <w:t>’</w:t>
      </w:r>
      <w:r w:rsidRPr="007C7020">
        <w:rPr>
          <w:rFonts w:eastAsia="Times New Roman"/>
          <w:lang w:val="fr-FR"/>
        </w:rPr>
        <w:t>enregistrement d</w:t>
      </w:r>
      <w:r w:rsidR="00DB4C2D">
        <w:rPr>
          <w:rFonts w:eastAsia="Times New Roman"/>
          <w:lang w:val="fr-FR"/>
        </w:rPr>
        <w:t>’</w:t>
      </w:r>
      <w:r w:rsidRPr="007C7020">
        <w:rPr>
          <w:rFonts w:eastAsia="Times New Roman"/>
          <w:lang w:val="fr-FR"/>
        </w:rPr>
        <w:t>un PID pendant au moins 800 jours ou 30 000 km de fonctionnement du véhicule. Le PID doit être rendu disponible par l</w:t>
      </w:r>
      <w:r w:rsidR="00DB4C2D">
        <w:rPr>
          <w:rFonts w:eastAsia="Times New Roman"/>
          <w:lang w:val="fr-FR"/>
        </w:rPr>
        <w:t>’</w:t>
      </w:r>
      <w:r w:rsidRPr="007C7020">
        <w:rPr>
          <w:rFonts w:eastAsia="Times New Roman"/>
          <w:lang w:val="fr-FR"/>
        </w:rPr>
        <w:t>intermédiaire du port série du connecteur de diagnostic normalisé sur demande d</w:t>
      </w:r>
      <w:r w:rsidR="00DB4C2D">
        <w:rPr>
          <w:rFonts w:eastAsia="Times New Roman"/>
          <w:lang w:val="fr-FR"/>
        </w:rPr>
        <w:t>’</w:t>
      </w:r>
      <w:r w:rsidRPr="007C7020">
        <w:rPr>
          <w:rFonts w:eastAsia="Times New Roman"/>
          <w:lang w:val="fr-FR"/>
        </w:rPr>
        <w:t>un outil générique de diagnostic conformément aux dispositions du paragraphe 6.5.3.1 de l</w:t>
      </w:r>
      <w:r w:rsidR="00DB4C2D">
        <w:rPr>
          <w:rFonts w:eastAsia="Times New Roman"/>
          <w:lang w:val="fr-FR"/>
        </w:rPr>
        <w:t>’</w:t>
      </w:r>
      <w:r w:rsidRPr="007C7020">
        <w:rPr>
          <w:rFonts w:eastAsia="Times New Roman"/>
          <w:lang w:val="fr-FR"/>
        </w:rPr>
        <w:t>appendice 1 à l</w:t>
      </w:r>
      <w:r w:rsidR="00DB4C2D">
        <w:rPr>
          <w:rFonts w:eastAsia="Times New Roman"/>
          <w:lang w:val="fr-FR"/>
        </w:rPr>
        <w:t>’</w:t>
      </w:r>
      <w:r w:rsidRPr="007C7020">
        <w:rPr>
          <w:rFonts w:eastAsia="Times New Roman"/>
          <w:lang w:val="fr-FR"/>
        </w:rPr>
        <w:t>annexe 11 du présent Règlement. Les informations contenues dans le PID doivent être liées à la période cumulée de fonctionnement du véhicule au cours de laquelle il a été enregistré, avec une précision d</w:t>
      </w:r>
      <w:r w:rsidR="00DB4C2D">
        <w:rPr>
          <w:rFonts w:eastAsia="Times New Roman"/>
          <w:lang w:val="fr-FR"/>
        </w:rPr>
        <w:t>’</w:t>
      </w:r>
      <w:r w:rsidRPr="007C7020">
        <w:rPr>
          <w:rFonts w:eastAsia="Times New Roman"/>
          <w:lang w:val="fr-FR"/>
        </w:rPr>
        <w:t>au moins 300 jours ou 10 000 km.</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7.2</w:t>
      </w:r>
      <w:r w:rsidRPr="007C7020">
        <w:rPr>
          <w:rFonts w:eastAsia="Times New Roman"/>
          <w:lang w:val="fr-FR"/>
        </w:rPr>
        <w:tab/>
        <w:t>Les dysfonctionnements du système de dosage du réactif imputables à des défauts techniques (défaillances mécaniques ou électriques) doivent aussi être soumis aux prescriptions relatives aux systèmes OBD énoncées dans l</w:t>
      </w:r>
      <w:r w:rsidR="00DB4C2D">
        <w:rPr>
          <w:rFonts w:eastAsia="Times New Roman"/>
          <w:lang w:val="fr-FR"/>
        </w:rPr>
        <w:t>’</w:t>
      </w:r>
      <w:r w:rsidRPr="007C7020">
        <w:rPr>
          <w:rFonts w:eastAsia="Times New Roman"/>
          <w:lang w:val="fr-FR"/>
        </w:rPr>
        <w:t>annexe 11 du présent Règlement.</w:t>
      </w:r>
    </w:p>
    <w:p w:rsidR="007C7020" w:rsidRPr="007C7020" w:rsidRDefault="007C7020" w:rsidP="007C7AE2">
      <w:pPr>
        <w:pStyle w:val="SingleTxtG"/>
        <w:keepNext/>
        <w:spacing w:before="120"/>
        <w:ind w:left="2268" w:hanging="1134"/>
        <w:rPr>
          <w:rFonts w:eastAsia="Times New Roman"/>
          <w:lang w:val="fr-FR"/>
        </w:rPr>
      </w:pPr>
      <w:r w:rsidRPr="007C7020">
        <w:rPr>
          <w:rFonts w:eastAsia="Times New Roman"/>
          <w:lang w:val="fr-FR"/>
        </w:rPr>
        <w:t>8.</w:t>
      </w:r>
      <w:r w:rsidRPr="007C7020">
        <w:rPr>
          <w:rFonts w:eastAsia="Times New Roman"/>
          <w:lang w:val="fr-FR"/>
        </w:rPr>
        <w:tab/>
        <w:t>Système d</w:t>
      </w:r>
      <w:r w:rsidR="00DB4C2D">
        <w:rPr>
          <w:rFonts w:eastAsia="Times New Roman"/>
          <w:lang w:val="fr-FR"/>
        </w:rPr>
        <w:t>’</w:t>
      </w:r>
      <w:r w:rsidRPr="007C7020">
        <w:rPr>
          <w:rFonts w:eastAsia="Times New Roman"/>
          <w:lang w:val="fr-FR"/>
        </w:rPr>
        <w:t>incitation du conducteur</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8.1</w:t>
      </w:r>
      <w:r w:rsidRPr="007C7020">
        <w:rPr>
          <w:rFonts w:eastAsia="Times New Roman"/>
          <w:lang w:val="fr-FR"/>
        </w:rPr>
        <w:tab/>
        <w:t>Le véhicule doit comporter un système d</w:t>
      </w:r>
      <w:r w:rsidR="00DB4C2D">
        <w:rPr>
          <w:rFonts w:eastAsia="Times New Roman"/>
          <w:lang w:val="fr-FR"/>
        </w:rPr>
        <w:t>’</w:t>
      </w:r>
      <w:r w:rsidRPr="007C7020">
        <w:rPr>
          <w:rFonts w:eastAsia="Times New Roman"/>
          <w:lang w:val="fr-FR"/>
        </w:rPr>
        <w:t>incitation du conducteur conçu pour que le véhicule fonctionne en tout temps avec un système de réduction des émissions opérationnel. Le système d</w:t>
      </w:r>
      <w:r w:rsidR="00DB4C2D">
        <w:rPr>
          <w:rFonts w:eastAsia="Times New Roman"/>
          <w:lang w:val="fr-FR"/>
        </w:rPr>
        <w:t>’</w:t>
      </w:r>
      <w:r w:rsidRPr="007C7020">
        <w:rPr>
          <w:rFonts w:eastAsia="Times New Roman"/>
          <w:lang w:val="fr-FR"/>
        </w:rPr>
        <w:t>incitation doit être conçu de telle sorte que le véhicule ne puisse pas fonctionner avec un réservoir de réactif vide.</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8.2</w:t>
      </w:r>
      <w:r w:rsidRPr="007C7020">
        <w:rPr>
          <w:rFonts w:eastAsia="Times New Roman"/>
          <w:lang w:val="fr-FR"/>
        </w:rPr>
        <w:tab/>
        <w:t>Le système d</w:t>
      </w:r>
      <w:r w:rsidR="00DB4C2D">
        <w:rPr>
          <w:rFonts w:eastAsia="Times New Roman"/>
          <w:lang w:val="fr-FR"/>
        </w:rPr>
        <w:t>’</w:t>
      </w:r>
      <w:r w:rsidRPr="007C7020">
        <w:rPr>
          <w:rFonts w:eastAsia="Times New Roman"/>
          <w:lang w:val="fr-FR"/>
        </w:rPr>
        <w:t>incitation doit s</w:t>
      </w:r>
      <w:r w:rsidR="00DB4C2D">
        <w:rPr>
          <w:rFonts w:eastAsia="Times New Roman"/>
          <w:lang w:val="fr-FR"/>
        </w:rPr>
        <w:t>’</w:t>
      </w:r>
      <w:r w:rsidRPr="007C7020">
        <w:rPr>
          <w:rFonts w:eastAsia="Times New Roman"/>
          <w:lang w:val="fr-FR"/>
        </w:rPr>
        <w:t>activer au plus tard lorsque le niveau du réservoir de réactif descend sous le niveau correspondant à la distance moyenne susceptible d</w:t>
      </w:r>
      <w:r w:rsidR="00DB4C2D">
        <w:rPr>
          <w:rFonts w:eastAsia="Times New Roman"/>
          <w:lang w:val="fr-FR"/>
        </w:rPr>
        <w:t>’</w:t>
      </w:r>
      <w:r w:rsidRPr="007C7020">
        <w:rPr>
          <w:rFonts w:eastAsia="Times New Roman"/>
          <w:lang w:val="fr-FR"/>
        </w:rPr>
        <w:t>être parcourue par le véhicule avec un réservoir de carburant plein. Le système doit également s</w:t>
      </w:r>
      <w:r w:rsidR="00DB4C2D">
        <w:rPr>
          <w:rFonts w:eastAsia="Times New Roman"/>
          <w:lang w:val="fr-FR"/>
        </w:rPr>
        <w:t>’</w:t>
      </w:r>
      <w:r w:rsidRPr="007C7020">
        <w:rPr>
          <w:rFonts w:eastAsia="Times New Roman"/>
          <w:lang w:val="fr-FR"/>
        </w:rPr>
        <w:t>activer lorsque les défaillances visées aux paragraphes 4, 5 ou 6 ci-dessus surviennent, en fonction de l</w:t>
      </w:r>
      <w:r w:rsidR="00DB4C2D">
        <w:rPr>
          <w:rFonts w:eastAsia="Times New Roman"/>
          <w:lang w:val="fr-FR"/>
        </w:rPr>
        <w:t>’</w:t>
      </w:r>
      <w:r w:rsidRPr="007C7020">
        <w:rPr>
          <w:rFonts w:eastAsia="Times New Roman"/>
          <w:lang w:val="fr-FR"/>
        </w:rPr>
        <w:t xml:space="preserve">approche retenue pour la surveillance des </w:t>
      </w:r>
      <w:proofErr w:type="spellStart"/>
      <w:r w:rsidRPr="007C7020">
        <w:rPr>
          <w:rFonts w:eastAsia="Times New Roman"/>
          <w:lang w:val="fr-FR"/>
        </w:rPr>
        <w:t>NO</w:t>
      </w:r>
      <w:r w:rsidRPr="007C7020">
        <w:rPr>
          <w:rFonts w:eastAsia="Times New Roman"/>
          <w:vertAlign w:val="subscript"/>
          <w:lang w:val="fr-FR"/>
        </w:rPr>
        <w:t>x</w:t>
      </w:r>
      <w:proofErr w:type="spellEnd"/>
      <w:r w:rsidRPr="007C7020">
        <w:rPr>
          <w:rFonts w:eastAsia="Times New Roman"/>
          <w:lang w:val="fr-FR"/>
        </w:rPr>
        <w:t>. La détection d</w:t>
      </w:r>
      <w:r w:rsidR="00DB4C2D">
        <w:rPr>
          <w:rFonts w:eastAsia="Times New Roman"/>
          <w:lang w:val="fr-FR"/>
        </w:rPr>
        <w:t>’</w:t>
      </w:r>
      <w:r w:rsidRPr="007C7020">
        <w:rPr>
          <w:rFonts w:eastAsia="Times New Roman"/>
          <w:lang w:val="fr-FR"/>
        </w:rPr>
        <w:t>un réservoir de réactif vide et les défaillances mentionné</w:t>
      </w:r>
      <w:r w:rsidR="00850D3A">
        <w:rPr>
          <w:rFonts w:eastAsia="Times New Roman"/>
          <w:lang w:val="fr-FR"/>
        </w:rPr>
        <w:t>es aux paragraphes 4, 5 ou 6 ci</w:t>
      </w:r>
      <w:r w:rsidR="00850D3A">
        <w:rPr>
          <w:rFonts w:eastAsia="Times New Roman"/>
          <w:lang w:val="fr-FR"/>
        </w:rPr>
        <w:noBreakHyphen/>
      </w:r>
      <w:r w:rsidRPr="007C7020">
        <w:rPr>
          <w:rFonts w:eastAsia="Times New Roman"/>
          <w:lang w:val="fr-FR"/>
        </w:rPr>
        <w:t>dessus doivent entraîner l</w:t>
      </w:r>
      <w:r w:rsidR="00DB4C2D">
        <w:rPr>
          <w:rFonts w:eastAsia="Times New Roman"/>
          <w:lang w:val="fr-FR"/>
        </w:rPr>
        <w:t>’</w:t>
      </w:r>
      <w:r w:rsidRPr="007C7020">
        <w:rPr>
          <w:rFonts w:eastAsia="Times New Roman"/>
          <w:lang w:val="fr-FR"/>
        </w:rPr>
        <w:t>application des prescriptions relatives à la mémorisation des données sur les dysfonctionnements énoncées au paragraphe 7 ci-dessus.</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lastRenderedPageBreak/>
        <w:t>8.3</w:t>
      </w:r>
      <w:r w:rsidRPr="007C7020">
        <w:rPr>
          <w:rFonts w:eastAsia="Times New Roman"/>
          <w:lang w:val="fr-FR"/>
        </w:rPr>
        <w:tab/>
        <w:t>Le constructeur choisit le type de système d</w:t>
      </w:r>
      <w:r w:rsidR="00DB4C2D">
        <w:rPr>
          <w:rFonts w:eastAsia="Times New Roman"/>
          <w:lang w:val="fr-FR"/>
        </w:rPr>
        <w:t>’</w:t>
      </w:r>
      <w:r w:rsidRPr="007C7020">
        <w:rPr>
          <w:rFonts w:eastAsia="Times New Roman"/>
          <w:lang w:val="fr-FR"/>
        </w:rPr>
        <w:t>incitation à installer. Les solutions possibles sont décrites aux paragraphes 8.3.1, 8.3.2, 8.3.3 et 8.3.4 ci-dessous.</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8.3.1</w:t>
      </w:r>
      <w:r w:rsidRPr="007C7020">
        <w:rPr>
          <w:rFonts w:eastAsia="Times New Roman"/>
          <w:lang w:val="fr-FR"/>
        </w:rPr>
        <w:tab/>
        <w:t>Le système interdisant le redémarrage du moteur après le compte à rebours déclenche un compte à rebours de redémarrages ou de distance restant à parcourir dès que le système d</w:t>
      </w:r>
      <w:r w:rsidR="00DB4C2D">
        <w:rPr>
          <w:rFonts w:eastAsia="Times New Roman"/>
          <w:lang w:val="fr-FR"/>
        </w:rPr>
        <w:t>’</w:t>
      </w:r>
      <w:r w:rsidRPr="007C7020">
        <w:rPr>
          <w:rFonts w:eastAsia="Times New Roman"/>
          <w:lang w:val="fr-FR"/>
        </w:rPr>
        <w:t>incitation est activé. Les démarrages du moteur initiés par le système de commande du véhicule, tels que les systèmes arrêt-démarrage automatiques, ne sont pas compris dans ce compte à rebours. Les redémarrages du moteur doivent être bloqués dès l</w:t>
      </w:r>
      <w:r w:rsidR="00DB4C2D">
        <w:rPr>
          <w:rFonts w:eastAsia="Times New Roman"/>
          <w:lang w:val="fr-FR"/>
        </w:rPr>
        <w:t>’</w:t>
      </w:r>
      <w:r w:rsidRPr="007C7020">
        <w:rPr>
          <w:rFonts w:eastAsia="Times New Roman"/>
          <w:lang w:val="fr-FR"/>
        </w:rPr>
        <w:t>épuisement du réservoir de réactif ou au moment du dépassement de la distance susceptible d</w:t>
      </w:r>
      <w:r w:rsidR="00DB4C2D">
        <w:rPr>
          <w:rFonts w:eastAsia="Times New Roman"/>
          <w:lang w:val="fr-FR"/>
        </w:rPr>
        <w:t>’</w:t>
      </w:r>
      <w:r w:rsidRPr="007C7020">
        <w:rPr>
          <w:rFonts w:eastAsia="Times New Roman"/>
          <w:lang w:val="fr-FR"/>
        </w:rPr>
        <w:t>être parcourue avec un réservoir de carburant plein à partir de l</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incitation si ce dépassement survient d</w:t>
      </w:r>
      <w:r w:rsidR="00DB4C2D">
        <w:rPr>
          <w:rFonts w:eastAsia="Times New Roman"/>
          <w:lang w:val="fr-FR"/>
        </w:rPr>
        <w:t>’</w:t>
      </w:r>
      <w:r w:rsidRPr="007C7020">
        <w:rPr>
          <w:rFonts w:eastAsia="Times New Roman"/>
          <w:lang w:val="fr-FR"/>
        </w:rPr>
        <w:t>abord.</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8.3.2</w:t>
      </w:r>
      <w:r w:rsidRPr="007C7020">
        <w:rPr>
          <w:rFonts w:eastAsia="Times New Roman"/>
          <w:lang w:val="fr-FR"/>
        </w:rPr>
        <w:tab/>
        <w:t>Le système interdisant le démarrage après le remplissage du réservoir de carburant a pour effet d</w:t>
      </w:r>
      <w:r w:rsidR="00DB4C2D">
        <w:rPr>
          <w:rFonts w:eastAsia="Times New Roman"/>
          <w:lang w:val="fr-FR"/>
        </w:rPr>
        <w:t>’</w:t>
      </w:r>
      <w:r w:rsidRPr="007C7020">
        <w:rPr>
          <w:rFonts w:eastAsia="Times New Roman"/>
          <w:lang w:val="fr-FR"/>
        </w:rPr>
        <w:t>empêcher un véhicule de démarrer après ce remplissage si le système d</w:t>
      </w:r>
      <w:r w:rsidR="00DB4C2D">
        <w:rPr>
          <w:rFonts w:eastAsia="Times New Roman"/>
          <w:lang w:val="fr-FR"/>
        </w:rPr>
        <w:t>’</w:t>
      </w:r>
      <w:r w:rsidRPr="007C7020">
        <w:rPr>
          <w:rFonts w:eastAsia="Times New Roman"/>
          <w:lang w:val="fr-FR"/>
        </w:rPr>
        <w:t>incitation a été activé.</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8.3.3</w:t>
      </w:r>
      <w:r w:rsidRPr="007C7020">
        <w:rPr>
          <w:rFonts w:eastAsia="Times New Roman"/>
          <w:lang w:val="fr-FR"/>
        </w:rPr>
        <w:tab/>
        <w:t>Le système de verrouillage du remplissage du réservoir de carburant bloque ce remplissage par le verrouillage du système de remplissage après l</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incitation. Il doit être suffisamment solide pour ne pas pouvoir être trafiqué.</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8.3.4</w:t>
      </w:r>
      <w:r w:rsidRPr="007C7020">
        <w:rPr>
          <w:rFonts w:eastAsia="Times New Roman"/>
          <w:lang w:val="fr-FR"/>
        </w:rPr>
        <w:tab/>
        <w:t>Le système de limitation des performances limite la vitesse du véhicule après l</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incitation. La limitation de la vitesse doit être perceptible par le conducteur et réduire sensiblement la vitesse maximale du véhicule. Une telle limitation doit se produire progressivement ou après un démarrage du moteur. Juste avant le blocage des redémarrages du moteur, la vitesse du véhicule ne doit pas dépasser 50 km/h. Les redémarrages du moteur doivent être bloqués dès que le réservoir de réactif est vide ou dès que la distance susceptible d</w:t>
      </w:r>
      <w:r w:rsidR="00DB4C2D">
        <w:rPr>
          <w:rFonts w:eastAsia="Times New Roman"/>
          <w:lang w:val="fr-FR"/>
        </w:rPr>
        <w:t>’</w:t>
      </w:r>
      <w:r w:rsidRPr="007C7020">
        <w:rPr>
          <w:rFonts w:eastAsia="Times New Roman"/>
          <w:lang w:val="fr-FR"/>
        </w:rPr>
        <w:t>être parcourue avec un réservoir de carburant plein à partir de l</w:t>
      </w:r>
      <w:r w:rsidR="00DB4C2D">
        <w:rPr>
          <w:rFonts w:eastAsia="Times New Roman"/>
          <w:lang w:val="fr-FR"/>
        </w:rPr>
        <w:t>’</w:t>
      </w:r>
      <w:r w:rsidRPr="007C7020">
        <w:rPr>
          <w:rFonts w:eastAsia="Times New Roman"/>
          <w:lang w:val="fr-FR"/>
        </w:rPr>
        <w:t>activation du système d</w:t>
      </w:r>
      <w:r w:rsidR="00DB4C2D">
        <w:rPr>
          <w:rFonts w:eastAsia="Times New Roman"/>
          <w:lang w:val="fr-FR"/>
        </w:rPr>
        <w:t>’</w:t>
      </w:r>
      <w:r w:rsidRPr="007C7020">
        <w:rPr>
          <w:rFonts w:eastAsia="Times New Roman"/>
          <w:lang w:val="fr-FR"/>
        </w:rPr>
        <w:t>incitation a été dépassée si ce dépassement survient d</w:t>
      </w:r>
      <w:r w:rsidR="00DB4C2D">
        <w:rPr>
          <w:rFonts w:eastAsia="Times New Roman"/>
          <w:lang w:val="fr-FR"/>
        </w:rPr>
        <w:t>’</w:t>
      </w:r>
      <w:r w:rsidRPr="007C7020">
        <w:rPr>
          <w:rFonts w:eastAsia="Times New Roman"/>
          <w:lang w:val="fr-FR"/>
        </w:rPr>
        <w:t>abord.</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8.4</w:t>
      </w:r>
      <w:r w:rsidRPr="007C7020">
        <w:rPr>
          <w:rFonts w:eastAsia="Times New Roman"/>
          <w:lang w:val="fr-FR"/>
        </w:rPr>
        <w:tab/>
        <w:t>Une fois que le système d</w:t>
      </w:r>
      <w:r w:rsidR="00DB4C2D">
        <w:rPr>
          <w:rFonts w:eastAsia="Times New Roman"/>
          <w:lang w:val="fr-FR"/>
        </w:rPr>
        <w:t>’</w:t>
      </w:r>
      <w:r w:rsidRPr="007C7020">
        <w:rPr>
          <w:rFonts w:eastAsia="Times New Roman"/>
          <w:lang w:val="fr-FR"/>
        </w:rPr>
        <w:t>incitation a été pleinement activé et a immobilisé le véhicule, il ne doit être désactivé que lorsque la quantité de réactif rajoutée au réservoir permet d</w:t>
      </w:r>
      <w:r w:rsidR="00DB4C2D">
        <w:rPr>
          <w:rFonts w:eastAsia="Times New Roman"/>
          <w:lang w:val="fr-FR"/>
        </w:rPr>
        <w:t>’</w:t>
      </w:r>
      <w:r w:rsidRPr="007C7020">
        <w:rPr>
          <w:rFonts w:eastAsia="Times New Roman"/>
          <w:lang w:val="fr-FR"/>
        </w:rPr>
        <w:t>atteindre le niveau correspondant à un parcours moyen de 2 400 km ou s</w:t>
      </w:r>
      <w:r w:rsidR="00DB4C2D">
        <w:rPr>
          <w:rFonts w:eastAsia="Times New Roman"/>
          <w:lang w:val="fr-FR"/>
        </w:rPr>
        <w:t>’</w:t>
      </w:r>
      <w:r w:rsidRPr="007C7020">
        <w:rPr>
          <w:rFonts w:eastAsia="Times New Roman"/>
          <w:lang w:val="fr-FR"/>
        </w:rPr>
        <w:t>il a été remédié aux défaillances visées aux paragraphes 4, 5 ou 6 du présent appendice. Après une réparation visant à remédier à un défaut à la suite du déclenchement du système OBD conformément au paragraphe 7.2 ci-dessus, on peut réinitialiser le système d</w:t>
      </w:r>
      <w:r w:rsidR="00DB4C2D">
        <w:rPr>
          <w:rFonts w:eastAsia="Times New Roman"/>
          <w:lang w:val="fr-FR"/>
        </w:rPr>
        <w:t>’</w:t>
      </w:r>
      <w:r w:rsidRPr="007C7020">
        <w:rPr>
          <w:rFonts w:eastAsia="Times New Roman"/>
          <w:lang w:val="fr-FR"/>
        </w:rPr>
        <w:t>incitation par l</w:t>
      </w:r>
      <w:r w:rsidR="00DB4C2D">
        <w:rPr>
          <w:rFonts w:eastAsia="Times New Roman"/>
          <w:lang w:val="fr-FR"/>
        </w:rPr>
        <w:t>’</w:t>
      </w:r>
      <w:r w:rsidRPr="007C7020">
        <w:rPr>
          <w:rFonts w:eastAsia="Times New Roman"/>
          <w:lang w:val="fr-FR"/>
        </w:rPr>
        <w:t>intermédiaire du port série du système OBD (par exemple, à l</w:t>
      </w:r>
      <w:r w:rsidR="00DB4C2D">
        <w:rPr>
          <w:rFonts w:eastAsia="Times New Roman"/>
          <w:lang w:val="fr-FR"/>
        </w:rPr>
        <w:t>’</w:t>
      </w:r>
      <w:r w:rsidRPr="007C7020">
        <w:rPr>
          <w:rFonts w:eastAsia="Times New Roman"/>
          <w:lang w:val="fr-FR"/>
        </w:rPr>
        <w:t>aide d</w:t>
      </w:r>
      <w:r w:rsidR="00DB4C2D">
        <w:rPr>
          <w:rFonts w:eastAsia="Times New Roman"/>
          <w:lang w:val="fr-FR"/>
        </w:rPr>
        <w:t>’</w:t>
      </w:r>
      <w:r w:rsidRPr="007C7020">
        <w:rPr>
          <w:rFonts w:eastAsia="Times New Roman"/>
          <w:lang w:val="fr-FR"/>
        </w:rPr>
        <w:t>un outil générique de diagnostic) pour permettre au véhicule de redémarrer à des fins d</w:t>
      </w:r>
      <w:r w:rsidR="00DB4C2D">
        <w:rPr>
          <w:rFonts w:eastAsia="Times New Roman"/>
          <w:lang w:val="fr-FR"/>
        </w:rPr>
        <w:t>’</w:t>
      </w:r>
      <w:r w:rsidRPr="007C7020">
        <w:rPr>
          <w:rFonts w:eastAsia="Times New Roman"/>
          <w:lang w:val="fr-FR"/>
        </w:rPr>
        <w:t>autodiagnostic. Le véhicule doit fonctionner sur une distance maximale de 50 km pour que la réussite de la réparation soit validée. Le système d</w:t>
      </w:r>
      <w:r w:rsidR="00DB4C2D">
        <w:rPr>
          <w:rFonts w:eastAsia="Times New Roman"/>
          <w:lang w:val="fr-FR"/>
        </w:rPr>
        <w:t>’</w:t>
      </w:r>
      <w:r w:rsidRPr="007C7020">
        <w:rPr>
          <w:rFonts w:eastAsia="Times New Roman"/>
          <w:lang w:val="fr-FR"/>
        </w:rPr>
        <w:t>incitation doit être pleinement réactivé si le défaut persiste après cette validation.</w:t>
      </w:r>
    </w:p>
    <w:p w:rsidR="007C7020" w:rsidRPr="007C7020" w:rsidRDefault="007C7020" w:rsidP="007C7AE2">
      <w:pPr>
        <w:pStyle w:val="SingleTxtG"/>
        <w:keepNext/>
        <w:spacing w:before="120"/>
        <w:ind w:left="2268" w:hanging="1134"/>
        <w:rPr>
          <w:rFonts w:eastAsia="Times New Roman"/>
          <w:lang w:val="fr-FR"/>
        </w:rPr>
      </w:pPr>
      <w:r w:rsidRPr="007C7020">
        <w:rPr>
          <w:rFonts w:eastAsia="Times New Roman"/>
          <w:lang w:val="fr-FR"/>
        </w:rPr>
        <w:t>8.5</w:t>
      </w:r>
      <w:r w:rsidRPr="007C7020">
        <w:rPr>
          <w:rFonts w:eastAsia="Times New Roman"/>
          <w:lang w:val="fr-FR"/>
        </w:rPr>
        <w:tab/>
        <w:t>Le système d</w:t>
      </w:r>
      <w:r w:rsidR="00DB4C2D">
        <w:rPr>
          <w:rFonts w:eastAsia="Times New Roman"/>
          <w:lang w:val="fr-FR"/>
        </w:rPr>
        <w:t>’</w:t>
      </w:r>
      <w:r w:rsidRPr="007C7020">
        <w:rPr>
          <w:rFonts w:eastAsia="Times New Roman"/>
          <w:lang w:val="fr-FR"/>
        </w:rPr>
        <w:t>alerte du conducteur visé au paragraphe 3 du présent appendice doit afficher un message indiquant clairement:</w:t>
      </w:r>
    </w:p>
    <w:p w:rsidR="007C7020" w:rsidRPr="007C7020" w:rsidRDefault="007C7020" w:rsidP="007C7AE2">
      <w:pPr>
        <w:pStyle w:val="SingleTxtG"/>
        <w:ind w:left="2268"/>
        <w:rPr>
          <w:lang w:val="fr-FR"/>
        </w:rPr>
      </w:pPr>
      <w:r w:rsidRPr="007C7020">
        <w:rPr>
          <w:lang w:val="fr-FR"/>
        </w:rPr>
        <w:t>a)</w:t>
      </w:r>
      <w:r w:rsidRPr="007C7020">
        <w:rPr>
          <w:lang w:val="fr-FR"/>
        </w:rPr>
        <w:tab/>
        <w:t>Le nombre de redémarrages restants et/ou la distance restante; et</w:t>
      </w:r>
    </w:p>
    <w:p w:rsidR="007C7020" w:rsidRPr="007C7020" w:rsidRDefault="007C7020" w:rsidP="007C7AE2">
      <w:pPr>
        <w:pStyle w:val="SingleTxtG"/>
        <w:ind w:left="2268"/>
        <w:rPr>
          <w:rFonts w:eastAsia="Times New Roman"/>
          <w:lang w:val="fr-FR"/>
        </w:rPr>
      </w:pPr>
      <w:r w:rsidRPr="007C7020">
        <w:rPr>
          <w:rFonts w:eastAsia="Times New Roman"/>
          <w:lang w:val="fr-FR"/>
        </w:rPr>
        <w:t>b)</w:t>
      </w:r>
      <w:r w:rsidRPr="007C7020">
        <w:rPr>
          <w:rFonts w:eastAsia="Times New Roman"/>
          <w:lang w:val="fr-FR"/>
        </w:rPr>
        <w:tab/>
        <w:t xml:space="preserve">Les conditions de </w:t>
      </w:r>
      <w:r w:rsidRPr="007C7020">
        <w:rPr>
          <w:lang w:val="fr-FR"/>
        </w:rPr>
        <w:t>redémarrage</w:t>
      </w:r>
      <w:r w:rsidRPr="007C7020">
        <w:rPr>
          <w:rFonts w:eastAsia="Times New Roman"/>
          <w:lang w:val="fr-FR"/>
        </w:rPr>
        <w:t xml:space="preserve"> du véhicule.</w:t>
      </w:r>
    </w:p>
    <w:p w:rsidR="007C7020" w:rsidRPr="007C7020" w:rsidRDefault="007C7020" w:rsidP="007C7AE2">
      <w:pPr>
        <w:pStyle w:val="SingleTxtG"/>
        <w:spacing w:before="120"/>
        <w:ind w:left="2268" w:hanging="1134"/>
        <w:rPr>
          <w:rFonts w:eastAsia="Times New Roman"/>
          <w:lang w:val="fr-FR"/>
        </w:rPr>
      </w:pPr>
      <w:r w:rsidRPr="007C7020">
        <w:rPr>
          <w:rFonts w:eastAsia="Times New Roman"/>
          <w:lang w:val="fr-FR"/>
        </w:rPr>
        <w:t>8.6</w:t>
      </w:r>
      <w:r w:rsidRPr="007C7020">
        <w:rPr>
          <w:rFonts w:eastAsia="Times New Roman"/>
          <w:lang w:val="fr-FR"/>
        </w:rPr>
        <w:tab/>
        <w:t>Le système d</w:t>
      </w:r>
      <w:r w:rsidR="00DB4C2D">
        <w:rPr>
          <w:rFonts w:eastAsia="Times New Roman"/>
          <w:lang w:val="fr-FR"/>
        </w:rPr>
        <w:t>’</w:t>
      </w:r>
      <w:r w:rsidRPr="007C7020">
        <w:rPr>
          <w:rFonts w:eastAsia="Times New Roman"/>
          <w:lang w:val="fr-FR"/>
        </w:rPr>
        <w:t>incitation du conducteur doit être désactivé lorsque les conditions d</w:t>
      </w:r>
      <w:r w:rsidR="00DB4C2D">
        <w:rPr>
          <w:rFonts w:eastAsia="Times New Roman"/>
          <w:lang w:val="fr-FR"/>
        </w:rPr>
        <w:t>’</w:t>
      </w:r>
      <w:r w:rsidRPr="007C7020">
        <w:rPr>
          <w:rFonts w:eastAsia="Times New Roman"/>
          <w:lang w:val="fr-FR"/>
        </w:rPr>
        <w:t>activation cessent d</w:t>
      </w:r>
      <w:r w:rsidR="00DB4C2D">
        <w:rPr>
          <w:rFonts w:eastAsia="Times New Roman"/>
          <w:lang w:val="fr-FR"/>
        </w:rPr>
        <w:t>’</w:t>
      </w:r>
      <w:r w:rsidRPr="007C7020">
        <w:rPr>
          <w:rFonts w:eastAsia="Times New Roman"/>
          <w:lang w:val="fr-FR"/>
        </w:rPr>
        <w:t>exister. Il ne doit pas se désactiver automatiquement s</w:t>
      </w:r>
      <w:r w:rsidR="00DB4C2D">
        <w:rPr>
          <w:rFonts w:eastAsia="Times New Roman"/>
          <w:lang w:val="fr-FR"/>
        </w:rPr>
        <w:t>’</w:t>
      </w:r>
      <w:r w:rsidRPr="007C7020">
        <w:rPr>
          <w:rFonts w:eastAsia="Times New Roman"/>
          <w:lang w:val="fr-FR"/>
        </w:rPr>
        <w:t>il n</w:t>
      </w:r>
      <w:r w:rsidR="00DB4C2D">
        <w:rPr>
          <w:rFonts w:eastAsia="Times New Roman"/>
          <w:lang w:val="fr-FR"/>
        </w:rPr>
        <w:t>’</w:t>
      </w:r>
      <w:r w:rsidRPr="007C7020">
        <w:rPr>
          <w:rFonts w:eastAsia="Times New Roman"/>
          <w:lang w:val="fr-FR"/>
        </w:rPr>
        <w:t>a pas été remédié à la cause de son activation.</w:t>
      </w:r>
    </w:p>
    <w:p w:rsidR="007C7020" w:rsidRPr="007C7020" w:rsidRDefault="007C7020" w:rsidP="00C972CF">
      <w:pPr>
        <w:pStyle w:val="SingleTxtG"/>
        <w:spacing w:before="120"/>
        <w:ind w:left="2268" w:hanging="1134"/>
        <w:rPr>
          <w:rFonts w:eastAsia="Times New Roman"/>
          <w:lang w:val="fr-FR"/>
        </w:rPr>
      </w:pPr>
      <w:r w:rsidRPr="007C7020">
        <w:rPr>
          <w:rFonts w:eastAsia="Times New Roman"/>
          <w:lang w:val="fr-FR"/>
        </w:rPr>
        <w:lastRenderedPageBreak/>
        <w:t>8.7</w:t>
      </w:r>
      <w:r w:rsidRPr="007C7020">
        <w:rPr>
          <w:rFonts w:eastAsia="Times New Roman"/>
          <w:lang w:val="fr-FR"/>
        </w:rPr>
        <w:tab/>
        <w:t>Des informations écrites détaillées décrivant pleinement les conditions de fonctionnement du système d</w:t>
      </w:r>
      <w:r w:rsidR="00DB4C2D">
        <w:rPr>
          <w:rFonts w:eastAsia="Times New Roman"/>
          <w:lang w:val="fr-FR"/>
        </w:rPr>
        <w:t>’</w:t>
      </w:r>
      <w:r w:rsidRPr="007C7020">
        <w:rPr>
          <w:rFonts w:eastAsia="Times New Roman"/>
          <w:lang w:val="fr-FR"/>
        </w:rPr>
        <w:t>incitation du conducteur doivent être fournies à l</w:t>
      </w:r>
      <w:r w:rsidR="00DB4C2D">
        <w:rPr>
          <w:rFonts w:eastAsia="Times New Roman"/>
          <w:lang w:val="fr-FR"/>
        </w:rPr>
        <w:t>’</w:t>
      </w:r>
      <w:r w:rsidRPr="007C7020">
        <w:rPr>
          <w:rFonts w:eastAsia="Times New Roman"/>
          <w:lang w:val="fr-FR"/>
        </w:rPr>
        <w:t>autorité d</w:t>
      </w:r>
      <w:r w:rsidR="00DB4C2D">
        <w:rPr>
          <w:rFonts w:eastAsia="Times New Roman"/>
          <w:lang w:val="fr-FR"/>
        </w:rPr>
        <w:t>’</w:t>
      </w:r>
      <w:r w:rsidRPr="007C7020">
        <w:rPr>
          <w:rFonts w:eastAsia="Times New Roman"/>
          <w:lang w:val="fr-FR"/>
        </w:rPr>
        <w:t>homologation de type au moment de l</w:t>
      </w:r>
      <w:r w:rsidR="00DB4C2D">
        <w:rPr>
          <w:rFonts w:eastAsia="Times New Roman"/>
          <w:lang w:val="fr-FR"/>
        </w:rPr>
        <w:t>’</w:t>
      </w:r>
      <w:r w:rsidRPr="007C7020">
        <w:rPr>
          <w:rFonts w:eastAsia="Times New Roman"/>
          <w:lang w:val="fr-FR"/>
        </w:rPr>
        <w:t>homologation.</w:t>
      </w:r>
    </w:p>
    <w:p w:rsidR="007C7020" w:rsidRPr="007C7020" w:rsidRDefault="007C7020" w:rsidP="00C972CF">
      <w:pPr>
        <w:pStyle w:val="SingleTxtG"/>
        <w:spacing w:before="120"/>
        <w:ind w:left="2268" w:hanging="1134"/>
        <w:rPr>
          <w:rFonts w:eastAsia="Times New Roman"/>
          <w:lang w:val="fr-FR"/>
        </w:rPr>
      </w:pPr>
      <w:r w:rsidRPr="007C7020">
        <w:rPr>
          <w:rFonts w:eastAsia="Times New Roman"/>
          <w:lang w:val="fr-FR"/>
        </w:rPr>
        <w:t>8.8</w:t>
      </w:r>
      <w:r w:rsidRPr="007C7020">
        <w:rPr>
          <w:rFonts w:eastAsia="Times New Roman"/>
          <w:lang w:val="fr-FR"/>
        </w:rPr>
        <w:tab/>
        <w:t>Dans la demande d</w:t>
      </w:r>
      <w:r w:rsidR="00DB4C2D">
        <w:rPr>
          <w:rFonts w:eastAsia="Times New Roman"/>
          <w:lang w:val="fr-FR"/>
        </w:rPr>
        <w:t>’</w:t>
      </w:r>
      <w:r w:rsidRPr="007C7020">
        <w:rPr>
          <w:rFonts w:eastAsia="Times New Roman"/>
          <w:lang w:val="fr-FR"/>
        </w:rPr>
        <w:t>homologation de type au titre du présent Règlement, le constructeur doit apporter la preuve du fonctionnement du système d</w:t>
      </w:r>
      <w:r w:rsidR="00DB4C2D">
        <w:rPr>
          <w:rFonts w:eastAsia="Times New Roman"/>
          <w:lang w:val="fr-FR"/>
        </w:rPr>
        <w:t>’</w:t>
      </w:r>
      <w:r w:rsidRPr="007C7020">
        <w:rPr>
          <w:rFonts w:eastAsia="Times New Roman"/>
          <w:lang w:val="fr-FR"/>
        </w:rPr>
        <w:t>alerte et du système d</w:t>
      </w:r>
      <w:r w:rsidR="00DB4C2D">
        <w:rPr>
          <w:rFonts w:eastAsia="Times New Roman"/>
          <w:lang w:val="fr-FR"/>
        </w:rPr>
        <w:t>’</w:t>
      </w:r>
      <w:r w:rsidRPr="007C7020">
        <w:rPr>
          <w:rFonts w:eastAsia="Times New Roman"/>
          <w:lang w:val="fr-FR"/>
        </w:rPr>
        <w:t>incitation du conducteur.</w:t>
      </w:r>
    </w:p>
    <w:p w:rsidR="007C7020" w:rsidRPr="007C7020" w:rsidRDefault="007C7020" w:rsidP="00215D2A">
      <w:pPr>
        <w:pStyle w:val="SingleTxtG"/>
        <w:keepNext/>
        <w:spacing w:before="120"/>
        <w:ind w:left="2268" w:hanging="1134"/>
        <w:rPr>
          <w:rFonts w:eastAsia="Times New Roman"/>
          <w:lang w:val="fr-FR"/>
        </w:rPr>
      </w:pPr>
      <w:r w:rsidRPr="007C7020">
        <w:rPr>
          <w:rFonts w:eastAsia="Times New Roman"/>
          <w:lang w:val="fr-FR"/>
        </w:rPr>
        <w:t>9.</w:t>
      </w:r>
      <w:r w:rsidRPr="007C7020">
        <w:rPr>
          <w:rFonts w:eastAsia="Times New Roman"/>
          <w:lang w:val="fr-FR"/>
        </w:rPr>
        <w:tab/>
        <w:t>Prescriptions en matière d</w:t>
      </w:r>
      <w:r w:rsidR="00DB4C2D">
        <w:rPr>
          <w:rFonts w:eastAsia="Times New Roman"/>
          <w:lang w:val="fr-FR"/>
        </w:rPr>
        <w:t>’</w:t>
      </w:r>
      <w:r w:rsidRPr="007C7020">
        <w:rPr>
          <w:rFonts w:eastAsia="Times New Roman"/>
          <w:lang w:val="fr-FR"/>
        </w:rPr>
        <w:t>information</w:t>
      </w:r>
    </w:p>
    <w:p w:rsidR="007C7020" w:rsidRPr="007C7020" w:rsidRDefault="007C7020" w:rsidP="00C972CF">
      <w:pPr>
        <w:pStyle w:val="SingleTxtG"/>
        <w:spacing w:before="120"/>
        <w:ind w:left="2268" w:hanging="1134"/>
        <w:rPr>
          <w:rFonts w:eastAsia="Times New Roman"/>
          <w:lang w:val="fr-FR"/>
        </w:rPr>
      </w:pPr>
      <w:r w:rsidRPr="007C7020">
        <w:rPr>
          <w:rFonts w:eastAsia="Times New Roman"/>
          <w:lang w:val="fr-FR"/>
        </w:rPr>
        <w:t>9.1</w:t>
      </w:r>
      <w:r w:rsidRPr="007C7020">
        <w:rPr>
          <w:rFonts w:eastAsia="Times New Roman"/>
          <w:lang w:val="fr-FR"/>
        </w:rPr>
        <w:tab/>
        <w:t>Le constructeur doit fournir à tous les propriétaires de nouveaux véhicules des informations écrites sur le système de réduction des émissions. Il doit y être indiqué qu</w:t>
      </w:r>
      <w:r w:rsidR="00DB4C2D">
        <w:rPr>
          <w:rFonts w:eastAsia="Times New Roman"/>
          <w:lang w:val="fr-FR"/>
        </w:rPr>
        <w:t>’</w:t>
      </w:r>
      <w:r w:rsidRPr="007C7020">
        <w:rPr>
          <w:rFonts w:eastAsia="Times New Roman"/>
          <w:lang w:val="fr-FR"/>
        </w:rPr>
        <w:t>en cas de fonctionnement incorrect du système de réduction des émissions du véhicule, le conducteur doit être informé de l</w:t>
      </w:r>
      <w:r w:rsidR="00DB4C2D">
        <w:rPr>
          <w:rFonts w:eastAsia="Times New Roman"/>
          <w:lang w:val="fr-FR"/>
        </w:rPr>
        <w:t>’</w:t>
      </w:r>
      <w:r w:rsidRPr="007C7020">
        <w:rPr>
          <w:rFonts w:eastAsia="Times New Roman"/>
          <w:lang w:val="fr-FR"/>
        </w:rPr>
        <w:t>existence d</w:t>
      </w:r>
      <w:r w:rsidR="00DB4C2D">
        <w:rPr>
          <w:rFonts w:eastAsia="Times New Roman"/>
          <w:lang w:val="fr-FR"/>
        </w:rPr>
        <w:t>’</w:t>
      </w:r>
      <w:r w:rsidRPr="007C7020">
        <w:rPr>
          <w:rFonts w:eastAsia="Times New Roman"/>
          <w:lang w:val="fr-FR"/>
        </w:rPr>
        <w:t>un problème par le système d</w:t>
      </w:r>
      <w:r w:rsidR="00DB4C2D">
        <w:rPr>
          <w:rFonts w:eastAsia="Times New Roman"/>
          <w:lang w:val="fr-FR"/>
        </w:rPr>
        <w:t>’</w:t>
      </w:r>
      <w:r w:rsidRPr="007C7020">
        <w:rPr>
          <w:rFonts w:eastAsia="Times New Roman"/>
          <w:lang w:val="fr-FR"/>
        </w:rPr>
        <w:t>alerte et que le système d</w:t>
      </w:r>
      <w:r w:rsidR="00DB4C2D">
        <w:rPr>
          <w:rFonts w:eastAsia="Times New Roman"/>
          <w:lang w:val="fr-FR"/>
        </w:rPr>
        <w:t>’</w:t>
      </w:r>
      <w:r w:rsidRPr="007C7020">
        <w:rPr>
          <w:rFonts w:eastAsia="Times New Roman"/>
          <w:lang w:val="fr-FR"/>
        </w:rPr>
        <w:t>incitation du conducteur doit alors empêcher le démarrage du véhicule.</w:t>
      </w:r>
    </w:p>
    <w:p w:rsidR="007C7020" w:rsidRPr="007C7020" w:rsidRDefault="007C7020" w:rsidP="00215D2A">
      <w:pPr>
        <w:pStyle w:val="SingleTxtG"/>
        <w:spacing w:before="120"/>
        <w:ind w:left="2268" w:hanging="1134"/>
        <w:rPr>
          <w:rFonts w:eastAsia="Times New Roman"/>
          <w:lang w:val="fr-FR"/>
        </w:rPr>
      </w:pPr>
      <w:r w:rsidRPr="007C7020">
        <w:rPr>
          <w:rFonts w:eastAsia="Times New Roman"/>
          <w:lang w:val="fr-FR"/>
        </w:rPr>
        <w:t>9.2</w:t>
      </w:r>
      <w:r w:rsidRPr="007C7020">
        <w:rPr>
          <w:rFonts w:eastAsia="Times New Roman"/>
          <w:lang w:val="fr-FR"/>
        </w:rPr>
        <w:tab/>
        <w:t>Les instructions doivent indiquer les prescriptions relatives au bon fonctionnement et à l</w:t>
      </w:r>
      <w:r w:rsidR="00DB4C2D">
        <w:rPr>
          <w:rFonts w:eastAsia="Times New Roman"/>
          <w:lang w:val="fr-FR"/>
        </w:rPr>
        <w:t>’</w:t>
      </w:r>
      <w:r w:rsidRPr="007C7020">
        <w:rPr>
          <w:rFonts w:eastAsia="Times New Roman"/>
          <w:lang w:val="fr-FR"/>
        </w:rPr>
        <w:t>entretien des véhicules, y compris, à l</w:t>
      </w:r>
      <w:r w:rsidR="00DB4C2D">
        <w:rPr>
          <w:rFonts w:eastAsia="Times New Roman"/>
          <w:lang w:val="fr-FR"/>
        </w:rPr>
        <w:t>’</w:t>
      </w:r>
      <w:r w:rsidRPr="007C7020">
        <w:rPr>
          <w:rFonts w:eastAsia="Times New Roman"/>
          <w:lang w:val="fr-FR"/>
        </w:rPr>
        <w:t>utilisation de réactifs consommables.</w:t>
      </w:r>
    </w:p>
    <w:p w:rsidR="007C7020" w:rsidRPr="007C7020" w:rsidRDefault="007C7020" w:rsidP="00215D2A">
      <w:pPr>
        <w:pStyle w:val="SingleTxtG"/>
        <w:spacing w:before="120"/>
        <w:ind w:left="2268" w:hanging="1134"/>
        <w:rPr>
          <w:rFonts w:eastAsia="Times New Roman"/>
          <w:lang w:val="fr-FR"/>
        </w:rPr>
      </w:pPr>
      <w:r w:rsidRPr="007C7020">
        <w:rPr>
          <w:rFonts w:eastAsia="Times New Roman"/>
          <w:lang w:val="fr-FR"/>
        </w:rPr>
        <w:t>9.3</w:t>
      </w:r>
      <w:r w:rsidRPr="007C7020">
        <w:rPr>
          <w:rFonts w:eastAsia="Times New Roman"/>
          <w:lang w:val="fr-FR"/>
        </w:rPr>
        <w:tab/>
        <w:t>Les instructions doivent préciser si les réactifs consommables doivent être rechargés par l</w:t>
      </w:r>
      <w:r w:rsidR="00DB4C2D">
        <w:rPr>
          <w:rFonts w:eastAsia="Times New Roman"/>
          <w:lang w:val="fr-FR"/>
        </w:rPr>
        <w:t>’</w:t>
      </w:r>
      <w:r w:rsidRPr="007C7020">
        <w:rPr>
          <w:rFonts w:eastAsia="Times New Roman"/>
          <w:lang w:val="fr-FR"/>
        </w:rPr>
        <w:t>opérateur du véhicule entre les entretiens périodiques normaux et indiquer les modalités de recharge du réservoir de réactif. Elles doivent aussi indiquer le taux probable de consommation du réactif en fonction du type de véhicule ainsi que la fréquence de recharge.</w:t>
      </w:r>
    </w:p>
    <w:p w:rsidR="007C7020" w:rsidRPr="007C7020" w:rsidRDefault="007C7020" w:rsidP="00215D2A">
      <w:pPr>
        <w:pStyle w:val="SingleTxtG"/>
        <w:spacing w:before="120"/>
        <w:ind w:left="2268" w:hanging="1134"/>
        <w:rPr>
          <w:rFonts w:eastAsia="Times New Roman"/>
          <w:lang w:val="fr-FR"/>
        </w:rPr>
      </w:pPr>
      <w:r w:rsidRPr="007C7020">
        <w:rPr>
          <w:rFonts w:eastAsia="Times New Roman"/>
          <w:lang w:val="fr-FR"/>
        </w:rPr>
        <w:t>9.4</w:t>
      </w:r>
      <w:r w:rsidRPr="007C7020">
        <w:rPr>
          <w:rFonts w:eastAsia="Times New Roman"/>
          <w:lang w:val="fr-FR"/>
        </w:rPr>
        <w:tab/>
        <w:t>Les instructions doivent préciser que l</w:t>
      </w:r>
      <w:r w:rsidR="00DB4C2D">
        <w:rPr>
          <w:rFonts w:eastAsia="Times New Roman"/>
          <w:lang w:val="fr-FR"/>
        </w:rPr>
        <w:t>’</w:t>
      </w:r>
      <w:r w:rsidRPr="007C7020">
        <w:rPr>
          <w:rFonts w:eastAsia="Times New Roman"/>
          <w:lang w:val="fr-FR"/>
        </w:rPr>
        <w:t>utilisation et la recharge du réactif prescrit répondant aux spécifications sont obligatoires pour que le véhicule soit conforme au certificat de conformité établi pour ce type de véhicule.</w:t>
      </w:r>
    </w:p>
    <w:p w:rsidR="007C7020" w:rsidRPr="007C7020" w:rsidRDefault="007C7020" w:rsidP="00215D2A">
      <w:pPr>
        <w:pStyle w:val="SingleTxtG"/>
        <w:spacing w:before="120"/>
        <w:ind w:left="2268" w:hanging="1134"/>
        <w:rPr>
          <w:rFonts w:eastAsia="Times New Roman"/>
          <w:lang w:val="fr-FR"/>
        </w:rPr>
      </w:pPr>
      <w:r w:rsidRPr="007C7020">
        <w:rPr>
          <w:rFonts w:eastAsia="Times New Roman"/>
          <w:lang w:val="fr-FR"/>
        </w:rPr>
        <w:t>9.5</w:t>
      </w:r>
      <w:r w:rsidRPr="007C7020">
        <w:rPr>
          <w:rFonts w:eastAsia="Times New Roman"/>
          <w:lang w:val="fr-FR"/>
        </w:rPr>
        <w:tab/>
        <w:t>Les instructions doivent indiquer que l</w:t>
      </w:r>
      <w:r w:rsidR="00DB4C2D">
        <w:rPr>
          <w:rFonts w:eastAsia="Times New Roman"/>
          <w:lang w:val="fr-FR"/>
        </w:rPr>
        <w:t>’</w:t>
      </w:r>
      <w:r w:rsidRPr="007C7020">
        <w:rPr>
          <w:rFonts w:eastAsia="Times New Roman"/>
          <w:lang w:val="fr-FR"/>
        </w:rPr>
        <w:t>utilisation d</w:t>
      </w:r>
      <w:r w:rsidR="00DB4C2D">
        <w:rPr>
          <w:rFonts w:eastAsia="Times New Roman"/>
          <w:lang w:val="fr-FR"/>
        </w:rPr>
        <w:t>’</w:t>
      </w:r>
      <w:r w:rsidRPr="007C7020">
        <w:rPr>
          <w:rFonts w:eastAsia="Times New Roman"/>
          <w:lang w:val="fr-FR"/>
        </w:rPr>
        <w:t>un véhicule qui ne consomme pas le réactif exigé le cas échéant pour réduire les émissions peut être considérée comme une infraction pénale.</w:t>
      </w:r>
    </w:p>
    <w:p w:rsidR="007C7020" w:rsidRPr="007C7020" w:rsidRDefault="007C7020" w:rsidP="00215D2A">
      <w:pPr>
        <w:pStyle w:val="SingleTxtG"/>
        <w:spacing w:before="120"/>
        <w:ind w:left="2268" w:hanging="1134"/>
        <w:rPr>
          <w:rFonts w:eastAsia="Times New Roman"/>
          <w:lang w:val="fr-FR"/>
        </w:rPr>
      </w:pPr>
      <w:r w:rsidRPr="007C7020">
        <w:rPr>
          <w:rFonts w:eastAsia="Times New Roman"/>
          <w:lang w:val="fr-FR"/>
        </w:rPr>
        <w:t>9.6</w:t>
      </w:r>
      <w:r w:rsidRPr="007C7020">
        <w:rPr>
          <w:rFonts w:eastAsia="Times New Roman"/>
          <w:lang w:val="fr-FR"/>
        </w:rPr>
        <w:tab/>
        <w:t>Les instructions doivent expliquer le mode de fonctionnement du système d</w:t>
      </w:r>
      <w:r w:rsidR="00DB4C2D">
        <w:rPr>
          <w:rFonts w:eastAsia="Times New Roman"/>
          <w:lang w:val="fr-FR"/>
        </w:rPr>
        <w:t>’</w:t>
      </w:r>
      <w:r w:rsidRPr="007C7020">
        <w:rPr>
          <w:rFonts w:eastAsia="Times New Roman"/>
          <w:lang w:val="fr-FR"/>
        </w:rPr>
        <w:t>alerte et du système d</w:t>
      </w:r>
      <w:r w:rsidR="00DB4C2D">
        <w:rPr>
          <w:rFonts w:eastAsia="Times New Roman"/>
          <w:lang w:val="fr-FR"/>
        </w:rPr>
        <w:t>’</w:t>
      </w:r>
      <w:r w:rsidRPr="007C7020">
        <w:rPr>
          <w:rFonts w:eastAsia="Times New Roman"/>
          <w:lang w:val="fr-FR"/>
        </w:rPr>
        <w:t>incitation du conducteur. Elles doivent aussi attirer l</w:t>
      </w:r>
      <w:r w:rsidR="00DB4C2D">
        <w:rPr>
          <w:rFonts w:eastAsia="Times New Roman"/>
          <w:lang w:val="fr-FR"/>
        </w:rPr>
        <w:t>’</w:t>
      </w:r>
      <w:r w:rsidRPr="007C7020">
        <w:rPr>
          <w:rFonts w:eastAsia="Times New Roman"/>
          <w:lang w:val="fr-FR"/>
        </w:rPr>
        <w:t>attention sur les conséquences du fait de ne pas tenir compte du système d</w:t>
      </w:r>
      <w:r w:rsidR="00DB4C2D">
        <w:rPr>
          <w:rFonts w:eastAsia="Times New Roman"/>
          <w:lang w:val="fr-FR"/>
        </w:rPr>
        <w:t>’</w:t>
      </w:r>
      <w:r w:rsidRPr="007C7020">
        <w:rPr>
          <w:rFonts w:eastAsia="Times New Roman"/>
          <w:lang w:val="fr-FR"/>
        </w:rPr>
        <w:t>alerte et de ne pas recharger le réservoir de réactif.</w:t>
      </w:r>
    </w:p>
    <w:p w:rsidR="007C7020" w:rsidRPr="007C7020" w:rsidRDefault="007C7020" w:rsidP="00215D2A">
      <w:pPr>
        <w:pStyle w:val="SingleTxtG"/>
        <w:spacing w:before="120"/>
        <w:ind w:left="2268" w:hanging="1134"/>
        <w:rPr>
          <w:rFonts w:eastAsia="Times New Roman"/>
          <w:lang w:val="fr-FR"/>
        </w:rPr>
      </w:pPr>
      <w:r w:rsidRPr="007C7020">
        <w:rPr>
          <w:rFonts w:eastAsia="Times New Roman"/>
          <w:lang w:val="fr-FR"/>
        </w:rPr>
        <w:t>10.</w:t>
      </w:r>
      <w:r w:rsidRPr="007C7020">
        <w:rPr>
          <w:rFonts w:eastAsia="Times New Roman"/>
          <w:lang w:val="fr-FR"/>
        </w:rPr>
        <w:tab/>
        <w:t>Fonctionnement du système de traitement aval</w:t>
      </w:r>
    </w:p>
    <w:p w:rsidR="00DB4C2D" w:rsidRDefault="007C7020" w:rsidP="00215D2A">
      <w:pPr>
        <w:pStyle w:val="SingleTxtG"/>
        <w:ind w:left="2268"/>
        <w:rPr>
          <w:lang w:val="fr-FR"/>
        </w:rPr>
      </w:pPr>
      <w:r w:rsidRPr="007C7020">
        <w:rPr>
          <w:lang w:val="fr-FR"/>
        </w:rPr>
        <w:t>Les constructeurs doivent faire en sorte que le système de réduction des émissions reste opérationnel dans toutes les conditions ambiantes, en particulier à basses températures. Ils doivent notamment prendre des mesures visant à prévenir le gel complet du réactif au cours de périodes d</w:t>
      </w:r>
      <w:r w:rsidR="00DB4C2D">
        <w:rPr>
          <w:lang w:val="fr-FR"/>
        </w:rPr>
        <w:t>’</w:t>
      </w:r>
      <w:r w:rsidRPr="007C7020">
        <w:rPr>
          <w:lang w:val="fr-FR"/>
        </w:rPr>
        <w:t>arrêt allant jusqu</w:t>
      </w:r>
      <w:r w:rsidR="00DB4C2D">
        <w:rPr>
          <w:lang w:val="fr-FR"/>
        </w:rPr>
        <w:t>’</w:t>
      </w:r>
      <w:r w:rsidRPr="007C7020">
        <w:rPr>
          <w:lang w:val="fr-FR"/>
        </w:rPr>
        <w:t>à 7 jours à 258 K (-15 °C) lorsque le réservoir de réactif est rempli à 50 %. En cas de gel du réactif, le constructeur doit faire en sorte que le réactif soit disponible à l</w:t>
      </w:r>
      <w:r w:rsidR="00DB4C2D">
        <w:rPr>
          <w:lang w:val="fr-FR"/>
        </w:rPr>
        <w:t>’</w:t>
      </w:r>
      <w:r w:rsidRPr="007C7020">
        <w:rPr>
          <w:lang w:val="fr-FR"/>
        </w:rPr>
        <w:t>utilisation dans les 20 min qui suivent le démarrage du véhicule à une température de 258 K (-15 °C) mesurée à l</w:t>
      </w:r>
      <w:r w:rsidR="00DB4C2D">
        <w:rPr>
          <w:lang w:val="fr-FR"/>
        </w:rPr>
        <w:t>’</w:t>
      </w:r>
      <w:r w:rsidRPr="007C7020">
        <w:rPr>
          <w:lang w:val="fr-FR"/>
        </w:rPr>
        <w:t>intérieur du réservoir du réactif afin de garantir le bon fonctionnement du système de réduction des émissions.</w:t>
      </w:r>
    </w:p>
    <w:p w:rsidR="00965C52" w:rsidRDefault="00965C52" w:rsidP="00965C52">
      <w:pPr>
        <w:pStyle w:val="SingleTxtG"/>
        <w:sectPr w:rsidR="00965C52" w:rsidSect="00C46DB4">
          <w:headerReference w:type="even" r:id="rId54"/>
          <w:headerReference w:type="default" r:id="rId55"/>
          <w:endnotePr>
            <w:numFmt w:val="decimal"/>
          </w:endnotePr>
          <w:pgSz w:w="11907" w:h="16840" w:code="9"/>
          <w:pgMar w:top="1701" w:right="1134" w:bottom="2268" w:left="1134" w:header="794" w:footer="1701" w:gutter="0"/>
          <w:cols w:space="720"/>
          <w:docGrid w:linePitch="272"/>
        </w:sectPr>
      </w:pPr>
    </w:p>
    <w:p w:rsidR="00965C52" w:rsidRPr="00965C52" w:rsidRDefault="00965C52" w:rsidP="00965C52">
      <w:pPr>
        <w:pStyle w:val="HChG"/>
        <w:rPr>
          <w:lang w:val="fr-FR"/>
        </w:rPr>
      </w:pPr>
      <w:r w:rsidRPr="00965C52">
        <w:rPr>
          <w:lang w:val="fr-FR"/>
        </w:rPr>
        <w:lastRenderedPageBreak/>
        <w:t>Annexe 1</w:t>
      </w:r>
    </w:p>
    <w:p w:rsidR="00965C52" w:rsidRPr="00965C52" w:rsidRDefault="00965C52" w:rsidP="00965C52">
      <w:pPr>
        <w:pStyle w:val="HChG"/>
        <w:rPr>
          <w:lang w:val="fr-FR"/>
        </w:rPr>
      </w:pPr>
      <w:r w:rsidRPr="00965C52">
        <w:rPr>
          <w:lang w:val="fr-FR"/>
        </w:rPr>
        <w:tab/>
      </w:r>
      <w:r w:rsidRPr="00965C52">
        <w:rPr>
          <w:lang w:val="fr-FR"/>
        </w:rPr>
        <w:tab/>
        <w:t>Caractéristiques du moteur et du véhicule et renseignements concernant la conduite des essais</w:t>
      </w:r>
    </w:p>
    <w:p w:rsidR="00965C52" w:rsidRPr="00965C52" w:rsidRDefault="00965C52" w:rsidP="00965C52">
      <w:pPr>
        <w:pStyle w:val="SingleTxtG"/>
        <w:rPr>
          <w:lang w:val="fr-FR"/>
        </w:rPr>
      </w:pPr>
      <w:r w:rsidRPr="00965C52">
        <w:rPr>
          <w:lang w:val="fr-FR"/>
        </w:rPr>
        <w:t>Les informations suivantes doivent être fournies, lorsque c</w:t>
      </w:r>
      <w:r w:rsidR="00DB4C2D">
        <w:rPr>
          <w:lang w:val="fr-FR"/>
        </w:rPr>
        <w:t>’</w:t>
      </w:r>
      <w:r w:rsidRPr="00965C52">
        <w:rPr>
          <w:lang w:val="fr-FR"/>
        </w:rPr>
        <w:t>est nécessaire, en triple exemplaire et être accompagnées d</w:t>
      </w:r>
      <w:r w:rsidR="00DB4C2D">
        <w:rPr>
          <w:lang w:val="fr-FR"/>
        </w:rPr>
        <w:t>’</w:t>
      </w:r>
      <w:r w:rsidRPr="00965C52">
        <w:rPr>
          <w:lang w:val="fr-FR"/>
        </w:rPr>
        <w:t>une table des matières.</w:t>
      </w:r>
    </w:p>
    <w:p w:rsidR="00965C52" w:rsidRPr="00965C52" w:rsidRDefault="00965C52" w:rsidP="00965C52">
      <w:pPr>
        <w:pStyle w:val="SingleTxtG"/>
        <w:rPr>
          <w:rFonts w:eastAsia="Times New Roman"/>
          <w:lang w:val="fr-FR"/>
        </w:rPr>
      </w:pPr>
      <w:r w:rsidRPr="00965C52">
        <w:rPr>
          <w:rFonts w:eastAsia="Times New Roman"/>
          <w:lang w:val="fr-FR"/>
        </w:rPr>
        <w:t xml:space="preserve">Les éventuels dessins </w:t>
      </w:r>
      <w:r w:rsidRPr="00965C52">
        <w:rPr>
          <w:lang w:val="fr-FR"/>
        </w:rPr>
        <w:t>doivent</w:t>
      </w:r>
      <w:r w:rsidRPr="00965C52">
        <w:rPr>
          <w:rFonts w:eastAsia="Times New Roman"/>
          <w:lang w:val="fr-FR"/>
        </w:rPr>
        <w:t xml:space="preserve"> être fournis à l</w:t>
      </w:r>
      <w:r w:rsidR="00DB4C2D">
        <w:rPr>
          <w:rFonts w:eastAsia="Times New Roman"/>
          <w:lang w:val="fr-FR"/>
        </w:rPr>
        <w:t>’</w:t>
      </w:r>
      <w:r w:rsidRPr="00965C52">
        <w:rPr>
          <w:rFonts w:eastAsia="Times New Roman"/>
          <w:lang w:val="fr-FR"/>
        </w:rPr>
        <w:t>échelle adéquate et suffisamment détaillés et ils doivent être pré</w:t>
      </w:r>
      <w:r w:rsidR="0010380D">
        <w:rPr>
          <w:rFonts w:eastAsia="Times New Roman"/>
          <w:lang w:val="fr-FR"/>
        </w:rPr>
        <w:t>sentés au format </w:t>
      </w:r>
      <w:r w:rsidRPr="00965C52">
        <w:rPr>
          <w:rFonts w:eastAsia="Times New Roman"/>
          <w:lang w:val="fr-FR"/>
        </w:rPr>
        <w:t>A4 ou pliés à ce format. Les photographies, s</w:t>
      </w:r>
      <w:r w:rsidR="00DB4C2D">
        <w:rPr>
          <w:rFonts w:eastAsia="Times New Roman"/>
          <w:lang w:val="fr-FR"/>
        </w:rPr>
        <w:t>’</w:t>
      </w:r>
      <w:r w:rsidRPr="00965C52">
        <w:rPr>
          <w:rFonts w:eastAsia="Times New Roman"/>
          <w:lang w:val="fr-FR"/>
        </w:rPr>
        <w:t>il y en a, doivent être suffisamment détaillées.</w:t>
      </w:r>
    </w:p>
    <w:p w:rsidR="00965C52" w:rsidRPr="00965C52" w:rsidRDefault="00965C52" w:rsidP="00965C52">
      <w:pPr>
        <w:pStyle w:val="SingleTxtG"/>
        <w:rPr>
          <w:rFonts w:eastAsia="Times New Roman"/>
          <w:lang w:val="fr-FR"/>
        </w:rPr>
      </w:pPr>
      <w:r w:rsidRPr="00965C52">
        <w:rPr>
          <w:rFonts w:eastAsia="Times New Roman"/>
          <w:lang w:val="fr-FR"/>
        </w:rPr>
        <w:t xml:space="preserve">Si les systèmes, les </w:t>
      </w:r>
      <w:r w:rsidRPr="00965C52">
        <w:rPr>
          <w:lang w:val="fr-FR"/>
        </w:rPr>
        <w:t>composants</w:t>
      </w:r>
      <w:r w:rsidRPr="00965C52">
        <w:rPr>
          <w:rFonts w:eastAsia="Times New Roman"/>
          <w:lang w:val="fr-FR"/>
        </w:rPr>
        <w:t xml:space="preserve"> ou les entités techniques distinctes ont des fonctions à commande électronique, des informations concernant leurs performances doivent être fournies.</w:t>
      </w:r>
    </w:p>
    <w:p w:rsidR="00965C52" w:rsidRPr="00965C52" w:rsidRDefault="00965C52" w:rsidP="00A713B1">
      <w:pPr>
        <w:pStyle w:val="SingleTxtG"/>
        <w:ind w:left="2552" w:hanging="1418"/>
        <w:jc w:val="left"/>
        <w:rPr>
          <w:lang w:val="fr-FR"/>
        </w:rPr>
      </w:pPr>
      <w:r w:rsidRPr="00965C52">
        <w:rPr>
          <w:lang w:val="fr-FR"/>
        </w:rPr>
        <w:t>0.</w:t>
      </w:r>
      <w:r w:rsidRPr="00965C52">
        <w:rPr>
          <w:lang w:val="fr-FR"/>
        </w:rPr>
        <w:tab/>
        <w:t>Généralités</w:t>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0.1</w:t>
      </w:r>
      <w:r w:rsidRPr="00965C52">
        <w:rPr>
          <w:rFonts w:eastAsia="Times New Roman"/>
          <w:lang w:val="fr-FR"/>
        </w:rPr>
        <w:tab/>
        <w:t xml:space="preserve">Marque (raison </w:t>
      </w:r>
      <w:r w:rsidRPr="001F55AA">
        <w:rPr>
          <w:lang w:val="fr-FR"/>
        </w:rPr>
        <w:t>sociale</w:t>
      </w:r>
      <w:r w:rsidRPr="00965C52">
        <w:rPr>
          <w:rFonts w:eastAsia="Times New Roman"/>
          <w:lang w:val="fr-FR"/>
        </w:rPr>
        <w:t xml:space="preserve"> du constructeur):</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0.2</w:t>
      </w:r>
      <w:r w:rsidRPr="00965C52">
        <w:rPr>
          <w:rFonts w:eastAsia="Times New Roman"/>
          <w:lang w:val="fr-FR"/>
        </w:rPr>
        <w:tab/>
        <w:t xml:space="preserve">Type: </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0.2.1</w:t>
      </w:r>
      <w:r w:rsidRPr="00965C52">
        <w:rPr>
          <w:rFonts w:eastAsia="Times New Roman"/>
          <w:lang w:val="fr-FR"/>
        </w:rPr>
        <w:tab/>
        <w:t xml:space="preserve">Nom(s) commercial(aux), le cas échéant: </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0.3</w:t>
      </w:r>
      <w:r w:rsidRPr="00965C52">
        <w:rPr>
          <w:rFonts w:eastAsia="Times New Roman"/>
          <w:lang w:val="fr-FR"/>
        </w:rPr>
        <w:tab/>
        <w:t>Moyen d</w:t>
      </w:r>
      <w:r w:rsidR="00DB4C2D">
        <w:rPr>
          <w:rFonts w:eastAsia="Times New Roman"/>
          <w:lang w:val="fr-FR"/>
        </w:rPr>
        <w:t>’</w:t>
      </w:r>
      <w:r w:rsidRPr="00965C52">
        <w:rPr>
          <w:rFonts w:eastAsia="Times New Roman"/>
          <w:lang w:val="fr-FR"/>
        </w:rPr>
        <w:t>identification du type, si indiqué sur le véhicule</w:t>
      </w:r>
      <w:r w:rsidR="00C34D78">
        <w:rPr>
          <w:rStyle w:val="Appelnotedebasdep"/>
          <w:rFonts w:eastAsia="Times New Roman"/>
        </w:rPr>
        <w:footnoteReference w:id="8"/>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0.3.1</w:t>
      </w:r>
      <w:r w:rsidRPr="00965C52">
        <w:rPr>
          <w:rFonts w:eastAsia="Times New Roman"/>
          <w:lang w:val="fr-FR"/>
        </w:rPr>
        <w:tab/>
        <w:t xml:space="preserve">Emplacement du marquage: </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0.4</w:t>
      </w:r>
      <w:r w:rsidRPr="00965C52">
        <w:rPr>
          <w:rFonts w:eastAsia="Times New Roman"/>
          <w:lang w:val="fr-FR"/>
        </w:rPr>
        <w:tab/>
        <w:t>Catégorie du véhicule</w:t>
      </w:r>
      <w:r w:rsidR="00C34D78">
        <w:rPr>
          <w:rStyle w:val="Appelnotedebasdep"/>
          <w:rFonts w:eastAsia="Times New Roman"/>
        </w:rPr>
        <w:footnoteReference w:id="9"/>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0.5</w:t>
      </w:r>
      <w:r w:rsidRPr="00965C52">
        <w:rPr>
          <w:rFonts w:eastAsia="Times New Roman"/>
          <w:lang w:val="fr-FR"/>
        </w:rPr>
        <w:tab/>
        <w:t xml:space="preserve">Nom et adresse du constructeur: </w:t>
      </w:r>
      <w:r w:rsidRPr="00965C52">
        <w:rPr>
          <w:rFonts w:eastAsia="Times New Roman"/>
          <w:lang w:val="fr-FR"/>
        </w:rPr>
        <w:tab/>
      </w:r>
    </w:p>
    <w:p w:rsidR="005C7F75"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0.8</w:t>
      </w:r>
      <w:r w:rsidRPr="00965C52">
        <w:rPr>
          <w:rFonts w:eastAsia="Times New Roman"/>
          <w:lang w:val="fr-FR"/>
        </w:rPr>
        <w:tab/>
        <w:t xml:space="preserve">Nom(s) et adresse(s) du ou des atelier(s) de montage: </w:t>
      </w:r>
      <w:r w:rsidRPr="00965C52">
        <w:rPr>
          <w:rFonts w:eastAsia="Times New Roman"/>
          <w:lang w:val="fr-FR"/>
        </w:rPr>
        <w:tab/>
      </w:r>
      <w:r w:rsidR="00FF5AF1">
        <w:rPr>
          <w:rFonts w:eastAsia="Times New Roman"/>
          <w:lang w:val="fr-FR"/>
        </w:rPr>
        <w:br/>
      </w:r>
      <w:r w:rsidR="005C7F75">
        <w:rPr>
          <w:rFonts w:eastAsia="Times New Roman"/>
          <w:lang w:val="fr-FR"/>
        </w:rPr>
        <w:tab/>
      </w:r>
      <w:r w:rsidR="005C7F75" w:rsidRPr="00965C52">
        <w:rPr>
          <w:rFonts w:eastAsia="Times New Roman"/>
          <w:lang w:val="fr-FR"/>
        </w:rPr>
        <w:tab/>
      </w:r>
    </w:p>
    <w:p w:rsidR="005C7F75"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0.9</w:t>
      </w:r>
      <w:r w:rsidRPr="00965C52">
        <w:rPr>
          <w:rFonts w:eastAsia="Times New Roman"/>
          <w:lang w:val="fr-FR"/>
        </w:rPr>
        <w:tab/>
        <w:t xml:space="preserve">Nom et adresse du mandataire du constructeur (le cas échéant): </w:t>
      </w:r>
      <w:r w:rsidRPr="00965C52">
        <w:rPr>
          <w:rFonts w:eastAsia="Times New Roman"/>
          <w:lang w:val="fr-FR"/>
        </w:rPr>
        <w:tab/>
      </w:r>
      <w:r w:rsidR="00FF5AF1">
        <w:rPr>
          <w:rFonts w:eastAsia="Times New Roman"/>
          <w:lang w:val="fr-FR"/>
        </w:rPr>
        <w:br/>
      </w:r>
      <w:r w:rsidR="005C7F75">
        <w:rPr>
          <w:rFonts w:eastAsia="Times New Roman"/>
          <w:lang w:val="fr-FR"/>
        </w:rPr>
        <w:tab/>
      </w:r>
      <w:r w:rsidR="005C7F75"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1.</w:t>
      </w:r>
      <w:r w:rsidRPr="00965C52">
        <w:rPr>
          <w:rFonts w:eastAsia="Times New Roman"/>
          <w:lang w:val="fr-FR"/>
        </w:rPr>
        <w:tab/>
        <w:t>Caractéristiques générales du véhicule</w:t>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1.1</w:t>
      </w:r>
      <w:r w:rsidRPr="00965C52">
        <w:rPr>
          <w:rFonts w:eastAsia="Times New Roman"/>
          <w:lang w:val="fr-FR"/>
        </w:rPr>
        <w:tab/>
        <w:t>Photos et/ou dessins d</w:t>
      </w:r>
      <w:r w:rsidR="00DB4C2D">
        <w:rPr>
          <w:rFonts w:eastAsia="Times New Roman"/>
          <w:lang w:val="fr-FR"/>
        </w:rPr>
        <w:t>’</w:t>
      </w:r>
      <w:r w:rsidRPr="00965C52">
        <w:rPr>
          <w:rFonts w:eastAsia="Times New Roman"/>
          <w:lang w:val="fr-FR"/>
        </w:rPr>
        <w:t xml:space="preserve">un véhicule type: </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1.3.3</w:t>
      </w:r>
      <w:r w:rsidRPr="00965C52">
        <w:rPr>
          <w:rFonts w:eastAsia="Times New Roman"/>
          <w:lang w:val="fr-FR"/>
        </w:rPr>
        <w:tab/>
        <w:t>Essieux moteurs (nombre, emplacement, interconnexion):</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2.</w:t>
      </w:r>
      <w:r w:rsidRPr="00965C52">
        <w:rPr>
          <w:rFonts w:eastAsia="Times New Roman"/>
          <w:lang w:val="fr-FR"/>
        </w:rPr>
        <w:tab/>
        <w:t>Masses et dimensions</w:t>
      </w:r>
      <w:r w:rsidR="00C34D78">
        <w:rPr>
          <w:rStyle w:val="Appelnotedebasdep"/>
          <w:rFonts w:eastAsia="Times New Roman"/>
        </w:rPr>
        <w:footnoteReference w:id="10"/>
      </w:r>
      <w:r w:rsidRPr="00965C52">
        <w:rPr>
          <w:rFonts w:eastAsia="Times New Roman"/>
          <w:lang w:val="fr-FR"/>
        </w:rPr>
        <w:t xml:space="preserve"> (en kg et mm) (voir dessin, le cas échéant): </w:t>
      </w:r>
      <w:r w:rsidRPr="00965C52">
        <w:rPr>
          <w:rFonts w:eastAsia="Times New Roman"/>
          <w:lang w:val="fr-FR"/>
        </w:rPr>
        <w:tab/>
      </w:r>
    </w:p>
    <w:p w:rsidR="00965C52" w:rsidRPr="00965C52" w:rsidRDefault="00965C52" w:rsidP="00D7523E">
      <w:pPr>
        <w:pStyle w:val="SingleTxtG"/>
        <w:tabs>
          <w:tab w:val="left" w:leader="dot" w:pos="8505"/>
        </w:tabs>
        <w:ind w:left="2552" w:hanging="1418"/>
        <w:rPr>
          <w:rFonts w:eastAsia="Times New Roman"/>
          <w:lang w:val="fr-FR"/>
        </w:rPr>
      </w:pPr>
      <w:r w:rsidRPr="00965C52">
        <w:rPr>
          <w:rFonts w:eastAsia="Times New Roman"/>
          <w:lang w:val="fr-FR"/>
        </w:rPr>
        <w:t>2.6</w:t>
      </w:r>
      <w:r w:rsidRPr="00965C52">
        <w:rPr>
          <w:rFonts w:eastAsia="Times New Roman"/>
          <w:lang w:val="fr-FR"/>
        </w:rPr>
        <w:tab/>
        <w:t>Masse du véhicule avec carrosserie et, s</w:t>
      </w:r>
      <w:r w:rsidR="00DB4C2D">
        <w:rPr>
          <w:rFonts w:eastAsia="Times New Roman"/>
          <w:lang w:val="fr-FR"/>
        </w:rPr>
        <w:t>’</w:t>
      </w:r>
      <w:r w:rsidRPr="00965C52">
        <w:rPr>
          <w:rFonts w:eastAsia="Times New Roman"/>
          <w:lang w:val="fr-FR"/>
        </w:rPr>
        <w:t>il s</w:t>
      </w:r>
      <w:r w:rsidR="00DB4C2D">
        <w:rPr>
          <w:rFonts w:eastAsia="Times New Roman"/>
          <w:lang w:val="fr-FR"/>
        </w:rPr>
        <w:t>’</w:t>
      </w:r>
      <w:r w:rsidRPr="00965C52">
        <w:rPr>
          <w:rFonts w:eastAsia="Times New Roman"/>
          <w:lang w:val="fr-FR"/>
        </w:rPr>
        <w:t>agit d</w:t>
      </w:r>
      <w:r w:rsidR="00DB4C2D">
        <w:rPr>
          <w:rFonts w:eastAsia="Times New Roman"/>
          <w:lang w:val="fr-FR"/>
        </w:rPr>
        <w:t>’</w:t>
      </w:r>
      <w:r w:rsidRPr="00965C52">
        <w:rPr>
          <w:rFonts w:eastAsia="Times New Roman"/>
          <w:lang w:val="fr-FR"/>
        </w:rPr>
        <w:t>un véhicule tracteur d</w:t>
      </w:r>
      <w:r w:rsidR="00DB4C2D">
        <w:rPr>
          <w:rFonts w:eastAsia="Times New Roman"/>
          <w:lang w:val="fr-FR"/>
        </w:rPr>
        <w:t>’</w:t>
      </w:r>
      <w:r w:rsidRPr="00965C52">
        <w:rPr>
          <w:rFonts w:eastAsia="Times New Roman"/>
          <w:lang w:val="fr-FR"/>
        </w:rPr>
        <w:t>une catégorie autre que M</w:t>
      </w:r>
      <w:r w:rsidRPr="00965C52">
        <w:rPr>
          <w:rFonts w:eastAsia="Times New Roman"/>
          <w:vertAlign w:val="subscript"/>
          <w:lang w:val="fr-FR"/>
        </w:rPr>
        <w:t>1</w:t>
      </w:r>
      <w:r w:rsidRPr="00965C52">
        <w:rPr>
          <w:rFonts w:eastAsia="Times New Roman"/>
          <w:lang w:val="fr-FR"/>
        </w:rPr>
        <w:t>, avec dispositif d</w:t>
      </w:r>
      <w:r w:rsidR="00DB4C2D">
        <w:rPr>
          <w:rFonts w:eastAsia="Times New Roman"/>
          <w:lang w:val="fr-FR"/>
        </w:rPr>
        <w:t>’</w:t>
      </w:r>
      <w:r w:rsidRPr="00965C52">
        <w:rPr>
          <w:rFonts w:eastAsia="Times New Roman"/>
          <w:lang w:val="fr-FR"/>
        </w:rPr>
        <w:t>attelage, s</w:t>
      </w:r>
      <w:r w:rsidR="00DB4C2D">
        <w:rPr>
          <w:rFonts w:eastAsia="Times New Roman"/>
          <w:lang w:val="fr-FR"/>
        </w:rPr>
        <w:t>’</w:t>
      </w:r>
      <w:r w:rsidRPr="00965C52">
        <w:rPr>
          <w:rFonts w:eastAsia="Times New Roman"/>
          <w:lang w:val="fr-FR"/>
        </w:rPr>
        <w:t>il est monté par le constructeur, en ordre de marche; ou masse du châssis ou du châssis avec cabine, sans la carrosserie ni/ou le dispositif d</w:t>
      </w:r>
      <w:r w:rsidR="00DB4C2D">
        <w:rPr>
          <w:rFonts w:eastAsia="Times New Roman"/>
          <w:lang w:val="fr-FR"/>
        </w:rPr>
        <w:t>’</w:t>
      </w:r>
      <w:r w:rsidRPr="00965C52">
        <w:rPr>
          <w:rFonts w:eastAsia="Times New Roman"/>
          <w:lang w:val="fr-FR"/>
        </w:rPr>
        <w:t xml:space="preserve">attelage si </w:t>
      </w:r>
      <w:r w:rsidRPr="00965C52">
        <w:rPr>
          <w:rFonts w:eastAsia="Times New Roman"/>
          <w:lang w:val="fr-FR"/>
        </w:rPr>
        <w:lastRenderedPageBreak/>
        <w:t>le constructeur ne monte pas la carrosserie ni/ou le dispositif d</w:t>
      </w:r>
      <w:r w:rsidR="00DB4C2D">
        <w:rPr>
          <w:rFonts w:eastAsia="Times New Roman"/>
          <w:lang w:val="fr-FR"/>
        </w:rPr>
        <w:t>’</w:t>
      </w:r>
      <w:r w:rsidRPr="00965C52">
        <w:rPr>
          <w:rFonts w:eastAsia="Times New Roman"/>
          <w:lang w:val="fr-FR"/>
        </w:rPr>
        <w:t>attelage (avec liquides, outillage, roue de secours, le cas échéant et conducteur et, pour les autobus et autocars, un convoyeur si un siège est prévu pour lui dans le véhicule</w:t>
      </w:r>
      <w:r w:rsidR="007D6EE7">
        <w:rPr>
          <w:rStyle w:val="Appelnotedebasdep"/>
          <w:rFonts w:eastAsia="Times New Roman"/>
        </w:rPr>
        <w:footnoteReference w:id="11"/>
      </w:r>
      <w:r w:rsidRPr="00965C52">
        <w:rPr>
          <w:rFonts w:eastAsia="Times New Roman"/>
          <w:lang w:val="fr-FR"/>
        </w:rPr>
        <w:t xml:space="preserve"> (maximum et minimum pour chaque variante):</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2.8</w:t>
      </w:r>
      <w:r w:rsidRPr="00965C52">
        <w:rPr>
          <w:rFonts w:eastAsia="Times New Roman"/>
          <w:lang w:val="fr-FR"/>
        </w:rPr>
        <w:tab/>
        <w:t>Poids maximal en charge techniquement admissible, déclaré par le constructeur</w:t>
      </w:r>
      <w:r w:rsidR="007D6EE7">
        <w:rPr>
          <w:rStyle w:val="Appelnotedebasdep"/>
          <w:rFonts w:eastAsia="Times New Roman"/>
        </w:rPr>
        <w:footnoteReference w:id="12"/>
      </w:r>
      <w:r w:rsidRPr="00965C52">
        <w:rPr>
          <w:rFonts w:eastAsia="Times New Roman"/>
          <w:vertAlign w:val="superscript"/>
          <w:lang w:val="fr-FR"/>
        </w:rPr>
        <w:t xml:space="preserve">, </w:t>
      </w:r>
      <w:r w:rsidR="00D461D9">
        <w:rPr>
          <w:rStyle w:val="Appelnotedebasdep"/>
          <w:rFonts w:eastAsia="Times New Roman"/>
        </w:rPr>
        <w:footnoteReference w:id="13"/>
      </w:r>
    </w:p>
    <w:p w:rsidR="00965C52" w:rsidRPr="00965C52" w:rsidRDefault="00965C52" w:rsidP="00D7523E">
      <w:pPr>
        <w:pStyle w:val="SingleTxtG"/>
        <w:tabs>
          <w:tab w:val="left" w:leader="dot" w:pos="8505"/>
        </w:tabs>
        <w:ind w:left="2552" w:hanging="1418"/>
        <w:rPr>
          <w:rFonts w:eastAsia="Times New Roman"/>
          <w:lang w:val="fr-FR"/>
        </w:rPr>
      </w:pPr>
      <w:r w:rsidRPr="00965C52">
        <w:rPr>
          <w:rFonts w:eastAsia="Times New Roman"/>
          <w:lang w:val="fr-FR"/>
        </w:rPr>
        <w:t>3.</w:t>
      </w:r>
      <w:r w:rsidRPr="00965C52">
        <w:rPr>
          <w:rFonts w:eastAsia="Times New Roman"/>
          <w:lang w:val="fr-FR"/>
        </w:rPr>
        <w:tab/>
        <w:t>Description des convertisseurs d</w:t>
      </w:r>
      <w:r w:rsidR="00DB4C2D">
        <w:rPr>
          <w:rFonts w:eastAsia="Times New Roman"/>
          <w:lang w:val="fr-FR"/>
        </w:rPr>
        <w:t>’</w:t>
      </w:r>
      <w:r w:rsidRPr="00965C52">
        <w:rPr>
          <w:rFonts w:eastAsia="Times New Roman"/>
          <w:lang w:val="fr-FR"/>
        </w:rPr>
        <w:t>énergie et du moteur</w:t>
      </w:r>
      <w:r w:rsidR="00D461D9">
        <w:rPr>
          <w:rStyle w:val="Appelnotedebasdep"/>
          <w:rFonts w:eastAsia="Times New Roman"/>
        </w:rPr>
        <w:footnoteReference w:id="14"/>
      </w:r>
      <w:r w:rsidRPr="00965C52">
        <w:rPr>
          <w:rFonts w:eastAsia="Times New Roman"/>
          <w:lang w:val="fr-FR"/>
        </w:rPr>
        <w:t xml:space="preserve"> (Dans le cas d</w:t>
      </w:r>
      <w:r w:rsidR="00DB4C2D">
        <w:rPr>
          <w:rFonts w:eastAsia="Times New Roman"/>
          <w:lang w:val="fr-FR"/>
        </w:rPr>
        <w:t>’</w:t>
      </w:r>
      <w:r w:rsidRPr="00965C52">
        <w:rPr>
          <w:rFonts w:eastAsia="Times New Roman"/>
          <w:lang w:val="fr-FR"/>
        </w:rPr>
        <w:t>un véhicule qui peut rouler soit à l</w:t>
      </w:r>
      <w:r w:rsidR="00DB4C2D">
        <w:rPr>
          <w:rFonts w:eastAsia="Times New Roman"/>
          <w:lang w:val="fr-FR"/>
        </w:rPr>
        <w:t>’</w:t>
      </w:r>
      <w:r w:rsidRPr="00965C52">
        <w:rPr>
          <w:rFonts w:eastAsia="Times New Roman"/>
          <w:lang w:val="fr-FR"/>
        </w:rPr>
        <w:t>essence, soit au gazole, etc., ou aussi en combinaison avec un autre carburant, il y a lieu de remplir ces rubriques autant de fois que nécessaire</w:t>
      </w:r>
      <w:r w:rsidR="00D461D9">
        <w:rPr>
          <w:rStyle w:val="Appelnotedebasdep"/>
          <w:rFonts w:eastAsia="Times New Roman"/>
        </w:rPr>
        <w:footnoteReference w:id="15"/>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3.1</w:t>
      </w:r>
      <w:r w:rsidRPr="00965C52">
        <w:rPr>
          <w:rFonts w:eastAsia="Times New Roman"/>
          <w:lang w:val="fr-FR"/>
        </w:rPr>
        <w:tab/>
        <w:t xml:space="preserve">Fabricant du moteur: </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3.1.1</w:t>
      </w:r>
      <w:r w:rsidRPr="00965C52">
        <w:rPr>
          <w:rFonts w:eastAsia="Times New Roman"/>
          <w:lang w:val="fr-FR"/>
        </w:rPr>
        <w:tab/>
        <w:t>Numéro du code moteur du constructeur (inscrit sur le moteur ou autres moyens d</w:t>
      </w:r>
      <w:r w:rsidR="00DB4C2D">
        <w:rPr>
          <w:rFonts w:eastAsia="Times New Roman"/>
          <w:lang w:val="fr-FR"/>
        </w:rPr>
        <w:t>’</w:t>
      </w:r>
      <w:r w:rsidRPr="00965C52">
        <w:rPr>
          <w:rFonts w:eastAsia="Times New Roman"/>
          <w:lang w:val="fr-FR"/>
        </w:rPr>
        <w:t xml:space="preserve">identification): </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3.2</w:t>
      </w:r>
      <w:r w:rsidRPr="00965C52">
        <w:rPr>
          <w:rFonts w:eastAsia="Times New Roman"/>
          <w:lang w:val="fr-FR"/>
        </w:rPr>
        <w:tab/>
        <w:t xml:space="preserve">Moteur à combustion interne: </w:t>
      </w:r>
      <w:r w:rsidRPr="00965C52">
        <w:rPr>
          <w:rFonts w:eastAsia="Times New Roman"/>
          <w:lang w:val="fr-FR"/>
        </w:rPr>
        <w:tab/>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3.2.1</w:t>
      </w:r>
      <w:r w:rsidRPr="00965C52">
        <w:rPr>
          <w:rFonts w:eastAsia="Times New Roman"/>
          <w:lang w:val="fr-FR"/>
        </w:rPr>
        <w:tab/>
        <w:t xml:space="preserve">Caractéristiques du moteur: </w:t>
      </w:r>
      <w:r w:rsidRPr="00965C52">
        <w:rPr>
          <w:rFonts w:eastAsia="Times New Roman"/>
          <w:lang w:val="fr-FR"/>
        </w:rPr>
        <w:tab/>
      </w:r>
    </w:p>
    <w:p w:rsidR="00965C52" w:rsidRPr="00965C52" w:rsidRDefault="00965C52" w:rsidP="00D7523E">
      <w:pPr>
        <w:pStyle w:val="SingleTxtG"/>
        <w:tabs>
          <w:tab w:val="left" w:leader="dot" w:pos="8505"/>
        </w:tabs>
        <w:ind w:left="2552" w:hanging="1418"/>
        <w:jc w:val="left"/>
        <w:rPr>
          <w:rFonts w:eastAsia="Times New Roman"/>
          <w:lang w:val="fr-FR"/>
        </w:rPr>
      </w:pPr>
      <w:r w:rsidRPr="00965C52">
        <w:rPr>
          <w:rFonts w:eastAsia="Times New Roman"/>
          <w:lang w:val="fr-FR"/>
        </w:rPr>
        <w:t>3.2.1.1</w:t>
      </w:r>
      <w:r w:rsidRPr="00965C52">
        <w:rPr>
          <w:rFonts w:eastAsia="Times New Roman"/>
          <w:lang w:val="fr-FR"/>
        </w:rPr>
        <w:tab/>
        <w:t>Principe de fonctionnement: allumage commandé/allumage par compression/ Cycle: quatre temps/deux temps/rotatif</w:t>
      </w:r>
      <w:r w:rsidR="00D461D9">
        <w:rPr>
          <w:rStyle w:val="Appelnotedebasdep"/>
          <w:rFonts w:eastAsia="Times New Roman"/>
        </w:rPr>
        <w:footnoteReference w:id="16"/>
      </w:r>
    </w:p>
    <w:p w:rsidR="00965C52" w:rsidRPr="00965C52" w:rsidRDefault="00965C52" w:rsidP="00A713B1">
      <w:pPr>
        <w:pStyle w:val="SingleTxtG"/>
        <w:tabs>
          <w:tab w:val="left" w:leader="dot" w:pos="8505"/>
        </w:tabs>
        <w:ind w:left="2552" w:hanging="1418"/>
        <w:jc w:val="left"/>
        <w:rPr>
          <w:rFonts w:eastAsia="Times New Roman"/>
          <w:lang w:val="fr-FR"/>
        </w:rPr>
      </w:pPr>
      <w:r w:rsidRPr="00965C52">
        <w:rPr>
          <w:rFonts w:eastAsia="Times New Roman"/>
          <w:lang w:val="fr-FR"/>
        </w:rPr>
        <w:t>3.2.1.2</w:t>
      </w:r>
      <w:r w:rsidRPr="00965C52">
        <w:rPr>
          <w:rFonts w:eastAsia="Times New Roman"/>
          <w:lang w:val="fr-FR"/>
        </w:rPr>
        <w:tab/>
        <w:t xml:space="preserve">Nombre et dispositions des cylindres: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lang w:val="fr-FR"/>
        </w:rPr>
      </w:pPr>
      <w:r w:rsidRPr="00965C52">
        <w:rPr>
          <w:lang w:val="fr-FR"/>
        </w:rPr>
        <w:t>3.2.1.2.1</w:t>
      </w:r>
      <w:r w:rsidRPr="00965C52">
        <w:rPr>
          <w:lang w:val="fr-FR"/>
        </w:rPr>
        <w:tab/>
        <w:t>Alésage</w:t>
      </w:r>
      <w:r w:rsidR="00D461D9">
        <w:rPr>
          <w:rStyle w:val="Appelnotedebasdep"/>
        </w:rPr>
        <w:footnoteReference w:id="17"/>
      </w:r>
      <w:r w:rsidRPr="00965C52">
        <w:rPr>
          <w:lang w:val="fr-FR"/>
        </w:rPr>
        <w:t xml:space="preserve">: </w:t>
      </w:r>
      <w:r w:rsidRPr="00965C52">
        <w:rPr>
          <w:lang w:val="fr-FR"/>
        </w:rPr>
        <w:tab/>
        <w:t>.mm</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3.2.1.2.2</w:t>
      </w:r>
      <w:r w:rsidRPr="00965C52">
        <w:rPr>
          <w:rFonts w:eastAsia="Times New Roman"/>
          <w:lang w:val="fr-FR"/>
        </w:rPr>
        <w:tab/>
        <w:t>Course</w:t>
      </w:r>
      <w:r w:rsidRPr="00965C52">
        <w:rPr>
          <w:rFonts w:eastAsia="Times New Roman"/>
          <w:sz w:val="18"/>
          <w:szCs w:val="18"/>
          <w:vertAlign w:val="superscript"/>
          <w:lang w:val="fr-FR"/>
        </w:rPr>
        <w:t>10</w:t>
      </w:r>
      <w:r w:rsidRPr="00965C52">
        <w:rPr>
          <w:rFonts w:eastAsia="Times New Roman"/>
          <w:lang w:val="fr-FR"/>
        </w:rPr>
        <w:t xml:space="preserve">: </w:t>
      </w:r>
      <w:r w:rsidRPr="00965C52">
        <w:rPr>
          <w:rFonts w:eastAsia="Times New Roman"/>
          <w:lang w:val="fr-FR"/>
        </w:rPr>
        <w:tab/>
        <w:t>mm</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3.2.1.2.3</w:t>
      </w:r>
      <w:r w:rsidRPr="00965C52">
        <w:rPr>
          <w:rFonts w:eastAsia="Times New Roman"/>
          <w:lang w:val="fr-FR"/>
        </w:rPr>
        <w:tab/>
        <w:t>Ordre d</w:t>
      </w:r>
      <w:r w:rsidR="00DB4C2D">
        <w:rPr>
          <w:rFonts w:eastAsia="Times New Roman"/>
          <w:lang w:val="fr-FR"/>
        </w:rPr>
        <w:t>’</w:t>
      </w:r>
      <w:r w:rsidRPr="00965C52">
        <w:rPr>
          <w:rFonts w:eastAsia="Times New Roman"/>
          <w:lang w:val="fr-FR"/>
        </w:rPr>
        <w:t>allumage:</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3.2.1.3</w:t>
      </w:r>
      <w:r w:rsidRPr="00965C52">
        <w:rPr>
          <w:rFonts w:eastAsia="Times New Roman"/>
          <w:lang w:val="fr-FR"/>
        </w:rPr>
        <w:tab/>
        <w:t>Cylindrée</w:t>
      </w:r>
      <w:r w:rsidR="00B1323B">
        <w:rPr>
          <w:rStyle w:val="Appelnotedebasdep"/>
          <w:rFonts w:eastAsia="Times New Roman"/>
        </w:rPr>
        <w:footnoteReference w:id="18"/>
      </w:r>
      <w:r w:rsidRPr="00965C52">
        <w:rPr>
          <w:rFonts w:eastAsia="Times New Roman"/>
          <w:lang w:val="fr-FR"/>
        </w:rPr>
        <w:t xml:space="preserve">: </w:t>
      </w:r>
      <w:r w:rsidRPr="00965C52">
        <w:rPr>
          <w:rFonts w:eastAsia="Times New Roman"/>
          <w:lang w:val="fr-FR"/>
        </w:rPr>
        <w:tab/>
        <w:t>cm</w:t>
      </w:r>
      <w:r w:rsidRPr="00965C52">
        <w:rPr>
          <w:rFonts w:eastAsia="Times New Roman"/>
          <w:vertAlign w:val="superscript"/>
          <w:lang w:val="fr-FR"/>
        </w:rPr>
        <w:t>3</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3.2.1.4</w:t>
      </w:r>
      <w:r w:rsidRPr="00965C52">
        <w:rPr>
          <w:rFonts w:eastAsia="Times New Roman"/>
          <w:lang w:val="fr-FR"/>
        </w:rPr>
        <w:tab/>
        <w:t>Taux de compression volumétrique</w:t>
      </w:r>
      <w:r w:rsidR="00B1323B">
        <w:rPr>
          <w:rStyle w:val="Appelnotedebasdep"/>
          <w:rFonts w:eastAsia="Times New Roman"/>
        </w:rPr>
        <w:footnoteReference w:id="19"/>
      </w:r>
      <w:r w:rsidRPr="00965C52">
        <w:rPr>
          <w:rFonts w:eastAsia="Times New Roman"/>
          <w:lang w:val="fr-FR"/>
        </w:rPr>
        <w:t xml:space="preserve">: </w:t>
      </w:r>
      <w:r w:rsidRPr="00965C52">
        <w:rPr>
          <w:rFonts w:eastAsia="Times New Roman"/>
          <w:lang w:val="fr-FR"/>
        </w:rPr>
        <w:tab/>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3.2.1.5</w:t>
      </w:r>
      <w:r w:rsidRPr="00965C52">
        <w:rPr>
          <w:rFonts w:eastAsia="Times New Roman"/>
          <w:lang w:val="fr-FR"/>
        </w:rPr>
        <w:tab/>
        <w:t>Dessins de la chambre de combustion, de la tête de piston et, dans le cas d</w:t>
      </w:r>
      <w:r w:rsidR="00DB4C2D">
        <w:rPr>
          <w:rFonts w:eastAsia="Times New Roman"/>
          <w:lang w:val="fr-FR"/>
        </w:rPr>
        <w:t>’</w:t>
      </w:r>
      <w:r w:rsidRPr="00965C52">
        <w:rPr>
          <w:rFonts w:eastAsia="Times New Roman"/>
          <w:lang w:val="fr-FR"/>
        </w:rPr>
        <w:t xml:space="preserve">un moteur à allumage commandé, des </w:t>
      </w:r>
      <w:r w:rsidRPr="00A713B1">
        <w:rPr>
          <w:lang w:val="fr-FR"/>
        </w:rPr>
        <w:t>segments</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3.2.1.6</w:t>
      </w:r>
      <w:r w:rsidRPr="00965C52">
        <w:rPr>
          <w:rFonts w:eastAsia="Times New Roman"/>
          <w:lang w:val="fr-FR"/>
        </w:rPr>
        <w:tab/>
        <w:t>Ralenti normal</w:t>
      </w:r>
      <w:r w:rsidRPr="00965C52">
        <w:rPr>
          <w:rFonts w:eastAsia="Times New Roman"/>
          <w:sz w:val="18"/>
          <w:szCs w:val="18"/>
          <w:vertAlign w:val="superscript"/>
          <w:lang w:val="fr-FR"/>
        </w:rPr>
        <w:t>12</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lastRenderedPageBreak/>
        <w:t>3.2.1.6.1</w:t>
      </w:r>
      <w:r w:rsidRPr="00965C52">
        <w:rPr>
          <w:rFonts w:eastAsia="Times New Roman"/>
          <w:lang w:val="fr-FR"/>
        </w:rPr>
        <w:tab/>
        <w:t>Ralenti accéléré</w:t>
      </w:r>
      <w:r w:rsidRPr="00965C52">
        <w:rPr>
          <w:rFonts w:eastAsia="Times New Roman"/>
          <w:sz w:val="18"/>
          <w:szCs w:val="18"/>
          <w:vertAlign w:val="superscript"/>
          <w:lang w:val="fr-FR"/>
        </w:rPr>
        <w:t>12</w:t>
      </w:r>
      <w:r w:rsidRPr="00965C52">
        <w:rPr>
          <w:rFonts w:eastAsia="Times New Roman"/>
          <w:lang w:val="fr-FR"/>
        </w:rPr>
        <w:t xml:space="preserve">: </w:t>
      </w:r>
      <w:r w:rsidRPr="00965C52">
        <w:rPr>
          <w:rFonts w:eastAsia="Times New Roman"/>
          <w:lang w:val="fr-FR"/>
        </w:rPr>
        <w:tab/>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3.2.1.7</w:t>
      </w:r>
      <w:r w:rsidRPr="00965C52">
        <w:rPr>
          <w:rFonts w:eastAsia="Times New Roman"/>
          <w:lang w:val="fr-FR"/>
        </w:rPr>
        <w:tab/>
        <w:t>Teneur volumique en monoxyde de carbone des gaz d</w:t>
      </w:r>
      <w:r w:rsidR="00DB4C2D">
        <w:rPr>
          <w:rFonts w:eastAsia="Times New Roman"/>
          <w:lang w:val="fr-FR"/>
        </w:rPr>
        <w:t>’</w:t>
      </w:r>
      <w:r w:rsidRPr="00965C52">
        <w:rPr>
          <w:rFonts w:eastAsia="Times New Roman"/>
          <w:lang w:val="fr-FR"/>
        </w:rPr>
        <w:t>échappement, le moteur tournant au ralenti (selon les spécifications du constructeur, moteurs à allumage commandé uniquement)</w:t>
      </w:r>
      <w:r w:rsidRPr="00965C52">
        <w:rPr>
          <w:rFonts w:eastAsia="Times New Roman"/>
          <w:sz w:val="18"/>
          <w:szCs w:val="18"/>
          <w:vertAlign w:val="superscript"/>
          <w:lang w:val="fr-FR"/>
        </w:rPr>
        <w:t>12</w:t>
      </w:r>
      <w:r w:rsidRPr="00965C52">
        <w:rPr>
          <w:rFonts w:eastAsia="Times New Roman"/>
          <w:sz w:val="18"/>
          <w:szCs w:val="18"/>
          <w:lang w:val="fr-FR"/>
        </w:rPr>
        <w:t>:</w:t>
      </w:r>
      <w:r w:rsidRPr="00965C52">
        <w:rPr>
          <w:rFonts w:eastAsia="Times New Roman"/>
          <w:lang w:val="fr-FR"/>
        </w:rPr>
        <w:tab/>
        <w:t xml:space="preserve"> %</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3.2.1.8</w:t>
      </w:r>
      <w:r w:rsidRPr="00965C52">
        <w:rPr>
          <w:rFonts w:eastAsia="Times New Roman"/>
          <w:lang w:val="fr-FR"/>
        </w:rPr>
        <w:tab/>
        <w:t>Puissance maximale nette</w:t>
      </w:r>
      <w:r w:rsidR="000E5411">
        <w:rPr>
          <w:rStyle w:val="Appelnotedebasdep"/>
          <w:rFonts w:eastAsia="Times New Roman"/>
        </w:rPr>
        <w:footnoteReference w:id="20"/>
      </w:r>
      <w:r w:rsidRPr="00965C52">
        <w:rPr>
          <w:rFonts w:eastAsia="Times New Roman"/>
          <w:lang w:val="fr-FR"/>
        </w:rPr>
        <w:t xml:space="preserve">………………..kW à </w:t>
      </w:r>
      <w:r w:rsidRPr="00965C52">
        <w:rPr>
          <w:rFonts w:eastAsia="Times New Roman"/>
          <w:lang w:val="fr-FR"/>
        </w:rPr>
        <w:tab/>
        <w:t>min</w:t>
      </w:r>
      <w:r w:rsidRPr="00965C52">
        <w:rPr>
          <w:rFonts w:eastAsia="Times New Roman"/>
          <w:vertAlign w:val="superscript"/>
          <w:lang w:val="fr-FR"/>
        </w:rPr>
        <w:t>-1</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3.2.1.9</w:t>
      </w:r>
      <w:r w:rsidRPr="00965C52">
        <w:rPr>
          <w:rFonts w:eastAsia="Times New Roman"/>
          <w:lang w:val="fr-FR"/>
        </w:rPr>
        <w:tab/>
        <w:t>Régime maximal autorisé déclaré par le constructeur:</w:t>
      </w:r>
      <w:r w:rsidRPr="00965C52">
        <w:rPr>
          <w:rFonts w:eastAsia="Times New Roman"/>
          <w:lang w:val="fr-FR"/>
        </w:rPr>
        <w:tab/>
        <w:t>min</w:t>
      </w:r>
      <w:r w:rsidRPr="00965C52">
        <w:rPr>
          <w:rFonts w:eastAsia="Times New Roman"/>
          <w:vertAlign w:val="superscript"/>
          <w:lang w:val="fr-FR"/>
        </w:rPr>
        <w:t>-1</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3.2.1.10</w:t>
      </w:r>
      <w:r w:rsidRPr="00965C52">
        <w:rPr>
          <w:rFonts w:eastAsia="Times New Roman"/>
          <w:lang w:val="fr-FR"/>
        </w:rPr>
        <w:tab/>
        <w:t>Couple maximal net</w:t>
      </w:r>
      <w:r w:rsidRPr="00965C52">
        <w:rPr>
          <w:rFonts w:eastAsia="Times New Roman"/>
          <w:sz w:val="18"/>
          <w:szCs w:val="18"/>
          <w:vertAlign w:val="superscript"/>
          <w:lang w:val="fr-FR"/>
        </w:rPr>
        <w:t>13</w:t>
      </w:r>
      <w:r w:rsidRPr="00965C52">
        <w:rPr>
          <w:rFonts w:eastAsia="Times New Roman"/>
          <w:lang w:val="fr-FR"/>
        </w:rPr>
        <w:t xml:space="preserve">……………..Nm à </w:t>
      </w:r>
      <w:r w:rsidRPr="00965C52">
        <w:rPr>
          <w:rFonts w:eastAsia="Times New Roman"/>
          <w:lang w:val="fr-FR"/>
        </w:rPr>
        <w:tab/>
        <w:t>min</w:t>
      </w:r>
      <w:r w:rsidRPr="00965C52">
        <w:rPr>
          <w:rFonts w:eastAsia="Times New Roman"/>
          <w:vertAlign w:val="superscript"/>
          <w:lang w:val="fr-FR"/>
        </w:rPr>
        <w:t>-1</w:t>
      </w:r>
      <w:r w:rsidRPr="00965C52">
        <w:rPr>
          <w:rFonts w:eastAsia="Times New Roman"/>
          <w:lang w:val="fr-FR"/>
        </w:rPr>
        <w:br/>
        <w:t>(valeur déclarée par le constructeur)</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3.2.2</w:t>
      </w:r>
      <w:r w:rsidRPr="00965C52">
        <w:rPr>
          <w:rFonts w:eastAsia="Times New Roman"/>
          <w:lang w:val="fr-FR"/>
        </w:rPr>
        <w:tab/>
      </w:r>
      <w:r w:rsidRPr="00A713B1">
        <w:rPr>
          <w:lang w:val="fr-FR"/>
        </w:rPr>
        <w:t>Carburant</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3.2.2.1</w:t>
      </w:r>
      <w:r w:rsidRPr="00965C52">
        <w:rPr>
          <w:rFonts w:eastAsia="Times New Roman"/>
          <w:lang w:val="fr-FR"/>
        </w:rPr>
        <w:tab/>
        <w:t xml:space="preserve">Véhicules utilitaires légers: gazole/essence/GPL/GN ou </w:t>
      </w:r>
      <w:proofErr w:type="spellStart"/>
      <w:r w:rsidRPr="00965C52">
        <w:rPr>
          <w:rFonts w:eastAsia="Times New Roman"/>
          <w:lang w:val="fr-FR"/>
        </w:rPr>
        <w:t>biométhane</w:t>
      </w:r>
      <w:proofErr w:type="spellEnd"/>
      <w:r w:rsidRPr="00965C52">
        <w:rPr>
          <w:rFonts w:eastAsia="Times New Roman"/>
          <w:lang w:val="fr-FR"/>
        </w:rPr>
        <w:t xml:space="preserve">/ éthanol (E85)/ </w:t>
      </w:r>
      <w:proofErr w:type="spellStart"/>
      <w:r w:rsidRPr="00965C52">
        <w:rPr>
          <w:rFonts w:eastAsia="Times New Roman"/>
          <w:lang w:val="fr-FR"/>
        </w:rPr>
        <w:t>biogazole</w:t>
      </w:r>
      <w:proofErr w:type="spellEnd"/>
      <w:r w:rsidRPr="00965C52">
        <w:rPr>
          <w:rFonts w:eastAsia="Times New Roman"/>
          <w:lang w:val="fr-FR"/>
        </w:rPr>
        <w:t>/hydrogène</w:t>
      </w:r>
      <w:r w:rsidR="000E5411">
        <w:rPr>
          <w:rStyle w:val="Appelnotedebasdep"/>
          <w:rFonts w:eastAsia="Times New Roman"/>
        </w:rPr>
        <w:footnoteReference w:id="21"/>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3.2.2.2</w:t>
      </w:r>
      <w:r w:rsidRPr="00965C52">
        <w:rPr>
          <w:rFonts w:eastAsia="Times New Roman"/>
          <w:lang w:val="fr-FR"/>
        </w:rPr>
        <w:tab/>
        <w:t>Indice d</w:t>
      </w:r>
      <w:r w:rsidR="00DB4C2D">
        <w:rPr>
          <w:rFonts w:eastAsia="Times New Roman"/>
          <w:lang w:val="fr-FR"/>
        </w:rPr>
        <w:t>’</w:t>
      </w:r>
      <w:r w:rsidRPr="00965C52">
        <w:rPr>
          <w:rFonts w:eastAsia="Times New Roman"/>
          <w:lang w:val="fr-FR"/>
        </w:rPr>
        <w:t xml:space="preserve">octane recherche (IOR), essence sans plomb: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3.2.2.3</w:t>
      </w:r>
      <w:r w:rsidRPr="00965C52">
        <w:rPr>
          <w:rFonts w:eastAsia="Times New Roman"/>
          <w:lang w:val="fr-FR"/>
        </w:rPr>
        <w:tab/>
        <w:t xml:space="preserve">Orifice du réservoir de carburant: orifice </w:t>
      </w:r>
      <w:r w:rsidRPr="00A713B1">
        <w:rPr>
          <w:lang w:val="fr-FR"/>
        </w:rPr>
        <w:t>restreint</w:t>
      </w:r>
      <w:r w:rsidRPr="00965C52">
        <w:rPr>
          <w:rFonts w:eastAsia="Times New Roman"/>
          <w:lang w:val="fr-FR"/>
        </w:rPr>
        <w:t>/étiquette</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3.2.2.4</w:t>
      </w:r>
      <w:r w:rsidRPr="00965C52">
        <w:rPr>
          <w:rFonts w:eastAsia="Times New Roman"/>
          <w:lang w:val="fr-FR"/>
        </w:rPr>
        <w:tab/>
        <w:t xml:space="preserve">Type de carburant du véhicule: </w:t>
      </w:r>
      <w:proofErr w:type="spellStart"/>
      <w:r w:rsidRPr="00965C52">
        <w:rPr>
          <w:rFonts w:eastAsia="Times New Roman"/>
          <w:lang w:val="fr-FR"/>
        </w:rPr>
        <w:t>monocarburant</w:t>
      </w:r>
      <w:proofErr w:type="spellEnd"/>
      <w:r w:rsidRPr="00965C52">
        <w:rPr>
          <w:rFonts w:eastAsia="Times New Roman"/>
          <w:lang w:val="fr-FR"/>
        </w:rPr>
        <w:t xml:space="preserve">, </w:t>
      </w:r>
      <w:proofErr w:type="spellStart"/>
      <w:r w:rsidRPr="00965C52">
        <w:rPr>
          <w:rFonts w:eastAsia="Times New Roman"/>
          <w:lang w:val="fr-FR"/>
        </w:rPr>
        <w:t>bicarburant</w:t>
      </w:r>
      <w:proofErr w:type="spellEnd"/>
      <w:r w:rsidRPr="00965C52">
        <w:rPr>
          <w:rFonts w:eastAsia="Times New Roman"/>
          <w:lang w:val="fr-FR"/>
        </w:rPr>
        <w:t>, polycarburant</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3.2.2.5</w:t>
      </w:r>
      <w:r w:rsidRPr="00965C52">
        <w:rPr>
          <w:rFonts w:eastAsia="Times New Roman"/>
          <w:lang w:val="fr-FR"/>
        </w:rPr>
        <w:tab/>
        <w:t xml:space="preserve">Quantité maximale de </w:t>
      </w:r>
      <w:proofErr w:type="spellStart"/>
      <w:r w:rsidRPr="00965C52">
        <w:rPr>
          <w:rFonts w:eastAsia="Times New Roman"/>
          <w:lang w:val="fr-FR"/>
        </w:rPr>
        <w:t>biocarburant</w:t>
      </w:r>
      <w:proofErr w:type="spellEnd"/>
      <w:r w:rsidRPr="00965C52">
        <w:rPr>
          <w:rFonts w:eastAsia="Times New Roman"/>
          <w:lang w:val="fr-FR"/>
        </w:rPr>
        <w:t xml:space="preserve"> acceptable dans le carburant (valeur déclarée par le constructeur): </w:t>
      </w:r>
      <w:r w:rsidRPr="00965C52">
        <w:rPr>
          <w:rFonts w:eastAsia="Times New Roman"/>
          <w:lang w:val="fr-FR"/>
        </w:rPr>
        <w:tab/>
        <w:t>% par volume</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w:t>
      </w:r>
      <w:r w:rsidRPr="00965C52">
        <w:rPr>
          <w:rFonts w:eastAsia="Times New Roman"/>
          <w:lang w:val="fr-FR"/>
        </w:rPr>
        <w:tab/>
        <w:t xml:space="preserve">Alimentation en </w:t>
      </w:r>
      <w:r w:rsidRPr="00A713B1">
        <w:rPr>
          <w:lang w:val="fr-FR"/>
        </w:rPr>
        <w:t>carburant</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w:t>
      </w:r>
      <w:r w:rsidRPr="00965C52">
        <w:rPr>
          <w:rFonts w:eastAsia="Times New Roman"/>
          <w:lang w:val="fr-FR"/>
        </w:rPr>
        <w:tab/>
        <w:t>Injection de carburant (</w:t>
      </w:r>
      <w:r w:rsidRPr="00A713B1">
        <w:rPr>
          <w:lang w:val="fr-FR"/>
        </w:rPr>
        <w:t>allumage</w:t>
      </w:r>
      <w:r w:rsidRPr="00965C52">
        <w:rPr>
          <w:rFonts w:eastAsia="Times New Roman"/>
          <w:lang w:val="fr-FR"/>
        </w:rPr>
        <w:t xml:space="preserve"> par compression uniquement): oui/non</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3.2.4.2.1</w:t>
      </w:r>
      <w:r w:rsidRPr="00965C52">
        <w:rPr>
          <w:rFonts w:eastAsia="Times New Roman"/>
          <w:lang w:val="fr-FR"/>
        </w:rPr>
        <w:tab/>
        <w:t xml:space="preserve">Description du système: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3.2.4.2.2</w:t>
      </w:r>
      <w:r w:rsidRPr="00965C52">
        <w:rPr>
          <w:rFonts w:eastAsia="Times New Roman"/>
          <w:lang w:val="fr-FR"/>
        </w:rPr>
        <w:tab/>
        <w:t xml:space="preserve">Principe de fonctionnement: </w:t>
      </w:r>
      <w:r w:rsidRPr="00A713B1">
        <w:rPr>
          <w:lang w:val="fr-FR"/>
        </w:rPr>
        <w:t>injection</w:t>
      </w:r>
      <w:r w:rsidRPr="00965C52">
        <w:rPr>
          <w:rFonts w:eastAsia="Times New Roman"/>
          <w:lang w:val="fr-FR"/>
        </w:rPr>
        <w:t xml:space="preserve"> directe/préchambre/chambre</w:t>
      </w:r>
      <w:r w:rsidRPr="00965C52">
        <w:rPr>
          <w:rFonts w:eastAsia="Times New Roman"/>
          <w:lang w:val="fr-FR"/>
        </w:rPr>
        <w:br/>
        <w:t>de turbulence</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3.2.4.2.3</w:t>
      </w:r>
      <w:r w:rsidRPr="00965C52">
        <w:rPr>
          <w:rFonts w:eastAsia="Times New Roman"/>
          <w:lang w:val="fr-FR"/>
        </w:rPr>
        <w:tab/>
        <w:t xml:space="preserve">Pompe </w:t>
      </w:r>
      <w:r w:rsidRPr="00A713B1">
        <w:rPr>
          <w:lang w:val="fr-FR"/>
        </w:rPr>
        <w:t>d</w:t>
      </w:r>
      <w:r w:rsidR="00DB4C2D">
        <w:rPr>
          <w:lang w:val="fr-FR"/>
        </w:rPr>
        <w:t>’</w:t>
      </w:r>
      <w:r w:rsidRPr="00A713B1">
        <w:rPr>
          <w:lang w:val="fr-FR"/>
        </w:rPr>
        <w:t>injection</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3.2.4.2.3.1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3.2.4.2.3.2</w:t>
      </w:r>
      <w:r w:rsidRPr="00965C52">
        <w:rPr>
          <w:rFonts w:eastAsia="Times New Roman"/>
          <w:lang w:val="fr-FR"/>
        </w:rPr>
        <w:tab/>
        <w:t xml:space="preserve">Type(s): </w:t>
      </w:r>
      <w:r w:rsidRPr="00965C52">
        <w:rPr>
          <w:rFonts w:eastAsia="Times New Roman"/>
          <w:lang w:val="fr-FR"/>
        </w:rPr>
        <w:tab/>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3.2.4.2.3.3</w:t>
      </w:r>
      <w:r w:rsidRPr="00965C52">
        <w:rPr>
          <w:rFonts w:eastAsia="Times New Roman"/>
          <w:lang w:val="fr-FR"/>
        </w:rPr>
        <w:tab/>
        <w:t>Débit maximal de carburant</w:t>
      </w:r>
      <w:r w:rsidRPr="00965C52">
        <w:rPr>
          <w:rFonts w:eastAsia="Times New Roman"/>
          <w:sz w:val="18"/>
          <w:szCs w:val="18"/>
          <w:vertAlign w:val="superscript"/>
          <w:lang w:val="fr-FR"/>
        </w:rPr>
        <w:t>9</w:t>
      </w:r>
      <w:r w:rsidRPr="00965C52">
        <w:rPr>
          <w:rFonts w:eastAsia="Times New Roman"/>
          <w:vertAlign w:val="superscript"/>
          <w:lang w:val="fr-FR"/>
        </w:rPr>
        <w:t>,</w:t>
      </w:r>
      <w:r w:rsidRPr="00965C52">
        <w:rPr>
          <w:rFonts w:eastAsia="Times New Roman"/>
          <w:lang w:val="fr-FR"/>
        </w:rPr>
        <w:t xml:space="preserve"> </w:t>
      </w:r>
      <w:r w:rsidRPr="00965C52">
        <w:rPr>
          <w:rFonts w:eastAsia="Times New Roman"/>
          <w:sz w:val="18"/>
          <w:szCs w:val="18"/>
          <w:vertAlign w:val="superscript"/>
          <w:lang w:val="fr-FR"/>
        </w:rPr>
        <w:t>12</w:t>
      </w:r>
      <w:r w:rsidRPr="00965C52">
        <w:rPr>
          <w:rFonts w:eastAsia="Times New Roman"/>
          <w:lang w:val="fr-FR"/>
        </w:rPr>
        <w:t>… mm</w:t>
      </w:r>
      <w:r w:rsidRPr="00965C52">
        <w:rPr>
          <w:rFonts w:eastAsia="Times New Roman"/>
          <w:vertAlign w:val="superscript"/>
          <w:lang w:val="fr-FR"/>
        </w:rPr>
        <w:t>3</w:t>
      </w:r>
      <w:r w:rsidRPr="00965C52">
        <w:rPr>
          <w:rFonts w:eastAsia="Times New Roman"/>
          <w:lang w:val="fr-FR"/>
        </w:rPr>
        <w:t>/par course ou par cycle, à un régime de:</w:t>
      </w:r>
      <w:r w:rsidRPr="00965C52">
        <w:rPr>
          <w:rFonts w:eastAsia="Times New Roman"/>
          <w:sz w:val="18"/>
          <w:szCs w:val="18"/>
          <w:vertAlign w:val="superscript"/>
          <w:lang w:val="fr-FR"/>
        </w:rPr>
        <w:t>9</w:t>
      </w:r>
      <w:r w:rsidRPr="00965C52">
        <w:rPr>
          <w:rFonts w:eastAsia="Times New Roman"/>
          <w:vertAlign w:val="superscript"/>
          <w:lang w:val="fr-FR"/>
        </w:rPr>
        <w:t>,</w:t>
      </w:r>
      <w:r w:rsidRPr="00965C52">
        <w:rPr>
          <w:rFonts w:eastAsia="Times New Roman"/>
          <w:lang w:val="fr-FR"/>
        </w:rPr>
        <w:t xml:space="preserve"> </w:t>
      </w:r>
      <w:r w:rsidRPr="00965C52">
        <w:rPr>
          <w:rFonts w:eastAsia="Times New Roman"/>
          <w:sz w:val="18"/>
          <w:szCs w:val="18"/>
          <w:vertAlign w:val="superscript"/>
          <w:lang w:val="fr-FR"/>
        </w:rPr>
        <w:t>12</w:t>
      </w:r>
      <w:r w:rsidRPr="00965C52">
        <w:rPr>
          <w:rFonts w:eastAsia="Times New Roman"/>
          <w:lang w:val="fr-FR"/>
        </w:rPr>
        <w:t>… min</w:t>
      </w:r>
      <w:r w:rsidRPr="00965C52">
        <w:rPr>
          <w:rFonts w:eastAsia="Times New Roman"/>
          <w:vertAlign w:val="superscript"/>
          <w:lang w:val="fr-FR"/>
        </w:rPr>
        <w:t>-1</w:t>
      </w:r>
      <w:r w:rsidRPr="00965C52">
        <w:rPr>
          <w:rFonts w:eastAsia="Times New Roman"/>
          <w:lang w:val="fr-FR"/>
        </w:rPr>
        <w:t xml:space="preserve"> ou diagramme </w:t>
      </w:r>
      <w:r w:rsidRPr="00A713B1">
        <w:rPr>
          <w:lang w:val="fr-FR"/>
        </w:rPr>
        <w:t>caractéristique</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3.2.4.2.3.5</w:t>
      </w:r>
      <w:r w:rsidRPr="00965C52">
        <w:rPr>
          <w:rFonts w:eastAsia="Times New Roman"/>
          <w:lang w:val="fr-FR"/>
        </w:rPr>
        <w:tab/>
        <w:t>Courbe d</w:t>
      </w:r>
      <w:r w:rsidR="00DB4C2D">
        <w:rPr>
          <w:rFonts w:eastAsia="Times New Roman"/>
          <w:lang w:val="fr-FR"/>
        </w:rPr>
        <w:t>’</w:t>
      </w:r>
      <w:r w:rsidRPr="00965C52">
        <w:rPr>
          <w:rFonts w:eastAsia="Times New Roman"/>
          <w:lang w:val="fr-FR"/>
        </w:rPr>
        <w:t>avance à l</w:t>
      </w:r>
      <w:r w:rsidR="00DB4C2D">
        <w:rPr>
          <w:rFonts w:eastAsia="Times New Roman"/>
          <w:lang w:val="fr-FR"/>
        </w:rPr>
        <w:t>’</w:t>
      </w:r>
      <w:r w:rsidRPr="00965C52">
        <w:rPr>
          <w:rFonts w:eastAsia="Times New Roman"/>
          <w:lang w:val="fr-FR"/>
        </w:rPr>
        <w:t>injection</w:t>
      </w:r>
      <w:r w:rsidRPr="00965C52">
        <w:rPr>
          <w:rFonts w:eastAsia="Times New Roman"/>
          <w:sz w:val="18"/>
          <w:szCs w:val="18"/>
          <w:vertAlign w:val="superscript"/>
          <w:lang w:val="fr-FR"/>
        </w:rPr>
        <w:t>12</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3.2.4.2.4</w:t>
      </w:r>
      <w:r w:rsidRPr="00965C52">
        <w:rPr>
          <w:rFonts w:eastAsia="Times New Roman"/>
          <w:lang w:val="fr-FR"/>
        </w:rPr>
        <w:tab/>
      </w:r>
      <w:r w:rsidRPr="00A713B1">
        <w:rPr>
          <w:lang w:val="fr-FR"/>
        </w:rPr>
        <w:t>Régulateur</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3.2.4.2.4.2</w:t>
      </w:r>
      <w:r w:rsidRPr="00965C52">
        <w:rPr>
          <w:rFonts w:eastAsia="Times New Roman"/>
          <w:lang w:val="fr-FR"/>
        </w:rPr>
        <w:tab/>
        <w:t xml:space="preserve">Point de coupure: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3.2.4.2.4.2.1</w:t>
      </w:r>
      <w:r w:rsidRPr="00965C52">
        <w:rPr>
          <w:rFonts w:eastAsia="Times New Roman"/>
          <w:lang w:val="fr-FR"/>
        </w:rPr>
        <w:tab/>
        <w:t xml:space="preserve">Régime de début de </w:t>
      </w:r>
      <w:r w:rsidRPr="00A713B1">
        <w:rPr>
          <w:lang w:val="fr-FR"/>
        </w:rPr>
        <w:t>coupure</w:t>
      </w:r>
      <w:r w:rsidRPr="00965C52">
        <w:rPr>
          <w:rFonts w:eastAsia="Times New Roman"/>
          <w:lang w:val="fr-FR"/>
        </w:rPr>
        <w:t xml:space="preserve"> en charge: </w:t>
      </w:r>
      <w:r w:rsidRPr="00965C52">
        <w:rPr>
          <w:rFonts w:eastAsia="Times New Roman"/>
          <w:lang w:val="fr-FR"/>
        </w:rPr>
        <w:tab/>
        <w:t>min</w:t>
      </w:r>
      <w:r w:rsidRPr="00965C52">
        <w:rPr>
          <w:rFonts w:eastAsia="Times New Roman"/>
          <w:vertAlign w:val="superscript"/>
          <w:lang w:val="fr-FR"/>
        </w:rPr>
        <w:t>-1</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3.2.4.2.4.2.2</w:t>
      </w:r>
      <w:r w:rsidRPr="00965C52">
        <w:rPr>
          <w:rFonts w:eastAsia="Times New Roman"/>
          <w:lang w:val="fr-FR"/>
        </w:rPr>
        <w:tab/>
        <w:t xml:space="preserve">Régime maximal à vide: </w:t>
      </w:r>
      <w:r w:rsidRPr="00965C52">
        <w:rPr>
          <w:rFonts w:eastAsia="Times New Roman"/>
          <w:lang w:val="fr-FR"/>
        </w:rPr>
        <w:tab/>
        <w:t>min</w:t>
      </w:r>
      <w:r w:rsidRPr="00965C52">
        <w:rPr>
          <w:rFonts w:eastAsia="Times New Roman"/>
          <w:vertAlign w:val="superscript"/>
          <w:lang w:val="fr-FR"/>
        </w:rPr>
        <w:t>-1</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3.2.4.2.6</w:t>
      </w:r>
      <w:r w:rsidRPr="00965C52">
        <w:rPr>
          <w:rFonts w:eastAsia="Times New Roman"/>
          <w:lang w:val="fr-FR"/>
        </w:rPr>
        <w:tab/>
        <w:t>Injecteur(s):</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3.2.4.2.6.1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3.2.4.2.6.2</w:t>
      </w:r>
      <w:r w:rsidRPr="00965C52">
        <w:rPr>
          <w:rFonts w:eastAsia="Times New Roman"/>
          <w:lang w:val="fr-FR"/>
        </w:rPr>
        <w:tab/>
        <w:t xml:space="preserve">Type(s):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3.2.4.2.7</w:t>
      </w:r>
      <w:r w:rsidRPr="00965C52">
        <w:rPr>
          <w:rFonts w:eastAsia="Times New Roman"/>
          <w:lang w:val="fr-FR"/>
        </w:rPr>
        <w:tab/>
        <w:t xml:space="preserve">Système de démarrage à froid: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lastRenderedPageBreak/>
        <w:t>3.2.4.2.7.1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3.2.4.2.7.2</w:t>
      </w:r>
      <w:r w:rsidRPr="00965C52">
        <w:rPr>
          <w:rFonts w:eastAsia="Times New Roman"/>
          <w:lang w:val="fr-FR"/>
        </w:rPr>
        <w:tab/>
        <w:t xml:space="preserve">Type(s):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3.2.4.2.7.3</w:t>
      </w:r>
      <w:r w:rsidRPr="00965C52">
        <w:rPr>
          <w:rFonts w:eastAsia="Times New Roman"/>
          <w:lang w:val="fr-FR"/>
        </w:rPr>
        <w:tab/>
        <w:t xml:space="preserve">Description: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3.2.4.2.8</w:t>
      </w:r>
      <w:r w:rsidRPr="00965C52">
        <w:rPr>
          <w:rFonts w:eastAsia="Times New Roman"/>
          <w:lang w:val="fr-FR"/>
        </w:rPr>
        <w:tab/>
        <w:t xml:space="preserve">Dispositif de démarrage </w:t>
      </w:r>
      <w:r w:rsidRPr="00A713B1">
        <w:rPr>
          <w:lang w:val="fr-FR"/>
        </w:rPr>
        <w:t>auxiliaire</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3.2.4.2.8.1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3.2.4.2.8.2</w:t>
      </w:r>
      <w:r w:rsidRPr="00965C52">
        <w:rPr>
          <w:rFonts w:eastAsia="Times New Roman"/>
          <w:lang w:val="fr-FR"/>
        </w:rPr>
        <w:tab/>
        <w:t xml:space="preserve">Type(s):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3.2.4.2.8.3</w:t>
      </w:r>
      <w:r w:rsidRPr="00965C52">
        <w:rPr>
          <w:rFonts w:eastAsia="Times New Roman"/>
          <w:lang w:val="fr-FR"/>
        </w:rPr>
        <w:tab/>
        <w:t xml:space="preserve">Description du système: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w:t>
      </w:r>
      <w:r w:rsidRPr="00965C52">
        <w:rPr>
          <w:rFonts w:eastAsia="Times New Roman"/>
          <w:lang w:val="fr-FR"/>
        </w:rPr>
        <w:tab/>
        <w:t xml:space="preserve">Injection à commande </w:t>
      </w:r>
      <w:r w:rsidRPr="00A713B1">
        <w:rPr>
          <w:lang w:val="fr-FR"/>
        </w:rPr>
        <w:t>électronique</w:t>
      </w:r>
      <w:r w:rsidRPr="00965C52">
        <w:rPr>
          <w:rFonts w:eastAsia="Times New Roman"/>
          <w:lang w:val="fr-FR"/>
        </w:rPr>
        <w:t>: oui/non</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3.2.4.2.9.2</w:t>
      </w:r>
      <w:r w:rsidRPr="00965C52">
        <w:rPr>
          <w:rFonts w:eastAsia="Times New Roman"/>
          <w:lang w:val="fr-FR"/>
        </w:rPr>
        <w:tab/>
        <w:t xml:space="preserve">Type(s):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3.2.4.2.9.3</w:t>
      </w:r>
      <w:r w:rsidRPr="00965C52">
        <w:rPr>
          <w:rFonts w:eastAsia="Times New Roman"/>
          <w:lang w:val="fr-FR"/>
        </w:rPr>
        <w:tab/>
        <w:t>Description du système, dans le cas de systèmes autres que l</w:t>
      </w:r>
      <w:r w:rsidR="00DB4C2D">
        <w:rPr>
          <w:rFonts w:eastAsia="Times New Roman"/>
          <w:lang w:val="fr-FR"/>
        </w:rPr>
        <w:t>’</w:t>
      </w:r>
      <w:r w:rsidRPr="00965C52">
        <w:rPr>
          <w:rFonts w:eastAsia="Times New Roman"/>
          <w:lang w:val="fr-FR"/>
        </w:rPr>
        <w:t xml:space="preserve">injection continue, fournir des données </w:t>
      </w:r>
      <w:r w:rsidRPr="00A713B1">
        <w:rPr>
          <w:lang w:val="fr-FR"/>
        </w:rPr>
        <w:t>correspondantes</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3.2.4.2.9.3.1</w:t>
      </w:r>
      <w:r w:rsidRPr="00965C52">
        <w:rPr>
          <w:rFonts w:eastAsia="Times New Roman"/>
          <w:lang w:val="fr-FR"/>
        </w:rPr>
        <w:tab/>
        <w:t>Marque et type de l</w:t>
      </w:r>
      <w:r w:rsidR="00DB4C2D">
        <w:rPr>
          <w:rFonts w:eastAsia="Times New Roman"/>
          <w:lang w:val="fr-FR"/>
        </w:rPr>
        <w:t>’</w:t>
      </w:r>
      <w:r w:rsidRPr="00965C52">
        <w:rPr>
          <w:rFonts w:eastAsia="Times New Roman"/>
          <w:lang w:val="fr-FR"/>
        </w:rPr>
        <w:t xml:space="preserve">unité de </w:t>
      </w:r>
      <w:r w:rsidRPr="00A713B1">
        <w:rPr>
          <w:lang w:val="fr-FR"/>
        </w:rPr>
        <w:t>commande</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3.2.4.2.9.3.2</w:t>
      </w:r>
      <w:r w:rsidRPr="00965C52">
        <w:rPr>
          <w:rFonts w:eastAsia="Times New Roman"/>
          <w:lang w:val="fr-FR"/>
        </w:rPr>
        <w:tab/>
        <w:t xml:space="preserve">Marque et type du régulateur de </w:t>
      </w:r>
      <w:r w:rsidRPr="00A713B1">
        <w:rPr>
          <w:lang w:val="fr-FR"/>
        </w:rPr>
        <w:t>carburant</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3.2.4.2.9.3.3</w:t>
      </w:r>
      <w:r w:rsidRPr="00965C52">
        <w:rPr>
          <w:rFonts w:eastAsia="Times New Roman"/>
          <w:lang w:val="fr-FR"/>
        </w:rPr>
        <w:tab/>
        <w:t>Marque et type du capteur de débit d</w:t>
      </w:r>
      <w:r w:rsidR="00DB4C2D">
        <w:rPr>
          <w:rFonts w:eastAsia="Times New Roman"/>
          <w:lang w:val="fr-FR"/>
        </w:rPr>
        <w:t>’</w:t>
      </w:r>
      <w:r w:rsidRPr="00965C52">
        <w:rPr>
          <w:rFonts w:eastAsia="Times New Roman"/>
          <w:lang w:val="fr-FR"/>
        </w:rPr>
        <w:t xml:space="preserve">air: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3.2.4.2.9.3.4</w:t>
      </w:r>
      <w:r w:rsidRPr="00965C52">
        <w:rPr>
          <w:rFonts w:eastAsia="Times New Roman"/>
          <w:lang w:val="fr-FR"/>
        </w:rPr>
        <w:tab/>
        <w:t xml:space="preserve">Marque et type du distributeur de </w:t>
      </w:r>
      <w:r w:rsidRPr="00A713B1">
        <w:rPr>
          <w:lang w:val="fr-FR"/>
        </w:rPr>
        <w:t>carburant</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3.2.4.2.9.3.5</w:t>
      </w:r>
      <w:r w:rsidRPr="00965C52">
        <w:rPr>
          <w:rFonts w:eastAsia="Times New Roman"/>
          <w:lang w:val="fr-FR"/>
        </w:rPr>
        <w:tab/>
        <w:t xml:space="preserve">Marque et type du boîtier de </w:t>
      </w:r>
      <w:r w:rsidRPr="00A713B1">
        <w:rPr>
          <w:lang w:val="fr-FR"/>
        </w:rPr>
        <w:t>commande</w:t>
      </w:r>
      <w:r w:rsidRPr="00965C52">
        <w:rPr>
          <w:rFonts w:eastAsia="Times New Roman"/>
          <w:lang w:val="fr-FR"/>
        </w:rPr>
        <w:t xml:space="preserve"> de gaz: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3.2.4.2.9.3.6</w:t>
      </w:r>
      <w:r w:rsidRPr="00965C52">
        <w:rPr>
          <w:rFonts w:eastAsia="Times New Roman"/>
          <w:lang w:val="fr-FR"/>
        </w:rPr>
        <w:tab/>
        <w:t xml:space="preserve">Marque et type du capteur de </w:t>
      </w:r>
      <w:r w:rsidRPr="00A713B1">
        <w:rPr>
          <w:lang w:val="fr-FR"/>
        </w:rPr>
        <w:t>température</w:t>
      </w:r>
      <w:r w:rsidRPr="00965C52">
        <w:rPr>
          <w:rFonts w:eastAsia="Times New Roman"/>
          <w:lang w:val="fr-FR"/>
        </w:rPr>
        <w:t xml:space="preserve"> d</w:t>
      </w:r>
      <w:r w:rsidR="00DB4C2D">
        <w:rPr>
          <w:rFonts w:eastAsia="Times New Roman"/>
          <w:lang w:val="fr-FR"/>
        </w:rPr>
        <w:t>’</w:t>
      </w:r>
      <w:r w:rsidRPr="00965C52">
        <w:rPr>
          <w:rFonts w:eastAsia="Times New Roman"/>
          <w:lang w:val="fr-FR"/>
        </w:rPr>
        <w:t xml:space="preserve">eau: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3.2.4.2.9.3.7</w:t>
      </w:r>
      <w:r w:rsidRPr="00965C52">
        <w:rPr>
          <w:rFonts w:eastAsia="Times New Roman"/>
          <w:lang w:val="fr-FR"/>
        </w:rPr>
        <w:tab/>
        <w:t xml:space="preserve">Marque et type du capteur de </w:t>
      </w:r>
      <w:r w:rsidRPr="00A713B1">
        <w:rPr>
          <w:lang w:val="fr-FR"/>
        </w:rPr>
        <w:t>température</w:t>
      </w:r>
      <w:r w:rsidRPr="00965C52">
        <w:rPr>
          <w:rFonts w:eastAsia="Times New Roman"/>
          <w:lang w:val="fr-FR"/>
        </w:rPr>
        <w:t xml:space="preserve"> d</w:t>
      </w:r>
      <w:r w:rsidR="00DB4C2D">
        <w:rPr>
          <w:rFonts w:eastAsia="Times New Roman"/>
          <w:lang w:val="fr-FR"/>
        </w:rPr>
        <w:t>’</w:t>
      </w:r>
      <w:r w:rsidRPr="00965C52">
        <w:rPr>
          <w:rFonts w:eastAsia="Times New Roman"/>
          <w:lang w:val="fr-FR"/>
        </w:rPr>
        <w:t>air:</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3.2.4.2.9.3.8</w:t>
      </w:r>
      <w:r w:rsidRPr="00965C52">
        <w:rPr>
          <w:rFonts w:eastAsia="Times New Roman"/>
          <w:lang w:val="fr-FR"/>
        </w:rPr>
        <w:tab/>
        <w:t xml:space="preserve">Marque et type du capteur de pression </w:t>
      </w:r>
      <w:r w:rsidRPr="00A713B1">
        <w:rPr>
          <w:lang w:val="fr-FR"/>
        </w:rPr>
        <w:t>atmosphérique</w:t>
      </w:r>
      <w:r w:rsidRPr="00965C52">
        <w:rPr>
          <w:rFonts w:eastAsia="Times New Roman"/>
          <w:lang w:val="fr-FR"/>
        </w:rPr>
        <w:t>:</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w:t>
      </w:r>
      <w:r w:rsidRPr="00965C52">
        <w:rPr>
          <w:rFonts w:eastAsia="Times New Roman"/>
          <w:lang w:val="fr-FR"/>
        </w:rPr>
        <w:tab/>
        <w:t xml:space="preserve">Injection de carburant (allumage </w:t>
      </w:r>
      <w:r w:rsidRPr="00A713B1">
        <w:rPr>
          <w:lang w:val="fr-FR"/>
        </w:rPr>
        <w:t>commandé</w:t>
      </w:r>
      <w:r w:rsidRPr="00965C52">
        <w:rPr>
          <w:rFonts w:eastAsia="Times New Roman"/>
          <w:lang w:val="fr-FR"/>
        </w:rPr>
        <w:t xml:space="preserve"> uniquement): oui/non</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3.2.4.3.1</w:t>
      </w:r>
      <w:r w:rsidRPr="00965C52">
        <w:rPr>
          <w:rFonts w:eastAsia="Times New Roman"/>
          <w:lang w:val="fr-FR"/>
        </w:rPr>
        <w:tab/>
        <w:t>Principe de fonctionnement: injection dans le collecteur d</w:t>
      </w:r>
      <w:r w:rsidR="00DB4C2D">
        <w:rPr>
          <w:rFonts w:eastAsia="Times New Roman"/>
          <w:lang w:val="fr-FR"/>
        </w:rPr>
        <w:t>’</w:t>
      </w:r>
      <w:r w:rsidRPr="00965C52">
        <w:rPr>
          <w:rFonts w:eastAsia="Times New Roman"/>
          <w:lang w:val="fr-FR"/>
        </w:rPr>
        <w:t xml:space="preserve">admission (simple/multipoints)/injection directe/autre (préciser):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3.2.4.3.2</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3.2.4.3.3</w:t>
      </w:r>
      <w:r w:rsidRPr="00965C52">
        <w:rPr>
          <w:rFonts w:eastAsia="Times New Roman"/>
          <w:lang w:val="fr-FR"/>
        </w:rPr>
        <w:tab/>
        <w:t>Type(s):</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3.2.4.3.4</w:t>
      </w:r>
      <w:r w:rsidRPr="00965C52">
        <w:rPr>
          <w:rFonts w:eastAsia="Times New Roman"/>
          <w:lang w:val="fr-FR"/>
        </w:rPr>
        <w:tab/>
        <w:t>Description du système (dans le cas de systèmes autres que l</w:t>
      </w:r>
      <w:r w:rsidR="00DB4C2D">
        <w:rPr>
          <w:rFonts w:eastAsia="Times New Roman"/>
          <w:lang w:val="fr-FR"/>
        </w:rPr>
        <w:t>’</w:t>
      </w:r>
      <w:r w:rsidRPr="00965C52">
        <w:rPr>
          <w:rFonts w:eastAsia="Times New Roman"/>
          <w:lang w:val="fr-FR"/>
        </w:rPr>
        <w:t xml:space="preserve">injection continue, fournir les données </w:t>
      </w:r>
      <w:r w:rsidRPr="00A713B1">
        <w:rPr>
          <w:lang w:val="fr-FR"/>
        </w:rPr>
        <w:t>correspondantes</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3.2.4.3.4.1</w:t>
      </w:r>
      <w:r w:rsidRPr="00965C52">
        <w:rPr>
          <w:rFonts w:eastAsia="Times New Roman"/>
          <w:lang w:val="fr-FR"/>
        </w:rPr>
        <w:tab/>
        <w:t>Marque et type de l</w:t>
      </w:r>
      <w:r w:rsidR="00DB4C2D">
        <w:rPr>
          <w:rFonts w:eastAsia="Times New Roman"/>
          <w:lang w:val="fr-FR"/>
        </w:rPr>
        <w:t>’</w:t>
      </w:r>
      <w:r w:rsidRPr="00965C52">
        <w:rPr>
          <w:rFonts w:eastAsia="Times New Roman"/>
          <w:lang w:val="fr-FR"/>
        </w:rPr>
        <w:t xml:space="preserve">unité de </w:t>
      </w:r>
      <w:r w:rsidRPr="00A713B1">
        <w:rPr>
          <w:lang w:val="fr-FR"/>
        </w:rPr>
        <w:t>commande</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3.2.4.3.4.2</w:t>
      </w:r>
      <w:r w:rsidRPr="00965C52">
        <w:rPr>
          <w:rFonts w:eastAsia="Times New Roman"/>
          <w:lang w:val="fr-FR"/>
        </w:rPr>
        <w:tab/>
        <w:t xml:space="preserve">Marque et type du régulateur de </w:t>
      </w:r>
      <w:r w:rsidRPr="00A713B1">
        <w:rPr>
          <w:lang w:val="fr-FR"/>
        </w:rPr>
        <w:t>carburant</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3.2.4.3.4.3</w:t>
      </w:r>
      <w:r w:rsidRPr="00965C52">
        <w:rPr>
          <w:rFonts w:eastAsia="Times New Roman"/>
          <w:lang w:val="fr-FR"/>
        </w:rPr>
        <w:tab/>
        <w:t xml:space="preserve">Marque et type du capteur de débit </w:t>
      </w:r>
      <w:r w:rsidRPr="00A713B1">
        <w:rPr>
          <w:lang w:val="fr-FR"/>
        </w:rPr>
        <w:t>d</w:t>
      </w:r>
      <w:r w:rsidR="00DB4C2D">
        <w:rPr>
          <w:lang w:val="fr-FR"/>
        </w:rPr>
        <w:t>’</w:t>
      </w:r>
      <w:r w:rsidRPr="00A713B1">
        <w:rPr>
          <w:lang w:val="fr-FR"/>
        </w:rPr>
        <w:t>air</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3.2.4.3.4.6</w:t>
      </w:r>
      <w:r w:rsidRPr="00965C52">
        <w:rPr>
          <w:rFonts w:eastAsia="Times New Roman"/>
          <w:lang w:val="fr-FR"/>
        </w:rPr>
        <w:tab/>
        <w:t xml:space="preserve">Marque et type du </w:t>
      </w:r>
      <w:proofErr w:type="spellStart"/>
      <w:r w:rsidRPr="00965C52">
        <w:rPr>
          <w:rFonts w:eastAsia="Times New Roman"/>
          <w:lang w:val="fr-FR"/>
        </w:rPr>
        <w:t>minirupteur</w:t>
      </w:r>
      <w:proofErr w:type="spellEnd"/>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3.2.4.3.4.8</w:t>
      </w:r>
      <w:r w:rsidRPr="00965C52">
        <w:rPr>
          <w:rFonts w:eastAsia="Times New Roman"/>
          <w:lang w:val="fr-FR"/>
        </w:rPr>
        <w:tab/>
        <w:t xml:space="preserve">Marque et type du boîtier de </w:t>
      </w:r>
      <w:r w:rsidRPr="00A713B1">
        <w:rPr>
          <w:lang w:val="fr-FR"/>
        </w:rPr>
        <w:t>commande</w:t>
      </w:r>
      <w:r w:rsidRPr="00965C52">
        <w:rPr>
          <w:rFonts w:eastAsia="Times New Roman"/>
          <w:lang w:val="fr-FR"/>
        </w:rPr>
        <w:t xml:space="preserve"> de gaz: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3.2.4.3.4.9</w:t>
      </w:r>
      <w:r w:rsidRPr="00965C52">
        <w:rPr>
          <w:rFonts w:eastAsia="Times New Roman"/>
          <w:lang w:val="fr-FR"/>
        </w:rPr>
        <w:tab/>
        <w:t xml:space="preserve">Marque et type du capteur de </w:t>
      </w:r>
      <w:r w:rsidRPr="00A713B1">
        <w:rPr>
          <w:lang w:val="fr-FR"/>
        </w:rPr>
        <w:t>température</w:t>
      </w:r>
      <w:r w:rsidRPr="00965C52">
        <w:rPr>
          <w:rFonts w:eastAsia="Times New Roman"/>
          <w:lang w:val="fr-FR"/>
        </w:rPr>
        <w:t xml:space="preserve"> d</w:t>
      </w:r>
      <w:r w:rsidR="00DB4C2D">
        <w:rPr>
          <w:rFonts w:eastAsia="Times New Roman"/>
          <w:lang w:val="fr-FR"/>
        </w:rPr>
        <w:t>’</w:t>
      </w:r>
      <w:r w:rsidRPr="00965C52">
        <w:rPr>
          <w:rFonts w:eastAsia="Times New Roman"/>
          <w:lang w:val="fr-FR"/>
        </w:rPr>
        <w:t xml:space="preserve">eau: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3.2.4.3.4.10</w:t>
      </w:r>
      <w:r w:rsidRPr="00965C52">
        <w:rPr>
          <w:rFonts w:eastAsia="Times New Roman"/>
          <w:lang w:val="fr-FR"/>
        </w:rPr>
        <w:tab/>
        <w:t xml:space="preserve">Marque et type du capteur de </w:t>
      </w:r>
      <w:r w:rsidRPr="00A713B1">
        <w:rPr>
          <w:lang w:val="fr-FR"/>
        </w:rPr>
        <w:t>température</w:t>
      </w:r>
      <w:r w:rsidRPr="00965C52">
        <w:rPr>
          <w:rFonts w:eastAsia="Times New Roman"/>
          <w:lang w:val="fr-FR"/>
        </w:rPr>
        <w:t xml:space="preserve"> d</w:t>
      </w:r>
      <w:r w:rsidR="00DB4C2D">
        <w:rPr>
          <w:rFonts w:eastAsia="Times New Roman"/>
          <w:lang w:val="fr-FR"/>
        </w:rPr>
        <w:t>’</w:t>
      </w:r>
      <w:r w:rsidRPr="00965C52">
        <w:rPr>
          <w:rFonts w:eastAsia="Times New Roman"/>
          <w:lang w:val="fr-FR"/>
        </w:rPr>
        <w:t>air:</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3.2.4.3.5</w:t>
      </w:r>
      <w:r w:rsidRPr="00965C52">
        <w:rPr>
          <w:rFonts w:eastAsia="Times New Roman"/>
          <w:lang w:val="fr-FR"/>
        </w:rPr>
        <w:tab/>
        <w:t>Injecteurs: pression d</w:t>
      </w:r>
      <w:r w:rsidR="00DB4C2D">
        <w:rPr>
          <w:rFonts w:eastAsia="Times New Roman"/>
          <w:lang w:val="fr-FR"/>
        </w:rPr>
        <w:t>’</w:t>
      </w:r>
      <w:r w:rsidRPr="00965C52">
        <w:rPr>
          <w:rFonts w:eastAsia="Times New Roman"/>
          <w:lang w:val="fr-FR"/>
        </w:rPr>
        <w:t>ouverture</w:t>
      </w:r>
      <w:r w:rsidRPr="00965C52">
        <w:rPr>
          <w:rFonts w:eastAsia="Times New Roman"/>
          <w:sz w:val="18"/>
          <w:szCs w:val="18"/>
          <w:vertAlign w:val="superscript"/>
          <w:lang w:val="fr-FR"/>
        </w:rPr>
        <w:t>9</w:t>
      </w:r>
      <w:r w:rsidRPr="00965C52">
        <w:rPr>
          <w:rFonts w:eastAsia="Times New Roman"/>
          <w:vertAlign w:val="superscript"/>
          <w:lang w:val="fr-FR"/>
        </w:rPr>
        <w:t xml:space="preserve">, </w:t>
      </w:r>
      <w:r w:rsidRPr="00965C52">
        <w:rPr>
          <w:rFonts w:eastAsia="Times New Roman"/>
          <w:sz w:val="18"/>
          <w:szCs w:val="18"/>
          <w:vertAlign w:val="superscript"/>
          <w:lang w:val="fr-FR"/>
        </w:rPr>
        <w:t>12</w:t>
      </w:r>
      <w:r w:rsidRPr="00965C52">
        <w:rPr>
          <w:rFonts w:eastAsia="Times New Roman"/>
          <w:lang w:val="fr-FR"/>
        </w:rPr>
        <w:tab/>
        <w:t>kPa ou diagramme caractéristique:</w:t>
      </w:r>
      <w:r w:rsidRPr="00965C52">
        <w:rPr>
          <w:rFonts w:eastAsia="Times New Roman"/>
          <w:lang w:val="fr-FR"/>
        </w:rPr>
        <w:tab/>
      </w:r>
      <w:r w:rsidR="00D7523E">
        <w:rPr>
          <w:rFonts w:eastAsia="Times New Roman"/>
          <w:lang w:val="fr-FR"/>
        </w:rPr>
        <w:br/>
      </w:r>
      <w:r w:rsidR="00D7523E">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3.2.4.3.5.1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lastRenderedPageBreak/>
        <w:t>3.2.4.3.5.2</w:t>
      </w:r>
      <w:r w:rsidRPr="00965C52">
        <w:rPr>
          <w:rFonts w:eastAsia="Times New Roman"/>
          <w:lang w:val="fr-FR"/>
        </w:rPr>
        <w:tab/>
        <w:t xml:space="preserve">Type(s):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3.2.4.3.6</w:t>
      </w:r>
      <w:r w:rsidRPr="00965C52">
        <w:rPr>
          <w:rFonts w:eastAsia="Times New Roman"/>
          <w:lang w:val="fr-FR"/>
        </w:rPr>
        <w:tab/>
        <w:t>Calage de l</w:t>
      </w:r>
      <w:r w:rsidR="00DB4C2D">
        <w:rPr>
          <w:rFonts w:eastAsia="Times New Roman"/>
          <w:lang w:val="fr-FR"/>
        </w:rPr>
        <w:t>’</w:t>
      </w:r>
      <w:r w:rsidRPr="00965C52">
        <w:rPr>
          <w:rFonts w:eastAsia="Times New Roman"/>
          <w:lang w:val="fr-FR"/>
        </w:rPr>
        <w:t xml:space="preserve">injection: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3.2.4.3.7</w:t>
      </w:r>
      <w:r w:rsidRPr="00965C52">
        <w:rPr>
          <w:rFonts w:eastAsia="Times New Roman"/>
          <w:lang w:val="fr-FR"/>
        </w:rPr>
        <w:tab/>
        <w:t xml:space="preserve">Système de démarrage à froid: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3.2.4.3.7.1</w:t>
      </w:r>
      <w:r w:rsidRPr="00965C52">
        <w:rPr>
          <w:rFonts w:eastAsia="Times New Roman"/>
          <w:lang w:val="fr-FR"/>
        </w:rPr>
        <w:tab/>
        <w:t xml:space="preserve">Principe(s) de fonctionnement: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3.2.4.3.7.2</w:t>
      </w:r>
      <w:r w:rsidRPr="00965C52">
        <w:rPr>
          <w:rFonts w:eastAsia="Times New Roman"/>
          <w:lang w:val="fr-FR"/>
        </w:rPr>
        <w:tab/>
        <w:t>Limites de fonctionnement/réglages</w:t>
      </w:r>
      <w:r w:rsidRPr="00965C52">
        <w:rPr>
          <w:rFonts w:eastAsia="Times New Roman"/>
          <w:sz w:val="18"/>
          <w:szCs w:val="18"/>
          <w:vertAlign w:val="superscript"/>
          <w:lang w:val="fr-FR"/>
        </w:rPr>
        <w:t>9</w:t>
      </w:r>
      <w:r w:rsidRPr="00965C52">
        <w:rPr>
          <w:rFonts w:eastAsia="Times New Roman"/>
          <w:vertAlign w:val="superscript"/>
          <w:lang w:val="fr-FR"/>
        </w:rPr>
        <w:t>,</w:t>
      </w:r>
      <w:r w:rsidRPr="00965C52">
        <w:rPr>
          <w:rFonts w:eastAsia="Times New Roman"/>
          <w:lang w:val="fr-FR"/>
        </w:rPr>
        <w:t xml:space="preserve"> </w:t>
      </w:r>
      <w:r w:rsidRPr="00965C52">
        <w:rPr>
          <w:rFonts w:eastAsia="Times New Roman"/>
          <w:sz w:val="18"/>
          <w:szCs w:val="18"/>
          <w:vertAlign w:val="superscript"/>
          <w:lang w:val="fr-FR"/>
        </w:rPr>
        <w:t>12</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3.2.4.4</w:t>
      </w:r>
      <w:r w:rsidRPr="00965C52">
        <w:rPr>
          <w:rFonts w:eastAsia="Times New Roman"/>
          <w:lang w:val="fr-FR"/>
        </w:rPr>
        <w:tab/>
        <w:t>Pompe d</w:t>
      </w:r>
      <w:r w:rsidR="00DB4C2D">
        <w:rPr>
          <w:rFonts w:eastAsia="Times New Roman"/>
          <w:lang w:val="fr-FR"/>
        </w:rPr>
        <w:t>’</w:t>
      </w:r>
      <w:r w:rsidRPr="00965C52">
        <w:rPr>
          <w:rFonts w:eastAsia="Times New Roman"/>
          <w:lang w:val="fr-FR"/>
        </w:rPr>
        <w:t>alimentation</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3.2.4.4.1</w:t>
      </w:r>
      <w:r w:rsidRPr="00965C52">
        <w:rPr>
          <w:rFonts w:eastAsia="Times New Roman"/>
          <w:lang w:val="fr-FR"/>
        </w:rPr>
        <w:tab/>
        <w:t>Pression</w:t>
      </w:r>
      <w:r w:rsidRPr="00965C52">
        <w:rPr>
          <w:rFonts w:eastAsia="Times New Roman"/>
          <w:sz w:val="18"/>
          <w:szCs w:val="18"/>
          <w:vertAlign w:val="superscript"/>
          <w:lang w:val="fr-FR"/>
        </w:rPr>
        <w:t>9</w:t>
      </w:r>
      <w:r w:rsidRPr="00965C52">
        <w:rPr>
          <w:rFonts w:eastAsia="Times New Roman"/>
          <w:vertAlign w:val="superscript"/>
          <w:lang w:val="fr-FR"/>
        </w:rPr>
        <w:t xml:space="preserve">, </w:t>
      </w:r>
      <w:r w:rsidRPr="00965C52">
        <w:rPr>
          <w:rFonts w:eastAsia="Times New Roman"/>
          <w:sz w:val="18"/>
          <w:szCs w:val="18"/>
          <w:vertAlign w:val="superscript"/>
          <w:lang w:val="fr-FR"/>
        </w:rPr>
        <w:t>12</w:t>
      </w:r>
      <w:r w:rsidRPr="00965C52">
        <w:rPr>
          <w:rFonts w:eastAsia="Times New Roman"/>
          <w:lang w:val="fr-FR"/>
        </w:rPr>
        <w:t>: …</w:t>
      </w:r>
      <w:r w:rsidRPr="00A713B1">
        <w:rPr>
          <w:lang w:val="fr-FR"/>
        </w:rPr>
        <w:t>………</w:t>
      </w:r>
      <w:r w:rsidRPr="00965C52">
        <w:rPr>
          <w:rFonts w:eastAsia="Times New Roman"/>
          <w:lang w:val="fr-FR"/>
        </w:rPr>
        <w:t xml:space="preserve">kPa ou diagramme </w:t>
      </w:r>
      <w:r w:rsidRPr="00A713B1">
        <w:rPr>
          <w:lang w:val="fr-FR"/>
        </w:rPr>
        <w:t>caractéristique</w:t>
      </w:r>
      <w:r w:rsidRPr="00965C52">
        <w:rPr>
          <w:rFonts w:eastAsia="Times New Roman"/>
          <w:lang w:val="fr-FR"/>
        </w:rPr>
        <w:t xml:space="preserv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3.2.5</w:t>
      </w:r>
      <w:r w:rsidRPr="00965C52">
        <w:rPr>
          <w:rFonts w:eastAsia="Times New Roman"/>
          <w:lang w:val="fr-FR"/>
        </w:rPr>
        <w:tab/>
        <w:t xml:space="preserve">Système électrique: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3.2.5.1</w:t>
      </w:r>
      <w:r w:rsidRPr="00965C52">
        <w:rPr>
          <w:rFonts w:eastAsia="Times New Roman"/>
          <w:lang w:val="fr-FR"/>
        </w:rPr>
        <w:tab/>
        <w:t xml:space="preserve">Tension nominale: </w:t>
      </w:r>
      <w:r w:rsidRPr="00965C52">
        <w:rPr>
          <w:rFonts w:eastAsia="Times New Roman"/>
          <w:lang w:val="fr-FR"/>
        </w:rPr>
        <w:tab/>
        <w:t>V, mise à la masse positive/négative</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3.2.5.2</w:t>
      </w:r>
      <w:r w:rsidRPr="00965C52">
        <w:rPr>
          <w:rFonts w:eastAsia="Times New Roman"/>
          <w:lang w:val="fr-FR"/>
        </w:rPr>
        <w:tab/>
      </w:r>
      <w:r w:rsidRPr="00A713B1">
        <w:rPr>
          <w:lang w:val="fr-FR"/>
        </w:rPr>
        <w:t>Génératrice</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3.2.5.2.1</w:t>
      </w:r>
      <w:r w:rsidRPr="00965C52">
        <w:rPr>
          <w:rFonts w:eastAsia="Times New Roman"/>
          <w:lang w:val="fr-FR"/>
        </w:rPr>
        <w:tab/>
        <w:t xml:space="preserve">Type: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3.2.5.2.2</w:t>
      </w:r>
      <w:r w:rsidRPr="00965C52">
        <w:rPr>
          <w:rFonts w:eastAsia="Times New Roman"/>
          <w:lang w:val="fr-FR"/>
        </w:rPr>
        <w:tab/>
        <w:t xml:space="preserve">Puissance nominale: </w:t>
      </w:r>
      <w:r w:rsidRPr="00965C52">
        <w:rPr>
          <w:rFonts w:eastAsia="Times New Roman"/>
          <w:lang w:val="fr-FR"/>
        </w:rPr>
        <w:tab/>
        <w:t>VA</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3.2.6</w:t>
      </w:r>
      <w:r w:rsidRPr="00965C52">
        <w:rPr>
          <w:rFonts w:eastAsia="Times New Roman"/>
          <w:lang w:val="fr-FR"/>
        </w:rPr>
        <w:tab/>
        <w:t>Système d</w:t>
      </w:r>
      <w:r w:rsidR="00DB4C2D">
        <w:rPr>
          <w:rFonts w:eastAsia="Times New Roman"/>
          <w:lang w:val="fr-FR"/>
        </w:rPr>
        <w:t>’</w:t>
      </w:r>
      <w:r w:rsidRPr="00965C52">
        <w:rPr>
          <w:rFonts w:eastAsia="Times New Roman"/>
          <w:lang w:val="fr-FR"/>
        </w:rPr>
        <w:t>allumage:</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3.2.6.1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3.2.6.2</w:t>
      </w:r>
      <w:r w:rsidRPr="00965C52">
        <w:rPr>
          <w:rFonts w:eastAsia="Times New Roman"/>
          <w:lang w:val="fr-FR"/>
        </w:rPr>
        <w:tab/>
        <w:t xml:space="preserve">Type(s):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3.2.6.3</w:t>
      </w:r>
      <w:r w:rsidRPr="00965C52">
        <w:rPr>
          <w:rFonts w:eastAsia="Times New Roman"/>
          <w:lang w:val="fr-FR"/>
        </w:rPr>
        <w:tab/>
        <w:t xml:space="preserve">Principe de fonctionnement: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3.2.6.4</w:t>
      </w:r>
      <w:r w:rsidRPr="00965C52">
        <w:rPr>
          <w:rFonts w:eastAsia="Times New Roman"/>
          <w:lang w:val="fr-FR"/>
        </w:rPr>
        <w:tab/>
        <w:t>Courbe d</w:t>
      </w:r>
      <w:r w:rsidR="00DB4C2D">
        <w:rPr>
          <w:rFonts w:eastAsia="Times New Roman"/>
          <w:lang w:val="fr-FR"/>
        </w:rPr>
        <w:t>’</w:t>
      </w:r>
      <w:r w:rsidRPr="00965C52">
        <w:rPr>
          <w:rFonts w:eastAsia="Times New Roman"/>
          <w:lang w:val="fr-FR"/>
        </w:rPr>
        <w:t>avance à l</w:t>
      </w:r>
      <w:r w:rsidR="00DB4C2D">
        <w:rPr>
          <w:rFonts w:eastAsia="Times New Roman"/>
          <w:lang w:val="fr-FR"/>
        </w:rPr>
        <w:t>’</w:t>
      </w:r>
      <w:r w:rsidRPr="00965C52">
        <w:rPr>
          <w:rFonts w:eastAsia="Times New Roman"/>
          <w:lang w:val="fr-FR"/>
        </w:rPr>
        <w:t>allumage</w:t>
      </w:r>
      <w:r w:rsidRPr="00965C52">
        <w:rPr>
          <w:rFonts w:eastAsia="Times New Roman"/>
          <w:sz w:val="18"/>
          <w:szCs w:val="18"/>
          <w:vertAlign w:val="superscript"/>
          <w:lang w:val="fr-FR"/>
        </w:rPr>
        <w:t>12</w:t>
      </w:r>
      <w:r w:rsidRPr="00965C52">
        <w:rPr>
          <w:rFonts w:eastAsia="Times New Roman"/>
          <w:lang w:val="fr-FR"/>
        </w:rPr>
        <w:t>:</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3.2.6.5</w:t>
      </w:r>
      <w:r w:rsidRPr="00965C52">
        <w:rPr>
          <w:rFonts w:eastAsia="Times New Roman"/>
          <w:lang w:val="fr-FR"/>
        </w:rPr>
        <w:tab/>
        <w:t>Calage statique</w:t>
      </w:r>
      <w:r w:rsidRPr="00965C52">
        <w:rPr>
          <w:rFonts w:eastAsia="Times New Roman"/>
          <w:sz w:val="18"/>
          <w:szCs w:val="18"/>
          <w:vertAlign w:val="superscript"/>
          <w:lang w:val="fr-FR"/>
        </w:rPr>
        <w:t>12</w:t>
      </w:r>
      <w:r w:rsidRPr="00965C52">
        <w:rPr>
          <w:rFonts w:eastAsia="Times New Roman"/>
          <w:lang w:val="fr-FR"/>
        </w:rPr>
        <w:t xml:space="preserve">: </w:t>
      </w:r>
      <w:r w:rsidRPr="00965C52">
        <w:rPr>
          <w:rFonts w:eastAsia="Times New Roman"/>
          <w:lang w:val="fr-FR"/>
        </w:rPr>
        <w:tab/>
        <w:t xml:space="preserve"> degrés avant PMH</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w:t>
      </w:r>
      <w:r w:rsidRPr="00965C52">
        <w:rPr>
          <w:rFonts w:eastAsia="Times New Roman"/>
          <w:lang w:val="fr-FR"/>
        </w:rPr>
        <w:tab/>
        <w:t>Système de refroidissement: par liquide/par air</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3.2.7.1</w:t>
      </w:r>
      <w:r w:rsidRPr="00965C52">
        <w:rPr>
          <w:rFonts w:eastAsia="Times New Roman"/>
          <w:lang w:val="fr-FR"/>
        </w:rPr>
        <w:tab/>
        <w:t xml:space="preserve">Réglage nominal du mécanisme de </w:t>
      </w:r>
      <w:r w:rsidRPr="00A713B1">
        <w:rPr>
          <w:lang w:val="fr-FR"/>
        </w:rPr>
        <w:t>contrôle</w:t>
      </w:r>
      <w:r w:rsidRPr="00965C52">
        <w:rPr>
          <w:rFonts w:eastAsia="Times New Roman"/>
          <w:lang w:val="fr-FR"/>
        </w:rPr>
        <w:t xml:space="preserve"> de la température du moteur</w:t>
      </w:r>
      <w:r w:rsidRPr="00965C52">
        <w:rPr>
          <w:rFonts w:eastAsia="Times New Roman"/>
          <w:lang w:val="fr-FR"/>
        </w:rPr>
        <w:tab/>
      </w:r>
      <w:r w:rsidR="00D7523E">
        <w:rPr>
          <w:rFonts w:eastAsia="Times New Roman"/>
          <w:lang w:val="fr-FR"/>
        </w:rPr>
        <w:br/>
      </w:r>
      <w:r w:rsidR="00D7523E">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3.2.7.2</w:t>
      </w:r>
      <w:r w:rsidRPr="00965C52">
        <w:rPr>
          <w:rFonts w:eastAsia="Times New Roman"/>
          <w:lang w:val="fr-FR"/>
        </w:rPr>
        <w:tab/>
      </w:r>
      <w:r w:rsidRPr="00A713B1">
        <w:rPr>
          <w:lang w:val="fr-FR"/>
        </w:rPr>
        <w:t>Liquide</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3.2.7.2.1</w:t>
      </w:r>
      <w:r w:rsidRPr="00965C52">
        <w:rPr>
          <w:rFonts w:eastAsia="Times New Roman"/>
          <w:lang w:val="fr-FR"/>
        </w:rPr>
        <w:tab/>
      </w:r>
      <w:r w:rsidRPr="00A713B1">
        <w:rPr>
          <w:lang w:val="fr-FR"/>
        </w:rPr>
        <w:t>Nature</w:t>
      </w:r>
      <w:r w:rsidRPr="00965C52">
        <w:rPr>
          <w:rFonts w:eastAsia="Times New Roman"/>
          <w:lang w:val="fr-FR"/>
        </w:rPr>
        <w:t xml:space="preserve"> du liquide: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3.2.7.2.2</w:t>
      </w:r>
      <w:r w:rsidRPr="00965C52">
        <w:rPr>
          <w:rFonts w:eastAsia="Times New Roman"/>
          <w:lang w:val="fr-FR"/>
        </w:rPr>
        <w:tab/>
        <w:t>Pompe(s) de circulation: oui/non</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3.2.7.2.3</w:t>
      </w:r>
      <w:r w:rsidRPr="00965C52">
        <w:rPr>
          <w:rFonts w:eastAsia="Times New Roman"/>
          <w:lang w:val="fr-FR"/>
        </w:rPr>
        <w:tab/>
        <w:t xml:space="preserve">Caractéristiques: </w:t>
      </w:r>
      <w:r w:rsidRPr="00965C52">
        <w:rPr>
          <w:rFonts w:eastAsia="Times New Roman"/>
          <w:lang w:val="fr-FR"/>
        </w:rPr>
        <w:tab/>
        <w:t>, ou</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3.2.7.2.3.1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3.2.7.2.3.2</w:t>
      </w:r>
      <w:r w:rsidRPr="00965C52">
        <w:rPr>
          <w:rFonts w:eastAsia="Times New Roman"/>
          <w:lang w:val="fr-FR"/>
        </w:rPr>
        <w:tab/>
        <w:t xml:space="preserve">Type(s):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3.2.7.2.4</w:t>
      </w:r>
      <w:r w:rsidRPr="00965C52">
        <w:rPr>
          <w:rFonts w:eastAsia="Times New Roman"/>
          <w:lang w:val="fr-FR"/>
        </w:rPr>
        <w:tab/>
        <w:t>Rapport(s) d</w:t>
      </w:r>
      <w:r w:rsidR="00DB4C2D">
        <w:rPr>
          <w:rFonts w:eastAsia="Times New Roman"/>
          <w:lang w:val="fr-FR"/>
        </w:rPr>
        <w:t>’</w:t>
      </w:r>
      <w:r w:rsidRPr="00965C52">
        <w:rPr>
          <w:rFonts w:eastAsia="Times New Roman"/>
          <w:lang w:val="fr-FR"/>
        </w:rPr>
        <w:t xml:space="preserve">entraînement: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3.2.7.2.5</w:t>
      </w:r>
      <w:r w:rsidRPr="00965C52">
        <w:rPr>
          <w:rFonts w:eastAsia="Times New Roman"/>
          <w:lang w:val="fr-FR"/>
        </w:rPr>
        <w:tab/>
        <w:t xml:space="preserve">Description du ventilateur et de </w:t>
      </w:r>
      <w:r w:rsidRPr="00A713B1">
        <w:rPr>
          <w:lang w:val="fr-FR"/>
        </w:rPr>
        <w:t>son</w:t>
      </w:r>
      <w:r w:rsidRPr="00965C52">
        <w:rPr>
          <w:rFonts w:eastAsia="Times New Roman"/>
          <w:lang w:val="fr-FR"/>
        </w:rPr>
        <w:t xml:space="preserve"> mécanisme d</w:t>
      </w:r>
      <w:r w:rsidR="00DB4C2D">
        <w:rPr>
          <w:rFonts w:eastAsia="Times New Roman"/>
          <w:lang w:val="fr-FR"/>
        </w:rPr>
        <w:t>’</w:t>
      </w:r>
      <w:r w:rsidRPr="00965C52">
        <w:rPr>
          <w:rFonts w:eastAsia="Times New Roman"/>
          <w:lang w:val="fr-FR"/>
        </w:rPr>
        <w:t xml:space="preserve">entraînement: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3.2.7.3</w:t>
      </w:r>
      <w:r w:rsidRPr="00965C52">
        <w:rPr>
          <w:rFonts w:eastAsia="Times New Roman"/>
          <w:lang w:val="fr-FR"/>
        </w:rPr>
        <w:tab/>
      </w:r>
      <w:r w:rsidRPr="00A713B1">
        <w:rPr>
          <w:lang w:val="fr-FR"/>
        </w:rPr>
        <w:t>Air</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3.2.7.3.1</w:t>
      </w:r>
      <w:r w:rsidRPr="00965C52">
        <w:rPr>
          <w:rFonts w:eastAsia="Times New Roman"/>
          <w:lang w:val="fr-FR"/>
        </w:rPr>
        <w:tab/>
        <w:t>Soufflante: oui/non</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3.2.7.3.2</w:t>
      </w:r>
      <w:r w:rsidRPr="00965C52">
        <w:rPr>
          <w:rFonts w:eastAsia="Times New Roman"/>
          <w:lang w:val="fr-FR"/>
        </w:rPr>
        <w:tab/>
        <w:t xml:space="preserve">Caractéristiques: </w:t>
      </w:r>
      <w:r w:rsidRPr="00965C52">
        <w:rPr>
          <w:rFonts w:eastAsia="Times New Roman"/>
          <w:lang w:val="fr-FR"/>
        </w:rPr>
        <w:tab/>
        <w:t>, ou</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3.2.7.3.2.1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3.2.7.3.2.2</w:t>
      </w:r>
      <w:r w:rsidRPr="00965C52">
        <w:rPr>
          <w:rFonts w:eastAsia="Times New Roman"/>
          <w:lang w:val="fr-FR"/>
        </w:rPr>
        <w:tab/>
        <w:t>Type(s):</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3.2.7.3.3</w:t>
      </w:r>
      <w:r w:rsidRPr="00965C52">
        <w:rPr>
          <w:rFonts w:eastAsia="Times New Roman"/>
          <w:lang w:val="fr-FR"/>
        </w:rPr>
        <w:tab/>
        <w:t>Rapport(s) d</w:t>
      </w:r>
      <w:r w:rsidR="00DB4C2D">
        <w:rPr>
          <w:rFonts w:eastAsia="Times New Roman"/>
          <w:lang w:val="fr-FR"/>
        </w:rPr>
        <w:t>’</w:t>
      </w:r>
      <w:r w:rsidRPr="00965C52">
        <w:rPr>
          <w:rFonts w:eastAsia="Times New Roman"/>
          <w:lang w:val="fr-FR"/>
        </w:rPr>
        <w:t xml:space="preserve">entraînement: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w:t>
      </w:r>
      <w:r w:rsidRPr="00965C52">
        <w:rPr>
          <w:rFonts w:eastAsia="Times New Roman"/>
          <w:lang w:val="fr-FR"/>
        </w:rPr>
        <w:tab/>
        <w:t>Système d</w:t>
      </w:r>
      <w:r w:rsidR="00DB4C2D">
        <w:rPr>
          <w:rFonts w:eastAsia="Times New Roman"/>
          <w:lang w:val="fr-FR"/>
        </w:rPr>
        <w:t>’</w:t>
      </w:r>
      <w:r w:rsidRPr="00965C52">
        <w:rPr>
          <w:rFonts w:eastAsia="Times New Roman"/>
          <w:lang w:val="fr-FR"/>
        </w:rPr>
        <w:t xml:space="preserve">admission: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lastRenderedPageBreak/>
        <w:t>3.2.8.1</w:t>
      </w:r>
      <w:r w:rsidRPr="00965C52">
        <w:rPr>
          <w:rFonts w:eastAsia="Times New Roman"/>
          <w:lang w:val="fr-FR"/>
        </w:rPr>
        <w:tab/>
        <w:t>Suralimentation: oui/non</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3.2.8.1.1</w:t>
      </w:r>
      <w:r w:rsidRPr="00965C52">
        <w:rPr>
          <w:rFonts w:eastAsia="Times New Roman"/>
          <w:lang w:val="fr-FR"/>
        </w:rPr>
        <w:tab/>
        <w:t>Marque(s):</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3.2.8.1.2</w:t>
      </w:r>
      <w:r w:rsidRPr="00965C52">
        <w:rPr>
          <w:rFonts w:eastAsia="Times New Roman"/>
          <w:lang w:val="fr-FR"/>
        </w:rPr>
        <w:tab/>
        <w:t>Type(s):</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3.2.8.1.3</w:t>
      </w:r>
      <w:r w:rsidRPr="00965C52">
        <w:rPr>
          <w:rFonts w:eastAsia="Times New Roman"/>
          <w:lang w:val="fr-FR"/>
        </w:rPr>
        <w:tab/>
        <w:t xml:space="preserve">Description du système (pression de charge maximale: </w:t>
      </w:r>
      <w:r w:rsidRPr="00965C52">
        <w:rPr>
          <w:rFonts w:eastAsia="Times New Roman"/>
          <w:lang w:val="fr-FR"/>
        </w:rPr>
        <w:tab/>
        <w:t>kPa,</w:t>
      </w:r>
      <w:r w:rsidRPr="00965C52">
        <w:rPr>
          <w:rFonts w:eastAsia="Times New Roman"/>
          <w:lang w:val="fr-FR"/>
        </w:rPr>
        <w:br/>
        <w:t xml:space="preserve">soupape de décharge, le cas échéant):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3.2.8.2</w:t>
      </w:r>
      <w:r w:rsidRPr="00965C52">
        <w:rPr>
          <w:rFonts w:eastAsia="Times New Roman"/>
          <w:lang w:val="fr-FR"/>
        </w:rPr>
        <w:tab/>
        <w:t xml:space="preserve">Échangeur </w:t>
      </w:r>
      <w:r w:rsidRPr="00A713B1">
        <w:rPr>
          <w:lang w:val="fr-FR"/>
        </w:rPr>
        <w:t>intermédiaire</w:t>
      </w:r>
      <w:r w:rsidRPr="00965C52">
        <w:rPr>
          <w:rFonts w:eastAsia="Times New Roman"/>
          <w:lang w:val="fr-FR"/>
        </w:rPr>
        <w:t>: oui/non</w:t>
      </w:r>
      <w:r w:rsidRPr="00965C52">
        <w:rPr>
          <w:rFonts w:eastAsia="Times New Roman"/>
          <w:sz w:val="18"/>
          <w:szCs w:val="18"/>
          <w:vertAlign w:val="superscript"/>
          <w:lang w:val="fr-FR"/>
        </w:rPr>
        <w:t>9</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3.2.8.2.1</w:t>
      </w:r>
      <w:r w:rsidRPr="00965C52">
        <w:rPr>
          <w:rFonts w:eastAsia="Times New Roman"/>
          <w:lang w:val="fr-FR"/>
        </w:rPr>
        <w:tab/>
        <w:t>Type: air-air/air-eau</w:t>
      </w:r>
      <w:r w:rsidRPr="00965C52">
        <w:rPr>
          <w:rFonts w:eastAsia="Times New Roman"/>
          <w:sz w:val="18"/>
          <w:szCs w:val="18"/>
          <w:vertAlign w:val="superscript"/>
          <w:lang w:val="fr-FR"/>
        </w:rPr>
        <w:t>9</w:t>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3.2.8.3</w:t>
      </w:r>
      <w:r w:rsidRPr="00965C52">
        <w:rPr>
          <w:rFonts w:eastAsia="Times New Roman"/>
          <w:lang w:val="fr-FR"/>
        </w:rPr>
        <w:tab/>
        <w:t>Dépression à l</w:t>
      </w:r>
      <w:r w:rsidR="00DB4C2D">
        <w:rPr>
          <w:rFonts w:eastAsia="Times New Roman"/>
          <w:lang w:val="fr-FR"/>
        </w:rPr>
        <w:t>’</w:t>
      </w:r>
      <w:r w:rsidRPr="00965C52">
        <w:rPr>
          <w:rFonts w:eastAsia="Times New Roman"/>
          <w:lang w:val="fr-FR"/>
        </w:rPr>
        <w:t>admission au régime nominal du moteur et à 100 % de charge (moteurs à allumage par compression uniquement)</w:t>
      </w:r>
    </w:p>
    <w:p w:rsidR="00965C52" w:rsidRPr="00965C52" w:rsidRDefault="00965C52" w:rsidP="00A713B1">
      <w:pPr>
        <w:pStyle w:val="SingleTxtG"/>
        <w:tabs>
          <w:tab w:val="right" w:leader="dot" w:pos="8505"/>
        </w:tabs>
        <w:ind w:left="2552"/>
        <w:rPr>
          <w:lang w:val="fr-FR"/>
        </w:rPr>
      </w:pPr>
      <w:r w:rsidRPr="00965C52">
        <w:rPr>
          <w:lang w:val="fr-FR"/>
        </w:rPr>
        <w:t xml:space="preserve">Minimum autorisé: </w:t>
      </w:r>
      <w:r w:rsidRPr="00965C52">
        <w:rPr>
          <w:lang w:val="fr-FR"/>
        </w:rPr>
        <w:tab/>
        <w:t>kPa</w:t>
      </w:r>
    </w:p>
    <w:p w:rsidR="00965C52" w:rsidRPr="00965C52" w:rsidRDefault="00965C52" w:rsidP="00A713B1">
      <w:pPr>
        <w:pStyle w:val="SingleTxtG"/>
        <w:tabs>
          <w:tab w:val="right" w:leader="dot" w:pos="8505"/>
        </w:tabs>
        <w:ind w:left="2552"/>
        <w:rPr>
          <w:rFonts w:eastAsia="Times New Roman"/>
          <w:lang w:val="fr-FR"/>
        </w:rPr>
      </w:pPr>
      <w:r w:rsidRPr="00965C52">
        <w:rPr>
          <w:rFonts w:eastAsia="Times New Roman"/>
          <w:lang w:val="fr-FR"/>
        </w:rPr>
        <w:t xml:space="preserve">Maximum autorisé: </w:t>
      </w:r>
      <w:r w:rsidRPr="00965C52">
        <w:rPr>
          <w:rFonts w:eastAsia="Times New Roman"/>
          <w:lang w:val="fr-FR"/>
        </w:rPr>
        <w:tab/>
        <w:t>kPa</w:t>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3.2.8.4</w:t>
      </w:r>
      <w:r w:rsidRPr="00965C52">
        <w:rPr>
          <w:rFonts w:eastAsia="Times New Roman"/>
          <w:lang w:val="fr-FR"/>
        </w:rPr>
        <w:tab/>
        <w:t>Description et dessins des tubulures d</w:t>
      </w:r>
      <w:r w:rsidR="00DB4C2D">
        <w:rPr>
          <w:rFonts w:eastAsia="Times New Roman"/>
          <w:lang w:val="fr-FR"/>
        </w:rPr>
        <w:t>’</w:t>
      </w:r>
      <w:r w:rsidRPr="00965C52">
        <w:rPr>
          <w:rFonts w:eastAsia="Times New Roman"/>
          <w:lang w:val="fr-FR"/>
        </w:rPr>
        <w:t>admission et de leurs accessoires (collecteurs d</w:t>
      </w:r>
      <w:r w:rsidR="00DB4C2D">
        <w:rPr>
          <w:rFonts w:eastAsia="Times New Roman"/>
          <w:lang w:val="fr-FR"/>
        </w:rPr>
        <w:t>’</w:t>
      </w:r>
      <w:r w:rsidRPr="00965C52">
        <w:rPr>
          <w:rFonts w:eastAsia="Times New Roman"/>
          <w:lang w:val="fr-FR"/>
        </w:rPr>
        <w:t>air d</w:t>
      </w:r>
      <w:r w:rsidR="00DB4C2D">
        <w:rPr>
          <w:rFonts w:eastAsia="Times New Roman"/>
          <w:lang w:val="fr-FR"/>
        </w:rPr>
        <w:t>’</w:t>
      </w:r>
      <w:r w:rsidRPr="00965C52">
        <w:rPr>
          <w:rFonts w:eastAsia="Times New Roman"/>
          <w:lang w:val="fr-FR"/>
        </w:rPr>
        <w:t>aspiration, dispositif de réchauffage, prises d</w:t>
      </w:r>
      <w:r w:rsidR="00DB4C2D">
        <w:rPr>
          <w:rFonts w:eastAsia="Times New Roman"/>
          <w:lang w:val="fr-FR"/>
        </w:rPr>
        <w:t>’</w:t>
      </w:r>
      <w:r w:rsidRPr="00965C52">
        <w:rPr>
          <w:rFonts w:eastAsia="Times New Roman"/>
          <w:lang w:val="fr-FR"/>
        </w:rPr>
        <w:t xml:space="preserve">air supplémentaires, etc.):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3.2.8.4.1</w:t>
      </w:r>
      <w:r w:rsidRPr="00965C52">
        <w:rPr>
          <w:rFonts w:eastAsia="Times New Roman"/>
          <w:lang w:val="fr-FR"/>
        </w:rPr>
        <w:tab/>
        <w:t>Description du collecteur d</w:t>
      </w:r>
      <w:r w:rsidR="00DB4C2D">
        <w:rPr>
          <w:rFonts w:eastAsia="Times New Roman"/>
          <w:lang w:val="fr-FR"/>
        </w:rPr>
        <w:t>’</w:t>
      </w:r>
      <w:r w:rsidRPr="00965C52">
        <w:rPr>
          <w:rFonts w:eastAsia="Times New Roman"/>
          <w:lang w:val="fr-FR"/>
        </w:rPr>
        <w:t xml:space="preserve">admission (avec dessins et/ou photos):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3.2.8.4.2</w:t>
      </w:r>
      <w:r w:rsidRPr="00965C52">
        <w:rPr>
          <w:rFonts w:eastAsia="Times New Roman"/>
          <w:lang w:val="fr-FR"/>
        </w:rPr>
        <w:tab/>
        <w:t xml:space="preserve">Filtre à air, dessins: </w:t>
      </w:r>
      <w:r w:rsidRPr="00965C52">
        <w:rPr>
          <w:rFonts w:eastAsia="Times New Roman"/>
          <w:lang w:val="fr-FR"/>
        </w:rPr>
        <w:tab/>
        <w:t>, ou</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3.2.8.4.2.1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3.2.8.4.2.2</w:t>
      </w:r>
      <w:r w:rsidRPr="00965C52">
        <w:rPr>
          <w:rFonts w:eastAsia="Times New Roman"/>
          <w:lang w:val="fr-FR"/>
        </w:rPr>
        <w:tab/>
        <w:t xml:space="preserve">Type(s):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3.2.8.4.3</w:t>
      </w:r>
      <w:r w:rsidRPr="00965C52">
        <w:rPr>
          <w:rFonts w:eastAsia="Times New Roman"/>
          <w:lang w:val="fr-FR"/>
        </w:rPr>
        <w:tab/>
        <w:t>Silencieux d</w:t>
      </w:r>
      <w:r w:rsidR="00DB4C2D">
        <w:rPr>
          <w:rFonts w:eastAsia="Times New Roman"/>
          <w:lang w:val="fr-FR"/>
        </w:rPr>
        <w:t>’</w:t>
      </w:r>
      <w:r w:rsidRPr="00965C52">
        <w:rPr>
          <w:rFonts w:eastAsia="Times New Roman"/>
          <w:lang w:val="fr-FR"/>
        </w:rPr>
        <w:t xml:space="preserve">admission, dessins: </w:t>
      </w:r>
      <w:r w:rsidRPr="00965C52">
        <w:rPr>
          <w:rFonts w:eastAsia="Times New Roman"/>
          <w:lang w:val="fr-FR"/>
        </w:rPr>
        <w:tab/>
        <w:t>, ou</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3.2.8.4.3.1</w:t>
      </w:r>
      <w:r w:rsidRPr="00965C52">
        <w:rPr>
          <w:rFonts w:eastAsia="Times New Roman"/>
          <w:lang w:val="fr-FR"/>
        </w:rPr>
        <w:tab/>
        <w:t xml:space="preserve">Marque(s):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3.2.8.4.3.2</w:t>
      </w:r>
      <w:r w:rsidRPr="00965C52">
        <w:rPr>
          <w:rFonts w:eastAsia="Times New Roman"/>
          <w:lang w:val="fr-FR"/>
        </w:rPr>
        <w:tab/>
        <w:t xml:space="preserve">Type(s):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3.2.9</w:t>
      </w:r>
      <w:r w:rsidRPr="00965C52">
        <w:rPr>
          <w:rFonts w:eastAsia="Times New Roman"/>
          <w:lang w:val="fr-FR"/>
        </w:rPr>
        <w:tab/>
        <w:t>Échappement</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3.2.9.1</w:t>
      </w:r>
      <w:r w:rsidRPr="00965C52">
        <w:rPr>
          <w:rFonts w:eastAsia="Times New Roman"/>
          <w:lang w:val="fr-FR"/>
        </w:rPr>
        <w:tab/>
        <w:t>Description et/ou dessin du collecteur d</w:t>
      </w:r>
      <w:r w:rsidR="00DB4C2D">
        <w:rPr>
          <w:rFonts w:eastAsia="Times New Roman"/>
          <w:lang w:val="fr-FR"/>
        </w:rPr>
        <w:t>’</w:t>
      </w:r>
      <w:r w:rsidRPr="00965C52">
        <w:rPr>
          <w:rFonts w:eastAsia="Times New Roman"/>
          <w:lang w:val="fr-FR"/>
        </w:rPr>
        <w:t xml:space="preserve">échappement: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3.2.9.2</w:t>
      </w:r>
      <w:r w:rsidRPr="00965C52">
        <w:rPr>
          <w:rFonts w:eastAsia="Times New Roman"/>
          <w:lang w:val="fr-FR"/>
        </w:rPr>
        <w:tab/>
        <w:t>Description et/ou dessin du système d</w:t>
      </w:r>
      <w:r w:rsidR="00DB4C2D">
        <w:rPr>
          <w:rFonts w:eastAsia="Times New Roman"/>
          <w:lang w:val="fr-FR"/>
        </w:rPr>
        <w:t>’</w:t>
      </w:r>
      <w:r w:rsidRPr="00965C52">
        <w:rPr>
          <w:rFonts w:eastAsia="Times New Roman"/>
          <w:lang w:val="fr-FR"/>
        </w:rPr>
        <w:t xml:space="preserve">échappement: </w:t>
      </w:r>
      <w:r w:rsidRPr="00965C52">
        <w:rPr>
          <w:rFonts w:eastAsia="Times New Roman"/>
          <w:lang w:val="fr-FR"/>
        </w:rPr>
        <w:tab/>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3.2.9.3</w:t>
      </w:r>
      <w:r w:rsidRPr="00965C52">
        <w:rPr>
          <w:rFonts w:eastAsia="Times New Roman"/>
          <w:lang w:val="fr-FR"/>
        </w:rPr>
        <w:tab/>
        <w:t>Contre-pression à l</w:t>
      </w:r>
      <w:r w:rsidR="00DB4C2D">
        <w:rPr>
          <w:rFonts w:eastAsia="Times New Roman"/>
          <w:lang w:val="fr-FR"/>
        </w:rPr>
        <w:t>’</w:t>
      </w:r>
      <w:r w:rsidRPr="00965C52">
        <w:rPr>
          <w:rFonts w:eastAsia="Times New Roman"/>
          <w:lang w:val="fr-FR"/>
        </w:rPr>
        <w:t>échappement maximale admissible, au régime nominal du moteur et à 100 % de charge (moteurs à allumage par compression uniquement):</w:t>
      </w:r>
      <w:r w:rsidRPr="00965C52">
        <w:rPr>
          <w:rFonts w:eastAsia="Times New Roman"/>
          <w:lang w:val="fr-FR"/>
        </w:rPr>
        <w:tab/>
        <w:t>kPa</w:t>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3.2.9.10</w:t>
      </w:r>
      <w:r w:rsidRPr="00965C52">
        <w:rPr>
          <w:rFonts w:eastAsia="Times New Roman"/>
          <w:lang w:val="fr-FR"/>
        </w:rPr>
        <w:tab/>
        <w:t>Section minimale des orifices d</w:t>
      </w:r>
      <w:r w:rsidR="00DB4C2D">
        <w:rPr>
          <w:rFonts w:eastAsia="Times New Roman"/>
          <w:lang w:val="fr-FR"/>
        </w:rPr>
        <w:t>’</w:t>
      </w:r>
      <w:r w:rsidRPr="00965C52">
        <w:rPr>
          <w:rFonts w:eastAsia="Times New Roman"/>
          <w:lang w:val="fr-FR"/>
        </w:rPr>
        <w:t>admission et d</w:t>
      </w:r>
      <w:r w:rsidR="00DB4C2D">
        <w:rPr>
          <w:rFonts w:eastAsia="Times New Roman"/>
          <w:lang w:val="fr-FR"/>
        </w:rPr>
        <w:t>’</w:t>
      </w:r>
      <w:r w:rsidRPr="00965C52">
        <w:rPr>
          <w:rFonts w:eastAsia="Times New Roman"/>
          <w:lang w:val="fr-FR"/>
        </w:rPr>
        <w:t xml:space="preserve">échappement: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3.2.11</w:t>
      </w:r>
      <w:r w:rsidRPr="00965C52">
        <w:rPr>
          <w:rFonts w:eastAsia="Times New Roman"/>
          <w:lang w:val="fr-FR"/>
        </w:rPr>
        <w:tab/>
        <w:t xml:space="preserve">Diagramme de distribution ou données équivalentes: </w:t>
      </w:r>
      <w:r w:rsidRPr="00965C52">
        <w:rPr>
          <w:rFonts w:eastAsia="Times New Roman"/>
          <w:lang w:val="fr-FR"/>
        </w:rPr>
        <w:tab/>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3.2.11.1</w:t>
      </w:r>
      <w:r w:rsidRPr="00965C52">
        <w:rPr>
          <w:rFonts w:eastAsia="Times New Roman"/>
          <w:lang w:val="fr-FR"/>
        </w:rPr>
        <w:tab/>
        <w:t>Levée maximale des soupapes, angles d</w:t>
      </w:r>
      <w:r w:rsidR="00DB4C2D">
        <w:rPr>
          <w:rFonts w:eastAsia="Times New Roman"/>
          <w:lang w:val="fr-FR"/>
        </w:rPr>
        <w:t>’</w:t>
      </w:r>
      <w:r w:rsidRPr="00965C52">
        <w:rPr>
          <w:rFonts w:eastAsia="Times New Roman"/>
          <w:lang w:val="fr-FR"/>
        </w:rPr>
        <w:t>ouverture et de fermeture, ou données relatives au réglage d</w:t>
      </w:r>
      <w:r w:rsidR="00DB4C2D">
        <w:rPr>
          <w:rFonts w:eastAsia="Times New Roman"/>
          <w:lang w:val="fr-FR"/>
        </w:rPr>
        <w:t>’</w:t>
      </w:r>
      <w:r w:rsidRPr="00965C52">
        <w:rPr>
          <w:rFonts w:eastAsia="Times New Roman"/>
          <w:lang w:val="fr-FR"/>
        </w:rPr>
        <w:t xml:space="preserve">autres systèmes possibles, par rapport aux points morts. En cas de système de réglage variable, réglage minimal et maximal: </w:t>
      </w:r>
      <w:r w:rsidRPr="00965C52">
        <w:rPr>
          <w:rFonts w:eastAsia="Times New Roman"/>
          <w:lang w:val="fr-FR"/>
        </w:rPr>
        <w:tab/>
      </w:r>
    </w:p>
    <w:p w:rsidR="00965C52" w:rsidRPr="00965C52" w:rsidRDefault="00965C52" w:rsidP="00A713B1">
      <w:pPr>
        <w:pStyle w:val="SingleTxtG"/>
        <w:tabs>
          <w:tab w:val="right" w:leader="dot" w:pos="8505"/>
        </w:tabs>
        <w:ind w:left="2552" w:hanging="1418"/>
        <w:jc w:val="left"/>
        <w:rPr>
          <w:rFonts w:eastAsia="Times New Roman"/>
          <w:lang w:val="fr-FR"/>
        </w:rPr>
      </w:pPr>
      <w:r w:rsidRPr="00965C52">
        <w:rPr>
          <w:rFonts w:eastAsia="Times New Roman"/>
          <w:lang w:val="fr-FR"/>
        </w:rPr>
        <w:t>3.2.11.2</w:t>
      </w:r>
      <w:r w:rsidRPr="00965C52">
        <w:rPr>
          <w:rFonts w:eastAsia="Times New Roman"/>
          <w:lang w:val="fr-FR"/>
        </w:rPr>
        <w:tab/>
        <w:t>Gammes de références ou de réglages</w:t>
      </w:r>
      <w:r w:rsidRPr="00965C52">
        <w:rPr>
          <w:rFonts w:eastAsia="Times New Roman"/>
          <w:sz w:val="18"/>
          <w:szCs w:val="18"/>
          <w:vertAlign w:val="superscript"/>
          <w:lang w:val="fr-FR"/>
        </w:rPr>
        <w:t>9</w:t>
      </w:r>
      <w:r w:rsidRPr="00965C52">
        <w:rPr>
          <w:rFonts w:eastAsia="Times New Roman"/>
          <w:vertAlign w:val="superscript"/>
          <w:lang w:val="fr-FR"/>
        </w:rPr>
        <w:t>,</w:t>
      </w:r>
      <w:r w:rsidRPr="00965C52">
        <w:rPr>
          <w:rFonts w:eastAsia="Times New Roman"/>
          <w:lang w:val="fr-FR"/>
        </w:rPr>
        <w:t xml:space="preserve"> </w:t>
      </w:r>
      <w:r w:rsidRPr="00965C52">
        <w:rPr>
          <w:rFonts w:eastAsia="Times New Roman"/>
          <w:sz w:val="18"/>
          <w:szCs w:val="18"/>
          <w:vertAlign w:val="superscript"/>
          <w:lang w:val="fr-FR"/>
        </w:rPr>
        <w:t>12</w:t>
      </w:r>
      <w:r w:rsidRPr="00965C52">
        <w:rPr>
          <w:rFonts w:eastAsia="Times New Roman"/>
          <w:sz w:val="18"/>
          <w:szCs w:val="18"/>
          <w:lang w:val="fr-FR"/>
        </w:rPr>
        <w:t xml:space="preserv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w:t>
      </w:r>
      <w:r w:rsidRPr="00965C52">
        <w:rPr>
          <w:rFonts w:eastAsia="Times New Roman"/>
          <w:lang w:val="fr-FR"/>
        </w:rPr>
        <w:tab/>
        <w:t>Mesures contre la pollution de l</w:t>
      </w:r>
      <w:r w:rsidR="00DB4C2D">
        <w:rPr>
          <w:rFonts w:eastAsia="Times New Roman"/>
          <w:lang w:val="fr-FR"/>
        </w:rPr>
        <w:t>’</w:t>
      </w:r>
      <w:r w:rsidRPr="00965C52">
        <w:rPr>
          <w:rFonts w:eastAsia="Times New Roman"/>
          <w:lang w:val="fr-FR"/>
        </w:rPr>
        <w:t xml:space="preserve">air: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3.2.12.1</w:t>
      </w:r>
      <w:r w:rsidRPr="00965C52">
        <w:rPr>
          <w:rFonts w:eastAsia="Times New Roman"/>
          <w:lang w:val="fr-FR"/>
        </w:rPr>
        <w:tab/>
        <w:t xml:space="preserve">Dispositif de recyclage des gaz de carter (description et dessins):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w:t>
      </w:r>
      <w:r w:rsidRPr="00965C52">
        <w:rPr>
          <w:rFonts w:eastAsia="Times New Roman"/>
          <w:lang w:val="fr-FR"/>
        </w:rPr>
        <w:tab/>
      </w:r>
      <w:r w:rsidRPr="00965C52">
        <w:rPr>
          <w:rFonts w:eastAsia="Times New Roman"/>
          <w:spacing w:val="-2"/>
          <w:lang w:val="fr-FR"/>
        </w:rPr>
        <w:t xml:space="preserve">Dispositifs </w:t>
      </w:r>
      <w:r w:rsidRPr="00F04C9D">
        <w:rPr>
          <w:rFonts w:eastAsia="Times New Roman"/>
          <w:lang w:val="fr-FR"/>
        </w:rPr>
        <w:t>antipollution</w:t>
      </w:r>
      <w:r w:rsidRPr="00965C52">
        <w:rPr>
          <w:rFonts w:eastAsia="Times New Roman"/>
          <w:spacing w:val="-2"/>
          <w:lang w:val="fr-FR"/>
        </w:rPr>
        <w:t xml:space="preserve"> supplémentaires (s</w:t>
      </w:r>
      <w:r w:rsidR="00DB4C2D">
        <w:rPr>
          <w:rFonts w:eastAsia="Times New Roman"/>
          <w:spacing w:val="-2"/>
          <w:lang w:val="fr-FR"/>
        </w:rPr>
        <w:t>’</w:t>
      </w:r>
      <w:r w:rsidRPr="00965C52">
        <w:rPr>
          <w:rFonts w:eastAsia="Times New Roman"/>
          <w:spacing w:val="-2"/>
          <w:lang w:val="fr-FR"/>
        </w:rPr>
        <w:t>ils existent et s</w:t>
      </w:r>
      <w:r w:rsidR="00DB4C2D">
        <w:rPr>
          <w:rFonts w:eastAsia="Times New Roman"/>
          <w:spacing w:val="-2"/>
          <w:lang w:val="fr-FR"/>
        </w:rPr>
        <w:t>’</w:t>
      </w:r>
      <w:r w:rsidRPr="00965C52">
        <w:rPr>
          <w:rFonts w:eastAsia="Times New Roman"/>
          <w:spacing w:val="-2"/>
          <w:lang w:val="fr-FR"/>
        </w:rPr>
        <w:t>ils n</w:t>
      </w:r>
      <w:r w:rsidR="00DB4C2D">
        <w:rPr>
          <w:rFonts w:eastAsia="Times New Roman"/>
          <w:spacing w:val="-2"/>
          <w:lang w:val="fr-FR"/>
        </w:rPr>
        <w:t>’</w:t>
      </w:r>
      <w:r w:rsidRPr="00965C52">
        <w:rPr>
          <w:rFonts w:eastAsia="Times New Roman"/>
          <w:spacing w:val="-2"/>
          <w:lang w:val="fr-FR"/>
        </w:rPr>
        <w:t>apparaissent</w:t>
      </w:r>
      <w:r w:rsidRPr="00965C52">
        <w:rPr>
          <w:rFonts w:eastAsia="Times New Roman"/>
          <w:lang w:val="fr-FR"/>
        </w:rPr>
        <w:t xml:space="preserve"> pas dans une autre rubrique):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w:t>
      </w:r>
      <w:r w:rsidRPr="00965C52">
        <w:rPr>
          <w:rFonts w:eastAsia="Times New Roman"/>
          <w:lang w:val="fr-FR"/>
        </w:rPr>
        <w:tab/>
        <w:t>Convertisseur catalytique: oui/non</w:t>
      </w:r>
      <w:r w:rsidRPr="00965C52">
        <w:rPr>
          <w:rFonts w:eastAsia="Times New Roman"/>
          <w:sz w:val="18"/>
          <w:szCs w:val="18"/>
          <w:vertAlign w:val="superscript"/>
          <w:lang w:val="fr-FR"/>
        </w:rPr>
        <w:t>9</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lastRenderedPageBreak/>
        <w:t>3.2.12.2.1.1</w:t>
      </w:r>
      <w:r w:rsidRPr="00965C52">
        <w:rPr>
          <w:rFonts w:eastAsia="Times New Roman"/>
          <w:lang w:val="fr-FR"/>
        </w:rPr>
        <w:tab/>
        <w:t>Nombre de convertisseurs catalytiques et d</w:t>
      </w:r>
      <w:r w:rsidR="00DB4C2D">
        <w:rPr>
          <w:rFonts w:eastAsia="Times New Roman"/>
          <w:lang w:val="fr-FR"/>
        </w:rPr>
        <w:t>’</w:t>
      </w:r>
      <w:r w:rsidRPr="00965C52">
        <w:rPr>
          <w:rFonts w:eastAsia="Times New Roman"/>
          <w:lang w:val="fr-FR"/>
        </w:rPr>
        <w:t>éléments (fournir les informations ci-après pour chaque unité distincte):</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3.2.12.2.1.2</w:t>
      </w:r>
      <w:r w:rsidRPr="00965C52">
        <w:rPr>
          <w:rFonts w:eastAsia="Times New Roman"/>
          <w:lang w:val="fr-FR"/>
        </w:rPr>
        <w:tab/>
        <w:t>Dimensions, forme du ou des convertisseur(s) catalytique(s) (volume…):</w:t>
      </w:r>
      <w:r w:rsidRPr="00965C52">
        <w:rPr>
          <w:rFonts w:eastAsia="Times New Roman"/>
          <w:lang w:val="fr-FR"/>
        </w:rPr>
        <w:br/>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3.2.12.2.1.3</w:t>
      </w:r>
      <w:r w:rsidRPr="00965C52">
        <w:rPr>
          <w:rFonts w:eastAsia="Times New Roman"/>
          <w:lang w:val="fr-FR"/>
        </w:rPr>
        <w:tab/>
        <w:t>Type d</w:t>
      </w:r>
      <w:r w:rsidR="00DB4C2D">
        <w:rPr>
          <w:rFonts w:eastAsia="Times New Roman"/>
          <w:lang w:val="fr-FR"/>
        </w:rPr>
        <w:t>’</w:t>
      </w:r>
      <w:r w:rsidRPr="00965C52">
        <w:rPr>
          <w:rFonts w:eastAsia="Times New Roman"/>
          <w:lang w:val="fr-FR"/>
        </w:rPr>
        <w:t xml:space="preserve">action catalytique: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3.2.12.2.1.4</w:t>
      </w:r>
      <w:r w:rsidRPr="00965C52">
        <w:rPr>
          <w:rFonts w:eastAsia="Times New Roman"/>
          <w:lang w:val="fr-FR"/>
        </w:rPr>
        <w:tab/>
        <w:t xml:space="preserve">Quantité totale de métaux précieux: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3.2.12.2.1.5</w:t>
      </w:r>
      <w:r w:rsidRPr="00965C52">
        <w:rPr>
          <w:rFonts w:eastAsia="Times New Roman"/>
          <w:lang w:val="fr-FR"/>
        </w:rPr>
        <w:tab/>
        <w:t xml:space="preserve">Concentration relative: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3.2.12.2.1.6</w:t>
      </w:r>
      <w:r w:rsidRPr="00965C52">
        <w:rPr>
          <w:rFonts w:eastAsia="Times New Roman"/>
          <w:lang w:val="fr-FR"/>
        </w:rPr>
        <w:tab/>
        <w:t xml:space="preserve">Substrat (structure et matériaux):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3.2.12.2.1.7</w:t>
      </w:r>
      <w:r w:rsidRPr="00965C52">
        <w:rPr>
          <w:rFonts w:eastAsia="Times New Roman"/>
          <w:lang w:val="fr-FR"/>
        </w:rPr>
        <w:tab/>
        <w:t xml:space="preserve">Densité alvéolaire: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3.2.12.2.1.8</w:t>
      </w:r>
      <w:r w:rsidRPr="00965C52">
        <w:rPr>
          <w:rFonts w:eastAsia="Times New Roman"/>
          <w:lang w:val="fr-FR"/>
        </w:rPr>
        <w:tab/>
        <w:t xml:space="preserve">Type de carter pour le/les convertisseur(s):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3.2.12.2.1.9</w:t>
      </w:r>
      <w:r w:rsidRPr="00965C52">
        <w:rPr>
          <w:rFonts w:eastAsia="Times New Roman"/>
          <w:lang w:val="fr-FR"/>
        </w:rPr>
        <w:tab/>
        <w:t>Emplacement des convertisseurs catalytiques (localisation et distance de référence le long du système d</w:t>
      </w:r>
      <w:r w:rsidR="00DB4C2D">
        <w:rPr>
          <w:rFonts w:eastAsia="Times New Roman"/>
          <w:lang w:val="fr-FR"/>
        </w:rPr>
        <w:t>’</w:t>
      </w:r>
      <w:r w:rsidRPr="00965C52">
        <w:rPr>
          <w:rFonts w:eastAsia="Times New Roman"/>
          <w:lang w:val="fr-FR"/>
        </w:rPr>
        <w:t xml:space="preserve">échappement):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3.2.12.2.1.10</w:t>
      </w:r>
      <w:r w:rsidRPr="00965C52">
        <w:rPr>
          <w:rFonts w:eastAsia="Times New Roman"/>
          <w:lang w:val="fr-FR"/>
        </w:rPr>
        <w:tab/>
        <w:t>Écran thermique: oui/non</w:t>
      </w:r>
      <w:r w:rsidRPr="00965C52">
        <w:rPr>
          <w:rFonts w:eastAsia="Times New Roman"/>
          <w:sz w:val="18"/>
          <w:szCs w:val="18"/>
          <w:vertAlign w:val="superscript"/>
          <w:lang w:val="fr-FR"/>
        </w:rPr>
        <w:t>9</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3.2.12.2.1.11</w:t>
      </w:r>
      <w:r w:rsidRPr="00965C52">
        <w:rPr>
          <w:rFonts w:eastAsia="Times New Roman"/>
          <w:lang w:val="fr-FR"/>
        </w:rPr>
        <w:tab/>
        <w:t>Systèmes/méthodes de régénération des systèmes d</w:t>
      </w:r>
      <w:r w:rsidR="00DB4C2D">
        <w:rPr>
          <w:rFonts w:eastAsia="Times New Roman"/>
          <w:lang w:val="fr-FR"/>
        </w:rPr>
        <w:t>’</w:t>
      </w:r>
      <w:r w:rsidRPr="00965C52">
        <w:rPr>
          <w:rFonts w:eastAsia="Times New Roman"/>
          <w:lang w:val="fr-FR"/>
        </w:rPr>
        <w:t>épuration aval des gaz d</w:t>
      </w:r>
      <w:r w:rsidR="00DB4C2D">
        <w:rPr>
          <w:rFonts w:eastAsia="Times New Roman"/>
          <w:lang w:val="fr-FR"/>
        </w:rPr>
        <w:t>’</w:t>
      </w:r>
      <w:r w:rsidRPr="00965C52">
        <w:rPr>
          <w:rFonts w:eastAsia="Times New Roman"/>
          <w:lang w:val="fr-FR"/>
        </w:rPr>
        <w:t xml:space="preserve">échappement, description: </w:t>
      </w:r>
      <w:r w:rsidRPr="00965C52">
        <w:rPr>
          <w:rFonts w:eastAsia="Times New Roman"/>
          <w:lang w:val="fr-FR"/>
        </w:rPr>
        <w:tab/>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3.2.12.2.1.11.1</w:t>
      </w:r>
      <w:r w:rsidRPr="00965C52">
        <w:rPr>
          <w:rFonts w:eastAsia="Times New Roman"/>
          <w:lang w:val="fr-FR"/>
        </w:rPr>
        <w:tab/>
        <w:t>Nombre de cycles d</w:t>
      </w:r>
      <w:r w:rsidR="00DB4C2D">
        <w:rPr>
          <w:rFonts w:eastAsia="Times New Roman"/>
          <w:lang w:val="fr-FR"/>
        </w:rPr>
        <w:t>’</w:t>
      </w:r>
      <w:r w:rsidRPr="00965C52">
        <w:rPr>
          <w:rFonts w:eastAsia="Times New Roman"/>
          <w:lang w:val="fr-FR"/>
        </w:rPr>
        <w:t>essais du type I ou de cycles d</w:t>
      </w:r>
      <w:r w:rsidR="00DB4C2D">
        <w:rPr>
          <w:rFonts w:eastAsia="Times New Roman"/>
          <w:lang w:val="fr-FR"/>
        </w:rPr>
        <w:t>’</w:t>
      </w:r>
      <w:r w:rsidRPr="00965C52">
        <w:rPr>
          <w:rFonts w:eastAsia="Times New Roman"/>
          <w:lang w:val="fr-FR"/>
        </w:rPr>
        <w:t>essais équivalents sur bancs moteur entre deux cycles où se produit une régénération dans les conditions équivalentes à l</w:t>
      </w:r>
      <w:r w:rsidR="00DB4C2D">
        <w:rPr>
          <w:rFonts w:eastAsia="Times New Roman"/>
          <w:lang w:val="fr-FR"/>
        </w:rPr>
        <w:t>’</w:t>
      </w:r>
      <w:r w:rsidRPr="00965C52">
        <w:rPr>
          <w:rFonts w:eastAsia="Times New Roman"/>
          <w:lang w:val="fr-FR"/>
        </w:rPr>
        <w:t>essai du type I (distance «D» dans la figure A/13/1 de l</w:t>
      </w:r>
      <w:r w:rsidR="00DB4C2D">
        <w:rPr>
          <w:rFonts w:eastAsia="Times New Roman"/>
          <w:lang w:val="fr-FR"/>
        </w:rPr>
        <w:t>’</w:t>
      </w:r>
      <w:r w:rsidRPr="00965C52">
        <w:rPr>
          <w:rFonts w:eastAsia="Times New Roman"/>
          <w:lang w:val="fr-FR"/>
        </w:rPr>
        <w:t xml:space="preserve">annexe 13 du présent Règlement):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3.2.12.2.1.11.2</w:t>
      </w:r>
      <w:r w:rsidRPr="00965C52">
        <w:rPr>
          <w:rFonts w:eastAsia="Times New Roman"/>
          <w:lang w:val="fr-FR"/>
        </w:rPr>
        <w:tab/>
        <w:t xml:space="preserve">Description de la méthode appliquée pour déterminer le nombre de cycles entre deux cycles où se produit une régénération: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3.2.12.2.1.11.3</w:t>
      </w:r>
      <w:r w:rsidRPr="00965C52">
        <w:rPr>
          <w:rFonts w:eastAsia="Times New Roman"/>
          <w:lang w:val="fr-FR"/>
        </w:rPr>
        <w:tab/>
        <w:t>Paramètres servant à déterminer le niveau d</w:t>
      </w:r>
      <w:r w:rsidR="00DB4C2D">
        <w:rPr>
          <w:rFonts w:eastAsia="Times New Roman"/>
          <w:lang w:val="fr-FR"/>
        </w:rPr>
        <w:t>’</w:t>
      </w:r>
      <w:r w:rsidRPr="00965C52">
        <w:rPr>
          <w:rFonts w:eastAsia="Times New Roman"/>
          <w:lang w:val="fr-FR"/>
        </w:rPr>
        <w:t xml:space="preserve">encrassement à partir duquel se produit une régénération (température, pression, etc.): </w:t>
      </w:r>
      <w:r w:rsidRPr="00965C52">
        <w:rPr>
          <w:rFonts w:eastAsia="Times New Roman"/>
          <w:lang w:val="fr-FR"/>
        </w:rPr>
        <w:tab/>
      </w:r>
    </w:p>
    <w:p w:rsidR="00965C52" w:rsidRPr="00965C52" w:rsidRDefault="00965C52" w:rsidP="00965C52">
      <w:pPr>
        <w:tabs>
          <w:tab w:val="right" w:leader="dot" w:pos="8505"/>
        </w:tabs>
        <w:kinsoku/>
        <w:overflowPunct/>
        <w:autoSpaceDE/>
        <w:autoSpaceDN/>
        <w:adjustRightInd/>
        <w:snapToGrid/>
        <w:spacing w:after="120"/>
        <w:ind w:left="2552" w:right="1134" w:hanging="1418"/>
        <w:rPr>
          <w:rFonts w:eastAsia="Times New Roman"/>
          <w:lang w:val="fr-FR"/>
        </w:rPr>
      </w:pPr>
      <w:r w:rsidRPr="00965C52">
        <w:rPr>
          <w:rFonts w:eastAsia="Times New Roman"/>
          <w:lang w:val="fr-FR"/>
        </w:rPr>
        <w:t>3.2.12.2.1.11.4</w:t>
      </w:r>
      <w:r w:rsidRPr="00965C52">
        <w:rPr>
          <w:rFonts w:eastAsia="Times New Roman"/>
          <w:lang w:val="fr-FR"/>
        </w:rPr>
        <w:tab/>
        <w:t>Description de la méthode appliquée pour réaliser l</w:t>
      </w:r>
      <w:r w:rsidR="00DB4C2D">
        <w:rPr>
          <w:rFonts w:eastAsia="Times New Roman"/>
          <w:lang w:val="fr-FR"/>
        </w:rPr>
        <w:t>’</w:t>
      </w:r>
      <w:r w:rsidRPr="00965C52">
        <w:rPr>
          <w:rFonts w:eastAsia="Times New Roman"/>
          <w:lang w:val="fr-FR"/>
        </w:rPr>
        <w:t>encrassement du dispositif dans la procédure d</w:t>
      </w:r>
      <w:r w:rsidR="00DB4C2D">
        <w:rPr>
          <w:rFonts w:eastAsia="Times New Roman"/>
          <w:lang w:val="fr-FR"/>
        </w:rPr>
        <w:t>’</w:t>
      </w:r>
      <w:r w:rsidRPr="00965C52">
        <w:rPr>
          <w:rFonts w:eastAsia="Times New Roman"/>
          <w:lang w:val="fr-FR"/>
        </w:rPr>
        <w:t>essai décrite au paragraphe 3.1 de l</w:t>
      </w:r>
      <w:r w:rsidR="00DB4C2D">
        <w:rPr>
          <w:rFonts w:eastAsia="Times New Roman"/>
          <w:lang w:val="fr-FR"/>
        </w:rPr>
        <w:t>’</w:t>
      </w:r>
      <w:r w:rsidRPr="00965C52">
        <w:rPr>
          <w:rFonts w:eastAsia="Times New Roman"/>
          <w:lang w:val="fr-FR"/>
        </w:rPr>
        <w:t xml:space="preserve">annexe 13 du présent Règlement: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3.2.12.2.1.11.5</w:t>
      </w:r>
      <w:r w:rsidRPr="00965C52">
        <w:rPr>
          <w:rFonts w:eastAsia="Times New Roman"/>
          <w:lang w:val="fr-FR"/>
        </w:rPr>
        <w:tab/>
        <w:t xml:space="preserve">Plage des températures normales de fonctionnement (K):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3.2.12.2.1.11.6</w:t>
      </w:r>
      <w:r w:rsidRPr="00965C52">
        <w:rPr>
          <w:rFonts w:eastAsia="Times New Roman"/>
          <w:lang w:val="fr-FR"/>
        </w:rPr>
        <w:tab/>
        <w:t xml:space="preserve">Réactifs consommables (le cas échéant):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3.2.12.2.1.11.7</w:t>
      </w:r>
      <w:r w:rsidRPr="00965C52">
        <w:rPr>
          <w:rFonts w:eastAsia="Times New Roman"/>
          <w:lang w:val="fr-FR"/>
        </w:rPr>
        <w:tab/>
        <w:t xml:space="preserve"> Type et concentration du réactif nécessaire à l</w:t>
      </w:r>
      <w:r w:rsidR="00DB4C2D">
        <w:rPr>
          <w:rFonts w:eastAsia="Times New Roman"/>
          <w:lang w:val="fr-FR"/>
        </w:rPr>
        <w:t>’</w:t>
      </w:r>
      <w:r w:rsidRPr="00965C52">
        <w:rPr>
          <w:rFonts w:eastAsia="Times New Roman"/>
          <w:lang w:val="fr-FR"/>
        </w:rPr>
        <w:t>action catalytique</w:t>
      </w:r>
      <w:r w:rsidRPr="00965C52">
        <w:rPr>
          <w:rFonts w:eastAsia="Times New Roman"/>
          <w:lang w:val="fr-FR"/>
        </w:rPr>
        <w:br/>
        <w:t xml:space="preserve">(le cas échéant):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3.2.12.2.1.11.8</w:t>
      </w:r>
      <w:r w:rsidRPr="00965C52">
        <w:rPr>
          <w:rFonts w:eastAsia="Times New Roman"/>
          <w:lang w:val="fr-FR"/>
        </w:rPr>
        <w:tab/>
        <w:t>Plage des températures normales de fonctionnement du réactif</w:t>
      </w:r>
      <w:r w:rsidRPr="00965C52">
        <w:rPr>
          <w:rFonts w:eastAsia="Times New Roman"/>
          <w:lang w:val="fr-FR"/>
        </w:rPr>
        <w:br/>
        <w:t xml:space="preserve">(le cas échéant):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3.2.12.2.1.11.9</w:t>
      </w:r>
      <w:r w:rsidRPr="00965C52">
        <w:rPr>
          <w:rFonts w:eastAsia="Times New Roman"/>
          <w:lang w:val="fr-FR"/>
        </w:rPr>
        <w:tab/>
        <w:t xml:space="preserve">Norme internationale (le cas échéant): </w:t>
      </w:r>
      <w:r w:rsidRPr="00965C52">
        <w:rPr>
          <w:rFonts w:eastAsia="Times New Roman"/>
          <w:lang w:val="fr-FR"/>
        </w:rPr>
        <w:tab/>
      </w:r>
    </w:p>
    <w:p w:rsidR="00965C52" w:rsidRPr="00965C52" w:rsidRDefault="00010986" w:rsidP="00F04C9D">
      <w:pPr>
        <w:pStyle w:val="SingleTxtG"/>
        <w:tabs>
          <w:tab w:val="right" w:leader="dot" w:pos="8505"/>
        </w:tabs>
        <w:ind w:left="2552" w:hanging="1418"/>
        <w:jc w:val="left"/>
        <w:rPr>
          <w:rFonts w:eastAsia="Times New Roman"/>
          <w:lang w:val="fr-FR"/>
        </w:rPr>
      </w:pPr>
      <w:r>
        <w:rPr>
          <w:rFonts w:eastAsia="Times New Roman"/>
          <w:lang w:val="fr-FR"/>
        </w:rPr>
        <w:t>3.2.12.2.1.11.10</w:t>
      </w:r>
      <w:r w:rsidR="00965C52" w:rsidRPr="00965C52">
        <w:rPr>
          <w:rFonts w:eastAsia="Times New Roman"/>
          <w:lang w:val="fr-FR"/>
        </w:rPr>
        <w:tab/>
        <w:t>Fréquence de recharge du réactif: continue/entretien</w:t>
      </w:r>
      <w:r w:rsidR="00965C52" w:rsidRPr="00965C52">
        <w:rPr>
          <w:rFonts w:eastAsia="Times New Roman"/>
          <w:sz w:val="18"/>
          <w:szCs w:val="18"/>
          <w:vertAlign w:val="superscript"/>
          <w:lang w:val="fr-FR"/>
        </w:rPr>
        <w:t>9</w:t>
      </w:r>
      <w:r w:rsidR="00965C52" w:rsidRPr="00965C52">
        <w:rPr>
          <w:rFonts w:eastAsia="Times New Roman"/>
          <w:lang w:val="fr-FR"/>
        </w:rPr>
        <w:t xml:space="preserve"> (le cas échéant)</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3.2.12.2.1.12</w:t>
      </w:r>
      <w:r w:rsidRPr="00965C52">
        <w:rPr>
          <w:rFonts w:eastAsia="Times New Roman"/>
          <w:lang w:val="fr-FR"/>
        </w:rPr>
        <w:tab/>
        <w:t xml:space="preserve">Marque du convertisseur catalytique: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3.2.12.2.1.13</w:t>
      </w:r>
      <w:r w:rsidRPr="00965C52">
        <w:rPr>
          <w:rFonts w:eastAsia="Times New Roman"/>
          <w:lang w:val="fr-FR"/>
        </w:rPr>
        <w:tab/>
        <w:t>Numéro d</w:t>
      </w:r>
      <w:r w:rsidR="00DB4C2D">
        <w:rPr>
          <w:rFonts w:eastAsia="Times New Roman"/>
          <w:lang w:val="fr-FR"/>
        </w:rPr>
        <w:t>’</w:t>
      </w:r>
      <w:r w:rsidRPr="00965C52">
        <w:rPr>
          <w:rFonts w:eastAsia="Times New Roman"/>
          <w:lang w:val="fr-FR"/>
        </w:rPr>
        <w:t xml:space="preserve">identification de la pièce: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3.2.12.2.2</w:t>
      </w:r>
      <w:r w:rsidRPr="00965C52">
        <w:rPr>
          <w:rFonts w:eastAsia="Times New Roman"/>
          <w:lang w:val="fr-FR"/>
        </w:rPr>
        <w:tab/>
        <w:t>Capteur d</w:t>
      </w:r>
      <w:r w:rsidR="00DB4C2D">
        <w:rPr>
          <w:rFonts w:eastAsia="Times New Roman"/>
          <w:lang w:val="fr-FR"/>
        </w:rPr>
        <w:t>’</w:t>
      </w:r>
      <w:r w:rsidRPr="00965C52">
        <w:rPr>
          <w:rFonts w:eastAsia="Times New Roman"/>
          <w:lang w:val="fr-FR"/>
        </w:rPr>
        <w:t>oxygène: oui/non</w:t>
      </w:r>
      <w:r w:rsidRPr="00965C52">
        <w:rPr>
          <w:rFonts w:eastAsia="Times New Roman"/>
          <w:sz w:val="18"/>
          <w:szCs w:val="18"/>
          <w:vertAlign w:val="superscript"/>
          <w:lang w:val="fr-FR"/>
        </w:rPr>
        <w:t>9</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3.2.12.2.2.1</w:t>
      </w:r>
      <w:r w:rsidRPr="00965C52">
        <w:rPr>
          <w:rFonts w:eastAsia="Times New Roman"/>
          <w:lang w:val="fr-FR"/>
        </w:rPr>
        <w:tab/>
        <w:t xml:space="preserve">Type: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3.2.12.2.2.2</w:t>
      </w:r>
      <w:r w:rsidRPr="00965C52">
        <w:rPr>
          <w:rFonts w:eastAsia="Times New Roman"/>
          <w:lang w:val="fr-FR"/>
        </w:rPr>
        <w:tab/>
        <w:t>Emplacement du capteur d</w:t>
      </w:r>
      <w:r w:rsidR="00DB4C2D">
        <w:rPr>
          <w:rFonts w:eastAsia="Times New Roman"/>
          <w:lang w:val="fr-FR"/>
        </w:rPr>
        <w:t>’</w:t>
      </w:r>
      <w:r w:rsidRPr="00965C52">
        <w:rPr>
          <w:rFonts w:eastAsia="Times New Roman"/>
          <w:lang w:val="fr-FR"/>
        </w:rPr>
        <w:t xml:space="preserve">oxygène: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3.2.12.2.2.3</w:t>
      </w:r>
      <w:r w:rsidRPr="00965C52">
        <w:rPr>
          <w:rFonts w:eastAsia="Times New Roman"/>
          <w:lang w:val="fr-FR"/>
        </w:rPr>
        <w:tab/>
        <w:t>Plage de sensibilité</w:t>
      </w:r>
      <w:r w:rsidRPr="00965C52">
        <w:rPr>
          <w:rFonts w:eastAsia="Times New Roman"/>
          <w:sz w:val="18"/>
          <w:szCs w:val="18"/>
          <w:vertAlign w:val="superscript"/>
          <w:lang w:val="fr-FR"/>
        </w:rPr>
        <w:t>12</w:t>
      </w:r>
      <w:r w:rsidRPr="00965C52">
        <w:rPr>
          <w:rFonts w:eastAsia="Times New Roman"/>
          <w:lang w:val="fr-FR"/>
        </w:rPr>
        <w:t xml:space="preserv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lastRenderedPageBreak/>
        <w:t>3.2.12.2.2.4</w:t>
      </w:r>
      <w:r w:rsidRPr="00965C52">
        <w:rPr>
          <w:rFonts w:eastAsia="Times New Roman"/>
          <w:lang w:val="fr-FR"/>
        </w:rPr>
        <w:tab/>
        <w:t>Marque du capteur d</w:t>
      </w:r>
      <w:r w:rsidR="00DB4C2D">
        <w:rPr>
          <w:rFonts w:eastAsia="Times New Roman"/>
          <w:lang w:val="fr-FR"/>
        </w:rPr>
        <w:t>’</w:t>
      </w:r>
      <w:r w:rsidRPr="00965C52">
        <w:rPr>
          <w:rFonts w:eastAsia="Times New Roman"/>
          <w:lang w:val="fr-FR"/>
        </w:rPr>
        <w:t xml:space="preserve">oxygène: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3.2.12.2.2.5</w:t>
      </w:r>
      <w:r w:rsidRPr="00965C52">
        <w:rPr>
          <w:rFonts w:eastAsia="Times New Roman"/>
          <w:lang w:val="fr-FR"/>
        </w:rPr>
        <w:tab/>
        <w:t>Numéro d</w:t>
      </w:r>
      <w:r w:rsidR="00DB4C2D">
        <w:rPr>
          <w:rFonts w:eastAsia="Times New Roman"/>
          <w:lang w:val="fr-FR"/>
        </w:rPr>
        <w:t>’</w:t>
      </w:r>
      <w:r w:rsidRPr="00965C52">
        <w:rPr>
          <w:rFonts w:eastAsia="Times New Roman"/>
          <w:lang w:val="fr-FR"/>
        </w:rPr>
        <w:t xml:space="preserve">identification de la pièce: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3.2.12.2.3</w:t>
      </w:r>
      <w:r w:rsidRPr="00965C52">
        <w:rPr>
          <w:rFonts w:eastAsia="Times New Roman"/>
          <w:lang w:val="fr-FR"/>
        </w:rPr>
        <w:tab/>
        <w:t>Injection d</w:t>
      </w:r>
      <w:r w:rsidR="00DB4C2D">
        <w:rPr>
          <w:rFonts w:eastAsia="Times New Roman"/>
          <w:lang w:val="fr-FR"/>
        </w:rPr>
        <w:t>’</w:t>
      </w:r>
      <w:r w:rsidRPr="00965C52">
        <w:rPr>
          <w:rFonts w:eastAsia="Times New Roman"/>
          <w:lang w:val="fr-FR"/>
        </w:rPr>
        <w:t>air: oui/non</w:t>
      </w:r>
      <w:r w:rsidRPr="00965C52">
        <w:rPr>
          <w:rFonts w:eastAsia="Times New Roman"/>
          <w:sz w:val="18"/>
          <w:szCs w:val="18"/>
          <w:vertAlign w:val="superscript"/>
          <w:lang w:val="fr-FR"/>
        </w:rPr>
        <w:t>9</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3.2.12.2.3.1</w:t>
      </w:r>
      <w:r w:rsidRPr="00965C52">
        <w:rPr>
          <w:rFonts w:eastAsia="Times New Roman"/>
          <w:lang w:val="fr-FR"/>
        </w:rPr>
        <w:tab/>
        <w:t xml:space="preserve">Type (air pulsé, pompe à air, etc.):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3.2.12.2.4</w:t>
      </w:r>
      <w:r w:rsidRPr="00965C52">
        <w:rPr>
          <w:rFonts w:eastAsia="Times New Roman"/>
          <w:lang w:val="fr-FR"/>
        </w:rPr>
        <w:tab/>
        <w:t>Recyclage des gaz d</w:t>
      </w:r>
      <w:r w:rsidR="00DB4C2D">
        <w:rPr>
          <w:rFonts w:eastAsia="Times New Roman"/>
          <w:lang w:val="fr-FR"/>
        </w:rPr>
        <w:t>’</w:t>
      </w:r>
      <w:r w:rsidRPr="00965C52">
        <w:rPr>
          <w:rFonts w:eastAsia="Times New Roman"/>
          <w:lang w:val="fr-FR"/>
        </w:rPr>
        <w:t>échappement: oui/non</w:t>
      </w:r>
      <w:r w:rsidRPr="00965C52">
        <w:rPr>
          <w:rFonts w:eastAsia="Times New Roman"/>
          <w:sz w:val="18"/>
          <w:szCs w:val="18"/>
          <w:vertAlign w:val="superscript"/>
          <w:lang w:val="fr-FR"/>
        </w:rPr>
        <w:t>9</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3.2.12.2.4.1</w:t>
      </w:r>
      <w:r w:rsidRPr="00965C52">
        <w:rPr>
          <w:rFonts w:eastAsia="Times New Roman"/>
          <w:lang w:val="fr-FR"/>
        </w:rPr>
        <w:tab/>
        <w:t xml:space="preserve">Caractéristiques (débit, etc.):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3.2.12.2.4.2</w:t>
      </w:r>
      <w:r w:rsidRPr="00965C52">
        <w:rPr>
          <w:rFonts w:eastAsia="Times New Roman"/>
          <w:lang w:val="fr-FR"/>
        </w:rPr>
        <w:tab/>
        <w:t>Système de refroidissement par eau: oui/non</w:t>
      </w:r>
      <w:r w:rsidRPr="00965C52">
        <w:rPr>
          <w:rFonts w:eastAsia="Times New Roman"/>
          <w:sz w:val="18"/>
          <w:szCs w:val="18"/>
          <w:vertAlign w:val="superscript"/>
          <w:lang w:val="fr-FR"/>
        </w:rPr>
        <w:t>9</w:t>
      </w:r>
    </w:p>
    <w:p w:rsidR="00965C52" w:rsidRPr="00965C52" w:rsidRDefault="00965C52" w:rsidP="00F04C9D">
      <w:pPr>
        <w:pStyle w:val="SingleTxtG"/>
        <w:keepNext/>
        <w:tabs>
          <w:tab w:val="right" w:leader="dot" w:pos="8505"/>
        </w:tabs>
        <w:ind w:left="2552" w:hanging="1418"/>
        <w:jc w:val="left"/>
        <w:rPr>
          <w:rFonts w:eastAsia="Times New Roman"/>
          <w:vertAlign w:val="superscript"/>
          <w:lang w:val="fr-FR"/>
        </w:rPr>
      </w:pPr>
      <w:r w:rsidRPr="00965C52">
        <w:rPr>
          <w:rFonts w:eastAsia="Times New Roman"/>
          <w:lang w:val="fr-FR"/>
        </w:rPr>
        <w:t>3.2.12.2.5</w:t>
      </w:r>
      <w:r w:rsidRPr="00965C52">
        <w:rPr>
          <w:rFonts w:eastAsia="Times New Roman"/>
          <w:lang w:val="fr-FR"/>
        </w:rPr>
        <w:tab/>
        <w:t>Système de contrôle des émissions par évaporation: oui/non</w:t>
      </w:r>
      <w:r w:rsidRPr="00965C52">
        <w:rPr>
          <w:rFonts w:eastAsia="Times New Roman"/>
          <w:sz w:val="18"/>
          <w:szCs w:val="18"/>
          <w:vertAlign w:val="superscript"/>
          <w:lang w:val="fr-FR"/>
        </w:rPr>
        <w:t>9</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3.2.12.2.5.1</w:t>
      </w:r>
      <w:r w:rsidRPr="00965C52">
        <w:rPr>
          <w:rFonts w:eastAsia="Times New Roman"/>
          <w:lang w:val="fr-FR"/>
        </w:rPr>
        <w:tab/>
        <w:t xml:space="preserve">Description détaillée des dispositifs et de leur réglage: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3.2.12.2.5.2</w:t>
      </w:r>
      <w:r w:rsidRPr="00965C52">
        <w:rPr>
          <w:rFonts w:eastAsia="Times New Roman"/>
          <w:lang w:val="fr-FR"/>
        </w:rPr>
        <w:tab/>
        <w:t xml:space="preserve">Dessin du système de contrôle par évaporation: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3.2.12.2.5.3</w:t>
      </w:r>
      <w:r w:rsidRPr="00965C52">
        <w:rPr>
          <w:rFonts w:eastAsia="Times New Roman"/>
          <w:lang w:val="fr-FR"/>
        </w:rPr>
        <w:tab/>
        <w:t xml:space="preserve">Dessin de la boîte à carbone: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3.2.12.2.5.4</w:t>
      </w:r>
      <w:r w:rsidRPr="00965C52">
        <w:rPr>
          <w:rFonts w:eastAsia="Times New Roman"/>
          <w:lang w:val="fr-FR"/>
        </w:rPr>
        <w:tab/>
        <w:t xml:space="preserve">Masse du charbon sec: </w:t>
      </w:r>
      <w:r w:rsidRPr="00965C52">
        <w:rPr>
          <w:rFonts w:eastAsia="Times New Roman"/>
          <w:lang w:val="fr-FR"/>
        </w:rPr>
        <w:tab/>
        <w:t>g</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3.2.12.2.5.5</w:t>
      </w:r>
      <w:r w:rsidRPr="00965C52">
        <w:rPr>
          <w:rFonts w:eastAsia="Times New Roman"/>
          <w:lang w:val="fr-FR"/>
        </w:rPr>
        <w:tab/>
        <w:t>Schéma du réservoir de carburant, avec indication de la contenance</w:t>
      </w:r>
      <w:r w:rsidRPr="00965C52">
        <w:rPr>
          <w:rFonts w:eastAsia="Times New Roman"/>
          <w:lang w:val="fr-FR"/>
        </w:rPr>
        <w:br/>
        <w:t xml:space="preserve">et du matériau utilisé: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3.2.12.2.5.6</w:t>
      </w:r>
      <w:r w:rsidRPr="00965C52">
        <w:rPr>
          <w:rFonts w:eastAsia="Times New Roman"/>
          <w:lang w:val="fr-FR"/>
        </w:rPr>
        <w:tab/>
        <w:t>Dessin de l</w:t>
      </w:r>
      <w:r w:rsidR="00DB4C2D">
        <w:rPr>
          <w:rFonts w:eastAsia="Times New Roman"/>
          <w:lang w:val="fr-FR"/>
        </w:rPr>
        <w:t>’</w:t>
      </w:r>
      <w:r w:rsidRPr="00965C52">
        <w:rPr>
          <w:rFonts w:eastAsia="Times New Roman"/>
          <w:lang w:val="fr-FR"/>
        </w:rPr>
        <w:t>écran thermique entre le réservoir et le système d</w:t>
      </w:r>
      <w:r w:rsidR="00DB4C2D">
        <w:rPr>
          <w:rFonts w:eastAsia="Times New Roman"/>
          <w:lang w:val="fr-FR"/>
        </w:rPr>
        <w:t>’</w:t>
      </w:r>
      <w:r w:rsidRPr="00965C52">
        <w:rPr>
          <w:rFonts w:eastAsia="Times New Roman"/>
          <w:lang w:val="fr-FR"/>
        </w:rPr>
        <w:t xml:space="preserve">échappement: </w:t>
      </w:r>
      <w:r w:rsidRPr="00965C52">
        <w:rPr>
          <w:rFonts w:eastAsia="Times New Roman"/>
          <w:lang w:val="fr-FR"/>
        </w:rPr>
        <w:tab/>
      </w:r>
    </w:p>
    <w:p w:rsidR="00965C52" w:rsidRPr="00965C52" w:rsidRDefault="00965C52" w:rsidP="00F04C9D">
      <w:pPr>
        <w:pStyle w:val="SingleTxtG"/>
        <w:keepNext/>
        <w:tabs>
          <w:tab w:val="right" w:leader="dot" w:pos="8505"/>
        </w:tabs>
        <w:ind w:left="2552" w:hanging="1418"/>
        <w:jc w:val="left"/>
        <w:rPr>
          <w:rFonts w:eastAsia="Times New Roman"/>
          <w:lang w:val="fr-FR"/>
        </w:rPr>
      </w:pPr>
      <w:r w:rsidRPr="00965C52">
        <w:rPr>
          <w:rFonts w:eastAsia="Times New Roman"/>
          <w:lang w:val="fr-FR"/>
        </w:rPr>
        <w:t>3.2.12.2.6</w:t>
      </w:r>
      <w:r w:rsidRPr="00965C52">
        <w:rPr>
          <w:rFonts w:eastAsia="Times New Roman"/>
          <w:lang w:val="fr-FR"/>
        </w:rPr>
        <w:tab/>
        <w:t>Piège à particules: oui/non</w:t>
      </w:r>
      <w:r w:rsidRPr="00965C52">
        <w:rPr>
          <w:rFonts w:eastAsia="Times New Roman"/>
          <w:sz w:val="18"/>
          <w:szCs w:val="18"/>
          <w:vertAlign w:val="superscript"/>
          <w:lang w:val="fr-FR"/>
        </w:rPr>
        <w:t>9</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3.2.12.2.6.1</w:t>
      </w:r>
      <w:r w:rsidRPr="00965C52">
        <w:rPr>
          <w:rFonts w:eastAsia="Times New Roman"/>
          <w:lang w:val="fr-FR"/>
        </w:rPr>
        <w:tab/>
        <w:t>Dimensions, forme et contenance du piège à particules:</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3.2.12.2.6.2</w:t>
      </w:r>
      <w:r w:rsidRPr="00965C52">
        <w:rPr>
          <w:rFonts w:eastAsia="Times New Roman"/>
          <w:lang w:val="fr-FR"/>
        </w:rPr>
        <w:tab/>
        <w:t xml:space="preserve">Type et conception du piège à particules: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3.2.12.2.6.3</w:t>
      </w:r>
      <w:r w:rsidRPr="00965C52">
        <w:rPr>
          <w:rFonts w:eastAsia="Times New Roman"/>
          <w:lang w:val="fr-FR"/>
        </w:rPr>
        <w:tab/>
        <w:t>Emplacement (distance de référence le long du système d</w:t>
      </w:r>
      <w:r w:rsidR="00DB4C2D">
        <w:rPr>
          <w:rFonts w:eastAsia="Times New Roman"/>
          <w:lang w:val="fr-FR"/>
        </w:rPr>
        <w:t>’</w:t>
      </w:r>
      <w:r w:rsidRPr="00965C52">
        <w:rPr>
          <w:rFonts w:eastAsia="Times New Roman"/>
          <w:lang w:val="fr-FR"/>
        </w:rPr>
        <w:t>échappement):</w:t>
      </w:r>
      <w:r w:rsidR="00F04C9D">
        <w:rPr>
          <w:rFonts w:eastAsia="Times New Roman"/>
          <w:lang w:val="fr-FR"/>
        </w:rPr>
        <w:br/>
      </w:r>
      <w:r w:rsidR="00F04C9D">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3.2.12.2.6.4</w:t>
      </w:r>
      <w:r w:rsidRPr="00965C52">
        <w:rPr>
          <w:rFonts w:eastAsia="Times New Roman"/>
          <w:lang w:val="fr-FR"/>
        </w:rPr>
        <w:tab/>
        <w:t>Méthode ou système de régénération, description et/ou dessin:</w:t>
      </w:r>
      <w:r w:rsidR="00F04C9D">
        <w:rPr>
          <w:rFonts w:eastAsia="Times New Roman"/>
          <w:lang w:val="fr-FR"/>
        </w:rPr>
        <w:tab/>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3.2.12.2.6.4.1</w:t>
      </w:r>
      <w:r w:rsidRPr="00965C52">
        <w:rPr>
          <w:rFonts w:eastAsia="Times New Roman"/>
          <w:lang w:val="fr-FR"/>
        </w:rPr>
        <w:tab/>
        <w:t>Nombre de cycles d</w:t>
      </w:r>
      <w:r w:rsidR="00DB4C2D">
        <w:rPr>
          <w:rFonts w:eastAsia="Times New Roman"/>
          <w:lang w:val="fr-FR"/>
        </w:rPr>
        <w:t>’</w:t>
      </w:r>
      <w:r w:rsidRPr="00965C52">
        <w:rPr>
          <w:rFonts w:eastAsia="Times New Roman"/>
          <w:lang w:val="fr-FR"/>
        </w:rPr>
        <w:t>essai du type I (ou de cycles d</w:t>
      </w:r>
      <w:r w:rsidR="00DB4C2D">
        <w:rPr>
          <w:rFonts w:eastAsia="Times New Roman"/>
          <w:lang w:val="fr-FR"/>
        </w:rPr>
        <w:t>’</w:t>
      </w:r>
      <w:r w:rsidRPr="00965C52">
        <w:rPr>
          <w:rFonts w:eastAsia="Times New Roman"/>
          <w:lang w:val="fr-FR"/>
        </w:rPr>
        <w:t>essai équivalents sur bancs moteur) entre deux cycles où se produit une régénération dans les conditions équivalentes à l</w:t>
      </w:r>
      <w:r w:rsidR="00DB4C2D">
        <w:rPr>
          <w:rFonts w:eastAsia="Times New Roman"/>
          <w:lang w:val="fr-FR"/>
        </w:rPr>
        <w:t>’</w:t>
      </w:r>
      <w:r w:rsidRPr="00965C52">
        <w:rPr>
          <w:rFonts w:eastAsia="Times New Roman"/>
          <w:lang w:val="fr-FR"/>
        </w:rPr>
        <w:t>essai du type I (distance «D» dans la figure A13/1 de l</w:t>
      </w:r>
      <w:r w:rsidR="00DB4C2D">
        <w:rPr>
          <w:rFonts w:eastAsia="Times New Roman"/>
          <w:lang w:val="fr-FR"/>
        </w:rPr>
        <w:t>’</w:t>
      </w:r>
      <w:r w:rsidRPr="00965C52">
        <w:rPr>
          <w:rFonts w:eastAsia="Times New Roman"/>
          <w:lang w:val="fr-FR"/>
        </w:rPr>
        <w:t xml:space="preserve">annexe 13 du présent Règlement):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3.2.12.2.6.4.2</w:t>
      </w:r>
      <w:r w:rsidRPr="00965C52">
        <w:rPr>
          <w:rFonts w:eastAsia="Times New Roman"/>
          <w:lang w:val="fr-FR"/>
        </w:rPr>
        <w:tab/>
        <w:t xml:space="preserve">Description de la méthode appliquée pour déterminer le nombre de cycles entre deux cycles où se produit une régénération: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3.2.12.2.6.4.3</w:t>
      </w:r>
      <w:r w:rsidRPr="00965C52">
        <w:rPr>
          <w:rFonts w:eastAsia="Times New Roman"/>
          <w:lang w:val="fr-FR"/>
        </w:rPr>
        <w:tab/>
        <w:t>Paramètres déterminant le niveau d</w:t>
      </w:r>
      <w:r w:rsidR="00DB4C2D">
        <w:rPr>
          <w:rFonts w:eastAsia="Times New Roman"/>
          <w:lang w:val="fr-FR"/>
        </w:rPr>
        <w:t>’</w:t>
      </w:r>
      <w:r w:rsidRPr="00965C52">
        <w:rPr>
          <w:rFonts w:eastAsia="Times New Roman"/>
          <w:lang w:val="fr-FR"/>
        </w:rPr>
        <w:t xml:space="preserve">encrassement à partir duquel se produit une régénération (température, pression, etc.):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3.2.12.2.6.4.4</w:t>
      </w:r>
      <w:r w:rsidRPr="00965C52">
        <w:rPr>
          <w:rFonts w:eastAsia="Times New Roman"/>
          <w:lang w:val="fr-FR"/>
        </w:rPr>
        <w:tab/>
        <w:t>Description de la méthode appliquée pour réaliser l</w:t>
      </w:r>
      <w:r w:rsidR="00DB4C2D">
        <w:rPr>
          <w:rFonts w:eastAsia="Times New Roman"/>
          <w:lang w:val="fr-FR"/>
        </w:rPr>
        <w:t>’</w:t>
      </w:r>
      <w:r w:rsidRPr="00965C52">
        <w:rPr>
          <w:rFonts w:eastAsia="Times New Roman"/>
          <w:lang w:val="fr-FR"/>
        </w:rPr>
        <w:t>encrassement du dispositif dans la procédure d</w:t>
      </w:r>
      <w:r w:rsidR="00DB4C2D">
        <w:rPr>
          <w:rFonts w:eastAsia="Times New Roman"/>
          <w:lang w:val="fr-FR"/>
        </w:rPr>
        <w:t>’</w:t>
      </w:r>
      <w:r w:rsidRPr="00965C52">
        <w:rPr>
          <w:rFonts w:eastAsia="Times New Roman"/>
          <w:lang w:val="fr-FR"/>
        </w:rPr>
        <w:t>essai décrite au paragraphe 3.1 de l</w:t>
      </w:r>
      <w:r w:rsidR="00DB4C2D">
        <w:rPr>
          <w:rFonts w:eastAsia="Times New Roman"/>
          <w:lang w:val="fr-FR"/>
        </w:rPr>
        <w:t>’</w:t>
      </w:r>
      <w:r w:rsidRPr="00965C52">
        <w:rPr>
          <w:rFonts w:eastAsia="Times New Roman"/>
          <w:lang w:val="fr-FR"/>
        </w:rPr>
        <w:t xml:space="preserve">annexe 13 du présent Règlement: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3.2.12.2.6.5</w:t>
      </w:r>
      <w:r w:rsidRPr="00965C52">
        <w:rPr>
          <w:rFonts w:eastAsia="Times New Roman"/>
          <w:lang w:val="fr-FR"/>
        </w:rPr>
        <w:tab/>
        <w:t xml:space="preserve">Marque du piège à particules: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3.2.12.2.6.6</w:t>
      </w:r>
      <w:r w:rsidRPr="00965C52">
        <w:rPr>
          <w:rFonts w:eastAsia="Times New Roman"/>
          <w:lang w:val="fr-FR"/>
        </w:rPr>
        <w:tab/>
        <w:t>Numéro d</w:t>
      </w:r>
      <w:r w:rsidR="00DB4C2D">
        <w:rPr>
          <w:rFonts w:eastAsia="Times New Roman"/>
          <w:lang w:val="fr-FR"/>
        </w:rPr>
        <w:t>’</w:t>
      </w:r>
      <w:r w:rsidRPr="00965C52">
        <w:rPr>
          <w:rFonts w:eastAsia="Times New Roman"/>
          <w:lang w:val="fr-FR"/>
        </w:rPr>
        <w:t xml:space="preserve">identification de la pièce: </w:t>
      </w:r>
      <w:r w:rsidRPr="00965C52">
        <w:rPr>
          <w:rFonts w:eastAsia="Times New Roman"/>
          <w:lang w:val="fr-FR"/>
        </w:rPr>
        <w:tab/>
      </w:r>
    </w:p>
    <w:p w:rsidR="00965C52" w:rsidRPr="00965C52" w:rsidRDefault="00965C52" w:rsidP="00F04C9D">
      <w:pPr>
        <w:pStyle w:val="SingleTxtG"/>
        <w:keepNext/>
        <w:tabs>
          <w:tab w:val="right" w:leader="dot" w:pos="8505"/>
        </w:tabs>
        <w:ind w:left="2552" w:hanging="1418"/>
        <w:jc w:val="left"/>
        <w:rPr>
          <w:rFonts w:eastAsia="Times New Roman"/>
          <w:lang w:val="fr-FR"/>
        </w:rPr>
      </w:pPr>
      <w:r w:rsidRPr="00965C52">
        <w:rPr>
          <w:rFonts w:eastAsia="Times New Roman"/>
          <w:lang w:val="fr-FR"/>
        </w:rPr>
        <w:t>3.2.12.2.7</w:t>
      </w:r>
      <w:r w:rsidRPr="00965C52">
        <w:rPr>
          <w:rFonts w:eastAsia="Times New Roman"/>
          <w:lang w:val="fr-FR"/>
        </w:rPr>
        <w:tab/>
        <w:t>Système d</w:t>
      </w:r>
      <w:r w:rsidR="00DB4C2D">
        <w:rPr>
          <w:rFonts w:eastAsia="Times New Roman"/>
          <w:lang w:val="fr-FR"/>
        </w:rPr>
        <w:t>’</w:t>
      </w:r>
      <w:r w:rsidRPr="00965C52">
        <w:rPr>
          <w:rFonts w:eastAsia="Times New Roman"/>
          <w:lang w:val="fr-FR"/>
        </w:rPr>
        <w:t>autodiagnostic (OBD): oui/non</w:t>
      </w:r>
      <w:r w:rsidRPr="00965C52">
        <w:rPr>
          <w:rFonts w:eastAsia="Times New Roman"/>
          <w:sz w:val="18"/>
          <w:szCs w:val="18"/>
          <w:vertAlign w:val="superscript"/>
          <w:lang w:val="fr-FR"/>
        </w:rPr>
        <w:t>9</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3.2.12.2.7.1</w:t>
      </w:r>
      <w:r w:rsidRPr="00965C52">
        <w:rPr>
          <w:rFonts w:eastAsia="Times New Roman"/>
          <w:lang w:val="fr-FR"/>
        </w:rPr>
        <w:tab/>
        <w:t xml:space="preserve">Description écrite et/ou dessin du témoin de défaillance (MI): </w:t>
      </w:r>
      <w:r w:rsidRPr="00965C52">
        <w:rPr>
          <w:rFonts w:eastAsia="Times New Roman"/>
          <w:lang w:val="fr-FR"/>
        </w:rPr>
        <w:tab/>
      </w:r>
    </w:p>
    <w:p w:rsidR="00FF5AF1"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3.2.12.2.7.2</w:t>
      </w:r>
      <w:r w:rsidRPr="00965C52">
        <w:rPr>
          <w:rFonts w:eastAsia="Times New Roman"/>
          <w:lang w:val="fr-FR"/>
        </w:rPr>
        <w:tab/>
        <w:t xml:space="preserve">Liste et fonction de tous les composants contrôlés par le système OBD: </w:t>
      </w:r>
      <w:r w:rsidRPr="00965C52">
        <w:rPr>
          <w:rFonts w:eastAsia="Times New Roman"/>
          <w:lang w:val="fr-FR"/>
        </w:rPr>
        <w:tab/>
      </w:r>
      <w:r w:rsidR="00FF5AF1">
        <w:rPr>
          <w:rFonts w:eastAsia="Times New Roman"/>
          <w:lang w:val="fr-FR"/>
        </w:rPr>
        <w:br/>
      </w:r>
      <w:r w:rsidR="00FF5AF1">
        <w:rPr>
          <w:rFonts w:eastAsia="Times New Roman"/>
          <w:lang w:val="fr-FR"/>
        </w:rPr>
        <w:tab/>
      </w:r>
      <w:r w:rsidR="00FF5AF1"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lastRenderedPageBreak/>
        <w:t>3.2.12.2.7.3</w:t>
      </w:r>
      <w:r w:rsidRPr="00965C52">
        <w:rPr>
          <w:rFonts w:eastAsia="Times New Roman"/>
          <w:lang w:val="fr-FR"/>
        </w:rPr>
        <w:tab/>
        <w:t xml:space="preserve">Description écrite (principes généraux de fonctionnement) des éléments suivants: </w:t>
      </w:r>
      <w:r w:rsidRPr="00965C52">
        <w:rPr>
          <w:rFonts w:eastAsia="Times New Roman"/>
          <w:lang w:val="fr-FR"/>
        </w:rPr>
        <w:tab/>
      </w:r>
    </w:p>
    <w:p w:rsidR="00965C52" w:rsidRPr="00965C52" w:rsidRDefault="00965C52" w:rsidP="00F04C9D">
      <w:pPr>
        <w:pStyle w:val="SingleTxtG"/>
        <w:keepNext/>
        <w:tabs>
          <w:tab w:val="right" w:leader="dot" w:pos="8505"/>
        </w:tabs>
        <w:ind w:left="2552" w:hanging="1418"/>
        <w:jc w:val="left"/>
        <w:rPr>
          <w:rFonts w:eastAsia="Times New Roman"/>
          <w:lang w:val="fr-FR"/>
        </w:rPr>
      </w:pPr>
      <w:r w:rsidRPr="00965C52">
        <w:rPr>
          <w:rFonts w:eastAsia="Times New Roman"/>
          <w:lang w:val="fr-FR"/>
        </w:rPr>
        <w:t>3.2.12.2.7.3.1</w:t>
      </w:r>
      <w:r w:rsidRPr="00965C52">
        <w:rPr>
          <w:rFonts w:eastAsia="Times New Roman"/>
          <w:lang w:val="fr-FR"/>
        </w:rPr>
        <w:tab/>
        <w:t>Moteurs à allumage commandé</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3.2.12.2.7.3.1.1</w:t>
      </w:r>
      <w:r w:rsidRPr="00965C52">
        <w:rPr>
          <w:rFonts w:eastAsia="Times New Roman"/>
          <w:lang w:val="fr-FR"/>
        </w:rPr>
        <w:tab/>
        <w:t xml:space="preserve">Contrôle du catalyseur: </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3.2.12.2.7.3.1.2</w:t>
      </w:r>
      <w:r w:rsidRPr="00965C52">
        <w:rPr>
          <w:rFonts w:eastAsia="Times New Roman"/>
          <w:lang w:val="fr-FR"/>
        </w:rPr>
        <w:tab/>
        <w:t>Détection des ratés d</w:t>
      </w:r>
      <w:r w:rsidR="00DB4C2D">
        <w:rPr>
          <w:rFonts w:eastAsia="Times New Roman"/>
          <w:lang w:val="fr-FR"/>
        </w:rPr>
        <w:t>’</w:t>
      </w:r>
      <w:r w:rsidRPr="00965C52">
        <w:rPr>
          <w:rFonts w:eastAsia="Times New Roman"/>
          <w:lang w:val="fr-FR"/>
        </w:rPr>
        <w:t>allumage:</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3.2.12.2.7.3.1.3</w:t>
      </w:r>
      <w:r w:rsidRPr="00965C52">
        <w:rPr>
          <w:rFonts w:eastAsia="Times New Roman"/>
          <w:lang w:val="fr-FR"/>
        </w:rPr>
        <w:tab/>
        <w:t>Contrôle du capteur d</w:t>
      </w:r>
      <w:r w:rsidR="00DB4C2D">
        <w:rPr>
          <w:rFonts w:eastAsia="Times New Roman"/>
          <w:lang w:val="fr-FR"/>
        </w:rPr>
        <w:t>’</w:t>
      </w:r>
      <w:r w:rsidRPr="00965C52">
        <w:rPr>
          <w:rFonts w:eastAsia="Times New Roman"/>
          <w:lang w:val="fr-FR"/>
        </w:rPr>
        <w:t>oxygène:</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3.2.12.2.7.3.1.4</w:t>
      </w:r>
      <w:r w:rsidRPr="00965C52">
        <w:rPr>
          <w:rFonts w:eastAsia="Times New Roman"/>
          <w:lang w:val="fr-FR"/>
        </w:rPr>
        <w:tab/>
        <w:t>Autres composants contrôlés par le système OBD:</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3.2.12.2.7.3.2</w:t>
      </w:r>
      <w:r w:rsidRPr="00965C52">
        <w:rPr>
          <w:rFonts w:eastAsia="Times New Roman"/>
          <w:lang w:val="fr-FR"/>
        </w:rPr>
        <w:tab/>
        <w:t>Moteurs à allumage par compression</w:t>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3.2.12.2.7.3.2.1</w:t>
      </w:r>
      <w:r w:rsidRPr="00965C52">
        <w:rPr>
          <w:rFonts w:eastAsia="Times New Roman"/>
          <w:lang w:val="fr-FR"/>
        </w:rPr>
        <w:tab/>
        <w:t>Contrôle du catalyseur:</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3.2.12.2.7.3.2.2</w:t>
      </w:r>
      <w:r w:rsidRPr="00965C52">
        <w:rPr>
          <w:rFonts w:eastAsia="Times New Roman"/>
          <w:lang w:val="fr-FR"/>
        </w:rPr>
        <w:tab/>
        <w:t>Contrôle du piège à particules:</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3.2.12.2.7.3.2.3</w:t>
      </w:r>
      <w:r w:rsidRPr="00965C52">
        <w:rPr>
          <w:rFonts w:eastAsia="Times New Roman"/>
          <w:lang w:val="fr-FR"/>
        </w:rPr>
        <w:tab/>
        <w:t>Contrôle du système d</w:t>
      </w:r>
      <w:r w:rsidR="00DB4C2D">
        <w:rPr>
          <w:rFonts w:eastAsia="Times New Roman"/>
          <w:lang w:val="fr-FR"/>
        </w:rPr>
        <w:t>’</w:t>
      </w:r>
      <w:r w:rsidRPr="00965C52">
        <w:rPr>
          <w:rFonts w:eastAsia="Times New Roman"/>
          <w:lang w:val="fr-FR"/>
        </w:rPr>
        <w:t>alimentation électronique:</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3.2.12.2.7.3.2.4</w:t>
      </w:r>
      <w:r w:rsidRPr="00965C52">
        <w:rPr>
          <w:rFonts w:eastAsia="Times New Roman"/>
          <w:lang w:val="fr-FR"/>
        </w:rPr>
        <w:tab/>
        <w:t>Autres composants contrôlés par le système OBD:</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3.2.12.2.7.4</w:t>
      </w:r>
      <w:r w:rsidRPr="00965C52">
        <w:rPr>
          <w:rFonts w:eastAsia="Times New Roman"/>
          <w:lang w:val="fr-FR"/>
        </w:rPr>
        <w:tab/>
        <w:t>Critères pour l</w:t>
      </w:r>
      <w:r w:rsidR="00DB4C2D">
        <w:rPr>
          <w:rFonts w:eastAsia="Times New Roman"/>
          <w:lang w:val="fr-FR"/>
        </w:rPr>
        <w:t>’</w:t>
      </w:r>
      <w:r w:rsidRPr="00965C52">
        <w:rPr>
          <w:rFonts w:eastAsia="Times New Roman"/>
          <w:lang w:val="fr-FR"/>
        </w:rPr>
        <w:t>activation du témoin de défaillance (MI) (nombre fixe de cycles de conduite ou méthode statistique):</w:t>
      </w:r>
      <w:r w:rsidRPr="00965C52">
        <w:rPr>
          <w:rFonts w:eastAsia="Times New Roman"/>
          <w:lang w:val="fr-FR"/>
        </w:rPr>
        <w:tab/>
      </w:r>
    </w:p>
    <w:p w:rsidR="00965C52" w:rsidRPr="00965C52" w:rsidRDefault="00965C52" w:rsidP="00F04C9D">
      <w:pPr>
        <w:pStyle w:val="SingleTxtG"/>
        <w:tabs>
          <w:tab w:val="right" w:leader="dot" w:pos="8505"/>
        </w:tabs>
        <w:ind w:left="2552" w:hanging="1418"/>
        <w:jc w:val="left"/>
        <w:rPr>
          <w:rFonts w:eastAsia="Times New Roman"/>
          <w:lang w:val="fr-FR"/>
        </w:rPr>
      </w:pPr>
      <w:r w:rsidRPr="00965C52">
        <w:rPr>
          <w:rFonts w:eastAsia="Times New Roman"/>
          <w:lang w:val="fr-FR"/>
        </w:rPr>
        <w:t>3.2.12.2.7.5</w:t>
      </w:r>
      <w:r w:rsidRPr="00965C52">
        <w:rPr>
          <w:rFonts w:eastAsia="Times New Roman"/>
          <w:lang w:val="fr-FR"/>
        </w:rPr>
        <w:tab/>
        <w:t>Liste de tous les codes et formats utilisés pour les résultats fournis par le système OBD (avec explication de chacun d</w:t>
      </w:r>
      <w:r w:rsidR="00DB4C2D">
        <w:rPr>
          <w:rFonts w:eastAsia="Times New Roman"/>
          <w:lang w:val="fr-FR"/>
        </w:rPr>
        <w:t>’</w:t>
      </w:r>
      <w:r w:rsidRPr="00965C52">
        <w:rPr>
          <w:rFonts w:eastAsia="Times New Roman"/>
          <w:lang w:val="fr-FR"/>
        </w:rPr>
        <w:t>entre eux):</w:t>
      </w:r>
      <w:r w:rsidRPr="00965C52">
        <w:rPr>
          <w:rFonts w:eastAsia="Times New Roman"/>
          <w:lang w:val="fr-FR"/>
        </w:rPr>
        <w:tab/>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3.2.12.2.7.6</w:t>
      </w:r>
      <w:r w:rsidRPr="00965C52">
        <w:rPr>
          <w:rFonts w:eastAsia="Times New Roman"/>
          <w:lang w:val="fr-FR"/>
        </w:rPr>
        <w:tab/>
        <w:t>Les constructeurs sont tenus de communiquer les informations complémentaires énumérées ci-dessous afin de permettre la fabrication de pièces de rechange ou d</w:t>
      </w:r>
      <w:r w:rsidR="00DB4C2D">
        <w:rPr>
          <w:rFonts w:eastAsia="Times New Roman"/>
          <w:lang w:val="fr-FR"/>
        </w:rPr>
        <w:t>’</w:t>
      </w:r>
      <w:r w:rsidRPr="00965C52">
        <w:rPr>
          <w:rFonts w:eastAsia="Times New Roman"/>
          <w:lang w:val="fr-FR"/>
        </w:rPr>
        <w:t>entretien compatibles avec le système OBD ainsi que d</w:t>
      </w:r>
      <w:r w:rsidR="00DB4C2D">
        <w:rPr>
          <w:rFonts w:eastAsia="Times New Roman"/>
          <w:lang w:val="fr-FR"/>
        </w:rPr>
        <w:t>’</w:t>
      </w:r>
      <w:r w:rsidRPr="00965C52">
        <w:rPr>
          <w:rFonts w:eastAsia="Times New Roman"/>
          <w:lang w:val="fr-FR"/>
        </w:rPr>
        <w:t>outils de diagnostic et d</w:t>
      </w:r>
      <w:r w:rsidR="00DB4C2D">
        <w:rPr>
          <w:rFonts w:eastAsia="Times New Roman"/>
          <w:lang w:val="fr-FR"/>
        </w:rPr>
        <w:t>’</w:t>
      </w:r>
      <w:r w:rsidRPr="00965C52">
        <w:rPr>
          <w:rFonts w:eastAsia="Times New Roman"/>
          <w:lang w:val="fr-FR"/>
        </w:rPr>
        <w:t>équipements d</w:t>
      </w:r>
      <w:r w:rsidR="00DB4C2D">
        <w:rPr>
          <w:rFonts w:eastAsia="Times New Roman"/>
          <w:lang w:val="fr-FR"/>
        </w:rPr>
        <w:t>’</w:t>
      </w:r>
      <w:r w:rsidRPr="00965C52">
        <w:rPr>
          <w:rFonts w:eastAsia="Times New Roman"/>
          <w:lang w:val="fr-FR"/>
        </w:rPr>
        <w:t>essai, sauf si ces informations font l</w:t>
      </w:r>
      <w:r w:rsidR="00DB4C2D">
        <w:rPr>
          <w:rFonts w:eastAsia="Times New Roman"/>
          <w:lang w:val="fr-FR"/>
        </w:rPr>
        <w:t>’</w:t>
      </w:r>
      <w:r w:rsidRPr="00965C52">
        <w:rPr>
          <w:rFonts w:eastAsia="Times New Roman"/>
          <w:lang w:val="fr-FR"/>
        </w:rPr>
        <w:t>objet de droits de propriété intellectuelle ou constituent un savoir-faire spécifique</w:t>
      </w:r>
      <w:r w:rsidR="00D7523E">
        <w:rPr>
          <w:rFonts w:eastAsia="Times New Roman"/>
          <w:lang w:val="fr-FR"/>
        </w:rPr>
        <w:t xml:space="preserve"> des constructeurs ou de leurs </w:t>
      </w:r>
      <w:r w:rsidRPr="00965C52">
        <w:rPr>
          <w:rFonts w:eastAsia="Times New Roman"/>
          <w:lang w:val="fr-FR"/>
        </w:rPr>
        <w:t>fournisseurs.</w:t>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3.2.12.2.7.6.1</w:t>
      </w:r>
      <w:r w:rsidRPr="00965C52">
        <w:rPr>
          <w:rFonts w:eastAsia="Times New Roman"/>
          <w:lang w:val="fr-FR"/>
        </w:rPr>
        <w:tab/>
        <w:t xml:space="preserve">Une description du type et le nombre de cycles de </w:t>
      </w:r>
      <w:proofErr w:type="spellStart"/>
      <w:r w:rsidRPr="00965C52">
        <w:rPr>
          <w:rFonts w:eastAsia="Times New Roman"/>
          <w:lang w:val="fr-FR"/>
        </w:rPr>
        <w:t>préconditionnement</w:t>
      </w:r>
      <w:proofErr w:type="spellEnd"/>
      <w:r w:rsidRPr="00965C52">
        <w:rPr>
          <w:rFonts w:eastAsia="Times New Roman"/>
          <w:lang w:val="fr-FR"/>
        </w:rPr>
        <w:t xml:space="preserve"> utilisés pour l</w:t>
      </w:r>
      <w:r w:rsidR="00DB4C2D">
        <w:rPr>
          <w:rFonts w:eastAsia="Times New Roman"/>
          <w:lang w:val="fr-FR"/>
        </w:rPr>
        <w:t>’</w:t>
      </w:r>
      <w:r w:rsidRPr="00965C52">
        <w:rPr>
          <w:rFonts w:eastAsia="Times New Roman"/>
          <w:lang w:val="fr-FR"/>
        </w:rPr>
        <w:t>homologation de type initiale du véhicule.</w:t>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3.2.12.2.7.6.2</w:t>
      </w:r>
      <w:r w:rsidRPr="00965C52">
        <w:rPr>
          <w:rFonts w:eastAsia="Times New Roman"/>
          <w:lang w:val="fr-FR"/>
        </w:rPr>
        <w:tab/>
        <w:t>Une description du type de cycles de démonstration du système OBD utilisé pour l</w:t>
      </w:r>
      <w:r w:rsidR="00DB4C2D">
        <w:rPr>
          <w:rFonts w:eastAsia="Times New Roman"/>
          <w:lang w:val="fr-FR"/>
        </w:rPr>
        <w:t>’</w:t>
      </w:r>
      <w:r w:rsidRPr="00965C52">
        <w:rPr>
          <w:rFonts w:eastAsia="Times New Roman"/>
          <w:lang w:val="fr-FR"/>
        </w:rPr>
        <w:t>homologation de type initiale du véhicule en ce qui concerne le composant contrôlé par le système OBD.</w:t>
      </w:r>
    </w:p>
    <w:p w:rsidR="00965C52" w:rsidRPr="00965C52" w:rsidRDefault="00965C52" w:rsidP="00D7523E">
      <w:pPr>
        <w:pStyle w:val="SingleTxtG"/>
        <w:tabs>
          <w:tab w:val="right" w:leader="dot" w:pos="8505"/>
        </w:tabs>
        <w:ind w:left="2552" w:hanging="1418"/>
        <w:rPr>
          <w:rFonts w:eastAsia="Times New Roman"/>
          <w:lang w:val="fr-FR"/>
        </w:rPr>
      </w:pPr>
      <w:r w:rsidRPr="00965C52">
        <w:rPr>
          <w:rFonts w:eastAsia="Times New Roman"/>
          <w:lang w:val="fr-FR"/>
        </w:rPr>
        <w:t>3.2.12.2.7.6.3</w:t>
      </w:r>
      <w:r w:rsidRPr="00965C52">
        <w:rPr>
          <w:rFonts w:eastAsia="Times New Roman"/>
          <w:lang w:val="fr-FR"/>
        </w:rPr>
        <w:tab/>
        <w:t>Un document exhaustif décrivant tous les composants contrôlés dans le cadre du dispositif de détection des erreurs et d</w:t>
      </w:r>
      <w:r w:rsidR="00DB4C2D">
        <w:rPr>
          <w:rFonts w:eastAsia="Times New Roman"/>
          <w:lang w:val="fr-FR"/>
        </w:rPr>
        <w:t>’</w:t>
      </w:r>
      <w:r w:rsidRPr="00965C52">
        <w:rPr>
          <w:rFonts w:eastAsia="Times New Roman"/>
          <w:lang w:val="fr-FR"/>
        </w:rPr>
        <w:t>activation du témoin de défaillance MI (nombre fixe de cycles de conduite ou méthode statistique), y compris une liste des paramètres secondaires pertinents mesurés pour chaque composant contrôlé par le système OBD. Une liste de tous les codes et formats de sortie (accompagnée d</w:t>
      </w:r>
      <w:r w:rsidR="00DB4C2D">
        <w:rPr>
          <w:rFonts w:eastAsia="Times New Roman"/>
          <w:lang w:val="fr-FR"/>
        </w:rPr>
        <w:t>’</w:t>
      </w:r>
      <w:r w:rsidRPr="00965C52">
        <w:rPr>
          <w:rFonts w:eastAsia="Times New Roman"/>
          <w:lang w:val="fr-FR"/>
        </w:rPr>
        <w:t>une explication pour chacun) utilisés pour les différents composants du groupe motopropulseur en rapport avec les émissions ainsi que pour les différents composants non liés aux émissions, lorsque la surveillance du composant concerné intervient dans l</w:t>
      </w:r>
      <w:r w:rsidR="00DB4C2D">
        <w:rPr>
          <w:rFonts w:eastAsia="Times New Roman"/>
          <w:lang w:val="fr-FR"/>
        </w:rPr>
        <w:t>’</w:t>
      </w:r>
      <w:r w:rsidRPr="00965C52">
        <w:rPr>
          <w:rFonts w:eastAsia="Times New Roman"/>
          <w:lang w:val="fr-FR"/>
        </w:rPr>
        <w:t>activation du témoin de défaillance. Il convient notamment de commenter de façon détaillée les données correspondant au service $05 (test ID $21 à FF) et au service $06. Dans le cas de types de véhicule utilisant une liaison de données conforme à la norme ISO 15765</w:t>
      </w:r>
      <w:r w:rsidRPr="00965C52">
        <w:rPr>
          <w:rFonts w:eastAsia="Times New Roman"/>
          <w:lang w:val="fr-FR"/>
        </w:rPr>
        <w:noBreakHyphen/>
        <w:t>4 «Véhicules routiers − systèmes de diagnostic sur CAN − Partie 4: exigences pour les systèmes liés aux émissions», une explication exhaustive des données correspondant au service $06 (test ID $00 à FF) doit être fournie pour chaque moniteur de diagnostic.</w:t>
      </w:r>
    </w:p>
    <w:p w:rsidR="00965C52" w:rsidRDefault="00965C52" w:rsidP="00D7523E">
      <w:pPr>
        <w:pStyle w:val="SingleTxtG"/>
        <w:keepNext/>
        <w:tabs>
          <w:tab w:val="right" w:leader="dot" w:pos="8505"/>
        </w:tabs>
        <w:ind w:left="2552" w:hanging="1418"/>
        <w:jc w:val="left"/>
        <w:rPr>
          <w:rFonts w:eastAsia="Times New Roman"/>
          <w:lang w:val="fr-FR"/>
        </w:rPr>
      </w:pPr>
      <w:r w:rsidRPr="00965C52">
        <w:rPr>
          <w:rFonts w:eastAsia="Times New Roman"/>
          <w:lang w:val="fr-FR"/>
        </w:rPr>
        <w:lastRenderedPageBreak/>
        <w:t>3.2.12.2.7.6.4</w:t>
      </w:r>
      <w:r w:rsidRPr="00965C52">
        <w:rPr>
          <w:rFonts w:eastAsia="Times New Roman"/>
          <w:lang w:val="fr-FR"/>
        </w:rPr>
        <w:tab/>
        <w:t>Les informations susmentionnées peuvent par exemple être communiquées sous la forme d</w:t>
      </w:r>
      <w:r w:rsidR="00DB4C2D">
        <w:rPr>
          <w:rFonts w:eastAsia="Times New Roman"/>
          <w:lang w:val="fr-FR"/>
        </w:rPr>
        <w:t>’</w:t>
      </w:r>
      <w:r w:rsidRPr="00965C52">
        <w:rPr>
          <w:rFonts w:eastAsia="Times New Roman"/>
          <w:lang w:val="fr-FR"/>
        </w:rPr>
        <w:t xml:space="preserve">un tableau </w:t>
      </w:r>
      <w:r w:rsidRPr="00965C52">
        <w:rPr>
          <w:rFonts w:eastAsia="Times New Roman"/>
          <w:lang w:val="fr-FR" w:eastAsia="fr-FR"/>
        </w:rPr>
        <w:t xml:space="preserve">tel que celui </w:t>
      </w:r>
      <w:r w:rsidRPr="00965C52">
        <w:rPr>
          <w:rFonts w:eastAsia="Times New Roman"/>
          <w:lang w:val="fr-FR"/>
        </w:rPr>
        <w:t>figurant</w:t>
      </w:r>
      <w:r w:rsidRPr="00965C52">
        <w:rPr>
          <w:rFonts w:eastAsia="Times New Roman"/>
          <w:lang w:val="fr-FR" w:eastAsia="fr-FR"/>
        </w:rPr>
        <w:t xml:space="preserve"> ci-après</w:t>
      </w:r>
      <w:r w:rsidRPr="00965C52">
        <w:rPr>
          <w:rFonts w:eastAsia="Times New Roman"/>
          <w:lang w:val="fr-FR"/>
        </w:rPr>
        <w:t>, qui doit être joint à la présente annexe:</w:t>
      </w:r>
    </w:p>
    <w:tbl>
      <w:tblPr>
        <w:tblW w:w="851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98"/>
        <w:gridCol w:w="633"/>
        <w:gridCol w:w="960"/>
        <w:gridCol w:w="1440"/>
        <w:gridCol w:w="1094"/>
        <w:gridCol w:w="1426"/>
        <w:gridCol w:w="960"/>
        <w:gridCol w:w="1004"/>
      </w:tblGrid>
      <w:tr w:rsidR="00D7523E" w:rsidRPr="00D7523E" w:rsidTr="008E3B10">
        <w:tc>
          <w:tcPr>
            <w:tcW w:w="998" w:type="dxa"/>
            <w:shd w:val="clear" w:color="auto" w:fill="auto"/>
            <w:vAlign w:val="center"/>
          </w:tcPr>
          <w:p w:rsidR="00D7523E" w:rsidRPr="00D7523E" w:rsidRDefault="00D7523E" w:rsidP="00D7523E">
            <w:pPr>
              <w:keepNext/>
              <w:kinsoku/>
              <w:overflowPunct/>
              <w:autoSpaceDE/>
              <w:autoSpaceDN/>
              <w:adjustRightInd/>
              <w:snapToGrid/>
              <w:spacing w:before="80" w:after="80" w:line="180" w:lineRule="exact"/>
              <w:ind w:left="1" w:right="1"/>
              <w:jc w:val="center"/>
              <w:rPr>
                <w:rFonts w:eastAsia="Times New Roman"/>
                <w:i/>
                <w:sz w:val="14"/>
                <w:szCs w:val="14"/>
                <w:lang w:val="fr-FR"/>
              </w:rPr>
            </w:pPr>
            <w:r w:rsidRPr="00D7523E">
              <w:rPr>
                <w:rFonts w:eastAsia="Times New Roman"/>
                <w:i/>
                <w:sz w:val="14"/>
                <w:szCs w:val="14"/>
                <w:lang w:val="fr-FR"/>
              </w:rPr>
              <w:br w:type="page"/>
              <w:t>Composant</w:t>
            </w:r>
          </w:p>
        </w:tc>
        <w:tc>
          <w:tcPr>
            <w:tcW w:w="633" w:type="dxa"/>
            <w:shd w:val="clear" w:color="auto" w:fill="auto"/>
            <w:vAlign w:val="center"/>
          </w:tcPr>
          <w:p w:rsidR="00D7523E" w:rsidRPr="00D7523E" w:rsidRDefault="00D7523E" w:rsidP="00D7523E">
            <w:pPr>
              <w:keepNext/>
              <w:kinsoku/>
              <w:overflowPunct/>
              <w:autoSpaceDE/>
              <w:autoSpaceDN/>
              <w:adjustRightInd/>
              <w:snapToGrid/>
              <w:spacing w:before="80" w:after="80" w:line="180" w:lineRule="exact"/>
              <w:ind w:left="1" w:right="1"/>
              <w:jc w:val="center"/>
              <w:rPr>
                <w:rFonts w:eastAsia="Times New Roman"/>
                <w:i/>
                <w:sz w:val="14"/>
                <w:szCs w:val="14"/>
                <w:lang w:val="fr-FR"/>
              </w:rPr>
            </w:pPr>
            <w:r w:rsidRPr="00D7523E">
              <w:rPr>
                <w:rFonts w:eastAsia="Times New Roman"/>
                <w:i/>
                <w:sz w:val="14"/>
                <w:szCs w:val="14"/>
                <w:lang w:val="fr-FR"/>
              </w:rPr>
              <w:t>Code d</w:t>
            </w:r>
            <w:r w:rsidR="00DB4C2D">
              <w:rPr>
                <w:rFonts w:eastAsia="Times New Roman"/>
                <w:i/>
                <w:sz w:val="14"/>
                <w:szCs w:val="14"/>
                <w:lang w:val="fr-FR"/>
              </w:rPr>
              <w:t>’</w:t>
            </w:r>
            <w:r w:rsidRPr="00D7523E">
              <w:rPr>
                <w:rFonts w:eastAsia="Times New Roman"/>
                <w:i/>
                <w:sz w:val="14"/>
                <w:szCs w:val="14"/>
                <w:lang w:val="fr-FR"/>
              </w:rPr>
              <w:t>erreur</w:t>
            </w:r>
          </w:p>
        </w:tc>
        <w:tc>
          <w:tcPr>
            <w:tcW w:w="960" w:type="dxa"/>
            <w:shd w:val="clear" w:color="auto" w:fill="auto"/>
            <w:vAlign w:val="center"/>
          </w:tcPr>
          <w:p w:rsidR="00D7523E" w:rsidRPr="00D7523E" w:rsidRDefault="00D7523E" w:rsidP="00D7523E">
            <w:pPr>
              <w:keepNext/>
              <w:kinsoku/>
              <w:overflowPunct/>
              <w:autoSpaceDE/>
              <w:autoSpaceDN/>
              <w:adjustRightInd/>
              <w:snapToGrid/>
              <w:spacing w:before="80" w:after="80" w:line="180" w:lineRule="exact"/>
              <w:ind w:left="1" w:right="1"/>
              <w:jc w:val="center"/>
              <w:rPr>
                <w:rFonts w:eastAsia="Times New Roman"/>
                <w:i/>
                <w:sz w:val="14"/>
                <w:szCs w:val="14"/>
                <w:lang w:val="fr-FR"/>
              </w:rPr>
            </w:pPr>
            <w:r w:rsidRPr="00D7523E">
              <w:rPr>
                <w:rFonts w:eastAsia="Times New Roman"/>
                <w:i/>
                <w:sz w:val="14"/>
                <w:szCs w:val="14"/>
                <w:lang w:val="fr-FR"/>
              </w:rPr>
              <w:t>Stratégie de surveillance</w:t>
            </w:r>
          </w:p>
        </w:tc>
        <w:tc>
          <w:tcPr>
            <w:tcW w:w="1440" w:type="dxa"/>
            <w:shd w:val="clear" w:color="auto" w:fill="auto"/>
            <w:vAlign w:val="center"/>
          </w:tcPr>
          <w:p w:rsidR="00D7523E" w:rsidRPr="00D7523E" w:rsidRDefault="00D7523E" w:rsidP="00D7523E">
            <w:pPr>
              <w:keepNext/>
              <w:kinsoku/>
              <w:overflowPunct/>
              <w:autoSpaceDE/>
              <w:autoSpaceDN/>
              <w:adjustRightInd/>
              <w:snapToGrid/>
              <w:spacing w:before="80" w:after="80" w:line="180" w:lineRule="exact"/>
              <w:ind w:left="1" w:right="1"/>
              <w:jc w:val="center"/>
              <w:rPr>
                <w:rFonts w:eastAsia="Times New Roman"/>
                <w:i/>
                <w:sz w:val="14"/>
                <w:szCs w:val="14"/>
                <w:lang w:val="fr-FR"/>
              </w:rPr>
            </w:pPr>
            <w:r w:rsidRPr="00D7523E">
              <w:rPr>
                <w:rFonts w:eastAsia="Times New Roman"/>
                <w:i/>
                <w:sz w:val="14"/>
                <w:szCs w:val="14"/>
                <w:lang w:val="fr-FR"/>
              </w:rPr>
              <w:t>Critère de détection</w:t>
            </w:r>
            <w:r w:rsidRPr="00D7523E">
              <w:rPr>
                <w:rFonts w:eastAsia="Times New Roman"/>
                <w:i/>
                <w:sz w:val="14"/>
                <w:szCs w:val="14"/>
                <w:lang w:val="fr-FR"/>
              </w:rPr>
              <w:br/>
              <w:t>des erreurs</w:t>
            </w:r>
          </w:p>
        </w:tc>
        <w:tc>
          <w:tcPr>
            <w:tcW w:w="1094" w:type="dxa"/>
            <w:shd w:val="clear" w:color="auto" w:fill="auto"/>
            <w:vAlign w:val="center"/>
          </w:tcPr>
          <w:p w:rsidR="00D7523E" w:rsidRPr="00D7523E" w:rsidRDefault="00D7523E" w:rsidP="00D7523E">
            <w:pPr>
              <w:keepNext/>
              <w:kinsoku/>
              <w:overflowPunct/>
              <w:autoSpaceDE/>
              <w:autoSpaceDN/>
              <w:adjustRightInd/>
              <w:snapToGrid/>
              <w:spacing w:before="80" w:after="80" w:line="180" w:lineRule="exact"/>
              <w:ind w:left="1" w:right="1"/>
              <w:jc w:val="center"/>
              <w:rPr>
                <w:rFonts w:eastAsia="Times New Roman"/>
                <w:i/>
                <w:sz w:val="14"/>
                <w:szCs w:val="14"/>
                <w:lang w:val="fr-FR"/>
              </w:rPr>
            </w:pPr>
            <w:r w:rsidRPr="00D7523E">
              <w:rPr>
                <w:rFonts w:eastAsia="Times New Roman"/>
                <w:i/>
                <w:sz w:val="14"/>
                <w:szCs w:val="14"/>
                <w:lang w:val="fr-FR"/>
              </w:rPr>
              <w:t>Critère d</w:t>
            </w:r>
            <w:r w:rsidR="00DB4C2D">
              <w:rPr>
                <w:rFonts w:eastAsia="Times New Roman"/>
                <w:i/>
                <w:sz w:val="14"/>
                <w:szCs w:val="14"/>
                <w:lang w:val="fr-FR"/>
              </w:rPr>
              <w:t>’</w:t>
            </w:r>
            <w:r w:rsidRPr="00D7523E">
              <w:rPr>
                <w:rFonts w:eastAsia="Times New Roman"/>
                <w:i/>
                <w:sz w:val="14"/>
                <w:szCs w:val="14"/>
                <w:lang w:val="fr-FR"/>
              </w:rPr>
              <w:t>activation du MI</w:t>
            </w:r>
          </w:p>
        </w:tc>
        <w:tc>
          <w:tcPr>
            <w:tcW w:w="1426" w:type="dxa"/>
            <w:shd w:val="clear" w:color="auto" w:fill="auto"/>
            <w:vAlign w:val="center"/>
          </w:tcPr>
          <w:p w:rsidR="00D7523E" w:rsidRPr="00D7523E" w:rsidRDefault="00D7523E" w:rsidP="00D7523E">
            <w:pPr>
              <w:keepNext/>
              <w:kinsoku/>
              <w:overflowPunct/>
              <w:autoSpaceDE/>
              <w:autoSpaceDN/>
              <w:adjustRightInd/>
              <w:snapToGrid/>
              <w:spacing w:before="80" w:after="80" w:line="180" w:lineRule="exact"/>
              <w:ind w:left="1" w:right="1"/>
              <w:jc w:val="center"/>
              <w:rPr>
                <w:rFonts w:eastAsia="Times New Roman"/>
                <w:i/>
                <w:sz w:val="14"/>
                <w:szCs w:val="14"/>
                <w:lang w:val="fr-FR"/>
              </w:rPr>
            </w:pPr>
            <w:r w:rsidRPr="00D7523E">
              <w:rPr>
                <w:rFonts w:eastAsia="Times New Roman"/>
                <w:i/>
                <w:sz w:val="14"/>
                <w:szCs w:val="14"/>
                <w:lang w:val="fr-FR"/>
              </w:rPr>
              <w:t>Paramètres secondaires</w:t>
            </w:r>
          </w:p>
        </w:tc>
        <w:tc>
          <w:tcPr>
            <w:tcW w:w="960" w:type="dxa"/>
            <w:shd w:val="clear" w:color="auto" w:fill="auto"/>
            <w:vAlign w:val="center"/>
          </w:tcPr>
          <w:p w:rsidR="00D7523E" w:rsidRPr="00D7523E" w:rsidRDefault="00D7523E" w:rsidP="00D7523E">
            <w:pPr>
              <w:keepNext/>
              <w:kinsoku/>
              <w:overflowPunct/>
              <w:autoSpaceDE/>
              <w:autoSpaceDN/>
              <w:adjustRightInd/>
              <w:snapToGrid/>
              <w:spacing w:before="80" w:after="80" w:line="180" w:lineRule="exact"/>
              <w:ind w:left="1" w:right="1"/>
              <w:jc w:val="center"/>
              <w:rPr>
                <w:rFonts w:eastAsia="Times New Roman"/>
                <w:i/>
                <w:sz w:val="14"/>
                <w:szCs w:val="14"/>
                <w:lang w:val="fr-FR"/>
              </w:rPr>
            </w:pPr>
            <w:r w:rsidRPr="00D7523E">
              <w:rPr>
                <w:rFonts w:eastAsia="Times New Roman"/>
                <w:i/>
                <w:sz w:val="14"/>
                <w:szCs w:val="14"/>
                <w:lang w:val="fr-FR"/>
              </w:rPr>
              <w:t>Précondition-</w:t>
            </w:r>
            <w:proofErr w:type="spellStart"/>
            <w:r w:rsidRPr="00D7523E">
              <w:rPr>
                <w:rFonts w:eastAsia="Times New Roman"/>
                <w:i/>
                <w:sz w:val="14"/>
                <w:szCs w:val="14"/>
                <w:lang w:val="fr-FR"/>
              </w:rPr>
              <w:t>nement</w:t>
            </w:r>
            <w:proofErr w:type="spellEnd"/>
          </w:p>
        </w:tc>
        <w:tc>
          <w:tcPr>
            <w:tcW w:w="1004" w:type="dxa"/>
            <w:shd w:val="clear" w:color="auto" w:fill="auto"/>
            <w:vAlign w:val="center"/>
          </w:tcPr>
          <w:p w:rsidR="00D7523E" w:rsidRPr="00D7523E" w:rsidRDefault="00D7523E" w:rsidP="00D7523E">
            <w:pPr>
              <w:keepNext/>
              <w:kinsoku/>
              <w:overflowPunct/>
              <w:autoSpaceDE/>
              <w:autoSpaceDN/>
              <w:adjustRightInd/>
              <w:snapToGrid/>
              <w:spacing w:before="80" w:after="80" w:line="180" w:lineRule="exact"/>
              <w:ind w:left="1" w:right="1"/>
              <w:jc w:val="center"/>
              <w:rPr>
                <w:rFonts w:eastAsia="Times New Roman"/>
                <w:i/>
                <w:sz w:val="14"/>
                <w:szCs w:val="14"/>
                <w:lang w:val="fr-FR"/>
              </w:rPr>
            </w:pPr>
            <w:r w:rsidRPr="00D7523E">
              <w:rPr>
                <w:rFonts w:eastAsia="Times New Roman"/>
                <w:i/>
                <w:sz w:val="14"/>
                <w:szCs w:val="14"/>
                <w:lang w:val="fr-FR"/>
              </w:rPr>
              <w:t>Essai de démonstration</w:t>
            </w:r>
          </w:p>
        </w:tc>
      </w:tr>
      <w:tr w:rsidR="00D7523E" w:rsidRPr="00D7523E" w:rsidTr="008E3B10">
        <w:tc>
          <w:tcPr>
            <w:tcW w:w="998" w:type="dxa"/>
            <w:shd w:val="clear" w:color="auto" w:fill="auto"/>
          </w:tcPr>
          <w:p w:rsidR="00D7523E" w:rsidRPr="00D7523E" w:rsidRDefault="00D7523E" w:rsidP="00D7523E">
            <w:pPr>
              <w:keepNext/>
              <w:kinsoku/>
              <w:overflowPunct/>
              <w:autoSpaceDE/>
              <w:autoSpaceDN/>
              <w:adjustRightInd/>
              <w:snapToGrid/>
              <w:spacing w:before="60" w:after="60" w:line="220" w:lineRule="atLeast"/>
              <w:ind w:left="28" w:right="28"/>
              <w:jc w:val="both"/>
              <w:rPr>
                <w:rFonts w:eastAsia="Times New Roman"/>
                <w:sz w:val="18"/>
                <w:szCs w:val="18"/>
                <w:lang w:val="fr-FR"/>
              </w:rPr>
            </w:pPr>
            <w:r w:rsidRPr="00D7523E">
              <w:rPr>
                <w:rFonts w:eastAsia="Times New Roman"/>
                <w:sz w:val="18"/>
                <w:szCs w:val="18"/>
                <w:lang w:val="fr-FR"/>
              </w:rPr>
              <w:t>Catalyseur</w:t>
            </w:r>
          </w:p>
        </w:tc>
        <w:tc>
          <w:tcPr>
            <w:tcW w:w="633" w:type="dxa"/>
            <w:shd w:val="clear" w:color="auto" w:fill="auto"/>
          </w:tcPr>
          <w:p w:rsidR="00D7523E" w:rsidRPr="00D7523E" w:rsidRDefault="00D7523E" w:rsidP="00D7523E">
            <w:pPr>
              <w:keepNext/>
              <w:kinsoku/>
              <w:overflowPunct/>
              <w:autoSpaceDE/>
              <w:autoSpaceDN/>
              <w:adjustRightInd/>
              <w:snapToGrid/>
              <w:spacing w:before="60" w:after="60" w:line="220" w:lineRule="atLeast"/>
              <w:ind w:left="28" w:right="28"/>
              <w:jc w:val="both"/>
              <w:rPr>
                <w:rFonts w:eastAsia="Times New Roman"/>
                <w:sz w:val="18"/>
                <w:szCs w:val="18"/>
                <w:lang w:val="fr-FR"/>
              </w:rPr>
            </w:pPr>
            <w:r w:rsidRPr="00D7523E">
              <w:rPr>
                <w:rFonts w:eastAsia="Times New Roman"/>
                <w:sz w:val="18"/>
                <w:szCs w:val="18"/>
                <w:lang w:val="fr-FR"/>
              </w:rPr>
              <w:t>P0420</w:t>
            </w:r>
          </w:p>
        </w:tc>
        <w:tc>
          <w:tcPr>
            <w:tcW w:w="960" w:type="dxa"/>
            <w:shd w:val="clear" w:color="auto" w:fill="auto"/>
          </w:tcPr>
          <w:p w:rsidR="00D7523E" w:rsidRPr="00D7523E" w:rsidRDefault="00D7523E" w:rsidP="00D7523E">
            <w:pPr>
              <w:keepNext/>
              <w:kinsoku/>
              <w:overflowPunct/>
              <w:autoSpaceDE/>
              <w:autoSpaceDN/>
              <w:adjustRightInd/>
              <w:snapToGrid/>
              <w:spacing w:before="60" w:after="60" w:line="220" w:lineRule="atLeast"/>
              <w:ind w:left="28" w:right="28"/>
              <w:rPr>
                <w:rFonts w:eastAsia="Times New Roman"/>
                <w:sz w:val="18"/>
                <w:szCs w:val="18"/>
                <w:lang w:val="fr-FR"/>
              </w:rPr>
            </w:pPr>
            <w:r w:rsidRPr="00D7523E">
              <w:rPr>
                <w:rFonts w:eastAsia="Times New Roman"/>
                <w:sz w:val="18"/>
                <w:szCs w:val="18"/>
                <w:lang w:val="fr-FR"/>
              </w:rPr>
              <w:t xml:space="preserve">Signaux </w:t>
            </w:r>
            <w:r w:rsidRPr="00D7523E">
              <w:rPr>
                <w:rFonts w:eastAsia="Times New Roman"/>
                <w:sz w:val="18"/>
                <w:szCs w:val="18"/>
                <w:lang w:val="fr-FR"/>
              </w:rPr>
              <w:br/>
              <w:t>des capteurs d</w:t>
            </w:r>
            <w:r w:rsidR="00DB4C2D">
              <w:rPr>
                <w:rFonts w:eastAsia="Times New Roman"/>
                <w:sz w:val="18"/>
                <w:szCs w:val="18"/>
                <w:lang w:val="fr-FR"/>
              </w:rPr>
              <w:t>’</w:t>
            </w:r>
            <w:r w:rsidRPr="00D7523E">
              <w:rPr>
                <w:rFonts w:eastAsia="Times New Roman"/>
                <w:sz w:val="18"/>
                <w:szCs w:val="18"/>
                <w:lang w:val="fr-FR"/>
              </w:rPr>
              <w:t>oxygène 1 et 2</w:t>
            </w:r>
          </w:p>
        </w:tc>
        <w:tc>
          <w:tcPr>
            <w:tcW w:w="1440" w:type="dxa"/>
            <w:shd w:val="clear" w:color="auto" w:fill="auto"/>
          </w:tcPr>
          <w:p w:rsidR="00D7523E" w:rsidRPr="00D7523E" w:rsidRDefault="00D7523E" w:rsidP="00D7523E">
            <w:pPr>
              <w:keepNext/>
              <w:kinsoku/>
              <w:overflowPunct/>
              <w:autoSpaceDE/>
              <w:autoSpaceDN/>
              <w:adjustRightInd/>
              <w:snapToGrid/>
              <w:spacing w:before="60" w:after="60" w:line="220" w:lineRule="atLeast"/>
              <w:ind w:left="28" w:right="28"/>
              <w:rPr>
                <w:rFonts w:eastAsia="Times New Roman"/>
                <w:sz w:val="18"/>
                <w:szCs w:val="18"/>
                <w:lang w:val="fr-FR"/>
              </w:rPr>
            </w:pPr>
            <w:r w:rsidRPr="00D7523E">
              <w:rPr>
                <w:rFonts w:eastAsia="Times New Roman"/>
                <w:sz w:val="18"/>
                <w:szCs w:val="18"/>
                <w:lang w:val="fr-FR"/>
              </w:rPr>
              <w:t>Différence entre les signaux du capteur 1 et ceux du capteur 2</w:t>
            </w:r>
          </w:p>
        </w:tc>
        <w:tc>
          <w:tcPr>
            <w:tcW w:w="1094" w:type="dxa"/>
            <w:shd w:val="clear" w:color="auto" w:fill="auto"/>
          </w:tcPr>
          <w:p w:rsidR="00D7523E" w:rsidRPr="00D7523E" w:rsidRDefault="00D7523E" w:rsidP="00D7523E">
            <w:pPr>
              <w:keepNext/>
              <w:kinsoku/>
              <w:overflowPunct/>
              <w:autoSpaceDE/>
              <w:autoSpaceDN/>
              <w:adjustRightInd/>
              <w:snapToGrid/>
              <w:spacing w:before="60" w:after="60" w:line="220" w:lineRule="atLeast"/>
              <w:ind w:left="28" w:right="28"/>
              <w:jc w:val="both"/>
              <w:rPr>
                <w:rFonts w:eastAsia="Times New Roman"/>
                <w:sz w:val="18"/>
                <w:szCs w:val="18"/>
                <w:lang w:val="fr-FR"/>
              </w:rPr>
            </w:pPr>
            <w:r w:rsidRPr="00D7523E">
              <w:rPr>
                <w:rFonts w:eastAsia="Times New Roman"/>
                <w:sz w:val="18"/>
                <w:szCs w:val="18"/>
                <w:lang w:val="fr-FR"/>
              </w:rPr>
              <w:t>3</w:t>
            </w:r>
            <w:r w:rsidRPr="00D7523E">
              <w:rPr>
                <w:rFonts w:eastAsia="Times New Roman"/>
                <w:sz w:val="18"/>
                <w:szCs w:val="18"/>
                <w:vertAlign w:val="superscript"/>
                <w:lang w:val="fr-FR"/>
              </w:rPr>
              <w:t>e</w:t>
            </w:r>
            <w:r w:rsidRPr="00D7523E">
              <w:rPr>
                <w:rFonts w:eastAsia="Times New Roman"/>
                <w:sz w:val="18"/>
                <w:szCs w:val="18"/>
                <w:lang w:val="fr-FR"/>
              </w:rPr>
              <w:t xml:space="preserve"> cycle</w:t>
            </w:r>
          </w:p>
        </w:tc>
        <w:tc>
          <w:tcPr>
            <w:tcW w:w="1426" w:type="dxa"/>
            <w:shd w:val="clear" w:color="auto" w:fill="auto"/>
          </w:tcPr>
          <w:p w:rsidR="00D7523E" w:rsidRPr="00D7523E" w:rsidRDefault="00D7523E" w:rsidP="00D7523E">
            <w:pPr>
              <w:keepNext/>
              <w:kinsoku/>
              <w:overflowPunct/>
              <w:autoSpaceDE/>
              <w:autoSpaceDN/>
              <w:adjustRightInd/>
              <w:snapToGrid/>
              <w:spacing w:before="60" w:after="60" w:line="220" w:lineRule="atLeast"/>
              <w:ind w:left="28" w:right="28"/>
              <w:rPr>
                <w:rFonts w:eastAsia="Times New Roman"/>
                <w:sz w:val="18"/>
                <w:szCs w:val="18"/>
                <w:lang w:val="fr-FR"/>
              </w:rPr>
            </w:pPr>
            <w:r w:rsidRPr="00D7523E">
              <w:rPr>
                <w:rFonts w:eastAsia="Times New Roman"/>
                <w:sz w:val="18"/>
                <w:szCs w:val="18"/>
                <w:lang w:val="fr-FR"/>
              </w:rPr>
              <w:t xml:space="preserve">Régime du moteur, charge du moteur, </w:t>
            </w:r>
            <w:r w:rsidRPr="00D7523E">
              <w:rPr>
                <w:rFonts w:eastAsia="Times New Roman"/>
                <w:sz w:val="18"/>
                <w:szCs w:val="18"/>
                <w:lang w:val="fr-FR"/>
              </w:rPr>
              <w:br/>
              <w:t xml:space="preserve">mode A/F, température </w:t>
            </w:r>
            <w:r w:rsidRPr="00D7523E">
              <w:rPr>
                <w:rFonts w:eastAsia="Times New Roman"/>
                <w:sz w:val="18"/>
                <w:szCs w:val="18"/>
                <w:lang w:val="fr-FR"/>
              </w:rPr>
              <w:br/>
              <w:t>du catalyseur</w:t>
            </w:r>
          </w:p>
        </w:tc>
        <w:tc>
          <w:tcPr>
            <w:tcW w:w="960" w:type="dxa"/>
            <w:shd w:val="clear" w:color="auto" w:fill="auto"/>
          </w:tcPr>
          <w:p w:rsidR="00D7523E" w:rsidRPr="00D7523E" w:rsidRDefault="00D7523E" w:rsidP="00D7523E">
            <w:pPr>
              <w:keepNext/>
              <w:kinsoku/>
              <w:overflowPunct/>
              <w:autoSpaceDE/>
              <w:autoSpaceDN/>
              <w:adjustRightInd/>
              <w:snapToGrid/>
              <w:spacing w:before="60" w:after="60" w:line="220" w:lineRule="atLeast"/>
              <w:ind w:left="28" w:right="28"/>
              <w:rPr>
                <w:rFonts w:eastAsia="Times New Roman"/>
                <w:sz w:val="18"/>
                <w:szCs w:val="18"/>
                <w:lang w:val="fr-FR"/>
              </w:rPr>
            </w:pPr>
            <w:r w:rsidRPr="00D7523E">
              <w:rPr>
                <w:rFonts w:eastAsia="Times New Roman"/>
                <w:sz w:val="18"/>
                <w:szCs w:val="18"/>
                <w:lang w:val="fr-FR"/>
              </w:rPr>
              <w:t>Deux cycles de type I</w:t>
            </w:r>
          </w:p>
        </w:tc>
        <w:tc>
          <w:tcPr>
            <w:tcW w:w="1004" w:type="dxa"/>
            <w:shd w:val="clear" w:color="auto" w:fill="auto"/>
          </w:tcPr>
          <w:p w:rsidR="00D7523E" w:rsidRPr="00D7523E" w:rsidRDefault="00D7523E" w:rsidP="00D7523E">
            <w:pPr>
              <w:keepNext/>
              <w:kinsoku/>
              <w:overflowPunct/>
              <w:autoSpaceDE/>
              <w:autoSpaceDN/>
              <w:adjustRightInd/>
              <w:snapToGrid/>
              <w:spacing w:before="60" w:after="60" w:line="220" w:lineRule="atLeast"/>
              <w:ind w:left="28" w:right="28"/>
              <w:jc w:val="both"/>
              <w:rPr>
                <w:rFonts w:eastAsia="Times New Roman"/>
                <w:sz w:val="18"/>
                <w:szCs w:val="18"/>
                <w:lang w:val="fr-FR"/>
              </w:rPr>
            </w:pPr>
            <w:r w:rsidRPr="00D7523E">
              <w:rPr>
                <w:rFonts w:eastAsia="Times New Roman"/>
                <w:sz w:val="18"/>
                <w:szCs w:val="18"/>
                <w:lang w:val="fr-FR"/>
              </w:rPr>
              <w:t>Type I</w:t>
            </w:r>
          </w:p>
        </w:tc>
      </w:tr>
    </w:tbl>
    <w:p w:rsidR="00D7523E" w:rsidRPr="00D7523E" w:rsidRDefault="00D7523E" w:rsidP="00D7523E">
      <w:pPr>
        <w:pStyle w:val="SingleTxtG"/>
        <w:tabs>
          <w:tab w:val="right" w:leader="dot" w:pos="8505"/>
        </w:tabs>
        <w:spacing w:before="240"/>
        <w:ind w:left="2552" w:hanging="1418"/>
        <w:jc w:val="left"/>
        <w:rPr>
          <w:rFonts w:eastAsia="Times New Roman"/>
          <w:lang w:val="fr-FR"/>
        </w:rPr>
      </w:pPr>
      <w:r w:rsidRPr="00D7523E">
        <w:rPr>
          <w:rFonts w:eastAsia="Times New Roman"/>
          <w:lang w:val="fr-FR"/>
        </w:rPr>
        <w:t>3.2.12.2.8</w:t>
      </w:r>
      <w:r w:rsidRPr="00D7523E">
        <w:rPr>
          <w:rFonts w:eastAsia="Times New Roman"/>
          <w:lang w:val="fr-FR"/>
        </w:rPr>
        <w:tab/>
        <w:t>Autres systèmes (description et fonctionnement):</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3.2.13</w:t>
      </w:r>
      <w:r w:rsidRPr="00D7523E">
        <w:rPr>
          <w:rFonts w:eastAsia="Times New Roman"/>
          <w:lang w:val="fr-FR"/>
        </w:rPr>
        <w:tab/>
        <w:t>Emplacement du symbole du coefficient d</w:t>
      </w:r>
      <w:r w:rsidR="00DB4C2D">
        <w:rPr>
          <w:rFonts w:eastAsia="Times New Roman"/>
          <w:lang w:val="fr-FR"/>
        </w:rPr>
        <w:t>’</w:t>
      </w:r>
      <w:r w:rsidRPr="00D7523E">
        <w:rPr>
          <w:rFonts w:eastAsia="Times New Roman"/>
          <w:lang w:val="fr-FR"/>
        </w:rPr>
        <w:t>absorption</w:t>
      </w:r>
      <w:r w:rsidRPr="00D7523E">
        <w:rPr>
          <w:rFonts w:eastAsia="Times New Roman"/>
          <w:lang w:val="fr-FR"/>
        </w:rPr>
        <w:br/>
        <w:t>(moteurs à allumage par compression uniquement):</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3.2.14</w:t>
      </w:r>
      <w:r w:rsidRPr="00D7523E">
        <w:rPr>
          <w:rFonts w:eastAsia="Times New Roman"/>
          <w:lang w:val="fr-FR"/>
        </w:rPr>
        <w:tab/>
        <w:t>Caractéristiques des dispositifs destinés à réduire la consommation de carburant (s</w:t>
      </w:r>
      <w:r w:rsidR="00DB4C2D">
        <w:rPr>
          <w:rFonts w:eastAsia="Times New Roman"/>
          <w:lang w:val="fr-FR"/>
        </w:rPr>
        <w:t>’</w:t>
      </w:r>
      <w:r w:rsidRPr="00D7523E">
        <w:rPr>
          <w:rFonts w:eastAsia="Times New Roman"/>
          <w:lang w:val="fr-FR"/>
        </w:rPr>
        <w:t>ils ne sont pas couverts par une autre rubrique):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3.2.15</w:t>
      </w:r>
      <w:r w:rsidRPr="00D7523E">
        <w:rPr>
          <w:rFonts w:eastAsia="Times New Roman"/>
          <w:lang w:val="fr-FR"/>
        </w:rPr>
        <w:tab/>
        <w:t>Système d</w:t>
      </w:r>
      <w:r w:rsidR="00DB4C2D">
        <w:rPr>
          <w:rFonts w:eastAsia="Times New Roman"/>
          <w:lang w:val="fr-FR"/>
        </w:rPr>
        <w:t>’</w:t>
      </w:r>
      <w:r w:rsidRPr="00D7523E">
        <w:rPr>
          <w:rFonts w:eastAsia="Times New Roman"/>
          <w:lang w:val="fr-FR"/>
        </w:rPr>
        <w:t>alimentation GPL: oui/non</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3.2.15.1</w:t>
      </w:r>
      <w:r w:rsidRPr="00D7523E">
        <w:rPr>
          <w:rFonts w:eastAsia="Times New Roman"/>
          <w:lang w:val="fr-FR"/>
        </w:rPr>
        <w:tab/>
        <w:t>Numéro d</w:t>
      </w:r>
      <w:r w:rsidR="00DB4C2D">
        <w:rPr>
          <w:rFonts w:eastAsia="Times New Roman"/>
          <w:lang w:val="fr-FR"/>
        </w:rPr>
        <w:t>’</w:t>
      </w:r>
      <w:r w:rsidRPr="00D7523E">
        <w:rPr>
          <w:rFonts w:eastAsia="Times New Roman"/>
          <w:lang w:val="fr-FR"/>
        </w:rPr>
        <w:t>homologation (délivrée conformément au Règlement n</w:t>
      </w:r>
      <w:r w:rsidRPr="00D7523E">
        <w:rPr>
          <w:rFonts w:eastAsia="Times New Roman"/>
          <w:vertAlign w:val="superscript"/>
          <w:lang w:val="fr-FR"/>
        </w:rPr>
        <w:t>o</w:t>
      </w:r>
      <w:r w:rsidRPr="00D7523E">
        <w:rPr>
          <w:rFonts w:eastAsia="Times New Roman"/>
          <w:lang w:val="fr-FR"/>
        </w:rPr>
        <w:t> 67):</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3.2.15.2</w:t>
      </w:r>
      <w:r w:rsidRPr="00D7523E">
        <w:rPr>
          <w:rFonts w:eastAsia="Times New Roman"/>
          <w:lang w:val="fr-FR"/>
        </w:rPr>
        <w:tab/>
        <w:t>Unité électronique de gestion du moteur pour l</w:t>
      </w:r>
      <w:r w:rsidR="00DB4C2D">
        <w:rPr>
          <w:rFonts w:eastAsia="Times New Roman"/>
          <w:lang w:val="fr-FR"/>
        </w:rPr>
        <w:t>’</w:t>
      </w:r>
      <w:r w:rsidRPr="00D7523E">
        <w:rPr>
          <w:rFonts w:eastAsia="Times New Roman"/>
          <w:lang w:val="fr-FR"/>
        </w:rPr>
        <w:t>alimentation au GPL</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3.2.15.2.1</w:t>
      </w:r>
      <w:r w:rsidRPr="00D7523E">
        <w:rPr>
          <w:rFonts w:eastAsia="Times New Roman"/>
          <w:lang w:val="fr-FR"/>
        </w:rPr>
        <w:tab/>
        <w:t>Marque(s):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3.2.15.2.2</w:t>
      </w:r>
      <w:r w:rsidRPr="00D7523E">
        <w:rPr>
          <w:rFonts w:eastAsia="Times New Roman"/>
          <w:lang w:val="fr-FR"/>
        </w:rPr>
        <w:tab/>
        <w:t>Type(s):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3.2.15.2.3</w:t>
      </w:r>
      <w:r w:rsidRPr="00D7523E">
        <w:rPr>
          <w:rFonts w:eastAsia="Times New Roman"/>
          <w:lang w:val="fr-FR"/>
        </w:rPr>
        <w:tab/>
        <w:t>Possibilités de réglage en fonction des émissions: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3.2.15.3</w:t>
      </w:r>
      <w:r w:rsidRPr="00D7523E">
        <w:rPr>
          <w:rFonts w:eastAsia="Times New Roman"/>
          <w:lang w:val="fr-FR"/>
        </w:rPr>
        <w:tab/>
        <w:t>Documents complémentaires: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3.2.15.3.1</w:t>
      </w:r>
      <w:r w:rsidRPr="00D7523E">
        <w:rPr>
          <w:rFonts w:eastAsia="Times New Roman"/>
          <w:lang w:val="fr-FR"/>
        </w:rPr>
        <w:tab/>
        <w:t>Description du système de protection du catalyseur lors du passage de l</w:t>
      </w:r>
      <w:r w:rsidR="00DB4C2D">
        <w:rPr>
          <w:rFonts w:eastAsia="Times New Roman"/>
          <w:lang w:val="fr-FR"/>
        </w:rPr>
        <w:t>’</w:t>
      </w:r>
      <w:r w:rsidRPr="00D7523E">
        <w:rPr>
          <w:rFonts w:eastAsia="Times New Roman"/>
          <w:lang w:val="fr-FR"/>
        </w:rPr>
        <w:t>essence au GPL et vice versa:</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3.2.15.3.2</w:t>
      </w:r>
      <w:r w:rsidRPr="00D7523E">
        <w:rPr>
          <w:rFonts w:eastAsia="Times New Roman"/>
          <w:lang w:val="fr-FR"/>
        </w:rPr>
        <w:tab/>
        <w:t>Structure du système (connexions électriques, prises de dépression, flexibles de compensation, etc.):</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3.2.15.3.3</w:t>
      </w:r>
      <w:r w:rsidRPr="00D7523E">
        <w:rPr>
          <w:rFonts w:eastAsia="Times New Roman"/>
          <w:lang w:val="fr-FR"/>
        </w:rPr>
        <w:tab/>
        <w:t>Dessin du symbole: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3.2.16</w:t>
      </w:r>
      <w:r w:rsidRPr="00D7523E">
        <w:rPr>
          <w:rFonts w:eastAsia="Times New Roman"/>
          <w:lang w:val="fr-FR"/>
        </w:rPr>
        <w:tab/>
        <w:t>Système d</w:t>
      </w:r>
      <w:r w:rsidR="00DB4C2D">
        <w:rPr>
          <w:rFonts w:eastAsia="Times New Roman"/>
          <w:lang w:val="fr-FR"/>
        </w:rPr>
        <w:t>’</w:t>
      </w:r>
      <w:r w:rsidRPr="00D7523E">
        <w:rPr>
          <w:rFonts w:eastAsia="Times New Roman"/>
          <w:lang w:val="fr-FR"/>
        </w:rPr>
        <w:t>alimentation au gaz naturel: oui/non</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3.2.16.1</w:t>
      </w:r>
      <w:r w:rsidRPr="00D7523E">
        <w:rPr>
          <w:rFonts w:eastAsia="Times New Roman"/>
          <w:lang w:val="fr-FR"/>
        </w:rPr>
        <w:tab/>
        <w:t>Numéro d</w:t>
      </w:r>
      <w:r w:rsidR="00DB4C2D">
        <w:rPr>
          <w:rFonts w:eastAsia="Times New Roman"/>
          <w:lang w:val="fr-FR"/>
        </w:rPr>
        <w:t>’</w:t>
      </w:r>
      <w:r w:rsidRPr="00D7523E">
        <w:rPr>
          <w:rFonts w:eastAsia="Times New Roman"/>
          <w:lang w:val="fr-FR"/>
        </w:rPr>
        <w:t>homologation (délivré conformément au Règlement n</w:t>
      </w:r>
      <w:r w:rsidRPr="00D7523E">
        <w:rPr>
          <w:rFonts w:eastAsia="Times New Roman"/>
          <w:vertAlign w:val="superscript"/>
          <w:lang w:val="fr-FR"/>
        </w:rPr>
        <w:t>o</w:t>
      </w:r>
      <w:r w:rsidRPr="00D7523E">
        <w:rPr>
          <w:rFonts w:eastAsia="Times New Roman"/>
          <w:lang w:val="fr-FR"/>
        </w:rPr>
        <w:t xml:space="preserve"> 110): </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3.2.16.2</w:t>
      </w:r>
      <w:r w:rsidRPr="00D7523E">
        <w:rPr>
          <w:rFonts w:eastAsia="Times New Roman"/>
          <w:lang w:val="fr-FR"/>
        </w:rPr>
        <w:tab/>
        <w:t>Unité électronique de gestion du moteur pour l</w:t>
      </w:r>
      <w:r w:rsidR="00DB4C2D">
        <w:rPr>
          <w:rFonts w:eastAsia="Times New Roman"/>
          <w:lang w:val="fr-FR"/>
        </w:rPr>
        <w:t>’</w:t>
      </w:r>
      <w:r w:rsidRPr="00D7523E">
        <w:rPr>
          <w:rFonts w:eastAsia="Times New Roman"/>
          <w:lang w:val="fr-FR"/>
        </w:rPr>
        <w:t>alimentation au GN</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3.2.16.2.1</w:t>
      </w:r>
      <w:r w:rsidRPr="00D7523E">
        <w:rPr>
          <w:rFonts w:eastAsia="Times New Roman"/>
          <w:lang w:val="fr-FR"/>
        </w:rPr>
        <w:tab/>
        <w:t>Marques(s):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3.2.16.2.2</w:t>
      </w:r>
      <w:r w:rsidRPr="00D7523E">
        <w:rPr>
          <w:rFonts w:eastAsia="Times New Roman"/>
          <w:lang w:val="fr-FR"/>
        </w:rPr>
        <w:tab/>
        <w:t>Type(s):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3.2.16.2.3</w:t>
      </w:r>
      <w:r w:rsidRPr="00D7523E">
        <w:rPr>
          <w:rFonts w:eastAsia="Times New Roman"/>
          <w:lang w:val="fr-FR"/>
        </w:rPr>
        <w:tab/>
        <w:t>Possibilités de réglage en fonction des émissions: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3.2.16.3</w:t>
      </w:r>
      <w:r w:rsidRPr="00D7523E">
        <w:rPr>
          <w:rFonts w:eastAsia="Times New Roman"/>
          <w:lang w:val="fr-FR"/>
        </w:rPr>
        <w:tab/>
        <w:t>Documents complémentaires: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3.2.16.3.1</w:t>
      </w:r>
      <w:r w:rsidRPr="00D7523E">
        <w:rPr>
          <w:rFonts w:eastAsia="Times New Roman"/>
          <w:lang w:val="fr-FR"/>
        </w:rPr>
        <w:tab/>
        <w:t>Description du système de protection du catalyseur lors du passage de l</w:t>
      </w:r>
      <w:r w:rsidR="00DB4C2D">
        <w:rPr>
          <w:rFonts w:eastAsia="Times New Roman"/>
          <w:lang w:val="fr-FR"/>
        </w:rPr>
        <w:t>’</w:t>
      </w:r>
      <w:r w:rsidRPr="00D7523E">
        <w:rPr>
          <w:rFonts w:eastAsia="Times New Roman"/>
          <w:lang w:val="fr-FR"/>
        </w:rPr>
        <w:t>essence au GN et vice versa:</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3.2.16.3.2</w:t>
      </w:r>
      <w:r w:rsidRPr="00D7523E">
        <w:rPr>
          <w:rFonts w:eastAsia="Times New Roman"/>
          <w:lang w:val="fr-FR"/>
        </w:rPr>
        <w:tab/>
        <w:t>Structure du système (connexions électriques, prises de dépression, flexibles de compensation, etc.):</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3.2.16.3.3</w:t>
      </w:r>
      <w:r w:rsidRPr="00D7523E">
        <w:rPr>
          <w:rFonts w:eastAsia="Times New Roman"/>
          <w:lang w:val="fr-FR"/>
        </w:rPr>
        <w:tab/>
        <w:t>Dessin du symbole: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lastRenderedPageBreak/>
        <w:t>3.2.18</w:t>
      </w:r>
      <w:r w:rsidRPr="00D7523E">
        <w:rPr>
          <w:rFonts w:eastAsia="Times New Roman"/>
          <w:lang w:val="fr-FR"/>
        </w:rPr>
        <w:tab/>
        <w:t>Système d</w:t>
      </w:r>
      <w:r w:rsidR="00DB4C2D">
        <w:rPr>
          <w:rFonts w:eastAsia="Times New Roman"/>
          <w:lang w:val="fr-FR"/>
        </w:rPr>
        <w:t>’</w:t>
      </w:r>
      <w:r w:rsidRPr="00D7523E">
        <w:rPr>
          <w:rFonts w:eastAsia="Times New Roman"/>
          <w:lang w:val="fr-FR"/>
        </w:rPr>
        <w:t>alimentation en hydrogène: oui/non</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3.2.18.1</w:t>
      </w:r>
      <w:r w:rsidRPr="00D7523E">
        <w:rPr>
          <w:rFonts w:eastAsia="Times New Roman"/>
          <w:lang w:val="fr-FR"/>
        </w:rPr>
        <w:tab/>
        <w:t>Numéro d</w:t>
      </w:r>
      <w:r w:rsidR="00DB4C2D">
        <w:rPr>
          <w:rFonts w:eastAsia="Times New Roman"/>
          <w:lang w:val="fr-FR"/>
        </w:rPr>
        <w:t>’</w:t>
      </w:r>
      <w:r w:rsidRPr="00D7523E">
        <w:rPr>
          <w:rFonts w:eastAsia="Times New Roman"/>
          <w:lang w:val="fr-FR"/>
        </w:rPr>
        <w:t>homologation de type selon [le Règlement technique mondial (RTM) sur les véhicules à hydrogène et à pile à combustible en cours d</w:t>
      </w:r>
      <w:r w:rsidR="00DB4C2D">
        <w:rPr>
          <w:rFonts w:eastAsia="Times New Roman"/>
          <w:lang w:val="fr-FR"/>
        </w:rPr>
        <w:t>’</w:t>
      </w:r>
      <w:r w:rsidRPr="00D7523E">
        <w:rPr>
          <w:rFonts w:eastAsia="Times New Roman"/>
          <w:lang w:val="fr-FR"/>
        </w:rPr>
        <w:t>élaboration]:</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3.2.18.2</w:t>
      </w:r>
      <w:r w:rsidRPr="00D7523E">
        <w:rPr>
          <w:rFonts w:eastAsia="Times New Roman"/>
          <w:lang w:val="fr-FR"/>
        </w:rPr>
        <w:tab/>
        <w:t>Module électronique de gestion du moteur pour l</w:t>
      </w:r>
      <w:r w:rsidR="00DB4C2D">
        <w:rPr>
          <w:rFonts w:eastAsia="Times New Roman"/>
          <w:lang w:val="fr-FR"/>
        </w:rPr>
        <w:t>’</w:t>
      </w:r>
      <w:r w:rsidRPr="00D7523E">
        <w:rPr>
          <w:rFonts w:eastAsia="Times New Roman"/>
          <w:lang w:val="fr-FR"/>
        </w:rPr>
        <w:t>alimentation en hydrogène</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3.2.18.2.1</w:t>
      </w:r>
      <w:r w:rsidRPr="00D7523E">
        <w:rPr>
          <w:rFonts w:eastAsia="Times New Roman"/>
          <w:lang w:val="fr-FR"/>
        </w:rPr>
        <w:tab/>
        <w:t xml:space="preserve">Marque(s): </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3.2.18.2.2</w:t>
      </w:r>
      <w:r w:rsidRPr="00D7523E">
        <w:rPr>
          <w:rFonts w:eastAsia="Times New Roman"/>
          <w:lang w:val="fr-FR"/>
        </w:rPr>
        <w:tab/>
        <w:t xml:space="preserve">Type(s): </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3.2.18.2.3</w:t>
      </w:r>
      <w:r w:rsidRPr="00D7523E">
        <w:rPr>
          <w:rFonts w:eastAsia="Times New Roman"/>
          <w:lang w:val="fr-FR"/>
        </w:rPr>
        <w:tab/>
        <w:t>Possibilités de réglage en fonction des émissions: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3.2.18.3</w:t>
      </w:r>
      <w:r w:rsidRPr="00D7523E">
        <w:rPr>
          <w:rFonts w:eastAsia="Times New Roman"/>
          <w:lang w:val="fr-FR"/>
        </w:rPr>
        <w:tab/>
        <w:t>Documents complémentaires:</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3.2.18.3.1</w:t>
      </w:r>
      <w:r w:rsidRPr="00D7523E">
        <w:rPr>
          <w:rFonts w:eastAsia="Times New Roman"/>
          <w:lang w:val="fr-FR"/>
        </w:rPr>
        <w:tab/>
        <w:t>Description du système de protection du catalyseur lors du passage de l</w:t>
      </w:r>
      <w:r w:rsidR="00DB4C2D">
        <w:rPr>
          <w:rFonts w:eastAsia="Times New Roman"/>
          <w:lang w:val="fr-FR"/>
        </w:rPr>
        <w:t>’</w:t>
      </w:r>
      <w:r w:rsidRPr="00D7523E">
        <w:rPr>
          <w:rFonts w:eastAsia="Times New Roman"/>
          <w:lang w:val="fr-FR"/>
        </w:rPr>
        <w:t>essence à l</w:t>
      </w:r>
      <w:r w:rsidR="00DB4C2D">
        <w:rPr>
          <w:rFonts w:eastAsia="Times New Roman"/>
          <w:lang w:val="fr-FR"/>
        </w:rPr>
        <w:t>’</w:t>
      </w:r>
      <w:r w:rsidRPr="00D7523E">
        <w:rPr>
          <w:rFonts w:eastAsia="Times New Roman"/>
          <w:lang w:val="fr-FR"/>
        </w:rPr>
        <w:t>hydrogène et vice versa:</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3.2.18.3.2</w:t>
      </w:r>
      <w:r w:rsidRPr="00D7523E">
        <w:rPr>
          <w:rFonts w:eastAsia="Times New Roman"/>
          <w:lang w:val="fr-FR"/>
        </w:rPr>
        <w:tab/>
        <w:t>Structure du système (connexions électriques, prises de dépression, flexibles de compensation, etc.):</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3.2.18.3.3</w:t>
      </w:r>
      <w:r w:rsidRPr="00D7523E">
        <w:rPr>
          <w:rFonts w:eastAsia="Times New Roman"/>
          <w:lang w:val="fr-FR"/>
        </w:rPr>
        <w:tab/>
        <w:t>Dessin du symbole: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3.3</w:t>
      </w:r>
      <w:r w:rsidRPr="00D7523E">
        <w:rPr>
          <w:rFonts w:eastAsia="Times New Roman"/>
          <w:lang w:val="fr-FR"/>
        </w:rPr>
        <w:tab/>
        <w:t>Moteur électrique</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3.3.1</w:t>
      </w:r>
      <w:r w:rsidRPr="00D7523E">
        <w:rPr>
          <w:rFonts w:eastAsia="Times New Roman"/>
          <w:lang w:val="fr-FR"/>
        </w:rPr>
        <w:tab/>
        <w:t>Type (enroulement, excitation):</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3.3.1.1</w:t>
      </w:r>
      <w:r w:rsidRPr="00D7523E">
        <w:rPr>
          <w:rFonts w:eastAsia="Times New Roman"/>
          <w:lang w:val="fr-FR"/>
        </w:rPr>
        <w:tab/>
        <w:t>Puissance horaire maximale:</w:t>
      </w:r>
      <w:r w:rsidRPr="00D7523E">
        <w:rPr>
          <w:rFonts w:eastAsia="Times New Roman"/>
          <w:lang w:val="fr-FR"/>
        </w:rPr>
        <w:tab/>
        <w:t>kW</w:t>
      </w:r>
      <w:r w:rsidRPr="00D7523E">
        <w:rPr>
          <w:rFonts w:eastAsia="Times New Roman"/>
          <w:lang w:val="fr-FR"/>
        </w:rPr>
        <w:br/>
        <w:t>(valeur déclarée par le constructeur)</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3.3.1.1.1</w:t>
      </w:r>
      <w:r w:rsidRPr="00D7523E">
        <w:rPr>
          <w:rFonts w:eastAsia="Times New Roman"/>
          <w:lang w:val="fr-FR"/>
        </w:rPr>
        <w:tab/>
        <w:t>Puissance nette maximale</w:t>
      </w:r>
      <w:r w:rsidR="000E5411">
        <w:rPr>
          <w:rStyle w:val="Appelnotedebasdep"/>
          <w:rFonts w:eastAsia="Times New Roman"/>
        </w:rPr>
        <w:footnoteReference w:id="22"/>
      </w:r>
      <w:r w:rsidRPr="00D7523E">
        <w:rPr>
          <w:rFonts w:eastAsia="Times New Roman"/>
          <w:lang w:val="fr-FR"/>
        </w:rPr>
        <w:t>:</w:t>
      </w:r>
      <w:r w:rsidRPr="00D7523E">
        <w:rPr>
          <w:rFonts w:eastAsia="Times New Roman"/>
          <w:lang w:val="fr-FR"/>
        </w:rPr>
        <w:tab/>
        <w:t>kW</w:t>
      </w:r>
      <w:r w:rsidRPr="00D7523E">
        <w:rPr>
          <w:rFonts w:eastAsia="Times New Roman"/>
          <w:lang w:val="fr-FR"/>
        </w:rPr>
        <w:br/>
        <w:t>(valeur déclarée par le constructeur)</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3.3.1.1.2</w:t>
      </w:r>
      <w:r w:rsidRPr="00D7523E">
        <w:rPr>
          <w:rFonts w:eastAsia="Times New Roman"/>
          <w:lang w:val="fr-FR"/>
        </w:rPr>
        <w:tab/>
        <w:t>Puissance maximale sur 30 minutes</w:t>
      </w:r>
      <w:r w:rsidRPr="00D7523E">
        <w:rPr>
          <w:rFonts w:eastAsia="Times New Roman"/>
          <w:sz w:val="18"/>
          <w:szCs w:val="18"/>
          <w:vertAlign w:val="superscript"/>
          <w:lang w:val="fr-FR"/>
        </w:rPr>
        <w:t>15</w:t>
      </w:r>
      <w:r w:rsidRPr="00D7523E">
        <w:rPr>
          <w:rFonts w:eastAsia="Times New Roman"/>
          <w:lang w:val="fr-FR"/>
        </w:rPr>
        <w:t xml:space="preserve">: </w:t>
      </w:r>
      <w:r w:rsidRPr="00D7523E">
        <w:rPr>
          <w:rFonts w:eastAsia="Times New Roman"/>
          <w:lang w:val="fr-FR"/>
        </w:rPr>
        <w:tab/>
        <w:t>kW</w:t>
      </w:r>
      <w:r w:rsidRPr="00D7523E">
        <w:rPr>
          <w:rFonts w:eastAsia="Times New Roman"/>
          <w:lang w:val="fr-FR"/>
        </w:rPr>
        <w:br/>
        <w:t>(valeur déclarée par le constructeur)</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3.3.1.2</w:t>
      </w:r>
      <w:r w:rsidRPr="00D7523E">
        <w:rPr>
          <w:rFonts w:eastAsia="Times New Roman"/>
          <w:lang w:val="fr-FR"/>
        </w:rPr>
        <w:tab/>
        <w:t>Tension de fonctionnement:</w:t>
      </w:r>
      <w:r w:rsidRPr="00D7523E">
        <w:rPr>
          <w:rFonts w:eastAsia="Times New Roman"/>
          <w:lang w:val="fr-FR"/>
        </w:rPr>
        <w:tab/>
        <w:t>V</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3.3.2</w:t>
      </w:r>
      <w:r w:rsidRPr="00D7523E">
        <w:rPr>
          <w:rFonts w:eastAsia="Times New Roman"/>
          <w:lang w:val="fr-FR"/>
        </w:rPr>
        <w:tab/>
        <w:t>Batterie</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3.3.2.1</w:t>
      </w:r>
      <w:r w:rsidRPr="00D7523E">
        <w:rPr>
          <w:rFonts w:eastAsia="Times New Roman"/>
          <w:lang w:val="fr-FR"/>
        </w:rPr>
        <w:tab/>
        <w:t>Nombre d</w:t>
      </w:r>
      <w:r w:rsidR="00DB4C2D">
        <w:rPr>
          <w:rFonts w:eastAsia="Times New Roman"/>
          <w:lang w:val="fr-FR"/>
        </w:rPr>
        <w:t>’</w:t>
      </w:r>
      <w:r w:rsidRPr="00D7523E">
        <w:rPr>
          <w:rFonts w:eastAsia="Times New Roman"/>
          <w:lang w:val="fr-FR"/>
        </w:rPr>
        <w:t>éléments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3.3.2.2</w:t>
      </w:r>
      <w:r w:rsidRPr="00D7523E">
        <w:rPr>
          <w:rFonts w:eastAsia="Times New Roman"/>
          <w:lang w:val="fr-FR"/>
        </w:rPr>
        <w:tab/>
        <w:t>Masse:</w:t>
      </w:r>
      <w:r w:rsidRPr="00D7523E">
        <w:rPr>
          <w:rFonts w:eastAsia="Times New Roman"/>
          <w:lang w:val="fr-FR"/>
        </w:rPr>
        <w:tab/>
        <w:t>kg</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3.2.2.3</w:t>
      </w:r>
      <w:r w:rsidRPr="00D7523E">
        <w:rPr>
          <w:rFonts w:eastAsia="Times New Roman"/>
          <w:lang w:val="fr-FR"/>
        </w:rPr>
        <w:tab/>
        <w:t>Capacité:</w:t>
      </w:r>
      <w:r w:rsidRPr="00D7523E">
        <w:rPr>
          <w:rFonts w:eastAsia="Times New Roman"/>
          <w:lang w:val="fr-FR"/>
        </w:rPr>
        <w:tab/>
        <w:t xml:space="preserve">Ah (Ampère-heure) </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w:t>
      </w:r>
      <w:r w:rsidRPr="00D7523E">
        <w:rPr>
          <w:rFonts w:eastAsia="Times New Roman"/>
          <w:lang w:val="fr-FR"/>
        </w:rPr>
        <w:tab/>
        <w:t>Moteurs ou combinaisons de moteurs</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3.4.1</w:t>
      </w:r>
      <w:r w:rsidRPr="00D7523E">
        <w:rPr>
          <w:rFonts w:eastAsia="Times New Roman"/>
          <w:lang w:val="fr-FR"/>
        </w:rPr>
        <w:tab/>
        <w:t>Véhicule électrique hybride: oui/non</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3.4.2</w:t>
      </w:r>
      <w:r w:rsidRPr="00D7523E">
        <w:rPr>
          <w:rFonts w:eastAsia="Times New Roman"/>
          <w:lang w:val="fr-FR"/>
        </w:rPr>
        <w:tab/>
        <w:t>Catégorie de véhicule électrique hybride: Rechargeable de l</w:t>
      </w:r>
      <w:r w:rsidR="00DB4C2D">
        <w:rPr>
          <w:rFonts w:eastAsia="Times New Roman"/>
          <w:lang w:val="fr-FR"/>
        </w:rPr>
        <w:t>’</w:t>
      </w:r>
      <w:r w:rsidRPr="00D7523E">
        <w:rPr>
          <w:rFonts w:eastAsia="Times New Roman"/>
          <w:lang w:val="fr-FR"/>
        </w:rPr>
        <w:t>extérieur/non rechargeable de l</w:t>
      </w:r>
      <w:r w:rsidR="00DB4C2D">
        <w:rPr>
          <w:rFonts w:eastAsia="Times New Roman"/>
          <w:lang w:val="fr-FR"/>
        </w:rPr>
        <w:t>’</w:t>
      </w:r>
      <w:r w:rsidRPr="00D7523E">
        <w:rPr>
          <w:rFonts w:eastAsia="Times New Roman"/>
          <w:lang w:val="fr-FR"/>
        </w:rPr>
        <w:t>extérieur</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3.4.3</w:t>
      </w:r>
      <w:r w:rsidRPr="00D7523E">
        <w:rPr>
          <w:rFonts w:eastAsia="Times New Roman"/>
          <w:lang w:val="fr-FR"/>
        </w:rPr>
        <w:tab/>
        <w:t>Commutateur de mode de fonctionnement: avec/sans</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3.4.3.1</w:t>
      </w:r>
      <w:r w:rsidRPr="00D7523E">
        <w:rPr>
          <w:rFonts w:eastAsia="Times New Roman"/>
          <w:lang w:val="fr-FR"/>
        </w:rPr>
        <w:tab/>
        <w:t>Modes commutables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3.4.3.1.1</w:t>
      </w:r>
      <w:r w:rsidRPr="00D7523E">
        <w:rPr>
          <w:rFonts w:eastAsia="Times New Roman"/>
          <w:lang w:val="fr-FR"/>
        </w:rPr>
        <w:tab/>
        <w:t>Mode uniquement électrique: oui/non</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3.4.3.1.2</w:t>
      </w:r>
      <w:r w:rsidRPr="00D7523E">
        <w:rPr>
          <w:rFonts w:eastAsia="Times New Roman"/>
          <w:lang w:val="fr-FR"/>
        </w:rPr>
        <w:tab/>
        <w:t>Mode uniquement thermique: oui/non</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3.4.3.1.3</w:t>
      </w:r>
      <w:r w:rsidRPr="00D7523E">
        <w:rPr>
          <w:rFonts w:eastAsia="Times New Roman"/>
          <w:lang w:val="fr-FR"/>
        </w:rPr>
        <w:tab/>
        <w:t>Modes hybrides: oui/non</w:t>
      </w:r>
      <w:r w:rsidRPr="00D7523E">
        <w:rPr>
          <w:rFonts w:eastAsia="Times New Roman"/>
          <w:sz w:val="18"/>
          <w:szCs w:val="18"/>
          <w:vertAlign w:val="superscript"/>
          <w:lang w:val="fr-FR"/>
        </w:rPr>
        <w:t>9</w:t>
      </w:r>
      <w:r w:rsidRPr="00D7523E">
        <w:rPr>
          <w:rFonts w:eastAsia="Times New Roman"/>
          <w:lang w:val="fr-FR"/>
        </w:rPr>
        <w:t xml:space="preserve"> (si oui, brève description):</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lastRenderedPageBreak/>
        <w:t>3.4.4</w:t>
      </w:r>
      <w:r w:rsidRPr="00D7523E">
        <w:rPr>
          <w:rFonts w:eastAsia="Times New Roman"/>
          <w:lang w:val="fr-FR"/>
        </w:rPr>
        <w:tab/>
        <w:t>Description du dispositif de stockage d</w:t>
      </w:r>
      <w:r w:rsidR="00DB4C2D">
        <w:rPr>
          <w:rFonts w:eastAsia="Times New Roman"/>
          <w:lang w:val="fr-FR"/>
        </w:rPr>
        <w:t>’</w:t>
      </w:r>
      <w:r w:rsidRPr="00D7523E">
        <w:rPr>
          <w:rFonts w:eastAsia="Times New Roman"/>
          <w:lang w:val="fr-FR"/>
        </w:rPr>
        <w:t>énergie (batterie, condensateur, volant/générateur):</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3.4.4.1</w:t>
      </w:r>
      <w:r w:rsidRPr="00D7523E">
        <w:rPr>
          <w:rFonts w:eastAsia="Times New Roman"/>
          <w:lang w:val="fr-FR"/>
        </w:rPr>
        <w:tab/>
        <w:t>Marque(s):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3.4.4.2</w:t>
      </w:r>
      <w:r w:rsidRPr="00D7523E">
        <w:rPr>
          <w:rFonts w:eastAsia="Times New Roman"/>
          <w:lang w:val="fr-FR"/>
        </w:rPr>
        <w:tab/>
        <w:t>Type(s):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3.4.4.3</w:t>
      </w:r>
      <w:r w:rsidRPr="00D7523E">
        <w:rPr>
          <w:rFonts w:eastAsia="Times New Roman"/>
          <w:lang w:val="fr-FR"/>
        </w:rPr>
        <w:tab/>
        <w:t>Numéro d</w:t>
      </w:r>
      <w:r w:rsidR="00DB4C2D">
        <w:rPr>
          <w:rFonts w:eastAsia="Times New Roman"/>
          <w:lang w:val="fr-FR"/>
        </w:rPr>
        <w:t>’</w:t>
      </w:r>
      <w:r w:rsidRPr="00D7523E">
        <w:rPr>
          <w:rFonts w:eastAsia="Times New Roman"/>
          <w:lang w:val="fr-FR"/>
        </w:rPr>
        <w:t>identification:</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3.4.4.4</w:t>
      </w:r>
      <w:r w:rsidRPr="00D7523E">
        <w:rPr>
          <w:rFonts w:eastAsia="Times New Roman"/>
          <w:lang w:val="fr-FR"/>
        </w:rPr>
        <w:tab/>
        <w:t>Type de couple électrochimique: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3.4.4.5</w:t>
      </w:r>
      <w:r w:rsidRPr="00D7523E">
        <w:rPr>
          <w:rFonts w:eastAsia="Times New Roman"/>
          <w:lang w:val="fr-FR"/>
        </w:rPr>
        <w:tab/>
        <w:t>Énergie: ………………. (pour la batterie: tension et capacité Ah en 2 h, pour le condensateur: J, …)</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3.4.4.6</w:t>
      </w:r>
      <w:r w:rsidRPr="00D7523E">
        <w:rPr>
          <w:rFonts w:eastAsia="Times New Roman"/>
          <w:lang w:val="fr-FR"/>
        </w:rPr>
        <w:tab/>
        <w:t>Chargeur: à bord/extérieur/sans</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3.4.5</w:t>
      </w:r>
      <w:r w:rsidRPr="00D7523E">
        <w:rPr>
          <w:rFonts w:eastAsia="Times New Roman"/>
          <w:lang w:val="fr-FR"/>
        </w:rPr>
        <w:tab/>
        <w:t>Moteurs électriques (décrire séparément chaque type de moteurs électriques)</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3.4.5.1</w:t>
      </w:r>
      <w:r w:rsidRPr="00D7523E">
        <w:rPr>
          <w:rFonts w:eastAsia="Times New Roman"/>
          <w:lang w:val="fr-FR"/>
        </w:rPr>
        <w:tab/>
        <w:t>Marque(s):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3.4.5.2</w:t>
      </w:r>
      <w:r w:rsidRPr="00D7523E">
        <w:rPr>
          <w:rFonts w:eastAsia="Times New Roman"/>
          <w:lang w:val="fr-FR"/>
        </w:rPr>
        <w:tab/>
        <w:t>Type(s):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3.4.5.3</w:t>
      </w:r>
      <w:r w:rsidRPr="00D7523E">
        <w:rPr>
          <w:rFonts w:eastAsia="Times New Roman"/>
          <w:lang w:val="fr-FR"/>
        </w:rPr>
        <w:tab/>
        <w:t>Utilisation principale: moteur de traction/générateur</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3.4.5.3.1</w:t>
      </w:r>
      <w:r w:rsidRPr="00D7523E">
        <w:rPr>
          <w:rFonts w:eastAsia="Times New Roman"/>
          <w:lang w:val="fr-FR"/>
        </w:rPr>
        <w:tab/>
        <w:t>En cas d</w:t>
      </w:r>
      <w:r w:rsidR="00DB4C2D">
        <w:rPr>
          <w:rFonts w:eastAsia="Times New Roman"/>
          <w:lang w:val="fr-FR"/>
        </w:rPr>
        <w:t>’</w:t>
      </w:r>
      <w:r w:rsidRPr="00D7523E">
        <w:rPr>
          <w:rFonts w:eastAsia="Times New Roman"/>
          <w:lang w:val="fr-FR"/>
        </w:rPr>
        <w:t>utilisation comme moteur de traction: moteur unique/moteurs multiples (nombre):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3.4.5.4</w:t>
      </w:r>
      <w:r w:rsidRPr="00D7523E">
        <w:rPr>
          <w:rFonts w:eastAsia="Times New Roman"/>
          <w:lang w:val="fr-FR"/>
        </w:rPr>
        <w:tab/>
        <w:t>Puissance maximale:</w:t>
      </w:r>
      <w:r w:rsidRPr="00D7523E">
        <w:rPr>
          <w:rFonts w:eastAsia="Times New Roman"/>
          <w:lang w:val="fr-FR"/>
        </w:rPr>
        <w:tab/>
        <w:t>kW</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3.4.5.5</w:t>
      </w:r>
      <w:r w:rsidRPr="00D7523E">
        <w:rPr>
          <w:rFonts w:eastAsia="Times New Roman"/>
          <w:lang w:val="fr-FR"/>
        </w:rPr>
        <w:tab/>
        <w:t>Principe de fonctionnement:</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3.4.5.5.1</w:t>
      </w:r>
      <w:r w:rsidRPr="00D7523E">
        <w:rPr>
          <w:rFonts w:eastAsia="Times New Roman"/>
          <w:lang w:val="fr-FR"/>
        </w:rPr>
        <w:tab/>
        <w:t>Courant continu/courant alternatif/nombre de phases: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3.4.5.5.2</w:t>
      </w:r>
      <w:r w:rsidRPr="00D7523E">
        <w:rPr>
          <w:rFonts w:eastAsia="Times New Roman"/>
          <w:lang w:val="fr-FR"/>
        </w:rPr>
        <w:tab/>
        <w:t>À excitation séparée/série/composé</w:t>
      </w:r>
      <w:r w:rsidRPr="00D7523E">
        <w:rPr>
          <w:rFonts w:eastAsia="Times New Roman"/>
          <w:sz w:val="18"/>
          <w:szCs w:val="18"/>
          <w:vertAlign w:val="superscript"/>
          <w:lang w:val="fr-FR"/>
        </w:rPr>
        <w:t>9</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3.4.5.5.3</w:t>
      </w:r>
      <w:r w:rsidRPr="00D7523E">
        <w:rPr>
          <w:rFonts w:eastAsia="Times New Roman"/>
          <w:lang w:val="fr-FR"/>
        </w:rPr>
        <w:tab/>
        <w:t>Synchrone/asynchrone</w:t>
      </w:r>
      <w:r w:rsidRPr="00D7523E">
        <w:rPr>
          <w:rFonts w:eastAsia="Times New Roman"/>
          <w:sz w:val="18"/>
          <w:szCs w:val="18"/>
          <w:vertAlign w:val="superscript"/>
          <w:lang w:val="fr-FR"/>
        </w:rPr>
        <w:t>9</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3.4.6</w:t>
      </w:r>
      <w:r w:rsidRPr="00D7523E">
        <w:rPr>
          <w:rFonts w:eastAsia="Times New Roman"/>
          <w:lang w:val="fr-FR"/>
        </w:rPr>
        <w:tab/>
        <w:t>Unité de commande: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3.4.6.1</w:t>
      </w:r>
      <w:r w:rsidRPr="00D7523E">
        <w:rPr>
          <w:rFonts w:eastAsia="Times New Roman"/>
          <w:lang w:val="fr-FR"/>
        </w:rPr>
        <w:tab/>
        <w:t>Marque(s):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3.4.6.2</w:t>
      </w:r>
      <w:r w:rsidRPr="00D7523E">
        <w:rPr>
          <w:rFonts w:eastAsia="Times New Roman"/>
          <w:lang w:val="fr-FR"/>
        </w:rPr>
        <w:tab/>
        <w:t>Type(s):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3.4.6.3</w:t>
      </w:r>
      <w:r w:rsidRPr="00D7523E">
        <w:rPr>
          <w:rFonts w:eastAsia="Times New Roman"/>
          <w:lang w:val="fr-FR"/>
        </w:rPr>
        <w:tab/>
        <w:t>Numéro d</w:t>
      </w:r>
      <w:r w:rsidR="00DB4C2D">
        <w:rPr>
          <w:rFonts w:eastAsia="Times New Roman"/>
          <w:lang w:val="fr-FR"/>
        </w:rPr>
        <w:t>’</w:t>
      </w:r>
      <w:r w:rsidRPr="00D7523E">
        <w:rPr>
          <w:rFonts w:eastAsia="Times New Roman"/>
          <w:lang w:val="fr-FR"/>
        </w:rPr>
        <w:t>identification:</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3.4.7</w:t>
      </w:r>
      <w:r w:rsidRPr="00D7523E">
        <w:rPr>
          <w:rFonts w:eastAsia="Times New Roman"/>
          <w:lang w:val="fr-FR"/>
        </w:rPr>
        <w:tab/>
        <w:t>Régulateur de puissance: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3.4.7.1</w:t>
      </w:r>
      <w:r w:rsidRPr="00D7523E">
        <w:rPr>
          <w:rFonts w:eastAsia="Times New Roman"/>
          <w:lang w:val="fr-FR"/>
        </w:rPr>
        <w:tab/>
        <w:t>Marque(s):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3.4.7.2</w:t>
      </w:r>
      <w:r w:rsidRPr="00D7523E">
        <w:rPr>
          <w:rFonts w:eastAsia="Times New Roman"/>
          <w:lang w:val="fr-FR"/>
        </w:rPr>
        <w:tab/>
        <w:t>Type(s):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3.4.7.3</w:t>
      </w:r>
      <w:r w:rsidRPr="00D7523E">
        <w:rPr>
          <w:rFonts w:eastAsia="Times New Roman"/>
          <w:lang w:val="fr-FR"/>
        </w:rPr>
        <w:tab/>
        <w:t>Numéro d</w:t>
      </w:r>
      <w:r w:rsidR="00DB4C2D">
        <w:rPr>
          <w:rFonts w:eastAsia="Times New Roman"/>
          <w:lang w:val="fr-FR"/>
        </w:rPr>
        <w:t>’</w:t>
      </w:r>
      <w:r w:rsidRPr="00D7523E">
        <w:rPr>
          <w:rFonts w:eastAsia="Times New Roman"/>
          <w:lang w:val="fr-FR"/>
        </w:rPr>
        <w:t>identification:</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3.4.8</w:t>
      </w:r>
      <w:r w:rsidRPr="00D7523E">
        <w:rPr>
          <w:rFonts w:eastAsia="Times New Roman"/>
          <w:lang w:val="fr-FR"/>
        </w:rPr>
        <w:tab/>
        <w:t>Autonomie du véhicule électrique … km (selon l</w:t>
      </w:r>
      <w:r w:rsidR="00DB4C2D">
        <w:rPr>
          <w:rFonts w:eastAsia="Times New Roman"/>
          <w:lang w:val="fr-FR"/>
        </w:rPr>
        <w:t>’</w:t>
      </w:r>
      <w:r w:rsidRPr="00D7523E">
        <w:rPr>
          <w:rFonts w:eastAsia="Times New Roman"/>
          <w:lang w:val="fr-FR"/>
        </w:rPr>
        <w:t>annexe 9 du Règlement n</w:t>
      </w:r>
      <w:r w:rsidRPr="00D7523E">
        <w:rPr>
          <w:rFonts w:eastAsia="Times New Roman"/>
          <w:vertAlign w:val="superscript"/>
          <w:lang w:val="fr-FR"/>
        </w:rPr>
        <w:t>o</w:t>
      </w:r>
      <w:r w:rsidRPr="00D7523E">
        <w:rPr>
          <w:rFonts w:eastAsia="Times New Roman"/>
          <w:lang w:val="fr-FR"/>
        </w:rPr>
        <w:t> 101):</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3.4.9</w:t>
      </w:r>
      <w:r w:rsidRPr="00D7523E">
        <w:rPr>
          <w:rFonts w:eastAsia="Times New Roman"/>
          <w:lang w:val="fr-FR"/>
        </w:rPr>
        <w:tab/>
        <w:t xml:space="preserve">Recommandation du constructeur relative au </w:t>
      </w:r>
      <w:proofErr w:type="spellStart"/>
      <w:r w:rsidRPr="00D7523E">
        <w:rPr>
          <w:rFonts w:eastAsia="Times New Roman"/>
          <w:lang w:val="fr-FR"/>
        </w:rPr>
        <w:t>préconditionnement</w:t>
      </w:r>
      <w:proofErr w:type="spellEnd"/>
      <w:r w:rsidRPr="00D7523E">
        <w:rPr>
          <w:rFonts w:eastAsia="Times New Roman"/>
          <w:lang w:val="fr-FR"/>
        </w:rPr>
        <w:t>:</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w:t>
      </w:r>
      <w:r w:rsidRPr="00D7523E">
        <w:rPr>
          <w:rFonts w:eastAsia="Times New Roman"/>
          <w:lang w:val="fr-FR"/>
        </w:rPr>
        <w:tab/>
        <w:t>Températures autorisées par le constructeur</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3.6.1</w:t>
      </w:r>
      <w:r w:rsidRPr="00D7523E">
        <w:rPr>
          <w:rFonts w:eastAsia="Times New Roman"/>
          <w:lang w:val="fr-FR"/>
        </w:rPr>
        <w:tab/>
        <w:t>Système de refroidissement</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3.6.1.1</w:t>
      </w:r>
      <w:r w:rsidRPr="00D7523E">
        <w:rPr>
          <w:rFonts w:eastAsia="Times New Roman"/>
          <w:lang w:val="fr-FR"/>
        </w:rPr>
        <w:tab/>
        <w:t>Refroidissement par liquide</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3.6.1.1.1</w:t>
      </w:r>
      <w:r w:rsidRPr="00D7523E">
        <w:rPr>
          <w:rFonts w:eastAsia="Times New Roman"/>
          <w:lang w:val="fr-FR"/>
        </w:rPr>
        <w:tab/>
        <w:t>Température maximale à la sortie:</w:t>
      </w:r>
      <w:r w:rsidRPr="00D7523E">
        <w:rPr>
          <w:rFonts w:eastAsia="Times New Roman"/>
          <w:lang w:val="fr-FR"/>
        </w:rPr>
        <w:tab/>
        <w:t>K</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3.6.1.2</w:t>
      </w:r>
      <w:r w:rsidRPr="00D7523E">
        <w:rPr>
          <w:rFonts w:eastAsia="Times New Roman"/>
          <w:lang w:val="fr-FR"/>
        </w:rPr>
        <w:tab/>
        <w:t>Refroidissement par air</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lastRenderedPageBreak/>
        <w:t>3.6.1.2.1</w:t>
      </w:r>
      <w:r w:rsidRPr="00D7523E">
        <w:rPr>
          <w:rFonts w:eastAsia="Times New Roman"/>
          <w:lang w:val="fr-FR"/>
        </w:rPr>
        <w:tab/>
        <w:t>Point de référence: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3.6.1.2.2</w:t>
      </w:r>
      <w:r w:rsidRPr="00D7523E">
        <w:rPr>
          <w:rFonts w:eastAsia="Times New Roman"/>
          <w:lang w:val="fr-FR"/>
        </w:rPr>
        <w:tab/>
        <w:t>Température maximale au point de référence:</w:t>
      </w:r>
      <w:r w:rsidRPr="00D7523E">
        <w:rPr>
          <w:rFonts w:eastAsia="Times New Roman"/>
          <w:lang w:val="fr-FR"/>
        </w:rPr>
        <w:tab/>
        <w:t>K</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3.6.2</w:t>
      </w:r>
      <w:r w:rsidRPr="00D7523E">
        <w:rPr>
          <w:rFonts w:eastAsia="Times New Roman"/>
          <w:lang w:val="fr-FR"/>
        </w:rPr>
        <w:tab/>
        <w:t>Température maximale à la sortie de l</w:t>
      </w:r>
      <w:r w:rsidR="00DB4C2D">
        <w:rPr>
          <w:rFonts w:eastAsia="Times New Roman"/>
          <w:lang w:val="fr-FR"/>
        </w:rPr>
        <w:t>’</w:t>
      </w:r>
      <w:r w:rsidRPr="00D7523E">
        <w:rPr>
          <w:rFonts w:eastAsia="Times New Roman"/>
          <w:lang w:val="fr-FR"/>
        </w:rPr>
        <w:t>échangeur intermédiaire à l</w:t>
      </w:r>
      <w:r w:rsidR="00DB4C2D">
        <w:rPr>
          <w:rFonts w:eastAsia="Times New Roman"/>
          <w:lang w:val="fr-FR"/>
        </w:rPr>
        <w:t>’</w:t>
      </w:r>
      <w:r w:rsidRPr="00D7523E">
        <w:rPr>
          <w:rFonts w:eastAsia="Times New Roman"/>
          <w:lang w:val="fr-FR"/>
        </w:rPr>
        <w:t>admission:</w:t>
      </w:r>
      <w:r w:rsidRPr="00D7523E">
        <w:rPr>
          <w:rFonts w:eastAsia="Times New Roman"/>
          <w:lang w:val="fr-FR"/>
        </w:rPr>
        <w:tab/>
        <w:t>K</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3.6.3</w:t>
      </w:r>
      <w:r w:rsidRPr="00D7523E">
        <w:rPr>
          <w:rFonts w:eastAsia="Times New Roman"/>
          <w:lang w:val="fr-FR"/>
        </w:rPr>
        <w:tab/>
        <w:t>Température maximale des gaz d</w:t>
      </w:r>
      <w:r w:rsidR="00DB4C2D">
        <w:rPr>
          <w:rFonts w:eastAsia="Times New Roman"/>
          <w:lang w:val="fr-FR"/>
        </w:rPr>
        <w:t>’</w:t>
      </w:r>
      <w:r w:rsidRPr="00D7523E">
        <w:rPr>
          <w:rFonts w:eastAsia="Times New Roman"/>
          <w:lang w:val="fr-FR"/>
        </w:rPr>
        <w:t>échappement au point du/des tuyau(x) d</w:t>
      </w:r>
      <w:r w:rsidR="00DB4C2D">
        <w:rPr>
          <w:rFonts w:eastAsia="Times New Roman"/>
          <w:lang w:val="fr-FR"/>
        </w:rPr>
        <w:t>’</w:t>
      </w:r>
      <w:r w:rsidRPr="00D7523E">
        <w:rPr>
          <w:rFonts w:eastAsia="Times New Roman"/>
          <w:lang w:val="fr-FR"/>
        </w:rPr>
        <w:t>échappement adjacent(s) à la/aux bride(s)</w:t>
      </w:r>
      <w:r w:rsidRPr="00D7523E">
        <w:rPr>
          <w:rFonts w:eastAsia="Times New Roman"/>
          <w:lang w:val="fr-FR"/>
        </w:rPr>
        <w:br/>
        <w:t>du collecteur d</w:t>
      </w:r>
      <w:r w:rsidR="00DB4C2D">
        <w:rPr>
          <w:rFonts w:eastAsia="Times New Roman"/>
          <w:lang w:val="fr-FR"/>
        </w:rPr>
        <w:t>’</w:t>
      </w:r>
      <w:r w:rsidRPr="00D7523E">
        <w:rPr>
          <w:rFonts w:eastAsia="Times New Roman"/>
          <w:lang w:val="fr-FR"/>
        </w:rPr>
        <w:t>échappement:</w:t>
      </w:r>
      <w:r w:rsidRPr="00D7523E">
        <w:rPr>
          <w:rFonts w:eastAsia="Times New Roman"/>
          <w:lang w:val="fr-FR"/>
        </w:rPr>
        <w:tab/>
        <w:t>K</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3.6.4</w:t>
      </w:r>
      <w:r w:rsidRPr="00D7523E">
        <w:rPr>
          <w:rFonts w:eastAsia="Times New Roman"/>
          <w:lang w:val="fr-FR"/>
        </w:rPr>
        <w:tab/>
        <w:t>Température du carburant</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3.6.4.1</w:t>
      </w:r>
      <w:r w:rsidRPr="00D7523E">
        <w:rPr>
          <w:rFonts w:eastAsia="Times New Roman"/>
          <w:lang w:val="fr-FR"/>
        </w:rPr>
        <w:tab/>
        <w:t>Minimale:</w:t>
      </w:r>
      <w:r w:rsidRPr="00D7523E">
        <w:rPr>
          <w:rFonts w:eastAsia="Times New Roman"/>
          <w:lang w:val="fr-FR"/>
        </w:rPr>
        <w:tab/>
        <w:t>K</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3.6.4.2</w:t>
      </w:r>
      <w:r w:rsidRPr="00D7523E">
        <w:rPr>
          <w:rFonts w:eastAsia="Times New Roman"/>
          <w:lang w:val="fr-FR"/>
        </w:rPr>
        <w:tab/>
        <w:t>Maximale:</w:t>
      </w:r>
      <w:r w:rsidRPr="00D7523E">
        <w:rPr>
          <w:rFonts w:eastAsia="Times New Roman"/>
          <w:lang w:val="fr-FR"/>
        </w:rPr>
        <w:tab/>
        <w:t>K</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3.6.5</w:t>
      </w:r>
      <w:r w:rsidRPr="00D7523E">
        <w:rPr>
          <w:rFonts w:eastAsia="Times New Roman"/>
          <w:lang w:val="fr-FR"/>
        </w:rPr>
        <w:tab/>
        <w:t>Température du lubrifiant</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3.6.5.1</w:t>
      </w:r>
      <w:r w:rsidRPr="00D7523E">
        <w:rPr>
          <w:rFonts w:eastAsia="Times New Roman"/>
          <w:lang w:val="fr-FR"/>
        </w:rPr>
        <w:tab/>
        <w:t>Minimale:</w:t>
      </w:r>
      <w:r w:rsidRPr="00D7523E">
        <w:rPr>
          <w:rFonts w:eastAsia="Times New Roman"/>
          <w:lang w:val="fr-FR"/>
        </w:rPr>
        <w:tab/>
        <w:t>K</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3.6.5.2</w:t>
      </w:r>
      <w:r w:rsidRPr="00D7523E">
        <w:rPr>
          <w:rFonts w:eastAsia="Times New Roman"/>
          <w:lang w:val="fr-FR"/>
        </w:rPr>
        <w:tab/>
        <w:t>Maximale:</w:t>
      </w:r>
      <w:r w:rsidRPr="00D7523E">
        <w:rPr>
          <w:rFonts w:eastAsia="Times New Roman"/>
          <w:lang w:val="fr-FR"/>
        </w:rPr>
        <w:tab/>
        <w:t>K</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w:t>
      </w:r>
      <w:r w:rsidRPr="00D7523E">
        <w:rPr>
          <w:rFonts w:eastAsia="Times New Roman"/>
          <w:lang w:val="fr-FR"/>
        </w:rPr>
        <w:tab/>
        <w:t>Système de lubrification</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3.8.1</w:t>
      </w:r>
      <w:r w:rsidRPr="00D7523E">
        <w:rPr>
          <w:rFonts w:eastAsia="Times New Roman"/>
          <w:lang w:val="fr-FR"/>
        </w:rPr>
        <w:tab/>
        <w:t>Description du système</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3.8.1.1</w:t>
      </w:r>
      <w:r w:rsidRPr="00D7523E">
        <w:rPr>
          <w:rFonts w:eastAsia="Times New Roman"/>
          <w:lang w:val="fr-FR"/>
        </w:rPr>
        <w:tab/>
        <w:t>Emplacement du réservoir de lubrifiant:</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3.8.1.2</w:t>
      </w:r>
      <w:r w:rsidRPr="00D7523E">
        <w:rPr>
          <w:rFonts w:eastAsia="Times New Roman"/>
          <w:lang w:val="fr-FR"/>
        </w:rPr>
        <w:tab/>
        <w:t>Système d</w:t>
      </w:r>
      <w:r w:rsidR="00DB4C2D">
        <w:rPr>
          <w:rFonts w:eastAsia="Times New Roman"/>
          <w:lang w:val="fr-FR"/>
        </w:rPr>
        <w:t>’</w:t>
      </w:r>
      <w:r w:rsidRPr="00D7523E">
        <w:rPr>
          <w:rFonts w:eastAsia="Times New Roman"/>
          <w:lang w:val="fr-FR"/>
        </w:rPr>
        <w:t>alimentation (pompe/injection à l</w:t>
      </w:r>
      <w:r w:rsidR="00DB4C2D">
        <w:rPr>
          <w:rFonts w:eastAsia="Times New Roman"/>
          <w:lang w:val="fr-FR"/>
        </w:rPr>
        <w:t>’</w:t>
      </w:r>
      <w:r w:rsidRPr="00D7523E">
        <w:rPr>
          <w:rFonts w:eastAsia="Times New Roman"/>
          <w:lang w:val="fr-FR"/>
        </w:rPr>
        <w:t>admission/en mélange avec le carburant, etc.)</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3.8.2</w:t>
      </w:r>
      <w:r w:rsidRPr="00D7523E">
        <w:rPr>
          <w:rFonts w:eastAsia="Times New Roman"/>
          <w:lang w:val="fr-FR"/>
        </w:rPr>
        <w:tab/>
        <w:t>Pompe de lubrification</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3.8.2.1</w:t>
      </w:r>
      <w:r w:rsidRPr="00D7523E">
        <w:rPr>
          <w:rFonts w:eastAsia="Times New Roman"/>
          <w:lang w:val="fr-FR"/>
        </w:rPr>
        <w:tab/>
        <w:t>Marque(s):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3.8.2.2</w:t>
      </w:r>
      <w:r w:rsidRPr="00D7523E">
        <w:rPr>
          <w:rFonts w:eastAsia="Times New Roman"/>
          <w:lang w:val="fr-FR"/>
        </w:rPr>
        <w:tab/>
        <w:t>Type(s):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3.8.3</w:t>
      </w:r>
      <w:r w:rsidRPr="00D7523E">
        <w:rPr>
          <w:rFonts w:eastAsia="Times New Roman"/>
          <w:lang w:val="fr-FR"/>
        </w:rPr>
        <w:tab/>
        <w:t>Lubrifiant mélangé au carburant</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3.8.3.1</w:t>
      </w:r>
      <w:r w:rsidRPr="00D7523E">
        <w:rPr>
          <w:rFonts w:eastAsia="Times New Roman"/>
          <w:lang w:val="fr-FR"/>
        </w:rPr>
        <w:tab/>
        <w:t>Pourcentage: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3.8.4</w:t>
      </w:r>
      <w:r w:rsidRPr="00D7523E">
        <w:rPr>
          <w:rFonts w:eastAsia="Times New Roman"/>
          <w:lang w:val="fr-FR"/>
        </w:rPr>
        <w:tab/>
        <w:t>Refroidisseur d</w:t>
      </w:r>
      <w:r w:rsidR="00DB4C2D">
        <w:rPr>
          <w:rFonts w:eastAsia="Times New Roman"/>
          <w:lang w:val="fr-FR"/>
        </w:rPr>
        <w:t>’</w:t>
      </w:r>
      <w:r w:rsidRPr="00D7523E">
        <w:rPr>
          <w:rFonts w:eastAsia="Times New Roman"/>
          <w:lang w:val="fr-FR"/>
        </w:rPr>
        <w:t>huile: oui/non</w:t>
      </w:r>
      <w:r w:rsidRPr="00D7523E">
        <w:rPr>
          <w:rFonts w:eastAsia="Times New Roman"/>
          <w:sz w:val="18"/>
          <w:szCs w:val="18"/>
          <w:vertAlign w:val="superscript"/>
          <w:lang w:val="fr-FR"/>
        </w:rPr>
        <w:t>9</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3.8.4.1</w:t>
      </w:r>
      <w:r w:rsidRPr="00D7523E">
        <w:rPr>
          <w:rFonts w:eastAsia="Times New Roman"/>
          <w:lang w:val="fr-FR"/>
        </w:rPr>
        <w:tab/>
        <w:t>Dessin(s):</w:t>
      </w:r>
      <w:r w:rsidRPr="00D7523E">
        <w:rPr>
          <w:rFonts w:eastAsia="Times New Roman"/>
          <w:lang w:val="fr-FR"/>
        </w:rPr>
        <w:tab/>
        <w:t>, ou</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3.8.4.1.1</w:t>
      </w:r>
      <w:r w:rsidRPr="00D7523E">
        <w:rPr>
          <w:rFonts w:eastAsia="Times New Roman"/>
          <w:lang w:val="fr-FR"/>
        </w:rPr>
        <w:tab/>
        <w:t>Marque(s):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3.8.4.1.2</w:t>
      </w:r>
      <w:r w:rsidRPr="00D7523E">
        <w:rPr>
          <w:rFonts w:eastAsia="Times New Roman"/>
          <w:lang w:val="fr-FR"/>
        </w:rPr>
        <w:tab/>
        <w:t>Type(s):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4.</w:t>
      </w:r>
      <w:r w:rsidRPr="00D7523E">
        <w:rPr>
          <w:rFonts w:eastAsia="Times New Roman"/>
          <w:lang w:val="fr-FR"/>
        </w:rPr>
        <w:tab/>
        <w:t>Transmission</w:t>
      </w:r>
      <w:r w:rsidR="000E5411">
        <w:rPr>
          <w:rStyle w:val="Appelnotedebasdep"/>
          <w:rFonts w:eastAsia="Times New Roman"/>
        </w:rPr>
        <w:footnoteReference w:id="23"/>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4.3</w:t>
      </w:r>
      <w:r w:rsidRPr="00D7523E">
        <w:rPr>
          <w:rFonts w:eastAsia="Times New Roman"/>
          <w:lang w:val="fr-FR"/>
        </w:rPr>
        <w:tab/>
        <w:t>Moment d</w:t>
      </w:r>
      <w:r w:rsidR="00DB4C2D">
        <w:rPr>
          <w:rFonts w:eastAsia="Times New Roman"/>
          <w:lang w:val="fr-FR"/>
        </w:rPr>
        <w:t>’</w:t>
      </w:r>
      <w:r w:rsidRPr="00D7523E">
        <w:rPr>
          <w:rFonts w:eastAsia="Times New Roman"/>
          <w:lang w:val="fr-FR"/>
        </w:rPr>
        <w:t>inertie du volant-moteur:</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4.3.1</w:t>
      </w:r>
      <w:r w:rsidRPr="00D7523E">
        <w:rPr>
          <w:rFonts w:eastAsia="Times New Roman"/>
          <w:lang w:val="fr-FR"/>
        </w:rPr>
        <w:tab/>
        <w:t>Moment d</w:t>
      </w:r>
      <w:r w:rsidR="00DB4C2D">
        <w:rPr>
          <w:rFonts w:eastAsia="Times New Roman"/>
          <w:lang w:val="fr-FR"/>
        </w:rPr>
        <w:t>’</w:t>
      </w:r>
      <w:r w:rsidRPr="00D7523E">
        <w:rPr>
          <w:rFonts w:eastAsia="Times New Roman"/>
          <w:lang w:val="fr-FR"/>
        </w:rPr>
        <w:t>inertie supplémentaire au point mort:</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4.4</w:t>
      </w:r>
      <w:r w:rsidRPr="00D7523E">
        <w:rPr>
          <w:rFonts w:eastAsia="Times New Roman"/>
          <w:lang w:val="fr-FR"/>
        </w:rPr>
        <w:tab/>
        <w:t>Embrayage (type):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4.4.1</w:t>
      </w:r>
      <w:r w:rsidRPr="00D7523E">
        <w:rPr>
          <w:rFonts w:eastAsia="Times New Roman"/>
          <w:lang w:val="fr-FR"/>
        </w:rPr>
        <w:tab/>
        <w:t>Conversion de couple maximale:</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4.5</w:t>
      </w:r>
      <w:r w:rsidRPr="00D7523E">
        <w:rPr>
          <w:rFonts w:eastAsia="Times New Roman"/>
          <w:lang w:val="fr-FR"/>
        </w:rPr>
        <w:tab/>
        <w:t>Boîte de vitesses:</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4.5.1</w:t>
      </w:r>
      <w:r w:rsidRPr="00D7523E">
        <w:rPr>
          <w:rFonts w:eastAsia="Times New Roman"/>
          <w:lang w:val="fr-FR"/>
        </w:rPr>
        <w:tab/>
        <w:t>Type (manuelle/automatique/variation continue)</w:t>
      </w:r>
      <w:r w:rsidRPr="00D7523E">
        <w:rPr>
          <w:rFonts w:eastAsia="Times New Roman"/>
          <w:sz w:val="18"/>
          <w:szCs w:val="18"/>
          <w:vertAlign w:val="superscript"/>
          <w:lang w:val="fr-FR"/>
        </w:rPr>
        <w:t>9</w:t>
      </w:r>
      <w:r w:rsidRPr="00D7523E">
        <w:rPr>
          <w:rFonts w:eastAsia="Times New Roman"/>
          <w:lang w:val="fr-FR"/>
        </w:rPr>
        <w:t>:</w:t>
      </w:r>
      <w:r w:rsidRPr="00D7523E">
        <w:rPr>
          <w:rFonts w:eastAsia="Times New Roman"/>
          <w:lang w:val="fr-FR"/>
        </w:rPr>
        <w:tab/>
      </w:r>
    </w:p>
    <w:p w:rsidR="00D7523E" w:rsidRDefault="00D7523E" w:rsidP="00D7523E">
      <w:pPr>
        <w:pStyle w:val="SingleTxtG"/>
        <w:keepNext/>
        <w:tabs>
          <w:tab w:val="right" w:leader="dot" w:pos="8505"/>
        </w:tabs>
        <w:ind w:left="2552" w:hanging="1418"/>
        <w:jc w:val="left"/>
        <w:rPr>
          <w:rFonts w:eastAsia="Times New Roman"/>
          <w:lang w:val="fr-FR"/>
        </w:rPr>
      </w:pPr>
      <w:r w:rsidRPr="00D7523E">
        <w:rPr>
          <w:rFonts w:eastAsia="Times New Roman"/>
          <w:lang w:val="fr-FR"/>
        </w:rPr>
        <w:lastRenderedPageBreak/>
        <w:t>4.6</w:t>
      </w:r>
      <w:r w:rsidRPr="00D7523E">
        <w:rPr>
          <w:rFonts w:eastAsia="Times New Roman"/>
          <w:lang w:val="fr-FR"/>
        </w:rPr>
        <w:tab/>
        <w:t>Rapports de démultiplication</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71"/>
        <w:gridCol w:w="2371"/>
        <w:gridCol w:w="2371"/>
        <w:gridCol w:w="1892"/>
      </w:tblGrid>
      <w:tr w:rsidR="00D7523E" w:rsidRPr="00D7523E" w:rsidTr="008E3B10">
        <w:tc>
          <w:tcPr>
            <w:tcW w:w="1871" w:type="dxa"/>
            <w:shd w:val="clear" w:color="auto" w:fill="auto"/>
            <w:vAlign w:val="center"/>
          </w:tcPr>
          <w:p w:rsidR="00D7523E" w:rsidRPr="00D7523E" w:rsidRDefault="00D7523E" w:rsidP="00D7523E">
            <w:pPr>
              <w:kinsoku/>
              <w:overflowPunct/>
              <w:autoSpaceDE/>
              <w:autoSpaceDN/>
              <w:adjustRightInd/>
              <w:snapToGrid/>
              <w:spacing w:before="60" w:after="60" w:line="200" w:lineRule="atLeast"/>
              <w:jc w:val="center"/>
              <w:rPr>
                <w:rFonts w:eastAsia="Times New Roman"/>
                <w:lang w:val="fr-FR"/>
              </w:rPr>
            </w:pPr>
            <w:r w:rsidRPr="00D7523E">
              <w:rPr>
                <w:rFonts w:eastAsia="Times New Roman"/>
                <w:i/>
                <w:sz w:val="16"/>
                <w:szCs w:val="16"/>
                <w:lang w:val="fr-FR"/>
              </w:rPr>
              <w:t>Combinaisons de vitesse</w:t>
            </w:r>
          </w:p>
        </w:tc>
        <w:tc>
          <w:tcPr>
            <w:tcW w:w="2371" w:type="dxa"/>
            <w:shd w:val="clear" w:color="auto" w:fill="auto"/>
            <w:vAlign w:val="center"/>
          </w:tcPr>
          <w:p w:rsidR="00D7523E" w:rsidRPr="00D7523E" w:rsidRDefault="00D7523E" w:rsidP="00D7523E">
            <w:pPr>
              <w:kinsoku/>
              <w:overflowPunct/>
              <w:autoSpaceDE/>
              <w:autoSpaceDN/>
              <w:adjustRightInd/>
              <w:snapToGrid/>
              <w:spacing w:before="60" w:after="60" w:line="200" w:lineRule="atLeast"/>
              <w:jc w:val="center"/>
              <w:rPr>
                <w:rFonts w:eastAsia="Times New Roman"/>
                <w:lang w:val="fr-FR"/>
              </w:rPr>
            </w:pPr>
            <w:r w:rsidRPr="00D7523E">
              <w:rPr>
                <w:rFonts w:eastAsia="Times New Roman"/>
                <w:i/>
                <w:sz w:val="16"/>
                <w:szCs w:val="16"/>
                <w:lang w:val="fr-FR"/>
              </w:rPr>
              <w:t>Rapport de boîte (rapport entre le régime du moteur et la vitesse de rotation de l</w:t>
            </w:r>
            <w:r w:rsidR="00DB4C2D">
              <w:rPr>
                <w:rFonts w:eastAsia="Times New Roman"/>
                <w:i/>
                <w:sz w:val="16"/>
                <w:szCs w:val="16"/>
                <w:lang w:val="fr-FR"/>
              </w:rPr>
              <w:t>’</w:t>
            </w:r>
            <w:r w:rsidRPr="00D7523E">
              <w:rPr>
                <w:rFonts w:eastAsia="Times New Roman"/>
                <w:i/>
                <w:sz w:val="16"/>
                <w:szCs w:val="16"/>
                <w:lang w:val="fr-FR"/>
              </w:rPr>
              <w:t>arbre de sortie)</w:t>
            </w:r>
          </w:p>
        </w:tc>
        <w:tc>
          <w:tcPr>
            <w:tcW w:w="2371" w:type="dxa"/>
            <w:shd w:val="clear" w:color="auto" w:fill="auto"/>
            <w:vAlign w:val="center"/>
          </w:tcPr>
          <w:p w:rsidR="00D7523E" w:rsidRPr="00D7523E" w:rsidRDefault="00D7523E" w:rsidP="00D7523E">
            <w:pPr>
              <w:kinsoku/>
              <w:overflowPunct/>
              <w:autoSpaceDE/>
              <w:autoSpaceDN/>
              <w:adjustRightInd/>
              <w:snapToGrid/>
              <w:spacing w:before="60" w:after="60" w:line="200" w:lineRule="atLeast"/>
              <w:jc w:val="center"/>
              <w:rPr>
                <w:rFonts w:eastAsia="Times New Roman"/>
                <w:lang w:val="fr-FR"/>
              </w:rPr>
            </w:pPr>
            <w:r w:rsidRPr="00D7523E">
              <w:rPr>
                <w:rFonts w:eastAsia="Times New Roman"/>
                <w:i/>
                <w:sz w:val="16"/>
                <w:szCs w:val="16"/>
                <w:lang w:val="fr-FR"/>
              </w:rPr>
              <w:t>Rapport(s) de pont (rapport entre la vitesse de rotation de l</w:t>
            </w:r>
            <w:r w:rsidR="00DB4C2D">
              <w:rPr>
                <w:rFonts w:eastAsia="Times New Roman"/>
                <w:i/>
                <w:sz w:val="16"/>
                <w:szCs w:val="16"/>
                <w:lang w:val="fr-FR"/>
              </w:rPr>
              <w:t>’</w:t>
            </w:r>
            <w:r w:rsidRPr="00D7523E">
              <w:rPr>
                <w:rFonts w:eastAsia="Times New Roman"/>
                <w:i/>
                <w:sz w:val="16"/>
                <w:szCs w:val="16"/>
                <w:lang w:val="fr-FR"/>
              </w:rPr>
              <w:t>arbre de sortie et la vitesse de rotation des roues motrices)</w:t>
            </w:r>
          </w:p>
        </w:tc>
        <w:tc>
          <w:tcPr>
            <w:tcW w:w="1892" w:type="dxa"/>
            <w:shd w:val="clear" w:color="auto" w:fill="auto"/>
            <w:vAlign w:val="center"/>
          </w:tcPr>
          <w:p w:rsidR="00D7523E" w:rsidRPr="00D7523E" w:rsidRDefault="00D7523E" w:rsidP="00D7523E">
            <w:pPr>
              <w:kinsoku/>
              <w:overflowPunct/>
              <w:autoSpaceDE/>
              <w:autoSpaceDN/>
              <w:adjustRightInd/>
              <w:snapToGrid/>
              <w:spacing w:before="60" w:after="60" w:line="200" w:lineRule="atLeast"/>
              <w:jc w:val="center"/>
              <w:rPr>
                <w:rFonts w:eastAsia="Times New Roman"/>
                <w:lang w:val="fr-FR"/>
              </w:rPr>
            </w:pPr>
            <w:r w:rsidRPr="00D7523E">
              <w:rPr>
                <w:rFonts w:eastAsia="Times New Roman"/>
                <w:i/>
                <w:sz w:val="16"/>
                <w:szCs w:val="16"/>
                <w:lang w:val="fr-FR"/>
              </w:rPr>
              <w:t>Démultiplication totale</w:t>
            </w:r>
          </w:p>
        </w:tc>
      </w:tr>
      <w:tr w:rsidR="00D7523E" w:rsidRPr="00D7523E" w:rsidTr="008E3B10">
        <w:tc>
          <w:tcPr>
            <w:tcW w:w="1871" w:type="dxa"/>
            <w:shd w:val="clear" w:color="auto" w:fill="auto"/>
          </w:tcPr>
          <w:p w:rsidR="00D7523E" w:rsidRPr="00D7523E" w:rsidRDefault="00D7523E" w:rsidP="00D7523E">
            <w:pPr>
              <w:tabs>
                <w:tab w:val="right" w:leader="dot" w:pos="9356"/>
              </w:tabs>
              <w:kinsoku/>
              <w:overflowPunct/>
              <w:autoSpaceDE/>
              <w:autoSpaceDN/>
              <w:adjustRightInd/>
              <w:snapToGrid/>
              <w:spacing w:before="60" w:after="60" w:line="220" w:lineRule="atLeast"/>
              <w:ind w:left="57" w:right="57"/>
              <w:rPr>
                <w:rFonts w:eastAsia="Times New Roman"/>
                <w:sz w:val="18"/>
                <w:szCs w:val="18"/>
                <w:lang w:val="fr-FR"/>
              </w:rPr>
            </w:pPr>
            <w:r w:rsidRPr="00D7523E">
              <w:rPr>
                <w:rFonts w:eastAsia="Times New Roman"/>
                <w:sz w:val="18"/>
                <w:szCs w:val="18"/>
                <w:lang w:val="fr-FR"/>
              </w:rPr>
              <w:t xml:space="preserve">Maximum pour variateur (CVT) </w:t>
            </w: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1892"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r>
      <w:tr w:rsidR="00D7523E" w:rsidRPr="00D7523E" w:rsidTr="008E3B10">
        <w:tc>
          <w:tcPr>
            <w:tcW w:w="1871" w:type="dxa"/>
            <w:shd w:val="clear" w:color="auto" w:fill="auto"/>
          </w:tcPr>
          <w:p w:rsidR="00D7523E" w:rsidRPr="00D7523E" w:rsidRDefault="00D7523E" w:rsidP="00D7523E">
            <w:pPr>
              <w:tabs>
                <w:tab w:val="right" w:leader="dot" w:pos="9356"/>
              </w:tabs>
              <w:kinsoku/>
              <w:overflowPunct/>
              <w:autoSpaceDE/>
              <w:autoSpaceDN/>
              <w:adjustRightInd/>
              <w:snapToGrid/>
              <w:spacing w:before="60" w:after="60" w:line="220" w:lineRule="atLeast"/>
              <w:ind w:left="284" w:right="57"/>
              <w:rPr>
                <w:rFonts w:eastAsia="Times New Roman"/>
                <w:sz w:val="18"/>
                <w:szCs w:val="18"/>
                <w:lang w:val="fr-FR"/>
              </w:rPr>
            </w:pPr>
            <w:r w:rsidRPr="00D7523E">
              <w:rPr>
                <w:rFonts w:eastAsia="Times New Roman"/>
                <w:sz w:val="18"/>
                <w:szCs w:val="18"/>
                <w:lang w:val="fr-FR"/>
              </w:rPr>
              <w:t>1</w:t>
            </w: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1892"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r>
      <w:tr w:rsidR="00D7523E" w:rsidRPr="00D7523E" w:rsidTr="008E3B10">
        <w:tc>
          <w:tcPr>
            <w:tcW w:w="1871" w:type="dxa"/>
            <w:shd w:val="clear" w:color="auto" w:fill="auto"/>
          </w:tcPr>
          <w:p w:rsidR="00D7523E" w:rsidRPr="00D7523E" w:rsidRDefault="00D7523E" w:rsidP="00D7523E">
            <w:pPr>
              <w:tabs>
                <w:tab w:val="right" w:leader="dot" w:pos="9356"/>
              </w:tabs>
              <w:kinsoku/>
              <w:overflowPunct/>
              <w:autoSpaceDE/>
              <w:autoSpaceDN/>
              <w:adjustRightInd/>
              <w:snapToGrid/>
              <w:spacing w:before="60" w:after="60" w:line="220" w:lineRule="atLeast"/>
              <w:ind w:left="284" w:right="57"/>
              <w:rPr>
                <w:rFonts w:eastAsia="Times New Roman"/>
                <w:sz w:val="18"/>
                <w:szCs w:val="18"/>
                <w:lang w:val="fr-FR"/>
              </w:rPr>
            </w:pPr>
            <w:r w:rsidRPr="00D7523E">
              <w:rPr>
                <w:rFonts w:eastAsia="Times New Roman"/>
                <w:sz w:val="18"/>
                <w:szCs w:val="18"/>
                <w:lang w:val="fr-FR"/>
              </w:rPr>
              <w:t>2</w:t>
            </w: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1892"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r>
      <w:tr w:rsidR="00D7523E" w:rsidRPr="00D7523E" w:rsidTr="008E3B10">
        <w:tc>
          <w:tcPr>
            <w:tcW w:w="1871" w:type="dxa"/>
            <w:shd w:val="clear" w:color="auto" w:fill="auto"/>
          </w:tcPr>
          <w:p w:rsidR="00D7523E" w:rsidRPr="00D7523E" w:rsidRDefault="00D7523E" w:rsidP="00D7523E">
            <w:pPr>
              <w:tabs>
                <w:tab w:val="right" w:leader="dot" w:pos="9356"/>
              </w:tabs>
              <w:kinsoku/>
              <w:overflowPunct/>
              <w:autoSpaceDE/>
              <w:autoSpaceDN/>
              <w:adjustRightInd/>
              <w:snapToGrid/>
              <w:spacing w:before="60" w:after="60" w:line="220" w:lineRule="atLeast"/>
              <w:ind w:left="284" w:right="57"/>
              <w:rPr>
                <w:rFonts w:eastAsia="Times New Roman"/>
                <w:sz w:val="18"/>
                <w:szCs w:val="18"/>
                <w:lang w:val="fr-FR"/>
              </w:rPr>
            </w:pPr>
            <w:r w:rsidRPr="00D7523E">
              <w:rPr>
                <w:rFonts w:eastAsia="Times New Roman"/>
                <w:sz w:val="18"/>
                <w:szCs w:val="18"/>
                <w:lang w:val="fr-FR"/>
              </w:rPr>
              <w:t>3</w:t>
            </w: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1892"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r>
      <w:tr w:rsidR="00D7523E" w:rsidRPr="00D7523E" w:rsidTr="008E3B10">
        <w:tc>
          <w:tcPr>
            <w:tcW w:w="1871" w:type="dxa"/>
            <w:shd w:val="clear" w:color="auto" w:fill="auto"/>
          </w:tcPr>
          <w:p w:rsidR="00D7523E" w:rsidRPr="00D7523E" w:rsidRDefault="00D7523E" w:rsidP="00D7523E">
            <w:pPr>
              <w:tabs>
                <w:tab w:val="right" w:leader="dot" w:pos="9356"/>
              </w:tabs>
              <w:kinsoku/>
              <w:overflowPunct/>
              <w:autoSpaceDE/>
              <w:autoSpaceDN/>
              <w:adjustRightInd/>
              <w:snapToGrid/>
              <w:spacing w:before="60" w:after="60" w:line="220" w:lineRule="atLeast"/>
              <w:ind w:left="284" w:right="57"/>
              <w:rPr>
                <w:rFonts w:eastAsia="Times New Roman"/>
                <w:sz w:val="18"/>
                <w:szCs w:val="18"/>
                <w:lang w:val="fr-FR"/>
              </w:rPr>
            </w:pPr>
            <w:r w:rsidRPr="00D7523E">
              <w:rPr>
                <w:rFonts w:eastAsia="Times New Roman"/>
                <w:sz w:val="18"/>
                <w:szCs w:val="18"/>
                <w:lang w:val="fr-FR"/>
              </w:rPr>
              <w:t>4, 5, autres</w:t>
            </w: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1892"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r>
      <w:tr w:rsidR="00D7523E" w:rsidRPr="00D7523E" w:rsidTr="008E3B10">
        <w:tc>
          <w:tcPr>
            <w:tcW w:w="1871" w:type="dxa"/>
            <w:shd w:val="clear" w:color="auto" w:fill="auto"/>
          </w:tcPr>
          <w:p w:rsidR="00D7523E" w:rsidRPr="00D7523E" w:rsidRDefault="00D7523E" w:rsidP="00D7523E">
            <w:pPr>
              <w:tabs>
                <w:tab w:val="right" w:leader="dot" w:pos="9356"/>
              </w:tabs>
              <w:kinsoku/>
              <w:overflowPunct/>
              <w:autoSpaceDE/>
              <w:autoSpaceDN/>
              <w:adjustRightInd/>
              <w:snapToGrid/>
              <w:spacing w:before="60" w:after="60" w:line="220" w:lineRule="atLeast"/>
              <w:ind w:left="57" w:right="57"/>
              <w:rPr>
                <w:rFonts w:eastAsia="Times New Roman"/>
                <w:sz w:val="18"/>
                <w:szCs w:val="18"/>
                <w:lang w:val="fr-FR"/>
              </w:rPr>
            </w:pPr>
            <w:r w:rsidRPr="00D7523E">
              <w:rPr>
                <w:rFonts w:eastAsia="Times New Roman"/>
                <w:sz w:val="18"/>
                <w:szCs w:val="18"/>
                <w:lang w:val="fr-FR"/>
              </w:rPr>
              <w:t>Minimum pour CVT</w:t>
            </w: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1892"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r>
      <w:tr w:rsidR="00D7523E" w:rsidRPr="00D7523E" w:rsidTr="008E3B10">
        <w:tc>
          <w:tcPr>
            <w:tcW w:w="1871" w:type="dxa"/>
            <w:shd w:val="clear" w:color="auto" w:fill="auto"/>
          </w:tcPr>
          <w:p w:rsidR="00D7523E" w:rsidRPr="00D7523E" w:rsidRDefault="00D7523E" w:rsidP="00D7523E">
            <w:pPr>
              <w:tabs>
                <w:tab w:val="right" w:leader="dot" w:pos="9356"/>
              </w:tabs>
              <w:kinsoku/>
              <w:overflowPunct/>
              <w:autoSpaceDE/>
              <w:autoSpaceDN/>
              <w:adjustRightInd/>
              <w:snapToGrid/>
              <w:spacing w:before="60" w:after="60" w:line="220" w:lineRule="atLeast"/>
              <w:ind w:left="57" w:right="57"/>
              <w:rPr>
                <w:rFonts w:eastAsia="Times New Roman"/>
                <w:sz w:val="18"/>
                <w:szCs w:val="18"/>
                <w:lang w:val="fr-FR"/>
              </w:rPr>
            </w:pPr>
            <w:r w:rsidRPr="00D7523E">
              <w:rPr>
                <w:rFonts w:eastAsia="Times New Roman"/>
                <w:sz w:val="18"/>
                <w:szCs w:val="18"/>
                <w:lang w:val="fr-FR"/>
              </w:rPr>
              <w:t>Marche arrière</w:t>
            </w: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2371"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c>
          <w:tcPr>
            <w:tcW w:w="1892" w:type="dxa"/>
            <w:shd w:val="clear" w:color="auto" w:fill="auto"/>
          </w:tcPr>
          <w:p w:rsidR="00D7523E" w:rsidRPr="00D7523E" w:rsidRDefault="00D7523E" w:rsidP="00D7523E">
            <w:pPr>
              <w:kinsoku/>
              <w:overflowPunct/>
              <w:autoSpaceDE/>
              <w:autoSpaceDN/>
              <w:adjustRightInd/>
              <w:snapToGrid/>
              <w:spacing w:before="60" w:after="60" w:line="220" w:lineRule="atLeast"/>
              <w:rPr>
                <w:rFonts w:eastAsia="Times New Roman"/>
                <w:sz w:val="18"/>
                <w:szCs w:val="18"/>
                <w:lang w:val="fr-FR"/>
              </w:rPr>
            </w:pPr>
          </w:p>
        </w:tc>
      </w:tr>
    </w:tbl>
    <w:p w:rsidR="00D7523E" w:rsidRPr="00D7523E" w:rsidRDefault="00D7523E" w:rsidP="00D7523E">
      <w:pPr>
        <w:pStyle w:val="SingleTxtG"/>
        <w:tabs>
          <w:tab w:val="right" w:leader="dot" w:pos="8505"/>
        </w:tabs>
        <w:spacing w:before="120"/>
        <w:ind w:left="2552" w:hanging="1418"/>
        <w:jc w:val="left"/>
        <w:rPr>
          <w:rFonts w:eastAsia="Times New Roman"/>
          <w:lang w:val="fr-FR"/>
        </w:rPr>
      </w:pPr>
      <w:r w:rsidRPr="00D7523E">
        <w:rPr>
          <w:rFonts w:eastAsia="Times New Roman"/>
          <w:lang w:val="fr-FR"/>
        </w:rPr>
        <w:t>6.</w:t>
      </w:r>
      <w:r w:rsidRPr="00D7523E">
        <w:rPr>
          <w:rFonts w:eastAsia="Times New Roman"/>
          <w:lang w:val="fr-FR"/>
        </w:rPr>
        <w:tab/>
        <w:t>Suspension</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w:t>
      </w:r>
      <w:r w:rsidRPr="00D7523E">
        <w:rPr>
          <w:rFonts w:eastAsia="Times New Roman"/>
          <w:lang w:val="fr-FR"/>
        </w:rPr>
        <w:tab/>
        <w:t>Pneumatiques et roues</w:t>
      </w:r>
      <w:r w:rsidRPr="00D7523E">
        <w:rPr>
          <w:rFonts w:eastAsia="Times New Roman"/>
          <w:lang w:val="fr-FR"/>
        </w:rPr>
        <w:tab/>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6.6.1</w:t>
      </w:r>
      <w:r w:rsidRPr="00D7523E">
        <w:rPr>
          <w:rFonts w:eastAsia="Times New Roman"/>
          <w:lang w:val="fr-FR"/>
        </w:rPr>
        <w:tab/>
        <w:t>Combinaison(s) pneumatiques/roues</w:t>
      </w:r>
    </w:p>
    <w:p w:rsidR="00D7523E" w:rsidRPr="00D7523E" w:rsidRDefault="00187F88" w:rsidP="00187F88">
      <w:pPr>
        <w:pStyle w:val="SingleTxtG"/>
        <w:tabs>
          <w:tab w:val="right" w:leader="dot" w:pos="8505"/>
        </w:tabs>
        <w:ind w:left="2552"/>
        <w:jc w:val="left"/>
        <w:rPr>
          <w:rFonts w:eastAsia="Times New Roman"/>
          <w:lang w:val="fr-FR"/>
        </w:rPr>
      </w:pPr>
      <w:r>
        <w:rPr>
          <w:rFonts w:eastAsia="Times New Roman"/>
          <w:lang w:val="fr-FR"/>
        </w:rPr>
        <w:t>a)</w:t>
      </w:r>
      <w:r>
        <w:rPr>
          <w:rFonts w:eastAsia="Times New Roman"/>
          <w:lang w:val="fr-FR"/>
        </w:rPr>
        <w:tab/>
      </w:r>
      <w:r w:rsidR="00D7523E" w:rsidRPr="00D7523E">
        <w:rPr>
          <w:rFonts w:eastAsia="Times New Roman"/>
          <w:lang w:val="fr-FR"/>
        </w:rPr>
        <w:tab/>
      </w:r>
    </w:p>
    <w:p w:rsidR="00D7523E" w:rsidRPr="00D7523E" w:rsidRDefault="00D7523E" w:rsidP="000E5411">
      <w:pPr>
        <w:pStyle w:val="SingleTxtG"/>
        <w:tabs>
          <w:tab w:val="right" w:leader="dot" w:pos="8505"/>
        </w:tabs>
        <w:ind w:left="2552"/>
        <w:jc w:val="left"/>
        <w:rPr>
          <w:rFonts w:eastAsia="Times New Roman"/>
          <w:lang w:val="fr-FR"/>
        </w:rPr>
      </w:pPr>
      <w:r w:rsidRPr="00D7523E">
        <w:rPr>
          <w:rFonts w:eastAsia="Times New Roman"/>
          <w:lang w:val="fr-FR"/>
        </w:rPr>
        <w:t>Pour tous les pneumatiques, indiquer la désignation des dimensions, l</w:t>
      </w:r>
      <w:r w:rsidR="00DB4C2D">
        <w:rPr>
          <w:rFonts w:eastAsia="Times New Roman"/>
          <w:lang w:val="fr-FR"/>
        </w:rPr>
        <w:t>’</w:t>
      </w:r>
      <w:r w:rsidRPr="00D7523E">
        <w:rPr>
          <w:rFonts w:eastAsia="Times New Roman"/>
          <w:lang w:val="fr-FR"/>
        </w:rPr>
        <w:t>indice de capacité de charge, le symbole de catégorie de vitesse;</w:t>
      </w:r>
    </w:p>
    <w:p w:rsidR="00D7523E" w:rsidRPr="00D7523E" w:rsidRDefault="00D7523E" w:rsidP="00187F88">
      <w:pPr>
        <w:pStyle w:val="SingleTxtG"/>
        <w:tabs>
          <w:tab w:val="right" w:leader="dot" w:pos="8505"/>
        </w:tabs>
        <w:ind w:left="2552"/>
        <w:jc w:val="left"/>
        <w:rPr>
          <w:rFonts w:eastAsia="Times New Roman"/>
          <w:lang w:val="fr-FR"/>
        </w:rPr>
      </w:pPr>
      <w:r w:rsidRPr="00D7523E">
        <w:rPr>
          <w:rFonts w:eastAsia="Times New Roman"/>
          <w:lang w:val="fr-FR"/>
        </w:rPr>
        <w:t>b)</w:t>
      </w:r>
      <w:r w:rsidRPr="00D7523E">
        <w:rPr>
          <w:rFonts w:eastAsia="Times New Roman"/>
          <w:lang w:val="fr-FR"/>
        </w:rPr>
        <w:tab/>
      </w:r>
      <w:r w:rsidRPr="00D7523E">
        <w:rPr>
          <w:rFonts w:eastAsia="Times New Roman"/>
          <w:lang w:val="fr-FR"/>
        </w:rPr>
        <w:tab/>
      </w:r>
    </w:p>
    <w:p w:rsidR="00D7523E" w:rsidRPr="00D7523E" w:rsidRDefault="00D7523E" w:rsidP="000E5411">
      <w:pPr>
        <w:pStyle w:val="SingleTxtG"/>
        <w:tabs>
          <w:tab w:val="right" w:leader="dot" w:pos="8505"/>
        </w:tabs>
        <w:ind w:left="2552"/>
        <w:jc w:val="left"/>
        <w:rPr>
          <w:rFonts w:eastAsia="Times New Roman"/>
          <w:lang w:val="fr-FR"/>
        </w:rPr>
      </w:pPr>
      <w:r w:rsidRPr="00D7523E">
        <w:rPr>
          <w:rFonts w:eastAsia="Times New Roman"/>
          <w:lang w:val="fr-FR"/>
        </w:rPr>
        <w:t xml:space="preserve">Pour les pneumatiques de catégorie Z </w:t>
      </w:r>
      <w:r w:rsidR="000E5411">
        <w:rPr>
          <w:rFonts w:eastAsia="Times New Roman"/>
          <w:lang w:val="fr-FR"/>
        </w:rPr>
        <w:t>destinés à être montés sur des </w:t>
      </w:r>
      <w:r w:rsidRPr="00D7523E">
        <w:rPr>
          <w:rFonts w:eastAsia="Times New Roman"/>
          <w:lang w:val="fr-FR"/>
        </w:rPr>
        <w:t>véhicules dont la vitesse maximal</w:t>
      </w:r>
      <w:r w:rsidR="000E5411">
        <w:rPr>
          <w:rFonts w:eastAsia="Times New Roman"/>
          <w:lang w:val="fr-FR"/>
        </w:rPr>
        <w:t>e dépasse 300 km/h, fournir les </w:t>
      </w:r>
      <w:r w:rsidRPr="00D7523E">
        <w:rPr>
          <w:rFonts w:eastAsia="Times New Roman"/>
          <w:lang w:val="fr-FR"/>
        </w:rPr>
        <w:t>renseignements équivalents</w:t>
      </w:r>
      <w:r w:rsidR="000E5411">
        <w:rPr>
          <w:rFonts w:eastAsia="Times New Roman"/>
          <w:lang w:val="fr-FR"/>
        </w:rPr>
        <w:t>; indiquer la ou les dimensions</w:t>
      </w:r>
      <w:r w:rsidR="000E5411">
        <w:rPr>
          <w:rFonts w:eastAsia="Times New Roman"/>
          <w:lang w:val="fr-FR"/>
        </w:rPr>
        <w:br/>
      </w:r>
      <w:r w:rsidRPr="00D7523E">
        <w:rPr>
          <w:rFonts w:eastAsia="Times New Roman"/>
          <w:lang w:val="fr-FR"/>
        </w:rPr>
        <w:t>de la jante et le déport éventuel.</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6.6.1.1</w:t>
      </w:r>
      <w:r w:rsidRPr="00D7523E">
        <w:rPr>
          <w:rFonts w:eastAsia="Times New Roman"/>
          <w:lang w:val="fr-FR"/>
        </w:rPr>
        <w:tab/>
        <w:t>Essieux</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6.6.1.1.1</w:t>
      </w:r>
      <w:r w:rsidRPr="00D7523E">
        <w:rPr>
          <w:rFonts w:eastAsia="Times New Roman"/>
          <w:lang w:val="fr-FR"/>
        </w:rPr>
        <w:tab/>
        <w:t>Essieu n</w:t>
      </w:r>
      <w:r w:rsidRPr="00187F88">
        <w:rPr>
          <w:rFonts w:eastAsia="Times New Roman"/>
          <w:vertAlign w:val="superscript"/>
          <w:lang w:val="fr-FR"/>
        </w:rPr>
        <w:t>o</w:t>
      </w:r>
      <w:r w:rsidRPr="00D7523E">
        <w:rPr>
          <w:rFonts w:eastAsia="Times New Roman"/>
          <w:lang w:val="fr-FR"/>
        </w:rPr>
        <w:t> 1:</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6.6.1.1.2</w:t>
      </w:r>
      <w:r w:rsidRPr="00D7523E">
        <w:rPr>
          <w:rFonts w:eastAsia="Times New Roman"/>
          <w:lang w:val="fr-FR"/>
        </w:rPr>
        <w:tab/>
        <w:t>Essieu n</w:t>
      </w:r>
      <w:r w:rsidRPr="00187F88">
        <w:rPr>
          <w:rFonts w:eastAsia="Times New Roman"/>
          <w:vertAlign w:val="superscript"/>
          <w:lang w:val="fr-FR"/>
        </w:rPr>
        <w:t>o</w:t>
      </w:r>
      <w:r w:rsidRPr="00D7523E">
        <w:rPr>
          <w:rFonts w:eastAsia="Times New Roman"/>
          <w:lang w:val="fr-FR"/>
        </w:rPr>
        <w:t> 2:</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6.6.1.1.3</w:t>
      </w:r>
      <w:r w:rsidRPr="00D7523E">
        <w:rPr>
          <w:rFonts w:eastAsia="Times New Roman"/>
          <w:lang w:val="fr-FR"/>
        </w:rPr>
        <w:tab/>
        <w:t>Essieu n</w:t>
      </w:r>
      <w:r w:rsidRPr="00187F88">
        <w:rPr>
          <w:rFonts w:eastAsia="Times New Roman"/>
          <w:vertAlign w:val="superscript"/>
          <w:lang w:val="fr-FR"/>
        </w:rPr>
        <w:t>o</w:t>
      </w:r>
      <w:r w:rsidRPr="00D7523E">
        <w:rPr>
          <w:rFonts w:eastAsia="Times New Roman"/>
          <w:lang w:val="fr-FR"/>
        </w:rPr>
        <w:t> 3:</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6.6.1.1.4</w:t>
      </w:r>
      <w:r w:rsidRPr="00D7523E">
        <w:rPr>
          <w:rFonts w:eastAsia="Times New Roman"/>
          <w:lang w:val="fr-FR"/>
        </w:rPr>
        <w:tab/>
        <w:t>Essieu n</w:t>
      </w:r>
      <w:r w:rsidRPr="00187F88">
        <w:rPr>
          <w:rFonts w:eastAsia="Times New Roman"/>
          <w:vertAlign w:val="superscript"/>
          <w:lang w:val="fr-FR"/>
        </w:rPr>
        <w:t>o</w:t>
      </w:r>
      <w:r w:rsidRPr="00D7523E">
        <w:rPr>
          <w:rFonts w:eastAsia="Times New Roman"/>
          <w:lang w:val="fr-FR"/>
        </w:rPr>
        <w:t> 4:</w:t>
      </w:r>
      <w:r w:rsidRPr="00D7523E">
        <w:rPr>
          <w:rFonts w:eastAsia="Times New Roman"/>
          <w:lang w:val="fr-FR"/>
        </w:rPr>
        <w:tab/>
        <w:t>etc.</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6.6.2</w:t>
      </w:r>
      <w:r w:rsidRPr="00D7523E">
        <w:rPr>
          <w:rFonts w:eastAsia="Times New Roman"/>
          <w:lang w:val="fr-FR"/>
        </w:rPr>
        <w:tab/>
        <w:t>Limite supérieure et limite inférieure des rayons de roulement</w:t>
      </w:r>
      <w:r w:rsidR="000E5411">
        <w:rPr>
          <w:rStyle w:val="Appelnotedebasdep"/>
          <w:rFonts w:eastAsia="Times New Roman"/>
        </w:rPr>
        <w:footnoteReference w:id="24"/>
      </w:r>
      <w:r w:rsidRPr="00D7523E">
        <w:rPr>
          <w:rFonts w:eastAsia="Times New Roman"/>
          <w:lang w:val="fr-FR"/>
        </w:rPr>
        <w:tab/>
      </w:r>
      <w:r w:rsidR="000E5411">
        <w:rPr>
          <w:rFonts w:eastAsia="Times New Roman"/>
          <w:lang w:val="fr-FR"/>
        </w:rPr>
        <w:br/>
      </w:r>
      <w:r w:rsidR="000E5411">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6.6.2.1</w:t>
      </w:r>
      <w:r w:rsidRPr="00D7523E">
        <w:rPr>
          <w:rFonts w:eastAsia="Times New Roman"/>
          <w:lang w:val="fr-FR"/>
        </w:rPr>
        <w:tab/>
        <w:t>Essieux</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6.6.2.1.1</w:t>
      </w:r>
      <w:r w:rsidRPr="00D7523E">
        <w:rPr>
          <w:rFonts w:eastAsia="Times New Roman"/>
          <w:lang w:val="fr-FR"/>
        </w:rPr>
        <w:tab/>
        <w:t>Essieu n</w:t>
      </w:r>
      <w:r w:rsidRPr="00D7523E">
        <w:rPr>
          <w:rFonts w:eastAsia="Times New Roman"/>
          <w:vertAlign w:val="superscript"/>
          <w:lang w:val="fr-FR"/>
        </w:rPr>
        <w:t>o</w:t>
      </w:r>
      <w:r w:rsidRPr="00D7523E">
        <w:rPr>
          <w:rFonts w:eastAsia="Times New Roman"/>
          <w:lang w:val="fr-FR"/>
        </w:rPr>
        <w:t> 1:</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6.6.2.1.2</w:t>
      </w:r>
      <w:r w:rsidRPr="00D7523E">
        <w:rPr>
          <w:rFonts w:eastAsia="Times New Roman"/>
          <w:lang w:val="fr-FR"/>
        </w:rPr>
        <w:tab/>
        <w:t>Essieu n</w:t>
      </w:r>
      <w:r w:rsidRPr="00D7523E">
        <w:rPr>
          <w:rFonts w:eastAsia="Times New Roman"/>
          <w:vertAlign w:val="superscript"/>
          <w:lang w:val="fr-FR"/>
        </w:rPr>
        <w:t>o</w:t>
      </w:r>
      <w:r w:rsidRPr="00D7523E">
        <w:rPr>
          <w:rFonts w:eastAsia="Times New Roman"/>
          <w:lang w:val="fr-FR"/>
        </w:rPr>
        <w:t> 2:</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6.6.2.1.3</w:t>
      </w:r>
      <w:r w:rsidRPr="00D7523E">
        <w:rPr>
          <w:rFonts w:eastAsia="Times New Roman"/>
          <w:lang w:val="fr-FR"/>
        </w:rPr>
        <w:tab/>
        <w:t>Essieu n</w:t>
      </w:r>
      <w:r w:rsidRPr="00D7523E">
        <w:rPr>
          <w:rFonts w:eastAsia="Times New Roman"/>
          <w:vertAlign w:val="superscript"/>
          <w:lang w:val="fr-FR"/>
        </w:rPr>
        <w:t>o</w:t>
      </w:r>
      <w:r w:rsidRPr="00D7523E">
        <w:rPr>
          <w:rFonts w:eastAsia="Times New Roman"/>
          <w:lang w:val="fr-FR"/>
        </w:rPr>
        <w:t> 3:</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6.6.2.1.4</w:t>
      </w:r>
      <w:r w:rsidRPr="00D7523E">
        <w:rPr>
          <w:rFonts w:eastAsia="Times New Roman"/>
          <w:lang w:val="fr-FR"/>
        </w:rPr>
        <w:tab/>
        <w:t>Essieu n</w:t>
      </w:r>
      <w:r w:rsidRPr="00D7523E">
        <w:rPr>
          <w:rFonts w:eastAsia="Times New Roman"/>
          <w:vertAlign w:val="superscript"/>
          <w:lang w:val="fr-FR"/>
        </w:rPr>
        <w:t>o</w:t>
      </w:r>
      <w:r w:rsidRPr="00D7523E">
        <w:rPr>
          <w:rFonts w:eastAsia="Times New Roman"/>
          <w:lang w:val="fr-FR"/>
        </w:rPr>
        <w:t> 4:</w:t>
      </w:r>
      <w:r w:rsidRPr="00D7523E">
        <w:rPr>
          <w:rFonts w:eastAsia="Times New Roman"/>
          <w:lang w:val="fr-FR"/>
        </w:rPr>
        <w:tab/>
        <w:t>etc.</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6.6.3</w:t>
      </w:r>
      <w:r w:rsidRPr="00D7523E">
        <w:rPr>
          <w:rFonts w:eastAsia="Times New Roman"/>
          <w:lang w:val="fr-FR"/>
        </w:rPr>
        <w:tab/>
        <w:t>Pression(s) des pneumatiques recommandée(s) par le constructeur:</w:t>
      </w:r>
      <w:r w:rsidRPr="00D7523E">
        <w:rPr>
          <w:rFonts w:eastAsia="Times New Roman"/>
          <w:lang w:val="fr-FR"/>
        </w:rPr>
        <w:tab/>
        <w:t>kPa</w:t>
      </w:r>
    </w:p>
    <w:p w:rsidR="00D7523E" w:rsidRPr="00D7523E" w:rsidRDefault="00D7523E" w:rsidP="00D7523E">
      <w:pPr>
        <w:pStyle w:val="SingleTxtG"/>
        <w:keepNext/>
        <w:tabs>
          <w:tab w:val="right" w:leader="dot" w:pos="8505"/>
        </w:tabs>
        <w:ind w:left="2552" w:hanging="1418"/>
        <w:jc w:val="left"/>
        <w:rPr>
          <w:rFonts w:eastAsia="Times New Roman"/>
          <w:lang w:val="fr-FR"/>
        </w:rPr>
      </w:pPr>
      <w:r w:rsidRPr="00D7523E">
        <w:rPr>
          <w:rFonts w:eastAsia="Times New Roman"/>
          <w:lang w:val="fr-FR"/>
        </w:rPr>
        <w:lastRenderedPageBreak/>
        <w:t>9.</w:t>
      </w:r>
      <w:r w:rsidRPr="00D7523E">
        <w:rPr>
          <w:rFonts w:eastAsia="Times New Roman"/>
          <w:lang w:val="fr-FR"/>
        </w:rPr>
        <w:tab/>
        <w:t>Carrosserie</w:t>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9.1</w:t>
      </w:r>
      <w:r w:rsidRPr="00D7523E">
        <w:rPr>
          <w:rFonts w:eastAsia="Times New Roman"/>
          <w:lang w:val="fr-FR"/>
        </w:rPr>
        <w:tab/>
        <w:t>Type de carrosserie</w:t>
      </w:r>
      <w:r w:rsidR="00FD7295">
        <w:rPr>
          <w:rStyle w:val="Appelnotedebasdep"/>
          <w:rFonts w:eastAsia="Times New Roman"/>
        </w:rPr>
        <w:footnoteReference w:id="25"/>
      </w:r>
      <w:r w:rsidRPr="00D7523E">
        <w:rPr>
          <w:rFonts w:eastAsia="Times New Roman"/>
          <w:lang w:val="fr-FR"/>
        </w:rPr>
        <w:t>:</w:t>
      </w:r>
      <w:r w:rsidRPr="00D7523E">
        <w:rPr>
          <w:rFonts w:eastAsia="Times New Roman"/>
          <w:lang w:val="fr-FR"/>
        </w:rPr>
        <w:tab/>
      </w:r>
    </w:p>
    <w:p w:rsidR="00D7523E" w:rsidRPr="00D7523E"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9.10.3</w:t>
      </w:r>
      <w:r w:rsidRPr="00D7523E">
        <w:rPr>
          <w:rFonts w:eastAsia="Times New Roman"/>
          <w:lang w:val="fr-FR"/>
        </w:rPr>
        <w:tab/>
        <w:t>Sièges</w:t>
      </w:r>
    </w:p>
    <w:p w:rsidR="00DB4C2D" w:rsidRDefault="00D7523E" w:rsidP="00D7523E">
      <w:pPr>
        <w:pStyle w:val="SingleTxtG"/>
        <w:tabs>
          <w:tab w:val="right" w:leader="dot" w:pos="8505"/>
        </w:tabs>
        <w:ind w:left="2552" w:hanging="1418"/>
        <w:jc w:val="left"/>
        <w:rPr>
          <w:rFonts w:eastAsia="Times New Roman"/>
          <w:lang w:val="fr-FR"/>
        </w:rPr>
      </w:pPr>
      <w:r w:rsidRPr="00D7523E">
        <w:rPr>
          <w:rFonts w:eastAsia="Times New Roman"/>
          <w:lang w:val="fr-FR"/>
        </w:rPr>
        <w:t>9.10.3.1</w:t>
      </w:r>
      <w:r w:rsidRPr="00D7523E">
        <w:rPr>
          <w:rFonts w:eastAsia="Times New Roman"/>
          <w:lang w:val="fr-FR"/>
        </w:rPr>
        <w:tab/>
        <w:t>Nombre:</w:t>
      </w:r>
      <w:r w:rsidRPr="00D7523E">
        <w:rPr>
          <w:rFonts w:eastAsia="Times New Roman"/>
          <w:lang w:val="fr-FR"/>
        </w:rPr>
        <w:tab/>
      </w:r>
    </w:p>
    <w:p w:rsidR="00397EA6" w:rsidRDefault="00397EA6" w:rsidP="00D7523E">
      <w:pPr>
        <w:pStyle w:val="SingleTxtG"/>
        <w:tabs>
          <w:tab w:val="right" w:leader="dot" w:pos="8505"/>
        </w:tabs>
        <w:ind w:left="2552" w:hanging="1418"/>
        <w:jc w:val="left"/>
      </w:pPr>
    </w:p>
    <w:p w:rsidR="00A27235" w:rsidRDefault="00A27235" w:rsidP="00D7523E">
      <w:pPr>
        <w:pStyle w:val="SingleTxtG"/>
        <w:tabs>
          <w:tab w:val="right" w:leader="dot" w:pos="8505"/>
        </w:tabs>
        <w:ind w:left="2552" w:hanging="1418"/>
        <w:jc w:val="left"/>
        <w:sectPr w:rsidR="00A27235" w:rsidSect="00C46DB4">
          <w:headerReference w:type="even" r:id="rId56"/>
          <w:headerReference w:type="default" r:id="rId57"/>
          <w:footnotePr>
            <w:numRestart w:val="eachSect"/>
          </w:footnotePr>
          <w:endnotePr>
            <w:numFmt w:val="decimal"/>
          </w:endnotePr>
          <w:pgSz w:w="11907" w:h="16840" w:code="9"/>
          <w:pgMar w:top="1701" w:right="1134" w:bottom="2268" w:left="1134" w:header="794" w:footer="1701" w:gutter="0"/>
          <w:cols w:space="720"/>
          <w:docGrid w:linePitch="272"/>
        </w:sectPr>
      </w:pPr>
    </w:p>
    <w:p w:rsidR="00B07A83" w:rsidRPr="00B07A83" w:rsidRDefault="00B07A83" w:rsidP="003314B0">
      <w:pPr>
        <w:pStyle w:val="HChG"/>
        <w:rPr>
          <w:lang w:val="fr-FR"/>
        </w:rPr>
      </w:pPr>
      <w:r w:rsidRPr="00B07A83">
        <w:rPr>
          <w:lang w:val="fr-FR"/>
        </w:rPr>
        <w:lastRenderedPageBreak/>
        <w:t>Annexe 1 − Appendice 1</w:t>
      </w:r>
    </w:p>
    <w:p w:rsidR="00B07A83" w:rsidRPr="00B07A83" w:rsidRDefault="00B07A83" w:rsidP="003314B0">
      <w:pPr>
        <w:pStyle w:val="HChG"/>
        <w:rPr>
          <w:lang w:val="fr-FR"/>
        </w:rPr>
      </w:pPr>
      <w:r w:rsidRPr="00B07A83">
        <w:rPr>
          <w:lang w:val="fr-FR"/>
        </w:rPr>
        <w:tab/>
      </w:r>
      <w:r w:rsidRPr="00B07A83">
        <w:rPr>
          <w:lang w:val="fr-FR"/>
        </w:rPr>
        <w:tab/>
        <w:t>Renseignements sur les conditions d</w:t>
      </w:r>
      <w:r w:rsidR="00DB4C2D">
        <w:rPr>
          <w:lang w:val="fr-FR"/>
        </w:rPr>
        <w:t>’</w:t>
      </w:r>
      <w:r w:rsidRPr="00B07A83">
        <w:rPr>
          <w:lang w:val="fr-FR"/>
        </w:rPr>
        <w:t>essai</w:t>
      </w:r>
    </w:p>
    <w:p w:rsidR="00B07A83" w:rsidRPr="00B07A83" w:rsidRDefault="00B07A83" w:rsidP="003314B0">
      <w:pPr>
        <w:pStyle w:val="SingleTxtG"/>
        <w:ind w:left="2268" w:hanging="1134"/>
        <w:rPr>
          <w:lang w:val="fr-FR"/>
        </w:rPr>
      </w:pPr>
      <w:r w:rsidRPr="00B07A83">
        <w:rPr>
          <w:lang w:val="fr-FR"/>
        </w:rPr>
        <w:t>1.</w:t>
      </w:r>
      <w:r w:rsidRPr="00B07A83">
        <w:rPr>
          <w:lang w:val="fr-FR"/>
        </w:rPr>
        <w:tab/>
        <w:t>Bougies</w:t>
      </w:r>
    </w:p>
    <w:p w:rsidR="00B07A83" w:rsidRPr="00B07A83" w:rsidRDefault="00B07A83" w:rsidP="003314B0">
      <w:pPr>
        <w:pStyle w:val="SingleTxtG"/>
        <w:tabs>
          <w:tab w:val="right" w:leader="dot" w:pos="8505"/>
        </w:tabs>
        <w:ind w:left="2268" w:hanging="1134"/>
        <w:rPr>
          <w:rFonts w:eastAsia="Times New Roman"/>
          <w:lang w:val="fr-FR"/>
        </w:rPr>
      </w:pPr>
      <w:r w:rsidRPr="00B07A83">
        <w:rPr>
          <w:rFonts w:eastAsia="Times New Roman"/>
          <w:lang w:val="fr-FR"/>
        </w:rPr>
        <w:t>1.1</w:t>
      </w:r>
      <w:r w:rsidRPr="00B07A83">
        <w:rPr>
          <w:rFonts w:eastAsia="Times New Roman"/>
          <w:lang w:val="fr-FR"/>
        </w:rPr>
        <w:tab/>
      </w:r>
      <w:r w:rsidRPr="00B07A83">
        <w:rPr>
          <w:lang w:val="fr-FR"/>
        </w:rPr>
        <w:t>Marque</w:t>
      </w:r>
      <w:r w:rsidRPr="00B07A83">
        <w:rPr>
          <w:rFonts w:eastAsia="Times New Roman"/>
          <w:lang w:val="fr-FR"/>
        </w:rPr>
        <w:t>:</w:t>
      </w:r>
      <w:r w:rsidRPr="00B07A83">
        <w:rPr>
          <w:rFonts w:eastAsia="Times New Roman"/>
          <w:lang w:val="fr-FR"/>
        </w:rPr>
        <w:tab/>
      </w:r>
    </w:p>
    <w:p w:rsidR="00B07A83" w:rsidRPr="00B07A83" w:rsidRDefault="00B07A83" w:rsidP="003314B0">
      <w:pPr>
        <w:pStyle w:val="SingleTxtG"/>
        <w:tabs>
          <w:tab w:val="right" w:leader="dot" w:pos="8505"/>
        </w:tabs>
        <w:ind w:left="2268" w:hanging="1134"/>
        <w:rPr>
          <w:rFonts w:eastAsia="Times New Roman"/>
          <w:lang w:val="fr-FR"/>
        </w:rPr>
      </w:pPr>
      <w:r w:rsidRPr="00B07A83">
        <w:rPr>
          <w:rFonts w:eastAsia="Times New Roman"/>
          <w:lang w:val="fr-FR"/>
        </w:rPr>
        <w:t>1.2</w:t>
      </w:r>
      <w:r w:rsidRPr="00B07A83">
        <w:rPr>
          <w:rFonts w:eastAsia="Times New Roman"/>
          <w:lang w:val="fr-FR"/>
        </w:rPr>
        <w:tab/>
        <w:t>Type:</w:t>
      </w:r>
      <w:r w:rsidRPr="00B07A83">
        <w:rPr>
          <w:rFonts w:eastAsia="Times New Roman"/>
          <w:lang w:val="fr-FR"/>
        </w:rPr>
        <w:tab/>
      </w:r>
    </w:p>
    <w:p w:rsidR="00B07A83" w:rsidRPr="00B07A83" w:rsidRDefault="00B07A83" w:rsidP="003314B0">
      <w:pPr>
        <w:pStyle w:val="SingleTxtG"/>
        <w:tabs>
          <w:tab w:val="right" w:leader="dot" w:pos="8505"/>
        </w:tabs>
        <w:ind w:left="2268" w:hanging="1134"/>
        <w:rPr>
          <w:rFonts w:eastAsia="Times New Roman"/>
          <w:lang w:val="fr-FR"/>
        </w:rPr>
      </w:pPr>
      <w:r w:rsidRPr="00B07A83">
        <w:rPr>
          <w:rFonts w:eastAsia="Times New Roman"/>
          <w:lang w:val="fr-FR"/>
        </w:rPr>
        <w:t>1.3</w:t>
      </w:r>
      <w:r w:rsidRPr="00B07A83">
        <w:rPr>
          <w:rFonts w:eastAsia="Times New Roman"/>
          <w:lang w:val="fr-FR"/>
        </w:rPr>
        <w:tab/>
        <w:t>Écartement des électrodes:</w:t>
      </w:r>
      <w:r w:rsidRPr="00B07A83">
        <w:rPr>
          <w:rFonts w:eastAsia="Times New Roman"/>
          <w:lang w:val="fr-FR"/>
        </w:rPr>
        <w:tab/>
      </w:r>
    </w:p>
    <w:p w:rsidR="00B07A83" w:rsidRPr="00B07A83" w:rsidRDefault="00B07A83" w:rsidP="003314B0">
      <w:pPr>
        <w:pStyle w:val="SingleTxtG"/>
        <w:ind w:left="2268" w:hanging="1134"/>
        <w:rPr>
          <w:rFonts w:eastAsia="Times New Roman"/>
          <w:lang w:val="fr-FR"/>
        </w:rPr>
      </w:pPr>
      <w:r w:rsidRPr="00B07A83">
        <w:rPr>
          <w:rFonts w:eastAsia="Times New Roman"/>
          <w:lang w:val="fr-FR"/>
        </w:rPr>
        <w:t>2.</w:t>
      </w:r>
      <w:r w:rsidRPr="00B07A83">
        <w:rPr>
          <w:rFonts w:eastAsia="Times New Roman"/>
          <w:lang w:val="fr-FR"/>
        </w:rPr>
        <w:tab/>
      </w:r>
      <w:r w:rsidRPr="00B07A83">
        <w:rPr>
          <w:lang w:val="fr-FR"/>
        </w:rPr>
        <w:t>Bobine</w:t>
      </w:r>
      <w:r w:rsidRPr="00B07A83">
        <w:rPr>
          <w:rFonts w:eastAsia="Times New Roman"/>
          <w:lang w:val="fr-FR"/>
        </w:rPr>
        <w:t xml:space="preserve"> d</w:t>
      </w:r>
      <w:r w:rsidR="00DB4C2D">
        <w:rPr>
          <w:rFonts w:eastAsia="Times New Roman"/>
          <w:lang w:val="fr-FR"/>
        </w:rPr>
        <w:t>’</w:t>
      </w:r>
      <w:r w:rsidRPr="00B07A83">
        <w:rPr>
          <w:rFonts w:eastAsia="Times New Roman"/>
          <w:lang w:val="fr-FR"/>
        </w:rPr>
        <w:t>allumage</w:t>
      </w:r>
    </w:p>
    <w:p w:rsidR="00B07A83" w:rsidRPr="00B07A83" w:rsidRDefault="00B07A83" w:rsidP="003314B0">
      <w:pPr>
        <w:pStyle w:val="SingleTxtG"/>
        <w:tabs>
          <w:tab w:val="right" w:leader="dot" w:pos="8505"/>
        </w:tabs>
        <w:ind w:left="2268" w:hanging="1134"/>
        <w:rPr>
          <w:rFonts w:eastAsia="Times New Roman"/>
          <w:lang w:val="fr-FR"/>
        </w:rPr>
      </w:pPr>
      <w:r w:rsidRPr="00B07A83">
        <w:rPr>
          <w:rFonts w:eastAsia="Times New Roman"/>
          <w:lang w:val="fr-FR"/>
        </w:rPr>
        <w:t>2.1</w:t>
      </w:r>
      <w:r w:rsidRPr="00B07A83">
        <w:rPr>
          <w:rFonts w:eastAsia="Times New Roman"/>
          <w:lang w:val="fr-FR"/>
        </w:rPr>
        <w:tab/>
        <w:t>Marque:</w:t>
      </w:r>
      <w:r w:rsidRPr="00B07A83">
        <w:rPr>
          <w:rFonts w:eastAsia="Times New Roman"/>
          <w:lang w:val="fr-FR"/>
        </w:rPr>
        <w:tab/>
      </w:r>
    </w:p>
    <w:p w:rsidR="00B07A83" w:rsidRPr="00B07A83" w:rsidRDefault="00B07A83" w:rsidP="003314B0">
      <w:pPr>
        <w:pStyle w:val="SingleTxtG"/>
        <w:tabs>
          <w:tab w:val="right" w:leader="dot" w:pos="8505"/>
        </w:tabs>
        <w:ind w:left="2268" w:hanging="1134"/>
        <w:rPr>
          <w:rFonts w:eastAsia="Times New Roman"/>
          <w:lang w:val="fr-FR"/>
        </w:rPr>
      </w:pPr>
      <w:r w:rsidRPr="00B07A83">
        <w:rPr>
          <w:rFonts w:eastAsia="Times New Roman"/>
          <w:lang w:val="fr-FR"/>
        </w:rPr>
        <w:t>2.2</w:t>
      </w:r>
      <w:r w:rsidRPr="00B07A83">
        <w:rPr>
          <w:rFonts w:eastAsia="Times New Roman"/>
          <w:lang w:val="fr-FR"/>
        </w:rPr>
        <w:tab/>
        <w:t>Type:</w:t>
      </w:r>
      <w:r w:rsidRPr="00B07A83">
        <w:rPr>
          <w:rFonts w:eastAsia="Times New Roman"/>
          <w:lang w:val="fr-FR"/>
        </w:rPr>
        <w:tab/>
      </w:r>
    </w:p>
    <w:p w:rsidR="00B07A83" w:rsidRPr="00B07A83" w:rsidRDefault="00B07A83" w:rsidP="003314B0">
      <w:pPr>
        <w:pStyle w:val="SingleTxtG"/>
        <w:ind w:left="2268" w:hanging="1134"/>
        <w:rPr>
          <w:rFonts w:eastAsia="Times New Roman"/>
          <w:lang w:val="fr-FR"/>
        </w:rPr>
      </w:pPr>
      <w:r w:rsidRPr="00B07A83">
        <w:rPr>
          <w:rFonts w:eastAsia="Times New Roman"/>
          <w:lang w:val="fr-FR"/>
        </w:rPr>
        <w:t>3.</w:t>
      </w:r>
      <w:r w:rsidRPr="00B07A83">
        <w:rPr>
          <w:rFonts w:eastAsia="Times New Roman"/>
          <w:lang w:val="fr-FR"/>
        </w:rPr>
        <w:tab/>
      </w:r>
      <w:r w:rsidRPr="00B07A83">
        <w:rPr>
          <w:lang w:val="fr-FR"/>
        </w:rPr>
        <w:t>Lubrifiant</w:t>
      </w:r>
      <w:r w:rsidRPr="00B07A83">
        <w:rPr>
          <w:rFonts w:eastAsia="Times New Roman"/>
          <w:lang w:val="fr-FR"/>
        </w:rPr>
        <w:t xml:space="preserve"> utilisé</w:t>
      </w:r>
    </w:p>
    <w:p w:rsidR="00B07A83" w:rsidRPr="00B07A83" w:rsidRDefault="00B07A83" w:rsidP="003314B0">
      <w:pPr>
        <w:pStyle w:val="SingleTxtG"/>
        <w:tabs>
          <w:tab w:val="right" w:leader="dot" w:pos="8505"/>
        </w:tabs>
        <w:ind w:left="2268" w:hanging="1134"/>
        <w:rPr>
          <w:rFonts w:eastAsia="Times New Roman"/>
          <w:lang w:val="fr-FR"/>
        </w:rPr>
      </w:pPr>
      <w:r w:rsidRPr="00B07A83">
        <w:rPr>
          <w:rFonts w:eastAsia="Times New Roman"/>
          <w:lang w:val="fr-FR"/>
        </w:rPr>
        <w:t>3.1</w:t>
      </w:r>
      <w:r w:rsidRPr="00B07A83">
        <w:rPr>
          <w:rFonts w:eastAsia="Times New Roman"/>
          <w:lang w:val="fr-FR"/>
        </w:rPr>
        <w:tab/>
      </w:r>
      <w:r w:rsidRPr="00B07A83">
        <w:rPr>
          <w:lang w:val="fr-FR"/>
        </w:rPr>
        <w:t>Marque</w:t>
      </w:r>
      <w:r w:rsidRPr="00B07A83">
        <w:rPr>
          <w:rFonts w:eastAsia="Times New Roman"/>
          <w:lang w:val="fr-FR"/>
        </w:rPr>
        <w:t>:</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3.2</w:t>
      </w:r>
      <w:r w:rsidRPr="00B07A83">
        <w:rPr>
          <w:rFonts w:eastAsia="Times New Roman"/>
          <w:lang w:val="fr-FR"/>
        </w:rPr>
        <w:tab/>
        <w:t xml:space="preserve">Type (indiquer la proportion </w:t>
      </w:r>
      <w:r w:rsidRPr="00B07A83">
        <w:rPr>
          <w:lang w:val="fr-FR"/>
        </w:rPr>
        <w:t>d</w:t>
      </w:r>
      <w:r w:rsidR="00DB4C2D">
        <w:rPr>
          <w:lang w:val="fr-FR"/>
        </w:rPr>
        <w:t>’</w:t>
      </w:r>
      <w:r w:rsidRPr="00B07A83">
        <w:rPr>
          <w:lang w:val="fr-FR"/>
        </w:rPr>
        <w:t>huile</w:t>
      </w:r>
      <w:r w:rsidRPr="00B07A83">
        <w:rPr>
          <w:rFonts w:eastAsia="Times New Roman"/>
          <w:lang w:val="fr-FR"/>
        </w:rPr>
        <w:t xml:space="preserve"> dans le mélange si le lubrifiant et le</w:t>
      </w:r>
      <w:r w:rsidRPr="00B07A83">
        <w:rPr>
          <w:rFonts w:eastAsia="Times New Roman"/>
          <w:b/>
          <w:lang w:val="fr-FR"/>
        </w:rPr>
        <w:t> </w:t>
      </w:r>
      <w:r w:rsidRPr="00B07A83">
        <w:rPr>
          <w:rFonts w:eastAsia="Times New Roman"/>
          <w:lang w:val="fr-FR"/>
        </w:rPr>
        <w:t>carburant sont mélangés):</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w:t>
      </w:r>
      <w:r w:rsidRPr="00B07A83">
        <w:rPr>
          <w:rFonts w:eastAsia="Times New Roman"/>
          <w:lang w:val="fr-FR"/>
        </w:rPr>
        <w:tab/>
        <w:t>Renseignements sur le réglage du banc pour la charge désirée (répéter les informations pour chaque essai sur banc dynamométrique)</w:t>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4.1</w:t>
      </w:r>
      <w:r w:rsidRPr="00B07A83">
        <w:rPr>
          <w:rFonts w:eastAsia="Times New Roman"/>
          <w:lang w:val="fr-FR"/>
        </w:rPr>
        <w:tab/>
        <w:t>Type de carrosserie (variante/version):</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4.2</w:t>
      </w:r>
      <w:r w:rsidRPr="00B07A83">
        <w:rPr>
          <w:rFonts w:eastAsia="Times New Roman"/>
          <w:lang w:val="fr-FR"/>
        </w:rPr>
        <w:tab/>
        <w:t xml:space="preserve">Type de boîte de </w:t>
      </w:r>
      <w:r w:rsidRPr="00B07A83">
        <w:rPr>
          <w:lang w:val="fr-FR"/>
        </w:rPr>
        <w:t>vitesses</w:t>
      </w:r>
      <w:r w:rsidRPr="00B07A83">
        <w:rPr>
          <w:rFonts w:eastAsia="Times New Roman"/>
          <w:lang w:val="fr-FR"/>
        </w:rPr>
        <w:t xml:space="preserve"> (manuelle/automatique/variation continue)</w:t>
      </w:r>
      <w:r w:rsidR="003314B0">
        <w:rPr>
          <w:rStyle w:val="Appelnotedebasdep"/>
          <w:rFonts w:eastAsia="Times New Roman"/>
        </w:rPr>
        <w:footnoteReference w:id="26"/>
      </w:r>
      <w:r w:rsidRPr="00B07A83">
        <w:rPr>
          <w:rFonts w:eastAsia="Times New Roman"/>
          <w:lang w:val="fr-FR"/>
        </w:rPr>
        <w:t>:</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4.3</w:t>
      </w:r>
      <w:r w:rsidRPr="00B07A83">
        <w:rPr>
          <w:rFonts w:eastAsia="Times New Roman"/>
          <w:lang w:val="fr-FR"/>
        </w:rPr>
        <w:tab/>
      </w:r>
      <w:r w:rsidRPr="00B07A83">
        <w:rPr>
          <w:lang w:val="fr-FR"/>
        </w:rPr>
        <w:t>Renseignements</w:t>
      </w:r>
      <w:r w:rsidRPr="00B07A83">
        <w:rPr>
          <w:rFonts w:eastAsia="Times New Roman"/>
          <w:lang w:val="fr-FR"/>
        </w:rPr>
        <w:t xml:space="preserve"> sur le réglage du banc à courbe d</w:t>
      </w:r>
      <w:r w:rsidR="00DB4C2D">
        <w:rPr>
          <w:rFonts w:eastAsia="Times New Roman"/>
          <w:lang w:val="fr-FR"/>
        </w:rPr>
        <w:t>’</w:t>
      </w:r>
      <w:r w:rsidRPr="00B07A83">
        <w:rPr>
          <w:rFonts w:eastAsia="Times New Roman"/>
          <w:lang w:val="fr-FR"/>
        </w:rPr>
        <w:t>absorption de puissance définie (le cas échéant):</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4.3.1</w:t>
      </w:r>
      <w:r w:rsidRPr="00B07A83">
        <w:rPr>
          <w:rFonts w:eastAsia="Times New Roman"/>
          <w:lang w:val="fr-FR"/>
        </w:rPr>
        <w:tab/>
        <w:t xml:space="preserve">Autre méthode </w:t>
      </w:r>
      <w:r w:rsidRPr="00B07A83">
        <w:rPr>
          <w:lang w:val="fr-FR"/>
        </w:rPr>
        <w:t>de</w:t>
      </w:r>
      <w:r w:rsidRPr="00B07A83">
        <w:rPr>
          <w:rFonts w:eastAsia="Times New Roman"/>
          <w:lang w:val="fr-FR"/>
        </w:rPr>
        <w:t xml:space="preserve"> réglage du banc à courbe d</w:t>
      </w:r>
      <w:r w:rsidR="00DB4C2D">
        <w:rPr>
          <w:rFonts w:eastAsia="Times New Roman"/>
          <w:lang w:val="fr-FR"/>
        </w:rPr>
        <w:t>’</w:t>
      </w:r>
      <w:r w:rsidRPr="00B07A83">
        <w:rPr>
          <w:rFonts w:eastAsia="Times New Roman"/>
          <w:lang w:val="fr-FR"/>
        </w:rPr>
        <w:t>absorption de puissance (oui/non</w:t>
      </w:r>
      <w:r w:rsidRPr="00B07A83">
        <w:rPr>
          <w:rFonts w:eastAsia="Times New Roman"/>
          <w:vertAlign w:val="superscript"/>
          <w:lang w:val="fr-FR"/>
        </w:rPr>
        <w:t>1</w:t>
      </w:r>
      <w:r w:rsidRPr="00B07A83">
        <w:rPr>
          <w:rFonts w:eastAsia="Times New Roman"/>
          <w:lang w:val="fr-FR"/>
        </w:rPr>
        <w:t>)</w:t>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4.3.2</w:t>
      </w:r>
      <w:r w:rsidRPr="00B07A83">
        <w:rPr>
          <w:rFonts w:eastAsia="Times New Roman"/>
          <w:lang w:val="fr-FR"/>
        </w:rPr>
        <w:tab/>
        <w:t xml:space="preserve">Masse </w:t>
      </w:r>
      <w:r w:rsidRPr="00B07A83">
        <w:rPr>
          <w:lang w:val="fr-FR"/>
        </w:rPr>
        <w:t>inertielle</w:t>
      </w:r>
      <w:r w:rsidRPr="00B07A83">
        <w:rPr>
          <w:rFonts w:eastAsia="Times New Roman"/>
          <w:lang w:val="fr-FR"/>
        </w:rPr>
        <w:t xml:space="preserve"> (kg):</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4.3.3</w:t>
      </w:r>
      <w:r w:rsidRPr="00B07A83">
        <w:rPr>
          <w:rFonts w:eastAsia="Times New Roman"/>
          <w:lang w:val="fr-FR"/>
        </w:rPr>
        <w:tab/>
        <w:t xml:space="preserve">Puissance effective absorbée à 80 km/h y compris les pertes en mouvement du véhicule sur </w:t>
      </w:r>
      <w:r w:rsidRPr="00B07A83">
        <w:rPr>
          <w:lang w:val="fr-FR"/>
        </w:rPr>
        <w:t>le</w:t>
      </w:r>
      <w:r w:rsidRPr="00B07A83">
        <w:rPr>
          <w:rFonts w:eastAsia="Times New Roman"/>
          <w:lang w:val="fr-FR"/>
        </w:rPr>
        <w:t xml:space="preserve"> banc dynamométrique (kW):</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4.3.4</w:t>
      </w:r>
      <w:r w:rsidRPr="00B07A83">
        <w:rPr>
          <w:rFonts w:eastAsia="Times New Roman"/>
          <w:lang w:val="fr-FR"/>
        </w:rPr>
        <w:tab/>
        <w:t xml:space="preserve">Puissance effective absorbée à 50 km/h y compris les pertes en mouvement du véhicule sur le banc </w:t>
      </w:r>
      <w:r w:rsidRPr="00B07A83">
        <w:rPr>
          <w:lang w:val="fr-FR"/>
        </w:rPr>
        <w:t>dynamométrique</w:t>
      </w:r>
      <w:r w:rsidRPr="00B07A83">
        <w:rPr>
          <w:rFonts w:eastAsia="Times New Roman"/>
          <w:lang w:val="fr-FR"/>
        </w:rPr>
        <w:t xml:space="preserve"> (kW):</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4.4</w:t>
      </w:r>
      <w:r w:rsidRPr="00B07A83">
        <w:rPr>
          <w:rFonts w:eastAsia="Times New Roman"/>
          <w:lang w:val="fr-FR"/>
        </w:rPr>
        <w:tab/>
        <w:t>Renseignements sur le réglage du banc à courbe d</w:t>
      </w:r>
      <w:r w:rsidR="00DB4C2D">
        <w:rPr>
          <w:rFonts w:eastAsia="Times New Roman"/>
          <w:lang w:val="fr-FR"/>
        </w:rPr>
        <w:t>’</w:t>
      </w:r>
      <w:r w:rsidRPr="00B07A83">
        <w:rPr>
          <w:rFonts w:eastAsia="Times New Roman"/>
          <w:lang w:val="fr-FR"/>
        </w:rPr>
        <w:t>absorption de puissance réglable (le cas échéant):</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4.4.1</w:t>
      </w:r>
      <w:r w:rsidRPr="00B07A83">
        <w:rPr>
          <w:rFonts w:eastAsia="Times New Roman"/>
          <w:lang w:val="fr-FR"/>
        </w:rPr>
        <w:tab/>
        <w:t>Renseignements sur la décélération en roue libre sur la piste d</w:t>
      </w:r>
      <w:r w:rsidR="00DB4C2D">
        <w:rPr>
          <w:rFonts w:eastAsia="Times New Roman"/>
          <w:lang w:val="fr-FR"/>
        </w:rPr>
        <w:t>’</w:t>
      </w:r>
      <w:r w:rsidRPr="00B07A83">
        <w:rPr>
          <w:rFonts w:eastAsia="Times New Roman"/>
          <w:lang w:val="fr-FR"/>
        </w:rPr>
        <w:t>essai:</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4.4.2</w:t>
      </w:r>
      <w:r w:rsidRPr="00B07A83">
        <w:rPr>
          <w:rFonts w:eastAsia="Times New Roman"/>
          <w:lang w:val="fr-FR"/>
        </w:rPr>
        <w:tab/>
        <w:t xml:space="preserve">Marque et type de </w:t>
      </w:r>
      <w:r w:rsidRPr="00B07A83">
        <w:rPr>
          <w:lang w:val="fr-FR"/>
        </w:rPr>
        <w:t>pneumatique</w:t>
      </w:r>
      <w:r w:rsidRPr="00B07A83">
        <w:rPr>
          <w:rFonts w:eastAsia="Times New Roman"/>
          <w:lang w:val="fr-FR"/>
        </w:rPr>
        <w:t>:</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4.4.3</w:t>
      </w:r>
      <w:r w:rsidRPr="00B07A83">
        <w:rPr>
          <w:rFonts w:eastAsia="Times New Roman"/>
          <w:lang w:val="fr-FR"/>
        </w:rPr>
        <w:tab/>
        <w:t xml:space="preserve">Dimensions des </w:t>
      </w:r>
      <w:r w:rsidRPr="00B07A83">
        <w:rPr>
          <w:lang w:val="fr-FR"/>
        </w:rPr>
        <w:t>pneumatiques</w:t>
      </w:r>
      <w:r w:rsidRPr="00B07A83">
        <w:rPr>
          <w:rFonts w:eastAsia="Times New Roman"/>
          <w:lang w:val="fr-FR"/>
        </w:rPr>
        <w:t xml:space="preserve"> (avant/arrière):</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4.4.4</w:t>
      </w:r>
      <w:r w:rsidRPr="00B07A83">
        <w:rPr>
          <w:rFonts w:eastAsia="Times New Roman"/>
          <w:lang w:val="fr-FR"/>
        </w:rPr>
        <w:tab/>
        <w:t xml:space="preserve">Pression des </w:t>
      </w:r>
      <w:r w:rsidRPr="00B07A83">
        <w:rPr>
          <w:lang w:val="fr-FR"/>
        </w:rPr>
        <w:t>pneumatiques</w:t>
      </w:r>
      <w:r w:rsidRPr="00B07A83">
        <w:rPr>
          <w:rFonts w:eastAsia="Times New Roman"/>
          <w:lang w:val="fr-FR"/>
        </w:rPr>
        <w:t xml:space="preserve"> (avant/arrière) (kPa):</w:t>
      </w:r>
      <w:r w:rsidRPr="00B07A83">
        <w:rPr>
          <w:rFonts w:eastAsia="Times New Roman"/>
          <w:lang w:val="fr-FR"/>
        </w:rPr>
        <w:tab/>
      </w:r>
    </w:p>
    <w:p w:rsidR="00B07A83" w:rsidRPr="00B07A83" w:rsidRDefault="00B07A83" w:rsidP="003314B0">
      <w:pPr>
        <w:pStyle w:val="SingleTxtG"/>
        <w:tabs>
          <w:tab w:val="right" w:leader="dot" w:pos="8505"/>
        </w:tabs>
        <w:ind w:left="2268" w:hanging="1134"/>
        <w:jc w:val="left"/>
        <w:rPr>
          <w:rFonts w:eastAsia="Times New Roman"/>
          <w:lang w:val="fr-FR"/>
        </w:rPr>
      </w:pPr>
      <w:r w:rsidRPr="00B07A83">
        <w:rPr>
          <w:rFonts w:eastAsia="Times New Roman"/>
          <w:lang w:val="fr-FR"/>
        </w:rPr>
        <w:t>4.4.5</w:t>
      </w:r>
      <w:r w:rsidRPr="00B07A83">
        <w:rPr>
          <w:rFonts w:eastAsia="Times New Roman"/>
          <w:lang w:val="fr-FR"/>
        </w:rPr>
        <w:tab/>
        <w:t xml:space="preserve">Masse du véhicule </w:t>
      </w:r>
      <w:r w:rsidRPr="00B07A83">
        <w:rPr>
          <w:lang w:val="fr-FR"/>
        </w:rPr>
        <w:t>d</w:t>
      </w:r>
      <w:r w:rsidR="00DB4C2D">
        <w:rPr>
          <w:lang w:val="fr-FR"/>
        </w:rPr>
        <w:t>’</w:t>
      </w:r>
      <w:r w:rsidRPr="00B07A83">
        <w:rPr>
          <w:lang w:val="fr-FR"/>
        </w:rPr>
        <w:t>essai</w:t>
      </w:r>
      <w:r w:rsidRPr="00B07A83">
        <w:rPr>
          <w:rFonts w:eastAsia="Times New Roman"/>
          <w:lang w:val="fr-FR"/>
        </w:rPr>
        <w:t>, conducteur inclus (kg):</w:t>
      </w:r>
      <w:r w:rsidRPr="00B07A83">
        <w:rPr>
          <w:rFonts w:eastAsia="Times New Roman"/>
          <w:lang w:val="fr-FR"/>
        </w:rPr>
        <w:tab/>
      </w:r>
    </w:p>
    <w:p w:rsidR="00D7523E" w:rsidRDefault="00B07A83" w:rsidP="003314B0">
      <w:pPr>
        <w:pStyle w:val="SingleTxtG"/>
        <w:keepNext/>
        <w:tabs>
          <w:tab w:val="right" w:leader="dot" w:pos="8505"/>
        </w:tabs>
        <w:ind w:left="2268" w:hanging="1134"/>
        <w:jc w:val="left"/>
        <w:rPr>
          <w:rFonts w:eastAsia="Times New Roman"/>
          <w:szCs w:val="24"/>
          <w:lang w:val="fr-FR"/>
        </w:rPr>
      </w:pPr>
      <w:r w:rsidRPr="00B07A83">
        <w:rPr>
          <w:rFonts w:eastAsia="Times New Roman"/>
          <w:szCs w:val="24"/>
          <w:lang w:val="fr-FR"/>
        </w:rPr>
        <w:lastRenderedPageBreak/>
        <w:t>4.4.6.</w:t>
      </w:r>
      <w:r w:rsidRPr="00B07A83">
        <w:rPr>
          <w:rFonts w:eastAsia="Times New Roman"/>
          <w:szCs w:val="24"/>
          <w:lang w:val="fr-FR"/>
        </w:rPr>
        <w:tab/>
        <w:t xml:space="preserve">Données relatives à la </w:t>
      </w:r>
      <w:r w:rsidRPr="003314B0">
        <w:rPr>
          <w:lang w:val="fr-FR"/>
        </w:rPr>
        <w:t>décélération</w:t>
      </w:r>
      <w:r w:rsidRPr="00B07A83">
        <w:rPr>
          <w:rFonts w:eastAsia="Times New Roman"/>
          <w:szCs w:val="24"/>
          <w:lang w:val="fr-FR"/>
        </w:rPr>
        <w:t xml:space="preserve"> en roue libre sur piste (le cas échéant)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42"/>
        <w:gridCol w:w="1843"/>
        <w:gridCol w:w="1843"/>
        <w:gridCol w:w="1843"/>
      </w:tblGrid>
      <w:tr w:rsidR="003314B0" w:rsidRPr="003314B0" w:rsidTr="008E3B10">
        <w:tc>
          <w:tcPr>
            <w:tcW w:w="1842" w:type="dxa"/>
            <w:shd w:val="clear" w:color="auto" w:fill="auto"/>
            <w:vAlign w:val="center"/>
          </w:tcPr>
          <w:p w:rsidR="003314B0" w:rsidRPr="003314B0" w:rsidRDefault="003314B0" w:rsidP="003314B0">
            <w:pPr>
              <w:tabs>
                <w:tab w:val="right" w:leader="dot" w:pos="9356"/>
              </w:tabs>
              <w:kinsoku/>
              <w:overflowPunct/>
              <w:autoSpaceDE/>
              <w:autoSpaceDN/>
              <w:adjustRightInd/>
              <w:snapToGrid/>
              <w:spacing w:before="60" w:after="60" w:line="220" w:lineRule="atLeast"/>
              <w:jc w:val="center"/>
              <w:rPr>
                <w:rFonts w:eastAsia="Times New Roman"/>
                <w:i/>
                <w:sz w:val="16"/>
                <w:szCs w:val="16"/>
                <w:lang w:val="fr-FR"/>
              </w:rPr>
            </w:pPr>
            <w:r w:rsidRPr="003314B0">
              <w:rPr>
                <w:rFonts w:eastAsia="Times New Roman"/>
                <w:i/>
                <w:sz w:val="16"/>
                <w:szCs w:val="16"/>
                <w:lang w:val="fr-FR"/>
              </w:rPr>
              <w:t>V (km/h)</w:t>
            </w:r>
          </w:p>
        </w:tc>
        <w:tc>
          <w:tcPr>
            <w:tcW w:w="1843" w:type="dxa"/>
            <w:shd w:val="clear" w:color="auto" w:fill="auto"/>
            <w:vAlign w:val="center"/>
          </w:tcPr>
          <w:p w:rsidR="003314B0" w:rsidRPr="003314B0" w:rsidRDefault="003314B0" w:rsidP="003314B0">
            <w:pPr>
              <w:keepNext/>
              <w:keepLines/>
              <w:kinsoku/>
              <w:overflowPunct/>
              <w:autoSpaceDE/>
              <w:autoSpaceDN/>
              <w:adjustRightInd/>
              <w:snapToGrid/>
              <w:spacing w:line="220" w:lineRule="atLeast"/>
              <w:jc w:val="center"/>
              <w:rPr>
                <w:rFonts w:eastAsia="Times New Roman"/>
                <w:i/>
                <w:sz w:val="16"/>
                <w:szCs w:val="16"/>
                <w:lang w:val="fr-FR"/>
              </w:rPr>
            </w:pPr>
            <w:r w:rsidRPr="003314B0">
              <w:rPr>
                <w:rFonts w:eastAsia="Times New Roman"/>
                <w:i/>
                <w:sz w:val="16"/>
                <w:szCs w:val="16"/>
                <w:lang w:val="fr-FR"/>
              </w:rPr>
              <w:t>V</w:t>
            </w:r>
            <w:r w:rsidRPr="003314B0">
              <w:rPr>
                <w:rFonts w:eastAsia="Times New Roman"/>
                <w:i/>
                <w:sz w:val="16"/>
                <w:szCs w:val="16"/>
                <w:vertAlign w:val="subscript"/>
                <w:lang w:val="fr-FR"/>
              </w:rPr>
              <w:t>2</w:t>
            </w:r>
            <w:r w:rsidRPr="003314B0">
              <w:rPr>
                <w:rFonts w:eastAsia="Times New Roman"/>
                <w:i/>
                <w:sz w:val="16"/>
                <w:szCs w:val="16"/>
                <w:lang w:val="fr-FR"/>
              </w:rPr>
              <w:t xml:space="preserve"> (km/h)</w:t>
            </w:r>
          </w:p>
        </w:tc>
        <w:tc>
          <w:tcPr>
            <w:tcW w:w="1843" w:type="dxa"/>
            <w:shd w:val="clear" w:color="auto" w:fill="auto"/>
            <w:vAlign w:val="center"/>
          </w:tcPr>
          <w:p w:rsidR="003314B0" w:rsidRPr="003314B0" w:rsidRDefault="003314B0" w:rsidP="003314B0">
            <w:pPr>
              <w:keepNext/>
              <w:keepLines/>
              <w:kinsoku/>
              <w:overflowPunct/>
              <w:autoSpaceDE/>
              <w:autoSpaceDN/>
              <w:adjustRightInd/>
              <w:snapToGrid/>
              <w:spacing w:line="220" w:lineRule="atLeast"/>
              <w:jc w:val="center"/>
              <w:rPr>
                <w:rFonts w:eastAsia="Times New Roman"/>
                <w:i/>
                <w:sz w:val="16"/>
                <w:szCs w:val="16"/>
                <w:lang w:val="fr-FR"/>
              </w:rPr>
            </w:pPr>
            <w:r w:rsidRPr="003314B0">
              <w:rPr>
                <w:rFonts w:eastAsia="Times New Roman"/>
                <w:i/>
                <w:sz w:val="16"/>
                <w:szCs w:val="16"/>
                <w:lang w:val="fr-FR"/>
              </w:rPr>
              <w:t>V</w:t>
            </w:r>
            <w:r w:rsidRPr="003314B0">
              <w:rPr>
                <w:rFonts w:eastAsia="Times New Roman"/>
                <w:i/>
                <w:sz w:val="16"/>
                <w:szCs w:val="16"/>
                <w:vertAlign w:val="subscript"/>
                <w:lang w:val="fr-FR"/>
              </w:rPr>
              <w:t>1</w:t>
            </w:r>
            <w:r w:rsidRPr="003314B0">
              <w:rPr>
                <w:rFonts w:eastAsia="Times New Roman"/>
                <w:i/>
                <w:sz w:val="16"/>
                <w:szCs w:val="16"/>
                <w:lang w:val="fr-FR"/>
              </w:rPr>
              <w:t xml:space="preserve"> (km/h)</w:t>
            </w:r>
          </w:p>
        </w:tc>
        <w:tc>
          <w:tcPr>
            <w:tcW w:w="1843" w:type="dxa"/>
            <w:shd w:val="clear" w:color="auto" w:fill="auto"/>
            <w:vAlign w:val="center"/>
          </w:tcPr>
          <w:p w:rsidR="003314B0" w:rsidRPr="003314B0" w:rsidRDefault="003314B0" w:rsidP="003314B0">
            <w:pPr>
              <w:tabs>
                <w:tab w:val="right" w:leader="dot" w:pos="9356"/>
              </w:tabs>
              <w:kinsoku/>
              <w:overflowPunct/>
              <w:autoSpaceDE/>
              <w:autoSpaceDN/>
              <w:adjustRightInd/>
              <w:snapToGrid/>
              <w:spacing w:before="60" w:after="60" w:line="220" w:lineRule="atLeast"/>
              <w:jc w:val="center"/>
              <w:rPr>
                <w:rFonts w:eastAsia="Times New Roman"/>
                <w:i/>
                <w:sz w:val="16"/>
                <w:szCs w:val="16"/>
                <w:lang w:val="fr-FR"/>
              </w:rPr>
            </w:pPr>
            <w:r w:rsidRPr="003314B0">
              <w:rPr>
                <w:rFonts w:eastAsia="Times New Roman"/>
                <w:i/>
                <w:sz w:val="16"/>
                <w:szCs w:val="16"/>
                <w:lang w:val="fr-FR"/>
              </w:rPr>
              <w:t>Temps moyen corrigé de décélération en roue libre sur piste</w:t>
            </w:r>
          </w:p>
        </w:tc>
      </w:tr>
      <w:tr w:rsidR="003314B0" w:rsidRPr="003314B0" w:rsidTr="008E3B10">
        <w:tc>
          <w:tcPr>
            <w:tcW w:w="1842"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r w:rsidRPr="003314B0">
              <w:rPr>
                <w:rFonts w:eastAsia="Times New Roman"/>
                <w:lang w:val="fr-FR"/>
              </w:rPr>
              <w:t>120</w:t>
            </w: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r>
      <w:tr w:rsidR="003314B0" w:rsidRPr="003314B0" w:rsidTr="008E3B10">
        <w:tc>
          <w:tcPr>
            <w:tcW w:w="1842"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r w:rsidRPr="003314B0">
              <w:rPr>
                <w:rFonts w:eastAsia="Times New Roman"/>
                <w:lang w:val="fr-FR"/>
              </w:rPr>
              <w:t>100</w:t>
            </w: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r>
      <w:tr w:rsidR="003314B0" w:rsidRPr="003314B0" w:rsidTr="008E3B10">
        <w:tc>
          <w:tcPr>
            <w:tcW w:w="1842"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r w:rsidRPr="003314B0">
              <w:rPr>
                <w:rFonts w:eastAsia="Times New Roman"/>
                <w:lang w:val="fr-FR"/>
              </w:rPr>
              <w:t>80</w:t>
            </w: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r>
      <w:tr w:rsidR="003314B0" w:rsidRPr="003314B0" w:rsidTr="008E3B10">
        <w:tc>
          <w:tcPr>
            <w:tcW w:w="1842"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r w:rsidRPr="003314B0">
              <w:rPr>
                <w:rFonts w:eastAsia="Times New Roman"/>
                <w:lang w:val="fr-FR"/>
              </w:rPr>
              <w:t>60</w:t>
            </w: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r>
      <w:tr w:rsidR="003314B0" w:rsidRPr="003314B0" w:rsidTr="008E3B10">
        <w:tc>
          <w:tcPr>
            <w:tcW w:w="1842"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r w:rsidRPr="003314B0">
              <w:rPr>
                <w:rFonts w:eastAsia="Times New Roman"/>
                <w:lang w:val="fr-FR"/>
              </w:rPr>
              <w:t>40</w:t>
            </w: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r>
      <w:tr w:rsidR="003314B0" w:rsidRPr="003314B0" w:rsidTr="008E3B10">
        <w:tc>
          <w:tcPr>
            <w:tcW w:w="1842"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r w:rsidRPr="003314B0">
              <w:rPr>
                <w:rFonts w:eastAsia="Times New Roman"/>
                <w:lang w:val="fr-FR"/>
              </w:rPr>
              <w:t>20</w:t>
            </w: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c>
          <w:tcPr>
            <w:tcW w:w="1843" w:type="dxa"/>
            <w:shd w:val="clear" w:color="auto" w:fill="auto"/>
          </w:tcPr>
          <w:p w:rsidR="003314B0" w:rsidRPr="003314B0" w:rsidRDefault="003314B0" w:rsidP="003314B0">
            <w:pPr>
              <w:kinsoku/>
              <w:overflowPunct/>
              <w:autoSpaceDE/>
              <w:autoSpaceDN/>
              <w:adjustRightInd/>
              <w:snapToGrid/>
              <w:spacing w:before="60" w:after="60"/>
              <w:rPr>
                <w:rFonts w:eastAsia="Times New Roman"/>
                <w:lang w:val="fr-FR"/>
              </w:rPr>
            </w:pPr>
          </w:p>
        </w:tc>
      </w:tr>
    </w:tbl>
    <w:p w:rsidR="003314B0" w:rsidRDefault="00564477" w:rsidP="00564477">
      <w:pPr>
        <w:pStyle w:val="SingleTxtG"/>
        <w:keepNext/>
        <w:tabs>
          <w:tab w:val="right" w:leader="dot" w:pos="8505"/>
        </w:tabs>
        <w:spacing w:before="120"/>
        <w:ind w:left="2268" w:hanging="1134"/>
        <w:jc w:val="left"/>
        <w:rPr>
          <w:lang w:val="fr-FR"/>
        </w:rPr>
      </w:pPr>
      <w:r w:rsidRPr="00A779B8">
        <w:rPr>
          <w:szCs w:val="24"/>
          <w:lang w:val="fr-FR"/>
        </w:rPr>
        <w:t>4.4.7</w:t>
      </w:r>
      <w:r w:rsidRPr="00A779B8">
        <w:rPr>
          <w:szCs w:val="24"/>
          <w:lang w:val="fr-FR"/>
        </w:rPr>
        <w:tab/>
      </w:r>
      <w:r w:rsidRPr="00A779B8">
        <w:rPr>
          <w:lang w:val="fr-FR"/>
        </w:rPr>
        <w:t xml:space="preserve">Puissance utilisée sur </w:t>
      </w:r>
      <w:r w:rsidRPr="00564477">
        <w:rPr>
          <w:rFonts w:eastAsia="Times New Roman"/>
          <w:szCs w:val="24"/>
          <w:lang w:val="fr-FR"/>
        </w:rPr>
        <w:t>route</w:t>
      </w:r>
      <w:r w:rsidRPr="00A779B8">
        <w:rPr>
          <w:lang w:val="fr-FR"/>
        </w:rPr>
        <w:t xml:space="preserve"> moyenne corrigée (le cas échéant)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14"/>
        <w:gridCol w:w="3757"/>
      </w:tblGrid>
      <w:tr w:rsidR="00564477" w:rsidRPr="00564477" w:rsidTr="008E3B10">
        <w:tc>
          <w:tcPr>
            <w:tcW w:w="3614" w:type="dxa"/>
            <w:shd w:val="clear" w:color="auto" w:fill="auto"/>
            <w:vAlign w:val="center"/>
          </w:tcPr>
          <w:p w:rsidR="00564477" w:rsidRPr="00564477" w:rsidRDefault="00564477" w:rsidP="00564477">
            <w:pPr>
              <w:kinsoku/>
              <w:overflowPunct/>
              <w:autoSpaceDE/>
              <w:autoSpaceDN/>
              <w:adjustRightInd/>
              <w:snapToGrid/>
              <w:spacing w:before="60" w:after="60"/>
              <w:jc w:val="center"/>
              <w:rPr>
                <w:rFonts w:eastAsia="Times New Roman"/>
                <w:sz w:val="16"/>
                <w:szCs w:val="16"/>
                <w:lang w:val="fr-FR"/>
              </w:rPr>
            </w:pPr>
            <w:r w:rsidRPr="00564477">
              <w:rPr>
                <w:rFonts w:eastAsia="Times New Roman"/>
                <w:i/>
                <w:sz w:val="16"/>
                <w:szCs w:val="16"/>
                <w:lang w:val="fr-FR"/>
              </w:rPr>
              <w:t>V (km/h)</w:t>
            </w:r>
          </w:p>
        </w:tc>
        <w:tc>
          <w:tcPr>
            <w:tcW w:w="3757" w:type="dxa"/>
            <w:shd w:val="clear" w:color="auto" w:fill="auto"/>
            <w:vAlign w:val="center"/>
          </w:tcPr>
          <w:p w:rsidR="00564477" w:rsidRPr="00564477" w:rsidRDefault="00564477" w:rsidP="00564477">
            <w:pPr>
              <w:kinsoku/>
              <w:overflowPunct/>
              <w:autoSpaceDE/>
              <w:autoSpaceDN/>
              <w:adjustRightInd/>
              <w:snapToGrid/>
              <w:spacing w:before="60" w:after="60"/>
              <w:jc w:val="center"/>
              <w:rPr>
                <w:rFonts w:eastAsia="Times New Roman"/>
                <w:sz w:val="16"/>
                <w:szCs w:val="16"/>
                <w:lang w:val="fr-FR"/>
              </w:rPr>
            </w:pPr>
            <w:r w:rsidRPr="00564477">
              <w:rPr>
                <w:rFonts w:eastAsia="Times New Roman"/>
                <w:i/>
                <w:sz w:val="16"/>
                <w:szCs w:val="16"/>
                <w:lang w:val="fr-FR"/>
              </w:rPr>
              <w:t>Puissance corrigée (kW)</w:t>
            </w:r>
          </w:p>
        </w:tc>
      </w:tr>
      <w:tr w:rsidR="00564477" w:rsidRPr="00564477" w:rsidTr="008E3B10">
        <w:tc>
          <w:tcPr>
            <w:tcW w:w="3614"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r w:rsidRPr="00564477">
              <w:rPr>
                <w:rFonts w:eastAsia="Times New Roman"/>
                <w:lang w:val="fr-FR"/>
              </w:rPr>
              <w:t>120</w:t>
            </w:r>
          </w:p>
        </w:tc>
        <w:tc>
          <w:tcPr>
            <w:tcW w:w="3757"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p>
        </w:tc>
      </w:tr>
      <w:tr w:rsidR="00564477" w:rsidRPr="00564477" w:rsidTr="008E3B10">
        <w:tc>
          <w:tcPr>
            <w:tcW w:w="3614"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r w:rsidRPr="00564477">
              <w:rPr>
                <w:rFonts w:eastAsia="Times New Roman"/>
                <w:lang w:val="fr-FR"/>
              </w:rPr>
              <w:t>100</w:t>
            </w:r>
          </w:p>
        </w:tc>
        <w:tc>
          <w:tcPr>
            <w:tcW w:w="3757"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p>
        </w:tc>
      </w:tr>
      <w:tr w:rsidR="00564477" w:rsidRPr="00564477" w:rsidTr="008E3B10">
        <w:tc>
          <w:tcPr>
            <w:tcW w:w="3614"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r w:rsidRPr="00564477">
              <w:rPr>
                <w:rFonts w:eastAsia="Times New Roman"/>
                <w:lang w:val="fr-FR"/>
              </w:rPr>
              <w:t>80</w:t>
            </w:r>
          </w:p>
        </w:tc>
        <w:tc>
          <w:tcPr>
            <w:tcW w:w="3757"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p>
        </w:tc>
      </w:tr>
      <w:tr w:rsidR="00564477" w:rsidRPr="00564477" w:rsidTr="008E3B10">
        <w:tc>
          <w:tcPr>
            <w:tcW w:w="3614"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r w:rsidRPr="00564477">
              <w:rPr>
                <w:rFonts w:eastAsia="Times New Roman"/>
                <w:lang w:val="fr-FR"/>
              </w:rPr>
              <w:t>60</w:t>
            </w:r>
          </w:p>
        </w:tc>
        <w:tc>
          <w:tcPr>
            <w:tcW w:w="3757"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p>
        </w:tc>
      </w:tr>
      <w:tr w:rsidR="00564477" w:rsidRPr="00564477" w:rsidTr="008E3B10">
        <w:tc>
          <w:tcPr>
            <w:tcW w:w="3614"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r w:rsidRPr="00564477">
              <w:rPr>
                <w:rFonts w:eastAsia="Times New Roman"/>
                <w:lang w:val="fr-FR"/>
              </w:rPr>
              <w:t>40</w:t>
            </w:r>
          </w:p>
        </w:tc>
        <w:tc>
          <w:tcPr>
            <w:tcW w:w="3757"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p>
        </w:tc>
      </w:tr>
      <w:tr w:rsidR="00564477" w:rsidRPr="00564477" w:rsidTr="008E3B10">
        <w:tc>
          <w:tcPr>
            <w:tcW w:w="3614"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r w:rsidRPr="00564477">
              <w:rPr>
                <w:rFonts w:eastAsia="Times New Roman"/>
                <w:lang w:val="fr-FR"/>
              </w:rPr>
              <w:t>20</w:t>
            </w:r>
          </w:p>
        </w:tc>
        <w:tc>
          <w:tcPr>
            <w:tcW w:w="3757" w:type="dxa"/>
            <w:shd w:val="clear" w:color="auto" w:fill="auto"/>
          </w:tcPr>
          <w:p w:rsidR="00564477" w:rsidRPr="00564477" w:rsidRDefault="00564477" w:rsidP="00564477">
            <w:pPr>
              <w:kinsoku/>
              <w:overflowPunct/>
              <w:autoSpaceDE/>
              <w:autoSpaceDN/>
              <w:adjustRightInd/>
              <w:snapToGrid/>
              <w:spacing w:before="60" w:after="60"/>
              <w:rPr>
                <w:rFonts w:eastAsia="Times New Roman"/>
                <w:lang w:val="fr-FR"/>
              </w:rPr>
            </w:pPr>
          </w:p>
        </w:tc>
      </w:tr>
    </w:tbl>
    <w:p w:rsidR="00564477" w:rsidRDefault="00564477" w:rsidP="00564477">
      <w:pPr>
        <w:pStyle w:val="SingleTxtG"/>
        <w:sectPr w:rsidR="00564477" w:rsidSect="00C46DB4">
          <w:headerReference w:type="even" r:id="rId58"/>
          <w:headerReference w:type="default" r:id="rId59"/>
          <w:footnotePr>
            <w:numRestart w:val="eachSect"/>
          </w:footnotePr>
          <w:endnotePr>
            <w:numFmt w:val="decimal"/>
          </w:endnotePr>
          <w:pgSz w:w="11907" w:h="16840" w:code="9"/>
          <w:pgMar w:top="1701" w:right="1134" w:bottom="2268" w:left="1134" w:header="794" w:footer="1701" w:gutter="0"/>
          <w:cols w:space="720"/>
          <w:docGrid w:linePitch="272"/>
        </w:sectPr>
      </w:pPr>
    </w:p>
    <w:p w:rsidR="00010986" w:rsidRPr="00010986" w:rsidRDefault="00010986" w:rsidP="00010986">
      <w:pPr>
        <w:pStyle w:val="HChG"/>
        <w:rPr>
          <w:lang w:val="fr-FR"/>
        </w:rPr>
      </w:pPr>
      <w:r w:rsidRPr="00010986">
        <w:rPr>
          <w:lang w:val="fr-FR"/>
        </w:rPr>
        <w:lastRenderedPageBreak/>
        <w:t>Annexe 2</w:t>
      </w:r>
    </w:p>
    <w:p w:rsidR="00010986" w:rsidRPr="00010986" w:rsidRDefault="00010986" w:rsidP="00010986">
      <w:pPr>
        <w:pStyle w:val="HChG"/>
        <w:rPr>
          <w:lang w:val="fr-FR"/>
        </w:rPr>
      </w:pPr>
      <w:r w:rsidRPr="00010986">
        <w:rPr>
          <w:lang w:val="fr-FR"/>
        </w:rPr>
        <w:tab/>
      </w:r>
      <w:r w:rsidRPr="00010986">
        <w:rPr>
          <w:lang w:val="fr-FR"/>
        </w:rPr>
        <w:tab/>
        <w:t>Communication</w:t>
      </w:r>
    </w:p>
    <w:p w:rsidR="00564477" w:rsidRDefault="00010986" w:rsidP="00010986">
      <w:pPr>
        <w:pStyle w:val="SingleTxtG"/>
        <w:rPr>
          <w:lang w:val="fr-FR"/>
        </w:rPr>
      </w:pPr>
      <w:r w:rsidRPr="00010986">
        <w:rPr>
          <w:lang w:val="fr-FR"/>
        </w:rPr>
        <w:t xml:space="preserve">(format maximal: A4 (210 x </w:t>
      </w:r>
      <w:r w:rsidRPr="00010986">
        <w:t>297</w:t>
      </w:r>
      <w:r w:rsidRPr="00010986">
        <w:rPr>
          <w:lang w:val="fr-FR"/>
        </w:rPr>
        <w:t xml:space="preserve">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010986" w:rsidRPr="00010986" w:rsidTr="008E3B10">
        <w:tc>
          <w:tcPr>
            <w:tcW w:w="3402" w:type="dxa"/>
            <w:shd w:val="clear" w:color="auto" w:fill="auto"/>
          </w:tcPr>
          <w:bookmarkStart w:id="94" w:name="_MON_1420453160"/>
          <w:bookmarkStart w:id="95" w:name="_MON_1420453756"/>
          <w:bookmarkEnd w:id="94"/>
          <w:bookmarkEnd w:id="95"/>
          <w:p w:rsidR="00010986" w:rsidRPr="00010986" w:rsidRDefault="00010986" w:rsidP="00010986">
            <w:pPr>
              <w:kinsoku/>
              <w:overflowPunct/>
              <w:autoSpaceDE/>
              <w:autoSpaceDN/>
              <w:adjustRightInd/>
              <w:snapToGrid/>
              <w:ind w:right="1134"/>
              <w:jc w:val="both"/>
              <w:rPr>
                <w:rFonts w:eastAsia="Times New Roman"/>
                <w:lang w:val="fr-FR"/>
              </w:rPr>
            </w:pPr>
            <w:r w:rsidRPr="00010986">
              <w:rPr>
                <w:rFonts w:eastAsia="Times New Roman"/>
                <w:lang w:val="fr-FR"/>
              </w:rPr>
              <w:object w:dxaOrig="1684" w:dyaOrig="1675">
                <v:shape id="_x0000_i1041" type="#_x0000_t75" style="width:84.25pt;height:83.55pt">
                  <v:imagedata r:id="rId60" o:title=""/>
                </v:shape>
              </w:object>
            </w:r>
          </w:p>
        </w:tc>
        <w:tc>
          <w:tcPr>
            <w:tcW w:w="3969" w:type="dxa"/>
            <w:shd w:val="clear" w:color="auto" w:fill="auto"/>
          </w:tcPr>
          <w:p w:rsidR="00010986" w:rsidRPr="00010986" w:rsidRDefault="00010986" w:rsidP="00010986">
            <w:pPr>
              <w:kinsoku/>
              <w:overflowPunct/>
              <w:autoSpaceDE/>
              <w:autoSpaceDN/>
              <w:adjustRightInd/>
              <w:snapToGrid/>
              <w:ind w:left="1701" w:hanging="1701"/>
              <w:rPr>
                <w:rFonts w:eastAsia="Times New Roman"/>
                <w:lang w:val="fr-FR"/>
              </w:rPr>
            </w:pPr>
            <w:r w:rsidRPr="00010986">
              <w:rPr>
                <w:rFonts w:eastAsia="Times New Roman"/>
                <w:lang w:val="fr-FR"/>
              </w:rPr>
              <w:t>Émanant de:</w:t>
            </w:r>
            <w:r w:rsidRPr="00010986">
              <w:rPr>
                <w:rFonts w:eastAsia="Times New Roman"/>
                <w:lang w:val="fr-FR"/>
              </w:rPr>
              <w:tab/>
              <w:t>Nom de l</w:t>
            </w:r>
            <w:r w:rsidR="00DB4C2D">
              <w:rPr>
                <w:rFonts w:eastAsia="Times New Roman"/>
                <w:lang w:val="fr-FR"/>
              </w:rPr>
              <w:t>’</w:t>
            </w:r>
            <w:r w:rsidRPr="00010986">
              <w:rPr>
                <w:rFonts w:eastAsia="Times New Roman"/>
                <w:lang w:val="fr-FR"/>
              </w:rPr>
              <w:t>administration:</w:t>
            </w:r>
          </w:p>
          <w:p w:rsidR="00010986" w:rsidRPr="00010986" w:rsidRDefault="00010986" w:rsidP="00010986">
            <w:pPr>
              <w:tabs>
                <w:tab w:val="right" w:leader="dot" w:pos="3686"/>
              </w:tabs>
              <w:kinsoku/>
              <w:overflowPunct/>
              <w:autoSpaceDE/>
              <w:autoSpaceDN/>
              <w:adjustRightInd/>
              <w:snapToGrid/>
              <w:ind w:left="1701"/>
              <w:jc w:val="both"/>
              <w:rPr>
                <w:rFonts w:eastAsia="Times New Roman"/>
                <w:lang w:val="fr-FR"/>
              </w:rPr>
            </w:pPr>
            <w:r w:rsidRPr="00010986">
              <w:rPr>
                <w:rFonts w:eastAsia="Times New Roman"/>
                <w:lang w:val="fr-FR"/>
              </w:rPr>
              <w:tab/>
            </w:r>
          </w:p>
          <w:p w:rsidR="00010986" w:rsidRPr="00010986" w:rsidRDefault="00010986" w:rsidP="00010986">
            <w:pPr>
              <w:tabs>
                <w:tab w:val="right" w:leader="dot" w:pos="3686"/>
              </w:tabs>
              <w:kinsoku/>
              <w:overflowPunct/>
              <w:autoSpaceDE/>
              <w:autoSpaceDN/>
              <w:adjustRightInd/>
              <w:snapToGrid/>
              <w:ind w:left="1701"/>
              <w:jc w:val="both"/>
              <w:rPr>
                <w:rFonts w:eastAsia="Times New Roman"/>
                <w:lang w:val="fr-FR"/>
              </w:rPr>
            </w:pPr>
            <w:r w:rsidRPr="00010986">
              <w:rPr>
                <w:rFonts w:eastAsia="Times New Roman"/>
                <w:lang w:val="fr-FR"/>
              </w:rPr>
              <w:tab/>
            </w:r>
          </w:p>
          <w:p w:rsidR="00010986" w:rsidRPr="00010986" w:rsidRDefault="00010986" w:rsidP="00010986">
            <w:pPr>
              <w:tabs>
                <w:tab w:val="right" w:leader="dot" w:pos="3686"/>
              </w:tabs>
              <w:kinsoku/>
              <w:overflowPunct/>
              <w:autoSpaceDE/>
              <w:autoSpaceDN/>
              <w:adjustRightInd/>
              <w:snapToGrid/>
              <w:ind w:left="1701"/>
              <w:jc w:val="both"/>
              <w:rPr>
                <w:rFonts w:eastAsia="Times New Roman"/>
                <w:lang w:val="fr-FR"/>
              </w:rPr>
            </w:pPr>
            <w:r w:rsidRPr="00010986">
              <w:rPr>
                <w:rFonts w:eastAsia="Times New Roman"/>
                <w:lang w:val="fr-FR"/>
              </w:rPr>
              <w:tab/>
            </w:r>
          </w:p>
        </w:tc>
      </w:tr>
    </w:tbl>
    <w:p w:rsidR="00010986" w:rsidRPr="008E3B10" w:rsidRDefault="00010986" w:rsidP="00010986">
      <w:pPr>
        <w:pStyle w:val="SingleTxtG"/>
        <w:rPr>
          <w:color w:val="FFFFFF"/>
        </w:rPr>
      </w:pPr>
      <w:r w:rsidRPr="008E3B10">
        <w:rPr>
          <w:rStyle w:val="Appelnotedebasdep"/>
          <w:color w:val="FFFFFF"/>
        </w:rPr>
        <w:footnoteReference w:id="27"/>
      </w:r>
    </w:p>
    <w:p w:rsidR="00010986" w:rsidRPr="00010986" w:rsidRDefault="00010986" w:rsidP="006A0927">
      <w:pPr>
        <w:pStyle w:val="SingleTxtG"/>
        <w:ind w:left="2552" w:hanging="1418"/>
        <w:jc w:val="left"/>
        <w:rPr>
          <w:lang w:val="fr-FR"/>
        </w:rPr>
      </w:pPr>
      <w:r w:rsidRPr="00010986">
        <w:rPr>
          <w:lang w:val="fr-FR"/>
        </w:rPr>
        <w:t>concernant</w:t>
      </w:r>
      <w:r w:rsidR="006A0927">
        <w:rPr>
          <w:rStyle w:val="Appelnotedebasdep"/>
          <w:rFonts w:eastAsia="Times New Roman"/>
        </w:rPr>
        <w:footnoteReference w:id="28"/>
      </w:r>
      <w:r w:rsidRPr="00010986">
        <w:rPr>
          <w:lang w:val="fr-FR"/>
        </w:rPr>
        <w:t>:</w:t>
      </w:r>
      <w:r w:rsidRPr="00010986">
        <w:rPr>
          <w:lang w:val="fr-FR"/>
        </w:rPr>
        <w:tab/>
        <w:t>Délivrance d</w:t>
      </w:r>
      <w:r w:rsidR="00DB4C2D">
        <w:rPr>
          <w:lang w:val="fr-FR"/>
        </w:rPr>
        <w:t>’</w:t>
      </w:r>
      <w:r w:rsidRPr="00010986">
        <w:rPr>
          <w:lang w:val="fr-FR"/>
        </w:rPr>
        <w:t>une homologation</w:t>
      </w:r>
      <w:r w:rsidRPr="00010986">
        <w:rPr>
          <w:lang w:val="fr-FR"/>
        </w:rPr>
        <w:br/>
        <w:t>Extension d</w:t>
      </w:r>
      <w:r w:rsidR="00DB4C2D">
        <w:rPr>
          <w:lang w:val="fr-FR"/>
        </w:rPr>
        <w:t>’</w:t>
      </w:r>
      <w:r w:rsidRPr="00010986">
        <w:rPr>
          <w:lang w:val="fr-FR"/>
        </w:rPr>
        <w:t>homologation</w:t>
      </w:r>
      <w:r w:rsidRPr="00010986">
        <w:rPr>
          <w:lang w:val="fr-FR"/>
        </w:rPr>
        <w:br/>
        <w:t>Refus d</w:t>
      </w:r>
      <w:r w:rsidR="00DB4C2D">
        <w:rPr>
          <w:lang w:val="fr-FR"/>
        </w:rPr>
        <w:t>’</w:t>
      </w:r>
      <w:r w:rsidRPr="00010986">
        <w:rPr>
          <w:lang w:val="fr-FR"/>
        </w:rPr>
        <w:t>homologation</w:t>
      </w:r>
      <w:r w:rsidRPr="00010986">
        <w:rPr>
          <w:lang w:val="fr-FR"/>
        </w:rPr>
        <w:br/>
        <w:t>Retrait d</w:t>
      </w:r>
      <w:r w:rsidR="00DB4C2D">
        <w:rPr>
          <w:lang w:val="fr-FR"/>
        </w:rPr>
        <w:t>’</w:t>
      </w:r>
      <w:r w:rsidRPr="00010986">
        <w:rPr>
          <w:lang w:val="fr-FR"/>
        </w:rPr>
        <w:t>homologation</w:t>
      </w:r>
      <w:r w:rsidRPr="00010986">
        <w:rPr>
          <w:lang w:val="fr-FR"/>
        </w:rPr>
        <w:br/>
        <w:t>Arrêt définitif de la production</w:t>
      </w:r>
    </w:p>
    <w:p w:rsidR="00010986" w:rsidRPr="00010986" w:rsidRDefault="00010986" w:rsidP="006A0927">
      <w:pPr>
        <w:pStyle w:val="SingleTxtG"/>
        <w:rPr>
          <w:lang w:val="fr-FR"/>
        </w:rPr>
      </w:pPr>
      <w:r w:rsidRPr="00010986">
        <w:rPr>
          <w:lang w:val="fr-FR"/>
        </w:rPr>
        <w:t>d</w:t>
      </w:r>
      <w:r w:rsidR="00DB4C2D">
        <w:rPr>
          <w:lang w:val="fr-FR"/>
        </w:rPr>
        <w:t>’</w:t>
      </w:r>
      <w:r w:rsidRPr="00010986">
        <w:rPr>
          <w:lang w:val="fr-FR"/>
        </w:rPr>
        <w:t xml:space="preserve">un type de véhicule en ce qui concerne les émissions de polluants en application du Règlement </w:t>
      </w:r>
      <w:r w:rsidRPr="00010986">
        <w:rPr>
          <w:rFonts w:eastAsia="MS Mincho"/>
          <w:lang w:val="fr-FR"/>
        </w:rPr>
        <w:t>n</w:t>
      </w:r>
      <w:r w:rsidRPr="00010986">
        <w:rPr>
          <w:rFonts w:eastAsia="MS Mincho"/>
          <w:vertAlign w:val="superscript"/>
          <w:lang w:val="fr-FR"/>
        </w:rPr>
        <w:t>o</w:t>
      </w:r>
      <w:r w:rsidRPr="00010986">
        <w:rPr>
          <w:lang w:val="fr-FR"/>
        </w:rPr>
        <w:t> 83</w:t>
      </w:r>
    </w:p>
    <w:p w:rsidR="00010986" w:rsidRPr="00010986" w:rsidRDefault="00010986" w:rsidP="006A0927">
      <w:pPr>
        <w:pStyle w:val="SingleTxtG"/>
        <w:tabs>
          <w:tab w:val="left" w:leader="dot" w:pos="4253"/>
          <w:tab w:val="left" w:pos="4536"/>
          <w:tab w:val="right" w:leader="dot" w:pos="8505"/>
        </w:tabs>
        <w:jc w:val="left"/>
        <w:rPr>
          <w:lang w:val="fr-FR"/>
        </w:rPr>
      </w:pPr>
      <w:r w:rsidRPr="00010986">
        <w:rPr>
          <w:lang w:val="fr-FR"/>
        </w:rPr>
        <w:t xml:space="preserve">Homologation </w:t>
      </w:r>
      <w:r w:rsidRPr="00010986">
        <w:rPr>
          <w:rFonts w:eastAsia="MS Mincho"/>
          <w:lang w:val="fr-FR"/>
        </w:rPr>
        <w:t>n</w:t>
      </w:r>
      <w:r w:rsidRPr="00010986">
        <w:rPr>
          <w:rFonts w:eastAsia="MS Mincho"/>
          <w:vertAlign w:val="superscript"/>
          <w:lang w:val="fr-FR"/>
        </w:rPr>
        <w:t>o</w:t>
      </w:r>
      <w:r w:rsidRPr="00010986">
        <w:rPr>
          <w:lang w:val="fr-FR"/>
        </w:rPr>
        <w:t>:</w:t>
      </w:r>
      <w:r w:rsidRPr="00010986">
        <w:rPr>
          <w:lang w:val="fr-FR"/>
        </w:rPr>
        <w:tab/>
      </w:r>
      <w:r w:rsidRPr="00010986">
        <w:rPr>
          <w:lang w:val="fr-FR"/>
        </w:rPr>
        <w:tab/>
        <w:t xml:space="preserve">Extension </w:t>
      </w:r>
      <w:r w:rsidRPr="00010986">
        <w:rPr>
          <w:rFonts w:eastAsia="MS Mincho"/>
          <w:lang w:val="fr-FR"/>
        </w:rPr>
        <w:t>n</w:t>
      </w:r>
      <w:r w:rsidRPr="00010986">
        <w:rPr>
          <w:rFonts w:eastAsia="MS Mincho"/>
          <w:vertAlign w:val="superscript"/>
          <w:lang w:val="fr-FR"/>
        </w:rPr>
        <w:t>o</w:t>
      </w:r>
      <w:r w:rsidRPr="00010986">
        <w:rPr>
          <w:lang w:val="fr-FR"/>
        </w:rPr>
        <w:t>:</w:t>
      </w:r>
      <w:r w:rsidRPr="00010986">
        <w:rPr>
          <w:lang w:val="fr-FR"/>
        </w:rPr>
        <w:tab/>
      </w:r>
    </w:p>
    <w:p w:rsidR="00010986" w:rsidRPr="00010986" w:rsidRDefault="00010986" w:rsidP="006A0927">
      <w:pPr>
        <w:pStyle w:val="SingleTxtG"/>
        <w:tabs>
          <w:tab w:val="left" w:pos="4536"/>
          <w:tab w:val="left" w:leader="dot" w:pos="8505"/>
        </w:tabs>
        <w:rPr>
          <w:lang w:val="fr-FR"/>
        </w:rPr>
      </w:pPr>
      <w:r w:rsidRPr="00010986">
        <w:rPr>
          <w:lang w:val="fr-FR"/>
        </w:rPr>
        <w:tab/>
        <w:t>Raison de l</w:t>
      </w:r>
      <w:r w:rsidR="00DB4C2D">
        <w:rPr>
          <w:lang w:val="fr-FR"/>
        </w:rPr>
        <w:t>’</w:t>
      </w:r>
      <w:r w:rsidRPr="00010986">
        <w:rPr>
          <w:lang w:val="fr-FR"/>
        </w:rPr>
        <w:t>extension:</w:t>
      </w:r>
      <w:r w:rsidRPr="00010986">
        <w:rPr>
          <w:lang w:val="fr-FR"/>
        </w:rPr>
        <w:tab/>
      </w:r>
    </w:p>
    <w:p w:rsidR="00010986" w:rsidRPr="00010986" w:rsidRDefault="00010986" w:rsidP="00F91CA4">
      <w:pPr>
        <w:pStyle w:val="SingleTxtG"/>
        <w:keepNext/>
        <w:rPr>
          <w:lang w:val="fr-FR"/>
        </w:rPr>
      </w:pPr>
      <w:r w:rsidRPr="00010986">
        <w:rPr>
          <w:lang w:val="fr-FR"/>
        </w:rPr>
        <w:t>Section I</w:t>
      </w:r>
    </w:p>
    <w:p w:rsidR="00010986" w:rsidRPr="00010986" w:rsidRDefault="00010986" w:rsidP="006A0927">
      <w:pPr>
        <w:pStyle w:val="SingleTxtG"/>
        <w:tabs>
          <w:tab w:val="right" w:leader="dot" w:pos="8505"/>
        </w:tabs>
        <w:kinsoku/>
        <w:overflowPunct/>
        <w:autoSpaceDE/>
        <w:autoSpaceDN/>
        <w:adjustRightInd/>
        <w:snapToGrid/>
        <w:ind w:left="1701" w:hanging="567"/>
        <w:jc w:val="left"/>
        <w:rPr>
          <w:lang w:val="fr-FR"/>
        </w:rPr>
      </w:pPr>
      <w:r w:rsidRPr="00010986">
        <w:rPr>
          <w:lang w:val="fr-FR"/>
        </w:rPr>
        <w:t>0.1</w:t>
      </w:r>
      <w:r w:rsidRPr="00010986">
        <w:rPr>
          <w:lang w:val="fr-FR"/>
        </w:rPr>
        <w:tab/>
        <w:t>Marque (raison sociale du constructeur):</w:t>
      </w:r>
      <w:r w:rsidRPr="00010986">
        <w:rPr>
          <w:lang w:val="fr-FR"/>
        </w:rPr>
        <w:tab/>
      </w:r>
    </w:p>
    <w:p w:rsidR="00010986" w:rsidRPr="00010986" w:rsidRDefault="00010986" w:rsidP="006A0927">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0.2</w:t>
      </w:r>
      <w:r w:rsidRPr="00010986">
        <w:rPr>
          <w:rFonts w:eastAsia="Times New Roman"/>
          <w:lang w:val="fr-FR"/>
        </w:rPr>
        <w:tab/>
        <w:t>Type:</w:t>
      </w:r>
      <w:r w:rsidRPr="00010986">
        <w:rPr>
          <w:rFonts w:eastAsia="Times New Roman"/>
          <w:lang w:val="fr-FR"/>
        </w:rPr>
        <w:tab/>
      </w:r>
    </w:p>
    <w:p w:rsidR="00010986" w:rsidRPr="00010986" w:rsidRDefault="00010986" w:rsidP="006A0927">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0.2.1</w:t>
      </w:r>
      <w:r w:rsidRPr="00010986">
        <w:rPr>
          <w:rFonts w:eastAsia="Times New Roman"/>
          <w:lang w:val="fr-FR"/>
        </w:rPr>
        <w:tab/>
        <w:t>Nom commercial (si disponible):</w:t>
      </w:r>
      <w:r w:rsidRPr="00010986">
        <w:rPr>
          <w:rFonts w:eastAsia="Times New Roman"/>
          <w:lang w:val="fr-FR"/>
        </w:rPr>
        <w:tab/>
      </w:r>
    </w:p>
    <w:p w:rsidR="00010986" w:rsidRPr="00010986" w:rsidRDefault="00010986" w:rsidP="006A0927">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0.3</w:t>
      </w:r>
      <w:r w:rsidRPr="00010986">
        <w:rPr>
          <w:rFonts w:eastAsia="Times New Roman"/>
          <w:lang w:val="fr-FR"/>
        </w:rPr>
        <w:tab/>
        <w:t>Moyens d</w:t>
      </w:r>
      <w:r w:rsidR="00DB4C2D">
        <w:rPr>
          <w:rFonts w:eastAsia="Times New Roman"/>
          <w:lang w:val="fr-FR"/>
        </w:rPr>
        <w:t>’</w:t>
      </w:r>
      <w:r w:rsidRPr="00010986">
        <w:rPr>
          <w:rFonts w:eastAsia="Times New Roman"/>
          <w:lang w:val="fr-FR"/>
        </w:rPr>
        <w:t>identification du type s</w:t>
      </w:r>
      <w:r w:rsidR="00DB4C2D">
        <w:rPr>
          <w:rFonts w:eastAsia="Times New Roman"/>
          <w:lang w:val="fr-FR"/>
        </w:rPr>
        <w:t>’</w:t>
      </w:r>
      <w:r w:rsidRPr="00010986">
        <w:rPr>
          <w:rFonts w:eastAsia="Times New Roman"/>
          <w:lang w:val="fr-FR"/>
        </w:rPr>
        <w:t>il figure sur le véhicule</w:t>
      </w:r>
      <w:r w:rsidR="006A0927">
        <w:rPr>
          <w:rStyle w:val="Appelnotedebasdep"/>
          <w:rFonts w:eastAsia="Times New Roman"/>
        </w:rPr>
        <w:footnoteReference w:id="29"/>
      </w:r>
      <w:r w:rsidRPr="00010986">
        <w:rPr>
          <w:rFonts w:eastAsia="Times New Roman"/>
          <w:lang w:val="fr-FR"/>
        </w:rPr>
        <w:tab/>
      </w:r>
    </w:p>
    <w:p w:rsidR="00010986" w:rsidRPr="00010986" w:rsidRDefault="00010986" w:rsidP="006A0927">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0.3.1</w:t>
      </w:r>
      <w:r w:rsidRPr="00010986">
        <w:rPr>
          <w:rFonts w:eastAsia="Times New Roman"/>
          <w:lang w:val="fr-FR"/>
        </w:rPr>
        <w:tab/>
        <w:t>Emplacement de ce marquage:</w:t>
      </w:r>
      <w:r w:rsidRPr="00010986">
        <w:rPr>
          <w:rFonts w:eastAsia="Times New Roman"/>
          <w:lang w:val="fr-FR"/>
        </w:rPr>
        <w:tab/>
      </w:r>
    </w:p>
    <w:p w:rsidR="00010986" w:rsidRPr="00010986" w:rsidRDefault="00010986" w:rsidP="006A0927">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0.4</w:t>
      </w:r>
      <w:r w:rsidRPr="00010986">
        <w:rPr>
          <w:rFonts w:eastAsia="Times New Roman"/>
          <w:lang w:val="fr-FR"/>
        </w:rPr>
        <w:tab/>
        <w:t>Catégorie du véhicule</w:t>
      </w:r>
      <w:r w:rsidR="006A0927">
        <w:rPr>
          <w:rStyle w:val="Appelnotedebasdep"/>
          <w:rFonts w:eastAsia="Times New Roman"/>
        </w:rPr>
        <w:footnoteReference w:id="30"/>
      </w:r>
      <w:r w:rsidRPr="00010986">
        <w:rPr>
          <w:rFonts w:eastAsia="Times New Roman"/>
          <w:lang w:val="fr-FR"/>
        </w:rPr>
        <w:t>:</w:t>
      </w:r>
      <w:r w:rsidRPr="00010986">
        <w:rPr>
          <w:rFonts w:eastAsia="Times New Roman"/>
          <w:lang w:val="fr-FR"/>
        </w:rPr>
        <w:tab/>
      </w:r>
    </w:p>
    <w:p w:rsidR="00010986" w:rsidRPr="00010986" w:rsidRDefault="00010986" w:rsidP="006A0927">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0.5</w:t>
      </w:r>
      <w:r w:rsidRPr="00010986">
        <w:rPr>
          <w:rFonts w:eastAsia="Times New Roman"/>
          <w:lang w:val="fr-FR"/>
        </w:rPr>
        <w:tab/>
        <w:t>Nom et adresse du constructeur:</w:t>
      </w:r>
      <w:r w:rsidRPr="00010986">
        <w:rPr>
          <w:rFonts w:eastAsia="Times New Roman"/>
          <w:lang w:val="fr-FR"/>
        </w:rPr>
        <w:tab/>
      </w:r>
    </w:p>
    <w:p w:rsidR="00010986" w:rsidRPr="00010986" w:rsidRDefault="00010986" w:rsidP="006A0927">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0.8</w:t>
      </w:r>
      <w:r w:rsidRPr="00010986">
        <w:rPr>
          <w:rFonts w:eastAsia="Times New Roman"/>
          <w:lang w:val="fr-FR"/>
        </w:rPr>
        <w:tab/>
        <w:t>Nom(s) et adresse(s) de l</w:t>
      </w:r>
      <w:r w:rsidR="00DB4C2D">
        <w:rPr>
          <w:rFonts w:eastAsia="Times New Roman"/>
          <w:lang w:val="fr-FR"/>
        </w:rPr>
        <w:t>’</w:t>
      </w:r>
      <w:r w:rsidRPr="00010986">
        <w:rPr>
          <w:rFonts w:eastAsia="Times New Roman"/>
          <w:lang w:val="fr-FR"/>
        </w:rPr>
        <w:t>atelier/des ateliers de montage:</w:t>
      </w:r>
      <w:r w:rsidRPr="00010986">
        <w:rPr>
          <w:rFonts w:eastAsia="Times New Roman"/>
          <w:lang w:val="fr-FR"/>
        </w:rPr>
        <w:tab/>
      </w:r>
    </w:p>
    <w:p w:rsidR="00010986" w:rsidRPr="00010986" w:rsidRDefault="00010986" w:rsidP="006A0927">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0.9</w:t>
      </w:r>
      <w:r w:rsidRPr="00010986">
        <w:rPr>
          <w:rFonts w:eastAsia="Times New Roman"/>
          <w:lang w:val="fr-FR"/>
        </w:rPr>
        <w:tab/>
        <w:t>Le cas échéant, nom et adresse du mandataire du constructeur:</w:t>
      </w:r>
      <w:r w:rsidRPr="00010986">
        <w:rPr>
          <w:rFonts w:eastAsia="Times New Roman"/>
          <w:lang w:val="fr-FR"/>
        </w:rPr>
        <w:tab/>
      </w:r>
    </w:p>
    <w:p w:rsidR="00010986" w:rsidRPr="00010986" w:rsidRDefault="00010986" w:rsidP="00F91CA4">
      <w:pPr>
        <w:pStyle w:val="SingleTxtG"/>
        <w:keepNext/>
        <w:rPr>
          <w:lang w:val="fr-FR"/>
        </w:rPr>
      </w:pPr>
      <w:r w:rsidRPr="00010986">
        <w:rPr>
          <w:lang w:val="fr-FR"/>
        </w:rPr>
        <w:lastRenderedPageBreak/>
        <w:t>Section II</w:t>
      </w:r>
    </w:p>
    <w:p w:rsidR="00010986" w:rsidRPr="00010986" w:rsidRDefault="00010986" w:rsidP="00F91CA4">
      <w:pPr>
        <w:pStyle w:val="SingleTxtG"/>
        <w:rPr>
          <w:lang w:val="fr-FR"/>
        </w:rPr>
      </w:pPr>
      <w:r w:rsidRPr="00010986">
        <w:rPr>
          <w:lang w:val="fr-FR"/>
        </w:rPr>
        <w:t>1.</w:t>
      </w:r>
      <w:r w:rsidRPr="00010986">
        <w:rPr>
          <w:lang w:val="fr-FR"/>
        </w:rPr>
        <w:tab/>
        <w:t>Informations complémentaires (le cas échéant): (voir l</w:t>
      </w:r>
      <w:r w:rsidR="00DB4C2D">
        <w:rPr>
          <w:lang w:val="fr-FR"/>
        </w:rPr>
        <w:t>’</w:t>
      </w:r>
      <w:r w:rsidRPr="00010986">
        <w:rPr>
          <w:lang w:val="fr-FR"/>
        </w:rPr>
        <w:t>additif)</w:t>
      </w:r>
    </w:p>
    <w:p w:rsidR="00010986" w:rsidRPr="00010986" w:rsidRDefault="00010986" w:rsidP="00F91CA4">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2.</w:t>
      </w:r>
      <w:r w:rsidRPr="00010986">
        <w:rPr>
          <w:rFonts w:eastAsia="Times New Roman"/>
          <w:lang w:val="fr-FR"/>
        </w:rPr>
        <w:tab/>
        <w:t>Service technique responsable de la réalisation des essais:</w:t>
      </w:r>
      <w:r w:rsidRPr="00010986">
        <w:rPr>
          <w:rFonts w:eastAsia="Times New Roman"/>
          <w:lang w:val="fr-FR"/>
        </w:rPr>
        <w:tab/>
      </w:r>
    </w:p>
    <w:p w:rsidR="00010986" w:rsidRPr="00010986" w:rsidRDefault="00010986" w:rsidP="00F91CA4">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3.</w:t>
      </w:r>
      <w:r w:rsidRPr="00010986">
        <w:rPr>
          <w:rFonts w:eastAsia="Times New Roman"/>
          <w:lang w:val="fr-FR"/>
        </w:rPr>
        <w:tab/>
        <w:t>Date du rapport d</w:t>
      </w:r>
      <w:r w:rsidR="00DB4C2D">
        <w:rPr>
          <w:rFonts w:eastAsia="Times New Roman"/>
          <w:lang w:val="fr-FR"/>
        </w:rPr>
        <w:t>’</w:t>
      </w:r>
      <w:r w:rsidRPr="00010986">
        <w:rPr>
          <w:rFonts w:eastAsia="Times New Roman"/>
          <w:lang w:val="fr-FR"/>
        </w:rPr>
        <w:t>essai:</w:t>
      </w:r>
      <w:r w:rsidRPr="00010986">
        <w:rPr>
          <w:rFonts w:eastAsia="Times New Roman"/>
          <w:lang w:val="fr-FR"/>
        </w:rPr>
        <w:tab/>
      </w:r>
    </w:p>
    <w:p w:rsidR="00010986" w:rsidRPr="00010986" w:rsidRDefault="00010986" w:rsidP="00F91CA4">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4.</w:t>
      </w:r>
      <w:r w:rsidRPr="00010986">
        <w:rPr>
          <w:rFonts w:eastAsia="Times New Roman"/>
          <w:lang w:val="fr-FR"/>
        </w:rPr>
        <w:tab/>
        <w:t>Numéro du rapport d</w:t>
      </w:r>
      <w:r w:rsidR="00DB4C2D">
        <w:rPr>
          <w:rFonts w:eastAsia="Times New Roman"/>
          <w:lang w:val="fr-FR"/>
        </w:rPr>
        <w:t>’</w:t>
      </w:r>
      <w:r w:rsidRPr="00010986">
        <w:rPr>
          <w:rFonts w:eastAsia="Times New Roman"/>
          <w:lang w:val="fr-FR"/>
        </w:rPr>
        <w:t>essai:</w:t>
      </w:r>
      <w:r w:rsidRPr="00010986">
        <w:rPr>
          <w:rFonts w:eastAsia="Times New Roman"/>
          <w:lang w:val="fr-FR"/>
        </w:rPr>
        <w:tab/>
      </w:r>
    </w:p>
    <w:p w:rsidR="00010986" w:rsidRPr="00010986" w:rsidRDefault="00010986" w:rsidP="00F91CA4">
      <w:pPr>
        <w:pStyle w:val="SingleTxtG"/>
        <w:rPr>
          <w:rFonts w:eastAsia="Times New Roman"/>
          <w:lang w:val="fr-FR"/>
        </w:rPr>
      </w:pPr>
      <w:r w:rsidRPr="00010986">
        <w:rPr>
          <w:rFonts w:eastAsia="Times New Roman"/>
          <w:lang w:val="fr-FR"/>
        </w:rPr>
        <w:t>5.</w:t>
      </w:r>
      <w:r w:rsidRPr="00010986">
        <w:rPr>
          <w:rFonts w:eastAsia="Times New Roman"/>
          <w:lang w:val="fr-FR"/>
        </w:rPr>
        <w:tab/>
      </w:r>
      <w:r w:rsidRPr="00010986">
        <w:rPr>
          <w:lang w:val="fr-FR"/>
        </w:rPr>
        <w:t>Remarques</w:t>
      </w:r>
      <w:r w:rsidRPr="00010986">
        <w:rPr>
          <w:rFonts w:eastAsia="Times New Roman"/>
          <w:lang w:val="fr-FR"/>
        </w:rPr>
        <w:t xml:space="preserve"> (le cas échéant): (voir l</w:t>
      </w:r>
      <w:r w:rsidR="00DB4C2D">
        <w:rPr>
          <w:rFonts w:eastAsia="Times New Roman"/>
          <w:lang w:val="fr-FR"/>
        </w:rPr>
        <w:t>’</w:t>
      </w:r>
      <w:r w:rsidRPr="00010986">
        <w:rPr>
          <w:rFonts w:eastAsia="Times New Roman"/>
          <w:lang w:val="fr-FR"/>
        </w:rPr>
        <w:t>additif)</w:t>
      </w:r>
    </w:p>
    <w:p w:rsidR="00010986" w:rsidRPr="00010986" w:rsidRDefault="00010986" w:rsidP="00F91CA4">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6.</w:t>
      </w:r>
      <w:r w:rsidRPr="00010986">
        <w:rPr>
          <w:rFonts w:eastAsia="Times New Roman"/>
          <w:lang w:val="fr-FR"/>
        </w:rPr>
        <w:tab/>
        <w:t>Lieu:</w:t>
      </w:r>
      <w:r w:rsidRPr="00010986">
        <w:rPr>
          <w:rFonts w:eastAsia="Times New Roman"/>
          <w:lang w:val="fr-FR"/>
        </w:rPr>
        <w:tab/>
      </w:r>
    </w:p>
    <w:p w:rsidR="00010986" w:rsidRPr="00010986" w:rsidRDefault="00010986" w:rsidP="00F91CA4">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7.</w:t>
      </w:r>
      <w:r w:rsidRPr="00010986">
        <w:rPr>
          <w:rFonts w:eastAsia="Times New Roman"/>
          <w:lang w:val="fr-FR"/>
        </w:rPr>
        <w:tab/>
        <w:t>Date:</w:t>
      </w:r>
      <w:r w:rsidRPr="00010986">
        <w:rPr>
          <w:rFonts w:eastAsia="Times New Roman"/>
          <w:lang w:val="fr-FR"/>
        </w:rPr>
        <w:tab/>
      </w:r>
    </w:p>
    <w:p w:rsidR="00010986" w:rsidRPr="00010986" w:rsidRDefault="00010986" w:rsidP="00F91CA4">
      <w:pPr>
        <w:pStyle w:val="SingleTxtG"/>
        <w:tabs>
          <w:tab w:val="right" w:leader="dot" w:pos="8505"/>
        </w:tabs>
        <w:kinsoku/>
        <w:overflowPunct/>
        <w:autoSpaceDE/>
        <w:autoSpaceDN/>
        <w:adjustRightInd/>
        <w:snapToGrid/>
        <w:ind w:left="1701" w:hanging="567"/>
        <w:jc w:val="left"/>
        <w:rPr>
          <w:rFonts w:eastAsia="Times New Roman"/>
          <w:lang w:val="fr-FR"/>
        </w:rPr>
      </w:pPr>
      <w:r w:rsidRPr="00010986">
        <w:rPr>
          <w:rFonts w:eastAsia="Times New Roman"/>
          <w:lang w:val="fr-FR"/>
        </w:rPr>
        <w:t>8.</w:t>
      </w:r>
      <w:r w:rsidRPr="00010986">
        <w:rPr>
          <w:rFonts w:eastAsia="Times New Roman"/>
          <w:lang w:val="fr-FR"/>
        </w:rPr>
        <w:tab/>
        <w:t>Signature:</w:t>
      </w:r>
      <w:r w:rsidRPr="00010986">
        <w:rPr>
          <w:rFonts w:eastAsia="Times New Roman"/>
          <w:lang w:val="fr-FR"/>
        </w:rPr>
        <w:tab/>
      </w:r>
    </w:p>
    <w:p w:rsidR="00010986" w:rsidRPr="00010986" w:rsidRDefault="00010986" w:rsidP="00CB5DFF">
      <w:pPr>
        <w:pStyle w:val="SingleTxtG"/>
        <w:tabs>
          <w:tab w:val="right" w:pos="2700"/>
        </w:tabs>
        <w:kinsoku/>
        <w:overflowPunct/>
        <w:autoSpaceDE/>
        <w:autoSpaceDN/>
        <w:adjustRightInd/>
        <w:snapToGrid/>
        <w:ind w:left="1701" w:hanging="567"/>
        <w:jc w:val="left"/>
        <w:rPr>
          <w:lang w:val="fr-FR"/>
        </w:rPr>
      </w:pPr>
      <w:r w:rsidRPr="00010986">
        <w:rPr>
          <w:lang w:val="fr-FR"/>
        </w:rPr>
        <w:t>Pièces jointes:</w:t>
      </w:r>
      <w:r w:rsidRPr="00010986">
        <w:rPr>
          <w:lang w:val="fr-FR"/>
        </w:rPr>
        <w:tab/>
        <w:t>1.</w:t>
      </w:r>
      <w:r w:rsidRPr="00010986">
        <w:rPr>
          <w:lang w:val="fr-FR"/>
        </w:rPr>
        <w:tab/>
        <w:t>Dossier d</w:t>
      </w:r>
      <w:r w:rsidR="00DB4C2D">
        <w:rPr>
          <w:lang w:val="fr-FR"/>
        </w:rPr>
        <w:t>’</w:t>
      </w:r>
      <w:r w:rsidRPr="00010986">
        <w:rPr>
          <w:lang w:val="fr-FR"/>
        </w:rPr>
        <w:t>information;</w:t>
      </w:r>
    </w:p>
    <w:p w:rsidR="00010986" w:rsidRDefault="00010986" w:rsidP="00CB5DFF">
      <w:pPr>
        <w:pStyle w:val="SingleTxtG"/>
        <w:tabs>
          <w:tab w:val="right" w:pos="2700"/>
        </w:tabs>
        <w:kinsoku/>
        <w:overflowPunct/>
        <w:autoSpaceDE/>
        <w:autoSpaceDN/>
        <w:adjustRightInd/>
        <w:snapToGrid/>
        <w:ind w:left="1985" w:hanging="851"/>
        <w:jc w:val="left"/>
        <w:rPr>
          <w:rFonts w:eastAsia="Times New Roman"/>
          <w:lang w:val="fr-FR"/>
        </w:rPr>
      </w:pPr>
      <w:r w:rsidRPr="00010986">
        <w:rPr>
          <w:rFonts w:eastAsia="Times New Roman"/>
          <w:lang w:val="fr-FR"/>
        </w:rPr>
        <w:tab/>
      </w:r>
      <w:r w:rsidRPr="00010986">
        <w:rPr>
          <w:rFonts w:eastAsia="Times New Roman"/>
          <w:lang w:val="fr-FR"/>
        </w:rPr>
        <w:tab/>
        <w:t>2.</w:t>
      </w:r>
      <w:r w:rsidRPr="00010986">
        <w:rPr>
          <w:rFonts w:eastAsia="Times New Roman"/>
          <w:lang w:val="fr-FR"/>
        </w:rPr>
        <w:tab/>
        <w:t>Procès-verbal d</w:t>
      </w:r>
      <w:r w:rsidR="00DB4C2D">
        <w:rPr>
          <w:rFonts w:eastAsia="Times New Roman"/>
          <w:lang w:val="fr-FR"/>
        </w:rPr>
        <w:t>’</w:t>
      </w:r>
      <w:r w:rsidRPr="00010986">
        <w:rPr>
          <w:rFonts w:eastAsia="Times New Roman"/>
          <w:lang w:val="fr-FR"/>
        </w:rPr>
        <w:t>essai.</w:t>
      </w:r>
    </w:p>
    <w:p w:rsidR="00CB5DFF" w:rsidRDefault="00CB5DFF" w:rsidP="00CB5DFF">
      <w:pPr>
        <w:pStyle w:val="SingleTxtG"/>
        <w:tabs>
          <w:tab w:val="right" w:pos="2700"/>
        </w:tabs>
        <w:kinsoku/>
        <w:overflowPunct/>
        <w:autoSpaceDE/>
        <w:autoSpaceDN/>
        <w:adjustRightInd/>
        <w:snapToGrid/>
        <w:ind w:left="1985" w:hanging="851"/>
        <w:jc w:val="left"/>
        <w:rPr>
          <w:rFonts w:eastAsia="Times New Roman"/>
          <w:lang w:val="fr-FR"/>
        </w:rPr>
        <w:sectPr w:rsidR="00CB5DFF" w:rsidSect="00C46DB4">
          <w:headerReference w:type="even" r:id="rId61"/>
          <w:headerReference w:type="default" r:id="rId62"/>
          <w:footnotePr>
            <w:numRestart w:val="eachSect"/>
          </w:footnotePr>
          <w:endnotePr>
            <w:numFmt w:val="decimal"/>
          </w:endnotePr>
          <w:pgSz w:w="11907" w:h="16840" w:code="9"/>
          <w:pgMar w:top="1701" w:right="1134" w:bottom="2268" w:left="1134" w:header="794" w:footer="1701" w:gutter="0"/>
          <w:cols w:space="720"/>
          <w:docGrid w:linePitch="272"/>
        </w:sectPr>
      </w:pPr>
    </w:p>
    <w:p w:rsidR="00D25EA8" w:rsidRPr="00A779B8" w:rsidRDefault="00D25EA8" w:rsidP="00D25EA8">
      <w:pPr>
        <w:pStyle w:val="HChG"/>
        <w:rPr>
          <w:lang w:val="fr-FR"/>
        </w:rPr>
      </w:pPr>
      <w:r>
        <w:rPr>
          <w:iCs/>
          <w:lang w:val="fr-FR"/>
        </w:rPr>
        <w:lastRenderedPageBreak/>
        <w:tab/>
      </w:r>
      <w:r>
        <w:rPr>
          <w:iCs/>
          <w:lang w:val="fr-FR"/>
        </w:rPr>
        <w:tab/>
      </w:r>
      <w:r w:rsidRPr="00A779B8">
        <w:rPr>
          <w:iCs/>
          <w:lang w:val="fr-FR"/>
        </w:rPr>
        <w:t xml:space="preserve">Additif à la communication </w:t>
      </w:r>
      <w:r w:rsidRPr="00A779B8">
        <w:rPr>
          <w:rFonts w:eastAsia="MS Mincho"/>
          <w:iCs/>
          <w:lang w:val="fr-FR"/>
        </w:rPr>
        <w:t>n</w:t>
      </w:r>
      <w:r w:rsidRPr="00A779B8">
        <w:rPr>
          <w:rFonts w:eastAsia="MS Mincho"/>
          <w:iCs/>
          <w:vertAlign w:val="superscript"/>
          <w:lang w:val="fr-FR"/>
        </w:rPr>
        <w:t>o</w:t>
      </w:r>
      <w:r w:rsidRPr="00A779B8">
        <w:rPr>
          <w:iCs/>
          <w:lang w:val="fr-FR"/>
        </w:rPr>
        <w:t xml:space="preserve"> … </w:t>
      </w:r>
      <w:r w:rsidRPr="00A779B8">
        <w:rPr>
          <w:lang w:val="fr-FR"/>
        </w:rPr>
        <w:t>relative à l</w:t>
      </w:r>
      <w:r w:rsidR="00DB4C2D">
        <w:rPr>
          <w:lang w:val="fr-FR"/>
        </w:rPr>
        <w:t>’</w:t>
      </w:r>
      <w:r w:rsidRPr="00A779B8">
        <w:rPr>
          <w:lang w:val="fr-FR"/>
        </w:rPr>
        <w:t>homologation de type d</w:t>
      </w:r>
      <w:r w:rsidR="00DB4C2D">
        <w:rPr>
          <w:lang w:val="fr-FR"/>
        </w:rPr>
        <w:t>’</w:t>
      </w:r>
      <w:r w:rsidRPr="00A779B8">
        <w:rPr>
          <w:lang w:val="fr-FR"/>
        </w:rPr>
        <w:t>un véhicule en ce qui concerne les émissions de gaz d</w:t>
      </w:r>
      <w:r w:rsidR="00DB4C2D">
        <w:rPr>
          <w:lang w:val="fr-FR"/>
        </w:rPr>
        <w:t>’</w:t>
      </w:r>
      <w:r w:rsidRPr="00A779B8">
        <w:rPr>
          <w:lang w:val="fr-FR"/>
        </w:rPr>
        <w:t>échappement conformément à la série 07 d</w:t>
      </w:r>
      <w:r w:rsidR="00DB4C2D">
        <w:rPr>
          <w:lang w:val="fr-FR"/>
        </w:rPr>
        <w:t>’</w:t>
      </w:r>
      <w:r w:rsidRPr="00A779B8">
        <w:rPr>
          <w:lang w:val="fr-FR"/>
        </w:rPr>
        <w:t xml:space="preserve">amendements au Règlement </w:t>
      </w:r>
      <w:r w:rsidRPr="00A779B8">
        <w:rPr>
          <w:rFonts w:eastAsia="MS Mincho"/>
          <w:lang w:val="fr-FR"/>
        </w:rPr>
        <w:t>n</w:t>
      </w:r>
      <w:r w:rsidRPr="00A779B8">
        <w:rPr>
          <w:rFonts w:eastAsia="MS Mincho"/>
          <w:vertAlign w:val="superscript"/>
          <w:lang w:val="fr-FR"/>
        </w:rPr>
        <w:t>o</w:t>
      </w:r>
      <w:r w:rsidRPr="00A779B8">
        <w:rPr>
          <w:lang w:val="fr-FR"/>
        </w:rPr>
        <w:t> 83</w:t>
      </w:r>
    </w:p>
    <w:p w:rsidR="00D25EA8" w:rsidRPr="00A779B8" w:rsidRDefault="00D25EA8" w:rsidP="00D25EA8">
      <w:pPr>
        <w:pStyle w:val="SingleTxtG"/>
        <w:keepNext/>
        <w:tabs>
          <w:tab w:val="right" w:leader="dot" w:pos="8505"/>
        </w:tabs>
        <w:ind w:left="2268" w:hanging="1134"/>
        <w:jc w:val="left"/>
        <w:rPr>
          <w:lang w:val="fr-FR"/>
        </w:rPr>
      </w:pPr>
      <w:r w:rsidRPr="00A779B8">
        <w:rPr>
          <w:lang w:val="fr-FR"/>
        </w:rPr>
        <w:t>1.</w:t>
      </w:r>
      <w:r w:rsidRPr="00A779B8">
        <w:rPr>
          <w:lang w:val="fr-FR"/>
        </w:rPr>
        <w:tab/>
        <w:t>Informations supplémentaires</w:t>
      </w:r>
    </w:p>
    <w:p w:rsidR="00D25EA8" w:rsidRPr="00A779B8" w:rsidRDefault="00D25EA8" w:rsidP="00D25EA8">
      <w:pPr>
        <w:pStyle w:val="SingleTxtG"/>
        <w:tabs>
          <w:tab w:val="right" w:leader="dot" w:pos="8505"/>
        </w:tabs>
        <w:ind w:left="2268" w:hanging="1134"/>
        <w:jc w:val="left"/>
        <w:rPr>
          <w:lang w:val="fr-FR"/>
        </w:rPr>
      </w:pPr>
      <w:r w:rsidRPr="00A779B8">
        <w:rPr>
          <w:lang w:val="fr-FR"/>
        </w:rPr>
        <w:t>1.1</w:t>
      </w:r>
      <w:r w:rsidRPr="00A779B8">
        <w:rPr>
          <w:lang w:val="fr-FR"/>
        </w:rPr>
        <w:tab/>
        <w:t>Masse du véhicule en ordre de marche:</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1.2</w:t>
      </w:r>
      <w:r w:rsidRPr="00A779B8">
        <w:rPr>
          <w:lang w:val="fr-FR"/>
        </w:rPr>
        <w:tab/>
        <w:t>Masse de référence du véhicule:</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1.3</w:t>
      </w:r>
      <w:r w:rsidRPr="00A779B8">
        <w:rPr>
          <w:lang w:val="fr-FR"/>
        </w:rPr>
        <w:tab/>
        <w:t>Masse maximale du véhicule:</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1.4</w:t>
      </w:r>
      <w:r w:rsidRPr="00A779B8">
        <w:rPr>
          <w:lang w:val="fr-FR"/>
        </w:rPr>
        <w:tab/>
        <w:t>Nombre de sièges (y compris celui du conducteur):</w:t>
      </w:r>
      <w:r w:rsidRPr="00A779B8">
        <w:rPr>
          <w:lang w:val="fr-FR"/>
        </w:rPr>
        <w:tab/>
      </w:r>
    </w:p>
    <w:p w:rsidR="00D25EA8" w:rsidRPr="00A779B8" w:rsidRDefault="00D25EA8" w:rsidP="00D25EA8">
      <w:pPr>
        <w:pStyle w:val="SingleTxtG"/>
        <w:keepNext/>
        <w:tabs>
          <w:tab w:val="right" w:leader="dot" w:pos="8505"/>
        </w:tabs>
        <w:ind w:left="2268" w:hanging="1134"/>
        <w:jc w:val="left"/>
        <w:rPr>
          <w:lang w:val="fr-FR"/>
        </w:rPr>
      </w:pPr>
      <w:r w:rsidRPr="00A779B8">
        <w:rPr>
          <w:lang w:val="fr-FR"/>
        </w:rPr>
        <w:t>1.6</w:t>
      </w:r>
      <w:r w:rsidRPr="00A779B8">
        <w:rPr>
          <w:lang w:val="fr-FR"/>
        </w:rPr>
        <w:tab/>
        <w:t>Type de carrosserie:</w:t>
      </w:r>
    </w:p>
    <w:p w:rsidR="00D25EA8" w:rsidRPr="00A779B8" w:rsidRDefault="00D25EA8" w:rsidP="00D25EA8">
      <w:pPr>
        <w:pStyle w:val="SingleTxtG"/>
        <w:tabs>
          <w:tab w:val="right" w:leader="dot" w:pos="8505"/>
        </w:tabs>
        <w:ind w:left="2268" w:hanging="1134"/>
        <w:jc w:val="left"/>
        <w:rPr>
          <w:lang w:val="fr-FR"/>
        </w:rPr>
      </w:pPr>
      <w:r w:rsidRPr="00A779B8">
        <w:rPr>
          <w:lang w:val="fr-FR"/>
        </w:rPr>
        <w:t>1.6.1</w:t>
      </w:r>
      <w:r w:rsidRPr="00A779B8">
        <w:rPr>
          <w:lang w:val="fr-FR"/>
        </w:rPr>
        <w:tab/>
        <w:t>Pour les catégories M</w:t>
      </w:r>
      <w:r w:rsidRPr="00A779B8">
        <w:rPr>
          <w:vertAlign w:val="subscript"/>
          <w:lang w:val="fr-FR"/>
        </w:rPr>
        <w:t>1</w:t>
      </w:r>
      <w:r w:rsidRPr="00A779B8">
        <w:rPr>
          <w:lang w:val="fr-FR"/>
        </w:rPr>
        <w:t>, M</w:t>
      </w:r>
      <w:r w:rsidRPr="00A779B8">
        <w:rPr>
          <w:vertAlign w:val="subscript"/>
          <w:lang w:val="fr-FR"/>
        </w:rPr>
        <w:t>2</w:t>
      </w:r>
      <w:r w:rsidRPr="00A779B8">
        <w:rPr>
          <w:lang w:val="fr-FR"/>
        </w:rPr>
        <w:t>: limousine, voiture à hayon arrière, coupé, cabriolet, break, véhicule polyvalent</w:t>
      </w:r>
      <w:r>
        <w:rPr>
          <w:rStyle w:val="Appelnotedebasdep"/>
        </w:rPr>
        <w:footnoteReference w:id="31"/>
      </w:r>
    </w:p>
    <w:p w:rsidR="00D25EA8" w:rsidRPr="00A779B8" w:rsidRDefault="00D25EA8" w:rsidP="00D25EA8">
      <w:pPr>
        <w:pStyle w:val="SingleTxtG"/>
        <w:tabs>
          <w:tab w:val="right" w:leader="dot" w:pos="8505"/>
        </w:tabs>
        <w:ind w:left="2268" w:hanging="1134"/>
        <w:jc w:val="left"/>
        <w:rPr>
          <w:lang w:val="fr-FR"/>
        </w:rPr>
      </w:pPr>
      <w:r w:rsidRPr="00A779B8">
        <w:rPr>
          <w:lang w:val="fr-FR"/>
        </w:rPr>
        <w:t>1.6.2</w:t>
      </w:r>
      <w:r w:rsidRPr="00A779B8">
        <w:rPr>
          <w:lang w:val="fr-FR"/>
        </w:rPr>
        <w:tab/>
        <w:t>Pour les catégories N</w:t>
      </w:r>
      <w:r w:rsidRPr="00A779B8">
        <w:rPr>
          <w:vertAlign w:val="subscript"/>
          <w:lang w:val="fr-FR"/>
        </w:rPr>
        <w:t>1</w:t>
      </w:r>
      <w:r w:rsidRPr="00A779B8">
        <w:rPr>
          <w:lang w:val="fr-FR"/>
        </w:rPr>
        <w:t>, N</w:t>
      </w:r>
      <w:r w:rsidRPr="00A779B8">
        <w:rPr>
          <w:vertAlign w:val="subscript"/>
          <w:lang w:val="fr-FR"/>
        </w:rPr>
        <w:t>2</w:t>
      </w:r>
      <w:r w:rsidRPr="00A779B8">
        <w:rPr>
          <w:lang w:val="fr-FR"/>
        </w:rPr>
        <w:t>: camion, camionnette</w:t>
      </w:r>
      <w:r>
        <w:rPr>
          <w:sz w:val="18"/>
          <w:szCs w:val="18"/>
          <w:vertAlign w:val="superscript"/>
          <w:lang w:val="fr-FR"/>
        </w:rPr>
        <w:t>1</w:t>
      </w:r>
    </w:p>
    <w:p w:rsidR="00D25EA8" w:rsidRPr="00A779B8" w:rsidRDefault="00D25EA8" w:rsidP="00D25EA8">
      <w:pPr>
        <w:pStyle w:val="SingleTxtG"/>
        <w:keepNext/>
        <w:tabs>
          <w:tab w:val="right" w:leader="dot" w:pos="8505"/>
        </w:tabs>
        <w:ind w:left="2268" w:hanging="1134"/>
        <w:jc w:val="left"/>
        <w:rPr>
          <w:lang w:val="fr-FR"/>
        </w:rPr>
      </w:pPr>
      <w:r w:rsidRPr="00A779B8">
        <w:rPr>
          <w:lang w:val="fr-FR"/>
        </w:rPr>
        <w:t>1.7</w:t>
      </w:r>
      <w:r w:rsidRPr="00A779B8">
        <w:rPr>
          <w:lang w:val="fr-FR"/>
        </w:rPr>
        <w:tab/>
        <w:t>Roues motrices: avant, arrière, 4 x 4</w:t>
      </w:r>
      <w:r>
        <w:rPr>
          <w:sz w:val="18"/>
          <w:szCs w:val="18"/>
          <w:vertAlign w:val="superscript"/>
          <w:lang w:val="fr-FR"/>
        </w:rPr>
        <w:t>1</w:t>
      </w:r>
    </w:p>
    <w:p w:rsidR="00D25EA8" w:rsidRPr="00A779B8" w:rsidRDefault="00D25EA8" w:rsidP="00D25EA8">
      <w:pPr>
        <w:pStyle w:val="SingleTxtG"/>
        <w:tabs>
          <w:tab w:val="right" w:leader="dot" w:pos="8505"/>
        </w:tabs>
        <w:ind w:left="2268" w:hanging="1134"/>
        <w:jc w:val="left"/>
        <w:rPr>
          <w:lang w:val="fr-FR"/>
        </w:rPr>
      </w:pPr>
      <w:r w:rsidRPr="00A779B8">
        <w:rPr>
          <w:lang w:val="fr-FR"/>
        </w:rPr>
        <w:t>1.8</w:t>
      </w:r>
      <w:r w:rsidRPr="00A779B8">
        <w:rPr>
          <w:lang w:val="fr-FR"/>
        </w:rPr>
        <w:tab/>
        <w:t>Véhicule électrique pur: oui/non</w:t>
      </w:r>
      <w:r>
        <w:rPr>
          <w:sz w:val="18"/>
          <w:szCs w:val="18"/>
          <w:vertAlign w:val="superscript"/>
          <w:lang w:val="fr-FR"/>
        </w:rPr>
        <w:t>1</w:t>
      </w:r>
    </w:p>
    <w:p w:rsidR="00D25EA8" w:rsidRPr="00A779B8" w:rsidRDefault="00D25EA8" w:rsidP="00D25EA8">
      <w:pPr>
        <w:pStyle w:val="SingleTxtG"/>
        <w:keepNext/>
        <w:tabs>
          <w:tab w:val="right" w:leader="dot" w:pos="8505"/>
        </w:tabs>
        <w:ind w:left="2268" w:hanging="1134"/>
        <w:jc w:val="left"/>
        <w:rPr>
          <w:lang w:val="fr-FR"/>
        </w:rPr>
      </w:pPr>
      <w:r w:rsidRPr="00A779B8">
        <w:rPr>
          <w:lang w:val="fr-FR"/>
        </w:rPr>
        <w:t>1.9</w:t>
      </w:r>
      <w:r w:rsidRPr="00A779B8">
        <w:rPr>
          <w:lang w:val="fr-FR"/>
        </w:rPr>
        <w:tab/>
        <w:t>Véhicule électrique hybride: oui/non</w:t>
      </w:r>
      <w:r>
        <w:rPr>
          <w:sz w:val="18"/>
          <w:szCs w:val="18"/>
          <w:vertAlign w:val="superscript"/>
          <w:lang w:val="fr-FR"/>
        </w:rPr>
        <w:t>1</w:t>
      </w:r>
    </w:p>
    <w:p w:rsidR="00D25EA8" w:rsidRPr="00A779B8" w:rsidRDefault="00D25EA8" w:rsidP="00D25EA8">
      <w:pPr>
        <w:pStyle w:val="SingleTxtG"/>
        <w:tabs>
          <w:tab w:val="right" w:leader="dot" w:pos="8505"/>
        </w:tabs>
        <w:ind w:left="2268" w:hanging="1134"/>
        <w:jc w:val="left"/>
        <w:rPr>
          <w:lang w:val="fr-FR"/>
        </w:rPr>
      </w:pPr>
      <w:r w:rsidRPr="00A779B8">
        <w:rPr>
          <w:lang w:val="fr-FR"/>
        </w:rPr>
        <w:t>1.9.1</w:t>
      </w:r>
      <w:r w:rsidRPr="00A779B8">
        <w:rPr>
          <w:lang w:val="fr-FR"/>
        </w:rPr>
        <w:tab/>
        <w:t>Catégorie de véhicule électrique hybride: rechargeable de l</w:t>
      </w:r>
      <w:r w:rsidR="00DB4C2D">
        <w:rPr>
          <w:lang w:val="fr-FR"/>
        </w:rPr>
        <w:t>’</w:t>
      </w:r>
      <w:r w:rsidRPr="00A779B8">
        <w:rPr>
          <w:lang w:val="fr-FR"/>
        </w:rPr>
        <w:t>extérieur/non rechargeable de l</w:t>
      </w:r>
      <w:r w:rsidR="00DB4C2D">
        <w:rPr>
          <w:lang w:val="fr-FR"/>
        </w:rPr>
        <w:t>’</w:t>
      </w:r>
      <w:r w:rsidRPr="00A779B8">
        <w:rPr>
          <w:lang w:val="fr-FR"/>
        </w:rPr>
        <w:t>extérieur</w:t>
      </w:r>
      <w:r>
        <w:rPr>
          <w:sz w:val="18"/>
          <w:szCs w:val="18"/>
          <w:vertAlign w:val="superscript"/>
          <w:lang w:val="fr-FR"/>
        </w:rPr>
        <w:t>1</w:t>
      </w:r>
    </w:p>
    <w:p w:rsidR="00D25EA8" w:rsidRPr="00A779B8" w:rsidRDefault="00D25EA8" w:rsidP="00D25EA8">
      <w:pPr>
        <w:pStyle w:val="SingleTxtG"/>
        <w:ind w:left="2268" w:hanging="1134"/>
        <w:jc w:val="left"/>
        <w:rPr>
          <w:lang w:val="fr-FR"/>
        </w:rPr>
      </w:pPr>
      <w:r w:rsidRPr="00A779B8">
        <w:rPr>
          <w:lang w:val="fr-FR"/>
        </w:rPr>
        <w:t>1.9.2</w:t>
      </w:r>
      <w:r w:rsidRPr="00A779B8">
        <w:rPr>
          <w:lang w:val="fr-FR"/>
        </w:rPr>
        <w:tab/>
        <w:t>Commutateur de mode de fonctionnement: avec/sans</w:t>
      </w:r>
      <w:r>
        <w:rPr>
          <w:sz w:val="18"/>
          <w:szCs w:val="18"/>
          <w:vertAlign w:val="superscript"/>
          <w:lang w:val="fr-FR"/>
        </w:rPr>
        <w:t>1</w:t>
      </w:r>
    </w:p>
    <w:p w:rsidR="00D25EA8" w:rsidRPr="00A779B8" w:rsidRDefault="00D25EA8" w:rsidP="00D25EA8">
      <w:pPr>
        <w:pStyle w:val="SingleTxtG"/>
        <w:tabs>
          <w:tab w:val="right" w:leader="dot" w:pos="8505"/>
        </w:tabs>
        <w:ind w:left="2268" w:hanging="1134"/>
        <w:jc w:val="left"/>
        <w:rPr>
          <w:lang w:val="fr-FR"/>
        </w:rPr>
      </w:pPr>
      <w:r w:rsidRPr="00A779B8">
        <w:rPr>
          <w:lang w:val="fr-FR"/>
        </w:rPr>
        <w:t>1.10</w:t>
      </w:r>
      <w:r w:rsidRPr="00A779B8">
        <w:rPr>
          <w:lang w:val="fr-FR"/>
        </w:rPr>
        <w:tab/>
        <w:t>Identification du moteur:</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1.10.1</w:t>
      </w:r>
      <w:r w:rsidRPr="00A779B8">
        <w:rPr>
          <w:lang w:val="fr-FR"/>
        </w:rPr>
        <w:tab/>
        <w:t>Cylindrée:</w:t>
      </w:r>
      <w:r w:rsidRPr="00A779B8">
        <w:rPr>
          <w:lang w:val="fr-FR"/>
        </w:rPr>
        <w:tab/>
      </w:r>
    </w:p>
    <w:p w:rsidR="00D25EA8" w:rsidRPr="00A779B8" w:rsidRDefault="00D25EA8" w:rsidP="00D25EA8">
      <w:pPr>
        <w:pStyle w:val="SingleTxtG"/>
        <w:ind w:left="2268" w:hanging="1134"/>
        <w:jc w:val="left"/>
        <w:rPr>
          <w:lang w:val="fr-FR"/>
        </w:rPr>
      </w:pPr>
      <w:r w:rsidRPr="00A779B8">
        <w:rPr>
          <w:lang w:val="fr-FR"/>
        </w:rPr>
        <w:t>1.10.2</w:t>
      </w:r>
      <w:r w:rsidRPr="00A779B8">
        <w:rPr>
          <w:lang w:val="fr-FR"/>
        </w:rPr>
        <w:tab/>
        <w:t>Alimentation: injection directe/injection indirecte</w:t>
      </w:r>
      <w:r>
        <w:rPr>
          <w:sz w:val="18"/>
          <w:szCs w:val="18"/>
          <w:vertAlign w:val="superscript"/>
          <w:lang w:val="fr-FR"/>
        </w:rPr>
        <w:t>1</w:t>
      </w:r>
    </w:p>
    <w:p w:rsidR="00D25EA8" w:rsidRPr="00A779B8" w:rsidRDefault="00D25EA8" w:rsidP="00D25EA8">
      <w:pPr>
        <w:pStyle w:val="SingleTxtG"/>
        <w:tabs>
          <w:tab w:val="right" w:leader="dot" w:pos="8505"/>
        </w:tabs>
        <w:ind w:left="2268" w:hanging="1134"/>
        <w:jc w:val="left"/>
        <w:rPr>
          <w:lang w:val="fr-FR"/>
        </w:rPr>
      </w:pPr>
      <w:r w:rsidRPr="00A779B8">
        <w:rPr>
          <w:lang w:val="fr-FR"/>
        </w:rPr>
        <w:t>1.10.3</w:t>
      </w:r>
      <w:r w:rsidRPr="00A779B8">
        <w:rPr>
          <w:lang w:val="fr-FR"/>
        </w:rPr>
        <w:tab/>
        <w:t>Carburant recommandé par le constructeur:</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1.10.4</w:t>
      </w:r>
      <w:r w:rsidRPr="00A779B8">
        <w:rPr>
          <w:lang w:val="fr-FR"/>
        </w:rPr>
        <w:tab/>
        <w:t>Puissance maximale:…………………………kW à</w:t>
      </w:r>
      <w:r w:rsidRPr="00A779B8">
        <w:rPr>
          <w:lang w:val="fr-FR"/>
        </w:rPr>
        <w:tab/>
        <w:t>min</w:t>
      </w:r>
      <w:r w:rsidRPr="00A779B8">
        <w:rPr>
          <w:vertAlign w:val="superscript"/>
          <w:lang w:val="fr-FR"/>
        </w:rPr>
        <w:t>-1</w:t>
      </w:r>
    </w:p>
    <w:p w:rsidR="00D25EA8" w:rsidRPr="00A779B8" w:rsidRDefault="00D25EA8" w:rsidP="00D25EA8">
      <w:pPr>
        <w:pStyle w:val="SingleTxtG"/>
        <w:tabs>
          <w:tab w:val="right" w:leader="dot" w:pos="8505"/>
        </w:tabs>
        <w:ind w:left="2268" w:hanging="1134"/>
        <w:jc w:val="left"/>
        <w:rPr>
          <w:lang w:val="fr-FR"/>
        </w:rPr>
      </w:pPr>
      <w:r w:rsidRPr="00A779B8">
        <w:rPr>
          <w:lang w:val="fr-FR"/>
        </w:rPr>
        <w:t>1.10.5</w:t>
      </w:r>
      <w:r w:rsidRPr="00A779B8">
        <w:rPr>
          <w:lang w:val="fr-FR"/>
        </w:rPr>
        <w:tab/>
        <w:t>Suralimentation: oui/non</w:t>
      </w:r>
      <w:r>
        <w:rPr>
          <w:sz w:val="18"/>
          <w:szCs w:val="18"/>
          <w:vertAlign w:val="superscript"/>
          <w:lang w:val="fr-FR"/>
        </w:rPr>
        <w:t>1</w:t>
      </w:r>
    </w:p>
    <w:p w:rsidR="00D25EA8" w:rsidRPr="00A779B8" w:rsidRDefault="00D25EA8" w:rsidP="00D25EA8">
      <w:pPr>
        <w:pStyle w:val="SingleTxtG"/>
        <w:tabs>
          <w:tab w:val="right" w:leader="dot" w:pos="8505"/>
        </w:tabs>
        <w:ind w:left="2268" w:hanging="1134"/>
        <w:jc w:val="left"/>
        <w:rPr>
          <w:lang w:val="fr-FR"/>
        </w:rPr>
      </w:pPr>
      <w:r w:rsidRPr="00A779B8">
        <w:rPr>
          <w:lang w:val="fr-FR"/>
        </w:rPr>
        <w:t>1.10.6</w:t>
      </w:r>
      <w:r w:rsidRPr="00A779B8">
        <w:rPr>
          <w:lang w:val="fr-FR"/>
        </w:rPr>
        <w:tab/>
        <w:t>Allumage: par compression/à allumage commandé</w:t>
      </w:r>
      <w:r>
        <w:rPr>
          <w:sz w:val="18"/>
          <w:szCs w:val="18"/>
          <w:vertAlign w:val="superscript"/>
          <w:lang w:val="fr-FR"/>
        </w:rPr>
        <w:t>1</w:t>
      </w:r>
    </w:p>
    <w:p w:rsidR="00D25EA8" w:rsidRPr="00A779B8" w:rsidRDefault="00D25EA8" w:rsidP="00D25EA8">
      <w:pPr>
        <w:pStyle w:val="SingleTxtG"/>
        <w:ind w:left="2268" w:hanging="1134"/>
        <w:jc w:val="left"/>
        <w:rPr>
          <w:lang w:val="fr-FR"/>
        </w:rPr>
      </w:pPr>
      <w:r w:rsidRPr="00A779B8">
        <w:rPr>
          <w:lang w:val="fr-FR"/>
        </w:rPr>
        <w:t>1.11</w:t>
      </w:r>
      <w:r w:rsidRPr="00A779B8">
        <w:rPr>
          <w:lang w:val="fr-FR"/>
        </w:rPr>
        <w:tab/>
        <w:t>Chaîne de traction (pour véhicule électrique pur ou véhicule</w:t>
      </w:r>
      <w:r w:rsidRPr="00A779B8">
        <w:rPr>
          <w:lang w:val="fr-FR"/>
        </w:rPr>
        <w:br/>
        <w:t>électrique hybride)</w:t>
      </w:r>
      <w:r>
        <w:rPr>
          <w:sz w:val="18"/>
          <w:szCs w:val="18"/>
          <w:vertAlign w:val="superscript"/>
          <w:lang w:val="fr-FR"/>
        </w:rPr>
        <w:t>1</w:t>
      </w:r>
    </w:p>
    <w:p w:rsidR="00D25EA8" w:rsidRPr="00A779B8" w:rsidRDefault="00D25EA8" w:rsidP="00D25EA8">
      <w:pPr>
        <w:pStyle w:val="SingleTxtG"/>
        <w:tabs>
          <w:tab w:val="right" w:leader="dot" w:pos="8505"/>
        </w:tabs>
        <w:ind w:left="2268" w:hanging="1134"/>
        <w:jc w:val="left"/>
        <w:rPr>
          <w:lang w:val="fr-FR"/>
        </w:rPr>
      </w:pPr>
      <w:r w:rsidRPr="00A779B8">
        <w:rPr>
          <w:lang w:val="fr-FR"/>
        </w:rPr>
        <w:t>1.11.1</w:t>
      </w:r>
      <w:r w:rsidRPr="00A779B8">
        <w:rPr>
          <w:lang w:val="fr-FR"/>
        </w:rPr>
        <w:tab/>
        <w:t>Puissance maximale nette:…………….kW, entre……………et</w:t>
      </w:r>
      <w:r w:rsidRPr="00A779B8">
        <w:rPr>
          <w:lang w:val="fr-FR"/>
        </w:rPr>
        <w:tab/>
        <w:t>min</w:t>
      </w:r>
      <w:r w:rsidRPr="00A779B8">
        <w:rPr>
          <w:vertAlign w:val="superscript"/>
          <w:lang w:val="fr-FR"/>
        </w:rPr>
        <w:t>-1</w:t>
      </w:r>
    </w:p>
    <w:p w:rsidR="00D25EA8" w:rsidRPr="00A779B8" w:rsidRDefault="00D25EA8" w:rsidP="00D25EA8">
      <w:pPr>
        <w:pStyle w:val="SingleTxtG"/>
        <w:tabs>
          <w:tab w:val="right" w:leader="dot" w:pos="8505"/>
        </w:tabs>
        <w:ind w:left="2268" w:hanging="1134"/>
        <w:jc w:val="left"/>
        <w:rPr>
          <w:lang w:val="fr-FR"/>
        </w:rPr>
      </w:pPr>
      <w:r w:rsidRPr="00A779B8">
        <w:rPr>
          <w:lang w:val="fr-FR"/>
        </w:rPr>
        <w:t>1.11.2</w:t>
      </w:r>
      <w:r w:rsidRPr="00A779B8">
        <w:rPr>
          <w:lang w:val="fr-FR"/>
        </w:rPr>
        <w:tab/>
        <w:t>Puissance maximale de la batterie sur 30 min:</w:t>
      </w:r>
      <w:r w:rsidRPr="00A779B8">
        <w:rPr>
          <w:lang w:val="fr-FR"/>
        </w:rPr>
        <w:tab/>
        <w:t>kW</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1.11.3</w:t>
      </w:r>
      <w:r w:rsidRPr="00A779B8">
        <w:rPr>
          <w:lang w:val="fr-FR"/>
        </w:rPr>
        <w:tab/>
        <w:t>Couple net maximal:…………….Nm à ……………</w:t>
      </w:r>
      <w:r w:rsidRPr="00A779B8">
        <w:rPr>
          <w:lang w:val="fr-FR"/>
        </w:rPr>
        <w:tab/>
        <w:t>min</w:t>
      </w:r>
      <w:r w:rsidRPr="00A779B8">
        <w:rPr>
          <w:vertAlign w:val="superscript"/>
          <w:lang w:val="fr-FR"/>
        </w:rPr>
        <w:t>-1</w:t>
      </w:r>
    </w:p>
    <w:p w:rsidR="00D25EA8" w:rsidRPr="00A779B8" w:rsidRDefault="00D25EA8" w:rsidP="00D25EA8">
      <w:pPr>
        <w:pStyle w:val="SingleTxtG"/>
        <w:tabs>
          <w:tab w:val="right" w:leader="dot" w:pos="8505"/>
        </w:tabs>
        <w:ind w:left="2268" w:hanging="1134"/>
        <w:jc w:val="left"/>
        <w:rPr>
          <w:lang w:val="fr-FR"/>
        </w:rPr>
      </w:pPr>
      <w:r w:rsidRPr="00A779B8">
        <w:rPr>
          <w:lang w:val="fr-FR"/>
        </w:rPr>
        <w:t>1.12</w:t>
      </w:r>
      <w:r w:rsidRPr="00A779B8">
        <w:rPr>
          <w:lang w:val="fr-FR"/>
        </w:rPr>
        <w:tab/>
        <w:t>Batterie de traction (pour véhicule électrique pur</w:t>
      </w:r>
      <w:r w:rsidRPr="00A779B8">
        <w:rPr>
          <w:lang w:val="fr-FR"/>
        </w:rPr>
        <w:br/>
        <w:t>ou véhicule électrique hybride)</w:t>
      </w:r>
    </w:p>
    <w:p w:rsidR="00D25EA8" w:rsidRPr="00A779B8" w:rsidRDefault="00D25EA8" w:rsidP="00D25EA8">
      <w:pPr>
        <w:pStyle w:val="SingleTxtG"/>
        <w:tabs>
          <w:tab w:val="right" w:leader="dot" w:pos="8505"/>
        </w:tabs>
        <w:ind w:left="2268" w:hanging="1134"/>
        <w:jc w:val="left"/>
        <w:rPr>
          <w:lang w:val="fr-FR"/>
        </w:rPr>
      </w:pPr>
      <w:r w:rsidRPr="00A779B8">
        <w:rPr>
          <w:lang w:val="fr-FR"/>
        </w:rPr>
        <w:t>1.12.1</w:t>
      </w:r>
      <w:r w:rsidRPr="00A779B8">
        <w:rPr>
          <w:lang w:val="fr-FR"/>
        </w:rPr>
        <w:tab/>
        <w:t>Tension nominale:</w:t>
      </w:r>
      <w:r w:rsidRPr="00A779B8">
        <w:rPr>
          <w:lang w:val="fr-FR"/>
        </w:rPr>
        <w:tab/>
        <w:t>V</w:t>
      </w:r>
    </w:p>
    <w:p w:rsidR="00D25EA8" w:rsidRPr="00A779B8" w:rsidRDefault="00D25EA8" w:rsidP="00D25EA8">
      <w:pPr>
        <w:pStyle w:val="SingleTxtG"/>
        <w:tabs>
          <w:tab w:val="right" w:leader="dot" w:pos="8505"/>
        </w:tabs>
        <w:ind w:left="2268" w:hanging="1134"/>
        <w:jc w:val="left"/>
        <w:rPr>
          <w:lang w:val="fr-FR"/>
        </w:rPr>
      </w:pPr>
      <w:r w:rsidRPr="00A779B8">
        <w:rPr>
          <w:lang w:val="fr-FR"/>
        </w:rPr>
        <w:t>1.12.2</w:t>
      </w:r>
      <w:r w:rsidRPr="00A779B8">
        <w:rPr>
          <w:lang w:val="fr-FR"/>
        </w:rPr>
        <w:tab/>
        <w:t>Capacité (décharge sur 2 h):</w:t>
      </w:r>
      <w:r w:rsidRPr="00A779B8">
        <w:rPr>
          <w:lang w:val="fr-FR"/>
        </w:rPr>
        <w:tab/>
        <w:t>Ah</w:t>
      </w:r>
    </w:p>
    <w:p w:rsidR="00D25EA8" w:rsidRPr="00A779B8" w:rsidRDefault="00D25EA8" w:rsidP="00D25EA8">
      <w:pPr>
        <w:pStyle w:val="SingleTxtG"/>
        <w:keepNext/>
        <w:tabs>
          <w:tab w:val="right" w:leader="dot" w:pos="8505"/>
        </w:tabs>
        <w:ind w:left="2268" w:hanging="1134"/>
        <w:jc w:val="left"/>
        <w:rPr>
          <w:lang w:val="fr-FR"/>
        </w:rPr>
      </w:pPr>
      <w:r w:rsidRPr="00A779B8">
        <w:rPr>
          <w:lang w:val="fr-FR"/>
        </w:rPr>
        <w:lastRenderedPageBreak/>
        <w:t>1.13</w:t>
      </w:r>
      <w:r w:rsidRPr="00A779B8">
        <w:rPr>
          <w:lang w:val="fr-FR"/>
        </w:rPr>
        <w:tab/>
        <w:t>Transmission:</w:t>
      </w:r>
    </w:p>
    <w:p w:rsidR="00D25EA8" w:rsidRPr="00A779B8" w:rsidRDefault="00D25EA8" w:rsidP="00D25EA8">
      <w:pPr>
        <w:pStyle w:val="SingleTxtG"/>
        <w:tabs>
          <w:tab w:val="right" w:leader="dot" w:pos="8505"/>
        </w:tabs>
        <w:ind w:left="2268" w:hanging="1134"/>
        <w:jc w:val="left"/>
        <w:rPr>
          <w:lang w:val="fr-FR"/>
        </w:rPr>
      </w:pPr>
      <w:r w:rsidRPr="00A779B8">
        <w:rPr>
          <w:lang w:val="fr-FR"/>
        </w:rPr>
        <w:t>1.13.1</w:t>
      </w:r>
      <w:r w:rsidRPr="00A779B8">
        <w:rPr>
          <w:lang w:val="fr-FR"/>
        </w:rPr>
        <w:tab/>
        <w:t>Type de boîte de vitesses: manuelle/automatique/variateur</w:t>
      </w:r>
      <w:r>
        <w:rPr>
          <w:sz w:val="18"/>
          <w:szCs w:val="18"/>
          <w:vertAlign w:val="superscript"/>
          <w:lang w:val="fr-FR"/>
        </w:rPr>
        <w:t>1</w:t>
      </w:r>
      <w:r w:rsidRPr="00A779B8">
        <w:rPr>
          <w:vertAlign w:val="superscript"/>
          <w:lang w:val="fr-FR"/>
        </w:rPr>
        <w:t>,</w:t>
      </w:r>
      <w:r w:rsidRPr="00A779B8">
        <w:rPr>
          <w:sz w:val="18"/>
          <w:szCs w:val="18"/>
          <w:vertAlign w:val="superscript"/>
          <w:lang w:val="fr-FR"/>
        </w:rPr>
        <w:t xml:space="preserve"> </w:t>
      </w:r>
      <w:r w:rsidR="00A804FD">
        <w:rPr>
          <w:rStyle w:val="Appelnotedebasdep"/>
          <w:szCs w:val="18"/>
        </w:rPr>
        <w:footnoteReference w:id="32"/>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1.13.2</w:t>
      </w:r>
      <w:r w:rsidRPr="00A779B8">
        <w:rPr>
          <w:lang w:val="fr-FR"/>
        </w:rPr>
        <w:tab/>
        <w:t>Nombre de rapports:</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1.13.3</w:t>
      </w:r>
      <w:r w:rsidRPr="00A779B8">
        <w:rPr>
          <w:lang w:val="fr-FR"/>
        </w:rPr>
        <w:tab/>
        <w:t>Démultiplication globale (y compris les circonférences de roulement des pneumatiques sous charge): vitesses en (km/h) pour 1 000 min</w:t>
      </w:r>
      <w:r w:rsidRPr="00A779B8">
        <w:rPr>
          <w:vertAlign w:val="superscript"/>
          <w:lang w:val="fr-FR"/>
        </w:rPr>
        <w:t>-1</w:t>
      </w:r>
      <w:r w:rsidRPr="00A779B8">
        <w:rPr>
          <w:lang w:val="fr-FR"/>
        </w:rPr>
        <w:t xml:space="preserve"> du moteur</w:t>
      </w:r>
    </w:p>
    <w:p w:rsidR="00D25EA8" w:rsidRPr="00A779B8" w:rsidRDefault="00D25EA8" w:rsidP="00D25EA8">
      <w:pPr>
        <w:pStyle w:val="SingleTxtG"/>
        <w:tabs>
          <w:tab w:val="left" w:leader="dot" w:pos="5100"/>
          <w:tab w:val="right" w:leader="dot" w:pos="8505"/>
        </w:tabs>
        <w:ind w:left="3402" w:hanging="1134"/>
        <w:jc w:val="left"/>
        <w:rPr>
          <w:lang w:val="fr-FR"/>
        </w:rPr>
      </w:pPr>
      <w:r w:rsidRPr="00A779B8">
        <w:rPr>
          <w:lang w:val="fr-FR"/>
        </w:rPr>
        <w:t>Premier rapport:</w:t>
      </w:r>
      <w:r w:rsidRPr="00A779B8">
        <w:rPr>
          <w:lang w:val="fr-FR"/>
        </w:rPr>
        <w:tab/>
        <w:t>Sixième rapport:</w:t>
      </w:r>
      <w:r w:rsidRPr="00A779B8">
        <w:rPr>
          <w:lang w:val="fr-FR"/>
        </w:rPr>
        <w:tab/>
      </w:r>
    </w:p>
    <w:p w:rsidR="00D25EA8" w:rsidRPr="00A779B8" w:rsidRDefault="00D25EA8" w:rsidP="00D25EA8">
      <w:pPr>
        <w:pStyle w:val="SingleTxtG"/>
        <w:tabs>
          <w:tab w:val="left" w:leader="dot" w:pos="5100"/>
          <w:tab w:val="right" w:leader="dot" w:pos="8505"/>
        </w:tabs>
        <w:ind w:left="3402" w:hanging="1134"/>
        <w:jc w:val="left"/>
        <w:rPr>
          <w:lang w:val="fr-FR"/>
        </w:rPr>
      </w:pPr>
      <w:r w:rsidRPr="00A779B8">
        <w:rPr>
          <w:lang w:val="fr-FR"/>
        </w:rPr>
        <w:t>Deuxième rapport:</w:t>
      </w:r>
      <w:r w:rsidRPr="00A779B8">
        <w:rPr>
          <w:lang w:val="fr-FR"/>
        </w:rPr>
        <w:tab/>
        <w:t>Septième rapport:</w:t>
      </w:r>
      <w:r w:rsidRPr="00A779B8">
        <w:rPr>
          <w:lang w:val="fr-FR"/>
        </w:rPr>
        <w:tab/>
      </w:r>
    </w:p>
    <w:p w:rsidR="00D25EA8" w:rsidRPr="00A779B8" w:rsidRDefault="00D25EA8" w:rsidP="00D25EA8">
      <w:pPr>
        <w:pStyle w:val="SingleTxtG"/>
        <w:tabs>
          <w:tab w:val="left" w:leader="dot" w:pos="5100"/>
          <w:tab w:val="right" w:leader="dot" w:pos="8505"/>
        </w:tabs>
        <w:ind w:left="3402" w:hanging="1134"/>
        <w:jc w:val="left"/>
        <w:rPr>
          <w:lang w:val="fr-FR"/>
        </w:rPr>
      </w:pPr>
      <w:r w:rsidRPr="00A779B8">
        <w:rPr>
          <w:lang w:val="fr-FR"/>
        </w:rPr>
        <w:t>Troisième rapport:</w:t>
      </w:r>
      <w:r w:rsidRPr="00A779B8">
        <w:rPr>
          <w:lang w:val="fr-FR"/>
        </w:rPr>
        <w:tab/>
        <w:t>Huitième rapport:</w:t>
      </w:r>
      <w:r w:rsidRPr="00A779B8">
        <w:rPr>
          <w:lang w:val="fr-FR"/>
        </w:rPr>
        <w:tab/>
      </w:r>
    </w:p>
    <w:p w:rsidR="00D25EA8" w:rsidRPr="00A779B8" w:rsidRDefault="00D25EA8" w:rsidP="00D25EA8">
      <w:pPr>
        <w:pStyle w:val="SingleTxtG"/>
        <w:tabs>
          <w:tab w:val="left" w:leader="dot" w:pos="5100"/>
          <w:tab w:val="right" w:leader="dot" w:pos="8505"/>
        </w:tabs>
        <w:ind w:left="3402" w:hanging="1134"/>
        <w:jc w:val="left"/>
        <w:rPr>
          <w:lang w:val="fr-FR"/>
        </w:rPr>
      </w:pPr>
      <w:r w:rsidRPr="00A779B8">
        <w:rPr>
          <w:lang w:val="fr-FR"/>
        </w:rPr>
        <w:t>Quatrième rapport:</w:t>
      </w:r>
      <w:r w:rsidRPr="00A779B8">
        <w:rPr>
          <w:lang w:val="fr-FR"/>
        </w:rPr>
        <w:tab/>
        <w:t>Surmultiplication:</w:t>
      </w:r>
      <w:r w:rsidRPr="00A779B8">
        <w:rPr>
          <w:lang w:val="fr-FR"/>
        </w:rPr>
        <w:tab/>
      </w:r>
    </w:p>
    <w:p w:rsidR="00D25EA8" w:rsidRPr="00A779B8" w:rsidRDefault="00D25EA8" w:rsidP="00D25EA8">
      <w:pPr>
        <w:pStyle w:val="SingleTxtG"/>
        <w:tabs>
          <w:tab w:val="right" w:leader="dot" w:pos="8505"/>
        </w:tabs>
        <w:ind w:left="3402" w:hanging="1134"/>
        <w:jc w:val="left"/>
        <w:rPr>
          <w:lang w:val="fr-FR"/>
        </w:rPr>
      </w:pPr>
      <w:r w:rsidRPr="00A779B8">
        <w:rPr>
          <w:lang w:val="fr-FR"/>
        </w:rPr>
        <w:t>Cinquième rapport:</w:t>
      </w:r>
      <w:r w:rsidRPr="00A779B8">
        <w:rPr>
          <w:lang w:val="fr-FR"/>
        </w:rPr>
        <w:tab/>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1.13.4</w:t>
      </w:r>
      <w:r w:rsidRPr="00A779B8">
        <w:rPr>
          <w:lang w:val="fr-FR"/>
        </w:rPr>
        <w:tab/>
        <w:t>Rapport du couple final:</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1.14</w:t>
      </w:r>
      <w:r w:rsidRPr="00A779B8">
        <w:rPr>
          <w:lang w:val="fr-FR"/>
        </w:rPr>
        <w:tab/>
        <w:t>Pneumatiques:</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1.14.1</w:t>
      </w:r>
      <w:r w:rsidRPr="00A779B8">
        <w:rPr>
          <w:lang w:val="fr-FR"/>
        </w:rPr>
        <w:tab/>
        <w:t>Type:</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1.14.2</w:t>
      </w:r>
      <w:r w:rsidRPr="00A779B8">
        <w:rPr>
          <w:lang w:val="fr-FR"/>
        </w:rPr>
        <w:tab/>
        <w:t>Dimensions:</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1.14.3</w:t>
      </w:r>
      <w:r w:rsidRPr="00A779B8">
        <w:rPr>
          <w:lang w:val="fr-FR"/>
        </w:rPr>
        <w:tab/>
        <w:t>Circonférence de roulement en charge:</w:t>
      </w:r>
      <w:r w:rsidRPr="00A779B8">
        <w:rPr>
          <w:lang w:val="fr-FR"/>
        </w:rPr>
        <w:tab/>
      </w:r>
    </w:p>
    <w:p w:rsidR="00D25EA8" w:rsidRPr="00A779B8" w:rsidRDefault="00D25EA8" w:rsidP="00D25EA8">
      <w:pPr>
        <w:pStyle w:val="SingleTxtG"/>
        <w:tabs>
          <w:tab w:val="right" w:leader="dot" w:pos="8505"/>
        </w:tabs>
        <w:ind w:left="2268" w:hanging="1134"/>
        <w:jc w:val="left"/>
        <w:rPr>
          <w:lang w:val="fr-FR"/>
        </w:rPr>
      </w:pPr>
      <w:r w:rsidRPr="00A779B8">
        <w:rPr>
          <w:lang w:val="fr-FR"/>
        </w:rPr>
        <w:t>1.14.4</w:t>
      </w:r>
      <w:r w:rsidRPr="00A779B8">
        <w:rPr>
          <w:lang w:val="fr-FR"/>
        </w:rPr>
        <w:tab/>
        <w:t xml:space="preserve">Circonférence de roulement des pneumatiques utilisés </w:t>
      </w:r>
      <w:r w:rsidRPr="00A779B8">
        <w:rPr>
          <w:lang w:val="fr-FR"/>
        </w:rPr>
        <w:br/>
        <w:t>pour l</w:t>
      </w:r>
      <w:r w:rsidR="00DB4C2D">
        <w:rPr>
          <w:lang w:val="fr-FR"/>
        </w:rPr>
        <w:t>’</w:t>
      </w:r>
      <w:r w:rsidRPr="00A779B8">
        <w:rPr>
          <w:lang w:val="fr-FR"/>
        </w:rPr>
        <w:t>essai du type I</w:t>
      </w:r>
    </w:p>
    <w:p w:rsidR="00D25EA8" w:rsidRPr="00A779B8" w:rsidRDefault="00D25EA8" w:rsidP="00D25EA8">
      <w:pPr>
        <w:pStyle w:val="SingleTxtG"/>
        <w:tabs>
          <w:tab w:val="right" w:leader="dot" w:pos="8505"/>
        </w:tabs>
        <w:ind w:left="2268" w:hanging="1134"/>
        <w:jc w:val="left"/>
        <w:rPr>
          <w:bCs/>
          <w:lang w:val="fr-FR"/>
        </w:rPr>
      </w:pPr>
      <w:r w:rsidRPr="00A779B8">
        <w:rPr>
          <w:lang w:val="fr-FR"/>
        </w:rPr>
        <w:t>2.</w:t>
      </w:r>
      <w:r w:rsidRPr="00A779B8">
        <w:rPr>
          <w:lang w:val="fr-FR"/>
        </w:rPr>
        <w:tab/>
      </w:r>
      <w:r w:rsidRPr="00A779B8">
        <w:rPr>
          <w:bCs/>
          <w:lang w:val="fr-FR"/>
        </w:rPr>
        <w:t>Résultats d</w:t>
      </w:r>
      <w:r w:rsidR="00DB4C2D">
        <w:rPr>
          <w:bCs/>
          <w:lang w:val="fr-FR"/>
        </w:rPr>
        <w:t>’</w:t>
      </w:r>
      <w:r w:rsidRPr="00A779B8">
        <w:rPr>
          <w:bCs/>
          <w:lang w:val="fr-FR"/>
        </w:rPr>
        <w:t>essai</w:t>
      </w:r>
    </w:p>
    <w:p w:rsidR="00D25EA8" w:rsidRPr="00A779B8" w:rsidRDefault="00D25EA8" w:rsidP="00D25EA8">
      <w:pPr>
        <w:pStyle w:val="SingleTxtG"/>
        <w:tabs>
          <w:tab w:val="right" w:leader="dot" w:pos="8505"/>
        </w:tabs>
        <w:ind w:left="2268" w:hanging="1134"/>
        <w:jc w:val="left"/>
        <w:rPr>
          <w:lang w:val="fr-FR"/>
        </w:rPr>
      </w:pPr>
      <w:r w:rsidRPr="00A779B8">
        <w:rPr>
          <w:lang w:val="fr-FR"/>
        </w:rPr>
        <w:t>2.1</w:t>
      </w:r>
      <w:r w:rsidRPr="00A779B8">
        <w:rPr>
          <w:lang w:val="fr-FR"/>
        </w:rPr>
        <w:tab/>
        <w:t>Résultats des essais visant à mesurer les émissions d</w:t>
      </w:r>
      <w:r w:rsidR="00DB4C2D">
        <w:rPr>
          <w:lang w:val="fr-FR"/>
        </w:rPr>
        <w:t>’</w:t>
      </w:r>
      <w:r w:rsidRPr="00A779B8">
        <w:rPr>
          <w:lang w:val="fr-FR"/>
        </w:rPr>
        <w:t>échappement:</w:t>
      </w:r>
      <w:r w:rsidRPr="00A779B8">
        <w:rPr>
          <w:lang w:val="fr-FR"/>
        </w:rPr>
        <w:tab/>
      </w:r>
    </w:p>
    <w:p w:rsidR="00D25EA8" w:rsidRPr="00A779B8" w:rsidRDefault="00D25EA8" w:rsidP="00D25EA8">
      <w:pPr>
        <w:pStyle w:val="SingleTxtG"/>
        <w:tabs>
          <w:tab w:val="left" w:leader="dot" w:pos="4536"/>
          <w:tab w:val="right" w:leader="dot" w:pos="8505"/>
        </w:tabs>
        <w:ind w:left="3402" w:hanging="1134"/>
        <w:jc w:val="left"/>
        <w:rPr>
          <w:lang w:val="fr-FR"/>
        </w:rPr>
      </w:pPr>
      <w:r w:rsidRPr="00A779B8">
        <w:rPr>
          <w:lang w:val="fr-FR"/>
        </w:rPr>
        <w:t>Classification des émissions: série 07 d</w:t>
      </w:r>
      <w:r w:rsidR="00DB4C2D">
        <w:rPr>
          <w:lang w:val="fr-FR"/>
        </w:rPr>
        <w:t>’</w:t>
      </w:r>
      <w:r w:rsidRPr="00A779B8">
        <w:rPr>
          <w:lang w:val="fr-FR"/>
        </w:rPr>
        <w:t>amendements</w:t>
      </w:r>
    </w:p>
    <w:p w:rsidR="00CB5DFF" w:rsidRDefault="00D25EA8" w:rsidP="00151AA1">
      <w:pPr>
        <w:pStyle w:val="Titre1"/>
        <w:spacing w:after="120"/>
        <w:rPr>
          <w:lang w:val="fr-FR"/>
        </w:rPr>
      </w:pPr>
      <w:r w:rsidRPr="00151AA1">
        <w:rPr>
          <w:b/>
          <w:lang w:val="fr-FR"/>
        </w:rPr>
        <w:t>Numéro d</w:t>
      </w:r>
      <w:r w:rsidR="00DB4C2D" w:rsidRPr="00151AA1">
        <w:rPr>
          <w:b/>
          <w:lang w:val="fr-FR"/>
        </w:rPr>
        <w:t>’</w:t>
      </w:r>
      <w:r w:rsidRPr="00151AA1">
        <w:rPr>
          <w:b/>
          <w:lang w:val="fr-FR"/>
        </w:rPr>
        <w:t>homologation de type, s</w:t>
      </w:r>
      <w:r w:rsidR="00DB4C2D" w:rsidRPr="00151AA1">
        <w:rPr>
          <w:b/>
          <w:lang w:val="fr-FR"/>
        </w:rPr>
        <w:t>’</w:t>
      </w:r>
      <w:r w:rsidRPr="00151AA1">
        <w:rPr>
          <w:b/>
          <w:lang w:val="fr-FR"/>
        </w:rPr>
        <w:t>il ne s</w:t>
      </w:r>
      <w:r w:rsidR="00DB4C2D" w:rsidRPr="00151AA1">
        <w:rPr>
          <w:b/>
          <w:lang w:val="fr-FR"/>
        </w:rPr>
        <w:t>’</w:t>
      </w:r>
      <w:r w:rsidRPr="00151AA1">
        <w:rPr>
          <w:b/>
          <w:lang w:val="fr-FR"/>
        </w:rPr>
        <w:t>agit pas du véhicule parent</w:t>
      </w:r>
      <w:r w:rsidR="00A804FD">
        <w:rPr>
          <w:rStyle w:val="Appelnotedebasdep"/>
        </w:rPr>
        <w:footnoteReference w:id="33"/>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2"/>
        <w:gridCol w:w="616"/>
        <w:gridCol w:w="1066"/>
        <w:gridCol w:w="1065"/>
        <w:gridCol w:w="1066"/>
        <w:gridCol w:w="1066"/>
        <w:gridCol w:w="1066"/>
        <w:gridCol w:w="1066"/>
        <w:gridCol w:w="1066"/>
      </w:tblGrid>
      <w:tr w:rsidR="008221CC" w:rsidRPr="008221CC" w:rsidTr="008E3B10">
        <w:trPr>
          <w:tblHeader/>
          <w:jc w:val="center"/>
        </w:trPr>
        <w:tc>
          <w:tcPr>
            <w:tcW w:w="1562" w:type="dxa"/>
            <w:shd w:val="clear" w:color="auto" w:fill="auto"/>
            <w:vAlign w:val="center"/>
          </w:tcPr>
          <w:p w:rsidR="008221CC" w:rsidRPr="008221CC" w:rsidRDefault="008221CC" w:rsidP="008221CC">
            <w:pPr>
              <w:keepNext/>
              <w:tabs>
                <w:tab w:val="right" w:leader="dot" w:pos="9356"/>
              </w:tabs>
              <w:kinsoku/>
              <w:overflowPunct/>
              <w:autoSpaceDE/>
              <w:autoSpaceDN/>
              <w:adjustRightInd/>
              <w:snapToGrid/>
              <w:spacing w:before="80" w:after="80" w:line="200" w:lineRule="exact"/>
              <w:jc w:val="center"/>
              <w:rPr>
                <w:rFonts w:eastAsia="Times New Roman"/>
                <w:i/>
                <w:sz w:val="16"/>
                <w:szCs w:val="16"/>
                <w:lang w:val="fr-FR"/>
              </w:rPr>
            </w:pPr>
            <w:r w:rsidRPr="008221CC">
              <w:rPr>
                <w:rFonts w:eastAsia="Times New Roman"/>
                <w:i/>
                <w:sz w:val="16"/>
                <w:szCs w:val="16"/>
                <w:lang w:val="fr-FR"/>
              </w:rPr>
              <w:t>Résultats pour essai du type I</w:t>
            </w:r>
          </w:p>
        </w:tc>
        <w:tc>
          <w:tcPr>
            <w:tcW w:w="616" w:type="dxa"/>
            <w:shd w:val="clear" w:color="auto" w:fill="auto"/>
            <w:vAlign w:val="center"/>
          </w:tcPr>
          <w:p w:rsidR="008221CC" w:rsidRPr="008221CC" w:rsidRDefault="008221CC" w:rsidP="008221CC">
            <w:pPr>
              <w:tabs>
                <w:tab w:val="right" w:leader="dot" w:pos="9356"/>
              </w:tabs>
              <w:kinsoku/>
              <w:overflowPunct/>
              <w:autoSpaceDE/>
              <w:autoSpaceDN/>
              <w:adjustRightInd/>
              <w:snapToGrid/>
              <w:spacing w:before="80" w:after="80" w:line="200" w:lineRule="exact"/>
              <w:jc w:val="center"/>
              <w:rPr>
                <w:rFonts w:eastAsia="Times New Roman"/>
                <w:i/>
                <w:sz w:val="16"/>
                <w:szCs w:val="16"/>
                <w:lang w:val="fr-FR"/>
              </w:rPr>
            </w:pPr>
            <w:r w:rsidRPr="008221CC">
              <w:rPr>
                <w:rFonts w:eastAsia="Times New Roman"/>
                <w:i/>
                <w:sz w:val="16"/>
                <w:szCs w:val="16"/>
                <w:lang w:val="fr-FR"/>
              </w:rPr>
              <w:t>Essai</w:t>
            </w:r>
          </w:p>
        </w:tc>
        <w:tc>
          <w:tcPr>
            <w:tcW w:w="1066" w:type="dxa"/>
            <w:shd w:val="clear" w:color="auto" w:fill="auto"/>
            <w:vAlign w:val="center"/>
          </w:tcPr>
          <w:p w:rsidR="008221CC" w:rsidRPr="008221CC" w:rsidRDefault="008221CC" w:rsidP="008221CC">
            <w:pPr>
              <w:tabs>
                <w:tab w:val="right" w:leader="dot" w:pos="9356"/>
              </w:tabs>
              <w:kinsoku/>
              <w:overflowPunct/>
              <w:autoSpaceDE/>
              <w:autoSpaceDN/>
              <w:adjustRightInd/>
              <w:snapToGrid/>
              <w:spacing w:before="80" w:after="80" w:line="200" w:lineRule="exact"/>
              <w:jc w:val="center"/>
              <w:rPr>
                <w:rFonts w:eastAsia="Times New Roman"/>
                <w:i/>
                <w:sz w:val="16"/>
                <w:szCs w:val="16"/>
                <w:lang w:val="fr-FR"/>
              </w:rPr>
            </w:pPr>
            <w:r w:rsidRPr="008221CC">
              <w:rPr>
                <w:rFonts w:eastAsia="Times New Roman"/>
                <w:i/>
                <w:sz w:val="16"/>
                <w:szCs w:val="16"/>
                <w:lang w:val="fr-FR"/>
              </w:rPr>
              <w:t>CO (mg/km)</w:t>
            </w:r>
          </w:p>
        </w:tc>
        <w:tc>
          <w:tcPr>
            <w:tcW w:w="1065" w:type="dxa"/>
            <w:shd w:val="clear" w:color="auto" w:fill="auto"/>
            <w:vAlign w:val="center"/>
          </w:tcPr>
          <w:p w:rsidR="008221CC" w:rsidRPr="008221CC" w:rsidRDefault="008221CC" w:rsidP="008221CC">
            <w:pPr>
              <w:tabs>
                <w:tab w:val="right" w:leader="dot" w:pos="9356"/>
              </w:tabs>
              <w:kinsoku/>
              <w:overflowPunct/>
              <w:autoSpaceDE/>
              <w:autoSpaceDN/>
              <w:adjustRightInd/>
              <w:snapToGrid/>
              <w:spacing w:before="80" w:after="80" w:line="200" w:lineRule="exact"/>
              <w:jc w:val="center"/>
              <w:rPr>
                <w:rFonts w:eastAsia="Times New Roman"/>
                <w:i/>
                <w:sz w:val="16"/>
                <w:szCs w:val="16"/>
                <w:lang w:val="fr-FR"/>
              </w:rPr>
            </w:pPr>
            <w:r w:rsidRPr="008221CC">
              <w:rPr>
                <w:rFonts w:eastAsia="Times New Roman"/>
                <w:i/>
                <w:sz w:val="16"/>
                <w:szCs w:val="16"/>
                <w:lang w:val="fr-FR"/>
              </w:rPr>
              <w:t>HCT (mg/km)</w:t>
            </w:r>
          </w:p>
        </w:tc>
        <w:tc>
          <w:tcPr>
            <w:tcW w:w="1066" w:type="dxa"/>
            <w:shd w:val="clear" w:color="auto" w:fill="auto"/>
            <w:vAlign w:val="center"/>
          </w:tcPr>
          <w:p w:rsidR="008221CC" w:rsidRPr="008221CC" w:rsidRDefault="008221CC" w:rsidP="008221CC">
            <w:pPr>
              <w:tabs>
                <w:tab w:val="right" w:leader="dot" w:pos="9356"/>
              </w:tabs>
              <w:kinsoku/>
              <w:overflowPunct/>
              <w:autoSpaceDE/>
              <w:autoSpaceDN/>
              <w:adjustRightInd/>
              <w:snapToGrid/>
              <w:spacing w:before="80" w:after="80" w:line="200" w:lineRule="exact"/>
              <w:jc w:val="center"/>
              <w:rPr>
                <w:rFonts w:eastAsia="Times New Roman"/>
                <w:i/>
                <w:sz w:val="16"/>
                <w:szCs w:val="16"/>
                <w:lang w:val="fr-FR"/>
              </w:rPr>
            </w:pPr>
            <w:r w:rsidRPr="008221CC">
              <w:rPr>
                <w:rFonts w:eastAsia="Times New Roman"/>
                <w:i/>
                <w:sz w:val="16"/>
                <w:szCs w:val="16"/>
                <w:lang w:val="fr-FR"/>
              </w:rPr>
              <w:t>NMHC (mg/km)</w:t>
            </w:r>
          </w:p>
        </w:tc>
        <w:tc>
          <w:tcPr>
            <w:tcW w:w="1066" w:type="dxa"/>
            <w:shd w:val="clear" w:color="auto" w:fill="auto"/>
            <w:vAlign w:val="center"/>
          </w:tcPr>
          <w:p w:rsidR="008221CC" w:rsidRPr="008221CC" w:rsidRDefault="008221CC" w:rsidP="008221CC">
            <w:pPr>
              <w:tabs>
                <w:tab w:val="right" w:leader="dot" w:pos="9356"/>
              </w:tabs>
              <w:kinsoku/>
              <w:overflowPunct/>
              <w:autoSpaceDE/>
              <w:autoSpaceDN/>
              <w:adjustRightInd/>
              <w:snapToGrid/>
              <w:spacing w:before="80" w:after="80" w:line="200" w:lineRule="exact"/>
              <w:jc w:val="center"/>
              <w:rPr>
                <w:rFonts w:eastAsia="Times New Roman"/>
                <w:i/>
                <w:sz w:val="16"/>
                <w:szCs w:val="16"/>
                <w:lang w:val="fr-FR"/>
              </w:rPr>
            </w:pPr>
            <w:proofErr w:type="spellStart"/>
            <w:r w:rsidRPr="008221CC">
              <w:rPr>
                <w:rFonts w:eastAsia="Times New Roman"/>
                <w:i/>
                <w:sz w:val="16"/>
                <w:szCs w:val="16"/>
                <w:lang w:val="fr-FR"/>
              </w:rPr>
              <w:t>NO</w:t>
            </w:r>
            <w:r w:rsidRPr="008221CC">
              <w:rPr>
                <w:rFonts w:eastAsia="Times New Roman"/>
                <w:i/>
                <w:sz w:val="16"/>
                <w:szCs w:val="16"/>
                <w:vertAlign w:val="subscript"/>
                <w:lang w:val="fr-FR"/>
              </w:rPr>
              <w:t>x</w:t>
            </w:r>
            <w:proofErr w:type="spellEnd"/>
            <w:r w:rsidRPr="008221CC">
              <w:rPr>
                <w:rFonts w:eastAsia="Times New Roman"/>
                <w:i/>
                <w:sz w:val="16"/>
                <w:szCs w:val="16"/>
                <w:vertAlign w:val="subscript"/>
                <w:lang w:val="fr-FR"/>
              </w:rPr>
              <w:t xml:space="preserve"> </w:t>
            </w:r>
            <w:r w:rsidRPr="008221CC">
              <w:rPr>
                <w:rFonts w:eastAsia="Times New Roman"/>
                <w:i/>
                <w:sz w:val="16"/>
                <w:szCs w:val="16"/>
                <w:lang w:val="fr-FR"/>
              </w:rPr>
              <w:t>(mg/km)</w:t>
            </w:r>
          </w:p>
        </w:tc>
        <w:tc>
          <w:tcPr>
            <w:tcW w:w="1066" w:type="dxa"/>
            <w:shd w:val="clear" w:color="auto" w:fill="auto"/>
            <w:vAlign w:val="center"/>
          </w:tcPr>
          <w:p w:rsidR="008221CC" w:rsidRPr="008221CC" w:rsidRDefault="008221CC" w:rsidP="008221CC">
            <w:pPr>
              <w:tabs>
                <w:tab w:val="right" w:leader="dot" w:pos="9356"/>
              </w:tabs>
              <w:kinsoku/>
              <w:overflowPunct/>
              <w:autoSpaceDE/>
              <w:autoSpaceDN/>
              <w:adjustRightInd/>
              <w:snapToGrid/>
              <w:spacing w:before="80" w:after="80" w:line="200" w:lineRule="exact"/>
              <w:jc w:val="center"/>
              <w:rPr>
                <w:rFonts w:eastAsia="Times New Roman"/>
                <w:i/>
                <w:sz w:val="16"/>
                <w:szCs w:val="16"/>
                <w:lang w:val="fr-FR"/>
              </w:rPr>
            </w:pPr>
            <w:r w:rsidRPr="008221CC">
              <w:rPr>
                <w:rFonts w:eastAsia="Times New Roman"/>
                <w:i/>
                <w:sz w:val="16"/>
                <w:szCs w:val="16"/>
                <w:lang w:val="fr-FR"/>
              </w:rPr>
              <w:t xml:space="preserve">HCT + </w:t>
            </w:r>
            <w:proofErr w:type="spellStart"/>
            <w:r w:rsidRPr="008221CC">
              <w:rPr>
                <w:rFonts w:eastAsia="Times New Roman"/>
                <w:i/>
                <w:sz w:val="16"/>
                <w:szCs w:val="16"/>
                <w:lang w:val="fr-FR"/>
              </w:rPr>
              <w:t>NO</w:t>
            </w:r>
            <w:r w:rsidRPr="008221CC">
              <w:rPr>
                <w:rFonts w:eastAsia="Times New Roman"/>
                <w:i/>
                <w:sz w:val="16"/>
                <w:szCs w:val="16"/>
                <w:vertAlign w:val="subscript"/>
                <w:lang w:val="fr-FR"/>
              </w:rPr>
              <w:t>x</w:t>
            </w:r>
            <w:proofErr w:type="spellEnd"/>
            <w:r w:rsidRPr="008221CC">
              <w:rPr>
                <w:rFonts w:eastAsia="Times New Roman"/>
                <w:i/>
                <w:sz w:val="16"/>
                <w:szCs w:val="16"/>
                <w:vertAlign w:val="subscript"/>
                <w:lang w:val="fr-FR"/>
              </w:rPr>
              <w:t xml:space="preserve"> </w:t>
            </w:r>
            <w:r w:rsidRPr="008221CC">
              <w:rPr>
                <w:rFonts w:eastAsia="Times New Roman"/>
                <w:i/>
                <w:sz w:val="16"/>
                <w:szCs w:val="16"/>
                <w:lang w:val="fr-FR"/>
              </w:rPr>
              <w:t>(mg/km)</w:t>
            </w:r>
          </w:p>
        </w:tc>
        <w:tc>
          <w:tcPr>
            <w:tcW w:w="1066" w:type="dxa"/>
            <w:shd w:val="clear" w:color="auto" w:fill="auto"/>
            <w:vAlign w:val="center"/>
          </w:tcPr>
          <w:p w:rsidR="008221CC" w:rsidRPr="008221CC" w:rsidRDefault="008221CC" w:rsidP="008221CC">
            <w:pPr>
              <w:tabs>
                <w:tab w:val="right" w:leader="dot" w:pos="9356"/>
              </w:tabs>
              <w:kinsoku/>
              <w:overflowPunct/>
              <w:autoSpaceDE/>
              <w:autoSpaceDN/>
              <w:adjustRightInd/>
              <w:snapToGrid/>
              <w:spacing w:before="80" w:after="80" w:line="200" w:lineRule="exact"/>
              <w:jc w:val="center"/>
              <w:rPr>
                <w:rFonts w:eastAsia="Times New Roman"/>
                <w:i/>
                <w:sz w:val="16"/>
                <w:szCs w:val="16"/>
                <w:lang w:val="fr-FR"/>
              </w:rPr>
            </w:pPr>
            <w:r w:rsidRPr="008221CC">
              <w:rPr>
                <w:rFonts w:eastAsia="Times New Roman"/>
                <w:i/>
                <w:sz w:val="16"/>
                <w:szCs w:val="16"/>
                <w:lang w:val="fr-FR"/>
              </w:rPr>
              <w:t>Masse de particules (mg/km)</w:t>
            </w:r>
          </w:p>
        </w:tc>
        <w:tc>
          <w:tcPr>
            <w:tcW w:w="1066" w:type="dxa"/>
            <w:shd w:val="clear" w:color="auto" w:fill="auto"/>
            <w:vAlign w:val="center"/>
          </w:tcPr>
          <w:p w:rsidR="008221CC" w:rsidRPr="008221CC" w:rsidRDefault="008221CC" w:rsidP="008221CC">
            <w:pPr>
              <w:tabs>
                <w:tab w:val="right" w:leader="dot" w:pos="9356"/>
              </w:tabs>
              <w:kinsoku/>
              <w:overflowPunct/>
              <w:autoSpaceDE/>
              <w:autoSpaceDN/>
              <w:adjustRightInd/>
              <w:snapToGrid/>
              <w:spacing w:before="80" w:after="80" w:line="200" w:lineRule="exact"/>
              <w:jc w:val="center"/>
              <w:rPr>
                <w:rFonts w:eastAsia="Times New Roman"/>
                <w:i/>
                <w:sz w:val="16"/>
                <w:szCs w:val="16"/>
                <w:lang w:val="fr-FR"/>
              </w:rPr>
            </w:pPr>
            <w:r w:rsidRPr="008221CC">
              <w:rPr>
                <w:rFonts w:eastAsia="Times New Roman"/>
                <w:i/>
                <w:sz w:val="16"/>
                <w:szCs w:val="16"/>
                <w:lang w:val="fr-FR"/>
              </w:rPr>
              <w:t>Nombre de particules (#/km)</w:t>
            </w:r>
          </w:p>
        </w:tc>
      </w:tr>
      <w:tr w:rsidR="008221CC" w:rsidRPr="008221CC" w:rsidTr="008E3B10">
        <w:trPr>
          <w:jc w:val="center"/>
        </w:trPr>
        <w:tc>
          <w:tcPr>
            <w:tcW w:w="1562" w:type="dxa"/>
            <w:vMerge w:val="restart"/>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r w:rsidRPr="008221CC">
              <w:rPr>
                <w:rFonts w:eastAsia="Times New Roman"/>
                <w:sz w:val="18"/>
                <w:szCs w:val="18"/>
                <w:lang w:val="fr-FR"/>
              </w:rPr>
              <w:t xml:space="preserve">Valeur </w:t>
            </w:r>
            <w:proofErr w:type="spellStart"/>
            <w:r w:rsidRPr="008221CC">
              <w:rPr>
                <w:rFonts w:eastAsia="Times New Roman"/>
                <w:sz w:val="18"/>
                <w:szCs w:val="18"/>
                <w:lang w:val="fr-FR"/>
              </w:rPr>
              <w:t>mesurée</w:t>
            </w:r>
            <w:r w:rsidRPr="008221CC">
              <w:rPr>
                <w:rFonts w:eastAsia="Times New Roman"/>
                <w:i/>
                <w:sz w:val="18"/>
                <w:szCs w:val="18"/>
                <w:vertAlign w:val="superscript"/>
                <w:lang w:val="fr-FR"/>
              </w:rPr>
              <w:t>i</w:t>
            </w:r>
            <w:proofErr w:type="spellEnd"/>
            <w:r w:rsidRPr="008221CC">
              <w:rPr>
                <w:rFonts w:eastAsia="Times New Roman"/>
                <w:sz w:val="18"/>
                <w:szCs w:val="18"/>
                <w:vertAlign w:val="superscript"/>
                <w:lang w:val="fr-FR"/>
              </w:rPr>
              <w:t xml:space="preserve">, </w:t>
            </w:r>
            <w:r w:rsidRPr="008221CC">
              <w:rPr>
                <w:rFonts w:eastAsia="Times New Roman"/>
                <w:i/>
                <w:sz w:val="18"/>
                <w:szCs w:val="18"/>
                <w:vertAlign w:val="superscript"/>
                <w:lang w:val="fr-FR"/>
              </w:rPr>
              <w:t>ii</w:t>
            </w:r>
          </w:p>
        </w:tc>
        <w:tc>
          <w:tcPr>
            <w:tcW w:w="61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r w:rsidRPr="008221CC">
              <w:rPr>
                <w:rFonts w:eastAsia="Times New Roman"/>
                <w:sz w:val="18"/>
                <w:szCs w:val="18"/>
                <w:lang w:val="fr-FR"/>
              </w:rPr>
              <w:t>1</w:t>
            </w: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5"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r>
      <w:tr w:rsidR="008221CC" w:rsidRPr="008221CC" w:rsidTr="008E3B10">
        <w:trPr>
          <w:jc w:val="center"/>
        </w:trPr>
        <w:tc>
          <w:tcPr>
            <w:tcW w:w="1562" w:type="dxa"/>
            <w:vMerge/>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61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r w:rsidRPr="008221CC">
              <w:rPr>
                <w:rFonts w:eastAsia="Times New Roman"/>
                <w:sz w:val="18"/>
                <w:szCs w:val="18"/>
                <w:lang w:val="fr-FR"/>
              </w:rPr>
              <w:t>2</w:t>
            </w: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5"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r>
      <w:tr w:rsidR="008221CC" w:rsidRPr="008221CC" w:rsidTr="008E3B10">
        <w:trPr>
          <w:jc w:val="center"/>
        </w:trPr>
        <w:tc>
          <w:tcPr>
            <w:tcW w:w="1562" w:type="dxa"/>
            <w:vMerge/>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61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r w:rsidRPr="008221CC">
              <w:rPr>
                <w:rFonts w:eastAsia="Times New Roman"/>
                <w:sz w:val="18"/>
                <w:szCs w:val="18"/>
                <w:lang w:val="fr-FR"/>
              </w:rPr>
              <w:t>3</w:t>
            </w: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5"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r>
      <w:tr w:rsidR="008221CC" w:rsidRPr="008221CC" w:rsidTr="008E3B10">
        <w:trPr>
          <w:jc w:val="center"/>
        </w:trPr>
        <w:tc>
          <w:tcPr>
            <w:tcW w:w="1562"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r w:rsidRPr="008221CC">
              <w:rPr>
                <w:rFonts w:eastAsia="Times New Roman"/>
                <w:spacing w:val="-4"/>
                <w:sz w:val="18"/>
                <w:szCs w:val="18"/>
                <w:lang w:val="fr-FR"/>
              </w:rPr>
              <w:t>Valeur moyenne mesurée (M)</w:t>
            </w:r>
            <w:r w:rsidRPr="008221CC">
              <w:rPr>
                <w:rFonts w:eastAsia="Times New Roman"/>
                <w:i/>
                <w:spacing w:val="-4"/>
                <w:sz w:val="18"/>
                <w:szCs w:val="18"/>
                <w:vertAlign w:val="superscript"/>
                <w:lang w:val="fr-FR"/>
              </w:rPr>
              <w:t>i, ii</w:t>
            </w:r>
          </w:p>
        </w:tc>
        <w:tc>
          <w:tcPr>
            <w:tcW w:w="61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5"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r>
      <w:tr w:rsidR="008221CC" w:rsidRPr="008221CC" w:rsidTr="008E3B10">
        <w:trPr>
          <w:jc w:val="center"/>
        </w:trPr>
        <w:tc>
          <w:tcPr>
            <w:tcW w:w="1562"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roofErr w:type="spellStart"/>
            <w:r w:rsidRPr="008221CC">
              <w:rPr>
                <w:rFonts w:eastAsia="Times New Roman"/>
                <w:sz w:val="18"/>
                <w:szCs w:val="18"/>
                <w:lang w:val="fr-FR"/>
              </w:rPr>
              <w:t>Ki</w:t>
            </w:r>
            <w:r w:rsidRPr="008221CC">
              <w:rPr>
                <w:rFonts w:eastAsia="Times New Roman"/>
                <w:i/>
                <w:sz w:val="18"/>
                <w:szCs w:val="18"/>
                <w:vertAlign w:val="superscript"/>
                <w:lang w:val="fr-FR"/>
              </w:rPr>
              <w:t>i</w:t>
            </w:r>
            <w:proofErr w:type="spellEnd"/>
            <w:r w:rsidRPr="008221CC">
              <w:rPr>
                <w:rFonts w:eastAsia="Times New Roman"/>
                <w:i/>
                <w:sz w:val="18"/>
                <w:szCs w:val="18"/>
                <w:vertAlign w:val="superscript"/>
                <w:lang w:val="fr-FR"/>
              </w:rPr>
              <w:t>,</w:t>
            </w:r>
            <w:r w:rsidRPr="008221CC">
              <w:rPr>
                <w:rFonts w:eastAsia="Times New Roman"/>
                <w:sz w:val="18"/>
                <w:szCs w:val="18"/>
                <w:lang w:val="fr-FR"/>
              </w:rPr>
              <w:t xml:space="preserve"> </w:t>
            </w:r>
            <w:r w:rsidRPr="008221CC">
              <w:rPr>
                <w:rFonts w:eastAsia="Times New Roman"/>
                <w:i/>
                <w:sz w:val="18"/>
                <w:szCs w:val="18"/>
                <w:vertAlign w:val="superscript"/>
                <w:lang w:val="fr-FR"/>
              </w:rPr>
              <w:t>iii</w:t>
            </w:r>
          </w:p>
        </w:tc>
        <w:tc>
          <w:tcPr>
            <w:tcW w:w="61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5"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i/>
                <w:sz w:val="18"/>
                <w:szCs w:val="18"/>
                <w:vertAlign w:val="superscript"/>
                <w:lang w:val="fr-FR"/>
              </w:rPr>
            </w:pPr>
            <w:r w:rsidRPr="008221CC">
              <w:rPr>
                <w:rFonts w:eastAsia="Times New Roman"/>
                <w:i/>
                <w:sz w:val="18"/>
                <w:szCs w:val="18"/>
                <w:vertAlign w:val="superscript"/>
                <w:lang w:val="fr-FR"/>
              </w:rPr>
              <w:t>iv</w:t>
            </w: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r>
      <w:tr w:rsidR="008221CC" w:rsidRPr="008221CC" w:rsidTr="008E3B10">
        <w:trPr>
          <w:jc w:val="center"/>
        </w:trPr>
        <w:tc>
          <w:tcPr>
            <w:tcW w:w="1562" w:type="dxa"/>
            <w:shd w:val="clear" w:color="auto" w:fill="auto"/>
          </w:tcPr>
          <w:p w:rsidR="008221CC" w:rsidRPr="008221CC" w:rsidRDefault="008221CC" w:rsidP="008221CC">
            <w:pPr>
              <w:keepNext/>
              <w:tabs>
                <w:tab w:val="right" w:leader="dot" w:pos="9356"/>
              </w:tabs>
              <w:kinsoku/>
              <w:overflowPunct/>
              <w:autoSpaceDE/>
              <w:autoSpaceDN/>
              <w:adjustRightInd/>
              <w:snapToGrid/>
              <w:spacing w:before="40" w:after="40" w:line="220" w:lineRule="exact"/>
              <w:ind w:left="57"/>
              <w:rPr>
                <w:rFonts w:eastAsia="Times New Roman"/>
                <w:sz w:val="18"/>
                <w:szCs w:val="18"/>
                <w:lang w:val="fr-FR"/>
              </w:rPr>
            </w:pPr>
            <w:r w:rsidRPr="008221CC">
              <w:rPr>
                <w:rFonts w:eastAsia="Times New Roman"/>
                <w:sz w:val="18"/>
                <w:szCs w:val="18"/>
                <w:lang w:val="fr-FR"/>
              </w:rPr>
              <w:lastRenderedPageBreak/>
              <w:t>Valeur moyenne calculée avec Ki (M.ki)</w:t>
            </w:r>
            <w:r w:rsidRPr="008221CC">
              <w:rPr>
                <w:rFonts w:eastAsia="Times New Roman"/>
                <w:i/>
                <w:sz w:val="18"/>
                <w:szCs w:val="18"/>
                <w:vertAlign w:val="superscript"/>
                <w:lang w:val="fr-FR"/>
              </w:rPr>
              <w:t>ii</w:t>
            </w:r>
          </w:p>
        </w:tc>
        <w:tc>
          <w:tcPr>
            <w:tcW w:w="616" w:type="dxa"/>
            <w:shd w:val="clear" w:color="auto" w:fill="auto"/>
          </w:tcPr>
          <w:p w:rsidR="008221CC" w:rsidRPr="008221CC" w:rsidRDefault="008221CC" w:rsidP="008221CC">
            <w:pPr>
              <w:keepNext/>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eepNext/>
              <w:kinsoku/>
              <w:overflowPunct/>
              <w:autoSpaceDE/>
              <w:autoSpaceDN/>
              <w:adjustRightInd/>
              <w:snapToGrid/>
              <w:spacing w:before="60" w:after="60"/>
              <w:rPr>
                <w:rFonts w:eastAsia="Times New Roman"/>
                <w:sz w:val="18"/>
                <w:szCs w:val="18"/>
                <w:lang w:val="fr-FR"/>
              </w:rPr>
            </w:pPr>
          </w:p>
        </w:tc>
        <w:tc>
          <w:tcPr>
            <w:tcW w:w="1065" w:type="dxa"/>
            <w:shd w:val="clear" w:color="auto" w:fill="auto"/>
          </w:tcPr>
          <w:p w:rsidR="008221CC" w:rsidRPr="008221CC" w:rsidRDefault="008221CC" w:rsidP="008221CC">
            <w:pPr>
              <w:keepNext/>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eepNext/>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eepNext/>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eepNext/>
              <w:kinsoku/>
              <w:overflowPunct/>
              <w:autoSpaceDE/>
              <w:autoSpaceDN/>
              <w:adjustRightInd/>
              <w:snapToGrid/>
              <w:spacing w:before="60" w:after="60"/>
              <w:rPr>
                <w:rFonts w:eastAsia="Times New Roman"/>
                <w:sz w:val="18"/>
                <w:szCs w:val="18"/>
                <w:lang w:val="fr-FR"/>
              </w:rPr>
            </w:pPr>
            <w:r w:rsidRPr="008221CC">
              <w:rPr>
                <w:rFonts w:eastAsia="Times New Roman"/>
                <w:i/>
                <w:sz w:val="18"/>
                <w:szCs w:val="18"/>
                <w:vertAlign w:val="superscript"/>
                <w:lang w:val="fr-FR"/>
              </w:rPr>
              <w:t>v</w:t>
            </w:r>
          </w:p>
        </w:tc>
        <w:tc>
          <w:tcPr>
            <w:tcW w:w="1066" w:type="dxa"/>
            <w:shd w:val="clear" w:color="auto" w:fill="auto"/>
          </w:tcPr>
          <w:p w:rsidR="008221CC" w:rsidRPr="008221CC" w:rsidRDefault="008221CC" w:rsidP="008221CC">
            <w:pPr>
              <w:keepNext/>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eepNext/>
              <w:kinsoku/>
              <w:overflowPunct/>
              <w:autoSpaceDE/>
              <w:autoSpaceDN/>
              <w:adjustRightInd/>
              <w:snapToGrid/>
              <w:spacing w:before="60" w:after="60"/>
              <w:rPr>
                <w:rFonts w:eastAsia="Times New Roman"/>
                <w:sz w:val="18"/>
                <w:szCs w:val="18"/>
                <w:lang w:val="fr-FR"/>
              </w:rPr>
            </w:pPr>
          </w:p>
        </w:tc>
      </w:tr>
      <w:tr w:rsidR="008221CC" w:rsidRPr="008221CC" w:rsidTr="008E3B10">
        <w:trPr>
          <w:jc w:val="center"/>
        </w:trPr>
        <w:tc>
          <w:tcPr>
            <w:tcW w:w="1562" w:type="dxa"/>
            <w:shd w:val="clear" w:color="auto" w:fill="auto"/>
          </w:tcPr>
          <w:p w:rsidR="008221CC" w:rsidRPr="008221CC" w:rsidRDefault="008221CC" w:rsidP="008221CC">
            <w:pPr>
              <w:tabs>
                <w:tab w:val="right" w:leader="dot" w:pos="9356"/>
              </w:tabs>
              <w:kinsoku/>
              <w:overflowPunct/>
              <w:autoSpaceDE/>
              <w:autoSpaceDN/>
              <w:adjustRightInd/>
              <w:snapToGrid/>
              <w:spacing w:before="40" w:after="40" w:line="220" w:lineRule="exact"/>
              <w:ind w:left="57"/>
              <w:rPr>
                <w:rFonts w:eastAsia="Times New Roman"/>
                <w:sz w:val="18"/>
                <w:szCs w:val="18"/>
                <w:lang w:val="fr-FR"/>
              </w:rPr>
            </w:pPr>
            <w:proofErr w:type="spellStart"/>
            <w:r w:rsidRPr="008221CC">
              <w:rPr>
                <w:rFonts w:eastAsia="Times New Roman"/>
                <w:sz w:val="18"/>
                <w:szCs w:val="18"/>
                <w:lang w:val="fr-FR"/>
              </w:rPr>
              <w:t>FD</w:t>
            </w:r>
            <w:r w:rsidRPr="008221CC">
              <w:rPr>
                <w:rFonts w:eastAsia="Times New Roman"/>
                <w:i/>
                <w:sz w:val="18"/>
                <w:szCs w:val="18"/>
                <w:vertAlign w:val="superscript"/>
                <w:lang w:val="fr-FR"/>
              </w:rPr>
              <w:t>i</w:t>
            </w:r>
            <w:proofErr w:type="spellEnd"/>
            <w:r w:rsidRPr="008221CC">
              <w:rPr>
                <w:rFonts w:eastAsia="Times New Roman"/>
                <w:i/>
                <w:sz w:val="18"/>
                <w:szCs w:val="18"/>
                <w:vertAlign w:val="superscript"/>
                <w:lang w:val="fr-FR"/>
              </w:rPr>
              <w:t>, iii</w:t>
            </w:r>
          </w:p>
        </w:tc>
        <w:tc>
          <w:tcPr>
            <w:tcW w:w="61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5"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r>
      <w:tr w:rsidR="008221CC" w:rsidRPr="008221CC" w:rsidTr="008E3B10">
        <w:trPr>
          <w:jc w:val="center"/>
        </w:trPr>
        <w:tc>
          <w:tcPr>
            <w:tcW w:w="1562" w:type="dxa"/>
            <w:shd w:val="clear" w:color="auto" w:fill="auto"/>
          </w:tcPr>
          <w:p w:rsidR="008221CC" w:rsidRPr="008221CC" w:rsidRDefault="008221CC" w:rsidP="008221CC">
            <w:pPr>
              <w:tabs>
                <w:tab w:val="right" w:leader="dot" w:pos="9356"/>
              </w:tabs>
              <w:kinsoku/>
              <w:overflowPunct/>
              <w:autoSpaceDE/>
              <w:autoSpaceDN/>
              <w:adjustRightInd/>
              <w:snapToGrid/>
              <w:spacing w:before="40" w:after="40" w:line="220" w:lineRule="exact"/>
              <w:ind w:left="57"/>
              <w:rPr>
                <w:rFonts w:eastAsia="Times New Roman"/>
                <w:spacing w:val="-4"/>
                <w:sz w:val="18"/>
                <w:szCs w:val="18"/>
                <w:lang w:val="fr-FR"/>
              </w:rPr>
            </w:pPr>
            <w:r w:rsidRPr="008221CC">
              <w:rPr>
                <w:rFonts w:eastAsia="Times New Roman"/>
                <w:spacing w:val="-4"/>
                <w:sz w:val="18"/>
                <w:szCs w:val="18"/>
                <w:lang w:val="fr-FR"/>
              </w:rPr>
              <w:t>Valeur moyenne finale calculée avec Ki et FD (</w:t>
            </w:r>
            <w:proofErr w:type="spellStart"/>
            <w:r w:rsidRPr="008221CC">
              <w:rPr>
                <w:rFonts w:eastAsia="Times New Roman"/>
                <w:spacing w:val="-4"/>
                <w:sz w:val="18"/>
                <w:szCs w:val="18"/>
                <w:lang w:val="fr-FR"/>
              </w:rPr>
              <w:t>M.Ki.FD</w:t>
            </w:r>
            <w:proofErr w:type="spellEnd"/>
            <w:r w:rsidRPr="008221CC">
              <w:rPr>
                <w:rFonts w:eastAsia="Times New Roman"/>
                <w:spacing w:val="-4"/>
                <w:sz w:val="18"/>
                <w:szCs w:val="18"/>
                <w:lang w:val="fr-FR"/>
              </w:rPr>
              <w:t>)</w:t>
            </w:r>
            <w:r w:rsidRPr="008221CC">
              <w:rPr>
                <w:rFonts w:eastAsia="Times New Roman"/>
                <w:i/>
                <w:spacing w:val="-4"/>
                <w:sz w:val="18"/>
                <w:szCs w:val="18"/>
                <w:vertAlign w:val="superscript"/>
                <w:lang w:val="fr-FR"/>
              </w:rPr>
              <w:t>vi</w:t>
            </w:r>
          </w:p>
        </w:tc>
        <w:tc>
          <w:tcPr>
            <w:tcW w:w="61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5"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r>
      <w:tr w:rsidR="008221CC" w:rsidRPr="008221CC" w:rsidTr="008E3B10">
        <w:trPr>
          <w:jc w:val="center"/>
        </w:trPr>
        <w:tc>
          <w:tcPr>
            <w:tcW w:w="1562" w:type="dxa"/>
            <w:shd w:val="clear" w:color="auto" w:fill="auto"/>
          </w:tcPr>
          <w:p w:rsidR="008221CC" w:rsidRPr="008221CC" w:rsidRDefault="008221CC" w:rsidP="008221CC">
            <w:pPr>
              <w:tabs>
                <w:tab w:val="right" w:leader="dot" w:pos="9356"/>
              </w:tabs>
              <w:kinsoku/>
              <w:overflowPunct/>
              <w:autoSpaceDE/>
              <w:autoSpaceDN/>
              <w:adjustRightInd/>
              <w:snapToGrid/>
              <w:spacing w:before="40" w:after="40" w:line="220" w:lineRule="exact"/>
              <w:ind w:left="57"/>
              <w:rPr>
                <w:rFonts w:eastAsia="Times New Roman"/>
                <w:sz w:val="18"/>
                <w:szCs w:val="18"/>
                <w:lang w:val="fr-FR"/>
              </w:rPr>
            </w:pPr>
            <w:r w:rsidRPr="008221CC">
              <w:rPr>
                <w:rFonts w:eastAsia="Times New Roman"/>
                <w:sz w:val="18"/>
                <w:szCs w:val="18"/>
                <w:lang w:val="fr-FR"/>
              </w:rPr>
              <w:t>Valeur limite</w:t>
            </w:r>
          </w:p>
        </w:tc>
        <w:tc>
          <w:tcPr>
            <w:tcW w:w="61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5"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c>
          <w:tcPr>
            <w:tcW w:w="1066" w:type="dxa"/>
            <w:shd w:val="clear" w:color="auto" w:fill="auto"/>
          </w:tcPr>
          <w:p w:rsidR="008221CC" w:rsidRPr="008221CC" w:rsidRDefault="008221CC" w:rsidP="008221CC">
            <w:pPr>
              <w:kinsoku/>
              <w:overflowPunct/>
              <w:autoSpaceDE/>
              <w:autoSpaceDN/>
              <w:adjustRightInd/>
              <w:snapToGrid/>
              <w:spacing w:before="60" w:after="60"/>
              <w:rPr>
                <w:rFonts w:eastAsia="Times New Roman"/>
                <w:sz w:val="18"/>
                <w:szCs w:val="18"/>
                <w:lang w:val="fr-FR"/>
              </w:rPr>
            </w:pPr>
          </w:p>
        </w:tc>
      </w:tr>
    </w:tbl>
    <w:p w:rsidR="00AA1AC7" w:rsidRPr="00A779B8" w:rsidRDefault="00AA1AC7" w:rsidP="00AA1AC7">
      <w:pPr>
        <w:spacing w:before="120"/>
        <w:ind w:firstLine="170"/>
        <w:rPr>
          <w:sz w:val="18"/>
          <w:szCs w:val="18"/>
          <w:lang w:val="fr-FR"/>
        </w:rPr>
      </w:pPr>
      <w:r w:rsidRPr="00582DF4">
        <w:rPr>
          <w:i/>
          <w:sz w:val="18"/>
          <w:szCs w:val="18"/>
          <w:vertAlign w:val="superscript"/>
          <w:lang w:val="fr-FR"/>
        </w:rPr>
        <w:t>i</w:t>
      </w:r>
      <w:r w:rsidRPr="00A779B8">
        <w:rPr>
          <w:sz w:val="18"/>
          <w:szCs w:val="18"/>
          <w:lang w:val="fr-FR"/>
        </w:rPr>
        <w:t xml:space="preserve">  Le cas échéant.</w:t>
      </w:r>
    </w:p>
    <w:p w:rsidR="00AA1AC7" w:rsidRPr="00A779B8" w:rsidRDefault="00AA1AC7" w:rsidP="00AA1AC7">
      <w:pPr>
        <w:ind w:firstLine="170"/>
        <w:rPr>
          <w:sz w:val="18"/>
          <w:szCs w:val="18"/>
          <w:lang w:val="fr-FR"/>
        </w:rPr>
      </w:pPr>
      <w:r w:rsidRPr="00582DF4">
        <w:rPr>
          <w:i/>
          <w:sz w:val="18"/>
          <w:szCs w:val="18"/>
          <w:vertAlign w:val="superscript"/>
          <w:lang w:val="fr-FR"/>
        </w:rPr>
        <w:t>ii</w:t>
      </w:r>
      <w:r w:rsidRPr="00AA1AC7">
        <w:rPr>
          <w:sz w:val="18"/>
          <w:szCs w:val="18"/>
          <w:lang w:val="fr-FR"/>
        </w:rPr>
        <w:t xml:space="preserve"> </w:t>
      </w:r>
      <w:r w:rsidRPr="00A779B8">
        <w:rPr>
          <w:sz w:val="18"/>
          <w:szCs w:val="18"/>
          <w:lang w:val="fr-FR"/>
        </w:rPr>
        <w:t xml:space="preserve"> Arrondir à la deuxième décimale.</w:t>
      </w:r>
    </w:p>
    <w:p w:rsidR="00AA1AC7" w:rsidRPr="00A779B8" w:rsidRDefault="00AA1AC7" w:rsidP="00AA1AC7">
      <w:pPr>
        <w:ind w:firstLine="170"/>
        <w:rPr>
          <w:sz w:val="18"/>
          <w:szCs w:val="18"/>
          <w:lang w:val="fr-FR"/>
        </w:rPr>
      </w:pPr>
      <w:r w:rsidRPr="00582DF4">
        <w:rPr>
          <w:i/>
          <w:sz w:val="18"/>
          <w:szCs w:val="18"/>
          <w:vertAlign w:val="superscript"/>
          <w:lang w:val="fr-FR"/>
        </w:rPr>
        <w:t>iii</w:t>
      </w:r>
      <w:r w:rsidRPr="00AA1AC7">
        <w:rPr>
          <w:sz w:val="18"/>
          <w:szCs w:val="18"/>
          <w:lang w:val="fr-FR"/>
        </w:rPr>
        <w:t xml:space="preserve"> </w:t>
      </w:r>
      <w:r w:rsidRPr="00A779B8">
        <w:rPr>
          <w:sz w:val="18"/>
          <w:szCs w:val="18"/>
          <w:lang w:val="fr-FR"/>
        </w:rPr>
        <w:t xml:space="preserve"> Arrondir à la quatrième décimale. </w:t>
      </w:r>
    </w:p>
    <w:p w:rsidR="00AA1AC7" w:rsidRPr="00A779B8" w:rsidRDefault="00AA1AC7" w:rsidP="00AA1AC7">
      <w:pPr>
        <w:ind w:firstLine="170"/>
        <w:rPr>
          <w:sz w:val="18"/>
          <w:szCs w:val="18"/>
          <w:lang w:val="fr-FR"/>
        </w:rPr>
      </w:pPr>
      <w:r w:rsidRPr="00582DF4">
        <w:rPr>
          <w:i/>
          <w:sz w:val="18"/>
          <w:szCs w:val="18"/>
          <w:vertAlign w:val="superscript"/>
          <w:lang w:val="fr-FR"/>
        </w:rPr>
        <w:t>iv</w:t>
      </w:r>
      <w:r w:rsidRPr="00A779B8">
        <w:rPr>
          <w:sz w:val="18"/>
          <w:szCs w:val="18"/>
          <w:lang w:val="fr-FR"/>
        </w:rPr>
        <w:t xml:space="preserve">  Sans objet.</w:t>
      </w:r>
    </w:p>
    <w:p w:rsidR="00AA1AC7" w:rsidRPr="00A779B8" w:rsidRDefault="00AA1AC7" w:rsidP="00AA1AC7">
      <w:pPr>
        <w:ind w:firstLine="170"/>
        <w:rPr>
          <w:sz w:val="18"/>
          <w:szCs w:val="18"/>
          <w:lang w:val="fr-FR"/>
        </w:rPr>
      </w:pPr>
      <w:r w:rsidRPr="00582DF4">
        <w:rPr>
          <w:i/>
          <w:sz w:val="18"/>
          <w:szCs w:val="18"/>
          <w:vertAlign w:val="superscript"/>
          <w:lang w:val="fr-FR"/>
        </w:rPr>
        <w:t>v</w:t>
      </w:r>
      <w:r w:rsidRPr="00A779B8">
        <w:rPr>
          <w:sz w:val="18"/>
          <w:szCs w:val="18"/>
          <w:lang w:val="fr-FR"/>
        </w:rPr>
        <w:t xml:space="preserve">  Valeur moyenne calculée en ajoutant les valeurs moyennes (</w:t>
      </w:r>
      <w:proofErr w:type="spellStart"/>
      <w:r w:rsidRPr="00A779B8">
        <w:rPr>
          <w:sz w:val="18"/>
          <w:szCs w:val="18"/>
          <w:lang w:val="fr-FR"/>
        </w:rPr>
        <w:t>M.Ki</w:t>
      </w:r>
      <w:proofErr w:type="spellEnd"/>
      <w:r w:rsidRPr="00A779B8">
        <w:rPr>
          <w:sz w:val="18"/>
          <w:szCs w:val="18"/>
          <w:lang w:val="fr-FR"/>
        </w:rPr>
        <w:t xml:space="preserve">) calculées pour HCT et </w:t>
      </w:r>
      <w:proofErr w:type="spellStart"/>
      <w:r w:rsidRPr="00A779B8">
        <w:rPr>
          <w:sz w:val="18"/>
          <w:szCs w:val="18"/>
          <w:lang w:val="fr-FR"/>
        </w:rPr>
        <w:t>NO</w:t>
      </w:r>
      <w:r w:rsidRPr="00A779B8">
        <w:rPr>
          <w:sz w:val="18"/>
          <w:szCs w:val="18"/>
          <w:vertAlign w:val="subscript"/>
          <w:lang w:val="fr-FR"/>
        </w:rPr>
        <w:t>x</w:t>
      </w:r>
      <w:proofErr w:type="spellEnd"/>
      <w:r w:rsidRPr="00A779B8">
        <w:rPr>
          <w:sz w:val="18"/>
          <w:szCs w:val="18"/>
          <w:lang w:val="fr-FR"/>
        </w:rPr>
        <w:t>.</w:t>
      </w:r>
    </w:p>
    <w:p w:rsidR="00CB5DFF" w:rsidRDefault="00AA1AC7" w:rsidP="00AA1AC7">
      <w:pPr>
        <w:ind w:firstLine="170"/>
        <w:rPr>
          <w:sz w:val="18"/>
          <w:szCs w:val="18"/>
          <w:lang w:val="fr-FR"/>
        </w:rPr>
      </w:pPr>
      <w:r w:rsidRPr="00582DF4">
        <w:rPr>
          <w:i/>
          <w:sz w:val="18"/>
          <w:szCs w:val="18"/>
          <w:vertAlign w:val="superscript"/>
          <w:lang w:val="fr-FR"/>
        </w:rPr>
        <w:t>vi</w:t>
      </w:r>
      <w:r w:rsidRPr="00A779B8">
        <w:rPr>
          <w:sz w:val="18"/>
          <w:szCs w:val="18"/>
          <w:lang w:val="fr-FR"/>
        </w:rPr>
        <w:t xml:space="preserve">  Arrondir à la première décimale au-dessus de la valeur limite.</w:t>
      </w:r>
    </w:p>
    <w:p w:rsidR="00AA1AC7" w:rsidRPr="00AA1AC7" w:rsidRDefault="00AA1AC7" w:rsidP="00AA1AC7">
      <w:pPr>
        <w:tabs>
          <w:tab w:val="right" w:leader="dot" w:pos="8505"/>
        </w:tabs>
        <w:kinsoku/>
        <w:overflowPunct/>
        <w:autoSpaceDE/>
        <w:autoSpaceDN/>
        <w:adjustRightInd/>
        <w:snapToGrid/>
        <w:spacing w:before="240" w:after="120"/>
        <w:ind w:left="2268" w:right="1134"/>
        <w:rPr>
          <w:rFonts w:eastAsia="Times New Roman"/>
          <w:lang w:val="fr-FR"/>
        </w:rPr>
      </w:pPr>
      <w:r w:rsidRPr="00AA1AC7">
        <w:rPr>
          <w:rFonts w:eastAsia="Times New Roman"/>
          <w:lang w:val="fr-FR"/>
        </w:rPr>
        <w:t>Position de ventilateur de refroidissement du moteur pendant l</w:t>
      </w:r>
      <w:r w:rsidR="00DB4C2D">
        <w:rPr>
          <w:rFonts w:eastAsia="Times New Roman"/>
          <w:lang w:val="fr-FR"/>
        </w:rPr>
        <w:t>’</w:t>
      </w:r>
      <w:r w:rsidRPr="00AA1AC7">
        <w:rPr>
          <w:rFonts w:eastAsia="Times New Roman"/>
          <w:lang w:val="fr-FR"/>
        </w:rPr>
        <w:t>essai:</w:t>
      </w:r>
      <w:r w:rsidRPr="00AA1AC7">
        <w:rPr>
          <w:rFonts w:eastAsia="Times New Roman"/>
          <w:lang w:val="fr-FR"/>
        </w:rPr>
        <w:tab/>
      </w:r>
    </w:p>
    <w:p w:rsidR="00AA1AC7" w:rsidRPr="00AA1AC7" w:rsidRDefault="00AA1AC7" w:rsidP="00AA1AC7">
      <w:pPr>
        <w:tabs>
          <w:tab w:val="right" w:leader="dot" w:pos="8505"/>
        </w:tabs>
        <w:kinsoku/>
        <w:overflowPunct/>
        <w:autoSpaceDE/>
        <w:autoSpaceDN/>
        <w:adjustRightInd/>
        <w:snapToGrid/>
        <w:spacing w:after="120"/>
        <w:ind w:left="2268" w:right="1134"/>
        <w:rPr>
          <w:rFonts w:eastAsia="Times New Roman"/>
          <w:lang w:val="fr-FR"/>
        </w:rPr>
      </w:pPr>
      <w:r w:rsidRPr="00AA1AC7">
        <w:rPr>
          <w:rFonts w:eastAsia="Times New Roman"/>
          <w:lang w:val="fr-FR"/>
        </w:rPr>
        <w:t>Hauteur du bord inférieur au-dessus du sol:</w:t>
      </w:r>
      <w:r w:rsidRPr="00AA1AC7">
        <w:rPr>
          <w:rFonts w:eastAsia="Times New Roman"/>
          <w:lang w:val="fr-FR"/>
        </w:rPr>
        <w:tab/>
        <w:t>cm</w:t>
      </w:r>
    </w:p>
    <w:p w:rsidR="00AA1AC7" w:rsidRPr="00AA1AC7" w:rsidRDefault="00AA1AC7" w:rsidP="00AA1AC7">
      <w:pPr>
        <w:tabs>
          <w:tab w:val="right" w:leader="dot" w:pos="8505"/>
        </w:tabs>
        <w:kinsoku/>
        <w:overflowPunct/>
        <w:autoSpaceDE/>
        <w:autoSpaceDN/>
        <w:adjustRightInd/>
        <w:snapToGrid/>
        <w:spacing w:after="120"/>
        <w:ind w:left="2268" w:right="1134"/>
        <w:rPr>
          <w:rFonts w:eastAsia="Times New Roman"/>
          <w:lang w:val="fr-FR"/>
        </w:rPr>
      </w:pPr>
      <w:r w:rsidRPr="00AA1AC7">
        <w:rPr>
          <w:rFonts w:eastAsia="Times New Roman"/>
          <w:lang w:val="fr-FR"/>
        </w:rPr>
        <w:t>Position latérale du centre du ventilateur:</w:t>
      </w:r>
      <w:r w:rsidRPr="00AA1AC7">
        <w:rPr>
          <w:rFonts w:eastAsia="Times New Roman"/>
          <w:lang w:val="fr-FR"/>
        </w:rPr>
        <w:tab/>
        <w:t>cm</w:t>
      </w:r>
    </w:p>
    <w:p w:rsidR="00AA1AC7" w:rsidRPr="00AA1AC7" w:rsidRDefault="00AA1AC7" w:rsidP="00AA1AC7">
      <w:pPr>
        <w:kinsoku/>
        <w:overflowPunct/>
        <w:autoSpaceDE/>
        <w:autoSpaceDN/>
        <w:adjustRightInd/>
        <w:snapToGrid/>
        <w:spacing w:after="120"/>
        <w:ind w:left="2268" w:right="1134"/>
        <w:rPr>
          <w:rFonts w:eastAsia="Times New Roman"/>
          <w:vertAlign w:val="superscript"/>
          <w:lang w:val="fr-FR"/>
        </w:rPr>
      </w:pPr>
      <w:r w:rsidRPr="00AA1AC7">
        <w:rPr>
          <w:rFonts w:eastAsia="Times New Roman"/>
          <w:lang w:val="fr-FR"/>
        </w:rPr>
        <w:t>À gauche/à droite de l</w:t>
      </w:r>
      <w:r w:rsidR="00DB4C2D">
        <w:rPr>
          <w:rFonts w:eastAsia="Times New Roman"/>
          <w:lang w:val="fr-FR"/>
        </w:rPr>
        <w:t>’</w:t>
      </w:r>
      <w:r w:rsidRPr="00AA1AC7">
        <w:rPr>
          <w:rFonts w:eastAsia="Times New Roman"/>
          <w:lang w:val="fr-FR"/>
        </w:rPr>
        <w:t>axe médian du véhicule</w:t>
      </w:r>
      <w:r w:rsidR="00582DF4">
        <w:rPr>
          <w:rFonts w:eastAsia="Times New Roman"/>
          <w:sz w:val="18"/>
          <w:szCs w:val="18"/>
          <w:vertAlign w:val="superscript"/>
          <w:lang w:val="fr-FR"/>
        </w:rPr>
        <w:t>1</w:t>
      </w:r>
    </w:p>
    <w:p w:rsidR="00AA1AC7" w:rsidRPr="00AA1AC7" w:rsidRDefault="00AA1AC7" w:rsidP="00AA1AC7">
      <w:pPr>
        <w:kinsoku/>
        <w:overflowPunct/>
        <w:autoSpaceDE/>
        <w:autoSpaceDN/>
        <w:adjustRightInd/>
        <w:snapToGrid/>
        <w:spacing w:after="120"/>
        <w:ind w:left="2268" w:right="1134"/>
        <w:rPr>
          <w:rFonts w:eastAsia="Times New Roman"/>
          <w:vertAlign w:val="superscript"/>
          <w:lang w:val="fr-FR"/>
        </w:rPr>
      </w:pPr>
      <w:r w:rsidRPr="00AA1AC7">
        <w:rPr>
          <w:rFonts w:eastAsia="Times New Roman"/>
          <w:lang w:val="fr-FR"/>
        </w:rPr>
        <w:t>Renseignements concernant la stratégie de régénération</w:t>
      </w:r>
    </w:p>
    <w:p w:rsidR="00AA1AC7" w:rsidRPr="00AA1AC7" w:rsidRDefault="00AA1AC7" w:rsidP="00AA1AC7">
      <w:pPr>
        <w:tabs>
          <w:tab w:val="right" w:leader="dot" w:pos="8505"/>
        </w:tabs>
        <w:kinsoku/>
        <w:overflowPunct/>
        <w:autoSpaceDE/>
        <w:autoSpaceDN/>
        <w:adjustRightInd/>
        <w:snapToGrid/>
        <w:spacing w:after="120"/>
        <w:ind w:left="2268" w:right="1134"/>
        <w:rPr>
          <w:rFonts w:eastAsia="Times New Roman"/>
          <w:lang w:val="fr-FR"/>
        </w:rPr>
      </w:pPr>
      <w:r w:rsidRPr="00AA1AC7">
        <w:rPr>
          <w:rFonts w:eastAsia="Times New Roman"/>
          <w:lang w:val="fr-FR"/>
        </w:rPr>
        <w:t>D − nombre de cycles de fonctionnement requis entre deux cycles où se produit une régénération:</w:t>
      </w:r>
      <w:r w:rsidRPr="00AA1AC7">
        <w:rPr>
          <w:rFonts w:eastAsia="Times New Roman"/>
          <w:lang w:val="fr-FR"/>
        </w:rPr>
        <w:tab/>
      </w:r>
    </w:p>
    <w:p w:rsidR="00AA1AC7" w:rsidRPr="00AA1AC7" w:rsidRDefault="00AA1AC7" w:rsidP="00AA1AC7">
      <w:pPr>
        <w:tabs>
          <w:tab w:val="right" w:leader="dot" w:pos="8505"/>
        </w:tabs>
        <w:kinsoku/>
        <w:overflowPunct/>
        <w:autoSpaceDE/>
        <w:autoSpaceDN/>
        <w:adjustRightInd/>
        <w:snapToGrid/>
        <w:spacing w:after="120"/>
        <w:ind w:left="2268" w:right="1134"/>
        <w:rPr>
          <w:rFonts w:eastAsia="Times New Roman"/>
          <w:lang w:val="fr-FR"/>
        </w:rPr>
      </w:pPr>
      <w:r w:rsidRPr="00AA1AC7">
        <w:rPr>
          <w:rFonts w:eastAsia="Times New Roman"/>
          <w:lang w:val="fr-FR"/>
        </w:rPr>
        <w:t>d − nombre de cycles de fonctionnement requis pour une régénération:</w:t>
      </w:r>
      <w:r w:rsidRPr="00AA1AC7">
        <w:rPr>
          <w:rFonts w:eastAsia="Times New Roman"/>
          <w:lang w:val="fr-FR"/>
        </w:rPr>
        <w:tab/>
      </w:r>
    </w:p>
    <w:p w:rsidR="00AA1AC7" w:rsidRPr="00AA1AC7" w:rsidRDefault="00AA1AC7" w:rsidP="00AA1AC7">
      <w:pPr>
        <w:tabs>
          <w:tab w:val="right" w:leader="dot" w:pos="8505"/>
        </w:tabs>
        <w:kinsoku/>
        <w:overflowPunct/>
        <w:autoSpaceDE/>
        <w:autoSpaceDN/>
        <w:adjustRightInd/>
        <w:snapToGrid/>
        <w:spacing w:after="120"/>
        <w:ind w:left="2268" w:right="1134"/>
        <w:rPr>
          <w:rFonts w:eastAsia="Times New Roman"/>
          <w:lang w:val="fr-FR"/>
        </w:rPr>
      </w:pPr>
      <w:r w:rsidRPr="00AA1AC7">
        <w:rPr>
          <w:rFonts w:eastAsia="Times New Roman"/>
          <w:lang w:val="fr-FR"/>
        </w:rPr>
        <w:t>Type II:</w:t>
      </w:r>
      <w:r w:rsidRPr="00AA1AC7">
        <w:rPr>
          <w:rFonts w:eastAsia="Times New Roman"/>
          <w:lang w:val="fr-FR"/>
        </w:rPr>
        <w:tab/>
        <w:t>%</w:t>
      </w:r>
    </w:p>
    <w:p w:rsidR="00AA1AC7" w:rsidRPr="00AA1AC7" w:rsidRDefault="00AA1AC7" w:rsidP="00AA1AC7">
      <w:pPr>
        <w:tabs>
          <w:tab w:val="right" w:leader="dot" w:pos="8505"/>
        </w:tabs>
        <w:kinsoku/>
        <w:overflowPunct/>
        <w:autoSpaceDE/>
        <w:autoSpaceDN/>
        <w:adjustRightInd/>
        <w:snapToGrid/>
        <w:spacing w:after="120"/>
        <w:ind w:left="2268" w:right="1134"/>
        <w:rPr>
          <w:rFonts w:eastAsia="Times New Roman"/>
          <w:lang w:val="fr-FR"/>
        </w:rPr>
      </w:pPr>
      <w:r w:rsidRPr="00AA1AC7">
        <w:rPr>
          <w:rFonts w:eastAsia="Times New Roman"/>
          <w:lang w:val="fr-FR"/>
        </w:rPr>
        <w:t>Type III:</w:t>
      </w:r>
      <w:r w:rsidRPr="00AA1AC7">
        <w:rPr>
          <w:rFonts w:eastAsia="Times New Roman"/>
          <w:lang w:val="fr-FR"/>
        </w:rPr>
        <w:tab/>
      </w:r>
    </w:p>
    <w:p w:rsidR="00AA1AC7" w:rsidRPr="00AA1AC7" w:rsidRDefault="00AA1AC7" w:rsidP="00AA1AC7">
      <w:pPr>
        <w:tabs>
          <w:tab w:val="right" w:leader="dot" w:pos="8505"/>
        </w:tabs>
        <w:kinsoku/>
        <w:overflowPunct/>
        <w:autoSpaceDE/>
        <w:autoSpaceDN/>
        <w:adjustRightInd/>
        <w:snapToGrid/>
        <w:spacing w:after="120"/>
        <w:ind w:left="2268" w:right="1134"/>
        <w:rPr>
          <w:rFonts w:eastAsia="Times New Roman"/>
          <w:lang w:val="fr-FR"/>
        </w:rPr>
      </w:pPr>
      <w:r w:rsidRPr="00AA1AC7">
        <w:rPr>
          <w:rFonts w:eastAsia="Times New Roman"/>
          <w:lang w:val="fr-FR"/>
        </w:rPr>
        <w:t>Type IV:</w:t>
      </w:r>
      <w:r w:rsidRPr="00AA1AC7">
        <w:rPr>
          <w:rFonts w:eastAsia="Times New Roman"/>
          <w:lang w:val="fr-FR"/>
        </w:rPr>
        <w:tab/>
        <w:t>g/essai</w:t>
      </w:r>
    </w:p>
    <w:p w:rsidR="00AA1AC7" w:rsidRPr="00AA1AC7" w:rsidRDefault="00AA1AC7" w:rsidP="00AA1AC7">
      <w:pPr>
        <w:tabs>
          <w:tab w:val="right" w:leader="dot" w:pos="8505"/>
        </w:tabs>
        <w:kinsoku/>
        <w:overflowPunct/>
        <w:autoSpaceDE/>
        <w:autoSpaceDN/>
        <w:adjustRightInd/>
        <w:snapToGrid/>
        <w:spacing w:after="120"/>
        <w:ind w:left="2268" w:right="1134"/>
        <w:rPr>
          <w:rFonts w:eastAsia="Times New Roman"/>
          <w:lang w:val="fr-FR"/>
        </w:rPr>
      </w:pPr>
      <w:r w:rsidRPr="00AA1AC7">
        <w:rPr>
          <w:rFonts w:eastAsia="Times New Roman"/>
          <w:lang w:val="fr-FR"/>
        </w:rPr>
        <w:t xml:space="preserve">Type V: </w:t>
      </w:r>
      <w:r w:rsidRPr="00AA1AC7">
        <w:rPr>
          <w:rFonts w:eastAsia="Times New Roman"/>
          <w:lang w:val="fr-FR"/>
        </w:rPr>
        <w:tab/>
      </w:r>
    </w:p>
    <w:p w:rsidR="00AA1AC7" w:rsidRPr="00AA1AC7" w:rsidRDefault="00AA1AC7" w:rsidP="00AA1AC7">
      <w:pPr>
        <w:tabs>
          <w:tab w:val="right" w:leader="dot" w:pos="8505"/>
        </w:tabs>
        <w:kinsoku/>
        <w:overflowPunct/>
        <w:autoSpaceDE/>
        <w:autoSpaceDN/>
        <w:adjustRightInd/>
        <w:snapToGrid/>
        <w:spacing w:after="120"/>
        <w:ind w:left="2268" w:right="1134"/>
        <w:rPr>
          <w:rFonts w:eastAsia="Times New Roman"/>
          <w:vertAlign w:val="superscript"/>
          <w:lang w:val="fr-FR"/>
        </w:rPr>
      </w:pPr>
      <w:r w:rsidRPr="00AA1AC7">
        <w:rPr>
          <w:rFonts w:eastAsia="Times New Roman"/>
          <w:lang w:val="fr-FR"/>
        </w:rPr>
        <w:t>Essai de durabilité: essai sur le véhicule complet/essai d</w:t>
      </w:r>
      <w:r w:rsidR="00DB4C2D">
        <w:rPr>
          <w:rFonts w:eastAsia="Times New Roman"/>
          <w:lang w:val="fr-FR"/>
        </w:rPr>
        <w:t>’</w:t>
      </w:r>
      <w:r w:rsidRPr="00AA1AC7">
        <w:rPr>
          <w:rFonts w:eastAsia="Times New Roman"/>
          <w:lang w:val="fr-FR"/>
        </w:rPr>
        <w:t>endurance sur banc/néant</w:t>
      </w:r>
      <w:r w:rsidR="00582DF4">
        <w:rPr>
          <w:rFonts w:eastAsia="Times New Roman"/>
          <w:vertAlign w:val="superscript"/>
          <w:lang w:val="fr-FR"/>
        </w:rPr>
        <w:t>1</w:t>
      </w:r>
    </w:p>
    <w:p w:rsidR="00AA1AC7" w:rsidRPr="00AA1AC7" w:rsidRDefault="00AA1AC7" w:rsidP="00AA1AC7">
      <w:pPr>
        <w:tabs>
          <w:tab w:val="left" w:pos="2552"/>
          <w:tab w:val="right" w:leader="dot" w:pos="8505"/>
        </w:tabs>
        <w:kinsoku/>
        <w:overflowPunct/>
        <w:autoSpaceDE/>
        <w:autoSpaceDN/>
        <w:adjustRightInd/>
        <w:snapToGrid/>
        <w:spacing w:after="120"/>
        <w:ind w:left="2268" w:right="1134"/>
        <w:rPr>
          <w:rFonts w:eastAsia="Times New Roman"/>
          <w:vertAlign w:val="superscript"/>
          <w:lang w:val="fr-FR"/>
        </w:rPr>
      </w:pPr>
      <w:r>
        <w:rPr>
          <w:rFonts w:eastAsia="Times New Roman"/>
          <w:lang w:val="fr-FR"/>
        </w:rPr>
        <w:t>-</w:t>
      </w:r>
      <w:r>
        <w:rPr>
          <w:rFonts w:eastAsia="Times New Roman"/>
          <w:lang w:val="fr-FR"/>
        </w:rPr>
        <w:tab/>
      </w:r>
      <w:r w:rsidRPr="00AA1AC7">
        <w:rPr>
          <w:rFonts w:eastAsia="Times New Roman"/>
          <w:lang w:val="fr-FR"/>
        </w:rPr>
        <w:t>Facteur de détérioration (FD): calculé/attribué</w:t>
      </w:r>
      <w:r w:rsidR="00582DF4">
        <w:rPr>
          <w:rFonts w:eastAsia="Times New Roman"/>
          <w:sz w:val="18"/>
          <w:szCs w:val="18"/>
          <w:vertAlign w:val="superscript"/>
          <w:lang w:val="fr-FR"/>
        </w:rPr>
        <w:t>1</w:t>
      </w:r>
    </w:p>
    <w:p w:rsidR="00AA1AC7" w:rsidRPr="00AA1AC7" w:rsidRDefault="00AA1AC7" w:rsidP="00AA1AC7">
      <w:pPr>
        <w:tabs>
          <w:tab w:val="left" w:pos="2552"/>
          <w:tab w:val="right" w:leader="dot" w:pos="8505"/>
        </w:tabs>
        <w:kinsoku/>
        <w:overflowPunct/>
        <w:autoSpaceDE/>
        <w:autoSpaceDN/>
        <w:adjustRightInd/>
        <w:snapToGrid/>
        <w:spacing w:after="120"/>
        <w:ind w:left="2268" w:right="1134"/>
        <w:rPr>
          <w:rFonts w:eastAsia="Times New Roman"/>
          <w:lang w:val="fr-FR"/>
        </w:rPr>
      </w:pPr>
      <w:r>
        <w:rPr>
          <w:rFonts w:eastAsia="Times New Roman"/>
          <w:lang w:val="fr-FR"/>
        </w:rPr>
        <w:t>-</w:t>
      </w:r>
      <w:r>
        <w:rPr>
          <w:rFonts w:eastAsia="Times New Roman"/>
          <w:lang w:val="fr-FR"/>
        </w:rPr>
        <w:tab/>
      </w:r>
      <w:r w:rsidRPr="00AA1AC7">
        <w:rPr>
          <w:rFonts w:eastAsia="Times New Roman"/>
          <w:lang w:val="fr-FR"/>
        </w:rPr>
        <w:t>Préciser les valeurs (FD):</w:t>
      </w:r>
      <w:r w:rsidRPr="00AA1AC7">
        <w:rPr>
          <w:rFonts w:eastAsia="Times New Roman"/>
          <w:lang w:val="fr-FR"/>
        </w:rPr>
        <w:tab/>
      </w:r>
    </w:p>
    <w:p w:rsidR="00AA1AC7" w:rsidRDefault="00AA1AC7" w:rsidP="00AA1AC7">
      <w:pPr>
        <w:pStyle w:val="SingleTxtG"/>
        <w:ind w:left="2268"/>
        <w:rPr>
          <w:lang w:val="fr-FR"/>
        </w:rPr>
      </w:pPr>
      <w:r w:rsidRPr="00AA1AC7">
        <w:rPr>
          <w:lang w:val="fr-FR"/>
        </w:rPr>
        <w:t>Type VI:</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79"/>
        <w:gridCol w:w="2079"/>
        <w:gridCol w:w="2079"/>
      </w:tblGrid>
      <w:tr w:rsidR="00AA1AC7" w:rsidRPr="007E29C4" w:rsidTr="008E3B10">
        <w:tc>
          <w:tcPr>
            <w:tcW w:w="2079" w:type="dxa"/>
            <w:shd w:val="clear" w:color="auto" w:fill="auto"/>
            <w:vAlign w:val="center"/>
          </w:tcPr>
          <w:p w:rsidR="00AA1AC7" w:rsidRPr="007E29C4" w:rsidRDefault="00AA1AC7" w:rsidP="008E3B10">
            <w:pPr>
              <w:tabs>
                <w:tab w:val="right" w:leader="dot" w:pos="9356"/>
              </w:tabs>
              <w:spacing w:before="60" w:after="60"/>
              <w:ind w:left="57"/>
              <w:jc w:val="center"/>
              <w:rPr>
                <w:i/>
                <w:sz w:val="16"/>
                <w:szCs w:val="16"/>
                <w:lang w:val="fr-FR"/>
              </w:rPr>
            </w:pPr>
            <w:r w:rsidRPr="007E29C4">
              <w:rPr>
                <w:i/>
                <w:sz w:val="16"/>
                <w:szCs w:val="16"/>
                <w:lang w:val="fr-FR"/>
              </w:rPr>
              <w:t>Type VI</w:t>
            </w:r>
          </w:p>
        </w:tc>
        <w:tc>
          <w:tcPr>
            <w:tcW w:w="2079" w:type="dxa"/>
            <w:shd w:val="clear" w:color="auto" w:fill="auto"/>
            <w:vAlign w:val="center"/>
          </w:tcPr>
          <w:p w:rsidR="00AA1AC7" w:rsidRPr="007E29C4" w:rsidRDefault="00AA1AC7" w:rsidP="008E3B10">
            <w:pPr>
              <w:tabs>
                <w:tab w:val="right" w:leader="dot" w:pos="9356"/>
              </w:tabs>
              <w:spacing w:before="60" w:after="60"/>
              <w:ind w:left="57"/>
              <w:jc w:val="center"/>
              <w:rPr>
                <w:i/>
                <w:sz w:val="16"/>
                <w:szCs w:val="16"/>
                <w:lang w:val="fr-FR"/>
              </w:rPr>
            </w:pPr>
            <w:r w:rsidRPr="007E29C4">
              <w:rPr>
                <w:i/>
                <w:sz w:val="16"/>
                <w:szCs w:val="16"/>
                <w:lang w:val="fr-FR"/>
              </w:rPr>
              <w:t>CO (mg/km)</w:t>
            </w:r>
          </w:p>
        </w:tc>
        <w:tc>
          <w:tcPr>
            <w:tcW w:w="2079" w:type="dxa"/>
            <w:shd w:val="clear" w:color="auto" w:fill="auto"/>
            <w:vAlign w:val="center"/>
          </w:tcPr>
          <w:p w:rsidR="00AA1AC7" w:rsidRPr="007E29C4" w:rsidRDefault="00AA1AC7" w:rsidP="008E3B10">
            <w:pPr>
              <w:tabs>
                <w:tab w:val="right" w:leader="dot" w:pos="9356"/>
              </w:tabs>
              <w:spacing w:before="60" w:after="60"/>
              <w:ind w:left="57"/>
              <w:jc w:val="center"/>
              <w:rPr>
                <w:i/>
                <w:sz w:val="16"/>
                <w:szCs w:val="16"/>
                <w:lang w:val="fr-FR"/>
              </w:rPr>
            </w:pPr>
            <w:r w:rsidRPr="007E29C4">
              <w:rPr>
                <w:i/>
                <w:sz w:val="16"/>
                <w:szCs w:val="16"/>
                <w:lang w:val="fr-FR"/>
              </w:rPr>
              <w:t>HCT (mg/km)</w:t>
            </w:r>
          </w:p>
        </w:tc>
      </w:tr>
      <w:tr w:rsidR="00AA1AC7" w:rsidRPr="007E29C4" w:rsidTr="008E3B10">
        <w:tc>
          <w:tcPr>
            <w:tcW w:w="2079" w:type="dxa"/>
            <w:shd w:val="clear" w:color="auto" w:fill="auto"/>
          </w:tcPr>
          <w:p w:rsidR="00AA1AC7" w:rsidRPr="007E29C4" w:rsidRDefault="00AA1AC7" w:rsidP="008E3B10">
            <w:pPr>
              <w:spacing w:before="60" w:after="60"/>
              <w:rPr>
                <w:lang w:val="fr-FR"/>
              </w:rPr>
            </w:pPr>
            <w:r w:rsidRPr="007E29C4">
              <w:rPr>
                <w:lang w:val="fr-FR"/>
              </w:rPr>
              <w:t>Valeur mesurée</w:t>
            </w:r>
          </w:p>
        </w:tc>
        <w:tc>
          <w:tcPr>
            <w:tcW w:w="2079" w:type="dxa"/>
            <w:shd w:val="clear" w:color="auto" w:fill="auto"/>
          </w:tcPr>
          <w:p w:rsidR="00AA1AC7" w:rsidRPr="007E29C4" w:rsidRDefault="00AA1AC7" w:rsidP="008E3B10">
            <w:pPr>
              <w:spacing w:before="60" w:after="60"/>
              <w:rPr>
                <w:lang w:val="fr-FR"/>
              </w:rPr>
            </w:pPr>
          </w:p>
        </w:tc>
        <w:tc>
          <w:tcPr>
            <w:tcW w:w="2079" w:type="dxa"/>
            <w:shd w:val="clear" w:color="auto" w:fill="auto"/>
          </w:tcPr>
          <w:p w:rsidR="00AA1AC7" w:rsidRPr="007E29C4" w:rsidRDefault="00AA1AC7" w:rsidP="008E3B10">
            <w:pPr>
              <w:spacing w:before="60" w:after="60"/>
              <w:rPr>
                <w:lang w:val="fr-FR"/>
              </w:rPr>
            </w:pPr>
          </w:p>
        </w:tc>
      </w:tr>
    </w:tbl>
    <w:p w:rsidR="00AA1AC7" w:rsidRPr="00A779B8" w:rsidRDefault="00AA1AC7" w:rsidP="00AA1AC7">
      <w:pPr>
        <w:keepLines/>
        <w:spacing w:before="240" w:after="120"/>
        <w:ind w:left="2268" w:right="1134" w:hanging="1134"/>
        <w:jc w:val="both"/>
        <w:rPr>
          <w:szCs w:val="24"/>
          <w:lang w:val="fr-FR"/>
        </w:rPr>
      </w:pPr>
      <w:r w:rsidRPr="00A779B8">
        <w:rPr>
          <w:szCs w:val="24"/>
          <w:lang w:val="fr-FR"/>
        </w:rPr>
        <w:lastRenderedPageBreak/>
        <w:t>2.1.1</w:t>
      </w:r>
      <w:r w:rsidRPr="00A779B8">
        <w:rPr>
          <w:b/>
          <w:szCs w:val="24"/>
          <w:lang w:val="fr-FR"/>
        </w:rPr>
        <w:tab/>
      </w:r>
      <w:r w:rsidRPr="00A779B8">
        <w:rPr>
          <w:szCs w:val="24"/>
          <w:lang w:val="fr-FR"/>
        </w:rPr>
        <w:t>Dans le cas des</w:t>
      </w:r>
      <w:r w:rsidRPr="00A779B8">
        <w:rPr>
          <w:b/>
          <w:szCs w:val="24"/>
          <w:lang w:val="fr-FR"/>
        </w:rPr>
        <w:t xml:space="preserve"> </w:t>
      </w:r>
      <w:r w:rsidRPr="00A779B8">
        <w:rPr>
          <w:lang w:val="fr-FR"/>
        </w:rPr>
        <w:t xml:space="preserve">véhicules </w:t>
      </w:r>
      <w:proofErr w:type="spellStart"/>
      <w:r w:rsidRPr="00A779B8">
        <w:rPr>
          <w:lang w:val="fr-FR"/>
        </w:rPr>
        <w:t>bicarburant</w:t>
      </w:r>
      <w:proofErr w:type="spellEnd"/>
      <w:r w:rsidRPr="00A779B8">
        <w:rPr>
          <w:lang w:val="fr-FR"/>
        </w:rPr>
        <w:t>, il faut reproduire le tableau du type I pour les deux carburants. S</w:t>
      </w:r>
      <w:r w:rsidR="00DB4C2D">
        <w:rPr>
          <w:lang w:val="fr-FR"/>
        </w:rPr>
        <w:t>’</w:t>
      </w:r>
      <w:r w:rsidRPr="00A779B8">
        <w:rPr>
          <w:lang w:val="fr-FR"/>
        </w:rPr>
        <w:t xml:space="preserve">agissant des véhicules </w:t>
      </w:r>
      <w:proofErr w:type="spellStart"/>
      <w:r w:rsidRPr="00A779B8">
        <w:rPr>
          <w:lang w:val="fr-FR"/>
        </w:rPr>
        <w:t>polycarburant</w:t>
      </w:r>
      <w:proofErr w:type="spellEnd"/>
      <w:r w:rsidRPr="00A779B8">
        <w:rPr>
          <w:lang w:val="fr-FR"/>
        </w:rPr>
        <w:t>, lorsqu</w:t>
      </w:r>
      <w:r w:rsidR="00DB4C2D">
        <w:rPr>
          <w:lang w:val="fr-FR"/>
        </w:rPr>
        <w:t>’</w:t>
      </w:r>
      <w:r w:rsidRPr="00A779B8">
        <w:rPr>
          <w:lang w:val="fr-FR"/>
        </w:rPr>
        <w:t>il faut effectuer des essais du type I sur les deux carburants conformément au tableau A du présent Règlement, ainsi que pour les véhicules fonctionnant au GPL ou au GN/</w:t>
      </w:r>
      <w:proofErr w:type="spellStart"/>
      <w:r w:rsidRPr="00A779B8">
        <w:rPr>
          <w:lang w:val="fr-FR"/>
        </w:rPr>
        <w:t>biométhane</w:t>
      </w:r>
      <w:proofErr w:type="spellEnd"/>
      <w:r w:rsidRPr="00A779B8">
        <w:rPr>
          <w:lang w:val="fr-FR"/>
        </w:rPr>
        <w:t>, qu</w:t>
      </w:r>
      <w:r w:rsidR="00DB4C2D">
        <w:rPr>
          <w:lang w:val="fr-FR"/>
        </w:rPr>
        <w:t>’</w:t>
      </w:r>
      <w:r w:rsidRPr="00A779B8">
        <w:rPr>
          <w:lang w:val="fr-FR"/>
        </w:rPr>
        <w:t xml:space="preserve">ils soient </w:t>
      </w:r>
      <w:proofErr w:type="spellStart"/>
      <w:r w:rsidRPr="00A779B8">
        <w:rPr>
          <w:lang w:val="fr-FR"/>
        </w:rPr>
        <w:t>monocarburant</w:t>
      </w:r>
      <w:proofErr w:type="spellEnd"/>
      <w:r w:rsidRPr="00A779B8">
        <w:rPr>
          <w:lang w:val="fr-FR"/>
        </w:rPr>
        <w:t xml:space="preserve"> ou </w:t>
      </w:r>
      <w:proofErr w:type="spellStart"/>
      <w:r w:rsidRPr="00A779B8">
        <w:rPr>
          <w:lang w:val="fr-FR"/>
        </w:rPr>
        <w:t>bicarburant</w:t>
      </w:r>
      <w:proofErr w:type="spellEnd"/>
      <w:r w:rsidRPr="00A779B8">
        <w:rPr>
          <w:lang w:val="fr-FR"/>
        </w:rPr>
        <w:t>, faut reproduire le tableau pour chacun des gaz de référence utilisés lors de l</w:t>
      </w:r>
      <w:r w:rsidR="00DB4C2D">
        <w:rPr>
          <w:lang w:val="fr-FR"/>
        </w:rPr>
        <w:t>’</w:t>
      </w:r>
      <w:r w:rsidRPr="00A779B8">
        <w:rPr>
          <w:lang w:val="fr-FR"/>
        </w:rPr>
        <w:t xml:space="preserve">essai et un tableau supplémentaire doit présenter les plus mauvais résultats obtenus. Le cas échéant, conformément aux </w:t>
      </w:r>
      <w:r w:rsidRPr="00A779B8">
        <w:rPr>
          <w:szCs w:val="24"/>
          <w:lang w:val="fr-FR"/>
        </w:rPr>
        <w:t>paragraphes 3.1.4 et 3.1.5 de l</w:t>
      </w:r>
      <w:r w:rsidR="00DB4C2D">
        <w:rPr>
          <w:szCs w:val="24"/>
          <w:lang w:val="fr-FR"/>
        </w:rPr>
        <w:t>’</w:t>
      </w:r>
      <w:r w:rsidRPr="00A779B8">
        <w:rPr>
          <w:szCs w:val="24"/>
          <w:lang w:val="fr-FR"/>
        </w:rPr>
        <w:t xml:space="preserve">annexe 12 </w:t>
      </w:r>
      <w:r w:rsidRPr="00A779B8">
        <w:rPr>
          <w:lang w:val="fr-FR"/>
        </w:rPr>
        <w:t xml:space="preserve">du présent Règlement, il faut indiquer si les résultats ont été mesurés ou calculés. </w:t>
      </w:r>
    </w:p>
    <w:p w:rsidR="00AA1AC7" w:rsidRPr="00A779B8" w:rsidRDefault="00AA1AC7" w:rsidP="00AA1AC7">
      <w:pPr>
        <w:keepNext/>
        <w:tabs>
          <w:tab w:val="left" w:pos="1134"/>
          <w:tab w:val="right" w:leader="dot" w:pos="8505"/>
          <w:tab w:val="right" w:leader="dot" w:pos="9356"/>
        </w:tabs>
        <w:spacing w:after="120"/>
        <w:ind w:left="2268" w:right="1134"/>
        <w:jc w:val="both"/>
        <w:rPr>
          <w:szCs w:val="24"/>
          <w:lang w:val="fr-FR"/>
        </w:rPr>
      </w:pPr>
      <w:r w:rsidRPr="00A779B8">
        <w:rPr>
          <w:szCs w:val="24"/>
          <w:lang w:val="fr-FR"/>
        </w:rPr>
        <w:t xml:space="preserve">Essai </w:t>
      </w:r>
      <w:r w:rsidRPr="00A779B8">
        <w:rPr>
          <w:lang w:val="fr-FR"/>
        </w:rPr>
        <w:t>du système OBD</w:t>
      </w:r>
    </w:p>
    <w:p w:rsidR="00AA1AC7" w:rsidRPr="00A779B8" w:rsidRDefault="00AA1AC7" w:rsidP="00AA1AC7">
      <w:pPr>
        <w:pStyle w:val="SingleTxtG"/>
        <w:tabs>
          <w:tab w:val="right" w:leader="dot" w:pos="8500"/>
        </w:tabs>
        <w:ind w:left="2268" w:hanging="1134"/>
        <w:jc w:val="left"/>
        <w:rPr>
          <w:lang w:val="fr-FR"/>
        </w:rPr>
      </w:pPr>
      <w:r w:rsidRPr="00A779B8">
        <w:rPr>
          <w:lang w:val="fr-FR"/>
        </w:rPr>
        <w:t>2.1.2</w:t>
      </w:r>
      <w:r w:rsidRPr="00A779B8">
        <w:rPr>
          <w:lang w:val="fr-FR"/>
        </w:rPr>
        <w:tab/>
        <w:t xml:space="preserve">Description écrite et/ou schéma du témoin de défaillance (MI): </w:t>
      </w:r>
      <w:r w:rsidRPr="00A779B8">
        <w:rPr>
          <w:lang w:val="fr-FR"/>
        </w:rPr>
        <w:tab/>
      </w:r>
    </w:p>
    <w:p w:rsidR="00AA1AC7" w:rsidRPr="00A779B8" w:rsidRDefault="00AA1AC7" w:rsidP="00AA1AC7">
      <w:pPr>
        <w:pStyle w:val="SingleTxtG"/>
        <w:tabs>
          <w:tab w:val="right" w:leader="dot" w:pos="8500"/>
        </w:tabs>
        <w:ind w:left="2268" w:hanging="1134"/>
        <w:jc w:val="left"/>
        <w:rPr>
          <w:lang w:val="fr-FR"/>
        </w:rPr>
      </w:pPr>
      <w:r w:rsidRPr="00A779B8">
        <w:rPr>
          <w:lang w:val="fr-FR"/>
        </w:rPr>
        <w:t>2.1.3</w:t>
      </w:r>
      <w:r w:rsidRPr="00A779B8">
        <w:rPr>
          <w:lang w:val="fr-FR"/>
        </w:rPr>
        <w:tab/>
        <w:t xml:space="preserve">Liste et fonction de tous les composants surveillés par le système OBD: </w:t>
      </w:r>
      <w:r w:rsidRPr="00A779B8">
        <w:rPr>
          <w:lang w:val="fr-FR"/>
        </w:rPr>
        <w:tab/>
      </w:r>
    </w:p>
    <w:p w:rsidR="00AA1AC7" w:rsidRPr="00A779B8" w:rsidRDefault="00AA1AC7" w:rsidP="00AA1AC7">
      <w:pPr>
        <w:pStyle w:val="SingleTxtG"/>
        <w:tabs>
          <w:tab w:val="right" w:leader="dot" w:pos="8500"/>
        </w:tabs>
        <w:ind w:left="2268" w:hanging="1134"/>
        <w:jc w:val="left"/>
        <w:rPr>
          <w:lang w:val="fr-FR"/>
        </w:rPr>
      </w:pPr>
      <w:r w:rsidRPr="00A779B8">
        <w:rPr>
          <w:lang w:val="fr-FR"/>
        </w:rPr>
        <w:t>2.1.4</w:t>
      </w:r>
      <w:r w:rsidRPr="00A779B8">
        <w:rPr>
          <w:lang w:val="fr-FR"/>
        </w:rPr>
        <w:tab/>
        <w:t xml:space="preserve">Description (principes de fonctionnement généraux) de: </w:t>
      </w:r>
      <w:r w:rsidRPr="00A779B8">
        <w:rPr>
          <w:lang w:val="fr-FR"/>
        </w:rPr>
        <w:tab/>
      </w:r>
    </w:p>
    <w:p w:rsidR="00AA1AC7" w:rsidRPr="00A779B8" w:rsidRDefault="00AA1AC7" w:rsidP="00AA1AC7">
      <w:pPr>
        <w:pStyle w:val="SingleTxtG"/>
        <w:tabs>
          <w:tab w:val="right" w:leader="dot" w:pos="8505"/>
        </w:tabs>
        <w:ind w:left="2268" w:hanging="1134"/>
        <w:jc w:val="left"/>
        <w:rPr>
          <w:lang w:val="fr-FR"/>
        </w:rPr>
      </w:pPr>
      <w:r w:rsidRPr="00A779B8">
        <w:rPr>
          <w:lang w:val="fr-FR"/>
        </w:rPr>
        <w:t>2.1.4.1</w:t>
      </w:r>
      <w:r w:rsidRPr="00A779B8">
        <w:rPr>
          <w:lang w:val="fr-FR"/>
        </w:rPr>
        <w:tab/>
        <w:t>Détection des ratés d</w:t>
      </w:r>
      <w:r w:rsidR="00DB4C2D">
        <w:rPr>
          <w:lang w:val="fr-FR"/>
        </w:rPr>
        <w:t>’</w:t>
      </w:r>
      <w:r w:rsidRPr="00A779B8">
        <w:rPr>
          <w:lang w:val="fr-FR"/>
        </w:rPr>
        <w:t>allumage</w:t>
      </w:r>
      <w:r w:rsidR="006414EF">
        <w:rPr>
          <w:rStyle w:val="Appelnotedebasdep"/>
        </w:rPr>
        <w:footnoteReference w:id="34"/>
      </w:r>
      <w:r w:rsidRPr="00A779B8">
        <w:rPr>
          <w:lang w:val="fr-FR"/>
        </w:rPr>
        <w:t xml:space="preserve">: </w:t>
      </w:r>
      <w:r w:rsidRPr="00A779B8">
        <w:rPr>
          <w:lang w:val="fr-FR"/>
        </w:rPr>
        <w:tab/>
      </w:r>
    </w:p>
    <w:p w:rsidR="00AA1AC7" w:rsidRPr="00A779B8" w:rsidRDefault="00AA1AC7" w:rsidP="00AA1AC7">
      <w:pPr>
        <w:pStyle w:val="SingleTxtG"/>
        <w:tabs>
          <w:tab w:val="right" w:leader="dot" w:pos="8505"/>
        </w:tabs>
        <w:ind w:left="2268" w:hanging="1134"/>
        <w:jc w:val="left"/>
        <w:rPr>
          <w:lang w:val="fr-FR"/>
        </w:rPr>
      </w:pPr>
      <w:r w:rsidRPr="00A779B8">
        <w:rPr>
          <w:lang w:val="fr-FR"/>
        </w:rPr>
        <w:t>2.1.4.2</w:t>
      </w:r>
      <w:r w:rsidRPr="00A779B8">
        <w:rPr>
          <w:lang w:val="fr-FR"/>
        </w:rPr>
        <w:tab/>
        <w:t>Surveillance du catalyseur</w:t>
      </w:r>
      <w:r>
        <w:rPr>
          <w:sz w:val="18"/>
          <w:szCs w:val="18"/>
          <w:vertAlign w:val="superscript"/>
          <w:lang w:val="fr-FR"/>
        </w:rPr>
        <w:t>4</w:t>
      </w:r>
      <w:r w:rsidRPr="00A779B8">
        <w:rPr>
          <w:lang w:val="fr-FR"/>
        </w:rPr>
        <w:t xml:space="preserve">: </w:t>
      </w:r>
      <w:r w:rsidRPr="00A779B8">
        <w:rPr>
          <w:lang w:val="fr-FR"/>
        </w:rPr>
        <w:tab/>
      </w:r>
    </w:p>
    <w:p w:rsidR="00AA1AC7" w:rsidRPr="00A779B8" w:rsidRDefault="00AA1AC7" w:rsidP="00AA1AC7">
      <w:pPr>
        <w:pStyle w:val="SingleTxtG"/>
        <w:tabs>
          <w:tab w:val="right" w:leader="dot" w:pos="8505"/>
        </w:tabs>
        <w:ind w:left="2268" w:hanging="1134"/>
        <w:jc w:val="left"/>
        <w:rPr>
          <w:lang w:val="fr-FR"/>
        </w:rPr>
      </w:pPr>
      <w:r w:rsidRPr="00A779B8">
        <w:rPr>
          <w:lang w:val="fr-FR"/>
        </w:rPr>
        <w:t>2.1.4.3</w:t>
      </w:r>
      <w:r w:rsidRPr="00A779B8">
        <w:rPr>
          <w:lang w:val="fr-FR"/>
        </w:rPr>
        <w:tab/>
        <w:t>Surveillance de la sonde à oxygène</w:t>
      </w:r>
      <w:r>
        <w:rPr>
          <w:sz w:val="18"/>
          <w:szCs w:val="18"/>
          <w:vertAlign w:val="superscript"/>
          <w:lang w:val="fr-FR"/>
        </w:rPr>
        <w:t>4</w:t>
      </w:r>
      <w:r w:rsidRPr="00A779B8">
        <w:rPr>
          <w:lang w:val="fr-FR"/>
        </w:rPr>
        <w:t xml:space="preserve">: </w:t>
      </w:r>
      <w:r w:rsidRPr="00A779B8">
        <w:rPr>
          <w:lang w:val="fr-FR"/>
        </w:rPr>
        <w:tab/>
      </w:r>
    </w:p>
    <w:p w:rsidR="00AA1AC7" w:rsidRPr="00A779B8" w:rsidRDefault="00AA1AC7" w:rsidP="00AA1AC7">
      <w:pPr>
        <w:pStyle w:val="SingleTxtG"/>
        <w:tabs>
          <w:tab w:val="right" w:leader="dot" w:pos="8505"/>
        </w:tabs>
        <w:ind w:left="2268" w:hanging="1134"/>
        <w:jc w:val="left"/>
        <w:rPr>
          <w:lang w:val="fr-FR"/>
        </w:rPr>
      </w:pPr>
      <w:r w:rsidRPr="00A779B8">
        <w:rPr>
          <w:lang w:val="fr-FR"/>
        </w:rPr>
        <w:t>2.1.4.4</w:t>
      </w:r>
      <w:r w:rsidRPr="00A779B8">
        <w:rPr>
          <w:lang w:val="fr-FR"/>
        </w:rPr>
        <w:tab/>
        <w:t>Autres composants surveillés par le système OBD</w:t>
      </w:r>
      <w:r>
        <w:rPr>
          <w:sz w:val="18"/>
          <w:szCs w:val="18"/>
          <w:vertAlign w:val="superscript"/>
          <w:lang w:val="fr-FR"/>
        </w:rPr>
        <w:t>4</w:t>
      </w:r>
      <w:r w:rsidRPr="00A779B8">
        <w:rPr>
          <w:lang w:val="fr-FR"/>
        </w:rPr>
        <w:t xml:space="preserve">: </w:t>
      </w:r>
      <w:r w:rsidRPr="00A779B8">
        <w:rPr>
          <w:lang w:val="fr-FR"/>
        </w:rPr>
        <w:tab/>
      </w:r>
    </w:p>
    <w:p w:rsidR="00AA1AC7" w:rsidRPr="00A779B8" w:rsidRDefault="00AA1AC7" w:rsidP="00AA1AC7">
      <w:pPr>
        <w:tabs>
          <w:tab w:val="right" w:leader="dot" w:pos="8500"/>
        </w:tabs>
        <w:spacing w:after="120"/>
        <w:ind w:left="2268" w:right="1134" w:hanging="1134"/>
        <w:rPr>
          <w:lang w:val="fr-FR"/>
        </w:rPr>
      </w:pPr>
      <w:r w:rsidRPr="00A779B8">
        <w:rPr>
          <w:lang w:val="fr-FR"/>
        </w:rPr>
        <w:t>2.1.4.5</w:t>
      </w:r>
      <w:r w:rsidRPr="00A779B8">
        <w:rPr>
          <w:lang w:val="fr-FR"/>
        </w:rPr>
        <w:tab/>
        <w:t>Surveillance du catalyseur</w:t>
      </w:r>
      <w:r w:rsidR="006414EF">
        <w:rPr>
          <w:rStyle w:val="Appelnotedebasdep"/>
        </w:rPr>
        <w:footnoteReference w:id="35"/>
      </w:r>
      <w:r w:rsidRPr="00A779B8">
        <w:rPr>
          <w:lang w:val="fr-FR"/>
        </w:rPr>
        <w:t xml:space="preserve">: </w:t>
      </w:r>
      <w:r w:rsidRPr="00A779B8">
        <w:rPr>
          <w:lang w:val="fr-FR"/>
        </w:rPr>
        <w:tab/>
      </w:r>
    </w:p>
    <w:p w:rsidR="00AA1AC7" w:rsidRPr="00A779B8" w:rsidRDefault="00AA1AC7" w:rsidP="00AA1AC7">
      <w:pPr>
        <w:pStyle w:val="SingleTxtG"/>
        <w:tabs>
          <w:tab w:val="right" w:leader="dot" w:pos="8505"/>
        </w:tabs>
        <w:ind w:left="2268" w:hanging="1134"/>
        <w:jc w:val="left"/>
        <w:rPr>
          <w:lang w:val="fr-FR"/>
        </w:rPr>
      </w:pPr>
      <w:r w:rsidRPr="00A779B8">
        <w:rPr>
          <w:lang w:val="fr-FR"/>
        </w:rPr>
        <w:t>2.1.4.6</w:t>
      </w:r>
      <w:r w:rsidRPr="00A779B8">
        <w:rPr>
          <w:lang w:val="fr-FR"/>
        </w:rPr>
        <w:tab/>
        <w:t>Surveillance du piège à particules</w:t>
      </w:r>
      <w:r>
        <w:rPr>
          <w:sz w:val="18"/>
          <w:szCs w:val="18"/>
          <w:vertAlign w:val="superscript"/>
          <w:lang w:val="fr-FR"/>
        </w:rPr>
        <w:t>5</w:t>
      </w:r>
      <w:r w:rsidRPr="00A779B8">
        <w:rPr>
          <w:lang w:val="fr-FR"/>
        </w:rPr>
        <w:t>:</w:t>
      </w:r>
      <w:r w:rsidRPr="00A779B8">
        <w:rPr>
          <w:lang w:val="fr-FR"/>
        </w:rPr>
        <w:tab/>
      </w:r>
    </w:p>
    <w:p w:rsidR="00AA1AC7" w:rsidRPr="00A779B8" w:rsidRDefault="00AA1AC7" w:rsidP="00AA1AC7">
      <w:pPr>
        <w:pStyle w:val="SingleTxtG"/>
        <w:tabs>
          <w:tab w:val="right" w:leader="dot" w:pos="8505"/>
        </w:tabs>
        <w:ind w:left="2268" w:hanging="1134"/>
        <w:jc w:val="left"/>
        <w:rPr>
          <w:lang w:val="fr-FR"/>
        </w:rPr>
      </w:pPr>
      <w:r w:rsidRPr="00A779B8">
        <w:rPr>
          <w:lang w:val="fr-FR"/>
        </w:rPr>
        <w:t>2.1.4.7</w:t>
      </w:r>
      <w:r w:rsidRPr="00A779B8">
        <w:rPr>
          <w:lang w:val="fr-FR"/>
        </w:rPr>
        <w:tab/>
        <w:t>Surveillance de l</w:t>
      </w:r>
      <w:r w:rsidR="00DB4C2D">
        <w:rPr>
          <w:lang w:val="fr-FR"/>
        </w:rPr>
        <w:t>’</w:t>
      </w:r>
      <w:r w:rsidRPr="00A779B8">
        <w:rPr>
          <w:lang w:val="fr-FR"/>
        </w:rPr>
        <w:t>actuateur du système d</w:t>
      </w:r>
      <w:r w:rsidR="00DB4C2D">
        <w:rPr>
          <w:lang w:val="fr-FR"/>
        </w:rPr>
        <w:t>’</w:t>
      </w:r>
      <w:r w:rsidRPr="00A779B8">
        <w:rPr>
          <w:lang w:val="fr-FR"/>
        </w:rPr>
        <w:t>alimentation électronique</w:t>
      </w:r>
      <w:r>
        <w:rPr>
          <w:sz w:val="18"/>
          <w:szCs w:val="18"/>
          <w:vertAlign w:val="superscript"/>
          <w:lang w:val="fr-FR"/>
        </w:rPr>
        <w:t>5</w:t>
      </w:r>
      <w:r w:rsidRPr="00A779B8">
        <w:rPr>
          <w:lang w:val="fr-FR"/>
        </w:rPr>
        <w:t xml:space="preserve">: </w:t>
      </w:r>
      <w:r w:rsidRPr="00A779B8">
        <w:rPr>
          <w:lang w:val="fr-FR"/>
        </w:rPr>
        <w:tab/>
      </w:r>
    </w:p>
    <w:p w:rsidR="00AA1AC7" w:rsidRPr="00A779B8" w:rsidRDefault="00AA1AC7" w:rsidP="00AA1AC7">
      <w:pPr>
        <w:pStyle w:val="SingleTxtG"/>
        <w:tabs>
          <w:tab w:val="right" w:leader="dot" w:pos="8505"/>
        </w:tabs>
        <w:ind w:left="2268" w:hanging="1134"/>
        <w:jc w:val="left"/>
        <w:rPr>
          <w:lang w:val="fr-FR"/>
        </w:rPr>
      </w:pPr>
      <w:r w:rsidRPr="00A779B8">
        <w:rPr>
          <w:lang w:val="fr-FR"/>
        </w:rPr>
        <w:t>2.1.4.8</w:t>
      </w:r>
      <w:r w:rsidRPr="00A779B8">
        <w:rPr>
          <w:lang w:val="fr-FR"/>
        </w:rPr>
        <w:tab/>
        <w:t xml:space="preserve">Autres composants surveillés par le système OBD: </w:t>
      </w:r>
      <w:r w:rsidRPr="00A779B8">
        <w:rPr>
          <w:lang w:val="fr-FR"/>
        </w:rPr>
        <w:tab/>
      </w:r>
    </w:p>
    <w:p w:rsidR="00AA1AC7" w:rsidRPr="00A779B8" w:rsidRDefault="00AA1AC7" w:rsidP="00AA1AC7">
      <w:pPr>
        <w:pStyle w:val="SingleTxtG"/>
        <w:tabs>
          <w:tab w:val="right" w:leader="dot" w:pos="8505"/>
        </w:tabs>
        <w:ind w:left="2268" w:hanging="1134"/>
        <w:jc w:val="left"/>
        <w:rPr>
          <w:lang w:val="fr-FR"/>
        </w:rPr>
      </w:pPr>
      <w:r w:rsidRPr="00A779B8">
        <w:rPr>
          <w:lang w:val="fr-FR"/>
        </w:rPr>
        <w:t>2.1.5</w:t>
      </w:r>
      <w:r w:rsidRPr="00A779B8">
        <w:rPr>
          <w:lang w:val="fr-FR"/>
        </w:rPr>
        <w:tab/>
        <w:t>Critères d</w:t>
      </w:r>
      <w:r w:rsidR="00DB4C2D">
        <w:rPr>
          <w:lang w:val="fr-FR"/>
        </w:rPr>
        <w:t>’</w:t>
      </w:r>
      <w:r w:rsidRPr="00A779B8">
        <w:rPr>
          <w:lang w:val="fr-FR"/>
        </w:rPr>
        <w:t xml:space="preserve">activation du MI (nombre défini de cycles de conduite ou méthode statistique): </w:t>
      </w:r>
      <w:r w:rsidRPr="00A779B8">
        <w:rPr>
          <w:lang w:val="fr-FR"/>
        </w:rPr>
        <w:tab/>
      </w:r>
    </w:p>
    <w:p w:rsidR="00AA1AC7" w:rsidRPr="00A779B8" w:rsidRDefault="00AA1AC7" w:rsidP="00AA1AC7">
      <w:pPr>
        <w:pStyle w:val="SingleTxtG"/>
        <w:tabs>
          <w:tab w:val="right" w:leader="dot" w:pos="8505"/>
        </w:tabs>
        <w:ind w:left="2268" w:hanging="1134"/>
        <w:jc w:val="left"/>
        <w:rPr>
          <w:lang w:val="fr-FR"/>
        </w:rPr>
      </w:pPr>
      <w:r w:rsidRPr="00A779B8">
        <w:rPr>
          <w:lang w:val="fr-FR"/>
        </w:rPr>
        <w:t>2.1.6</w:t>
      </w:r>
      <w:r w:rsidRPr="00A779B8">
        <w:rPr>
          <w:lang w:val="fr-FR"/>
        </w:rPr>
        <w:tab/>
        <w:t>Liste de tous les codes de sortie OBD et formats utilisés (accompagnée d</w:t>
      </w:r>
      <w:r w:rsidR="00DB4C2D">
        <w:rPr>
          <w:lang w:val="fr-FR"/>
        </w:rPr>
        <w:t>’</w:t>
      </w:r>
      <w:r w:rsidRPr="00A779B8">
        <w:rPr>
          <w:lang w:val="fr-FR"/>
        </w:rPr>
        <w:t xml:space="preserve">une explication pour chacun): </w:t>
      </w:r>
      <w:r w:rsidRPr="00A779B8">
        <w:rPr>
          <w:lang w:val="fr-FR"/>
        </w:rPr>
        <w:tab/>
      </w:r>
    </w:p>
    <w:p w:rsidR="00AA1AC7" w:rsidRDefault="00AA1AC7" w:rsidP="00AA1AC7">
      <w:pPr>
        <w:pStyle w:val="SingleTxtG"/>
        <w:tabs>
          <w:tab w:val="right" w:leader="dot" w:pos="8505"/>
        </w:tabs>
        <w:ind w:left="2268" w:hanging="1134"/>
        <w:jc w:val="left"/>
        <w:rPr>
          <w:lang w:val="fr-FR"/>
        </w:rPr>
      </w:pPr>
      <w:r w:rsidRPr="00A779B8">
        <w:rPr>
          <w:lang w:val="fr-FR"/>
        </w:rPr>
        <w:t>2.2</w:t>
      </w:r>
      <w:r w:rsidRPr="00A779B8">
        <w:rPr>
          <w:lang w:val="fr-FR"/>
        </w:rPr>
        <w:tab/>
        <w:t xml:space="preserve">Données sur les émissions à fournir pour le contrôle technique: </w:t>
      </w:r>
      <w:r w:rsidRPr="00A779B8">
        <w:rPr>
          <w:lang w:val="fr-FR"/>
        </w:rPr>
        <w:tab/>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84"/>
        <w:gridCol w:w="1418"/>
        <w:gridCol w:w="1701"/>
        <w:gridCol w:w="1701"/>
        <w:gridCol w:w="1701"/>
      </w:tblGrid>
      <w:tr w:rsidR="00AA1AC7" w:rsidRPr="00AA1AC7" w:rsidTr="008E3B10">
        <w:tc>
          <w:tcPr>
            <w:tcW w:w="1984" w:type="dxa"/>
            <w:shd w:val="clear" w:color="auto" w:fill="auto"/>
            <w:vAlign w:val="center"/>
          </w:tcPr>
          <w:p w:rsidR="00AA1AC7" w:rsidRPr="00AA1AC7" w:rsidRDefault="00AA1AC7" w:rsidP="00AA1AC7">
            <w:pPr>
              <w:tabs>
                <w:tab w:val="right" w:leader="dot" w:pos="9356"/>
              </w:tabs>
              <w:kinsoku/>
              <w:overflowPunct/>
              <w:autoSpaceDE/>
              <w:autoSpaceDN/>
              <w:adjustRightInd/>
              <w:snapToGrid/>
              <w:spacing w:before="80" w:after="80" w:line="200" w:lineRule="exact"/>
              <w:ind w:left="57" w:right="57"/>
              <w:jc w:val="center"/>
              <w:rPr>
                <w:rFonts w:eastAsia="Times New Roman"/>
                <w:i/>
                <w:sz w:val="16"/>
                <w:szCs w:val="16"/>
                <w:lang w:val="fr-FR"/>
              </w:rPr>
            </w:pPr>
            <w:r w:rsidRPr="00AA1AC7">
              <w:rPr>
                <w:rFonts w:eastAsia="Times New Roman"/>
                <w:i/>
                <w:sz w:val="16"/>
                <w:szCs w:val="16"/>
                <w:lang w:val="fr-FR"/>
              </w:rPr>
              <w:t>Essai</w:t>
            </w:r>
          </w:p>
        </w:tc>
        <w:tc>
          <w:tcPr>
            <w:tcW w:w="1418" w:type="dxa"/>
            <w:shd w:val="clear" w:color="auto" w:fill="auto"/>
            <w:vAlign w:val="center"/>
          </w:tcPr>
          <w:p w:rsidR="00AA1AC7" w:rsidRPr="00AA1AC7" w:rsidRDefault="00AA1AC7" w:rsidP="00AA1AC7">
            <w:pPr>
              <w:kinsoku/>
              <w:overflowPunct/>
              <w:autoSpaceDE/>
              <w:autoSpaceDN/>
              <w:adjustRightInd/>
              <w:snapToGrid/>
              <w:ind w:left="57" w:right="57"/>
              <w:jc w:val="center"/>
              <w:rPr>
                <w:rFonts w:eastAsia="Times New Roman"/>
                <w:i/>
                <w:sz w:val="16"/>
                <w:szCs w:val="16"/>
                <w:lang w:val="fr-FR"/>
              </w:rPr>
            </w:pPr>
            <w:r w:rsidRPr="00AA1AC7">
              <w:rPr>
                <w:rFonts w:eastAsia="Times New Roman"/>
                <w:i/>
                <w:sz w:val="16"/>
                <w:szCs w:val="16"/>
                <w:lang w:val="fr-FR"/>
              </w:rPr>
              <w:t>Valeur de CO</w:t>
            </w:r>
            <w:r w:rsidRPr="00AA1AC7">
              <w:rPr>
                <w:rFonts w:eastAsia="Times New Roman"/>
                <w:i/>
                <w:sz w:val="16"/>
                <w:szCs w:val="16"/>
                <w:lang w:val="fr-FR"/>
              </w:rPr>
              <w:br/>
              <w:t>(% vol.)</w:t>
            </w:r>
          </w:p>
        </w:tc>
        <w:tc>
          <w:tcPr>
            <w:tcW w:w="1701" w:type="dxa"/>
            <w:shd w:val="clear" w:color="auto" w:fill="auto"/>
            <w:vAlign w:val="center"/>
          </w:tcPr>
          <w:p w:rsidR="00AA1AC7" w:rsidRPr="00AA1AC7" w:rsidRDefault="00AA1AC7" w:rsidP="00AA1AC7">
            <w:pPr>
              <w:tabs>
                <w:tab w:val="right" w:leader="dot" w:pos="9356"/>
              </w:tabs>
              <w:kinsoku/>
              <w:overflowPunct/>
              <w:autoSpaceDE/>
              <w:autoSpaceDN/>
              <w:adjustRightInd/>
              <w:snapToGrid/>
              <w:spacing w:before="80" w:after="80" w:line="200" w:lineRule="exact"/>
              <w:ind w:left="57" w:right="57"/>
              <w:jc w:val="center"/>
              <w:rPr>
                <w:rFonts w:eastAsia="Times New Roman"/>
                <w:i/>
                <w:sz w:val="16"/>
                <w:szCs w:val="16"/>
                <w:lang w:val="fr-FR"/>
              </w:rPr>
            </w:pPr>
            <w:proofErr w:type="spellStart"/>
            <w:r w:rsidRPr="00AA1AC7">
              <w:rPr>
                <w:rFonts w:eastAsia="Times New Roman"/>
                <w:i/>
                <w:sz w:val="16"/>
                <w:szCs w:val="16"/>
                <w:lang w:val="fr-FR"/>
              </w:rPr>
              <w:t>Lambda</w:t>
            </w:r>
            <w:r w:rsidRPr="00AA1AC7">
              <w:rPr>
                <w:rFonts w:eastAsia="Times New Roman"/>
                <w:sz w:val="16"/>
                <w:szCs w:val="16"/>
                <w:vertAlign w:val="superscript"/>
                <w:lang w:val="fr-FR"/>
              </w:rPr>
              <w:t>i</w:t>
            </w:r>
            <w:proofErr w:type="spellEnd"/>
          </w:p>
        </w:tc>
        <w:tc>
          <w:tcPr>
            <w:tcW w:w="1701" w:type="dxa"/>
            <w:shd w:val="clear" w:color="auto" w:fill="auto"/>
            <w:vAlign w:val="center"/>
          </w:tcPr>
          <w:p w:rsidR="00AA1AC7" w:rsidRPr="00AA1AC7" w:rsidRDefault="00AA1AC7" w:rsidP="00AA1AC7">
            <w:pPr>
              <w:tabs>
                <w:tab w:val="right" w:leader="dot" w:pos="9356"/>
              </w:tabs>
              <w:kinsoku/>
              <w:overflowPunct/>
              <w:autoSpaceDE/>
              <w:autoSpaceDN/>
              <w:adjustRightInd/>
              <w:snapToGrid/>
              <w:spacing w:before="80" w:after="80" w:line="200" w:lineRule="exact"/>
              <w:ind w:left="57" w:right="57"/>
              <w:jc w:val="center"/>
              <w:rPr>
                <w:rFonts w:eastAsia="Times New Roman"/>
                <w:i/>
                <w:sz w:val="16"/>
                <w:szCs w:val="16"/>
                <w:lang w:val="fr-FR"/>
              </w:rPr>
            </w:pPr>
            <w:r w:rsidRPr="00AA1AC7">
              <w:rPr>
                <w:rFonts w:eastAsia="Times New Roman"/>
                <w:i/>
                <w:sz w:val="16"/>
                <w:szCs w:val="16"/>
                <w:lang w:val="fr-FR"/>
              </w:rPr>
              <w:t>Régime du moteur (min</w:t>
            </w:r>
            <w:r w:rsidRPr="00AA1AC7">
              <w:rPr>
                <w:rFonts w:eastAsia="Times New Roman"/>
                <w:i/>
                <w:sz w:val="16"/>
                <w:szCs w:val="16"/>
                <w:vertAlign w:val="superscript"/>
                <w:lang w:val="fr-FR"/>
              </w:rPr>
              <w:t>-1</w:t>
            </w:r>
            <w:r w:rsidRPr="00AA1AC7">
              <w:rPr>
                <w:rFonts w:eastAsia="Times New Roman"/>
                <w:i/>
                <w:sz w:val="16"/>
                <w:szCs w:val="16"/>
                <w:lang w:val="fr-FR"/>
              </w:rPr>
              <w:t>)</w:t>
            </w:r>
          </w:p>
        </w:tc>
        <w:tc>
          <w:tcPr>
            <w:tcW w:w="1701" w:type="dxa"/>
            <w:shd w:val="clear" w:color="auto" w:fill="auto"/>
            <w:vAlign w:val="center"/>
          </w:tcPr>
          <w:p w:rsidR="00AA1AC7" w:rsidRPr="00AA1AC7" w:rsidRDefault="00AA1AC7" w:rsidP="00AA1AC7">
            <w:pPr>
              <w:tabs>
                <w:tab w:val="right" w:leader="dot" w:pos="9356"/>
              </w:tabs>
              <w:kinsoku/>
              <w:overflowPunct/>
              <w:autoSpaceDE/>
              <w:autoSpaceDN/>
              <w:adjustRightInd/>
              <w:snapToGrid/>
              <w:spacing w:before="80" w:after="80" w:line="200" w:lineRule="exact"/>
              <w:ind w:left="57" w:right="57"/>
              <w:jc w:val="center"/>
              <w:rPr>
                <w:rFonts w:eastAsia="Times New Roman"/>
                <w:i/>
                <w:sz w:val="16"/>
                <w:szCs w:val="16"/>
                <w:lang w:val="fr-FR"/>
              </w:rPr>
            </w:pPr>
            <w:r w:rsidRPr="00AA1AC7">
              <w:rPr>
                <w:rFonts w:eastAsia="Times New Roman"/>
                <w:i/>
                <w:sz w:val="16"/>
                <w:szCs w:val="16"/>
                <w:lang w:val="fr-FR"/>
              </w:rPr>
              <w:t>Température d</w:t>
            </w:r>
            <w:r w:rsidR="00DB4C2D">
              <w:rPr>
                <w:rFonts w:eastAsia="Times New Roman"/>
                <w:i/>
                <w:sz w:val="16"/>
                <w:szCs w:val="16"/>
                <w:lang w:val="fr-FR"/>
              </w:rPr>
              <w:t>’</w:t>
            </w:r>
            <w:r w:rsidRPr="00AA1AC7">
              <w:rPr>
                <w:rFonts w:eastAsia="Times New Roman"/>
                <w:i/>
                <w:sz w:val="16"/>
                <w:szCs w:val="16"/>
                <w:lang w:val="fr-FR"/>
              </w:rPr>
              <w:t>huile moteur (°C)</w:t>
            </w:r>
          </w:p>
        </w:tc>
      </w:tr>
      <w:tr w:rsidR="00AA1AC7" w:rsidRPr="00AA1AC7" w:rsidTr="008E3B10">
        <w:tc>
          <w:tcPr>
            <w:tcW w:w="1984" w:type="dxa"/>
            <w:shd w:val="clear" w:color="auto" w:fill="auto"/>
          </w:tcPr>
          <w:p w:rsidR="00AA1AC7" w:rsidRPr="00AA1AC7" w:rsidRDefault="00AA1AC7" w:rsidP="00AA1AC7">
            <w:pPr>
              <w:tabs>
                <w:tab w:val="right" w:leader="dot" w:pos="8500"/>
              </w:tabs>
              <w:kinsoku/>
              <w:overflowPunct/>
              <w:autoSpaceDE/>
              <w:autoSpaceDN/>
              <w:adjustRightInd/>
              <w:snapToGrid/>
              <w:spacing w:before="60" w:after="60" w:line="220" w:lineRule="atLeast"/>
              <w:rPr>
                <w:rFonts w:eastAsia="Times New Roman"/>
                <w:sz w:val="18"/>
                <w:szCs w:val="18"/>
                <w:lang w:val="fr-FR"/>
              </w:rPr>
            </w:pPr>
            <w:r w:rsidRPr="00AA1AC7">
              <w:rPr>
                <w:rFonts w:eastAsia="Times New Roman"/>
                <w:sz w:val="18"/>
                <w:szCs w:val="18"/>
                <w:lang w:val="fr-FR"/>
              </w:rPr>
              <w:t>Ralenti</w:t>
            </w:r>
          </w:p>
        </w:tc>
        <w:tc>
          <w:tcPr>
            <w:tcW w:w="1418" w:type="dxa"/>
            <w:shd w:val="clear" w:color="auto" w:fill="auto"/>
          </w:tcPr>
          <w:p w:rsidR="00AA1AC7" w:rsidRPr="00AA1AC7" w:rsidRDefault="00AA1AC7" w:rsidP="00AA1AC7">
            <w:pPr>
              <w:tabs>
                <w:tab w:val="right" w:leader="dot" w:pos="8500"/>
              </w:tabs>
              <w:kinsoku/>
              <w:overflowPunct/>
              <w:autoSpaceDE/>
              <w:autoSpaceDN/>
              <w:adjustRightInd/>
              <w:snapToGrid/>
              <w:spacing w:before="60" w:after="60" w:line="220" w:lineRule="atLeast"/>
              <w:rPr>
                <w:rFonts w:eastAsia="Times New Roman"/>
                <w:sz w:val="18"/>
                <w:szCs w:val="18"/>
                <w:lang w:val="fr-FR"/>
              </w:rPr>
            </w:pPr>
          </w:p>
        </w:tc>
        <w:tc>
          <w:tcPr>
            <w:tcW w:w="1701" w:type="dxa"/>
            <w:shd w:val="clear" w:color="auto" w:fill="auto"/>
          </w:tcPr>
          <w:p w:rsidR="00AA1AC7" w:rsidRPr="00AA1AC7" w:rsidRDefault="00AA1AC7" w:rsidP="00AA1AC7">
            <w:pPr>
              <w:tabs>
                <w:tab w:val="right" w:leader="dot" w:pos="8500"/>
              </w:tabs>
              <w:kinsoku/>
              <w:overflowPunct/>
              <w:autoSpaceDE/>
              <w:autoSpaceDN/>
              <w:adjustRightInd/>
              <w:snapToGrid/>
              <w:spacing w:before="60" w:after="60" w:line="220" w:lineRule="atLeast"/>
              <w:rPr>
                <w:rFonts w:eastAsia="Times New Roman"/>
                <w:sz w:val="18"/>
                <w:szCs w:val="18"/>
                <w:lang w:val="fr-FR"/>
              </w:rPr>
            </w:pPr>
            <w:proofErr w:type="spellStart"/>
            <w:r w:rsidRPr="00AA1AC7">
              <w:rPr>
                <w:rFonts w:eastAsia="Times New Roman"/>
                <w:sz w:val="18"/>
                <w:szCs w:val="18"/>
                <w:lang w:val="fr-FR"/>
              </w:rPr>
              <w:t>n.d</w:t>
            </w:r>
            <w:proofErr w:type="spellEnd"/>
            <w:r w:rsidRPr="00AA1AC7">
              <w:rPr>
                <w:rFonts w:eastAsia="Times New Roman"/>
                <w:sz w:val="18"/>
                <w:szCs w:val="18"/>
                <w:lang w:val="fr-FR"/>
              </w:rPr>
              <w:t>.</w:t>
            </w:r>
          </w:p>
        </w:tc>
        <w:tc>
          <w:tcPr>
            <w:tcW w:w="1701" w:type="dxa"/>
            <w:shd w:val="clear" w:color="auto" w:fill="auto"/>
          </w:tcPr>
          <w:p w:rsidR="00AA1AC7" w:rsidRPr="00AA1AC7" w:rsidRDefault="00AA1AC7" w:rsidP="00AA1AC7">
            <w:pPr>
              <w:tabs>
                <w:tab w:val="right" w:leader="dot" w:pos="8500"/>
              </w:tabs>
              <w:kinsoku/>
              <w:overflowPunct/>
              <w:autoSpaceDE/>
              <w:autoSpaceDN/>
              <w:adjustRightInd/>
              <w:snapToGrid/>
              <w:spacing w:before="60" w:after="60" w:line="220" w:lineRule="atLeast"/>
              <w:rPr>
                <w:rFonts w:eastAsia="Times New Roman"/>
                <w:sz w:val="18"/>
                <w:szCs w:val="18"/>
                <w:lang w:val="fr-FR"/>
              </w:rPr>
            </w:pPr>
          </w:p>
        </w:tc>
        <w:tc>
          <w:tcPr>
            <w:tcW w:w="1701" w:type="dxa"/>
            <w:shd w:val="clear" w:color="auto" w:fill="auto"/>
          </w:tcPr>
          <w:p w:rsidR="00AA1AC7" w:rsidRPr="00AA1AC7" w:rsidRDefault="00AA1AC7" w:rsidP="00AA1AC7">
            <w:pPr>
              <w:tabs>
                <w:tab w:val="right" w:leader="dot" w:pos="8500"/>
              </w:tabs>
              <w:kinsoku/>
              <w:overflowPunct/>
              <w:autoSpaceDE/>
              <w:autoSpaceDN/>
              <w:adjustRightInd/>
              <w:snapToGrid/>
              <w:spacing w:before="60" w:after="60" w:line="220" w:lineRule="atLeast"/>
              <w:rPr>
                <w:rFonts w:eastAsia="Times New Roman"/>
                <w:sz w:val="18"/>
                <w:szCs w:val="18"/>
                <w:lang w:val="fr-FR"/>
              </w:rPr>
            </w:pPr>
          </w:p>
        </w:tc>
      </w:tr>
      <w:tr w:rsidR="00AA1AC7" w:rsidRPr="00AA1AC7" w:rsidTr="008E3B10">
        <w:tc>
          <w:tcPr>
            <w:tcW w:w="1984" w:type="dxa"/>
            <w:shd w:val="clear" w:color="auto" w:fill="auto"/>
          </w:tcPr>
          <w:p w:rsidR="00AA1AC7" w:rsidRPr="00AA1AC7" w:rsidRDefault="00AA1AC7" w:rsidP="00AA1AC7">
            <w:pPr>
              <w:tabs>
                <w:tab w:val="right" w:leader="dot" w:pos="8500"/>
              </w:tabs>
              <w:kinsoku/>
              <w:overflowPunct/>
              <w:autoSpaceDE/>
              <w:autoSpaceDN/>
              <w:adjustRightInd/>
              <w:snapToGrid/>
              <w:spacing w:before="60" w:after="60" w:line="220" w:lineRule="atLeast"/>
              <w:rPr>
                <w:rFonts w:eastAsia="Times New Roman"/>
                <w:sz w:val="18"/>
                <w:szCs w:val="18"/>
                <w:lang w:val="fr-FR"/>
              </w:rPr>
            </w:pPr>
            <w:r w:rsidRPr="00AA1AC7">
              <w:rPr>
                <w:rFonts w:eastAsia="Times New Roman"/>
                <w:sz w:val="18"/>
                <w:szCs w:val="18"/>
                <w:lang w:val="fr-FR"/>
              </w:rPr>
              <w:t>Haut régime de ralenti</w:t>
            </w:r>
          </w:p>
        </w:tc>
        <w:tc>
          <w:tcPr>
            <w:tcW w:w="1418" w:type="dxa"/>
            <w:shd w:val="clear" w:color="auto" w:fill="auto"/>
          </w:tcPr>
          <w:p w:rsidR="00AA1AC7" w:rsidRPr="00AA1AC7" w:rsidRDefault="00AA1AC7" w:rsidP="00AA1AC7">
            <w:pPr>
              <w:tabs>
                <w:tab w:val="right" w:leader="dot" w:pos="8500"/>
              </w:tabs>
              <w:kinsoku/>
              <w:overflowPunct/>
              <w:autoSpaceDE/>
              <w:autoSpaceDN/>
              <w:adjustRightInd/>
              <w:snapToGrid/>
              <w:spacing w:before="60" w:after="60" w:line="220" w:lineRule="atLeast"/>
              <w:rPr>
                <w:rFonts w:eastAsia="Times New Roman"/>
                <w:sz w:val="18"/>
                <w:szCs w:val="18"/>
                <w:lang w:val="fr-FR"/>
              </w:rPr>
            </w:pPr>
          </w:p>
        </w:tc>
        <w:tc>
          <w:tcPr>
            <w:tcW w:w="1701" w:type="dxa"/>
            <w:shd w:val="clear" w:color="auto" w:fill="auto"/>
          </w:tcPr>
          <w:p w:rsidR="00AA1AC7" w:rsidRPr="00AA1AC7" w:rsidRDefault="00AA1AC7" w:rsidP="00AA1AC7">
            <w:pPr>
              <w:tabs>
                <w:tab w:val="right" w:leader="dot" w:pos="8500"/>
              </w:tabs>
              <w:kinsoku/>
              <w:overflowPunct/>
              <w:autoSpaceDE/>
              <w:autoSpaceDN/>
              <w:adjustRightInd/>
              <w:snapToGrid/>
              <w:spacing w:before="60" w:after="60" w:line="220" w:lineRule="atLeast"/>
              <w:rPr>
                <w:rFonts w:eastAsia="Times New Roman"/>
                <w:sz w:val="18"/>
                <w:szCs w:val="18"/>
                <w:lang w:val="fr-FR"/>
              </w:rPr>
            </w:pPr>
          </w:p>
        </w:tc>
        <w:tc>
          <w:tcPr>
            <w:tcW w:w="1701" w:type="dxa"/>
            <w:shd w:val="clear" w:color="auto" w:fill="auto"/>
          </w:tcPr>
          <w:p w:rsidR="00AA1AC7" w:rsidRPr="00AA1AC7" w:rsidRDefault="00AA1AC7" w:rsidP="00AA1AC7">
            <w:pPr>
              <w:tabs>
                <w:tab w:val="right" w:leader="dot" w:pos="8500"/>
              </w:tabs>
              <w:kinsoku/>
              <w:overflowPunct/>
              <w:autoSpaceDE/>
              <w:autoSpaceDN/>
              <w:adjustRightInd/>
              <w:snapToGrid/>
              <w:spacing w:before="60" w:after="60" w:line="220" w:lineRule="atLeast"/>
              <w:rPr>
                <w:rFonts w:eastAsia="Times New Roman"/>
                <w:sz w:val="18"/>
                <w:szCs w:val="18"/>
                <w:lang w:val="fr-FR"/>
              </w:rPr>
            </w:pPr>
          </w:p>
        </w:tc>
        <w:tc>
          <w:tcPr>
            <w:tcW w:w="1701" w:type="dxa"/>
            <w:shd w:val="clear" w:color="auto" w:fill="auto"/>
          </w:tcPr>
          <w:p w:rsidR="00AA1AC7" w:rsidRPr="00AA1AC7" w:rsidRDefault="00AA1AC7" w:rsidP="00AA1AC7">
            <w:pPr>
              <w:tabs>
                <w:tab w:val="right" w:leader="dot" w:pos="8500"/>
              </w:tabs>
              <w:kinsoku/>
              <w:overflowPunct/>
              <w:autoSpaceDE/>
              <w:autoSpaceDN/>
              <w:adjustRightInd/>
              <w:snapToGrid/>
              <w:spacing w:before="60" w:after="60" w:line="220" w:lineRule="atLeast"/>
              <w:rPr>
                <w:rFonts w:eastAsia="Times New Roman"/>
                <w:sz w:val="18"/>
                <w:szCs w:val="18"/>
                <w:lang w:val="fr-FR"/>
              </w:rPr>
            </w:pPr>
          </w:p>
        </w:tc>
      </w:tr>
      <w:tr w:rsidR="00AA1AC7" w:rsidRPr="00AA1AC7" w:rsidTr="008E3B10">
        <w:tc>
          <w:tcPr>
            <w:tcW w:w="8505" w:type="dxa"/>
            <w:gridSpan w:val="5"/>
            <w:shd w:val="clear" w:color="auto" w:fill="auto"/>
          </w:tcPr>
          <w:p w:rsidR="00AA1AC7" w:rsidRPr="00AA1AC7" w:rsidRDefault="00AA1AC7" w:rsidP="00AA1AC7">
            <w:pPr>
              <w:tabs>
                <w:tab w:val="right" w:leader="dot" w:pos="8500"/>
              </w:tabs>
              <w:kinsoku/>
              <w:overflowPunct/>
              <w:autoSpaceDE/>
              <w:autoSpaceDN/>
              <w:adjustRightInd/>
              <w:snapToGrid/>
              <w:spacing w:before="180" w:after="120"/>
              <w:ind w:firstLine="170"/>
              <w:rPr>
                <w:rFonts w:eastAsia="Times New Roman"/>
                <w:sz w:val="18"/>
                <w:szCs w:val="18"/>
                <w:lang w:val="fr-FR"/>
              </w:rPr>
            </w:pPr>
            <w:r w:rsidRPr="00AA1AC7">
              <w:rPr>
                <w:rFonts w:eastAsia="Times New Roman"/>
                <w:i/>
                <w:sz w:val="18"/>
                <w:szCs w:val="18"/>
                <w:vertAlign w:val="superscript"/>
                <w:lang w:val="fr-FR"/>
              </w:rPr>
              <w:t>i</w:t>
            </w:r>
            <w:r w:rsidRPr="00AA1AC7">
              <w:rPr>
                <w:rFonts w:eastAsia="Times New Roman"/>
                <w:sz w:val="18"/>
                <w:szCs w:val="18"/>
                <w:lang w:val="fr-FR"/>
              </w:rPr>
              <w:t xml:space="preserve">  Pour la formule Lam</w:t>
            </w:r>
            <w:r w:rsidR="00BB5497">
              <w:rPr>
                <w:rFonts w:eastAsia="Times New Roman"/>
                <w:sz w:val="18"/>
                <w:szCs w:val="18"/>
                <w:lang w:val="fr-FR"/>
              </w:rPr>
              <w:t>b</w:t>
            </w:r>
            <w:r w:rsidRPr="00AA1AC7">
              <w:rPr>
                <w:rFonts w:eastAsia="Times New Roman"/>
                <w:sz w:val="18"/>
                <w:szCs w:val="18"/>
                <w:lang w:val="fr-FR"/>
              </w:rPr>
              <w:t>da, voir le paragraphe 5.3.7.3 du présent Règlement.</w:t>
            </w:r>
          </w:p>
        </w:tc>
      </w:tr>
    </w:tbl>
    <w:p w:rsidR="006414EF" w:rsidRPr="00A779B8" w:rsidRDefault="006414EF" w:rsidP="006414EF">
      <w:pPr>
        <w:pStyle w:val="SingleTxtG"/>
        <w:tabs>
          <w:tab w:val="right" w:leader="dot" w:pos="8505"/>
        </w:tabs>
        <w:spacing w:before="240"/>
        <w:ind w:left="2268" w:hanging="1134"/>
        <w:jc w:val="left"/>
        <w:rPr>
          <w:lang w:val="fr-FR"/>
        </w:rPr>
      </w:pPr>
      <w:r w:rsidRPr="00A779B8">
        <w:rPr>
          <w:lang w:val="fr-FR"/>
        </w:rPr>
        <w:t>2.3</w:t>
      </w:r>
      <w:r w:rsidRPr="00A779B8">
        <w:rPr>
          <w:lang w:val="fr-FR"/>
        </w:rPr>
        <w:tab/>
        <w:t>Convertisseurs catalytiques: oui/non</w:t>
      </w:r>
      <w:r>
        <w:rPr>
          <w:vertAlign w:val="superscript"/>
          <w:lang w:val="fr-FR"/>
        </w:rPr>
        <w:t>1</w:t>
      </w:r>
    </w:p>
    <w:p w:rsidR="006414EF" w:rsidRPr="00A779B8" w:rsidRDefault="006414EF" w:rsidP="006414EF">
      <w:pPr>
        <w:pStyle w:val="SingleTxtG"/>
        <w:tabs>
          <w:tab w:val="right" w:leader="dot" w:pos="8505"/>
        </w:tabs>
        <w:ind w:left="2268" w:hanging="1134"/>
        <w:jc w:val="left"/>
        <w:rPr>
          <w:lang w:val="fr-FR"/>
        </w:rPr>
      </w:pPr>
      <w:r w:rsidRPr="00A779B8">
        <w:rPr>
          <w:lang w:val="fr-FR"/>
        </w:rPr>
        <w:t>2.3.1</w:t>
      </w:r>
      <w:r w:rsidRPr="00A779B8">
        <w:rPr>
          <w:lang w:val="fr-FR"/>
        </w:rPr>
        <w:tab/>
        <w:t>Convertisseur catalytique ayant subi tous les essais pertinents prescrits par le présent Règlement: oui/non</w:t>
      </w:r>
      <w:r>
        <w:rPr>
          <w:vertAlign w:val="superscript"/>
          <w:lang w:val="fr-FR"/>
        </w:rPr>
        <w:t>1</w:t>
      </w:r>
    </w:p>
    <w:p w:rsidR="006414EF" w:rsidRPr="00A779B8" w:rsidRDefault="006414EF" w:rsidP="006414EF">
      <w:pPr>
        <w:pStyle w:val="SingleTxtG"/>
        <w:keepNext/>
        <w:tabs>
          <w:tab w:val="right" w:leader="dot" w:pos="8505"/>
        </w:tabs>
        <w:ind w:left="2268" w:hanging="1134"/>
        <w:jc w:val="left"/>
        <w:rPr>
          <w:vertAlign w:val="superscript"/>
          <w:lang w:val="fr-FR"/>
        </w:rPr>
      </w:pPr>
      <w:r w:rsidRPr="00A779B8">
        <w:rPr>
          <w:lang w:val="fr-FR"/>
        </w:rPr>
        <w:lastRenderedPageBreak/>
        <w:t>2.4</w:t>
      </w:r>
      <w:r w:rsidRPr="00A779B8">
        <w:rPr>
          <w:lang w:val="fr-FR"/>
        </w:rPr>
        <w:tab/>
        <w:t>Résultats de l</w:t>
      </w:r>
      <w:r w:rsidR="00DB4C2D">
        <w:rPr>
          <w:lang w:val="fr-FR"/>
        </w:rPr>
        <w:t>’</w:t>
      </w:r>
      <w:r w:rsidRPr="00A779B8">
        <w:rPr>
          <w:lang w:val="fr-FR"/>
        </w:rPr>
        <w:t>essai de mesure de l</w:t>
      </w:r>
      <w:r w:rsidR="00DB4C2D">
        <w:rPr>
          <w:lang w:val="fr-FR"/>
        </w:rPr>
        <w:t>’</w:t>
      </w:r>
      <w:r w:rsidRPr="00A779B8">
        <w:rPr>
          <w:lang w:val="fr-FR"/>
        </w:rPr>
        <w:t>opacité des fumées</w:t>
      </w:r>
      <w:r>
        <w:rPr>
          <w:sz w:val="18"/>
          <w:szCs w:val="18"/>
          <w:vertAlign w:val="superscript"/>
          <w:lang w:val="fr-FR"/>
        </w:rPr>
        <w:t>1</w:t>
      </w:r>
      <w:r w:rsidRPr="00A779B8">
        <w:rPr>
          <w:vertAlign w:val="superscript"/>
          <w:lang w:val="fr-FR"/>
        </w:rPr>
        <w:t xml:space="preserve">, </w:t>
      </w:r>
      <w:r w:rsidR="000A37D0">
        <w:rPr>
          <w:rStyle w:val="Appelnotedebasdep"/>
        </w:rPr>
        <w:footnoteReference w:id="36"/>
      </w:r>
    </w:p>
    <w:p w:rsidR="006414EF" w:rsidRPr="00A779B8" w:rsidRDefault="006414EF" w:rsidP="006414EF">
      <w:pPr>
        <w:pStyle w:val="SingleTxtG"/>
        <w:tabs>
          <w:tab w:val="right" w:leader="dot" w:pos="8505"/>
        </w:tabs>
        <w:ind w:left="2268" w:hanging="1134"/>
        <w:jc w:val="left"/>
        <w:rPr>
          <w:lang w:val="fr-FR"/>
        </w:rPr>
      </w:pPr>
      <w:r w:rsidRPr="00A779B8">
        <w:rPr>
          <w:lang w:val="fr-FR"/>
        </w:rPr>
        <w:t>2.4.1</w:t>
      </w:r>
      <w:r w:rsidRPr="00A779B8">
        <w:rPr>
          <w:lang w:val="fr-FR"/>
        </w:rPr>
        <w:tab/>
        <w:t>En régimes stabilisés: voir le numéro du rapport d</w:t>
      </w:r>
      <w:r w:rsidR="00DB4C2D">
        <w:rPr>
          <w:lang w:val="fr-FR"/>
        </w:rPr>
        <w:t>’</w:t>
      </w:r>
      <w:r w:rsidRPr="00A779B8">
        <w:rPr>
          <w:lang w:val="fr-FR"/>
        </w:rPr>
        <w:t xml:space="preserve">essai </w:t>
      </w:r>
      <w:r w:rsidRPr="00A779B8">
        <w:rPr>
          <w:lang w:val="fr-FR"/>
        </w:rPr>
        <w:br/>
        <w:t>du service technique:</w:t>
      </w:r>
      <w:r w:rsidRPr="00A779B8">
        <w:rPr>
          <w:lang w:val="fr-FR"/>
        </w:rPr>
        <w:tab/>
        <w:t>.</w:t>
      </w:r>
    </w:p>
    <w:p w:rsidR="006414EF" w:rsidRPr="00A779B8" w:rsidRDefault="006414EF" w:rsidP="006414EF">
      <w:pPr>
        <w:pStyle w:val="SingleTxtG"/>
        <w:keepNext/>
        <w:tabs>
          <w:tab w:val="right" w:leader="dot" w:pos="8505"/>
        </w:tabs>
        <w:ind w:left="2268" w:hanging="1134"/>
        <w:jc w:val="left"/>
        <w:rPr>
          <w:lang w:val="fr-FR"/>
        </w:rPr>
      </w:pPr>
      <w:r w:rsidRPr="00A779B8">
        <w:rPr>
          <w:lang w:val="fr-FR"/>
        </w:rPr>
        <w:t>2.4.2</w:t>
      </w:r>
      <w:r w:rsidRPr="00A779B8">
        <w:rPr>
          <w:lang w:val="fr-FR"/>
        </w:rPr>
        <w:tab/>
        <w:t>Essais en accélération libre</w:t>
      </w:r>
    </w:p>
    <w:p w:rsidR="006414EF" w:rsidRPr="00A779B8" w:rsidRDefault="006414EF" w:rsidP="006414EF">
      <w:pPr>
        <w:pStyle w:val="SingleTxtG"/>
        <w:tabs>
          <w:tab w:val="right" w:leader="dot" w:pos="8505"/>
        </w:tabs>
        <w:ind w:left="2268" w:hanging="1134"/>
        <w:jc w:val="left"/>
        <w:rPr>
          <w:lang w:val="fr-FR"/>
        </w:rPr>
      </w:pPr>
      <w:r w:rsidRPr="00A779B8">
        <w:rPr>
          <w:lang w:val="fr-FR"/>
        </w:rPr>
        <w:t>2.4.2.1</w:t>
      </w:r>
      <w:r w:rsidRPr="00A779B8">
        <w:rPr>
          <w:lang w:val="fr-FR"/>
        </w:rPr>
        <w:tab/>
        <w:t>Valeur mesurée du coefficient d</w:t>
      </w:r>
      <w:r w:rsidR="00DB4C2D">
        <w:rPr>
          <w:lang w:val="fr-FR"/>
        </w:rPr>
        <w:t>’</w:t>
      </w:r>
      <w:r w:rsidRPr="00A779B8">
        <w:rPr>
          <w:lang w:val="fr-FR"/>
        </w:rPr>
        <w:t xml:space="preserve">absorption: </w:t>
      </w:r>
      <w:r w:rsidRPr="00A779B8">
        <w:rPr>
          <w:lang w:val="fr-FR"/>
        </w:rPr>
        <w:tab/>
        <w:t>m</w:t>
      </w:r>
      <w:r w:rsidRPr="00A779B8">
        <w:rPr>
          <w:vertAlign w:val="superscript"/>
          <w:lang w:val="fr-FR"/>
        </w:rPr>
        <w:t>-1</w:t>
      </w:r>
    </w:p>
    <w:p w:rsidR="006414EF" w:rsidRPr="00A779B8" w:rsidRDefault="006414EF" w:rsidP="006414EF">
      <w:pPr>
        <w:pStyle w:val="SingleTxtG"/>
        <w:tabs>
          <w:tab w:val="right" w:leader="dot" w:pos="8505"/>
        </w:tabs>
        <w:ind w:left="2268" w:hanging="1134"/>
        <w:jc w:val="left"/>
        <w:rPr>
          <w:lang w:val="fr-FR"/>
        </w:rPr>
      </w:pPr>
      <w:r w:rsidRPr="00A779B8">
        <w:rPr>
          <w:lang w:val="fr-FR"/>
        </w:rPr>
        <w:t>2.4.2.2</w:t>
      </w:r>
      <w:r w:rsidRPr="00A779B8">
        <w:rPr>
          <w:lang w:val="fr-FR"/>
        </w:rPr>
        <w:tab/>
        <w:t>Valeur corrigée du coefficient d</w:t>
      </w:r>
      <w:r w:rsidR="00DB4C2D">
        <w:rPr>
          <w:lang w:val="fr-FR"/>
        </w:rPr>
        <w:t>’</w:t>
      </w:r>
      <w:r w:rsidRPr="00A779B8">
        <w:rPr>
          <w:lang w:val="fr-FR"/>
        </w:rPr>
        <w:t xml:space="preserve">absorption: </w:t>
      </w:r>
      <w:r w:rsidRPr="00A779B8">
        <w:rPr>
          <w:lang w:val="fr-FR"/>
        </w:rPr>
        <w:tab/>
        <w:t>m</w:t>
      </w:r>
      <w:r w:rsidRPr="00A779B8">
        <w:rPr>
          <w:vertAlign w:val="superscript"/>
          <w:lang w:val="fr-FR"/>
        </w:rPr>
        <w:t>-1</w:t>
      </w:r>
    </w:p>
    <w:p w:rsidR="006414EF" w:rsidRPr="00A779B8" w:rsidRDefault="006414EF" w:rsidP="006414EF">
      <w:pPr>
        <w:pStyle w:val="SingleTxtG"/>
        <w:tabs>
          <w:tab w:val="right" w:leader="dot" w:pos="8505"/>
        </w:tabs>
        <w:ind w:left="2268" w:hanging="1134"/>
        <w:jc w:val="left"/>
        <w:rPr>
          <w:lang w:val="fr-FR"/>
        </w:rPr>
      </w:pPr>
      <w:r w:rsidRPr="00A779B8">
        <w:rPr>
          <w:lang w:val="fr-FR"/>
        </w:rPr>
        <w:t>2.4.2.3</w:t>
      </w:r>
      <w:r w:rsidRPr="00A779B8">
        <w:rPr>
          <w:lang w:val="fr-FR"/>
        </w:rPr>
        <w:tab/>
        <w:t>Emplacement du symbole du coefficient d</w:t>
      </w:r>
      <w:r w:rsidR="00DB4C2D">
        <w:rPr>
          <w:lang w:val="fr-FR"/>
        </w:rPr>
        <w:t>’</w:t>
      </w:r>
      <w:r w:rsidRPr="00A779B8">
        <w:rPr>
          <w:lang w:val="fr-FR"/>
        </w:rPr>
        <w:t xml:space="preserve">absorption sur le véhicule: </w:t>
      </w:r>
      <w:r w:rsidRPr="00A779B8">
        <w:rPr>
          <w:lang w:val="fr-FR"/>
        </w:rPr>
        <w:tab/>
      </w:r>
    </w:p>
    <w:p w:rsidR="00DB4C2D" w:rsidRDefault="006414EF" w:rsidP="00DB7E7B">
      <w:pPr>
        <w:pStyle w:val="SingleTxtG"/>
        <w:tabs>
          <w:tab w:val="right" w:leader="dot" w:pos="8505"/>
        </w:tabs>
        <w:ind w:left="2268" w:hanging="1134"/>
        <w:jc w:val="left"/>
        <w:rPr>
          <w:lang w:val="fr-FR"/>
        </w:rPr>
      </w:pPr>
      <w:r>
        <w:rPr>
          <w:szCs w:val="24"/>
          <w:lang w:val="fr-FR"/>
        </w:rPr>
        <w:t>3.</w:t>
      </w:r>
      <w:r>
        <w:rPr>
          <w:szCs w:val="24"/>
          <w:lang w:val="fr-FR"/>
        </w:rPr>
        <w:tab/>
      </w:r>
      <w:r w:rsidRPr="00A779B8">
        <w:rPr>
          <w:lang w:val="fr-FR"/>
        </w:rPr>
        <w:t>Remarques:</w:t>
      </w:r>
      <w:r w:rsidRPr="00A779B8">
        <w:rPr>
          <w:lang w:val="fr-FR"/>
        </w:rPr>
        <w:tab/>
      </w:r>
    </w:p>
    <w:p w:rsidR="00BB5497" w:rsidRDefault="00BB5497" w:rsidP="00DB7E7B">
      <w:pPr>
        <w:pStyle w:val="SingleTxtG"/>
        <w:tabs>
          <w:tab w:val="right" w:leader="dot" w:pos="8505"/>
        </w:tabs>
        <w:ind w:left="2268" w:hanging="1134"/>
        <w:jc w:val="left"/>
        <w:rPr>
          <w:lang w:val="fr-FR"/>
        </w:rPr>
      </w:pPr>
    </w:p>
    <w:p w:rsidR="00F23458" w:rsidRDefault="00F23458" w:rsidP="00DB7E7B">
      <w:pPr>
        <w:pStyle w:val="SingleTxtG"/>
        <w:tabs>
          <w:tab w:val="right" w:leader="dot" w:pos="8505"/>
        </w:tabs>
        <w:ind w:left="2268" w:hanging="1134"/>
        <w:jc w:val="left"/>
        <w:rPr>
          <w:lang w:val="fr-FR"/>
        </w:rPr>
        <w:sectPr w:rsidR="00F23458" w:rsidSect="00C46DB4">
          <w:headerReference w:type="even" r:id="rId63"/>
          <w:headerReference w:type="default" r:id="rId64"/>
          <w:footnotePr>
            <w:numRestart w:val="eachSect"/>
          </w:footnotePr>
          <w:endnotePr>
            <w:numFmt w:val="decimal"/>
          </w:endnotePr>
          <w:pgSz w:w="11907" w:h="16840" w:code="9"/>
          <w:pgMar w:top="1701" w:right="1134" w:bottom="2268" w:left="1134" w:header="794" w:footer="1701" w:gutter="0"/>
          <w:cols w:space="720"/>
          <w:docGrid w:linePitch="272"/>
        </w:sectPr>
      </w:pPr>
    </w:p>
    <w:p w:rsidR="00F23458" w:rsidRPr="00A779B8" w:rsidRDefault="00F23458" w:rsidP="00F23458">
      <w:pPr>
        <w:pStyle w:val="HChG"/>
        <w:rPr>
          <w:lang w:val="fr-FR"/>
        </w:rPr>
      </w:pPr>
      <w:r w:rsidRPr="00A779B8">
        <w:rPr>
          <w:lang w:val="fr-FR"/>
        </w:rPr>
        <w:lastRenderedPageBreak/>
        <w:t>Annexe 2 − Appendice 1</w:t>
      </w:r>
    </w:p>
    <w:p w:rsidR="00F23458" w:rsidRPr="00A779B8" w:rsidRDefault="00F23458" w:rsidP="00F23458">
      <w:pPr>
        <w:pStyle w:val="HChG"/>
        <w:rPr>
          <w:lang w:val="fr-FR"/>
        </w:rPr>
      </w:pPr>
      <w:r w:rsidRPr="00A779B8">
        <w:rPr>
          <w:lang w:val="fr-FR"/>
        </w:rPr>
        <w:tab/>
      </w:r>
      <w:r w:rsidRPr="00A779B8">
        <w:rPr>
          <w:lang w:val="fr-FR"/>
        </w:rPr>
        <w:tab/>
        <w:t>OBD − Informations relatives au système d</w:t>
      </w:r>
      <w:r w:rsidR="00DB4C2D">
        <w:rPr>
          <w:lang w:val="fr-FR"/>
        </w:rPr>
        <w:t>’</w:t>
      </w:r>
      <w:r w:rsidRPr="00A779B8">
        <w:rPr>
          <w:lang w:val="fr-FR"/>
        </w:rPr>
        <w:t>autodiagnostic</w:t>
      </w:r>
    </w:p>
    <w:p w:rsidR="00F23458" w:rsidRPr="00A779B8" w:rsidRDefault="00F23458" w:rsidP="00F23458">
      <w:pPr>
        <w:pStyle w:val="SingleTxtG"/>
        <w:rPr>
          <w:lang w:val="fr-FR"/>
        </w:rPr>
      </w:pPr>
      <w:r w:rsidRPr="00A779B8">
        <w:rPr>
          <w:lang w:val="fr-FR"/>
        </w:rPr>
        <w:t>Comme mentionné au paragraphe 3.2.12.2.7.6 de l</w:t>
      </w:r>
      <w:r w:rsidR="00DB4C2D">
        <w:rPr>
          <w:lang w:val="fr-FR"/>
        </w:rPr>
        <w:t>’</w:t>
      </w:r>
      <w:r w:rsidRPr="00A779B8">
        <w:rPr>
          <w:lang w:val="fr-FR"/>
        </w:rPr>
        <w:t>annexe 1 du présent Règlement, les informations contenues dans le présent appendice sont communiquées par le constructeur afin de permettre la fabrication de pièces de rechange ou d</w:t>
      </w:r>
      <w:r w:rsidR="00DB4C2D">
        <w:rPr>
          <w:lang w:val="fr-FR"/>
        </w:rPr>
        <w:t>’</w:t>
      </w:r>
      <w:r w:rsidRPr="00A779B8">
        <w:rPr>
          <w:lang w:val="fr-FR"/>
        </w:rPr>
        <w:t>entretien compatibles avec le système OBD, ainsi que d</w:t>
      </w:r>
      <w:r w:rsidR="00DB4C2D">
        <w:rPr>
          <w:lang w:val="fr-FR"/>
        </w:rPr>
        <w:t>’</w:t>
      </w:r>
      <w:r w:rsidRPr="00A779B8">
        <w:rPr>
          <w:lang w:val="fr-FR"/>
        </w:rPr>
        <w:t>outils de diagnostic et d</w:t>
      </w:r>
      <w:r w:rsidR="00DB4C2D">
        <w:rPr>
          <w:lang w:val="fr-FR"/>
        </w:rPr>
        <w:t>’</w:t>
      </w:r>
      <w:r w:rsidRPr="00A779B8">
        <w:rPr>
          <w:lang w:val="fr-FR"/>
        </w:rPr>
        <w:t>équipements d</w:t>
      </w:r>
      <w:r w:rsidR="00DB4C2D">
        <w:rPr>
          <w:lang w:val="fr-FR"/>
        </w:rPr>
        <w:t>’</w:t>
      </w:r>
      <w:r w:rsidRPr="00A779B8">
        <w:rPr>
          <w:lang w:val="fr-FR"/>
        </w:rPr>
        <w:t>essai.</w:t>
      </w:r>
    </w:p>
    <w:p w:rsidR="00F23458" w:rsidRPr="00A779B8" w:rsidRDefault="00F23458" w:rsidP="00F23458">
      <w:pPr>
        <w:pStyle w:val="SingleTxtG"/>
        <w:rPr>
          <w:lang w:val="fr-FR"/>
        </w:rPr>
      </w:pPr>
      <w:r w:rsidRPr="00A779B8">
        <w:rPr>
          <w:lang w:val="fr-FR"/>
        </w:rPr>
        <w:t>Les informations ci-après doivent être mises à la disposition de tout fabricant de pièces, d</w:t>
      </w:r>
      <w:r w:rsidR="00DB4C2D">
        <w:rPr>
          <w:lang w:val="fr-FR"/>
        </w:rPr>
        <w:t>’</w:t>
      </w:r>
      <w:r w:rsidRPr="00A779B8">
        <w:rPr>
          <w:lang w:val="fr-FR"/>
        </w:rPr>
        <w:t>outils de diagnostic ou d</w:t>
      </w:r>
      <w:r w:rsidR="00DB4C2D">
        <w:rPr>
          <w:lang w:val="fr-FR"/>
        </w:rPr>
        <w:t>’</w:t>
      </w:r>
      <w:r w:rsidRPr="00A779B8">
        <w:rPr>
          <w:lang w:val="fr-FR"/>
        </w:rPr>
        <w:t>équipements d</w:t>
      </w:r>
      <w:r w:rsidR="00DB4C2D">
        <w:rPr>
          <w:lang w:val="fr-FR"/>
        </w:rPr>
        <w:t>’</w:t>
      </w:r>
      <w:r w:rsidRPr="00A779B8">
        <w:rPr>
          <w:lang w:val="fr-FR"/>
        </w:rPr>
        <w:t>essai qui en fait la demande, sur une base non discriminatoire.</w:t>
      </w:r>
    </w:p>
    <w:p w:rsidR="00F23458" w:rsidRPr="00A779B8" w:rsidRDefault="00F23458" w:rsidP="00F23458">
      <w:pPr>
        <w:pStyle w:val="SingleTxtG"/>
        <w:ind w:left="2268" w:hanging="1134"/>
        <w:rPr>
          <w:lang w:val="fr-FR"/>
        </w:rPr>
      </w:pPr>
      <w:r w:rsidRPr="00A779B8">
        <w:rPr>
          <w:lang w:val="fr-FR"/>
        </w:rPr>
        <w:t>1.</w:t>
      </w:r>
      <w:r w:rsidRPr="00A779B8">
        <w:rPr>
          <w:lang w:val="fr-FR"/>
        </w:rPr>
        <w:tab/>
        <w:t xml:space="preserve">Indication du type et du nombre de cycles de </w:t>
      </w:r>
      <w:proofErr w:type="spellStart"/>
      <w:r w:rsidRPr="00A779B8">
        <w:rPr>
          <w:lang w:val="fr-FR"/>
        </w:rPr>
        <w:t>préconditionnement</w:t>
      </w:r>
      <w:proofErr w:type="spellEnd"/>
      <w:r w:rsidRPr="00A779B8">
        <w:rPr>
          <w:lang w:val="fr-FR"/>
        </w:rPr>
        <w:t xml:space="preserve"> employés pour l</w:t>
      </w:r>
      <w:r w:rsidR="00DB4C2D">
        <w:rPr>
          <w:lang w:val="fr-FR"/>
        </w:rPr>
        <w:t>’</w:t>
      </w:r>
      <w:r w:rsidRPr="00A779B8">
        <w:rPr>
          <w:lang w:val="fr-FR"/>
        </w:rPr>
        <w:t>homologation initiale de type du véhicule.</w:t>
      </w:r>
    </w:p>
    <w:p w:rsidR="00F23458" w:rsidRPr="00A779B8" w:rsidRDefault="00F23458" w:rsidP="00F23458">
      <w:pPr>
        <w:pStyle w:val="SingleTxtG"/>
        <w:ind w:left="2268" w:hanging="1134"/>
        <w:rPr>
          <w:lang w:val="fr-FR"/>
        </w:rPr>
      </w:pPr>
      <w:r w:rsidRPr="00A779B8">
        <w:rPr>
          <w:lang w:val="fr-FR"/>
        </w:rPr>
        <w:t>2.</w:t>
      </w:r>
      <w:r w:rsidRPr="00A779B8">
        <w:rPr>
          <w:lang w:val="fr-FR"/>
        </w:rPr>
        <w:tab/>
        <w:t>Description du type de cycle de démonstration du système OBD employé pour l</w:t>
      </w:r>
      <w:r w:rsidR="00DB4C2D">
        <w:rPr>
          <w:lang w:val="fr-FR"/>
        </w:rPr>
        <w:t>’</w:t>
      </w:r>
      <w:r w:rsidRPr="00A779B8">
        <w:rPr>
          <w:lang w:val="fr-FR"/>
        </w:rPr>
        <w:t>homologation initiale de type du véhicule en ce qui concerne le composant contrôlé par le système OBD.</w:t>
      </w:r>
    </w:p>
    <w:p w:rsidR="00F23458" w:rsidRPr="00A779B8" w:rsidRDefault="00F23458" w:rsidP="00F23458">
      <w:pPr>
        <w:pStyle w:val="SingleTxtG"/>
        <w:ind w:left="2268" w:hanging="1134"/>
        <w:rPr>
          <w:lang w:val="fr-FR"/>
        </w:rPr>
      </w:pPr>
      <w:r w:rsidRPr="00A779B8">
        <w:rPr>
          <w:lang w:val="fr-FR"/>
        </w:rPr>
        <w:t>3.</w:t>
      </w:r>
      <w:r w:rsidRPr="00A779B8">
        <w:rPr>
          <w:lang w:val="fr-FR"/>
        </w:rPr>
        <w:tab/>
        <w:t>Liste exhaustive de tous les composants contrôlés dans le cadre du dispositif de détection des erreurs et d</w:t>
      </w:r>
      <w:r w:rsidR="00DB4C2D">
        <w:rPr>
          <w:lang w:val="fr-FR"/>
        </w:rPr>
        <w:t>’</w:t>
      </w:r>
      <w:r w:rsidRPr="00A779B8">
        <w:rPr>
          <w:lang w:val="fr-FR"/>
        </w:rPr>
        <w:t>activation du TD (nombre fixe de cycles de conduite ou méthode statistique), y compris la liste des paramètres secondaires pertinents mesurés pour chacun des composants contrôlés par le système d</w:t>
      </w:r>
      <w:r w:rsidR="00DB4C2D">
        <w:rPr>
          <w:lang w:val="fr-FR"/>
        </w:rPr>
        <w:t>’</w:t>
      </w:r>
      <w:r w:rsidRPr="00A779B8">
        <w:rPr>
          <w:lang w:val="fr-FR"/>
        </w:rPr>
        <w:t>autodiagnostic; liste de tous les codes de sortie et formats (accompagnée d</w:t>
      </w:r>
      <w:r w:rsidR="00DB4C2D">
        <w:rPr>
          <w:lang w:val="fr-FR"/>
        </w:rPr>
        <w:t>’</w:t>
      </w:r>
      <w:r w:rsidRPr="00A779B8">
        <w:rPr>
          <w:lang w:val="fr-FR"/>
        </w:rPr>
        <w:t>une explication pour chacun) utilisés pour les différents composants du groupe motopropulseur relatifs aux émissions ainsi que pour les différents composants non liés aux émissions, lorsque la surveillance du composant concerné intervient dans l</w:t>
      </w:r>
      <w:r w:rsidR="00DB4C2D">
        <w:rPr>
          <w:lang w:val="fr-FR"/>
        </w:rPr>
        <w:t>’</w:t>
      </w:r>
      <w:r w:rsidRPr="00A779B8">
        <w:rPr>
          <w:lang w:val="fr-FR"/>
        </w:rPr>
        <w:t>activation du TD. Il convient notamment de commenter de façon détaillée les données correspondant au service $05 (test ID $21 à FF) et au service $06. Dans le cas de types de véhicule utilisant une liaison de communication conforme à la norme ISO 15765-4 «Véhicules routiers − Systèmes de diagnostic sur CAN − Partie 4: Exigences pour les systèmes relatifs aux émissions», une explication exhaustive des données correspondant au service $06 (test ID $00 à FF) pour chaque moniteur d</w:t>
      </w:r>
      <w:r w:rsidR="00DB4C2D">
        <w:rPr>
          <w:lang w:val="fr-FR"/>
        </w:rPr>
        <w:t>’</w:t>
      </w:r>
      <w:r w:rsidRPr="00A779B8">
        <w:rPr>
          <w:lang w:val="fr-FR"/>
        </w:rPr>
        <w:t>autodiagnostic doit être fournie.</w:t>
      </w:r>
    </w:p>
    <w:p w:rsidR="00DB7E7B" w:rsidRDefault="00F23458" w:rsidP="00F23458">
      <w:pPr>
        <w:pStyle w:val="SingleTxtG"/>
        <w:ind w:left="2268"/>
        <w:rPr>
          <w:lang w:val="fr-FR"/>
        </w:rPr>
      </w:pPr>
      <w:r w:rsidRPr="00A779B8">
        <w:rPr>
          <w:lang w:val="fr-FR"/>
        </w:rPr>
        <w:t xml:space="preserve">Les informations susmentionnées peuvent être </w:t>
      </w:r>
      <w:r w:rsidRPr="00F23458">
        <w:t>communiquées</w:t>
      </w:r>
      <w:r w:rsidRPr="00A779B8">
        <w:rPr>
          <w:lang w:val="fr-FR"/>
        </w:rPr>
        <w:t xml:space="preserve"> sous la forme d</w:t>
      </w:r>
      <w:r w:rsidR="00DB4C2D">
        <w:rPr>
          <w:lang w:val="fr-FR"/>
        </w:rPr>
        <w:t>’</w:t>
      </w:r>
      <w:r w:rsidRPr="00A779B8">
        <w:rPr>
          <w:lang w:val="fr-FR"/>
        </w:rPr>
        <w:t>un tableau tel que celui figurant ci-après.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50"/>
        <w:gridCol w:w="715"/>
        <w:gridCol w:w="1193"/>
        <w:gridCol w:w="1193"/>
        <w:gridCol w:w="934"/>
        <w:gridCol w:w="1372"/>
        <w:gridCol w:w="1055"/>
        <w:gridCol w:w="1093"/>
      </w:tblGrid>
      <w:tr w:rsidR="00F23458" w:rsidRPr="007E29C4" w:rsidTr="008E3B10">
        <w:tc>
          <w:tcPr>
            <w:tcW w:w="950" w:type="dxa"/>
            <w:shd w:val="clear" w:color="auto" w:fill="auto"/>
            <w:vAlign w:val="center"/>
          </w:tcPr>
          <w:p w:rsidR="00F23458" w:rsidRPr="007E29C4" w:rsidRDefault="00F23458" w:rsidP="008E3B10">
            <w:pPr>
              <w:spacing w:before="60" w:after="60" w:line="200" w:lineRule="exact"/>
              <w:jc w:val="center"/>
              <w:rPr>
                <w:i/>
                <w:sz w:val="16"/>
                <w:szCs w:val="16"/>
                <w:lang w:val="fr-FR"/>
              </w:rPr>
            </w:pPr>
            <w:r w:rsidRPr="007E29C4">
              <w:rPr>
                <w:i/>
                <w:sz w:val="16"/>
                <w:szCs w:val="16"/>
                <w:lang w:val="fr-FR"/>
              </w:rPr>
              <w:br w:type="page"/>
              <w:t>Composant</w:t>
            </w:r>
          </w:p>
        </w:tc>
        <w:tc>
          <w:tcPr>
            <w:tcW w:w="715" w:type="dxa"/>
            <w:shd w:val="clear" w:color="auto" w:fill="auto"/>
            <w:vAlign w:val="center"/>
          </w:tcPr>
          <w:p w:rsidR="00F23458" w:rsidRPr="007E29C4" w:rsidRDefault="00F23458" w:rsidP="008E3B10">
            <w:pPr>
              <w:spacing w:before="60" w:after="60" w:line="200" w:lineRule="exact"/>
              <w:jc w:val="center"/>
              <w:rPr>
                <w:i/>
                <w:sz w:val="16"/>
                <w:szCs w:val="16"/>
                <w:lang w:val="fr-FR"/>
              </w:rPr>
            </w:pPr>
            <w:r w:rsidRPr="007E29C4">
              <w:rPr>
                <w:i/>
                <w:sz w:val="16"/>
                <w:szCs w:val="16"/>
                <w:lang w:val="fr-FR"/>
              </w:rPr>
              <w:t>Code</w:t>
            </w:r>
            <w:r w:rsidRPr="007E29C4">
              <w:rPr>
                <w:i/>
                <w:sz w:val="16"/>
                <w:szCs w:val="16"/>
                <w:lang w:val="fr-FR"/>
              </w:rPr>
              <w:br/>
              <w:t>d</w:t>
            </w:r>
            <w:r w:rsidR="00DB4C2D">
              <w:rPr>
                <w:i/>
                <w:sz w:val="16"/>
                <w:szCs w:val="16"/>
                <w:lang w:val="fr-FR"/>
              </w:rPr>
              <w:t>’</w:t>
            </w:r>
            <w:r w:rsidRPr="007E29C4">
              <w:rPr>
                <w:i/>
                <w:sz w:val="16"/>
                <w:szCs w:val="16"/>
                <w:lang w:val="fr-FR"/>
              </w:rPr>
              <w:t>erreur</w:t>
            </w:r>
          </w:p>
        </w:tc>
        <w:tc>
          <w:tcPr>
            <w:tcW w:w="1193" w:type="dxa"/>
            <w:shd w:val="clear" w:color="auto" w:fill="auto"/>
            <w:vAlign w:val="center"/>
          </w:tcPr>
          <w:p w:rsidR="00F23458" w:rsidRPr="007E29C4" w:rsidRDefault="00F23458" w:rsidP="008E3B10">
            <w:pPr>
              <w:spacing w:before="60" w:after="60" w:line="200" w:lineRule="exact"/>
              <w:jc w:val="center"/>
              <w:rPr>
                <w:i/>
                <w:sz w:val="16"/>
                <w:szCs w:val="16"/>
                <w:lang w:val="fr-FR"/>
              </w:rPr>
            </w:pPr>
            <w:r w:rsidRPr="007E29C4">
              <w:rPr>
                <w:i/>
                <w:sz w:val="16"/>
                <w:szCs w:val="16"/>
                <w:lang w:val="fr-FR"/>
              </w:rPr>
              <w:t>Dispositif</w:t>
            </w:r>
            <w:r w:rsidRPr="007E29C4">
              <w:rPr>
                <w:i/>
                <w:sz w:val="16"/>
                <w:szCs w:val="16"/>
                <w:lang w:val="fr-FR"/>
              </w:rPr>
              <w:br/>
              <w:t>de contrôle</w:t>
            </w:r>
          </w:p>
        </w:tc>
        <w:tc>
          <w:tcPr>
            <w:tcW w:w="1193" w:type="dxa"/>
            <w:shd w:val="clear" w:color="auto" w:fill="auto"/>
            <w:vAlign w:val="center"/>
          </w:tcPr>
          <w:p w:rsidR="00F23458" w:rsidRPr="007E29C4" w:rsidRDefault="00F23458" w:rsidP="008E3B10">
            <w:pPr>
              <w:spacing w:before="60" w:after="60" w:line="200" w:lineRule="exact"/>
              <w:jc w:val="center"/>
              <w:rPr>
                <w:i/>
                <w:sz w:val="16"/>
                <w:szCs w:val="16"/>
                <w:lang w:val="fr-FR"/>
              </w:rPr>
            </w:pPr>
            <w:r w:rsidRPr="007E29C4">
              <w:rPr>
                <w:i/>
                <w:sz w:val="16"/>
                <w:szCs w:val="16"/>
                <w:lang w:val="fr-FR"/>
              </w:rPr>
              <w:t>Critère de détection</w:t>
            </w:r>
            <w:r w:rsidRPr="007E29C4">
              <w:rPr>
                <w:i/>
                <w:sz w:val="16"/>
                <w:szCs w:val="16"/>
                <w:lang w:val="fr-FR"/>
              </w:rPr>
              <w:br/>
              <w:t>des erreurs</w:t>
            </w:r>
          </w:p>
        </w:tc>
        <w:tc>
          <w:tcPr>
            <w:tcW w:w="934" w:type="dxa"/>
            <w:shd w:val="clear" w:color="auto" w:fill="auto"/>
            <w:vAlign w:val="center"/>
          </w:tcPr>
          <w:p w:rsidR="00F23458" w:rsidRPr="007E29C4" w:rsidRDefault="00F23458" w:rsidP="008E3B10">
            <w:pPr>
              <w:spacing w:before="60" w:after="60" w:line="200" w:lineRule="exact"/>
              <w:jc w:val="center"/>
              <w:rPr>
                <w:i/>
                <w:sz w:val="16"/>
                <w:szCs w:val="16"/>
                <w:lang w:val="fr-FR"/>
              </w:rPr>
            </w:pPr>
            <w:r w:rsidRPr="007E29C4">
              <w:rPr>
                <w:i/>
                <w:sz w:val="16"/>
                <w:szCs w:val="16"/>
                <w:lang w:val="fr-FR"/>
              </w:rPr>
              <w:t>Critère d</w:t>
            </w:r>
            <w:r w:rsidR="00DB4C2D">
              <w:rPr>
                <w:i/>
                <w:sz w:val="16"/>
                <w:szCs w:val="16"/>
                <w:lang w:val="fr-FR"/>
              </w:rPr>
              <w:t>’</w:t>
            </w:r>
            <w:r w:rsidRPr="007E29C4">
              <w:rPr>
                <w:i/>
                <w:sz w:val="16"/>
                <w:szCs w:val="16"/>
                <w:lang w:val="fr-FR"/>
              </w:rPr>
              <w:t>activation</w:t>
            </w:r>
            <w:r w:rsidRPr="007E29C4">
              <w:rPr>
                <w:i/>
                <w:sz w:val="16"/>
                <w:szCs w:val="16"/>
                <w:lang w:val="fr-FR"/>
              </w:rPr>
              <w:br/>
              <w:t>du TD</w:t>
            </w:r>
          </w:p>
        </w:tc>
        <w:tc>
          <w:tcPr>
            <w:tcW w:w="1372" w:type="dxa"/>
            <w:shd w:val="clear" w:color="auto" w:fill="auto"/>
            <w:tcMar>
              <w:left w:w="28" w:type="dxa"/>
              <w:right w:w="28" w:type="dxa"/>
            </w:tcMar>
            <w:vAlign w:val="center"/>
          </w:tcPr>
          <w:p w:rsidR="00F23458" w:rsidRPr="007E29C4" w:rsidRDefault="00F23458" w:rsidP="008E3B10">
            <w:pPr>
              <w:spacing w:before="60" w:after="60" w:line="200" w:lineRule="exact"/>
              <w:jc w:val="center"/>
              <w:rPr>
                <w:i/>
                <w:sz w:val="16"/>
                <w:szCs w:val="16"/>
                <w:lang w:val="fr-FR"/>
              </w:rPr>
            </w:pPr>
            <w:r w:rsidRPr="007E29C4">
              <w:rPr>
                <w:i/>
                <w:sz w:val="16"/>
                <w:szCs w:val="16"/>
                <w:lang w:val="fr-FR"/>
              </w:rPr>
              <w:t>Paramètres secondaires</w:t>
            </w:r>
          </w:p>
        </w:tc>
        <w:tc>
          <w:tcPr>
            <w:tcW w:w="1055" w:type="dxa"/>
            <w:shd w:val="clear" w:color="auto" w:fill="auto"/>
            <w:vAlign w:val="center"/>
          </w:tcPr>
          <w:p w:rsidR="00F23458" w:rsidRPr="007E29C4" w:rsidRDefault="00F23458" w:rsidP="008E3B10">
            <w:pPr>
              <w:spacing w:before="60" w:after="60" w:line="200" w:lineRule="exact"/>
              <w:jc w:val="center"/>
              <w:rPr>
                <w:i/>
                <w:sz w:val="16"/>
                <w:szCs w:val="16"/>
                <w:lang w:val="fr-FR"/>
              </w:rPr>
            </w:pPr>
            <w:r w:rsidRPr="007E29C4">
              <w:rPr>
                <w:i/>
                <w:sz w:val="16"/>
                <w:szCs w:val="16"/>
                <w:lang w:val="fr-FR"/>
              </w:rPr>
              <w:t>Précondition-</w:t>
            </w:r>
            <w:r w:rsidRPr="007E29C4">
              <w:rPr>
                <w:i/>
                <w:sz w:val="16"/>
                <w:szCs w:val="16"/>
                <w:lang w:val="fr-FR"/>
              </w:rPr>
              <w:br/>
            </w:r>
            <w:proofErr w:type="spellStart"/>
            <w:r w:rsidRPr="007E29C4">
              <w:rPr>
                <w:i/>
                <w:sz w:val="16"/>
                <w:szCs w:val="16"/>
                <w:lang w:val="fr-FR"/>
              </w:rPr>
              <w:t>nement</w:t>
            </w:r>
            <w:proofErr w:type="spellEnd"/>
          </w:p>
        </w:tc>
        <w:tc>
          <w:tcPr>
            <w:tcW w:w="1093" w:type="dxa"/>
            <w:shd w:val="clear" w:color="auto" w:fill="auto"/>
            <w:vAlign w:val="center"/>
          </w:tcPr>
          <w:p w:rsidR="00F23458" w:rsidRPr="007E29C4" w:rsidRDefault="00F23458" w:rsidP="008E3B10">
            <w:pPr>
              <w:spacing w:before="60" w:after="60" w:line="200" w:lineRule="exact"/>
              <w:jc w:val="center"/>
              <w:rPr>
                <w:i/>
                <w:sz w:val="16"/>
                <w:szCs w:val="16"/>
                <w:lang w:val="fr-FR"/>
              </w:rPr>
            </w:pPr>
            <w:r w:rsidRPr="007E29C4">
              <w:rPr>
                <w:i/>
                <w:sz w:val="16"/>
                <w:szCs w:val="16"/>
                <w:lang w:val="fr-FR"/>
              </w:rPr>
              <w:t>Essai de démonstration</w:t>
            </w:r>
          </w:p>
        </w:tc>
      </w:tr>
      <w:tr w:rsidR="00F23458" w:rsidRPr="007E29C4" w:rsidTr="008E3B10">
        <w:tc>
          <w:tcPr>
            <w:tcW w:w="950" w:type="dxa"/>
            <w:shd w:val="clear" w:color="auto" w:fill="auto"/>
          </w:tcPr>
          <w:p w:rsidR="00F23458" w:rsidRPr="007E29C4" w:rsidRDefault="00F23458" w:rsidP="008E3B10">
            <w:pPr>
              <w:spacing w:before="60" w:after="60" w:line="220" w:lineRule="atLeast"/>
              <w:jc w:val="both"/>
              <w:rPr>
                <w:sz w:val="18"/>
                <w:szCs w:val="18"/>
                <w:lang w:val="fr-FR"/>
              </w:rPr>
            </w:pPr>
            <w:r w:rsidRPr="007E29C4">
              <w:rPr>
                <w:sz w:val="18"/>
                <w:szCs w:val="18"/>
                <w:lang w:val="fr-FR"/>
              </w:rPr>
              <w:t>Pot catalytique</w:t>
            </w:r>
          </w:p>
        </w:tc>
        <w:tc>
          <w:tcPr>
            <w:tcW w:w="715" w:type="dxa"/>
            <w:shd w:val="clear" w:color="auto" w:fill="auto"/>
          </w:tcPr>
          <w:p w:rsidR="00F23458" w:rsidRPr="007E29C4" w:rsidRDefault="00F23458" w:rsidP="008E3B10">
            <w:pPr>
              <w:spacing w:before="60" w:after="60" w:line="220" w:lineRule="atLeast"/>
              <w:jc w:val="both"/>
              <w:rPr>
                <w:sz w:val="18"/>
                <w:szCs w:val="18"/>
                <w:lang w:val="fr-FR"/>
              </w:rPr>
            </w:pPr>
            <w:r w:rsidRPr="007E29C4">
              <w:rPr>
                <w:sz w:val="18"/>
                <w:szCs w:val="18"/>
                <w:lang w:val="fr-FR"/>
              </w:rPr>
              <w:t>P0420</w:t>
            </w:r>
          </w:p>
        </w:tc>
        <w:tc>
          <w:tcPr>
            <w:tcW w:w="1193" w:type="dxa"/>
            <w:shd w:val="clear" w:color="auto" w:fill="auto"/>
          </w:tcPr>
          <w:p w:rsidR="00F23458" w:rsidRPr="007E29C4" w:rsidRDefault="00F23458" w:rsidP="008E3B10">
            <w:pPr>
              <w:spacing w:before="60" w:after="60" w:line="220" w:lineRule="atLeast"/>
              <w:rPr>
                <w:sz w:val="18"/>
                <w:szCs w:val="18"/>
                <w:lang w:val="fr-FR"/>
              </w:rPr>
            </w:pPr>
            <w:r w:rsidRPr="007E29C4">
              <w:rPr>
                <w:sz w:val="18"/>
                <w:szCs w:val="18"/>
                <w:lang w:val="fr-FR"/>
              </w:rPr>
              <w:t>Signaux des sondes à oxygène 1 et 2</w:t>
            </w:r>
          </w:p>
        </w:tc>
        <w:tc>
          <w:tcPr>
            <w:tcW w:w="1193" w:type="dxa"/>
            <w:shd w:val="clear" w:color="auto" w:fill="auto"/>
          </w:tcPr>
          <w:p w:rsidR="00F23458" w:rsidRPr="007E29C4" w:rsidRDefault="00F23458" w:rsidP="008E3B10">
            <w:pPr>
              <w:spacing w:before="60" w:after="60" w:line="220" w:lineRule="atLeast"/>
              <w:rPr>
                <w:sz w:val="18"/>
                <w:szCs w:val="18"/>
                <w:lang w:val="fr-FR"/>
              </w:rPr>
            </w:pPr>
            <w:r w:rsidRPr="007E29C4">
              <w:rPr>
                <w:sz w:val="18"/>
                <w:szCs w:val="18"/>
                <w:lang w:val="fr-FR"/>
              </w:rPr>
              <w:t>Différence entre les signaux de la sonde 1 et ceux de la sonde 2</w:t>
            </w:r>
          </w:p>
        </w:tc>
        <w:tc>
          <w:tcPr>
            <w:tcW w:w="934" w:type="dxa"/>
            <w:shd w:val="clear" w:color="auto" w:fill="auto"/>
          </w:tcPr>
          <w:p w:rsidR="00F23458" w:rsidRPr="007E29C4" w:rsidRDefault="00F23458" w:rsidP="008E3B10">
            <w:pPr>
              <w:spacing w:before="60" w:after="60" w:line="220" w:lineRule="atLeast"/>
              <w:jc w:val="both"/>
              <w:rPr>
                <w:sz w:val="18"/>
                <w:szCs w:val="18"/>
                <w:lang w:val="fr-FR"/>
              </w:rPr>
            </w:pPr>
            <w:r w:rsidRPr="007E29C4">
              <w:rPr>
                <w:sz w:val="18"/>
                <w:szCs w:val="18"/>
                <w:lang w:val="fr-FR"/>
              </w:rPr>
              <w:t>3</w:t>
            </w:r>
            <w:r w:rsidRPr="007E29C4">
              <w:rPr>
                <w:sz w:val="18"/>
                <w:szCs w:val="18"/>
                <w:vertAlign w:val="superscript"/>
                <w:lang w:val="fr-FR"/>
              </w:rPr>
              <w:t>e</w:t>
            </w:r>
            <w:r w:rsidRPr="007E29C4">
              <w:rPr>
                <w:sz w:val="18"/>
                <w:szCs w:val="18"/>
                <w:lang w:val="fr-FR"/>
              </w:rPr>
              <w:t xml:space="preserve"> cycle</w:t>
            </w:r>
          </w:p>
        </w:tc>
        <w:tc>
          <w:tcPr>
            <w:tcW w:w="1372" w:type="dxa"/>
            <w:shd w:val="clear" w:color="auto" w:fill="auto"/>
            <w:tcMar>
              <w:left w:w="28" w:type="dxa"/>
              <w:right w:w="28" w:type="dxa"/>
            </w:tcMar>
          </w:tcPr>
          <w:p w:rsidR="00F23458" w:rsidRPr="007E29C4" w:rsidRDefault="00F23458" w:rsidP="008E3B10">
            <w:pPr>
              <w:spacing w:before="60" w:after="60" w:line="220" w:lineRule="atLeast"/>
              <w:rPr>
                <w:sz w:val="18"/>
                <w:szCs w:val="18"/>
                <w:lang w:val="fr-FR"/>
              </w:rPr>
            </w:pPr>
            <w:r w:rsidRPr="007E29C4">
              <w:rPr>
                <w:sz w:val="18"/>
                <w:szCs w:val="18"/>
                <w:lang w:val="fr-FR"/>
              </w:rPr>
              <w:t>Régime du moteur, charge du moteur, mode A/F, température du pot catalytique</w:t>
            </w:r>
          </w:p>
        </w:tc>
        <w:tc>
          <w:tcPr>
            <w:tcW w:w="1055" w:type="dxa"/>
            <w:shd w:val="clear" w:color="auto" w:fill="auto"/>
          </w:tcPr>
          <w:p w:rsidR="00F23458" w:rsidRPr="007E29C4" w:rsidRDefault="00F23458" w:rsidP="008E3B10">
            <w:pPr>
              <w:spacing w:before="60" w:after="60" w:line="220" w:lineRule="atLeast"/>
              <w:rPr>
                <w:sz w:val="18"/>
                <w:szCs w:val="18"/>
                <w:lang w:val="fr-FR"/>
              </w:rPr>
            </w:pPr>
            <w:r w:rsidRPr="007E29C4">
              <w:rPr>
                <w:sz w:val="18"/>
                <w:szCs w:val="18"/>
                <w:lang w:val="fr-FR"/>
              </w:rPr>
              <w:t>Deux cycles de type I</w:t>
            </w:r>
          </w:p>
        </w:tc>
        <w:tc>
          <w:tcPr>
            <w:tcW w:w="1093" w:type="dxa"/>
            <w:shd w:val="clear" w:color="auto" w:fill="auto"/>
          </w:tcPr>
          <w:p w:rsidR="00F23458" w:rsidRPr="007E29C4" w:rsidRDefault="00F23458" w:rsidP="008E3B10">
            <w:pPr>
              <w:spacing w:before="60" w:after="60" w:line="220" w:lineRule="atLeast"/>
              <w:jc w:val="both"/>
              <w:rPr>
                <w:sz w:val="18"/>
                <w:szCs w:val="18"/>
                <w:lang w:val="fr-FR"/>
              </w:rPr>
            </w:pPr>
            <w:r w:rsidRPr="007E29C4">
              <w:rPr>
                <w:sz w:val="18"/>
                <w:szCs w:val="18"/>
                <w:lang w:val="fr-FR"/>
              </w:rPr>
              <w:t>Type I</w:t>
            </w:r>
          </w:p>
        </w:tc>
      </w:tr>
    </w:tbl>
    <w:p w:rsidR="00F23458" w:rsidRDefault="00F23458" w:rsidP="00F23458">
      <w:pPr>
        <w:pStyle w:val="SingleTxtG"/>
        <w:ind w:left="2268"/>
        <w:rPr>
          <w:lang w:val="fr-FR"/>
        </w:rPr>
        <w:sectPr w:rsidR="00F23458" w:rsidSect="00F23458">
          <w:headerReference w:type="even" r:id="rId65"/>
          <w:headerReference w:type="default" r:id="rId66"/>
          <w:footnotePr>
            <w:numRestart w:val="eachSect"/>
          </w:footnotePr>
          <w:endnotePr>
            <w:numFmt w:val="decimal"/>
          </w:endnotePr>
          <w:type w:val="continuous"/>
          <w:pgSz w:w="11907" w:h="16840" w:code="9"/>
          <w:pgMar w:top="1701" w:right="1134" w:bottom="2268" w:left="1134" w:header="794" w:footer="1701" w:gutter="0"/>
          <w:cols w:space="720"/>
          <w:docGrid w:linePitch="272"/>
        </w:sectPr>
      </w:pPr>
    </w:p>
    <w:p w:rsidR="00F23458" w:rsidRPr="00A779B8" w:rsidRDefault="00F23458" w:rsidP="00F23458">
      <w:pPr>
        <w:pStyle w:val="HChG"/>
        <w:rPr>
          <w:lang w:val="fr-FR"/>
        </w:rPr>
      </w:pPr>
      <w:r w:rsidRPr="00A779B8">
        <w:rPr>
          <w:lang w:val="fr-FR"/>
        </w:rPr>
        <w:lastRenderedPageBreak/>
        <w:t>Annexe 2 − Appendice 2</w:t>
      </w:r>
    </w:p>
    <w:p w:rsidR="00F23458" w:rsidRPr="00A779B8" w:rsidRDefault="00F23458" w:rsidP="00F23458">
      <w:pPr>
        <w:pStyle w:val="HChG"/>
        <w:rPr>
          <w:lang w:val="fr-FR"/>
        </w:rPr>
      </w:pPr>
      <w:r w:rsidRPr="00A779B8">
        <w:rPr>
          <w:lang w:val="fr-FR"/>
        </w:rPr>
        <w:tab/>
      </w:r>
      <w:r w:rsidRPr="00A779B8">
        <w:rPr>
          <w:lang w:val="fr-FR"/>
        </w:rPr>
        <w:tab/>
        <w:t>Certificat de conformité aux prescriptions en ce qui concerne les performances en service du système OBD,</w:t>
      </w:r>
      <w:r w:rsidRPr="00A779B8">
        <w:rPr>
          <w:lang w:val="fr-FR"/>
        </w:rPr>
        <w:br/>
        <w:t>établi par le constructeur</w:t>
      </w:r>
    </w:p>
    <w:p w:rsidR="00F23458" w:rsidRPr="00A779B8" w:rsidRDefault="00F23458" w:rsidP="00F23458">
      <w:pPr>
        <w:pStyle w:val="SingleTxtG"/>
        <w:rPr>
          <w:lang w:val="fr-FR"/>
        </w:rPr>
      </w:pPr>
      <w:r w:rsidRPr="00A779B8">
        <w:rPr>
          <w:lang w:val="fr-FR"/>
        </w:rPr>
        <w:t xml:space="preserve">(Constructeur): </w:t>
      </w:r>
    </w:p>
    <w:p w:rsidR="00F23458" w:rsidRPr="00A779B8" w:rsidRDefault="00F23458" w:rsidP="00F23458">
      <w:pPr>
        <w:pStyle w:val="SingleTxtG"/>
        <w:spacing w:after="360"/>
        <w:rPr>
          <w:lang w:val="fr-FR"/>
        </w:rPr>
      </w:pPr>
      <w:r w:rsidRPr="00A779B8">
        <w:rPr>
          <w:lang w:val="fr-FR"/>
        </w:rPr>
        <w:t xml:space="preserve">(Adresse du constructeur): </w:t>
      </w:r>
    </w:p>
    <w:p w:rsidR="00F23458" w:rsidRPr="00A779B8" w:rsidRDefault="00F23458" w:rsidP="00F23458">
      <w:pPr>
        <w:pStyle w:val="SingleTxtG"/>
        <w:rPr>
          <w:lang w:val="fr-FR"/>
        </w:rPr>
      </w:pPr>
      <w:r w:rsidRPr="00A779B8">
        <w:rPr>
          <w:lang w:val="fr-FR"/>
        </w:rPr>
        <w:t>Certifie que:</w:t>
      </w:r>
    </w:p>
    <w:p w:rsidR="00F23458" w:rsidRPr="00A779B8" w:rsidRDefault="00F23458" w:rsidP="00F23458">
      <w:pPr>
        <w:pStyle w:val="SingleTxtG"/>
        <w:ind w:left="1701" w:hanging="567"/>
        <w:rPr>
          <w:lang w:val="fr-FR"/>
        </w:rPr>
      </w:pPr>
      <w:r w:rsidRPr="00A779B8">
        <w:rPr>
          <w:lang w:val="fr-FR"/>
        </w:rPr>
        <w:t>1.</w:t>
      </w:r>
      <w:r w:rsidRPr="00A779B8">
        <w:rPr>
          <w:lang w:val="fr-FR"/>
        </w:rPr>
        <w:tab/>
        <w:t>Les types de véhicules énumérés dans la pièce jointe au présent certificat sont conformes aux dispositions du paragraphe 7 de l</w:t>
      </w:r>
      <w:r w:rsidR="00DB4C2D">
        <w:rPr>
          <w:lang w:val="fr-FR"/>
        </w:rPr>
        <w:t>’</w:t>
      </w:r>
      <w:r w:rsidRPr="00A779B8">
        <w:rPr>
          <w:lang w:val="fr-FR"/>
        </w:rPr>
        <w:t>appendice 1 de l</w:t>
      </w:r>
      <w:r w:rsidR="00DB4C2D">
        <w:rPr>
          <w:lang w:val="fr-FR"/>
        </w:rPr>
        <w:t>’</w:t>
      </w:r>
      <w:r w:rsidRPr="00A779B8">
        <w:rPr>
          <w:lang w:val="fr-FR"/>
        </w:rPr>
        <w:t>annexe 11 du présent Règlement relatif aux performances en service du système OBD dans toutes les conditions de conduite raisonnablement prévisibles;</w:t>
      </w:r>
    </w:p>
    <w:p w:rsidR="00F23458" w:rsidRPr="00A779B8" w:rsidRDefault="00F23458" w:rsidP="00F23458">
      <w:pPr>
        <w:pStyle w:val="SingleTxtG"/>
        <w:ind w:left="1701" w:hanging="567"/>
        <w:rPr>
          <w:lang w:val="fr-FR"/>
        </w:rPr>
      </w:pPr>
      <w:r w:rsidRPr="00A779B8">
        <w:rPr>
          <w:lang w:val="fr-FR"/>
        </w:rPr>
        <w:t>2.</w:t>
      </w:r>
      <w:r w:rsidRPr="00A779B8">
        <w:rPr>
          <w:lang w:val="fr-FR"/>
        </w:rPr>
        <w:tab/>
        <w:t>Le(s) plan(s) décrivant les critères techniques détaillés pour augmenter le numérateur et le dénominateur de chaque moniteur, joint(s) au présent certificat, sont corrects et complets pour tous les types de véhicules auxquels le certificat s</w:t>
      </w:r>
      <w:r w:rsidR="00DB4C2D">
        <w:rPr>
          <w:lang w:val="fr-FR"/>
        </w:rPr>
        <w:t>’</w:t>
      </w:r>
      <w:r w:rsidRPr="00A779B8">
        <w:rPr>
          <w:lang w:val="fr-FR"/>
        </w:rPr>
        <w:t>applique.</w:t>
      </w:r>
    </w:p>
    <w:p w:rsidR="00F23458" w:rsidRPr="00A779B8" w:rsidRDefault="00F23458" w:rsidP="00F23458">
      <w:pPr>
        <w:pStyle w:val="SingleTxtG"/>
        <w:spacing w:before="240"/>
        <w:rPr>
          <w:lang w:val="fr-FR"/>
        </w:rPr>
      </w:pPr>
      <w:r w:rsidRPr="00A779B8">
        <w:rPr>
          <w:lang w:val="fr-FR"/>
        </w:rPr>
        <w:t xml:space="preserve">Fait à </w:t>
      </w:r>
      <w:r w:rsidRPr="00A779B8">
        <w:rPr>
          <w:lang w:val="fr-FR"/>
        </w:rPr>
        <w:tab/>
        <w:t>[…………… Lieu]</w:t>
      </w:r>
    </w:p>
    <w:p w:rsidR="00F23458" w:rsidRPr="00A779B8" w:rsidRDefault="00F23458" w:rsidP="00F23458">
      <w:pPr>
        <w:pStyle w:val="SingleTxtG"/>
        <w:rPr>
          <w:lang w:val="fr-FR"/>
        </w:rPr>
      </w:pPr>
      <w:r w:rsidRPr="00A779B8">
        <w:rPr>
          <w:lang w:val="fr-FR"/>
        </w:rPr>
        <w:t>Le […………… Date]</w:t>
      </w:r>
    </w:p>
    <w:p w:rsidR="00F23458" w:rsidRPr="00A779B8" w:rsidRDefault="00F23458" w:rsidP="00F23458">
      <w:pPr>
        <w:pStyle w:val="SingleTxtG"/>
        <w:spacing w:after="360"/>
        <w:jc w:val="right"/>
        <w:rPr>
          <w:lang w:val="fr-FR"/>
        </w:rPr>
      </w:pPr>
      <w:r w:rsidRPr="00A779B8">
        <w:rPr>
          <w:lang w:val="fr-FR"/>
        </w:rPr>
        <w:t>[Signature du mandataire du constructeur]</w:t>
      </w:r>
    </w:p>
    <w:p w:rsidR="00F23458" w:rsidRPr="00A779B8" w:rsidRDefault="00F23458" w:rsidP="00F23458">
      <w:pPr>
        <w:pStyle w:val="SingleTxtG"/>
        <w:rPr>
          <w:lang w:val="fr-FR"/>
        </w:rPr>
      </w:pPr>
      <w:r w:rsidRPr="00A779B8">
        <w:rPr>
          <w:lang w:val="fr-FR"/>
        </w:rPr>
        <w:t>Annexes:</w:t>
      </w:r>
    </w:p>
    <w:p w:rsidR="00F23458" w:rsidRDefault="00F23458" w:rsidP="00F23458">
      <w:pPr>
        <w:pStyle w:val="SingleTxtG"/>
        <w:ind w:left="2268" w:hanging="567"/>
        <w:rPr>
          <w:lang w:val="fr-FR"/>
        </w:rPr>
      </w:pPr>
      <w:r w:rsidRPr="00A779B8">
        <w:rPr>
          <w:lang w:val="fr-FR"/>
        </w:rPr>
        <w:t>a)</w:t>
      </w:r>
      <w:r w:rsidRPr="00A779B8">
        <w:rPr>
          <w:lang w:val="fr-FR"/>
        </w:rPr>
        <w:tab/>
        <w:t>Liste des types de véhicules auxquels le présent certificat s</w:t>
      </w:r>
      <w:r w:rsidR="00DB4C2D">
        <w:rPr>
          <w:lang w:val="fr-FR"/>
        </w:rPr>
        <w:t>’</w:t>
      </w:r>
      <w:r w:rsidRPr="00A779B8">
        <w:rPr>
          <w:lang w:val="fr-FR"/>
        </w:rPr>
        <w:t>applique;</w:t>
      </w:r>
    </w:p>
    <w:p w:rsidR="00F23458" w:rsidRDefault="00F23458" w:rsidP="00F23458">
      <w:pPr>
        <w:pStyle w:val="SingleTxtG"/>
        <w:ind w:left="2268" w:hanging="567"/>
        <w:rPr>
          <w:lang w:val="fr-FR"/>
        </w:rPr>
      </w:pPr>
      <w:r w:rsidRPr="00A779B8">
        <w:rPr>
          <w:lang w:val="fr-FR"/>
        </w:rPr>
        <w:t>b)</w:t>
      </w:r>
      <w:r w:rsidRPr="00A779B8">
        <w:rPr>
          <w:lang w:val="fr-FR"/>
        </w:rPr>
        <w:tab/>
        <w:t>Plan(s) décrivant de manière détaillée les critères techniques pour augmenter le numérateur et le dénominateur de chaque moniteur et plan(s) de désactivation des numérateurs, des dénominateurs et du dénominateur général.</w:t>
      </w:r>
    </w:p>
    <w:p w:rsidR="009D27D1" w:rsidRDefault="009D27D1" w:rsidP="009D27D1">
      <w:pPr>
        <w:pStyle w:val="SingleTxtG"/>
        <w:sectPr w:rsidR="009D27D1" w:rsidSect="00F23458">
          <w:headerReference w:type="even" r:id="rId67"/>
          <w:headerReference w:type="default" r:id="rId68"/>
          <w:footnotePr>
            <w:numRestart w:val="eachSect"/>
          </w:footnotePr>
          <w:endnotePr>
            <w:numFmt w:val="decimal"/>
          </w:endnotePr>
          <w:pgSz w:w="11907" w:h="16840" w:code="9"/>
          <w:pgMar w:top="1701" w:right="1134" w:bottom="2268" w:left="1134" w:header="794" w:footer="1701" w:gutter="0"/>
          <w:cols w:space="720"/>
          <w:docGrid w:linePitch="272"/>
        </w:sectPr>
      </w:pPr>
    </w:p>
    <w:p w:rsidR="009D27D1" w:rsidRPr="00A779B8" w:rsidRDefault="009D27D1" w:rsidP="009D27D1">
      <w:pPr>
        <w:pStyle w:val="HChG"/>
        <w:rPr>
          <w:lang w:val="fr-FR"/>
        </w:rPr>
      </w:pPr>
      <w:r w:rsidRPr="00A779B8">
        <w:rPr>
          <w:lang w:val="fr-FR"/>
        </w:rPr>
        <w:lastRenderedPageBreak/>
        <w:t>Annexe 3</w:t>
      </w:r>
    </w:p>
    <w:p w:rsidR="009D27D1" w:rsidRPr="00A779B8" w:rsidRDefault="009D27D1" w:rsidP="009D27D1">
      <w:pPr>
        <w:pStyle w:val="HChG"/>
        <w:tabs>
          <w:tab w:val="clear" w:pos="851"/>
        </w:tabs>
        <w:rPr>
          <w:lang w:val="fr-FR"/>
        </w:rPr>
      </w:pPr>
      <w:r w:rsidRPr="00A779B8">
        <w:rPr>
          <w:lang w:val="fr-FR"/>
        </w:rPr>
        <w:tab/>
        <w:t>Exemples de marques d</w:t>
      </w:r>
      <w:r w:rsidR="00DB4C2D">
        <w:rPr>
          <w:lang w:val="fr-FR"/>
        </w:rPr>
        <w:t>’</w:t>
      </w:r>
      <w:r w:rsidRPr="00A779B8">
        <w:rPr>
          <w:lang w:val="fr-FR"/>
        </w:rPr>
        <w:t>homologation</w:t>
      </w:r>
    </w:p>
    <w:p w:rsidR="009D27D1" w:rsidRPr="00A779B8" w:rsidRDefault="009D27D1" w:rsidP="009D27D1">
      <w:pPr>
        <w:pStyle w:val="SingleTxtG"/>
        <w:rPr>
          <w:lang w:val="fr-FR"/>
        </w:rPr>
      </w:pPr>
      <w:r w:rsidRPr="00A779B8">
        <w:rPr>
          <w:lang w:val="fr-FR"/>
        </w:rPr>
        <w:t>Dans la marque d</w:t>
      </w:r>
      <w:r w:rsidR="00DB4C2D">
        <w:rPr>
          <w:lang w:val="fr-FR"/>
        </w:rPr>
        <w:t>’</w:t>
      </w:r>
      <w:r w:rsidRPr="00A779B8">
        <w:rPr>
          <w:lang w:val="fr-FR"/>
        </w:rPr>
        <w:t>homologation délivrée et apposée à un véhicule conformément au paragraphe 4 du présent Règlement, le numéro d</w:t>
      </w:r>
      <w:r w:rsidR="00DB4C2D">
        <w:rPr>
          <w:lang w:val="fr-FR"/>
        </w:rPr>
        <w:t>’</w:t>
      </w:r>
      <w:r w:rsidRPr="00A779B8">
        <w:rPr>
          <w:lang w:val="fr-FR"/>
        </w:rPr>
        <w:t>homologation doit être accompagné d</w:t>
      </w:r>
      <w:r w:rsidR="00DB4C2D">
        <w:rPr>
          <w:lang w:val="fr-FR"/>
        </w:rPr>
        <w:t>’</w:t>
      </w:r>
      <w:r w:rsidRPr="00A779B8">
        <w:rPr>
          <w:lang w:val="fr-FR"/>
        </w:rPr>
        <w:t>une lettre alphabétique, attribuée co</w:t>
      </w:r>
      <w:r w:rsidR="00CC4C57">
        <w:rPr>
          <w:lang w:val="fr-FR"/>
        </w:rPr>
        <w:t>nformément au tableau </w:t>
      </w:r>
      <w:r w:rsidRPr="00A779B8">
        <w:rPr>
          <w:lang w:val="fr-FR"/>
        </w:rPr>
        <w:t>A3/1 de la présente annexe, indiquant la catégorie et la classe de véhicule auxquelles l</w:t>
      </w:r>
      <w:r w:rsidR="00DB4C2D">
        <w:rPr>
          <w:lang w:val="fr-FR"/>
        </w:rPr>
        <w:t>’</w:t>
      </w:r>
      <w:r w:rsidRPr="00A779B8">
        <w:rPr>
          <w:lang w:val="fr-FR"/>
        </w:rPr>
        <w:t>homologation est limitée.</w:t>
      </w:r>
    </w:p>
    <w:p w:rsidR="009D27D1" w:rsidRPr="00A779B8" w:rsidRDefault="009D27D1" w:rsidP="009D27D1">
      <w:pPr>
        <w:pStyle w:val="SingleTxtG"/>
        <w:rPr>
          <w:lang w:val="fr-FR"/>
        </w:rPr>
      </w:pPr>
      <w:r w:rsidRPr="00A779B8">
        <w:rPr>
          <w:lang w:val="fr-FR"/>
        </w:rPr>
        <w:t>On trouvera ci-après une description de l</w:t>
      </w:r>
      <w:r w:rsidR="00DB4C2D">
        <w:rPr>
          <w:lang w:val="fr-FR"/>
        </w:rPr>
        <w:t>’</w:t>
      </w:r>
      <w:r w:rsidRPr="00A779B8">
        <w:rPr>
          <w:lang w:val="fr-FR"/>
        </w:rPr>
        <w:t>apparence de cette marque et un exemple de la manière dont elle doit être composée.</w:t>
      </w:r>
    </w:p>
    <w:p w:rsidR="009D27D1" w:rsidRDefault="009D27D1" w:rsidP="009D27D1">
      <w:pPr>
        <w:pStyle w:val="SingleTxtG"/>
        <w:rPr>
          <w:lang w:val="fr-FR"/>
        </w:rPr>
      </w:pPr>
      <w:r w:rsidRPr="00A779B8">
        <w:rPr>
          <w:lang w:val="fr-FR"/>
        </w:rPr>
        <w:t>Le schéma qui suit présente la disposition générale, les proportions et le contenu d</w:t>
      </w:r>
      <w:r w:rsidR="00DB4C2D">
        <w:rPr>
          <w:lang w:val="fr-FR"/>
        </w:rPr>
        <w:t>’</w:t>
      </w:r>
      <w:r w:rsidRPr="00A779B8">
        <w:rPr>
          <w:lang w:val="fr-FR"/>
        </w:rPr>
        <w:t>une marque d</w:t>
      </w:r>
      <w:r w:rsidR="00DB4C2D">
        <w:rPr>
          <w:lang w:val="fr-FR"/>
        </w:rPr>
        <w:t>’</w:t>
      </w:r>
      <w:r w:rsidRPr="00A779B8">
        <w:rPr>
          <w:lang w:val="fr-FR"/>
        </w:rPr>
        <w:t>homologation. La signification des numéros et de la lettre alphabétique est indiquée, de même que sont précisées les variantes correspondantes pour chaque cas d</w:t>
      </w:r>
      <w:r w:rsidR="00DB4C2D">
        <w:rPr>
          <w:lang w:val="fr-FR"/>
        </w:rPr>
        <w:t>’</w:t>
      </w:r>
      <w:r w:rsidRPr="00A779B8">
        <w:rPr>
          <w:lang w:val="fr-FR"/>
        </w:rPr>
        <w:t>homologation.</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6"/>
        <w:gridCol w:w="3685"/>
      </w:tblGrid>
      <w:tr w:rsidR="009846A3" w:rsidRPr="009846A3" w:rsidTr="004A2AE4">
        <w:tc>
          <w:tcPr>
            <w:tcW w:w="3686" w:type="dxa"/>
            <w:tcBorders>
              <w:bottom w:val="nil"/>
              <w:right w:val="nil"/>
            </w:tcBorders>
            <w:shd w:val="clear" w:color="auto" w:fill="auto"/>
          </w:tcPr>
          <w:p w:rsidR="009846A3" w:rsidRPr="009846A3" w:rsidRDefault="009846A3" w:rsidP="009846A3">
            <w:pPr>
              <w:kinsoku/>
              <w:overflowPunct/>
              <w:autoSpaceDE/>
              <w:autoSpaceDN/>
              <w:adjustRightInd/>
              <w:snapToGrid/>
              <w:spacing w:before="60"/>
              <w:jc w:val="center"/>
              <w:rPr>
                <w:rFonts w:eastAsia="Verdana"/>
                <w:lang w:val="fr-FR"/>
              </w:rPr>
            </w:pPr>
            <w:r w:rsidRPr="009846A3">
              <w:rPr>
                <w:rFonts w:eastAsia="Times New Roman"/>
                <w:bCs/>
                <w:lang w:val="fr-FR"/>
              </w:rPr>
              <w:t>Numéro du pays</w:t>
            </w:r>
            <w:r>
              <w:rPr>
                <w:rStyle w:val="Appelnotedebasdep"/>
                <w:rFonts w:eastAsia="Times New Roman"/>
                <w:bCs/>
              </w:rPr>
              <w:footnoteReference w:id="37"/>
            </w:r>
            <w:r w:rsidRPr="009846A3">
              <w:rPr>
                <w:rFonts w:eastAsia="Times New Roman"/>
                <w:bCs/>
                <w:lang w:val="fr-FR"/>
              </w:rPr>
              <w:br/>
            </w:r>
            <w:r w:rsidRPr="009846A3">
              <w:rPr>
                <w:rFonts w:eastAsia="Times New Roman"/>
                <w:lang w:val="fr-FR"/>
              </w:rPr>
              <w:t>accordant l</w:t>
            </w:r>
            <w:r w:rsidR="00DB4C2D">
              <w:rPr>
                <w:rFonts w:eastAsia="Times New Roman"/>
                <w:lang w:val="fr-FR"/>
              </w:rPr>
              <w:t>’</w:t>
            </w:r>
            <w:r w:rsidRPr="009846A3">
              <w:rPr>
                <w:rFonts w:eastAsia="Times New Roman"/>
                <w:lang w:val="fr-FR"/>
              </w:rPr>
              <w:t>homologation</w:t>
            </w:r>
          </w:p>
        </w:tc>
        <w:tc>
          <w:tcPr>
            <w:tcW w:w="3685" w:type="dxa"/>
            <w:tcBorders>
              <w:left w:val="nil"/>
              <w:bottom w:val="nil"/>
            </w:tcBorders>
            <w:shd w:val="clear" w:color="auto" w:fill="auto"/>
          </w:tcPr>
          <w:p w:rsidR="009846A3" w:rsidRPr="009846A3" w:rsidRDefault="009846A3" w:rsidP="009846A3">
            <w:pPr>
              <w:kinsoku/>
              <w:overflowPunct/>
              <w:autoSpaceDE/>
              <w:autoSpaceDN/>
              <w:adjustRightInd/>
              <w:snapToGrid/>
              <w:spacing w:before="60"/>
              <w:ind w:left="1385" w:right="284"/>
              <w:jc w:val="center"/>
              <w:rPr>
                <w:rFonts w:eastAsia="Verdana"/>
                <w:lang w:val="fr-FR"/>
              </w:rPr>
            </w:pPr>
            <w:r w:rsidRPr="009846A3">
              <w:rPr>
                <w:rFonts w:eastAsia="Times New Roman"/>
                <w:lang w:val="fr-FR"/>
              </w:rPr>
              <w:t>Lettre selon la classe</w:t>
            </w:r>
            <w:r w:rsidRPr="009846A3">
              <w:rPr>
                <w:rFonts w:eastAsia="Times New Roman"/>
                <w:lang w:val="fr-FR"/>
              </w:rPr>
              <w:br/>
              <w:t>du véhicule et la phase</w:t>
            </w:r>
            <w:r>
              <w:rPr>
                <w:rStyle w:val="Appelnotedebasdep"/>
                <w:rFonts w:eastAsia="Times New Roman"/>
              </w:rPr>
              <w:footnoteReference w:id="38"/>
            </w:r>
          </w:p>
        </w:tc>
      </w:tr>
      <w:bookmarkStart w:id="96" w:name="_MON_1433682132"/>
      <w:bookmarkStart w:id="97" w:name="_MON_1433682154"/>
      <w:bookmarkEnd w:id="96"/>
      <w:bookmarkEnd w:id="97"/>
      <w:tr w:rsidR="009846A3" w:rsidRPr="009846A3" w:rsidTr="004A2AE4">
        <w:tc>
          <w:tcPr>
            <w:tcW w:w="7371" w:type="dxa"/>
            <w:gridSpan w:val="2"/>
            <w:tcBorders>
              <w:top w:val="nil"/>
            </w:tcBorders>
            <w:shd w:val="clear" w:color="auto" w:fill="auto"/>
          </w:tcPr>
          <w:p w:rsidR="009846A3" w:rsidRPr="009846A3" w:rsidRDefault="009846A3" w:rsidP="009846A3">
            <w:pPr>
              <w:kinsoku/>
              <w:overflowPunct/>
              <w:autoSpaceDE/>
              <w:autoSpaceDN/>
              <w:adjustRightInd/>
              <w:snapToGrid/>
              <w:rPr>
                <w:rFonts w:eastAsia="Times New Roman"/>
                <w:lang w:val="fr-FR"/>
              </w:rPr>
            </w:pPr>
            <w:r w:rsidRPr="009846A3">
              <w:rPr>
                <w:rFonts w:eastAsia="Times New Roman"/>
                <w:lang w:val="fr-FR"/>
              </w:rPr>
              <w:object w:dxaOrig="7230" w:dyaOrig="4000">
                <v:shape id="_x0000_i1042" type="#_x0000_t75" style="width:361.35pt;height:199.7pt">
                  <v:imagedata r:id="rId69" o:title=""/>
                </v:shape>
              </w:object>
            </w:r>
          </w:p>
        </w:tc>
      </w:tr>
    </w:tbl>
    <w:p w:rsidR="006C4AB5" w:rsidRDefault="004A2AE4" w:rsidP="004A2AE4">
      <w:pPr>
        <w:pStyle w:val="SingleTxtG"/>
        <w:spacing w:before="120"/>
        <w:rPr>
          <w:lang w:val="fr-FR"/>
        </w:rPr>
      </w:pPr>
      <w:r w:rsidRPr="00A779B8">
        <w:rPr>
          <w:lang w:val="fr-FR"/>
        </w:rPr>
        <w:t>Le schéma qui suit illustre le mode de composition de la marque d</w:t>
      </w:r>
      <w:r w:rsidR="00DB4C2D">
        <w:rPr>
          <w:lang w:val="fr-FR"/>
        </w:rPr>
        <w:t>’</w:t>
      </w:r>
      <w:r w:rsidRPr="00A779B8">
        <w:rPr>
          <w:lang w:val="fr-FR"/>
        </w:rPr>
        <w:t>homologation.</w:t>
      </w:r>
    </w:p>
    <w:p w:rsidR="004A2AE4" w:rsidRDefault="009D55DD" w:rsidP="004A2AE4">
      <w:pPr>
        <w:ind w:left="1134"/>
        <w:rPr>
          <w:lang w:val="fr-FR"/>
        </w:rPr>
      </w:pPr>
      <w:r>
        <w:rPr>
          <w:noProof/>
          <w:lang w:val="en-US"/>
        </w:rPr>
        <w:drawing>
          <wp:inline distT="0" distB="0" distL="0" distR="0">
            <wp:extent cx="4684395" cy="1354455"/>
            <wp:effectExtent l="19050" t="19050" r="20955" b="171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r="12083"/>
                    <a:stretch>
                      <a:fillRect/>
                    </a:stretch>
                  </pic:blipFill>
                  <pic:spPr bwMode="auto">
                    <a:xfrm>
                      <a:off x="0" y="0"/>
                      <a:ext cx="4684395" cy="1354455"/>
                    </a:xfrm>
                    <a:prstGeom prst="rect">
                      <a:avLst/>
                    </a:prstGeom>
                    <a:noFill/>
                    <a:ln w="6350" cmpd="sng">
                      <a:solidFill>
                        <a:srgbClr val="000000"/>
                      </a:solidFill>
                      <a:miter lim="800000"/>
                      <a:headEnd/>
                      <a:tailEnd/>
                    </a:ln>
                    <a:effectLst/>
                  </pic:spPr>
                </pic:pic>
              </a:graphicData>
            </a:graphic>
          </wp:inline>
        </w:drawing>
      </w:r>
    </w:p>
    <w:p w:rsidR="004A2AE4" w:rsidRDefault="004A2AE4" w:rsidP="004A2AE4">
      <w:pPr>
        <w:pStyle w:val="SingleTxtG"/>
        <w:spacing w:before="120"/>
        <w:rPr>
          <w:lang w:val="fr-FR"/>
        </w:rPr>
      </w:pPr>
      <w:r w:rsidRPr="00A779B8">
        <w:rPr>
          <w:lang w:val="fr-FR"/>
        </w:rPr>
        <w:t>La marque d</w:t>
      </w:r>
      <w:r w:rsidR="00DB4C2D">
        <w:rPr>
          <w:lang w:val="fr-FR"/>
        </w:rPr>
        <w:t>’</w:t>
      </w:r>
      <w:r w:rsidRPr="00A779B8">
        <w:rPr>
          <w:lang w:val="fr-FR"/>
        </w:rPr>
        <w:t xml:space="preserve">homologation ci-dessus, apposée sur un véhicule conforme au paragraphe 4 du présent Règlement, indique que ce type de véhicule a été homologué au Royaume-Uni </w:t>
      </w:r>
      <w:r w:rsidRPr="00A779B8">
        <w:rPr>
          <w:lang w:val="fr-FR"/>
        </w:rPr>
        <w:lastRenderedPageBreak/>
        <w:t>(E</w:t>
      </w:r>
      <w:r w:rsidRPr="00A779B8">
        <w:rPr>
          <w:vertAlign w:val="subscript"/>
          <w:lang w:val="fr-FR"/>
        </w:rPr>
        <w:t>11</w:t>
      </w:r>
      <w:r w:rsidRPr="00A779B8">
        <w:rPr>
          <w:lang w:val="fr-FR"/>
        </w:rPr>
        <w:t xml:space="preserve">) conformément au Règlement </w:t>
      </w:r>
      <w:r w:rsidRPr="00A779B8">
        <w:rPr>
          <w:rFonts w:eastAsia="MS Mincho"/>
          <w:lang w:val="fr-FR"/>
        </w:rPr>
        <w:t>n</w:t>
      </w:r>
      <w:r w:rsidRPr="00A779B8">
        <w:rPr>
          <w:rFonts w:eastAsia="MS Mincho"/>
          <w:vertAlign w:val="superscript"/>
          <w:lang w:val="fr-FR"/>
        </w:rPr>
        <w:t>o</w:t>
      </w:r>
      <w:r w:rsidRPr="00A779B8">
        <w:rPr>
          <w:lang w:val="fr-FR"/>
        </w:rPr>
        <w:t> 83, sous le numéro d</w:t>
      </w:r>
      <w:r w:rsidR="00DB4C2D">
        <w:rPr>
          <w:lang w:val="fr-FR"/>
        </w:rPr>
        <w:t>’</w:t>
      </w:r>
      <w:r w:rsidRPr="00A779B8">
        <w:rPr>
          <w:lang w:val="fr-FR"/>
        </w:rPr>
        <w:t>homologation 2439. Elle indique que l</w:t>
      </w:r>
      <w:r w:rsidR="00DB4C2D">
        <w:rPr>
          <w:lang w:val="fr-FR"/>
        </w:rPr>
        <w:t>’</w:t>
      </w:r>
      <w:r w:rsidRPr="00A779B8">
        <w:rPr>
          <w:lang w:val="fr-FR"/>
        </w:rPr>
        <w:t>homologation a été accordée conformément aux prescriptions du présent Règlement, y compris la série 07 d</w:t>
      </w:r>
      <w:r w:rsidR="00DB4C2D">
        <w:rPr>
          <w:lang w:val="fr-FR"/>
        </w:rPr>
        <w:t>’</w:t>
      </w:r>
      <w:r w:rsidRPr="00A779B8">
        <w:rPr>
          <w:lang w:val="fr-FR"/>
        </w:rPr>
        <w:t>amendements. La lettre X indique en outre que le véhicule fait partie de la catégorie N</w:t>
      </w:r>
      <w:r w:rsidRPr="00A779B8">
        <w:rPr>
          <w:vertAlign w:val="subscript"/>
          <w:lang w:val="fr-FR"/>
        </w:rPr>
        <w:t>1</w:t>
      </w:r>
      <w:r w:rsidRPr="00A779B8">
        <w:rPr>
          <w:lang w:val="fr-FR"/>
        </w:rPr>
        <w:t>, classe II qui satisfait aux normes applicables aux émissions et aux systèmes OBD énumérées dans le tableau A3/1.</w:t>
      </w:r>
    </w:p>
    <w:p w:rsidR="008C3A4E" w:rsidRDefault="004A4405" w:rsidP="004A4405">
      <w:pPr>
        <w:pStyle w:val="Titre1"/>
        <w:spacing w:after="120"/>
        <w:rPr>
          <w:b/>
          <w:lang w:val="fr-FR"/>
        </w:rPr>
      </w:pPr>
      <w:r w:rsidRPr="00A779B8">
        <w:rPr>
          <w:lang w:val="fr-FR"/>
        </w:rPr>
        <w:t>Tableau A3/1</w:t>
      </w:r>
      <w:r>
        <w:rPr>
          <w:lang w:val="fr-FR"/>
        </w:rPr>
        <w:br/>
      </w:r>
      <w:r w:rsidRPr="00A779B8">
        <w:rPr>
          <w:b/>
          <w:lang w:val="fr-FR"/>
        </w:rPr>
        <w:t>Lettres renvoyant au carburant, au moteur et à la catégorie de véhicule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99"/>
        <w:gridCol w:w="2695"/>
        <w:gridCol w:w="1018"/>
        <w:gridCol w:w="1317"/>
        <w:gridCol w:w="2276"/>
      </w:tblGrid>
      <w:tr w:rsidR="004A4405" w:rsidRPr="004A4405" w:rsidTr="00CB332B">
        <w:tc>
          <w:tcPr>
            <w:tcW w:w="1199" w:type="dxa"/>
            <w:vAlign w:val="center"/>
          </w:tcPr>
          <w:p w:rsidR="004A4405" w:rsidRPr="004A4405" w:rsidRDefault="004A4405" w:rsidP="004A4405">
            <w:pPr>
              <w:kinsoku/>
              <w:overflowPunct/>
              <w:autoSpaceDE/>
              <w:autoSpaceDN/>
              <w:adjustRightInd/>
              <w:snapToGrid/>
              <w:spacing w:before="40" w:after="40" w:line="200" w:lineRule="exact"/>
              <w:jc w:val="center"/>
              <w:rPr>
                <w:rFonts w:eastAsia="Times New Roman"/>
                <w:bCs/>
                <w:i/>
                <w:sz w:val="16"/>
                <w:szCs w:val="16"/>
                <w:lang w:val="fr-FR"/>
              </w:rPr>
            </w:pPr>
            <w:r w:rsidRPr="004A4405">
              <w:rPr>
                <w:rFonts w:eastAsia="Times New Roman"/>
                <w:bCs/>
                <w:i/>
                <w:sz w:val="16"/>
                <w:szCs w:val="16"/>
                <w:lang w:val="fr-FR"/>
              </w:rPr>
              <w:t>Lettre</w:t>
            </w:r>
          </w:p>
        </w:tc>
        <w:tc>
          <w:tcPr>
            <w:tcW w:w="2695" w:type="dxa"/>
            <w:shd w:val="clear" w:color="auto" w:fill="auto"/>
            <w:vAlign w:val="center"/>
          </w:tcPr>
          <w:p w:rsidR="004A4405" w:rsidRPr="004A4405" w:rsidRDefault="004A4405" w:rsidP="004A4405">
            <w:pPr>
              <w:kinsoku/>
              <w:overflowPunct/>
              <w:autoSpaceDE/>
              <w:autoSpaceDN/>
              <w:adjustRightInd/>
              <w:snapToGrid/>
              <w:spacing w:before="40" w:after="40" w:line="200" w:lineRule="exact"/>
              <w:jc w:val="center"/>
              <w:rPr>
                <w:rFonts w:eastAsia="Times New Roman"/>
                <w:bCs/>
                <w:i/>
                <w:sz w:val="16"/>
                <w:szCs w:val="16"/>
                <w:lang w:val="fr-FR"/>
              </w:rPr>
            </w:pPr>
            <w:r w:rsidRPr="004A4405">
              <w:rPr>
                <w:rFonts w:eastAsia="Times New Roman"/>
                <w:i/>
                <w:sz w:val="16"/>
                <w:szCs w:val="16"/>
                <w:lang w:val="fr-FR"/>
              </w:rPr>
              <w:t>Catégorie et classe de véhicule</w:t>
            </w:r>
          </w:p>
        </w:tc>
        <w:tc>
          <w:tcPr>
            <w:tcW w:w="1018" w:type="dxa"/>
            <w:shd w:val="clear" w:color="auto" w:fill="auto"/>
            <w:vAlign w:val="center"/>
          </w:tcPr>
          <w:p w:rsidR="004A4405" w:rsidRPr="004A4405" w:rsidRDefault="004A4405" w:rsidP="004A4405">
            <w:pPr>
              <w:kinsoku/>
              <w:overflowPunct/>
              <w:autoSpaceDE/>
              <w:autoSpaceDN/>
              <w:adjustRightInd/>
              <w:snapToGrid/>
              <w:spacing w:before="40" w:after="40" w:line="200" w:lineRule="exact"/>
              <w:jc w:val="center"/>
              <w:rPr>
                <w:rFonts w:eastAsia="Times New Roman"/>
                <w:bCs/>
                <w:i/>
                <w:sz w:val="16"/>
                <w:szCs w:val="16"/>
                <w:lang w:val="fr-FR"/>
              </w:rPr>
            </w:pPr>
            <w:r w:rsidRPr="004A4405">
              <w:rPr>
                <w:rFonts w:eastAsia="Times New Roman"/>
                <w:i/>
                <w:sz w:val="16"/>
                <w:szCs w:val="16"/>
                <w:lang w:val="fr-FR"/>
              </w:rPr>
              <w:t>Type</w:t>
            </w:r>
            <w:r w:rsidRPr="004A4405">
              <w:rPr>
                <w:rFonts w:eastAsia="Times New Roman"/>
                <w:i/>
                <w:sz w:val="16"/>
                <w:szCs w:val="16"/>
                <w:lang w:val="fr-FR"/>
              </w:rPr>
              <w:br/>
              <w:t>de moteur</w:t>
            </w:r>
          </w:p>
        </w:tc>
        <w:tc>
          <w:tcPr>
            <w:tcW w:w="1317" w:type="dxa"/>
            <w:vAlign w:val="center"/>
          </w:tcPr>
          <w:p w:rsidR="004A4405" w:rsidRPr="004A4405" w:rsidRDefault="004A4405" w:rsidP="004A4405">
            <w:pPr>
              <w:kinsoku/>
              <w:overflowPunct/>
              <w:autoSpaceDE/>
              <w:autoSpaceDN/>
              <w:adjustRightInd/>
              <w:snapToGrid/>
              <w:spacing w:before="40" w:after="40" w:line="200" w:lineRule="exact"/>
              <w:jc w:val="center"/>
              <w:rPr>
                <w:rFonts w:eastAsia="Times New Roman"/>
                <w:bCs/>
                <w:i/>
                <w:sz w:val="16"/>
                <w:szCs w:val="16"/>
                <w:lang w:val="fr-FR"/>
              </w:rPr>
            </w:pPr>
            <w:r w:rsidRPr="004A4405">
              <w:rPr>
                <w:rFonts w:eastAsia="Times New Roman"/>
                <w:bCs/>
                <w:i/>
                <w:sz w:val="16"/>
                <w:szCs w:val="16"/>
                <w:lang w:val="fr-FR"/>
              </w:rPr>
              <w:t>Norme relative</w:t>
            </w:r>
            <w:r w:rsidRPr="004A4405">
              <w:rPr>
                <w:rFonts w:eastAsia="Times New Roman"/>
                <w:bCs/>
                <w:i/>
                <w:sz w:val="16"/>
                <w:szCs w:val="16"/>
                <w:lang w:val="fr-FR"/>
              </w:rPr>
              <w:br/>
              <w:t>aux émissions</w:t>
            </w:r>
          </w:p>
        </w:tc>
        <w:tc>
          <w:tcPr>
            <w:tcW w:w="2276" w:type="dxa"/>
            <w:vAlign w:val="center"/>
          </w:tcPr>
          <w:p w:rsidR="004A4405" w:rsidRPr="004A4405" w:rsidRDefault="004A4405" w:rsidP="004A4405">
            <w:pPr>
              <w:kinsoku/>
              <w:overflowPunct/>
              <w:autoSpaceDE/>
              <w:autoSpaceDN/>
              <w:adjustRightInd/>
              <w:snapToGrid/>
              <w:spacing w:before="40" w:after="40" w:line="200" w:lineRule="exact"/>
              <w:jc w:val="center"/>
              <w:rPr>
                <w:rFonts w:eastAsia="Times New Roman"/>
                <w:bCs/>
                <w:i/>
                <w:sz w:val="16"/>
                <w:szCs w:val="16"/>
                <w:lang w:val="fr-FR"/>
              </w:rPr>
            </w:pPr>
            <w:r w:rsidRPr="004A4405">
              <w:rPr>
                <w:rFonts w:eastAsia="Times New Roman"/>
                <w:bCs/>
                <w:i/>
                <w:sz w:val="16"/>
                <w:szCs w:val="16"/>
                <w:lang w:val="fr-FR"/>
              </w:rPr>
              <w:t>Norme OBD</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T</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M et N</w:t>
            </w:r>
            <w:r w:rsidRPr="004A4405">
              <w:rPr>
                <w:rFonts w:eastAsia="Times New Roman"/>
                <w:bCs/>
                <w:sz w:val="18"/>
                <w:szCs w:val="18"/>
                <w:vertAlign w:val="subscript"/>
                <w:lang w:val="fr-FR"/>
              </w:rPr>
              <w:t>1</w:t>
            </w:r>
            <w:r w:rsidRPr="004A4405">
              <w:rPr>
                <w:rFonts w:eastAsia="Times New Roman"/>
                <w:bCs/>
                <w:sz w:val="18"/>
                <w:szCs w:val="18"/>
                <w:lang w:val="fr-FR"/>
              </w:rPr>
              <w:t>, classe I</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A</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provisoires OBD (voir tableau A11/3)</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U</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N</w:t>
            </w:r>
            <w:r w:rsidRPr="004A4405">
              <w:rPr>
                <w:rFonts w:eastAsia="Times New Roman"/>
                <w:bCs/>
                <w:sz w:val="18"/>
                <w:szCs w:val="18"/>
                <w:vertAlign w:val="subscript"/>
                <w:lang w:val="fr-FR"/>
              </w:rPr>
              <w:t>1</w:t>
            </w:r>
            <w:r w:rsidRPr="004A4405">
              <w:rPr>
                <w:rFonts w:eastAsia="Times New Roman"/>
                <w:bCs/>
                <w:sz w:val="18"/>
                <w:szCs w:val="18"/>
                <w:lang w:val="fr-FR"/>
              </w:rPr>
              <w:t>, classe II</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A</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provisoires OBD (voir tableau A11/3)</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N</w:t>
            </w:r>
            <w:r w:rsidRPr="004A4405">
              <w:rPr>
                <w:rFonts w:eastAsia="Times New Roman"/>
                <w:bCs/>
                <w:sz w:val="18"/>
                <w:szCs w:val="18"/>
                <w:vertAlign w:val="subscript"/>
                <w:lang w:val="fr-FR"/>
              </w:rPr>
              <w:t>1</w:t>
            </w:r>
            <w:r w:rsidRPr="004A4405">
              <w:rPr>
                <w:rFonts w:eastAsia="Times New Roman"/>
                <w:bCs/>
                <w:sz w:val="18"/>
                <w:szCs w:val="18"/>
                <w:lang w:val="fr-FR"/>
              </w:rPr>
              <w:t>, classe III, et N</w:t>
            </w:r>
            <w:r w:rsidRPr="004A4405">
              <w:rPr>
                <w:rFonts w:eastAsia="Times New Roman"/>
                <w:bCs/>
                <w:sz w:val="18"/>
                <w:szCs w:val="18"/>
                <w:vertAlign w:val="subscript"/>
                <w:lang w:val="fr-FR"/>
              </w:rPr>
              <w:t>2</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A</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provisoires OBD (voir tableau A11/3)</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W</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M et N</w:t>
            </w:r>
            <w:r w:rsidRPr="004A4405">
              <w:rPr>
                <w:rFonts w:eastAsia="Times New Roman"/>
                <w:bCs/>
                <w:sz w:val="18"/>
                <w:szCs w:val="18"/>
                <w:vertAlign w:val="subscript"/>
                <w:lang w:val="fr-FR"/>
              </w:rPr>
              <w:t>1</w:t>
            </w:r>
            <w:r w:rsidRPr="004A4405">
              <w:rPr>
                <w:rFonts w:eastAsia="Times New Roman"/>
                <w:bCs/>
                <w:sz w:val="18"/>
                <w:szCs w:val="18"/>
                <w:lang w:val="fr-FR"/>
              </w:rPr>
              <w:t>, classe I</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PI</w:t>
            </w:r>
          </w:p>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A</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préliminaires OBD (voir tableau A11/2)</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X</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N</w:t>
            </w:r>
            <w:r w:rsidRPr="004A4405">
              <w:rPr>
                <w:rFonts w:eastAsia="Times New Roman"/>
                <w:bCs/>
                <w:sz w:val="18"/>
                <w:szCs w:val="18"/>
                <w:vertAlign w:val="subscript"/>
                <w:lang w:val="fr-FR"/>
              </w:rPr>
              <w:t>1</w:t>
            </w:r>
            <w:r w:rsidRPr="004A4405">
              <w:rPr>
                <w:rFonts w:eastAsia="Times New Roman"/>
                <w:bCs/>
                <w:sz w:val="18"/>
                <w:szCs w:val="18"/>
                <w:lang w:val="fr-FR"/>
              </w:rPr>
              <w:t>, classe II</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PI</w:t>
            </w:r>
          </w:p>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A</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préliminaires OBD (voir tableau A11/2)</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Y</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N</w:t>
            </w:r>
            <w:r w:rsidRPr="004A4405">
              <w:rPr>
                <w:rFonts w:eastAsia="Times New Roman"/>
                <w:bCs/>
                <w:sz w:val="18"/>
                <w:szCs w:val="18"/>
                <w:vertAlign w:val="subscript"/>
                <w:lang w:val="fr-FR"/>
              </w:rPr>
              <w:t>1</w:t>
            </w:r>
            <w:r w:rsidRPr="004A4405">
              <w:rPr>
                <w:rFonts w:eastAsia="Times New Roman"/>
                <w:bCs/>
                <w:sz w:val="18"/>
                <w:szCs w:val="18"/>
                <w:lang w:val="fr-FR"/>
              </w:rPr>
              <w:t>, classe III, et N</w:t>
            </w:r>
            <w:r w:rsidRPr="004A4405">
              <w:rPr>
                <w:rFonts w:eastAsia="Times New Roman"/>
                <w:bCs/>
                <w:sz w:val="18"/>
                <w:szCs w:val="18"/>
                <w:vertAlign w:val="subscript"/>
                <w:lang w:val="fr-FR"/>
              </w:rPr>
              <w:t>2</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PI</w:t>
            </w:r>
          </w:p>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A</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préliminaires OBD (voir tableau A11/2)</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ZA</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M, N</w:t>
            </w:r>
            <w:r w:rsidRPr="004A4405">
              <w:rPr>
                <w:rFonts w:eastAsia="Times New Roman"/>
                <w:bCs/>
                <w:sz w:val="18"/>
                <w:szCs w:val="18"/>
                <w:vertAlign w:val="subscript"/>
                <w:lang w:val="fr-FR"/>
              </w:rPr>
              <w:t>1</w:t>
            </w:r>
            <w:r w:rsidRPr="004A4405">
              <w:rPr>
                <w:rFonts w:eastAsia="Times New Roman"/>
                <w:bCs/>
                <w:sz w:val="18"/>
                <w:szCs w:val="18"/>
                <w:lang w:val="fr-FR"/>
              </w:rPr>
              <w:t>, classe I</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PI</w:t>
            </w:r>
          </w:p>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B</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préliminaires OBD (voir tableau A11/2)</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ZB</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N</w:t>
            </w:r>
            <w:r w:rsidRPr="004A4405">
              <w:rPr>
                <w:rFonts w:eastAsia="Times New Roman"/>
                <w:bCs/>
                <w:sz w:val="18"/>
                <w:szCs w:val="18"/>
                <w:vertAlign w:val="subscript"/>
                <w:lang w:val="fr-FR"/>
              </w:rPr>
              <w:t>1</w:t>
            </w:r>
            <w:r w:rsidRPr="004A4405">
              <w:rPr>
                <w:rFonts w:eastAsia="Times New Roman"/>
                <w:bCs/>
                <w:sz w:val="18"/>
                <w:szCs w:val="18"/>
                <w:lang w:val="fr-FR"/>
              </w:rPr>
              <w:t>, classe II</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PI</w:t>
            </w:r>
          </w:p>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B</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préliminaires OBD (voir tableau A11/2)</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ZC</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N</w:t>
            </w:r>
            <w:r w:rsidRPr="004A4405">
              <w:rPr>
                <w:rFonts w:eastAsia="Times New Roman"/>
                <w:bCs/>
                <w:sz w:val="18"/>
                <w:szCs w:val="18"/>
                <w:vertAlign w:val="subscript"/>
                <w:lang w:val="fr-FR"/>
              </w:rPr>
              <w:t>1</w:t>
            </w:r>
            <w:r w:rsidRPr="004A4405">
              <w:rPr>
                <w:rFonts w:eastAsia="Times New Roman"/>
                <w:bCs/>
                <w:sz w:val="18"/>
                <w:szCs w:val="18"/>
                <w:lang w:val="fr-FR"/>
              </w:rPr>
              <w:t>, classe III, et N</w:t>
            </w:r>
            <w:r w:rsidRPr="004A4405">
              <w:rPr>
                <w:rFonts w:eastAsia="Times New Roman"/>
                <w:bCs/>
                <w:sz w:val="18"/>
                <w:szCs w:val="18"/>
                <w:vertAlign w:val="subscript"/>
                <w:lang w:val="fr-FR"/>
              </w:rPr>
              <w:t>2</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PI</w:t>
            </w:r>
          </w:p>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B</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préliminaires OBD (voir tableau A11/2)</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ZD</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M, N</w:t>
            </w:r>
            <w:r w:rsidRPr="004A4405">
              <w:rPr>
                <w:rFonts w:eastAsia="Times New Roman"/>
                <w:bCs/>
                <w:sz w:val="18"/>
                <w:szCs w:val="18"/>
                <w:vertAlign w:val="subscript"/>
                <w:lang w:val="fr-FR"/>
              </w:rPr>
              <w:t>1</w:t>
            </w:r>
            <w:r w:rsidRPr="004A4405">
              <w:rPr>
                <w:rFonts w:eastAsia="Times New Roman"/>
                <w:bCs/>
                <w:sz w:val="18"/>
                <w:szCs w:val="18"/>
                <w:lang w:val="fr-FR"/>
              </w:rPr>
              <w:t>, classe I</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PI</w:t>
            </w:r>
          </w:p>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B</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finales OBD (voir tableau A11/1)</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ZE</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N</w:t>
            </w:r>
            <w:r w:rsidRPr="004A4405">
              <w:rPr>
                <w:rFonts w:eastAsia="Times New Roman"/>
                <w:bCs/>
                <w:sz w:val="18"/>
                <w:szCs w:val="18"/>
                <w:vertAlign w:val="subscript"/>
                <w:lang w:val="fr-FR"/>
              </w:rPr>
              <w:t>1</w:t>
            </w:r>
            <w:r w:rsidRPr="004A4405">
              <w:rPr>
                <w:rFonts w:eastAsia="Times New Roman"/>
                <w:bCs/>
                <w:sz w:val="18"/>
                <w:szCs w:val="18"/>
                <w:lang w:val="fr-FR"/>
              </w:rPr>
              <w:t>, classe II</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PI</w:t>
            </w:r>
          </w:p>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B</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finales OBD (voir tableau A11/1)</w:t>
            </w:r>
          </w:p>
        </w:tc>
      </w:tr>
      <w:tr w:rsidR="004A4405" w:rsidRPr="004A4405" w:rsidTr="00CB332B">
        <w:tc>
          <w:tcPr>
            <w:tcW w:w="1199"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ZF</w:t>
            </w:r>
          </w:p>
        </w:tc>
        <w:tc>
          <w:tcPr>
            <w:tcW w:w="2695"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N</w:t>
            </w:r>
            <w:r w:rsidRPr="004A4405">
              <w:rPr>
                <w:rFonts w:eastAsia="Times New Roman"/>
                <w:bCs/>
                <w:sz w:val="18"/>
                <w:szCs w:val="18"/>
                <w:vertAlign w:val="subscript"/>
                <w:lang w:val="fr-FR"/>
              </w:rPr>
              <w:t>1</w:t>
            </w:r>
            <w:r w:rsidRPr="004A4405">
              <w:rPr>
                <w:rFonts w:eastAsia="Times New Roman"/>
                <w:bCs/>
                <w:sz w:val="18"/>
                <w:szCs w:val="18"/>
                <w:lang w:val="fr-FR"/>
              </w:rPr>
              <w:t>, classe III, et N</w:t>
            </w:r>
            <w:r w:rsidRPr="004A4405">
              <w:rPr>
                <w:rFonts w:eastAsia="Times New Roman"/>
                <w:bCs/>
                <w:sz w:val="18"/>
                <w:szCs w:val="18"/>
                <w:vertAlign w:val="subscript"/>
                <w:lang w:val="fr-FR"/>
              </w:rPr>
              <w:t>2</w:t>
            </w:r>
          </w:p>
        </w:tc>
        <w:tc>
          <w:tcPr>
            <w:tcW w:w="1018" w:type="dxa"/>
            <w:shd w:val="clear" w:color="auto" w:fill="auto"/>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PI</w:t>
            </w:r>
          </w:p>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CI</w:t>
            </w:r>
          </w:p>
        </w:tc>
        <w:tc>
          <w:tcPr>
            <w:tcW w:w="1317"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B</w:t>
            </w:r>
          </w:p>
        </w:tc>
        <w:tc>
          <w:tcPr>
            <w:tcW w:w="2276" w:type="dxa"/>
          </w:tcPr>
          <w:p w:rsidR="004A4405" w:rsidRPr="004A4405" w:rsidRDefault="004A4405" w:rsidP="004A4405">
            <w:pPr>
              <w:kinsoku/>
              <w:overflowPunct/>
              <w:autoSpaceDE/>
              <w:autoSpaceDN/>
              <w:adjustRightInd/>
              <w:snapToGrid/>
              <w:spacing w:before="40" w:after="40" w:line="220" w:lineRule="atLeast"/>
              <w:rPr>
                <w:rFonts w:eastAsia="Times New Roman"/>
                <w:bCs/>
                <w:sz w:val="18"/>
                <w:szCs w:val="18"/>
                <w:lang w:val="fr-FR"/>
              </w:rPr>
            </w:pPr>
            <w:r w:rsidRPr="004A4405">
              <w:rPr>
                <w:rFonts w:eastAsia="Times New Roman"/>
                <w:bCs/>
                <w:sz w:val="18"/>
                <w:szCs w:val="18"/>
                <w:lang w:val="fr-FR"/>
              </w:rPr>
              <w:t>Valeurs limites finales OBD (voir tableau A11/1)</w:t>
            </w:r>
          </w:p>
        </w:tc>
      </w:tr>
    </w:tbl>
    <w:p w:rsidR="004A4405" w:rsidRPr="004A4405" w:rsidRDefault="004A4405" w:rsidP="004A4405">
      <w:pPr>
        <w:pStyle w:val="SingleTxtG"/>
        <w:keepNext/>
        <w:spacing w:before="120" w:after="0"/>
        <w:rPr>
          <w:sz w:val="18"/>
          <w:szCs w:val="18"/>
          <w:lang w:val="fr-FR"/>
        </w:rPr>
      </w:pPr>
      <w:r w:rsidRPr="004A4405">
        <w:rPr>
          <w:sz w:val="18"/>
          <w:szCs w:val="18"/>
          <w:lang w:val="fr-FR"/>
        </w:rPr>
        <w:t>Légendes pour les normes relatives aux émissions:</w:t>
      </w:r>
    </w:p>
    <w:p w:rsidR="004A4405" w:rsidRPr="004A4405" w:rsidRDefault="004A4405" w:rsidP="004A4405">
      <w:pPr>
        <w:pStyle w:val="SingleTxtG"/>
        <w:spacing w:after="0"/>
        <w:ind w:left="1701" w:hanging="567"/>
        <w:rPr>
          <w:sz w:val="18"/>
          <w:szCs w:val="18"/>
          <w:lang w:val="fr-FR"/>
        </w:rPr>
      </w:pPr>
      <w:r w:rsidRPr="004A4405">
        <w:rPr>
          <w:sz w:val="18"/>
          <w:szCs w:val="18"/>
          <w:lang w:val="fr-FR"/>
        </w:rPr>
        <w:t>A</w:t>
      </w:r>
      <w:r w:rsidRPr="004A4405">
        <w:rPr>
          <w:sz w:val="18"/>
          <w:szCs w:val="18"/>
          <w:lang w:val="fr-FR"/>
        </w:rPr>
        <w:tab/>
        <w:t xml:space="preserve">Prescriptions relatives aux émissions en </w:t>
      </w:r>
      <w:r>
        <w:rPr>
          <w:sz w:val="18"/>
          <w:szCs w:val="18"/>
          <w:lang w:val="fr-FR"/>
        </w:rPr>
        <w:t>fonction des limites du tableau </w:t>
      </w:r>
      <w:r w:rsidRPr="004A4405">
        <w:rPr>
          <w:sz w:val="18"/>
          <w:szCs w:val="18"/>
          <w:lang w:val="fr-FR"/>
        </w:rPr>
        <w:t>1 du paragraphe 5.3.1.4 du présent Règlement, mais avec autorisation des valeurs préliminaires pour les nombres de particules émises par les véhicules à moteur à allumage commandé ainsi qu</w:t>
      </w:r>
      <w:r w:rsidR="00DB4C2D">
        <w:rPr>
          <w:sz w:val="18"/>
          <w:szCs w:val="18"/>
          <w:lang w:val="fr-FR"/>
        </w:rPr>
        <w:t>’</w:t>
      </w:r>
      <w:r>
        <w:rPr>
          <w:sz w:val="18"/>
          <w:szCs w:val="18"/>
          <w:lang w:val="fr-FR"/>
        </w:rPr>
        <w:t>il est précisé dans la note </w:t>
      </w:r>
      <w:r w:rsidRPr="004A4405">
        <w:rPr>
          <w:sz w:val="18"/>
          <w:szCs w:val="18"/>
          <w:lang w:val="fr-FR"/>
        </w:rPr>
        <w:t>2 de ce tableau;</w:t>
      </w:r>
    </w:p>
    <w:p w:rsidR="004A4405" w:rsidRDefault="004A4405" w:rsidP="004A4405">
      <w:pPr>
        <w:pStyle w:val="SingleTxtG"/>
        <w:ind w:left="1701" w:hanging="567"/>
        <w:rPr>
          <w:sz w:val="18"/>
          <w:szCs w:val="18"/>
          <w:lang w:val="fr-FR"/>
        </w:rPr>
      </w:pPr>
      <w:r w:rsidRPr="00A779B8">
        <w:rPr>
          <w:sz w:val="18"/>
          <w:szCs w:val="18"/>
          <w:lang w:val="fr-FR"/>
        </w:rPr>
        <w:t>B</w:t>
      </w:r>
      <w:r w:rsidRPr="00A779B8">
        <w:rPr>
          <w:sz w:val="18"/>
          <w:szCs w:val="18"/>
          <w:lang w:val="fr-FR"/>
        </w:rPr>
        <w:tab/>
        <w:t xml:space="preserve">Prescriptions relatives aux émissions en </w:t>
      </w:r>
      <w:r>
        <w:rPr>
          <w:sz w:val="18"/>
          <w:szCs w:val="18"/>
          <w:lang w:val="fr-FR"/>
        </w:rPr>
        <w:t>fonction des limites du tableau </w:t>
      </w:r>
      <w:r w:rsidRPr="00A779B8">
        <w:rPr>
          <w:sz w:val="18"/>
          <w:szCs w:val="18"/>
          <w:lang w:val="fr-FR"/>
        </w:rPr>
        <w:t>1 du paragraphe </w:t>
      </w:r>
      <w:r>
        <w:rPr>
          <w:sz w:val="18"/>
          <w:szCs w:val="18"/>
          <w:lang w:val="fr-FR"/>
        </w:rPr>
        <w:t>5.3.1.4 du présent Règlement, y </w:t>
      </w:r>
      <w:r w:rsidRPr="00A779B8">
        <w:rPr>
          <w:sz w:val="18"/>
          <w:szCs w:val="18"/>
          <w:lang w:val="fr-FR"/>
        </w:rPr>
        <w:t>compris les normes finales relatives au nombre de particules pour les véhicules à moteur à</w:t>
      </w:r>
      <w:r>
        <w:rPr>
          <w:sz w:val="18"/>
          <w:szCs w:val="18"/>
          <w:lang w:val="fr-FR"/>
        </w:rPr>
        <w:t> </w:t>
      </w:r>
      <w:r w:rsidRPr="00A779B8">
        <w:rPr>
          <w:sz w:val="18"/>
          <w:szCs w:val="18"/>
          <w:lang w:val="fr-FR"/>
        </w:rPr>
        <w:t>allumage commandé et à l</w:t>
      </w:r>
      <w:r w:rsidR="00DB4C2D">
        <w:rPr>
          <w:sz w:val="18"/>
          <w:szCs w:val="18"/>
          <w:lang w:val="fr-FR"/>
        </w:rPr>
        <w:t>’</w:t>
      </w:r>
      <w:r w:rsidRPr="00A779B8">
        <w:rPr>
          <w:sz w:val="18"/>
          <w:szCs w:val="18"/>
          <w:lang w:val="fr-FR"/>
        </w:rPr>
        <w:t>utilisation des carburants de référence E10 et B7 (le cas échéant).</w:t>
      </w:r>
    </w:p>
    <w:p w:rsidR="004A4405" w:rsidRDefault="004A4405" w:rsidP="004A4405">
      <w:pPr>
        <w:pStyle w:val="SingleTxtG"/>
        <w:sectPr w:rsidR="004A4405" w:rsidSect="00F23458">
          <w:headerReference w:type="even" r:id="rId71"/>
          <w:headerReference w:type="default" r:id="rId72"/>
          <w:footnotePr>
            <w:numRestart w:val="eachSect"/>
          </w:footnotePr>
          <w:endnotePr>
            <w:numFmt w:val="decimal"/>
          </w:endnotePr>
          <w:pgSz w:w="11907" w:h="16840" w:code="9"/>
          <w:pgMar w:top="1701" w:right="1134" w:bottom="2268" w:left="1134" w:header="794" w:footer="1701" w:gutter="0"/>
          <w:cols w:space="720"/>
          <w:docGrid w:linePitch="272"/>
        </w:sectPr>
      </w:pPr>
    </w:p>
    <w:p w:rsidR="004A4405" w:rsidRPr="00A779B8" w:rsidRDefault="004A4405" w:rsidP="004A4405">
      <w:pPr>
        <w:pStyle w:val="HChG"/>
        <w:rPr>
          <w:lang w:val="fr-FR"/>
        </w:rPr>
      </w:pPr>
      <w:r w:rsidRPr="00A779B8">
        <w:rPr>
          <w:lang w:val="fr-FR"/>
        </w:rPr>
        <w:lastRenderedPageBreak/>
        <w:t>Annexe 4a</w:t>
      </w:r>
    </w:p>
    <w:p w:rsidR="004A4405" w:rsidRPr="00A779B8" w:rsidRDefault="004A4405" w:rsidP="004A4405">
      <w:pPr>
        <w:pStyle w:val="HChG"/>
        <w:spacing w:after="120"/>
        <w:rPr>
          <w:lang w:val="fr-FR"/>
        </w:rPr>
      </w:pPr>
      <w:r w:rsidRPr="00A779B8">
        <w:rPr>
          <w:lang w:val="fr-FR"/>
        </w:rPr>
        <w:tab/>
      </w:r>
      <w:r w:rsidRPr="00A779B8">
        <w:rPr>
          <w:lang w:val="fr-FR"/>
        </w:rPr>
        <w:tab/>
        <w:t>Essai du type I</w:t>
      </w:r>
    </w:p>
    <w:p w:rsidR="004A4405" w:rsidRPr="00A779B8" w:rsidRDefault="004A4405" w:rsidP="004A4405">
      <w:pPr>
        <w:pStyle w:val="SingleTxtG"/>
        <w:rPr>
          <w:lang w:val="fr-FR"/>
        </w:rPr>
      </w:pPr>
      <w:r w:rsidRPr="00A779B8">
        <w:rPr>
          <w:lang w:val="fr-FR"/>
        </w:rPr>
        <w:t>(Contrôle des émissions à l</w:t>
      </w:r>
      <w:r w:rsidR="00DB4C2D">
        <w:rPr>
          <w:lang w:val="fr-FR"/>
        </w:rPr>
        <w:t>’</w:t>
      </w:r>
      <w:r w:rsidRPr="00A779B8">
        <w:rPr>
          <w:lang w:val="fr-FR"/>
        </w:rPr>
        <w:t>échappement après démarrage à froid)</w:t>
      </w:r>
    </w:p>
    <w:p w:rsidR="004A4405" w:rsidRPr="00A779B8" w:rsidRDefault="004A4405" w:rsidP="004A4405">
      <w:pPr>
        <w:pStyle w:val="SingleTxtG"/>
        <w:keepNext/>
        <w:ind w:left="2268" w:hanging="1134"/>
        <w:jc w:val="left"/>
        <w:rPr>
          <w:lang w:val="fr-FR"/>
        </w:rPr>
      </w:pPr>
      <w:r w:rsidRPr="00A779B8">
        <w:rPr>
          <w:lang w:val="fr-FR"/>
        </w:rPr>
        <w:t>1.</w:t>
      </w:r>
      <w:r w:rsidRPr="00A779B8">
        <w:rPr>
          <w:lang w:val="fr-FR"/>
        </w:rPr>
        <w:tab/>
      </w:r>
      <w:r w:rsidRPr="00A779B8">
        <w:rPr>
          <w:lang w:val="fr-FR"/>
        </w:rPr>
        <w:tab/>
        <w:t>Applicabilité</w:t>
      </w:r>
    </w:p>
    <w:p w:rsidR="004A4405" w:rsidRPr="00A779B8" w:rsidRDefault="004A4405" w:rsidP="004A4405">
      <w:pPr>
        <w:pStyle w:val="SingleTxtG"/>
        <w:ind w:left="2268"/>
        <w:rPr>
          <w:lang w:val="fr-FR"/>
        </w:rPr>
      </w:pPr>
      <w:r w:rsidRPr="00A779B8">
        <w:rPr>
          <w:lang w:val="fr-FR"/>
        </w:rPr>
        <w:tab/>
        <w:t>La présente annexe remplace l</w:t>
      </w:r>
      <w:r w:rsidR="00DB4C2D">
        <w:rPr>
          <w:lang w:val="fr-FR"/>
        </w:rPr>
        <w:t>’</w:t>
      </w:r>
      <w:r w:rsidRPr="00A779B8">
        <w:rPr>
          <w:lang w:val="fr-FR"/>
        </w:rPr>
        <w:t>annexe 4 du présent Règlement.</w:t>
      </w:r>
    </w:p>
    <w:p w:rsidR="004A4405" w:rsidRPr="00A779B8" w:rsidRDefault="004A4405" w:rsidP="004A4405">
      <w:pPr>
        <w:pStyle w:val="SingleTxtG"/>
        <w:keepNext/>
        <w:ind w:left="2268" w:hanging="1134"/>
        <w:jc w:val="left"/>
        <w:rPr>
          <w:lang w:val="fr-FR"/>
        </w:rPr>
      </w:pPr>
      <w:r w:rsidRPr="00A779B8">
        <w:rPr>
          <w:lang w:val="fr-FR"/>
        </w:rPr>
        <w:t>2.</w:t>
      </w:r>
      <w:r w:rsidRPr="00A779B8">
        <w:rPr>
          <w:lang w:val="fr-FR"/>
        </w:rPr>
        <w:tab/>
        <w:t>Introduction</w:t>
      </w:r>
    </w:p>
    <w:p w:rsidR="004A4405" w:rsidRPr="00A779B8" w:rsidRDefault="004A4405" w:rsidP="004A4405">
      <w:pPr>
        <w:pStyle w:val="SingleTxtG"/>
        <w:ind w:left="2268"/>
        <w:rPr>
          <w:lang w:val="fr-FR"/>
        </w:rPr>
      </w:pPr>
      <w:r w:rsidRPr="00A779B8">
        <w:rPr>
          <w:rFonts w:eastAsia="Arial Unicode MS"/>
          <w:lang w:val="fr-FR"/>
        </w:rPr>
        <w:tab/>
        <w:t>La présente annexe décrit la méthode à suivre pour l</w:t>
      </w:r>
      <w:r w:rsidR="00DB4C2D">
        <w:rPr>
          <w:rFonts w:eastAsia="Arial Unicode MS"/>
          <w:lang w:val="fr-FR"/>
        </w:rPr>
        <w:t>’</w:t>
      </w:r>
      <w:r w:rsidRPr="00A779B8">
        <w:rPr>
          <w:rFonts w:eastAsia="Arial Unicode MS"/>
          <w:lang w:val="fr-FR"/>
        </w:rPr>
        <w:t>essai du type I défini au paragraphe 5.3.1 du présent Règlement. Lorsque le carburant de référence est le GPL ou le GN/</w:t>
      </w:r>
      <w:proofErr w:type="spellStart"/>
      <w:r w:rsidRPr="00A779B8">
        <w:rPr>
          <w:rFonts w:eastAsia="Arial Unicode MS"/>
          <w:lang w:val="fr-FR"/>
        </w:rPr>
        <w:t>biométhane</w:t>
      </w:r>
      <w:proofErr w:type="spellEnd"/>
      <w:r w:rsidRPr="00A779B8">
        <w:rPr>
          <w:rFonts w:eastAsia="Arial Unicode MS"/>
          <w:lang w:val="fr-FR"/>
        </w:rPr>
        <w:t>, les prescriptions de l</w:t>
      </w:r>
      <w:r w:rsidR="00DB4C2D">
        <w:rPr>
          <w:rFonts w:eastAsia="Arial Unicode MS"/>
          <w:lang w:val="fr-FR"/>
        </w:rPr>
        <w:t>’</w:t>
      </w:r>
      <w:r w:rsidRPr="00A779B8">
        <w:rPr>
          <w:rFonts w:eastAsia="Arial Unicode MS"/>
          <w:lang w:val="fr-FR"/>
        </w:rPr>
        <w:t>annexe 12</w:t>
      </w:r>
      <w:r w:rsidRPr="00A779B8">
        <w:rPr>
          <w:lang w:val="fr-FR"/>
        </w:rPr>
        <w:t xml:space="preserve"> du présent Règlement</w:t>
      </w:r>
      <w:r w:rsidRPr="00A779B8">
        <w:rPr>
          <w:rFonts w:eastAsia="Arial Unicode MS"/>
          <w:lang w:val="fr-FR"/>
        </w:rPr>
        <w:t xml:space="preserve"> s</w:t>
      </w:r>
      <w:r w:rsidR="00DB4C2D">
        <w:rPr>
          <w:rFonts w:eastAsia="Arial Unicode MS"/>
          <w:lang w:val="fr-FR"/>
        </w:rPr>
        <w:t>’</w:t>
      </w:r>
      <w:r w:rsidRPr="00A779B8">
        <w:rPr>
          <w:rFonts w:eastAsia="Arial Unicode MS"/>
          <w:lang w:val="fr-FR"/>
        </w:rPr>
        <w:t>appliquent également</w:t>
      </w:r>
      <w:r w:rsidRPr="00A779B8">
        <w:rPr>
          <w:lang w:val="fr-FR"/>
        </w:rPr>
        <w:t>.</w:t>
      </w:r>
    </w:p>
    <w:p w:rsidR="004A4405" w:rsidRPr="00A779B8" w:rsidRDefault="004A4405" w:rsidP="004A4405">
      <w:pPr>
        <w:pStyle w:val="SingleTxtG"/>
        <w:keepNext/>
        <w:ind w:left="2268" w:hanging="1134"/>
        <w:jc w:val="left"/>
        <w:rPr>
          <w:lang w:val="fr-FR"/>
        </w:rPr>
      </w:pPr>
      <w:r w:rsidRPr="00A779B8">
        <w:rPr>
          <w:lang w:val="fr-FR"/>
        </w:rPr>
        <w:t>3.</w:t>
      </w:r>
      <w:r w:rsidRPr="00A779B8">
        <w:rPr>
          <w:lang w:val="fr-FR"/>
        </w:rPr>
        <w:tab/>
      </w:r>
      <w:r w:rsidRPr="00A779B8">
        <w:rPr>
          <w:lang w:val="fr-FR"/>
        </w:rPr>
        <w:tab/>
        <w:t>Conditions d</w:t>
      </w:r>
      <w:r w:rsidR="00DB4C2D">
        <w:rPr>
          <w:lang w:val="fr-FR"/>
        </w:rPr>
        <w:t>’</w:t>
      </w:r>
      <w:r w:rsidRPr="00A779B8">
        <w:rPr>
          <w:lang w:val="fr-FR"/>
        </w:rPr>
        <w:t>essai</w:t>
      </w:r>
    </w:p>
    <w:p w:rsidR="004A4405" w:rsidRPr="00A779B8" w:rsidRDefault="004A4405" w:rsidP="004A4405">
      <w:pPr>
        <w:pStyle w:val="SingleTxtG"/>
        <w:ind w:left="2268" w:hanging="1134"/>
        <w:rPr>
          <w:lang w:val="fr-FR"/>
        </w:rPr>
      </w:pPr>
      <w:r w:rsidRPr="00A779B8">
        <w:rPr>
          <w:lang w:val="fr-FR"/>
        </w:rPr>
        <w:t>3.1</w:t>
      </w:r>
      <w:r w:rsidRPr="00A779B8">
        <w:rPr>
          <w:lang w:val="fr-FR"/>
        </w:rPr>
        <w:tab/>
      </w:r>
      <w:r w:rsidRPr="00A779B8">
        <w:rPr>
          <w:lang w:val="fr-FR"/>
        </w:rPr>
        <w:tab/>
        <w:t>Conditions ambiantes</w:t>
      </w:r>
    </w:p>
    <w:p w:rsidR="004A4405" w:rsidRPr="00A779B8" w:rsidRDefault="004A4405" w:rsidP="004A4405">
      <w:pPr>
        <w:pStyle w:val="SingleTxtG"/>
        <w:keepNext/>
        <w:ind w:left="2268" w:hanging="1134"/>
        <w:rPr>
          <w:bCs/>
          <w:lang w:val="fr-FR"/>
        </w:rPr>
      </w:pPr>
      <w:r w:rsidRPr="00A779B8">
        <w:rPr>
          <w:bCs/>
          <w:lang w:val="fr-FR"/>
        </w:rPr>
        <w:t>3.1.1</w:t>
      </w:r>
      <w:r w:rsidRPr="00A779B8">
        <w:rPr>
          <w:bCs/>
          <w:lang w:val="fr-FR"/>
        </w:rPr>
        <w:tab/>
      </w:r>
      <w:r w:rsidRPr="00A779B8">
        <w:rPr>
          <w:bCs/>
          <w:lang w:val="fr-FR"/>
        </w:rPr>
        <w:tab/>
        <w:t>Pendant l</w:t>
      </w:r>
      <w:r w:rsidR="00DB4C2D">
        <w:rPr>
          <w:bCs/>
          <w:lang w:val="fr-FR"/>
        </w:rPr>
        <w:t>’</w:t>
      </w:r>
      <w:r w:rsidRPr="00A779B8">
        <w:rPr>
          <w:bCs/>
          <w:lang w:val="fr-FR"/>
        </w:rPr>
        <w:t>essai, la température de la chambre d</w:t>
      </w:r>
      <w:r w:rsidR="00DB4C2D">
        <w:rPr>
          <w:bCs/>
          <w:lang w:val="fr-FR"/>
        </w:rPr>
        <w:t>’</w:t>
      </w:r>
      <w:r w:rsidRPr="00A779B8">
        <w:rPr>
          <w:bCs/>
          <w:lang w:val="fr-FR"/>
        </w:rPr>
        <w:t>essai doit être comprise entre 293 K et 303 K (20 et 30 °C). L</w:t>
      </w:r>
      <w:r w:rsidR="00DB4C2D">
        <w:rPr>
          <w:bCs/>
          <w:lang w:val="fr-FR"/>
        </w:rPr>
        <w:t>’</w:t>
      </w:r>
      <w:r w:rsidRPr="00A779B8">
        <w:rPr>
          <w:bCs/>
          <w:lang w:val="fr-FR"/>
        </w:rPr>
        <w:t>humidité absolue de l</w:t>
      </w:r>
      <w:r w:rsidR="00DB4C2D">
        <w:rPr>
          <w:bCs/>
          <w:lang w:val="fr-FR"/>
        </w:rPr>
        <w:t>’</w:t>
      </w:r>
      <w:r w:rsidRPr="00A779B8">
        <w:rPr>
          <w:bCs/>
          <w:lang w:val="fr-FR"/>
        </w:rPr>
        <w:t>air (H) ambiant ou de l</w:t>
      </w:r>
      <w:r w:rsidR="00DB4C2D">
        <w:rPr>
          <w:bCs/>
          <w:lang w:val="fr-FR"/>
        </w:rPr>
        <w:t>’</w:t>
      </w:r>
      <w:r w:rsidRPr="00A779B8">
        <w:rPr>
          <w:bCs/>
          <w:lang w:val="fr-FR"/>
        </w:rPr>
        <w:t>air d</w:t>
      </w:r>
      <w:r w:rsidR="00DB4C2D">
        <w:rPr>
          <w:bCs/>
          <w:lang w:val="fr-FR"/>
        </w:rPr>
        <w:t>’</w:t>
      </w:r>
      <w:r w:rsidRPr="00A779B8">
        <w:rPr>
          <w:bCs/>
          <w:lang w:val="fr-FR"/>
        </w:rPr>
        <w:t>admission du moteur doit être telle que:</w:t>
      </w:r>
    </w:p>
    <w:p w:rsidR="004A4405" w:rsidRPr="00A779B8" w:rsidRDefault="004A4405" w:rsidP="004A4405">
      <w:pPr>
        <w:pStyle w:val="SingleTxtG"/>
        <w:ind w:left="2268"/>
        <w:rPr>
          <w:lang w:val="en-GB"/>
        </w:rPr>
      </w:pPr>
      <w:r w:rsidRPr="00A779B8">
        <w:rPr>
          <w:bCs/>
          <w:lang w:val="fr-FR"/>
        </w:rPr>
        <w:tab/>
      </w:r>
      <w:r w:rsidRPr="00A779B8">
        <w:rPr>
          <w:bCs/>
          <w:lang w:val="en-GB"/>
        </w:rPr>
        <w:t>5,5 ≤ H ≤ 12,2 (g H</w:t>
      </w:r>
      <w:r w:rsidRPr="00A779B8">
        <w:rPr>
          <w:bCs/>
          <w:vertAlign w:val="subscript"/>
          <w:lang w:val="en-GB"/>
        </w:rPr>
        <w:t>2</w:t>
      </w:r>
      <w:r w:rsidRPr="00A779B8">
        <w:rPr>
          <w:bCs/>
          <w:lang w:val="en-GB"/>
        </w:rPr>
        <w:t>O/kg-air sec).</w:t>
      </w:r>
    </w:p>
    <w:p w:rsidR="004A4405" w:rsidRPr="00A779B8" w:rsidRDefault="004A4405" w:rsidP="004A4405">
      <w:pPr>
        <w:pStyle w:val="SingleTxtG"/>
        <w:ind w:left="2268"/>
        <w:rPr>
          <w:u w:val="single"/>
          <w:lang w:val="fr-FR"/>
        </w:rPr>
      </w:pPr>
      <w:r w:rsidRPr="00A779B8">
        <w:rPr>
          <w:lang w:val="en-GB"/>
        </w:rPr>
        <w:tab/>
      </w:r>
      <w:r w:rsidRPr="00A779B8">
        <w:rPr>
          <w:lang w:val="fr-FR"/>
        </w:rPr>
        <w:t>L</w:t>
      </w:r>
      <w:r w:rsidR="00DB4C2D">
        <w:rPr>
          <w:lang w:val="fr-FR"/>
        </w:rPr>
        <w:t>’</w:t>
      </w:r>
      <w:r w:rsidRPr="00A779B8">
        <w:rPr>
          <w:lang w:val="fr-FR"/>
        </w:rPr>
        <w:t>humidité absolue (H) doit être mesurée.</w:t>
      </w:r>
    </w:p>
    <w:p w:rsidR="004A4405" w:rsidRPr="00A779B8" w:rsidRDefault="004A4405" w:rsidP="004A4405">
      <w:pPr>
        <w:pStyle w:val="SingleTxtG"/>
        <w:ind w:left="2268"/>
        <w:rPr>
          <w:lang w:val="fr-FR"/>
        </w:rPr>
      </w:pPr>
      <w:r w:rsidRPr="00A779B8">
        <w:rPr>
          <w:lang w:val="fr-FR"/>
        </w:rPr>
        <w:tab/>
        <w:t>Les températures suivantes doivent être mesurées:</w:t>
      </w:r>
    </w:p>
    <w:p w:rsidR="004A4405" w:rsidRPr="00A779B8" w:rsidRDefault="004A4405" w:rsidP="004A4405">
      <w:pPr>
        <w:pStyle w:val="SingleTxtG"/>
        <w:ind w:left="2268"/>
        <w:rPr>
          <w:lang w:val="fr-FR"/>
        </w:rPr>
      </w:pPr>
      <w:r w:rsidRPr="00A779B8">
        <w:rPr>
          <w:lang w:val="fr-FR"/>
        </w:rPr>
        <w:tab/>
        <w:t>Température de l</w:t>
      </w:r>
      <w:r w:rsidR="00DB4C2D">
        <w:rPr>
          <w:lang w:val="fr-FR"/>
        </w:rPr>
        <w:t>’</w:t>
      </w:r>
      <w:r w:rsidRPr="00A779B8">
        <w:rPr>
          <w:lang w:val="fr-FR"/>
        </w:rPr>
        <w:t>air ambiant de la chambre d</w:t>
      </w:r>
      <w:r w:rsidR="00DB4C2D">
        <w:rPr>
          <w:lang w:val="fr-FR"/>
        </w:rPr>
        <w:t>’</w:t>
      </w:r>
      <w:r w:rsidRPr="00A779B8">
        <w:rPr>
          <w:lang w:val="fr-FR"/>
        </w:rPr>
        <w:t>essai;</w:t>
      </w:r>
    </w:p>
    <w:p w:rsidR="004A4405" w:rsidRPr="00A779B8" w:rsidRDefault="004A4405" w:rsidP="004A4405">
      <w:pPr>
        <w:pStyle w:val="SingleTxtG"/>
        <w:ind w:left="2268"/>
        <w:rPr>
          <w:lang w:val="fr-FR"/>
        </w:rPr>
      </w:pPr>
      <w:r w:rsidRPr="00A779B8">
        <w:rPr>
          <w:lang w:val="fr-FR"/>
        </w:rPr>
        <w:tab/>
        <w:t>Températures des systèmes de dilution et de prélèvement conformément aux dispositions applicables aux systèmes de mesure des émissions définis aux appendices 2 à 5 de la présente annexe.</w:t>
      </w:r>
    </w:p>
    <w:p w:rsidR="004A4405" w:rsidRPr="00A779B8" w:rsidRDefault="004A4405" w:rsidP="004A4405">
      <w:pPr>
        <w:pStyle w:val="SingleTxtG"/>
        <w:ind w:left="2268"/>
        <w:rPr>
          <w:lang w:val="fr-FR"/>
        </w:rPr>
      </w:pPr>
      <w:r w:rsidRPr="00A779B8">
        <w:rPr>
          <w:lang w:val="fr-FR"/>
        </w:rPr>
        <w:tab/>
        <w:t>La pression atmosphérique doit être mesurée.</w:t>
      </w:r>
    </w:p>
    <w:p w:rsidR="004A4405" w:rsidRPr="00A779B8" w:rsidRDefault="004A4405" w:rsidP="004A4405">
      <w:pPr>
        <w:pStyle w:val="SingleTxtG"/>
        <w:keepNext/>
        <w:ind w:left="2268" w:hanging="1134"/>
        <w:jc w:val="left"/>
        <w:rPr>
          <w:lang w:val="fr-FR"/>
        </w:rPr>
      </w:pPr>
      <w:r w:rsidRPr="00A779B8">
        <w:rPr>
          <w:lang w:val="fr-FR"/>
        </w:rPr>
        <w:t>3.2</w:t>
      </w:r>
      <w:r w:rsidRPr="00A779B8">
        <w:rPr>
          <w:lang w:val="fr-FR"/>
        </w:rPr>
        <w:tab/>
        <w:t>Véhicule soumis à l</w:t>
      </w:r>
      <w:r w:rsidR="00DB4C2D">
        <w:rPr>
          <w:lang w:val="fr-FR"/>
        </w:rPr>
        <w:t>’</w:t>
      </w:r>
      <w:r w:rsidRPr="00A779B8">
        <w:rPr>
          <w:lang w:val="fr-FR"/>
        </w:rPr>
        <w:t>essai</w:t>
      </w:r>
    </w:p>
    <w:p w:rsidR="004A4405" w:rsidRPr="00A779B8" w:rsidRDefault="004A4405" w:rsidP="004A4405">
      <w:pPr>
        <w:pStyle w:val="SingleTxtG"/>
        <w:ind w:left="2268" w:hanging="1134"/>
        <w:rPr>
          <w:lang w:val="fr-FR"/>
        </w:rPr>
      </w:pPr>
      <w:r w:rsidRPr="00A779B8">
        <w:rPr>
          <w:lang w:val="fr-FR"/>
        </w:rPr>
        <w:t>3.2.1</w:t>
      </w:r>
      <w:r w:rsidRPr="00A779B8">
        <w:rPr>
          <w:lang w:val="fr-FR"/>
        </w:rPr>
        <w:tab/>
        <w:t>Le véhicule présenté doit être en bon état mécanique. Il doit être rodé et avoir parcouru au moins 3 000 km avant l</w:t>
      </w:r>
      <w:r w:rsidR="00DB4C2D">
        <w:rPr>
          <w:lang w:val="fr-FR"/>
        </w:rPr>
        <w:t>’</w:t>
      </w:r>
      <w:r w:rsidRPr="00A779B8">
        <w:rPr>
          <w:lang w:val="fr-FR"/>
        </w:rPr>
        <w:t>essai.</w:t>
      </w:r>
    </w:p>
    <w:p w:rsidR="004A4405" w:rsidRPr="00A779B8" w:rsidRDefault="004A4405" w:rsidP="004A4405">
      <w:pPr>
        <w:pStyle w:val="SingleTxtG"/>
        <w:ind w:left="2268" w:hanging="1134"/>
        <w:rPr>
          <w:lang w:val="fr-FR"/>
        </w:rPr>
      </w:pPr>
      <w:r w:rsidRPr="00A779B8">
        <w:rPr>
          <w:lang w:val="fr-FR"/>
        </w:rPr>
        <w:t>3.2.2</w:t>
      </w:r>
      <w:r w:rsidRPr="00A779B8">
        <w:rPr>
          <w:lang w:val="fr-FR"/>
        </w:rPr>
        <w:tab/>
        <w:t>Le dispositif d</w:t>
      </w:r>
      <w:r w:rsidR="00DB4C2D">
        <w:rPr>
          <w:lang w:val="fr-FR"/>
        </w:rPr>
        <w:t>’</w:t>
      </w:r>
      <w:r w:rsidRPr="00A779B8">
        <w:rPr>
          <w:lang w:val="fr-FR"/>
        </w:rPr>
        <w:t>échappement ne doit pas présenter de fuite susceptible de diminuer la quantité de gaz collectés, qui doit être celle sortant du moteur.</w:t>
      </w:r>
    </w:p>
    <w:p w:rsidR="004A4405" w:rsidRPr="00A779B8" w:rsidRDefault="004A4405" w:rsidP="004A4405">
      <w:pPr>
        <w:pStyle w:val="SingleTxtG"/>
        <w:ind w:left="2268" w:hanging="1134"/>
        <w:rPr>
          <w:lang w:val="fr-FR"/>
        </w:rPr>
      </w:pPr>
      <w:r w:rsidRPr="00A779B8">
        <w:rPr>
          <w:lang w:val="fr-FR"/>
        </w:rPr>
        <w:t>3.2.3</w:t>
      </w:r>
      <w:r w:rsidRPr="00A779B8">
        <w:rPr>
          <w:lang w:val="fr-FR"/>
        </w:rPr>
        <w:tab/>
        <w:t>Le laboratoire peut vérifier l</w:t>
      </w:r>
      <w:r w:rsidR="00DB4C2D">
        <w:rPr>
          <w:lang w:val="fr-FR"/>
        </w:rPr>
        <w:t>’</w:t>
      </w:r>
      <w:r w:rsidRPr="00A779B8">
        <w:rPr>
          <w:lang w:val="fr-FR"/>
        </w:rPr>
        <w:t>étanchéité du système d</w:t>
      </w:r>
      <w:r w:rsidR="00DB4C2D">
        <w:rPr>
          <w:lang w:val="fr-FR"/>
        </w:rPr>
        <w:t>’</w:t>
      </w:r>
      <w:r w:rsidRPr="00A779B8">
        <w:rPr>
          <w:lang w:val="fr-FR"/>
        </w:rPr>
        <w:t>admission pour éviter que la carburation soit modifiée par une prise d</w:t>
      </w:r>
      <w:r w:rsidR="00DB4C2D">
        <w:rPr>
          <w:lang w:val="fr-FR"/>
        </w:rPr>
        <w:t>’</w:t>
      </w:r>
      <w:r w:rsidRPr="00A779B8">
        <w:rPr>
          <w:lang w:val="fr-FR"/>
        </w:rPr>
        <w:t>air accidentelle.</w:t>
      </w:r>
    </w:p>
    <w:p w:rsidR="004A4405" w:rsidRPr="00A779B8" w:rsidRDefault="004A4405" w:rsidP="004A4405">
      <w:pPr>
        <w:pStyle w:val="SingleTxtG"/>
        <w:ind w:left="2268" w:hanging="1134"/>
        <w:rPr>
          <w:lang w:val="fr-FR"/>
        </w:rPr>
      </w:pPr>
      <w:r w:rsidRPr="00A779B8">
        <w:rPr>
          <w:lang w:val="fr-FR"/>
        </w:rPr>
        <w:t>3.2.4</w:t>
      </w:r>
      <w:r w:rsidRPr="00A779B8">
        <w:rPr>
          <w:lang w:val="fr-FR"/>
        </w:rPr>
        <w:tab/>
        <w:t>Les réglages du moteur et des commandes du véhicule doivent être ceux prévus par le constructeur. Cette exigence s</w:t>
      </w:r>
      <w:r w:rsidR="00DB4C2D">
        <w:rPr>
          <w:lang w:val="fr-FR"/>
        </w:rPr>
        <w:t>’</w:t>
      </w:r>
      <w:r w:rsidRPr="00A779B8">
        <w:rPr>
          <w:lang w:val="fr-FR"/>
        </w:rPr>
        <w:t>applique notamment aux réglages du ralenti (régime de rotation et teneur en CO des gaz d</w:t>
      </w:r>
      <w:r w:rsidR="00DB4C2D">
        <w:rPr>
          <w:lang w:val="fr-FR"/>
        </w:rPr>
        <w:t>’</w:t>
      </w:r>
      <w:r w:rsidRPr="00A779B8">
        <w:rPr>
          <w:lang w:val="fr-FR"/>
        </w:rPr>
        <w:t>échappement), du dispositif de démarrage à froid et des systèmes de dépollution des gaz d</w:t>
      </w:r>
      <w:r w:rsidR="00DB4C2D">
        <w:rPr>
          <w:lang w:val="fr-FR"/>
        </w:rPr>
        <w:t>’</w:t>
      </w:r>
      <w:r w:rsidRPr="00A779B8">
        <w:rPr>
          <w:lang w:val="fr-FR"/>
        </w:rPr>
        <w:t>échappement.</w:t>
      </w:r>
    </w:p>
    <w:p w:rsidR="004A4405" w:rsidRPr="00A779B8" w:rsidRDefault="004A4405" w:rsidP="004A4405">
      <w:pPr>
        <w:pStyle w:val="SingleTxtG"/>
        <w:ind w:left="2268" w:hanging="1134"/>
        <w:rPr>
          <w:lang w:val="fr-FR"/>
        </w:rPr>
      </w:pPr>
      <w:r w:rsidRPr="00A779B8">
        <w:rPr>
          <w:lang w:val="fr-FR"/>
        </w:rPr>
        <w:t>3.2.5</w:t>
      </w:r>
      <w:r w:rsidRPr="00A779B8">
        <w:rPr>
          <w:lang w:val="fr-FR"/>
        </w:rPr>
        <w:tab/>
        <w:t>Le véhicule à essayer, ou un véhicule équivalent, doit être équipé, s</w:t>
      </w:r>
      <w:r w:rsidR="00DB4C2D">
        <w:rPr>
          <w:lang w:val="fr-FR"/>
        </w:rPr>
        <w:t>’</w:t>
      </w:r>
      <w:r w:rsidRPr="00A779B8">
        <w:rPr>
          <w:lang w:val="fr-FR"/>
        </w:rPr>
        <w:t>il y a lieu, d</w:t>
      </w:r>
      <w:r w:rsidR="00DB4C2D">
        <w:rPr>
          <w:lang w:val="fr-FR"/>
        </w:rPr>
        <w:t>’</w:t>
      </w:r>
      <w:r w:rsidRPr="00A779B8">
        <w:rPr>
          <w:lang w:val="fr-FR"/>
        </w:rPr>
        <w:t>un dispositif permettant de mesurer les paramètres caractéristiques nécessaires au réglage du banc à rouleaux, conformément aux dispositions du paragraphe 5 de la présente annexe.</w:t>
      </w:r>
    </w:p>
    <w:p w:rsidR="004A4405" w:rsidRPr="00A779B8" w:rsidRDefault="004A4405" w:rsidP="004A4405">
      <w:pPr>
        <w:pStyle w:val="SingleTxtG"/>
        <w:keepLines/>
        <w:ind w:left="2268" w:hanging="1134"/>
        <w:rPr>
          <w:lang w:val="fr-FR"/>
        </w:rPr>
      </w:pPr>
      <w:r w:rsidRPr="00A779B8">
        <w:rPr>
          <w:lang w:val="fr-FR"/>
        </w:rPr>
        <w:lastRenderedPageBreak/>
        <w:t>3.2.6</w:t>
      </w:r>
      <w:r w:rsidRPr="00A779B8">
        <w:rPr>
          <w:lang w:val="fr-FR"/>
        </w:rPr>
        <w:tab/>
        <w:t>Le service technique chargé des essais peut vérifier que les performances du véhicule sont conformes aux indications du constructeur et qu</w:t>
      </w:r>
      <w:r w:rsidR="00DB4C2D">
        <w:rPr>
          <w:lang w:val="fr-FR"/>
        </w:rPr>
        <w:t>’</w:t>
      </w:r>
      <w:r w:rsidRPr="00A779B8">
        <w:rPr>
          <w:lang w:val="fr-FR"/>
        </w:rPr>
        <w:t>il est utilisable en conduite normale et, plus particulièrement, qu</w:t>
      </w:r>
      <w:r w:rsidR="00DB4C2D">
        <w:rPr>
          <w:lang w:val="fr-FR"/>
        </w:rPr>
        <w:t>’</w:t>
      </w:r>
      <w:r w:rsidRPr="00A779B8">
        <w:rPr>
          <w:lang w:val="fr-FR"/>
        </w:rPr>
        <w:t>il est apte à démarrer à froid et à chaud.</w:t>
      </w:r>
    </w:p>
    <w:p w:rsidR="004A4405" w:rsidRPr="00A779B8" w:rsidRDefault="004A4405" w:rsidP="004A4405">
      <w:pPr>
        <w:pStyle w:val="SingleTxtG"/>
        <w:ind w:left="2268" w:hanging="1134"/>
        <w:rPr>
          <w:lang w:val="fr-FR"/>
        </w:rPr>
      </w:pPr>
      <w:r w:rsidRPr="00A779B8">
        <w:rPr>
          <w:lang w:val="fr-FR"/>
        </w:rPr>
        <w:t>3.2.7</w:t>
      </w:r>
      <w:r w:rsidRPr="00A779B8">
        <w:rPr>
          <w:lang w:val="fr-FR"/>
        </w:rPr>
        <w:tab/>
        <w:t xml:space="preserve">Les feux de circulation diurne du véhicule définis au paragraphe 2 du Règlement </w:t>
      </w:r>
      <w:r w:rsidRPr="00A779B8">
        <w:rPr>
          <w:rFonts w:eastAsia="MS Mincho"/>
          <w:lang w:val="fr-FR"/>
        </w:rPr>
        <w:t>n</w:t>
      </w:r>
      <w:r w:rsidRPr="00A779B8">
        <w:rPr>
          <w:rFonts w:eastAsia="MS Mincho"/>
          <w:vertAlign w:val="superscript"/>
          <w:lang w:val="fr-FR"/>
        </w:rPr>
        <w:t>o</w:t>
      </w:r>
      <w:r w:rsidRPr="00A779B8">
        <w:rPr>
          <w:lang w:val="fr-FR"/>
        </w:rPr>
        <w:t> 48 doivent être allumés durant le cycle d</w:t>
      </w:r>
      <w:r w:rsidR="00DB4C2D">
        <w:rPr>
          <w:lang w:val="fr-FR"/>
        </w:rPr>
        <w:t>’</w:t>
      </w:r>
      <w:r w:rsidRPr="00A779B8">
        <w:rPr>
          <w:lang w:val="fr-FR"/>
        </w:rPr>
        <w:t>essai. Le véhicule soumis aux essais doit être équipé du système de feux de circulation diurne qui a la plus grande consommation d</w:t>
      </w:r>
      <w:r w:rsidR="00DB4C2D">
        <w:rPr>
          <w:lang w:val="fr-FR"/>
        </w:rPr>
        <w:t>’</w:t>
      </w:r>
      <w:r w:rsidRPr="00A779B8">
        <w:rPr>
          <w:lang w:val="fr-FR"/>
        </w:rPr>
        <w:t>énergie électrique parmi ceux qui sont installés par le constructeur sur les véhicules du groupe représenté par le véhicule faisant l</w:t>
      </w:r>
      <w:r w:rsidR="00DB4C2D">
        <w:rPr>
          <w:lang w:val="fr-FR"/>
        </w:rPr>
        <w:t>’</w:t>
      </w:r>
      <w:r w:rsidRPr="00A779B8">
        <w:rPr>
          <w:lang w:val="fr-FR"/>
        </w:rPr>
        <w:t>objet d</w:t>
      </w:r>
      <w:r w:rsidR="00DB4C2D">
        <w:rPr>
          <w:lang w:val="fr-FR"/>
        </w:rPr>
        <w:t>’</w:t>
      </w:r>
      <w:r w:rsidRPr="00A779B8">
        <w:rPr>
          <w:lang w:val="fr-FR"/>
        </w:rPr>
        <w:t>une homologation de type. Le constructeur doit fournir à cet égard la documentation technique appropriée aux autorités d</w:t>
      </w:r>
      <w:r w:rsidR="00DB4C2D">
        <w:rPr>
          <w:lang w:val="fr-FR"/>
        </w:rPr>
        <w:t>’</w:t>
      </w:r>
      <w:r w:rsidRPr="00A779B8">
        <w:rPr>
          <w:lang w:val="fr-FR"/>
        </w:rPr>
        <w:t>homologation de type.</w:t>
      </w:r>
    </w:p>
    <w:p w:rsidR="004A4405" w:rsidRPr="00A779B8" w:rsidRDefault="004A4405" w:rsidP="004A4405">
      <w:pPr>
        <w:pStyle w:val="SingleTxtG"/>
        <w:keepNext/>
        <w:ind w:left="2268" w:hanging="1134"/>
        <w:jc w:val="left"/>
        <w:rPr>
          <w:lang w:val="fr-FR"/>
        </w:rPr>
      </w:pPr>
      <w:r w:rsidRPr="00A779B8">
        <w:rPr>
          <w:lang w:val="fr-FR"/>
        </w:rPr>
        <w:t>3.3</w:t>
      </w:r>
      <w:r w:rsidRPr="00A779B8">
        <w:rPr>
          <w:lang w:val="fr-FR"/>
        </w:rPr>
        <w:tab/>
        <w:t>Carburant utilisé pour l</w:t>
      </w:r>
      <w:r w:rsidR="00DB4C2D">
        <w:rPr>
          <w:lang w:val="fr-FR"/>
        </w:rPr>
        <w:t>’</w:t>
      </w:r>
      <w:r w:rsidRPr="00A779B8">
        <w:rPr>
          <w:lang w:val="fr-FR"/>
        </w:rPr>
        <w:t>essai</w:t>
      </w:r>
    </w:p>
    <w:p w:rsidR="004A4405" w:rsidRPr="00A779B8" w:rsidRDefault="004A4405" w:rsidP="004A4405">
      <w:pPr>
        <w:pStyle w:val="SingleTxtG"/>
        <w:ind w:left="2268" w:hanging="1134"/>
        <w:rPr>
          <w:bCs/>
          <w:lang w:val="fr-FR"/>
        </w:rPr>
      </w:pPr>
      <w:r w:rsidRPr="00A779B8">
        <w:rPr>
          <w:bCs/>
          <w:lang w:val="fr-FR"/>
        </w:rPr>
        <w:t>3.3.1</w:t>
      </w:r>
      <w:r w:rsidRPr="00A779B8">
        <w:rPr>
          <w:bCs/>
          <w:lang w:val="fr-FR"/>
        </w:rPr>
        <w:tab/>
      </w:r>
      <w:r w:rsidRPr="00A779B8">
        <w:rPr>
          <w:lang w:val="fr-FR"/>
        </w:rPr>
        <w:t>Le carburant de référence adéquat défini aux annexes 10 ou 10a du présent Règlement doit être utilisé pour l</w:t>
      </w:r>
      <w:r w:rsidR="00DB4C2D">
        <w:rPr>
          <w:lang w:val="fr-FR"/>
        </w:rPr>
        <w:t>’</w:t>
      </w:r>
      <w:r w:rsidRPr="00A779B8">
        <w:rPr>
          <w:lang w:val="fr-FR"/>
        </w:rPr>
        <w:t>essai.</w:t>
      </w:r>
    </w:p>
    <w:p w:rsidR="004A4405" w:rsidRPr="00A779B8" w:rsidRDefault="004A4405" w:rsidP="004A4405">
      <w:pPr>
        <w:pStyle w:val="SingleTxtG"/>
        <w:ind w:left="2268" w:hanging="1134"/>
        <w:rPr>
          <w:lang w:val="fr-FR"/>
        </w:rPr>
      </w:pPr>
      <w:r w:rsidRPr="00A779B8">
        <w:rPr>
          <w:lang w:val="fr-FR"/>
        </w:rPr>
        <w:t>3.3.2</w:t>
      </w:r>
      <w:r w:rsidRPr="00A779B8">
        <w:rPr>
          <w:lang w:val="fr-FR"/>
        </w:rPr>
        <w:tab/>
        <w:t>Les véhicules fonctionnant à l</w:t>
      </w:r>
      <w:r w:rsidR="00DB4C2D">
        <w:rPr>
          <w:lang w:val="fr-FR"/>
        </w:rPr>
        <w:t>’</w:t>
      </w:r>
      <w:r w:rsidRPr="00A779B8">
        <w:rPr>
          <w:lang w:val="fr-FR"/>
        </w:rPr>
        <w:t>essence, au GPL ou au GN/</w:t>
      </w:r>
      <w:proofErr w:type="spellStart"/>
      <w:r w:rsidRPr="00A779B8">
        <w:rPr>
          <w:lang w:val="fr-FR"/>
        </w:rPr>
        <w:t>biométhane</w:t>
      </w:r>
      <w:proofErr w:type="spellEnd"/>
      <w:r w:rsidRPr="00A779B8">
        <w:rPr>
          <w:lang w:val="fr-FR"/>
        </w:rPr>
        <w:t xml:space="preserve"> doivent être soumis aux essais conformément à l</w:t>
      </w:r>
      <w:r w:rsidR="00DB4C2D">
        <w:rPr>
          <w:lang w:val="fr-FR"/>
        </w:rPr>
        <w:t>’</w:t>
      </w:r>
      <w:r w:rsidRPr="00A779B8">
        <w:rPr>
          <w:lang w:val="fr-FR"/>
        </w:rPr>
        <w:t>annexe 12 du présent Règlement, avec le(s) carburant(s) de référence approprié</w:t>
      </w:r>
      <w:r>
        <w:rPr>
          <w:lang w:val="fr-FR"/>
        </w:rPr>
        <w:t>(s</w:t>
      </w:r>
      <w:r w:rsidRPr="00A779B8">
        <w:rPr>
          <w:lang w:val="fr-FR"/>
        </w:rPr>
        <w:t>) défini(s) à l</w:t>
      </w:r>
      <w:r w:rsidR="00DB4C2D">
        <w:rPr>
          <w:lang w:val="fr-FR"/>
        </w:rPr>
        <w:t>’</w:t>
      </w:r>
      <w:r w:rsidRPr="00A779B8">
        <w:rPr>
          <w:lang w:val="fr-FR"/>
        </w:rPr>
        <w:t>annexe 10 ou à l</w:t>
      </w:r>
      <w:r w:rsidR="00DB4C2D">
        <w:rPr>
          <w:lang w:val="fr-FR"/>
        </w:rPr>
        <w:t>’</w:t>
      </w:r>
      <w:r w:rsidRPr="00A779B8">
        <w:rPr>
          <w:lang w:val="fr-FR"/>
        </w:rPr>
        <w:t>annexe10a du présent Règlement.</w:t>
      </w:r>
    </w:p>
    <w:p w:rsidR="004A4405" w:rsidRPr="00A779B8" w:rsidRDefault="004A4405" w:rsidP="004A4405">
      <w:pPr>
        <w:pStyle w:val="SingleTxtG"/>
        <w:keepNext/>
        <w:ind w:left="2268" w:hanging="1134"/>
        <w:jc w:val="left"/>
        <w:rPr>
          <w:lang w:val="fr-FR"/>
        </w:rPr>
      </w:pPr>
      <w:r w:rsidRPr="00A779B8">
        <w:rPr>
          <w:lang w:val="fr-FR"/>
        </w:rPr>
        <w:t>3.4</w:t>
      </w:r>
      <w:r w:rsidRPr="00A779B8">
        <w:rPr>
          <w:lang w:val="fr-FR"/>
        </w:rPr>
        <w:tab/>
        <w:t>Installation du véhicule</w:t>
      </w:r>
    </w:p>
    <w:p w:rsidR="004A4405" w:rsidRPr="00A779B8" w:rsidRDefault="004A4405" w:rsidP="004A4405">
      <w:pPr>
        <w:pStyle w:val="SingleTxtG"/>
        <w:ind w:left="2268" w:hanging="1134"/>
        <w:rPr>
          <w:lang w:val="fr-FR"/>
        </w:rPr>
      </w:pPr>
      <w:r w:rsidRPr="00A779B8">
        <w:rPr>
          <w:bCs/>
          <w:lang w:val="fr-FR"/>
        </w:rPr>
        <w:t>3.4.1</w:t>
      </w:r>
      <w:r w:rsidRPr="00A779B8">
        <w:rPr>
          <w:bCs/>
          <w:lang w:val="fr-FR"/>
        </w:rPr>
        <w:tab/>
      </w:r>
      <w:r w:rsidRPr="00A779B8">
        <w:rPr>
          <w:lang w:val="fr-FR"/>
        </w:rPr>
        <w:t>Le véhicule doit être à peu près horizontal pendant l</w:t>
      </w:r>
      <w:r w:rsidR="00DB4C2D">
        <w:rPr>
          <w:lang w:val="fr-FR"/>
        </w:rPr>
        <w:t>’</w:t>
      </w:r>
      <w:r w:rsidRPr="00A779B8">
        <w:rPr>
          <w:lang w:val="fr-FR"/>
        </w:rPr>
        <w:t>essai, pour éviter toute distribution anormale du carburant.</w:t>
      </w:r>
    </w:p>
    <w:p w:rsidR="004A4405" w:rsidRPr="00A779B8" w:rsidRDefault="004A4405" w:rsidP="004A4405">
      <w:pPr>
        <w:pStyle w:val="SingleTxtG"/>
        <w:ind w:left="2268" w:hanging="1134"/>
        <w:rPr>
          <w:lang w:val="fr-FR"/>
        </w:rPr>
      </w:pPr>
      <w:r w:rsidRPr="00A779B8">
        <w:rPr>
          <w:lang w:val="fr-FR"/>
        </w:rPr>
        <w:t>3.4.2</w:t>
      </w:r>
      <w:r w:rsidRPr="00A779B8">
        <w:rPr>
          <w:lang w:val="fr-FR"/>
        </w:rPr>
        <w:tab/>
        <w:t>Un courant d</w:t>
      </w:r>
      <w:r w:rsidR="00DB4C2D">
        <w:rPr>
          <w:lang w:val="fr-FR"/>
        </w:rPr>
        <w:t>’</w:t>
      </w:r>
      <w:r w:rsidRPr="00A779B8">
        <w:rPr>
          <w:lang w:val="fr-FR"/>
        </w:rPr>
        <w:t>air de vitesse variable doit être dirigé sur le véhicule. La vitesse de la soufflante doit être située dans la plage de fonctionnement comprise entre 10 km/h et au moins la vitesse maximale du cycle d</w:t>
      </w:r>
      <w:r w:rsidR="00DB4C2D">
        <w:rPr>
          <w:lang w:val="fr-FR"/>
        </w:rPr>
        <w:t>’</w:t>
      </w:r>
      <w:r w:rsidRPr="00A779B8">
        <w:rPr>
          <w:lang w:val="fr-FR"/>
        </w:rPr>
        <w:t>essai. La vitesse linéaire de l</w:t>
      </w:r>
      <w:r w:rsidR="00DB4C2D">
        <w:rPr>
          <w:lang w:val="fr-FR"/>
        </w:rPr>
        <w:t>’</w:t>
      </w:r>
      <w:r w:rsidRPr="00A779B8">
        <w:rPr>
          <w:lang w:val="fr-FR"/>
        </w:rPr>
        <w:t>air à la sortie de la soufflante doit correspondre à la vitesse du rouleau (</w:t>
      </w:r>
      <w:r w:rsidRPr="00A779B8">
        <w:rPr>
          <w:lang w:val="fr-FR"/>
        </w:rPr>
        <w:sym w:font="Symbol" w:char="F0B1"/>
      </w:r>
      <w:r w:rsidRPr="00A779B8">
        <w:rPr>
          <w:lang w:val="fr-FR"/>
        </w:rPr>
        <w:t>5 km/h) dans la plage de fonctionnement comprise entre 10 km/h et 50 km/h. Dans la plage de vitesses supérieures à 50 km/h, la vitesse linéaire de l</w:t>
      </w:r>
      <w:r w:rsidR="00DB4C2D">
        <w:rPr>
          <w:lang w:val="fr-FR"/>
        </w:rPr>
        <w:t>’</w:t>
      </w:r>
      <w:r w:rsidRPr="00A779B8">
        <w:rPr>
          <w:lang w:val="fr-FR"/>
        </w:rPr>
        <w:t xml:space="preserve">air doit correspondre à la vitesse du rouleau </w:t>
      </w:r>
      <w:r w:rsidRPr="00A779B8">
        <w:rPr>
          <w:lang w:val="fr-FR"/>
        </w:rPr>
        <w:sym w:font="Symbol" w:char="F0B1"/>
      </w:r>
      <w:r w:rsidRPr="00A779B8">
        <w:rPr>
          <w:lang w:val="fr-FR"/>
        </w:rPr>
        <w:t>10 km/h. Aux vitesses du rouleau inférieures à 10 km/h, la vitesse de l</w:t>
      </w:r>
      <w:r w:rsidR="00DB4C2D">
        <w:rPr>
          <w:lang w:val="fr-FR"/>
        </w:rPr>
        <w:t>’</w:t>
      </w:r>
      <w:r w:rsidRPr="00A779B8">
        <w:rPr>
          <w:lang w:val="fr-FR"/>
        </w:rPr>
        <w:t>air peut être nulle.</w:t>
      </w:r>
    </w:p>
    <w:p w:rsidR="004A4405" w:rsidRPr="00A779B8" w:rsidRDefault="004A4405" w:rsidP="004A4405">
      <w:pPr>
        <w:pStyle w:val="SingleTxtG"/>
        <w:ind w:left="2268"/>
        <w:rPr>
          <w:lang w:val="fr-FR"/>
        </w:rPr>
      </w:pPr>
      <w:r w:rsidRPr="00A779B8">
        <w:rPr>
          <w:lang w:val="fr-FR"/>
        </w:rPr>
        <w:t>Pour déterminer la vitesse de l</w:t>
      </w:r>
      <w:r w:rsidR="00DB4C2D">
        <w:rPr>
          <w:lang w:val="fr-FR"/>
        </w:rPr>
        <w:t>’</w:t>
      </w:r>
      <w:r w:rsidRPr="00A779B8">
        <w:rPr>
          <w:lang w:val="fr-FR"/>
        </w:rPr>
        <w:t>air, on doit calculer la valeur moyenne à partir d</w:t>
      </w:r>
      <w:r w:rsidR="00DB4C2D">
        <w:rPr>
          <w:lang w:val="fr-FR"/>
        </w:rPr>
        <w:t>’</w:t>
      </w:r>
      <w:r w:rsidRPr="00A779B8">
        <w:rPr>
          <w:lang w:val="fr-FR"/>
        </w:rPr>
        <w:t xml:space="preserve">un certain nombre de points de mesure ainsi choisis: </w:t>
      </w:r>
    </w:p>
    <w:p w:rsidR="004A4405" w:rsidRDefault="004A4405" w:rsidP="004A4405">
      <w:pPr>
        <w:pStyle w:val="SingleTxtG"/>
        <w:ind w:left="2835" w:hanging="567"/>
        <w:rPr>
          <w:lang w:val="fr-FR"/>
        </w:rPr>
      </w:pPr>
      <w:r w:rsidRPr="00A779B8">
        <w:rPr>
          <w:lang w:val="fr-FR"/>
        </w:rPr>
        <w:t>a)</w:t>
      </w:r>
      <w:r w:rsidRPr="00A779B8">
        <w:rPr>
          <w:lang w:val="fr-FR"/>
        </w:rPr>
        <w:tab/>
        <w:t>Pour les ventilateurs à section de sortie rectangulaire, ils sont situés au centre de chacun des neuf rectangles obtenus en divisant la section totale de sortie en trois parties égales en largeur et en hauteur.</w:t>
      </w:r>
      <w:r w:rsidRPr="00A779B8">
        <w:rPr>
          <w:b/>
          <w:szCs w:val="24"/>
          <w:lang w:val="fr-FR"/>
        </w:rPr>
        <w:t xml:space="preserve"> </w:t>
      </w:r>
      <w:r w:rsidRPr="00A779B8">
        <w:rPr>
          <w:szCs w:val="24"/>
          <w:lang w:val="fr-FR"/>
        </w:rPr>
        <w:t xml:space="preserve">Le rectangle central ne doit pas être mesuré </w:t>
      </w:r>
      <w:r w:rsidRPr="00A779B8">
        <w:rPr>
          <w:lang w:val="fr-FR"/>
        </w:rPr>
        <w:t>(comme le montre le diagramme ci-dessous):</w:t>
      </w:r>
    </w:p>
    <w:tbl>
      <w:tblPr>
        <w:tblW w:w="5670" w:type="dxa"/>
        <w:tblInd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FFFF"/>
        <w:tblLayout w:type="fixed"/>
        <w:tblCellMar>
          <w:left w:w="0" w:type="dxa"/>
          <w:right w:w="0" w:type="dxa"/>
        </w:tblCellMar>
        <w:tblLook w:val="01E0" w:firstRow="1" w:lastRow="1" w:firstColumn="1" w:lastColumn="1" w:noHBand="0" w:noVBand="0"/>
      </w:tblPr>
      <w:tblGrid>
        <w:gridCol w:w="1890"/>
        <w:gridCol w:w="1890"/>
        <w:gridCol w:w="1890"/>
      </w:tblGrid>
      <w:tr w:rsidR="004A4405" w:rsidRPr="004A4405" w:rsidTr="004A4405">
        <w:trPr>
          <w:trHeight w:val="134"/>
        </w:trPr>
        <w:tc>
          <w:tcPr>
            <w:tcW w:w="1890" w:type="dxa"/>
            <w:shd w:val="clear" w:color="auto" w:fill="D9FFFF"/>
          </w:tcPr>
          <w:p w:rsidR="004A4405" w:rsidRPr="004A4405" w:rsidRDefault="004A4405" w:rsidP="004A4405">
            <w:pPr>
              <w:keepLines/>
              <w:kinsoku/>
              <w:overflowPunct/>
              <w:autoSpaceDE/>
              <w:autoSpaceDN/>
              <w:adjustRightInd/>
              <w:snapToGrid/>
              <w:spacing w:before="60" w:after="60"/>
              <w:jc w:val="center"/>
              <w:rPr>
                <w:rFonts w:eastAsia="Times New Roman"/>
                <w:b/>
                <w:sz w:val="40"/>
                <w:lang w:val="fr-FR"/>
              </w:rPr>
            </w:pPr>
            <w:r w:rsidRPr="004A4405">
              <w:rPr>
                <w:rFonts w:eastAsia="Times New Roman"/>
                <w:b/>
                <w:sz w:val="40"/>
                <w:lang w:val="fr-FR"/>
              </w:rPr>
              <w:t>+</w:t>
            </w:r>
          </w:p>
        </w:tc>
        <w:tc>
          <w:tcPr>
            <w:tcW w:w="1890" w:type="dxa"/>
            <w:shd w:val="clear" w:color="auto" w:fill="D9FFFF"/>
          </w:tcPr>
          <w:p w:rsidR="004A4405" w:rsidRPr="004A4405" w:rsidRDefault="004A4405" w:rsidP="004A4405">
            <w:pPr>
              <w:keepLines/>
              <w:kinsoku/>
              <w:overflowPunct/>
              <w:autoSpaceDE/>
              <w:autoSpaceDN/>
              <w:adjustRightInd/>
              <w:snapToGrid/>
              <w:spacing w:before="60" w:after="60"/>
              <w:jc w:val="center"/>
              <w:rPr>
                <w:rFonts w:eastAsia="Times New Roman"/>
                <w:b/>
                <w:sz w:val="40"/>
                <w:lang w:val="fr-FR"/>
              </w:rPr>
            </w:pPr>
            <w:r w:rsidRPr="004A4405">
              <w:rPr>
                <w:rFonts w:eastAsia="Times New Roman"/>
                <w:b/>
                <w:sz w:val="40"/>
                <w:lang w:val="fr-FR"/>
              </w:rPr>
              <w:t>+</w:t>
            </w:r>
          </w:p>
        </w:tc>
        <w:tc>
          <w:tcPr>
            <w:tcW w:w="1890" w:type="dxa"/>
            <w:shd w:val="clear" w:color="auto" w:fill="D9FFFF"/>
          </w:tcPr>
          <w:p w:rsidR="004A4405" w:rsidRPr="004A4405" w:rsidRDefault="004A4405" w:rsidP="004A4405">
            <w:pPr>
              <w:keepLines/>
              <w:kinsoku/>
              <w:overflowPunct/>
              <w:autoSpaceDE/>
              <w:autoSpaceDN/>
              <w:adjustRightInd/>
              <w:snapToGrid/>
              <w:spacing w:before="60" w:after="60"/>
              <w:jc w:val="center"/>
              <w:rPr>
                <w:rFonts w:eastAsia="Times New Roman"/>
                <w:b/>
                <w:sz w:val="40"/>
                <w:lang w:val="fr-FR"/>
              </w:rPr>
            </w:pPr>
            <w:r w:rsidRPr="004A4405">
              <w:rPr>
                <w:rFonts w:eastAsia="Times New Roman"/>
                <w:b/>
                <w:sz w:val="40"/>
                <w:lang w:val="fr-FR"/>
              </w:rPr>
              <w:t>+</w:t>
            </w:r>
          </w:p>
        </w:tc>
      </w:tr>
      <w:tr w:rsidR="004A4405" w:rsidRPr="004A4405" w:rsidTr="004A4405">
        <w:trPr>
          <w:trHeight w:val="134"/>
        </w:trPr>
        <w:tc>
          <w:tcPr>
            <w:tcW w:w="1890" w:type="dxa"/>
            <w:shd w:val="clear" w:color="auto" w:fill="D9FFFF"/>
          </w:tcPr>
          <w:p w:rsidR="004A4405" w:rsidRPr="004A4405" w:rsidRDefault="004A4405" w:rsidP="004A4405">
            <w:pPr>
              <w:keepLines/>
              <w:kinsoku/>
              <w:overflowPunct/>
              <w:autoSpaceDE/>
              <w:autoSpaceDN/>
              <w:adjustRightInd/>
              <w:snapToGrid/>
              <w:spacing w:before="60" w:after="60"/>
              <w:jc w:val="center"/>
              <w:rPr>
                <w:rFonts w:eastAsia="Times New Roman"/>
                <w:b/>
                <w:sz w:val="40"/>
                <w:lang w:val="fr-FR"/>
              </w:rPr>
            </w:pPr>
            <w:r w:rsidRPr="004A4405">
              <w:rPr>
                <w:rFonts w:eastAsia="Times New Roman"/>
                <w:b/>
                <w:sz w:val="40"/>
                <w:lang w:val="fr-FR"/>
              </w:rPr>
              <w:t>+</w:t>
            </w:r>
          </w:p>
        </w:tc>
        <w:tc>
          <w:tcPr>
            <w:tcW w:w="1890" w:type="dxa"/>
            <w:shd w:val="clear" w:color="auto" w:fill="D9FFFF"/>
          </w:tcPr>
          <w:p w:rsidR="004A4405" w:rsidRPr="004A4405" w:rsidRDefault="004A4405" w:rsidP="004A4405">
            <w:pPr>
              <w:keepLines/>
              <w:kinsoku/>
              <w:overflowPunct/>
              <w:autoSpaceDE/>
              <w:autoSpaceDN/>
              <w:adjustRightInd/>
              <w:snapToGrid/>
              <w:spacing w:before="60" w:after="60"/>
              <w:jc w:val="center"/>
              <w:rPr>
                <w:rFonts w:eastAsia="Times New Roman"/>
                <w:b/>
                <w:sz w:val="40"/>
                <w:lang w:val="fr-FR"/>
              </w:rPr>
            </w:pPr>
          </w:p>
        </w:tc>
        <w:tc>
          <w:tcPr>
            <w:tcW w:w="1890" w:type="dxa"/>
            <w:shd w:val="clear" w:color="auto" w:fill="D9FFFF"/>
          </w:tcPr>
          <w:p w:rsidR="004A4405" w:rsidRPr="004A4405" w:rsidRDefault="004A4405" w:rsidP="004A4405">
            <w:pPr>
              <w:keepLines/>
              <w:kinsoku/>
              <w:overflowPunct/>
              <w:autoSpaceDE/>
              <w:autoSpaceDN/>
              <w:adjustRightInd/>
              <w:snapToGrid/>
              <w:spacing w:before="60" w:after="60"/>
              <w:jc w:val="center"/>
              <w:rPr>
                <w:rFonts w:eastAsia="Times New Roman"/>
                <w:b/>
                <w:sz w:val="40"/>
                <w:lang w:val="fr-FR"/>
              </w:rPr>
            </w:pPr>
            <w:r w:rsidRPr="004A4405">
              <w:rPr>
                <w:rFonts w:eastAsia="Times New Roman"/>
                <w:b/>
                <w:sz w:val="40"/>
                <w:lang w:val="fr-FR"/>
              </w:rPr>
              <w:t>+</w:t>
            </w:r>
          </w:p>
        </w:tc>
      </w:tr>
      <w:tr w:rsidR="004A4405" w:rsidRPr="004A4405" w:rsidTr="004A4405">
        <w:trPr>
          <w:trHeight w:val="134"/>
        </w:trPr>
        <w:tc>
          <w:tcPr>
            <w:tcW w:w="1890" w:type="dxa"/>
            <w:shd w:val="clear" w:color="auto" w:fill="D9FFFF"/>
          </w:tcPr>
          <w:p w:rsidR="004A4405" w:rsidRPr="004A4405" w:rsidRDefault="004A4405" w:rsidP="004A4405">
            <w:pPr>
              <w:keepLines/>
              <w:kinsoku/>
              <w:overflowPunct/>
              <w:autoSpaceDE/>
              <w:autoSpaceDN/>
              <w:adjustRightInd/>
              <w:snapToGrid/>
              <w:spacing w:before="60" w:after="60"/>
              <w:jc w:val="center"/>
              <w:rPr>
                <w:rFonts w:eastAsia="Times New Roman"/>
                <w:b/>
                <w:sz w:val="40"/>
                <w:lang w:val="fr-FR"/>
              </w:rPr>
            </w:pPr>
            <w:r w:rsidRPr="004A4405">
              <w:rPr>
                <w:rFonts w:eastAsia="Times New Roman"/>
                <w:b/>
                <w:sz w:val="40"/>
                <w:lang w:val="fr-FR"/>
              </w:rPr>
              <w:t>+</w:t>
            </w:r>
          </w:p>
        </w:tc>
        <w:tc>
          <w:tcPr>
            <w:tcW w:w="1890" w:type="dxa"/>
            <w:shd w:val="clear" w:color="auto" w:fill="D9FFFF"/>
          </w:tcPr>
          <w:p w:rsidR="004A4405" w:rsidRPr="004A4405" w:rsidRDefault="004A4405" w:rsidP="004A4405">
            <w:pPr>
              <w:keepLines/>
              <w:kinsoku/>
              <w:overflowPunct/>
              <w:autoSpaceDE/>
              <w:autoSpaceDN/>
              <w:adjustRightInd/>
              <w:snapToGrid/>
              <w:spacing w:before="60" w:after="60"/>
              <w:jc w:val="center"/>
              <w:rPr>
                <w:rFonts w:eastAsia="Times New Roman"/>
                <w:b/>
                <w:sz w:val="40"/>
                <w:lang w:val="fr-FR"/>
              </w:rPr>
            </w:pPr>
            <w:r w:rsidRPr="004A4405">
              <w:rPr>
                <w:rFonts w:eastAsia="Times New Roman"/>
                <w:b/>
                <w:sz w:val="40"/>
                <w:lang w:val="fr-FR"/>
              </w:rPr>
              <w:t>+</w:t>
            </w:r>
          </w:p>
        </w:tc>
        <w:tc>
          <w:tcPr>
            <w:tcW w:w="1890" w:type="dxa"/>
            <w:shd w:val="clear" w:color="auto" w:fill="D9FFFF"/>
          </w:tcPr>
          <w:p w:rsidR="004A4405" w:rsidRPr="004A4405" w:rsidRDefault="004A4405" w:rsidP="004A4405">
            <w:pPr>
              <w:keepLines/>
              <w:tabs>
                <w:tab w:val="left" w:pos="450"/>
                <w:tab w:val="center" w:pos="845"/>
              </w:tabs>
              <w:kinsoku/>
              <w:overflowPunct/>
              <w:autoSpaceDE/>
              <w:autoSpaceDN/>
              <w:adjustRightInd/>
              <w:snapToGrid/>
              <w:spacing w:before="60" w:after="60"/>
              <w:jc w:val="center"/>
              <w:rPr>
                <w:rFonts w:eastAsia="Times New Roman"/>
                <w:b/>
                <w:sz w:val="40"/>
                <w:lang w:val="fr-FR"/>
              </w:rPr>
            </w:pPr>
            <w:r w:rsidRPr="004A4405">
              <w:rPr>
                <w:rFonts w:eastAsia="Times New Roman"/>
                <w:b/>
                <w:sz w:val="40"/>
                <w:lang w:val="fr-FR"/>
              </w:rPr>
              <w:t>+</w:t>
            </w:r>
          </w:p>
        </w:tc>
      </w:tr>
    </w:tbl>
    <w:p w:rsidR="004A4405" w:rsidRDefault="004A4405" w:rsidP="004A4405">
      <w:pPr>
        <w:pStyle w:val="SingleTxtG"/>
        <w:spacing w:before="120"/>
        <w:ind w:left="2835" w:hanging="567"/>
        <w:rPr>
          <w:lang w:val="fr-FR"/>
        </w:rPr>
      </w:pPr>
      <w:r w:rsidRPr="004A4405">
        <w:rPr>
          <w:lang w:val="fr-FR"/>
        </w:rPr>
        <w:t>b)</w:t>
      </w:r>
      <w:r w:rsidRPr="004A4405">
        <w:rPr>
          <w:lang w:val="fr-FR"/>
        </w:rPr>
        <w:tab/>
        <w:t>Pour les ventilateurs à section de sortie circulaire, la section de sortie doit être divisée en huit secteurs angulaires de 22,5° d</w:t>
      </w:r>
      <w:r w:rsidR="00DB4C2D">
        <w:rPr>
          <w:lang w:val="fr-FR"/>
        </w:rPr>
        <w:t>’</w:t>
      </w:r>
      <w:r w:rsidRPr="004A4405">
        <w:rPr>
          <w:lang w:val="fr-FR"/>
        </w:rPr>
        <w:t xml:space="preserve">arc par des axes verticaux, horizontaux et à 45°. Les points de mesure sont </w:t>
      </w:r>
      <w:r w:rsidRPr="004A4405">
        <w:rPr>
          <w:szCs w:val="24"/>
          <w:lang w:val="fr-FR"/>
        </w:rPr>
        <w:t>situés</w:t>
      </w:r>
      <w:r w:rsidRPr="004A4405">
        <w:rPr>
          <w:lang w:val="fr-FR"/>
        </w:rPr>
        <w:t xml:space="preserve"> sur </w:t>
      </w:r>
      <w:r w:rsidRPr="004A4405">
        <w:rPr>
          <w:lang w:val="fr-FR"/>
        </w:rPr>
        <w:lastRenderedPageBreak/>
        <w:t>l</w:t>
      </w:r>
      <w:r w:rsidR="00DB4C2D">
        <w:rPr>
          <w:lang w:val="fr-FR"/>
        </w:rPr>
        <w:t>’</w:t>
      </w:r>
      <w:r w:rsidRPr="004A4405">
        <w:rPr>
          <w:lang w:val="fr-FR"/>
        </w:rPr>
        <w:t>axe médian de chaque secteur à deux tiers du rayon par rapport au centre (comme indiqué dans le diagramme ci-dessous).</w:t>
      </w:r>
    </w:p>
    <w:p w:rsidR="004A4405" w:rsidRDefault="009D55DD" w:rsidP="004A4405">
      <w:pPr>
        <w:ind w:left="2835"/>
      </w:pPr>
      <w:r>
        <w:rPr>
          <w:noProof/>
          <w:lang w:val="en-US"/>
        </w:rPr>
        <w:drawing>
          <wp:inline distT="0" distB="0" distL="0" distR="0">
            <wp:extent cx="1535430" cy="154432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35430" cy="1544320"/>
                    </a:xfrm>
                    <a:prstGeom prst="rect">
                      <a:avLst/>
                    </a:prstGeom>
                    <a:noFill/>
                    <a:ln>
                      <a:noFill/>
                    </a:ln>
                  </pic:spPr>
                </pic:pic>
              </a:graphicData>
            </a:graphic>
          </wp:inline>
        </w:drawing>
      </w:r>
    </w:p>
    <w:p w:rsidR="009F7CF6" w:rsidRPr="00A779B8" w:rsidRDefault="009F7CF6" w:rsidP="009F7CF6">
      <w:pPr>
        <w:pStyle w:val="SingleTxtG"/>
        <w:spacing w:before="240"/>
        <w:ind w:left="2268"/>
        <w:rPr>
          <w:lang w:val="fr-FR"/>
        </w:rPr>
      </w:pPr>
      <w:r w:rsidRPr="00A779B8">
        <w:rPr>
          <w:lang w:val="fr-FR"/>
        </w:rPr>
        <w:t>Aucun véhicule ni aucun autre objet ne doit se trouver devant le ventilateur lors des mesures.</w:t>
      </w:r>
    </w:p>
    <w:p w:rsidR="009F7CF6" w:rsidRPr="00A779B8" w:rsidRDefault="009F7CF6" w:rsidP="009F7CF6">
      <w:pPr>
        <w:pStyle w:val="SingleTxtG"/>
        <w:ind w:left="2268"/>
        <w:rPr>
          <w:lang w:val="fr-FR"/>
        </w:rPr>
      </w:pPr>
      <w:r w:rsidRPr="00A779B8">
        <w:rPr>
          <w:lang w:val="fr-FR"/>
        </w:rPr>
        <w:t>Le dispositif utilisé pour mesurer la vitesse linéaire de l</w:t>
      </w:r>
      <w:r w:rsidR="00DB4C2D">
        <w:rPr>
          <w:lang w:val="fr-FR"/>
        </w:rPr>
        <w:t>’</w:t>
      </w:r>
      <w:r w:rsidRPr="00A779B8">
        <w:rPr>
          <w:lang w:val="fr-FR"/>
        </w:rPr>
        <w:t>air doit être situé à une distance de 0 à 20 cm de l</w:t>
      </w:r>
      <w:r w:rsidR="00DB4C2D">
        <w:rPr>
          <w:lang w:val="fr-FR"/>
        </w:rPr>
        <w:t>’</w:t>
      </w:r>
      <w:r w:rsidRPr="00A779B8">
        <w:rPr>
          <w:lang w:val="fr-FR"/>
        </w:rPr>
        <w:t>orifice de sortie.</w:t>
      </w:r>
    </w:p>
    <w:p w:rsidR="009F7CF6" w:rsidRPr="00A779B8" w:rsidRDefault="009F7CF6" w:rsidP="009F7CF6">
      <w:pPr>
        <w:pStyle w:val="SingleTxtG"/>
        <w:ind w:left="2282" w:hanging="14"/>
        <w:rPr>
          <w:lang w:val="fr-FR"/>
        </w:rPr>
      </w:pPr>
      <w:r w:rsidRPr="00A779B8">
        <w:rPr>
          <w:lang w:val="fr-FR"/>
        </w:rPr>
        <w:t>La section de sortie de la soufflante doit avoir les caractéristiques suivantes:</w:t>
      </w:r>
    </w:p>
    <w:p w:rsidR="009F7CF6" w:rsidRPr="00A779B8" w:rsidRDefault="009F7CF6" w:rsidP="009F7CF6">
      <w:pPr>
        <w:pStyle w:val="SingleTxtG"/>
        <w:ind w:firstLine="1134"/>
        <w:rPr>
          <w:lang w:val="fr-FR"/>
        </w:rPr>
      </w:pPr>
      <w:r w:rsidRPr="00A779B8">
        <w:rPr>
          <w:lang w:val="fr-FR"/>
        </w:rPr>
        <w:t>a)</w:t>
      </w:r>
      <w:r w:rsidRPr="00A779B8">
        <w:rPr>
          <w:lang w:val="fr-FR"/>
        </w:rPr>
        <w:tab/>
        <w:t>Surface: 0,2 m</w:t>
      </w:r>
      <w:r w:rsidRPr="00A779B8">
        <w:rPr>
          <w:vertAlign w:val="superscript"/>
          <w:lang w:val="fr-FR"/>
        </w:rPr>
        <w:t>2</w:t>
      </w:r>
      <w:r w:rsidRPr="00A779B8">
        <w:rPr>
          <w:lang w:val="fr-FR"/>
        </w:rPr>
        <w:t xml:space="preserve"> au moins;</w:t>
      </w:r>
    </w:p>
    <w:p w:rsidR="009F7CF6" w:rsidRPr="00A779B8" w:rsidRDefault="009F7CF6" w:rsidP="009F7CF6">
      <w:pPr>
        <w:pStyle w:val="SingleTxtG"/>
        <w:ind w:firstLine="1134"/>
        <w:rPr>
          <w:lang w:val="fr-FR"/>
        </w:rPr>
      </w:pPr>
      <w:r w:rsidRPr="00A779B8">
        <w:rPr>
          <w:lang w:val="fr-FR"/>
        </w:rPr>
        <w:t>b)</w:t>
      </w:r>
      <w:r w:rsidRPr="00A779B8">
        <w:rPr>
          <w:lang w:val="fr-FR"/>
        </w:rPr>
        <w:tab/>
        <w:t>Hauteur du bord inférieur au-dessus du sol: environ 0,2 m;</w:t>
      </w:r>
    </w:p>
    <w:p w:rsidR="009F7CF6" w:rsidRPr="00A779B8" w:rsidRDefault="009F7CF6" w:rsidP="009F7CF6">
      <w:pPr>
        <w:pStyle w:val="SingleTxtG"/>
        <w:ind w:firstLine="1134"/>
        <w:rPr>
          <w:lang w:val="fr-FR"/>
        </w:rPr>
      </w:pPr>
      <w:r w:rsidRPr="00A779B8">
        <w:rPr>
          <w:lang w:val="fr-FR"/>
        </w:rPr>
        <w:t>c)</w:t>
      </w:r>
      <w:r w:rsidRPr="00A779B8">
        <w:rPr>
          <w:lang w:val="fr-FR"/>
        </w:rPr>
        <w:tab/>
        <w:t>Distance par rapport à l</w:t>
      </w:r>
      <w:r w:rsidR="00DB4C2D">
        <w:rPr>
          <w:lang w:val="fr-FR"/>
        </w:rPr>
        <w:t>’</w:t>
      </w:r>
      <w:r w:rsidRPr="00A779B8">
        <w:rPr>
          <w:lang w:val="fr-FR"/>
        </w:rPr>
        <w:t>avant du véhicule: environ 0,3 m.</w:t>
      </w:r>
    </w:p>
    <w:p w:rsidR="009F7CF6" w:rsidRPr="00A779B8" w:rsidRDefault="009F7CF6" w:rsidP="009F7CF6">
      <w:pPr>
        <w:pStyle w:val="SingleTxtG"/>
        <w:ind w:left="2268"/>
        <w:rPr>
          <w:lang w:val="fr-FR"/>
        </w:rPr>
      </w:pPr>
      <w:r w:rsidRPr="00A779B8">
        <w:rPr>
          <w:lang w:val="fr-FR"/>
        </w:rPr>
        <w:t>La hauteur et la position latérale du ventilateur de refroidissement peuvent également être modifiées à la demande du constructeur et lorsque l</w:t>
      </w:r>
      <w:r w:rsidR="00DB4C2D">
        <w:rPr>
          <w:lang w:val="fr-FR"/>
        </w:rPr>
        <w:t>’</w:t>
      </w:r>
      <w:r w:rsidRPr="00A779B8">
        <w:rPr>
          <w:lang w:val="fr-FR"/>
        </w:rPr>
        <w:t>autorité d</w:t>
      </w:r>
      <w:r w:rsidR="00DB4C2D">
        <w:rPr>
          <w:lang w:val="fr-FR"/>
        </w:rPr>
        <w:t>’</w:t>
      </w:r>
      <w:r w:rsidRPr="00A779B8">
        <w:rPr>
          <w:lang w:val="fr-FR"/>
        </w:rPr>
        <w:t>homologation de type le juge approprié.</w:t>
      </w:r>
    </w:p>
    <w:p w:rsidR="009F7CF6" w:rsidRPr="00A779B8" w:rsidRDefault="009F7CF6" w:rsidP="009F7CF6">
      <w:pPr>
        <w:pStyle w:val="SingleTxtG"/>
        <w:ind w:left="2268"/>
        <w:rPr>
          <w:lang w:val="fr-FR"/>
        </w:rPr>
      </w:pPr>
      <w:r w:rsidRPr="00A779B8">
        <w:rPr>
          <w:lang w:val="fr-FR"/>
        </w:rPr>
        <w:t>Dans les cas décrits ci-dessus, la position et la configuration du ventilateur de refroidissement doivent être consignées dans le procès-verbal d</w:t>
      </w:r>
      <w:r w:rsidR="00DB4C2D">
        <w:rPr>
          <w:lang w:val="fr-FR"/>
        </w:rPr>
        <w:t>’</w:t>
      </w:r>
      <w:r w:rsidRPr="00A779B8">
        <w:rPr>
          <w:lang w:val="fr-FR"/>
        </w:rPr>
        <w:t>homologation et être utilisées lors des essais de conformité de la production et de conformité en service.</w:t>
      </w:r>
    </w:p>
    <w:p w:rsidR="009F7CF6" w:rsidRPr="00A779B8" w:rsidRDefault="009F7CF6" w:rsidP="009F7CF6">
      <w:pPr>
        <w:pStyle w:val="SingleTxtG"/>
        <w:keepNext/>
        <w:ind w:left="2268" w:hanging="1134"/>
        <w:jc w:val="left"/>
        <w:rPr>
          <w:lang w:val="fr-FR"/>
        </w:rPr>
      </w:pPr>
      <w:r w:rsidRPr="00A779B8">
        <w:rPr>
          <w:lang w:val="fr-FR"/>
        </w:rPr>
        <w:t>4.</w:t>
      </w:r>
      <w:r w:rsidRPr="00A779B8">
        <w:rPr>
          <w:lang w:val="fr-FR"/>
        </w:rPr>
        <w:tab/>
        <w:t>Appareillage d</w:t>
      </w:r>
      <w:r w:rsidR="00DB4C2D">
        <w:rPr>
          <w:lang w:val="fr-FR"/>
        </w:rPr>
        <w:t>’</w:t>
      </w:r>
      <w:r w:rsidRPr="00A779B8">
        <w:rPr>
          <w:lang w:val="fr-FR"/>
        </w:rPr>
        <w:t>essai</w:t>
      </w:r>
    </w:p>
    <w:p w:rsidR="009F7CF6" w:rsidRPr="00A779B8" w:rsidRDefault="009F7CF6" w:rsidP="009F7CF6">
      <w:pPr>
        <w:pStyle w:val="SingleTxtG"/>
        <w:keepNext/>
        <w:ind w:left="2268" w:hanging="1134"/>
        <w:jc w:val="left"/>
        <w:rPr>
          <w:u w:val="single"/>
          <w:lang w:val="fr-FR"/>
        </w:rPr>
      </w:pPr>
      <w:r w:rsidRPr="00A779B8">
        <w:rPr>
          <w:lang w:val="fr-FR"/>
        </w:rPr>
        <w:t>4.1</w:t>
      </w:r>
      <w:r w:rsidRPr="00A779B8">
        <w:rPr>
          <w:lang w:val="fr-FR"/>
        </w:rPr>
        <w:tab/>
        <w:t>Banc à rouleaux</w:t>
      </w:r>
    </w:p>
    <w:p w:rsidR="009F7CF6" w:rsidRPr="00A779B8" w:rsidRDefault="009F7CF6" w:rsidP="009F7CF6">
      <w:pPr>
        <w:pStyle w:val="SingleTxtG"/>
        <w:ind w:left="2268"/>
        <w:rPr>
          <w:lang w:val="fr-FR"/>
        </w:rPr>
      </w:pPr>
      <w:r w:rsidRPr="00A779B8">
        <w:rPr>
          <w:lang w:val="fr-FR"/>
        </w:rPr>
        <w:tab/>
        <w:t>Les prescriptions concernant le banc à rouleaux figurent à l</w:t>
      </w:r>
      <w:r w:rsidR="00DB4C2D">
        <w:rPr>
          <w:lang w:val="fr-FR"/>
        </w:rPr>
        <w:t>’</w:t>
      </w:r>
      <w:r w:rsidRPr="00A779B8">
        <w:rPr>
          <w:lang w:val="fr-FR"/>
        </w:rPr>
        <w:t>appendice 1 de la présente annexe.</w:t>
      </w:r>
    </w:p>
    <w:p w:rsidR="009F7CF6" w:rsidRPr="00A779B8" w:rsidRDefault="009F7CF6" w:rsidP="009F7CF6">
      <w:pPr>
        <w:pStyle w:val="SingleTxtG"/>
        <w:keepNext/>
        <w:ind w:left="2268" w:hanging="1134"/>
        <w:jc w:val="left"/>
        <w:rPr>
          <w:u w:val="single"/>
          <w:lang w:val="fr-FR"/>
        </w:rPr>
      </w:pPr>
      <w:r w:rsidRPr="00A779B8">
        <w:rPr>
          <w:lang w:val="fr-FR"/>
        </w:rPr>
        <w:t>4.2</w:t>
      </w:r>
      <w:r w:rsidRPr="00A779B8">
        <w:rPr>
          <w:lang w:val="fr-FR"/>
        </w:rPr>
        <w:tab/>
        <w:t>Système de dilution des émissions d</w:t>
      </w:r>
      <w:r w:rsidR="00DB4C2D">
        <w:rPr>
          <w:lang w:val="fr-FR"/>
        </w:rPr>
        <w:t>’</w:t>
      </w:r>
      <w:r w:rsidRPr="00A779B8">
        <w:rPr>
          <w:lang w:val="fr-FR"/>
        </w:rPr>
        <w:t>échappement</w:t>
      </w:r>
    </w:p>
    <w:p w:rsidR="009F7CF6" w:rsidRPr="00A779B8" w:rsidRDefault="009F7CF6" w:rsidP="009F7CF6">
      <w:pPr>
        <w:pStyle w:val="SingleTxtG"/>
        <w:ind w:left="2268"/>
        <w:rPr>
          <w:lang w:val="fr-FR"/>
        </w:rPr>
      </w:pPr>
      <w:r w:rsidRPr="00A779B8">
        <w:rPr>
          <w:lang w:val="fr-FR"/>
        </w:rPr>
        <w:tab/>
        <w:t>Les prescriptions concernant le système de dilution des émissions d</w:t>
      </w:r>
      <w:r w:rsidR="00DB4C2D">
        <w:rPr>
          <w:lang w:val="fr-FR"/>
        </w:rPr>
        <w:t>’</w:t>
      </w:r>
      <w:r w:rsidRPr="00A779B8">
        <w:rPr>
          <w:lang w:val="fr-FR"/>
        </w:rPr>
        <w:t>échappement figurent à l</w:t>
      </w:r>
      <w:r w:rsidR="00DB4C2D">
        <w:rPr>
          <w:lang w:val="fr-FR"/>
        </w:rPr>
        <w:t>’</w:t>
      </w:r>
      <w:r w:rsidRPr="00A779B8">
        <w:rPr>
          <w:lang w:val="fr-FR"/>
        </w:rPr>
        <w:t>appendice 2 de la présente annexe.</w:t>
      </w:r>
    </w:p>
    <w:p w:rsidR="009F7CF6" w:rsidRPr="00A779B8" w:rsidRDefault="009F7CF6" w:rsidP="009F7CF6">
      <w:pPr>
        <w:pStyle w:val="SingleTxtG"/>
        <w:keepNext/>
        <w:ind w:left="2268" w:hanging="1134"/>
        <w:jc w:val="left"/>
        <w:rPr>
          <w:u w:val="single"/>
          <w:lang w:val="fr-FR"/>
        </w:rPr>
      </w:pPr>
      <w:r w:rsidRPr="00A779B8">
        <w:rPr>
          <w:lang w:val="fr-FR"/>
        </w:rPr>
        <w:t>4.3</w:t>
      </w:r>
      <w:r w:rsidRPr="00A779B8">
        <w:rPr>
          <w:lang w:val="fr-FR"/>
        </w:rPr>
        <w:tab/>
        <w:t>Prélèvement et analyse des émissions gazeuses</w:t>
      </w:r>
    </w:p>
    <w:p w:rsidR="009F7CF6" w:rsidRPr="00A779B8" w:rsidRDefault="009F7CF6" w:rsidP="009F7CF6">
      <w:pPr>
        <w:pStyle w:val="SingleTxtG"/>
        <w:ind w:left="2268"/>
        <w:rPr>
          <w:lang w:val="fr-FR"/>
        </w:rPr>
      </w:pPr>
      <w:r w:rsidRPr="00A779B8">
        <w:rPr>
          <w:lang w:val="fr-FR"/>
        </w:rPr>
        <w:tab/>
        <w:t>Les prescriptions concernant l</w:t>
      </w:r>
      <w:r w:rsidR="00DB4C2D">
        <w:rPr>
          <w:lang w:val="fr-FR"/>
        </w:rPr>
        <w:t>’</w:t>
      </w:r>
      <w:r w:rsidRPr="00A779B8">
        <w:rPr>
          <w:lang w:val="fr-FR"/>
        </w:rPr>
        <w:t>appareillage de prélèvement et d</w:t>
      </w:r>
      <w:r w:rsidR="00DB4C2D">
        <w:rPr>
          <w:lang w:val="fr-FR"/>
        </w:rPr>
        <w:t>’</w:t>
      </w:r>
      <w:r w:rsidRPr="00A779B8">
        <w:rPr>
          <w:lang w:val="fr-FR"/>
        </w:rPr>
        <w:t>analyse des émissions gazeuses figurent à l</w:t>
      </w:r>
      <w:r w:rsidR="00DB4C2D">
        <w:rPr>
          <w:lang w:val="fr-FR"/>
        </w:rPr>
        <w:t>’</w:t>
      </w:r>
      <w:r w:rsidRPr="00A779B8">
        <w:rPr>
          <w:lang w:val="fr-FR"/>
        </w:rPr>
        <w:t>appendice 3 de la présente annexe.</w:t>
      </w:r>
    </w:p>
    <w:p w:rsidR="009F7CF6" w:rsidRPr="00A779B8" w:rsidRDefault="009F7CF6" w:rsidP="009F7CF6">
      <w:pPr>
        <w:pStyle w:val="SingleTxtG"/>
        <w:keepNext/>
        <w:ind w:left="2268" w:hanging="1134"/>
        <w:rPr>
          <w:lang w:val="fr-FR"/>
        </w:rPr>
      </w:pPr>
      <w:r w:rsidRPr="00A779B8">
        <w:rPr>
          <w:lang w:val="fr-FR"/>
        </w:rPr>
        <w:t>4.4</w:t>
      </w:r>
      <w:r w:rsidRPr="00A779B8">
        <w:rPr>
          <w:lang w:val="fr-FR"/>
        </w:rPr>
        <w:tab/>
        <w:t>Appareillage de mesure de la masse de particules émises</w:t>
      </w:r>
    </w:p>
    <w:p w:rsidR="009F7CF6" w:rsidRPr="00A779B8" w:rsidRDefault="009F7CF6" w:rsidP="009F7CF6">
      <w:pPr>
        <w:pStyle w:val="SingleTxtG"/>
        <w:ind w:left="2268"/>
        <w:rPr>
          <w:lang w:val="fr-FR"/>
        </w:rPr>
      </w:pPr>
      <w:r w:rsidRPr="00A779B8">
        <w:rPr>
          <w:lang w:val="fr-FR"/>
        </w:rPr>
        <w:tab/>
        <w:t>Les prescriptions concernant le prélèvement et la mesure de la masse de particules figurent à l</w:t>
      </w:r>
      <w:r w:rsidR="00DB4C2D">
        <w:rPr>
          <w:lang w:val="fr-FR"/>
        </w:rPr>
        <w:t>’</w:t>
      </w:r>
      <w:r w:rsidRPr="00A779B8">
        <w:rPr>
          <w:lang w:val="fr-FR"/>
        </w:rPr>
        <w:t>appendice 4 de la présente annexe.</w:t>
      </w:r>
    </w:p>
    <w:p w:rsidR="009F7CF6" w:rsidRPr="00A779B8" w:rsidRDefault="009F7CF6" w:rsidP="009F7CF6">
      <w:pPr>
        <w:pStyle w:val="SingleTxtG"/>
        <w:keepNext/>
        <w:ind w:left="2268" w:hanging="1134"/>
        <w:jc w:val="left"/>
        <w:rPr>
          <w:lang w:val="fr-FR"/>
        </w:rPr>
      </w:pPr>
      <w:r w:rsidRPr="00A779B8">
        <w:rPr>
          <w:lang w:val="fr-FR"/>
        </w:rPr>
        <w:lastRenderedPageBreak/>
        <w:t>4.5</w:t>
      </w:r>
      <w:r w:rsidRPr="00A779B8">
        <w:rPr>
          <w:lang w:val="fr-FR"/>
        </w:rPr>
        <w:tab/>
        <w:t>Appareillage de mesure du nombre de particules émises</w:t>
      </w:r>
    </w:p>
    <w:p w:rsidR="009F7CF6" w:rsidRPr="00A779B8" w:rsidRDefault="009F7CF6" w:rsidP="009F7CF6">
      <w:pPr>
        <w:pStyle w:val="SingleTxtG"/>
        <w:ind w:left="2268"/>
        <w:rPr>
          <w:lang w:val="fr-FR"/>
        </w:rPr>
      </w:pPr>
      <w:r w:rsidRPr="00A779B8">
        <w:rPr>
          <w:lang w:val="fr-FR"/>
        </w:rPr>
        <w:tab/>
        <w:t>Les prescriptions concernant le prélèvement et la mesure du nombre de particules figurent à l</w:t>
      </w:r>
      <w:r w:rsidR="00DB4C2D">
        <w:rPr>
          <w:lang w:val="fr-FR"/>
        </w:rPr>
        <w:t>’</w:t>
      </w:r>
      <w:r w:rsidRPr="00A779B8">
        <w:rPr>
          <w:lang w:val="fr-FR"/>
        </w:rPr>
        <w:t>appendice 5 de la présente annexe.</w:t>
      </w:r>
    </w:p>
    <w:p w:rsidR="009F7CF6" w:rsidRPr="00A779B8" w:rsidRDefault="009F7CF6" w:rsidP="009F7CF6">
      <w:pPr>
        <w:pStyle w:val="SingleTxtG"/>
        <w:keepNext/>
        <w:ind w:left="2268" w:hanging="1134"/>
        <w:rPr>
          <w:lang w:val="fr-FR"/>
        </w:rPr>
      </w:pPr>
      <w:r w:rsidRPr="00A779B8">
        <w:rPr>
          <w:lang w:val="fr-FR"/>
        </w:rPr>
        <w:t>4.6</w:t>
      </w:r>
      <w:r w:rsidRPr="00A779B8">
        <w:rPr>
          <w:lang w:val="fr-FR"/>
        </w:rPr>
        <w:tab/>
        <w:t>Équipement général de la chambre d</w:t>
      </w:r>
      <w:r w:rsidR="00DB4C2D">
        <w:rPr>
          <w:lang w:val="fr-FR"/>
        </w:rPr>
        <w:t>’</w:t>
      </w:r>
      <w:r w:rsidRPr="00A779B8">
        <w:rPr>
          <w:lang w:val="fr-FR"/>
        </w:rPr>
        <w:t xml:space="preserve">essai </w:t>
      </w:r>
    </w:p>
    <w:p w:rsidR="009F7CF6" w:rsidRPr="00A779B8" w:rsidRDefault="009F7CF6" w:rsidP="009F7CF6">
      <w:pPr>
        <w:pStyle w:val="SingleTxtG"/>
        <w:keepNext/>
        <w:ind w:left="2268"/>
        <w:rPr>
          <w:lang w:val="fr-FR"/>
        </w:rPr>
      </w:pPr>
      <w:r w:rsidRPr="00A779B8">
        <w:rPr>
          <w:lang w:val="fr-FR"/>
        </w:rPr>
        <w:tab/>
        <w:t>Les températures suivantes doivent être mesurées avec une précision de </w:t>
      </w:r>
      <w:r w:rsidRPr="00A779B8">
        <w:rPr>
          <w:lang w:val="fr-FR"/>
        </w:rPr>
        <w:sym w:font="Symbol" w:char="F0B1"/>
      </w:r>
      <w:r w:rsidRPr="00A779B8">
        <w:rPr>
          <w:lang w:val="fr-FR"/>
        </w:rPr>
        <w:t>1,5 K:</w:t>
      </w:r>
    </w:p>
    <w:p w:rsidR="009F7CF6" w:rsidRPr="00A779B8" w:rsidRDefault="009F7CF6" w:rsidP="009F7CF6">
      <w:pPr>
        <w:pStyle w:val="SingleTxtG"/>
        <w:ind w:left="2268"/>
        <w:rPr>
          <w:lang w:val="fr-FR"/>
        </w:rPr>
      </w:pPr>
      <w:r w:rsidRPr="00A779B8">
        <w:rPr>
          <w:lang w:val="fr-FR"/>
        </w:rPr>
        <w:t>a)</w:t>
      </w:r>
      <w:r w:rsidRPr="00A779B8">
        <w:rPr>
          <w:lang w:val="fr-FR"/>
        </w:rPr>
        <w:tab/>
        <w:t>Température de l</w:t>
      </w:r>
      <w:r w:rsidR="00DB4C2D">
        <w:rPr>
          <w:lang w:val="fr-FR"/>
        </w:rPr>
        <w:t>’</w:t>
      </w:r>
      <w:r w:rsidRPr="00A779B8">
        <w:rPr>
          <w:lang w:val="fr-FR"/>
        </w:rPr>
        <w:t>air ambiant de la chambre d</w:t>
      </w:r>
      <w:r w:rsidR="00DB4C2D">
        <w:rPr>
          <w:lang w:val="fr-FR"/>
        </w:rPr>
        <w:t>’</w:t>
      </w:r>
      <w:r w:rsidRPr="00A779B8">
        <w:rPr>
          <w:lang w:val="fr-FR"/>
        </w:rPr>
        <w:t>essai;</w:t>
      </w:r>
    </w:p>
    <w:p w:rsidR="009F7CF6" w:rsidRPr="00A779B8" w:rsidRDefault="009F7CF6" w:rsidP="009F7CF6">
      <w:pPr>
        <w:pStyle w:val="SingleTxtG"/>
        <w:ind w:left="2268"/>
        <w:rPr>
          <w:lang w:val="fr-FR"/>
        </w:rPr>
      </w:pPr>
      <w:r w:rsidRPr="00A779B8">
        <w:rPr>
          <w:lang w:val="fr-FR"/>
        </w:rPr>
        <w:tab/>
        <w:t>b)</w:t>
      </w:r>
      <w:r w:rsidRPr="00A779B8">
        <w:rPr>
          <w:lang w:val="fr-FR"/>
        </w:rPr>
        <w:tab/>
        <w:t>Température de l</w:t>
      </w:r>
      <w:r w:rsidR="00DB4C2D">
        <w:rPr>
          <w:lang w:val="fr-FR"/>
        </w:rPr>
        <w:t>’</w:t>
      </w:r>
      <w:r w:rsidRPr="00A779B8">
        <w:rPr>
          <w:lang w:val="fr-FR"/>
        </w:rPr>
        <w:t>air admis dans le moteur;</w:t>
      </w:r>
    </w:p>
    <w:p w:rsidR="009F7CF6" w:rsidRPr="00A779B8" w:rsidRDefault="009F7CF6" w:rsidP="009F7CF6">
      <w:pPr>
        <w:pStyle w:val="SingleTxtG"/>
        <w:ind w:left="2835" w:hanging="567"/>
        <w:rPr>
          <w:lang w:val="fr-FR"/>
        </w:rPr>
      </w:pPr>
      <w:r w:rsidRPr="00A779B8">
        <w:rPr>
          <w:lang w:val="fr-FR"/>
        </w:rPr>
        <w:t>c)</w:t>
      </w:r>
      <w:r w:rsidRPr="00A779B8">
        <w:rPr>
          <w:lang w:val="fr-FR"/>
        </w:rPr>
        <w:tab/>
        <w:t>Températures des systèmes de dilution et de prélèvement conformément aux dispositions applicables aux systèmes de mesure des émissions définis aux appendices 2 à 5 de la présente annexe.</w:t>
      </w:r>
    </w:p>
    <w:p w:rsidR="009F7CF6" w:rsidRPr="00A779B8" w:rsidRDefault="009F7CF6" w:rsidP="009F7CF6">
      <w:pPr>
        <w:pStyle w:val="SingleTxtG"/>
        <w:ind w:left="2268"/>
        <w:rPr>
          <w:lang w:val="fr-FR"/>
        </w:rPr>
      </w:pPr>
      <w:r w:rsidRPr="00A779B8">
        <w:rPr>
          <w:lang w:val="fr-FR"/>
        </w:rPr>
        <w:tab/>
        <w:t xml:space="preserve">La pression atmosphérique doit pouvoir être mesurée avec une précision de </w:t>
      </w:r>
      <w:r w:rsidRPr="00A779B8">
        <w:rPr>
          <w:lang w:val="fr-FR"/>
        </w:rPr>
        <w:sym w:font="Symbol" w:char="F0B1"/>
      </w:r>
      <w:r w:rsidRPr="00A779B8">
        <w:rPr>
          <w:lang w:val="fr-FR"/>
        </w:rPr>
        <w:t>0,1 kPa.</w:t>
      </w:r>
    </w:p>
    <w:p w:rsidR="009F7CF6" w:rsidRPr="00A779B8" w:rsidRDefault="009F7CF6" w:rsidP="009F7CF6">
      <w:pPr>
        <w:pStyle w:val="SingleTxtG"/>
        <w:ind w:left="2268"/>
        <w:rPr>
          <w:lang w:val="fr-FR"/>
        </w:rPr>
      </w:pPr>
      <w:r w:rsidRPr="00A779B8">
        <w:rPr>
          <w:lang w:val="fr-FR"/>
        </w:rPr>
        <w:tab/>
        <w:t>L</w:t>
      </w:r>
      <w:r w:rsidR="00DB4C2D">
        <w:rPr>
          <w:lang w:val="fr-FR"/>
        </w:rPr>
        <w:t>’</w:t>
      </w:r>
      <w:r w:rsidRPr="00A779B8">
        <w:rPr>
          <w:lang w:val="fr-FR"/>
        </w:rPr>
        <w:t xml:space="preserve">humidité absolue (H) doit pouvoir être mesurée avec une précision de </w:t>
      </w:r>
      <w:r w:rsidRPr="00A779B8">
        <w:rPr>
          <w:lang w:val="fr-FR"/>
        </w:rPr>
        <w:sym w:font="Symbol" w:char="F0B1"/>
      </w:r>
      <w:r w:rsidRPr="00A779B8">
        <w:rPr>
          <w:lang w:val="fr-FR"/>
        </w:rPr>
        <w:t>5 %.</w:t>
      </w:r>
    </w:p>
    <w:p w:rsidR="009F7CF6" w:rsidRPr="00A779B8" w:rsidRDefault="009F7CF6" w:rsidP="009F7CF6">
      <w:pPr>
        <w:pStyle w:val="SingleTxtG"/>
        <w:keepNext/>
        <w:ind w:left="2268" w:hanging="1134"/>
        <w:jc w:val="left"/>
        <w:rPr>
          <w:lang w:val="fr-FR"/>
        </w:rPr>
      </w:pPr>
      <w:r w:rsidRPr="00A779B8">
        <w:rPr>
          <w:lang w:val="fr-FR"/>
        </w:rPr>
        <w:t>5.</w:t>
      </w:r>
      <w:r w:rsidRPr="00A779B8">
        <w:rPr>
          <w:lang w:val="fr-FR"/>
        </w:rPr>
        <w:tab/>
        <w:t>Détermination de la résistance à l</w:t>
      </w:r>
      <w:r w:rsidR="00DB4C2D">
        <w:rPr>
          <w:lang w:val="fr-FR"/>
        </w:rPr>
        <w:t>’</w:t>
      </w:r>
      <w:r w:rsidRPr="00A779B8">
        <w:rPr>
          <w:lang w:val="fr-FR"/>
        </w:rPr>
        <w:t>avancement sur route du véhicule</w:t>
      </w:r>
    </w:p>
    <w:p w:rsidR="009F7CF6" w:rsidRPr="00A779B8" w:rsidRDefault="009F7CF6" w:rsidP="009F7CF6">
      <w:pPr>
        <w:pStyle w:val="SingleTxtG"/>
        <w:keepNext/>
        <w:ind w:left="2268" w:hanging="1134"/>
        <w:jc w:val="left"/>
        <w:rPr>
          <w:lang w:val="fr-FR"/>
        </w:rPr>
      </w:pPr>
      <w:r w:rsidRPr="00A779B8">
        <w:rPr>
          <w:lang w:val="fr-FR"/>
        </w:rPr>
        <w:t>5.1</w:t>
      </w:r>
      <w:r w:rsidRPr="00A779B8">
        <w:rPr>
          <w:lang w:val="fr-FR"/>
        </w:rPr>
        <w:tab/>
      </w:r>
      <w:r w:rsidRPr="00A779B8">
        <w:rPr>
          <w:lang w:val="fr-FR"/>
        </w:rPr>
        <w:tab/>
        <w:t>Procédure d</w:t>
      </w:r>
      <w:r w:rsidR="00DB4C2D">
        <w:rPr>
          <w:lang w:val="fr-FR"/>
        </w:rPr>
        <w:t>’</w:t>
      </w:r>
      <w:r w:rsidRPr="00A779B8">
        <w:rPr>
          <w:lang w:val="fr-FR"/>
        </w:rPr>
        <w:t xml:space="preserve">essai </w:t>
      </w:r>
    </w:p>
    <w:p w:rsidR="009F7CF6" w:rsidRPr="00A779B8" w:rsidRDefault="009F7CF6" w:rsidP="009F7CF6">
      <w:pPr>
        <w:pStyle w:val="SingleTxtG"/>
        <w:ind w:left="2268"/>
        <w:rPr>
          <w:lang w:val="fr-FR"/>
        </w:rPr>
      </w:pPr>
      <w:r w:rsidRPr="00A779B8">
        <w:rPr>
          <w:lang w:val="fr-FR"/>
        </w:rPr>
        <w:tab/>
        <w:t>La méthode utilisée pour mesurer la résistance à l</w:t>
      </w:r>
      <w:r w:rsidR="00DB4C2D">
        <w:rPr>
          <w:lang w:val="fr-FR"/>
        </w:rPr>
        <w:t>’</w:t>
      </w:r>
      <w:r w:rsidRPr="00A779B8">
        <w:rPr>
          <w:lang w:val="fr-FR"/>
        </w:rPr>
        <w:t>avancement sur route du véhicule est décrite à l</w:t>
      </w:r>
      <w:r w:rsidR="00DB4C2D">
        <w:rPr>
          <w:lang w:val="fr-FR"/>
        </w:rPr>
        <w:t>’</w:t>
      </w:r>
      <w:r w:rsidRPr="00A779B8">
        <w:rPr>
          <w:lang w:val="fr-FR"/>
        </w:rPr>
        <w:t>appendice 7 de la présente annexe.</w:t>
      </w:r>
    </w:p>
    <w:p w:rsidR="009F7CF6" w:rsidRPr="00A779B8" w:rsidRDefault="009F7CF6" w:rsidP="009F7CF6">
      <w:pPr>
        <w:pStyle w:val="SingleTxtG"/>
        <w:ind w:left="2268"/>
        <w:rPr>
          <w:lang w:val="fr-FR"/>
        </w:rPr>
      </w:pPr>
      <w:r w:rsidRPr="00A779B8">
        <w:rPr>
          <w:lang w:val="fr-FR"/>
        </w:rPr>
        <w:t>Cette procédure n</w:t>
      </w:r>
      <w:r w:rsidR="00DB4C2D">
        <w:rPr>
          <w:lang w:val="fr-FR"/>
        </w:rPr>
        <w:t>’</w:t>
      </w:r>
      <w:r w:rsidRPr="00A779B8">
        <w:rPr>
          <w:lang w:val="fr-FR"/>
        </w:rPr>
        <w:t>est pas requise si le réglage du banc doit être effectué en fonction de la masse de référence du véhicule.</w:t>
      </w:r>
    </w:p>
    <w:p w:rsidR="009F7CF6" w:rsidRPr="00A779B8" w:rsidRDefault="009F7CF6" w:rsidP="009F7CF6">
      <w:pPr>
        <w:pStyle w:val="SingleTxtG"/>
        <w:keepNext/>
        <w:ind w:left="2268" w:hanging="1134"/>
        <w:jc w:val="left"/>
        <w:rPr>
          <w:lang w:val="fr-FR"/>
        </w:rPr>
      </w:pPr>
      <w:r w:rsidRPr="00A779B8">
        <w:rPr>
          <w:lang w:val="fr-FR"/>
        </w:rPr>
        <w:t>6.</w:t>
      </w:r>
      <w:r w:rsidRPr="00A779B8">
        <w:rPr>
          <w:lang w:val="fr-FR"/>
        </w:rPr>
        <w:tab/>
      </w:r>
      <w:r w:rsidRPr="00A779B8">
        <w:rPr>
          <w:lang w:val="fr-FR"/>
        </w:rPr>
        <w:tab/>
        <w:t>Procédure d</w:t>
      </w:r>
      <w:r w:rsidR="00DB4C2D">
        <w:rPr>
          <w:lang w:val="fr-FR"/>
        </w:rPr>
        <w:t>’</w:t>
      </w:r>
      <w:r w:rsidRPr="00A779B8">
        <w:rPr>
          <w:lang w:val="fr-FR"/>
        </w:rPr>
        <w:t xml:space="preserve">essai permettant de déterminer les émissions </w:t>
      </w:r>
    </w:p>
    <w:p w:rsidR="009F7CF6" w:rsidRPr="00A779B8" w:rsidRDefault="009F7CF6" w:rsidP="009F7CF6">
      <w:pPr>
        <w:pStyle w:val="SingleTxtG"/>
        <w:keepNext/>
        <w:ind w:left="2268" w:hanging="1134"/>
        <w:jc w:val="left"/>
        <w:rPr>
          <w:lang w:val="fr-FR"/>
        </w:rPr>
      </w:pPr>
      <w:r w:rsidRPr="00A779B8">
        <w:rPr>
          <w:lang w:val="fr-FR"/>
        </w:rPr>
        <w:t>6.1</w:t>
      </w:r>
      <w:r w:rsidRPr="00A779B8">
        <w:rPr>
          <w:lang w:val="fr-FR"/>
        </w:rPr>
        <w:tab/>
      </w:r>
      <w:r w:rsidRPr="00A779B8">
        <w:rPr>
          <w:lang w:val="fr-FR"/>
        </w:rPr>
        <w:tab/>
        <w:t>Cycle d</w:t>
      </w:r>
      <w:r w:rsidR="00DB4C2D">
        <w:rPr>
          <w:lang w:val="fr-FR"/>
        </w:rPr>
        <w:t>’</w:t>
      </w:r>
      <w:r w:rsidRPr="00A779B8">
        <w:rPr>
          <w:lang w:val="fr-FR"/>
        </w:rPr>
        <w:t>essai</w:t>
      </w:r>
    </w:p>
    <w:p w:rsidR="009F7CF6" w:rsidRPr="00A779B8" w:rsidRDefault="009F7CF6" w:rsidP="009F7CF6">
      <w:pPr>
        <w:pStyle w:val="SingleTxtG"/>
        <w:ind w:left="2268"/>
        <w:rPr>
          <w:lang w:val="fr-FR"/>
        </w:rPr>
      </w:pPr>
      <w:r w:rsidRPr="00A779B8">
        <w:rPr>
          <w:lang w:val="fr-FR"/>
        </w:rPr>
        <w:tab/>
        <w:t>Le cycle d</w:t>
      </w:r>
      <w:r w:rsidR="00DB4C2D">
        <w:rPr>
          <w:lang w:val="fr-FR"/>
        </w:rPr>
        <w:t>’</w:t>
      </w:r>
      <w:r w:rsidRPr="00A779B8">
        <w:rPr>
          <w:lang w:val="fr-FR"/>
        </w:rPr>
        <w:t>essai, constitué de deux parties (cycle urbain et cycle extra</w:t>
      </w:r>
      <w:r w:rsidRPr="00A779B8">
        <w:rPr>
          <w:lang w:val="fr-FR"/>
        </w:rPr>
        <w:noBreakHyphen/>
        <w:t>urbain), est illustré dans la figure A4a/1. Un essai complet se compose de quatre cycles urbains élémentaires suivis d</w:t>
      </w:r>
      <w:r w:rsidR="00DB4C2D">
        <w:rPr>
          <w:lang w:val="fr-FR"/>
        </w:rPr>
        <w:t>’</w:t>
      </w:r>
      <w:r w:rsidRPr="00A779B8">
        <w:rPr>
          <w:lang w:val="fr-FR"/>
        </w:rPr>
        <w:t>un cycle extra-urbain.</w:t>
      </w:r>
    </w:p>
    <w:p w:rsidR="009F7CF6" w:rsidRPr="00A779B8" w:rsidRDefault="009F7CF6" w:rsidP="009F7CF6">
      <w:pPr>
        <w:pStyle w:val="SingleTxtG"/>
        <w:keepNext/>
        <w:ind w:left="2268" w:hanging="1134"/>
        <w:jc w:val="left"/>
        <w:rPr>
          <w:bCs/>
          <w:lang w:val="fr-FR"/>
        </w:rPr>
      </w:pPr>
      <w:r w:rsidRPr="00A779B8">
        <w:rPr>
          <w:bCs/>
          <w:lang w:val="fr-FR"/>
        </w:rPr>
        <w:t>6.1.1</w:t>
      </w:r>
      <w:r w:rsidRPr="00A779B8">
        <w:rPr>
          <w:bCs/>
          <w:lang w:val="fr-FR"/>
        </w:rPr>
        <w:tab/>
      </w:r>
      <w:r w:rsidRPr="00A779B8">
        <w:rPr>
          <w:bCs/>
          <w:lang w:val="fr-FR"/>
        </w:rPr>
        <w:tab/>
        <w:t xml:space="preserve">Cycle </w:t>
      </w:r>
      <w:r w:rsidRPr="00A779B8">
        <w:rPr>
          <w:lang w:val="fr-FR"/>
        </w:rPr>
        <w:t>urbain</w:t>
      </w:r>
      <w:r w:rsidRPr="00A779B8">
        <w:rPr>
          <w:bCs/>
          <w:lang w:val="fr-FR"/>
        </w:rPr>
        <w:t xml:space="preserve"> élémentaire</w:t>
      </w:r>
    </w:p>
    <w:p w:rsidR="009F7CF6" w:rsidRPr="00A779B8" w:rsidRDefault="009F7CF6" w:rsidP="009F7CF6">
      <w:pPr>
        <w:pStyle w:val="SingleTxtG"/>
        <w:ind w:left="2268"/>
        <w:rPr>
          <w:lang w:val="fr-FR"/>
        </w:rPr>
      </w:pPr>
      <w:r w:rsidRPr="00A779B8">
        <w:rPr>
          <w:bCs/>
          <w:lang w:val="fr-FR"/>
        </w:rPr>
        <w:tab/>
        <w:t>La première partie du cycle d</w:t>
      </w:r>
      <w:r w:rsidR="00DB4C2D">
        <w:rPr>
          <w:bCs/>
          <w:lang w:val="fr-FR"/>
        </w:rPr>
        <w:t>’</w:t>
      </w:r>
      <w:r w:rsidRPr="00A779B8">
        <w:rPr>
          <w:bCs/>
          <w:lang w:val="fr-FR"/>
        </w:rPr>
        <w:t>essai se compose de quatre fois le cycle urbain élémentaire qui est défini dans le tableau A4a/1, illustré dans la figure A4a/2 et résumé ci-dessous.</w:t>
      </w:r>
    </w:p>
    <w:p w:rsidR="009F7CF6" w:rsidRPr="00A779B8" w:rsidRDefault="009F7CF6" w:rsidP="009F7CF6">
      <w:pPr>
        <w:pStyle w:val="SingleTxtG"/>
        <w:keepNext/>
        <w:ind w:left="2268"/>
        <w:rPr>
          <w:lang w:val="fr-FR"/>
        </w:rPr>
      </w:pPr>
      <w:r w:rsidRPr="00A779B8">
        <w:rPr>
          <w:lang w:val="fr-FR"/>
        </w:rPr>
        <w:lastRenderedPageBreak/>
        <w:t>Décomposition par modes: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51"/>
        <w:gridCol w:w="1415"/>
        <w:gridCol w:w="685"/>
        <w:gridCol w:w="686"/>
      </w:tblGrid>
      <w:tr w:rsidR="009F7CF6" w:rsidRPr="007E29C4" w:rsidTr="00CB332B">
        <w:trPr>
          <w:tblHeader/>
        </w:trPr>
        <w:tc>
          <w:tcPr>
            <w:tcW w:w="3459" w:type="dxa"/>
            <w:shd w:val="clear" w:color="auto" w:fill="auto"/>
            <w:vAlign w:val="center"/>
          </w:tcPr>
          <w:p w:rsidR="009F7CF6" w:rsidRPr="007E29C4" w:rsidRDefault="009F7CF6" w:rsidP="00CB332B">
            <w:pPr>
              <w:keepNext/>
              <w:spacing w:before="60" w:after="60" w:line="200" w:lineRule="atLeast"/>
              <w:jc w:val="center"/>
              <w:rPr>
                <w:i/>
                <w:sz w:val="16"/>
                <w:szCs w:val="16"/>
                <w:lang w:val="fr-FR"/>
              </w:rPr>
            </w:pPr>
          </w:p>
        </w:tc>
        <w:tc>
          <w:tcPr>
            <w:tcW w:w="1418" w:type="dxa"/>
            <w:shd w:val="clear" w:color="auto" w:fill="auto"/>
            <w:vAlign w:val="center"/>
          </w:tcPr>
          <w:p w:rsidR="009F7CF6" w:rsidRPr="007E29C4" w:rsidRDefault="009F7CF6" w:rsidP="00CB332B">
            <w:pPr>
              <w:keepNext/>
              <w:spacing w:before="60" w:after="60" w:line="200" w:lineRule="atLeast"/>
              <w:jc w:val="center"/>
              <w:rPr>
                <w:i/>
                <w:sz w:val="16"/>
                <w:szCs w:val="16"/>
                <w:lang w:val="fr-FR"/>
              </w:rPr>
            </w:pPr>
            <w:r w:rsidRPr="007E29C4">
              <w:rPr>
                <w:i/>
                <w:sz w:val="16"/>
                <w:szCs w:val="16"/>
                <w:lang w:val="fr-FR"/>
              </w:rPr>
              <w:t>En temps (s)</w:t>
            </w:r>
          </w:p>
        </w:tc>
        <w:tc>
          <w:tcPr>
            <w:tcW w:w="1373" w:type="dxa"/>
            <w:gridSpan w:val="2"/>
            <w:shd w:val="clear" w:color="auto" w:fill="auto"/>
            <w:vAlign w:val="center"/>
          </w:tcPr>
          <w:p w:rsidR="009F7CF6" w:rsidRPr="007E29C4" w:rsidRDefault="009F7CF6" w:rsidP="00CB332B">
            <w:pPr>
              <w:keepNext/>
              <w:spacing w:before="60" w:after="60" w:line="200" w:lineRule="atLeast"/>
              <w:jc w:val="center"/>
              <w:rPr>
                <w:i/>
                <w:sz w:val="16"/>
                <w:szCs w:val="16"/>
                <w:lang w:val="fr-FR"/>
              </w:rPr>
            </w:pPr>
            <w:r w:rsidRPr="007E29C4">
              <w:rPr>
                <w:i/>
                <w:sz w:val="16"/>
                <w:szCs w:val="16"/>
                <w:lang w:val="fr-FR"/>
              </w:rPr>
              <w:t>En pourcentage</w:t>
            </w:r>
          </w:p>
        </w:tc>
      </w:tr>
      <w:tr w:rsidR="009F7CF6" w:rsidRPr="007E29C4" w:rsidTr="00CB332B">
        <w:tc>
          <w:tcPr>
            <w:tcW w:w="3459" w:type="dxa"/>
            <w:shd w:val="clear" w:color="auto" w:fill="auto"/>
          </w:tcPr>
          <w:p w:rsidR="009F7CF6" w:rsidRPr="007E29C4" w:rsidRDefault="009F7CF6" w:rsidP="00CB332B">
            <w:pPr>
              <w:keepNext/>
              <w:spacing w:before="60" w:after="60"/>
              <w:rPr>
                <w:lang w:val="fr-FR"/>
              </w:rPr>
            </w:pPr>
            <w:r w:rsidRPr="007E29C4">
              <w:rPr>
                <w:lang w:val="fr-FR"/>
              </w:rPr>
              <w:t>Ralenti</w:t>
            </w:r>
          </w:p>
        </w:tc>
        <w:tc>
          <w:tcPr>
            <w:tcW w:w="1418" w:type="dxa"/>
            <w:shd w:val="clear" w:color="auto" w:fill="auto"/>
            <w:vAlign w:val="bottom"/>
          </w:tcPr>
          <w:p w:rsidR="009F7CF6" w:rsidRPr="007E29C4" w:rsidRDefault="009F7CF6" w:rsidP="00CB332B">
            <w:pPr>
              <w:keepNext/>
              <w:spacing w:before="60" w:after="60"/>
              <w:jc w:val="center"/>
              <w:rPr>
                <w:lang w:val="fr-FR"/>
              </w:rPr>
            </w:pPr>
            <w:r w:rsidRPr="007E29C4">
              <w:rPr>
                <w:lang w:val="fr-FR"/>
              </w:rPr>
              <w:t>60</w:t>
            </w:r>
          </w:p>
        </w:tc>
        <w:tc>
          <w:tcPr>
            <w:tcW w:w="686" w:type="dxa"/>
            <w:shd w:val="clear" w:color="auto" w:fill="auto"/>
            <w:vAlign w:val="bottom"/>
          </w:tcPr>
          <w:p w:rsidR="009F7CF6" w:rsidRPr="007E29C4" w:rsidRDefault="009F7CF6" w:rsidP="00CB332B">
            <w:pPr>
              <w:keepNext/>
              <w:spacing w:before="60" w:after="60"/>
              <w:jc w:val="center"/>
              <w:rPr>
                <w:lang w:val="fr-FR"/>
              </w:rPr>
            </w:pPr>
            <w:r w:rsidRPr="007E29C4">
              <w:rPr>
                <w:lang w:val="fr-FR"/>
              </w:rPr>
              <w:t>30,8</w:t>
            </w:r>
          </w:p>
        </w:tc>
        <w:tc>
          <w:tcPr>
            <w:tcW w:w="687" w:type="dxa"/>
            <w:shd w:val="clear" w:color="auto" w:fill="auto"/>
            <w:vAlign w:val="bottom"/>
          </w:tcPr>
          <w:p w:rsidR="009F7CF6" w:rsidRPr="007E29C4" w:rsidRDefault="009F7CF6" w:rsidP="00CB332B">
            <w:pPr>
              <w:keepNext/>
              <w:spacing w:before="60" w:after="60"/>
              <w:jc w:val="center"/>
              <w:rPr>
                <w:lang w:val="fr-FR"/>
              </w:rPr>
            </w:pPr>
            <w:r w:rsidRPr="007E29C4">
              <w:rPr>
                <w:lang w:val="fr-FR"/>
              </w:rPr>
              <w:t>35,4</w:t>
            </w:r>
          </w:p>
        </w:tc>
      </w:tr>
      <w:tr w:rsidR="009F7CF6" w:rsidRPr="007E29C4" w:rsidTr="00CB332B">
        <w:tc>
          <w:tcPr>
            <w:tcW w:w="3459" w:type="dxa"/>
            <w:shd w:val="clear" w:color="auto" w:fill="auto"/>
          </w:tcPr>
          <w:p w:rsidR="009F7CF6" w:rsidRPr="007E29C4" w:rsidRDefault="009F7CF6" w:rsidP="00CB332B">
            <w:pPr>
              <w:keepNext/>
              <w:spacing w:before="60" w:after="60"/>
              <w:rPr>
                <w:lang w:val="fr-FR"/>
              </w:rPr>
            </w:pPr>
            <w:r w:rsidRPr="007E29C4">
              <w:rPr>
                <w:lang w:val="fr-FR"/>
              </w:rPr>
              <w:t>Décélération, moteur débrayé</w:t>
            </w:r>
          </w:p>
        </w:tc>
        <w:tc>
          <w:tcPr>
            <w:tcW w:w="1418" w:type="dxa"/>
            <w:shd w:val="clear" w:color="auto" w:fill="auto"/>
            <w:vAlign w:val="bottom"/>
          </w:tcPr>
          <w:p w:rsidR="009F7CF6" w:rsidRPr="007E29C4" w:rsidRDefault="009F7CF6" w:rsidP="00CB332B">
            <w:pPr>
              <w:keepNext/>
              <w:spacing w:before="60" w:after="60"/>
              <w:jc w:val="center"/>
              <w:rPr>
                <w:lang w:val="fr-FR"/>
              </w:rPr>
            </w:pPr>
            <w:r w:rsidRPr="007E29C4">
              <w:rPr>
                <w:lang w:val="fr-FR"/>
              </w:rPr>
              <w:t>9</w:t>
            </w:r>
          </w:p>
        </w:tc>
        <w:tc>
          <w:tcPr>
            <w:tcW w:w="1373" w:type="dxa"/>
            <w:gridSpan w:val="2"/>
            <w:shd w:val="clear" w:color="auto" w:fill="auto"/>
            <w:vAlign w:val="bottom"/>
          </w:tcPr>
          <w:p w:rsidR="009F7CF6" w:rsidRPr="007E29C4" w:rsidRDefault="009F7CF6" w:rsidP="00CB332B">
            <w:pPr>
              <w:keepNext/>
              <w:spacing w:before="60" w:after="60"/>
              <w:jc w:val="center"/>
              <w:rPr>
                <w:lang w:val="fr-FR"/>
              </w:rPr>
            </w:pPr>
            <w:r w:rsidRPr="007E29C4">
              <w:rPr>
                <w:lang w:val="fr-FR"/>
              </w:rPr>
              <w:t>4,6</w:t>
            </w:r>
          </w:p>
        </w:tc>
      </w:tr>
      <w:tr w:rsidR="009F7CF6" w:rsidRPr="007E29C4" w:rsidTr="00CB332B">
        <w:tc>
          <w:tcPr>
            <w:tcW w:w="3459" w:type="dxa"/>
            <w:shd w:val="clear" w:color="auto" w:fill="auto"/>
          </w:tcPr>
          <w:p w:rsidR="009F7CF6" w:rsidRPr="007E29C4" w:rsidRDefault="009F7CF6" w:rsidP="00CB332B">
            <w:pPr>
              <w:keepNext/>
              <w:spacing w:before="60" w:after="60"/>
              <w:rPr>
                <w:lang w:val="fr-FR"/>
              </w:rPr>
            </w:pPr>
            <w:r w:rsidRPr="007E29C4">
              <w:rPr>
                <w:lang w:val="fr-FR"/>
              </w:rPr>
              <w:t>Changements de rapport</w:t>
            </w:r>
          </w:p>
        </w:tc>
        <w:tc>
          <w:tcPr>
            <w:tcW w:w="1418" w:type="dxa"/>
            <w:shd w:val="clear" w:color="auto" w:fill="auto"/>
            <w:vAlign w:val="bottom"/>
          </w:tcPr>
          <w:p w:rsidR="009F7CF6" w:rsidRPr="007E29C4" w:rsidRDefault="009F7CF6" w:rsidP="00CB332B">
            <w:pPr>
              <w:keepNext/>
              <w:spacing w:before="60" w:after="60"/>
              <w:jc w:val="center"/>
              <w:rPr>
                <w:lang w:val="fr-FR"/>
              </w:rPr>
            </w:pPr>
            <w:r w:rsidRPr="007E29C4">
              <w:rPr>
                <w:lang w:val="fr-FR"/>
              </w:rPr>
              <w:t>8</w:t>
            </w:r>
          </w:p>
        </w:tc>
        <w:tc>
          <w:tcPr>
            <w:tcW w:w="1373" w:type="dxa"/>
            <w:gridSpan w:val="2"/>
            <w:shd w:val="clear" w:color="auto" w:fill="auto"/>
            <w:vAlign w:val="bottom"/>
          </w:tcPr>
          <w:p w:rsidR="009F7CF6" w:rsidRPr="007E29C4" w:rsidRDefault="009F7CF6" w:rsidP="00CB332B">
            <w:pPr>
              <w:keepNext/>
              <w:spacing w:before="60" w:after="60"/>
              <w:jc w:val="center"/>
              <w:rPr>
                <w:lang w:val="fr-FR"/>
              </w:rPr>
            </w:pPr>
            <w:r w:rsidRPr="007E29C4">
              <w:rPr>
                <w:lang w:val="fr-FR"/>
              </w:rPr>
              <w:t>4,1</w:t>
            </w:r>
          </w:p>
        </w:tc>
      </w:tr>
      <w:tr w:rsidR="009F7CF6" w:rsidRPr="007E29C4" w:rsidTr="00CB332B">
        <w:tc>
          <w:tcPr>
            <w:tcW w:w="3459" w:type="dxa"/>
            <w:shd w:val="clear" w:color="auto" w:fill="auto"/>
          </w:tcPr>
          <w:p w:rsidR="009F7CF6" w:rsidRPr="007E29C4" w:rsidRDefault="009F7CF6" w:rsidP="00CB332B">
            <w:pPr>
              <w:keepNext/>
              <w:spacing w:before="60" w:after="60"/>
              <w:rPr>
                <w:lang w:val="fr-FR"/>
              </w:rPr>
            </w:pPr>
            <w:r w:rsidRPr="007E29C4">
              <w:rPr>
                <w:lang w:val="fr-FR"/>
              </w:rPr>
              <w:t>Accélérations</w:t>
            </w:r>
          </w:p>
        </w:tc>
        <w:tc>
          <w:tcPr>
            <w:tcW w:w="1418" w:type="dxa"/>
            <w:shd w:val="clear" w:color="auto" w:fill="auto"/>
            <w:vAlign w:val="bottom"/>
          </w:tcPr>
          <w:p w:rsidR="009F7CF6" w:rsidRPr="007E29C4" w:rsidRDefault="009F7CF6" w:rsidP="00CB332B">
            <w:pPr>
              <w:keepNext/>
              <w:spacing w:before="60" w:after="60"/>
              <w:jc w:val="center"/>
              <w:rPr>
                <w:lang w:val="fr-FR"/>
              </w:rPr>
            </w:pPr>
            <w:r w:rsidRPr="007E29C4">
              <w:rPr>
                <w:lang w:val="fr-FR"/>
              </w:rPr>
              <w:t>36</w:t>
            </w:r>
          </w:p>
        </w:tc>
        <w:tc>
          <w:tcPr>
            <w:tcW w:w="1373" w:type="dxa"/>
            <w:gridSpan w:val="2"/>
            <w:shd w:val="clear" w:color="auto" w:fill="auto"/>
            <w:vAlign w:val="bottom"/>
          </w:tcPr>
          <w:p w:rsidR="009F7CF6" w:rsidRPr="007E29C4" w:rsidRDefault="009F7CF6" w:rsidP="00CB332B">
            <w:pPr>
              <w:keepNext/>
              <w:spacing w:before="60" w:after="60"/>
              <w:jc w:val="center"/>
              <w:rPr>
                <w:lang w:val="fr-FR"/>
              </w:rPr>
            </w:pPr>
            <w:r w:rsidRPr="007E29C4">
              <w:rPr>
                <w:lang w:val="fr-FR"/>
              </w:rPr>
              <w:t>18,5</w:t>
            </w:r>
          </w:p>
        </w:tc>
      </w:tr>
      <w:tr w:rsidR="009F7CF6" w:rsidRPr="007E29C4" w:rsidTr="00CB332B">
        <w:tc>
          <w:tcPr>
            <w:tcW w:w="3459" w:type="dxa"/>
            <w:shd w:val="clear" w:color="auto" w:fill="auto"/>
          </w:tcPr>
          <w:p w:rsidR="009F7CF6" w:rsidRPr="007E29C4" w:rsidRDefault="009F7CF6" w:rsidP="00CB332B">
            <w:pPr>
              <w:keepNext/>
              <w:spacing w:before="60" w:after="60"/>
              <w:rPr>
                <w:lang w:val="fr-FR"/>
              </w:rPr>
            </w:pPr>
            <w:r w:rsidRPr="007E29C4">
              <w:rPr>
                <w:lang w:val="fr-FR"/>
              </w:rPr>
              <w:t>Marche à vitesse stabilisée</w:t>
            </w:r>
          </w:p>
        </w:tc>
        <w:tc>
          <w:tcPr>
            <w:tcW w:w="1418" w:type="dxa"/>
            <w:shd w:val="clear" w:color="auto" w:fill="auto"/>
            <w:vAlign w:val="bottom"/>
          </w:tcPr>
          <w:p w:rsidR="009F7CF6" w:rsidRPr="007E29C4" w:rsidRDefault="009F7CF6" w:rsidP="00CB332B">
            <w:pPr>
              <w:keepNext/>
              <w:spacing w:before="60" w:after="60"/>
              <w:jc w:val="center"/>
              <w:rPr>
                <w:lang w:val="fr-FR"/>
              </w:rPr>
            </w:pPr>
            <w:r w:rsidRPr="007E29C4">
              <w:rPr>
                <w:lang w:val="fr-FR"/>
              </w:rPr>
              <w:t>57</w:t>
            </w:r>
          </w:p>
        </w:tc>
        <w:tc>
          <w:tcPr>
            <w:tcW w:w="1373" w:type="dxa"/>
            <w:gridSpan w:val="2"/>
            <w:shd w:val="clear" w:color="auto" w:fill="auto"/>
            <w:vAlign w:val="bottom"/>
          </w:tcPr>
          <w:p w:rsidR="009F7CF6" w:rsidRPr="007E29C4" w:rsidRDefault="009F7CF6" w:rsidP="00CB332B">
            <w:pPr>
              <w:keepNext/>
              <w:spacing w:before="60" w:after="60"/>
              <w:jc w:val="center"/>
              <w:rPr>
                <w:lang w:val="fr-FR"/>
              </w:rPr>
            </w:pPr>
            <w:r w:rsidRPr="007E29C4">
              <w:rPr>
                <w:lang w:val="fr-FR"/>
              </w:rPr>
              <w:t>29,2</w:t>
            </w:r>
          </w:p>
        </w:tc>
      </w:tr>
      <w:tr w:rsidR="009F7CF6" w:rsidRPr="007E29C4" w:rsidTr="00CB332B">
        <w:tc>
          <w:tcPr>
            <w:tcW w:w="3459" w:type="dxa"/>
            <w:shd w:val="clear" w:color="auto" w:fill="auto"/>
          </w:tcPr>
          <w:p w:rsidR="009F7CF6" w:rsidRPr="007E29C4" w:rsidRDefault="009F7CF6" w:rsidP="00CB332B">
            <w:pPr>
              <w:keepNext/>
              <w:spacing w:before="60" w:after="60"/>
              <w:rPr>
                <w:lang w:val="fr-FR"/>
              </w:rPr>
            </w:pPr>
            <w:r w:rsidRPr="007E29C4">
              <w:rPr>
                <w:lang w:val="fr-FR"/>
              </w:rPr>
              <w:t>Décélérations</w:t>
            </w:r>
          </w:p>
        </w:tc>
        <w:tc>
          <w:tcPr>
            <w:tcW w:w="1418" w:type="dxa"/>
            <w:shd w:val="clear" w:color="auto" w:fill="auto"/>
            <w:vAlign w:val="bottom"/>
          </w:tcPr>
          <w:p w:rsidR="009F7CF6" w:rsidRPr="007E29C4" w:rsidRDefault="009F7CF6" w:rsidP="00CB332B">
            <w:pPr>
              <w:keepNext/>
              <w:spacing w:before="60" w:after="60"/>
              <w:jc w:val="center"/>
              <w:rPr>
                <w:lang w:val="fr-FR"/>
              </w:rPr>
            </w:pPr>
            <w:r w:rsidRPr="007E29C4">
              <w:rPr>
                <w:lang w:val="fr-FR"/>
              </w:rPr>
              <w:t>25</w:t>
            </w:r>
          </w:p>
        </w:tc>
        <w:tc>
          <w:tcPr>
            <w:tcW w:w="1373" w:type="dxa"/>
            <w:gridSpan w:val="2"/>
            <w:shd w:val="clear" w:color="auto" w:fill="auto"/>
            <w:vAlign w:val="bottom"/>
          </w:tcPr>
          <w:p w:rsidR="009F7CF6" w:rsidRPr="007E29C4" w:rsidRDefault="009F7CF6" w:rsidP="00CB332B">
            <w:pPr>
              <w:keepNext/>
              <w:spacing w:before="60" w:after="60"/>
              <w:jc w:val="center"/>
              <w:rPr>
                <w:lang w:val="fr-FR"/>
              </w:rPr>
            </w:pPr>
            <w:r w:rsidRPr="007E29C4">
              <w:rPr>
                <w:lang w:val="fr-FR"/>
              </w:rPr>
              <w:t>12,8</w:t>
            </w:r>
          </w:p>
        </w:tc>
      </w:tr>
      <w:tr w:rsidR="009F7CF6" w:rsidRPr="007E29C4" w:rsidTr="00CB332B">
        <w:tc>
          <w:tcPr>
            <w:tcW w:w="3459" w:type="dxa"/>
            <w:shd w:val="clear" w:color="auto" w:fill="auto"/>
          </w:tcPr>
          <w:p w:rsidR="009F7CF6" w:rsidRPr="007E29C4" w:rsidRDefault="009F7CF6" w:rsidP="00CB332B">
            <w:pPr>
              <w:keepNext/>
              <w:spacing w:before="60" w:after="60"/>
              <w:rPr>
                <w:lang w:val="fr-FR"/>
              </w:rPr>
            </w:pPr>
            <w:r w:rsidRPr="007E29C4">
              <w:rPr>
                <w:lang w:val="fr-FR"/>
              </w:rPr>
              <w:t>Total</w:t>
            </w:r>
          </w:p>
        </w:tc>
        <w:tc>
          <w:tcPr>
            <w:tcW w:w="1418" w:type="dxa"/>
            <w:shd w:val="clear" w:color="auto" w:fill="auto"/>
            <w:vAlign w:val="bottom"/>
          </w:tcPr>
          <w:p w:rsidR="009F7CF6" w:rsidRPr="007E29C4" w:rsidRDefault="009F7CF6" w:rsidP="00CB332B">
            <w:pPr>
              <w:keepNext/>
              <w:spacing w:before="60" w:after="60"/>
              <w:jc w:val="center"/>
              <w:rPr>
                <w:lang w:val="fr-FR"/>
              </w:rPr>
            </w:pPr>
            <w:r w:rsidRPr="007E29C4">
              <w:rPr>
                <w:lang w:val="fr-FR"/>
              </w:rPr>
              <w:t>195</w:t>
            </w:r>
          </w:p>
        </w:tc>
        <w:tc>
          <w:tcPr>
            <w:tcW w:w="1373" w:type="dxa"/>
            <w:gridSpan w:val="2"/>
            <w:shd w:val="clear" w:color="auto" w:fill="auto"/>
            <w:vAlign w:val="bottom"/>
          </w:tcPr>
          <w:p w:rsidR="009F7CF6" w:rsidRPr="007E29C4" w:rsidRDefault="009F7CF6" w:rsidP="00CB332B">
            <w:pPr>
              <w:keepNext/>
              <w:spacing w:before="60" w:after="60"/>
              <w:jc w:val="center"/>
              <w:rPr>
                <w:lang w:val="fr-FR"/>
              </w:rPr>
            </w:pPr>
            <w:r w:rsidRPr="007E29C4">
              <w:rPr>
                <w:lang w:val="fr-FR"/>
              </w:rPr>
              <w:t>100</w:t>
            </w:r>
          </w:p>
        </w:tc>
      </w:tr>
    </w:tbl>
    <w:p w:rsidR="009F7CF6" w:rsidRPr="00A779B8" w:rsidRDefault="009F7CF6" w:rsidP="009F7CF6">
      <w:pPr>
        <w:pStyle w:val="SingleTxtG"/>
        <w:keepNext/>
        <w:spacing w:before="240"/>
        <w:ind w:left="2268"/>
        <w:rPr>
          <w:lang w:val="fr-FR"/>
        </w:rPr>
      </w:pPr>
      <w:r w:rsidRPr="00A779B8">
        <w:rPr>
          <w:lang w:val="fr-FR"/>
        </w:rPr>
        <w:t>Décomposition selon les rapports utilisés:</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59"/>
        <w:gridCol w:w="1418"/>
        <w:gridCol w:w="709"/>
        <w:gridCol w:w="709"/>
      </w:tblGrid>
      <w:tr w:rsidR="009F7CF6" w:rsidRPr="007E29C4" w:rsidTr="00CB332B">
        <w:tc>
          <w:tcPr>
            <w:tcW w:w="3459" w:type="dxa"/>
            <w:shd w:val="clear" w:color="auto" w:fill="auto"/>
            <w:vAlign w:val="center"/>
          </w:tcPr>
          <w:p w:rsidR="009F7CF6" w:rsidRPr="007E29C4" w:rsidRDefault="009F7CF6" w:rsidP="00CB332B">
            <w:pPr>
              <w:spacing w:before="40" w:after="40" w:line="200" w:lineRule="atLeast"/>
              <w:jc w:val="center"/>
              <w:rPr>
                <w:i/>
                <w:sz w:val="16"/>
                <w:szCs w:val="16"/>
                <w:lang w:val="fr-FR"/>
              </w:rPr>
            </w:pPr>
          </w:p>
        </w:tc>
        <w:tc>
          <w:tcPr>
            <w:tcW w:w="1418" w:type="dxa"/>
            <w:shd w:val="clear" w:color="auto" w:fill="auto"/>
            <w:vAlign w:val="center"/>
          </w:tcPr>
          <w:p w:rsidR="009F7CF6" w:rsidRPr="007E29C4" w:rsidRDefault="009F7CF6" w:rsidP="00CB332B">
            <w:pPr>
              <w:spacing w:before="40" w:after="40" w:line="200" w:lineRule="atLeast"/>
              <w:jc w:val="center"/>
              <w:rPr>
                <w:i/>
                <w:sz w:val="16"/>
                <w:szCs w:val="16"/>
                <w:lang w:val="fr-FR"/>
              </w:rPr>
            </w:pPr>
            <w:r w:rsidRPr="007E29C4">
              <w:rPr>
                <w:i/>
                <w:sz w:val="16"/>
                <w:szCs w:val="16"/>
                <w:lang w:val="fr-FR"/>
              </w:rPr>
              <w:t>En temps (s)</w:t>
            </w:r>
          </w:p>
        </w:tc>
        <w:tc>
          <w:tcPr>
            <w:tcW w:w="1418" w:type="dxa"/>
            <w:gridSpan w:val="2"/>
            <w:shd w:val="clear" w:color="auto" w:fill="auto"/>
            <w:vAlign w:val="center"/>
          </w:tcPr>
          <w:p w:rsidR="009F7CF6" w:rsidRPr="007E29C4" w:rsidRDefault="009F7CF6" w:rsidP="00CB332B">
            <w:pPr>
              <w:spacing w:before="40" w:after="40" w:line="200" w:lineRule="atLeast"/>
              <w:jc w:val="center"/>
              <w:rPr>
                <w:i/>
                <w:sz w:val="16"/>
                <w:szCs w:val="16"/>
                <w:lang w:val="fr-FR"/>
              </w:rPr>
            </w:pPr>
            <w:r w:rsidRPr="007E29C4">
              <w:rPr>
                <w:i/>
                <w:sz w:val="16"/>
                <w:szCs w:val="16"/>
                <w:lang w:val="fr-FR"/>
              </w:rPr>
              <w:t>En pourcentage</w:t>
            </w:r>
          </w:p>
        </w:tc>
      </w:tr>
      <w:tr w:rsidR="009F7CF6" w:rsidRPr="007E29C4" w:rsidTr="00CB332B">
        <w:tc>
          <w:tcPr>
            <w:tcW w:w="3459" w:type="dxa"/>
            <w:shd w:val="clear" w:color="auto" w:fill="auto"/>
          </w:tcPr>
          <w:p w:rsidR="009F7CF6" w:rsidRPr="007E29C4" w:rsidRDefault="009F7CF6" w:rsidP="00CB332B">
            <w:pPr>
              <w:spacing w:before="40" w:after="40"/>
              <w:rPr>
                <w:lang w:val="fr-FR"/>
              </w:rPr>
            </w:pPr>
            <w:r w:rsidRPr="007E29C4">
              <w:rPr>
                <w:lang w:val="fr-FR"/>
              </w:rPr>
              <w:t>Ralenti</w:t>
            </w:r>
          </w:p>
        </w:tc>
        <w:tc>
          <w:tcPr>
            <w:tcW w:w="1418" w:type="dxa"/>
            <w:shd w:val="clear" w:color="auto" w:fill="auto"/>
            <w:vAlign w:val="bottom"/>
          </w:tcPr>
          <w:p w:rsidR="009F7CF6" w:rsidRPr="007E29C4" w:rsidRDefault="009F7CF6" w:rsidP="00CB332B">
            <w:pPr>
              <w:spacing w:before="40" w:after="40"/>
              <w:jc w:val="center"/>
              <w:rPr>
                <w:lang w:val="fr-FR"/>
              </w:rPr>
            </w:pPr>
            <w:r w:rsidRPr="007E29C4">
              <w:rPr>
                <w:lang w:val="fr-FR"/>
              </w:rPr>
              <w:t>60</w:t>
            </w:r>
          </w:p>
        </w:tc>
        <w:tc>
          <w:tcPr>
            <w:tcW w:w="709" w:type="dxa"/>
            <w:shd w:val="clear" w:color="auto" w:fill="auto"/>
            <w:vAlign w:val="bottom"/>
          </w:tcPr>
          <w:p w:rsidR="009F7CF6" w:rsidRPr="007E29C4" w:rsidRDefault="009F7CF6" w:rsidP="00CB332B">
            <w:pPr>
              <w:spacing w:before="40" w:after="40"/>
              <w:jc w:val="center"/>
              <w:rPr>
                <w:lang w:val="fr-FR"/>
              </w:rPr>
            </w:pPr>
            <w:r w:rsidRPr="007E29C4">
              <w:rPr>
                <w:lang w:val="fr-FR"/>
              </w:rPr>
              <w:t>30,8</w:t>
            </w:r>
          </w:p>
        </w:tc>
        <w:tc>
          <w:tcPr>
            <w:tcW w:w="709" w:type="dxa"/>
            <w:shd w:val="clear" w:color="auto" w:fill="auto"/>
            <w:vAlign w:val="bottom"/>
          </w:tcPr>
          <w:p w:rsidR="009F7CF6" w:rsidRPr="007E29C4" w:rsidRDefault="009F7CF6" w:rsidP="00CB332B">
            <w:pPr>
              <w:spacing w:before="40" w:after="40"/>
              <w:jc w:val="center"/>
              <w:rPr>
                <w:lang w:val="fr-FR"/>
              </w:rPr>
            </w:pPr>
            <w:r w:rsidRPr="007E29C4">
              <w:rPr>
                <w:lang w:val="fr-FR"/>
              </w:rPr>
              <w:t>35,4</w:t>
            </w:r>
          </w:p>
        </w:tc>
      </w:tr>
      <w:tr w:rsidR="009F7CF6" w:rsidRPr="007E29C4" w:rsidTr="00CB332B">
        <w:tc>
          <w:tcPr>
            <w:tcW w:w="3459" w:type="dxa"/>
            <w:shd w:val="clear" w:color="auto" w:fill="auto"/>
          </w:tcPr>
          <w:p w:rsidR="009F7CF6" w:rsidRPr="007E29C4" w:rsidRDefault="009F7CF6" w:rsidP="00CB332B">
            <w:pPr>
              <w:spacing w:before="40" w:after="40"/>
              <w:rPr>
                <w:lang w:val="fr-FR"/>
              </w:rPr>
            </w:pPr>
            <w:r w:rsidRPr="007E29C4">
              <w:rPr>
                <w:lang w:val="fr-FR"/>
              </w:rPr>
              <w:t>Décélération, moteur débrayé</w:t>
            </w:r>
          </w:p>
        </w:tc>
        <w:tc>
          <w:tcPr>
            <w:tcW w:w="1418" w:type="dxa"/>
            <w:shd w:val="clear" w:color="auto" w:fill="auto"/>
            <w:vAlign w:val="bottom"/>
          </w:tcPr>
          <w:p w:rsidR="009F7CF6" w:rsidRPr="007E29C4" w:rsidRDefault="009F7CF6" w:rsidP="00CB332B">
            <w:pPr>
              <w:spacing w:before="40" w:after="40"/>
              <w:jc w:val="center"/>
              <w:rPr>
                <w:lang w:val="fr-FR"/>
              </w:rPr>
            </w:pPr>
            <w:r w:rsidRPr="007E29C4">
              <w:rPr>
                <w:lang w:val="fr-FR"/>
              </w:rPr>
              <w:t>9</w:t>
            </w:r>
          </w:p>
        </w:tc>
        <w:tc>
          <w:tcPr>
            <w:tcW w:w="1418" w:type="dxa"/>
            <w:gridSpan w:val="2"/>
            <w:shd w:val="clear" w:color="auto" w:fill="auto"/>
            <w:vAlign w:val="bottom"/>
          </w:tcPr>
          <w:p w:rsidR="009F7CF6" w:rsidRPr="007E29C4" w:rsidRDefault="009F7CF6" w:rsidP="00CB332B">
            <w:pPr>
              <w:spacing w:before="40" w:after="40"/>
              <w:jc w:val="center"/>
              <w:rPr>
                <w:lang w:val="fr-FR"/>
              </w:rPr>
            </w:pPr>
            <w:r w:rsidRPr="007E29C4">
              <w:rPr>
                <w:lang w:val="fr-FR"/>
              </w:rPr>
              <w:t>4,6</w:t>
            </w:r>
          </w:p>
        </w:tc>
      </w:tr>
      <w:tr w:rsidR="009F7CF6" w:rsidRPr="007E29C4" w:rsidTr="00CB332B">
        <w:tc>
          <w:tcPr>
            <w:tcW w:w="3459" w:type="dxa"/>
            <w:shd w:val="clear" w:color="auto" w:fill="auto"/>
          </w:tcPr>
          <w:p w:rsidR="009F7CF6" w:rsidRPr="007E29C4" w:rsidRDefault="009F7CF6" w:rsidP="00CB332B">
            <w:pPr>
              <w:spacing w:before="40" w:after="40"/>
              <w:rPr>
                <w:lang w:val="fr-FR"/>
              </w:rPr>
            </w:pPr>
            <w:r w:rsidRPr="007E29C4">
              <w:rPr>
                <w:lang w:val="fr-FR"/>
              </w:rPr>
              <w:t>Changements de rapport</w:t>
            </w:r>
          </w:p>
        </w:tc>
        <w:tc>
          <w:tcPr>
            <w:tcW w:w="1418" w:type="dxa"/>
            <w:shd w:val="clear" w:color="auto" w:fill="auto"/>
            <w:vAlign w:val="bottom"/>
          </w:tcPr>
          <w:p w:rsidR="009F7CF6" w:rsidRPr="007E29C4" w:rsidRDefault="009F7CF6" w:rsidP="00CB332B">
            <w:pPr>
              <w:spacing w:before="40" w:after="40"/>
              <w:jc w:val="center"/>
              <w:rPr>
                <w:lang w:val="fr-FR"/>
              </w:rPr>
            </w:pPr>
            <w:r w:rsidRPr="007E29C4">
              <w:rPr>
                <w:lang w:val="fr-FR"/>
              </w:rPr>
              <w:t>8</w:t>
            </w:r>
          </w:p>
        </w:tc>
        <w:tc>
          <w:tcPr>
            <w:tcW w:w="1418" w:type="dxa"/>
            <w:gridSpan w:val="2"/>
            <w:shd w:val="clear" w:color="auto" w:fill="auto"/>
            <w:vAlign w:val="bottom"/>
          </w:tcPr>
          <w:p w:rsidR="009F7CF6" w:rsidRPr="007E29C4" w:rsidRDefault="009F7CF6" w:rsidP="00CB332B">
            <w:pPr>
              <w:spacing w:before="40" w:after="40"/>
              <w:jc w:val="center"/>
              <w:rPr>
                <w:lang w:val="fr-FR"/>
              </w:rPr>
            </w:pPr>
            <w:r w:rsidRPr="007E29C4">
              <w:rPr>
                <w:lang w:val="fr-FR"/>
              </w:rPr>
              <w:t>4,1</w:t>
            </w:r>
          </w:p>
        </w:tc>
      </w:tr>
      <w:tr w:rsidR="009F7CF6" w:rsidRPr="007E29C4" w:rsidTr="00CB332B">
        <w:tc>
          <w:tcPr>
            <w:tcW w:w="3459" w:type="dxa"/>
            <w:shd w:val="clear" w:color="auto" w:fill="auto"/>
          </w:tcPr>
          <w:p w:rsidR="009F7CF6" w:rsidRPr="007E29C4" w:rsidRDefault="009F7CF6" w:rsidP="00CB332B">
            <w:pPr>
              <w:spacing w:before="40" w:after="40"/>
              <w:rPr>
                <w:lang w:val="fr-FR"/>
              </w:rPr>
            </w:pPr>
            <w:r w:rsidRPr="007E29C4">
              <w:rPr>
                <w:lang w:val="fr-FR"/>
              </w:rPr>
              <w:t>Premier rapport</w:t>
            </w:r>
          </w:p>
        </w:tc>
        <w:tc>
          <w:tcPr>
            <w:tcW w:w="1418" w:type="dxa"/>
            <w:shd w:val="clear" w:color="auto" w:fill="auto"/>
            <w:vAlign w:val="bottom"/>
          </w:tcPr>
          <w:p w:rsidR="009F7CF6" w:rsidRPr="007E29C4" w:rsidRDefault="009F7CF6" w:rsidP="00CB332B">
            <w:pPr>
              <w:spacing w:before="40" w:after="40"/>
              <w:jc w:val="center"/>
              <w:rPr>
                <w:lang w:val="fr-FR"/>
              </w:rPr>
            </w:pPr>
            <w:r w:rsidRPr="007E29C4">
              <w:rPr>
                <w:lang w:val="fr-FR"/>
              </w:rPr>
              <w:t>24</w:t>
            </w:r>
          </w:p>
        </w:tc>
        <w:tc>
          <w:tcPr>
            <w:tcW w:w="1418" w:type="dxa"/>
            <w:gridSpan w:val="2"/>
            <w:shd w:val="clear" w:color="auto" w:fill="auto"/>
            <w:vAlign w:val="bottom"/>
          </w:tcPr>
          <w:p w:rsidR="009F7CF6" w:rsidRPr="007E29C4" w:rsidRDefault="009F7CF6" w:rsidP="00CB332B">
            <w:pPr>
              <w:spacing w:before="40" w:after="40"/>
              <w:jc w:val="center"/>
              <w:rPr>
                <w:lang w:val="fr-FR"/>
              </w:rPr>
            </w:pPr>
            <w:r w:rsidRPr="007E29C4">
              <w:rPr>
                <w:lang w:val="fr-FR"/>
              </w:rPr>
              <w:t>12,3</w:t>
            </w:r>
          </w:p>
        </w:tc>
      </w:tr>
      <w:tr w:rsidR="009F7CF6" w:rsidRPr="007E29C4" w:rsidTr="00CB332B">
        <w:tc>
          <w:tcPr>
            <w:tcW w:w="3459" w:type="dxa"/>
            <w:shd w:val="clear" w:color="auto" w:fill="auto"/>
          </w:tcPr>
          <w:p w:rsidR="009F7CF6" w:rsidRPr="007E29C4" w:rsidRDefault="009F7CF6" w:rsidP="00CB332B">
            <w:pPr>
              <w:spacing w:before="40" w:after="40"/>
              <w:rPr>
                <w:lang w:val="fr-FR"/>
              </w:rPr>
            </w:pPr>
            <w:r w:rsidRPr="007E29C4">
              <w:rPr>
                <w:lang w:val="fr-FR"/>
              </w:rPr>
              <w:t>Deuxième rapport</w:t>
            </w:r>
          </w:p>
        </w:tc>
        <w:tc>
          <w:tcPr>
            <w:tcW w:w="1418" w:type="dxa"/>
            <w:shd w:val="clear" w:color="auto" w:fill="auto"/>
            <w:vAlign w:val="bottom"/>
          </w:tcPr>
          <w:p w:rsidR="009F7CF6" w:rsidRPr="007E29C4" w:rsidRDefault="009F7CF6" w:rsidP="00CB332B">
            <w:pPr>
              <w:spacing w:before="40" w:after="40"/>
              <w:jc w:val="center"/>
              <w:rPr>
                <w:lang w:val="fr-FR"/>
              </w:rPr>
            </w:pPr>
            <w:r w:rsidRPr="007E29C4">
              <w:rPr>
                <w:lang w:val="fr-FR"/>
              </w:rPr>
              <w:t>53</w:t>
            </w:r>
          </w:p>
        </w:tc>
        <w:tc>
          <w:tcPr>
            <w:tcW w:w="1418" w:type="dxa"/>
            <w:gridSpan w:val="2"/>
            <w:shd w:val="clear" w:color="auto" w:fill="auto"/>
            <w:vAlign w:val="bottom"/>
          </w:tcPr>
          <w:p w:rsidR="009F7CF6" w:rsidRPr="007E29C4" w:rsidRDefault="009F7CF6" w:rsidP="00CB332B">
            <w:pPr>
              <w:spacing w:before="40" w:after="40"/>
              <w:jc w:val="center"/>
              <w:rPr>
                <w:lang w:val="fr-FR"/>
              </w:rPr>
            </w:pPr>
            <w:r w:rsidRPr="007E29C4">
              <w:rPr>
                <w:lang w:val="fr-FR"/>
              </w:rPr>
              <w:t>27,2</w:t>
            </w:r>
          </w:p>
        </w:tc>
      </w:tr>
      <w:tr w:rsidR="009F7CF6" w:rsidRPr="007E29C4" w:rsidTr="00CB332B">
        <w:tc>
          <w:tcPr>
            <w:tcW w:w="3459" w:type="dxa"/>
            <w:shd w:val="clear" w:color="auto" w:fill="auto"/>
          </w:tcPr>
          <w:p w:rsidR="009F7CF6" w:rsidRPr="007E29C4" w:rsidRDefault="009F7CF6" w:rsidP="00CB332B">
            <w:pPr>
              <w:spacing w:before="40" w:after="40"/>
              <w:rPr>
                <w:lang w:val="fr-FR"/>
              </w:rPr>
            </w:pPr>
            <w:r w:rsidRPr="007E29C4">
              <w:rPr>
                <w:lang w:val="fr-FR"/>
              </w:rPr>
              <w:t>Troisième rapport</w:t>
            </w:r>
          </w:p>
        </w:tc>
        <w:tc>
          <w:tcPr>
            <w:tcW w:w="1418" w:type="dxa"/>
            <w:shd w:val="clear" w:color="auto" w:fill="auto"/>
            <w:vAlign w:val="bottom"/>
          </w:tcPr>
          <w:p w:rsidR="009F7CF6" w:rsidRPr="007E29C4" w:rsidRDefault="009F7CF6" w:rsidP="00CB332B">
            <w:pPr>
              <w:spacing w:before="40" w:after="40"/>
              <w:jc w:val="center"/>
              <w:rPr>
                <w:lang w:val="fr-FR"/>
              </w:rPr>
            </w:pPr>
            <w:r w:rsidRPr="007E29C4">
              <w:rPr>
                <w:lang w:val="fr-FR"/>
              </w:rPr>
              <w:t>41</w:t>
            </w:r>
          </w:p>
        </w:tc>
        <w:tc>
          <w:tcPr>
            <w:tcW w:w="1418" w:type="dxa"/>
            <w:gridSpan w:val="2"/>
            <w:shd w:val="clear" w:color="auto" w:fill="auto"/>
            <w:vAlign w:val="bottom"/>
          </w:tcPr>
          <w:p w:rsidR="009F7CF6" w:rsidRPr="007E29C4" w:rsidRDefault="009F7CF6" w:rsidP="00CB332B">
            <w:pPr>
              <w:spacing w:before="40" w:after="40"/>
              <w:jc w:val="center"/>
              <w:rPr>
                <w:lang w:val="fr-FR"/>
              </w:rPr>
            </w:pPr>
            <w:r w:rsidRPr="007E29C4">
              <w:rPr>
                <w:lang w:val="fr-FR"/>
              </w:rPr>
              <w:t>21</w:t>
            </w:r>
          </w:p>
        </w:tc>
      </w:tr>
      <w:tr w:rsidR="009F7CF6" w:rsidRPr="007E29C4" w:rsidTr="00CB332B">
        <w:tc>
          <w:tcPr>
            <w:tcW w:w="3459" w:type="dxa"/>
            <w:shd w:val="clear" w:color="auto" w:fill="auto"/>
          </w:tcPr>
          <w:p w:rsidR="009F7CF6" w:rsidRPr="007E29C4" w:rsidRDefault="009F7CF6" w:rsidP="00CB332B">
            <w:pPr>
              <w:spacing w:before="40" w:after="40"/>
              <w:rPr>
                <w:lang w:val="fr-FR"/>
              </w:rPr>
            </w:pPr>
            <w:r w:rsidRPr="007E29C4">
              <w:rPr>
                <w:lang w:val="fr-FR"/>
              </w:rPr>
              <w:t>Total</w:t>
            </w:r>
          </w:p>
        </w:tc>
        <w:tc>
          <w:tcPr>
            <w:tcW w:w="1418" w:type="dxa"/>
            <w:shd w:val="clear" w:color="auto" w:fill="auto"/>
            <w:vAlign w:val="bottom"/>
          </w:tcPr>
          <w:p w:rsidR="009F7CF6" w:rsidRPr="007E29C4" w:rsidRDefault="009F7CF6" w:rsidP="00CB332B">
            <w:pPr>
              <w:spacing w:before="40" w:after="40"/>
              <w:jc w:val="center"/>
              <w:rPr>
                <w:lang w:val="fr-FR"/>
              </w:rPr>
            </w:pPr>
            <w:r w:rsidRPr="007E29C4">
              <w:rPr>
                <w:lang w:val="fr-FR"/>
              </w:rPr>
              <w:t>195</w:t>
            </w:r>
          </w:p>
        </w:tc>
        <w:tc>
          <w:tcPr>
            <w:tcW w:w="1418" w:type="dxa"/>
            <w:gridSpan w:val="2"/>
            <w:shd w:val="clear" w:color="auto" w:fill="auto"/>
            <w:vAlign w:val="bottom"/>
          </w:tcPr>
          <w:p w:rsidR="009F7CF6" w:rsidRPr="007E29C4" w:rsidRDefault="009F7CF6" w:rsidP="00CB332B">
            <w:pPr>
              <w:spacing w:before="40" w:after="40"/>
              <w:jc w:val="center"/>
              <w:rPr>
                <w:lang w:val="fr-FR"/>
              </w:rPr>
            </w:pPr>
            <w:r w:rsidRPr="007E29C4">
              <w:rPr>
                <w:lang w:val="fr-FR"/>
              </w:rPr>
              <w:t>100</w:t>
            </w:r>
          </w:p>
        </w:tc>
      </w:tr>
    </w:tbl>
    <w:p w:rsidR="009F7CF6" w:rsidRPr="00A779B8" w:rsidRDefault="009F7CF6" w:rsidP="009F7CF6">
      <w:pPr>
        <w:pStyle w:val="SingleTxtG"/>
        <w:keepNext/>
        <w:spacing w:before="240"/>
        <w:ind w:left="2268"/>
        <w:rPr>
          <w:lang w:val="fr-FR"/>
        </w:rPr>
      </w:pPr>
      <w:r w:rsidRPr="00A779B8">
        <w:rPr>
          <w:lang w:val="fr-FR"/>
        </w:rPr>
        <w:t>Informations générales:</w:t>
      </w:r>
    </w:p>
    <w:tbl>
      <w:tblPr>
        <w:tblW w:w="0" w:type="auto"/>
        <w:tblInd w:w="2268" w:type="dxa"/>
        <w:tblLayout w:type="fixed"/>
        <w:tblCellMar>
          <w:left w:w="0" w:type="dxa"/>
          <w:right w:w="0" w:type="dxa"/>
        </w:tblCellMar>
        <w:tblLook w:val="01E0" w:firstRow="1" w:lastRow="1" w:firstColumn="1" w:lastColumn="1" w:noHBand="0" w:noVBand="0"/>
      </w:tblPr>
      <w:tblGrid>
        <w:gridCol w:w="3466"/>
        <w:gridCol w:w="1247"/>
      </w:tblGrid>
      <w:tr w:rsidR="009F7CF6" w:rsidRPr="007E29C4" w:rsidTr="00CB332B">
        <w:tc>
          <w:tcPr>
            <w:tcW w:w="3466" w:type="dxa"/>
            <w:shd w:val="clear" w:color="auto" w:fill="auto"/>
          </w:tcPr>
          <w:p w:rsidR="009F7CF6" w:rsidRPr="007E29C4" w:rsidRDefault="009F7CF6" w:rsidP="00CB332B">
            <w:pPr>
              <w:pStyle w:val="SingleTxtG"/>
              <w:ind w:left="0" w:right="0"/>
              <w:rPr>
                <w:lang w:val="fr-FR"/>
              </w:rPr>
            </w:pPr>
            <w:r w:rsidRPr="007E29C4">
              <w:rPr>
                <w:lang w:val="fr-FR"/>
              </w:rPr>
              <w:t>Vitesse moyenne lors de l</w:t>
            </w:r>
            <w:r w:rsidR="00DB4C2D">
              <w:rPr>
                <w:lang w:val="fr-FR"/>
              </w:rPr>
              <w:t>’</w:t>
            </w:r>
            <w:r w:rsidRPr="007E29C4">
              <w:rPr>
                <w:lang w:val="fr-FR"/>
              </w:rPr>
              <w:t>essai:</w:t>
            </w:r>
          </w:p>
        </w:tc>
        <w:tc>
          <w:tcPr>
            <w:tcW w:w="1247" w:type="dxa"/>
            <w:shd w:val="clear" w:color="auto" w:fill="auto"/>
          </w:tcPr>
          <w:p w:rsidR="009F7CF6" w:rsidRPr="007E29C4" w:rsidRDefault="009F7CF6" w:rsidP="00CB332B">
            <w:pPr>
              <w:pStyle w:val="SingleTxtG"/>
              <w:ind w:left="0" w:right="0"/>
              <w:jc w:val="right"/>
              <w:rPr>
                <w:lang w:val="fr-FR"/>
              </w:rPr>
            </w:pPr>
            <w:r w:rsidRPr="007E29C4">
              <w:rPr>
                <w:lang w:val="fr-FR"/>
              </w:rPr>
              <w:t>19 km/h</w:t>
            </w:r>
          </w:p>
        </w:tc>
      </w:tr>
      <w:tr w:rsidR="009F7CF6" w:rsidRPr="007E29C4" w:rsidTr="00CB332B">
        <w:tc>
          <w:tcPr>
            <w:tcW w:w="3466" w:type="dxa"/>
            <w:shd w:val="clear" w:color="auto" w:fill="auto"/>
          </w:tcPr>
          <w:p w:rsidR="009F7CF6" w:rsidRPr="007E29C4" w:rsidRDefault="009F7CF6" w:rsidP="00CB332B">
            <w:pPr>
              <w:pStyle w:val="SingleTxtG"/>
              <w:ind w:left="0" w:right="0"/>
              <w:rPr>
                <w:lang w:val="fr-FR"/>
              </w:rPr>
            </w:pPr>
            <w:r w:rsidRPr="007E29C4">
              <w:rPr>
                <w:lang w:val="fr-FR"/>
              </w:rPr>
              <w:t>Temps de marche effectif:</w:t>
            </w:r>
          </w:p>
        </w:tc>
        <w:tc>
          <w:tcPr>
            <w:tcW w:w="1247" w:type="dxa"/>
            <w:shd w:val="clear" w:color="auto" w:fill="auto"/>
          </w:tcPr>
          <w:p w:rsidR="009F7CF6" w:rsidRPr="007E29C4" w:rsidRDefault="009F7CF6" w:rsidP="00CB332B">
            <w:pPr>
              <w:pStyle w:val="SingleTxtG"/>
              <w:ind w:left="0" w:right="0"/>
              <w:jc w:val="right"/>
              <w:rPr>
                <w:lang w:val="fr-FR"/>
              </w:rPr>
            </w:pPr>
            <w:r w:rsidRPr="007E29C4">
              <w:rPr>
                <w:lang w:val="fr-FR"/>
              </w:rPr>
              <w:t>195 s</w:t>
            </w:r>
          </w:p>
        </w:tc>
      </w:tr>
      <w:tr w:rsidR="009F7CF6" w:rsidRPr="007E29C4" w:rsidTr="00CB332B">
        <w:tc>
          <w:tcPr>
            <w:tcW w:w="3466" w:type="dxa"/>
            <w:shd w:val="clear" w:color="auto" w:fill="auto"/>
          </w:tcPr>
          <w:p w:rsidR="009F7CF6" w:rsidRPr="007E29C4" w:rsidRDefault="009F7CF6" w:rsidP="00CB332B">
            <w:pPr>
              <w:pStyle w:val="SingleTxtG"/>
              <w:ind w:left="0" w:right="0"/>
              <w:rPr>
                <w:lang w:val="fr-FR"/>
              </w:rPr>
            </w:pPr>
            <w:r w:rsidRPr="007E29C4">
              <w:rPr>
                <w:lang w:val="fr-FR"/>
              </w:rPr>
              <w:t>Distance théorique parcourue par cycle:</w:t>
            </w:r>
          </w:p>
        </w:tc>
        <w:tc>
          <w:tcPr>
            <w:tcW w:w="1247" w:type="dxa"/>
            <w:shd w:val="clear" w:color="auto" w:fill="auto"/>
          </w:tcPr>
          <w:p w:rsidR="009F7CF6" w:rsidRPr="007E29C4" w:rsidRDefault="009F7CF6" w:rsidP="00CB332B">
            <w:pPr>
              <w:pStyle w:val="SingleTxtG"/>
              <w:ind w:left="0" w:right="0"/>
              <w:jc w:val="right"/>
              <w:rPr>
                <w:lang w:val="fr-FR"/>
              </w:rPr>
            </w:pPr>
            <w:r w:rsidRPr="007E29C4">
              <w:rPr>
                <w:lang w:val="fr-FR"/>
              </w:rPr>
              <w:t>1 013 km</w:t>
            </w:r>
          </w:p>
        </w:tc>
      </w:tr>
      <w:tr w:rsidR="009F7CF6" w:rsidRPr="007E29C4" w:rsidTr="00CB332B">
        <w:tc>
          <w:tcPr>
            <w:tcW w:w="3466" w:type="dxa"/>
            <w:shd w:val="clear" w:color="auto" w:fill="auto"/>
          </w:tcPr>
          <w:p w:rsidR="009F7CF6" w:rsidRPr="007E29C4" w:rsidRDefault="009F7CF6" w:rsidP="00CB332B">
            <w:pPr>
              <w:pStyle w:val="SingleTxtG"/>
              <w:ind w:left="0" w:right="0"/>
              <w:rPr>
                <w:lang w:val="fr-FR"/>
              </w:rPr>
            </w:pPr>
            <w:r w:rsidRPr="007E29C4">
              <w:rPr>
                <w:lang w:val="fr-FR"/>
              </w:rPr>
              <w:t>Distance théorique pour quatre cycles:</w:t>
            </w:r>
          </w:p>
        </w:tc>
        <w:tc>
          <w:tcPr>
            <w:tcW w:w="1247" w:type="dxa"/>
            <w:shd w:val="clear" w:color="auto" w:fill="auto"/>
          </w:tcPr>
          <w:p w:rsidR="009F7CF6" w:rsidRPr="007E29C4" w:rsidRDefault="009F7CF6" w:rsidP="00CB332B">
            <w:pPr>
              <w:pStyle w:val="SingleTxtG"/>
              <w:ind w:left="0" w:right="0"/>
              <w:jc w:val="right"/>
              <w:rPr>
                <w:lang w:val="fr-FR"/>
              </w:rPr>
            </w:pPr>
            <w:r w:rsidRPr="007E29C4">
              <w:rPr>
                <w:lang w:val="fr-FR"/>
              </w:rPr>
              <w:t>4 052 km</w:t>
            </w:r>
          </w:p>
        </w:tc>
      </w:tr>
    </w:tbl>
    <w:p w:rsidR="009F7CF6" w:rsidRPr="00A779B8" w:rsidRDefault="009F7CF6" w:rsidP="009F7CF6">
      <w:pPr>
        <w:pStyle w:val="SingleTxtG"/>
        <w:keepNext/>
        <w:spacing w:before="120"/>
        <w:ind w:left="2268" w:hanging="1134"/>
        <w:jc w:val="left"/>
        <w:rPr>
          <w:lang w:val="fr-FR"/>
        </w:rPr>
      </w:pPr>
      <w:r w:rsidRPr="00A779B8">
        <w:rPr>
          <w:lang w:val="fr-FR"/>
        </w:rPr>
        <w:t>6.1.2</w:t>
      </w:r>
      <w:r w:rsidRPr="00A779B8">
        <w:rPr>
          <w:lang w:val="fr-FR"/>
        </w:rPr>
        <w:tab/>
      </w:r>
      <w:r w:rsidRPr="00A779B8">
        <w:rPr>
          <w:lang w:val="fr-FR"/>
        </w:rPr>
        <w:tab/>
        <w:t>Cycle extra-urbain</w:t>
      </w:r>
    </w:p>
    <w:p w:rsidR="009F7CF6" w:rsidRPr="00A779B8" w:rsidRDefault="009F7CF6" w:rsidP="009F7CF6">
      <w:pPr>
        <w:pStyle w:val="SingleTxtG"/>
        <w:ind w:left="2268"/>
        <w:rPr>
          <w:lang w:val="fr-FR"/>
        </w:rPr>
      </w:pPr>
      <w:r w:rsidRPr="00A779B8">
        <w:rPr>
          <w:lang w:val="fr-FR"/>
        </w:rPr>
        <w:tab/>
        <w:t>La seconde partie du cycle d</w:t>
      </w:r>
      <w:r w:rsidR="00DB4C2D">
        <w:rPr>
          <w:lang w:val="fr-FR"/>
        </w:rPr>
        <w:t>’</w:t>
      </w:r>
      <w:r w:rsidRPr="00A779B8">
        <w:rPr>
          <w:lang w:val="fr-FR"/>
        </w:rPr>
        <w:t xml:space="preserve">essai est le cycle extra-urbain qui est défini dans le tableau A4a/2, illustré dans la figure A4a/3 et résumé ci-dessous. </w:t>
      </w:r>
    </w:p>
    <w:p w:rsidR="009F7CF6" w:rsidRPr="00A779B8" w:rsidRDefault="009F7CF6" w:rsidP="009F7CF6">
      <w:pPr>
        <w:pStyle w:val="SingleTxtG"/>
        <w:keepNext/>
        <w:ind w:left="2268"/>
        <w:rPr>
          <w:lang w:val="fr-FR"/>
        </w:rPr>
      </w:pPr>
      <w:r w:rsidRPr="00A779B8">
        <w:rPr>
          <w:lang w:val="fr-FR"/>
        </w:rPr>
        <w:t>Décomposition selon le mode:</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27"/>
        <w:gridCol w:w="1405"/>
        <w:gridCol w:w="1405"/>
      </w:tblGrid>
      <w:tr w:rsidR="009F7CF6" w:rsidRPr="00A779B8" w:rsidTr="00CB332B">
        <w:tblPrEx>
          <w:tblCellMar>
            <w:top w:w="0" w:type="dxa"/>
            <w:bottom w:w="0" w:type="dxa"/>
          </w:tblCellMar>
        </w:tblPrEx>
        <w:tc>
          <w:tcPr>
            <w:tcW w:w="3459" w:type="dxa"/>
            <w:vAlign w:val="center"/>
          </w:tcPr>
          <w:p w:rsidR="009F7CF6" w:rsidRPr="00A779B8" w:rsidRDefault="009F7CF6" w:rsidP="00CB332B">
            <w:pPr>
              <w:spacing w:before="40" w:after="40" w:line="200" w:lineRule="exact"/>
              <w:jc w:val="center"/>
              <w:rPr>
                <w:i/>
                <w:sz w:val="16"/>
                <w:szCs w:val="16"/>
                <w:lang w:val="fr-FR"/>
              </w:rPr>
            </w:pPr>
          </w:p>
        </w:tc>
        <w:tc>
          <w:tcPr>
            <w:tcW w:w="1418" w:type="dxa"/>
            <w:vAlign w:val="center"/>
          </w:tcPr>
          <w:p w:rsidR="009F7CF6" w:rsidRPr="00A779B8" w:rsidRDefault="009F7CF6" w:rsidP="00CB332B">
            <w:pPr>
              <w:spacing w:before="40" w:after="40" w:line="200" w:lineRule="exact"/>
              <w:jc w:val="center"/>
              <w:rPr>
                <w:i/>
                <w:sz w:val="16"/>
                <w:szCs w:val="16"/>
                <w:lang w:val="fr-FR"/>
              </w:rPr>
            </w:pPr>
            <w:r w:rsidRPr="00A779B8">
              <w:rPr>
                <w:i/>
                <w:sz w:val="16"/>
                <w:szCs w:val="16"/>
                <w:lang w:val="fr-FR"/>
              </w:rPr>
              <w:t>En temps (s)</w:t>
            </w:r>
          </w:p>
        </w:tc>
        <w:tc>
          <w:tcPr>
            <w:tcW w:w="1418" w:type="dxa"/>
            <w:vAlign w:val="center"/>
          </w:tcPr>
          <w:p w:rsidR="009F7CF6" w:rsidRPr="00A779B8" w:rsidRDefault="009F7CF6" w:rsidP="00CB332B">
            <w:pPr>
              <w:spacing w:before="40" w:after="40" w:line="200" w:lineRule="exact"/>
              <w:jc w:val="center"/>
              <w:rPr>
                <w:i/>
                <w:sz w:val="16"/>
                <w:szCs w:val="16"/>
                <w:lang w:val="fr-FR"/>
              </w:rPr>
            </w:pPr>
            <w:r w:rsidRPr="00A779B8">
              <w:rPr>
                <w:i/>
                <w:sz w:val="16"/>
                <w:szCs w:val="16"/>
                <w:lang w:val="fr-FR"/>
              </w:rPr>
              <w:t>En pourcentage</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Ralenti</w:t>
            </w:r>
          </w:p>
        </w:tc>
        <w:tc>
          <w:tcPr>
            <w:tcW w:w="1418" w:type="dxa"/>
            <w:vAlign w:val="bottom"/>
          </w:tcPr>
          <w:p w:rsidR="009F7CF6" w:rsidRPr="00A779B8" w:rsidRDefault="009F7CF6" w:rsidP="00CB332B">
            <w:pPr>
              <w:spacing w:before="40" w:after="40"/>
              <w:jc w:val="center"/>
              <w:rPr>
                <w:lang w:val="fr-FR"/>
              </w:rPr>
            </w:pPr>
            <w:r w:rsidRPr="00A779B8">
              <w:rPr>
                <w:lang w:val="fr-FR"/>
              </w:rPr>
              <w:t>20</w:t>
            </w:r>
          </w:p>
        </w:tc>
        <w:tc>
          <w:tcPr>
            <w:tcW w:w="1418" w:type="dxa"/>
            <w:vAlign w:val="bottom"/>
          </w:tcPr>
          <w:p w:rsidR="009F7CF6" w:rsidRPr="00A779B8" w:rsidRDefault="009F7CF6" w:rsidP="00CB332B">
            <w:pPr>
              <w:spacing w:before="40" w:after="40"/>
              <w:jc w:val="center"/>
              <w:rPr>
                <w:lang w:val="fr-FR"/>
              </w:rPr>
            </w:pPr>
            <w:r w:rsidRPr="00A779B8">
              <w:rPr>
                <w:lang w:val="fr-FR"/>
              </w:rPr>
              <w:t>5,0</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Décélération, moteur débrayé</w:t>
            </w:r>
          </w:p>
        </w:tc>
        <w:tc>
          <w:tcPr>
            <w:tcW w:w="1418" w:type="dxa"/>
            <w:vAlign w:val="bottom"/>
          </w:tcPr>
          <w:p w:rsidR="009F7CF6" w:rsidRPr="00A779B8" w:rsidRDefault="009F7CF6" w:rsidP="00CB332B">
            <w:pPr>
              <w:spacing w:before="40" w:after="40"/>
              <w:jc w:val="center"/>
              <w:rPr>
                <w:lang w:val="fr-FR"/>
              </w:rPr>
            </w:pPr>
            <w:r w:rsidRPr="00A779B8">
              <w:rPr>
                <w:lang w:val="fr-FR"/>
              </w:rPr>
              <w:t>20</w:t>
            </w:r>
          </w:p>
        </w:tc>
        <w:tc>
          <w:tcPr>
            <w:tcW w:w="1418" w:type="dxa"/>
            <w:vAlign w:val="bottom"/>
          </w:tcPr>
          <w:p w:rsidR="009F7CF6" w:rsidRPr="00A779B8" w:rsidRDefault="009F7CF6" w:rsidP="00CB332B">
            <w:pPr>
              <w:spacing w:before="40" w:after="40"/>
              <w:jc w:val="center"/>
              <w:rPr>
                <w:lang w:val="fr-FR"/>
              </w:rPr>
            </w:pPr>
            <w:r w:rsidRPr="00A779B8">
              <w:rPr>
                <w:lang w:val="fr-FR"/>
              </w:rPr>
              <w:t>5,0</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Changements de rapport</w:t>
            </w:r>
          </w:p>
        </w:tc>
        <w:tc>
          <w:tcPr>
            <w:tcW w:w="1418" w:type="dxa"/>
            <w:vAlign w:val="bottom"/>
          </w:tcPr>
          <w:p w:rsidR="009F7CF6" w:rsidRPr="00A779B8" w:rsidRDefault="009F7CF6" w:rsidP="00CB332B">
            <w:pPr>
              <w:spacing w:before="40" w:after="40"/>
              <w:jc w:val="center"/>
              <w:rPr>
                <w:lang w:val="fr-FR"/>
              </w:rPr>
            </w:pPr>
            <w:r w:rsidRPr="00A779B8">
              <w:rPr>
                <w:lang w:val="fr-FR"/>
              </w:rPr>
              <w:t>6</w:t>
            </w:r>
          </w:p>
        </w:tc>
        <w:tc>
          <w:tcPr>
            <w:tcW w:w="1418" w:type="dxa"/>
            <w:vAlign w:val="bottom"/>
          </w:tcPr>
          <w:p w:rsidR="009F7CF6" w:rsidRPr="00A779B8" w:rsidRDefault="009F7CF6" w:rsidP="00CB332B">
            <w:pPr>
              <w:spacing w:before="40" w:after="40"/>
              <w:jc w:val="center"/>
              <w:rPr>
                <w:lang w:val="fr-FR"/>
              </w:rPr>
            </w:pPr>
            <w:r w:rsidRPr="00A779B8">
              <w:rPr>
                <w:lang w:val="fr-FR"/>
              </w:rPr>
              <w:t>1,5</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Accélérations</w:t>
            </w:r>
          </w:p>
        </w:tc>
        <w:tc>
          <w:tcPr>
            <w:tcW w:w="1418" w:type="dxa"/>
            <w:vAlign w:val="bottom"/>
          </w:tcPr>
          <w:p w:rsidR="009F7CF6" w:rsidRPr="00A779B8" w:rsidRDefault="009F7CF6" w:rsidP="00CB332B">
            <w:pPr>
              <w:spacing w:before="40" w:after="40"/>
              <w:jc w:val="center"/>
              <w:rPr>
                <w:lang w:val="fr-FR"/>
              </w:rPr>
            </w:pPr>
            <w:r w:rsidRPr="00A779B8">
              <w:rPr>
                <w:lang w:val="fr-FR"/>
              </w:rPr>
              <w:t>103</w:t>
            </w:r>
          </w:p>
        </w:tc>
        <w:tc>
          <w:tcPr>
            <w:tcW w:w="1418" w:type="dxa"/>
            <w:vAlign w:val="bottom"/>
          </w:tcPr>
          <w:p w:rsidR="009F7CF6" w:rsidRPr="00A779B8" w:rsidRDefault="009F7CF6" w:rsidP="00CB332B">
            <w:pPr>
              <w:spacing w:before="40" w:after="40"/>
              <w:jc w:val="center"/>
              <w:rPr>
                <w:lang w:val="fr-FR"/>
              </w:rPr>
            </w:pPr>
            <w:r w:rsidRPr="00A779B8">
              <w:rPr>
                <w:lang w:val="fr-FR"/>
              </w:rPr>
              <w:t>25,8</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Marche à vitesse stabilisée</w:t>
            </w:r>
          </w:p>
        </w:tc>
        <w:tc>
          <w:tcPr>
            <w:tcW w:w="1418" w:type="dxa"/>
            <w:vAlign w:val="bottom"/>
          </w:tcPr>
          <w:p w:rsidR="009F7CF6" w:rsidRPr="00A779B8" w:rsidRDefault="009F7CF6" w:rsidP="00CB332B">
            <w:pPr>
              <w:spacing w:before="40" w:after="40"/>
              <w:jc w:val="center"/>
              <w:rPr>
                <w:lang w:val="fr-FR"/>
              </w:rPr>
            </w:pPr>
            <w:r w:rsidRPr="00A779B8">
              <w:rPr>
                <w:lang w:val="fr-FR"/>
              </w:rPr>
              <w:t>209</w:t>
            </w:r>
          </w:p>
        </w:tc>
        <w:tc>
          <w:tcPr>
            <w:tcW w:w="1418" w:type="dxa"/>
            <w:vAlign w:val="bottom"/>
          </w:tcPr>
          <w:p w:rsidR="009F7CF6" w:rsidRPr="00A779B8" w:rsidRDefault="009F7CF6" w:rsidP="00CB332B">
            <w:pPr>
              <w:spacing w:before="40" w:after="40"/>
              <w:jc w:val="center"/>
              <w:rPr>
                <w:lang w:val="fr-FR"/>
              </w:rPr>
            </w:pPr>
            <w:r w:rsidRPr="00A779B8">
              <w:rPr>
                <w:lang w:val="fr-FR"/>
              </w:rPr>
              <w:t>52,2</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Décélérations</w:t>
            </w:r>
          </w:p>
        </w:tc>
        <w:tc>
          <w:tcPr>
            <w:tcW w:w="1418" w:type="dxa"/>
            <w:vAlign w:val="bottom"/>
          </w:tcPr>
          <w:p w:rsidR="009F7CF6" w:rsidRPr="00A779B8" w:rsidRDefault="009F7CF6" w:rsidP="00CB332B">
            <w:pPr>
              <w:spacing w:before="40" w:after="40"/>
              <w:jc w:val="center"/>
              <w:rPr>
                <w:lang w:val="fr-FR"/>
              </w:rPr>
            </w:pPr>
            <w:r w:rsidRPr="00A779B8">
              <w:rPr>
                <w:lang w:val="fr-FR"/>
              </w:rPr>
              <w:t>42</w:t>
            </w:r>
          </w:p>
        </w:tc>
        <w:tc>
          <w:tcPr>
            <w:tcW w:w="1418" w:type="dxa"/>
            <w:vAlign w:val="bottom"/>
          </w:tcPr>
          <w:p w:rsidR="009F7CF6" w:rsidRPr="00A779B8" w:rsidRDefault="009F7CF6" w:rsidP="00CB332B">
            <w:pPr>
              <w:spacing w:before="40" w:after="40"/>
              <w:jc w:val="center"/>
              <w:rPr>
                <w:lang w:val="fr-FR"/>
              </w:rPr>
            </w:pPr>
            <w:r w:rsidRPr="00A779B8">
              <w:rPr>
                <w:lang w:val="fr-FR"/>
              </w:rPr>
              <w:t>10,5</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Total</w:t>
            </w:r>
          </w:p>
        </w:tc>
        <w:tc>
          <w:tcPr>
            <w:tcW w:w="1418" w:type="dxa"/>
            <w:vAlign w:val="bottom"/>
          </w:tcPr>
          <w:p w:rsidR="009F7CF6" w:rsidRPr="00A779B8" w:rsidRDefault="009F7CF6" w:rsidP="00CB332B">
            <w:pPr>
              <w:spacing w:before="40" w:after="40"/>
              <w:jc w:val="center"/>
              <w:rPr>
                <w:lang w:val="fr-FR"/>
              </w:rPr>
            </w:pPr>
            <w:r w:rsidRPr="00A779B8">
              <w:rPr>
                <w:lang w:val="fr-FR"/>
              </w:rPr>
              <w:t>400</w:t>
            </w:r>
          </w:p>
        </w:tc>
        <w:tc>
          <w:tcPr>
            <w:tcW w:w="1418" w:type="dxa"/>
            <w:vAlign w:val="bottom"/>
          </w:tcPr>
          <w:p w:rsidR="009F7CF6" w:rsidRPr="00A779B8" w:rsidRDefault="009F7CF6" w:rsidP="00CB332B">
            <w:pPr>
              <w:spacing w:before="40" w:after="40"/>
              <w:jc w:val="center"/>
              <w:rPr>
                <w:lang w:val="fr-FR"/>
              </w:rPr>
            </w:pPr>
            <w:r w:rsidRPr="00A779B8">
              <w:rPr>
                <w:lang w:val="fr-FR"/>
              </w:rPr>
              <w:t>100</w:t>
            </w:r>
          </w:p>
        </w:tc>
      </w:tr>
    </w:tbl>
    <w:p w:rsidR="009F7CF6" w:rsidRPr="00A779B8" w:rsidRDefault="009F7CF6" w:rsidP="009F7CF6">
      <w:pPr>
        <w:pStyle w:val="SingleTxtG"/>
        <w:keepNext/>
        <w:spacing w:before="240"/>
        <w:ind w:left="2268"/>
        <w:rPr>
          <w:lang w:val="fr-FR"/>
        </w:rPr>
      </w:pPr>
      <w:r w:rsidRPr="00A779B8">
        <w:rPr>
          <w:lang w:val="fr-FR"/>
        </w:rPr>
        <w:lastRenderedPageBreak/>
        <w:t>Décomposition selon les rapports utilisés: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27"/>
        <w:gridCol w:w="1405"/>
        <w:gridCol w:w="1405"/>
      </w:tblGrid>
      <w:tr w:rsidR="009F7CF6" w:rsidRPr="00A779B8" w:rsidTr="00CB332B">
        <w:tblPrEx>
          <w:tblCellMar>
            <w:top w:w="0" w:type="dxa"/>
            <w:bottom w:w="0" w:type="dxa"/>
          </w:tblCellMar>
        </w:tblPrEx>
        <w:trPr>
          <w:tblHeader/>
        </w:trPr>
        <w:tc>
          <w:tcPr>
            <w:tcW w:w="3459" w:type="dxa"/>
            <w:vAlign w:val="center"/>
          </w:tcPr>
          <w:p w:rsidR="009F7CF6" w:rsidRPr="00A779B8" w:rsidRDefault="009F7CF6" w:rsidP="00CB332B">
            <w:pPr>
              <w:spacing w:before="40" w:after="40" w:line="200" w:lineRule="exact"/>
              <w:jc w:val="center"/>
              <w:rPr>
                <w:i/>
                <w:sz w:val="16"/>
                <w:szCs w:val="16"/>
                <w:lang w:val="fr-FR"/>
              </w:rPr>
            </w:pPr>
          </w:p>
        </w:tc>
        <w:tc>
          <w:tcPr>
            <w:tcW w:w="1418" w:type="dxa"/>
            <w:vAlign w:val="center"/>
          </w:tcPr>
          <w:p w:rsidR="009F7CF6" w:rsidRPr="00A779B8" w:rsidRDefault="009F7CF6" w:rsidP="00CB332B">
            <w:pPr>
              <w:spacing w:before="40" w:after="40" w:line="200" w:lineRule="exact"/>
              <w:jc w:val="center"/>
              <w:rPr>
                <w:i/>
                <w:sz w:val="16"/>
                <w:szCs w:val="16"/>
                <w:lang w:val="fr-FR"/>
              </w:rPr>
            </w:pPr>
            <w:r w:rsidRPr="00A779B8">
              <w:rPr>
                <w:i/>
                <w:sz w:val="16"/>
                <w:szCs w:val="16"/>
                <w:lang w:val="fr-FR"/>
              </w:rPr>
              <w:t>En temps (s)</w:t>
            </w:r>
          </w:p>
        </w:tc>
        <w:tc>
          <w:tcPr>
            <w:tcW w:w="1418" w:type="dxa"/>
            <w:vAlign w:val="center"/>
          </w:tcPr>
          <w:p w:rsidR="009F7CF6" w:rsidRPr="00A779B8" w:rsidRDefault="009F7CF6" w:rsidP="00CB332B">
            <w:pPr>
              <w:spacing w:before="40" w:after="40" w:line="200" w:lineRule="exact"/>
              <w:jc w:val="center"/>
              <w:rPr>
                <w:i/>
                <w:sz w:val="16"/>
                <w:szCs w:val="16"/>
                <w:lang w:val="fr-FR"/>
              </w:rPr>
            </w:pPr>
            <w:r w:rsidRPr="00A779B8">
              <w:rPr>
                <w:i/>
                <w:sz w:val="16"/>
                <w:szCs w:val="16"/>
                <w:lang w:val="fr-FR"/>
              </w:rPr>
              <w:t>En pourcentage</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Ralenti</w:t>
            </w:r>
          </w:p>
        </w:tc>
        <w:tc>
          <w:tcPr>
            <w:tcW w:w="1418" w:type="dxa"/>
            <w:vAlign w:val="bottom"/>
          </w:tcPr>
          <w:p w:rsidR="009F7CF6" w:rsidRPr="00A779B8" w:rsidRDefault="009F7CF6" w:rsidP="00CB332B">
            <w:pPr>
              <w:spacing w:before="40" w:after="40"/>
              <w:jc w:val="center"/>
              <w:rPr>
                <w:lang w:val="fr-FR"/>
              </w:rPr>
            </w:pPr>
            <w:r w:rsidRPr="00A779B8">
              <w:rPr>
                <w:lang w:val="fr-FR"/>
              </w:rPr>
              <w:t>20</w:t>
            </w:r>
          </w:p>
        </w:tc>
        <w:tc>
          <w:tcPr>
            <w:tcW w:w="1418" w:type="dxa"/>
            <w:vAlign w:val="bottom"/>
          </w:tcPr>
          <w:p w:rsidR="009F7CF6" w:rsidRPr="00A779B8" w:rsidRDefault="009F7CF6" w:rsidP="00CB332B">
            <w:pPr>
              <w:spacing w:before="40" w:after="40"/>
              <w:jc w:val="center"/>
              <w:rPr>
                <w:lang w:val="fr-FR"/>
              </w:rPr>
            </w:pPr>
            <w:r w:rsidRPr="00A779B8">
              <w:rPr>
                <w:lang w:val="fr-FR"/>
              </w:rPr>
              <w:t>5,0</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Décélération, moteur débrayé</w:t>
            </w:r>
          </w:p>
        </w:tc>
        <w:tc>
          <w:tcPr>
            <w:tcW w:w="1418" w:type="dxa"/>
            <w:vAlign w:val="bottom"/>
          </w:tcPr>
          <w:p w:rsidR="009F7CF6" w:rsidRPr="00A779B8" w:rsidRDefault="009F7CF6" w:rsidP="00CB332B">
            <w:pPr>
              <w:spacing w:before="40" w:after="40"/>
              <w:jc w:val="center"/>
              <w:rPr>
                <w:lang w:val="fr-FR"/>
              </w:rPr>
            </w:pPr>
            <w:r w:rsidRPr="00A779B8">
              <w:rPr>
                <w:lang w:val="fr-FR"/>
              </w:rPr>
              <w:t>20</w:t>
            </w:r>
          </w:p>
        </w:tc>
        <w:tc>
          <w:tcPr>
            <w:tcW w:w="1418" w:type="dxa"/>
            <w:vAlign w:val="bottom"/>
          </w:tcPr>
          <w:p w:rsidR="009F7CF6" w:rsidRPr="00A779B8" w:rsidRDefault="009F7CF6" w:rsidP="00CB332B">
            <w:pPr>
              <w:spacing w:before="40" w:after="40"/>
              <w:jc w:val="center"/>
              <w:rPr>
                <w:lang w:val="fr-FR"/>
              </w:rPr>
            </w:pPr>
            <w:r w:rsidRPr="00A779B8">
              <w:rPr>
                <w:lang w:val="fr-FR"/>
              </w:rPr>
              <w:t>5,0</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Changements de rapport</w:t>
            </w:r>
          </w:p>
        </w:tc>
        <w:tc>
          <w:tcPr>
            <w:tcW w:w="1418" w:type="dxa"/>
            <w:vAlign w:val="bottom"/>
          </w:tcPr>
          <w:p w:rsidR="009F7CF6" w:rsidRPr="00A779B8" w:rsidRDefault="009F7CF6" w:rsidP="00CB332B">
            <w:pPr>
              <w:spacing w:before="40" w:after="40"/>
              <w:jc w:val="center"/>
              <w:rPr>
                <w:lang w:val="fr-FR"/>
              </w:rPr>
            </w:pPr>
            <w:r w:rsidRPr="00A779B8">
              <w:rPr>
                <w:lang w:val="fr-FR"/>
              </w:rPr>
              <w:t>6</w:t>
            </w:r>
          </w:p>
        </w:tc>
        <w:tc>
          <w:tcPr>
            <w:tcW w:w="1418" w:type="dxa"/>
            <w:vAlign w:val="bottom"/>
          </w:tcPr>
          <w:p w:rsidR="009F7CF6" w:rsidRPr="00A779B8" w:rsidRDefault="009F7CF6" w:rsidP="00CB332B">
            <w:pPr>
              <w:spacing w:before="40" w:after="40"/>
              <w:jc w:val="center"/>
              <w:rPr>
                <w:lang w:val="fr-FR"/>
              </w:rPr>
            </w:pPr>
            <w:r w:rsidRPr="00A779B8">
              <w:rPr>
                <w:lang w:val="fr-FR"/>
              </w:rPr>
              <w:t>1,5</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Premier rapport</w:t>
            </w:r>
          </w:p>
        </w:tc>
        <w:tc>
          <w:tcPr>
            <w:tcW w:w="1418" w:type="dxa"/>
            <w:vAlign w:val="bottom"/>
          </w:tcPr>
          <w:p w:rsidR="009F7CF6" w:rsidRPr="00A779B8" w:rsidRDefault="009F7CF6" w:rsidP="00CB332B">
            <w:pPr>
              <w:spacing w:before="40" w:after="40"/>
              <w:jc w:val="center"/>
              <w:rPr>
                <w:lang w:val="fr-FR"/>
              </w:rPr>
            </w:pPr>
            <w:r w:rsidRPr="00A779B8">
              <w:rPr>
                <w:lang w:val="fr-FR"/>
              </w:rPr>
              <w:t>5</w:t>
            </w:r>
          </w:p>
        </w:tc>
        <w:tc>
          <w:tcPr>
            <w:tcW w:w="1418" w:type="dxa"/>
            <w:vAlign w:val="bottom"/>
          </w:tcPr>
          <w:p w:rsidR="009F7CF6" w:rsidRPr="00A779B8" w:rsidRDefault="009F7CF6" w:rsidP="00CB332B">
            <w:pPr>
              <w:spacing w:before="40" w:after="40"/>
              <w:jc w:val="center"/>
              <w:rPr>
                <w:lang w:val="fr-FR"/>
              </w:rPr>
            </w:pPr>
            <w:r w:rsidRPr="00A779B8">
              <w:rPr>
                <w:lang w:val="fr-FR"/>
              </w:rPr>
              <w:t>1,3</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rPr>
                <w:lang w:val="fr-FR"/>
              </w:rPr>
            </w:pPr>
            <w:r w:rsidRPr="00A779B8">
              <w:rPr>
                <w:lang w:val="fr-FR"/>
              </w:rPr>
              <w:t>Deuxième rapport</w:t>
            </w:r>
          </w:p>
        </w:tc>
        <w:tc>
          <w:tcPr>
            <w:tcW w:w="1418" w:type="dxa"/>
            <w:vAlign w:val="bottom"/>
          </w:tcPr>
          <w:p w:rsidR="009F7CF6" w:rsidRPr="00A779B8" w:rsidRDefault="009F7CF6" w:rsidP="00CB332B">
            <w:pPr>
              <w:spacing w:before="40" w:after="40"/>
              <w:jc w:val="center"/>
              <w:rPr>
                <w:lang w:val="fr-FR"/>
              </w:rPr>
            </w:pPr>
            <w:r w:rsidRPr="00A779B8">
              <w:rPr>
                <w:lang w:val="fr-FR"/>
              </w:rPr>
              <w:t>9</w:t>
            </w:r>
          </w:p>
        </w:tc>
        <w:tc>
          <w:tcPr>
            <w:tcW w:w="1418" w:type="dxa"/>
            <w:vAlign w:val="bottom"/>
          </w:tcPr>
          <w:p w:rsidR="009F7CF6" w:rsidRPr="00A779B8" w:rsidRDefault="009F7CF6" w:rsidP="00CB332B">
            <w:pPr>
              <w:spacing w:before="40" w:after="40"/>
              <w:jc w:val="center"/>
              <w:rPr>
                <w:lang w:val="fr-FR"/>
              </w:rPr>
            </w:pPr>
            <w:r w:rsidRPr="00A779B8">
              <w:rPr>
                <w:lang w:val="fr-FR"/>
              </w:rPr>
              <w:t>2,2</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ind w:right="57"/>
              <w:rPr>
                <w:lang w:val="fr-FR"/>
              </w:rPr>
            </w:pPr>
            <w:r w:rsidRPr="00A779B8">
              <w:rPr>
                <w:lang w:val="fr-FR"/>
              </w:rPr>
              <w:t>Troisième rapport</w:t>
            </w:r>
          </w:p>
        </w:tc>
        <w:tc>
          <w:tcPr>
            <w:tcW w:w="1418" w:type="dxa"/>
            <w:vAlign w:val="bottom"/>
          </w:tcPr>
          <w:p w:rsidR="009F7CF6" w:rsidRPr="00A779B8" w:rsidRDefault="009F7CF6" w:rsidP="00CB332B">
            <w:pPr>
              <w:spacing w:before="40" w:after="40"/>
              <w:jc w:val="center"/>
              <w:rPr>
                <w:lang w:val="fr-FR"/>
              </w:rPr>
            </w:pPr>
            <w:r w:rsidRPr="00A779B8">
              <w:rPr>
                <w:lang w:val="fr-FR"/>
              </w:rPr>
              <w:t>8</w:t>
            </w:r>
          </w:p>
        </w:tc>
        <w:tc>
          <w:tcPr>
            <w:tcW w:w="1418" w:type="dxa"/>
            <w:vAlign w:val="bottom"/>
          </w:tcPr>
          <w:p w:rsidR="009F7CF6" w:rsidRPr="00A779B8" w:rsidRDefault="009F7CF6" w:rsidP="00CB332B">
            <w:pPr>
              <w:spacing w:before="40" w:after="40"/>
              <w:jc w:val="center"/>
              <w:rPr>
                <w:lang w:val="fr-FR"/>
              </w:rPr>
            </w:pPr>
            <w:r w:rsidRPr="00A779B8">
              <w:rPr>
                <w:lang w:val="fr-FR"/>
              </w:rPr>
              <w:t>2</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ind w:right="57"/>
              <w:rPr>
                <w:lang w:val="fr-FR"/>
              </w:rPr>
            </w:pPr>
            <w:r w:rsidRPr="00A779B8">
              <w:rPr>
                <w:lang w:val="fr-FR"/>
              </w:rPr>
              <w:t>Quatrième rapport</w:t>
            </w:r>
          </w:p>
        </w:tc>
        <w:tc>
          <w:tcPr>
            <w:tcW w:w="1418" w:type="dxa"/>
            <w:vAlign w:val="bottom"/>
          </w:tcPr>
          <w:p w:rsidR="009F7CF6" w:rsidRPr="00A779B8" w:rsidRDefault="009F7CF6" w:rsidP="00CB332B">
            <w:pPr>
              <w:spacing w:before="40" w:after="40"/>
              <w:jc w:val="center"/>
              <w:rPr>
                <w:lang w:val="fr-FR"/>
              </w:rPr>
            </w:pPr>
            <w:r w:rsidRPr="00A779B8">
              <w:rPr>
                <w:lang w:val="fr-FR"/>
              </w:rPr>
              <w:t>99</w:t>
            </w:r>
          </w:p>
        </w:tc>
        <w:tc>
          <w:tcPr>
            <w:tcW w:w="1418" w:type="dxa"/>
            <w:vAlign w:val="bottom"/>
          </w:tcPr>
          <w:p w:rsidR="009F7CF6" w:rsidRPr="00A779B8" w:rsidRDefault="009F7CF6" w:rsidP="00CB332B">
            <w:pPr>
              <w:spacing w:before="40" w:after="40"/>
              <w:jc w:val="center"/>
              <w:rPr>
                <w:lang w:val="fr-FR"/>
              </w:rPr>
            </w:pPr>
            <w:r w:rsidRPr="00A779B8">
              <w:rPr>
                <w:lang w:val="fr-FR"/>
              </w:rPr>
              <w:t>24,8</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ind w:right="57"/>
              <w:rPr>
                <w:lang w:val="fr-FR"/>
              </w:rPr>
            </w:pPr>
            <w:r w:rsidRPr="00A779B8">
              <w:rPr>
                <w:lang w:val="fr-FR"/>
              </w:rPr>
              <w:t>Cinquième rapport</w:t>
            </w:r>
          </w:p>
        </w:tc>
        <w:tc>
          <w:tcPr>
            <w:tcW w:w="1418" w:type="dxa"/>
            <w:vAlign w:val="bottom"/>
          </w:tcPr>
          <w:p w:rsidR="009F7CF6" w:rsidRPr="00A779B8" w:rsidRDefault="009F7CF6" w:rsidP="00CB332B">
            <w:pPr>
              <w:spacing w:before="40" w:after="40"/>
              <w:jc w:val="center"/>
              <w:rPr>
                <w:lang w:val="fr-FR"/>
              </w:rPr>
            </w:pPr>
            <w:r w:rsidRPr="00A779B8">
              <w:rPr>
                <w:lang w:val="fr-FR"/>
              </w:rPr>
              <w:t>233</w:t>
            </w:r>
          </w:p>
        </w:tc>
        <w:tc>
          <w:tcPr>
            <w:tcW w:w="1418" w:type="dxa"/>
            <w:vAlign w:val="bottom"/>
          </w:tcPr>
          <w:p w:rsidR="009F7CF6" w:rsidRPr="00A779B8" w:rsidRDefault="009F7CF6" w:rsidP="00CB332B">
            <w:pPr>
              <w:spacing w:before="40" w:after="40"/>
              <w:jc w:val="center"/>
              <w:rPr>
                <w:lang w:val="fr-FR"/>
              </w:rPr>
            </w:pPr>
            <w:r w:rsidRPr="00A779B8">
              <w:rPr>
                <w:lang w:val="fr-FR"/>
              </w:rPr>
              <w:t>58,2</w:t>
            </w:r>
          </w:p>
        </w:tc>
      </w:tr>
      <w:tr w:rsidR="009F7CF6" w:rsidRPr="00A779B8" w:rsidTr="00CB332B">
        <w:tblPrEx>
          <w:tblCellMar>
            <w:top w:w="0" w:type="dxa"/>
            <w:bottom w:w="0" w:type="dxa"/>
          </w:tblCellMar>
        </w:tblPrEx>
        <w:tc>
          <w:tcPr>
            <w:tcW w:w="3459" w:type="dxa"/>
          </w:tcPr>
          <w:p w:rsidR="009F7CF6" w:rsidRPr="00A779B8" w:rsidRDefault="009F7CF6" w:rsidP="00CB332B">
            <w:pPr>
              <w:spacing w:before="40" w:after="40"/>
              <w:ind w:right="57"/>
              <w:rPr>
                <w:lang w:val="fr-FR"/>
              </w:rPr>
            </w:pPr>
            <w:r w:rsidRPr="00A779B8">
              <w:rPr>
                <w:lang w:val="fr-FR"/>
              </w:rPr>
              <w:t>Total</w:t>
            </w:r>
          </w:p>
        </w:tc>
        <w:tc>
          <w:tcPr>
            <w:tcW w:w="1418" w:type="dxa"/>
            <w:vAlign w:val="bottom"/>
          </w:tcPr>
          <w:p w:rsidR="009F7CF6" w:rsidRPr="00A779B8" w:rsidRDefault="009F7CF6" w:rsidP="00CB332B">
            <w:pPr>
              <w:spacing w:before="40" w:after="40"/>
              <w:jc w:val="center"/>
              <w:rPr>
                <w:lang w:val="fr-FR"/>
              </w:rPr>
            </w:pPr>
            <w:r w:rsidRPr="00A779B8">
              <w:rPr>
                <w:lang w:val="fr-FR"/>
              </w:rPr>
              <w:t>400</w:t>
            </w:r>
          </w:p>
        </w:tc>
        <w:tc>
          <w:tcPr>
            <w:tcW w:w="1418" w:type="dxa"/>
            <w:vAlign w:val="bottom"/>
          </w:tcPr>
          <w:p w:rsidR="009F7CF6" w:rsidRPr="00A779B8" w:rsidRDefault="009F7CF6" w:rsidP="00CB332B">
            <w:pPr>
              <w:spacing w:before="40" w:after="40"/>
              <w:jc w:val="center"/>
              <w:rPr>
                <w:lang w:val="fr-FR"/>
              </w:rPr>
            </w:pPr>
            <w:r w:rsidRPr="00A779B8">
              <w:rPr>
                <w:lang w:val="fr-FR"/>
              </w:rPr>
              <w:t>100</w:t>
            </w:r>
          </w:p>
        </w:tc>
      </w:tr>
    </w:tbl>
    <w:p w:rsidR="009F7CF6" w:rsidRPr="00A779B8" w:rsidRDefault="009F7CF6" w:rsidP="009F7CF6">
      <w:pPr>
        <w:pStyle w:val="SingleTxtG"/>
        <w:keepNext/>
        <w:spacing w:before="120"/>
        <w:ind w:left="2268"/>
        <w:rPr>
          <w:lang w:val="fr-FR"/>
        </w:rPr>
      </w:pPr>
      <w:r w:rsidRPr="00A779B8">
        <w:rPr>
          <w:lang w:val="fr-FR"/>
        </w:rPr>
        <w:tab/>
        <w:t>Informations générales:</w:t>
      </w:r>
    </w:p>
    <w:tbl>
      <w:tblPr>
        <w:tblW w:w="0" w:type="auto"/>
        <w:tblInd w:w="2268" w:type="dxa"/>
        <w:tblLayout w:type="fixed"/>
        <w:tblCellMar>
          <w:left w:w="0" w:type="dxa"/>
          <w:right w:w="0" w:type="dxa"/>
        </w:tblCellMar>
        <w:tblLook w:val="01E0" w:firstRow="1" w:lastRow="1" w:firstColumn="1" w:lastColumn="1" w:noHBand="0" w:noVBand="0"/>
      </w:tblPr>
      <w:tblGrid>
        <w:gridCol w:w="3459"/>
        <w:gridCol w:w="1247"/>
      </w:tblGrid>
      <w:tr w:rsidR="009F7CF6" w:rsidRPr="007E29C4" w:rsidTr="00CB332B">
        <w:tc>
          <w:tcPr>
            <w:tcW w:w="3459" w:type="dxa"/>
            <w:tcBorders>
              <w:top w:val="nil"/>
              <w:left w:val="nil"/>
              <w:bottom w:val="nil"/>
              <w:right w:val="nil"/>
            </w:tcBorders>
            <w:shd w:val="clear" w:color="auto" w:fill="auto"/>
          </w:tcPr>
          <w:p w:rsidR="009F7CF6" w:rsidRPr="007E29C4" w:rsidRDefault="009F7CF6" w:rsidP="00CB332B">
            <w:pPr>
              <w:pStyle w:val="SingleTxtG"/>
              <w:ind w:left="0" w:right="0"/>
              <w:rPr>
                <w:lang w:val="fr-FR"/>
              </w:rPr>
            </w:pPr>
            <w:r w:rsidRPr="007E29C4">
              <w:rPr>
                <w:lang w:val="fr-FR"/>
              </w:rPr>
              <w:t>Vitesse moyenne lors de l</w:t>
            </w:r>
            <w:r w:rsidR="00DB4C2D">
              <w:rPr>
                <w:lang w:val="fr-FR"/>
              </w:rPr>
              <w:t>’</w:t>
            </w:r>
            <w:r w:rsidRPr="007E29C4">
              <w:rPr>
                <w:lang w:val="fr-FR"/>
              </w:rPr>
              <w:t>essai:</w:t>
            </w:r>
          </w:p>
        </w:tc>
        <w:tc>
          <w:tcPr>
            <w:tcW w:w="1247" w:type="dxa"/>
            <w:tcBorders>
              <w:top w:val="nil"/>
              <w:left w:val="nil"/>
              <w:bottom w:val="nil"/>
              <w:right w:val="nil"/>
            </w:tcBorders>
            <w:shd w:val="clear" w:color="auto" w:fill="auto"/>
          </w:tcPr>
          <w:p w:rsidR="009F7CF6" w:rsidRPr="007E29C4" w:rsidRDefault="009F7CF6" w:rsidP="00CB332B">
            <w:pPr>
              <w:pStyle w:val="SingleTxtG"/>
              <w:ind w:left="0" w:right="0"/>
              <w:jc w:val="right"/>
              <w:rPr>
                <w:bCs/>
                <w:lang w:val="fr-FR"/>
              </w:rPr>
            </w:pPr>
            <w:r w:rsidRPr="007E29C4">
              <w:rPr>
                <w:bCs/>
                <w:lang w:val="fr-FR"/>
              </w:rPr>
              <w:t>62,6 km/h</w:t>
            </w:r>
          </w:p>
        </w:tc>
      </w:tr>
      <w:tr w:rsidR="009F7CF6" w:rsidRPr="007E29C4" w:rsidTr="00CB332B">
        <w:tc>
          <w:tcPr>
            <w:tcW w:w="3459" w:type="dxa"/>
            <w:tcBorders>
              <w:top w:val="nil"/>
              <w:left w:val="nil"/>
              <w:bottom w:val="nil"/>
              <w:right w:val="nil"/>
            </w:tcBorders>
            <w:shd w:val="clear" w:color="auto" w:fill="auto"/>
          </w:tcPr>
          <w:p w:rsidR="009F7CF6" w:rsidRPr="007E29C4" w:rsidRDefault="009F7CF6" w:rsidP="00CB332B">
            <w:pPr>
              <w:pStyle w:val="SingleTxtG"/>
              <w:ind w:left="0" w:right="0"/>
              <w:rPr>
                <w:lang w:val="fr-FR"/>
              </w:rPr>
            </w:pPr>
            <w:r w:rsidRPr="007E29C4">
              <w:rPr>
                <w:lang w:val="fr-FR"/>
              </w:rPr>
              <w:t>Temps de marche effectif:</w:t>
            </w:r>
          </w:p>
        </w:tc>
        <w:tc>
          <w:tcPr>
            <w:tcW w:w="1247" w:type="dxa"/>
            <w:tcBorders>
              <w:top w:val="nil"/>
              <w:left w:val="nil"/>
              <w:bottom w:val="nil"/>
              <w:right w:val="nil"/>
            </w:tcBorders>
            <w:shd w:val="clear" w:color="auto" w:fill="auto"/>
          </w:tcPr>
          <w:p w:rsidR="009F7CF6" w:rsidRPr="007E29C4" w:rsidRDefault="009F7CF6" w:rsidP="00CB332B">
            <w:pPr>
              <w:pStyle w:val="SingleTxtG"/>
              <w:ind w:left="0" w:right="0"/>
              <w:jc w:val="right"/>
              <w:rPr>
                <w:lang w:val="fr-FR"/>
              </w:rPr>
            </w:pPr>
            <w:r w:rsidRPr="007E29C4">
              <w:rPr>
                <w:lang w:val="fr-FR"/>
              </w:rPr>
              <w:t>400 s</w:t>
            </w:r>
          </w:p>
        </w:tc>
      </w:tr>
      <w:tr w:rsidR="009F7CF6" w:rsidRPr="007E29C4" w:rsidTr="00CB332B">
        <w:tc>
          <w:tcPr>
            <w:tcW w:w="3459" w:type="dxa"/>
            <w:tcBorders>
              <w:top w:val="nil"/>
              <w:left w:val="nil"/>
              <w:bottom w:val="nil"/>
              <w:right w:val="nil"/>
            </w:tcBorders>
            <w:shd w:val="clear" w:color="auto" w:fill="auto"/>
          </w:tcPr>
          <w:p w:rsidR="009F7CF6" w:rsidRPr="007E29C4" w:rsidRDefault="009F7CF6" w:rsidP="00CB332B">
            <w:pPr>
              <w:pStyle w:val="SingleTxtG"/>
              <w:ind w:left="0" w:right="0"/>
              <w:rPr>
                <w:bCs/>
                <w:lang w:val="fr-FR"/>
              </w:rPr>
            </w:pPr>
            <w:r w:rsidRPr="007E29C4">
              <w:rPr>
                <w:lang w:val="fr-FR"/>
              </w:rPr>
              <w:t>Distance théorique parcourue par cycle:</w:t>
            </w:r>
          </w:p>
        </w:tc>
        <w:tc>
          <w:tcPr>
            <w:tcW w:w="1247" w:type="dxa"/>
            <w:tcBorders>
              <w:top w:val="nil"/>
              <w:left w:val="nil"/>
              <w:bottom w:val="nil"/>
              <w:right w:val="nil"/>
            </w:tcBorders>
            <w:shd w:val="clear" w:color="auto" w:fill="auto"/>
          </w:tcPr>
          <w:p w:rsidR="009F7CF6" w:rsidRPr="007E29C4" w:rsidRDefault="009F7CF6" w:rsidP="00CB332B">
            <w:pPr>
              <w:pStyle w:val="SingleTxtG"/>
              <w:ind w:left="0" w:right="0"/>
              <w:jc w:val="right"/>
              <w:rPr>
                <w:bCs/>
                <w:lang w:val="fr-FR"/>
              </w:rPr>
            </w:pPr>
            <w:r w:rsidRPr="007E29C4">
              <w:rPr>
                <w:bCs/>
                <w:lang w:val="fr-FR"/>
              </w:rPr>
              <w:t>6,955 km</w:t>
            </w:r>
          </w:p>
        </w:tc>
      </w:tr>
      <w:tr w:rsidR="009F7CF6" w:rsidRPr="007E29C4" w:rsidTr="00CB332B">
        <w:tc>
          <w:tcPr>
            <w:tcW w:w="3459" w:type="dxa"/>
            <w:tcBorders>
              <w:top w:val="nil"/>
              <w:left w:val="nil"/>
              <w:bottom w:val="nil"/>
              <w:right w:val="nil"/>
            </w:tcBorders>
            <w:shd w:val="clear" w:color="auto" w:fill="auto"/>
          </w:tcPr>
          <w:p w:rsidR="009F7CF6" w:rsidRPr="007E29C4" w:rsidRDefault="009F7CF6" w:rsidP="00CB332B">
            <w:pPr>
              <w:pStyle w:val="SingleTxtG"/>
              <w:ind w:left="0" w:right="0"/>
              <w:rPr>
                <w:lang w:val="fr-FR"/>
              </w:rPr>
            </w:pPr>
            <w:r w:rsidRPr="007E29C4">
              <w:rPr>
                <w:lang w:val="fr-FR"/>
              </w:rPr>
              <w:t>Vitesse maximale:</w:t>
            </w:r>
          </w:p>
        </w:tc>
        <w:tc>
          <w:tcPr>
            <w:tcW w:w="1247" w:type="dxa"/>
            <w:tcBorders>
              <w:top w:val="nil"/>
              <w:left w:val="nil"/>
              <w:bottom w:val="nil"/>
              <w:right w:val="nil"/>
            </w:tcBorders>
            <w:shd w:val="clear" w:color="auto" w:fill="auto"/>
          </w:tcPr>
          <w:p w:rsidR="009F7CF6" w:rsidRPr="007E29C4" w:rsidRDefault="009F7CF6" w:rsidP="00CB332B">
            <w:pPr>
              <w:pStyle w:val="SingleTxtG"/>
              <w:ind w:left="0" w:right="0"/>
              <w:jc w:val="right"/>
              <w:rPr>
                <w:lang w:val="fr-FR"/>
              </w:rPr>
            </w:pPr>
            <w:r w:rsidRPr="007E29C4">
              <w:rPr>
                <w:lang w:val="fr-FR"/>
              </w:rPr>
              <w:t>120 km/h</w:t>
            </w:r>
          </w:p>
        </w:tc>
      </w:tr>
      <w:tr w:rsidR="009F7CF6" w:rsidRPr="007E29C4" w:rsidTr="00CB332B">
        <w:tc>
          <w:tcPr>
            <w:tcW w:w="3459" w:type="dxa"/>
            <w:tcBorders>
              <w:top w:val="nil"/>
              <w:left w:val="nil"/>
              <w:bottom w:val="nil"/>
              <w:right w:val="nil"/>
            </w:tcBorders>
            <w:shd w:val="clear" w:color="auto" w:fill="auto"/>
          </w:tcPr>
          <w:p w:rsidR="009F7CF6" w:rsidRPr="007E29C4" w:rsidRDefault="009F7CF6" w:rsidP="00CB332B">
            <w:pPr>
              <w:pStyle w:val="SingleTxtG"/>
              <w:ind w:left="0" w:right="0"/>
              <w:rPr>
                <w:lang w:val="fr-FR"/>
              </w:rPr>
            </w:pPr>
            <w:r w:rsidRPr="007E29C4">
              <w:rPr>
                <w:lang w:val="fr-FR"/>
              </w:rPr>
              <w:t>Accélération maximale:</w:t>
            </w:r>
          </w:p>
        </w:tc>
        <w:tc>
          <w:tcPr>
            <w:tcW w:w="1247" w:type="dxa"/>
            <w:tcBorders>
              <w:top w:val="nil"/>
              <w:left w:val="nil"/>
              <w:bottom w:val="nil"/>
              <w:right w:val="nil"/>
            </w:tcBorders>
            <w:shd w:val="clear" w:color="auto" w:fill="auto"/>
          </w:tcPr>
          <w:p w:rsidR="009F7CF6" w:rsidRPr="007E29C4" w:rsidRDefault="009F7CF6" w:rsidP="00CB332B">
            <w:pPr>
              <w:pStyle w:val="SingleTxtG"/>
              <w:ind w:left="0" w:right="0"/>
              <w:jc w:val="right"/>
              <w:rPr>
                <w:vertAlign w:val="superscript"/>
                <w:lang w:val="fr-FR"/>
              </w:rPr>
            </w:pPr>
            <w:r w:rsidRPr="007E29C4">
              <w:rPr>
                <w:lang w:val="fr-FR"/>
              </w:rPr>
              <w:t>0,833 m/s</w:t>
            </w:r>
            <w:r w:rsidRPr="007E29C4">
              <w:rPr>
                <w:vertAlign w:val="superscript"/>
                <w:lang w:val="fr-FR"/>
              </w:rPr>
              <w:t>2</w:t>
            </w:r>
          </w:p>
        </w:tc>
      </w:tr>
      <w:tr w:rsidR="009F7CF6" w:rsidRPr="007E29C4" w:rsidTr="00CB332B">
        <w:tc>
          <w:tcPr>
            <w:tcW w:w="3459" w:type="dxa"/>
            <w:tcBorders>
              <w:top w:val="nil"/>
              <w:left w:val="nil"/>
              <w:bottom w:val="nil"/>
              <w:right w:val="nil"/>
            </w:tcBorders>
            <w:shd w:val="clear" w:color="auto" w:fill="auto"/>
          </w:tcPr>
          <w:p w:rsidR="009F7CF6" w:rsidRPr="007E29C4" w:rsidRDefault="009F7CF6" w:rsidP="00CB332B">
            <w:pPr>
              <w:pStyle w:val="SingleTxtG"/>
              <w:ind w:left="0" w:right="0"/>
              <w:rPr>
                <w:lang w:val="fr-FR"/>
              </w:rPr>
            </w:pPr>
            <w:r w:rsidRPr="007E29C4">
              <w:rPr>
                <w:lang w:val="fr-FR"/>
              </w:rPr>
              <w:t>Décélération maximale:</w:t>
            </w:r>
          </w:p>
        </w:tc>
        <w:tc>
          <w:tcPr>
            <w:tcW w:w="1247" w:type="dxa"/>
            <w:tcBorders>
              <w:top w:val="nil"/>
              <w:left w:val="nil"/>
              <w:bottom w:val="nil"/>
              <w:right w:val="nil"/>
            </w:tcBorders>
            <w:shd w:val="clear" w:color="auto" w:fill="auto"/>
          </w:tcPr>
          <w:p w:rsidR="009F7CF6" w:rsidRPr="007E29C4" w:rsidRDefault="009F7CF6" w:rsidP="00CB332B">
            <w:pPr>
              <w:pStyle w:val="SingleTxtG"/>
              <w:ind w:left="0" w:right="0"/>
              <w:jc w:val="right"/>
              <w:rPr>
                <w:lang w:val="fr-FR"/>
              </w:rPr>
            </w:pPr>
            <w:r w:rsidRPr="007E29C4">
              <w:rPr>
                <w:lang w:val="fr-FR"/>
              </w:rPr>
              <w:t>-1,389 m/s</w:t>
            </w:r>
            <w:r w:rsidRPr="007E29C4">
              <w:rPr>
                <w:vertAlign w:val="superscript"/>
                <w:lang w:val="fr-FR"/>
              </w:rPr>
              <w:t>2</w:t>
            </w:r>
          </w:p>
        </w:tc>
      </w:tr>
    </w:tbl>
    <w:p w:rsidR="009F7CF6" w:rsidRPr="00A779B8" w:rsidRDefault="009F7CF6" w:rsidP="009F7CF6">
      <w:pPr>
        <w:pStyle w:val="SingleTxtG"/>
        <w:keepNext/>
        <w:ind w:left="2268" w:hanging="1134"/>
        <w:jc w:val="left"/>
        <w:rPr>
          <w:lang w:val="fr-FR"/>
        </w:rPr>
      </w:pPr>
      <w:r w:rsidRPr="00A779B8">
        <w:rPr>
          <w:lang w:val="fr-FR"/>
        </w:rPr>
        <w:t>6.1.3</w:t>
      </w:r>
      <w:r w:rsidRPr="00A779B8">
        <w:rPr>
          <w:lang w:val="fr-FR"/>
        </w:rPr>
        <w:tab/>
        <w:t>Rapports utilisés</w:t>
      </w:r>
    </w:p>
    <w:p w:rsidR="009F7CF6" w:rsidRPr="00A779B8" w:rsidRDefault="009F7CF6" w:rsidP="009F7CF6">
      <w:pPr>
        <w:pStyle w:val="SingleTxtG"/>
        <w:ind w:left="2268" w:hanging="1134"/>
        <w:rPr>
          <w:bCs/>
          <w:lang w:val="fr-FR"/>
        </w:rPr>
      </w:pPr>
      <w:r w:rsidRPr="00A779B8">
        <w:rPr>
          <w:lang w:val="fr-FR"/>
        </w:rPr>
        <w:t>6.1.3.1</w:t>
      </w:r>
      <w:r w:rsidRPr="00A779B8">
        <w:rPr>
          <w:lang w:val="fr-FR"/>
        </w:rPr>
        <w:tab/>
      </w:r>
      <w:r w:rsidRPr="00A779B8">
        <w:rPr>
          <w:bCs/>
          <w:lang w:val="fr-FR"/>
        </w:rPr>
        <w:t>Si la vitesse maximale pouvant être atteinte sur le premier rapport de la boîte de vitesses est inférieure à 15 km/h, on doit utiliser les deuxième, troisième et quatrième pour le cycle urbain (première partie) et les deuxième, troisième, quatrième et cinquième pour le cycle extra-urbain (seconde partie). On peut également utiliser les deuxième, troisième et quatrième pour le cycle urbain (première partie) et les deuxième, troisième, quatrième et cinquième pour le cycle extra-urbain (seconde partie) lorsque les instructions du constructeur recommandent le démarrage en palier sur le deuxième rapport ou que le premier rapport y est défini comme étant réservé à la conduite tout-terrain ou de remorquage.</w:t>
      </w:r>
    </w:p>
    <w:p w:rsidR="009F7CF6" w:rsidRPr="00A779B8" w:rsidRDefault="009F7CF6" w:rsidP="009F7CF6">
      <w:pPr>
        <w:pStyle w:val="SingleTxtG"/>
        <w:ind w:left="2268"/>
        <w:rPr>
          <w:bCs/>
          <w:szCs w:val="24"/>
          <w:lang w:val="fr-FR"/>
        </w:rPr>
      </w:pPr>
      <w:r w:rsidRPr="00A779B8">
        <w:rPr>
          <w:lang w:val="fr-FR"/>
        </w:rPr>
        <w:tab/>
      </w:r>
      <w:r w:rsidRPr="00A779B8">
        <w:rPr>
          <w:szCs w:val="24"/>
          <w:lang w:val="fr-FR"/>
        </w:rPr>
        <w:t>Lorsque les véhicules n</w:t>
      </w:r>
      <w:r w:rsidR="00DB4C2D">
        <w:rPr>
          <w:szCs w:val="24"/>
          <w:lang w:val="fr-FR"/>
        </w:rPr>
        <w:t>’</w:t>
      </w:r>
      <w:r w:rsidRPr="00A779B8">
        <w:rPr>
          <w:szCs w:val="24"/>
          <w:lang w:val="fr-FR"/>
        </w:rPr>
        <w:t>atteignent pas l</w:t>
      </w:r>
      <w:r w:rsidR="00DB4C2D">
        <w:rPr>
          <w:szCs w:val="24"/>
          <w:lang w:val="fr-FR"/>
        </w:rPr>
        <w:t>’</w:t>
      </w:r>
      <w:r w:rsidRPr="00A779B8">
        <w:rPr>
          <w:szCs w:val="24"/>
          <w:lang w:val="fr-FR"/>
        </w:rPr>
        <w:t>accélération et la vitesse maximale indiquées pour le cycle d</w:t>
      </w:r>
      <w:r w:rsidR="00DB4C2D">
        <w:rPr>
          <w:szCs w:val="24"/>
          <w:lang w:val="fr-FR"/>
        </w:rPr>
        <w:t>’</w:t>
      </w:r>
      <w:r w:rsidRPr="00A779B8">
        <w:rPr>
          <w:szCs w:val="24"/>
          <w:lang w:val="fr-FR"/>
        </w:rPr>
        <w:t>essais, il faut appuyer à fond sur l</w:t>
      </w:r>
      <w:r w:rsidR="00DB4C2D">
        <w:rPr>
          <w:szCs w:val="24"/>
          <w:lang w:val="fr-FR"/>
        </w:rPr>
        <w:t>’</w:t>
      </w:r>
      <w:r w:rsidRPr="00A779B8">
        <w:rPr>
          <w:szCs w:val="24"/>
          <w:lang w:val="fr-FR"/>
        </w:rPr>
        <w:t>accélérateur jusqu</w:t>
      </w:r>
      <w:r w:rsidR="00DB4C2D">
        <w:rPr>
          <w:szCs w:val="24"/>
          <w:lang w:val="fr-FR"/>
        </w:rPr>
        <w:t>’</w:t>
      </w:r>
      <w:r w:rsidRPr="00A779B8">
        <w:rPr>
          <w:szCs w:val="24"/>
          <w:lang w:val="fr-FR"/>
        </w:rPr>
        <w:t>à ce que la courbe prescrite soit</w:t>
      </w:r>
      <w:r w:rsidRPr="00A779B8">
        <w:rPr>
          <w:bCs/>
          <w:szCs w:val="24"/>
          <w:lang w:val="fr-FR"/>
        </w:rPr>
        <w:t xml:space="preserve"> rattrapée. Les écarts par rapport au cycle d</w:t>
      </w:r>
      <w:r w:rsidR="00DB4C2D">
        <w:rPr>
          <w:bCs/>
          <w:szCs w:val="24"/>
          <w:lang w:val="fr-FR"/>
        </w:rPr>
        <w:t>’</w:t>
      </w:r>
      <w:r w:rsidRPr="00A779B8">
        <w:rPr>
          <w:bCs/>
          <w:szCs w:val="24"/>
          <w:lang w:val="fr-FR"/>
        </w:rPr>
        <w:t>essai doivent être consignés dans le procès-verbal d</w:t>
      </w:r>
      <w:r w:rsidR="00DB4C2D">
        <w:rPr>
          <w:bCs/>
          <w:szCs w:val="24"/>
          <w:lang w:val="fr-FR"/>
        </w:rPr>
        <w:t>’</w:t>
      </w:r>
      <w:r w:rsidRPr="00A779B8">
        <w:rPr>
          <w:bCs/>
          <w:szCs w:val="24"/>
          <w:lang w:val="fr-FR"/>
        </w:rPr>
        <w:t>essai.</w:t>
      </w:r>
    </w:p>
    <w:p w:rsidR="009F7CF6" w:rsidRPr="00A779B8" w:rsidRDefault="009F7CF6" w:rsidP="009F7CF6">
      <w:pPr>
        <w:pStyle w:val="SingleTxtG"/>
        <w:ind w:left="2268"/>
        <w:rPr>
          <w:lang w:val="fr-FR"/>
        </w:rPr>
      </w:pPr>
      <w:r w:rsidRPr="00A779B8">
        <w:rPr>
          <w:lang w:val="fr-FR"/>
        </w:rPr>
        <w:tab/>
        <w:t>Les véhicules équipés d</w:t>
      </w:r>
      <w:r w:rsidR="00DB4C2D">
        <w:rPr>
          <w:lang w:val="fr-FR"/>
        </w:rPr>
        <w:t>’</w:t>
      </w:r>
      <w:r w:rsidRPr="00A779B8">
        <w:rPr>
          <w:lang w:val="fr-FR"/>
        </w:rPr>
        <w:t>une boîte de vitesses à commande semi-automatique doivent être essayés sur les rapports normalement utilisés pour la circulation sur route et le changeur de vitesse doit être actionné selon les instructions du constructeur.</w:t>
      </w:r>
    </w:p>
    <w:p w:rsidR="009F7CF6" w:rsidRPr="00A779B8" w:rsidRDefault="009F7CF6" w:rsidP="009F7CF6">
      <w:pPr>
        <w:pStyle w:val="SingleTxtG"/>
        <w:spacing w:after="100" w:line="236" w:lineRule="atLeast"/>
        <w:ind w:left="2268" w:hanging="1134"/>
        <w:rPr>
          <w:lang w:val="fr-FR"/>
        </w:rPr>
      </w:pPr>
      <w:r w:rsidRPr="00A779B8">
        <w:rPr>
          <w:lang w:val="fr-FR"/>
        </w:rPr>
        <w:t>6.1.3.2</w:t>
      </w:r>
      <w:r w:rsidRPr="00A779B8">
        <w:rPr>
          <w:lang w:val="fr-FR"/>
        </w:rPr>
        <w:tab/>
        <w:t>Les véhicules équipés d</w:t>
      </w:r>
      <w:r w:rsidR="00DB4C2D">
        <w:rPr>
          <w:lang w:val="fr-FR"/>
        </w:rPr>
        <w:t>’</w:t>
      </w:r>
      <w:r w:rsidRPr="00A779B8">
        <w:rPr>
          <w:lang w:val="fr-FR"/>
        </w:rPr>
        <w:t>une boîte de vitesses automatique doivent être essayés en enclenchant le rapport le plus élevé («drive»). L</w:t>
      </w:r>
      <w:r w:rsidR="00DB4C2D">
        <w:rPr>
          <w:lang w:val="fr-FR"/>
        </w:rPr>
        <w:t>’</w:t>
      </w:r>
      <w:r w:rsidRPr="00A779B8">
        <w:rPr>
          <w:lang w:val="fr-FR"/>
        </w:rPr>
        <w:t>accélérateur doit être actionné de façon à obtenir une accélération aussi régulière que possible, pour permettre à la boîte de passer les différents rapports dans l</w:t>
      </w:r>
      <w:r w:rsidR="00DB4C2D">
        <w:rPr>
          <w:lang w:val="fr-FR"/>
        </w:rPr>
        <w:t>’</w:t>
      </w:r>
      <w:r w:rsidRPr="00A779B8">
        <w:rPr>
          <w:lang w:val="fr-FR"/>
        </w:rPr>
        <w:t xml:space="preserve">ordre normal. En outre, pour ces véhicules, les points de changement de vitesse indiqués aux tableaux A4a/1 et A4a/2 de la présente annexe sont sans objet et il faut </w:t>
      </w:r>
      <w:r w:rsidRPr="00A779B8">
        <w:rPr>
          <w:lang w:val="fr-FR"/>
        </w:rPr>
        <w:lastRenderedPageBreak/>
        <w:t>poursuivre l</w:t>
      </w:r>
      <w:r w:rsidR="00DB4C2D">
        <w:rPr>
          <w:lang w:val="fr-FR"/>
        </w:rPr>
        <w:t>’</w:t>
      </w:r>
      <w:r w:rsidRPr="00A779B8">
        <w:rPr>
          <w:lang w:val="fr-FR"/>
        </w:rPr>
        <w:t>accélération tout au long de la période représentée par la ligne</w:t>
      </w:r>
      <w:r>
        <w:rPr>
          <w:lang w:val="fr-FR"/>
        </w:rPr>
        <w:t> </w:t>
      </w:r>
      <w:r w:rsidRPr="00A779B8">
        <w:rPr>
          <w:lang w:val="fr-FR"/>
        </w:rPr>
        <w:t>droite reliant la fin de la période de ralenti au</w:t>
      </w:r>
      <w:r>
        <w:rPr>
          <w:lang w:val="fr-FR"/>
        </w:rPr>
        <w:t xml:space="preserve"> début de la période vitesse </w:t>
      </w:r>
      <w:r w:rsidRPr="00A779B8">
        <w:rPr>
          <w:lang w:val="fr-FR"/>
        </w:rPr>
        <w:t>stabilisée suivante. Les tolérances à appliquer sont données aux paragraphes 6.1.3.4 et 6.1.3.5 ci-après.</w:t>
      </w:r>
    </w:p>
    <w:p w:rsidR="009F7CF6" w:rsidRPr="00A779B8" w:rsidRDefault="009F7CF6" w:rsidP="009F7CF6">
      <w:pPr>
        <w:pStyle w:val="SingleTxtG"/>
        <w:spacing w:after="100"/>
        <w:ind w:left="2268" w:hanging="1134"/>
        <w:rPr>
          <w:lang w:val="fr-FR"/>
        </w:rPr>
      </w:pPr>
      <w:r w:rsidRPr="00A779B8">
        <w:rPr>
          <w:lang w:val="fr-FR"/>
        </w:rPr>
        <w:t>6.1.3.3</w:t>
      </w:r>
      <w:r w:rsidRPr="00A779B8">
        <w:rPr>
          <w:lang w:val="fr-FR"/>
        </w:rPr>
        <w:tab/>
        <w:t>Les véhicules équipés d</w:t>
      </w:r>
      <w:r w:rsidR="00DB4C2D">
        <w:rPr>
          <w:lang w:val="fr-FR"/>
        </w:rPr>
        <w:t>’</w:t>
      </w:r>
      <w:r w:rsidRPr="00A779B8">
        <w:rPr>
          <w:lang w:val="fr-FR"/>
        </w:rPr>
        <w:t>une surmultiplication («overdrive») pouvant être commandée par le conducteur doivent être essayés avec ce dispositif hors fonction pour le cycle urbain (première partie) et avec ce dispositif en fonction pour le cycle extra</w:t>
      </w:r>
      <w:r w:rsidRPr="00A779B8">
        <w:rPr>
          <w:lang w:val="fr-FR"/>
        </w:rPr>
        <w:noBreakHyphen/>
        <w:t>urbain (seconde partie).</w:t>
      </w:r>
    </w:p>
    <w:p w:rsidR="009F7CF6" w:rsidRPr="00A779B8" w:rsidRDefault="009F7CF6" w:rsidP="009F7CF6">
      <w:pPr>
        <w:pStyle w:val="SingleTxtG"/>
        <w:spacing w:after="100"/>
        <w:ind w:left="2268" w:hanging="1134"/>
        <w:rPr>
          <w:lang w:val="fr-FR"/>
        </w:rPr>
      </w:pPr>
      <w:r w:rsidRPr="00A779B8">
        <w:rPr>
          <w:lang w:val="fr-FR"/>
        </w:rPr>
        <w:t>6.1.3.4</w:t>
      </w:r>
      <w:r w:rsidRPr="00A779B8">
        <w:rPr>
          <w:lang w:val="fr-FR"/>
        </w:rPr>
        <w:tab/>
        <w:t xml:space="preserve">Un écart de </w:t>
      </w:r>
      <w:r w:rsidRPr="00A779B8">
        <w:rPr>
          <w:lang w:val="fr-FR"/>
        </w:rPr>
        <w:sym w:font="Symbol" w:char="F0B1"/>
      </w:r>
      <w:r w:rsidRPr="00A779B8">
        <w:rPr>
          <w:lang w:val="fr-FR"/>
        </w:rPr>
        <w:t>2 km/h est toléré entre la vitesse indiquée et la vitesse théorique en accélération, en vitesse stabilisée, et en décélération avec usage des freins du véhicule. Si le véhicule décélère plus rapidement que prévu sans qu</w:t>
      </w:r>
      <w:r w:rsidR="00DB4C2D">
        <w:rPr>
          <w:lang w:val="fr-FR"/>
        </w:rPr>
        <w:t>’</w:t>
      </w:r>
      <w:r w:rsidRPr="00A779B8">
        <w:rPr>
          <w:lang w:val="fr-FR"/>
        </w:rPr>
        <w:t>il soit fait usage des freins, seules les prescriptions du paragraphe 6.4.4.3 ci-après doivent s</w:t>
      </w:r>
      <w:r w:rsidR="00DB4C2D">
        <w:rPr>
          <w:lang w:val="fr-FR"/>
        </w:rPr>
        <w:t>’</w:t>
      </w:r>
      <w:r w:rsidRPr="00A779B8">
        <w:rPr>
          <w:lang w:val="fr-FR"/>
        </w:rPr>
        <w:t>appliquer. Aux changements de mode, des écarts sur la vitesse dépassant les valeurs prescrites doivent être admis, à condition que la durée des écarts constatés ne dépasse jamais 0,5 s.</w:t>
      </w:r>
    </w:p>
    <w:p w:rsidR="009F7CF6" w:rsidRPr="00A779B8" w:rsidRDefault="009F7CF6" w:rsidP="009F7CF6">
      <w:pPr>
        <w:pStyle w:val="SingleTxtG"/>
        <w:spacing w:after="100"/>
        <w:ind w:left="2268" w:hanging="1134"/>
        <w:rPr>
          <w:lang w:val="fr-FR"/>
        </w:rPr>
      </w:pPr>
      <w:r w:rsidRPr="00A779B8">
        <w:rPr>
          <w:lang w:val="fr-FR"/>
        </w:rPr>
        <w:t>6.1.3.5</w:t>
      </w:r>
      <w:r w:rsidRPr="00A779B8">
        <w:rPr>
          <w:lang w:val="fr-FR"/>
        </w:rPr>
        <w:tab/>
        <w:t xml:space="preserve">Les tolérances de temps doivent être de </w:t>
      </w:r>
      <w:r w:rsidRPr="00A779B8">
        <w:rPr>
          <w:lang w:val="fr-FR"/>
        </w:rPr>
        <w:sym w:font="Symbol" w:char="F0B1"/>
      </w:r>
      <w:r w:rsidRPr="00A779B8">
        <w:rPr>
          <w:lang w:val="fr-FR"/>
        </w:rPr>
        <w:t>1 s. Les tolérances qui précèdent doivent s</w:t>
      </w:r>
      <w:r w:rsidR="00DB4C2D">
        <w:rPr>
          <w:lang w:val="fr-FR"/>
        </w:rPr>
        <w:t>’</w:t>
      </w:r>
      <w:r w:rsidRPr="00A779B8">
        <w:rPr>
          <w:lang w:val="fr-FR"/>
        </w:rPr>
        <w:t>appliquent également au début et à la fin de chaque période de changement de vitesse pour le cycle urbain (première partie) et les séquences n</w:t>
      </w:r>
      <w:r w:rsidRPr="00A779B8">
        <w:rPr>
          <w:vertAlign w:val="superscript"/>
          <w:lang w:val="fr-FR"/>
        </w:rPr>
        <w:t>os</w:t>
      </w:r>
      <w:r w:rsidRPr="00A779B8">
        <w:rPr>
          <w:lang w:val="fr-FR"/>
        </w:rPr>
        <w:t> 3, 5 et 7 du cycle extra-urbain (seconde partie). Il est à noter que les 2 s allouées comprennent la durée du changement de rapport et, s</w:t>
      </w:r>
      <w:r w:rsidR="00DB4C2D">
        <w:rPr>
          <w:lang w:val="fr-FR"/>
        </w:rPr>
        <w:t>’</w:t>
      </w:r>
      <w:r w:rsidRPr="00A779B8">
        <w:rPr>
          <w:lang w:val="fr-FR"/>
        </w:rPr>
        <w:t>il y a lieu, une certaine marge pour le rattrapage du cycle.</w:t>
      </w:r>
    </w:p>
    <w:p w:rsidR="009F7CF6" w:rsidRPr="00A779B8" w:rsidRDefault="009F7CF6" w:rsidP="009F7CF6">
      <w:pPr>
        <w:pStyle w:val="SingleTxtG"/>
        <w:keepNext/>
        <w:spacing w:after="100"/>
        <w:ind w:left="2268" w:hanging="1134"/>
        <w:jc w:val="left"/>
        <w:rPr>
          <w:lang w:val="fr-FR"/>
        </w:rPr>
      </w:pPr>
      <w:r w:rsidRPr="00A779B8">
        <w:rPr>
          <w:lang w:val="fr-FR"/>
        </w:rPr>
        <w:t>6.2</w:t>
      </w:r>
      <w:r w:rsidRPr="00A779B8">
        <w:rPr>
          <w:lang w:val="fr-FR"/>
        </w:rPr>
        <w:tab/>
        <w:t>Préparation de l</w:t>
      </w:r>
      <w:r w:rsidR="00DB4C2D">
        <w:rPr>
          <w:lang w:val="fr-FR"/>
        </w:rPr>
        <w:t>’</w:t>
      </w:r>
      <w:r w:rsidRPr="00A779B8">
        <w:rPr>
          <w:lang w:val="fr-FR"/>
        </w:rPr>
        <w:t>essai</w:t>
      </w:r>
    </w:p>
    <w:p w:rsidR="009F7CF6" w:rsidRPr="00A779B8" w:rsidRDefault="009F7CF6" w:rsidP="009F7CF6">
      <w:pPr>
        <w:pStyle w:val="SingleTxtG"/>
        <w:keepNext/>
        <w:spacing w:after="100"/>
        <w:ind w:left="2268" w:hanging="1134"/>
        <w:jc w:val="left"/>
        <w:rPr>
          <w:bCs/>
          <w:lang w:val="fr-FR"/>
        </w:rPr>
      </w:pPr>
      <w:r w:rsidRPr="00A779B8">
        <w:rPr>
          <w:bCs/>
          <w:lang w:val="fr-FR"/>
        </w:rPr>
        <w:t>6.2.1</w:t>
      </w:r>
      <w:r w:rsidRPr="00A779B8">
        <w:rPr>
          <w:bCs/>
          <w:lang w:val="fr-FR"/>
        </w:rPr>
        <w:tab/>
      </w:r>
      <w:r w:rsidRPr="00A779B8">
        <w:rPr>
          <w:lang w:val="fr-FR"/>
        </w:rPr>
        <w:t>Réglage de la courbe d</w:t>
      </w:r>
      <w:r w:rsidR="00DB4C2D">
        <w:rPr>
          <w:lang w:val="fr-FR"/>
        </w:rPr>
        <w:t>’</w:t>
      </w:r>
      <w:r w:rsidRPr="00A779B8">
        <w:rPr>
          <w:lang w:val="fr-FR"/>
        </w:rPr>
        <w:t>absorption de puissance du banc et de l</w:t>
      </w:r>
      <w:r w:rsidR="00DB4C2D">
        <w:rPr>
          <w:lang w:val="fr-FR"/>
        </w:rPr>
        <w:t>’</w:t>
      </w:r>
      <w:r w:rsidRPr="00A779B8">
        <w:rPr>
          <w:lang w:val="fr-FR"/>
        </w:rPr>
        <w:t>inertie</w:t>
      </w:r>
    </w:p>
    <w:p w:rsidR="009F7CF6" w:rsidRPr="00A779B8" w:rsidRDefault="009F7CF6" w:rsidP="009F7CF6">
      <w:pPr>
        <w:pStyle w:val="SingleTxtG"/>
        <w:keepNext/>
        <w:ind w:left="2268" w:hanging="1134"/>
        <w:jc w:val="left"/>
        <w:rPr>
          <w:bCs/>
          <w:lang w:val="fr-FR"/>
        </w:rPr>
      </w:pPr>
      <w:r w:rsidRPr="00A779B8">
        <w:rPr>
          <w:bCs/>
          <w:lang w:val="fr-FR"/>
        </w:rPr>
        <w:t>6.2.1.1</w:t>
      </w:r>
      <w:r w:rsidRPr="00A779B8">
        <w:rPr>
          <w:bCs/>
          <w:lang w:val="fr-FR"/>
        </w:rPr>
        <w:tab/>
      </w:r>
      <w:r w:rsidRPr="00A779B8">
        <w:rPr>
          <w:lang w:val="fr-FR"/>
        </w:rPr>
        <w:t>Résistance déterminée au moyen d</w:t>
      </w:r>
      <w:r w:rsidR="00DB4C2D">
        <w:rPr>
          <w:lang w:val="fr-FR"/>
        </w:rPr>
        <w:t>’</w:t>
      </w:r>
      <w:r w:rsidRPr="00A779B8">
        <w:rPr>
          <w:lang w:val="fr-FR"/>
        </w:rPr>
        <w:t>un essai de simulation sur route</w:t>
      </w:r>
    </w:p>
    <w:p w:rsidR="009F7CF6" w:rsidRPr="00A779B8" w:rsidRDefault="009F7CF6" w:rsidP="009F7CF6">
      <w:pPr>
        <w:pStyle w:val="SingleTxtG"/>
        <w:spacing w:after="100"/>
        <w:ind w:left="2268"/>
        <w:rPr>
          <w:bCs/>
          <w:lang w:val="fr-FR"/>
        </w:rPr>
      </w:pPr>
      <w:r w:rsidRPr="00A779B8">
        <w:rPr>
          <w:bCs/>
          <w:lang w:val="fr-FR"/>
        </w:rPr>
        <w:tab/>
        <w:t>Le banc doit être réglé de telle sorte que l</w:t>
      </w:r>
      <w:r w:rsidR="00DB4C2D">
        <w:rPr>
          <w:bCs/>
          <w:lang w:val="fr-FR"/>
        </w:rPr>
        <w:t>’</w:t>
      </w:r>
      <w:r w:rsidRPr="00A779B8">
        <w:rPr>
          <w:bCs/>
          <w:lang w:val="fr-FR"/>
        </w:rPr>
        <w:t>inertie totale des masses en rotation corresponde à l</w:t>
      </w:r>
      <w:r w:rsidR="00DB4C2D">
        <w:rPr>
          <w:bCs/>
          <w:lang w:val="fr-FR"/>
        </w:rPr>
        <w:t>’</w:t>
      </w:r>
      <w:r w:rsidRPr="00A779B8">
        <w:rPr>
          <w:bCs/>
          <w:lang w:val="fr-FR"/>
        </w:rPr>
        <w:t>inertie et aux autres forces de résistance à l</w:t>
      </w:r>
      <w:r w:rsidR="00DB4C2D">
        <w:rPr>
          <w:bCs/>
          <w:lang w:val="fr-FR"/>
        </w:rPr>
        <w:t>’</w:t>
      </w:r>
      <w:r w:rsidRPr="00A779B8">
        <w:rPr>
          <w:bCs/>
          <w:lang w:val="fr-FR"/>
        </w:rPr>
        <w:t>avancement sur route agissant sur le véhicule lorsqu</w:t>
      </w:r>
      <w:r w:rsidR="00DB4C2D">
        <w:rPr>
          <w:bCs/>
          <w:lang w:val="fr-FR"/>
        </w:rPr>
        <w:t>’</w:t>
      </w:r>
      <w:r w:rsidRPr="00A779B8">
        <w:rPr>
          <w:bCs/>
          <w:lang w:val="fr-FR"/>
        </w:rPr>
        <w:t xml:space="preserve">il se déplace sur la route. </w:t>
      </w:r>
      <w:r w:rsidRPr="00A779B8">
        <w:rPr>
          <w:lang w:val="fr-FR"/>
        </w:rPr>
        <w:t>Les méthodes à appliquer pour déterminer cette force sont décrites au paragraphe 5</w:t>
      </w:r>
      <w:r w:rsidRPr="00A779B8">
        <w:rPr>
          <w:b/>
          <w:lang w:val="fr-FR"/>
        </w:rPr>
        <w:t xml:space="preserve"> </w:t>
      </w:r>
      <w:r w:rsidRPr="00A779B8">
        <w:rPr>
          <w:lang w:val="fr-FR"/>
        </w:rPr>
        <w:t>de la présente annexe.</w:t>
      </w:r>
    </w:p>
    <w:p w:rsidR="009F7CF6" w:rsidRPr="00A779B8" w:rsidRDefault="009F7CF6" w:rsidP="009F7CF6">
      <w:pPr>
        <w:pStyle w:val="SingleTxtG"/>
        <w:spacing w:after="100"/>
        <w:ind w:left="2268"/>
        <w:rPr>
          <w:bCs/>
          <w:lang w:val="fr-FR"/>
        </w:rPr>
      </w:pPr>
      <w:r w:rsidRPr="00A779B8">
        <w:rPr>
          <w:lang w:val="fr-FR"/>
        </w:rPr>
        <w:tab/>
        <w:t>Banc à courbe d</w:t>
      </w:r>
      <w:r w:rsidR="00DB4C2D">
        <w:rPr>
          <w:lang w:val="fr-FR"/>
        </w:rPr>
        <w:t>’</w:t>
      </w:r>
      <w:r w:rsidRPr="00A779B8">
        <w:rPr>
          <w:lang w:val="fr-FR"/>
        </w:rPr>
        <w:t>absorption de puissance définie: le frein doit être réglé pour absorber la puissance exercée sur les roues motrices à une vitesse stabilisée de 80 km/h et la puissance absorbée à 50 km/h doit être relevée.</w:t>
      </w:r>
    </w:p>
    <w:p w:rsidR="009F7CF6" w:rsidRPr="00A779B8" w:rsidRDefault="009F7CF6" w:rsidP="009F7CF6">
      <w:pPr>
        <w:pStyle w:val="SingleTxtG"/>
        <w:spacing w:after="100"/>
        <w:ind w:left="2268"/>
        <w:rPr>
          <w:bCs/>
          <w:lang w:val="fr-FR"/>
        </w:rPr>
      </w:pPr>
      <w:r w:rsidRPr="00A779B8">
        <w:rPr>
          <w:lang w:val="fr-FR"/>
        </w:rPr>
        <w:tab/>
        <w:t>Banc à courbe d</w:t>
      </w:r>
      <w:r w:rsidR="00DB4C2D">
        <w:rPr>
          <w:lang w:val="fr-FR"/>
        </w:rPr>
        <w:t>’</w:t>
      </w:r>
      <w:r w:rsidRPr="00A779B8">
        <w:rPr>
          <w:lang w:val="fr-FR"/>
        </w:rPr>
        <w:t>absorption de puissance réglable: le frein doit être réglé pour absorber la puissance exercée sur les roues motrices à des vitesses stabilisées de 120, 100, 80, 60, 40 et 20 km/h.</w:t>
      </w:r>
    </w:p>
    <w:p w:rsidR="009F7CF6" w:rsidRPr="00A779B8" w:rsidRDefault="009F7CF6" w:rsidP="009F7CF6">
      <w:pPr>
        <w:pStyle w:val="SingleTxtG"/>
        <w:keepNext/>
        <w:spacing w:after="100"/>
        <w:ind w:left="2268" w:hanging="1134"/>
        <w:jc w:val="left"/>
        <w:rPr>
          <w:bCs/>
          <w:lang w:val="fr-FR"/>
        </w:rPr>
      </w:pPr>
      <w:r w:rsidRPr="00A779B8">
        <w:rPr>
          <w:bCs/>
          <w:lang w:val="fr-FR"/>
        </w:rPr>
        <w:t>6.2.1.2</w:t>
      </w:r>
      <w:r w:rsidRPr="00A779B8">
        <w:rPr>
          <w:bCs/>
          <w:lang w:val="fr-FR"/>
        </w:rPr>
        <w:tab/>
      </w:r>
      <w:r w:rsidRPr="00A779B8">
        <w:rPr>
          <w:lang w:val="fr-FR"/>
        </w:rPr>
        <w:t>Résistance</w:t>
      </w:r>
      <w:r w:rsidRPr="00A779B8">
        <w:rPr>
          <w:bCs/>
          <w:lang w:val="fr-FR"/>
        </w:rPr>
        <w:t xml:space="preserve"> déterminée en fonction de la masse de référence du véhicule </w:t>
      </w:r>
    </w:p>
    <w:p w:rsidR="009F7CF6" w:rsidRPr="00A779B8" w:rsidRDefault="009F7CF6" w:rsidP="009F7CF6">
      <w:pPr>
        <w:pStyle w:val="SingleTxtG"/>
        <w:spacing w:after="100"/>
        <w:ind w:left="2268"/>
        <w:rPr>
          <w:bCs/>
          <w:lang w:val="fr-FR"/>
        </w:rPr>
      </w:pPr>
      <w:r w:rsidRPr="00A779B8">
        <w:rPr>
          <w:lang w:val="fr-FR"/>
        </w:rPr>
        <w:tab/>
        <w:t>Avec l</w:t>
      </w:r>
      <w:r w:rsidR="00DB4C2D">
        <w:rPr>
          <w:lang w:val="fr-FR"/>
        </w:rPr>
        <w:t>’</w:t>
      </w:r>
      <w:r w:rsidRPr="00A779B8">
        <w:rPr>
          <w:lang w:val="fr-FR"/>
        </w:rPr>
        <w:t>accord du constructeur, la méthode suivante peut être utilisée.</w:t>
      </w:r>
    </w:p>
    <w:p w:rsidR="009F7CF6" w:rsidRPr="00A779B8" w:rsidRDefault="009F7CF6" w:rsidP="009F7CF6">
      <w:pPr>
        <w:pStyle w:val="SingleTxtG"/>
        <w:spacing w:after="100"/>
        <w:ind w:left="2268"/>
        <w:rPr>
          <w:bCs/>
          <w:lang w:val="fr-FR"/>
        </w:rPr>
      </w:pPr>
      <w:r w:rsidRPr="00A779B8">
        <w:rPr>
          <w:lang w:val="fr-FR"/>
        </w:rPr>
        <w:tab/>
        <w:t>Le frein est réglé de façon à absorber la force qui s</w:t>
      </w:r>
      <w:r w:rsidR="00DB4C2D">
        <w:rPr>
          <w:lang w:val="fr-FR"/>
        </w:rPr>
        <w:t>’</w:t>
      </w:r>
      <w:r w:rsidRPr="00A779B8">
        <w:rPr>
          <w:lang w:val="fr-FR"/>
        </w:rPr>
        <w:t>exerce sur les roues motrices à une vitesse constante de 80 km/h, conformément au tableau A4a/3.</w:t>
      </w:r>
    </w:p>
    <w:p w:rsidR="009F7CF6" w:rsidRPr="00A779B8" w:rsidRDefault="009F7CF6" w:rsidP="009F7CF6">
      <w:pPr>
        <w:pStyle w:val="SingleTxtG"/>
        <w:spacing w:after="100"/>
        <w:ind w:left="2268"/>
        <w:rPr>
          <w:bCs/>
          <w:lang w:val="fr-FR"/>
        </w:rPr>
      </w:pPr>
      <w:r w:rsidRPr="00A779B8">
        <w:rPr>
          <w:lang w:val="fr-FR"/>
        </w:rPr>
        <w:tab/>
        <w:t>Si la masse d</w:t>
      </w:r>
      <w:r w:rsidR="00DB4C2D">
        <w:rPr>
          <w:lang w:val="fr-FR"/>
        </w:rPr>
        <w:t>’</w:t>
      </w:r>
      <w:r w:rsidRPr="00A779B8">
        <w:rPr>
          <w:lang w:val="fr-FR"/>
        </w:rPr>
        <w:t>essai équivalente spécifiée n</w:t>
      </w:r>
      <w:r w:rsidR="00DB4C2D">
        <w:rPr>
          <w:lang w:val="fr-FR"/>
        </w:rPr>
        <w:t>’</w:t>
      </w:r>
      <w:r w:rsidRPr="00A779B8">
        <w:rPr>
          <w:lang w:val="fr-FR"/>
        </w:rPr>
        <w:t>est pas disponible sur le banc utilisé, on doit se servir de la masse d</w:t>
      </w:r>
      <w:r w:rsidR="00DB4C2D">
        <w:rPr>
          <w:lang w:val="fr-FR"/>
        </w:rPr>
        <w:t>’</w:t>
      </w:r>
      <w:r w:rsidRPr="00A779B8">
        <w:rPr>
          <w:lang w:val="fr-FR"/>
        </w:rPr>
        <w:t>essai équivalente immédiatement supérieure disponible</w:t>
      </w:r>
      <w:r w:rsidRPr="00A779B8">
        <w:rPr>
          <w:bCs/>
          <w:lang w:val="fr-FR"/>
        </w:rPr>
        <w:t>.</w:t>
      </w:r>
    </w:p>
    <w:p w:rsidR="009F7CF6" w:rsidRPr="00A779B8" w:rsidRDefault="009F7CF6" w:rsidP="009F7CF6">
      <w:pPr>
        <w:pStyle w:val="SingleTxtG"/>
        <w:spacing w:after="100"/>
        <w:ind w:left="2268"/>
        <w:rPr>
          <w:bCs/>
          <w:lang w:val="fr-FR"/>
        </w:rPr>
      </w:pPr>
      <w:r w:rsidRPr="00A779B8">
        <w:rPr>
          <w:lang w:val="fr-FR"/>
        </w:rPr>
        <w:tab/>
        <w:t>Dans le cas de véhicules autres que des voitures particulières, ayant une masse de référence supérieure à 1 700 kg, ou de véhicules dont toutes les roues sont motrices en permanence, il faut multiplier par un facteur de 1,3 les valeurs de puissance qui sont indiquées dans le tableau A4a/3.</w:t>
      </w:r>
    </w:p>
    <w:p w:rsidR="009F7CF6" w:rsidRPr="00A779B8" w:rsidRDefault="009F7CF6" w:rsidP="009F7CF6">
      <w:pPr>
        <w:pStyle w:val="SingleTxtG"/>
        <w:ind w:left="2268" w:hanging="1134"/>
        <w:rPr>
          <w:bCs/>
          <w:lang w:val="fr-FR"/>
        </w:rPr>
      </w:pPr>
      <w:r w:rsidRPr="00A779B8">
        <w:rPr>
          <w:bCs/>
          <w:lang w:val="fr-FR"/>
        </w:rPr>
        <w:lastRenderedPageBreak/>
        <w:t>6.2.1.3</w:t>
      </w:r>
      <w:r w:rsidRPr="00A779B8">
        <w:rPr>
          <w:bCs/>
          <w:lang w:val="fr-FR"/>
        </w:rPr>
        <w:tab/>
      </w:r>
      <w:r w:rsidRPr="007268D6">
        <w:rPr>
          <w:spacing w:val="-2"/>
          <w:lang w:val="fr-FR"/>
        </w:rPr>
        <w:t>La méthode utilisée et les valeurs obtenues (inertie équivalente, paramètre caractéristique de réglage) doivent être indiquées dans le procès-verbal d</w:t>
      </w:r>
      <w:r w:rsidR="00DB4C2D">
        <w:rPr>
          <w:spacing w:val="-2"/>
          <w:lang w:val="fr-FR"/>
        </w:rPr>
        <w:t>’</w:t>
      </w:r>
      <w:r w:rsidRPr="007268D6">
        <w:rPr>
          <w:spacing w:val="-2"/>
          <w:lang w:val="fr-FR"/>
        </w:rPr>
        <w:t>essai</w:t>
      </w:r>
      <w:r w:rsidRPr="007268D6">
        <w:rPr>
          <w:bCs/>
          <w:spacing w:val="-2"/>
          <w:lang w:val="fr-FR"/>
        </w:rPr>
        <w:t>.</w:t>
      </w:r>
    </w:p>
    <w:p w:rsidR="009F7CF6" w:rsidRPr="00A779B8" w:rsidRDefault="009F7CF6" w:rsidP="009F7CF6">
      <w:pPr>
        <w:pStyle w:val="SingleTxtG"/>
        <w:keepNext/>
        <w:ind w:left="2268" w:hanging="1134"/>
        <w:rPr>
          <w:lang w:val="fr-FR"/>
        </w:rPr>
      </w:pPr>
      <w:r w:rsidRPr="00A779B8">
        <w:rPr>
          <w:lang w:val="fr-FR"/>
        </w:rPr>
        <w:t>6.2.2</w:t>
      </w:r>
      <w:r w:rsidRPr="00A779B8">
        <w:rPr>
          <w:lang w:val="fr-FR"/>
        </w:rPr>
        <w:tab/>
        <w:t>Cycles d</w:t>
      </w:r>
      <w:r w:rsidR="00DB4C2D">
        <w:rPr>
          <w:lang w:val="fr-FR"/>
        </w:rPr>
        <w:t>’</w:t>
      </w:r>
      <w:r w:rsidRPr="00A779B8">
        <w:rPr>
          <w:lang w:val="fr-FR"/>
        </w:rPr>
        <w:t>essai préliminaires</w:t>
      </w:r>
    </w:p>
    <w:p w:rsidR="009F7CF6" w:rsidRPr="00A779B8" w:rsidRDefault="009F7CF6" w:rsidP="009F7CF6">
      <w:pPr>
        <w:pStyle w:val="SingleTxtG"/>
        <w:keepLines/>
        <w:ind w:left="2268"/>
        <w:rPr>
          <w:lang w:val="fr-FR"/>
        </w:rPr>
      </w:pPr>
      <w:r w:rsidRPr="00A779B8">
        <w:rPr>
          <w:lang w:val="fr-FR"/>
        </w:rPr>
        <w:tab/>
        <w:t>Des cycles d</w:t>
      </w:r>
      <w:r w:rsidR="00DB4C2D">
        <w:rPr>
          <w:lang w:val="fr-FR"/>
        </w:rPr>
        <w:t>’</w:t>
      </w:r>
      <w:r w:rsidRPr="00A779B8">
        <w:rPr>
          <w:lang w:val="fr-FR"/>
        </w:rPr>
        <w:t>essai préliminaires doivent être exécutés s</w:t>
      </w:r>
      <w:r w:rsidR="00DB4C2D">
        <w:rPr>
          <w:lang w:val="fr-FR"/>
        </w:rPr>
        <w:t>’</w:t>
      </w:r>
      <w:r w:rsidRPr="00A779B8">
        <w:rPr>
          <w:lang w:val="fr-FR"/>
        </w:rPr>
        <w:t>il y a lieu pour déterminer la meilleure méthode de manœuvre des commandes d</w:t>
      </w:r>
      <w:r w:rsidR="00DB4C2D">
        <w:rPr>
          <w:lang w:val="fr-FR"/>
        </w:rPr>
        <w:t>’</w:t>
      </w:r>
      <w:r w:rsidRPr="00A779B8">
        <w:rPr>
          <w:lang w:val="fr-FR"/>
        </w:rPr>
        <w:t>accélérateur et de frein, de manière à ce que le cycle effectif reproduise le cycle théorique dans les limites prescrites dans lesquelles le cycle est effectué.</w:t>
      </w:r>
    </w:p>
    <w:p w:rsidR="009F7CF6" w:rsidRPr="00A779B8" w:rsidRDefault="009F7CF6" w:rsidP="009F7CF6">
      <w:pPr>
        <w:pStyle w:val="SingleTxtG"/>
        <w:keepNext/>
        <w:ind w:left="2268" w:hanging="1134"/>
        <w:rPr>
          <w:lang w:val="fr-FR"/>
        </w:rPr>
      </w:pPr>
      <w:r w:rsidRPr="00A779B8">
        <w:rPr>
          <w:lang w:val="fr-FR"/>
        </w:rPr>
        <w:t>6.2.3</w:t>
      </w:r>
      <w:r w:rsidRPr="00A779B8">
        <w:rPr>
          <w:lang w:val="fr-FR"/>
        </w:rPr>
        <w:tab/>
        <w:t xml:space="preserve">Pression des pneumatiques </w:t>
      </w:r>
    </w:p>
    <w:p w:rsidR="009F7CF6" w:rsidRPr="00A779B8" w:rsidRDefault="009F7CF6" w:rsidP="009F7CF6">
      <w:pPr>
        <w:pStyle w:val="SingleTxtG"/>
        <w:ind w:left="2268"/>
        <w:rPr>
          <w:lang w:val="fr-FR"/>
        </w:rPr>
      </w:pPr>
      <w:r w:rsidRPr="00A779B8">
        <w:rPr>
          <w:lang w:val="fr-FR"/>
        </w:rPr>
        <w:tab/>
        <w:t>La pression des pneus doit être celle spécifiée par le constructeur et utilisée lors de l</w:t>
      </w:r>
      <w:r w:rsidR="00DB4C2D">
        <w:rPr>
          <w:lang w:val="fr-FR"/>
        </w:rPr>
        <w:t>’</w:t>
      </w:r>
      <w:r w:rsidRPr="00A779B8">
        <w:rPr>
          <w:lang w:val="fr-FR"/>
        </w:rPr>
        <w:t>essai préliminaire sur route pour le réglage du frein. Sur les bancs à deux rouleaux la pression des pneus peut être accrue de 50 % au maximum. La pression utilisée doit être consignée dans le procès-verbal d</w:t>
      </w:r>
      <w:r w:rsidR="00DB4C2D">
        <w:rPr>
          <w:lang w:val="fr-FR"/>
        </w:rPr>
        <w:t>’</w:t>
      </w:r>
      <w:r w:rsidRPr="00A779B8">
        <w:rPr>
          <w:lang w:val="fr-FR"/>
        </w:rPr>
        <w:t>essai.</w:t>
      </w:r>
    </w:p>
    <w:p w:rsidR="009F7CF6" w:rsidRPr="00A779B8" w:rsidRDefault="009F7CF6" w:rsidP="009F7CF6">
      <w:pPr>
        <w:pStyle w:val="SingleTxtG"/>
        <w:keepNext/>
        <w:ind w:left="2268" w:hanging="1134"/>
        <w:rPr>
          <w:lang w:val="fr-FR"/>
        </w:rPr>
      </w:pPr>
      <w:r w:rsidRPr="00A779B8">
        <w:rPr>
          <w:lang w:val="fr-FR"/>
        </w:rPr>
        <w:t>6.2.4</w:t>
      </w:r>
      <w:r w:rsidRPr="00A779B8">
        <w:rPr>
          <w:lang w:val="fr-FR"/>
        </w:rPr>
        <w:tab/>
        <w:t>Mesure de la masse des particules de l</w:t>
      </w:r>
      <w:r w:rsidR="00DB4C2D">
        <w:rPr>
          <w:lang w:val="fr-FR"/>
        </w:rPr>
        <w:t>’</w:t>
      </w:r>
      <w:r w:rsidRPr="00A779B8">
        <w:rPr>
          <w:lang w:val="fr-FR"/>
        </w:rPr>
        <w:t>air ambiant</w:t>
      </w:r>
    </w:p>
    <w:p w:rsidR="009F7CF6" w:rsidRPr="00A779B8" w:rsidRDefault="009F7CF6" w:rsidP="009F7CF6">
      <w:pPr>
        <w:pStyle w:val="SingleTxtG"/>
        <w:ind w:left="2268"/>
        <w:rPr>
          <w:bCs/>
          <w:lang w:val="fr-FR"/>
        </w:rPr>
      </w:pPr>
      <w:r w:rsidRPr="00A779B8">
        <w:rPr>
          <w:bCs/>
          <w:lang w:val="fr-FR"/>
        </w:rPr>
        <w:tab/>
        <w:t>La concentration ambiante de particules dans l</w:t>
      </w:r>
      <w:r w:rsidR="00DB4C2D">
        <w:rPr>
          <w:bCs/>
          <w:lang w:val="fr-FR"/>
        </w:rPr>
        <w:t>’</w:t>
      </w:r>
      <w:r w:rsidRPr="00A779B8">
        <w:rPr>
          <w:bCs/>
          <w:lang w:val="fr-FR"/>
        </w:rPr>
        <w:t>air de dilution peut être déterminée en faisant passer l</w:t>
      </w:r>
      <w:r w:rsidR="00DB4C2D">
        <w:rPr>
          <w:bCs/>
          <w:lang w:val="fr-FR"/>
        </w:rPr>
        <w:t>’</w:t>
      </w:r>
      <w:r w:rsidRPr="00A779B8">
        <w:rPr>
          <w:bCs/>
          <w:lang w:val="fr-FR"/>
        </w:rPr>
        <w:t>air de dilution filtré à travers le filtre à particules. Cet air doit être prélevé au même point que l</w:t>
      </w:r>
      <w:r w:rsidR="00DB4C2D">
        <w:rPr>
          <w:bCs/>
          <w:lang w:val="fr-FR"/>
        </w:rPr>
        <w:t>’</w:t>
      </w:r>
      <w:r w:rsidRPr="00A779B8">
        <w:rPr>
          <w:bCs/>
          <w:lang w:val="fr-FR"/>
        </w:rPr>
        <w:t>échantillon contenant les particules. Une mesure peut être effectuée avant ou après l</w:t>
      </w:r>
      <w:r w:rsidR="00DB4C2D">
        <w:rPr>
          <w:bCs/>
          <w:lang w:val="fr-FR"/>
        </w:rPr>
        <w:t>’</w:t>
      </w:r>
      <w:r w:rsidRPr="00A779B8">
        <w:rPr>
          <w:bCs/>
          <w:lang w:val="fr-FR"/>
        </w:rPr>
        <w:t>essai. On peut corriger les mesures de la masse de particules en soustrayant la masse de particules ambiantes présentes dans le système de dilution. La masse de particules ambiantes tolérable doit être ≤1 mg/km (ou la masse équivalente sur le filtre). Si cette valeur est dépassée, c</w:t>
      </w:r>
      <w:r w:rsidR="00DB4C2D">
        <w:rPr>
          <w:bCs/>
          <w:lang w:val="fr-FR"/>
        </w:rPr>
        <w:t>’</w:t>
      </w:r>
      <w:r w:rsidRPr="00A779B8">
        <w:rPr>
          <w:bCs/>
          <w:lang w:val="fr-FR"/>
        </w:rPr>
        <w:t>est elle (ou la masse équivalente sur le filtre) qui doit être retenue. Si après déduction de la masse de particules ambiantes on obtient un résultat négatif, la masse de particules doit être considérée comme étant égale à zéro.</w:t>
      </w:r>
    </w:p>
    <w:p w:rsidR="009F7CF6" w:rsidRPr="00A779B8" w:rsidRDefault="009F7CF6" w:rsidP="009F7CF6">
      <w:pPr>
        <w:pStyle w:val="SingleTxtG"/>
        <w:keepNext/>
        <w:ind w:left="2268" w:hanging="1134"/>
        <w:rPr>
          <w:lang w:val="fr-FR"/>
        </w:rPr>
      </w:pPr>
      <w:r w:rsidRPr="00A779B8">
        <w:rPr>
          <w:lang w:val="fr-FR"/>
        </w:rPr>
        <w:t>6.2.5</w:t>
      </w:r>
      <w:r w:rsidRPr="00A779B8">
        <w:rPr>
          <w:lang w:val="fr-FR"/>
        </w:rPr>
        <w:tab/>
        <w:t>Mesure du nombre de particules de l</w:t>
      </w:r>
      <w:r w:rsidR="00DB4C2D">
        <w:rPr>
          <w:lang w:val="fr-FR"/>
        </w:rPr>
        <w:t>’</w:t>
      </w:r>
      <w:r w:rsidRPr="00A779B8">
        <w:rPr>
          <w:lang w:val="fr-FR"/>
        </w:rPr>
        <w:t xml:space="preserve">air ambiant </w:t>
      </w:r>
    </w:p>
    <w:p w:rsidR="009F7CF6" w:rsidRPr="00A779B8" w:rsidRDefault="009F7CF6" w:rsidP="009F7CF6">
      <w:pPr>
        <w:pStyle w:val="SingleTxtG"/>
        <w:ind w:left="2268"/>
        <w:rPr>
          <w:bCs/>
          <w:lang w:val="fr-FR"/>
        </w:rPr>
      </w:pPr>
      <w:r w:rsidRPr="00A779B8">
        <w:rPr>
          <w:bCs/>
          <w:lang w:val="fr-FR"/>
        </w:rPr>
        <w:tab/>
        <w:t>On peut déterminer le nombre de particules ambiantes à déduire en prélevant un échantillon d</w:t>
      </w:r>
      <w:r w:rsidR="00DB4C2D">
        <w:rPr>
          <w:bCs/>
          <w:lang w:val="fr-FR"/>
        </w:rPr>
        <w:t>’</w:t>
      </w:r>
      <w:r w:rsidRPr="00A779B8">
        <w:rPr>
          <w:bCs/>
          <w:lang w:val="fr-FR"/>
        </w:rPr>
        <w:t>air de dilution en un point situé en aval des filtres à particules et à hydrocarbures dans le système de mesure du nombre de particules. La correction des mesures du nombre de particules en fonction du nombre de particules ambiantes n</w:t>
      </w:r>
      <w:r w:rsidR="00DB4C2D">
        <w:rPr>
          <w:bCs/>
          <w:lang w:val="fr-FR"/>
        </w:rPr>
        <w:t>’</w:t>
      </w:r>
      <w:r w:rsidRPr="00A779B8">
        <w:rPr>
          <w:bCs/>
          <w:lang w:val="fr-FR"/>
        </w:rPr>
        <w:t>est pas autorisée pour l</w:t>
      </w:r>
      <w:r w:rsidR="00DB4C2D">
        <w:rPr>
          <w:bCs/>
          <w:lang w:val="fr-FR"/>
        </w:rPr>
        <w:t>’</w:t>
      </w:r>
      <w:r w:rsidRPr="00A779B8">
        <w:rPr>
          <w:bCs/>
          <w:lang w:val="fr-FR"/>
        </w:rPr>
        <w:t>homologation de type mais peut être effectuée à la demande du constructeur aux fins du contrôle de la conformité de la production et de la conformité en service lorsqu</w:t>
      </w:r>
      <w:r w:rsidR="00DB4C2D">
        <w:rPr>
          <w:bCs/>
          <w:lang w:val="fr-FR"/>
        </w:rPr>
        <w:t>’</w:t>
      </w:r>
      <w:r w:rsidRPr="00A779B8">
        <w:rPr>
          <w:bCs/>
          <w:lang w:val="fr-FR"/>
        </w:rPr>
        <w:t>il apparaît que la concentration de particules dans le tunnel de dilution n</w:t>
      </w:r>
      <w:r w:rsidR="00DB4C2D">
        <w:rPr>
          <w:bCs/>
          <w:lang w:val="fr-FR"/>
        </w:rPr>
        <w:t>’</w:t>
      </w:r>
      <w:r w:rsidRPr="00A779B8">
        <w:rPr>
          <w:bCs/>
          <w:lang w:val="fr-FR"/>
        </w:rPr>
        <w:t>est pas négligeable</w:t>
      </w:r>
      <w:r w:rsidRPr="00A779B8">
        <w:rPr>
          <w:lang w:val="fr-FR"/>
        </w:rPr>
        <w:t>.</w:t>
      </w:r>
    </w:p>
    <w:p w:rsidR="009F7CF6" w:rsidRPr="00A779B8" w:rsidRDefault="009F7CF6" w:rsidP="009F7CF6">
      <w:pPr>
        <w:pStyle w:val="SingleTxtG"/>
        <w:keepNext/>
        <w:ind w:left="2268" w:hanging="1134"/>
        <w:rPr>
          <w:lang w:val="fr-FR"/>
        </w:rPr>
      </w:pPr>
      <w:r w:rsidRPr="00A779B8">
        <w:rPr>
          <w:lang w:val="fr-FR"/>
        </w:rPr>
        <w:t>6.2.6</w:t>
      </w:r>
      <w:r w:rsidRPr="00A779B8">
        <w:rPr>
          <w:lang w:val="fr-FR"/>
        </w:rPr>
        <w:tab/>
        <w:t xml:space="preserve">Choix du filtre servant à mesurer la masse de particules </w:t>
      </w:r>
    </w:p>
    <w:p w:rsidR="009F7CF6" w:rsidRPr="00A779B8" w:rsidRDefault="009F7CF6" w:rsidP="009F7CF6">
      <w:pPr>
        <w:pStyle w:val="SingleTxtG"/>
        <w:ind w:left="2268"/>
        <w:rPr>
          <w:bCs/>
          <w:lang w:val="fr-FR"/>
        </w:rPr>
      </w:pPr>
      <w:r w:rsidRPr="00A779B8">
        <w:rPr>
          <w:bCs/>
          <w:lang w:val="fr-FR"/>
        </w:rPr>
        <w:tab/>
        <w:t>Un filtre à particules unique sans filtre secondaire doit être utilisé à la fois pour la phase urbaine et la phase extra-urbaine du cycle</w:t>
      </w:r>
      <w:r w:rsidRPr="00A779B8">
        <w:rPr>
          <w:b/>
          <w:bCs/>
          <w:lang w:val="fr-FR"/>
        </w:rPr>
        <w:t xml:space="preserve"> </w:t>
      </w:r>
      <w:r w:rsidRPr="00A779B8">
        <w:rPr>
          <w:bCs/>
          <w:lang w:val="fr-FR"/>
        </w:rPr>
        <w:t>combiné.</w:t>
      </w:r>
    </w:p>
    <w:p w:rsidR="009F7CF6" w:rsidRPr="00A779B8" w:rsidRDefault="009F7CF6" w:rsidP="009F7CF6">
      <w:pPr>
        <w:pStyle w:val="SingleTxtG"/>
        <w:ind w:left="2268"/>
        <w:rPr>
          <w:bCs/>
          <w:lang w:val="fr-FR"/>
        </w:rPr>
      </w:pPr>
      <w:r w:rsidRPr="00A779B8">
        <w:rPr>
          <w:bCs/>
          <w:lang w:val="fr-FR"/>
        </w:rPr>
        <w:tab/>
        <w:t>Deux filtres à particules jumeaux, l</w:t>
      </w:r>
      <w:r w:rsidR="00DB4C2D">
        <w:rPr>
          <w:bCs/>
          <w:lang w:val="fr-FR"/>
        </w:rPr>
        <w:t>’</w:t>
      </w:r>
      <w:r w:rsidRPr="00A779B8">
        <w:rPr>
          <w:bCs/>
          <w:lang w:val="fr-FR"/>
        </w:rPr>
        <w:t>un pour la phase urbaine et l</w:t>
      </w:r>
      <w:r w:rsidR="00DB4C2D">
        <w:rPr>
          <w:bCs/>
          <w:lang w:val="fr-FR"/>
        </w:rPr>
        <w:t>’</w:t>
      </w:r>
      <w:r w:rsidRPr="00A779B8">
        <w:rPr>
          <w:bCs/>
          <w:lang w:val="fr-FR"/>
        </w:rPr>
        <w:t>autre pour la phase extra-urbaine, ne peuvent être utilisés sans filtre secondaire que s</w:t>
      </w:r>
      <w:r w:rsidR="00DB4C2D">
        <w:rPr>
          <w:bCs/>
          <w:lang w:val="fr-FR"/>
        </w:rPr>
        <w:t>’</w:t>
      </w:r>
      <w:r w:rsidRPr="00A779B8">
        <w:rPr>
          <w:bCs/>
          <w:lang w:val="fr-FR"/>
        </w:rPr>
        <w:t>il apparaît qu</w:t>
      </w:r>
      <w:r w:rsidR="00DB4C2D">
        <w:rPr>
          <w:bCs/>
          <w:lang w:val="fr-FR"/>
        </w:rPr>
        <w:t>’</w:t>
      </w:r>
      <w:r w:rsidRPr="00A779B8">
        <w:rPr>
          <w:bCs/>
          <w:lang w:val="fr-FR"/>
        </w:rPr>
        <w:t>avec des filtres secondaires l</w:t>
      </w:r>
      <w:r w:rsidR="00DB4C2D">
        <w:rPr>
          <w:bCs/>
          <w:lang w:val="fr-FR"/>
        </w:rPr>
        <w:t>’</w:t>
      </w:r>
      <w:r w:rsidRPr="00A779B8">
        <w:rPr>
          <w:bCs/>
          <w:lang w:val="fr-FR"/>
        </w:rPr>
        <w:t>accroissement de la perte de charge à travers le filtre de prélèvement entre le début et la fin de l</w:t>
      </w:r>
      <w:r w:rsidR="00DB4C2D">
        <w:rPr>
          <w:bCs/>
          <w:lang w:val="fr-FR"/>
        </w:rPr>
        <w:t>’</w:t>
      </w:r>
      <w:r w:rsidRPr="00A779B8">
        <w:rPr>
          <w:bCs/>
          <w:lang w:val="fr-FR"/>
        </w:rPr>
        <w:t>essai d</w:t>
      </w:r>
      <w:r w:rsidR="00DB4C2D">
        <w:rPr>
          <w:bCs/>
          <w:lang w:val="fr-FR"/>
        </w:rPr>
        <w:t>’</w:t>
      </w:r>
      <w:r w:rsidRPr="00A779B8">
        <w:rPr>
          <w:bCs/>
          <w:lang w:val="fr-FR"/>
        </w:rPr>
        <w:t>émissions serait supérieur à 25 kPa.</w:t>
      </w:r>
    </w:p>
    <w:p w:rsidR="009F7CF6" w:rsidRPr="00A779B8" w:rsidRDefault="009F7CF6" w:rsidP="009F7CF6">
      <w:pPr>
        <w:pStyle w:val="SingleTxtG"/>
        <w:keepNext/>
        <w:ind w:left="2268" w:hanging="1134"/>
        <w:jc w:val="left"/>
        <w:rPr>
          <w:lang w:val="fr-FR"/>
        </w:rPr>
      </w:pPr>
      <w:r w:rsidRPr="00A779B8">
        <w:rPr>
          <w:lang w:val="fr-FR"/>
        </w:rPr>
        <w:t>6.2.7</w:t>
      </w:r>
      <w:r w:rsidRPr="00A779B8">
        <w:rPr>
          <w:lang w:val="fr-FR"/>
        </w:rPr>
        <w:tab/>
        <w:t xml:space="preserve">Préparation du filtre servant à mesurer la masse de particules </w:t>
      </w:r>
    </w:p>
    <w:p w:rsidR="009F7CF6" w:rsidRPr="00A779B8" w:rsidRDefault="009F7CF6" w:rsidP="009F7CF6">
      <w:pPr>
        <w:pStyle w:val="SingleTxtG"/>
        <w:ind w:left="2268" w:hanging="1134"/>
        <w:rPr>
          <w:lang w:val="fr-FR"/>
        </w:rPr>
      </w:pPr>
      <w:r w:rsidRPr="00A779B8">
        <w:rPr>
          <w:bCs/>
          <w:lang w:val="fr-FR"/>
        </w:rPr>
        <w:t>6.2.7.1</w:t>
      </w:r>
      <w:r w:rsidRPr="00A779B8">
        <w:rPr>
          <w:bCs/>
          <w:lang w:val="fr-FR"/>
        </w:rPr>
        <w:tab/>
      </w:r>
      <w:r w:rsidRPr="00A779B8">
        <w:rPr>
          <w:lang w:val="fr-FR"/>
        </w:rPr>
        <w:t>Les filtres de collecte des particules doivent être conditionnés (température, humidité) avant l</w:t>
      </w:r>
      <w:r w:rsidR="00DB4C2D">
        <w:rPr>
          <w:lang w:val="fr-FR"/>
        </w:rPr>
        <w:t>’</w:t>
      </w:r>
      <w:r w:rsidRPr="00A779B8">
        <w:rPr>
          <w:lang w:val="fr-FR"/>
        </w:rPr>
        <w:t xml:space="preserve">essai dans une enceinte climatisée, dans un récipient protégé de la poussière pendant une durée comprise entre 2 et 80 h. Après ce </w:t>
      </w:r>
      <w:r w:rsidRPr="00A779B8">
        <w:rPr>
          <w:lang w:val="fr-FR"/>
        </w:rPr>
        <w:lastRenderedPageBreak/>
        <w:t>conditionnement, on pèse les filtres vierges et on les conserve jusqu</w:t>
      </w:r>
      <w:r w:rsidR="00DB4C2D">
        <w:rPr>
          <w:lang w:val="fr-FR"/>
        </w:rPr>
        <w:t>’</w:t>
      </w:r>
      <w:r w:rsidRPr="00A779B8">
        <w:rPr>
          <w:lang w:val="fr-FR"/>
        </w:rPr>
        <w:t>au moment de leur utilisation. Si les filtres ne sont pas utilisés dans l</w:t>
      </w:r>
      <w:r w:rsidR="00DB4C2D">
        <w:rPr>
          <w:lang w:val="fr-FR"/>
        </w:rPr>
        <w:t>’</w:t>
      </w:r>
      <w:r w:rsidRPr="00A779B8">
        <w:rPr>
          <w:lang w:val="fr-FR"/>
        </w:rPr>
        <w:t>heure suivant leur sortie de la chambre de pesée, ils doivent être pesés à nouveau.</w:t>
      </w:r>
    </w:p>
    <w:p w:rsidR="009F7CF6" w:rsidRPr="00A779B8" w:rsidRDefault="009F7CF6" w:rsidP="009F7CF6">
      <w:pPr>
        <w:pStyle w:val="SingleTxtG"/>
        <w:ind w:left="2268" w:hanging="1134"/>
        <w:rPr>
          <w:lang w:val="fr-FR"/>
        </w:rPr>
      </w:pPr>
      <w:r w:rsidRPr="00A779B8">
        <w:rPr>
          <w:lang w:val="fr-FR"/>
        </w:rPr>
        <w:t>6.2.7.2</w:t>
      </w:r>
      <w:r w:rsidRPr="00A779B8">
        <w:rPr>
          <w:lang w:val="fr-FR"/>
        </w:rPr>
        <w:tab/>
        <w:t>Ce délai d</w:t>
      </w:r>
      <w:r w:rsidR="00DB4C2D">
        <w:rPr>
          <w:lang w:val="fr-FR"/>
        </w:rPr>
        <w:t>’</w:t>
      </w:r>
      <w:r w:rsidRPr="00A779B8">
        <w:rPr>
          <w:lang w:val="fr-FR"/>
        </w:rPr>
        <w:t>une heure peut être porté à 8 h si une ou deux des conditions suivantes sont respectées:</w:t>
      </w:r>
    </w:p>
    <w:p w:rsidR="009F7CF6" w:rsidRPr="00A779B8" w:rsidRDefault="009F7CF6" w:rsidP="009F7CF6">
      <w:pPr>
        <w:pStyle w:val="SingleTxtG"/>
        <w:ind w:left="2268" w:hanging="1134"/>
        <w:rPr>
          <w:lang w:val="fr-FR"/>
        </w:rPr>
      </w:pPr>
      <w:r w:rsidRPr="00A779B8">
        <w:rPr>
          <w:lang w:val="fr-FR"/>
        </w:rPr>
        <w:t>6.2.7.2.1</w:t>
      </w:r>
      <w:r w:rsidRPr="00A779B8">
        <w:rPr>
          <w:lang w:val="fr-FR"/>
        </w:rPr>
        <w:tab/>
        <w:t>Un filtre ayant une masse stabilisée est placé et conservé dans un porte-filtre scellé ayant ses extrémités fermées; ou</w:t>
      </w:r>
    </w:p>
    <w:p w:rsidR="009F7CF6" w:rsidRPr="00A779B8" w:rsidRDefault="009F7CF6" w:rsidP="009F7CF6">
      <w:pPr>
        <w:pStyle w:val="SingleTxtG"/>
        <w:ind w:left="2268" w:hanging="1134"/>
        <w:rPr>
          <w:lang w:val="fr-FR"/>
        </w:rPr>
      </w:pPr>
      <w:r w:rsidRPr="00A779B8">
        <w:rPr>
          <w:lang w:val="fr-FR"/>
        </w:rPr>
        <w:t>6.2.7.2.2</w:t>
      </w:r>
      <w:r w:rsidRPr="00A779B8">
        <w:rPr>
          <w:lang w:val="fr-FR"/>
        </w:rPr>
        <w:tab/>
        <w:t>Un filtre ayant une masse stabilisée est placé dans un porte filtre scellé qui est immédiatement inséré dans une ligne de prélèvement dans laquelle le débit est nul.</w:t>
      </w:r>
    </w:p>
    <w:p w:rsidR="009F7CF6" w:rsidRPr="00A779B8" w:rsidRDefault="009F7CF6" w:rsidP="009F7CF6">
      <w:pPr>
        <w:pStyle w:val="SingleTxtG"/>
        <w:ind w:left="2268" w:hanging="1134"/>
        <w:rPr>
          <w:lang w:val="fr-FR"/>
        </w:rPr>
      </w:pPr>
      <w:r w:rsidRPr="00A779B8">
        <w:rPr>
          <w:lang w:val="fr-FR"/>
        </w:rPr>
        <w:t>6.2.7.3</w:t>
      </w:r>
      <w:r w:rsidRPr="00A779B8">
        <w:rPr>
          <w:lang w:val="fr-FR"/>
        </w:rPr>
        <w:tab/>
        <w:t>Le système de collecte des particules doit être mis en marche et préparé pour la collecte.</w:t>
      </w:r>
    </w:p>
    <w:p w:rsidR="009F7CF6" w:rsidRPr="00A779B8" w:rsidRDefault="009F7CF6" w:rsidP="009F7CF6">
      <w:pPr>
        <w:pStyle w:val="SingleTxtG"/>
        <w:keepNext/>
        <w:ind w:left="2268" w:hanging="1134"/>
        <w:jc w:val="left"/>
        <w:rPr>
          <w:lang w:val="fr-FR"/>
        </w:rPr>
      </w:pPr>
      <w:r w:rsidRPr="00A779B8">
        <w:rPr>
          <w:lang w:val="fr-FR"/>
        </w:rPr>
        <w:t>6.2.8</w:t>
      </w:r>
      <w:r w:rsidRPr="00A779B8">
        <w:rPr>
          <w:lang w:val="fr-FR"/>
        </w:rPr>
        <w:tab/>
        <w:t xml:space="preserve">Préparation de la mesure du nombre de particules </w:t>
      </w:r>
    </w:p>
    <w:p w:rsidR="009F7CF6" w:rsidRPr="00A779B8" w:rsidRDefault="009F7CF6" w:rsidP="009F7CF6">
      <w:pPr>
        <w:pStyle w:val="SingleTxtG"/>
        <w:ind w:left="2268" w:hanging="1134"/>
        <w:rPr>
          <w:lang w:val="fr-FR"/>
        </w:rPr>
      </w:pPr>
      <w:r w:rsidRPr="00A779B8">
        <w:rPr>
          <w:lang w:val="fr-FR"/>
        </w:rPr>
        <w:t>6.2.8.1</w:t>
      </w:r>
      <w:r w:rsidRPr="00A779B8">
        <w:rPr>
          <w:lang w:val="fr-FR"/>
        </w:rPr>
        <w:tab/>
        <w:t>Le système de dilution et l</w:t>
      </w:r>
      <w:r w:rsidR="00DB4C2D">
        <w:rPr>
          <w:lang w:val="fr-FR"/>
        </w:rPr>
        <w:t>’</w:t>
      </w:r>
      <w:r w:rsidRPr="00A779B8">
        <w:rPr>
          <w:lang w:val="fr-FR"/>
        </w:rPr>
        <w:t>appareillage de mesure des particules doivent être mis en marche et préparés pour la collecte.</w:t>
      </w:r>
    </w:p>
    <w:p w:rsidR="009F7CF6" w:rsidRPr="00A779B8" w:rsidRDefault="009F7CF6" w:rsidP="009F7CF6">
      <w:pPr>
        <w:pStyle w:val="SingleTxtG"/>
        <w:ind w:left="2268" w:hanging="1134"/>
        <w:rPr>
          <w:lang w:val="fr-FR"/>
        </w:rPr>
      </w:pPr>
      <w:r w:rsidRPr="00A779B8">
        <w:rPr>
          <w:lang w:val="fr-FR"/>
        </w:rPr>
        <w:t>6.2.8.2</w:t>
      </w:r>
      <w:r w:rsidRPr="00A779B8">
        <w:rPr>
          <w:lang w:val="fr-FR"/>
        </w:rPr>
        <w:tab/>
        <w:t>Avant le ou les essais, le bon fonctionnement du compteur de particules et des éléments d</w:t>
      </w:r>
      <w:r w:rsidR="00DB4C2D">
        <w:rPr>
          <w:lang w:val="fr-FR"/>
        </w:rPr>
        <w:t>’</w:t>
      </w:r>
      <w:r w:rsidRPr="00A779B8">
        <w:rPr>
          <w:lang w:val="fr-FR"/>
        </w:rPr>
        <w:t>extraction des particules volatiles du système de collecte des particules doit être confirmé conformément aux paragraphes 2.3.1 et 2.3.3</w:t>
      </w:r>
      <w:r w:rsidRPr="00A779B8">
        <w:rPr>
          <w:b/>
          <w:lang w:val="fr-FR"/>
        </w:rPr>
        <w:t xml:space="preserve"> </w:t>
      </w:r>
      <w:r w:rsidRPr="00A779B8">
        <w:rPr>
          <w:lang w:val="fr-FR"/>
        </w:rPr>
        <w:t>de l</w:t>
      </w:r>
      <w:r w:rsidR="00DB4C2D">
        <w:rPr>
          <w:lang w:val="fr-FR"/>
        </w:rPr>
        <w:t>’</w:t>
      </w:r>
      <w:r w:rsidRPr="00A779B8">
        <w:rPr>
          <w:lang w:val="fr-FR"/>
        </w:rPr>
        <w:t>appendice 5 de la présente annexe.</w:t>
      </w:r>
    </w:p>
    <w:p w:rsidR="009F7CF6" w:rsidRPr="00A779B8" w:rsidRDefault="009F7CF6" w:rsidP="009F7CF6">
      <w:pPr>
        <w:pStyle w:val="SingleTxtG"/>
        <w:ind w:left="2268"/>
        <w:rPr>
          <w:lang w:val="fr-FR"/>
        </w:rPr>
      </w:pPr>
      <w:r w:rsidRPr="00A779B8">
        <w:rPr>
          <w:lang w:val="fr-FR"/>
        </w:rPr>
        <w:tab/>
        <w:t>La sensibilité du compteur de particules doit être vérifiée à un niveau proche de zéro avant chaque essai et quotidiennement avec des concentrations de particules élevées en utilisant de l</w:t>
      </w:r>
      <w:r w:rsidR="00DB4C2D">
        <w:rPr>
          <w:lang w:val="fr-FR"/>
        </w:rPr>
        <w:t>’</w:t>
      </w:r>
      <w:r w:rsidRPr="00A779B8">
        <w:rPr>
          <w:lang w:val="fr-FR"/>
        </w:rPr>
        <w:t>air ambiant.</w:t>
      </w:r>
    </w:p>
    <w:p w:rsidR="009F7CF6" w:rsidRPr="00A779B8" w:rsidRDefault="009F7CF6" w:rsidP="009F7CF6">
      <w:pPr>
        <w:pStyle w:val="SingleTxtG"/>
        <w:ind w:left="2268"/>
        <w:rPr>
          <w:lang w:val="fr-FR"/>
        </w:rPr>
      </w:pPr>
      <w:r w:rsidRPr="00A779B8">
        <w:rPr>
          <w:lang w:val="fr-FR"/>
        </w:rPr>
        <w:tab/>
        <w:t>Lorsque l</w:t>
      </w:r>
      <w:r w:rsidR="00DB4C2D">
        <w:rPr>
          <w:lang w:val="fr-FR"/>
        </w:rPr>
        <w:t>’</w:t>
      </w:r>
      <w:r w:rsidRPr="00A779B8">
        <w:rPr>
          <w:lang w:val="fr-FR"/>
        </w:rPr>
        <w:t>orifice d</w:t>
      </w:r>
      <w:r w:rsidR="00DB4C2D">
        <w:rPr>
          <w:lang w:val="fr-FR"/>
        </w:rPr>
        <w:t>’</w:t>
      </w:r>
      <w:r w:rsidRPr="00A779B8">
        <w:rPr>
          <w:lang w:val="fr-FR"/>
        </w:rPr>
        <w:t>admission est équipé d</w:t>
      </w:r>
      <w:r w:rsidR="00DB4C2D">
        <w:rPr>
          <w:lang w:val="fr-FR"/>
        </w:rPr>
        <w:t>’</w:t>
      </w:r>
      <w:r w:rsidRPr="00A779B8">
        <w:rPr>
          <w:lang w:val="fr-FR"/>
        </w:rPr>
        <w:t>un filtre à très haute efficacité (THE), il faut démontrer qu</w:t>
      </w:r>
      <w:r w:rsidR="00DB4C2D">
        <w:rPr>
          <w:lang w:val="fr-FR"/>
        </w:rPr>
        <w:t>’</w:t>
      </w:r>
      <w:r w:rsidRPr="00A779B8">
        <w:rPr>
          <w:lang w:val="fr-FR"/>
        </w:rPr>
        <w:t>il n</w:t>
      </w:r>
      <w:r w:rsidR="00DB4C2D">
        <w:rPr>
          <w:lang w:val="fr-FR"/>
        </w:rPr>
        <w:t>’</w:t>
      </w:r>
      <w:r w:rsidRPr="00A779B8">
        <w:rPr>
          <w:lang w:val="fr-FR"/>
        </w:rPr>
        <w:t>y a aucune fuite dans l</w:t>
      </w:r>
      <w:r w:rsidR="00DB4C2D">
        <w:rPr>
          <w:lang w:val="fr-FR"/>
        </w:rPr>
        <w:t>’</w:t>
      </w:r>
      <w:r w:rsidRPr="00A779B8">
        <w:rPr>
          <w:lang w:val="fr-FR"/>
        </w:rPr>
        <w:t>ensemble du système de collecte des particules.</w:t>
      </w:r>
    </w:p>
    <w:p w:rsidR="009F7CF6" w:rsidRPr="00A779B8" w:rsidRDefault="009F7CF6" w:rsidP="009F7CF6">
      <w:pPr>
        <w:pStyle w:val="SingleTxtG"/>
        <w:keepNext/>
        <w:ind w:left="2268" w:hanging="1134"/>
        <w:jc w:val="left"/>
        <w:rPr>
          <w:lang w:val="fr-FR"/>
        </w:rPr>
      </w:pPr>
      <w:r w:rsidRPr="00A779B8">
        <w:rPr>
          <w:lang w:val="fr-FR"/>
        </w:rPr>
        <w:t>6.2.9</w:t>
      </w:r>
      <w:r w:rsidRPr="00A779B8">
        <w:rPr>
          <w:lang w:val="fr-FR"/>
        </w:rPr>
        <w:tab/>
        <w:t xml:space="preserve">Vérification des analyseurs de gaz </w:t>
      </w:r>
    </w:p>
    <w:p w:rsidR="009F7CF6" w:rsidRPr="00A779B8" w:rsidRDefault="009F7CF6" w:rsidP="009F7CF6">
      <w:pPr>
        <w:pStyle w:val="SingleTxtG"/>
        <w:ind w:left="2268"/>
        <w:rPr>
          <w:lang w:val="fr-FR"/>
        </w:rPr>
      </w:pPr>
      <w:r w:rsidRPr="00A779B8">
        <w:rPr>
          <w:lang w:val="fr-FR"/>
        </w:rPr>
        <w:tab/>
        <w:t>Les analyseurs de gaz doivent être mis à zéro et étalonnés. Les sacs de prélèvement doivent être vidés.</w:t>
      </w:r>
    </w:p>
    <w:p w:rsidR="009F7CF6" w:rsidRPr="00A779B8" w:rsidRDefault="009F7CF6" w:rsidP="009F7CF6">
      <w:pPr>
        <w:pStyle w:val="SingleTxtG"/>
        <w:keepNext/>
        <w:ind w:left="2268" w:hanging="1134"/>
        <w:jc w:val="left"/>
        <w:rPr>
          <w:lang w:val="fr-FR"/>
        </w:rPr>
      </w:pPr>
      <w:r w:rsidRPr="00A779B8">
        <w:rPr>
          <w:lang w:val="fr-FR"/>
        </w:rPr>
        <w:t>6.3</w:t>
      </w:r>
      <w:r w:rsidRPr="00A779B8">
        <w:rPr>
          <w:lang w:val="fr-FR"/>
        </w:rPr>
        <w:tab/>
        <w:t>Procédure de conditionnement</w:t>
      </w:r>
    </w:p>
    <w:p w:rsidR="009F7CF6" w:rsidRPr="00A779B8" w:rsidRDefault="009F7CF6" w:rsidP="009F7CF6">
      <w:pPr>
        <w:pStyle w:val="SingleTxtG"/>
        <w:ind w:left="2268" w:hanging="1134"/>
        <w:rPr>
          <w:lang w:val="fr-FR"/>
        </w:rPr>
      </w:pPr>
      <w:r w:rsidRPr="00A779B8">
        <w:rPr>
          <w:lang w:val="fr-FR"/>
        </w:rPr>
        <w:t>6.3.1</w:t>
      </w:r>
      <w:r w:rsidRPr="00A779B8">
        <w:rPr>
          <w:lang w:val="fr-FR"/>
        </w:rPr>
        <w:tab/>
        <w:t>En vue de la mesure des particules, au maximum 36 h et au minimum 6 h avant l</w:t>
      </w:r>
      <w:r w:rsidR="00DB4C2D">
        <w:rPr>
          <w:lang w:val="fr-FR"/>
        </w:rPr>
        <w:t>’</w:t>
      </w:r>
      <w:r w:rsidRPr="00A779B8">
        <w:rPr>
          <w:lang w:val="fr-FR"/>
        </w:rPr>
        <w:t>essai, la deuxième partie du cycle d</w:t>
      </w:r>
      <w:r w:rsidR="00DB4C2D">
        <w:rPr>
          <w:lang w:val="fr-FR"/>
        </w:rPr>
        <w:t>’</w:t>
      </w:r>
      <w:r w:rsidRPr="00A779B8">
        <w:rPr>
          <w:lang w:val="fr-FR"/>
        </w:rPr>
        <w:t xml:space="preserve">essai décrit au paragraphe 6.1 de la présente annexe doit être réalisée pour le </w:t>
      </w:r>
      <w:proofErr w:type="spellStart"/>
      <w:r w:rsidRPr="00A779B8">
        <w:rPr>
          <w:lang w:val="fr-FR"/>
        </w:rPr>
        <w:t>préconditionnement</w:t>
      </w:r>
      <w:proofErr w:type="spellEnd"/>
      <w:r w:rsidRPr="00A779B8">
        <w:rPr>
          <w:lang w:val="fr-FR"/>
        </w:rPr>
        <w:t xml:space="preserve"> des</w:t>
      </w:r>
      <w:r w:rsidRPr="00A779B8">
        <w:rPr>
          <w:bCs/>
          <w:lang w:val="fr-FR"/>
        </w:rPr>
        <w:t xml:space="preserve"> </w:t>
      </w:r>
      <w:r w:rsidRPr="00A779B8">
        <w:rPr>
          <w:lang w:val="fr-FR"/>
        </w:rPr>
        <w:t>véhicules. Trois cycles consécutifs doivent être effectués. La préparation du banc dynamométrique est indiquée au paragraphe 6.2.1 ci-dessus.</w:t>
      </w:r>
    </w:p>
    <w:p w:rsidR="009F7CF6" w:rsidRDefault="009F7CF6" w:rsidP="009F7CF6">
      <w:pPr>
        <w:pStyle w:val="SingleTxtG"/>
        <w:ind w:left="2268"/>
        <w:rPr>
          <w:lang w:val="fr-FR"/>
        </w:rPr>
      </w:pPr>
      <w:r w:rsidRPr="00A779B8">
        <w:rPr>
          <w:lang w:val="fr-FR"/>
        </w:rPr>
        <w:tab/>
        <w:t xml:space="preserve">À la demande du constructeur, les véhicules équipés de moteur </w:t>
      </w:r>
      <w:r w:rsidRPr="00A779B8">
        <w:rPr>
          <w:bCs/>
          <w:lang w:val="fr-FR"/>
        </w:rPr>
        <w:t>à injection indirecte</w:t>
      </w:r>
      <w:r w:rsidRPr="00A779B8">
        <w:rPr>
          <w:lang w:val="fr-FR"/>
        </w:rPr>
        <w:t xml:space="preserve"> à allumage commandé peuvent être </w:t>
      </w:r>
      <w:proofErr w:type="spellStart"/>
      <w:r w:rsidRPr="00A779B8">
        <w:rPr>
          <w:lang w:val="fr-FR"/>
        </w:rPr>
        <w:t>préconditionnés</w:t>
      </w:r>
      <w:proofErr w:type="spellEnd"/>
      <w:r w:rsidRPr="00A779B8">
        <w:rPr>
          <w:lang w:val="fr-FR"/>
        </w:rPr>
        <w:t xml:space="preserve"> par les cycles d</w:t>
      </w:r>
      <w:r w:rsidR="00DB4C2D">
        <w:rPr>
          <w:lang w:val="fr-FR"/>
        </w:rPr>
        <w:t>’</w:t>
      </w:r>
      <w:r w:rsidRPr="00A779B8">
        <w:rPr>
          <w:lang w:val="fr-FR"/>
        </w:rPr>
        <w:t>essai d</w:t>
      </w:r>
      <w:r w:rsidR="00DB4C2D">
        <w:rPr>
          <w:lang w:val="fr-FR"/>
        </w:rPr>
        <w:t>’</w:t>
      </w:r>
      <w:r w:rsidRPr="00A779B8">
        <w:rPr>
          <w:lang w:val="fr-FR"/>
        </w:rPr>
        <w:t>une première partie et de deux secondes parties.</w:t>
      </w:r>
    </w:p>
    <w:p w:rsidR="009F7CF6" w:rsidRPr="00A779B8" w:rsidRDefault="009F7CF6" w:rsidP="009F7CF6">
      <w:pPr>
        <w:pStyle w:val="SingleTxtG"/>
        <w:ind w:left="2268" w:hanging="1134"/>
        <w:rPr>
          <w:lang w:val="fr-FR"/>
        </w:rPr>
      </w:pPr>
      <w:r>
        <w:rPr>
          <w:lang w:val="fr-FR"/>
        </w:rPr>
        <w:t>6.3.2</w:t>
      </w:r>
      <w:r>
        <w:rPr>
          <w:lang w:val="fr-FR"/>
        </w:rPr>
        <w:tab/>
      </w:r>
      <w:r w:rsidRPr="00A779B8">
        <w:rPr>
          <w:lang w:val="fr-FR"/>
        </w:rPr>
        <w:t>Dans le cas d</w:t>
      </w:r>
      <w:r w:rsidR="00DB4C2D">
        <w:rPr>
          <w:lang w:val="fr-FR"/>
        </w:rPr>
        <w:t>’</w:t>
      </w:r>
      <w:r w:rsidRPr="00A779B8">
        <w:rPr>
          <w:lang w:val="fr-FR"/>
        </w:rPr>
        <w:t>une installation d</w:t>
      </w:r>
      <w:r w:rsidR="00DB4C2D">
        <w:rPr>
          <w:lang w:val="fr-FR"/>
        </w:rPr>
        <w:t>’</w:t>
      </w:r>
      <w:r w:rsidRPr="00A779B8">
        <w:rPr>
          <w:lang w:val="fr-FR"/>
        </w:rPr>
        <w:t>essai où les résultats des essais effectués sur un véhicule émettant peu de particules risqueraient d</w:t>
      </w:r>
      <w:r w:rsidR="00DB4C2D">
        <w:rPr>
          <w:lang w:val="fr-FR"/>
        </w:rPr>
        <w:t>’</w:t>
      </w:r>
      <w:r w:rsidRPr="00A779B8">
        <w:rPr>
          <w:lang w:val="fr-FR"/>
        </w:rPr>
        <w:t>être faussés par les résidus d</w:t>
      </w:r>
      <w:r w:rsidR="00DB4C2D">
        <w:rPr>
          <w:lang w:val="fr-FR"/>
        </w:rPr>
        <w:t>’</w:t>
      </w:r>
      <w:r w:rsidRPr="00A779B8">
        <w:rPr>
          <w:lang w:val="fr-FR"/>
        </w:rPr>
        <w:t>un essai précédent effectué sur un véhicule émettant beaucoup de particules, il est recommandé d</w:t>
      </w:r>
      <w:r w:rsidR="00DB4C2D">
        <w:rPr>
          <w:lang w:val="fr-FR"/>
        </w:rPr>
        <w:t>’</w:t>
      </w:r>
      <w:r w:rsidRPr="00A779B8">
        <w:rPr>
          <w:lang w:val="fr-FR"/>
        </w:rPr>
        <w:t xml:space="preserve">effectuer, à titre de </w:t>
      </w:r>
      <w:proofErr w:type="spellStart"/>
      <w:r w:rsidRPr="00A779B8">
        <w:rPr>
          <w:lang w:val="fr-FR"/>
        </w:rPr>
        <w:t>préconditionnement</w:t>
      </w:r>
      <w:proofErr w:type="spellEnd"/>
      <w:r w:rsidRPr="00A779B8">
        <w:rPr>
          <w:lang w:val="fr-FR"/>
        </w:rPr>
        <w:t xml:space="preserve"> de l</w:t>
      </w:r>
      <w:r w:rsidR="00DB4C2D">
        <w:rPr>
          <w:lang w:val="fr-FR"/>
        </w:rPr>
        <w:t>’</w:t>
      </w:r>
      <w:r w:rsidRPr="00A779B8">
        <w:rPr>
          <w:lang w:val="fr-FR"/>
        </w:rPr>
        <w:t>équipement de prélèvement, un cycle d</w:t>
      </w:r>
      <w:r w:rsidR="00DB4C2D">
        <w:rPr>
          <w:lang w:val="fr-FR"/>
        </w:rPr>
        <w:t>’</w:t>
      </w:r>
      <w:r w:rsidRPr="00A779B8">
        <w:rPr>
          <w:lang w:val="fr-FR"/>
        </w:rPr>
        <w:t>essai en conditions stabilisées à 120 km/h pendant 20 min suivi de trois cycles consécutifs de la seconde partie avec un véhicule émettant peu de particules.</w:t>
      </w:r>
    </w:p>
    <w:p w:rsidR="009F7CF6" w:rsidRPr="00A779B8" w:rsidRDefault="009F7CF6" w:rsidP="009F7CF6">
      <w:pPr>
        <w:pStyle w:val="SingleTxtG"/>
        <w:ind w:left="2268"/>
        <w:rPr>
          <w:lang w:val="fr-FR"/>
        </w:rPr>
      </w:pPr>
      <w:r w:rsidRPr="00A779B8">
        <w:rPr>
          <w:bCs/>
          <w:lang w:val="fr-FR"/>
        </w:rPr>
        <w:lastRenderedPageBreak/>
        <w:tab/>
        <w:t xml:space="preserve">Après ce </w:t>
      </w:r>
      <w:proofErr w:type="spellStart"/>
      <w:r w:rsidRPr="00A779B8">
        <w:rPr>
          <w:bCs/>
          <w:lang w:val="fr-FR"/>
        </w:rPr>
        <w:t>préconditionnement</w:t>
      </w:r>
      <w:proofErr w:type="spellEnd"/>
      <w:r w:rsidRPr="00A779B8">
        <w:rPr>
          <w:bCs/>
          <w:lang w:val="fr-FR"/>
        </w:rPr>
        <w:t>, et avant l</w:t>
      </w:r>
      <w:r w:rsidR="00DB4C2D">
        <w:rPr>
          <w:bCs/>
          <w:lang w:val="fr-FR"/>
        </w:rPr>
        <w:t>’</w:t>
      </w:r>
      <w:r w:rsidRPr="00A779B8">
        <w:rPr>
          <w:bCs/>
          <w:lang w:val="fr-FR"/>
        </w:rPr>
        <w:t>essai,</w:t>
      </w:r>
      <w:r w:rsidRPr="00A779B8">
        <w:rPr>
          <w:lang w:val="fr-FR"/>
        </w:rPr>
        <w:t xml:space="preserve"> les véhicules doivent séjourner dans un local où la température reste relativement constante entre 293 et 303 K (20 et 30 °C). Ce conditionnement doit durer au moins 6 h et se poursuivre jusqu</w:t>
      </w:r>
      <w:r w:rsidR="00DB4C2D">
        <w:rPr>
          <w:lang w:val="fr-FR"/>
        </w:rPr>
        <w:t>’</w:t>
      </w:r>
      <w:r w:rsidRPr="00A779B8">
        <w:rPr>
          <w:lang w:val="fr-FR"/>
        </w:rPr>
        <w:t>à ce que la température de l</w:t>
      </w:r>
      <w:r w:rsidR="00DB4C2D">
        <w:rPr>
          <w:lang w:val="fr-FR"/>
        </w:rPr>
        <w:t>’</w:t>
      </w:r>
      <w:r w:rsidRPr="00A779B8">
        <w:rPr>
          <w:lang w:val="fr-FR"/>
        </w:rPr>
        <w:t>huile du moteur et celle du liquide de refroidissement (s</w:t>
      </w:r>
      <w:r w:rsidR="00DB4C2D">
        <w:rPr>
          <w:lang w:val="fr-FR"/>
        </w:rPr>
        <w:t>’</w:t>
      </w:r>
      <w:r w:rsidRPr="00A779B8">
        <w:rPr>
          <w:lang w:val="fr-FR"/>
        </w:rPr>
        <w:t xml:space="preserve">il existe) soient à </w:t>
      </w:r>
      <w:r w:rsidRPr="00A779B8">
        <w:rPr>
          <w:lang w:val="fr-FR"/>
        </w:rPr>
        <w:sym w:font="Symbol" w:char="F0B1"/>
      </w:r>
      <w:r w:rsidRPr="00A779B8">
        <w:rPr>
          <w:lang w:val="fr-FR"/>
        </w:rPr>
        <w:t>2 K de celle du local.</w:t>
      </w:r>
    </w:p>
    <w:p w:rsidR="009F7CF6" w:rsidRPr="00A779B8" w:rsidRDefault="009F7CF6" w:rsidP="009F7CF6">
      <w:pPr>
        <w:pStyle w:val="SingleTxtG"/>
        <w:ind w:left="2268"/>
        <w:rPr>
          <w:lang w:val="fr-FR"/>
        </w:rPr>
      </w:pPr>
      <w:r w:rsidRPr="00A779B8">
        <w:rPr>
          <w:lang w:val="fr-FR"/>
        </w:rPr>
        <w:tab/>
        <w:t>Si le constructeur le demande, l</w:t>
      </w:r>
      <w:r w:rsidR="00DB4C2D">
        <w:rPr>
          <w:lang w:val="fr-FR"/>
        </w:rPr>
        <w:t>’</w:t>
      </w:r>
      <w:r w:rsidRPr="00A779B8">
        <w:rPr>
          <w:lang w:val="fr-FR"/>
        </w:rPr>
        <w:t>essai doit être effectué au plus tard 30 h après que le véhicule ait fonctionné à sa température normale.</w:t>
      </w:r>
    </w:p>
    <w:p w:rsidR="009F7CF6" w:rsidRPr="00A779B8" w:rsidRDefault="009F7CF6" w:rsidP="009F7CF6">
      <w:pPr>
        <w:pStyle w:val="SingleTxtG"/>
        <w:ind w:left="2268" w:hanging="1134"/>
        <w:rPr>
          <w:lang w:val="fr-FR"/>
        </w:rPr>
      </w:pPr>
      <w:r w:rsidRPr="00A779B8">
        <w:rPr>
          <w:lang w:val="fr-FR"/>
        </w:rPr>
        <w:t>6.3.3</w:t>
      </w:r>
      <w:r w:rsidRPr="00A779B8">
        <w:rPr>
          <w:lang w:val="fr-FR"/>
        </w:rPr>
        <w:tab/>
        <w:t>Dans le cas des véhicules à moteur à allumage commandé fonctionnant avec du GPL ou du GN/</w:t>
      </w:r>
      <w:proofErr w:type="spellStart"/>
      <w:r w:rsidRPr="00A779B8">
        <w:rPr>
          <w:lang w:val="fr-FR"/>
        </w:rPr>
        <w:t>biométhane</w:t>
      </w:r>
      <w:proofErr w:type="spellEnd"/>
      <w:r w:rsidRPr="00A779B8">
        <w:rPr>
          <w:lang w:val="fr-FR"/>
        </w:rPr>
        <w:t xml:space="preserve"> ou bien équipés de façon à pouvoir fonctionner avec soit de l</w:t>
      </w:r>
      <w:r w:rsidR="00DB4C2D">
        <w:rPr>
          <w:lang w:val="fr-FR"/>
        </w:rPr>
        <w:t>’</w:t>
      </w:r>
      <w:r w:rsidRPr="00A779B8">
        <w:rPr>
          <w:lang w:val="fr-FR"/>
        </w:rPr>
        <w:t>essence soit du GPL soit du GN/</w:t>
      </w:r>
      <w:proofErr w:type="spellStart"/>
      <w:r w:rsidRPr="00A779B8">
        <w:rPr>
          <w:lang w:val="fr-FR"/>
        </w:rPr>
        <w:t>biométhane</w:t>
      </w:r>
      <w:proofErr w:type="spellEnd"/>
      <w:r w:rsidRPr="00A779B8">
        <w:rPr>
          <w:lang w:val="fr-FR"/>
        </w:rPr>
        <w:t>: entre les essais avec l</w:t>
      </w:r>
      <w:r w:rsidR="00DB4C2D">
        <w:rPr>
          <w:lang w:val="fr-FR"/>
        </w:rPr>
        <w:t>’</w:t>
      </w:r>
      <w:r w:rsidRPr="00A779B8">
        <w:rPr>
          <w:lang w:val="fr-FR"/>
        </w:rPr>
        <w:t>un puis l</w:t>
      </w:r>
      <w:r w:rsidR="00DB4C2D">
        <w:rPr>
          <w:lang w:val="fr-FR"/>
        </w:rPr>
        <w:t>’</w:t>
      </w:r>
      <w:r w:rsidRPr="00A779B8">
        <w:rPr>
          <w:lang w:val="fr-FR"/>
        </w:rPr>
        <w:t xml:space="preserve">autre des gaz de référence, le véhicule doit être </w:t>
      </w:r>
      <w:proofErr w:type="spellStart"/>
      <w:r w:rsidRPr="00A779B8">
        <w:rPr>
          <w:lang w:val="fr-FR"/>
        </w:rPr>
        <w:t>préconditionné</w:t>
      </w:r>
      <w:proofErr w:type="spellEnd"/>
      <w:r w:rsidRPr="00A779B8">
        <w:rPr>
          <w:lang w:val="fr-FR"/>
        </w:rPr>
        <w:t xml:space="preserve"> avant l</w:t>
      </w:r>
      <w:r w:rsidR="00DB4C2D">
        <w:rPr>
          <w:lang w:val="fr-FR"/>
        </w:rPr>
        <w:t>’</w:t>
      </w:r>
      <w:r w:rsidRPr="00A779B8">
        <w:rPr>
          <w:lang w:val="fr-FR"/>
        </w:rPr>
        <w:t xml:space="preserve">essai avec le second carburant de référence. Ce </w:t>
      </w:r>
      <w:proofErr w:type="spellStart"/>
      <w:r w:rsidRPr="00A779B8">
        <w:rPr>
          <w:lang w:val="fr-FR"/>
        </w:rPr>
        <w:t>préconditionnement</w:t>
      </w:r>
      <w:proofErr w:type="spellEnd"/>
      <w:r w:rsidRPr="00A779B8">
        <w:rPr>
          <w:lang w:val="fr-FR"/>
        </w:rPr>
        <w:t xml:space="preserve"> avec le second carburant de référence doit être réalisé par un cycle d</w:t>
      </w:r>
      <w:r w:rsidR="00DB4C2D">
        <w:rPr>
          <w:lang w:val="fr-FR"/>
        </w:rPr>
        <w:t>’</w:t>
      </w:r>
      <w:r w:rsidRPr="00A779B8">
        <w:rPr>
          <w:lang w:val="fr-FR"/>
        </w:rPr>
        <w:t>essai d</w:t>
      </w:r>
      <w:r w:rsidR="00DB4C2D">
        <w:rPr>
          <w:lang w:val="fr-FR"/>
        </w:rPr>
        <w:t>’</w:t>
      </w:r>
      <w:r w:rsidRPr="00A779B8">
        <w:rPr>
          <w:lang w:val="fr-FR"/>
        </w:rPr>
        <w:t>une première partie (cycle urbain) et deux de seconde partie (cycles extra-urbains) comme il est indiqué au paragraphe 6.1 de la présente annexe. Si le constructeur le demande, et avec l</w:t>
      </w:r>
      <w:r w:rsidR="00DB4C2D">
        <w:rPr>
          <w:lang w:val="fr-FR"/>
        </w:rPr>
        <w:t>’</w:t>
      </w:r>
      <w:r w:rsidRPr="00A779B8">
        <w:rPr>
          <w:lang w:val="fr-FR"/>
        </w:rPr>
        <w:t>accord de l</w:t>
      </w:r>
      <w:r w:rsidR="00DB4C2D">
        <w:rPr>
          <w:lang w:val="fr-FR"/>
        </w:rPr>
        <w:t>’</w:t>
      </w:r>
      <w:r w:rsidRPr="00A779B8">
        <w:rPr>
          <w:lang w:val="fr-FR"/>
        </w:rPr>
        <w:t>autorité chargée de l</w:t>
      </w:r>
      <w:r w:rsidR="00DB4C2D">
        <w:rPr>
          <w:lang w:val="fr-FR"/>
        </w:rPr>
        <w:t>’</w:t>
      </w:r>
      <w:r w:rsidRPr="00A779B8">
        <w:rPr>
          <w:lang w:val="fr-FR"/>
        </w:rPr>
        <w:t xml:space="preserve">homologation, ce </w:t>
      </w:r>
      <w:proofErr w:type="spellStart"/>
      <w:r w:rsidRPr="00A779B8">
        <w:rPr>
          <w:lang w:val="fr-FR"/>
        </w:rPr>
        <w:t>préconditionnement</w:t>
      </w:r>
      <w:proofErr w:type="spellEnd"/>
      <w:r w:rsidRPr="00A779B8">
        <w:rPr>
          <w:lang w:val="fr-FR"/>
        </w:rPr>
        <w:t xml:space="preserve"> peut être prolongé. Le réglage du banc dynamométrique doit être celui qui est indiqué </w:t>
      </w:r>
      <w:r w:rsidRPr="00A779B8">
        <w:rPr>
          <w:bCs/>
          <w:lang w:val="fr-FR"/>
        </w:rPr>
        <w:t>au paragraphe 6.2</w:t>
      </w:r>
      <w:r w:rsidRPr="00A779B8">
        <w:rPr>
          <w:lang w:val="fr-FR"/>
        </w:rPr>
        <w:t xml:space="preserve"> de la présente annexe.</w:t>
      </w:r>
    </w:p>
    <w:p w:rsidR="009F7CF6" w:rsidRPr="00A779B8" w:rsidRDefault="009F7CF6" w:rsidP="009F7CF6">
      <w:pPr>
        <w:pStyle w:val="SingleTxtG"/>
        <w:keepNext/>
        <w:ind w:left="2268" w:hanging="1134"/>
        <w:jc w:val="left"/>
        <w:rPr>
          <w:lang w:val="fr-FR"/>
        </w:rPr>
      </w:pPr>
      <w:r w:rsidRPr="00A779B8">
        <w:rPr>
          <w:lang w:val="fr-FR"/>
        </w:rPr>
        <w:t>6.4</w:t>
      </w:r>
      <w:r w:rsidRPr="00A779B8">
        <w:rPr>
          <w:lang w:val="fr-FR"/>
        </w:rPr>
        <w:tab/>
        <w:t>Procédure d</w:t>
      </w:r>
      <w:r w:rsidR="00DB4C2D">
        <w:rPr>
          <w:lang w:val="fr-FR"/>
        </w:rPr>
        <w:t>’</w:t>
      </w:r>
      <w:r w:rsidRPr="00A779B8">
        <w:rPr>
          <w:lang w:val="fr-FR"/>
        </w:rPr>
        <w:t>essai</w:t>
      </w:r>
    </w:p>
    <w:p w:rsidR="009F7CF6" w:rsidRPr="00A779B8" w:rsidRDefault="009F7CF6" w:rsidP="009F7CF6">
      <w:pPr>
        <w:pStyle w:val="SingleTxtG"/>
        <w:keepNext/>
        <w:ind w:left="2268" w:hanging="1134"/>
        <w:jc w:val="left"/>
        <w:rPr>
          <w:lang w:val="fr-FR"/>
        </w:rPr>
      </w:pPr>
      <w:r w:rsidRPr="00A779B8">
        <w:rPr>
          <w:lang w:val="fr-FR"/>
        </w:rPr>
        <w:t>6.4.1</w:t>
      </w:r>
      <w:r w:rsidRPr="00A779B8">
        <w:rPr>
          <w:lang w:val="fr-FR"/>
        </w:rPr>
        <w:tab/>
        <w:t>Mise en route du moteur</w:t>
      </w:r>
    </w:p>
    <w:p w:rsidR="009F7CF6" w:rsidRPr="00A779B8" w:rsidRDefault="009F7CF6" w:rsidP="009F7CF6">
      <w:pPr>
        <w:pStyle w:val="SingleTxtG"/>
        <w:ind w:left="2268" w:hanging="1134"/>
        <w:rPr>
          <w:lang w:val="fr-FR"/>
        </w:rPr>
      </w:pPr>
      <w:r w:rsidRPr="00A779B8">
        <w:rPr>
          <w:lang w:val="fr-FR"/>
        </w:rPr>
        <w:t>6.4.1.1</w:t>
      </w:r>
      <w:r w:rsidRPr="00A779B8">
        <w:rPr>
          <w:lang w:val="fr-FR"/>
        </w:rPr>
        <w:tab/>
        <w:t>On doit démarrer le moteur à l</w:t>
      </w:r>
      <w:r w:rsidR="00DB4C2D">
        <w:rPr>
          <w:lang w:val="fr-FR"/>
        </w:rPr>
        <w:t>’</w:t>
      </w:r>
      <w:r w:rsidRPr="00A779B8">
        <w:rPr>
          <w:lang w:val="fr-FR"/>
        </w:rPr>
        <w:t>aide des dispositifs prévus à cet effet conformément aux instructions du constructeur telles qu</w:t>
      </w:r>
      <w:r w:rsidR="00DB4C2D">
        <w:rPr>
          <w:lang w:val="fr-FR"/>
        </w:rPr>
        <w:t>’</w:t>
      </w:r>
      <w:r w:rsidRPr="00A779B8">
        <w:rPr>
          <w:lang w:val="fr-FR"/>
        </w:rPr>
        <w:t>elles figurent dans la notice d</w:t>
      </w:r>
      <w:r w:rsidR="00DB4C2D">
        <w:rPr>
          <w:lang w:val="fr-FR"/>
        </w:rPr>
        <w:t>’</w:t>
      </w:r>
      <w:r w:rsidRPr="00A779B8">
        <w:rPr>
          <w:lang w:val="fr-FR"/>
        </w:rPr>
        <w:t>emploi des véhicules de série.</w:t>
      </w:r>
    </w:p>
    <w:p w:rsidR="009F7CF6" w:rsidRPr="00A779B8" w:rsidRDefault="009F7CF6" w:rsidP="009F7CF6">
      <w:pPr>
        <w:pStyle w:val="SingleTxtG"/>
        <w:ind w:left="2268" w:hanging="1134"/>
        <w:rPr>
          <w:lang w:val="fr-FR"/>
        </w:rPr>
      </w:pPr>
      <w:r w:rsidRPr="00A779B8">
        <w:rPr>
          <w:lang w:val="fr-FR"/>
        </w:rPr>
        <w:t>6.4.1.2</w:t>
      </w:r>
      <w:r w:rsidRPr="00A779B8">
        <w:rPr>
          <w:lang w:val="fr-FR"/>
        </w:rPr>
        <w:tab/>
        <w:t>Le premier cycle commence au début de la phase de démarrage du moteur.</w:t>
      </w:r>
    </w:p>
    <w:p w:rsidR="009F7CF6" w:rsidRPr="00A779B8" w:rsidRDefault="009F7CF6" w:rsidP="009F7CF6">
      <w:pPr>
        <w:pStyle w:val="SingleTxtG"/>
        <w:ind w:left="2268" w:hanging="1134"/>
        <w:rPr>
          <w:lang w:val="fr-FR"/>
        </w:rPr>
      </w:pPr>
      <w:r w:rsidRPr="00A779B8">
        <w:rPr>
          <w:lang w:val="fr-FR"/>
        </w:rPr>
        <w:t>6.4.1.3</w:t>
      </w:r>
      <w:r w:rsidRPr="00A779B8">
        <w:rPr>
          <w:lang w:val="fr-FR"/>
        </w:rPr>
        <w:tab/>
        <w:t>Dans le cas des moteurs fonctionnant au GPL ou au GN/</w:t>
      </w:r>
      <w:proofErr w:type="spellStart"/>
      <w:r w:rsidRPr="00A779B8">
        <w:rPr>
          <w:lang w:val="fr-FR"/>
        </w:rPr>
        <w:t>biométhane</w:t>
      </w:r>
      <w:proofErr w:type="spellEnd"/>
      <w:r w:rsidRPr="00A779B8">
        <w:rPr>
          <w:lang w:val="fr-FR"/>
        </w:rPr>
        <w:t>, il est admis qu</w:t>
      </w:r>
      <w:r w:rsidR="00DB4C2D">
        <w:rPr>
          <w:lang w:val="fr-FR"/>
        </w:rPr>
        <w:t>’</w:t>
      </w:r>
      <w:r w:rsidRPr="00A779B8">
        <w:rPr>
          <w:lang w:val="fr-FR"/>
        </w:rPr>
        <w:t>ils démarrent à l</w:t>
      </w:r>
      <w:r w:rsidR="00DB4C2D">
        <w:rPr>
          <w:lang w:val="fr-FR"/>
        </w:rPr>
        <w:t>’</w:t>
      </w:r>
      <w:r w:rsidRPr="00A779B8">
        <w:rPr>
          <w:lang w:val="fr-FR"/>
        </w:rPr>
        <w:t>essence puis passent au GPL ou au GN/</w:t>
      </w:r>
      <w:proofErr w:type="spellStart"/>
      <w:r w:rsidRPr="00A779B8">
        <w:rPr>
          <w:lang w:val="fr-FR"/>
        </w:rPr>
        <w:t>biométhane</w:t>
      </w:r>
      <w:proofErr w:type="spellEnd"/>
      <w:r w:rsidRPr="00A779B8">
        <w:rPr>
          <w:lang w:val="fr-FR"/>
        </w:rPr>
        <w:t xml:space="preserve"> au bout d</w:t>
      </w:r>
      <w:r w:rsidR="00DB4C2D">
        <w:rPr>
          <w:lang w:val="fr-FR"/>
        </w:rPr>
        <w:t>’</w:t>
      </w:r>
      <w:r w:rsidRPr="00A779B8">
        <w:rPr>
          <w:lang w:val="fr-FR"/>
        </w:rPr>
        <w:t>un laps de temps prédéterminé qui ne peut être modifié par le conducteur et ne doit pas dépasser 60 s.</w:t>
      </w:r>
    </w:p>
    <w:p w:rsidR="009F7CF6" w:rsidRPr="00A779B8" w:rsidRDefault="009F7CF6" w:rsidP="009F7CF6">
      <w:pPr>
        <w:pStyle w:val="SingleTxtG"/>
        <w:keepNext/>
        <w:ind w:left="2268" w:hanging="1134"/>
        <w:jc w:val="left"/>
        <w:rPr>
          <w:lang w:val="fr-FR"/>
        </w:rPr>
      </w:pPr>
      <w:r w:rsidRPr="00A779B8">
        <w:rPr>
          <w:lang w:val="fr-FR"/>
        </w:rPr>
        <w:t>6.4.2</w:t>
      </w:r>
      <w:r w:rsidRPr="00A779B8">
        <w:rPr>
          <w:lang w:val="fr-FR"/>
        </w:rPr>
        <w:tab/>
        <w:t>Ralenti</w:t>
      </w:r>
    </w:p>
    <w:p w:rsidR="009F7CF6" w:rsidRPr="00A779B8" w:rsidRDefault="009F7CF6" w:rsidP="009F7CF6">
      <w:pPr>
        <w:pStyle w:val="SingleTxtG"/>
        <w:keepNext/>
        <w:ind w:left="2268" w:hanging="1134"/>
        <w:rPr>
          <w:lang w:val="fr-FR"/>
        </w:rPr>
      </w:pPr>
      <w:r w:rsidRPr="00A779B8">
        <w:rPr>
          <w:lang w:val="fr-FR"/>
        </w:rPr>
        <w:t>6.4.2.1</w:t>
      </w:r>
      <w:r w:rsidRPr="00A779B8">
        <w:rPr>
          <w:lang w:val="fr-FR"/>
        </w:rPr>
        <w:tab/>
        <w:t>Boîte de vitesses mécanique ou semi-automatique, voir tableaux A4a/1 et A4a/2</w:t>
      </w:r>
      <w:r>
        <w:rPr>
          <w:lang w:val="fr-FR"/>
        </w:rPr>
        <w:t xml:space="preserve"> de la présente annexe</w:t>
      </w:r>
      <w:r w:rsidRPr="00A779B8">
        <w:rPr>
          <w:lang w:val="fr-FR"/>
        </w:rPr>
        <w:t xml:space="preserve">. </w:t>
      </w:r>
    </w:p>
    <w:p w:rsidR="009F7CF6" w:rsidRPr="00A779B8" w:rsidRDefault="009F7CF6" w:rsidP="009F7CF6">
      <w:pPr>
        <w:pStyle w:val="SingleTxtG"/>
        <w:keepNext/>
        <w:ind w:left="2268" w:hanging="1134"/>
        <w:jc w:val="left"/>
        <w:rPr>
          <w:lang w:val="fr-FR"/>
        </w:rPr>
      </w:pPr>
      <w:r w:rsidRPr="00A779B8">
        <w:rPr>
          <w:lang w:val="fr-FR"/>
        </w:rPr>
        <w:t>6.4.2.2</w:t>
      </w:r>
      <w:r w:rsidRPr="00A779B8">
        <w:rPr>
          <w:lang w:val="fr-FR"/>
        </w:rPr>
        <w:tab/>
        <w:t>Boîte de vitesses automatique</w:t>
      </w:r>
    </w:p>
    <w:p w:rsidR="009F7CF6" w:rsidRPr="00A779B8" w:rsidRDefault="009F7CF6" w:rsidP="009F7CF6">
      <w:pPr>
        <w:pStyle w:val="SingleTxtG"/>
        <w:ind w:left="2268"/>
        <w:rPr>
          <w:lang w:val="fr-FR"/>
        </w:rPr>
      </w:pPr>
      <w:r w:rsidRPr="00A779B8">
        <w:rPr>
          <w:lang w:val="fr-FR"/>
        </w:rPr>
        <w:tab/>
        <w:t>Une fois placé sur la position initiale, le sélecteur ne doit être manœuvré à aucun moment durant l</w:t>
      </w:r>
      <w:r w:rsidR="00DB4C2D">
        <w:rPr>
          <w:lang w:val="fr-FR"/>
        </w:rPr>
        <w:t>’</w:t>
      </w:r>
      <w:r w:rsidRPr="00A779B8">
        <w:rPr>
          <w:lang w:val="fr-FR"/>
        </w:rPr>
        <w:t>essai, sauf dans le cas spécifié au paragraphe 6.4.3.3 de la présente annexe ou si le sélecteur permet d</w:t>
      </w:r>
      <w:r w:rsidR="00DB4C2D">
        <w:rPr>
          <w:lang w:val="fr-FR"/>
        </w:rPr>
        <w:t>’</w:t>
      </w:r>
      <w:r w:rsidRPr="00A779B8">
        <w:rPr>
          <w:lang w:val="fr-FR"/>
        </w:rPr>
        <w:t>actionner la surmultiplication («overdrive») éventuelle.</w:t>
      </w:r>
    </w:p>
    <w:p w:rsidR="009F7CF6" w:rsidRPr="00A779B8" w:rsidRDefault="009F7CF6" w:rsidP="009F7CF6">
      <w:pPr>
        <w:pStyle w:val="SingleTxtG"/>
        <w:keepNext/>
        <w:ind w:left="2268" w:hanging="1134"/>
        <w:jc w:val="left"/>
        <w:rPr>
          <w:lang w:val="fr-FR"/>
        </w:rPr>
      </w:pPr>
      <w:r w:rsidRPr="00A779B8">
        <w:rPr>
          <w:lang w:val="fr-FR"/>
        </w:rPr>
        <w:t>6.4.3</w:t>
      </w:r>
      <w:r w:rsidRPr="00A779B8">
        <w:rPr>
          <w:lang w:val="fr-FR"/>
        </w:rPr>
        <w:tab/>
        <w:t>Accélérations</w:t>
      </w:r>
    </w:p>
    <w:p w:rsidR="009F7CF6" w:rsidRPr="00A779B8" w:rsidRDefault="009F7CF6" w:rsidP="009F7CF6">
      <w:pPr>
        <w:pStyle w:val="SingleTxtG"/>
        <w:ind w:left="2268" w:hanging="1134"/>
        <w:rPr>
          <w:lang w:val="fr-FR"/>
        </w:rPr>
      </w:pPr>
      <w:r w:rsidRPr="00A779B8">
        <w:rPr>
          <w:lang w:val="fr-FR"/>
        </w:rPr>
        <w:t>6.4.3.1</w:t>
      </w:r>
      <w:r w:rsidRPr="00A779B8">
        <w:rPr>
          <w:lang w:val="fr-FR"/>
        </w:rPr>
        <w:tab/>
      </w:r>
      <w:r w:rsidRPr="00BC6358">
        <w:rPr>
          <w:spacing w:val="-1"/>
          <w:lang w:val="fr-FR"/>
        </w:rPr>
        <w:t>Les phases d</w:t>
      </w:r>
      <w:r w:rsidR="00DB4C2D">
        <w:rPr>
          <w:spacing w:val="-1"/>
          <w:lang w:val="fr-FR"/>
        </w:rPr>
        <w:t>’</w:t>
      </w:r>
      <w:r w:rsidRPr="00BC6358">
        <w:rPr>
          <w:spacing w:val="-1"/>
          <w:lang w:val="fr-FR"/>
        </w:rPr>
        <w:t>accélération doivent être exécutées de manière à ce que le taux d</w:t>
      </w:r>
      <w:r w:rsidR="00DB4C2D">
        <w:rPr>
          <w:spacing w:val="-1"/>
          <w:lang w:val="fr-FR"/>
        </w:rPr>
        <w:t>’</w:t>
      </w:r>
      <w:r w:rsidRPr="00BC6358">
        <w:rPr>
          <w:spacing w:val="-1"/>
          <w:lang w:val="fr-FR"/>
        </w:rPr>
        <w:t>accélération soit le plus constant possible pendant toute la durée de la phase</w:t>
      </w:r>
      <w:r w:rsidRPr="00A779B8">
        <w:rPr>
          <w:lang w:val="fr-FR"/>
        </w:rPr>
        <w:t>.</w:t>
      </w:r>
    </w:p>
    <w:p w:rsidR="009F7CF6" w:rsidRPr="00A779B8" w:rsidRDefault="009F7CF6" w:rsidP="009F7CF6">
      <w:pPr>
        <w:pStyle w:val="SingleTxtG"/>
        <w:ind w:left="2268" w:hanging="1134"/>
        <w:rPr>
          <w:lang w:val="fr-FR"/>
        </w:rPr>
      </w:pPr>
      <w:r w:rsidRPr="00A779B8">
        <w:rPr>
          <w:lang w:val="fr-FR"/>
        </w:rPr>
        <w:t>6.4.3.2</w:t>
      </w:r>
      <w:r w:rsidRPr="00A779B8">
        <w:rPr>
          <w:lang w:val="fr-FR"/>
        </w:rPr>
        <w:tab/>
        <w:t>Si une accélération ne peut être exécutée dans le temps imparti, le temps excédentaire doit être si possible déduit de la durée du changement de vitesse, sinon de la période de vitesse stabilisée qui suit.</w:t>
      </w:r>
    </w:p>
    <w:p w:rsidR="009F7CF6" w:rsidRPr="00A779B8" w:rsidRDefault="009F7CF6" w:rsidP="009F7CF6">
      <w:pPr>
        <w:pStyle w:val="SingleTxtG"/>
        <w:keepNext/>
        <w:spacing w:after="100"/>
        <w:ind w:left="2268" w:hanging="1134"/>
        <w:jc w:val="left"/>
        <w:rPr>
          <w:lang w:val="fr-FR"/>
        </w:rPr>
      </w:pPr>
      <w:r w:rsidRPr="00A779B8">
        <w:rPr>
          <w:lang w:val="fr-FR"/>
        </w:rPr>
        <w:lastRenderedPageBreak/>
        <w:t>6.4.3.3</w:t>
      </w:r>
      <w:r w:rsidRPr="00A779B8">
        <w:rPr>
          <w:lang w:val="fr-FR"/>
        </w:rPr>
        <w:tab/>
        <w:t>Boîte de vitesses automatique</w:t>
      </w:r>
    </w:p>
    <w:p w:rsidR="009F7CF6" w:rsidRPr="00A779B8" w:rsidRDefault="009F7CF6" w:rsidP="009F7CF6">
      <w:pPr>
        <w:pStyle w:val="SingleTxtG"/>
        <w:spacing w:after="100"/>
        <w:ind w:left="2268"/>
        <w:rPr>
          <w:lang w:val="fr-FR"/>
        </w:rPr>
      </w:pPr>
      <w:r w:rsidRPr="00A779B8">
        <w:rPr>
          <w:lang w:val="fr-FR"/>
        </w:rPr>
        <w:tab/>
        <w:t>Si une accélération ne peut être exécutée dans le temps imparti, le sélecteur de vitesses doit être manœuvré selon les prescriptions formulées pour les boîtes de vitesses manuelles.</w:t>
      </w:r>
    </w:p>
    <w:p w:rsidR="009F7CF6" w:rsidRPr="00A779B8" w:rsidRDefault="009F7CF6" w:rsidP="009F7CF6">
      <w:pPr>
        <w:pStyle w:val="SingleTxtG"/>
        <w:keepNext/>
        <w:spacing w:after="100"/>
        <w:ind w:left="2268" w:hanging="1134"/>
        <w:jc w:val="left"/>
        <w:rPr>
          <w:lang w:val="fr-FR"/>
        </w:rPr>
      </w:pPr>
      <w:r w:rsidRPr="00A779B8">
        <w:rPr>
          <w:lang w:val="fr-FR"/>
        </w:rPr>
        <w:t>6.4.4</w:t>
      </w:r>
      <w:r w:rsidRPr="00A779B8">
        <w:rPr>
          <w:lang w:val="fr-FR"/>
        </w:rPr>
        <w:tab/>
        <w:t>Décélérations</w:t>
      </w:r>
    </w:p>
    <w:p w:rsidR="009F7CF6" w:rsidRPr="00A779B8" w:rsidRDefault="009F7CF6" w:rsidP="009F7CF6">
      <w:pPr>
        <w:pStyle w:val="SingleTxtG"/>
        <w:spacing w:after="100"/>
        <w:ind w:left="2268" w:hanging="1134"/>
        <w:rPr>
          <w:lang w:val="fr-FR"/>
        </w:rPr>
      </w:pPr>
      <w:r w:rsidRPr="00A779B8">
        <w:rPr>
          <w:lang w:val="fr-FR"/>
        </w:rPr>
        <w:t>6.4.4.1</w:t>
      </w:r>
      <w:r w:rsidRPr="00A779B8">
        <w:rPr>
          <w:lang w:val="fr-FR"/>
        </w:rPr>
        <w:tab/>
        <w:t>Toutes les décélérations du cycle urbain élémentaire (première partie) doivent être exécutées avec l</w:t>
      </w:r>
      <w:r w:rsidR="00DB4C2D">
        <w:rPr>
          <w:lang w:val="fr-FR"/>
        </w:rPr>
        <w:t>’</w:t>
      </w:r>
      <w:r w:rsidRPr="00A779B8">
        <w:rPr>
          <w:lang w:val="fr-FR"/>
        </w:rPr>
        <w:t xml:space="preserve">accélérateur </w:t>
      </w:r>
      <w:proofErr w:type="spellStart"/>
      <w:r w:rsidRPr="00A779B8">
        <w:rPr>
          <w:lang w:val="fr-FR"/>
        </w:rPr>
        <w:t>complètement</w:t>
      </w:r>
      <w:proofErr w:type="spellEnd"/>
      <w:r w:rsidRPr="00A779B8">
        <w:rPr>
          <w:lang w:val="fr-FR"/>
        </w:rPr>
        <w:t xml:space="preserve"> relâché et sans débrayer. Il faut débrayer, sans toucher au levier de vitesse, lorsque la vitesse est tombée à la plus élevée des deux vitesses suivantes: 10 km/h ou la vitesse correspondant au régime de ralenti du moteur.</w:t>
      </w:r>
    </w:p>
    <w:p w:rsidR="009F7CF6" w:rsidRPr="00A779B8" w:rsidRDefault="009F7CF6" w:rsidP="009F7CF6">
      <w:pPr>
        <w:pStyle w:val="SingleTxtG"/>
        <w:spacing w:after="100"/>
        <w:ind w:left="2268"/>
        <w:rPr>
          <w:lang w:val="fr-FR"/>
        </w:rPr>
      </w:pPr>
      <w:r w:rsidRPr="00A779B8">
        <w:rPr>
          <w:lang w:val="fr-FR"/>
        </w:rPr>
        <w:tab/>
        <w:t>Toutes les décélérations du cycle extra-urbain (seconde partie) doivent être exécutées sans toucher l</w:t>
      </w:r>
      <w:r w:rsidR="00DB4C2D">
        <w:rPr>
          <w:lang w:val="fr-FR"/>
        </w:rPr>
        <w:t>’</w:t>
      </w:r>
      <w:r w:rsidRPr="00A779B8">
        <w:rPr>
          <w:lang w:val="fr-FR"/>
        </w:rPr>
        <w:t>accélérateur ni débrayer. Il faut débrayer, sans toucher au levier de vitesse, lorsque la vitesse tombe à 50 km/h au cours de la dernière décélération.</w:t>
      </w:r>
    </w:p>
    <w:p w:rsidR="009F7CF6" w:rsidRPr="00A779B8" w:rsidRDefault="009F7CF6" w:rsidP="009F7CF6">
      <w:pPr>
        <w:pStyle w:val="SingleTxtG"/>
        <w:spacing w:after="100"/>
        <w:ind w:left="2268" w:hanging="1134"/>
        <w:rPr>
          <w:lang w:val="fr-FR"/>
        </w:rPr>
      </w:pPr>
      <w:r w:rsidRPr="00A779B8">
        <w:rPr>
          <w:lang w:val="fr-FR"/>
        </w:rPr>
        <w:t>6.4.4.2</w:t>
      </w:r>
      <w:r w:rsidRPr="00A779B8">
        <w:rPr>
          <w:lang w:val="fr-FR"/>
        </w:rPr>
        <w:tab/>
        <w:t>Si la décélération dure plus que ce qui est prévu pour cette phase, il faut faire usage des freins du véhicule pour rester dans le temps imparti au cycle.</w:t>
      </w:r>
    </w:p>
    <w:p w:rsidR="009F7CF6" w:rsidRPr="00A779B8" w:rsidRDefault="009F7CF6" w:rsidP="009F7CF6">
      <w:pPr>
        <w:pStyle w:val="SingleTxtG"/>
        <w:spacing w:after="100"/>
        <w:ind w:left="2268" w:hanging="1134"/>
        <w:rPr>
          <w:lang w:val="fr-FR"/>
        </w:rPr>
      </w:pPr>
      <w:r w:rsidRPr="00A779B8">
        <w:rPr>
          <w:lang w:val="fr-FR"/>
        </w:rPr>
        <w:t>6.4.4.3</w:t>
      </w:r>
      <w:r w:rsidRPr="00A779B8">
        <w:rPr>
          <w:lang w:val="fr-FR"/>
        </w:rPr>
        <w:tab/>
        <w:t>Si la décélération dure moins que ce qui est prévu pour cette phase, il faut rattraper le cycle théorique par une période à vitesse stabilisée ou au ralenti s</w:t>
      </w:r>
      <w:r w:rsidR="00DB4C2D">
        <w:rPr>
          <w:lang w:val="fr-FR"/>
        </w:rPr>
        <w:t>’</w:t>
      </w:r>
      <w:r w:rsidRPr="00A779B8">
        <w:rPr>
          <w:lang w:val="fr-FR"/>
        </w:rPr>
        <w:t>enchaînant avec l</w:t>
      </w:r>
      <w:r w:rsidR="00DB4C2D">
        <w:rPr>
          <w:lang w:val="fr-FR"/>
        </w:rPr>
        <w:t>’</w:t>
      </w:r>
      <w:r w:rsidRPr="00A779B8">
        <w:rPr>
          <w:lang w:val="fr-FR"/>
        </w:rPr>
        <w:t>opération suivante.</w:t>
      </w:r>
    </w:p>
    <w:p w:rsidR="009F7CF6" w:rsidRPr="00A779B8" w:rsidRDefault="009F7CF6" w:rsidP="009F7CF6">
      <w:pPr>
        <w:pStyle w:val="SingleTxtG"/>
        <w:spacing w:after="100"/>
        <w:ind w:left="2268" w:hanging="1134"/>
        <w:rPr>
          <w:lang w:val="fr-FR"/>
        </w:rPr>
      </w:pPr>
      <w:r w:rsidRPr="00A779B8">
        <w:rPr>
          <w:lang w:val="fr-FR"/>
        </w:rPr>
        <w:t>6.4.4.4</w:t>
      </w:r>
      <w:r w:rsidRPr="00A779B8">
        <w:rPr>
          <w:lang w:val="fr-FR"/>
        </w:rPr>
        <w:tab/>
        <w:t>À la fin de la période de décélération (arrêt du véhicule sur les rouleaux) du cycle urbain élémentaire (première partie), la boîte de vitesses doit être mise au point mort et il faut embrayer.</w:t>
      </w:r>
    </w:p>
    <w:p w:rsidR="009F7CF6" w:rsidRPr="00A779B8" w:rsidRDefault="009F7CF6" w:rsidP="009F7CF6">
      <w:pPr>
        <w:pStyle w:val="SingleTxtG"/>
        <w:keepNext/>
        <w:spacing w:after="100"/>
        <w:ind w:left="2268" w:hanging="1134"/>
        <w:jc w:val="left"/>
        <w:rPr>
          <w:lang w:val="fr-FR"/>
        </w:rPr>
      </w:pPr>
      <w:r w:rsidRPr="00A779B8">
        <w:rPr>
          <w:lang w:val="fr-FR"/>
        </w:rPr>
        <w:t>6.4.5</w:t>
      </w:r>
      <w:r w:rsidRPr="00A779B8">
        <w:rPr>
          <w:lang w:val="fr-FR"/>
        </w:rPr>
        <w:tab/>
        <w:t>Vitesses stabilisées</w:t>
      </w:r>
    </w:p>
    <w:p w:rsidR="009F7CF6" w:rsidRPr="00A779B8" w:rsidRDefault="009F7CF6" w:rsidP="009F7CF6">
      <w:pPr>
        <w:pStyle w:val="SingleTxtG"/>
        <w:spacing w:after="100"/>
        <w:ind w:left="2268" w:hanging="1134"/>
        <w:rPr>
          <w:lang w:val="fr-FR"/>
        </w:rPr>
      </w:pPr>
      <w:r w:rsidRPr="00A779B8">
        <w:rPr>
          <w:lang w:val="fr-FR"/>
        </w:rPr>
        <w:t>6.4.5.1</w:t>
      </w:r>
      <w:r w:rsidRPr="00A779B8">
        <w:rPr>
          <w:lang w:val="fr-FR"/>
        </w:rPr>
        <w:tab/>
        <w:t>Il faut éviter de «pomper» ou de fermer les gaz lors du passage de l</w:t>
      </w:r>
      <w:r w:rsidR="00DB4C2D">
        <w:rPr>
          <w:lang w:val="fr-FR"/>
        </w:rPr>
        <w:t>’</w:t>
      </w:r>
      <w:r w:rsidRPr="00A779B8">
        <w:rPr>
          <w:lang w:val="fr-FR"/>
        </w:rPr>
        <w:t>accélération à la phase de vitesse stabilisée qui suit.</w:t>
      </w:r>
    </w:p>
    <w:p w:rsidR="009F7CF6" w:rsidRPr="00A779B8" w:rsidRDefault="009F7CF6" w:rsidP="009F7CF6">
      <w:pPr>
        <w:pStyle w:val="SingleTxtG"/>
        <w:spacing w:after="100"/>
        <w:ind w:left="2268" w:hanging="1134"/>
        <w:rPr>
          <w:lang w:val="fr-FR"/>
        </w:rPr>
      </w:pPr>
      <w:r w:rsidRPr="00A779B8">
        <w:rPr>
          <w:lang w:val="fr-FR"/>
        </w:rPr>
        <w:t>6.4.5.2</w:t>
      </w:r>
      <w:r w:rsidRPr="00A779B8">
        <w:rPr>
          <w:lang w:val="fr-FR"/>
        </w:rPr>
        <w:tab/>
        <w:t>Pendant les périodes à vitesse constante, il faut maintenir l</w:t>
      </w:r>
      <w:r w:rsidR="00DB4C2D">
        <w:rPr>
          <w:lang w:val="fr-FR"/>
        </w:rPr>
        <w:t>’</w:t>
      </w:r>
      <w:r w:rsidRPr="00A779B8">
        <w:rPr>
          <w:lang w:val="fr-FR"/>
        </w:rPr>
        <w:t>accélérateur dans une position fixe.</w:t>
      </w:r>
    </w:p>
    <w:p w:rsidR="009F7CF6" w:rsidRPr="00A779B8" w:rsidRDefault="009F7CF6" w:rsidP="009F7CF6">
      <w:pPr>
        <w:pStyle w:val="SingleTxtG"/>
        <w:keepNext/>
        <w:spacing w:after="100"/>
        <w:ind w:left="2268" w:hanging="1134"/>
        <w:jc w:val="left"/>
        <w:rPr>
          <w:lang w:val="fr-FR"/>
        </w:rPr>
      </w:pPr>
      <w:r w:rsidRPr="00A779B8">
        <w:rPr>
          <w:lang w:val="fr-FR"/>
        </w:rPr>
        <w:t>6.4.6</w:t>
      </w:r>
      <w:r w:rsidRPr="00A779B8">
        <w:rPr>
          <w:lang w:val="fr-FR"/>
        </w:rPr>
        <w:tab/>
        <w:t>Prélèvement de l</w:t>
      </w:r>
      <w:r w:rsidR="00DB4C2D">
        <w:rPr>
          <w:lang w:val="fr-FR"/>
        </w:rPr>
        <w:t>’</w:t>
      </w:r>
      <w:r w:rsidRPr="00A779B8">
        <w:rPr>
          <w:lang w:val="fr-FR"/>
        </w:rPr>
        <w:t>échantillon</w:t>
      </w:r>
    </w:p>
    <w:p w:rsidR="009F7CF6" w:rsidRPr="00A779B8" w:rsidRDefault="009F7CF6" w:rsidP="009F7CF6">
      <w:pPr>
        <w:pStyle w:val="SingleTxtG"/>
        <w:spacing w:after="100"/>
        <w:ind w:left="2268"/>
        <w:rPr>
          <w:lang w:val="fr-FR"/>
        </w:rPr>
      </w:pPr>
      <w:r w:rsidRPr="00A779B8">
        <w:rPr>
          <w:lang w:val="fr-FR"/>
        </w:rPr>
        <w:tab/>
        <w:t>Le prélèvement doit commencer (DP) avant ou au début de la phase de démarrage du moteur et s</w:t>
      </w:r>
      <w:r w:rsidR="00DB4C2D">
        <w:rPr>
          <w:lang w:val="fr-FR"/>
        </w:rPr>
        <w:t>’</w:t>
      </w:r>
      <w:r w:rsidRPr="00A779B8">
        <w:rPr>
          <w:lang w:val="fr-FR"/>
        </w:rPr>
        <w:t>achever à la fin de la dernière période de ralenti du cycle extra-urbain (seconde partie, fin de prélèvement (FP) ou, dans le cas d</w:t>
      </w:r>
      <w:r w:rsidR="00DB4C2D">
        <w:rPr>
          <w:lang w:val="fr-FR"/>
        </w:rPr>
        <w:t>’</w:t>
      </w:r>
      <w:r w:rsidRPr="00A779B8">
        <w:rPr>
          <w:lang w:val="fr-FR"/>
        </w:rPr>
        <w:t>un essai du type VI, à la fin de la période finale de ralenti du dernier cycle urbain élémentaire (première partie).</w:t>
      </w:r>
    </w:p>
    <w:p w:rsidR="009F7CF6" w:rsidRPr="00A779B8" w:rsidRDefault="009F7CF6" w:rsidP="009F7CF6">
      <w:pPr>
        <w:pStyle w:val="SingleTxtG"/>
        <w:spacing w:after="100"/>
        <w:ind w:left="2268" w:hanging="1134"/>
        <w:rPr>
          <w:lang w:val="fr-FR"/>
        </w:rPr>
      </w:pPr>
      <w:r w:rsidRPr="00A779B8">
        <w:rPr>
          <w:lang w:val="fr-FR"/>
        </w:rPr>
        <w:t>6.4.7</w:t>
      </w:r>
      <w:r w:rsidRPr="00A779B8">
        <w:rPr>
          <w:lang w:val="fr-FR"/>
        </w:rPr>
        <w:tab/>
        <w:t>La vitesse en fonction du temps doit être enregistrée durant l</w:t>
      </w:r>
      <w:r w:rsidR="00DB4C2D">
        <w:rPr>
          <w:lang w:val="fr-FR"/>
        </w:rPr>
        <w:t>’</w:t>
      </w:r>
      <w:r w:rsidRPr="00A779B8">
        <w:rPr>
          <w:lang w:val="fr-FR"/>
        </w:rPr>
        <w:t>essai par le système d</w:t>
      </w:r>
      <w:r w:rsidR="00DB4C2D">
        <w:rPr>
          <w:lang w:val="fr-FR"/>
        </w:rPr>
        <w:t>’</w:t>
      </w:r>
      <w:r w:rsidRPr="00A779B8">
        <w:rPr>
          <w:lang w:val="fr-FR"/>
        </w:rPr>
        <w:t>acquisition de données afin que la validité des cycles exécutés puisse être contrôlée.</w:t>
      </w:r>
    </w:p>
    <w:p w:rsidR="009F7CF6" w:rsidRPr="00A779B8" w:rsidRDefault="009F7CF6" w:rsidP="009F7CF6">
      <w:pPr>
        <w:pStyle w:val="SingleTxtG"/>
        <w:spacing w:after="100"/>
        <w:ind w:left="2268" w:hanging="1134"/>
        <w:rPr>
          <w:lang w:val="fr-FR"/>
        </w:rPr>
      </w:pPr>
      <w:r w:rsidRPr="00A779B8">
        <w:rPr>
          <w:lang w:val="fr-FR"/>
        </w:rPr>
        <w:t>6.4.8</w:t>
      </w:r>
      <w:r w:rsidRPr="00A779B8">
        <w:rPr>
          <w:lang w:val="fr-FR"/>
        </w:rPr>
        <w:tab/>
        <w:t>Les particules doivent être mesurées en continu dans le système de prélèvement des particules. Les concentrations moyennes doivent être déterminées par intégration des signaux de l</w:t>
      </w:r>
      <w:r w:rsidR="00DB4C2D">
        <w:rPr>
          <w:lang w:val="fr-FR"/>
        </w:rPr>
        <w:t>’</w:t>
      </w:r>
      <w:r w:rsidRPr="00A779B8">
        <w:rPr>
          <w:lang w:val="fr-FR"/>
        </w:rPr>
        <w:t>analyseur au cours du cycle d</w:t>
      </w:r>
      <w:r w:rsidR="00DB4C2D">
        <w:rPr>
          <w:lang w:val="fr-FR"/>
        </w:rPr>
        <w:t>’</w:t>
      </w:r>
      <w:r w:rsidRPr="00A779B8">
        <w:rPr>
          <w:lang w:val="fr-FR"/>
        </w:rPr>
        <w:t>essai.</w:t>
      </w:r>
    </w:p>
    <w:p w:rsidR="009F7CF6" w:rsidRPr="00A779B8" w:rsidRDefault="009F7CF6" w:rsidP="009F7CF6">
      <w:pPr>
        <w:pStyle w:val="SingleTxtG"/>
        <w:keepNext/>
        <w:spacing w:after="100"/>
        <w:ind w:left="2268" w:hanging="1134"/>
        <w:jc w:val="left"/>
        <w:rPr>
          <w:lang w:val="fr-FR"/>
        </w:rPr>
      </w:pPr>
      <w:r w:rsidRPr="00A779B8">
        <w:rPr>
          <w:lang w:val="fr-FR"/>
        </w:rPr>
        <w:t>6.5</w:t>
      </w:r>
      <w:r w:rsidRPr="00A779B8">
        <w:rPr>
          <w:lang w:val="fr-FR"/>
        </w:rPr>
        <w:tab/>
        <w:t>Procédures après l</w:t>
      </w:r>
      <w:r w:rsidR="00DB4C2D">
        <w:rPr>
          <w:lang w:val="fr-FR"/>
        </w:rPr>
        <w:t>’</w:t>
      </w:r>
      <w:r w:rsidRPr="00A779B8">
        <w:rPr>
          <w:lang w:val="fr-FR"/>
        </w:rPr>
        <w:t>essai</w:t>
      </w:r>
    </w:p>
    <w:p w:rsidR="009F7CF6" w:rsidRPr="00A779B8" w:rsidRDefault="009F7CF6" w:rsidP="009F7CF6">
      <w:pPr>
        <w:pStyle w:val="SingleTxtG"/>
        <w:keepNext/>
        <w:spacing w:after="100"/>
        <w:ind w:left="2268" w:hanging="1134"/>
        <w:jc w:val="left"/>
        <w:rPr>
          <w:lang w:val="fr-FR"/>
        </w:rPr>
      </w:pPr>
      <w:r w:rsidRPr="00A779B8">
        <w:rPr>
          <w:lang w:val="fr-FR"/>
        </w:rPr>
        <w:t>6.5.1</w:t>
      </w:r>
      <w:r w:rsidRPr="00A779B8">
        <w:rPr>
          <w:lang w:val="fr-FR"/>
        </w:rPr>
        <w:tab/>
        <w:t>Contrôle de l</w:t>
      </w:r>
      <w:r w:rsidR="00DB4C2D">
        <w:rPr>
          <w:lang w:val="fr-FR"/>
        </w:rPr>
        <w:t>’</w:t>
      </w:r>
      <w:r w:rsidRPr="00A779B8">
        <w:rPr>
          <w:lang w:val="fr-FR"/>
        </w:rPr>
        <w:t>analyseur de gaz</w:t>
      </w:r>
    </w:p>
    <w:p w:rsidR="009F7CF6" w:rsidRPr="00A779B8" w:rsidRDefault="009F7CF6" w:rsidP="009F7CF6">
      <w:pPr>
        <w:pStyle w:val="SingleTxtG"/>
        <w:spacing w:after="100"/>
        <w:ind w:left="2268"/>
        <w:rPr>
          <w:lang w:val="fr-FR"/>
        </w:rPr>
      </w:pPr>
      <w:r w:rsidRPr="00A779B8">
        <w:rPr>
          <w:lang w:val="fr-FR"/>
        </w:rPr>
        <w:tab/>
        <w:t>Il faut vérifier les valeurs de mesure pour le gaz de mise à zéro et le gaz d</w:t>
      </w:r>
      <w:r w:rsidR="00DB4C2D">
        <w:rPr>
          <w:lang w:val="fr-FR"/>
        </w:rPr>
        <w:t>’</w:t>
      </w:r>
      <w:r w:rsidRPr="00A779B8">
        <w:rPr>
          <w:lang w:val="fr-FR"/>
        </w:rPr>
        <w:t>étalonnage indiquées par les analyseurs qui sont utilisés pour des mesures en continu. Ce contrôle est considéré comme satisfaisant si l</w:t>
      </w:r>
      <w:r w:rsidR="00DB4C2D">
        <w:rPr>
          <w:lang w:val="fr-FR"/>
        </w:rPr>
        <w:t>’</w:t>
      </w:r>
      <w:r w:rsidRPr="00A779B8">
        <w:rPr>
          <w:lang w:val="fr-FR"/>
        </w:rPr>
        <w:t>écart entre les résultats avant et après l</w:t>
      </w:r>
      <w:r w:rsidR="00DB4C2D">
        <w:rPr>
          <w:lang w:val="fr-FR"/>
        </w:rPr>
        <w:t>’</w:t>
      </w:r>
      <w:r w:rsidRPr="00A779B8">
        <w:rPr>
          <w:lang w:val="fr-FR"/>
        </w:rPr>
        <w:t>essai est inférieur à 2 % de la valeur d</w:t>
      </w:r>
      <w:r w:rsidR="00DB4C2D">
        <w:rPr>
          <w:lang w:val="fr-FR"/>
        </w:rPr>
        <w:t>’</w:t>
      </w:r>
      <w:r w:rsidR="00BB248F">
        <w:rPr>
          <w:lang w:val="fr-FR"/>
        </w:rPr>
        <w:t>étalonnage.</w:t>
      </w:r>
    </w:p>
    <w:p w:rsidR="009F7CF6" w:rsidRPr="00A779B8" w:rsidRDefault="009F7CF6" w:rsidP="009F7CF6">
      <w:pPr>
        <w:pStyle w:val="SingleTxtG"/>
        <w:keepNext/>
        <w:ind w:left="2268" w:hanging="1134"/>
        <w:jc w:val="left"/>
        <w:rPr>
          <w:lang w:val="fr-FR"/>
        </w:rPr>
      </w:pPr>
      <w:r w:rsidRPr="00A779B8">
        <w:rPr>
          <w:lang w:val="fr-FR"/>
        </w:rPr>
        <w:lastRenderedPageBreak/>
        <w:t>6.5.2</w:t>
      </w:r>
      <w:r w:rsidRPr="00A779B8">
        <w:rPr>
          <w:lang w:val="fr-FR"/>
        </w:rPr>
        <w:tab/>
        <w:t xml:space="preserve">Pesage des filtres à particules </w:t>
      </w:r>
    </w:p>
    <w:p w:rsidR="009F7CF6" w:rsidRPr="00A779B8" w:rsidRDefault="009F7CF6" w:rsidP="009F7CF6">
      <w:pPr>
        <w:pStyle w:val="SingleTxtG"/>
        <w:ind w:left="2268"/>
        <w:rPr>
          <w:lang w:val="fr-FR"/>
        </w:rPr>
      </w:pPr>
      <w:r w:rsidRPr="00A779B8">
        <w:rPr>
          <w:lang w:val="fr-FR"/>
        </w:rPr>
        <w:tab/>
        <w:t>Les filtres de référence doivent être pesés dans les 8 h suivant le pesage du filtre d</w:t>
      </w:r>
      <w:r w:rsidR="00DB4C2D">
        <w:rPr>
          <w:lang w:val="fr-FR"/>
        </w:rPr>
        <w:t>’</w:t>
      </w:r>
      <w:r w:rsidRPr="00A779B8">
        <w:rPr>
          <w:lang w:val="fr-FR"/>
        </w:rPr>
        <w:t>essai. Le filtre d</w:t>
      </w:r>
      <w:r w:rsidR="00DB4C2D">
        <w:rPr>
          <w:lang w:val="fr-FR"/>
        </w:rPr>
        <w:t>’</w:t>
      </w:r>
      <w:r w:rsidRPr="00A779B8">
        <w:rPr>
          <w:lang w:val="fr-FR"/>
        </w:rPr>
        <w:t>essai à particules contaminé doit être transporté dans la chambre de pesée dans l</w:t>
      </w:r>
      <w:r w:rsidR="00DB4C2D">
        <w:rPr>
          <w:lang w:val="fr-FR"/>
        </w:rPr>
        <w:t>’</w:t>
      </w:r>
      <w:r w:rsidRPr="00A779B8">
        <w:rPr>
          <w:lang w:val="fr-FR"/>
        </w:rPr>
        <w:t>heure qui suit les analyses des gaz d</w:t>
      </w:r>
      <w:r w:rsidR="00DB4C2D">
        <w:rPr>
          <w:lang w:val="fr-FR"/>
        </w:rPr>
        <w:t>’</w:t>
      </w:r>
      <w:r w:rsidRPr="00A779B8">
        <w:rPr>
          <w:lang w:val="fr-FR"/>
        </w:rPr>
        <w:t>échappement. Le filtre d</w:t>
      </w:r>
      <w:r w:rsidR="00DB4C2D">
        <w:rPr>
          <w:lang w:val="fr-FR"/>
        </w:rPr>
        <w:t>’</w:t>
      </w:r>
      <w:r w:rsidRPr="00A779B8">
        <w:rPr>
          <w:lang w:val="fr-FR"/>
        </w:rPr>
        <w:t>essai doit être conditionné pendant une période de temps comprise entre 2 h et 80 h avant d</w:t>
      </w:r>
      <w:r w:rsidR="00DB4C2D">
        <w:rPr>
          <w:lang w:val="fr-FR"/>
        </w:rPr>
        <w:t>’</w:t>
      </w:r>
      <w:r w:rsidRPr="00A779B8">
        <w:rPr>
          <w:lang w:val="fr-FR"/>
        </w:rPr>
        <w:t xml:space="preserve">être pesé. </w:t>
      </w:r>
    </w:p>
    <w:p w:rsidR="009F7CF6" w:rsidRPr="00A779B8" w:rsidRDefault="009F7CF6" w:rsidP="009F7CF6">
      <w:pPr>
        <w:pStyle w:val="SingleTxtG"/>
        <w:keepNext/>
        <w:ind w:left="2268" w:hanging="1134"/>
        <w:jc w:val="left"/>
        <w:rPr>
          <w:lang w:val="fr-FR"/>
        </w:rPr>
      </w:pPr>
      <w:r w:rsidRPr="00A779B8">
        <w:rPr>
          <w:lang w:val="fr-FR"/>
        </w:rPr>
        <w:t>6.5.3</w:t>
      </w:r>
      <w:r w:rsidRPr="00A779B8">
        <w:rPr>
          <w:lang w:val="fr-FR"/>
        </w:rPr>
        <w:tab/>
        <w:t>Analyse du sac</w:t>
      </w:r>
    </w:p>
    <w:p w:rsidR="009F7CF6" w:rsidRPr="00A779B8" w:rsidRDefault="009F7CF6" w:rsidP="009F7CF6">
      <w:pPr>
        <w:pStyle w:val="SingleTxtG"/>
        <w:ind w:left="2268" w:hanging="1134"/>
        <w:rPr>
          <w:lang w:val="fr-FR"/>
        </w:rPr>
      </w:pPr>
      <w:r w:rsidRPr="00A779B8">
        <w:rPr>
          <w:lang w:val="fr-FR"/>
        </w:rPr>
        <w:t>6.5.3.1</w:t>
      </w:r>
      <w:r w:rsidRPr="00A779B8">
        <w:rPr>
          <w:lang w:val="fr-FR"/>
        </w:rPr>
        <w:tab/>
        <w:t>L</w:t>
      </w:r>
      <w:r w:rsidR="00DB4C2D">
        <w:rPr>
          <w:lang w:val="fr-FR"/>
        </w:rPr>
        <w:t>’</w:t>
      </w:r>
      <w:r w:rsidRPr="00A779B8">
        <w:rPr>
          <w:lang w:val="fr-FR"/>
        </w:rPr>
        <w:t>analyse des gaz d</w:t>
      </w:r>
      <w:r w:rsidR="00DB4C2D">
        <w:rPr>
          <w:lang w:val="fr-FR"/>
        </w:rPr>
        <w:t>’</w:t>
      </w:r>
      <w:r w:rsidRPr="00A779B8">
        <w:rPr>
          <w:lang w:val="fr-FR"/>
        </w:rPr>
        <w:t>échappement contenus dans le sac doit être effectuée dès que possible et au plus tard dans un délai 20 min après la fin du cycle d</w:t>
      </w:r>
      <w:r w:rsidR="00DB4C2D">
        <w:rPr>
          <w:lang w:val="fr-FR"/>
        </w:rPr>
        <w:t>’</w:t>
      </w:r>
      <w:r w:rsidRPr="00A779B8">
        <w:rPr>
          <w:lang w:val="fr-FR"/>
        </w:rPr>
        <w:t xml:space="preserve">essai. </w:t>
      </w:r>
    </w:p>
    <w:p w:rsidR="009F7CF6" w:rsidRPr="00A779B8" w:rsidRDefault="009F7CF6" w:rsidP="009F7CF6">
      <w:pPr>
        <w:pStyle w:val="SingleTxtG"/>
        <w:ind w:left="2268" w:hanging="1134"/>
        <w:rPr>
          <w:lang w:val="fr-FR"/>
        </w:rPr>
      </w:pPr>
      <w:r w:rsidRPr="00A779B8">
        <w:rPr>
          <w:lang w:val="fr-FR"/>
        </w:rPr>
        <w:t>6.5.3.2</w:t>
      </w:r>
      <w:r w:rsidRPr="00A779B8">
        <w:rPr>
          <w:lang w:val="fr-FR"/>
        </w:rPr>
        <w:tab/>
        <w:t>Avant chaque analyse d</w:t>
      </w:r>
      <w:r w:rsidR="00DB4C2D">
        <w:rPr>
          <w:lang w:val="fr-FR"/>
        </w:rPr>
        <w:t>’</w:t>
      </w:r>
      <w:r w:rsidRPr="00A779B8">
        <w:rPr>
          <w:lang w:val="fr-FR"/>
        </w:rPr>
        <w:t>échantillon, on doit mettre à zéro l</w:t>
      </w:r>
      <w:r w:rsidR="00DB4C2D">
        <w:rPr>
          <w:lang w:val="fr-FR"/>
        </w:rPr>
        <w:t>’</w:t>
      </w:r>
      <w:r w:rsidRPr="00A779B8">
        <w:rPr>
          <w:lang w:val="fr-FR"/>
        </w:rPr>
        <w:t>analyseur sur la gamme à utiliser pour chaque polluant avec le gaz zéro qui convient.</w:t>
      </w:r>
    </w:p>
    <w:p w:rsidR="009F7CF6" w:rsidRPr="00A779B8" w:rsidRDefault="009F7CF6" w:rsidP="009F7CF6">
      <w:pPr>
        <w:pStyle w:val="SingleTxtG"/>
        <w:ind w:left="2268" w:hanging="1134"/>
        <w:rPr>
          <w:lang w:val="fr-FR"/>
        </w:rPr>
      </w:pPr>
      <w:r w:rsidRPr="00A779B8">
        <w:rPr>
          <w:lang w:val="fr-FR"/>
        </w:rPr>
        <w:t>6.5.3.3</w:t>
      </w:r>
      <w:r w:rsidRPr="00A779B8">
        <w:rPr>
          <w:lang w:val="fr-FR"/>
        </w:rPr>
        <w:tab/>
        <w:t>Les analyseurs doivent ensuite être adaptés aux courbes d</w:t>
      </w:r>
      <w:r w:rsidR="00DB4C2D">
        <w:rPr>
          <w:lang w:val="fr-FR"/>
        </w:rPr>
        <w:t>’</w:t>
      </w:r>
      <w:r w:rsidRPr="00A779B8">
        <w:rPr>
          <w:lang w:val="fr-FR"/>
        </w:rPr>
        <w:t>étalonnage au moyen de gaz étalons dont les concentrations nominales varient entre 70 et 100 % de la plage utilisée.</w:t>
      </w:r>
    </w:p>
    <w:p w:rsidR="009F7CF6" w:rsidRPr="00A779B8" w:rsidRDefault="009F7CF6" w:rsidP="009F7CF6">
      <w:pPr>
        <w:pStyle w:val="SingleTxtG"/>
        <w:ind w:left="2268" w:hanging="1134"/>
        <w:rPr>
          <w:lang w:val="fr-FR"/>
        </w:rPr>
      </w:pPr>
      <w:r w:rsidRPr="00A779B8">
        <w:rPr>
          <w:lang w:val="fr-FR"/>
        </w:rPr>
        <w:t>6.5.3.4</w:t>
      </w:r>
      <w:r w:rsidRPr="00A779B8">
        <w:rPr>
          <w:lang w:val="fr-FR"/>
        </w:rPr>
        <w:tab/>
        <w:t>Il faut alors contrôler à nouveau le zéro des analyseurs: si une valeur lue s</w:t>
      </w:r>
      <w:r w:rsidR="00DB4C2D">
        <w:rPr>
          <w:lang w:val="fr-FR"/>
        </w:rPr>
        <w:t>’</w:t>
      </w:r>
      <w:r w:rsidRPr="00A779B8">
        <w:rPr>
          <w:lang w:val="fr-FR"/>
        </w:rPr>
        <w:t>écarte de plus de 2 % de celle qui a été obtenue lors du réglage prescrit au paragraphe 6.5.3.2 de la présente annexe, on doit répéter l</w:t>
      </w:r>
      <w:r w:rsidR="00DB4C2D">
        <w:rPr>
          <w:lang w:val="fr-FR"/>
        </w:rPr>
        <w:t>’</w:t>
      </w:r>
      <w:r w:rsidRPr="00A779B8">
        <w:rPr>
          <w:lang w:val="fr-FR"/>
        </w:rPr>
        <w:t>opération pour l</w:t>
      </w:r>
      <w:r w:rsidR="00DB4C2D">
        <w:rPr>
          <w:lang w:val="fr-FR"/>
        </w:rPr>
        <w:t>’</w:t>
      </w:r>
      <w:r w:rsidRPr="00A779B8">
        <w:rPr>
          <w:lang w:val="fr-FR"/>
        </w:rPr>
        <w:t>analyseur concerné.</w:t>
      </w:r>
    </w:p>
    <w:p w:rsidR="009F7CF6" w:rsidRPr="00A779B8" w:rsidRDefault="009F7CF6" w:rsidP="009F7CF6">
      <w:pPr>
        <w:pStyle w:val="SingleTxtG"/>
        <w:ind w:left="2268" w:hanging="1134"/>
        <w:rPr>
          <w:lang w:val="fr-FR"/>
        </w:rPr>
      </w:pPr>
      <w:r w:rsidRPr="00A779B8">
        <w:rPr>
          <w:lang w:val="fr-FR"/>
        </w:rPr>
        <w:t>6.5.3.5</w:t>
      </w:r>
      <w:r w:rsidRPr="00A779B8">
        <w:rPr>
          <w:lang w:val="fr-FR"/>
        </w:rPr>
        <w:tab/>
        <w:t>On doit ensuite analyser les échantillons.</w:t>
      </w:r>
    </w:p>
    <w:p w:rsidR="009F7CF6" w:rsidRPr="00A779B8" w:rsidRDefault="009F7CF6" w:rsidP="009F7CF6">
      <w:pPr>
        <w:pStyle w:val="SingleTxtG"/>
        <w:ind w:left="2268" w:hanging="1134"/>
        <w:rPr>
          <w:lang w:val="fr-FR"/>
        </w:rPr>
      </w:pPr>
      <w:r w:rsidRPr="00A779B8">
        <w:rPr>
          <w:lang w:val="fr-FR"/>
        </w:rPr>
        <w:t>6.5.3.6</w:t>
      </w:r>
      <w:r w:rsidRPr="00A779B8">
        <w:rPr>
          <w:lang w:val="fr-FR"/>
        </w:rPr>
        <w:tab/>
        <w:t>Après l</w:t>
      </w:r>
      <w:r w:rsidR="00DB4C2D">
        <w:rPr>
          <w:lang w:val="fr-FR"/>
        </w:rPr>
        <w:t>’</w:t>
      </w:r>
      <w:r w:rsidRPr="00A779B8">
        <w:rPr>
          <w:lang w:val="fr-FR"/>
        </w:rPr>
        <w:t>analyse, il faut contrôle à nouveau le zéro et les valeurs de réglage d</w:t>
      </w:r>
      <w:r w:rsidR="00DB4C2D">
        <w:rPr>
          <w:lang w:val="fr-FR"/>
        </w:rPr>
        <w:t>’</w:t>
      </w:r>
      <w:r w:rsidRPr="00A779B8">
        <w:rPr>
          <w:lang w:val="fr-FR"/>
        </w:rPr>
        <w:t>échelle en utilisant les mêmes gaz. Si ces nouvelles valeurs ne s</w:t>
      </w:r>
      <w:r w:rsidR="00DB4C2D">
        <w:rPr>
          <w:lang w:val="fr-FR"/>
        </w:rPr>
        <w:t>’</w:t>
      </w:r>
      <w:r w:rsidRPr="00A779B8">
        <w:rPr>
          <w:lang w:val="fr-FR"/>
        </w:rPr>
        <w:t>écartent pas de plus de 2 % de celles qui ont obtenues lors du réglage prescrit au paragraphe 6.5.3.3 de la présente annexe, les résultats de l</w:t>
      </w:r>
      <w:r w:rsidR="00DB4C2D">
        <w:rPr>
          <w:lang w:val="fr-FR"/>
        </w:rPr>
        <w:t>’</w:t>
      </w:r>
      <w:r w:rsidRPr="00A779B8">
        <w:rPr>
          <w:lang w:val="fr-FR"/>
        </w:rPr>
        <w:t>analyse doivent être considérés comme valables.</w:t>
      </w:r>
    </w:p>
    <w:p w:rsidR="009F7CF6" w:rsidRPr="00A779B8" w:rsidRDefault="009F7CF6" w:rsidP="009F7CF6">
      <w:pPr>
        <w:pStyle w:val="SingleTxtG"/>
        <w:ind w:left="2268" w:hanging="1134"/>
        <w:rPr>
          <w:lang w:val="fr-FR"/>
        </w:rPr>
      </w:pPr>
      <w:r w:rsidRPr="00A779B8">
        <w:rPr>
          <w:lang w:val="fr-FR"/>
        </w:rPr>
        <w:t>6.5.3.7</w:t>
      </w:r>
      <w:r w:rsidRPr="00A779B8">
        <w:rPr>
          <w:lang w:val="fr-FR"/>
        </w:rPr>
        <w:tab/>
        <w:t>Pour toutes les opérations décrites dans le présent paragraphe les débits et pressions des divers gaz doivent être les mêmes que lors de l</w:t>
      </w:r>
      <w:r w:rsidR="00DB4C2D">
        <w:rPr>
          <w:lang w:val="fr-FR"/>
        </w:rPr>
        <w:t>’</w:t>
      </w:r>
      <w:r w:rsidRPr="00A779B8">
        <w:rPr>
          <w:lang w:val="fr-FR"/>
        </w:rPr>
        <w:t>étalonnage des analyseurs.</w:t>
      </w:r>
    </w:p>
    <w:p w:rsidR="009F7CF6" w:rsidRPr="00A779B8" w:rsidRDefault="009F7CF6" w:rsidP="009F7CF6">
      <w:pPr>
        <w:pStyle w:val="SingleTxtG"/>
        <w:ind w:left="2268" w:hanging="1134"/>
        <w:rPr>
          <w:lang w:val="fr-FR"/>
        </w:rPr>
      </w:pPr>
      <w:r w:rsidRPr="00A779B8">
        <w:rPr>
          <w:lang w:val="fr-FR"/>
        </w:rPr>
        <w:t>6.5.3.8</w:t>
      </w:r>
      <w:r w:rsidRPr="00A779B8">
        <w:rPr>
          <w:lang w:val="fr-FR"/>
        </w:rPr>
        <w:tab/>
        <w:t>La valeur retenue pour les concentrations de chacun des polluants mesurés dans les gaz doit être celle qui est lue après stabilisation de l</w:t>
      </w:r>
      <w:r w:rsidR="00DB4C2D">
        <w:rPr>
          <w:lang w:val="fr-FR"/>
        </w:rPr>
        <w:t>’</w:t>
      </w:r>
      <w:r w:rsidRPr="00A779B8">
        <w:rPr>
          <w:lang w:val="fr-FR"/>
        </w:rPr>
        <w:t>appareil de mesure. Les émissions massiques d</w:t>
      </w:r>
      <w:r w:rsidR="00DB4C2D">
        <w:rPr>
          <w:lang w:val="fr-FR"/>
        </w:rPr>
        <w:t>’</w:t>
      </w:r>
      <w:r w:rsidRPr="00A779B8">
        <w:rPr>
          <w:lang w:val="fr-FR"/>
        </w:rPr>
        <w:t>hydrocarbures des moteurs à allumage par compression doivent être calculées d</w:t>
      </w:r>
      <w:r w:rsidR="00DB4C2D">
        <w:rPr>
          <w:lang w:val="fr-FR"/>
        </w:rPr>
        <w:t>’</w:t>
      </w:r>
      <w:r w:rsidRPr="00A779B8">
        <w:rPr>
          <w:lang w:val="fr-FR"/>
        </w:rPr>
        <w:t>après la valeur intégrée lue sur le détecteur à ionisation de flamme chauffé</w:t>
      </w:r>
      <w:r>
        <w:rPr>
          <w:lang w:val="fr-FR"/>
        </w:rPr>
        <w:t xml:space="preserve"> (HFID)</w:t>
      </w:r>
      <w:r w:rsidRPr="00A779B8">
        <w:rPr>
          <w:lang w:val="fr-FR"/>
        </w:rPr>
        <w:t>, corrigée compte tenu de la variation du débit, s</w:t>
      </w:r>
      <w:r w:rsidR="00DB4C2D">
        <w:rPr>
          <w:lang w:val="fr-FR"/>
        </w:rPr>
        <w:t>’</w:t>
      </w:r>
      <w:r w:rsidRPr="00A779B8">
        <w:rPr>
          <w:lang w:val="fr-FR"/>
        </w:rPr>
        <w:t>il y a lieu, comme il est prescrit au paragraphe 6.6.6 de la présente annexe.</w:t>
      </w:r>
    </w:p>
    <w:p w:rsidR="009F7CF6" w:rsidRPr="00A779B8" w:rsidRDefault="009F7CF6" w:rsidP="009F7CF6">
      <w:pPr>
        <w:pStyle w:val="SingleTxtG"/>
        <w:keepNext/>
        <w:ind w:left="2268" w:hanging="1134"/>
        <w:jc w:val="left"/>
        <w:rPr>
          <w:lang w:val="fr-FR"/>
        </w:rPr>
      </w:pPr>
      <w:r w:rsidRPr="00A779B8">
        <w:rPr>
          <w:lang w:val="fr-FR"/>
        </w:rPr>
        <w:t>6.6</w:t>
      </w:r>
      <w:r w:rsidRPr="00A779B8">
        <w:rPr>
          <w:lang w:val="fr-FR"/>
        </w:rPr>
        <w:tab/>
        <w:t>Calcul des émissions</w:t>
      </w:r>
    </w:p>
    <w:p w:rsidR="009F7CF6" w:rsidRPr="00A779B8" w:rsidRDefault="009F7CF6" w:rsidP="009F7CF6">
      <w:pPr>
        <w:pStyle w:val="SingleTxtG"/>
        <w:keepNext/>
        <w:ind w:left="2268" w:hanging="1134"/>
        <w:jc w:val="left"/>
        <w:rPr>
          <w:lang w:val="fr-FR"/>
        </w:rPr>
      </w:pPr>
      <w:r w:rsidRPr="00A779B8">
        <w:rPr>
          <w:lang w:val="fr-FR"/>
        </w:rPr>
        <w:t>6.6.1</w:t>
      </w:r>
      <w:r w:rsidRPr="00A779B8">
        <w:rPr>
          <w:lang w:val="fr-FR"/>
        </w:rPr>
        <w:tab/>
        <w:t>Détermination du volume</w:t>
      </w:r>
    </w:p>
    <w:p w:rsidR="009F7CF6" w:rsidRPr="00A779B8" w:rsidRDefault="009F7CF6" w:rsidP="009F7CF6">
      <w:pPr>
        <w:pStyle w:val="SingleTxtG"/>
        <w:ind w:left="2268" w:hanging="1134"/>
        <w:jc w:val="left"/>
        <w:rPr>
          <w:lang w:val="fr-FR"/>
        </w:rPr>
      </w:pPr>
      <w:r w:rsidRPr="00A779B8">
        <w:rPr>
          <w:lang w:val="fr-FR"/>
        </w:rPr>
        <w:t>6.6.1.1</w:t>
      </w:r>
      <w:r w:rsidRPr="00A779B8">
        <w:rPr>
          <w:lang w:val="fr-FR"/>
        </w:rPr>
        <w:tab/>
        <w:t>Calcul du volume dans le cas d</w:t>
      </w:r>
      <w:r w:rsidR="00DB4C2D">
        <w:rPr>
          <w:lang w:val="fr-FR"/>
        </w:rPr>
        <w:t>’</w:t>
      </w:r>
      <w:r w:rsidRPr="00A779B8">
        <w:rPr>
          <w:lang w:val="fr-FR"/>
        </w:rPr>
        <w:t>un système à dilution variable avec maintien d</w:t>
      </w:r>
      <w:r w:rsidR="00DB4C2D">
        <w:rPr>
          <w:lang w:val="fr-FR"/>
        </w:rPr>
        <w:t>’</w:t>
      </w:r>
      <w:r w:rsidRPr="00A779B8">
        <w:rPr>
          <w:lang w:val="fr-FR"/>
        </w:rPr>
        <w:t xml:space="preserve">un débit constant par organe </w:t>
      </w:r>
      <w:proofErr w:type="spellStart"/>
      <w:r w:rsidRPr="00A779B8">
        <w:rPr>
          <w:lang w:val="fr-FR"/>
        </w:rPr>
        <w:t>déprimogène</w:t>
      </w:r>
      <w:proofErr w:type="spellEnd"/>
      <w:r w:rsidRPr="00A779B8">
        <w:rPr>
          <w:lang w:val="fr-FR"/>
        </w:rPr>
        <w:t xml:space="preserve"> (orifice ou venturi).</w:t>
      </w:r>
    </w:p>
    <w:p w:rsidR="009F7CF6" w:rsidRPr="00A779B8" w:rsidRDefault="009F7CF6" w:rsidP="009F7CF6">
      <w:pPr>
        <w:pStyle w:val="SingleTxtG"/>
        <w:ind w:left="2268"/>
        <w:rPr>
          <w:lang w:val="fr-FR"/>
        </w:rPr>
      </w:pPr>
      <w:r w:rsidRPr="00A779B8">
        <w:rPr>
          <w:lang w:val="fr-FR"/>
        </w:rPr>
        <w:tab/>
        <w:t>On enregistre de manière continue les paramètres permettant de connaître le débit volumique et on calcule le volume total sur la durée de l</w:t>
      </w:r>
      <w:r w:rsidR="00DB4C2D">
        <w:rPr>
          <w:lang w:val="fr-FR"/>
        </w:rPr>
        <w:t>’</w:t>
      </w:r>
      <w:r w:rsidRPr="00A779B8">
        <w:rPr>
          <w:lang w:val="fr-FR"/>
        </w:rPr>
        <w:t>essai.</w:t>
      </w:r>
    </w:p>
    <w:p w:rsidR="009F7CF6" w:rsidRPr="00A779B8" w:rsidRDefault="009F7CF6" w:rsidP="009F7CF6">
      <w:pPr>
        <w:pStyle w:val="SingleTxtG"/>
        <w:keepNext/>
        <w:ind w:left="2268" w:hanging="1134"/>
        <w:jc w:val="left"/>
        <w:rPr>
          <w:lang w:val="fr-FR"/>
        </w:rPr>
      </w:pPr>
      <w:r w:rsidRPr="00A779B8">
        <w:rPr>
          <w:lang w:val="fr-FR"/>
        </w:rPr>
        <w:t>6.6.1.2</w:t>
      </w:r>
      <w:r w:rsidRPr="00A779B8">
        <w:rPr>
          <w:lang w:val="fr-FR"/>
        </w:rPr>
        <w:tab/>
        <w:t>Calcul du volume dans le cas d</w:t>
      </w:r>
      <w:r w:rsidR="00DB4C2D">
        <w:rPr>
          <w:lang w:val="fr-FR"/>
        </w:rPr>
        <w:t>’</w:t>
      </w:r>
      <w:r w:rsidRPr="00A779B8">
        <w:rPr>
          <w:lang w:val="fr-FR"/>
        </w:rPr>
        <w:t>un système à pompe volumétrique</w:t>
      </w:r>
    </w:p>
    <w:p w:rsidR="009F7CF6" w:rsidRPr="00A779B8" w:rsidRDefault="009F7CF6" w:rsidP="009F7CF6">
      <w:pPr>
        <w:pStyle w:val="SingleTxtG"/>
        <w:keepNext/>
        <w:ind w:left="2268"/>
        <w:rPr>
          <w:bCs/>
          <w:lang w:val="fr-FR"/>
        </w:rPr>
      </w:pPr>
      <w:r w:rsidRPr="00A779B8">
        <w:rPr>
          <w:bCs/>
          <w:lang w:val="fr-FR"/>
        </w:rPr>
        <w:tab/>
        <w:t>Le volume des gaz d</w:t>
      </w:r>
      <w:r w:rsidR="00DB4C2D">
        <w:rPr>
          <w:bCs/>
          <w:lang w:val="fr-FR"/>
        </w:rPr>
        <w:t>’</w:t>
      </w:r>
      <w:r w:rsidRPr="00A779B8">
        <w:rPr>
          <w:bCs/>
          <w:lang w:val="fr-FR"/>
        </w:rPr>
        <w:t>échappement dilués dans les systèmes à pompe volumétrique est calculé avec la formule:</w:t>
      </w:r>
    </w:p>
    <w:p w:rsidR="009F7CF6" w:rsidRPr="00A779B8" w:rsidRDefault="009F7CF6" w:rsidP="009F7CF6">
      <w:pPr>
        <w:pStyle w:val="SingleTxtG"/>
        <w:ind w:left="2268"/>
        <w:rPr>
          <w:lang w:val="fr-FR"/>
        </w:rPr>
      </w:pPr>
      <w:r w:rsidRPr="00A779B8">
        <w:rPr>
          <w:lang w:val="fr-FR"/>
        </w:rPr>
        <w:tab/>
        <w:t>V = V</w:t>
      </w:r>
      <w:r w:rsidRPr="00A779B8">
        <w:rPr>
          <w:vertAlign w:val="subscript"/>
          <w:lang w:val="fr-FR"/>
        </w:rPr>
        <w:t>0</w:t>
      </w:r>
      <w:r w:rsidRPr="00A779B8">
        <w:rPr>
          <w:lang w:val="fr-FR"/>
        </w:rPr>
        <w:t xml:space="preserve"> </w:t>
      </w:r>
      <w:r w:rsidRPr="00A779B8">
        <w:rPr>
          <w:vertAlign w:val="superscript"/>
          <w:lang w:val="fr-FR"/>
        </w:rPr>
        <w:t>.</w:t>
      </w:r>
      <w:r w:rsidRPr="00A779B8">
        <w:rPr>
          <w:lang w:val="fr-FR"/>
        </w:rPr>
        <w:t xml:space="preserve"> N</w:t>
      </w:r>
    </w:p>
    <w:p w:rsidR="009F7CF6" w:rsidRPr="00A779B8" w:rsidRDefault="009F7CF6" w:rsidP="009F7CF6">
      <w:pPr>
        <w:pStyle w:val="SingleTxtG"/>
        <w:keepNext/>
        <w:ind w:left="2268"/>
        <w:rPr>
          <w:lang w:val="fr-FR"/>
        </w:rPr>
      </w:pPr>
      <w:r w:rsidRPr="00A779B8">
        <w:rPr>
          <w:lang w:val="fr-FR"/>
        </w:rPr>
        <w:lastRenderedPageBreak/>
        <w:tab/>
        <w:t>où:</w:t>
      </w:r>
    </w:p>
    <w:tbl>
      <w:tblPr>
        <w:tblW w:w="0" w:type="auto"/>
        <w:tblInd w:w="2268" w:type="dxa"/>
        <w:tblLayout w:type="fixed"/>
        <w:tblCellMar>
          <w:left w:w="0" w:type="dxa"/>
          <w:right w:w="0" w:type="dxa"/>
        </w:tblCellMar>
        <w:tblLook w:val="01E0" w:firstRow="1" w:lastRow="1" w:firstColumn="1" w:lastColumn="1" w:noHBand="0" w:noVBand="0"/>
      </w:tblPr>
      <w:tblGrid>
        <w:gridCol w:w="567"/>
        <w:gridCol w:w="284"/>
        <w:gridCol w:w="5102"/>
      </w:tblGrid>
      <w:tr w:rsidR="009F7CF6" w:rsidRPr="007E29C4" w:rsidTr="00CB332B">
        <w:tc>
          <w:tcPr>
            <w:tcW w:w="567" w:type="dxa"/>
            <w:shd w:val="clear" w:color="auto" w:fill="auto"/>
          </w:tcPr>
          <w:p w:rsidR="009F7CF6" w:rsidRPr="007E29C4" w:rsidRDefault="009F7CF6" w:rsidP="00CB332B">
            <w:pPr>
              <w:spacing w:after="120"/>
              <w:rPr>
                <w:lang w:val="fr-FR"/>
              </w:rPr>
            </w:pPr>
            <w:r w:rsidRPr="007E29C4">
              <w:rPr>
                <w:lang w:val="fr-FR"/>
              </w:rPr>
              <w:t>V</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volume de gaz dilué en litres par essai (avant correction),</w:t>
            </w:r>
          </w:p>
        </w:tc>
      </w:tr>
      <w:tr w:rsidR="009F7CF6" w:rsidRPr="007E29C4" w:rsidTr="00CB332B">
        <w:tc>
          <w:tcPr>
            <w:tcW w:w="567" w:type="dxa"/>
            <w:shd w:val="clear" w:color="auto" w:fill="auto"/>
          </w:tcPr>
          <w:p w:rsidR="009F7CF6" w:rsidRPr="007E29C4" w:rsidRDefault="009F7CF6" w:rsidP="00CB332B">
            <w:pPr>
              <w:spacing w:after="120"/>
              <w:rPr>
                <w:lang w:val="fr-FR"/>
              </w:rPr>
            </w:pPr>
            <w:r w:rsidRPr="007E29C4">
              <w:rPr>
                <w:lang w:val="fr-FR"/>
              </w:rPr>
              <w:t>V</w:t>
            </w:r>
            <w:r w:rsidRPr="007E29C4">
              <w:rPr>
                <w:vertAlign w:val="subscript"/>
                <w:lang w:val="fr-FR"/>
              </w:rPr>
              <w:t>0</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volume de gaz déplacé par la pompe dans les conditions de l</w:t>
            </w:r>
            <w:r w:rsidR="00DB4C2D">
              <w:rPr>
                <w:lang w:val="fr-FR"/>
              </w:rPr>
              <w:t>’</w:t>
            </w:r>
            <w:r w:rsidRPr="007E29C4">
              <w:rPr>
                <w:lang w:val="fr-FR"/>
              </w:rPr>
              <w:t>essai en litres par tour,</w:t>
            </w:r>
          </w:p>
        </w:tc>
      </w:tr>
      <w:tr w:rsidR="009F7CF6" w:rsidRPr="007E29C4" w:rsidTr="00CB332B">
        <w:tc>
          <w:tcPr>
            <w:tcW w:w="567" w:type="dxa"/>
            <w:shd w:val="clear" w:color="auto" w:fill="auto"/>
          </w:tcPr>
          <w:p w:rsidR="009F7CF6" w:rsidRPr="007E29C4" w:rsidRDefault="009F7CF6" w:rsidP="00CB332B">
            <w:pPr>
              <w:spacing w:after="120"/>
              <w:rPr>
                <w:lang w:val="fr-FR"/>
              </w:rPr>
            </w:pPr>
            <w:r w:rsidRPr="007E29C4">
              <w:rPr>
                <w:lang w:val="fr-FR"/>
              </w:rPr>
              <w:t>N</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nombre de tours par essai.</w:t>
            </w:r>
          </w:p>
        </w:tc>
      </w:tr>
    </w:tbl>
    <w:p w:rsidR="009F7CF6" w:rsidRPr="00A779B8" w:rsidRDefault="009F7CF6" w:rsidP="009F7CF6">
      <w:pPr>
        <w:pStyle w:val="SingleTxtG"/>
        <w:keepNext/>
        <w:spacing w:before="120"/>
        <w:ind w:left="2268" w:hanging="1134"/>
        <w:jc w:val="left"/>
        <w:rPr>
          <w:lang w:val="fr-FR"/>
        </w:rPr>
      </w:pPr>
      <w:r w:rsidRPr="00A779B8">
        <w:rPr>
          <w:lang w:val="fr-FR"/>
        </w:rPr>
        <w:t>6.6.1.3</w:t>
      </w:r>
      <w:r w:rsidRPr="00A779B8">
        <w:rPr>
          <w:lang w:val="fr-FR"/>
        </w:rPr>
        <w:tab/>
        <w:t xml:space="preserve">Calcul </w:t>
      </w:r>
      <w:r w:rsidRPr="00A779B8">
        <w:rPr>
          <w:bCs/>
          <w:lang w:val="fr-FR"/>
        </w:rPr>
        <w:t>du</w:t>
      </w:r>
      <w:r w:rsidRPr="00A779B8">
        <w:rPr>
          <w:lang w:val="fr-FR"/>
        </w:rPr>
        <w:t xml:space="preserve"> volume ramené aux conditions normales</w:t>
      </w:r>
    </w:p>
    <w:p w:rsidR="009F7CF6" w:rsidRPr="00A779B8" w:rsidRDefault="009F7CF6" w:rsidP="009F7CF6">
      <w:pPr>
        <w:pStyle w:val="SingleTxtG"/>
        <w:ind w:left="2268"/>
        <w:rPr>
          <w:lang w:val="fr-FR"/>
        </w:rPr>
      </w:pPr>
      <w:r w:rsidRPr="00A779B8">
        <w:rPr>
          <w:lang w:val="fr-FR"/>
        </w:rPr>
        <w:tab/>
        <w:t>Le volume des gaz d</w:t>
      </w:r>
      <w:r w:rsidR="00DB4C2D">
        <w:rPr>
          <w:lang w:val="fr-FR"/>
        </w:rPr>
        <w:t>’</w:t>
      </w:r>
      <w:r w:rsidRPr="00A779B8">
        <w:rPr>
          <w:lang w:val="fr-FR"/>
        </w:rPr>
        <w:t>échappement dilués est corrigé à l</w:t>
      </w:r>
      <w:r w:rsidR="00DB4C2D">
        <w:rPr>
          <w:lang w:val="fr-FR"/>
        </w:rPr>
        <w:t>’</w:t>
      </w:r>
      <w:r w:rsidRPr="00A779B8">
        <w:rPr>
          <w:lang w:val="fr-FR"/>
        </w:rPr>
        <w:t>aide de la formule suivante:</w:t>
      </w:r>
    </w:p>
    <w:p w:rsidR="009F7CF6" w:rsidRPr="00A779B8" w:rsidRDefault="009D55DD" w:rsidP="009F7CF6">
      <w:pPr>
        <w:pStyle w:val="SingleTxtG"/>
        <w:tabs>
          <w:tab w:val="right" w:pos="8505"/>
        </w:tabs>
        <w:ind w:left="2268"/>
        <w:rPr>
          <w:lang w:val="fr-FR"/>
        </w:rPr>
      </w:pPr>
      <w:r>
        <w:rPr>
          <w:noProof/>
          <w:position w:val="-32"/>
          <w:lang w:val="en-US"/>
        </w:rPr>
        <w:drawing>
          <wp:inline distT="0" distB="0" distL="0" distR="0">
            <wp:extent cx="1475105" cy="4832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75105" cy="483235"/>
                    </a:xfrm>
                    <a:prstGeom prst="rect">
                      <a:avLst/>
                    </a:prstGeom>
                    <a:noFill/>
                    <a:ln>
                      <a:noFill/>
                    </a:ln>
                  </pic:spPr>
                </pic:pic>
              </a:graphicData>
            </a:graphic>
          </wp:inline>
        </w:drawing>
      </w:r>
      <w:r w:rsidR="009F7CF6" w:rsidRPr="00A779B8">
        <w:rPr>
          <w:lang w:val="fr-FR"/>
        </w:rPr>
        <w:tab/>
        <w:t>(1)</w:t>
      </w:r>
    </w:p>
    <w:p w:rsidR="009F7CF6" w:rsidRPr="00A779B8" w:rsidRDefault="009F7CF6" w:rsidP="009F7CF6">
      <w:pPr>
        <w:pStyle w:val="SingleTxtG"/>
        <w:keepNext/>
        <w:ind w:left="2268"/>
        <w:rPr>
          <w:lang w:val="fr-FR"/>
        </w:rPr>
      </w:pPr>
      <w:r w:rsidRPr="00A779B8">
        <w:rPr>
          <w:lang w:val="fr-FR"/>
        </w:rPr>
        <w:tab/>
        <w:t>où:</w:t>
      </w:r>
    </w:p>
    <w:p w:rsidR="009F7CF6" w:rsidRPr="00A779B8" w:rsidRDefault="009F7CF6" w:rsidP="009F7CF6">
      <w:pPr>
        <w:pStyle w:val="SingleTxtG"/>
        <w:tabs>
          <w:tab w:val="right" w:pos="8505"/>
        </w:tabs>
        <w:ind w:left="2268"/>
        <w:rPr>
          <w:lang w:val="fr-FR"/>
        </w:rPr>
      </w:pPr>
      <w:r w:rsidRPr="00A779B8">
        <w:rPr>
          <w:position w:val="-26"/>
          <w:lang w:val="fr-FR"/>
        </w:rPr>
        <w:object w:dxaOrig="2240" w:dyaOrig="600">
          <v:shape id="_x0000_i1046" type="#_x0000_t75" style="width:112.1pt;height:29.9pt" o:ole="">
            <v:imagedata r:id="rId75" o:title=""/>
          </v:shape>
          <o:OLEObject Type="Embed" ProgID="Equation.3" ShapeID="_x0000_i1046" DrawAspect="Content" ObjectID="_1490178413" r:id="rId76"/>
        </w:object>
      </w:r>
      <w:r w:rsidRPr="00A779B8">
        <w:rPr>
          <w:lang w:val="fr-FR"/>
        </w:rPr>
        <w:tab/>
        <w:t>(2)</w:t>
      </w:r>
    </w:p>
    <w:tbl>
      <w:tblPr>
        <w:tblW w:w="0" w:type="auto"/>
        <w:tblInd w:w="2268" w:type="dxa"/>
        <w:tblLayout w:type="fixed"/>
        <w:tblCellMar>
          <w:left w:w="0" w:type="dxa"/>
          <w:right w:w="0" w:type="dxa"/>
        </w:tblCellMar>
        <w:tblLook w:val="01E0" w:firstRow="1" w:lastRow="1" w:firstColumn="1" w:lastColumn="1" w:noHBand="0" w:noVBand="0"/>
      </w:tblPr>
      <w:tblGrid>
        <w:gridCol w:w="567"/>
        <w:gridCol w:w="360"/>
        <w:gridCol w:w="5265"/>
      </w:tblGrid>
      <w:tr w:rsidR="009F7CF6" w:rsidRPr="007E29C4" w:rsidTr="00CB332B">
        <w:tc>
          <w:tcPr>
            <w:tcW w:w="567" w:type="dxa"/>
            <w:shd w:val="clear" w:color="auto" w:fill="auto"/>
          </w:tcPr>
          <w:p w:rsidR="009F7CF6" w:rsidRPr="007E29C4" w:rsidRDefault="009F7CF6" w:rsidP="00CB332B">
            <w:pPr>
              <w:spacing w:after="120"/>
              <w:rPr>
                <w:lang w:val="fr-FR"/>
              </w:rPr>
            </w:pPr>
            <w:r w:rsidRPr="007E29C4">
              <w:rPr>
                <w:lang w:val="fr-FR"/>
              </w:rPr>
              <w:t>P</w:t>
            </w:r>
            <w:r w:rsidRPr="007E29C4">
              <w:rPr>
                <w:vertAlign w:val="subscript"/>
                <w:lang w:val="fr-FR"/>
              </w:rPr>
              <w:t>B</w:t>
            </w:r>
          </w:p>
        </w:tc>
        <w:tc>
          <w:tcPr>
            <w:tcW w:w="360" w:type="dxa"/>
            <w:shd w:val="clear" w:color="auto" w:fill="auto"/>
          </w:tcPr>
          <w:p w:rsidR="009F7CF6" w:rsidRPr="007E29C4" w:rsidRDefault="009F7CF6" w:rsidP="00CB332B">
            <w:pPr>
              <w:spacing w:after="120"/>
              <w:rPr>
                <w:lang w:val="fr-FR"/>
              </w:rPr>
            </w:pPr>
            <w:r w:rsidRPr="007E29C4">
              <w:rPr>
                <w:lang w:val="fr-FR"/>
              </w:rPr>
              <w:t>=</w:t>
            </w:r>
          </w:p>
        </w:tc>
        <w:tc>
          <w:tcPr>
            <w:tcW w:w="5265" w:type="dxa"/>
            <w:shd w:val="clear" w:color="auto" w:fill="auto"/>
          </w:tcPr>
          <w:p w:rsidR="009F7CF6" w:rsidRPr="007E29C4" w:rsidRDefault="009F7CF6" w:rsidP="00CB332B">
            <w:pPr>
              <w:spacing w:after="120"/>
              <w:rPr>
                <w:lang w:val="fr-FR"/>
              </w:rPr>
            </w:pPr>
            <w:r w:rsidRPr="007E29C4">
              <w:rPr>
                <w:lang w:val="fr-FR"/>
              </w:rPr>
              <w:t>pression barométrique dans la chambre d</w:t>
            </w:r>
            <w:r w:rsidR="00DB4C2D">
              <w:rPr>
                <w:lang w:val="fr-FR"/>
              </w:rPr>
              <w:t>’</w:t>
            </w:r>
            <w:r w:rsidRPr="007E29C4">
              <w:rPr>
                <w:lang w:val="fr-FR"/>
              </w:rPr>
              <w:t>essai ( kPa),</w:t>
            </w:r>
          </w:p>
        </w:tc>
      </w:tr>
      <w:tr w:rsidR="009F7CF6" w:rsidRPr="007E29C4" w:rsidTr="00CB332B">
        <w:tc>
          <w:tcPr>
            <w:tcW w:w="567" w:type="dxa"/>
            <w:shd w:val="clear" w:color="auto" w:fill="auto"/>
          </w:tcPr>
          <w:p w:rsidR="009F7CF6" w:rsidRPr="007E29C4" w:rsidRDefault="009F7CF6" w:rsidP="00CB332B">
            <w:pPr>
              <w:spacing w:after="120"/>
              <w:rPr>
                <w:lang w:val="fr-FR"/>
              </w:rPr>
            </w:pPr>
            <w:r w:rsidRPr="007E29C4">
              <w:rPr>
                <w:lang w:val="fr-FR"/>
              </w:rPr>
              <w:t>P</w:t>
            </w:r>
            <w:r w:rsidRPr="007E29C4">
              <w:rPr>
                <w:vertAlign w:val="subscript"/>
                <w:lang w:val="fr-FR"/>
              </w:rPr>
              <w:t>1</w:t>
            </w:r>
          </w:p>
        </w:tc>
        <w:tc>
          <w:tcPr>
            <w:tcW w:w="360" w:type="dxa"/>
            <w:shd w:val="clear" w:color="auto" w:fill="auto"/>
          </w:tcPr>
          <w:p w:rsidR="009F7CF6" w:rsidRPr="007E29C4" w:rsidRDefault="009F7CF6" w:rsidP="00CB332B">
            <w:pPr>
              <w:spacing w:after="120"/>
              <w:rPr>
                <w:lang w:val="fr-FR"/>
              </w:rPr>
            </w:pPr>
            <w:r w:rsidRPr="007E29C4">
              <w:rPr>
                <w:lang w:val="fr-FR"/>
              </w:rPr>
              <w:t>=</w:t>
            </w:r>
          </w:p>
        </w:tc>
        <w:tc>
          <w:tcPr>
            <w:tcW w:w="5265" w:type="dxa"/>
            <w:shd w:val="clear" w:color="auto" w:fill="auto"/>
          </w:tcPr>
          <w:p w:rsidR="009F7CF6" w:rsidRPr="007E29C4" w:rsidRDefault="009F7CF6" w:rsidP="00CB332B">
            <w:pPr>
              <w:spacing w:after="120"/>
              <w:rPr>
                <w:lang w:val="fr-FR"/>
              </w:rPr>
            </w:pPr>
            <w:r w:rsidRPr="007E29C4">
              <w:rPr>
                <w:lang w:val="fr-FR"/>
              </w:rPr>
              <w:t>dépression à l</w:t>
            </w:r>
            <w:r w:rsidR="00DB4C2D">
              <w:rPr>
                <w:lang w:val="fr-FR"/>
              </w:rPr>
              <w:t>’</w:t>
            </w:r>
            <w:r w:rsidRPr="007E29C4">
              <w:rPr>
                <w:lang w:val="fr-FR"/>
              </w:rPr>
              <w:t>entrée de la pompe volumétrique par rapport à la pression ambiante (kPa),</w:t>
            </w:r>
          </w:p>
        </w:tc>
      </w:tr>
      <w:tr w:rsidR="009F7CF6" w:rsidRPr="007E29C4" w:rsidTr="00CB332B">
        <w:tc>
          <w:tcPr>
            <w:tcW w:w="567" w:type="dxa"/>
            <w:shd w:val="clear" w:color="auto" w:fill="auto"/>
          </w:tcPr>
          <w:p w:rsidR="009F7CF6" w:rsidRPr="007E29C4" w:rsidRDefault="009F7CF6" w:rsidP="00CB332B">
            <w:pPr>
              <w:spacing w:after="120"/>
              <w:rPr>
                <w:lang w:val="fr-FR"/>
              </w:rPr>
            </w:pPr>
            <w:proofErr w:type="spellStart"/>
            <w:r w:rsidRPr="007E29C4">
              <w:rPr>
                <w:lang w:val="fr-FR"/>
              </w:rPr>
              <w:t>Tp</w:t>
            </w:r>
            <w:proofErr w:type="spellEnd"/>
          </w:p>
        </w:tc>
        <w:tc>
          <w:tcPr>
            <w:tcW w:w="360" w:type="dxa"/>
            <w:shd w:val="clear" w:color="auto" w:fill="auto"/>
          </w:tcPr>
          <w:p w:rsidR="009F7CF6" w:rsidRPr="007E29C4" w:rsidRDefault="009F7CF6" w:rsidP="00CB332B">
            <w:pPr>
              <w:spacing w:after="120"/>
              <w:rPr>
                <w:lang w:val="fr-FR"/>
              </w:rPr>
            </w:pPr>
            <w:r w:rsidRPr="007E29C4">
              <w:rPr>
                <w:lang w:val="fr-FR"/>
              </w:rPr>
              <w:t>=</w:t>
            </w:r>
          </w:p>
        </w:tc>
        <w:tc>
          <w:tcPr>
            <w:tcW w:w="5265" w:type="dxa"/>
            <w:shd w:val="clear" w:color="auto" w:fill="auto"/>
          </w:tcPr>
          <w:p w:rsidR="009F7CF6" w:rsidRPr="007E29C4" w:rsidRDefault="009F7CF6" w:rsidP="00CB332B">
            <w:pPr>
              <w:spacing w:after="120"/>
              <w:rPr>
                <w:lang w:val="fr-FR"/>
              </w:rPr>
            </w:pPr>
            <w:r w:rsidRPr="007E29C4">
              <w:rPr>
                <w:lang w:val="fr-FR"/>
              </w:rPr>
              <w:t>température moyenne des gaz d</w:t>
            </w:r>
            <w:r w:rsidR="00DB4C2D">
              <w:rPr>
                <w:lang w:val="fr-FR"/>
              </w:rPr>
              <w:t>’</w:t>
            </w:r>
            <w:r w:rsidRPr="007E29C4">
              <w:rPr>
                <w:lang w:val="fr-FR"/>
              </w:rPr>
              <w:t>échappement dilués entrant dans la pompe volumétrique au cours de l</w:t>
            </w:r>
            <w:r w:rsidR="00DB4C2D">
              <w:rPr>
                <w:lang w:val="fr-FR"/>
              </w:rPr>
              <w:t>’</w:t>
            </w:r>
            <w:r w:rsidRPr="007E29C4">
              <w:rPr>
                <w:lang w:val="fr-FR"/>
              </w:rPr>
              <w:t>essai (K).</w:t>
            </w:r>
          </w:p>
        </w:tc>
      </w:tr>
    </w:tbl>
    <w:p w:rsidR="009F7CF6" w:rsidRPr="00A779B8" w:rsidRDefault="009F7CF6" w:rsidP="009F7CF6">
      <w:pPr>
        <w:pStyle w:val="SingleTxtG"/>
        <w:keepNext/>
        <w:ind w:left="2268" w:hanging="1134"/>
        <w:jc w:val="left"/>
        <w:rPr>
          <w:lang w:val="fr-FR"/>
        </w:rPr>
      </w:pPr>
      <w:r w:rsidRPr="00A779B8">
        <w:rPr>
          <w:lang w:val="fr-FR"/>
        </w:rPr>
        <w:t>6.6.2</w:t>
      </w:r>
      <w:r w:rsidRPr="00A779B8">
        <w:rPr>
          <w:lang w:val="fr-FR"/>
        </w:rPr>
        <w:tab/>
        <w:t>Masse totale de polluants gazeux et de particules émis</w:t>
      </w:r>
    </w:p>
    <w:p w:rsidR="009F7CF6" w:rsidRPr="00A779B8" w:rsidRDefault="009F7CF6" w:rsidP="009F7CF6">
      <w:pPr>
        <w:pStyle w:val="SingleTxtG"/>
        <w:keepNext/>
        <w:ind w:left="2268"/>
        <w:rPr>
          <w:lang w:val="fr-FR"/>
        </w:rPr>
      </w:pPr>
      <w:r w:rsidRPr="00A779B8">
        <w:rPr>
          <w:lang w:val="fr-FR"/>
        </w:rPr>
        <w:tab/>
        <w:t>Il faut déterminer la masse M de chaque polluant émis par le véhicule au cours de l</w:t>
      </w:r>
      <w:r w:rsidR="00DB4C2D">
        <w:rPr>
          <w:lang w:val="fr-FR"/>
        </w:rPr>
        <w:t>’</w:t>
      </w:r>
      <w:r w:rsidRPr="00A779B8">
        <w:rPr>
          <w:lang w:val="fr-FR"/>
        </w:rPr>
        <w:t>essai en calculant le produit de la concentration volumique et du volume de gaz considéré et en se fondant sur les valeurs de masse volumique suivantes dans les conditions de référence précitées:</w:t>
      </w:r>
    </w:p>
    <w:tbl>
      <w:tblPr>
        <w:tblW w:w="6237" w:type="dxa"/>
        <w:tblInd w:w="2268" w:type="dxa"/>
        <w:tblLayout w:type="fixed"/>
        <w:tblCellMar>
          <w:left w:w="57" w:type="dxa"/>
          <w:right w:w="57" w:type="dxa"/>
        </w:tblCellMar>
        <w:tblLook w:val="01E0" w:firstRow="1" w:lastRow="1" w:firstColumn="1" w:lastColumn="1" w:noHBand="0" w:noVBand="0"/>
      </w:tblPr>
      <w:tblGrid>
        <w:gridCol w:w="3889"/>
        <w:gridCol w:w="2348"/>
      </w:tblGrid>
      <w:tr w:rsidR="009F7CF6" w:rsidRPr="007E29C4" w:rsidTr="00CB332B">
        <w:tc>
          <w:tcPr>
            <w:tcW w:w="3889" w:type="dxa"/>
            <w:shd w:val="clear" w:color="auto" w:fill="auto"/>
          </w:tcPr>
          <w:p w:rsidR="009F7CF6" w:rsidRPr="007E29C4" w:rsidRDefault="009F7CF6" w:rsidP="00CB332B">
            <w:pPr>
              <w:spacing w:after="120"/>
              <w:rPr>
                <w:lang w:val="fr-FR"/>
              </w:rPr>
            </w:pPr>
            <w:r w:rsidRPr="007E29C4">
              <w:rPr>
                <w:lang w:val="fr-FR"/>
              </w:rPr>
              <w:t>Dans le cas du monoxyde de carbone (CO):</w:t>
            </w:r>
          </w:p>
        </w:tc>
        <w:tc>
          <w:tcPr>
            <w:tcW w:w="2348" w:type="dxa"/>
            <w:shd w:val="clear" w:color="auto" w:fill="auto"/>
          </w:tcPr>
          <w:p w:rsidR="009F7CF6" w:rsidRPr="007E29C4" w:rsidRDefault="009F7CF6" w:rsidP="00CB332B">
            <w:pPr>
              <w:spacing w:after="120"/>
              <w:rPr>
                <w:lang w:val="fr-FR"/>
              </w:rPr>
            </w:pPr>
            <w:r w:rsidRPr="007E29C4">
              <w:rPr>
                <w:lang w:val="fr-FR"/>
              </w:rPr>
              <w:t>d = 1,25 g/l</w:t>
            </w:r>
          </w:p>
        </w:tc>
      </w:tr>
      <w:tr w:rsidR="009F7CF6" w:rsidRPr="007E29C4" w:rsidTr="00CB332B">
        <w:tc>
          <w:tcPr>
            <w:tcW w:w="3889" w:type="dxa"/>
            <w:shd w:val="clear" w:color="auto" w:fill="auto"/>
          </w:tcPr>
          <w:p w:rsidR="009F7CF6" w:rsidRPr="007E29C4" w:rsidRDefault="009F7CF6" w:rsidP="00CB332B">
            <w:pPr>
              <w:spacing w:after="120"/>
              <w:rPr>
                <w:lang w:val="fr-FR"/>
              </w:rPr>
            </w:pPr>
            <w:r w:rsidRPr="007E29C4">
              <w:rPr>
                <w:lang w:val="fr-FR"/>
              </w:rPr>
              <w:t xml:space="preserve">Dans le cas des hydrocarbures: </w:t>
            </w:r>
          </w:p>
        </w:tc>
        <w:tc>
          <w:tcPr>
            <w:tcW w:w="2348" w:type="dxa"/>
            <w:shd w:val="clear" w:color="auto" w:fill="auto"/>
          </w:tcPr>
          <w:p w:rsidR="009F7CF6" w:rsidRPr="007E29C4" w:rsidRDefault="009F7CF6" w:rsidP="00CB332B">
            <w:pPr>
              <w:spacing w:after="120"/>
              <w:rPr>
                <w:lang w:val="fr-FR"/>
              </w:rPr>
            </w:pPr>
          </w:p>
        </w:tc>
      </w:tr>
      <w:tr w:rsidR="009F7CF6" w:rsidRPr="007E29C4" w:rsidTr="00CB332B">
        <w:tc>
          <w:tcPr>
            <w:tcW w:w="3889" w:type="dxa"/>
            <w:shd w:val="clear" w:color="auto" w:fill="auto"/>
          </w:tcPr>
          <w:p w:rsidR="009F7CF6" w:rsidRPr="007E29C4" w:rsidRDefault="009F7CF6" w:rsidP="00CB332B">
            <w:pPr>
              <w:spacing w:after="120"/>
              <w:rPr>
                <w:lang w:val="fr-FR"/>
              </w:rPr>
            </w:pPr>
            <w:r w:rsidRPr="007E29C4">
              <w:rPr>
                <w:lang w:val="fr-FR"/>
              </w:rPr>
              <w:t>Pour l</w:t>
            </w:r>
            <w:r w:rsidR="00DB4C2D">
              <w:rPr>
                <w:lang w:val="fr-FR"/>
              </w:rPr>
              <w:t>’</w:t>
            </w:r>
            <w:r w:rsidRPr="007E29C4">
              <w:rPr>
                <w:lang w:val="fr-FR"/>
              </w:rPr>
              <w:t>essence (E5) (C</w:t>
            </w:r>
            <w:r w:rsidRPr="007E29C4">
              <w:rPr>
                <w:vertAlign w:val="subscript"/>
                <w:lang w:val="fr-FR"/>
              </w:rPr>
              <w:t>1</w:t>
            </w:r>
            <w:r w:rsidRPr="007E29C4">
              <w:rPr>
                <w:lang w:val="fr-FR"/>
              </w:rPr>
              <w:t>H</w:t>
            </w:r>
            <w:r w:rsidRPr="007E29C4">
              <w:rPr>
                <w:vertAlign w:val="subscript"/>
                <w:lang w:val="fr-FR"/>
              </w:rPr>
              <w:t>1.89</w:t>
            </w:r>
            <w:r w:rsidRPr="007E29C4">
              <w:rPr>
                <w:lang w:val="fr-FR"/>
              </w:rPr>
              <w:t>O</w:t>
            </w:r>
            <w:r w:rsidRPr="007E29C4">
              <w:rPr>
                <w:vertAlign w:val="subscript"/>
                <w:lang w:val="fr-FR"/>
              </w:rPr>
              <w:t>0.016</w:t>
            </w:r>
            <w:r w:rsidRPr="007E29C4">
              <w:rPr>
                <w:lang w:val="fr-FR"/>
              </w:rPr>
              <w:t>)</w:t>
            </w:r>
          </w:p>
        </w:tc>
        <w:tc>
          <w:tcPr>
            <w:tcW w:w="2348" w:type="dxa"/>
            <w:shd w:val="clear" w:color="auto" w:fill="auto"/>
          </w:tcPr>
          <w:p w:rsidR="009F7CF6" w:rsidRPr="007E29C4" w:rsidRDefault="009F7CF6" w:rsidP="00CB332B">
            <w:pPr>
              <w:spacing w:after="120"/>
              <w:rPr>
                <w:lang w:val="fr-FR"/>
              </w:rPr>
            </w:pPr>
            <w:r w:rsidRPr="007E29C4">
              <w:rPr>
                <w:lang w:val="fr-FR"/>
              </w:rPr>
              <w:t>d = 0,631 g/l</w:t>
            </w:r>
          </w:p>
        </w:tc>
      </w:tr>
      <w:tr w:rsidR="009F7CF6" w:rsidRPr="007E29C4" w:rsidTr="00CB332B">
        <w:tc>
          <w:tcPr>
            <w:tcW w:w="3889" w:type="dxa"/>
            <w:shd w:val="clear" w:color="auto" w:fill="auto"/>
          </w:tcPr>
          <w:p w:rsidR="009F7CF6" w:rsidRPr="007E29C4" w:rsidRDefault="009F7CF6" w:rsidP="00CB332B">
            <w:pPr>
              <w:spacing w:after="120"/>
              <w:rPr>
                <w:lang w:val="fr-FR"/>
              </w:rPr>
            </w:pPr>
            <w:r w:rsidRPr="007E29C4">
              <w:rPr>
                <w:lang w:val="fr-FR"/>
              </w:rPr>
              <w:t>Pour l</w:t>
            </w:r>
            <w:r w:rsidR="00DB4C2D">
              <w:rPr>
                <w:lang w:val="fr-FR"/>
              </w:rPr>
              <w:t>’</w:t>
            </w:r>
            <w:r w:rsidRPr="007E29C4">
              <w:rPr>
                <w:lang w:val="fr-FR"/>
              </w:rPr>
              <w:t>essence (E10) (C</w:t>
            </w:r>
            <w:r w:rsidRPr="007E29C4">
              <w:rPr>
                <w:vertAlign w:val="subscript"/>
                <w:lang w:val="fr-FR"/>
              </w:rPr>
              <w:t>1</w:t>
            </w:r>
            <w:r w:rsidRPr="007E29C4">
              <w:rPr>
                <w:lang w:val="fr-FR"/>
              </w:rPr>
              <w:t>H</w:t>
            </w:r>
            <w:r w:rsidRPr="007E29C4">
              <w:rPr>
                <w:vertAlign w:val="subscript"/>
                <w:lang w:val="fr-FR"/>
              </w:rPr>
              <w:t>1.93</w:t>
            </w:r>
            <w:r w:rsidRPr="007E29C4">
              <w:rPr>
                <w:lang w:val="fr-FR"/>
              </w:rPr>
              <w:t>O</w:t>
            </w:r>
            <w:r w:rsidRPr="007E29C4">
              <w:rPr>
                <w:vertAlign w:val="subscript"/>
                <w:lang w:val="fr-FR"/>
              </w:rPr>
              <w:t>0.033</w:t>
            </w:r>
            <w:r w:rsidRPr="007E29C4">
              <w:rPr>
                <w:lang w:val="fr-FR"/>
              </w:rPr>
              <w:t>)</w:t>
            </w:r>
          </w:p>
        </w:tc>
        <w:tc>
          <w:tcPr>
            <w:tcW w:w="2348" w:type="dxa"/>
            <w:shd w:val="clear" w:color="auto" w:fill="auto"/>
          </w:tcPr>
          <w:p w:rsidR="009F7CF6" w:rsidRPr="007E29C4" w:rsidRDefault="009F7CF6" w:rsidP="00CB332B">
            <w:pPr>
              <w:spacing w:after="120"/>
              <w:rPr>
                <w:lang w:val="fr-FR"/>
              </w:rPr>
            </w:pPr>
            <w:r w:rsidRPr="007E29C4">
              <w:rPr>
                <w:lang w:val="fr-FR"/>
              </w:rPr>
              <w:t>d = 0,645 g/l</w:t>
            </w:r>
          </w:p>
        </w:tc>
      </w:tr>
      <w:tr w:rsidR="009F7CF6" w:rsidRPr="007E29C4" w:rsidTr="00CB332B">
        <w:tc>
          <w:tcPr>
            <w:tcW w:w="3889" w:type="dxa"/>
            <w:shd w:val="clear" w:color="auto" w:fill="auto"/>
          </w:tcPr>
          <w:p w:rsidR="009F7CF6" w:rsidRPr="007E29C4" w:rsidRDefault="009F7CF6" w:rsidP="00CB332B">
            <w:pPr>
              <w:spacing w:after="120"/>
              <w:rPr>
                <w:lang w:val="fr-FR"/>
              </w:rPr>
            </w:pPr>
            <w:r w:rsidRPr="007E29C4">
              <w:rPr>
                <w:lang w:val="fr-FR"/>
              </w:rPr>
              <w:t>Pour le gazole (B5) (C</w:t>
            </w:r>
            <w:r w:rsidRPr="007E29C4">
              <w:rPr>
                <w:vertAlign w:val="subscript"/>
                <w:lang w:val="fr-FR"/>
              </w:rPr>
              <w:t>1</w:t>
            </w:r>
            <w:r w:rsidRPr="007E29C4">
              <w:rPr>
                <w:lang w:val="fr-FR"/>
              </w:rPr>
              <w:t>H</w:t>
            </w:r>
            <w:r w:rsidRPr="007E29C4">
              <w:rPr>
                <w:vertAlign w:val="subscript"/>
                <w:lang w:val="fr-FR"/>
              </w:rPr>
              <w:t>1.86</w:t>
            </w:r>
            <w:r w:rsidRPr="007E29C4">
              <w:rPr>
                <w:lang w:val="fr-FR"/>
              </w:rPr>
              <w:t>O</w:t>
            </w:r>
            <w:r w:rsidRPr="007E29C4">
              <w:rPr>
                <w:vertAlign w:val="subscript"/>
                <w:lang w:val="fr-FR"/>
              </w:rPr>
              <w:t>0.005</w:t>
            </w:r>
            <w:r w:rsidRPr="007E29C4">
              <w:rPr>
                <w:lang w:val="fr-FR"/>
              </w:rPr>
              <w:t>)</w:t>
            </w:r>
          </w:p>
        </w:tc>
        <w:tc>
          <w:tcPr>
            <w:tcW w:w="2348" w:type="dxa"/>
            <w:shd w:val="clear" w:color="auto" w:fill="auto"/>
          </w:tcPr>
          <w:p w:rsidR="009F7CF6" w:rsidRPr="007E29C4" w:rsidRDefault="009F7CF6" w:rsidP="00CB332B">
            <w:pPr>
              <w:spacing w:after="120"/>
              <w:rPr>
                <w:lang w:val="fr-FR"/>
              </w:rPr>
            </w:pPr>
            <w:r w:rsidRPr="007E29C4">
              <w:rPr>
                <w:lang w:val="fr-FR"/>
              </w:rPr>
              <w:t>d = 0,622 g/l</w:t>
            </w:r>
          </w:p>
        </w:tc>
      </w:tr>
      <w:tr w:rsidR="009F7CF6" w:rsidRPr="007E29C4" w:rsidTr="00CB332B">
        <w:tc>
          <w:tcPr>
            <w:tcW w:w="3889" w:type="dxa"/>
            <w:shd w:val="clear" w:color="auto" w:fill="auto"/>
          </w:tcPr>
          <w:p w:rsidR="009F7CF6" w:rsidRPr="007E29C4" w:rsidRDefault="009F7CF6" w:rsidP="00CB332B">
            <w:pPr>
              <w:spacing w:after="120"/>
              <w:rPr>
                <w:lang w:val="fr-FR"/>
              </w:rPr>
            </w:pPr>
            <w:r w:rsidRPr="007E29C4">
              <w:rPr>
                <w:lang w:val="fr-FR"/>
              </w:rPr>
              <w:t>Pour le gazole (B7) (C</w:t>
            </w:r>
            <w:r w:rsidRPr="007E29C4">
              <w:rPr>
                <w:vertAlign w:val="subscript"/>
                <w:lang w:val="fr-FR"/>
              </w:rPr>
              <w:t>1</w:t>
            </w:r>
            <w:r w:rsidRPr="007E29C4">
              <w:rPr>
                <w:lang w:val="fr-FR"/>
              </w:rPr>
              <w:t>H</w:t>
            </w:r>
            <w:r w:rsidRPr="007E29C4">
              <w:rPr>
                <w:vertAlign w:val="subscript"/>
                <w:lang w:val="fr-FR"/>
              </w:rPr>
              <w:t>1.86</w:t>
            </w:r>
            <w:r w:rsidRPr="007E29C4">
              <w:rPr>
                <w:lang w:val="fr-FR"/>
              </w:rPr>
              <w:t>O</w:t>
            </w:r>
            <w:r w:rsidRPr="007E29C4">
              <w:rPr>
                <w:vertAlign w:val="subscript"/>
                <w:lang w:val="fr-FR"/>
              </w:rPr>
              <w:t>0.007</w:t>
            </w:r>
            <w:r w:rsidRPr="007E29C4">
              <w:rPr>
                <w:lang w:val="fr-FR"/>
              </w:rPr>
              <w:t>)</w:t>
            </w:r>
          </w:p>
        </w:tc>
        <w:tc>
          <w:tcPr>
            <w:tcW w:w="2348" w:type="dxa"/>
            <w:shd w:val="clear" w:color="auto" w:fill="auto"/>
          </w:tcPr>
          <w:p w:rsidR="009F7CF6" w:rsidRPr="007E29C4" w:rsidRDefault="009F7CF6" w:rsidP="00CB332B">
            <w:pPr>
              <w:spacing w:after="120"/>
              <w:rPr>
                <w:lang w:val="fr-FR"/>
              </w:rPr>
            </w:pPr>
            <w:r w:rsidRPr="007E29C4">
              <w:rPr>
                <w:lang w:val="fr-FR"/>
              </w:rPr>
              <w:t>d = 0,623 g/l</w:t>
            </w:r>
          </w:p>
        </w:tc>
      </w:tr>
      <w:tr w:rsidR="009F7CF6" w:rsidRPr="007E29C4" w:rsidTr="00CB332B">
        <w:tc>
          <w:tcPr>
            <w:tcW w:w="3889" w:type="dxa"/>
            <w:shd w:val="clear" w:color="auto" w:fill="auto"/>
          </w:tcPr>
          <w:p w:rsidR="009F7CF6" w:rsidRPr="007E29C4" w:rsidRDefault="009F7CF6" w:rsidP="00CB332B">
            <w:pPr>
              <w:spacing w:after="120"/>
              <w:rPr>
                <w:lang w:val="fr-FR"/>
              </w:rPr>
            </w:pPr>
            <w:r w:rsidRPr="007E29C4">
              <w:rPr>
                <w:lang w:val="fr-FR"/>
              </w:rPr>
              <w:t>Pour le GPL (C</w:t>
            </w:r>
            <w:r w:rsidRPr="007E29C4">
              <w:rPr>
                <w:vertAlign w:val="subscript"/>
                <w:lang w:val="fr-FR"/>
              </w:rPr>
              <w:t>1</w:t>
            </w:r>
            <w:r w:rsidRPr="007E29C4">
              <w:rPr>
                <w:lang w:val="fr-FR"/>
              </w:rPr>
              <w:t>H</w:t>
            </w:r>
            <w:r w:rsidRPr="007E29C4">
              <w:rPr>
                <w:vertAlign w:val="subscript"/>
                <w:lang w:val="fr-FR"/>
              </w:rPr>
              <w:t>2.525</w:t>
            </w:r>
            <w:r w:rsidRPr="007E29C4">
              <w:rPr>
                <w:lang w:val="fr-FR"/>
              </w:rPr>
              <w:t>)</w:t>
            </w:r>
          </w:p>
        </w:tc>
        <w:tc>
          <w:tcPr>
            <w:tcW w:w="2348" w:type="dxa"/>
            <w:shd w:val="clear" w:color="auto" w:fill="auto"/>
          </w:tcPr>
          <w:p w:rsidR="009F7CF6" w:rsidRPr="007E29C4" w:rsidRDefault="009F7CF6" w:rsidP="00CB332B">
            <w:pPr>
              <w:spacing w:after="120"/>
              <w:rPr>
                <w:lang w:val="fr-FR"/>
              </w:rPr>
            </w:pPr>
            <w:r w:rsidRPr="007E29C4">
              <w:rPr>
                <w:lang w:val="fr-FR"/>
              </w:rPr>
              <w:t>d = 0,649 g/l</w:t>
            </w:r>
          </w:p>
        </w:tc>
      </w:tr>
      <w:tr w:rsidR="009F7CF6" w:rsidRPr="007E29C4" w:rsidTr="00CB332B">
        <w:tc>
          <w:tcPr>
            <w:tcW w:w="3889" w:type="dxa"/>
            <w:shd w:val="clear" w:color="auto" w:fill="auto"/>
          </w:tcPr>
          <w:p w:rsidR="009F7CF6" w:rsidRPr="007E29C4" w:rsidRDefault="009F7CF6" w:rsidP="00CB332B">
            <w:pPr>
              <w:spacing w:after="120"/>
              <w:rPr>
                <w:lang w:val="fr-FR"/>
              </w:rPr>
            </w:pPr>
            <w:r w:rsidRPr="007E29C4">
              <w:rPr>
                <w:lang w:val="fr-FR"/>
              </w:rPr>
              <w:t>Pour le GN/</w:t>
            </w:r>
            <w:proofErr w:type="spellStart"/>
            <w:r w:rsidRPr="007E29C4">
              <w:rPr>
                <w:lang w:val="fr-FR"/>
              </w:rPr>
              <w:t>biométhane</w:t>
            </w:r>
            <w:proofErr w:type="spellEnd"/>
            <w:r w:rsidRPr="007E29C4">
              <w:rPr>
                <w:lang w:val="fr-FR"/>
              </w:rPr>
              <w:t xml:space="preserve"> (C</w:t>
            </w:r>
            <w:r w:rsidRPr="007E29C4">
              <w:rPr>
                <w:vertAlign w:val="subscript"/>
                <w:lang w:val="fr-FR"/>
              </w:rPr>
              <w:t>1</w:t>
            </w:r>
            <w:r w:rsidRPr="007E29C4">
              <w:rPr>
                <w:lang w:val="fr-FR"/>
              </w:rPr>
              <w:t>H</w:t>
            </w:r>
            <w:r w:rsidRPr="007E29C4">
              <w:rPr>
                <w:vertAlign w:val="subscript"/>
                <w:lang w:val="fr-FR"/>
              </w:rPr>
              <w:t>4</w:t>
            </w:r>
            <w:r w:rsidRPr="007E29C4">
              <w:rPr>
                <w:lang w:val="fr-FR"/>
              </w:rPr>
              <w:t>)</w:t>
            </w:r>
          </w:p>
        </w:tc>
        <w:tc>
          <w:tcPr>
            <w:tcW w:w="2348" w:type="dxa"/>
            <w:shd w:val="clear" w:color="auto" w:fill="auto"/>
          </w:tcPr>
          <w:p w:rsidR="009F7CF6" w:rsidRPr="007E29C4" w:rsidRDefault="009F7CF6" w:rsidP="00CB332B">
            <w:pPr>
              <w:spacing w:after="120"/>
              <w:rPr>
                <w:lang w:val="fr-FR"/>
              </w:rPr>
            </w:pPr>
            <w:r w:rsidRPr="007E29C4">
              <w:rPr>
                <w:lang w:val="fr-FR"/>
              </w:rPr>
              <w:t>d = 0,714 g/l</w:t>
            </w:r>
          </w:p>
        </w:tc>
      </w:tr>
      <w:tr w:rsidR="009F7CF6" w:rsidRPr="007E29C4" w:rsidTr="00CB332B">
        <w:tc>
          <w:tcPr>
            <w:tcW w:w="3889" w:type="dxa"/>
            <w:shd w:val="clear" w:color="auto" w:fill="auto"/>
          </w:tcPr>
          <w:p w:rsidR="009F7CF6" w:rsidRPr="007E29C4" w:rsidRDefault="009F7CF6" w:rsidP="00CB332B">
            <w:pPr>
              <w:spacing w:after="120"/>
              <w:rPr>
                <w:lang w:val="es-BO"/>
              </w:rPr>
            </w:pPr>
            <w:proofErr w:type="spellStart"/>
            <w:r w:rsidRPr="007E29C4">
              <w:rPr>
                <w:lang w:val="es-BO"/>
              </w:rPr>
              <w:t>Pour</w:t>
            </w:r>
            <w:proofErr w:type="spellEnd"/>
            <w:r w:rsidRPr="007E29C4">
              <w:rPr>
                <w:lang w:val="es-BO"/>
              </w:rPr>
              <w:t xml:space="preserve"> </w:t>
            </w:r>
            <w:proofErr w:type="spellStart"/>
            <w:r w:rsidRPr="007E29C4">
              <w:rPr>
                <w:lang w:val="es-BO"/>
              </w:rPr>
              <w:t>l</w:t>
            </w:r>
            <w:r w:rsidR="00DB4C2D">
              <w:rPr>
                <w:lang w:val="es-BO"/>
              </w:rPr>
              <w:t>’</w:t>
            </w:r>
            <w:r w:rsidRPr="007E29C4">
              <w:rPr>
                <w:lang w:val="es-BO"/>
              </w:rPr>
              <w:t>éthanol</w:t>
            </w:r>
            <w:proofErr w:type="spellEnd"/>
            <w:r w:rsidRPr="007E29C4">
              <w:rPr>
                <w:lang w:val="es-BO"/>
              </w:rPr>
              <w:t xml:space="preserve"> (E85) (C</w:t>
            </w:r>
            <w:r w:rsidRPr="007E29C4">
              <w:rPr>
                <w:vertAlign w:val="subscript"/>
                <w:lang w:val="es-BO"/>
              </w:rPr>
              <w:t>1</w:t>
            </w:r>
            <w:r w:rsidRPr="007E29C4">
              <w:rPr>
                <w:lang w:val="es-BO"/>
              </w:rPr>
              <w:t>H</w:t>
            </w:r>
            <w:r w:rsidRPr="007E29C4">
              <w:rPr>
                <w:vertAlign w:val="subscript"/>
                <w:lang w:val="es-BO"/>
              </w:rPr>
              <w:t>2.74</w:t>
            </w:r>
            <w:r w:rsidRPr="007E29C4">
              <w:rPr>
                <w:lang w:val="es-BO"/>
              </w:rPr>
              <w:t>O</w:t>
            </w:r>
            <w:r w:rsidRPr="007E29C4">
              <w:rPr>
                <w:vertAlign w:val="subscript"/>
                <w:lang w:val="es-BO"/>
              </w:rPr>
              <w:t>0.385</w:t>
            </w:r>
            <w:r w:rsidRPr="007E29C4">
              <w:rPr>
                <w:lang w:val="es-BO"/>
              </w:rPr>
              <w:t>)</w:t>
            </w:r>
          </w:p>
        </w:tc>
        <w:tc>
          <w:tcPr>
            <w:tcW w:w="2348" w:type="dxa"/>
            <w:shd w:val="clear" w:color="auto" w:fill="auto"/>
          </w:tcPr>
          <w:p w:rsidR="009F7CF6" w:rsidRPr="007E29C4" w:rsidRDefault="009F7CF6" w:rsidP="00CB332B">
            <w:pPr>
              <w:spacing w:after="120"/>
              <w:rPr>
                <w:lang w:val="fr-FR"/>
              </w:rPr>
            </w:pPr>
            <w:r w:rsidRPr="007E29C4">
              <w:rPr>
                <w:lang w:val="fr-FR"/>
              </w:rPr>
              <w:t>d = 0,932 g/l</w:t>
            </w:r>
          </w:p>
        </w:tc>
      </w:tr>
      <w:tr w:rsidR="009F7CF6" w:rsidRPr="007E29C4" w:rsidTr="00CB332B">
        <w:tc>
          <w:tcPr>
            <w:tcW w:w="3889" w:type="dxa"/>
            <w:shd w:val="clear" w:color="auto" w:fill="auto"/>
          </w:tcPr>
          <w:p w:rsidR="009F7CF6" w:rsidRPr="007E29C4" w:rsidRDefault="009F7CF6" w:rsidP="00CB332B">
            <w:pPr>
              <w:spacing w:after="120"/>
              <w:rPr>
                <w:lang w:val="es-BO"/>
              </w:rPr>
            </w:pPr>
            <w:proofErr w:type="spellStart"/>
            <w:r w:rsidRPr="007E29C4">
              <w:rPr>
                <w:lang w:val="es-BO"/>
              </w:rPr>
              <w:t>Pour</w:t>
            </w:r>
            <w:proofErr w:type="spellEnd"/>
            <w:r w:rsidRPr="007E29C4">
              <w:rPr>
                <w:lang w:val="es-BO"/>
              </w:rPr>
              <w:t xml:space="preserve"> </w:t>
            </w:r>
            <w:proofErr w:type="spellStart"/>
            <w:r w:rsidRPr="007E29C4">
              <w:rPr>
                <w:lang w:val="es-BO"/>
              </w:rPr>
              <w:t>l</w:t>
            </w:r>
            <w:r w:rsidR="00DB4C2D">
              <w:rPr>
                <w:lang w:val="es-BO"/>
              </w:rPr>
              <w:t>’</w:t>
            </w:r>
            <w:r w:rsidRPr="007E29C4">
              <w:rPr>
                <w:lang w:val="es-BO"/>
              </w:rPr>
              <w:t>éthanol</w:t>
            </w:r>
            <w:proofErr w:type="spellEnd"/>
            <w:r w:rsidRPr="007E29C4">
              <w:rPr>
                <w:lang w:val="es-BO"/>
              </w:rPr>
              <w:t xml:space="preserve"> (E75) (C</w:t>
            </w:r>
            <w:r w:rsidRPr="007E29C4">
              <w:rPr>
                <w:vertAlign w:val="subscript"/>
                <w:lang w:val="es-BO"/>
              </w:rPr>
              <w:t>1</w:t>
            </w:r>
            <w:r w:rsidRPr="007E29C4">
              <w:rPr>
                <w:lang w:val="es-BO"/>
              </w:rPr>
              <w:t>H</w:t>
            </w:r>
            <w:r w:rsidRPr="007E29C4">
              <w:rPr>
                <w:vertAlign w:val="subscript"/>
                <w:lang w:val="es-BO"/>
              </w:rPr>
              <w:t>2,61</w:t>
            </w:r>
            <w:r w:rsidRPr="007E29C4">
              <w:rPr>
                <w:lang w:val="es-BO"/>
              </w:rPr>
              <w:t>O</w:t>
            </w:r>
            <w:r w:rsidRPr="007E29C4">
              <w:rPr>
                <w:vertAlign w:val="subscript"/>
                <w:lang w:val="es-BO"/>
              </w:rPr>
              <w:t>0,329</w:t>
            </w:r>
            <w:r w:rsidRPr="007E29C4">
              <w:rPr>
                <w:lang w:val="es-BO"/>
              </w:rPr>
              <w:t xml:space="preserve"> </w:t>
            </w:r>
          </w:p>
        </w:tc>
        <w:tc>
          <w:tcPr>
            <w:tcW w:w="2348" w:type="dxa"/>
            <w:shd w:val="clear" w:color="auto" w:fill="auto"/>
          </w:tcPr>
          <w:p w:rsidR="009F7CF6" w:rsidRPr="007E29C4" w:rsidRDefault="009F7CF6" w:rsidP="00CB332B">
            <w:pPr>
              <w:spacing w:after="120"/>
              <w:rPr>
                <w:lang w:val="fr-FR"/>
              </w:rPr>
            </w:pPr>
            <w:r w:rsidRPr="007E29C4">
              <w:rPr>
                <w:lang w:val="fr-FR"/>
              </w:rPr>
              <w:t>d = 0,886 g/l</w:t>
            </w:r>
          </w:p>
        </w:tc>
      </w:tr>
      <w:tr w:rsidR="009F7CF6" w:rsidRPr="007E29C4" w:rsidTr="00CB332B">
        <w:tc>
          <w:tcPr>
            <w:tcW w:w="3889" w:type="dxa"/>
            <w:shd w:val="clear" w:color="auto" w:fill="auto"/>
          </w:tcPr>
          <w:p w:rsidR="009F7CF6" w:rsidRPr="007E29C4" w:rsidRDefault="009F7CF6" w:rsidP="00CB332B">
            <w:pPr>
              <w:spacing w:after="120"/>
              <w:rPr>
                <w:lang w:val="fr-FR"/>
              </w:rPr>
            </w:pPr>
            <w:r w:rsidRPr="007E29C4">
              <w:rPr>
                <w:lang w:val="fr-FR"/>
              </w:rPr>
              <w:t>Pour les oxydes d</w:t>
            </w:r>
            <w:r w:rsidR="00DB4C2D">
              <w:rPr>
                <w:lang w:val="fr-FR"/>
              </w:rPr>
              <w:t>’</w:t>
            </w:r>
            <w:r w:rsidRPr="007E29C4">
              <w:rPr>
                <w:lang w:val="fr-FR"/>
              </w:rPr>
              <w:t>azote (</w:t>
            </w:r>
            <w:proofErr w:type="spellStart"/>
            <w:r w:rsidRPr="007E29C4">
              <w:rPr>
                <w:lang w:val="fr-FR"/>
              </w:rPr>
              <w:t>NO</w:t>
            </w:r>
            <w:r w:rsidRPr="007E29C4">
              <w:rPr>
                <w:vertAlign w:val="subscript"/>
                <w:lang w:val="fr-FR"/>
              </w:rPr>
              <w:t>x</w:t>
            </w:r>
            <w:proofErr w:type="spellEnd"/>
            <w:r w:rsidRPr="007E29C4">
              <w:rPr>
                <w:lang w:val="fr-FR"/>
              </w:rPr>
              <w:t>):</w:t>
            </w:r>
          </w:p>
        </w:tc>
        <w:tc>
          <w:tcPr>
            <w:tcW w:w="2348" w:type="dxa"/>
            <w:shd w:val="clear" w:color="auto" w:fill="auto"/>
          </w:tcPr>
          <w:p w:rsidR="009F7CF6" w:rsidRPr="007E29C4" w:rsidRDefault="009F7CF6" w:rsidP="00CB332B">
            <w:pPr>
              <w:spacing w:after="120"/>
              <w:rPr>
                <w:lang w:val="fr-FR"/>
              </w:rPr>
            </w:pPr>
            <w:r w:rsidRPr="007E29C4">
              <w:rPr>
                <w:lang w:val="fr-FR"/>
              </w:rPr>
              <w:t>d = 2,05 g/l</w:t>
            </w:r>
          </w:p>
        </w:tc>
      </w:tr>
    </w:tbl>
    <w:p w:rsidR="009F7CF6" w:rsidRPr="00A779B8" w:rsidRDefault="009F7CF6" w:rsidP="009F7CF6">
      <w:pPr>
        <w:pStyle w:val="SingleTxtG"/>
        <w:keepNext/>
        <w:ind w:left="2268" w:hanging="1134"/>
        <w:rPr>
          <w:lang w:val="fr-FR"/>
        </w:rPr>
      </w:pPr>
      <w:r w:rsidRPr="00A779B8">
        <w:rPr>
          <w:lang w:val="fr-FR"/>
        </w:rPr>
        <w:lastRenderedPageBreak/>
        <w:t>6.6.3</w:t>
      </w:r>
      <w:r w:rsidRPr="00A779B8">
        <w:rPr>
          <w:lang w:val="fr-FR"/>
        </w:rPr>
        <w:tab/>
        <w:t>On calcule les émissions massiques de polluants gazeux avec l</w:t>
      </w:r>
      <w:r w:rsidR="00DB4C2D">
        <w:rPr>
          <w:lang w:val="fr-FR"/>
        </w:rPr>
        <w:t>’</w:t>
      </w:r>
      <w:r w:rsidRPr="00A779B8">
        <w:rPr>
          <w:lang w:val="fr-FR"/>
        </w:rPr>
        <w:t>équation suivante:</w:t>
      </w:r>
    </w:p>
    <w:p w:rsidR="009F7CF6" w:rsidRPr="00A779B8" w:rsidRDefault="009F7CF6" w:rsidP="009F7CF6">
      <w:pPr>
        <w:pStyle w:val="SingleTxtG"/>
        <w:tabs>
          <w:tab w:val="right" w:pos="8505"/>
        </w:tabs>
        <w:ind w:left="2268"/>
        <w:rPr>
          <w:lang w:val="fr-FR"/>
        </w:rPr>
      </w:pPr>
      <w:r w:rsidRPr="00A779B8">
        <w:rPr>
          <w:position w:val="-22"/>
          <w:lang w:val="fr-FR"/>
        </w:rPr>
        <w:object w:dxaOrig="2380" w:dyaOrig="600">
          <v:shape id="_x0000_i1047" type="#_x0000_t75" style="width:118.85pt;height:29.9pt" o:ole="" fillcolor="window">
            <v:imagedata r:id="rId77" o:title=""/>
          </v:shape>
          <o:OLEObject Type="Embed" ProgID="Equation.3" ShapeID="_x0000_i1047" DrawAspect="Content" ObjectID="_1490178414" r:id="rId78"/>
        </w:object>
      </w:r>
      <w:r w:rsidRPr="00A779B8">
        <w:rPr>
          <w:lang w:val="fr-FR"/>
        </w:rPr>
        <w:tab/>
        <w:t>(3)</w:t>
      </w:r>
    </w:p>
    <w:p w:rsidR="009F7CF6" w:rsidRPr="00A779B8" w:rsidRDefault="009F7CF6" w:rsidP="009F7CF6">
      <w:pPr>
        <w:pStyle w:val="SingleTxtG"/>
        <w:keepNex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9F7CF6" w:rsidRPr="007E29C4" w:rsidTr="00CB332B">
        <w:tc>
          <w:tcPr>
            <w:tcW w:w="567" w:type="dxa"/>
            <w:shd w:val="clear" w:color="auto" w:fill="auto"/>
          </w:tcPr>
          <w:p w:rsidR="009F7CF6" w:rsidRPr="007E29C4" w:rsidRDefault="009F7CF6" w:rsidP="00CB332B">
            <w:pPr>
              <w:spacing w:after="120"/>
              <w:rPr>
                <w:lang w:val="fr-FR"/>
              </w:rPr>
            </w:pPr>
            <w:r w:rsidRPr="007E29C4">
              <w:rPr>
                <w:lang w:val="fr-FR"/>
              </w:rPr>
              <w:t>M</w:t>
            </w:r>
            <w:r w:rsidRPr="007E29C4">
              <w:rPr>
                <w:vertAlign w:val="subscript"/>
                <w:lang w:val="fr-FR"/>
              </w:rPr>
              <w:t>i</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émissions massiques du polluant i en g/km,</w:t>
            </w:r>
          </w:p>
        </w:tc>
      </w:tr>
      <w:tr w:rsidR="009F7CF6" w:rsidRPr="007E29C4" w:rsidTr="00CB332B">
        <w:tc>
          <w:tcPr>
            <w:tcW w:w="567" w:type="dxa"/>
            <w:shd w:val="clear" w:color="auto" w:fill="auto"/>
          </w:tcPr>
          <w:p w:rsidR="009F7CF6" w:rsidRPr="007E29C4" w:rsidRDefault="009F7CF6" w:rsidP="00CB332B">
            <w:pPr>
              <w:spacing w:after="120"/>
              <w:rPr>
                <w:lang w:val="fr-FR"/>
              </w:rPr>
            </w:pPr>
            <w:proofErr w:type="spellStart"/>
            <w:r w:rsidRPr="007E29C4">
              <w:rPr>
                <w:lang w:val="fr-FR"/>
              </w:rPr>
              <w:t>V</w:t>
            </w:r>
            <w:r w:rsidRPr="007E29C4">
              <w:rPr>
                <w:vertAlign w:val="subscript"/>
                <w:lang w:val="fr-FR"/>
              </w:rPr>
              <w:t>mix</w:t>
            </w:r>
            <w:proofErr w:type="spellEnd"/>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volume des gaz d</w:t>
            </w:r>
            <w:r w:rsidR="00DB4C2D">
              <w:rPr>
                <w:lang w:val="fr-FR"/>
              </w:rPr>
              <w:t>’</w:t>
            </w:r>
            <w:r w:rsidRPr="007E29C4">
              <w:rPr>
                <w:lang w:val="fr-FR"/>
              </w:rPr>
              <w:t>échappement dilués, exprimés en l/essai et ramené aux conditions normales (273,2 K et 101,33 kPa),</w:t>
            </w:r>
          </w:p>
        </w:tc>
      </w:tr>
      <w:tr w:rsidR="009F7CF6" w:rsidRPr="007E29C4" w:rsidTr="00CB332B">
        <w:tc>
          <w:tcPr>
            <w:tcW w:w="567" w:type="dxa"/>
            <w:shd w:val="clear" w:color="auto" w:fill="auto"/>
          </w:tcPr>
          <w:p w:rsidR="009F7CF6" w:rsidRPr="007E29C4" w:rsidRDefault="009F7CF6" w:rsidP="00CB332B">
            <w:pPr>
              <w:spacing w:after="120"/>
              <w:rPr>
                <w:lang w:val="fr-FR"/>
              </w:rPr>
            </w:pPr>
            <w:r w:rsidRPr="007E29C4">
              <w:rPr>
                <w:lang w:val="fr-FR"/>
              </w:rPr>
              <w:t>Q</w:t>
            </w:r>
            <w:r w:rsidRPr="007E29C4">
              <w:rPr>
                <w:vertAlign w:val="subscript"/>
                <w:lang w:val="fr-FR"/>
              </w:rPr>
              <w:t>i</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masse volumique du polluant i en g/l à température et pression normales (273,2 K et 101,33 kPa),</w:t>
            </w:r>
          </w:p>
        </w:tc>
      </w:tr>
      <w:tr w:rsidR="009F7CF6" w:rsidRPr="007E29C4" w:rsidTr="00CB332B">
        <w:tc>
          <w:tcPr>
            <w:tcW w:w="567" w:type="dxa"/>
            <w:shd w:val="clear" w:color="auto" w:fill="auto"/>
          </w:tcPr>
          <w:p w:rsidR="009F7CF6" w:rsidRPr="007E29C4" w:rsidRDefault="009F7CF6" w:rsidP="00CB332B">
            <w:pPr>
              <w:spacing w:after="120"/>
              <w:rPr>
                <w:lang w:val="fr-FR"/>
              </w:rPr>
            </w:pPr>
            <w:proofErr w:type="spellStart"/>
            <w:r w:rsidRPr="007E29C4">
              <w:rPr>
                <w:lang w:val="fr-FR"/>
              </w:rPr>
              <w:t>k</w:t>
            </w:r>
            <w:r w:rsidRPr="007E29C4">
              <w:rPr>
                <w:vertAlign w:val="subscript"/>
                <w:lang w:val="fr-FR"/>
              </w:rPr>
              <w:t>h</w:t>
            </w:r>
            <w:proofErr w:type="spellEnd"/>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facteur de correction d</w:t>
            </w:r>
            <w:r w:rsidR="00DB4C2D">
              <w:rPr>
                <w:lang w:val="fr-FR"/>
              </w:rPr>
              <w:t>’</w:t>
            </w:r>
            <w:r w:rsidRPr="007E29C4">
              <w:rPr>
                <w:lang w:val="fr-FR"/>
              </w:rPr>
              <w:t>humidité utilisé pour le calcul des émissions massiques d</w:t>
            </w:r>
            <w:r w:rsidR="00DB4C2D">
              <w:rPr>
                <w:lang w:val="fr-FR"/>
              </w:rPr>
              <w:t>’</w:t>
            </w:r>
            <w:r w:rsidRPr="007E29C4">
              <w:rPr>
                <w:lang w:val="fr-FR"/>
              </w:rPr>
              <w:t>oxyde d</w:t>
            </w:r>
            <w:r w:rsidR="00DB4C2D">
              <w:rPr>
                <w:lang w:val="fr-FR"/>
              </w:rPr>
              <w:t>’</w:t>
            </w:r>
            <w:r w:rsidRPr="007E29C4">
              <w:rPr>
                <w:lang w:val="fr-FR"/>
              </w:rPr>
              <w:t>azote (il n</w:t>
            </w:r>
            <w:r w:rsidR="00DB4C2D">
              <w:rPr>
                <w:lang w:val="fr-FR"/>
              </w:rPr>
              <w:t>’</w:t>
            </w:r>
            <w:r w:rsidRPr="007E29C4">
              <w:rPr>
                <w:lang w:val="fr-FR"/>
              </w:rPr>
              <w:t>y a pas de correction d</w:t>
            </w:r>
            <w:r w:rsidR="00DB4C2D">
              <w:rPr>
                <w:lang w:val="fr-FR"/>
              </w:rPr>
              <w:t>’</w:t>
            </w:r>
            <w:r w:rsidRPr="007E29C4">
              <w:rPr>
                <w:lang w:val="fr-FR"/>
              </w:rPr>
              <w:t>humidité pour HC et CO),</w:t>
            </w:r>
          </w:p>
        </w:tc>
      </w:tr>
      <w:tr w:rsidR="009F7CF6" w:rsidRPr="007E29C4" w:rsidTr="00CB332B">
        <w:tc>
          <w:tcPr>
            <w:tcW w:w="567" w:type="dxa"/>
            <w:shd w:val="clear" w:color="auto" w:fill="auto"/>
          </w:tcPr>
          <w:p w:rsidR="009F7CF6" w:rsidRPr="007E29C4" w:rsidRDefault="009F7CF6" w:rsidP="00CB332B">
            <w:pPr>
              <w:spacing w:after="120"/>
              <w:rPr>
                <w:lang w:val="fr-FR"/>
              </w:rPr>
            </w:pPr>
            <w:r w:rsidRPr="007E29C4">
              <w:rPr>
                <w:lang w:val="fr-FR"/>
              </w:rPr>
              <w:t>C</w:t>
            </w:r>
            <w:r w:rsidRPr="007E29C4">
              <w:rPr>
                <w:vertAlign w:val="subscript"/>
                <w:lang w:val="fr-FR"/>
              </w:rPr>
              <w:t>i</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concentration du polluant i dans les gaz d</w:t>
            </w:r>
            <w:r w:rsidR="00DB4C2D">
              <w:rPr>
                <w:lang w:val="fr-FR"/>
              </w:rPr>
              <w:t>’</w:t>
            </w:r>
            <w:r w:rsidRPr="007E29C4">
              <w:rPr>
                <w:lang w:val="fr-FR"/>
              </w:rPr>
              <w:t>échappement dilués, exprimée en ppm et corrigée de la concentration de polluant i présente dans l</w:t>
            </w:r>
            <w:r w:rsidR="00DB4C2D">
              <w:rPr>
                <w:lang w:val="fr-FR"/>
              </w:rPr>
              <w:t>’</w:t>
            </w:r>
            <w:r w:rsidRPr="007E29C4">
              <w:rPr>
                <w:lang w:val="fr-FR"/>
              </w:rPr>
              <w:t>air de dilution,</w:t>
            </w:r>
          </w:p>
        </w:tc>
      </w:tr>
      <w:tr w:rsidR="009F7CF6" w:rsidRPr="007E29C4" w:rsidTr="00CB332B">
        <w:tc>
          <w:tcPr>
            <w:tcW w:w="567" w:type="dxa"/>
            <w:shd w:val="clear" w:color="auto" w:fill="auto"/>
          </w:tcPr>
          <w:p w:rsidR="009F7CF6" w:rsidRPr="007E29C4" w:rsidRDefault="009F7CF6" w:rsidP="00CB332B">
            <w:pPr>
              <w:spacing w:after="120"/>
              <w:rPr>
                <w:lang w:val="fr-FR"/>
              </w:rPr>
            </w:pPr>
            <w:r w:rsidRPr="007E29C4">
              <w:rPr>
                <w:lang w:val="fr-FR"/>
              </w:rPr>
              <w:t>d</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distance réelle parcourue pendant l</w:t>
            </w:r>
            <w:r w:rsidR="00DB4C2D">
              <w:rPr>
                <w:lang w:val="fr-FR"/>
              </w:rPr>
              <w:t>’</w:t>
            </w:r>
            <w:r w:rsidRPr="007E29C4">
              <w:rPr>
                <w:lang w:val="fr-FR"/>
              </w:rPr>
              <w:t>essai en km.</w:t>
            </w:r>
          </w:p>
        </w:tc>
      </w:tr>
    </w:tbl>
    <w:p w:rsidR="009F7CF6" w:rsidRPr="00A779B8" w:rsidRDefault="009F7CF6" w:rsidP="009F7CF6">
      <w:pPr>
        <w:pStyle w:val="SingleTxtG"/>
        <w:keepNext/>
        <w:ind w:left="2268" w:hanging="1134"/>
        <w:jc w:val="left"/>
        <w:rPr>
          <w:lang w:val="fr-FR"/>
        </w:rPr>
      </w:pPr>
      <w:r w:rsidRPr="00A779B8">
        <w:rPr>
          <w:lang w:val="fr-FR"/>
        </w:rPr>
        <w:t>6.6.4</w:t>
      </w:r>
      <w:r w:rsidRPr="00A779B8">
        <w:rPr>
          <w:lang w:val="fr-FR"/>
        </w:rPr>
        <w:tab/>
        <w:t>Correction de la concentration d</w:t>
      </w:r>
      <w:r w:rsidR="00DB4C2D">
        <w:rPr>
          <w:lang w:val="fr-FR"/>
        </w:rPr>
        <w:t>’</w:t>
      </w:r>
      <w:r w:rsidRPr="00A779B8">
        <w:rPr>
          <w:lang w:val="fr-FR"/>
        </w:rPr>
        <w:t>air dilué</w:t>
      </w:r>
    </w:p>
    <w:p w:rsidR="009F7CF6" w:rsidRPr="00A779B8" w:rsidRDefault="009F7CF6" w:rsidP="009F7CF6">
      <w:pPr>
        <w:pStyle w:val="SingleTxtG"/>
        <w:keepNext/>
        <w:ind w:left="2268"/>
        <w:rPr>
          <w:lang w:val="fr-FR"/>
        </w:rPr>
      </w:pPr>
      <w:r w:rsidRPr="00A779B8">
        <w:rPr>
          <w:lang w:val="fr-FR"/>
        </w:rPr>
        <w:tab/>
        <w:t>La concentration du polluant dans les gaz d</w:t>
      </w:r>
      <w:r w:rsidR="00DB4C2D">
        <w:rPr>
          <w:lang w:val="fr-FR"/>
        </w:rPr>
        <w:t>’</w:t>
      </w:r>
      <w:r w:rsidRPr="00A779B8">
        <w:rPr>
          <w:lang w:val="fr-FR"/>
        </w:rPr>
        <w:t>échappement dilués doit être corrigée de la quantité de polluant dans l</w:t>
      </w:r>
      <w:r w:rsidR="00DB4C2D">
        <w:rPr>
          <w:lang w:val="fr-FR"/>
        </w:rPr>
        <w:t>’</w:t>
      </w:r>
      <w:r w:rsidRPr="00A779B8">
        <w:rPr>
          <w:lang w:val="fr-FR"/>
        </w:rPr>
        <w:t xml:space="preserve">air dilué avec la formule suivante: </w:t>
      </w:r>
    </w:p>
    <w:p w:rsidR="009F7CF6" w:rsidRPr="00A779B8" w:rsidRDefault="009F7CF6" w:rsidP="009F7CF6">
      <w:pPr>
        <w:pStyle w:val="SingleTxtG"/>
        <w:tabs>
          <w:tab w:val="right" w:pos="8505"/>
        </w:tabs>
        <w:ind w:left="2268"/>
        <w:rPr>
          <w:lang w:val="fr-FR"/>
        </w:rPr>
      </w:pPr>
      <w:r w:rsidRPr="00A779B8">
        <w:rPr>
          <w:position w:val="-28"/>
          <w:lang w:val="fr-FR"/>
        </w:rPr>
        <w:object w:dxaOrig="2299" w:dyaOrig="680">
          <v:shape id="_x0000_i1048" type="#_x0000_t75" style="width:114.8pt;height:33.95pt" o:ole="" fillcolor="window">
            <v:imagedata r:id="rId79" o:title=""/>
          </v:shape>
          <o:OLEObject Type="Embed" ProgID="Equation.3" ShapeID="_x0000_i1048" DrawAspect="Content" ObjectID="_1490178415" r:id="rId80"/>
        </w:object>
      </w:r>
      <w:r w:rsidRPr="00A779B8">
        <w:rPr>
          <w:lang w:val="fr-FR"/>
        </w:rPr>
        <w:tab/>
        <w:t>(4)</w:t>
      </w:r>
    </w:p>
    <w:p w:rsidR="009F7CF6" w:rsidRPr="00A779B8" w:rsidRDefault="009F7CF6" w:rsidP="009F7CF6">
      <w:pPr>
        <w:pStyle w:val="SingleTxtG"/>
        <w:ind w:left="2268"/>
        <w:rPr>
          <w:lang w:val="fr-FR"/>
        </w:rPr>
      </w:pPr>
      <w:r w:rsidRPr="00A779B8">
        <w:rPr>
          <w:lang w:val="fr-FR"/>
        </w:rPr>
        <w:tab/>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8"/>
        <w:gridCol w:w="5345"/>
      </w:tblGrid>
      <w:tr w:rsidR="009F7CF6" w:rsidRPr="007E29C4" w:rsidTr="00CB332B">
        <w:tc>
          <w:tcPr>
            <w:tcW w:w="567" w:type="dxa"/>
            <w:shd w:val="clear" w:color="auto" w:fill="auto"/>
          </w:tcPr>
          <w:p w:rsidR="009F7CF6" w:rsidRPr="007E29C4" w:rsidRDefault="009F7CF6" w:rsidP="00CB332B">
            <w:pPr>
              <w:pStyle w:val="SingleTxtG"/>
              <w:ind w:left="0" w:right="0"/>
              <w:jc w:val="left"/>
              <w:rPr>
                <w:lang w:val="fr-FR"/>
              </w:rPr>
            </w:pPr>
            <w:r w:rsidRPr="007E29C4">
              <w:rPr>
                <w:lang w:val="fr-FR"/>
              </w:rPr>
              <w:t>C</w:t>
            </w:r>
            <w:r w:rsidRPr="007E29C4">
              <w:rPr>
                <w:vertAlign w:val="subscript"/>
                <w:lang w:val="fr-FR"/>
              </w:rPr>
              <w:t>i</w:t>
            </w:r>
          </w:p>
        </w:tc>
        <w:tc>
          <w:tcPr>
            <w:tcW w:w="284" w:type="dxa"/>
            <w:shd w:val="clear" w:color="auto" w:fill="auto"/>
          </w:tcPr>
          <w:p w:rsidR="009F7CF6" w:rsidRPr="007E29C4" w:rsidRDefault="009F7CF6" w:rsidP="00CB332B">
            <w:pPr>
              <w:pStyle w:val="SingleTxtG"/>
              <w:ind w:left="0"/>
              <w:jc w:val="right"/>
              <w:rPr>
                <w:lang w:val="fr-FR"/>
              </w:rPr>
            </w:pPr>
            <w:r w:rsidRPr="007E29C4">
              <w:rPr>
                <w:lang w:val="fr-FR"/>
              </w:rPr>
              <w:t>=</w:t>
            </w:r>
          </w:p>
        </w:tc>
        <w:tc>
          <w:tcPr>
            <w:tcW w:w="5102" w:type="dxa"/>
            <w:shd w:val="clear" w:color="auto" w:fill="auto"/>
          </w:tcPr>
          <w:p w:rsidR="009F7CF6" w:rsidRPr="007E29C4" w:rsidRDefault="009F7CF6" w:rsidP="00CB332B">
            <w:pPr>
              <w:pStyle w:val="SingleTxtG"/>
              <w:ind w:left="0" w:right="0"/>
              <w:jc w:val="left"/>
              <w:rPr>
                <w:lang w:val="fr-FR"/>
              </w:rPr>
            </w:pPr>
            <w:r w:rsidRPr="007E29C4">
              <w:rPr>
                <w:lang w:val="fr-FR"/>
              </w:rPr>
              <w:t>concentration du polluant i dans les gaz d</w:t>
            </w:r>
            <w:r w:rsidR="00DB4C2D">
              <w:rPr>
                <w:lang w:val="fr-FR"/>
              </w:rPr>
              <w:t>’</w:t>
            </w:r>
            <w:r w:rsidRPr="007E29C4">
              <w:rPr>
                <w:lang w:val="fr-FR"/>
              </w:rPr>
              <w:t>échappement dilués, exprimée en ppm et corrigée de la concentration de i présente dans l</w:t>
            </w:r>
            <w:r w:rsidR="00DB4C2D">
              <w:rPr>
                <w:lang w:val="fr-FR"/>
              </w:rPr>
              <w:t>’</w:t>
            </w:r>
            <w:r w:rsidRPr="007E29C4">
              <w:rPr>
                <w:lang w:val="fr-FR"/>
              </w:rPr>
              <w:t>air de dilution,</w:t>
            </w:r>
          </w:p>
        </w:tc>
      </w:tr>
      <w:tr w:rsidR="009F7CF6" w:rsidRPr="007E29C4" w:rsidTr="00CB332B">
        <w:tc>
          <w:tcPr>
            <w:tcW w:w="567" w:type="dxa"/>
            <w:shd w:val="clear" w:color="auto" w:fill="auto"/>
          </w:tcPr>
          <w:p w:rsidR="009F7CF6" w:rsidRPr="007E29C4" w:rsidRDefault="009F7CF6" w:rsidP="00CB332B">
            <w:pPr>
              <w:pStyle w:val="SingleTxtG"/>
              <w:ind w:left="0" w:right="0"/>
              <w:jc w:val="left"/>
              <w:rPr>
                <w:lang w:val="fr-FR"/>
              </w:rPr>
            </w:pPr>
            <w:r w:rsidRPr="007E29C4">
              <w:rPr>
                <w:lang w:val="fr-FR"/>
              </w:rPr>
              <w:t>C</w:t>
            </w:r>
            <w:r w:rsidRPr="007E29C4">
              <w:rPr>
                <w:vertAlign w:val="subscript"/>
                <w:lang w:val="fr-FR"/>
              </w:rPr>
              <w:t>e</w:t>
            </w:r>
          </w:p>
        </w:tc>
        <w:tc>
          <w:tcPr>
            <w:tcW w:w="284" w:type="dxa"/>
            <w:shd w:val="clear" w:color="auto" w:fill="auto"/>
          </w:tcPr>
          <w:p w:rsidR="009F7CF6" w:rsidRPr="007E29C4" w:rsidRDefault="009F7CF6" w:rsidP="00CB332B">
            <w:pPr>
              <w:pStyle w:val="SingleTxtG"/>
              <w:ind w:left="0" w:right="0"/>
              <w:jc w:val="left"/>
              <w:rPr>
                <w:lang w:val="fr-FR"/>
              </w:rPr>
            </w:pPr>
            <w:r w:rsidRPr="007E29C4">
              <w:rPr>
                <w:lang w:val="fr-FR"/>
              </w:rPr>
              <w:t>=</w:t>
            </w:r>
          </w:p>
        </w:tc>
        <w:tc>
          <w:tcPr>
            <w:tcW w:w="5102" w:type="dxa"/>
            <w:shd w:val="clear" w:color="auto" w:fill="auto"/>
          </w:tcPr>
          <w:p w:rsidR="009F7CF6" w:rsidRPr="007E29C4" w:rsidRDefault="009F7CF6" w:rsidP="00CB332B">
            <w:pPr>
              <w:pStyle w:val="SingleTxtG"/>
              <w:ind w:left="0" w:right="0"/>
              <w:jc w:val="left"/>
              <w:rPr>
                <w:lang w:val="fr-FR"/>
              </w:rPr>
            </w:pPr>
            <w:r w:rsidRPr="007E29C4">
              <w:rPr>
                <w:lang w:val="fr-FR"/>
              </w:rPr>
              <w:t>concentration mesurée du polluant i dans les gaz d</w:t>
            </w:r>
            <w:r w:rsidR="00DB4C2D">
              <w:rPr>
                <w:lang w:val="fr-FR"/>
              </w:rPr>
              <w:t>’</w:t>
            </w:r>
            <w:r w:rsidRPr="007E29C4">
              <w:rPr>
                <w:lang w:val="fr-FR"/>
              </w:rPr>
              <w:t>échappement dilués, exprimée en ppm,</w:t>
            </w:r>
          </w:p>
        </w:tc>
      </w:tr>
      <w:tr w:rsidR="009F7CF6" w:rsidRPr="007E29C4" w:rsidTr="00CB332B">
        <w:tc>
          <w:tcPr>
            <w:tcW w:w="567" w:type="dxa"/>
            <w:shd w:val="clear" w:color="auto" w:fill="auto"/>
          </w:tcPr>
          <w:p w:rsidR="009F7CF6" w:rsidRPr="007E29C4" w:rsidRDefault="009F7CF6" w:rsidP="00CB332B">
            <w:pPr>
              <w:pStyle w:val="SingleTxtG"/>
              <w:ind w:left="0" w:right="0"/>
              <w:jc w:val="left"/>
              <w:rPr>
                <w:lang w:val="fr-FR"/>
              </w:rPr>
            </w:pPr>
            <w:r w:rsidRPr="007E29C4">
              <w:rPr>
                <w:lang w:val="fr-FR"/>
              </w:rPr>
              <w:t>C</w:t>
            </w:r>
            <w:r w:rsidRPr="007E29C4">
              <w:rPr>
                <w:vertAlign w:val="subscript"/>
                <w:lang w:val="fr-FR"/>
              </w:rPr>
              <w:t>d</w:t>
            </w:r>
          </w:p>
        </w:tc>
        <w:tc>
          <w:tcPr>
            <w:tcW w:w="284" w:type="dxa"/>
            <w:shd w:val="clear" w:color="auto" w:fill="auto"/>
          </w:tcPr>
          <w:p w:rsidR="009F7CF6" w:rsidRPr="007E29C4" w:rsidRDefault="009F7CF6" w:rsidP="00CB332B">
            <w:pPr>
              <w:pStyle w:val="SingleTxtG"/>
              <w:ind w:left="0"/>
              <w:jc w:val="right"/>
              <w:rPr>
                <w:lang w:val="fr-FR"/>
              </w:rPr>
            </w:pPr>
            <w:r w:rsidRPr="007E29C4">
              <w:rPr>
                <w:lang w:val="fr-FR"/>
              </w:rPr>
              <w:t>=</w:t>
            </w:r>
          </w:p>
        </w:tc>
        <w:tc>
          <w:tcPr>
            <w:tcW w:w="5102" w:type="dxa"/>
            <w:shd w:val="clear" w:color="auto" w:fill="auto"/>
          </w:tcPr>
          <w:p w:rsidR="009F7CF6" w:rsidRPr="007E29C4" w:rsidRDefault="009F7CF6" w:rsidP="00CB332B">
            <w:pPr>
              <w:pStyle w:val="SingleTxtG"/>
              <w:ind w:left="0" w:right="0"/>
              <w:jc w:val="left"/>
              <w:rPr>
                <w:lang w:val="fr-FR"/>
              </w:rPr>
            </w:pPr>
            <w:r w:rsidRPr="007E29C4">
              <w:rPr>
                <w:lang w:val="fr-FR"/>
              </w:rPr>
              <w:t>concentration mesurée de i dans l</w:t>
            </w:r>
            <w:r w:rsidR="00DB4C2D">
              <w:rPr>
                <w:lang w:val="fr-FR"/>
              </w:rPr>
              <w:t>’</w:t>
            </w:r>
            <w:r w:rsidRPr="007E29C4">
              <w:rPr>
                <w:lang w:val="fr-FR"/>
              </w:rPr>
              <w:t>air utilisé pour la dilution, exprimée en ppm,</w:t>
            </w:r>
          </w:p>
        </w:tc>
      </w:tr>
      <w:tr w:rsidR="009F7CF6" w:rsidRPr="007E29C4" w:rsidTr="00CB332B">
        <w:tc>
          <w:tcPr>
            <w:tcW w:w="567" w:type="dxa"/>
            <w:shd w:val="clear" w:color="auto" w:fill="auto"/>
          </w:tcPr>
          <w:p w:rsidR="009F7CF6" w:rsidRPr="007E29C4" w:rsidRDefault="009F7CF6" w:rsidP="00CB332B">
            <w:pPr>
              <w:pStyle w:val="SingleTxtG"/>
              <w:ind w:left="0" w:right="0"/>
              <w:jc w:val="left"/>
              <w:rPr>
                <w:lang w:val="fr-FR"/>
              </w:rPr>
            </w:pPr>
            <w:r w:rsidRPr="007E29C4">
              <w:rPr>
                <w:lang w:val="fr-FR"/>
              </w:rPr>
              <w:t>DF</w:t>
            </w:r>
          </w:p>
        </w:tc>
        <w:tc>
          <w:tcPr>
            <w:tcW w:w="284" w:type="dxa"/>
            <w:shd w:val="clear" w:color="auto" w:fill="auto"/>
          </w:tcPr>
          <w:p w:rsidR="009F7CF6" w:rsidRPr="007E29C4" w:rsidRDefault="009F7CF6" w:rsidP="00CB332B">
            <w:pPr>
              <w:pStyle w:val="SingleTxtG"/>
              <w:ind w:left="0"/>
              <w:jc w:val="right"/>
              <w:rPr>
                <w:lang w:val="fr-FR"/>
              </w:rPr>
            </w:pPr>
            <w:r w:rsidRPr="007E29C4">
              <w:rPr>
                <w:lang w:val="fr-FR"/>
              </w:rPr>
              <w:t>=</w:t>
            </w:r>
          </w:p>
        </w:tc>
        <w:tc>
          <w:tcPr>
            <w:tcW w:w="5102" w:type="dxa"/>
            <w:shd w:val="clear" w:color="auto" w:fill="auto"/>
          </w:tcPr>
          <w:p w:rsidR="009F7CF6" w:rsidRPr="007E29C4" w:rsidRDefault="009F7CF6" w:rsidP="00CB332B">
            <w:pPr>
              <w:pStyle w:val="SingleTxtG"/>
              <w:ind w:left="0" w:right="0"/>
              <w:jc w:val="left"/>
              <w:rPr>
                <w:lang w:val="fr-FR"/>
              </w:rPr>
            </w:pPr>
            <w:r w:rsidRPr="007E29C4">
              <w:rPr>
                <w:lang w:val="fr-FR"/>
              </w:rPr>
              <w:t>facteur de dilution.</w:t>
            </w:r>
          </w:p>
        </w:tc>
      </w:tr>
    </w:tbl>
    <w:p w:rsidR="009F7CF6" w:rsidRPr="00A779B8" w:rsidRDefault="009F7CF6" w:rsidP="009F7CF6">
      <w:pPr>
        <w:pStyle w:val="SingleTxtG"/>
        <w:keepNext/>
        <w:ind w:left="2268"/>
        <w:rPr>
          <w:lang w:val="fr-FR"/>
        </w:rPr>
      </w:pPr>
      <w:r w:rsidRPr="00A779B8">
        <w:rPr>
          <w:lang w:val="fr-FR"/>
        </w:rPr>
        <w:tab/>
        <w:t>Le facteur de dilution est calculé comme suit:</w:t>
      </w:r>
    </w:p>
    <w:p w:rsidR="009F7CF6" w:rsidRPr="00A779B8" w:rsidRDefault="009F7CF6" w:rsidP="009F7CF6">
      <w:pPr>
        <w:pStyle w:val="SingleTxtG"/>
        <w:ind w:left="2268"/>
        <w:rPr>
          <w:lang w:val="fr-FR"/>
        </w:rPr>
      </w:pPr>
      <w:r w:rsidRPr="00A779B8">
        <w:rPr>
          <w:lang w:val="fr-FR"/>
        </w:rPr>
        <w:tab/>
        <w:t>Pour chaque carburant de référence, sauf l</w:t>
      </w:r>
      <w:r w:rsidR="00DB4C2D">
        <w:rPr>
          <w:lang w:val="fr-FR"/>
        </w:rPr>
        <w:t>’</w:t>
      </w:r>
      <w:r w:rsidRPr="00A779B8">
        <w:rPr>
          <w:lang w:val="fr-FR"/>
        </w:rPr>
        <w:t>hydrogène</w:t>
      </w:r>
    </w:p>
    <w:p w:rsidR="009F7CF6" w:rsidRPr="00A779B8" w:rsidRDefault="009F7CF6" w:rsidP="009F7CF6">
      <w:pPr>
        <w:pStyle w:val="SingleTxtG"/>
        <w:ind w:left="2268"/>
        <w:rPr>
          <w:lang w:val="fr-FR"/>
        </w:rPr>
      </w:pPr>
      <w:r w:rsidRPr="00A779B8">
        <w:rPr>
          <w:position w:val="-28"/>
          <w:lang w:val="fr-FR"/>
        </w:rPr>
        <w:object w:dxaOrig="2760" w:dyaOrig="620">
          <v:shape id="_x0000_i1049" type="#_x0000_t75" style="width:137.9pt;height:31.25pt" o:ole="">
            <v:imagedata r:id="rId81" o:title=""/>
          </v:shape>
          <o:OLEObject Type="Embed" ProgID="Equation.3" ShapeID="_x0000_i1049" DrawAspect="Content" ObjectID="_1490178416" r:id="rId82"/>
        </w:object>
      </w:r>
    </w:p>
    <w:p w:rsidR="009F7CF6" w:rsidRPr="00A779B8" w:rsidRDefault="009F7CF6" w:rsidP="009F7CF6">
      <w:pPr>
        <w:pStyle w:val="SingleTxtG"/>
        <w:keepNext/>
        <w:ind w:left="2268"/>
        <w:rPr>
          <w:noProof/>
          <w:lang w:val="fr-FR" w:eastAsia="en-GB"/>
        </w:rPr>
      </w:pPr>
      <w:r w:rsidRPr="00A779B8">
        <w:rPr>
          <w:noProof/>
          <w:lang w:val="fr-FR" w:eastAsia="en-GB"/>
        </w:rPr>
        <w:t>Pour un carburant de composition CxHyOz, la formule générale est:</w:t>
      </w:r>
    </w:p>
    <w:p w:rsidR="009F7CF6" w:rsidRPr="00A779B8" w:rsidRDefault="009F7CF6" w:rsidP="009F7CF6">
      <w:pPr>
        <w:pStyle w:val="SingleTxtG"/>
        <w:ind w:left="2268"/>
        <w:rPr>
          <w:noProof/>
          <w:lang w:val="fr-FR" w:eastAsia="en-GB"/>
        </w:rPr>
      </w:pPr>
      <w:r w:rsidRPr="00A779B8">
        <w:rPr>
          <w:position w:val="-54"/>
          <w:lang w:val="fr-FR"/>
        </w:rPr>
        <w:object w:dxaOrig="2799" w:dyaOrig="880">
          <v:shape id="_x0000_i1050" type="#_x0000_t75" style="width:139.9pt;height:44.15pt" o:ole="">
            <v:imagedata r:id="rId83" o:title=""/>
          </v:shape>
          <o:OLEObject Type="Embed" ProgID="Equation.3" ShapeID="_x0000_i1050" DrawAspect="Content" ObjectID="_1490178417" r:id="rId84"/>
        </w:object>
      </w:r>
    </w:p>
    <w:p w:rsidR="009F7CF6" w:rsidRPr="00A779B8" w:rsidRDefault="009F7CF6" w:rsidP="009F7CF6">
      <w:pPr>
        <w:pStyle w:val="SingleTxtG"/>
        <w:ind w:left="2268"/>
        <w:rPr>
          <w:lang w:val="fr-FR"/>
        </w:rPr>
      </w:pPr>
      <w:r w:rsidRPr="00A779B8">
        <w:rPr>
          <w:noProof/>
          <w:lang w:val="fr-FR" w:eastAsia="en-GB"/>
        </w:rPr>
        <w:lastRenderedPageBreak/>
        <w:t>Les facteurs de dilution pour les carburants de référence visés par le présent Règlement sont les suivants:</w:t>
      </w:r>
    </w:p>
    <w:p w:rsidR="009F7CF6" w:rsidRPr="00A779B8" w:rsidRDefault="009F7CF6" w:rsidP="009F7CF6">
      <w:pPr>
        <w:tabs>
          <w:tab w:val="left" w:pos="5670"/>
          <w:tab w:val="right" w:pos="8505"/>
        </w:tabs>
        <w:spacing w:after="120"/>
        <w:ind w:left="3402" w:right="1134" w:hanging="1134"/>
        <w:rPr>
          <w:szCs w:val="24"/>
          <w:lang w:val="fr-FR"/>
        </w:rPr>
      </w:pPr>
      <w:r w:rsidRPr="00E424A9">
        <w:rPr>
          <w:position w:val="-26"/>
          <w:szCs w:val="24"/>
          <w:lang w:val="fr-FR"/>
        </w:rPr>
        <w:object w:dxaOrig="2400" w:dyaOrig="540">
          <v:shape id="_x0000_i1051" type="#_x0000_t75" style="width:120.25pt;height:27.15pt" o:ole="" fillcolor="window">
            <v:imagedata r:id="rId85" o:title=""/>
          </v:shape>
          <o:OLEObject Type="Embed" ProgID="Equation.3" ShapeID="_x0000_i1051" DrawAspect="Content" ObjectID="_1490178418" r:id="rId86"/>
        </w:object>
      </w:r>
      <w:r w:rsidRPr="00A779B8">
        <w:rPr>
          <w:szCs w:val="24"/>
          <w:lang w:val="fr-FR"/>
        </w:rPr>
        <w:tab/>
        <w:t>pour l</w:t>
      </w:r>
      <w:r w:rsidR="00DB4C2D">
        <w:rPr>
          <w:szCs w:val="24"/>
          <w:lang w:val="fr-FR"/>
        </w:rPr>
        <w:t>’</w:t>
      </w:r>
      <w:r w:rsidRPr="00A779B8">
        <w:rPr>
          <w:szCs w:val="24"/>
          <w:lang w:val="fr-FR"/>
        </w:rPr>
        <w:t>essence (E5)</w:t>
      </w:r>
      <w:r w:rsidRPr="00A779B8">
        <w:rPr>
          <w:szCs w:val="24"/>
          <w:lang w:val="fr-FR"/>
        </w:rPr>
        <w:tab/>
        <w:t>(5a)</w:t>
      </w:r>
    </w:p>
    <w:p w:rsidR="009F7CF6" w:rsidRPr="00A779B8" w:rsidRDefault="009F7CF6" w:rsidP="009F7CF6">
      <w:pPr>
        <w:tabs>
          <w:tab w:val="left" w:pos="3800"/>
          <w:tab w:val="left" w:pos="5670"/>
          <w:tab w:val="right" w:pos="8505"/>
        </w:tabs>
        <w:spacing w:after="120"/>
        <w:ind w:left="3402" w:right="1134" w:hanging="1134"/>
        <w:rPr>
          <w:szCs w:val="24"/>
          <w:lang w:val="fr-FR"/>
        </w:rPr>
      </w:pPr>
      <w:r w:rsidRPr="00E424A9">
        <w:rPr>
          <w:position w:val="-26"/>
          <w:szCs w:val="24"/>
          <w:lang w:val="fr-FR"/>
        </w:rPr>
        <w:object w:dxaOrig="2400" w:dyaOrig="540">
          <v:shape id="_x0000_i1052" type="#_x0000_t75" style="width:120.25pt;height:27.15pt" o:ole="" fillcolor="window">
            <v:imagedata r:id="rId87" o:title=""/>
          </v:shape>
          <o:OLEObject Type="Embed" ProgID="Equation.3" ShapeID="_x0000_i1052" DrawAspect="Content" ObjectID="_1490178419" r:id="rId88"/>
        </w:object>
      </w:r>
      <w:r w:rsidRPr="00A779B8">
        <w:rPr>
          <w:szCs w:val="24"/>
          <w:lang w:val="fr-FR"/>
        </w:rPr>
        <w:tab/>
        <w:t>pour l</w:t>
      </w:r>
      <w:r w:rsidR="00DB4C2D">
        <w:rPr>
          <w:szCs w:val="24"/>
          <w:lang w:val="fr-FR"/>
        </w:rPr>
        <w:t>’</w:t>
      </w:r>
      <w:r w:rsidRPr="00A779B8">
        <w:rPr>
          <w:szCs w:val="24"/>
          <w:lang w:val="fr-FR"/>
        </w:rPr>
        <w:t>essence (E10)</w:t>
      </w:r>
      <w:r w:rsidRPr="00A779B8">
        <w:rPr>
          <w:szCs w:val="24"/>
          <w:lang w:val="fr-FR"/>
        </w:rPr>
        <w:tab/>
        <w:t>(5b)</w:t>
      </w:r>
    </w:p>
    <w:p w:rsidR="009F7CF6" w:rsidRPr="00A779B8" w:rsidRDefault="009F7CF6" w:rsidP="009F7CF6">
      <w:pPr>
        <w:tabs>
          <w:tab w:val="left" w:pos="5670"/>
          <w:tab w:val="right" w:pos="8505"/>
        </w:tabs>
        <w:spacing w:after="120"/>
        <w:ind w:left="3402" w:right="1134" w:hanging="1134"/>
        <w:rPr>
          <w:szCs w:val="24"/>
          <w:lang w:val="fr-FR"/>
        </w:rPr>
      </w:pPr>
      <w:r w:rsidRPr="00E424A9">
        <w:rPr>
          <w:position w:val="-26"/>
          <w:szCs w:val="24"/>
          <w:lang w:val="fr-FR"/>
        </w:rPr>
        <w:object w:dxaOrig="2400" w:dyaOrig="540">
          <v:shape id="_x0000_i1053" type="#_x0000_t75" style="width:120.25pt;height:27.15pt" o:ole="" fillcolor="window">
            <v:imagedata r:id="rId89" o:title=""/>
          </v:shape>
          <o:OLEObject Type="Embed" ProgID="Equation.3" ShapeID="_x0000_i1053" DrawAspect="Content" ObjectID="_1490178420" r:id="rId90"/>
        </w:object>
      </w:r>
      <w:r w:rsidRPr="00A779B8">
        <w:rPr>
          <w:szCs w:val="24"/>
          <w:lang w:val="fr-FR"/>
        </w:rPr>
        <w:tab/>
        <w:t>pour le gazole (B5)</w:t>
      </w:r>
      <w:r w:rsidRPr="00A779B8">
        <w:rPr>
          <w:szCs w:val="24"/>
          <w:lang w:val="fr-FR"/>
        </w:rPr>
        <w:tab/>
        <w:t>(5c)</w:t>
      </w:r>
    </w:p>
    <w:p w:rsidR="009F7CF6" w:rsidRPr="00A779B8" w:rsidRDefault="009F7CF6" w:rsidP="009F7CF6">
      <w:pPr>
        <w:tabs>
          <w:tab w:val="left" w:pos="5670"/>
          <w:tab w:val="right" w:pos="8505"/>
        </w:tabs>
        <w:spacing w:after="120"/>
        <w:ind w:left="3402" w:right="1134" w:hanging="1134"/>
        <w:rPr>
          <w:szCs w:val="24"/>
          <w:lang w:val="fr-FR"/>
        </w:rPr>
      </w:pPr>
      <w:r w:rsidRPr="00E424A9">
        <w:rPr>
          <w:position w:val="-26"/>
          <w:szCs w:val="24"/>
          <w:lang w:val="fr-FR"/>
        </w:rPr>
        <w:object w:dxaOrig="2400" w:dyaOrig="540">
          <v:shape id="_x0000_i1054" type="#_x0000_t75" style="width:120.25pt;height:27.15pt" o:ole="" fillcolor="window">
            <v:imagedata r:id="rId91" o:title=""/>
          </v:shape>
          <o:OLEObject Type="Embed" ProgID="Equation.3" ShapeID="_x0000_i1054" DrawAspect="Content" ObjectID="_1490178421" r:id="rId92"/>
        </w:object>
      </w:r>
      <w:r w:rsidRPr="00A779B8">
        <w:rPr>
          <w:szCs w:val="24"/>
          <w:lang w:val="fr-FR"/>
        </w:rPr>
        <w:tab/>
        <w:t>pour le gazole (B7)</w:t>
      </w:r>
      <w:r w:rsidRPr="00A779B8">
        <w:rPr>
          <w:szCs w:val="24"/>
          <w:lang w:val="fr-FR"/>
        </w:rPr>
        <w:tab/>
        <w:t>(5d)</w:t>
      </w:r>
    </w:p>
    <w:p w:rsidR="009F7CF6" w:rsidRPr="00A779B8" w:rsidRDefault="009F7CF6" w:rsidP="009F7CF6">
      <w:pPr>
        <w:tabs>
          <w:tab w:val="left" w:pos="5670"/>
          <w:tab w:val="right" w:pos="8505"/>
        </w:tabs>
        <w:spacing w:after="120"/>
        <w:ind w:left="3402" w:right="1134" w:hanging="1134"/>
        <w:rPr>
          <w:szCs w:val="24"/>
          <w:lang w:val="fr-FR"/>
        </w:rPr>
      </w:pPr>
      <w:r w:rsidRPr="00E424A9">
        <w:rPr>
          <w:position w:val="-24"/>
          <w:szCs w:val="24"/>
          <w:lang w:val="fr-FR"/>
        </w:rPr>
        <w:object w:dxaOrig="2280" w:dyaOrig="520">
          <v:shape id="_x0000_i1055" type="#_x0000_t75" style="width:114.1pt;height:25.8pt" o:ole="" fillcolor="window">
            <v:imagedata r:id="rId93" o:title=""/>
          </v:shape>
          <o:OLEObject Type="Embed" ProgID="Equation.3" ShapeID="_x0000_i1055" DrawAspect="Content" ObjectID="_1490178422" r:id="rId94"/>
        </w:object>
      </w:r>
      <w:r w:rsidRPr="00A779B8">
        <w:rPr>
          <w:szCs w:val="24"/>
          <w:lang w:val="fr-FR"/>
        </w:rPr>
        <w:tab/>
        <w:t>pour le GPL</w:t>
      </w:r>
      <w:r w:rsidRPr="00A779B8">
        <w:rPr>
          <w:szCs w:val="24"/>
          <w:lang w:val="fr-FR"/>
        </w:rPr>
        <w:tab/>
        <w:t>(5e)</w:t>
      </w:r>
    </w:p>
    <w:p w:rsidR="009F7CF6" w:rsidRPr="00A779B8" w:rsidRDefault="009F7CF6" w:rsidP="009F7CF6">
      <w:pPr>
        <w:tabs>
          <w:tab w:val="left" w:pos="5670"/>
          <w:tab w:val="right" w:pos="8505"/>
        </w:tabs>
        <w:spacing w:after="120"/>
        <w:ind w:left="3402" w:right="1134" w:hanging="1134"/>
        <w:rPr>
          <w:szCs w:val="24"/>
          <w:lang w:val="fr-FR"/>
        </w:rPr>
      </w:pPr>
      <w:r w:rsidRPr="00E424A9">
        <w:rPr>
          <w:position w:val="-26"/>
          <w:szCs w:val="24"/>
          <w:lang w:val="fr-FR"/>
        </w:rPr>
        <w:object w:dxaOrig="2400" w:dyaOrig="540">
          <v:shape id="_x0000_i1056" type="#_x0000_t75" style="width:120.25pt;height:27.15pt" o:ole="" fillcolor="window">
            <v:imagedata r:id="rId95" o:title=""/>
          </v:shape>
          <o:OLEObject Type="Embed" ProgID="Equation.3" ShapeID="_x0000_i1056" DrawAspect="Content" ObjectID="_1490178423" r:id="rId96"/>
        </w:object>
      </w:r>
      <w:r w:rsidRPr="00A779B8">
        <w:rPr>
          <w:szCs w:val="24"/>
          <w:lang w:val="fr-FR"/>
        </w:rPr>
        <w:tab/>
        <w:t>pour le GN/</w:t>
      </w:r>
      <w:proofErr w:type="spellStart"/>
      <w:r w:rsidRPr="00A779B8">
        <w:rPr>
          <w:szCs w:val="24"/>
          <w:lang w:val="fr-FR"/>
        </w:rPr>
        <w:t>biométhane</w:t>
      </w:r>
      <w:proofErr w:type="spellEnd"/>
      <w:r w:rsidRPr="00A779B8">
        <w:rPr>
          <w:szCs w:val="24"/>
          <w:lang w:val="fr-FR"/>
        </w:rPr>
        <w:tab/>
        <w:t>(5f)</w:t>
      </w:r>
    </w:p>
    <w:p w:rsidR="009F7CF6" w:rsidRPr="00A779B8" w:rsidRDefault="009F7CF6" w:rsidP="009F7CF6">
      <w:pPr>
        <w:tabs>
          <w:tab w:val="left" w:pos="5670"/>
          <w:tab w:val="right" w:pos="8505"/>
        </w:tabs>
        <w:spacing w:after="120"/>
        <w:ind w:left="3402" w:right="1134" w:hanging="1134"/>
        <w:rPr>
          <w:szCs w:val="24"/>
          <w:lang w:val="fr-FR"/>
        </w:rPr>
      </w:pPr>
      <w:r w:rsidRPr="00E424A9">
        <w:rPr>
          <w:b/>
          <w:position w:val="-26"/>
          <w:szCs w:val="24"/>
          <w:lang w:val="fr-FR"/>
        </w:rPr>
        <w:object w:dxaOrig="2400" w:dyaOrig="540">
          <v:shape id="_x0000_i1057" type="#_x0000_t75" style="width:120.25pt;height:27.15pt" o:ole="" fillcolor="window">
            <v:imagedata r:id="rId97" o:title=""/>
          </v:shape>
          <o:OLEObject Type="Embed" ProgID="Equation.3" ShapeID="_x0000_i1057" DrawAspect="Content" ObjectID="_1490178424" r:id="rId98"/>
        </w:object>
      </w:r>
      <w:r w:rsidRPr="00A779B8">
        <w:rPr>
          <w:b/>
          <w:szCs w:val="24"/>
          <w:lang w:val="fr-FR"/>
        </w:rPr>
        <w:tab/>
      </w:r>
      <w:r w:rsidRPr="00A779B8">
        <w:rPr>
          <w:szCs w:val="24"/>
          <w:lang w:val="fr-FR"/>
        </w:rPr>
        <w:t>pour l</w:t>
      </w:r>
      <w:r w:rsidR="00DB4C2D">
        <w:rPr>
          <w:szCs w:val="24"/>
          <w:lang w:val="fr-FR"/>
        </w:rPr>
        <w:t>’</w:t>
      </w:r>
      <w:r w:rsidRPr="00A779B8">
        <w:rPr>
          <w:szCs w:val="24"/>
          <w:lang w:val="fr-FR"/>
        </w:rPr>
        <w:t>éthanol (E85)</w:t>
      </w:r>
      <w:r w:rsidRPr="00A779B8">
        <w:rPr>
          <w:b/>
          <w:szCs w:val="24"/>
          <w:lang w:val="fr-FR"/>
        </w:rPr>
        <w:tab/>
      </w:r>
      <w:r w:rsidRPr="00A779B8">
        <w:rPr>
          <w:szCs w:val="24"/>
          <w:lang w:val="fr-FR"/>
        </w:rPr>
        <w:t>(5g)</w:t>
      </w:r>
    </w:p>
    <w:p w:rsidR="009F7CF6" w:rsidRPr="00A779B8" w:rsidRDefault="009F7CF6" w:rsidP="009F7CF6">
      <w:pPr>
        <w:tabs>
          <w:tab w:val="left" w:pos="5670"/>
          <w:tab w:val="right" w:pos="8505"/>
        </w:tabs>
        <w:spacing w:after="120"/>
        <w:ind w:left="3402" w:right="1134" w:hanging="1134"/>
        <w:rPr>
          <w:szCs w:val="24"/>
          <w:lang w:val="fr-FR"/>
        </w:rPr>
      </w:pPr>
      <w:r w:rsidRPr="00ED4A4D">
        <w:rPr>
          <w:b/>
          <w:position w:val="-26"/>
          <w:szCs w:val="24"/>
          <w:lang w:val="fr-FR"/>
        </w:rPr>
        <w:object w:dxaOrig="2360" w:dyaOrig="540">
          <v:shape id="_x0000_i1058" type="#_x0000_t75" style="width:118.2pt;height:27.15pt" o:ole="" fillcolor="window">
            <v:imagedata r:id="rId99" o:title=""/>
          </v:shape>
          <o:OLEObject Type="Embed" ProgID="Equation.3" ShapeID="_x0000_i1058" DrawAspect="Content" ObjectID="_1490178425" r:id="rId100"/>
        </w:object>
      </w:r>
      <w:r w:rsidRPr="00A779B8">
        <w:rPr>
          <w:b/>
          <w:szCs w:val="24"/>
          <w:lang w:val="fr-FR"/>
        </w:rPr>
        <w:tab/>
      </w:r>
      <w:r w:rsidRPr="00A779B8">
        <w:rPr>
          <w:szCs w:val="24"/>
          <w:lang w:val="fr-FR"/>
        </w:rPr>
        <w:t>pour l</w:t>
      </w:r>
      <w:r w:rsidR="00DB4C2D">
        <w:rPr>
          <w:szCs w:val="24"/>
          <w:lang w:val="fr-FR"/>
        </w:rPr>
        <w:t>’</w:t>
      </w:r>
      <w:r w:rsidRPr="00A779B8">
        <w:rPr>
          <w:szCs w:val="24"/>
          <w:lang w:val="fr-FR"/>
        </w:rPr>
        <w:t>éthanol (E75)</w:t>
      </w:r>
      <w:r w:rsidRPr="00A779B8">
        <w:rPr>
          <w:szCs w:val="24"/>
          <w:lang w:val="fr-FR"/>
        </w:rPr>
        <w:tab/>
        <w:t>(5h)</w:t>
      </w:r>
    </w:p>
    <w:p w:rsidR="009F7CF6" w:rsidRPr="00A779B8" w:rsidRDefault="009F7CF6" w:rsidP="009F7CF6">
      <w:pPr>
        <w:tabs>
          <w:tab w:val="left" w:pos="5670"/>
          <w:tab w:val="right" w:pos="8505"/>
        </w:tabs>
        <w:spacing w:after="120"/>
        <w:ind w:left="3402" w:right="1134" w:hanging="1134"/>
        <w:rPr>
          <w:lang w:val="fr-FR"/>
        </w:rPr>
      </w:pPr>
      <w:r w:rsidRPr="00E424A9">
        <w:rPr>
          <w:position w:val="-26"/>
          <w:lang w:val="fr-FR"/>
        </w:rPr>
        <w:object w:dxaOrig="2600" w:dyaOrig="540">
          <v:shape id="_x0000_i1059" type="#_x0000_t75" style="width:129.75pt;height:27.15pt" o:ole="">
            <v:imagedata r:id="rId101" o:title=""/>
          </v:shape>
          <o:OLEObject Type="Embed" ProgID="Equation.3" ShapeID="_x0000_i1059" DrawAspect="Content" ObjectID="_1490178426" r:id="rId102"/>
        </w:object>
      </w:r>
      <w:r w:rsidRPr="00A779B8">
        <w:rPr>
          <w:lang w:val="fr-FR"/>
        </w:rPr>
        <w:tab/>
        <w:t>pour l</w:t>
      </w:r>
      <w:r w:rsidR="00DB4C2D">
        <w:rPr>
          <w:lang w:val="fr-FR"/>
        </w:rPr>
        <w:t>’</w:t>
      </w:r>
      <w:r w:rsidRPr="00A779B8">
        <w:rPr>
          <w:lang w:val="fr-FR"/>
        </w:rPr>
        <w:t>hydrogène</w:t>
      </w:r>
      <w:r w:rsidRPr="00A779B8">
        <w:rPr>
          <w:lang w:val="fr-FR"/>
        </w:rPr>
        <w:tab/>
        <w:t>(5i)</w:t>
      </w:r>
    </w:p>
    <w:p w:rsidR="009F7CF6" w:rsidRPr="00A779B8" w:rsidRDefault="009F7CF6" w:rsidP="009F7CF6">
      <w:pPr>
        <w:pStyle w:val="SingleTxtG"/>
        <w:ind w:left="2268"/>
        <w:rPr>
          <w:lang w:val="fr-FR"/>
        </w:rPr>
      </w:pPr>
      <w:r w:rsidRPr="00A779B8">
        <w:rPr>
          <w:lang w:val="fr-FR"/>
        </w:rPr>
        <w:t>Dans ces équations:</w:t>
      </w:r>
    </w:p>
    <w:tbl>
      <w:tblPr>
        <w:tblW w:w="0" w:type="auto"/>
        <w:tblInd w:w="2268" w:type="dxa"/>
        <w:tblLayout w:type="fixed"/>
        <w:tblCellMar>
          <w:left w:w="0" w:type="dxa"/>
          <w:right w:w="0" w:type="dxa"/>
        </w:tblCellMar>
        <w:tblLook w:val="01E0" w:firstRow="1" w:lastRow="1" w:firstColumn="1" w:lastColumn="1" w:noHBand="0" w:noVBand="0"/>
      </w:tblPr>
      <w:tblGrid>
        <w:gridCol w:w="680"/>
        <w:gridCol w:w="284"/>
        <w:gridCol w:w="5103"/>
      </w:tblGrid>
      <w:tr w:rsidR="009F7CF6" w:rsidRPr="007E29C4" w:rsidTr="00CB332B">
        <w:tc>
          <w:tcPr>
            <w:tcW w:w="680" w:type="dxa"/>
            <w:shd w:val="clear" w:color="auto" w:fill="auto"/>
          </w:tcPr>
          <w:p w:rsidR="009F7CF6" w:rsidRPr="007E29C4" w:rsidRDefault="009F7CF6" w:rsidP="00CB332B">
            <w:pPr>
              <w:spacing w:after="120"/>
              <w:rPr>
                <w:lang w:val="fr-FR"/>
              </w:rPr>
            </w:pPr>
            <w:r w:rsidRPr="007E29C4">
              <w:rPr>
                <w:lang w:val="fr-FR"/>
              </w:rPr>
              <w:t>C</w:t>
            </w:r>
            <w:r w:rsidRPr="007E29C4">
              <w:rPr>
                <w:vertAlign w:val="subscript"/>
                <w:lang w:val="fr-FR"/>
              </w:rPr>
              <w:t>CO</w:t>
            </w:r>
            <w:r w:rsidRPr="00C9579C">
              <w:rPr>
                <w:vertAlign w:val="subscript"/>
                <w:lang w:val="fr-FR"/>
              </w:rPr>
              <w:t>2</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concentration de CO</w:t>
            </w:r>
            <w:r w:rsidRPr="00C9579C">
              <w:rPr>
                <w:vertAlign w:val="subscript"/>
                <w:lang w:val="fr-FR"/>
              </w:rPr>
              <w:t>2</w:t>
            </w:r>
            <w:r w:rsidRPr="007E29C4">
              <w:rPr>
                <w:lang w:val="fr-FR"/>
              </w:rPr>
              <w:t xml:space="preserve"> dans les gaz d</w:t>
            </w:r>
            <w:r w:rsidR="00DB4C2D">
              <w:rPr>
                <w:lang w:val="fr-FR"/>
              </w:rPr>
              <w:t>’</w:t>
            </w:r>
            <w:r w:rsidRPr="007E29C4">
              <w:rPr>
                <w:lang w:val="fr-FR"/>
              </w:rPr>
              <w:t>échappement dilués contenus dans le sac de prélèvement, exprimée en % volume,</w:t>
            </w:r>
          </w:p>
        </w:tc>
      </w:tr>
      <w:tr w:rsidR="009F7CF6" w:rsidRPr="007E29C4" w:rsidTr="00CB332B">
        <w:tc>
          <w:tcPr>
            <w:tcW w:w="680" w:type="dxa"/>
            <w:shd w:val="clear" w:color="auto" w:fill="auto"/>
          </w:tcPr>
          <w:p w:rsidR="009F7CF6" w:rsidRPr="007E29C4" w:rsidRDefault="009F7CF6" w:rsidP="00CB332B">
            <w:pPr>
              <w:spacing w:after="120"/>
              <w:rPr>
                <w:lang w:val="fr-FR"/>
              </w:rPr>
            </w:pPr>
            <w:r w:rsidRPr="007E29C4">
              <w:rPr>
                <w:lang w:val="fr-FR"/>
              </w:rPr>
              <w:t>C</w:t>
            </w:r>
            <w:r w:rsidRPr="007E29C4">
              <w:rPr>
                <w:vertAlign w:val="subscript"/>
                <w:lang w:val="fr-FR"/>
              </w:rPr>
              <w:t>HC</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concentration de HC dans les gaz d</w:t>
            </w:r>
            <w:r w:rsidR="00DB4C2D">
              <w:rPr>
                <w:lang w:val="fr-FR"/>
              </w:rPr>
              <w:t>’</w:t>
            </w:r>
            <w:r w:rsidRPr="007E29C4">
              <w:rPr>
                <w:lang w:val="fr-FR"/>
              </w:rPr>
              <w:t>échappement dilués contenus dans le sac de prélèvement, exprimée en ppm d</w:t>
            </w:r>
            <w:r w:rsidR="00DB4C2D">
              <w:rPr>
                <w:lang w:val="fr-FR"/>
              </w:rPr>
              <w:t>’</w:t>
            </w:r>
            <w:r w:rsidRPr="007E29C4">
              <w:rPr>
                <w:lang w:val="fr-FR"/>
              </w:rPr>
              <w:t>équivalents carbone,</w:t>
            </w:r>
          </w:p>
        </w:tc>
      </w:tr>
      <w:tr w:rsidR="009F7CF6" w:rsidRPr="007E29C4" w:rsidTr="00CB332B">
        <w:tc>
          <w:tcPr>
            <w:tcW w:w="680" w:type="dxa"/>
            <w:shd w:val="clear" w:color="auto" w:fill="auto"/>
          </w:tcPr>
          <w:p w:rsidR="009F7CF6" w:rsidRPr="007E29C4" w:rsidRDefault="009F7CF6" w:rsidP="00CB332B">
            <w:pPr>
              <w:spacing w:after="120"/>
              <w:rPr>
                <w:lang w:val="fr-FR"/>
              </w:rPr>
            </w:pPr>
            <w:r w:rsidRPr="007E29C4">
              <w:rPr>
                <w:lang w:val="fr-FR"/>
              </w:rPr>
              <w:t>C</w:t>
            </w:r>
            <w:r w:rsidRPr="007E29C4">
              <w:rPr>
                <w:vertAlign w:val="subscript"/>
                <w:lang w:val="fr-FR"/>
              </w:rPr>
              <w:t>CO</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concentration de CO dans les gaz d</w:t>
            </w:r>
            <w:r w:rsidR="00DB4C2D">
              <w:rPr>
                <w:lang w:val="fr-FR"/>
              </w:rPr>
              <w:t>’</w:t>
            </w:r>
            <w:r w:rsidRPr="007E29C4">
              <w:rPr>
                <w:lang w:val="fr-FR"/>
              </w:rPr>
              <w:t>échappement dilués contenus dans le sac de prélèvement, exprimée en ppm,</w:t>
            </w:r>
          </w:p>
        </w:tc>
      </w:tr>
      <w:tr w:rsidR="009F7CF6" w:rsidRPr="007E29C4" w:rsidTr="00CB332B">
        <w:tc>
          <w:tcPr>
            <w:tcW w:w="680" w:type="dxa"/>
            <w:shd w:val="clear" w:color="auto" w:fill="auto"/>
          </w:tcPr>
          <w:p w:rsidR="009F7CF6" w:rsidRPr="007E29C4" w:rsidRDefault="009F7CF6" w:rsidP="00CB332B">
            <w:pPr>
              <w:spacing w:after="120"/>
              <w:rPr>
                <w:lang w:val="fr-FR"/>
              </w:rPr>
            </w:pPr>
            <w:r w:rsidRPr="007E29C4">
              <w:rPr>
                <w:lang w:val="fr-FR"/>
              </w:rPr>
              <w:t>C</w:t>
            </w:r>
            <w:r w:rsidRPr="007E29C4">
              <w:rPr>
                <w:vertAlign w:val="subscript"/>
                <w:lang w:val="fr-FR"/>
              </w:rPr>
              <w:t>H2O</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concentration de H</w:t>
            </w:r>
            <w:r w:rsidRPr="00C9579C">
              <w:rPr>
                <w:vertAlign w:val="subscript"/>
                <w:lang w:val="fr-FR"/>
              </w:rPr>
              <w:t>2</w:t>
            </w:r>
            <w:r w:rsidRPr="007E29C4">
              <w:rPr>
                <w:lang w:val="fr-FR"/>
              </w:rPr>
              <w:t>O dans les gaz d</w:t>
            </w:r>
            <w:r w:rsidR="00DB4C2D">
              <w:rPr>
                <w:lang w:val="fr-FR"/>
              </w:rPr>
              <w:t>’</w:t>
            </w:r>
            <w:r w:rsidRPr="007E29C4">
              <w:rPr>
                <w:lang w:val="fr-FR"/>
              </w:rPr>
              <w:t>échappement dilués contenus dans le sac de prélèvement, exprimée en % volume,</w:t>
            </w:r>
          </w:p>
        </w:tc>
      </w:tr>
      <w:tr w:rsidR="009F7CF6" w:rsidRPr="007E29C4" w:rsidTr="00CB332B">
        <w:tc>
          <w:tcPr>
            <w:tcW w:w="680" w:type="dxa"/>
            <w:shd w:val="clear" w:color="auto" w:fill="auto"/>
          </w:tcPr>
          <w:p w:rsidR="009F7CF6" w:rsidRPr="007E29C4" w:rsidRDefault="009F7CF6" w:rsidP="00CB332B">
            <w:pPr>
              <w:spacing w:after="120"/>
              <w:rPr>
                <w:lang w:val="fr-FR"/>
              </w:rPr>
            </w:pPr>
            <w:r w:rsidRPr="007E29C4">
              <w:rPr>
                <w:lang w:val="fr-FR"/>
              </w:rPr>
              <w:t>C</w:t>
            </w:r>
            <w:r w:rsidRPr="007E29C4">
              <w:rPr>
                <w:vertAlign w:val="subscript"/>
                <w:lang w:val="fr-FR"/>
              </w:rPr>
              <w:t>H2O</w:t>
            </w:r>
            <w:r w:rsidRPr="00C9579C">
              <w:rPr>
                <w:vertAlign w:val="subscript"/>
                <w:lang w:val="fr-FR"/>
              </w:rPr>
              <w:t>-</w:t>
            </w:r>
            <w:r w:rsidRPr="007E29C4">
              <w:rPr>
                <w:vertAlign w:val="subscript"/>
                <w:lang w:val="fr-FR"/>
              </w:rPr>
              <w:t>DA</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concentration de H</w:t>
            </w:r>
            <w:r w:rsidRPr="00C9579C">
              <w:rPr>
                <w:vertAlign w:val="subscript"/>
                <w:lang w:val="fr-FR"/>
              </w:rPr>
              <w:t>2</w:t>
            </w:r>
            <w:r w:rsidRPr="007E29C4">
              <w:rPr>
                <w:lang w:val="fr-FR"/>
              </w:rPr>
              <w:t>O dans l</w:t>
            </w:r>
            <w:r w:rsidR="00DB4C2D">
              <w:rPr>
                <w:lang w:val="fr-FR"/>
              </w:rPr>
              <w:t>’</w:t>
            </w:r>
            <w:r w:rsidRPr="007E29C4">
              <w:rPr>
                <w:lang w:val="fr-FR"/>
              </w:rPr>
              <w:t>air utilisé pour la dilution, exprimée en % volume,</w:t>
            </w:r>
          </w:p>
        </w:tc>
      </w:tr>
      <w:tr w:rsidR="009F7CF6" w:rsidRPr="007E29C4" w:rsidTr="00CB332B">
        <w:tc>
          <w:tcPr>
            <w:tcW w:w="680" w:type="dxa"/>
            <w:shd w:val="clear" w:color="auto" w:fill="auto"/>
          </w:tcPr>
          <w:p w:rsidR="009F7CF6" w:rsidRPr="007E29C4" w:rsidRDefault="009F7CF6" w:rsidP="00CB332B">
            <w:pPr>
              <w:spacing w:after="120"/>
              <w:rPr>
                <w:lang w:val="fr-FR"/>
              </w:rPr>
            </w:pPr>
            <w:r w:rsidRPr="007E29C4">
              <w:rPr>
                <w:lang w:val="fr-FR"/>
              </w:rPr>
              <w:t>C</w:t>
            </w:r>
            <w:r w:rsidRPr="007E29C4">
              <w:rPr>
                <w:vertAlign w:val="subscript"/>
                <w:lang w:val="fr-FR"/>
              </w:rPr>
              <w:t>H2</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concentration de CH</w:t>
            </w:r>
            <w:r w:rsidRPr="00C9579C">
              <w:rPr>
                <w:vertAlign w:val="subscript"/>
                <w:lang w:val="fr-FR"/>
              </w:rPr>
              <w:t>2</w:t>
            </w:r>
            <w:r w:rsidRPr="007E29C4">
              <w:rPr>
                <w:lang w:val="fr-FR"/>
              </w:rPr>
              <w:t xml:space="preserve"> dans les gaz d</w:t>
            </w:r>
            <w:r w:rsidR="00DB4C2D">
              <w:rPr>
                <w:lang w:val="fr-FR"/>
              </w:rPr>
              <w:t>’</w:t>
            </w:r>
            <w:r w:rsidRPr="007E29C4">
              <w:rPr>
                <w:lang w:val="fr-FR"/>
              </w:rPr>
              <w:t>échappement dilués contenus dans le sac de prélèvement, exprimée en ppm,</w:t>
            </w:r>
          </w:p>
        </w:tc>
      </w:tr>
    </w:tbl>
    <w:p w:rsidR="009F7CF6" w:rsidRPr="00A779B8" w:rsidRDefault="009F7CF6" w:rsidP="009F7CF6">
      <w:pPr>
        <w:pStyle w:val="SingleTxtG"/>
        <w:keepNext/>
        <w:ind w:left="2268"/>
        <w:rPr>
          <w:lang w:val="fr-FR"/>
        </w:rPr>
      </w:pPr>
      <w:r w:rsidRPr="00A779B8">
        <w:rPr>
          <w:lang w:val="fr-FR"/>
        </w:rPr>
        <w:lastRenderedPageBreak/>
        <w:t>La concentration d</w:t>
      </w:r>
      <w:r w:rsidR="00DB4C2D">
        <w:rPr>
          <w:lang w:val="fr-FR"/>
        </w:rPr>
        <w:t>’</w:t>
      </w:r>
      <w:r w:rsidRPr="00A779B8">
        <w:rPr>
          <w:lang w:val="fr-FR"/>
        </w:rPr>
        <w:t>hydrocarbures non méthaniques se calcule comme suit:</w:t>
      </w:r>
    </w:p>
    <w:p w:rsidR="009F7CF6" w:rsidRPr="00A779B8" w:rsidRDefault="009F7CF6" w:rsidP="009F7CF6">
      <w:pPr>
        <w:pStyle w:val="SingleTxtG"/>
        <w:keepNext/>
        <w:ind w:left="2268"/>
        <w:rPr>
          <w:lang w:val="fr-FR"/>
        </w:rPr>
      </w:pPr>
      <w:r w:rsidRPr="00A779B8">
        <w:rPr>
          <w:lang w:val="fr-FR"/>
        </w:rPr>
        <w:t>C</w:t>
      </w:r>
      <w:r w:rsidRPr="00A779B8">
        <w:rPr>
          <w:vertAlign w:val="subscript"/>
          <w:lang w:val="fr-FR"/>
        </w:rPr>
        <w:t>NMHC</w:t>
      </w:r>
      <w:r w:rsidRPr="00A779B8">
        <w:rPr>
          <w:lang w:val="fr-FR"/>
        </w:rPr>
        <w:t xml:space="preserve"> =</w:t>
      </w:r>
      <w:r w:rsidRPr="00A779B8">
        <w:rPr>
          <w:lang w:val="fr-FR"/>
        </w:rPr>
        <w:tab/>
        <w:t>C</w:t>
      </w:r>
      <w:r w:rsidRPr="00A779B8">
        <w:rPr>
          <w:vertAlign w:val="subscript"/>
          <w:lang w:val="fr-FR"/>
        </w:rPr>
        <w:t>HCT</w:t>
      </w:r>
      <w:r w:rsidRPr="00A779B8">
        <w:rPr>
          <w:lang w:val="fr-FR"/>
        </w:rPr>
        <w:t xml:space="preserve"> − (</w:t>
      </w:r>
      <w:proofErr w:type="spellStart"/>
      <w:r w:rsidRPr="00A779B8">
        <w:rPr>
          <w:lang w:val="fr-FR"/>
        </w:rPr>
        <w:t>Rf</w:t>
      </w:r>
      <w:proofErr w:type="spellEnd"/>
      <w:r w:rsidRPr="00A779B8">
        <w:rPr>
          <w:lang w:val="fr-FR"/>
        </w:rPr>
        <w:t xml:space="preserve"> </w:t>
      </w:r>
      <w:r w:rsidRPr="00A779B8">
        <w:rPr>
          <w:vertAlign w:val="subscript"/>
          <w:lang w:val="fr-FR"/>
        </w:rPr>
        <w:t>CH4</w:t>
      </w:r>
      <w:r w:rsidRPr="00A779B8">
        <w:rPr>
          <w:lang w:val="fr-FR"/>
        </w:rPr>
        <w:t xml:space="preserve"> • C</w:t>
      </w:r>
      <w:r w:rsidRPr="00A779B8">
        <w:rPr>
          <w:vertAlign w:val="subscript"/>
          <w:lang w:val="fr-FR"/>
        </w:rPr>
        <w:t>CH4</w:t>
      </w:r>
      <w:r w:rsidRPr="00A779B8">
        <w:rPr>
          <w:lang w:val="fr-FR"/>
        </w:rPr>
        <w:t>)</w:t>
      </w:r>
    </w:p>
    <w:p w:rsidR="009F7CF6" w:rsidRPr="00A779B8" w:rsidRDefault="009F7CF6" w:rsidP="009F7CF6">
      <w:pPr>
        <w:pStyle w:val="SingleTxtG"/>
        <w:keepNext/>
        <w:ind w:left="2268"/>
        <w:rPr>
          <w:lang w:val="fr-FR"/>
        </w:rPr>
      </w:pPr>
      <w:r w:rsidRPr="00A779B8">
        <w:rPr>
          <w:lang w:val="fr-FR"/>
        </w:rPr>
        <w:tab/>
        <w:t>où:</w:t>
      </w:r>
    </w:p>
    <w:tbl>
      <w:tblPr>
        <w:tblW w:w="0" w:type="auto"/>
        <w:tblInd w:w="2268" w:type="dxa"/>
        <w:tblLayout w:type="fixed"/>
        <w:tblCellMar>
          <w:left w:w="0" w:type="dxa"/>
          <w:right w:w="0" w:type="dxa"/>
        </w:tblCellMar>
        <w:tblLook w:val="01E0" w:firstRow="1" w:lastRow="1" w:firstColumn="1" w:lastColumn="1" w:noHBand="0" w:noVBand="0"/>
      </w:tblPr>
      <w:tblGrid>
        <w:gridCol w:w="851"/>
        <w:gridCol w:w="284"/>
        <w:gridCol w:w="5103"/>
      </w:tblGrid>
      <w:tr w:rsidR="009F7CF6" w:rsidRPr="007E29C4" w:rsidTr="00CB332B">
        <w:tc>
          <w:tcPr>
            <w:tcW w:w="851" w:type="dxa"/>
            <w:shd w:val="clear" w:color="auto" w:fill="auto"/>
          </w:tcPr>
          <w:p w:rsidR="009F7CF6" w:rsidRPr="007E29C4" w:rsidRDefault="009F7CF6" w:rsidP="00CB332B">
            <w:pPr>
              <w:keepNext/>
              <w:spacing w:after="120"/>
              <w:rPr>
                <w:lang w:val="fr-FR"/>
              </w:rPr>
            </w:pPr>
            <w:r w:rsidRPr="007E29C4">
              <w:rPr>
                <w:lang w:val="fr-FR"/>
              </w:rPr>
              <w:t>C</w:t>
            </w:r>
            <w:r w:rsidRPr="007E29C4">
              <w:rPr>
                <w:vertAlign w:val="subscript"/>
                <w:lang w:val="fr-FR"/>
              </w:rPr>
              <w:t>NMHC</w:t>
            </w:r>
          </w:p>
        </w:tc>
        <w:tc>
          <w:tcPr>
            <w:tcW w:w="284" w:type="dxa"/>
            <w:shd w:val="clear" w:color="auto" w:fill="auto"/>
          </w:tcPr>
          <w:p w:rsidR="009F7CF6" w:rsidRPr="007E29C4" w:rsidRDefault="009F7CF6" w:rsidP="00CB332B">
            <w:pPr>
              <w:keepNext/>
              <w:spacing w:after="120"/>
              <w:rPr>
                <w:lang w:val="fr-FR"/>
              </w:rPr>
            </w:pPr>
            <w:r w:rsidRPr="007E29C4">
              <w:rPr>
                <w:lang w:val="fr-FR"/>
              </w:rPr>
              <w:t>=</w:t>
            </w:r>
          </w:p>
        </w:tc>
        <w:tc>
          <w:tcPr>
            <w:tcW w:w="5103" w:type="dxa"/>
            <w:shd w:val="clear" w:color="auto" w:fill="auto"/>
          </w:tcPr>
          <w:p w:rsidR="009F7CF6" w:rsidRPr="007E29C4" w:rsidRDefault="009F7CF6" w:rsidP="00CB332B">
            <w:pPr>
              <w:keepNext/>
              <w:spacing w:after="120"/>
              <w:rPr>
                <w:lang w:val="fr-FR"/>
              </w:rPr>
            </w:pPr>
            <w:r w:rsidRPr="007E29C4">
              <w:rPr>
                <w:lang w:val="fr-FR"/>
              </w:rPr>
              <w:t>concentration corrigée de NMHC dans les gaz d</w:t>
            </w:r>
            <w:r w:rsidR="00DB4C2D">
              <w:rPr>
                <w:lang w:val="fr-FR"/>
              </w:rPr>
              <w:t>’</w:t>
            </w:r>
            <w:r w:rsidRPr="007E29C4">
              <w:rPr>
                <w:lang w:val="fr-FR"/>
              </w:rPr>
              <w:t>échappement dilués, exprimée en ppm d</w:t>
            </w:r>
            <w:r w:rsidR="00DB4C2D">
              <w:rPr>
                <w:lang w:val="fr-FR"/>
              </w:rPr>
              <w:t>’</w:t>
            </w:r>
            <w:r w:rsidRPr="007E29C4">
              <w:rPr>
                <w:lang w:val="fr-FR"/>
              </w:rPr>
              <w:t>équivalent carbone,</w:t>
            </w:r>
          </w:p>
        </w:tc>
      </w:tr>
      <w:tr w:rsidR="009F7CF6" w:rsidRPr="007E29C4" w:rsidTr="00CB332B">
        <w:tc>
          <w:tcPr>
            <w:tcW w:w="851" w:type="dxa"/>
            <w:shd w:val="clear" w:color="auto" w:fill="auto"/>
          </w:tcPr>
          <w:p w:rsidR="009F7CF6" w:rsidRPr="007E29C4" w:rsidRDefault="009F7CF6" w:rsidP="00CB332B">
            <w:pPr>
              <w:keepNext/>
              <w:spacing w:after="120"/>
              <w:rPr>
                <w:lang w:val="fr-FR"/>
              </w:rPr>
            </w:pPr>
            <w:r w:rsidRPr="007E29C4">
              <w:rPr>
                <w:lang w:val="fr-FR"/>
              </w:rPr>
              <w:t>C</w:t>
            </w:r>
            <w:r w:rsidRPr="007E29C4">
              <w:rPr>
                <w:vertAlign w:val="subscript"/>
                <w:lang w:val="fr-FR"/>
              </w:rPr>
              <w:t>HCT</w:t>
            </w:r>
          </w:p>
        </w:tc>
        <w:tc>
          <w:tcPr>
            <w:tcW w:w="284" w:type="dxa"/>
            <w:shd w:val="clear" w:color="auto" w:fill="auto"/>
          </w:tcPr>
          <w:p w:rsidR="009F7CF6" w:rsidRPr="007E29C4" w:rsidRDefault="009F7CF6" w:rsidP="00CB332B">
            <w:pPr>
              <w:keepNext/>
              <w:spacing w:after="120"/>
              <w:rPr>
                <w:lang w:val="fr-FR"/>
              </w:rPr>
            </w:pPr>
            <w:r w:rsidRPr="007E29C4">
              <w:rPr>
                <w:lang w:val="fr-FR"/>
              </w:rPr>
              <w:t>=</w:t>
            </w:r>
          </w:p>
        </w:tc>
        <w:tc>
          <w:tcPr>
            <w:tcW w:w="5103" w:type="dxa"/>
            <w:shd w:val="clear" w:color="auto" w:fill="auto"/>
          </w:tcPr>
          <w:p w:rsidR="009F7CF6" w:rsidRPr="007E29C4" w:rsidRDefault="009F7CF6" w:rsidP="00CB332B">
            <w:pPr>
              <w:keepNext/>
              <w:spacing w:after="120"/>
              <w:rPr>
                <w:lang w:val="fr-FR"/>
              </w:rPr>
            </w:pPr>
            <w:r w:rsidRPr="007E29C4">
              <w:rPr>
                <w:lang w:val="fr-FR"/>
              </w:rPr>
              <w:t>concentration de HCT dans les gaz d</w:t>
            </w:r>
            <w:r w:rsidR="00DB4C2D">
              <w:rPr>
                <w:lang w:val="fr-FR"/>
              </w:rPr>
              <w:t>’</w:t>
            </w:r>
            <w:r w:rsidRPr="007E29C4">
              <w:rPr>
                <w:lang w:val="fr-FR"/>
              </w:rPr>
              <w:t>échappement dilués, exprimée en ppm d</w:t>
            </w:r>
            <w:r w:rsidR="00DB4C2D">
              <w:rPr>
                <w:lang w:val="fr-FR"/>
              </w:rPr>
              <w:t>’</w:t>
            </w:r>
            <w:r w:rsidRPr="007E29C4">
              <w:rPr>
                <w:lang w:val="fr-FR"/>
              </w:rPr>
              <w:t>équivalent carbone et corrigée de la quantité de HCT contenue dans l</w:t>
            </w:r>
            <w:r w:rsidR="00DB4C2D">
              <w:rPr>
                <w:lang w:val="fr-FR"/>
              </w:rPr>
              <w:t>’</w:t>
            </w:r>
            <w:r w:rsidRPr="007E29C4">
              <w:rPr>
                <w:lang w:val="fr-FR"/>
              </w:rPr>
              <w:t>air de dilution,</w:t>
            </w:r>
          </w:p>
        </w:tc>
      </w:tr>
      <w:tr w:rsidR="009F7CF6" w:rsidRPr="007E29C4" w:rsidTr="00CB332B">
        <w:tc>
          <w:tcPr>
            <w:tcW w:w="851" w:type="dxa"/>
            <w:shd w:val="clear" w:color="auto" w:fill="auto"/>
          </w:tcPr>
          <w:p w:rsidR="009F7CF6" w:rsidRPr="007E29C4" w:rsidRDefault="009F7CF6" w:rsidP="00CB332B">
            <w:pPr>
              <w:keepNext/>
              <w:spacing w:after="120"/>
              <w:rPr>
                <w:lang w:val="fr-FR"/>
              </w:rPr>
            </w:pPr>
            <w:r w:rsidRPr="007E29C4">
              <w:rPr>
                <w:lang w:val="fr-FR"/>
              </w:rPr>
              <w:t>C</w:t>
            </w:r>
            <w:r w:rsidRPr="007E29C4">
              <w:rPr>
                <w:vertAlign w:val="subscript"/>
                <w:lang w:val="fr-FR"/>
              </w:rPr>
              <w:t>CH4</w:t>
            </w:r>
          </w:p>
        </w:tc>
        <w:tc>
          <w:tcPr>
            <w:tcW w:w="284" w:type="dxa"/>
            <w:shd w:val="clear" w:color="auto" w:fill="auto"/>
          </w:tcPr>
          <w:p w:rsidR="009F7CF6" w:rsidRPr="007E29C4" w:rsidRDefault="009F7CF6" w:rsidP="00CB332B">
            <w:pPr>
              <w:keepNext/>
              <w:spacing w:after="120"/>
              <w:rPr>
                <w:lang w:val="fr-FR"/>
              </w:rPr>
            </w:pPr>
            <w:r w:rsidRPr="007E29C4">
              <w:rPr>
                <w:lang w:val="fr-FR"/>
              </w:rPr>
              <w:t>=</w:t>
            </w:r>
          </w:p>
        </w:tc>
        <w:tc>
          <w:tcPr>
            <w:tcW w:w="5103" w:type="dxa"/>
            <w:shd w:val="clear" w:color="auto" w:fill="auto"/>
          </w:tcPr>
          <w:p w:rsidR="009F7CF6" w:rsidRPr="007E29C4" w:rsidRDefault="009F7CF6" w:rsidP="00CB332B">
            <w:pPr>
              <w:keepNext/>
              <w:spacing w:after="120"/>
              <w:rPr>
                <w:lang w:val="fr-FR"/>
              </w:rPr>
            </w:pPr>
            <w:r w:rsidRPr="007E29C4">
              <w:rPr>
                <w:lang w:val="fr-FR"/>
              </w:rPr>
              <w:t>concentration de CH</w:t>
            </w:r>
            <w:r w:rsidRPr="00C9579C">
              <w:rPr>
                <w:vertAlign w:val="subscript"/>
                <w:lang w:val="fr-FR"/>
              </w:rPr>
              <w:t>4</w:t>
            </w:r>
            <w:r w:rsidRPr="007E29C4">
              <w:rPr>
                <w:lang w:val="fr-FR"/>
              </w:rPr>
              <w:t xml:space="preserve"> dans les gaz d</w:t>
            </w:r>
            <w:r w:rsidR="00DB4C2D">
              <w:rPr>
                <w:lang w:val="fr-FR"/>
              </w:rPr>
              <w:t>’</w:t>
            </w:r>
            <w:r w:rsidRPr="007E29C4">
              <w:rPr>
                <w:lang w:val="fr-FR"/>
              </w:rPr>
              <w:t>échappement dilués, exprimée en ppm d</w:t>
            </w:r>
            <w:r w:rsidR="00DB4C2D">
              <w:rPr>
                <w:lang w:val="fr-FR"/>
              </w:rPr>
              <w:t>’</w:t>
            </w:r>
            <w:r w:rsidRPr="007E29C4">
              <w:rPr>
                <w:lang w:val="fr-FR"/>
              </w:rPr>
              <w:t>équivalent carbone et corrigée de la quantité de CH</w:t>
            </w:r>
            <w:r w:rsidRPr="00C9579C">
              <w:rPr>
                <w:vertAlign w:val="subscript"/>
                <w:lang w:val="fr-FR"/>
              </w:rPr>
              <w:t>4</w:t>
            </w:r>
            <w:r w:rsidRPr="007E29C4">
              <w:rPr>
                <w:lang w:val="fr-FR"/>
              </w:rPr>
              <w:t xml:space="preserve"> contenue dans l</w:t>
            </w:r>
            <w:r w:rsidR="00DB4C2D">
              <w:rPr>
                <w:lang w:val="fr-FR"/>
              </w:rPr>
              <w:t>’</w:t>
            </w:r>
            <w:r w:rsidRPr="007E29C4">
              <w:rPr>
                <w:lang w:val="fr-FR"/>
              </w:rPr>
              <w:t>air de dilution,</w:t>
            </w:r>
          </w:p>
        </w:tc>
      </w:tr>
      <w:tr w:rsidR="009F7CF6" w:rsidRPr="007E29C4" w:rsidTr="00CB332B">
        <w:tc>
          <w:tcPr>
            <w:tcW w:w="851" w:type="dxa"/>
            <w:shd w:val="clear" w:color="auto" w:fill="auto"/>
          </w:tcPr>
          <w:p w:rsidR="009F7CF6" w:rsidRPr="007E29C4" w:rsidRDefault="009F7CF6" w:rsidP="00CB332B">
            <w:pPr>
              <w:keepNext/>
              <w:spacing w:after="120"/>
              <w:rPr>
                <w:lang w:val="fr-FR"/>
              </w:rPr>
            </w:pPr>
            <w:r w:rsidRPr="007E29C4">
              <w:rPr>
                <w:lang w:val="fr-FR"/>
              </w:rPr>
              <w:t>Rf</w:t>
            </w:r>
            <w:r w:rsidRPr="007E29C4">
              <w:rPr>
                <w:vertAlign w:val="subscript"/>
                <w:lang w:val="fr-FR"/>
              </w:rPr>
              <w:t>CH4</w:t>
            </w:r>
          </w:p>
        </w:tc>
        <w:tc>
          <w:tcPr>
            <w:tcW w:w="284" w:type="dxa"/>
            <w:shd w:val="clear" w:color="auto" w:fill="auto"/>
          </w:tcPr>
          <w:p w:rsidR="009F7CF6" w:rsidRPr="007E29C4" w:rsidRDefault="009F7CF6" w:rsidP="00CB332B">
            <w:pPr>
              <w:keepNext/>
              <w:spacing w:after="120"/>
              <w:rPr>
                <w:lang w:val="fr-FR"/>
              </w:rPr>
            </w:pPr>
            <w:r w:rsidRPr="007E29C4">
              <w:rPr>
                <w:lang w:val="fr-FR"/>
              </w:rPr>
              <w:t>=</w:t>
            </w:r>
          </w:p>
        </w:tc>
        <w:tc>
          <w:tcPr>
            <w:tcW w:w="5103" w:type="dxa"/>
            <w:shd w:val="clear" w:color="auto" w:fill="auto"/>
          </w:tcPr>
          <w:p w:rsidR="009F7CF6" w:rsidRPr="007E29C4" w:rsidRDefault="009F7CF6" w:rsidP="00CB332B">
            <w:pPr>
              <w:keepNext/>
              <w:spacing w:after="120"/>
              <w:rPr>
                <w:lang w:val="fr-FR"/>
              </w:rPr>
            </w:pPr>
            <w:r w:rsidRPr="007E29C4">
              <w:rPr>
                <w:lang w:val="fr-FR"/>
              </w:rPr>
              <w:t>taux de réponse du détecteur d</w:t>
            </w:r>
            <w:r w:rsidR="00DB4C2D">
              <w:rPr>
                <w:lang w:val="fr-FR"/>
              </w:rPr>
              <w:t>’</w:t>
            </w:r>
            <w:r w:rsidRPr="007E29C4">
              <w:rPr>
                <w:lang w:val="fr-FR"/>
              </w:rPr>
              <w:t>ionisation de flamme au méthane tel que défini au paragraphe 2.3.3 de l</w:t>
            </w:r>
            <w:r w:rsidR="00DB4C2D">
              <w:rPr>
                <w:lang w:val="fr-FR"/>
              </w:rPr>
              <w:t>’</w:t>
            </w:r>
            <w:r w:rsidRPr="007E29C4">
              <w:rPr>
                <w:lang w:val="fr-FR"/>
              </w:rPr>
              <w:t>appendice 3 de la présente annexe.</w:t>
            </w:r>
          </w:p>
        </w:tc>
      </w:tr>
    </w:tbl>
    <w:p w:rsidR="009F7CF6" w:rsidRPr="00A779B8" w:rsidRDefault="009F7CF6" w:rsidP="009F7CF6">
      <w:pPr>
        <w:pStyle w:val="SingleTxtG"/>
        <w:keepNext/>
        <w:ind w:left="2268" w:hanging="1134"/>
        <w:jc w:val="left"/>
        <w:rPr>
          <w:lang w:val="fr-FR"/>
        </w:rPr>
      </w:pPr>
      <w:r w:rsidRPr="00A779B8">
        <w:rPr>
          <w:lang w:val="fr-FR"/>
        </w:rPr>
        <w:t>6.6.5</w:t>
      </w:r>
      <w:r w:rsidRPr="00A779B8">
        <w:rPr>
          <w:lang w:val="fr-FR"/>
        </w:rPr>
        <w:tab/>
      </w:r>
      <w:r w:rsidRPr="00A779B8">
        <w:rPr>
          <w:lang w:val="fr-FR"/>
        </w:rPr>
        <w:tab/>
        <w:t>Calcul du facteur de correction d</w:t>
      </w:r>
      <w:r w:rsidR="00DB4C2D">
        <w:rPr>
          <w:lang w:val="fr-FR"/>
        </w:rPr>
        <w:t>’</w:t>
      </w:r>
      <w:r w:rsidRPr="00A779B8">
        <w:rPr>
          <w:lang w:val="fr-FR"/>
        </w:rPr>
        <w:t>humidité pour les oxydes d</w:t>
      </w:r>
      <w:r w:rsidR="00DB4C2D">
        <w:rPr>
          <w:lang w:val="fr-FR"/>
        </w:rPr>
        <w:t>’</w:t>
      </w:r>
      <w:r w:rsidRPr="00A779B8">
        <w:rPr>
          <w:lang w:val="fr-FR"/>
        </w:rPr>
        <w:t>azote</w:t>
      </w:r>
    </w:p>
    <w:p w:rsidR="009F7CF6" w:rsidRPr="00A779B8" w:rsidRDefault="009F7CF6" w:rsidP="009F7CF6">
      <w:pPr>
        <w:pStyle w:val="SingleTxtG"/>
        <w:keepNext/>
        <w:ind w:left="2268"/>
        <w:rPr>
          <w:lang w:val="fr-FR"/>
        </w:rPr>
      </w:pPr>
      <w:r w:rsidRPr="00A779B8">
        <w:rPr>
          <w:lang w:val="fr-FR"/>
        </w:rPr>
        <w:tab/>
        <w:t>Pour corriger les effets de l</w:t>
      </w:r>
      <w:r w:rsidR="00DB4C2D">
        <w:rPr>
          <w:lang w:val="fr-FR"/>
        </w:rPr>
        <w:t>’</w:t>
      </w:r>
      <w:r w:rsidRPr="00A779B8">
        <w:rPr>
          <w:lang w:val="fr-FR"/>
        </w:rPr>
        <w:t>humidité sur les résultats obtenus pour les oxydes d</w:t>
      </w:r>
      <w:r w:rsidR="00DB4C2D">
        <w:rPr>
          <w:lang w:val="fr-FR"/>
        </w:rPr>
        <w:t>’</w:t>
      </w:r>
      <w:r w:rsidRPr="00A779B8">
        <w:rPr>
          <w:lang w:val="fr-FR"/>
        </w:rPr>
        <w:t>azote, on applique la formule suivante:</w:t>
      </w:r>
    </w:p>
    <w:p w:rsidR="009F7CF6" w:rsidRPr="00A779B8" w:rsidRDefault="009F7CF6" w:rsidP="009F7CF6">
      <w:pPr>
        <w:tabs>
          <w:tab w:val="left" w:pos="1690"/>
          <w:tab w:val="left" w:pos="2262"/>
          <w:tab w:val="right" w:pos="8500"/>
        </w:tabs>
        <w:spacing w:after="120"/>
        <w:ind w:left="3402" w:right="1134" w:hanging="1134"/>
        <w:jc w:val="center"/>
        <w:rPr>
          <w:lang w:val="fr-FR"/>
        </w:rPr>
      </w:pPr>
      <w:r w:rsidRPr="00A779B8">
        <w:rPr>
          <w:position w:val="-24"/>
          <w:lang w:val="fr-FR"/>
        </w:rPr>
        <w:object w:dxaOrig="2340" w:dyaOrig="580">
          <v:shape id="_x0000_i1060" type="#_x0000_t75" style="width:116.85pt;height:29.2pt" o:ole="" fillcolor="window">
            <v:imagedata r:id="rId103" o:title=""/>
          </v:shape>
          <o:OLEObject Type="Embed" ProgID="Equation.3" ShapeID="_x0000_i1060" DrawAspect="Content" ObjectID="_1490178427" r:id="rId104"/>
        </w:object>
      </w:r>
      <w:r w:rsidRPr="00A779B8">
        <w:rPr>
          <w:lang w:val="fr-FR"/>
        </w:rPr>
        <w:tab/>
        <w:t>(6)</w:t>
      </w:r>
    </w:p>
    <w:p w:rsidR="009F7CF6" w:rsidRPr="00A779B8" w:rsidRDefault="009F7CF6" w:rsidP="009F7CF6">
      <w:pPr>
        <w:pStyle w:val="SingleTxtG"/>
        <w:keepNext/>
        <w:ind w:left="2268"/>
        <w:rPr>
          <w:lang w:val="fr-FR"/>
        </w:rPr>
      </w:pPr>
      <w:r w:rsidRPr="00A779B8">
        <w:rPr>
          <w:lang w:val="fr-FR"/>
        </w:rPr>
        <w:tab/>
        <w:t>dans laquelle:</w:t>
      </w:r>
    </w:p>
    <w:p w:rsidR="009F7CF6" w:rsidRPr="00A779B8" w:rsidRDefault="009F7CF6" w:rsidP="009F7CF6">
      <w:pPr>
        <w:tabs>
          <w:tab w:val="left" w:pos="7560"/>
        </w:tabs>
        <w:spacing w:after="120"/>
        <w:ind w:left="2268"/>
        <w:jc w:val="both"/>
        <w:rPr>
          <w:szCs w:val="24"/>
          <w:lang w:val="fr-FR"/>
        </w:rPr>
      </w:pPr>
      <w:r w:rsidRPr="00A779B8">
        <w:rPr>
          <w:position w:val="-28"/>
          <w:lang w:val="fr-FR"/>
        </w:rPr>
        <w:object w:dxaOrig="1980" w:dyaOrig="620">
          <v:shape id="_x0000_i1061" type="#_x0000_t75" style="width:99.15pt;height:31.25pt" o:ole="" fillcolor="window">
            <v:imagedata r:id="rId105" o:title=""/>
          </v:shape>
          <o:OLEObject Type="Embed" ProgID="Equation.3" ShapeID="_x0000_i1061" DrawAspect="Content" ObjectID="_1490178428" r:id="rId106"/>
        </w:object>
      </w:r>
      <w:r w:rsidRPr="00A779B8">
        <w:rPr>
          <w:lang w:val="fr-FR"/>
        </w:rPr>
        <w:t xml:space="preserve"> </w:t>
      </w:r>
    </w:p>
    <w:p w:rsidR="009F7CF6" w:rsidRPr="00A779B8" w:rsidRDefault="009F7CF6" w:rsidP="009F7CF6">
      <w:pPr>
        <w:pStyle w:val="SingleTxtG"/>
        <w:keepNext/>
        <w:ind w:left="2268"/>
        <w:rPr>
          <w:lang w:val="fr-FR"/>
        </w:rPr>
      </w:pPr>
      <w:r w:rsidRPr="00A779B8">
        <w:rPr>
          <w:lang w:val="fr-FR"/>
        </w:rPr>
        <w:tab/>
        <w:t>où:</w:t>
      </w:r>
    </w:p>
    <w:tbl>
      <w:tblPr>
        <w:tblW w:w="0" w:type="auto"/>
        <w:tblInd w:w="2268" w:type="dxa"/>
        <w:tblLayout w:type="fixed"/>
        <w:tblCellMar>
          <w:left w:w="0" w:type="dxa"/>
          <w:right w:w="0" w:type="dxa"/>
        </w:tblCellMar>
        <w:tblLook w:val="01E0" w:firstRow="1" w:lastRow="1" w:firstColumn="1" w:lastColumn="1" w:noHBand="0" w:noVBand="0"/>
      </w:tblPr>
      <w:tblGrid>
        <w:gridCol w:w="851"/>
        <w:gridCol w:w="284"/>
        <w:gridCol w:w="5102"/>
        <w:tblGridChange w:id="98">
          <w:tblGrid>
            <w:gridCol w:w="851"/>
            <w:gridCol w:w="284"/>
            <w:gridCol w:w="5102"/>
          </w:tblGrid>
        </w:tblGridChange>
      </w:tblGrid>
      <w:tr w:rsidR="009F7CF6" w:rsidRPr="007E29C4" w:rsidTr="00CB332B">
        <w:tc>
          <w:tcPr>
            <w:tcW w:w="851" w:type="dxa"/>
            <w:shd w:val="clear" w:color="auto" w:fill="auto"/>
          </w:tcPr>
          <w:p w:rsidR="009F7CF6" w:rsidRPr="007E29C4" w:rsidRDefault="009F7CF6" w:rsidP="00CB332B">
            <w:pPr>
              <w:spacing w:after="120"/>
              <w:rPr>
                <w:lang w:val="fr-FR"/>
              </w:rPr>
            </w:pPr>
            <w:r w:rsidRPr="007E29C4">
              <w:rPr>
                <w:lang w:val="fr-FR"/>
              </w:rPr>
              <w:t>H</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humidité absolue, exprimée en g d</w:t>
            </w:r>
            <w:r w:rsidR="00DB4C2D">
              <w:rPr>
                <w:lang w:val="fr-FR"/>
              </w:rPr>
              <w:t>’</w:t>
            </w:r>
            <w:r w:rsidRPr="007E29C4">
              <w:rPr>
                <w:lang w:val="fr-FR"/>
              </w:rPr>
              <w:t>eau par kg d</w:t>
            </w:r>
            <w:r w:rsidR="00DB4C2D">
              <w:rPr>
                <w:lang w:val="fr-FR"/>
              </w:rPr>
              <w:t>’</w:t>
            </w:r>
            <w:r w:rsidRPr="007E29C4">
              <w:rPr>
                <w:lang w:val="fr-FR"/>
              </w:rPr>
              <w:t>air sec,</w:t>
            </w:r>
          </w:p>
        </w:tc>
      </w:tr>
      <w:tr w:rsidR="009F7CF6" w:rsidRPr="007E29C4" w:rsidTr="00CB332B">
        <w:tc>
          <w:tcPr>
            <w:tcW w:w="851" w:type="dxa"/>
            <w:shd w:val="clear" w:color="auto" w:fill="auto"/>
          </w:tcPr>
          <w:p w:rsidR="009F7CF6" w:rsidRPr="007E29C4" w:rsidRDefault="009F7CF6" w:rsidP="00CB332B">
            <w:pPr>
              <w:spacing w:after="120"/>
              <w:rPr>
                <w:lang w:val="fr-FR"/>
              </w:rPr>
            </w:pPr>
            <w:r w:rsidRPr="007E29C4">
              <w:rPr>
                <w:lang w:val="fr-FR"/>
              </w:rPr>
              <w:t>R</w:t>
            </w:r>
            <w:r w:rsidRPr="007E29C4">
              <w:rPr>
                <w:vertAlign w:val="subscript"/>
                <w:lang w:val="fr-FR"/>
              </w:rPr>
              <w:t>a</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humidité relative de l</w:t>
            </w:r>
            <w:r w:rsidR="00DB4C2D">
              <w:rPr>
                <w:lang w:val="fr-FR"/>
              </w:rPr>
              <w:t>’</w:t>
            </w:r>
            <w:r w:rsidRPr="007E29C4">
              <w:rPr>
                <w:lang w:val="fr-FR"/>
              </w:rPr>
              <w:t>atmosphère ambiante, exprimée en %,</w:t>
            </w:r>
          </w:p>
        </w:tc>
      </w:tr>
      <w:tr w:rsidR="009F7CF6" w:rsidRPr="007E29C4" w:rsidTr="00CB332B">
        <w:tc>
          <w:tcPr>
            <w:tcW w:w="851" w:type="dxa"/>
            <w:shd w:val="clear" w:color="auto" w:fill="auto"/>
          </w:tcPr>
          <w:p w:rsidR="009F7CF6" w:rsidRPr="007E29C4" w:rsidRDefault="009F7CF6" w:rsidP="00CB332B">
            <w:pPr>
              <w:spacing w:after="120"/>
              <w:rPr>
                <w:lang w:val="fr-FR"/>
              </w:rPr>
            </w:pPr>
            <w:r w:rsidRPr="007E29C4">
              <w:rPr>
                <w:lang w:val="fr-FR"/>
              </w:rPr>
              <w:t>P</w:t>
            </w:r>
            <w:r w:rsidRPr="007E29C4">
              <w:rPr>
                <w:vertAlign w:val="subscript"/>
                <w:lang w:val="fr-FR"/>
              </w:rPr>
              <w:t>d</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pression de vapeur saturante à la température ambiante, exprimée en kPa,</w:t>
            </w:r>
          </w:p>
        </w:tc>
      </w:tr>
      <w:tr w:rsidR="009F7CF6" w:rsidRPr="007E29C4" w:rsidTr="00CB332B">
        <w:tc>
          <w:tcPr>
            <w:tcW w:w="851" w:type="dxa"/>
            <w:shd w:val="clear" w:color="auto" w:fill="auto"/>
          </w:tcPr>
          <w:p w:rsidR="009F7CF6" w:rsidRPr="007E29C4" w:rsidRDefault="009F7CF6" w:rsidP="00CB332B">
            <w:pPr>
              <w:spacing w:after="120"/>
              <w:rPr>
                <w:lang w:val="fr-FR"/>
              </w:rPr>
            </w:pPr>
            <w:r w:rsidRPr="007E29C4">
              <w:rPr>
                <w:lang w:val="fr-FR"/>
              </w:rPr>
              <w:t>P</w:t>
            </w:r>
            <w:r w:rsidRPr="007E29C4">
              <w:rPr>
                <w:vertAlign w:val="subscript"/>
                <w:lang w:val="fr-FR"/>
              </w:rPr>
              <w:t>B</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pression atmosphérique dans la chambre d</w:t>
            </w:r>
            <w:r w:rsidR="00DB4C2D">
              <w:rPr>
                <w:lang w:val="fr-FR"/>
              </w:rPr>
              <w:t>’</w:t>
            </w:r>
            <w:r w:rsidRPr="007E29C4">
              <w:rPr>
                <w:lang w:val="fr-FR"/>
              </w:rPr>
              <w:t>essai, en kPa.</w:t>
            </w:r>
          </w:p>
        </w:tc>
      </w:tr>
    </w:tbl>
    <w:p w:rsidR="009F7CF6" w:rsidRPr="00A779B8" w:rsidRDefault="009F7CF6" w:rsidP="009F7CF6">
      <w:pPr>
        <w:pStyle w:val="SingleTxtG"/>
        <w:keepNext/>
        <w:ind w:left="2268" w:hanging="1134"/>
        <w:jc w:val="left"/>
        <w:rPr>
          <w:lang w:val="fr-FR"/>
        </w:rPr>
      </w:pPr>
      <w:r w:rsidRPr="00A779B8">
        <w:rPr>
          <w:bCs/>
          <w:lang w:val="fr-FR"/>
        </w:rPr>
        <w:t>6.6.6</w:t>
      </w:r>
      <w:r w:rsidRPr="00A779B8">
        <w:rPr>
          <w:bCs/>
          <w:lang w:val="fr-FR"/>
        </w:rPr>
        <w:tab/>
      </w:r>
      <w:r w:rsidRPr="00A779B8">
        <w:rPr>
          <w:lang w:val="fr-FR"/>
        </w:rPr>
        <w:t>Mesure de HC pour les moteurs à allumage par compression</w:t>
      </w:r>
    </w:p>
    <w:p w:rsidR="009F7CF6" w:rsidRPr="00A779B8" w:rsidRDefault="009F7CF6" w:rsidP="009F7CF6">
      <w:pPr>
        <w:pStyle w:val="SingleTxtG"/>
        <w:keepNext/>
        <w:ind w:left="2268"/>
        <w:rPr>
          <w:lang w:val="fr-FR"/>
        </w:rPr>
      </w:pPr>
      <w:r w:rsidRPr="00A779B8">
        <w:rPr>
          <w:lang w:val="fr-FR"/>
        </w:rPr>
        <w:tab/>
        <w:t>Pour déterminer les émissions massiques de HC pour les moteurs à allumage par compression, on calcule la concentration moyenne de HC au moyen de la formule suivante:</w:t>
      </w:r>
    </w:p>
    <w:p w:rsidR="009F7CF6" w:rsidRPr="00A779B8" w:rsidRDefault="009F7CF6" w:rsidP="009F7CF6">
      <w:pPr>
        <w:tabs>
          <w:tab w:val="left" w:pos="1690"/>
          <w:tab w:val="left" w:pos="2262"/>
          <w:tab w:val="right" w:pos="8500"/>
        </w:tabs>
        <w:spacing w:after="120"/>
        <w:ind w:left="3402" w:right="1134" w:hanging="1134"/>
        <w:jc w:val="center"/>
        <w:rPr>
          <w:lang w:val="fr-FR"/>
        </w:rPr>
      </w:pPr>
      <w:r w:rsidRPr="00A779B8">
        <w:rPr>
          <w:position w:val="-30"/>
          <w:lang w:val="fr-FR"/>
        </w:rPr>
        <w:object w:dxaOrig="1480" w:dyaOrig="1120">
          <v:shape id="_x0000_i1062" type="#_x0000_t75" style="width:74.05pt;height:55.7pt" o:ole="" fillcolor="window">
            <v:imagedata r:id="rId107" o:title=""/>
          </v:shape>
          <o:OLEObject Type="Embed" ProgID="Equation.3" ShapeID="_x0000_i1062" DrawAspect="Content" ObjectID="_1490178429" r:id="rId108"/>
        </w:object>
      </w:r>
      <w:r w:rsidRPr="00A779B8">
        <w:rPr>
          <w:lang w:val="fr-FR"/>
        </w:rPr>
        <w:tab/>
        <w:t>(7)</w:t>
      </w:r>
    </w:p>
    <w:p w:rsidR="009F7CF6" w:rsidRPr="00A779B8" w:rsidRDefault="009F7CF6" w:rsidP="009F7CF6">
      <w:pPr>
        <w:pStyle w:val="SingleTxtG"/>
        <w:keepNext/>
        <w:ind w:left="2268"/>
        <w:rPr>
          <w:lang w:val="fr-FR"/>
        </w:rPr>
      </w:pPr>
      <w:r w:rsidRPr="00A779B8">
        <w:rPr>
          <w:lang w:val="fr-FR"/>
        </w:rPr>
        <w:tab/>
        <w:t>où:</w:t>
      </w:r>
    </w:p>
    <w:tbl>
      <w:tblPr>
        <w:tblW w:w="6237" w:type="dxa"/>
        <w:tblInd w:w="2268" w:type="dxa"/>
        <w:tblLayout w:type="fixed"/>
        <w:tblCellMar>
          <w:left w:w="0" w:type="dxa"/>
          <w:right w:w="0" w:type="dxa"/>
        </w:tblCellMar>
        <w:tblLook w:val="01E0" w:firstRow="1" w:lastRow="1" w:firstColumn="1" w:lastColumn="1" w:noHBand="0" w:noVBand="0"/>
      </w:tblPr>
      <w:tblGrid>
        <w:gridCol w:w="851"/>
        <w:gridCol w:w="284"/>
        <w:gridCol w:w="5102"/>
      </w:tblGrid>
      <w:tr w:rsidR="009F7CF6" w:rsidRPr="007E29C4" w:rsidTr="00CB332B">
        <w:trPr>
          <w:trHeight w:val="900"/>
        </w:trPr>
        <w:tc>
          <w:tcPr>
            <w:tcW w:w="851" w:type="dxa"/>
            <w:shd w:val="clear" w:color="auto" w:fill="auto"/>
          </w:tcPr>
          <w:p w:rsidR="009F7CF6" w:rsidRPr="007E29C4" w:rsidRDefault="009F7CF6" w:rsidP="00CB332B">
            <w:pPr>
              <w:spacing w:after="120"/>
              <w:rPr>
                <w:lang w:val="fr-FR"/>
              </w:rPr>
            </w:pPr>
            <w:r w:rsidRPr="007E29C4">
              <w:rPr>
                <w:lang w:val="fr-FR"/>
              </w:rPr>
              <w:object w:dxaOrig="940" w:dyaOrig="780">
                <v:shape id="_x0000_i1063" type="#_x0000_t75" style="width:40.75pt;height:38.05pt" fillcolor="window">
                  <v:imagedata r:id="rId109" o:title=""/>
                </v:shape>
              </w:objec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intégrale de la valeur enregistrée par l</w:t>
            </w:r>
            <w:r w:rsidR="00DB4C2D">
              <w:rPr>
                <w:lang w:val="fr-FR"/>
              </w:rPr>
              <w:t>’</w:t>
            </w:r>
            <w:r w:rsidRPr="007E29C4">
              <w:rPr>
                <w:lang w:val="fr-FR"/>
              </w:rPr>
              <w:t>analyseur FID chauffé au cours de l</w:t>
            </w:r>
            <w:r w:rsidR="00DB4C2D">
              <w:rPr>
                <w:lang w:val="fr-FR"/>
              </w:rPr>
              <w:t>’</w:t>
            </w:r>
            <w:r w:rsidRPr="007E29C4">
              <w:rPr>
                <w:lang w:val="fr-FR"/>
              </w:rPr>
              <w:t>essai (t2 - t1),</w:t>
            </w:r>
          </w:p>
        </w:tc>
      </w:tr>
      <w:tr w:rsidR="009F7CF6" w:rsidRPr="007E29C4" w:rsidTr="00CB332B">
        <w:tc>
          <w:tcPr>
            <w:tcW w:w="851" w:type="dxa"/>
            <w:shd w:val="clear" w:color="auto" w:fill="auto"/>
          </w:tcPr>
          <w:p w:rsidR="009F7CF6" w:rsidRPr="007E29C4" w:rsidRDefault="009F7CF6" w:rsidP="00CB332B">
            <w:pPr>
              <w:spacing w:after="120"/>
              <w:rPr>
                <w:lang w:val="fr-FR"/>
              </w:rPr>
            </w:pPr>
            <w:r w:rsidRPr="007E29C4">
              <w:rPr>
                <w:lang w:val="fr-FR"/>
              </w:rPr>
              <w:lastRenderedPageBreak/>
              <w:t>C</w:t>
            </w:r>
            <w:r w:rsidRPr="007E29C4">
              <w:rPr>
                <w:vertAlign w:val="subscript"/>
                <w:lang w:val="fr-FR"/>
              </w:rPr>
              <w:t>e</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3" w:type="dxa"/>
            <w:shd w:val="clear" w:color="auto" w:fill="auto"/>
          </w:tcPr>
          <w:p w:rsidR="009F7CF6" w:rsidRPr="007E29C4" w:rsidRDefault="009F7CF6" w:rsidP="00CB332B">
            <w:pPr>
              <w:spacing w:after="120"/>
              <w:rPr>
                <w:lang w:val="fr-FR"/>
              </w:rPr>
            </w:pPr>
            <w:r w:rsidRPr="007E29C4">
              <w:rPr>
                <w:lang w:val="fr-FR"/>
              </w:rPr>
              <w:t>concentration de HC mesurée dans les gaz d</w:t>
            </w:r>
            <w:r w:rsidR="00DB4C2D">
              <w:rPr>
                <w:lang w:val="fr-FR"/>
              </w:rPr>
              <w:t>’</w:t>
            </w:r>
            <w:r w:rsidRPr="007E29C4">
              <w:rPr>
                <w:lang w:val="fr-FR"/>
              </w:rPr>
              <w:t xml:space="preserve">échappement dilués en ppm de Ci, remplaçant CHC dans toutes les équations pertinentes. </w:t>
            </w:r>
          </w:p>
        </w:tc>
      </w:tr>
    </w:tbl>
    <w:p w:rsidR="009F7CF6" w:rsidRPr="00A779B8" w:rsidRDefault="009F7CF6" w:rsidP="009F7CF6">
      <w:pPr>
        <w:pStyle w:val="SingleTxtG"/>
        <w:keepNext/>
        <w:ind w:left="2268" w:hanging="1134"/>
        <w:jc w:val="left"/>
        <w:rPr>
          <w:lang w:val="fr-FR"/>
        </w:rPr>
      </w:pPr>
      <w:r w:rsidRPr="00A779B8">
        <w:rPr>
          <w:lang w:val="fr-FR"/>
        </w:rPr>
        <w:t>6.6.7</w:t>
      </w:r>
      <w:r w:rsidRPr="00A779B8">
        <w:rPr>
          <w:lang w:val="fr-FR"/>
        </w:rPr>
        <w:tab/>
        <w:t>Détermination des émissions de particules</w:t>
      </w:r>
    </w:p>
    <w:p w:rsidR="009F7CF6" w:rsidRPr="00A779B8" w:rsidRDefault="009F7CF6" w:rsidP="009F7CF6">
      <w:pPr>
        <w:pStyle w:val="SingleTxtG"/>
        <w:keepNext/>
        <w:ind w:left="2268"/>
        <w:rPr>
          <w:lang w:val="fr-FR"/>
        </w:rPr>
      </w:pPr>
      <w:r w:rsidRPr="00A779B8">
        <w:rPr>
          <w:lang w:val="fr-FR"/>
        </w:rPr>
        <w:tab/>
        <w:t>On calcule l</w:t>
      </w:r>
      <w:r w:rsidR="00DB4C2D">
        <w:rPr>
          <w:lang w:val="fr-FR"/>
        </w:rPr>
        <w:t>’</w:t>
      </w:r>
      <w:r w:rsidRPr="00A779B8">
        <w:rPr>
          <w:lang w:val="fr-FR"/>
        </w:rPr>
        <w:t xml:space="preserve">émission de particules </w:t>
      </w:r>
      <w:proofErr w:type="spellStart"/>
      <w:r w:rsidRPr="00A779B8">
        <w:rPr>
          <w:lang w:val="fr-FR"/>
        </w:rPr>
        <w:t>M</w:t>
      </w:r>
      <w:r w:rsidRPr="00A779B8">
        <w:rPr>
          <w:vertAlign w:val="subscript"/>
          <w:lang w:val="fr-FR"/>
        </w:rPr>
        <w:t>p</w:t>
      </w:r>
      <w:proofErr w:type="spellEnd"/>
      <w:r w:rsidRPr="00A779B8">
        <w:rPr>
          <w:lang w:val="fr-FR"/>
        </w:rPr>
        <w:t xml:space="preserve"> (g/km) au moyen des formules suivantes:</w:t>
      </w:r>
    </w:p>
    <w:p w:rsidR="009F7CF6" w:rsidRPr="00A779B8" w:rsidRDefault="009D55DD" w:rsidP="009F7CF6">
      <w:pPr>
        <w:pStyle w:val="SingleTxtG"/>
        <w:spacing w:before="120"/>
        <w:ind w:left="2268"/>
        <w:rPr>
          <w:szCs w:val="24"/>
          <w:lang w:val="fr-FR"/>
        </w:rPr>
      </w:pPr>
      <w:r>
        <w:rPr>
          <w:noProof/>
          <w:szCs w:val="24"/>
          <w:lang w:val="en-US"/>
        </w:rPr>
        <w:drawing>
          <wp:inline distT="0" distB="0" distL="0" distR="0">
            <wp:extent cx="1311275" cy="448310"/>
            <wp:effectExtent l="0" t="0" r="3175"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11275" cy="448310"/>
                    </a:xfrm>
                    <a:prstGeom prst="rect">
                      <a:avLst/>
                    </a:prstGeom>
                    <a:noFill/>
                    <a:ln>
                      <a:noFill/>
                    </a:ln>
                  </pic:spPr>
                </pic:pic>
              </a:graphicData>
            </a:graphic>
          </wp:inline>
        </w:drawing>
      </w:r>
    </w:p>
    <w:p w:rsidR="009F7CF6" w:rsidRPr="00A779B8" w:rsidRDefault="009F7CF6" w:rsidP="009F7CF6">
      <w:pPr>
        <w:pStyle w:val="SingleTxtG"/>
        <w:ind w:left="2268"/>
        <w:rPr>
          <w:lang w:val="fr-FR"/>
        </w:rPr>
      </w:pPr>
      <w:r w:rsidRPr="00A779B8">
        <w:rPr>
          <w:lang w:val="fr-FR"/>
        </w:rPr>
        <w:tab/>
        <w:t>dans le cas où les gaz d</w:t>
      </w:r>
      <w:r w:rsidR="00DB4C2D">
        <w:rPr>
          <w:lang w:val="fr-FR"/>
        </w:rPr>
        <w:t>’</w:t>
      </w:r>
      <w:r w:rsidRPr="00A779B8">
        <w:rPr>
          <w:lang w:val="fr-FR"/>
        </w:rPr>
        <w:t>échappement sont évacués à l</w:t>
      </w:r>
      <w:r w:rsidR="00DB4C2D">
        <w:rPr>
          <w:lang w:val="fr-FR"/>
        </w:rPr>
        <w:t>’</w:t>
      </w:r>
      <w:r w:rsidRPr="00A779B8">
        <w:rPr>
          <w:lang w:val="fr-FR"/>
        </w:rPr>
        <w:t>extérieur du tunnel;</w:t>
      </w:r>
    </w:p>
    <w:p w:rsidR="009F7CF6" w:rsidRPr="00A779B8" w:rsidRDefault="009D55DD" w:rsidP="009F7CF6">
      <w:pPr>
        <w:pStyle w:val="SingleTxtG"/>
        <w:spacing w:before="120"/>
        <w:ind w:left="2268"/>
        <w:rPr>
          <w:szCs w:val="24"/>
          <w:lang w:val="fr-FR"/>
        </w:rPr>
      </w:pPr>
      <w:r>
        <w:rPr>
          <w:noProof/>
          <w:szCs w:val="24"/>
          <w:lang w:val="en-US"/>
        </w:rPr>
        <w:drawing>
          <wp:inline distT="0" distB="0" distL="0" distR="0">
            <wp:extent cx="905510" cy="42291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05510" cy="422910"/>
                    </a:xfrm>
                    <a:prstGeom prst="rect">
                      <a:avLst/>
                    </a:prstGeom>
                    <a:noFill/>
                    <a:ln>
                      <a:noFill/>
                    </a:ln>
                  </pic:spPr>
                </pic:pic>
              </a:graphicData>
            </a:graphic>
          </wp:inline>
        </w:drawing>
      </w:r>
    </w:p>
    <w:p w:rsidR="009F7CF6" w:rsidRPr="00A779B8" w:rsidRDefault="009F7CF6" w:rsidP="009F7CF6">
      <w:pPr>
        <w:pStyle w:val="SingleTxtG"/>
        <w:spacing w:before="120"/>
        <w:ind w:left="2268"/>
        <w:rPr>
          <w:lang w:val="fr-FR"/>
        </w:rPr>
      </w:pPr>
      <w:r w:rsidRPr="00A779B8">
        <w:rPr>
          <w:lang w:val="fr-FR"/>
        </w:rPr>
        <w:t>dans le cas où les gaz d</w:t>
      </w:r>
      <w:r w:rsidR="00DB4C2D">
        <w:rPr>
          <w:lang w:val="fr-FR"/>
        </w:rPr>
        <w:t>’</w:t>
      </w:r>
      <w:r w:rsidRPr="00A779B8">
        <w:rPr>
          <w:lang w:val="fr-FR"/>
        </w:rPr>
        <w:t>échappement sont renvoyés dans le tunnel;</w:t>
      </w:r>
    </w:p>
    <w:p w:rsidR="009F7CF6" w:rsidRPr="00A779B8" w:rsidRDefault="009F7CF6" w:rsidP="009F7CF6">
      <w:pPr>
        <w:pStyle w:val="SingleTxtG"/>
        <w:keepNext/>
        <w:ind w:left="2268"/>
        <w:rPr>
          <w:lang w:val="fr-FR"/>
        </w:rPr>
      </w:pPr>
      <w:r w:rsidRPr="00A779B8">
        <w:rPr>
          <w:lang w:val="fr-FR"/>
        </w:rPr>
        <w:tab/>
        <w:t>où:</w:t>
      </w:r>
    </w:p>
    <w:tbl>
      <w:tblPr>
        <w:tblW w:w="0" w:type="auto"/>
        <w:tblInd w:w="2268" w:type="dxa"/>
        <w:tblLayout w:type="fixed"/>
        <w:tblCellMar>
          <w:left w:w="0" w:type="dxa"/>
          <w:right w:w="0" w:type="dxa"/>
        </w:tblCellMar>
        <w:tblLook w:val="01E0" w:firstRow="1" w:lastRow="1" w:firstColumn="1" w:lastColumn="1" w:noHBand="0" w:noVBand="0"/>
      </w:tblPr>
      <w:tblGrid>
        <w:gridCol w:w="680"/>
        <w:gridCol w:w="284"/>
        <w:gridCol w:w="5102"/>
        <w:tblGridChange w:id="99">
          <w:tblGrid>
            <w:gridCol w:w="680"/>
            <w:gridCol w:w="284"/>
            <w:gridCol w:w="5102"/>
          </w:tblGrid>
        </w:tblGridChange>
      </w:tblGrid>
      <w:tr w:rsidR="009F7CF6" w:rsidRPr="007E29C4" w:rsidTr="00CB332B">
        <w:tc>
          <w:tcPr>
            <w:tcW w:w="680" w:type="dxa"/>
            <w:shd w:val="clear" w:color="auto" w:fill="auto"/>
          </w:tcPr>
          <w:p w:rsidR="009F7CF6" w:rsidRPr="007E29C4" w:rsidRDefault="009F7CF6" w:rsidP="00CB332B">
            <w:pPr>
              <w:spacing w:after="120"/>
              <w:rPr>
                <w:lang w:val="fr-FR"/>
              </w:rPr>
            </w:pPr>
            <w:proofErr w:type="spellStart"/>
            <w:r w:rsidRPr="007E29C4">
              <w:rPr>
                <w:lang w:val="fr-FR"/>
              </w:rPr>
              <w:t>V</w:t>
            </w:r>
            <w:r w:rsidRPr="007E29C4">
              <w:rPr>
                <w:vertAlign w:val="subscript"/>
                <w:lang w:val="fr-FR"/>
              </w:rPr>
              <w:t>mix</w:t>
            </w:r>
            <w:proofErr w:type="spellEnd"/>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volume des gaz d</w:t>
            </w:r>
            <w:r w:rsidR="00DB4C2D">
              <w:rPr>
                <w:lang w:val="fr-FR"/>
              </w:rPr>
              <w:t>’</w:t>
            </w:r>
            <w:r w:rsidRPr="007E29C4">
              <w:rPr>
                <w:lang w:val="fr-FR"/>
              </w:rPr>
              <w:t>échappement dilués (voir le paragraphe 6.6.1 de la présente annexe) aux conditions normales,</w:t>
            </w:r>
          </w:p>
        </w:tc>
      </w:tr>
      <w:tr w:rsidR="009F7CF6" w:rsidRPr="007E29C4" w:rsidTr="00CB332B">
        <w:tc>
          <w:tcPr>
            <w:tcW w:w="680" w:type="dxa"/>
            <w:shd w:val="clear" w:color="auto" w:fill="auto"/>
          </w:tcPr>
          <w:p w:rsidR="009F7CF6" w:rsidRPr="007E29C4" w:rsidRDefault="009F7CF6" w:rsidP="00CB332B">
            <w:pPr>
              <w:spacing w:after="120"/>
              <w:rPr>
                <w:lang w:val="fr-FR"/>
              </w:rPr>
            </w:pPr>
            <w:proofErr w:type="spellStart"/>
            <w:r w:rsidRPr="007E29C4">
              <w:rPr>
                <w:lang w:val="fr-FR"/>
              </w:rPr>
              <w:t>V</w:t>
            </w:r>
            <w:r w:rsidRPr="007E29C4">
              <w:rPr>
                <w:vertAlign w:val="subscript"/>
                <w:lang w:val="fr-FR"/>
              </w:rPr>
              <w:t>ep</w:t>
            </w:r>
            <w:proofErr w:type="spellEnd"/>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volume des gaz d</w:t>
            </w:r>
            <w:r w:rsidR="00DB4C2D">
              <w:rPr>
                <w:lang w:val="fr-FR"/>
              </w:rPr>
              <w:t>’</w:t>
            </w:r>
            <w:r w:rsidRPr="007E29C4">
              <w:rPr>
                <w:lang w:val="fr-FR"/>
              </w:rPr>
              <w:t>échappement passé par les filtres à particules aux conditions normales,</w:t>
            </w:r>
          </w:p>
        </w:tc>
      </w:tr>
      <w:tr w:rsidR="009F7CF6" w:rsidRPr="007E29C4" w:rsidTr="00CB332B">
        <w:tc>
          <w:tcPr>
            <w:tcW w:w="680" w:type="dxa"/>
            <w:shd w:val="clear" w:color="auto" w:fill="auto"/>
          </w:tcPr>
          <w:p w:rsidR="009F7CF6" w:rsidRPr="007E29C4" w:rsidRDefault="009F7CF6" w:rsidP="00CB332B">
            <w:pPr>
              <w:spacing w:after="120"/>
              <w:rPr>
                <w:lang w:val="fr-FR"/>
              </w:rPr>
            </w:pPr>
            <w:proofErr w:type="spellStart"/>
            <w:r w:rsidRPr="007E29C4">
              <w:rPr>
                <w:lang w:val="fr-FR"/>
              </w:rPr>
              <w:t>P</w:t>
            </w:r>
            <w:r w:rsidRPr="007E29C4">
              <w:rPr>
                <w:vertAlign w:val="subscript"/>
                <w:lang w:val="fr-FR"/>
              </w:rPr>
              <w:t>e</w:t>
            </w:r>
            <w:proofErr w:type="spellEnd"/>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masse de particules retenue par le filtre,</w:t>
            </w:r>
          </w:p>
        </w:tc>
      </w:tr>
      <w:tr w:rsidR="009F7CF6" w:rsidRPr="007E29C4" w:rsidTr="00CB332B">
        <w:tc>
          <w:tcPr>
            <w:tcW w:w="680" w:type="dxa"/>
            <w:shd w:val="clear" w:color="auto" w:fill="auto"/>
          </w:tcPr>
          <w:p w:rsidR="009F7CF6" w:rsidRPr="007E29C4" w:rsidRDefault="009F7CF6" w:rsidP="00CB332B">
            <w:pPr>
              <w:spacing w:after="120"/>
              <w:rPr>
                <w:lang w:val="fr-FR"/>
              </w:rPr>
            </w:pPr>
            <w:r w:rsidRPr="007E29C4">
              <w:rPr>
                <w:lang w:val="fr-FR"/>
              </w:rPr>
              <w:t>d</w:t>
            </w:r>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distance réelle parcourue pendant le cycle d</w:t>
            </w:r>
            <w:r w:rsidR="00DB4C2D">
              <w:rPr>
                <w:lang w:val="fr-FR"/>
              </w:rPr>
              <w:t>’</w:t>
            </w:r>
            <w:r w:rsidRPr="007E29C4">
              <w:rPr>
                <w:lang w:val="fr-FR"/>
              </w:rPr>
              <w:t>essai en km,</w:t>
            </w:r>
          </w:p>
        </w:tc>
      </w:tr>
      <w:tr w:rsidR="009F7CF6" w:rsidRPr="007E29C4" w:rsidTr="00CB332B">
        <w:tc>
          <w:tcPr>
            <w:tcW w:w="680" w:type="dxa"/>
            <w:shd w:val="clear" w:color="auto" w:fill="auto"/>
          </w:tcPr>
          <w:p w:rsidR="009F7CF6" w:rsidRPr="007E29C4" w:rsidRDefault="009F7CF6" w:rsidP="00CB332B">
            <w:pPr>
              <w:spacing w:after="120"/>
              <w:rPr>
                <w:lang w:val="fr-FR"/>
              </w:rPr>
            </w:pPr>
            <w:proofErr w:type="spellStart"/>
            <w:r w:rsidRPr="007E29C4">
              <w:rPr>
                <w:lang w:val="fr-FR"/>
              </w:rPr>
              <w:t>M</w:t>
            </w:r>
            <w:r w:rsidRPr="007E29C4">
              <w:rPr>
                <w:vertAlign w:val="subscript"/>
                <w:lang w:val="fr-FR"/>
              </w:rPr>
              <w:t>p</w:t>
            </w:r>
            <w:proofErr w:type="spellEnd"/>
          </w:p>
        </w:tc>
        <w:tc>
          <w:tcPr>
            <w:tcW w:w="284" w:type="dxa"/>
            <w:shd w:val="clear" w:color="auto" w:fill="auto"/>
          </w:tcPr>
          <w:p w:rsidR="009F7CF6" w:rsidRPr="007E29C4" w:rsidRDefault="009F7CF6" w:rsidP="00CB332B">
            <w:pPr>
              <w:spacing w:after="120"/>
              <w:rPr>
                <w:lang w:val="fr-FR"/>
              </w:rPr>
            </w:pPr>
            <w:r w:rsidRPr="007E29C4">
              <w:rPr>
                <w:lang w:val="fr-FR"/>
              </w:rPr>
              <w:t>=</w:t>
            </w:r>
          </w:p>
        </w:tc>
        <w:tc>
          <w:tcPr>
            <w:tcW w:w="5102" w:type="dxa"/>
            <w:shd w:val="clear" w:color="auto" w:fill="auto"/>
          </w:tcPr>
          <w:p w:rsidR="009F7CF6" w:rsidRPr="007E29C4" w:rsidRDefault="009F7CF6" w:rsidP="00CB332B">
            <w:pPr>
              <w:spacing w:after="120"/>
              <w:rPr>
                <w:lang w:val="fr-FR"/>
              </w:rPr>
            </w:pPr>
            <w:r w:rsidRPr="007E29C4">
              <w:rPr>
                <w:lang w:val="fr-FR"/>
              </w:rPr>
              <w:t>émission de particules en g/km.</w:t>
            </w:r>
          </w:p>
        </w:tc>
      </w:tr>
    </w:tbl>
    <w:p w:rsidR="009F7CF6" w:rsidRPr="00A779B8" w:rsidRDefault="009F7CF6" w:rsidP="009F7CF6">
      <w:pPr>
        <w:pStyle w:val="SingleTxtG"/>
        <w:ind w:left="2268"/>
        <w:rPr>
          <w:lang w:val="fr-FR"/>
        </w:rPr>
      </w:pPr>
      <w:r w:rsidRPr="00A779B8">
        <w:rPr>
          <w:lang w:val="fr-FR"/>
        </w:rPr>
        <w:tab/>
      </w:r>
      <w:r w:rsidRPr="00A779B8">
        <w:rPr>
          <w:bCs/>
          <w:lang w:val="fr-FR"/>
        </w:rPr>
        <w:t>Lorsqu</w:t>
      </w:r>
      <w:r w:rsidR="00DB4C2D">
        <w:rPr>
          <w:bCs/>
          <w:lang w:val="fr-FR"/>
        </w:rPr>
        <w:t>’</w:t>
      </w:r>
      <w:r w:rsidRPr="00A779B8">
        <w:rPr>
          <w:bCs/>
          <w:lang w:val="fr-FR"/>
        </w:rPr>
        <w:t>on effectue une correction pour tenir compte de la concentration ambiante des particule</w:t>
      </w:r>
      <w:r w:rsidRPr="00A779B8">
        <w:rPr>
          <w:lang w:val="fr-FR"/>
        </w:rPr>
        <w:t>s</w:t>
      </w:r>
      <w:r w:rsidRPr="00A779B8">
        <w:rPr>
          <w:bCs/>
          <w:lang w:val="fr-FR"/>
        </w:rPr>
        <w:t xml:space="preserve"> dans le système de dilution, on doit procéder comme indiqué au paragraphe 6.2.4 </w:t>
      </w:r>
      <w:r w:rsidRPr="00A779B8">
        <w:rPr>
          <w:lang w:val="fr-FR"/>
        </w:rPr>
        <w:t>de la présente annexe</w:t>
      </w:r>
      <w:r w:rsidRPr="00A779B8">
        <w:rPr>
          <w:bCs/>
          <w:lang w:val="fr-FR"/>
        </w:rPr>
        <w:t>. Dans ce cas, la masse de particules (g/km) est calculée comme suit:</w:t>
      </w:r>
    </w:p>
    <w:p w:rsidR="009F7CF6" w:rsidRPr="00A779B8" w:rsidRDefault="009D55DD" w:rsidP="009F7CF6">
      <w:pPr>
        <w:spacing w:after="120"/>
        <w:ind w:left="2268"/>
        <w:rPr>
          <w:szCs w:val="24"/>
          <w:lang w:val="fr-FR"/>
        </w:rPr>
      </w:pPr>
      <w:r>
        <w:rPr>
          <w:noProof/>
          <w:szCs w:val="24"/>
          <w:lang w:val="en-US"/>
        </w:rPr>
        <w:drawing>
          <wp:inline distT="0" distB="0" distL="0" distR="0">
            <wp:extent cx="2613660" cy="509270"/>
            <wp:effectExtent l="0" t="0" r="0" b="508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13660" cy="509270"/>
                    </a:xfrm>
                    <a:prstGeom prst="rect">
                      <a:avLst/>
                    </a:prstGeom>
                    <a:noFill/>
                    <a:ln>
                      <a:noFill/>
                    </a:ln>
                  </pic:spPr>
                </pic:pic>
              </a:graphicData>
            </a:graphic>
          </wp:inline>
        </w:drawing>
      </w:r>
    </w:p>
    <w:p w:rsidR="009F7CF6" w:rsidRPr="00A779B8" w:rsidRDefault="009F7CF6" w:rsidP="009F7CF6">
      <w:pPr>
        <w:pStyle w:val="SingleTxtG"/>
        <w:ind w:left="2268"/>
        <w:rPr>
          <w:lang w:val="fr-FR"/>
        </w:rPr>
      </w:pPr>
      <w:r w:rsidRPr="00A779B8">
        <w:rPr>
          <w:lang w:val="fr-FR"/>
        </w:rPr>
        <w:tab/>
        <w:t>dans le cas où les gaz d</w:t>
      </w:r>
      <w:r w:rsidR="00DB4C2D">
        <w:rPr>
          <w:lang w:val="fr-FR"/>
        </w:rPr>
        <w:t>’</w:t>
      </w:r>
      <w:r w:rsidRPr="00A779B8">
        <w:rPr>
          <w:lang w:val="fr-FR"/>
        </w:rPr>
        <w:t>échappement sont évacués à l</w:t>
      </w:r>
      <w:r w:rsidR="00DB4C2D">
        <w:rPr>
          <w:lang w:val="fr-FR"/>
        </w:rPr>
        <w:t>’</w:t>
      </w:r>
      <w:r w:rsidRPr="00A779B8">
        <w:rPr>
          <w:lang w:val="fr-FR"/>
        </w:rPr>
        <w:t>extérieur du tunnel;</w:t>
      </w:r>
    </w:p>
    <w:p w:rsidR="009F7CF6" w:rsidRPr="00A779B8" w:rsidRDefault="009D55DD" w:rsidP="009F7CF6">
      <w:pPr>
        <w:spacing w:after="120"/>
        <w:ind w:left="2268"/>
        <w:rPr>
          <w:szCs w:val="24"/>
          <w:lang w:val="fr-FR"/>
        </w:rPr>
      </w:pPr>
      <w:r>
        <w:rPr>
          <w:noProof/>
          <w:szCs w:val="24"/>
          <w:lang w:val="en-US"/>
        </w:rPr>
        <w:drawing>
          <wp:inline distT="0" distB="0" distL="0" distR="0">
            <wp:extent cx="2199640" cy="509270"/>
            <wp:effectExtent l="0" t="0" r="0" b="508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99640" cy="509270"/>
                    </a:xfrm>
                    <a:prstGeom prst="rect">
                      <a:avLst/>
                    </a:prstGeom>
                    <a:noFill/>
                    <a:ln>
                      <a:noFill/>
                    </a:ln>
                  </pic:spPr>
                </pic:pic>
              </a:graphicData>
            </a:graphic>
          </wp:inline>
        </w:drawing>
      </w:r>
    </w:p>
    <w:p w:rsidR="009F7CF6" w:rsidRPr="00A779B8" w:rsidRDefault="009F7CF6" w:rsidP="009F7CF6">
      <w:pPr>
        <w:pStyle w:val="SingleTxtG"/>
        <w:ind w:left="2268"/>
        <w:rPr>
          <w:lang w:val="fr-FR"/>
        </w:rPr>
      </w:pPr>
      <w:r w:rsidRPr="00A779B8">
        <w:rPr>
          <w:lang w:val="fr-FR"/>
        </w:rPr>
        <w:tab/>
        <w:t>dans le cas où les gaz d</w:t>
      </w:r>
      <w:r w:rsidR="00DB4C2D">
        <w:rPr>
          <w:lang w:val="fr-FR"/>
        </w:rPr>
        <w:t>’</w:t>
      </w:r>
      <w:r w:rsidRPr="00A779B8">
        <w:rPr>
          <w:lang w:val="fr-FR"/>
        </w:rPr>
        <w:t>échappement sont renvoyés dans le tunnel;</w:t>
      </w:r>
    </w:p>
    <w:p w:rsidR="009F7CF6" w:rsidRPr="00A779B8" w:rsidRDefault="009F7CF6" w:rsidP="009F7CF6">
      <w:pPr>
        <w:pStyle w:val="SingleTxtG"/>
        <w:keepNext/>
        <w:ind w:left="2268"/>
        <w:rPr>
          <w:lang w:val="fr-FR"/>
        </w:rPr>
      </w:pPr>
      <w:r w:rsidRPr="00A779B8">
        <w:rPr>
          <w:lang w:val="fr-FR"/>
        </w:rPr>
        <w:lastRenderedPageBreak/>
        <w:tab/>
        <w:t>où:</w:t>
      </w:r>
    </w:p>
    <w:tbl>
      <w:tblPr>
        <w:tblW w:w="6237" w:type="dxa"/>
        <w:tblInd w:w="2268" w:type="dxa"/>
        <w:tblLayout w:type="fixed"/>
        <w:tblCellMar>
          <w:left w:w="0" w:type="dxa"/>
          <w:right w:w="0" w:type="dxa"/>
        </w:tblCellMar>
        <w:tblLook w:val="01E0" w:firstRow="1" w:lastRow="1" w:firstColumn="1" w:lastColumn="1" w:noHBand="0" w:noVBand="0"/>
      </w:tblPr>
      <w:tblGrid>
        <w:gridCol w:w="699"/>
        <w:gridCol w:w="292"/>
        <w:gridCol w:w="5246"/>
        <w:tblGridChange w:id="100">
          <w:tblGrid>
            <w:gridCol w:w="699"/>
            <w:gridCol w:w="292"/>
            <w:gridCol w:w="5246"/>
          </w:tblGrid>
        </w:tblGridChange>
      </w:tblGrid>
      <w:tr w:rsidR="009F7CF6" w:rsidRPr="007E29C4" w:rsidTr="00CB332B">
        <w:tc>
          <w:tcPr>
            <w:tcW w:w="680" w:type="dxa"/>
            <w:shd w:val="clear" w:color="auto" w:fill="auto"/>
          </w:tcPr>
          <w:p w:rsidR="009F7CF6" w:rsidRPr="007E29C4" w:rsidRDefault="009F7CF6" w:rsidP="00CB332B">
            <w:pPr>
              <w:keepNext/>
              <w:spacing w:after="120"/>
              <w:rPr>
                <w:lang w:val="fr-FR"/>
              </w:rPr>
            </w:pPr>
            <w:proofErr w:type="spellStart"/>
            <w:r w:rsidRPr="007E29C4">
              <w:rPr>
                <w:lang w:val="fr-FR"/>
              </w:rPr>
              <w:t>V</w:t>
            </w:r>
            <w:r w:rsidRPr="007E29C4">
              <w:rPr>
                <w:vertAlign w:val="subscript"/>
                <w:lang w:val="fr-FR"/>
              </w:rPr>
              <w:t>ap</w:t>
            </w:r>
            <w:proofErr w:type="spellEnd"/>
          </w:p>
        </w:tc>
        <w:tc>
          <w:tcPr>
            <w:tcW w:w="284" w:type="dxa"/>
            <w:shd w:val="clear" w:color="auto" w:fill="auto"/>
          </w:tcPr>
          <w:p w:rsidR="009F7CF6" w:rsidRPr="007E29C4" w:rsidRDefault="009F7CF6" w:rsidP="00CB332B">
            <w:pPr>
              <w:keepNext/>
              <w:spacing w:after="120"/>
              <w:rPr>
                <w:lang w:val="fr-FR"/>
              </w:rPr>
            </w:pPr>
            <w:r w:rsidRPr="007E29C4">
              <w:rPr>
                <w:lang w:val="fr-FR"/>
              </w:rPr>
              <w:t>=</w:t>
            </w:r>
          </w:p>
        </w:tc>
        <w:tc>
          <w:tcPr>
            <w:tcW w:w="5103" w:type="dxa"/>
            <w:shd w:val="clear" w:color="auto" w:fill="auto"/>
          </w:tcPr>
          <w:p w:rsidR="009F7CF6" w:rsidRPr="007E29C4" w:rsidRDefault="009F7CF6" w:rsidP="00CB332B">
            <w:pPr>
              <w:keepNext/>
              <w:spacing w:after="120"/>
              <w:rPr>
                <w:lang w:val="fr-FR"/>
              </w:rPr>
            </w:pPr>
            <w:r w:rsidRPr="007E29C4">
              <w:rPr>
                <w:lang w:val="fr-FR"/>
              </w:rPr>
              <w:t>volume d</w:t>
            </w:r>
            <w:r w:rsidR="00DB4C2D">
              <w:rPr>
                <w:lang w:val="fr-FR"/>
              </w:rPr>
              <w:t>’</w:t>
            </w:r>
            <w:r w:rsidRPr="007E29C4">
              <w:rPr>
                <w:lang w:val="fr-FR"/>
              </w:rPr>
              <w:t>air du tunnel passant à travers le filtre à particules ambiantes aux conditions normales,</w:t>
            </w:r>
          </w:p>
        </w:tc>
      </w:tr>
      <w:tr w:rsidR="009F7CF6" w:rsidRPr="007E29C4" w:rsidTr="00CB332B">
        <w:tc>
          <w:tcPr>
            <w:tcW w:w="680" w:type="dxa"/>
            <w:shd w:val="clear" w:color="auto" w:fill="auto"/>
          </w:tcPr>
          <w:p w:rsidR="009F7CF6" w:rsidRPr="007E29C4" w:rsidRDefault="009F7CF6" w:rsidP="00CB332B">
            <w:pPr>
              <w:keepNext/>
              <w:spacing w:after="120"/>
              <w:rPr>
                <w:lang w:val="fr-FR"/>
              </w:rPr>
            </w:pPr>
            <w:r w:rsidRPr="007E29C4">
              <w:rPr>
                <w:lang w:val="fr-FR"/>
              </w:rPr>
              <w:t>P</w:t>
            </w:r>
            <w:r w:rsidRPr="007E29C4">
              <w:rPr>
                <w:vertAlign w:val="subscript"/>
                <w:lang w:val="fr-FR"/>
              </w:rPr>
              <w:t>a</w:t>
            </w:r>
          </w:p>
        </w:tc>
        <w:tc>
          <w:tcPr>
            <w:tcW w:w="284" w:type="dxa"/>
            <w:shd w:val="clear" w:color="auto" w:fill="auto"/>
          </w:tcPr>
          <w:p w:rsidR="009F7CF6" w:rsidRPr="007E29C4" w:rsidRDefault="009F7CF6" w:rsidP="00CB332B">
            <w:pPr>
              <w:keepNext/>
              <w:spacing w:after="120"/>
              <w:rPr>
                <w:lang w:val="fr-FR"/>
              </w:rPr>
            </w:pPr>
            <w:r w:rsidRPr="007E29C4">
              <w:rPr>
                <w:lang w:val="fr-FR"/>
              </w:rPr>
              <w:t>=</w:t>
            </w:r>
          </w:p>
        </w:tc>
        <w:tc>
          <w:tcPr>
            <w:tcW w:w="5103" w:type="dxa"/>
            <w:shd w:val="clear" w:color="auto" w:fill="auto"/>
          </w:tcPr>
          <w:p w:rsidR="009F7CF6" w:rsidRPr="007E29C4" w:rsidRDefault="009F7CF6" w:rsidP="00CB332B">
            <w:pPr>
              <w:keepNext/>
              <w:spacing w:after="120"/>
              <w:rPr>
                <w:lang w:val="fr-FR"/>
              </w:rPr>
            </w:pPr>
            <w:r w:rsidRPr="007E29C4">
              <w:rPr>
                <w:lang w:val="fr-FR"/>
              </w:rPr>
              <w:t>masse de particules retenue par le filtre à particules ambiantes,</w:t>
            </w:r>
          </w:p>
        </w:tc>
      </w:tr>
      <w:tr w:rsidR="009F7CF6" w:rsidRPr="007E29C4" w:rsidTr="00CB332B">
        <w:tc>
          <w:tcPr>
            <w:tcW w:w="680" w:type="dxa"/>
            <w:shd w:val="clear" w:color="auto" w:fill="auto"/>
          </w:tcPr>
          <w:p w:rsidR="009F7CF6" w:rsidRPr="007E29C4" w:rsidRDefault="009F7CF6" w:rsidP="00CB332B">
            <w:pPr>
              <w:keepNext/>
              <w:spacing w:after="120"/>
              <w:rPr>
                <w:lang w:val="fr-FR"/>
              </w:rPr>
            </w:pPr>
            <w:r w:rsidRPr="007E29C4">
              <w:rPr>
                <w:lang w:val="fr-FR"/>
              </w:rPr>
              <w:t>DF</w:t>
            </w:r>
          </w:p>
        </w:tc>
        <w:tc>
          <w:tcPr>
            <w:tcW w:w="284" w:type="dxa"/>
            <w:shd w:val="clear" w:color="auto" w:fill="auto"/>
          </w:tcPr>
          <w:p w:rsidR="009F7CF6" w:rsidRPr="007E29C4" w:rsidRDefault="009F7CF6" w:rsidP="00CB332B">
            <w:pPr>
              <w:keepNext/>
              <w:spacing w:after="120"/>
              <w:rPr>
                <w:lang w:val="fr-FR"/>
              </w:rPr>
            </w:pPr>
            <w:r w:rsidRPr="007E29C4">
              <w:rPr>
                <w:lang w:val="fr-FR"/>
              </w:rPr>
              <w:t>=</w:t>
            </w:r>
          </w:p>
        </w:tc>
        <w:tc>
          <w:tcPr>
            <w:tcW w:w="5103" w:type="dxa"/>
            <w:shd w:val="clear" w:color="auto" w:fill="auto"/>
          </w:tcPr>
          <w:p w:rsidR="009F7CF6" w:rsidRPr="007E29C4" w:rsidRDefault="009F7CF6" w:rsidP="00CB332B">
            <w:pPr>
              <w:keepNext/>
              <w:spacing w:after="120"/>
              <w:rPr>
                <w:lang w:val="fr-FR"/>
              </w:rPr>
            </w:pPr>
            <w:r w:rsidRPr="007E29C4">
              <w:rPr>
                <w:lang w:val="fr-FR"/>
              </w:rPr>
              <w:t>facteur de dilution calculé comme indiqué au paragraphe 6.6.4 de la présente annexe.</w:t>
            </w:r>
          </w:p>
        </w:tc>
      </w:tr>
    </w:tbl>
    <w:p w:rsidR="009F7CF6" w:rsidRPr="00A779B8" w:rsidRDefault="009F7CF6" w:rsidP="009F7CF6">
      <w:pPr>
        <w:pStyle w:val="SingleTxtG"/>
        <w:ind w:left="2268"/>
        <w:rPr>
          <w:lang w:val="fr-FR"/>
        </w:rPr>
      </w:pPr>
      <w:r w:rsidRPr="00A779B8">
        <w:rPr>
          <w:lang w:val="fr-FR"/>
        </w:rPr>
        <w:tab/>
        <w:t>Si après application d</w:t>
      </w:r>
      <w:r w:rsidR="00DB4C2D">
        <w:rPr>
          <w:lang w:val="fr-FR"/>
        </w:rPr>
        <w:t>’</w:t>
      </w:r>
      <w:r w:rsidRPr="00A779B8">
        <w:rPr>
          <w:lang w:val="fr-FR"/>
        </w:rPr>
        <w:t>une correction pour concentration ambiante, la masse de particules est négative (en g/km), on considère que cette masse est égale à zéro.</w:t>
      </w:r>
    </w:p>
    <w:p w:rsidR="009F7CF6" w:rsidRPr="00A779B8" w:rsidRDefault="009F7CF6" w:rsidP="009F7CF6">
      <w:pPr>
        <w:pStyle w:val="SingleTxtG"/>
        <w:keepNext/>
        <w:ind w:left="2268" w:hanging="1134"/>
        <w:jc w:val="left"/>
        <w:rPr>
          <w:lang w:val="fr-FR"/>
        </w:rPr>
      </w:pPr>
      <w:r w:rsidRPr="00A779B8">
        <w:rPr>
          <w:lang w:val="fr-FR"/>
        </w:rPr>
        <w:t>6.6.8</w:t>
      </w:r>
      <w:r w:rsidRPr="00A779B8">
        <w:rPr>
          <w:lang w:val="fr-FR"/>
        </w:rPr>
        <w:tab/>
        <w:t xml:space="preserve">Détermination du nombre de particules </w:t>
      </w:r>
    </w:p>
    <w:p w:rsidR="009F7CF6" w:rsidRPr="00A779B8" w:rsidRDefault="009F7CF6" w:rsidP="009F7CF6">
      <w:pPr>
        <w:pStyle w:val="SingleTxtG"/>
        <w:keepNext/>
        <w:ind w:left="2268"/>
        <w:rPr>
          <w:lang w:val="fr-FR"/>
        </w:rPr>
      </w:pPr>
      <w:r w:rsidRPr="00A779B8">
        <w:rPr>
          <w:lang w:val="fr-FR"/>
        </w:rPr>
        <w:tab/>
        <w:t>Le nombre de particules émises est calculé au moyen de l</w:t>
      </w:r>
      <w:r w:rsidR="00DB4C2D">
        <w:rPr>
          <w:lang w:val="fr-FR"/>
        </w:rPr>
        <w:t>’</w:t>
      </w:r>
      <w:r w:rsidRPr="00A779B8">
        <w:rPr>
          <w:lang w:val="fr-FR"/>
        </w:rPr>
        <w:t>équation suivante:</w:t>
      </w:r>
    </w:p>
    <w:p w:rsidR="009F7CF6" w:rsidRPr="00A779B8" w:rsidRDefault="009F7CF6" w:rsidP="009F7CF6">
      <w:pPr>
        <w:ind w:left="2268"/>
        <w:jc w:val="both"/>
        <w:rPr>
          <w:lang w:val="fr-FR"/>
        </w:rPr>
      </w:pPr>
      <w:r w:rsidRPr="00A779B8">
        <w:rPr>
          <w:position w:val="-20"/>
          <w:lang w:val="fr-FR"/>
        </w:rPr>
        <w:object w:dxaOrig="1640" w:dyaOrig="580">
          <v:shape id="_x0000_i1068" type="#_x0000_t75" style="width:82.2pt;height:29.2pt" o:ole="" fillcolor="window">
            <v:imagedata r:id="rId114" o:title=""/>
          </v:shape>
          <o:OLEObject Type="Embed" ProgID="Equation.3" ShapeID="_x0000_i1068" DrawAspect="Content" ObjectID="_1490178430" r:id="rId115"/>
        </w:object>
      </w:r>
    </w:p>
    <w:p w:rsidR="009F7CF6" w:rsidRPr="00A779B8" w:rsidRDefault="009F7CF6" w:rsidP="009F7CF6">
      <w:pPr>
        <w:pStyle w:val="SingleTxtG"/>
        <w:keepNext/>
        <w:ind w:left="2268"/>
        <w:rPr>
          <w:lang w:val="fr-FR"/>
        </w:rPr>
      </w:pPr>
      <w:r w:rsidRPr="00A779B8">
        <w:rPr>
          <w:lang w:val="fr-FR"/>
        </w:rPr>
        <w:tab/>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Change w:id="101">
          <w:tblGrid>
            <w:gridCol w:w="594"/>
            <w:gridCol w:w="297"/>
            <w:gridCol w:w="5346"/>
          </w:tblGrid>
        </w:tblGridChange>
      </w:tblGrid>
      <w:tr w:rsidR="009F7CF6" w:rsidRPr="007E29C4" w:rsidTr="00CB332B">
        <w:tc>
          <w:tcPr>
            <w:tcW w:w="567" w:type="dxa"/>
            <w:shd w:val="clear" w:color="auto" w:fill="auto"/>
          </w:tcPr>
          <w:p w:rsidR="009F7CF6" w:rsidRPr="007E29C4" w:rsidRDefault="009F7CF6" w:rsidP="00CB332B">
            <w:pPr>
              <w:spacing w:after="100"/>
              <w:rPr>
                <w:lang w:val="fr-FR"/>
              </w:rPr>
            </w:pPr>
            <w:r w:rsidRPr="007E29C4">
              <w:rPr>
                <w:lang w:val="fr-FR"/>
              </w:rPr>
              <w:t>N</w:t>
            </w:r>
          </w:p>
        </w:tc>
        <w:tc>
          <w:tcPr>
            <w:tcW w:w="284" w:type="dxa"/>
            <w:shd w:val="clear" w:color="auto" w:fill="auto"/>
          </w:tcPr>
          <w:p w:rsidR="009F7CF6" w:rsidRPr="007E29C4" w:rsidRDefault="009F7CF6" w:rsidP="00CB332B">
            <w:pPr>
              <w:spacing w:after="100"/>
              <w:rPr>
                <w:lang w:val="fr-FR"/>
              </w:rPr>
            </w:pPr>
            <w:r w:rsidRPr="007E29C4">
              <w:rPr>
                <w:lang w:val="fr-FR"/>
              </w:rPr>
              <w:t>=</w:t>
            </w:r>
          </w:p>
        </w:tc>
        <w:tc>
          <w:tcPr>
            <w:tcW w:w="5103" w:type="dxa"/>
            <w:shd w:val="clear" w:color="auto" w:fill="auto"/>
          </w:tcPr>
          <w:p w:rsidR="009F7CF6" w:rsidRPr="007E29C4" w:rsidRDefault="009F7CF6" w:rsidP="00CB332B">
            <w:pPr>
              <w:spacing w:after="100"/>
              <w:rPr>
                <w:lang w:val="fr-FR"/>
              </w:rPr>
            </w:pPr>
            <w:r w:rsidRPr="007E29C4">
              <w:rPr>
                <w:lang w:val="fr-FR"/>
              </w:rPr>
              <w:t>nombre de particules émises par km,</w:t>
            </w:r>
          </w:p>
        </w:tc>
      </w:tr>
      <w:tr w:rsidR="009F7CF6" w:rsidRPr="007E29C4" w:rsidTr="00CB332B">
        <w:tc>
          <w:tcPr>
            <w:tcW w:w="567" w:type="dxa"/>
            <w:shd w:val="clear" w:color="auto" w:fill="auto"/>
          </w:tcPr>
          <w:p w:rsidR="009F7CF6" w:rsidRPr="007E29C4" w:rsidRDefault="009F7CF6" w:rsidP="00CB332B">
            <w:pPr>
              <w:spacing w:after="100"/>
              <w:rPr>
                <w:lang w:val="fr-FR"/>
              </w:rPr>
            </w:pPr>
            <w:r w:rsidRPr="007E29C4">
              <w:rPr>
                <w:lang w:val="fr-FR"/>
              </w:rPr>
              <w:t>V</w:t>
            </w:r>
          </w:p>
        </w:tc>
        <w:tc>
          <w:tcPr>
            <w:tcW w:w="284" w:type="dxa"/>
            <w:shd w:val="clear" w:color="auto" w:fill="auto"/>
          </w:tcPr>
          <w:p w:rsidR="009F7CF6" w:rsidRPr="007E29C4" w:rsidRDefault="009F7CF6" w:rsidP="00CB332B">
            <w:pPr>
              <w:spacing w:after="100"/>
              <w:rPr>
                <w:lang w:val="fr-FR"/>
              </w:rPr>
            </w:pPr>
            <w:r w:rsidRPr="007E29C4">
              <w:rPr>
                <w:lang w:val="fr-FR"/>
              </w:rPr>
              <w:t>=</w:t>
            </w:r>
          </w:p>
        </w:tc>
        <w:tc>
          <w:tcPr>
            <w:tcW w:w="5103" w:type="dxa"/>
            <w:shd w:val="clear" w:color="auto" w:fill="auto"/>
          </w:tcPr>
          <w:p w:rsidR="009F7CF6" w:rsidRPr="007E29C4" w:rsidRDefault="009F7CF6" w:rsidP="00C9579C">
            <w:pPr>
              <w:spacing w:after="100"/>
              <w:jc w:val="both"/>
              <w:rPr>
                <w:lang w:val="fr-FR"/>
              </w:rPr>
            </w:pPr>
            <w:r w:rsidRPr="007E29C4">
              <w:rPr>
                <w:lang w:val="fr-FR"/>
              </w:rPr>
              <w:t>volume des gaz d</w:t>
            </w:r>
            <w:r w:rsidR="00DB4C2D">
              <w:rPr>
                <w:lang w:val="fr-FR"/>
              </w:rPr>
              <w:t>’</w:t>
            </w:r>
            <w:r w:rsidRPr="007E29C4">
              <w:rPr>
                <w:lang w:val="fr-FR"/>
              </w:rPr>
              <w:t>échappement dilués, exprimé en l/essai et ramené aux conditions normales (273,2 K et 101,33 kPa),</w:t>
            </w:r>
          </w:p>
        </w:tc>
      </w:tr>
      <w:tr w:rsidR="009F7CF6" w:rsidRPr="007E29C4" w:rsidTr="00CB332B">
        <w:tc>
          <w:tcPr>
            <w:tcW w:w="567" w:type="dxa"/>
            <w:shd w:val="clear" w:color="auto" w:fill="auto"/>
          </w:tcPr>
          <w:p w:rsidR="009F7CF6" w:rsidRPr="007E29C4" w:rsidRDefault="009F7CF6" w:rsidP="00CB332B">
            <w:pPr>
              <w:spacing w:after="100"/>
              <w:rPr>
                <w:lang w:val="fr-FR"/>
              </w:rPr>
            </w:pPr>
            <w:r w:rsidRPr="007E29C4">
              <w:rPr>
                <w:lang w:val="fr-FR"/>
              </w:rPr>
              <w:t>K</w:t>
            </w:r>
          </w:p>
        </w:tc>
        <w:tc>
          <w:tcPr>
            <w:tcW w:w="284" w:type="dxa"/>
            <w:shd w:val="clear" w:color="auto" w:fill="auto"/>
          </w:tcPr>
          <w:p w:rsidR="009F7CF6" w:rsidRPr="007E29C4" w:rsidRDefault="009F7CF6" w:rsidP="00CB332B">
            <w:pPr>
              <w:spacing w:after="100"/>
              <w:rPr>
                <w:lang w:val="fr-FR"/>
              </w:rPr>
            </w:pPr>
            <w:r w:rsidRPr="007E29C4">
              <w:rPr>
                <w:lang w:val="fr-FR"/>
              </w:rPr>
              <w:t>=</w:t>
            </w:r>
          </w:p>
        </w:tc>
        <w:tc>
          <w:tcPr>
            <w:tcW w:w="5103" w:type="dxa"/>
            <w:shd w:val="clear" w:color="auto" w:fill="auto"/>
          </w:tcPr>
          <w:p w:rsidR="009F7CF6" w:rsidRPr="007E29C4" w:rsidRDefault="009F7CF6" w:rsidP="00C9579C">
            <w:pPr>
              <w:spacing w:after="100"/>
              <w:jc w:val="both"/>
              <w:rPr>
                <w:lang w:val="fr-FR"/>
              </w:rPr>
            </w:pPr>
            <w:r w:rsidRPr="007E29C4">
              <w:rPr>
                <w:lang w:val="fr-FR"/>
              </w:rPr>
              <w:t>facteur d</w:t>
            </w:r>
            <w:r w:rsidR="00DB4C2D">
              <w:rPr>
                <w:lang w:val="fr-FR"/>
              </w:rPr>
              <w:t>’</w:t>
            </w:r>
            <w:r w:rsidRPr="007E29C4">
              <w:rPr>
                <w:lang w:val="fr-FR"/>
              </w:rPr>
              <w:t>étalonnage permettant de corriger les mesures indiquées par le compteur de particules en fonction de l</w:t>
            </w:r>
            <w:r w:rsidR="00DB4C2D">
              <w:rPr>
                <w:lang w:val="fr-FR"/>
              </w:rPr>
              <w:t>’</w:t>
            </w:r>
            <w:r w:rsidRPr="007E29C4">
              <w:rPr>
                <w:lang w:val="fr-FR"/>
              </w:rPr>
              <w:t>instrument de référence, lorsque cette correction n</w:t>
            </w:r>
            <w:r w:rsidR="00DB4C2D">
              <w:rPr>
                <w:lang w:val="fr-FR"/>
              </w:rPr>
              <w:t>’</w:t>
            </w:r>
            <w:r w:rsidRPr="007E29C4">
              <w:rPr>
                <w:lang w:val="fr-FR"/>
              </w:rPr>
              <w:t>est pas appliquée de manière interne au compteur. Lorsque cette correction est appliquée de manière interne au compteur, la valeur 1 doit être attribuée à k dans l</w:t>
            </w:r>
            <w:r w:rsidR="00DB4C2D">
              <w:rPr>
                <w:lang w:val="fr-FR"/>
              </w:rPr>
              <w:t>’</w:t>
            </w:r>
            <w:r w:rsidRPr="007E29C4">
              <w:rPr>
                <w:lang w:val="fr-FR"/>
              </w:rPr>
              <w:t>équation ci-dessus,</w:t>
            </w:r>
          </w:p>
        </w:tc>
      </w:tr>
      <w:tr w:rsidR="009F7CF6" w:rsidRPr="007E29C4" w:rsidTr="00CB332B">
        <w:tc>
          <w:tcPr>
            <w:tcW w:w="567" w:type="dxa"/>
            <w:shd w:val="clear" w:color="auto" w:fill="auto"/>
          </w:tcPr>
          <w:p w:rsidR="009F7CF6" w:rsidRPr="007E29C4" w:rsidRDefault="009F7CF6" w:rsidP="00CB332B">
            <w:pPr>
              <w:spacing w:after="100"/>
              <w:rPr>
                <w:lang w:val="fr-FR"/>
              </w:rPr>
            </w:pPr>
            <w:r w:rsidRPr="007E29C4">
              <w:rPr>
                <w:lang w:val="fr-FR"/>
              </w:rPr>
              <w:object w:dxaOrig="300" w:dyaOrig="380">
                <v:shape id="_x0000_i1069" type="#_x0000_t75" style="width:14.95pt;height:19pt" fillcolor="window">
                  <v:imagedata r:id="rId116" o:title=""/>
                </v:shape>
              </w:object>
            </w:r>
            <w:r w:rsidRPr="007E29C4">
              <w:rPr>
                <w:lang w:val="fr-FR"/>
              </w:rPr>
              <w:t xml:space="preserve"> </w:t>
            </w:r>
          </w:p>
        </w:tc>
        <w:tc>
          <w:tcPr>
            <w:tcW w:w="284" w:type="dxa"/>
            <w:shd w:val="clear" w:color="auto" w:fill="auto"/>
          </w:tcPr>
          <w:p w:rsidR="009F7CF6" w:rsidRPr="007E29C4" w:rsidRDefault="009F7CF6" w:rsidP="00CB332B">
            <w:pPr>
              <w:spacing w:after="100"/>
              <w:rPr>
                <w:lang w:val="fr-FR"/>
              </w:rPr>
            </w:pPr>
            <w:r w:rsidRPr="007E29C4">
              <w:rPr>
                <w:lang w:val="fr-FR"/>
              </w:rPr>
              <w:t>=</w:t>
            </w:r>
          </w:p>
        </w:tc>
        <w:tc>
          <w:tcPr>
            <w:tcW w:w="5103" w:type="dxa"/>
            <w:shd w:val="clear" w:color="auto" w:fill="auto"/>
          </w:tcPr>
          <w:p w:rsidR="009F7CF6" w:rsidRPr="007E29C4" w:rsidRDefault="009F7CF6" w:rsidP="00C9579C">
            <w:pPr>
              <w:spacing w:after="100"/>
              <w:jc w:val="both"/>
              <w:rPr>
                <w:lang w:val="fr-FR"/>
              </w:rPr>
            </w:pPr>
            <w:r w:rsidRPr="007E29C4">
              <w:rPr>
                <w:lang w:val="fr-FR"/>
              </w:rPr>
              <w:t>concentration corrigée de particules relevées dans les gaz d</w:t>
            </w:r>
            <w:r w:rsidR="00DB4C2D">
              <w:rPr>
                <w:lang w:val="fr-FR"/>
              </w:rPr>
              <w:t>’</w:t>
            </w:r>
            <w:r w:rsidRPr="007E29C4">
              <w:rPr>
                <w:lang w:val="fr-FR"/>
              </w:rPr>
              <w:t>échappement dilués exprimée par le nombre moyen de particules par cm³ obtenu lors de l</w:t>
            </w:r>
            <w:r w:rsidR="00DB4C2D">
              <w:rPr>
                <w:lang w:val="fr-FR"/>
              </w:rPr>
              <w:t>’</w:t>
            </w:r>
            <w:r w:rsidRPr="007E29C4">
              <w:rPr>
                <w:lang w:val="fr-FR"/>
              </w:rPr>
              <w:t>essai d</w:t>
            </w:r>
            <w:r w:rsidR="00DB4C2D">
              <w:rPr>
                <w:lang w:val="fr-FR"/>
              </w:rPr>
              <w:t>’</w:t>
            </w:r>
            <w:r w:rsidRPr="007E29C4">
              <w:rPr>
                <w:lang w:val="fr-FR"/>
              </w:rPr>
              <w:t>émission pour la durée complète du cycle d</w:t>
            </w:r>
            <w:r w:rsidR="00DB4C2D">
              <w:rPr>
                <w:lang w:val="fr-FR"/>
              </w:rPr>
              <w:t>’</w:t>
            </w:r>
            <w:r w:rsidRPr="007E29C4">
              <w:rPr>
                <w:lang w:val="fr-FR"/>
              </w:rPr>
              <w:t>essai. Si les résultats de la concentration volumétrique moyenne (</w:t>
            </w:r>
            <w:r w:rsidRPr="007E29C4">
              <w:rPr>
                <w:position w:val="-16"/>
                <w:lang w:val="fr-FR"/>
              </w:rPr>
              <w:object w:dxaOrig="300" w:dyaOrig="400">
                <v:shape id="_x0000_i1070" type="#_x0000_t75" style="width:14.95pt;height:19.7pt" fillcolor="window">
                  <v:imagedata r:id="rId117" o:title=""/>
                </v:shape>
              </w:object>
            </w:r>
            <w:r w:rsidRPr="007E29C4">
              <w:rPr>
                <w:lang w:val="fr-FR"/>
              </w:rPr>
              <w:t>) donnés par le compteur de particules ne sont pas obtenus aux conditions normales (273,2 K et 101,33 kPa), les concentrations doivent alors être corrigées compte tenu de ces conditions (</w:t>
            </w:r>
            <w:r w:rsidR="009D55DD">
              <w:rPr>
                <w:noProof/>
                <w:position w:val="-16"/>
                <w:lang w:val="en-US"/>
              </w:rPr>
              <w:drawing>
                <wp:inline distT="0" distB="0" distL="0" distR="0">
                  <wp:extent cx="189865" cy="241300"/>
                  <wp:effectExtent l="0" t="0" r="635"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9865" cy="241300"/>
                          </a:xfrm>
                          <a:prstGeom prst="rect">
                            <a:avLst/>
                          </a:prstGeom>
                          <a:noFill/>
                          <a:ln>
                            <a:noFill/>
                          </a:ln>
                        </pic:spPr>
                      </pic:pic>
                    </a:graphicData>
                  </a:graphic>
                </wp:inline>
              </w:drawing>
            </w:r>
            <w:r w:rsidRPr="007E29C4">
              <w:rPr>
                <w:lang w:val="fr-FR"/>
              </w:rPr>
              <w:t>),</w:t>
            </w:r>
          </w:p>
        </w:tc>
      </w:tr>
      <w:tr w:rsidR="009F7CF6" w:rsidRPr="007E29C4" w:rsidTr="00CB332B">
        <w:tc>
          <w:tcPr>
            <w:tcW w:w="567" w:type="dxa"/>
            <w:shd w:val="clear" w:color="auto" w:fill="auto"/>
          </w:tcPr>
          <w:p w:rsidR="009F7CF6" w:rsidRPr="007E29C4" w:rsidRDefault="009D55DD" w:rsidP="00CB332B">
            <w:pPr>
              <w:spacing w:after="100"/>
              <w:rPr>
                <w:lang w:val="fr-FR"/>
              </w:rPr>
            </w:pPr>
            <w:r>
              <w:rPr>
                <w:noProof/>
                <w:lang w:val="en-US"/>
              </w:rPr>
              <w:drawing>
                <wp:inline distT="0" distB="0" distL="0" distR="0">
                  <wp:extent cx="207010" cy="241300"/>
                  <wp:effectExtent l="0" t="0" r="254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7010" cy="241300"/>
                          </a:xfrm>
                          <a:prstGeom prst="rect">
                            <a:avLst/>
                          </a:prstGeom>
                          <a:noFill/>
                          <a:ln>
                            <a:noFill/>
                          </a:ln>
                        </pic:spPr>
                      </pic:pic>
                    </a:graphicData>
                  </a:graphic>
                </wp:inline>
              </w:drawing>
            </w:r>
          </w:p>
        </w:tc>
        <w:tc>
          <w:tcPr>
            <w:tcW w:w="284" w:type="dxa"/>
            <w:shd w:val="clear" w:color="auto" w:fill="auto"/>
          </w:tcPr>
          <w:p w:rsidR="009F7CF6" w:rsidRPr="007E29C4" w:rsidRDefault="009F7CF6" w:rsidP="00CB332B">
            <w:pPr>
              <w:spacing w:after="100"/>
              <w:rPr>
                <w:lang w:val="fr-FR"/>
              </w:rPr>
            </w:pPr>
            <w:r w:rsidRPr="007E29C4">
              <w:rPr>
                <w:lang w:val="fr-FR"/>
              </w:rPr>
              <w:t>=</w:t>
            </w:r>
          </w:p>
        </w:tc>
        <w:tc>
          <w:tcPr>
            <w:tcW w:w="5103" w:type="dxa"/>
            <w:shd w:val="clear" w:color="auto" w:fill="auto"/>
          </w:tcPr>
          <w:p w:rsidR="009F7CF6" w:rsidRPr="007E29C4" w:rsidRDefault="009F7CF6" w:rsidP="00C9579C">
            <w:pPr>
              <w:spacing w:after="100"/>
              <w:jc w:val="both"/>
              <w:rPr>
                <w:lang w:val="fr-FR"/>
              </w:rPr>
            </w:pPr>
            <w:r w:rsidRPr="007E29C4">
              <w:rPr>
                <w:lang w:val="fr-FR"/>
              </w:rPr>
              <w:t>facteur de réduction de la concentration moyenne de particules du séparateur de particules volatiles aux conditions de dilution utilisées pour l</w:t>
            </w:r>
            <w:r w:rsidR="00DB4C2D">
              <w:rPr>
                <w:lang w:val="fr-FR"/>
              </w:rPr>
              <w:t>’</w:t>
            </w:r>
            <w:r w:rsidRPr="007E29C4">
              <w:rPr>
                <w:lang w:val="fr-FR"/>
              </w:rPr>
              <w:t>essai,</w:t>
            </w:r>
          </w:p>
        </w:tc>
      </w:tr>
      <w:tr w:rsidR="009F7CF6" w:rsidRPr="007E29C4" w:rsidTr="00CB332B">
        <w:tc>
          <w:tcPr>
            <w:tcW w:w="567" w:type="dxa"/>
            <w:shd w:val="clear" w:color="auto" w:fill="auto"/>
          </w:tcPr>
          <w:p w:rsidR="009F7CF6" w:rsidRPr="007E29C4" w:rsidRDefault="009F7CF6" w:rsidP="00CB332B">
            <w:pPr>
              <w:spacing w:after="100"/>
              <w:rPr>
                <w:lang w:val="fr-FR"/>
              </w:rPr>
            </w:pPr>
            <w:r w:rsidRPr="007E29C4">
              <w:rPr>
                <w:lang w:val="fr-FR"/>
              </w:rPr>
              <w:t>d</w:t>
            </w:r>
          </w:p>
        </w:tc>
        <w:tc>
          <w:tcPr>
            <w:tcW w:w="284" w:type="dxa"/>
            <w:shd w:val="clear" w:color="auto" w:fill="auto"/>
          </w:tcPr>
          <w:p w:rsidR="009F7CF6" w:rsidRPr="007E29C4" w:rsidRDefault="009F7CF6" w:rsidP="00CB332B">
            <w:pPr>
              <w:spacing w:after="100"/>
              <w:rPr>
                <w:lang w:val="fr-FR"/>
              </w:rPr>
            </w:pPr>
            <w:r w:rsidRPr="007E29C4">
              <w:rPr>
                <w:lang w:val="fr-FR"/>
              </w:rPr>
              <w:t>=</w:t>
            </w:r>
          </w:p>
        </w:tc>
        <w:tc>
          <w:tcPr>
            <w:tcW w:w="5103" w:type="dxa"/>
            <w:shd w:val="clear" w:color="auto" w:fill="auto"/>
          </w:tcPr>
          <w:p w:rsidR="009F7CF6" w:rsidRPr="007E29C4" w:rsidRDefault="009F7CF6" w:rsidP="00CB332B">
            <w:pPr>
              <w:spacing w:after="100"/>
              <w:rPr>
                <w:lang w:val="fr-FR"/>
              </w:rPr>
            </w:pPr>
            <w:r w:rsidRPr="007E29C4">
              <w:rPr>
                <w:lang w:val="fr-FR"/>
              </w:rPr>
              <w:t>distance réelle parcourue pendant le cycle d</w:t>
            </w:r>
            <w:r w:rsidR="00DB4C2D">
              <w:rPr>
                <w:lang w:val="fr-FR"/>
              </w:rPr>
              <w:t>’</w:t>
            </w:r>
            <w:r w:rsidRPr="007E29C4">
              <w:rPr>
                <w:lang w:val="fr-FR"/>
              </w:rPr>
              <w:t>essai en km,</w:t>
            </w:r>
          </w:p>
        </w:tc>
      </w:tr>
      <w:tr w:rsidR="009F7CF6" w:rsidRPr="007E29C4" w:rsidTr="00CB332B">
        <w:tc>
          <w:tcPr>
            <w:tcW w:w="567" w:type="dxa"/>
            <w:shd w:val="clear" w:color="auto" w:fill="auto"/>
          </w:tcPr>
          <w:p w:rsidR="009F7CF6" w:rsidRPr="007E29C4" w:rsidRDefault="009D55DD" w:rsidP="00CB332B">
            <w:pPr>
              <w:spacing w:after="100"/>
              <w:rPr>
                <w:lang w:val="fr-FR"/>
              </w:rPr>
            </w:pPr>
            <w:r>
              <w:rPr>
                <w:noProof/>
                <w:lang w:val="en-US"/>
              </w:rPr>
              <w:drawing>
                <wp:inline distT="0" distB="0" distL="0" distR="0">
                  <wp:extent cx="163830" cy="207010"/>
                  <wp:effectExtent l="0" t="0" r="762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3830" cy="207010"/>
                          </a:xfrm>
                          <a:prstGeom prst="rect">
                            <a:avLst/>
                          </a:prstGeom>
                          <a:noFill/>
                          <a:ln>
                            <a:noFill/>
                          </a:ln>
                        </pic:spPr>
                      </pic:pic>
                    </a:graphicData>
                  </a:graphic>
                </wp:inline>
              </w:drawing>
            </w:r>
          </w:p>
        </w:tc>
        <w:tc>
          <w:tcPr>
            <w:tcW w:w="284" w:type="dxa"/>
            <w:shd w:val="clear" w:color="auto" w:fill="auto"/>
          </w:tcPr>
          <w:p w:rsidR="009F7CF6" w:rsidRPr="007E29C4" w:rsidRDefault="009F7CF6" w:rsidP="00CB332B">
            <w:pPr>
              <w:spacing w:after="100"/>
              <w:rPr>
                <w:lang w:val="fr-FR"/>
              </w:rPr>
            </w:pPr>
            <w:r w:rsidRPr="007E29C4">
              <w:rPr>
                <w:lang w:val="fr-FR"/>
              </w:rPr>
              <w:t>=</w:t>
            </w:r>
          </w:p>
        </w:tc>
        <w:tc>
          <w:tcPr>
            <w:tcW w:w="5103" w:type="dxa"/>
            <w:shd w:val="clear" w:color="auto" w:fill="auto"/>
          </w:tcPr>
          <w:p w:rsidR="009F7CF6" w:rsidRPr="007E29C4" w:rsidRDefault="009F7CF6" w:rsidP="00CB332B">
            <w:pPr>
              <w:spacing w:after="100"/>
              <w:rPr>
                <w:lang w:val="fr-FR"/>
              </w:rPr>
            </w:pPr>
            <w:r w:rsidRPr="007E29C4">
              <w:rPr>
                <w:lang w:val="fr-FR"/>
              </w:rPr>
              <w:t>doit être calculé au moyen de l</w:t>
            </w:r>
            <w:r w:rsidR="00DB4C2D">
              <w:rPr>
                <w:lang w:val="fr-FR"/>
              </w:rPr>
              <w:t>’</w:t>
            </w:r>
            <w:r w:rsidRPr="007E29C4">
              <w:rPr>
                <w:lang w:val="fr-FR"/>
              </w:rPr>
              <w:t>équation suivante:</w:t>
            </w:r>
          </w:p>
        </w:tc>
      </w:tr>
    </w:tbl>
    <w:p w:rsidR="009F7CF6" w:rsidRPr="00A779B8" w:rsidRDefault="009F7CF6" w:rsidP="009F7CF6">
      <w:pPr>
        <w:tabs>
          <w:tab w:val="left" w:pos="2967"/>
          <w:tab w:val="left" w:pos="3259"/>
        </w:tabs>
        <w:ind w:left="2268"/>
        <w:rPr>
          <w:lang w:val="fr-FR"/>
        </w:rPr>
      </w:pPr>
      <w:r w:rsidRPr="00A779B8">
        <w:rPr>
          <w:lang w:val="fr-FR"/>
        </w:rPr>
        <w:tab/>
      </w:r>
      <w:r w:rsidRPr="00A779B8">
        <w:rPr>
          <w:lang w:val="fr-FR"/>
        </w:rPr>
        <w:tab/>
      </w:r>
      <w:r w:rsidRPr="00A779B8">
        <w:rPr>
          <w:lang w:val="fr-FR"/>
        </w:rPr>
        <w:object w:dxaOrig="1260" w:dyaOrig="740">
          <v:shape id="_x0000_i1074" type="#_x0000_t75" style="width:63.15pt;height:36.7pt" fillcolor="window">
            <v:imagedata r:id="rId121" o:title=""/>
          </v:shape>
        </w:object>
      </w:r>
      <w:r w:rsidRPr="00A779B8">
        <w:rPr>
          <w:lang w:val="fr-FR"/>
        </w:rPr>
        <w:t xml:space="preserve"> </w:t>
      </w:r>
    </w:p>
    <w:p w:rsidR="009F7CF6" w:rsidRPr="00A779B8" w:rsidRDefault="009F7CF6" w:rsidP="009F7CF6">
      <w:pPr>
        <w:pStyle w:val="SingleTxtG"/>
        <w:keepNext/>
        <w:ind w:left="2268"/>
        <w:rPr>
          <w:lang w:val="fr-FR"/>
        </w:rPr>
      </w:pPr>
      <w:r w:rsidRPr="00A779B8">
        <w:rPr>
          <w:lang w:val="fr-FR"/>
        </w:rPr>
        <w:lastRenderedPageBreak/>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Change w:id="102">
          <w:tblGrid>
            <w:gridCol w:w="594"/>
            <w:gridCol w:w="297"/>
            <w:gridCol w:w="5346"/>
          </w:tblGrid>
        </w:tblGridChange>
      </w:tblGrid>
      <w:tr w:rsidR="009F7CF6" w:rsidRPr="007E29C4" w:rsidTr="00CB332B">
        <w:tc>
          <w:tcPr>
            <w:tcW w:w="567" w:type="dxa"/>
            <w:shd w:val="clear" w:color="auto" w:fill="auto"/>
          </w:tcPr>
          <w:p w:rsidR="009F7CF6" w:rsidRPr="007E29C4" w:rsidRDefault="009F7CF6" w:rsidP="00CB332B">
            <w:pPr>
              <w:keepNext/>
              <w:spacing w:after="100"/>
              <w:rPr>
                <w:lang w:val="fr-FR"/>
              </w:rPr>
            </w:pPr>
            <w:r w:rsidRPr="007E29C4">
              <w:rPr>
                <w:lang w:val="fr-FR"/>
              </w:rPr>
              <w:t>C</w:t>
            </w:r>
            <w:r w:rsidRPr="007E29C4">
              <w:rPr>
                <w:vertAlign w:val="subscript"/>
                <w:lang w:val="fr-FR"/>
              </w:rPr>
              <w:t>i</w:t>
            </w:r>
          </w:p>
        </w:tc>
        <w:tc>
          <w:tcPr>
            <w:tcW w:w="284" w:type="dxa"/>
            <w:shd w:val="clear" w:color="auto" w:fill="auto"/>
          </w:tcPr>
          <w:p w:rsidR="009F7CF6" w:rsidRPr="007E29C4" w:rsidRDefault="009F7CF6" w:rsidP="00CB332B">
            <w:pPr>
              <w:keepNext/>
              <w:spacing w:after="100"/>
              <w:rPr>
                <w:lang w:val="fr-FR"/>
              </w:rPr>
            </w:pPr>
            <w:r w:rsidRPr="007E29C4">
              <w:rPr>
                <w:lang w:val="fr-FR"/>
              </w:rPr>
              <w:t>=</w:t>
            </w:r>
          </w:p>
        </w:tc>
        <w:tc>
          <w:tcPr>
            <w:tcW w:w="5103" w:type="dxa"/>
            <w:shd w:val="clear" w:color="auto" w:fill="auto"/>
          </w:tcPr>
          <w:p w:rsidR="009F7CF6" w:rsidRPr="007E29C4" w:rsidRDefault="009F7CF6" w:rsidP="00CB332B">
            <w:pPr>
              <w:keepNext/>
              <w:spacing w:after="100"/>
              <w:rPr>
                <w:lang w:val="fr-FR"/>
              </w:rPr>
            </w:pPr>
            <w:r w:rsidRPr="007E29C4">
              <w:rPr>
                <w:lang w:val="fr-FR"/>
              </w:rPr>
              <w:t xml:space="preserve"> mesure discrète de la concentration de particules dans les gaz d</w:t>
            </w:r>
            <w:r w:rsidR="00DB4C2D">
              <w:rPr>
                <w:lang w:val="fr-FR"/>
              </w:rPr>
              <w:t>’</w:t>
            </w:r>
            <w:r w:rsidRPr="007E29C4">
              <w:rPr>
                <w:lang w:val="fr-FR"/>
              </w:rPr>
              <w:t>échappement dilués effectuée par le compteur de particules exprimée en particules par cm³ et après correction de coïncidence,</w:t>
            </w:r>
          </w:p>
        </w:tc>
      </w:tr>
      <w:tr w:rsidR="009F7CF6" w:rsidRPr="007E29C4" w:rsidTr="00CB332B">
        <w:tc>
          <w:tcPr>
            <w:tcW w:w="567" w:type="dxa"/>
            <w:shd w:val="clear" w:color="auto" w:fill="auto"/>
          </w:tcPr>
          <w:p w:rsidR="009F7CF6" w:rsidRPr="007E29C4" w:rsidRDefault="009F7CF6" w:rsidP="00CB332B">
            <w:pPr>
              <w:keepNext/>
              <w:spacing w:after="100"/>
              <w:rPr>
                <w:lang w:val="fr-FR"/>
              </w:rPr>
            </w:pPr>
            <w:r w:rsidRPr="007E29C4">
              <w:rPr>
                <w:lang w:val="fr-FR"/>
              </w:rPr>
              <w:t>n</w:t>
            </w:r>
          </w:p>
        </w:tc>
        <w:tc>
          <w:tcPr>
            <w:tcW w:w="284" w:type="dxa"/>
            <w:shd w:val="clear" w:color="auto" w:fill="auto"/>
          </w:tcPr>
          <w:p w:rsidR="009F7CF6" w:rsidRPr="007E29C4" w:rsidRDefault="009F7CF6" w:rsidP="00CB332B">
            <w:pPr>
              <w:keepNext/>
              <w:spacing w:after="100"/>
              <w:rPr>
                <w:lang w:val="fr-FR"/>
              </w:rPr>
            </w:pPr>
            <w:r w:rsidRPr="007E29C4">
              <w:rPr>
                <w:lang w:val="fr-FR"/>
              </w:rPr>
              <w:t>=</w:t>
            </w:r>
          </w:p>
        </w:tc>
        <w:tc>
          <w:tcPr>
            <w:tcW w:w="5103" w:type="dxa"/>
            <w:shd w:val="clear" w:color="auto" w:fill="auto"/>
          </w:tcPr>
          <w:p w:rsidR="009F7CF6" w:rsidRPr="007E29C4" w:rsidRDefault="009F7CF6" w:rsidP="00CB332B">
            <w:pPr>
              <w:keepNext/>
              <w:spacing w:after="100"/>
              <w:rPr>
                <w:lang w:val="fr-FR"/>
              </w:rPr>
            </w:pPr>
            <w:r w:rsidRPr="007E29C4">
              <w:rPr>
                <w:lang w:val="fr-FR"/>
              </w:rPr>
              <w:t>nombre total de mesures discrètes de la concentration de particules faites pendant le cycle d</w:t>
            </w:r>
            <w:r w:rsidR="00DB4C2D">
              <w:rPr>
                <w:lang w:val="fr-FR"/>
              </w:rPr>
              <w:t>’</w:t>
            </w:r>
            <w:r w:rsidRPr="007E29C4">
              <w:rPr>
                <w:lang w:val="fr-FR"/>
              </w:rPr>
              <w:t>essai,</w:t>
            </w:r>
          </w:p>
        </w:tc>
      </w:tr>
    </w:tbl>
    <w:p w:rsidR="009F7CF6" w:rsidRPr="00A779B8" w:rsidRDefault="009F7CF6" w:rsidP="009F7CF6">
      <w:pPr>
        <w:pStyle w:val="SingleTxtG"/>
        <w:ind w:left="2268"/>
        <w:rPr>
          <w:lang w:val="fr-FR"/>
        </w:rPr>
      </w:pPr>
      <w:r w:rsidRPr="00A779B8">
        <w:rPr>
          <w:lang w:val="fr-FR"/>
        </w:rPr>
        <w:t>n doit être calculé au moyen de l</w:t>
      </w:r>
      <w:r w:rsidR="00DB4C2D">
        <w:rPr>
          <w:lang w:val="fr-FR"/>
        </w:rPr>
        <w:t>’</w:t>
      </w:r>
      <w:r w:rsidRPr="00A779B8">
        <w:rPr>
          <w:lang w:val="fr-FR"/>
        </w:rPr>
        <w:t>équation suivante:</w:t>
      </w:r>
    </w:p>
    <w:p w:rsidR="009F7CF6" w:rsidRPr="00A779B8" w:rsidRDefault="009F7CF6" w:rsidP="009F7CF6">
      <w:pPr>
        <w:tabs>
          <w:tab w:val="left" w:pos="2967"/>
          <w:tab w:val="left" w:pos="3259"/>
        </w:tabs>
        <w:spacing w:after="120"/>
        <w:ind w:left="2268"/>
        <w:rPr>
          <w:lang w:val="fr-FR"/>
        </w:rPr>
      </w:pPr>
      <w:r w:rsidRPr="00A779B8">
        <w:rPr>
          <w:position w:val="-10"/>
          <w:lang w:val="fr-FR"/>
        </w:rPr>
        <w:object w:dxaOrig="859" w:dyaOrig="320">
          <v:shape id="_x0000_i1075" type="#_x0000_t75" style="width:42.8pt;height:16.3pt" o:ole="">
            <v:imagedata r:id="rId122" o:title=""/>
          </v:shape>
          <o:OLEObject Type="Embed" ProgID="Equation.3" ShapeID="_x0000_i1075" DrawAspect="Content" ObjectID="_1490178431" r:id="rId123"/>
        </w:objec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Change w:id="103">
          <w:tblGrid>
            <w:gridCol w:w="594"/>
            <w:gridCol w:w="297"/>
            <w:gridCol w:w="5346"/>
          </w:tblGrid>
        </w:tblGridChange>
      </w:tblGrid>
      <w:tr w:rsidR="009F7CF6" w:rsidRPr="007E29C4" w:rsidTr="00CB332B">
        <w:tc>
          <w:tcPr>
            <w:tcW w:w="567" w:type="dxa"/>
            <w:shd w:val="clear" w:color="auto" w:fill="auto"/>
          </w:tcPr>
          <w:p w:rsidR="009F7CF6" w:rsidRPr="007E29C4" w:rsidRDefault="009F7CF6" w:rsidP="00CB332B">
            <w:pPr>
              <w:spacing w:after="100"/>
              <w:rPr>
                <w:lang w:val="fr-FR"/>
              </w:rPr>
            </w:pPr>
            <w:r w:rsidRPr="007E29C4">
              <w:rPr>
                <w:lang w:val="fr-FR"/>
              </w:rPr>
              <w:t>où:</w:t>
            </w:r>
          </w:p>
        </w:tc>
        <w:tc>
          <w:tcPr>
            <w:tcW w:w="284" w:type="dxa"/>
            <w:shd w:val="clear" w:color="auto" w:fill="auto"/>
          </w:tcPr>
          <w:p w:rsidR="009F7CF6" w:rsidRPr="007E29C4" w:rsidRDefault="009F7CF6" w:rsidP="00CB332B">
            <w:pPr>
              <w:spacing w:after="100"/>
              <w:rPr>
                <w:lang w:val="fr-FR"/>
              </w:rPr>
            </w:pPr>
          </w:p>
        </w:tc>
        <w:tc>
          <w:tcPr>
            <w:tcW w:w="5103" w:type="dxa"/>
            <w:shd w:val="clear" w:color="auto" w:fill="auto"/>
          </w:tcPr>
          <w:p w:rsidR="009F7CF6" w:rsidRPr="007E29C4" w:rsidRDefault="009F7CF6" w:rsidP="00CB332B">
            <w:pPr>
              <w:spacing w:after="100"/>
              <w:rPr>
                <w:lang w:val="fr-FR"/>
              </w:rPr>
            </w:pPr>
          </w:p>
        </w:tc>
      </w:tr>
      <w:tr w:rsidR="009F7CF6" w:rsidRPr="007E29C4" w:rsidTr="00CB332B">
        <w:tc>
          <w:tcPr>
            <w:tcW w:w="567" w:type="dxa"/>
            <w:shd w:val="clear" w:color="auto" w:fill="auto"/>
          </w:tcPr>
          <w:p w:rsidR="009F7CF6" w:rsidRPr="007E29C4" w:rsidRDefault="009F7CF6" w:rsidP="00CB332B">
            <w:pPr>
              <w:spacing w:after="100"/>
              <w:rPr>
                <w:lang w:val="fr-FR"/>
              </w:rPr>
            </w:pPr>
            <w:r w:rsidRPr="007E29C4">
              <w:rPr>
                <w:lang w:val="fr-FR"/>
              </w:rPr>
              <w:t>T</w:t>
            </w:r>
          </w:p>
        </w:tc>
        <w:tc>
          <w:tcPr>
            <w:tcW w:w="284" w:type="dxa"/>
            <w:shd w:val="clear" w:color="auto" w:fill="auto"/>
          </w:tcPr>
          <w:p w:rsidR="009F7CF6" w:rsidRPr="007E29C4" w:rsidRDefault="009F7CF6" w:rsidP="00CB332B">
            <w:pPr>
              <w:spacing w:after="100"/>
              <w:rPr>
                <w:lang w:val="fr-FR"/>
              </w:rPr>
            </w:pPr>
            <w:r w:rsidRPr="007E29C4">
              <w:rPr>
                <w:lang w:val="fr-FR"/>
              </w:rPr>
              <w:t>=</w:t>
            </w:r>
          </w:p>
        </w:tc>
        <w:tc>
          <w:tcPr>
            <w:tcW w:w="5103" w:type="dxa"/>
            <w:shd w:val="clear" w:color="auto" w:fill="auto"/>
          </w:tcPr>
          <w:p w:rsidR="009F7CF6" w:rsidRPr="007E29C4" w:rsidRDefault="009F7CF6" w:rsidP="00CB332B">
            <w:pPr>
              <w:spacing w:after="100"/>
              <w:rPr>
                <w:lang w:val="fr-FR"/>
              </w:rPr>
            </w:pPr>
            <w:r w:rsidRPr="007E29C4">
              <w:rPr>
                <w:lang w:val="fr-FR"/>
              </w:rPr>
              <w:t>durée du cycle d</w:t>
            </w:r>
            <w:r w:rsidR="00DB4C2D">
              <w:rPr>
                <w:lang w:val="fr-FR"/>
              </w:rPr>
              <w:t>’</w:t>
            </w:r>
            <w:r w:rsidRPr="007E29C4">
              <w:rPr>
                <w:lang w:val="fr-FR"/>
              </w:rPr>
              <w:t>essai en secondes,</w:t>
            </w:r>
          </w:p>
        </w:tc>
      </w:tr>
      <w:tr w:rsidR="009F7CF6" w:rsidRPr="007E29C4" w:rsidTr="00CB332B">
        <w:tc>
          <w:tcPr>
            <w:tcW w:w="567" w:type="dxa"/>
            <w:shd w:val="clear" w:color="auto" w:fill="auto"/>
          </w:tcPr>
          <w:p w:rsidR="009F7CF6" w:rsidRPr="007E29C4" w:rsidRDefault="009F7CF6" w:rsidP="00CB332B">
            <w:pPr>
              <w:spacing w:after="100"/>
              <w:rPr>
                <w:lang w:val="fr-FR"/>
              </w:rPr>
            </w:pPr>
            <w:r w:rsidRPr="007E29C4">
              <w:rPr>
                <w:lang w:val="fr-FR"/>
              </w:rPr>
              <w:t>f</w:t>
            </w:r>
          </w:p>
        </w:tc>
        <w:tc>
          <w:tcPr>
            <w:tcW w:w="284" w:type="dxa"/>
            <w:shd w:val="clear" w:color="auto" w:fill="auto"/>
          </w:tcPr>
          <w:p w:rsidR="009F7CF6" w:rsidRPr="007E29C4" w:rsidRDefault="009F7CF6" w:rsidP="00CB332B">
            <w:pPr>
              <w:spacing w:after="100"/>
              <w:rPr>
                <w:lang w:val="fr-FR"/>
              </w:rPr>
            </w:pPr>
            <w:r w:rsidRPr="007E29C4">
              <w:rPr>
                <w:lang w:val="fr-FR"/>
              </w:rPr>
              <w:t>=</w:t>
            </w:r>
          </w:p>
        </w:tc>
        <w:tc>
          <w:tcPr>
            <w:tcW w:w="5103" w:type="dxa"/>
            <w:shd w:val="clear" w:color="auto" w:fill="auto"/>
          </w:tcPr>
          <w:p w:rsidR="009F7CF6" w:rsidRPr="007E29C4" w:rsidRDefault="009F7CF6" w:rsidP="00CB332B">
            <w:pPr>
              <w:spacing w:after="100"/>
              <w:rPr>
                <w:lang w:val="fr-FR"/>
              </w:rPr>
            </w:pPr>
            <w:r w:rsidRPr="007E29C4">
              <w:rPr>
                <w:lang w:val="fr-FR"/>
              </w:rPr>
              <w:t>fréquence de l</w:t>
            </w:r>
            <w:r w:rsidR="00DB4C2D">
              <w:rPr>
                <w:lang w:val="fr-FR"/>
              </w:rPr>
              <w:t>’</w:t>
            </w:r>
            <w:r w:rsidRPr="007E29C4">
              <w:rPr>
                <w:lang w:val="fr-FR"/>
              </w:rPr>
              <w:t>enregistrement des données par le compteur de particules en Hz.</w:t>
            </w:r>
          </w:p>
        </w:tc>
      </w:tr>
    </w:tbl>
    <w:p w:rsidR="009F7CF6" w:rsidRPr="00A779B8" w:rsidRDefault="009F7CF6" w:rsidP="009F7CF6">
      <w:pPr>
        <w:pStyle w:val="SingleTxtG"/>
        <w:keepNext/>
        <w:ind w:left="2268" w:hanging="1134"/>
        <w:jc w:val="left"/>
        <w:rPr>
          <w:lang w:val="fr-FR"/>
        </w:rPr>
      </w:pPr>
      <w:r w:rsidRPr="00A779B8">
        <w:rPr>
          <w:lang w:val="fr-FR"/>
        </w:rPr>
        <w:t>6.6.9</w:t>
      </w:r>
      <w:r w:rsidRPr="00A779B8">
        <w:rPr>
          <w:lang w:val="fr-FR"/>
        </w:rPr>
        <w:tab/>
        <w:t>Prise en compte de la masse des particules émises par des véhicules équipés d</w:t>
      </w:r>
      <w:r w:rsidR="00DB4C2D">
        <w:rPr>
          <w:lang w:val="fr-FR"/>
        </w:rPr>
        <w:t>’</w:t>
      </w:r>
      <w:r w:rsidRPr="00A779B8">
        <w:rPr>
          <w:lang w:val="fr-FR"/>
        </w:rPr>
        <w:t>un filtre à régénération discontinue</w:t>
      </w:r>
    </w:p>
    <w:p w:rsidR="009F7CF6" w:rsidRPr="00A779B8" w:rsidRDefault="009F7CF6" w:rsidP="009F7CF6">
      <w:pPr>
        <w:pStyle w:val="SingleTxtG"/>
        <w:keepNext/>
        <w:ind w:left="2268"/>
        <w:rPr>
          <w:lang w:val="fr-FR"/>
        </w:rPr>
      </w:pPr>
      <w:r w:rsidRPr="00A779B8">
        <w:rPr>
          <w:lang w:val="fr-FR"/>
        </w:rPr>
        <w:tab/>
        <w:t>Lorsque le véhicule est équipé d</w:t>
      </w:r>
      <w:r w:rsidR="00DB4C2D">
        <w:rPr>
          <w:lang w:val="fr-FR"/>
        </w:rPr>
        <w:t>’</w:t>
      </w:r>
      <w:r w:rsidRPr="00A779B8">
        <w:rPr>
          <w:lang w:val="fr-FR"/>
        </w:rPr>
        <w:t>un filtre à régénération discontinue tel qu</w:t>
      </w:r>
      <w:r w:rsidR="00DB4C2D">
        <w:rPr>
          <w:lang w:val="fr-FR"/>
        </w:rPr>
        <w:t>’</w:t>
      </w:r>
      <w:r w:rsidRPr="00A779B8">
        <w:rPr>
          <w:lang w:val="fr-FR"/>
        </w:rPr>
        <w:t>il est défini à l</w:t>
      </w:r>
      <w:r w:rsidR="00DB4C2D">
        <w:rPr>
          <w:lang w:val="fr-FR"/>
        </w:rPr>
        <w:t>’</w:t>
      </w:r>
      <w:r w:rsidRPr="00A779B8">
        <w:rPr>
          <w:lang w:val="fr-FR"/>
        </w:rPr>
        <w:t>annexe 13 du présent Règlement.</w:t>
      </w:r>
    </w:p>
    <w:p w:rsidR="009F7CF6" w:rsidRPr="00A779B8" w:rsidRDefault="009F7CF6" w:rsidP="009F7CF6">
      <w:pPr>
        <w:pStyle w:val="SingleTxtG"/>
        <w:ind w:left="2268" w:hanging="1134"/>
        <w:rPr>
          <w:lang w:val="fr-FR"/>
        </w:rPr>
      </w:pPr>
      <w:r w:rsidRPr="00A779B8">
        <w:rPr>
          <w:lang w:val="fr-FR"/>
        </w:rPr>
        <w:t>6.6.9.1</w:t>
      </w:r>
      <w:r w:rsidRPr="00A779B8">
        <w:rPr>
          <w:lang w:val="fr-FR"/>
        </w:rPr>
        <w:tab/>
        <w:t>Les dispositions de l</w:t>
      </w:r>
      <w:r w:rsidR="00DB4C2D">
        <w:rPr>
          <w:lang w:val="fr-FR"/>
        </w:rPr>
        <w:t>’</w:t>
      </w:r>
      <w:r w:rsidRPr="00A779B8">
        <w:rPr>
          <w:lang w:val="fr-FR"/>
        </w:rPr>
        <w:t>annexe 13 du présent Règlement ne doivent s</w:t>
      </w:r>
      <w:r w:rsidR="00DB4C2D">
        <w:rPr>
          <w:lang w:val="fr-FR"/>
        </w:rPr>
        <w:t>’</w:t>
      </w:r>
      <w:r w:rsidRPr="00A779B8">
        <w:rPr>
          <w:lang w:val="fr-FR"/>
        </w:rPr>
        <w:t>appliquent qu</w:t>
      </w:r>
      <w:r w:rsidR="00DB4C2D">
        <w:rPr>
          <w:lang w:val="fr-FR"/>
        </w:rPr>
        <w:t>’</w:t>
      </w:r>
      <w:r w:rsidRPr="00A779B8">
        <w:rPr>
          <w:lang w:val="fr-FR"/>
        </w:rPr>
        <w:t>aux fins de la mesure de la masse de particules et pas aux fins de la mesure du nombre de particules.</w:t>
      </w:r>
    </w:p>
    <w:p w:rsidR="009F7CF6" w:rsidRPr="00A779B8" w:rsidRDefault="009F7CF6" w:rsidP="009F7CF6">
      <w:pPr>
        <w:pStyle w:val="SingleTxtG"/>
        <w:ind w:left="2268" w:hanging="1134"/>
        <w:rPr>
          <w:lang w:val="fr-FR"/>
        </w:rPr>
      </w:pPr>
      <w:r w:rsidRPr="00A779B8">
        <w:rPr>
          <w:lang w:val="fr-FR"/>
        </w:rPr>
        <w:t>6.6.9.2</w:t>
      </w:r>
      <w:r w:rsidRPr="00A779B8">
        <w:rPr>
          <w:lang w:val="fr-FR"/>
        </w:rPr>
        <w:tab/>
        <w:t>Pour le prélèvement d</w:t>
      </w:r>
      <w:r w:rsidR="00DB4C2D">
        <w:rPr>
          <w:lang w:val="fr-FR"/>
        </w:rPr>
        <w:t>’</w:t>
      </w:r>
      <w:r w:rsidRPr="00A779B8">
        <w:rPr>
          <w:lang w:val="fr-FR"/>
        </w:rPr>
        <w:t>un échantillon de particules pendant un essai au cours duquel le véhicule subit une régénération programmée, la température au droit du filtre ne doit pas excéder 192 °C.</w:t>
      </w:r>
    </w:p>
    <w:p w:rsidR="009F7CF6" w:rsidRPr="00A779B8" w:rsidRDefault="009F7CF6" w:rsidP="009F7CF6">
      <w:pPr>
        <w:pStyle w:val="SingleTxtG"/>
        <w:ind w:left="2268" w:hanging="1134"/>
        <w:rPr>
          <w:lang w:val="fr-FR"/>
        </w:rPr>
      </w:pPr>
      <w:r w:rsidRPr="00A779B8">
        <w:rPr>
          <w:lang w:val="fr-FR"/>
        </w:rPr>
        <w:t>6.6.9.3</w:t>
      </w:r>
      <w:r w:rsidRPr="00A779B8">
        <w:rPr>
          <w:lang w:val="fr-FR"/>
        </w:rPr>
        <w:tab/>
        <w:t xml:space="preserve">Pour le </w:t>
      </w:r>
      <w:proofErr w:type="spellStart"/>
      <w:r>
        <w:rPr>
          <w:lang w:val="fr-FR"/>
        </w:rPr>
        <w:t>cons</w:t>
      </w:r>
      <w:r w:rsidRPr="00A779B8">
        <w:rPr>
          <w:lang w:val="fr-FR"/>
        </w:rPr>
        <w:t>prélèvement</w:t>
      </w:r>
      <w:proofErr w:type="spellEnd"/>
      <w:r w:rsidRPr="00A779B8">
        <w:rPr>
          <w:lang w:val="fr-FR"/>
        </w:rPr>
        <w:t xml:space="preserve"> d</w:t>
      </w:r>
      <w:r w:rsidR="00DB4C2D">
        <w:rPr>
          <w:lang w:val="fr-FR"/>
        </w:rPr>
        <w:t>’</w:t>
      </w:r>
      <w:r w:rsidRPr="00A779B8">
        <w:rPr>
          <w:lang w:val="fr-FR"/>
        </w:rPr>
        <w:t>un échantillon de particules pendant un essai au cours duquel le filtre à régénération est en condition de charge stabilisée (c</w:t>
      </w:r>
      <w:r w:rsidR="00DB4C2D">
        <w:rPr>
          <w:lang w:val="fr-FR"/>
        </w:rPr>
        <w:t>’</w:t>
      </w:r>
      <w:r w:rsidRPr="00A779B8">
        <w:rPr>
          <w:lang w:val="fr-FR"/>
        </w:rPr>
        <w:t>est-à-dire que le véhicule n</w:t>
      </w:r>
      <w:r w:rsidR="00DB4C2D">
        <w:rPr>
          <w:lang w:val="fr-FR"/>
        </w:rPr>
        <w:t>’</w:t>
      </w:r>
      <w:r w:rsidRPr="00A779B8">
        <w:rPr>
          <w:lang w:val="fr-FR"/>
        </w:rPr>
        <w:t>est pas en phase de régénération), il est recommandé que le véhicule ait effectué &gt;1/3 du kilométrage entre les régénérations prévues ou que le filtre à régénération discontinue, démonté du véhicule, ait été soumis à une opération d</w:t>
      </w:r>
      <w:r w:rsidR="00DB4C2D">
        <w:rPr>
          <w:lang w:val="fr-FR"/>
        </w:rPr>
        <w:t>’</w:t>
      </w:r>
      <w:r w:rsidRPr="00A779B8">
        <w:rPr>
          <w:lang w:val="fr-FR"/>
        </w:rPr>
        <w:t>encrassement équivalente.</w:t>
      </w:r>
    </w:p>
    <w:p w:rsidR="009F7CF6" w:rsidRPr="00A779B8" w:rsidRDefault="009F7CF6" w:rsidP="009F7CF6">
      <w:pPr>
        <w:pStyle w:val="SingleTxtG"/>
        <w:ind w:left="2268"/>
        <w:rPr>
          <w:iCs/>
          <w:lang w:val="fr-FR"/>
        </w:rPr>
      </w:pPr>
      <w:r w:rsidRPr="00A779B8">
        <w:rPr>
          <w:iCs/>
          <w:lang w:val="fr-FR"/>
        </w:rPr>
        <w:tab/>
        <w:t>Aux fins des essais de conformité de la production, le fabricant peut faire en sorte que ce facteur soit inclus dans le coefficient d</w:t>
      </w:r>
      <w:r w:rsidR="00DB4C2D">
        <w:rPr>
          <w:iCs/>
          <w:lang w:val="fr-FR"/>
        </w:rPr>
        <w:t>’</w:t>
      </w:r>
      <w:r w:rsidRPr="00A779B8">
        <w:rPr>
          <w:iCs/>
          <w:lang w:val="fr-FR"/>
        </w:rPr>
        <w:t>évolution. Dans ce cas, le paragraphe 8.2.3.2 du présent Règlement est remplacé par le paragraphe 6.6.9.3.1 de la présente annexe.</w:t>
      </w:r>
    </w:p>
    <w:p w:rsidR="009F7CF6" w:rsidRPr="00A779B8" w:rsidRDefault="009F7CF6" w:rsidP="009F7CF6">
      <w:pPr>
        <w:pStyle w:val="SingleTxtG"/>
        <w:ind w:left="2268" w:hanging="1134"/>
        <w:rPr>
          <w:bCs/>
          <w:lang w:val="fr-FR"/>
        </w:rPr>
      </w:pPr>
      <w:r w:rsidRPr="00A779B8">
        <w:rPr>
          <w:bCs/>
          <w:lang w:val="fr-FR"/>
        </w:rPr>
        <w:t>6.6.9.3.1</w:t>
      </w:r>
      <w:r w:rsidRPr="00A779B8">
        <w:rPr>
          <w:bCs/>
          <w:lang w:val="fr-FR"/>
        </w:rPr>
        <w:tab/>
        <w:t>Lorsque le constructeur souhaite effectuer un rodage («x» km, où x ≤ 3 000 km pour les véhicules équipés d</w:t>
      </w:r>
      <w:r w:rsidR="00DB4C2D">
        <w:rPr>
          <w:bCs/>
          <w:lang w:val="fr-FR"/>
        </w:rPr>
        <w:t>’</w:t>
      </w:r>
      <w:r w:rsidRPr="00A779B8">
        <w:rPr>
          <w:bCs/>
          <w:lang w:val="fr-FR"/>
        </w:rPr>
        <w:t>un moteur à allumage commandé et x ≤ 15 000 km pour les véhicules équipés d</w:t>
      </w:r>
      <w:r w:rsidR="00DB4C2D">
        <w:rPr>
          <w:bCs/>
          <w:lang w:val="fr-FR"/>
        </w:rPr>
        <w:t>’</w:t>
      </w:r>
      <w:r w:rsidRPr="00A779B8">
        <w:rPr>
          <w:bCs/>
          <w:lang w:val="fr-FR"/>
        </w:rPr>
        <w:t>un moteur à allumage par compression et lorsque le véhicule a parcouru &gt; 1/3 de la distance entre deux régénérations successives), il sera procédé comme suit:</w:t>
      </w:r>
    </w:p>
    <w:p w:rsidR="009F7CF6" w:rsidRPr="00A779B8" w:rsidRDefault="009F7CF6" w:rsidP="009F7CF6">
      <w:pPr>
        <w:pStyle w:val="SingleTxtG"/>
        <w:ind w:left="2835" w:hanging="567"/>
        <w:rPr>
          <w:lang w:val="fr-FR"/>
        </w:rPr>
      </w:pPr>
      <w:r w:rsidRPr="00A779B8">
        <w:rPr>
          <w:lang w:val="fr-FR"/>
        </w:rPr>
        <w:t>a)</w:t>
      </w:r>
      <w:r w:rsidRPr="00A779B8">
        <w:rPr>
          <w:lang w:val="fr-FR"/>
        </w:rPr>
        <w:tab/>
        <w:t>Les émissions de polluants (type I) seront mesurées à zéro et à «x» km sur le premier véhicule essayé;</w:t>
      </w:r>
    </w:p>
    <w:p w:rsidR="009F7CF6" w:rsidRPr="00A779B8" w:rsidRDefault="009F7CF6" w:rsidP="009F7CF6">
      <w:pPr>
        <w:pStyle w:val="SingleTxtG"/>
        <w:ind w:left="2835" w:hanging="567"/>
        <w:rPr>
          <w:lang w:val="fr-FR"/>
        </w:rPr>
      </w:pPr>
      <w:r w:rsidRPr="00A779B8">
        <w:rPr>
          <w:lang w:val="fr-FR"/>
        </w:rPr>
        <w:t>b)</w:t>
      </w:r>
      <w:r w:rsidRPr="00A779B8">
        <w:rPr>
          <w:lang w:val="fr-FR"/>
        </w:rPr>
        <w:tab/>
        <w:t>Le coefficient d</w:t>
      </w:r>
      <w:r w:rsidR="00DB4C2D">
        <w:rPr>
          <w:lang w:val="fr-FR"/>
        </w:rPr>
        <w:t>’</w:t>
      </w:r>
      <w:r w:rsidRPr="00A779B8">
        <w:rPr>
          <w:lang w:val="fr-FR"/>
        </w:rPr>
        <w:t>évolution des émissions entre zéro et «x» km sera calculé pour chacun des polluants.</w:t>
      </w:r>
    </w:p>
    <w:p w:rsidR="009F7CF6" w:rsidRPr="00A779B8" w:rsidRDefault="009F7CF6" w:rsidP="008E5F55">
      <w:pPr>
        <w:pStyle w:val="SingleTxtG"/>
        <w:ind w:left="2268"/>
        <w:rPr>
          <w:szCs w:val="24"/>
          <w:lang w:val="fr-FR"/>
        </w:rPr>
      </w:pPr>
      <w:r w:rsidRPr="00A779B8">
        <w:rPr>
          <w:position w:val="-22"/>
          <w:lang w:val="fr-FR"/>
        </w:rPr>
        <w:object w:dxaOrig="3800" w:dyaOrig="580">
          <v:shape id="_x0000_i1076" type="#_x0000_t75" style="width:190.2pt;height:29.2pt" o:ole="">
            <v:imagedata r:id="rId124" o:title=""/>
          </v:shape>
          <o:OLEObject Type="Embed" ProgID="Equation.3" ShapeID="_x0000_i1076" DrawAspect="Content" ObjectID="_1490178432" r:id="rId125"/>
        </w:object>
      </w:r>
    </w:p>
    <w:p w:rsidR="009F7CF6" w:rsidRPr="00A779B8" w:rsidRDefault="009F7CF6" w:rsidP="009F7CF6">
      <w:pPr>
        <w:pStyle w:val="SingleTxtG"/>
        <w:keepNext/>
        <w:ind w:left="2268"/>
        <w:rPr>
          <w:lang w:val="fr-FR"/>
        </w:rPr>
      </w:pPr>
      <w:r w:rsidRPr="00A779B8">
        <w:rPr>
          <w:lang w:val="fr-FR"/>
        </w:rPr>
        <w:lastRenderedPageBreak/>
        <w:tab/>
        <w:t>Il peut être inférieur à 1:</w:t>
      </w:r>
    </w:p>
    <w:p w:rsidR="009F7CF6" w:rsidRPr="00A779B8" w:rsidRDefault="009F7CF6" w:rsidP="009F7CF6">
      <w:pPr>
        <w:pStyle w:val="SingleTxtG"/>
        <w:ind w:left="2835" w:hanging="567"/>
        <w:rPr>
          <w:lang w:val="fr-FR"/>
        </w:rPr>
      </w:pPr>
      <w:r w:rsidRPr="00A779B8">
        <w:rPr>
          <w:lang w:val="fr-FR"/>
        </w:rPr>
        <w:t>a)</w:t>
      </w:r>
      <w:r w:rsidRPr="00A779B8">
        <w:rPr>
          <w:lang w:val="fr-FR"/>
        </w:rPr>
        <w:tab/>
        <w:t>Les autres véhicules ne subiront pas de rodage, mais leurs émissions à zéro km seront multipliées par ce coefficient.</w:t>
      </w:r>
    </w:p>
    <w:p w:rsidR="009F7CF6" w:rsidRPr="00A779B8" w:rsidRDefault="009F7CF6" w:rsidP="009F7CF6">
      <w:pPr>
        <w:pStyle w:val="SingleTxtG"/>
        <w:keepNext/>
        <w:ind w:left="2268"/>
        <w:rPr>
          <w:lang w:val="fr-FR"/>
        </w:rPr>
      </w:pPr>
      <w:r w:rsidRPr="00A779B8">
        <w:rPr>
          <w:lang w:val="fr-FR"/>
        </w:rPr>
        <w:t>Dans ce cas, les valeurs à retenir pour le contrôle seront:</w:t>
      </w:r>
    </w:p>
    <w:p w:rsidR="009F7CF6" w:rsidRDefault="009F7CF6" w:rsidP="009F7CF6">
      <w:pPr>
        <w:pStyle w:val="SingleTxtG"/>
        <w:ind w:left="2835" w:hanging="567"/>
        <w:rPr>
          <w:lang w:val="fr-FR"/>
        </w:rPr>
      </w:pPr>
      <w:r w:rsidRPr="00A779B8">
        <w:rPr>
          <w:lang w:val="fr-FR"/>
        </w:rPr>
        <w:t>a)</w:t>
      </w:r>
      <w:r w:rsidRPr="00A779B8">
        <w:rPr>
          <w:lang w:val="fr-FR"/>
        </w:rPr>
        <w:tab/>
        <w:t xml:space="preserve">Les valeurs à </w:t>
      </w:r>
      <w:r>
        <w:rPr>
          <w:lang w:val="fr-FR"/>
        </w:rPr>
        <w:t>«x» km pour le premier véhicule;</w:t>
      </w:r>
    </w:p>
    <w:p w:rsidR="00142860" w:rsidRPr="00142860" w:rsidRDefault="009F7CF6" w:rsidP="009F7CF6">
      <w:pPr>
        <w:pStyle w:val="SingleTxtG"/>
        <w:ind w:left="2835" w:hanging="567"/>
        <w:rPr>
          <w:lang w:val="fr-FR"/>
        </w:rPr>
        <w:sectPr w:rsidR="00142860" w:rsidRPr="00142860" w:rsidSect="00F23458">
          <w:headerReference w:type="even" r:id="rId126"/>
          <w:headerReference w:type="default" r:id="rId127"/>
          <w:footnotePr>
            <w:numRestart w:val="eachSect"/>
          </w:footnotePr>
          <w:endnotePr>
            <w:numFmt w:val="decimal"/>
          </w:endnotePr>
          <w:pgSz w:w="11907" w:h="16840" w:code="9"/>
          <w:pgMar w:top="1701" w:right="1134" w:bottom="2268" w:left="1134" w:header="794" w:footer="1701" w:gutter="0"/>
          <w:cols w:space="720"/>
          <w:docGrid w:linePitch="272"/>
        </w:sectPr>
      </w:pPr>
      <w:r w:rsidRPr="00A779B8">
        <w:rPr>
          <w:lang w:val="fr-FR"/>
        </w:rPr>
        <w:t>b)</w:t>
      </w:r>
      <w:r w:rsidRPr="00A779B8">
        <w:rPr>
          <w:lang w:val="fr-FR"/>
        </w:rPr>
        <w:tab/>
        <w:t>Les valeurs à zéro km multipliées par le coefficient pour les autres véhicules.</w:t>
      </w:r>
    </w:p>
    <w:p w:rsidR="00CB332B" w:rsidRDefault="00CB332B" w:rsidP="00190E8D">
      <w:pPr>
        <w:pStyle w:val="Titre1"/>
        <w:ind w:left="0"/>
        <w:rPr>
          <w:lang w:val="fr-FR"/>
        </w:rPr>
      </w:pPr>
      <w:r w:rsidRPr="00A779B8">
        <w:rPr>
          <w:lang w:val="fr-FR"/>
        </w:rPr>
        <w:lastRenderedPageBreak/>
        <w:t>Tableau A4a/1</w:t>
      </w:r>
    </w:p>
    <w:p w:rsidR="00142860" w:rsidRPr="00CE72C2" w:rsidRDefault="00CB332B" w:rsidP="00CE72C2">
      <w:pPr>
        <w:pStyle w:val="Titre1"/>
        <w:spacing w:after="120"/>
        <w:ind w:left="0"/>
        <w:rPr>
          <w:b/>
          <w:lang w:val="fr-FR"/>
        </w:rPr>
      </w:pPr>
      <w:r w:rsidRPr="00CE72C2">
        <w:rPr>
          <w:b/>
          <w:lang w:val="fr-FR"/>
        </w:rPr>
        <w:t>Cycle d</w:t>
      </w:r>
      <w:r w:rsidR="00DB4C2D">
        <w:rPr>
          <w:b/>
          <w:lang w:val="fr-FR"/>
        </w:rPr>
        <w:t>’</w:t>
      </w:r>
      <w:r w:rsidRPr="00CE72C2">
        <w:rPr>
          <w:b/>
          <w:lang w:val="fr-FR"/>
        </w:rPr>
        <w:t>essai élémentaire urbain au banc à rouleaux (première partie)</w:t>
      </w:r>
    </w:p>
    <w:tbl>
      <w:tblPr>
        <w:tblW w:w="12361"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6"/>
        <w:gridCol w:w="2608"/>
        <w:gridCol w:w="851"/>
        <w:gridCol w:w="1304"/>
        <w:gridCol w:w="1134"/>
        <w:gridCol w:w="964"/>
        <w:gridCol w:w="964"/>
        <w:gridCol w:w="1985"/>
        <w:gridCol w:w="1985"/>
      </w:tblGrid>
      <w:tr w:rsidR="00CB332B" w:rsidRPr="00CB332B" w:rsidTr="00CB332B">
        <w:trPr>
          <w:tblHeader/>
        </w:trPr>
        <w:tc>
          <w:tcPr>
            <w:tcW w:w="566"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p>
        </w:tc>
        <w:tc>
          <w:tcPr>
            <w:tcW w:w="2608"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Opération</w:t>
            </w:r>
          </w:p>
        </w:tc>
        <w:tc>
          <w:tcPr>
            <w:tcW w:w="851"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Phase</w:t>
            </w:r>
          </w:p>
        </w:tc>
        <w:tc>
          <w:tcPr>
            <w:tcW w:w="1304"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Accélération</w:t>
            </w:r>
            <w:r w:rsidRPr="00CB332B">
              <w:rPr>
                <w:rFonts w:eastAsia="Times New Roman"/>
                <w:i/>
                <w:sz w:val="16"/>
                <w:szCs w:val="16"/>
                <w:lang w:val="fr-FR"/>
              </w:rPr>
              <w:br/>
              <w:t>(m/s</w:t>
            </w:r>
            <w:r w:rsidRPr="00CB332B">
              <w:rPr>
                <w:rFonts w:eastAsia="Times New Roman"/>
                <w:i/>
                <w:sz w:val="16"/>
                <w:szCs w:val="16"/>
                <w:vertAlign w:val="superscript"/>
                <w:lang w:val="fr-FR"/>
              </w:rPr>
              <w:t>2</w:t>
            </w:r>
            <w:r w:rsidRPr="00CB332B">
              <w:rPr>
                <w:rFonts w:eastAsia="Times New Roman"/>
                <w:i/>
                <w:sz w:val="16"/>
                <w:szCs w:val="16"/>
                <w:lang w:val="fr-FR"/>
              </w:rPr>
              <w:t>)</w:t>
            </w:r>
          </w:p>
        </w:tc>
        <w:tc>
          <w:tcPr>
            <w:tcW w:w="1134"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Vitesse</w:t>
            </w:r>
            <w:r w:rsidRPr="00CB332B">
              <w:rPr>
                <w:rFonts w:eastAsia="Times New Roman"/>
                <w:i/>
                <w:sz w:val="16"/>
                <w:szCs w:val="16"/>
                <w:lang w:val="fr-FR"/>
              </w:rPr>
              <w:br/>
              <w:t>(km/h)</w:t>
            </w:r>
          </w:p>
        </w:tc>
        <w:tc>
          <w:tcPr>
            <w:tcW w:w="1928" w:type="dxa"/>
            <w:gridSpan w:val="2"/>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u w:val="single"/>
                <w:lang w:val="fr-FR"/>
              </w:rPr>
            </w:pPr>
            <w:r w:rsidRPr="00CB332B">
              <w:rPr>
                <w:rFonts w:eastAsia="Times New Roman"/>
                <w:i/>
                <w:sz w:val="16"/>
                <w:szCs w:val="16"/>
                <w:lang w:val="fr-FR"/>
              </w:rPr>
              <w:t>Durée de chaque</w:t>
            </w:r>
          </w:p>
        </w:tc>
        <w:tc>
          <w:tcPr>
            <w:tcW w:w="1985"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Temps</w:t>
            </w:r>
            <w:r w:rsidRPr="00CB332B">
              <w:rPr>
                <w:rFonts w:eastAsia="Times New Roman"/>
                <w:i/>
                <w:sz w:val="16"/>
                <w:szCs w:val="16"/>
                <w:lang w:val="fr-FR"/>
              </w:rPr>
              <w:br/>
              <w:t>cumulé (s)</w:t>
            </w:r>
          </w:p>
        </w:tc>
        <w:tc>
          <w:tcPr>
            <w:tcW w:w="1985"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Rapport à utiliser dans le cas d</w:t>
            </w:r>
            <w:r w:rsidR="00DB4C2D">
              <w:rPr>
                <w:rFonts w:eastAsia="Times New Roman"/>
                <w:i/>
                <w:sz w:val="16"/>
                <w:szCs w:val="16"/>
                <w:lang w:val="fr-FR"/>
              </w:rPr>
              <w:t>’</w:t>
            </w:r>
            <w:r w:rsidRPr="00CB332B">
              <w:rPr>
                <w:rFonts w:eastAsia="Times New Roman"/>
                <w:i/>
                <w:sz w:val="16"/>
                <w:szCs w:val="16"/>
                <w:lang w:val="fr-FR"/>
              </w:rPr>
              <w:t>une boîte mécanique</w:t>
            </w:r>
          </w:p>
        </w:tc>
      </w:tr>
      <w:tr w:rsidR="00CB332B" w:rsidRPr="00CB332B" w:rsidTr="00CB332B">
        <w:trPr>
          <w:tblHeader/>
        </w:trPr>
        <w:tc>
          <w:tcPr>
            <w:tcW w:w="566" w:type="dxa"/>
            <w:vMerge/>
            <w:shd w:val="clear" w:color="auto" w:fill="auto"/>
            <w:vAlign w:val="bottom"/>
          </w:tcPr>
          <w:p w:rsidR="00CB332B" w:rsidRPr="00CB332B" w:rsidRDefault="00CB332B" w:rsidP="00CB332B">
            <w:pPr>
              <w:suppressAutoHyphens w:val="0"/>
              <w:kinsoku/>
              <w:overflowPunct/>
              <w:autoSpaceDE/>
              <w:autoSpaceDN/>
              <w:adjustRightInd/>
              <w:snapToGrid/>
              <w:spacing w:before="20" w:after="20" w:line="220" w:lineRule="exact"/>
              <w:rPr>
                <w:rFonts w:eastAsia="Times New Roman"/>
                <w:i/>
                <w:sz w:val="16"/>
                <w:szCs w:val="16"/>
                <w:lang w:val="fr-FR"/>
              </w:rPr>
            </w:pPr>
          </w:p>
        </w:tc>
        <w:tc>
          <w:tcPr>
            <w:tcW w:w="2608" w:type="dxa"/>
            <w:vMerge/>
            <w:shd w:val="clear" w:color="auto" w:fill="auto"/>
            <w:vAlign w:val="bottom"/>
          </w:tcPr>
          <w:p w:rsidR="00CB332B" w:rsidRPr="00CB332B" w:rsidRDefault="00CB332B" w:rsidP="00CB332B">
            <w:pPr>
              <w:suppressAutoHyphens w:val="0"/>
              <w:kinsoku/>
              <w:overflowPunct/>
              <w:autoSpaceDE/>
              <w:autoSpaceDN/>
              <w:adjustRightInd/>
              <w:snapToGrid/>
              <w:spacing w:before="20" w:after="20" w:line="220" w:lineRule="exact"/>
              <w:jc w:val="right"/>
              <w:rPr>
                <w:rFonts w:eastAsia="Times New Roman"/>
                <w:i/>
                <w:sz w:val="16"/>
                <w:szCs w:val="16"/>
                <w:lang w:val="fr-FR"/>
              </w:rPr>
            </w:pPr>
          </w:p>
        </w:tc>
        <w:tc>
          <w:tcPr>
            <w:tcW w:w="851" w:type="dxa"/>
            <w:vMerge/>
            <w:shd w:val="clear" w:color="auto" w:fill="auto"/>
            <w:vAlign w:val="bottom"/>
          </w:tcPr>
          <w:p w:rsidR="00CB332B" w:rsidRPr="00CB332B" w:rsidRDefault="00CB332B" w:rsidP="00CB332B">
            <w:pPr>
              <w:suppressAutoHyphens w:val="0"/>
              <w:kinsoku/>
              <w:overflowPunct/>
              <w:autoSpaceDE/>
              <w:autoSpaceDN/>
              <w:adjustRightInd/>
              <w:snapToGrid/>
              <w:spacing w:before="20" w:after="20" w:line="220" w:lineRule="exact"/>
              <w:jc w:val="right"/>
              <w:rPr>
                <w:rFonts w:eastAsia="Times New Roman"/>
                <w:i/>
                <w:sz w:val="16"/>
                <w:szCs w:val="16"/>
                <w:lang w:val="fr-FR"/>
              </w:rPr>
            </w:pPr>
          </w:p>
        </w:tc>
        <w:tc>
          <w:tcPr>
            <w:tcW w:w="1304" w:type="dxa"/>
            <w:vMerge/>
            <w:shd w:val="clear" w:color="auto" w:fill="auto"/>
            <w:vAlign w:val="bottom"/>
          </w:tcPr>
          <w:p w:rsidR="00CB332B" w:rsidRPr="00CB332B" w:rsidRDefault="00CB332B" w:rsidP="00CB332B">
            <w:pPr>
              <w:suppressAutoHyphens w:val="0"/>
              <w:kinsoku/>
              <w:overflowPunct/>
              <w:autoSpaceDE/>
              <w:autoSpaceDN/>
              <w:adjustRightInd/>
              <w:snapToGrid/>
              <w:spacing w:before="20" w:after="20" w:line="220" w:lineRule="exact"/>
              <w:jc w:val="right"/>
              <w:rPr>
                <w:rFonts w:eastAsia="Times New Roman"/>
                <w:i/>
                <w:sz w:val="16"/>
                <w:szCs w:val="16"/>
                <w:lang w:val="fr-FR"/>
              </w:rPr>
            </w:pPr>
          </w:p>
        </w:tc>
        <w:tc>
          <w:tcPr>
            <w:tcW w:w="1134" w:type="dxa"/>
            <w:vMerge/>
            <w:shd w:val="clear" w:color="auto" w:fill="auto"/>
            <w:vAlign w:val="bottom"/>
          </w:tcPr>
          <w:p w:rsidR="00CB332B" w:rsidRPr="00CB332B" w:rsidRDefault="00CB332B" w:rsidP="00CB332B">
            <w:pPr>
              <w:suppressAutoHyphens w:val="0"/>
              <w:kinsoku/>
              <w:overflowPunct/>
              <w:autoSpaceDE/>
              <w:autoSpaceDN/>
              <w:adjustRightInd/>
              <w:snapToGrid/>
              <w:spacing w:before="20" w:after="20" w:line="220" w:lineRule="exact"/>
              <w:jc w:val="right"/>
              <w:rPr>
                <w:rFonts w:eastAsia="Times New Roman"/>
                <w:i/>
                <w:sz w:val="16"/>
                <w:szCs w:val="16"/>
                <w:lang w:val="fr-FR"/>
              </w:rPr>
            </w:pPr>
          </w:p>
        </w:tc>
        <w:tc>
          <w:tcPr>
            <w:tcW w:w="964" w:type="dxa"/>
            <w:shd w:val="clear" w:color="auto" w:fill="auto"/>
            <w:vAlign w:val="bottom"/>
          </w:tcPr>
          <w:p w:rsidR="00CB332B" w:rsidRPr="00CB332B" w:rsidRDefault="00CB332B" w:rsidP="00CB332B">
            <w:pPr>
              <w:suppressAutoHyphens w:val="0"/>
              <w:kinsoku/>
              <w:overflowPunct/>
              <w:autoSpaceDE/>
              <w:autoSpaceDN/>
              <w:adjustRightInd/>
              <w:snapToGrid/>
              <w:spacing w:before="20" w:after="20" w:line="220" w:lineRule="exact"/>
              <w:jc w:val="right"/>
              <w:rPr>
                <w:rFonts w:eastAsia="Times New Roman"/>
                <w:i/>
                <w:sz w:val="16"/>
                <w:szCs w:val="16"/>
                <w:lang w:val="fr-FR"/>
              </w:rPr>
            </w:pPr>
            <w:r w:rsidRPr="00CB332B">
              <w:rPr>
                <w:rFonts w:eastAsia="Times New Roman"/>
                <w:i/>
                <w:sz w:val="16"/>
                <w:szCs w:val="16"/>
                <w:lang w:val="fr-FR"/>
              </w:rPr>
              <w:t>Opération(s)</w:t>
            </w:r>
          </w:p>
        </w:tc>
        <w:tc>
          <w:tcPr>
            <w:tcW w:w="964" w:type="dxa"/>
            <w:shd w:val="clear" w:color="auto" w:fill="auto"/>
            <w:vAlign w:val="bottom"/>
          </w:tcPr>
          <w:p w:rsidR="00CB332B" w:rsidRPr="00CB332B" w:rsidRDefault="00CB332B" w:rsidP="00CB332B">
            <w:pPr>
              <w:suppressAutoHyphens w:val="0"/>
              <w:kinsoku/>
              <w:overflowPunct/>
              <w:autoSpaceDE/>
              <w:autoSpaceDN/>
              <w:adjustRightInd/>
              <w:snapToGrid/>
              <w:spacing w:before="20" w:after="20" w:line="220" w:lineRule="exact"/>
              <w:jc w:val="right"/>
              <w:rPr>
                <w:rFonts w:eastAsia="Times New Roman"/>
                <w:i/>
                <w:sz w:val="16"/>
                <w:szCs w:val="16"/>
                <w:lang w:val="fr-FR"/>
              </w:rPr>
            </w:pPr>
            <w:r w:rsidRPr="00CB332B">
              <w:rPr>
                <w:rFonts w:eastAsia="Times New Roman"/>
                <w:i/>
                <w:sz w:val="16"/>
                <w:szCs w:val="16"/>
                <w:lang w:val="fr-FR"/>
              </w:rPr>
              <w:t>Phase (s)</w:t>
            </w:r>
          </w:p>
        </w:tc>
        <w:tc>
          <w:tcPr>
            <w:tcW w:w="1985" w:type="dxa"/>
            <w:vMerge/>
            <w:shd w:val="clear" w:color="auto" w:fill="auto"/>
            <w:vAlign w:val="bottom"/>
          </w:tcPr>
          <w:p w:rsidR="00CB332B" w:rsidRPr="00CB332B" w:rsidRDefault="00CB332B" w:rsidP="00CB332B">
            <w:pPr>
              <w:suppressAutoHyphens w:val="0"/>
              <w:kinsoku/>
              <w:overflowPunct/>
              <w:autoSpaceDE/>
              <w:autoSpaceDN/>
              <w:adjustRightInd/>
              <w:snapToGrid/>
              <w:spacing w:before="20" w:after="20" w:line="220" w:lineRule="exact"/>
              <w:jc w:val="right"/>
              <w:rPr>
                <w:rFonts w:eastAsia="Times New Roman"/>
                <w:i/>
                <w:sz w:val="16"/>
                <w:szCs w:val="16"/>
                <w:lang w:val="fr-FR"/>
              </w:rPr>
            </w:pPr>
          </w:p>
        </w:tc>
        <w:tc>
          <w:tcPr>
            <w:tcW w:w="1985" w:type="dxa"/>
            <w:vMerge/>
            <w:shd w:val="clear" w:color="auto" w:fill="auto"/>
            <w:vAlign w:val="bottom"/>
          </w:tcPr>
          <w:p w:rsidR="00CB332B" w:rsidRPr="00CB332B" w:rsidRDefault="00CB332B" w:rsidP="00CB332B">
            <w:pPr>
              <w:suppressAutoHyphens w:val="0"/>
              <w:kinsoku/>
              <w:overflowPunct/>
              <w:autoSpaceDE/>
              <w:autoSpaceDN/>
              <w:adjustRightInd/>
              <w:snapToGrid/>
              <w:spacing w:before="20" w:after="20" w:line="220" w:lineRule="exact"/>
              <w:jc w:val="right"/>
              <w:rPr>
                <w:rFonts w:eastAsia="Times New Roman"/>
                <w:i/>
                <w:sz w:val="16"/>
                <w:szCs w:val="16"/>
                <w:lang w:val="fr-FR"/>
              </w:rPr>
            </w:pP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Ralenti</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11</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11</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11</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6 s PM + 5 s K</w:t>
            </w:r>
            <w:r w:rsidRPr="00CB332B">
              <w:rPr>
                <w:rFonts w:eastAsia="Times New Roman"/>
                <w:sz w:val="18"/>
                <w:szCs w:val="18"/>
                <w:vertAlign w:val="subscript"/>
                <w:lang w:val="fr-FR"/>
              </w:rPr>
              <w:t>1</w:t>
            </w:r>
            <w:r w:rsidRPr="00CB332B">
              <w:rPr>
                <w:rFonts w:eastAsia="Times New Roman"/>
                <w:i/>
                <w:sz w:val="18"/>
                <w:szCs w:val="18"/>
                <w:vertAlign w:val="superscript"/>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2</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1,04</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0-15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4</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4</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15</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3</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Vitesse stabilisée</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9</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8</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23</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4</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Décélération</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4</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-0,69</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15-10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5</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25</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5</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Décélération, embrayage débrayé</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-0,92</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10-0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28</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K</w:t>
            </w:r>
            <w:r w:rsidRPr="00CB332B">
              <w:rPr>
                <w:rFonts w:eastAsia="Times New Roman"/>
                <w:sz w:val="18"/>
                <w:szCs w:val="18"/>
                <w:vertAlign w:val="subscript"/>
                <w:lang w:val="fr-FR"/>
              </w:rPr>
              <w:t>1</w:t>
            </w:r>
            <w:r w:rsidRPr="00CB332B">
              <w:rPr>
                <w:rFonts w:eastAsia="Times New Roman"/>
                <w:i/>
                <w:sz w:val="18"/>
                <w:szCs w:val="18"/>
                <w:vertAlign w:val="superscript"/>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6</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Ralenti</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5</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21</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21</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49</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16 s PM + 5 s K</w:t>
            </w:r>
            <w:r w:rsidRPr="00CB332B">
              <w:rPr>
                <w:rFonts w:eastAsia="Times New Roman"/>
                <w:sz w:val="18"/>
                <w:szCs w:val="18"/>
                <w:vertAlign w:val="subscript"/>
                <w:lang w:val="fr-FR"/>
              </w:rPr>
              <w:t>1</w:t>
            </w:r>
            <w:r w:rsidRPr="00CB332B">
              <w:rPr>
                <w:rFonts w:eastAsia="Times New Roman"/>
                <w:i/>
                <w:sz w:val="18"/>
                <w:szCs w:val="18"/>
                <w:vertAlign w:val="superscript"/>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7</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6</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0,83</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0-15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12</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54</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8</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Changement de vitesse</w:t>
            </w:r>
          </w:p>
        </w:tc>
        <w:tc>
          <w:tcPr>
            <w:tcW w:w="851" w:type="dxa"/>
            <w:vMerge w:val="restart"/>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c>
          <w:tcPr>
            <w:tcW w:w="964" w:type="dxa"/>
            <w:vMerge w:val="restart"/>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56</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9</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0,94</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15-32</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5</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61</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10</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Vitesse stabilisée</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7</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32</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24</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24</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85</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11</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Décélération</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8</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-0,75</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32-10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8</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11</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93</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12</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 xml:space="preserve">Décélération, embrayage débrayé </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-0,92</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10-0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96</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K</w:t>
            </w:r>
            <w:r w:rsidRPr="00CB332B">
              <w:rPr>
                <w:rFonts w:eastAsia="Times New Roman"/>
                <w:sz w:val="18"/>
                <w:szCs w:val="18"/>
                <w:vertAlign w:val="subscript"/>
                <w:lang w:val="fr-FR"/>
              </w:rPr>
              <w:t>2</w:t>
            </w:r>
            <w:r w:rsidRPr="00CB332B">
              <w:rPr>
                <w:rFonts w:eastAsia="Times New Roman"/>
                <w:i/>
                <w:sz w:val="18"/>
                <w:szCs w:val="18"/>
                <w:vertAlign w:val="superscript"/>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13</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Ralenti</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9</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21</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117</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16 s PM + 5 s K</w:t>
            </w:r>
            <w:r w:rsidRPr="00CB332B">
              <w:rPr>
                <w:rFonts w:eastAsia="Times New Roman"/>
                <w:sz w:val="18"/>
                <w:szCs w:val="18"/>
                <w:vertAlign w:val="subscript"/>
                <w:lang w:val="fr-FR"/>
              </w:rPr>
              <w:t>1</w:t>
            </w:r>
            <w:r w:rsidRPr="00CB332B">
              <w:rPr>
                <w:rFonts w:eastAsia="Times New Roman"/>
                <w:i/>
                <w:sz w:val="18"/>
                <w:szCs w:val="18"/>
                <w:vertAlign w:val="superscript"/>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14</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10</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0,83</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0-15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26</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122</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15</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Changement de vitesse</w:t>
            </w:r>
          </w:p>
        </w:tc>
        <w:tc>
          <w:tcPr>
            <w:tcW w:w="851" w:type="dxa"/>
            <w:vMerge w:val="restart"/>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c>
          <w:tcPr>
            <w:tcW w:w="964" w:type="dxa"/>
            <w:vMerge w:val="restart"/>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124</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16</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0,62</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15-35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9</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133</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17</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Changement de vitesse</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135</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18</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0,52</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35-50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8</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143</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19</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Vitesse stabilisée</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11</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50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12</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12</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155</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20</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Décélération</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12</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-0,52</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50-35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8</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8</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163</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21</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Vitesse stabilisée</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13</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13</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13</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176</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22</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Changement de vitesse</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14</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12</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178</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23</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Décélération</w:t>
            </w:r>
          </w:p>
        </w:tc>
        <w:tc>
          <w:tcPr>
            <w:tcW w:w="851" w:type="dxa"/>
            <w:vMerge w:val="restart"/>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-0,99</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35-10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7</w:t>
            </w:r>
          </w:p>
        </w:tc>
        <w:tc>
          <w:tcPr>
            <w:tcW w:w="964" w:type="dxa"/>
            <w:vMerge w:val="restart"/>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185</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24</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Décélération, embrayage débrayé</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-0,92</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10-0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3</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188</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K</w:t>
            </w:r>
            <w:r w:rsidRPr="00CB332B">
              <w:rPr>
                <w:rFonts w:eastAsia="Times New Roman"/>
                <w:sz w:val="18"/>
                <w:szCs w:val="18"/>
                <w:vertAlign w:val="subscript"/>
                <w:lang w:val="fr-FR"/>
              </w:rPr>
              <w:t>2</w:t>
            </w:r>
            <w:r w:rsidRPr="00CB332B">
              <w:rPr>
                <w:rFonts w:eastAsia="Times New Roman"/>
                <w:i/>
                <w:sz w:val="18"/>
                <w:szCs w:val="18"/>
                <w:vertAlign w:val="superscript"/>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25</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Ralenti</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15</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7</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7</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195</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r w:rsidRPr="00CB332B">
              <w:rPr>
                <w:rFonts w:eastAsia="Times New Roman"/>
                <w:sz w:val="18"/>
                <w:szCs w:val="18"/>
                <w:lang w:val="fr-FR"/>
              </w:rPr>
              <w:t>7 s PM</w:t>
            </w:r>
            <w:r w:rsidRPr="00CB332B">
              <w:rPr>
                <w:rFonts w:eastAsia="Times New Roman"/>
                <w:i/>
                <w:sz w:val="18"/>
                <w:szCs w:val="18"/>
                <w:vertAlign w:val="superscript"/>
                <w:lang w:val="fr-FR"/>
              </w:rPr>
              <w:t>1</w:t>
            </w:r>
          </w:p>
        </w:tc>
      </w:tr>
    </w:tbl>
    <w:p w:rsidR="00CB332B" w:rsidRDefault="00CB332B" w:rsidP="00CB332B">
      <w:pPr>
        <w:pStyle w:val="SingleTxtG"/>
        <w:spacing w:before="120"/>
        <w:ind w:left="454" w:right="0"/>
        <w:rPr>
          <w:sz w:val="18"/>
          <w:szCs w:val="18"/>
          <w:lang w:val="fr-FR"/>
        </w:rPr>
      </w:pPr>
      <w:r w:rsidRPr="00A779B8">
        <w:rPr>
          <w:i/>
          <w:sz w:val="18"/>
          <w:szCs w:val="18"/>
          <w:vertAlign w:val="superscript"/>
          <w:lang w:val="fr-FR"/>
        </w:rPr>
        <w:t>1</w:t>
      </w:r>
      <w:r w:rsidRPr="00A779B8">
        <w:rPr>
          <w:sz w:val="18"/>
          <w:szCs w:val="24"/>
          <w:lang w:val="fr-FR"/>
        </w:rPr>
        <w:t xml:space="preserve">  </w:t>
      </w:r>
      <w:r w:rsidRPr="00A779B8">
        <w:rPr>
          <w:sz w:val="18"/>
          <w:szCs w:val="18"/>
          <w:lang w:val="fr-FR"/>
        </w:rPr>
        <w:t>PM = boîte au point mort, embrayage embrayé. K</w:t>
      </w:r>
      <w:r w:rsidRPr="00A779B8">
        <w:rPr>
          <w:sz w:val="18"/>
          <w:szCs w:val="18"/>
          <w:vertAlign w:val="subscript"/>
          <w:lang w:val="fr-FR"/>
        </w:rPr>
        <w:t>1</w:t>
      </w:r>
      <w:r w:rsidRPr="00A779B8">
        <w:rPr>
          <w:sz w:val="18"/>
          <w:szCs w:val="18"/>
          <w:lang w:val="fr-FR"/>
        </w:rPr>
        <w:t>, K</w:t>
      </w:r>
      <w:r w:rsidRPr="00A779B8">
        <w:rPr>
          <w:sz w:val="18"/>
          <w:szCs w:val="18"/>
          <w:vertAlign w:val="subscript"/>
          <w:lang w:val="fr-FR"/>
        </w:rPr>
        <w:t>2</w:t>
      </w:r>
      <w:r w:rsidRPr="00A779B8">
        <w:rPr>
          <w:sz w:val="18"/>
          <w:szCs w:val="18"/>
          <w:lang w:val="fr-FR"/>
        </w:rPr>
        <w:t xml:space="preserve"> = boîte sur le premier ou le deuxième rapport, embrayage débrayé.</w:t>
      </w:r>
    </w:p>
    <w:p w:rsidR="00CB332B" w:rsidRDefault="00CB332B" w:rsidP="004B55E1">
      <w:pPr>
        <w:pStyle w:val="Titre1"/>
        <w:tabs>
          <w:tab w:val="left" w:pos="2907"/>
        </w:tabs>
        <w:kinsoku/>
        <w:overflowPunct/>
        <w:autoSpaceDE/>
        <w:autoSpaceDN/>
        <w:adjustRightInd/>
        <w:snapToGrid/>
        <w:spacing w:after="120"/>
        <w:ind w:left="0"/>
        <w:rPr>
          <w:b/>
          <w:lang w:val="fr-FR"/>
        </w:rPr>
      </w:pPr>
      <w:r>
        <w:rPr>
          <w:lang w:val="fr-FR"/>
        </w:rPr>
        <w:lastRenderedPageBreak/>
        <w:t xml:space="preserve">Tableau </w:t>
      </w:r>
      <w:r w:rsidRPr="004B55E1">
        <w:rPr>
          <w:rFonts w:eastAsia="Times New Roman"/>
          <w:lang w:val="fr-FR"/>
        </w:rPr>
        <w:t>A4a</w:t>
      </w:r>
      <w:r>
        <w:rPr>
          <w:lang w:val="fr-FR"/>
        </w:rPr>
        <w:t>/2</w:t>
      </w:r>
      <w:r>
        <w:rPr>
          <w:lang w:val="fr-FR"/>
        </w:rPr>
        <w:br/>
      </w:r>
      <w:r w:rsidRPr="00A779B8">
        <w:rPr>
          <w:b/>
          <w:lang w:val="fr-FR"/>
        </w:rPr>
        <w:t>Cycle urbain (seconde partie) pour l</w:t>
      </w:r>
      <w:r w:rsidR="00DB4C2D">
        <w:rPr>
          <w:b/>
          <w:lang w:val="fr-FR"/>
        </w:rPr>
        <w:t>’</w:t>
      </w:r>
      <w:r w:rsidRPr="00A779B8">
        <w:rPr>
          <w:b/>
          <w:lang w:val="fr-FR"/>
        </w:rPr>
        <w:t>essai du type I</w:t>
      </w:r>
    </w:p>
    <w:tbl>
      <w:tblPr>
        <w:tblW w:w="12361"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6"/>
        <w:gridCol w:w="2608"/>
        <w:gridCol w:w="851"/>
        <w:gridCol w:w="1304"/>
        <w:gridCol w:w="1134"/>
        <w:gridCol w:w="964"/>
        <w:gridCol w:w="964"/>
        <w:gridCol w:w="1985"/>
        <w:gridCol w:w="1985"/>
      </w:tblGrid>
      <w:tr w:rsidR="00CB332B" w:rsidRPr="00CB332B" w:rsidTr="00CB332B">
        <w:trPr>
          <w:tblHeader/>
        </w:trPr>
        <w:tc>
          <w:tcPr>
            <w:tcW w:w="566"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p>
        </w:tc>
        <w:tc>
          <w:tcPr>
            <w:tcW w:w="2608"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Opération</w:t>
            </w:r>
          </w:p>
        </w:tc>
        <w:tc>
          <w:tcPr>
            <w:tcW w:w="851"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Phase</w:t>
            </w:r>
          </w:p>
        </w:tc>
        <w:tc>
          <w:tcPr>
            <w:tcW w:w="1304"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Accélération (m/s</w:t>
            </w:r>
            <w:r w:rsidRPr="00CB332B">
              <w:rPr>
                <w:rFonts w:eastAsia="Times New Roman"/>
                <w:i/>
                <w:sz w:val="16"/>
                <w:szCs w:val="16"/>
                <w:vertAlign w:val="superscript"/>
                <w:lang w:val="fr-FR"/>
              </w:rPr>
              <w:t>2</w:t>
            </w:r>
            <w:r w:rsidRPr="00CB332B">
              <w:rPr>
                <w:rFonts w:eastAsia="Times New Roman"/>
                <w:i/>
                <w:sz w:val="16"/>
                <w:szCs w:val="16"/>
                <w:lang w:val="fr-FR"/>
              </w:rPr>
              <w:t>)</w:t>
            </w:r>
          </w:p>
        </w:tc>
        <w:tc>
          <w:tcPr>
            <w:tcW w:w="1134"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Vitesse</w:t>
            </w:r>
            <w:r w:rsidRPr="00CB332B">
              <w:rPr>
                <w:rFonts w:eastAsia="Times New Roman"/>
                <w:i/>
                <w:sz w:val="16"/>
                <w:szCs w:val="16"/>
                <w:lang w:val="fr-FR"/>
              </w:rPr>
              <w:br/>
              <w:t>(km/h)</w:t>
            </w:r>
          </w:p>
        </w:tc>
        <w:tc>
          <w:tcPr>
            <w:tcW w:w="1928" w:type="dxa"/>
            <w:gridSpan w:val="2"/>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Durée de chaque</w:t>
            </w:r>
          </w:p>
        </w:tc>
        <w:tc>
          <w:tcPr>
            <w:tcW w:w="1985"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Temps</w:t>
            </w:r>
            <w:r w:rsidRPr="00CB332B">
              <w:rPr>
                <w:rFonts w:eastAsia="Times New Roman"/>
                <w:i/>
                <w:sz w:val="16"/>
                <w:szCs w:val="16"/>
                <w:lang w:val="fr-FR"/>
              </w:rPr>
              <w:br/>
              <w:t>cumulé (s)</w:t>
            </w:r>
          </w:p>
        </w:tc>
        <w:tc>
          <w:tcPr>
            <w:tcW w:w="1985" w:type="dxa"/>
            <w:vMerge w:val="restart"/>
            <w:shd w:val="clear" w:color="auto" w:fill="auto"/>
            <w:vAlign w:val="center"/>
          </w:tcPr>
          <w:p w:rsidR="00CB332B" w:rsidRPr="00CB332B" w:rsidRDefault="00CB332B" w:rsidP="00CB332B">
            <w:pPr>
              <w:suppressAutoHyphens w:val="0"/>
              <w:kinsoku/>
              <w:overflowPunct/>
              <w:autoSpaceDE/>
              <w:autoSpaceDN/>
              <w:adjustRightInd/>
              <w:snapToGrid/>
              <w:spacing w:before="60" w:after="60" w:line="200" w:lineRule="exact"/>
              <w:jc w:val="center"/>
              <w:rPr>
                <w:rFonts w:eastAsia="Times New Roman"/>
                <w:i/>
                <w:sz w:val="16"/>
                <w:szCs w:val="16"/>
                <w:lang w:val="fr-FR"/>
              </w:rPr>
            </w:pPr>
            <w:r w:rsidRPr="00CB332B">
              <w:rPr>
                <w:rFonts w:eastAsia="Times New Roman"/>
                <w:i/>
                <w:sz w:val="16"/>
                <w:szCs w:val="16"/>
                <w:lang w:val="fr-FR"/>
              </w:rPr>
              <w:t>Rapport à utiliser dans le cas d</w:t>
            </w:r>
            <w:r w:rsidR="00DB4C2D">
              <w:rPr>
                <w:rFonts w:eastAsia="Times New Roman"/>
                <w:i/>
                <w:sz w:val="16"/>
                <w:szCs w:val="16"/>
                <w:lang w:val="fr-FR"/>
              </w:rPr>
              <w:t>’</w:t>
            </w:r>
            <w:r w:rsidRPr="00CB332B">
              <w:rPr>
                <w:rFonts w:eastAsia="Times New Roman"/>
                <w:i/>
                <w:sz w:val="16"/>
                <w:szCs w:val="16"/>
                <w:lang w:val="fr-FR"/>
              </w:rPr>
              <w:t>une boîte mécanique</w:t>
            </w:r>
          </w:p>
        </w:tc>
      </w:tr>
      <w:tr w:rsidR="00CB332B" w:rsidRPr="00CB332B" w:rsidTr="00CB332B">
        <w:trPr>
          <w:tblHeader/>
        </w:trPr>
        <w:tc>
          <w:tcPr>
            <w:tcW w:w="566" w:type="dxa"/>
            <w:vMerge/>
            <w:shd w:val="clear" w:color="auto" w:fill="auto"/>
            <w:vAlign w:val="center"/>
          </w:tcPr>
          <w:p w:rsidR="00CB332B" w:rsidRPr="00CB332B" w:rsidRDefault="00CB332B" w:rsidP="00CB332B">
            <w:pPr>
              <w:suppressAutoHyphens w:val="0"/>
              <w:kinsoku/>
              <w:overflowPunct/>
              <w:autoSpaceDE/>
              <w:autoSpaceDN/>
              <w:adjustRightInd/>
              <w:snapToGrid/>
              <w:spacing w:before="20" w:after="20" w:line="220" w:lineRule="exact"/>
              <w:jc w:val="center"/>
              <w:rPr>
                <w:rFonts w:eastAsia="Times New Roman"/>
                <w:i/>
                <w:sz w:val="16"/>
                <w:szCs w:val="16"/>
                <w:lang w:val="fr-FR"/>
              </w:rPr>
            </w:pPr>
          </w:p>
        </w:tc>
        <w:tc>
          <w:tcPr>
            <w:tcW w:w="2608" w:type="dxa"/>
            <w:vMerge/>
            <w:shd w:val="clear" w:color="auto" w:fill="auto"/>
            <w:vAlign w:val="center"/>
          </w:tcPr>
          <w:p w:rsidR="00CB332B" w:rsidRPr="00CB332B" w:rsidRDefault="00CB332B" w:rsidP="00CB332B">
            <w:pPr>
              <w:suppressAutoHyphens w:val="0"/>
              <w:kinsoku/>
              <w:overflowPunct/>
              <w:autoSpaceDE/>
              <w:autoSpaceDN/>
              <w:adjustRightInd/>
              <w:snapToGrid/>
              <w:spacing w:before="20" w:after="20" w:line="220" w:lineRule="exact"/>
              <w:jc w:val="center"/>
              <w:rPr>
                <w:rFonts w:eastAsia="Times New Roman"/>
                <w:i/>
                <w:sz w:val="16"/>
                <w:szCs w:val="16"/>
                <w:lang w:val="fr-FR"/>
              </w:rPr>
            </w:pPr>
          </w:p>
        </w:tc>
        <w:tc>
          <w:tcPr>
            <w:tcW w:w="851" w:type="dxa"/>
            <w:vMerge/>
            <w:shd w:val="clear" w:color="auto" w:fill="auto"/>
            <w:vAlign w:val="center"/>
          </w:tcPr>
          <w:p w:rsidR="00CB332B" w:rsidRPr="00CB332B" w:rsidRDefault="00CB332B" w:rsidP="00CB332B">
            <w:pPr>
              <w:suppressAutoHyphens w:val="0"/>
              <w:kinsoku/>
              <w:overflowPunct/>
              <w:autoSpaceDE/>
              <w:autoSpaceDN/>
              <w:adjustRightInd/>
              <w:snapToGrid/>
              <w:spacing w:before="20" w:after="20" w:line="220" w:lineRule="exact"/>
              <w:jc w:val="center"/>
              <w:rPr>
                <w:rFonts w:eastAsia="Times New Roman"/>
                <w:i/>
                <w:sz w:val="16"/>
                <w:szCs w:val="16"/>
                <w:lang w:val="fr-FR"/>
              </w:rPr>
            </w:pPr>
          </w:p>
        </w:tc>
        <w:tc>
          <w:tcPr>
            <w:tcW w:w="1304" w:type="dxa"/>
            <w:vMerge/>
            <w:shd w:val="clear" w:color="auto" w:fill="auto"/>
            <w:vAlign w:val="center"/>
          </w:tcPr>
          <w:p w:rsidR="00CB332B" w:rsidRPr="00CB332B" w:rsidRDefault="00CB332B" w:rsidP="00CB332B">
            <w:pPr>
              <w:suppressAutoHyphens w:val="0"/>
              <w:kinsoku/>
              <w:overflowPunct/>
              <w:autoSpaceDE/>
              <w:autoSpaceDN/>
              <w:adjustRightInd/>
              <w:snapToGrid/>
              <w:spacing w:before="20" w:after="20" w:line="220" w:lineRule="exact"/>
              <w:jc w:val="center"/>
              <w:rPr>
                <w:rFonts w:eastAsia="Times New Roman"/>
                <w:i/>
                <w:sz w:val="16"/>
                <w:szCs w:val="16"/>
                <w:lang w:val="fr-FR"/>
              </w:rPr>
            </w:pPr>
          </w:p>
        </w:tc>
        <w:tc>
          <w:tcPr>
            <w:tcW w:w="1134" w:type="dxa"/>
            <w:vMerge/>
            <w:shd w:val="clear" w:color="auto" w:fill="auto"/>
            <w:vAlign w:val="center"/>
          </w:tcPr>
          <w:p w:rsidR="00CB332B" w:rsidRPr="00CB332B" w:rsidRDefault="00CB332B" w:rsidP="00CB332B">
            <w:pPr>
              <w:suppressAutoHyphens w:val="0"/>
              <w:kinsoku/>
              <w:overflowPunct/>
              <w:autoSpaceDE/>
              <w:autoSpaceDN/>
              <w:adjustRightInd/>
              <w:snapToGrid/>
              <w:spacing w:before="20" w:after="20" w:line="220" w:lineRule="exact"/>
              <w:jc w:val="center"/>
              <w:rPr>
                <w:rFonts w:eastAsia="Times New Roman"/>
                <w:i/>
                <w:sz w:val="16"/>
                <w:szCs w:val="16"/>
                <w:lang w:val="fr-FR"/>
              </w:rPr>
            </w:pPr>
          </w:p>
        </w:tc>
        <w:tc>
          <w:tcPr>
            <w:tcW w:w="964" w:type="dxa"/>
            <w:shd w:val="clear" w:color="auto" w:fill="auto"/>
            <w:vAlign w:val="center"/>
          </w:tcPr>
          <w:p w:rsidR="00CB332B" w:rsidRPr="00CB332B" w:rsidRDefault="00CB332B" w:rsidP="00CB332B">
            <w:pPr>
              <w:suppressAutoHyphens w:val="0"/>
              <w:kinsoku/>
              <w:overflowPunct/>
              <w:autoSpaceDE/>
              <w:autoSpaceDN/>
              <w:adjustRightInd/>
              <w:snapToGrid/>
              <w:spacing w:before="20" w:after="20" w:line="220" w:lineRule="exact"/>
              <w:jc w:val="center"/>
              <w:rPr>
                <w:rFonts w:eastAsia="Times New Roman"/>
                <w:i/>
                <w:sz w:val="16"/>
                <w:szCs w:val="16"/>
                <w:lang w:val="fr-FR"/>
              </w:rPr>
            </w:pPr>
            <w:r w:rsidRPr="00CB332B">
              <w:rPr>
                <w:rFonts w:eastAsia="Times New Roman"/>
                <w:i/>
                <w:sz w:val="16"/>
                <w:szCs w:val="16"/>
                <w:lang w:val="fr-FR"/>
              </w:rPr>
              <w:t>Opération (s)</w:t>
            </w:r>
          </w:p>
        </w:tc>
        <w:tc>
          <w:tcPr>
            <w:tcW w:w="964" w:type="dxa"/>
            <w:shd w:val="clear" w:color="auto" w:fill="auto"/>
            <w:vAlign w:val="center"/>
          </w:tcPr>
          <w:p w:rsidR="00CB332B" w:rsidRPr="00CB332B" w:rsidRDefault="00CB332B" w:rsidP="00CB332B">
            <w:pPr>
              <w:suppressAutoHyphens w:val="0"/>
              <w:kinsoku/>
              <w:overflowPunct/>
              <w:autoSpaceDE/>
              <w:autoSpaceDN/>
              <w:adjustRightInd/>
              <w:snapToGrid/>
              <w:spacing w:before="20" w:after="20" w:line="220" w:lineRule="exact"/>
              <w:jc w:val="center"/>
              <w:rPr>
                <w:rFonts w:eastAsia="Times New Roman"/>
                <w:i/>
                <w:sz w:val="16"/>
                <w:szCs w:val="16"/>
                <w:lang w:val="fr-FR"/>
              </w:rPr>
            </w:pPr>
            <w:r w:rsidRPr="00CB332B">
              <w:rPr>
                <w:rFonts w:eastAsia="Times New Roman"/>
                <w:i/>
                <w:sz w:val="16"/>
                <w:szCs w:val="16"/>
                <w:lang w:val="fr-FR"/>
              </w:rPr>
              <w:t>Phase (s)</w:t>
            </w:r>
          </w:p>
        </w:tc>
        <w:tc>
          <w:tcPr>
            <w:tcW w:w="1985" w:type="dxa"/>
            <w:vMerge/>
            <w:shd w:val="clear" w:color="auto" w:fill="auto"/>
            <w:vAlign w:val="center"/>
          </w:tcPr>
          <w:p w:rsidR="00CB332B" w:rsidRPr="00CB332B" w:rsidRDefault="00CB332B" w:rsidP="00CB332B">
            <w:pPr>
              <w:suppressAutoHyphens w:val="0"/>
              <w:kinsoku/>
              <w:overflowPunct/>
              <w:autoSpaceDE/>
              <w:autoSpaceDN/>
              <w:adjustRightInd/>
              <w:snapToGrid/>
              <w:spacing w:before="20" w:after="20" w:line="220" w:lineRule="exact"/>
              <w:jc w:val="center"/>
              <w:rPr>
                <w:rFonts w:eastAsia="Times New Roman"/>
                <w:i/>
                <w:sz w:val="16"/>
                <w:szCs w:val="16"/>
                <w:lang w:val="fr-FR"/>
              </w:rPr>
            </w:pPr>
          </w:p>
        </w:tc>
        <w:tc>
          <w:tcPr>
            <w:tcW w:w="1985" w:type="dxa"/>
            <w:vMerge/>
            <w:shd w:val="clear" w:color="auto" w:fill="auto"/>
            <w:vAlign w:val="center"/>
          </w:tcPr>
          <w:p w:rsidR="00CB332B" w:rsidRPr="00CB332B" w:rsidRDefault="00CB332B" w:rsidP="00CB332B">
            <w:pPr>
              <w:suppressAutoHyphens w:val="0"/>
              <w:kinsoku/>
              <w:overflowPunct/>
              <w:autoSpaceDE/>
              <w:autoSpaceDN/>
              <w:adjustRightInd/>
              <w:snapToGrid/>
              <w:spacing w:before="20" w:after="20" w:line="220" w:lineRule="exact"/>
              <w:jc w:val="center"/>
              <w:rPr>
                <w:rFonts w:eastAsia="Times New Roman"/>
                <w:i/>
                <w:sz w:val="16"/>
                <w:szCs w:val="16"/>
                <w:lang w:val="fr-FR"/>
              </w:rPr>
            </w:pP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Ralenti</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K</w:t>
            </w:r>
            <w:r w:rsidRPr="00CB332B">
              <w:rPr>
                <w:rFonts w:eastAsia="Times New Roman"/>
                <w:sz w:val="18"/>
                <w:vertAlign w:val="subscript"/>
                <w:lang w:val="fr-FR"/>
              </w:rPr>
              <w:t>1</w:t>
            </w:r>
            <w:r w:rsidRPr="00CB332B">
              <w:rPr>
                <w:rFonts w:eastAsia="Times New Roman"/>
                <w:i/>
                <w:sz w:val="18"/>
                <w:vertAlign w:val="superscript"/>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2</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vMerge w:val="restart"/>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0,83</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w:t>
            </w:r>
            <w:r w:rsidRPr="00CB332B">
              <w:rPr>
                <w:rFonts w:eastAsia="Times New Roman"/>
                <w:sz w:val="18"/>
                <w:szCs w:val="18"/>
                <w:lang w:val="fr-FR"/>
              </w:rPr>
              <w:t>15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w:t>
            </w:r>
          </w:p>
        </w:tc>
        <w:tc>
          <w:tcPr>
            <w:tcW w:w="964" w:type="dxa"/>
            <w:vMerge w:val="restart"/>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41</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25</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3</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Changement de vitesse</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27</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4</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0,62</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15-35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9</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36</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5</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Changement de vitesse</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38</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6</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0,52</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35-50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8</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46</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7</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Changement de vitesse</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szCs w:val="18"/>
                <w:lang w:val="fr-FR"/>
              </w:rPr>
            </w:pP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48</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8</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0,43</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50-70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13</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61</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4</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9</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Vitesse stabilisée</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70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111</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10</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Décélération</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4</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-0,69</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70-50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8</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8</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119</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4 s.5 + 4 s.4</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11</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Vitesse stabilisée</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69</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69</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188</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4</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12</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6</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0,43</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50-70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13</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13</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201</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4</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13</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Vitesse stabilisée</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7</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70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251</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14</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8</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0,24</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70-100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35</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35</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286</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15</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Vitesse stabilisée</w:t>
            </w:r>
            <w:r w:rsidRPr="00CB332B">
              <w:rPr>
                <w:rFonts w:eastAsia="Times New Roman"/>
                <w:i/>
                <w:sz w:val="18"/>
                <w:szCs w:val="18"/>
                <w:vertAlign w:val="superscript"/>
                <w:lang w:val="fr-FR"/>
              </w:rPr>
              <w:t>2</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9</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100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316</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w:t>
            </w:r>
            <w:r w:rsidRPr="00CB332B">
              <w:rPr>
                <w:rFonts w:eastAsia="Times New Roman"/>
                <w:i/>
                <w:sz w:val="18"/>
                <w:vertAlign w:val="superscript"/>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16</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Accélération</w:t>
            </w:r>
            <w:r w:rsidRPr="00CB332B">
              <w:rPr>
                <w:rFonts w:eastAsia="Times New Roman"/>
                <w:i/>
                <w:sz w:val="18"/>
                <w:szCs w:val="18"/>
                <w:vertAlign w:val="superscript"/>
                <w:lang w:val="fr-FR"/>
              </w:rPr>
              <w:t>2</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10</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0,28</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100-120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336</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w:t>
            </w:r>
            <w:r w:rsidRPr="00CB332B">
              <w:rPr>
                <w:rFonts w:eastAsia="Times New Roman"/>
                <w:i/>
                <w:sz w:val="18"/>
                <w:vertAlign w:val="superscript"/>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17</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Vitesse stabilisée</w:t>
            </w:r>
            <w:r w:rsidRPr="00CB332B">
              <w:rPr>
                <w:rFonts w:eastAsia="Times New Roman"/>
                <w:i/>
                <w:sz w:val="18"/>
                <w:szCs w:val="18"/>
                <w:vertAlign w:val="superscript"/>
                <w:lang w:val="fr-FR"/>
              </w:rPr>
              <w:t>2</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11</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120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346</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w:t>
            </w:r>
            <w:r w:rsidRPr="00CB332B">
              <w:rPr>
                <w:rFonts w:eastAsia="Times New Roman"/>
                <w:i/>
                <w:sz w:val="18"/>
                <w:vertAlign w:val="superscript"/>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18</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Décélération</w:t>
            </w:r>
            <w:r w:rsidRPr="00CB332B">
              <w:rPr>
                <w:rFonts w:eastAsia="Times New Roman"/>
                <w:i/>
                <w:sz w:val="18"/>
                <w:szCs w:val="18"/>
                <w:vertAlign w:val="superscript"/>
                <w:lang w:val="fr-FR"/>
              </w:rPr>
              <w:t>2</w:t>
            </w:r>
          </w:p>
        </w:tc>
        <w:tc>
          <w:tcPr>
            <w:tcW w:w="851" w:type="dxa"/>
            <w:vMerge w:val="restart"/>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12</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-0,69</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120-80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16</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34</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362</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w:t>
            </w:r>
            <w:r w:rsidRPr="00CB332B">
              <w:rPr>
                <w:rFonts w:eastAsia="Times New Roman"/>
                <w:i/>
                <w:sz w:val="18"/>
                <w:vertAlign w:val="superscript"/>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19</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Décélération</w:t>
            </w:r>
            <w:r w:rsidRPr="00CB332B">
              <w:rPr>
                <w:rFonts w:eastAsia="Times New Roman"/>
                <w:i/>
                <w:sz w:val="18"/>
                <w:szCs w:val="18"/>
                <w:vertAlign w:val="superscript"/>
                <w:lang w:val="fr-FR"/>
              </w:rPr>
              <w:t>2</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-1,04</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80-50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8</w:t>
            </w:r>
          </w:p>
        </w:tc>
        <w:tc>
          <w:tcPr>
            <w:tcW w:w="964" w:type="dxa"/>
            <w:vMerge w:val="restart"/>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370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w:t>
            </w:r>
            <w:r w:rsidRPr="00CB332B">
              <w:rPr>
                <w:rFonts w:eastAsia="Times New Roman"/>
                <w:i/>
                <w:sz w:val="18"/>
                <w:vertAlign w:val="superscript"/>
                <w:lang w:val="fr-FR"/>
              </w:rPr>
              <w:t>2</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20</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Décélération, embrayage débrayé</w:t>
            </w:r>
          </w:p>
        </w:tc>
        <w:tc>
          <w:tcPr>
            <w:tcW w:w="851"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1,39</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50-0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10</w:t>
            </w:r>
          </w:p>
        </w:tc>
        <w:tc>
          <w:tcPr>
            <w:tcW w:w="964" w:type="dxa"/>
            <w:vMerge/>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380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K</w:t>
            </w:r>
            <w:r w:rsidRPr="00CB332B">
              <w:rPr>
                <w:rFonts w:eastAsia="Times New Roman"/>
                <w:sz w:val="18"/>
                <w:vertAlign w:val="subscript"/>
                <w:lang w:val="fr-FR"/>
              </w:rPr>
              <w:t>5</w:t>
            </w:r>
            <w:r w:rsidRPr="00CB332B">
              <w:rPr>
                <w:rFonts w:eastAsia="Times New Roman"/>
                <w:i/>
                <w:sz w:val="18"/>
                <w:vertAlign w:val="superscript"/>
                <w:lang w:val="fr-FR"/>
              </w:rPr>
              <w:t>1</w:t>
            </w:r>
          </w:p>
        </w:tc>
      </w:tr>
      <w:tr w:rsidR="00CB332B" w:rsidRPr="00CB332B" w:rsidTr="00CB332B">
        <w:tc>
          <w:tcPr>
            <w:tcW w:w="566"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lang w:val="fr-FR"/>
              </w:rPr>
            </w:pPr>
            <w:r w:rsidRPr="00CB332B">
              <w:rPr>
                <w:rFonts w:eastAsia="Times New Roman"/>
                <w:sz w:val="18"/>
                <w:lang w:val="fr-FR"/>
              </w:rPr>
              <w:t>21</w:t>
            </w:r>
          </w:p>
        </w:tc>
        <w:tc>
          <w:tcPr>
            <w:tcW w:w="2608"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rPr>
                <w:rFonts w:eastAsia="Times New Roman"/>
                <w:sz w:val="18"/>
                <w:szCs w:val="18"/>
                <w:lang w:val="fr-FR"/>
              </w:rPr>
            </w:pPr>
            <w:r w:rsidRPr="00CB332B">
              <w:rPr>
                <w:rFonts w:eastAsia="Times New Roman"/>
                <w:sz w:val="18"/>
                <w:szCs w:val="18"/>
                <w:lang w:val="fr-FR"/>
              </w:rPr>
              <w:t>Ralenti</w:t>
            </w:r>
          </w:p>
        </w:tc>
        <w:tc>
          <w:tcPr>
            <w:tcW w:w="851"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13</w:t>
            </w:r>
          </w:p>
        </w:tc>
        <w:tc>
          <w:tcPr>
            <w:tcW w:w="130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w:t>
            </w:r>
          </w:p>
        </w:tc>
        <w:tc>
          <w:tcPr>
            <w:tcW w:w="113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20</w:t>
            </w:r>
          </w:p>
        </w:tc>
        <w:tc>
          <w:tcPr>
            <w:tcW w:w="964"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20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400</w:t>
            </w:r>
          </w:p>
        </w:tc>
        <w:tc>
          <w:tcPr>
            <w:tcW w:w="1985" w:type="dxa"/>
            <w:shd w:val="clear" w:color="auto" w:fill="auto"/>
          </w:tcPr>
          <w:p w:rsidR="00CB332B" w:rsidRPr="00CB332B" w:rsidRDefault="00CB332B" w:rsidP="00CB332B">
            <w:pPr>
              <w:suppressAutoHyphens w:val="0"/>
              <w:kinsoku/>
              <w:overflowPunct/>
              <w:autoSpaceDE/>
              <w:autoSpaceDN/>
              <w:adjustRightInd/>
              <w:snapToGrid/>
              <w:spacing w:before="40" w:after="40" w:line="220" w:lineRule="exact"/>
              <w:jc w:val="right"/>
              <w:rPr>
                <w:rFonts w:eastAsia="Times New Roman"/>
                <w:sz w:val="18"/>
                <w:lang w:val="fr-FR"/>
              </w:rPr>
            </w:pPr>
            <w:r w:rsidRPr="00CB332B">
              <w:rPr>
                <w:rFonts w:eastAsia="Times New Roman"/>
                <w:sz w:val="18"/>
                <w:lang w:val="fr-FR"/>
              </w:rPr>
              <w:t>PM</w:t>
            </w:r>
            <w:r w:rsidRPr="00CB332B">
              <w:rPr>
                <w:rFonts w:eastAsia="Times New Roman"/>
                <w:i/>
                <w:sz w:val="18"/>
                <w:vertAlign w:val="superscript"/>
                <w:lang w:val="fr-FR"/>
              </w:rPr>
              <w:t>1</w:t>
            </w:r>
          </w:p>
        </w:tc>
      </w:tr>
    </w:tbl>
    <w:p w:rsidR="00AA5F5C" w:rsidRPr="00AA5F5C" w:rsidRDefault="00AA5F5C" w:rsidP="00AA5F5C">
      <w:pPr>
        <w:kinsoku/>
        <w:overflowPunct/>
        <w:autoSpaceDE/>
        <w:autoSpaceDN/>
        <w:adjustRightInd/>
        <w:snapToGrid/>
        <w:spacing w:before="120"/>
        <w:ind w:left="454"/>
        <w:rPr>
          <w:rFonts w:eastAsia="Times New Roman"/>
          <w:sz w:val="18"/>
          <w:szCs w:val="18"/>
          <w:lang w:val="fr-FR"/>
        </w:rPr>
      </w:pPr>
      <w:r w:rsidRPr="00A779B8">
        <w:rPr>
          <w:i/>
          <w:sz w:val="18"/>
          <w:szCs w:val="18"/>
          <w:vertAlign w:val="superscript"/>
          <w:lang w:val="fr-FR"/>
        </w:rPr>
        <w:t>1</w:t>
      </w:r>
      <w:r w:rsidRPr="00A779B8">
        <w:rPr>
          <w:sz w:val="18"/>
          <w:szCs w:val="18"/>
          <w:lang w:val="fr-FR"/>
        </w:rPr>
        <w:t xml:space="preserve">  PM = boîte au </w:t>
      </w:r>
      <w:r w:rsidRPr="00AA5F5C">
        <w:rPr>
          <w:rFonts w:eastAsia="Times New Roman"/>
          <w:sz w:val="18"/>
          <w:szCs w:val="18"/>
          <w:lang w:val="fr-FR"/>
        </w:rPr>
        <w:t>point mort, embrayage embrayé. K1, K2 = boîte sur le premier ou le deuxième rapport, embrayage débrayé.</w:t>
      </w:r>
    </w:p>
    <w:p w:rsidR="00DB4C2D" w:rsidRDefault="00AA5F5C" w:rsidP="00AA5F5C">
      <w:pPr>
        <w:kinsoku/>
        <w:overflowPunct/>
        <w:autoSpaceDE/>
        <w:autoSpaceDN/>
        <w:adjustRightInd/>
        <w:snapToGrid/>
        <w:spacing w:after="120"/>
        <w:ind w:left="454"/>
        <w:rPr>
          <w:rFonts w:eastAsia="Times New Roman"/>
          <w:sz w:val="18"/>
          <w:szCs w:val="18"/>
          <w:lang w:val="fr-FR"/>
        </w:rPr>
      </w:pPr>
      <w:r w:rsidRPr="00AA5F5C">
        <w:rPr>
          <w:rFonts w:eastAsia="Times New Roman"/>
          <w:i/>
          <w:sz w:val="18"/>
          <w:szCs w:val="18"/>
          <w:vertAlign w:val="superscript"/>
          <w:lang w:val="fr-FR"/>
        </w:rPr>
        <w:t>2</w:t>
      </w:r>
      <w:r w:rsidRPr="00AA5F5C">
        <w:rPr>
          <w:rFonts w:eastAsia="Times New Roman"/>
          <w:sz w:val="18"/>
          <w:szCs w:val="18"/>
          <w:lang w:val="fr-FR"/>
        </w:rPr>
        <w:t xml:space="preserve">  Si le véhicule est équipé d</w:t>
      </w:r>
      <w:r w:rsidR="00DB4C2D">
        <w:rPr>
          <w:rFonts w:eastAsia="Times New Roman"/>
          <w:sz w:val="18"/>
          <w:szCs w:val="18"/>
          <w:lang w:val="fr-FR"/>
        </w:rPr>
        <w:t>’</w:t>
      </w:r>
      <w:r w:rsidRPr="00AA5F5C">
        <w:rPr>
          <w:rFonts w:eastAsia="Times New Roman"/>
          <w:sz w:val="18"/>
          <w:szCs w:val="18"/>
          <w:lang w:val="fr-FR"/>
        </w:rPr>
        <w:t>une boîte de vitesses à plus de cinq rapports, les rapports supplémentaires pourront être utilisés en accord avec les recommandations du constructeur.</w:t>
      </w:r>
    </w:p>
    <w:p w:rsidR="00190E8D" w:rsidRDefault="00190E8D" w:rsidP="00AE31CF">
      <w:pPr>
        <w:pStyle w:val="SingleTxtG"/>
        <w:rPr>
          <w:lang w:val="fr-FR"/>
        </w:rPr>
        <w:sectPr w:rsidR="00190E8D" w:rsidSect="00CB332B">
          <w:headerReference w:type="even" r:id="rId128"/>
          <w:headerReference w:type="default" r:id="rId129"/>
          <w:footerReference w:type="even" r:id="rId130"/>
          <w:footerReference w:type="default" r:id="rId131"/>
          <w:footnotePr>
            <w:numRestart w:val="eachSect"/>
          </w:footnotePr>
          <w:endnotePr>
            <w:numFmt w:val="decimal"/>
          </w:endnotePr>
          <w:pgSz w:w="16840" w:h="11907" w:orient="landscape" w:code="9"/>
          <w:pgMar w:top="1134" w:right="1701" w:bottom="1134" w:left="2268" w:header="567" w:footer="567" w:gutter="0"/>
          <w:cols w:space="720"/>
          <w:docGrid w:linePitch="272"/>
        </w:sectPr>
      </w:pPr>
    </w:p>
    <w:p w:rsidR="00190E8D" w:rsidRDefault="00190E8D" w:rsidP="00190E8D">
      <w:pPr>
        <w:pStyle w:val="Titre1"/>
        <w:kinsoku/>
        <w:overflowPunct/>
        <w:autoSpaceDE/>
        <w:autoSpaceDN/>
        <w:adjustRightInd/>
        <w:snapToGrid/>
        <w:ind w:left="0"/>
        <w:rPr>
          <w:rFonts w:eastAsia="Times New Roman"/>
          <w:lang w:val="fr-FR"/>
        </w:rPr>
      </w:pPr>
      <w:r w:rsidRPr="00190E8D">
        <w:rPr>
          <w:rFonts w:eastAsia="Times New Roman"/>
          <w:lang w:val="fr-FR"/>
        </w:rPr>
        <w:lastRenderedPageBreak/>
        <w:t>Tableau A4a/3</w:t>
      </w:r>
    </w:p>
    <w:p w:rsidR="00190E8D" w:rsidRDefault="00190E8D" w:rsidP="00CE72C2">
      <w:pPr>
        <w:pStyle w:val="Titre1"/>
        <w:kinsoku/>
        <w:overflowPunct/>
        <w:autoSpaceDE/>
        <w:autoSpaceDN/>
        <w:adjustRightInd/>
        <w:snapToGrid/>
        <w:spacing w:after="120"/>
        <w:ind w:left="0"/>
        <w:rPr>
          <w:rFonts w:eastAsia="Times New Roman"/>
          <w:b/>
          <w:lang w:val="fr-FR"/>
        </w:rPr>
      </w:pPr>
      <w:r w:rsidRPr="00190E8D">
        <w:rPr>
          <w:rFonts w:eastAsia="Times New Roman"/>
          <w:b/>
          <w:lang w:val="fr-FR"/>
        </w:rPr>
        <w:t>Inertie simulée et réglages de puissance et de couple sur le banc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99"/>
        <w:gridCol w:w="1390"/>
        <w:gridCol w:w="1625"/>
        <w:gridCol w:w="1478"/>
        <w:gridCol w:w="1018"/>
        <w:gridCol w:w="1529"/>
      </w:tblGrid>
      <w:tr w:rsidR="00CE72C2" w:rsidRPr="00CE72C2" w:rsidTr="00A36982">
        <w:trPr>
          <w:tblHeader/>
          <w:jc w:val="center"/>
        </w:trPr>
        <w:tc>
          <w:tcPr>
            <w:tcW w:w="2599" w:type="dxa"/>
            <w:shd w:val="clear" w:color="auto" w:fill="auto"/>
            <w:tcMar>
              <w:top w:w="0" w:type="dxa"/>
              <w:left w:w="57" w:type="dxa"/>
              <w:bottom w:w="0" w:type="dxa"/>
              <w:right w:w="57" w:type="dxa"/>
            </w:tcMar>
            <w:vAlign w:val="center"/>
          </w:tcPr>
          <w:p w:rsidR="00CE72C2" w:rsidRPr="00CE72C2" w:rsidRDefault="00CE72C2" w:rsidP="00CE72C2">
            <w:pPr>
              <w:suppressAutoHyphens w:val="0"/>
              <w:kinsoku/>
              <w:overflowPunct/>
              <w:autoSpaceDE/>
              <w:autoSpaceDN/>
              <w:adjustRightInd/>
              <w:snapToGrid/>
              <w:spacing w:before="60" w:after="60" w:line="200" w:lineRule="exact"/>
              <w:jc w:val="center"/>
              <w:rPr>
                <w:rFonts w:eastAsia="Times New Roman"/>
                <w:i/>
                <w:sz w:val="16"/>
                <w:lang w:val="fr-FR"/>
              </w:rPr>
            </w:pPr>
            <w:r w:rsidRPr="00CE72C2">
              <w:rPr>
                <w:rFonts w:eastAsia="Times New Roman"/>
                <w:i/>
                <w:sz w:val="16"/>
                <w:lang w:val="fr-FR"/>
              </w:rPr>
              <w:br w:type="page"/>
              <w:t>Masse de référence du véhicule MR (kg)</w:t>
            </w:r>
          </w:p>
        </w:tc>
        <w:tc>
          <w:tcPr>
            <w:tcW w:w="1390" w:type="dxa"/>
            <w:shd w:val="clear" w:color="auto" w:fill="auto"/>
            <w:tcMar>
              <w:top w:w="0" w:type="dxa"/>
              <w:left w:w="57" w:type="dxa"/>
              <w:bottom w:w="0" w:type="dxa"/>
              <w:right w:w="57" w:type="dxa"/>
            </w:tcMar>
            <w:vAlign w:val="center"/>
          </w:tcPr>
          <w:p w:rsidR="00CE72C2" w:rsidRPr="00CE72C2" w:rsidRDefault="00CE72C2" w:rsidP="00CE72C2">
            <w:pPr>
              <w:suppressAutoHyphens w:val="0"/>
              <w:kinsoku/>
              <w:overflowPunct/>
              <w:autoSpaceDE/>
              <w:autoSpaceDN/>
              <w:adjustRightInd/>
              <w:snapToGrid/>
              <w:spacing w:before="60" w:after="60" w:line="200" w:lineRule="exact"/>
              <w:jc w:val="center"/>
              <w:rPr>
                <w:rFonts w:eastAsia="Times New Roman"/>
                <w:i/>
                <w:sz w:val="16"/>
                <w:lang w:val="fr-FR"/>
              </w:rPr>
            </w:pPr>
            <w:r w:rsidRPr="00CE72C2">
              <w:rPr>
                <w:rFonts w:eastAsia="Times New Roman"/>
                <w:i/>
                <w:sz w:val="16"/>
                <w:lang w:val="fr-FR"/>
              </w:rPr>
              <w:t>Inertie</w:t>
            </w:r>
            <w:r w:rsidRPr="00CE72C2">
              <w:rPr>
                <w:rFonts w:eastAsia="Times New Roman"/>
                <w:i/>
                <w:sz w:val="16"/>
                <w:lang w:val="fr-FR"/>
              </w:rPr>
              <w:br/>
              <w:t>équivalente</w:t>
            </w:r>
          </w:p>
        </w:tc>
        <w:tc>
          <w:tcPr>
            <w:tcW w:w="3103" w:type="dxa"/>
            <w:gridSpan w:val="2"/>
            <w:shd w:val="clear" w:color="auto" w:fill="auto"/>
            <w:tcMar>
              <w:top w:w="0" w:type="dxa"/>
              <w:left w:w="57" w:type="dxa"/>
              <w:bottom w:w="0" w:type="dxa"/>
              <w:right w:w="57" w:type="dxa"/>
            </w:tcMar>
            <w:vAlign w:val="center"/>
          </w:tcPr>
          <w:p w:rsidR="00CE72C2" w:rsidRPr="00CE72C2" w:rsidRDefault="00CE72C2" w:rsidP="00CE72C2">
            <w:pPr>
              <w:suppressAutoHyphens w:val="0"/>
              <w:kinsoku/>
              <w:overflowPunct/>
              <w:autoSpaceDE/>
              <w:autoSpaceDN/>
              <w:adjustRightInd/>
              <w:snapToGrid/>
              <w:spacing w:before="60" w:after="60" w:line="200" w:lineRule="exact"/>
              <w:jc w:val="center"/>
              <w:rPr>
                <w:rFonts w:eastAsia="Times New Roman"/>
                <w:i/>
                <w:sz w:val="16"/>
                <w:lang w:val="fr-FR"/>
              </w:rPr>
            </w:pPr>
            <w:r w:rsidRPr="00CE72C2">
              <w:rPr>
                <w:rFonts w:eastAsia="Times New Roman"/>
                <w:i/>
                <w:sz w:val="16"/>
                <w:lang w:val="fr-FR"/>
              </w:rPr>
              <w:t>Puissance/force absorbée</w:t>
            </w:r>
            <w:r w:rsidRPr="00CE72C2">
              <w:rPr>
                <w:rFonts w:eastAsia="Times New Roman"/>
                <w:i/>
                <w:sz w:val="16"/>
                <w:lang w:val="fr-FR"/>
              </w:rPr>
              <w:br/>
              <w:t>par le banc à 80 km/h</w:t>
            </w:r>
          </w:p>
        </w:tc>
        <w:tc>
          <w:tcPr>
            <w:tcW w:w="2547" w:type="dxa"/>
            <w:gridSpan w:val="2"/>
            <w:shd w:val="clear" w:color="auto" w:fill="auto"/>
            <w:tcMar>
              <w:top w:w="0" w:type="dxa"/>
              <w:left w:w="57" w:type="dxa"/>
              <w:bottom w:w="0" w:type="dxa"/>
              <w:right w:w="57" w:type="dxa"/>
            </w:tcMar>
            <w:vAlign w:val="center"/>
          </w:tcPr>
          <w:p w:rsidR="00CE72C2" w:rsidRPr="00CE72C2" w:rsidRDefault="00CE72C2" w:rsidP="00CE72C2">
            <w:pPr>
              <w:suppressAutoHyphens w:val="0"/>
              <w:kinsoku/>
              <w:overflowPunct/>
              <w:autoSpaceDE/>
              <w:autoSpaceDN/>
              <w:adjustRightInd/>
              <w:snapToGrid/>
              <w:spacing w:before="60" w:after="60" w:line="200" w:lineRule="exact"/>
              <w:jc w:val="center"/>
              <w:rPr>
                <w:rFonts w:eastAsia="Times New Roman"/>
                <w:i/>
                <w:sz w:val="16"/>
                <w:lang w:val="fr-FR"/>
              </w:rPr>
            </w:pPr>
            <w:r w:rsidRPr="00CE72C2">
              <w:rPr>
                <w:rFonts w:eastAsia="Times New Roman"/>
                <w:i/>
                <w:sz w:val="16"/>
                <w:lang w:val="fr-FR"/>
              </w:rPr>
              <w:t>Coefficients de résistance</w:t>
            </w:r>
            <w:r w:rsidRPr="00CE72C2">
              <w:rPr>
                <w:rFonts w:eastAsia="Times New Roman"/>
                <w:i/>
                <w:sz w:val="16"/>
                <w:lang w:val="fr-FR"/>
              </w:rPr>
              <w:br/>
              <w:t>à l</w:t>
            </w:r>
            <w:r w:rsidR="00DB4C2D">
              <w:rPr>
                <w:rFonts w:eastAsia="Times New Roman"/>
                <w:i/>
                <w:sz w:val="16"/>
                <w:lang w:val="fr-FR"/>
              </w:rPr>
              <w:t>’</w:t>
            </w:r>
            <w:r w:rsidRPr="00CE72C2">
              <w:rPr>
                <w:rFonts w:eastAsia="Times New Roman"/>
                <w:i/>
                <w:sz w:val="16"/>
                <w:lang w:val="fr-FR"/>
              </w:rPr>
              <w:t>avancement</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center"/>
              <w:rPr>
                <w:rFonts w:eastAsia="Times New Roman"/>
                <w:i/>
                <w:sz w:val="16"/>
                <w:szCs w:val="16"/>
                <w:lang w:val="fr-FR"/>
              </w:rPr>
            </w:pPr>
          </w:p>
        </w:tc>
        <w:tc>
          <w:tcPr>
            <w:tcW w:w="1390" w:type="dxa"/>
            <w:shd w:val="clear" w:color="auto" w:fill="auto"/>
            <w:tcMar>
              <w:top w:w="0" w:type="dxa"/>
              <w:left w:w="57" w:type="dxa"/>
              <w:bottom w:w="0" w:type="dxa"/>
              <w:right w:w="57" w:type="dxa"/>
            </w:tcMar>
            <w:vAlign w:val="bottom"/>
          </w:tcPr>
          <w:p w:rsidR="00CE72C2" w:rsidRPr="00CE72C2" w:rsidRDefault="00CE72C2" w:rsidP="00CE72C2">
            <w:pPr>
              <w:suppressAutoHyphens w:val="0"/>
              <w:kinsoku/>
              <w:overflowPunct/>
              <w:autoSpaceDE/>
              <w:autoSpaceDN/>
              <w:adjustRightInd/>
              <w:snapToGrid/>
              <w:spacing w:before="60" w:after="60" w:line="220" w:lineRule="exact"/>
              <w:jc w:val="center"/>
              <w:rPr>
                <w:rFonts w:eastAsia="Times New Roman"/>
                <w:i/>
                <w:sz w:val="16"/>
                <w:szCs w:val="16"/>
                <w:lang w:val="fr-FR"/>
              </w:rPr>
            </w:pPr>
            <w:r w:rsidRPr="00CE72C2">
              <w:rPr>
                <w:rFonts w:eastAsia="Times New Roman"/>
                <w:i/>
                <w:sz w:val="16"/>
                <w:szCs w:val="16"/>
                <w:lang w:val="fr-FR"/>
              </w:rPr>
              <w:t>kg</w:t>
            </w:r>
          </w:p>
        </w:tc>
        <w:tc>
          <w:tcPr>
            <w:tcW w:w="1625" w:type="dxa"/>
            <w:shd w:val="clear" w:color="auto" w:fill="auto"/>
            <w:tcMar>
              <w:top w:w="0" w:type="dxa"/>
              <w:left w:w="57" w:type="dxa"/>
              <w:bottom w:w="0" w:type="dxa"/>
              <w:right w:w="57" w:type="dxa"/>
            </w:tcMar>
            <w:vAlign w:val="bottom"/>
          </w:tcPr>
          <w:p w:rsidR="00CE72C2" w:rsidRPr="00CE72C2" w:rsidRDefault="00CE72C2" w:rsidP="00CE72C2">
            <w:pPr>
              <w:suppressAutoHyphens w:val="0"/>
              <w:kinsoku/>
              <w:overflowPunct/>
              <w:autoSpaceDE/>
              <w:autoSpaceDN/>
              <w:adjustRightInd/>
              <w:snapToGrid/>
              <w:spacing w:before="60" w:after="60" w:line="220" w:lineRule="exact"/>
              <w:jc w:val="center"/>
              <w:rPr>
                <w:rFonts w:eastAsia="Times New Roman"/>
                <w:i/>
                <w:sz w:val="16"/>
                <w:szCs w:val="16"/>
                <w:lang w:val="fr-FR"/>
              </w:rPr>
            </w:pPr>
            <w:r w:rsidRPr="00CE72C2">
              <w:rPr>
                <w:rFonts w:eastAsia="Times New Roman"/>
                <w:i/>
                <w:sz w:val="16"/>
                <w:szCs w:val="16"/>
                <w:lang w:val="fr-FR"/>
              </w:rPr>
              <w:t>kW</w:t>
            </w:r>
          </w:p>
        </w:tc>
        <w:tc>
          <w:tcPr>
            <w:tcW w:w="1478" w:type="dxa"/>
            <w:shd w:val="clear" w:color="auto" w:fill="auto"/>
            <w:tcMar>
              <w:top w:w="0" w:type="dxa"/>
              <w:left w:w="57" w:type="dxa"/>
              <w:bottom w:w="0" w:type="dxa"/>
              <w:right w:w="57" w:type="dxa"/>
            </w:tcMar>
            <w:vAlign w:val="bottom"/>
          </w:tcPr>
          <w:p w:rsidR="00CE72C2" w:rsidRPr="00CE72C2" w:rsidRDefault="00CE72C2" w:rsidP="00CE72C2">
            <w:pPr>
              <w:suppressAutoHyphens w:val="0"/>
              <w:kinsoku/>
              <w:overflowPunct/>
              <w:autoSpaceDE/>
              <w:autoSpaceDN/>
              <w:adjustRightInd/>
              <w:snapToGrid/>
              <w:spacing w:before="60" w:after="60" w:line="220" w:lineRule="exact"/>
              <w:jc w:val="center"/>
              <w:rPr>
                <w:rFonts w:eastAsia="Times New Roman"/>
                <w:i/>
                <w:sz w:val="16"/>
                <w:szCs w:val="16"/>
                <w:lang w:val="fr-FR"/>
              </w:rPr>
            </w:pPr>
            <w:r w:rsidRPr="00CE72C2">
              <w:rPr>
                <w:rFonts w:eastAsia="Times New Roman"/>
                <w:i/>
                <w:sz w:val="16"/>
                <w:szCs w:val="16"/>
                <w:lang w:val="fr-FR"/>
              </w:rPr>
              <w:t>N</w:t>
            </w:r>
          </w:p>
        </w:tc>
        <w:tc>
          <w:tcPr>
            <w:tcW w:w="1018" w:type="dxa"/>
            <w:shd w:val="clear" w:color="auto" w:fill="auto"/>
            <w:tcMar>
              <w:top w:w="0" w:type="dxa"/>
              <w:left w:w="57" w:type="dxa"/>
              <w:bottom w:w="0" w:type="dxa"/>
              <w:right w:w="57" w:type="dxa"/>
            </w:tcMar>
            <w:vAlign w:val="bottom"/>
          </w:tcPr>
          <w:p w:rsidR="00CE72C2" w:rsidRPr="00CE72C2" w:rsidRDefault="00CE72C2" w:rsidP="00CE72C2">
            <w:pPr>
              <w:suppressAutoHyphens w:val="0"/>
              <w:kinsoku/>
              <w:overflowPunct/>
              <w:autoSpaceDE/>
              <w:autoSpaceDN/>
              <w:adjustRightInd/>
              <w:snapToGrid/>
              <w:spacing w:before="60" w:after="60" w:line="220" w:lineRule="exact"/>
              <w:jc w:val="center"/>
              <w:rPr>
                <w:rFonts w:eastAsia="Times New Roman"/>
                <w:i/>
                <w:sz w:val="16"/>
                <w:szCs w:val="16"/>
                <w:lang w:val="fr-FR"/>
              </w:rPr>
            </w:pPr>
            <w:r w:rsidRPr="00CE72C2">
              <w:rPr>
                <w:rFonts w:eastAsia="Times New Roman"/>
                <w:i/>
                <w:sz w:val="16"/>
                <w:szCs w:val="16"/>
                <w:lang w:val="fr-FR"/>
              </w:rPr>
              <w:t>a (N)</w:t>
            </w:r>
          </w:p>
        </w:tc>
        <w:tc>
          <w:tcPr>
            <w:tcW w:w="1529" w:type="dxa"/>
            <w:shd w:val="clear" w:color="auto" w:fill="auto"/>
            <w:tcMar>
              <w:top w:w="0" w:type="dxa"/>
              <w:left w:w="57" w:type="dxa"/>
              <w:bottom w:w="0" w:type="dxa"/>
              <w:right w:w="57" w:type="dxa"/>
            </w:tcMar>
            <w:vAlign w:val="bottom"/>
          </w:tcPr>
          <w:p w:rsidR="00CE72C2" w:rsidRPr="00CE72C2" w:rsidRDefault="00CE72C2" w:rsidP="00CE72C2">
            <w:pPr>
              <w:suppressAutoHyphens w:val="0"/>
              <w:kinsoku/>
              <w:overflowPunct/>
              <w:autoSpaceDE/>
              <w:autoSpaceDN/>
              <w:adjustRightInd/>
              <w:snapToGrid/>
              <w:spacing w:before="60" w:after="60" w:line="220" w:lineRule="exact"/>
              <w:jc w:val="center"/>
              <w:rPr>
                <w:rFonts w:eastAsia="Times New Roman"/>
                <w:i/>
                <w:sz w:val="16"/>
                <w:szCs w:val="16"/>
                <w:lang w:val="fr-FR"/>
              </w:rPr>
            </w:pPr>
            <w:r w:rsidRPr="00CE72C2">
              <w:rPr>
                <w:rFonts w:eastAsia="Times New Roman"/>
                <w:i/>
                <w:sz w:val="16"/>
                <w:szCs w:val="16"/>
                <w:lang w:val="fr-FR"/>
              </w:rPr>
              <w:t>b (N/(km/h)</w:t>
            </w:r>
            <w:r w:rsidRPr="00CE72C2">
              <w:rPr>
                <w:rFonts w:eastAsia="Times New Roman"/>
                <w:i/>
                <w:sz w:val="16"/>
                <w:szCs w:val="16"/>
                <w:vertAlign w:val="superscript"/>
                <w:lang w:val="fr-FR"/>
              </w:rPr>
              <w:t>2</w:t>
            </w:r>
            <w:r w:rsidRPr="00CE72C2">
              <w:rPr>
                <w:rFonts w:eastAsia="Times New Roman"/>
                <w:i/>
                <w:sz w:val="16"/>
                <w:szCs w:val="16"/>
                <w:lang w:val="fr-FR"/>
              </w:rPr>
              <w:t>)</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MR ≤ 480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455</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3,8</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171</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3,8</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0,0261</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480 &lt; MR ≤ 540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510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4,1</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185</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4,2</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0,0282</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540 &lt; MR ≤ 595</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570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4,3</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194</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4,4</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0,0296</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595 &lt; MR ≤ 650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625</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4,5</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203</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4,6</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0,0309</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650 &lt; MR ≤ 710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680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4,7</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212</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4,8</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0,0323</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710 &lt; MR ≤ 765</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740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4,9</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221</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5,0</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0,0337</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765 &lt; MR ≤ 850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800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5,1</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230</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5,2</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0,0351</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850 &lt; MR ≤ 965</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910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5,6</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252</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5,7</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0,0385</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965 &lt; MR ≤ 1 080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1 020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6,0</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270</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6,1</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0,0412</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1080 &lt; MR ≤ 1 190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1 130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6,3</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284</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6,4</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0,0433</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1190 &lt; MR ≤ 1 305</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1 250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6,7</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302</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6,8</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0,0460</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1305 &lt; MR ≤ 1 420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1 360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7,0</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315</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7,1</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0,0481</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1420 &lt; MR ≤ 1 530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1 470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7,3</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329</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7,4</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0,0502</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1530 &lt; MR ≤ 1 640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1 590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7,5</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338</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7,6</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0,0515</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1640 &lt; MR ≤ 1 760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1 700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7,8</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351</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7,9</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0,0536</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1760 &lt; MR ≤ 1 870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1 810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8,1</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365</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8,2</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0,0557</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1870 &lt; MR ≤ 1 980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1 930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8,4</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378</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8,5</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0,0577</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1980 &lt; MR ≤ 2 100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2 040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8,6</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387</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8,7</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0,0591</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2100 &lt; MR ≤ 2 210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2 150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8,8</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396</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8,9</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0,0605</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2210 &lt; MR ≤ 2 380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2 270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9,0</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405</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9,1</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0,0619</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2380 &lt; MR ≤ 2 610</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2 270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9,4</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423</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9,5</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0,0646</w:t>
            </w:r>
          </w:p>
        </w:tc>
      </w:tr>
      <w:tr w:rsidR="00CE72C2" w:rsidRPr="00CE72C2" w:rsidTr="00A36982">
        <w:trPr>
          <w:jc w:val="center"/>
        </w:trPr>
        <w:tc>
          <w:tcPr>
            <w:tcW w:w="259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rPr>
                <w:rFonts w:eastAsia="Times New Roman"/>
                <w:sz w:val="18"/>
                <w:lang w:val="fr-FR"/>
              </w:rPr>
            </w:pPr>
            <w:r w:rsidRPr="00CE72C2">
              <w:rPr>
                <w:rFonts w:eastAsia="Times New Roman"/>
                <w:sz w:val="18"/>
                <w:lang w:val="fr-FR"/>
              </w:rPr>
              <w:t>2610 &lt; MR</w:t>
            </w:r>
          </w:p>
        </w:tc>
        <w:tc>
          <w:tcPr>
            <w:tcW w:w="1390"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2 270</w:t>
            </w:r>
          </w:p>
        </w:tc>
        <w:tc>
          <w:tcPr>
            <w:tcW w:w="1625"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9,8</w:t>
            </w:r>
          </w:p>
        </w:tc>
        <w:tc>
          <w:tcPr>
            <w:tcW w:w="147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441</w:t>
            </w:r>
          </w:p>
        </w:tc>
        <w:tc>
          <w:tcPr>
            <w:tcW w:w="1018"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9,9</w:t>
            </w:r>
          </w:p>
        </w:tc>
        <w:tc>
          <w:tcPr>
            <w:tcW w:w="1529" w:type="dxa"/>
            <w:shd w:val="clear" w:color="auto" w:fill="auto"/>
            <w:tcMar>
              <w:top w:w="0" w:type="dxa"/>
              <w:left w:w="57" w:type="dxa"/>
              <w:bottom w:w="0" w:type="dxa"/>
              <w:right w:w="57" w:type="dxa"/>
            </w:tcMar>
          </w:tcPr>
          <w:p w:rsidR="00CE72C2" w:rsidRPr="00CE72C2" w:rsidRDefault="00CE72C2" w:rsidP="00CE72C2">
            <w:pPr>
              <w:suppressAutoHyphens w:val="0"/>
              <w:kinsoku/>
              <w:overflowPunct/>
              <w:autoSpaceDE/>
              <w:autoSpaceDN/>
              <w:adjustRightInd/>
              <w:snapToGrid/>
              <w:spacing w:before="60" w:after="60" w:line="220" w:lineRule="exact"/>
              <w:jc w:val="right"/>
              <w:rPr>
                <w:rFonts w:eastAsia="Times New Roman"/>
                <w:sz w:val="18"/>
                <w:lang w:val="fr-FR"/>
              </w:rPr>
            </w:pPr>
            <w:r w:rsidRPr="00CE72C2">
              <w:rPr>
                <w:rFonts w:eastAsia="Times New Roman"/>
                <w:sz w:val="18"/>
                <w:lang w:val="fr-FR"/>
              </w:rPr>
              <w:t>0,0674</w:t>
            </w:r>
          </w:p>
        </w:tc>
      </w:tr>
    </w:tbl>
    <w:p w:rsidR="00CE72C2" w:rsidRDefault="00CE72C2" w:rsidP="00CE72C2">
      <w:pPr>
        <w:pStyle w:val="SingleTxtG"/>
        <w:rPr>
          <w:lang w:val="fr-FR"/>
        </w:rPr>
      </w:pPr>
    </w:p>
    <w:p w:rsidR="003A78BA" w:rsidRPr="003A78BA" w:rsidRDefault="00CE72C2" w:rsidP="003A78BA">
      <w:pPr>
        <w:pStyle w:val="Titre1"/>
        <w:kinsoku/>
        <w:overflowPunct/>
        <w:autoSpaceDE/>
        <w:autoSpaceDN/>
        <w:adjustRightInd/>
        <w:snapToGrid/>
        <w:ind w:left="0"/>
        <w:rPr>
          <w:rFonts w:eastAsia="Times New Roman"/>
          <w:lang w:val="fr-FR"/>
        </w:rPr>
      </w:pPr>
      <w:r>
        <w:rPr>
          <w:lang w:val="fr-FR"/>
        </w:rPr>
        <w:br w:type="page"/>
      </w:r>
      <w:r w:rsidR="003A78BA" w:rsidRPr="003A78BA">
        <w:rPr>
          <w:rFonts w:eastAsia="Times New Roman"/>
          <w:lang w:val="fr-FR"/>
        </w:rPr>
        <w:lastRenderedPageBreak/>
        <w:t>Figure A4a/1</w:t>
      </w:r>
    </w:p>
    <w:p w:rsidR="00CE72C2" w:rsidRDefault="003A78BA" w:rsidP="003A78BA">
      <w:pPr>
        <w:pStyle w:val="Titre1"/>
        <w:kinsoku/>
        <w:overflowPunct/>
        <w:autoSpaceDE/>
        <w:autoSpaceDN/>
        <w:adjustRightInd/>
        <w:snapToGrid/>
        <w:spacing w:after="120"/>
        <w:ind w:left="0"/>
        <w:rPr>
          <w:rFonts w:eastAsia="Times New Roman"/>
          <w:b/>
          <w:lang w:val="fr-FR"/>
        </w:rPr>
      </w:pPr>
      <w:r w:rsidRPr="003A78BA">
        <w:rPr>
          <w:rFonts w:eastAsia="Times New Roman"/>
          <w:b/>
          <w:lang w:val="fr-FR"/>
        </w:rPr>
        <w:t>Cycle d</w:t>
      </w:r>
      <w:r w:rsidR="00DB4C2D">
        <w:rPr>
          <w:rFonts w:eastAsia="Times New Roman"/>
          <w:b/>
          <w:lang w:val="fr-FR"/>
        </w:rPr>
        <w:t>’</w:t>
      </w:r>
      <w:r w:rsidRPr="003A78BA">
        <w:rPr>
          <w:rFonts w:eastAsia="Times New Roman"/>
          <w:b/>
          <w:lang w:val="fr-FR"/>
        </w:rPr>
        <w:t>essai pour l</w:t>
      </w:r>
      <w:r w:rsidR="00DB4C2D">
        <w:rPr>
          <w:rFonts w:eastAsia="Times New Roman"/>
          <w:b/>
          <w:lang w:val="fr-FR"/>
        </w:rPr>
        <w:t>’</w:t>
      </w:r>
      <w:r w:rsidRPr="003A78BA">
        <w:rPr>
          <w:rFonts w:eastAsia="Times New Roman"/>
          <w:b/>
          <w:lang w:val="fr-FR"/>
        </w:rPr>
        <w:t>essai du type I</w:t>
      </w:r>
    </w:p>
    <w:bookmarkStart w:id="104" w:name="_MON_1448263879"/>
    <w:bookmarkStart w:id="105" w:name="_MON_1448264497"/>
    <w:bookmarkStart w:id="106" w:name="_MON_1448266212"/>
    <w:bookmarkStart w:id="107" w:name="_MON_1448266245"/>
    <w:bookmarkStart w:id="108" w:name="_MON_1448957826"/>
    <w:bookmarkStart w:id="109" w:name="_MON_1448968337"/>
    <w:bookmarkEnd w:id="104"/>
    <w:bookmarkEnd w:id="105"/>
    <w:bookmarkEnd w:id="106"/>
    <w:bookmarkEnd w:id="107"/>
    <w:bookmarkEnd w:id="108"/>
    <w:bookmarkEnd w:id="109"/>
    <w:p w:rsidR="003A78BA" w:rsidRDefault="003A78BA" w:rsidP="00D335D4">
      <w:pPr>
        <w:rPr>
          <w:lang w:val="fr-FR"/>
        </w:rPr>
      </w:pPr>
      <w:r w:rsidRPr="00A779B8">
        <w:rPr>
          <w:lang w:val="fr-FR"/>
        </w:rPr>
        <w:object w:dxaOrig="8803" w:dyaOrig="10386">
          <v:shape id="_x0000_i1077" type="#_x0000_t75" style="width:479.55pt;height:525.05pt" o:ole="">
            <v:imagedata r:id="rId132" o:title="" cropleft="-2532f" cropright="-2532f"/>
            <w10:bordertop type="single" width="4"/>
            <w10:borderleft type="single" width="4"/>
            <w10:borderbottom type="single" width="4"/>
            <w10:borderright type="single" width="4"/>
          </v:shape>
          <o:OLEObject Type="Embed" ProgID="Word.Picture.8" ShapeID="_x0000_i1077" DrawAspect="Content" ObjectID="_1490178433" r:id="rId133"/>
        </w:object>
      </w:r>
    </w:p>
    <w:p w:rsidR="00D335D4" w:rsidRPr="00D335D4" w:rsidRDefault="003A78BA" w:rsidP="00D335D4">
      <w:pPr>
        <w:pStyle w:val="Titre1"/>
        <w:kinsoku/>
        <w:overflowPunct/>
        <w:autoSpaceDE/>
        <w:autoSpaceDN/>
        <w:adjustRightInd/>
        <w:snapToGrid/>
        <w:ind w:left="0"/>
        <w:rPr>
          <w:rFonts w:eastAsia="Times New Roman"/>
          <w:lang w:val="fr-FR"/>
        </w:rPr>
      </w:pPr>
      <w:r>
        <w:rPr>
          <w:lang w:val="fr-FR"/>
        </w:rPr>
        <w:br w:type="page"/>
      </w:r>
      <w:bookmarkStart w:id="110" w:name="_Ref72810603"/>
      <w:r w:rsidR="00D335D4" w:rsidRPr="00D335D4">
        <w:rPr>
          <w:rFonts w:eastAsia="Times New Roman"/>
          <w:lang w:val="fr-FR"/>
        </w:rPr>
        <w:lastRenderedPageBreak/>
        <w:t xml:space="preserve">Figure </w:t>
      </w:r>
      <w:bookmarkEnd w:id="110"/>
      <w:r w:rsidR="00D335D4" w:rsidRPr="00D335D4">
        <w:rPr>
          <w:rFonts w:eastAsia="Times New Roman"/>
          <w:lang w:val="fr-FR"/>
        </w:rPr>
        <w:t>A4a/2</w:t>
      </w:r>
    </w:p>
    <w:p w:rsidR="003A78BA" w:rsidRDefault="00D335D4" w:rsidP="00D335D4">
      <w:pPr>
        <w:pStyle w:val="Titre1"/>
        <w:kinsoku/>
        <w:overflowPunct/>
        <w:autoSpaceDE/>
        <w:autoSpaceDN/>
        <w:adjustRightInd/>
        <w:snapToGrid/>
        <w:spacing w:after="120"/>
        <w:ind w:left="0"/>
        <w:rPr>
          <w:rFonts w:eastAsia="Times New Roman"/>
          <w:b/>
          <w:lang w:val="fr-FR"/>
        </w:rPr>
      </w:pPr>
      <w:r w:rsidRPr="00D335D4">
        <w:rPr>
          <w:rFonts w:eastAsia="Times New Roman"/>
          <w:b/>
          <w:lang w:val="fr-FR"/>
        </w:rPr>
        <w:t>Cycle élémentaire urbain pour l</w:t>
      </w:r>
      <w:r w:rsidR="00DB4C2D">
        <w:rPr>
          <w:rFonts w:eastAsia="Times New Roman"/>
          <w:b/>
          <w:lang w:val="fr-FR"/>
        </w:rPr>
        <w:t>’</w:t>
      </w:r>
      <w:r w:rsidRPr="00D335D4">
        <w:rPr>
          <w:rFonts w:eastAsia="Times New Roman"/>
          <w:b/>
          <w:lang w:val="fr-FR"/>
        </w:rPr>
        <w:t>essai de type I</w:t>
      </w:r>
    </w:p>
    <w:bookmarkStart w:id="111" w:name="_MON_1432539715"/>
    <w:bookmarkStart w:id="112" w:name="_MON_1433149120"/>
    <w:bookmarkStart w:id="113" w:name="_MON_1433149298"/>
    <w:bookmarkStart w:id="114" w:name="_MON_1433224743"/>
    <w:bookmarkStart w:id="115" w:name="_MON_1433225235"/>
    <w:bookmarkStart w:id="116" w:name="_MON_1433225597"/>
    <w:bookmarkStart w:id="117" w:name="_MON_1433225944"/>
    <w:bookmarkStart w:id="118" w:name="_MON_1433312255"/>
    <w:bookmarkStart w:id="119" w:name="_MON_1448957905"/>
    <w:bookmarkStart w:id="120" w:name="_MON_1448957974"/>
    <w:bookmarkStart w:id="121" w:name="_MON_1448958039"/>
    <w:bookmarkStart w:id="122" w:name="_MON_1448958070"/>
    <w:bookmarkStart w:id="123" w:name="_MON_1448958109"/>
    <w:bookmarkStart w:id="124" w:name="_MON_1448968338"/>
    <w:bookmarkStart w:id="125" w:name="_MON_1462081632"/>
    <w:bookmarkStart w:id="126" w:name="_MON_1462082077"/>
    <w:bookmarkStart w:id="127" w:name="_MON_1462082099"/>
    <w:bookmarkStart w:id="128" w:name="_MON_1462082157"/>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rsidR="00D335D4" w:rsidRDefault="00D335D4" w:rsidP="00D335D4">
      <w:pPr>
        <w:rPr>
          <w:lang w:val="fr-FR"/>
        </w:rPr>
      </w:pPr>
      <w:r w:rsidRPr="00A779B8">
        <w:rPr>
          <w:lang w:val="fr-FR"/>
        </w:rPr>
        <w:object w:dxaOrig="8595" w:dyaOrig="11145">
          <v:shape id="_x0000_i1078" type="#_x0000_t75" style="width:480.25pt;height:550.85pt" o:ole="">
            <v:imagedata r:id="rId134" o:title="" cropleft="-4323f" cropright="-4323f"/>
            <w10:bordertop type="single" width="4"/>
            <w10:borderleft type="single" width="4"/>
            <w10:borderbottom type="single" width="4"/>
            <w10:borderright type="single" width="4"/>
          </v:shape>
          <o:OLEObject Type="Embed" ProgID="Word.Picture.8" ShapeID="_x0000_i1078" DrawAspect="Content" ObjectID="_1490178434" r:id="rId135"/>
        </w:object>
      </w:r>
    </w:p>
    <w:p w:rsidR="00D335D4" w:rsidRPr="00D335D4" w:rsidRDefault="00D335D4" w:rsidP="00D335D4">
      <w:pPr>
        <w:pStyle w:val="Titre1"/>
        <w:kinsoku/>
        <w:overflowPunct/>
        <w:autoSpaceDE/>
        <w:autoSpaceDN/>
        <w:adjustRightInd/>
        <w:snapToGrid/>
        <w:ind w:left="0"/>
        <w:rPr>
          <w:rFonts w:eastAsia="Times New Roman"/>
          <w:lang w:val="fr-FR"/>
        </w:rPr>
      </w:pPr>
      <w:r>
        <w:rPr>
          <w:lang w:val="fr-FR"/>
        </w:rPr>
        <w:br w:type="page"/>
      </w:r>
      <w:r w:rsidRPr="00D335D4">
        <w:rPr>
          <w:rFonts w:eastAsia="Times New Roman"/>
          <w:lang w:val="fr-FR"/>
        </w:rPr>
        <w:lastRenderedPageBreak/>
        <w:t>Figure A4a/3</w:t>
      </w:r>
    </w:p>
    <w:p w:rsidR="00D335D4" w:rsidRDefault="00D335D4" w:rsidP="00D335D4">
      <w:pPr>
        <w:pStyle w:val="Titre1"/>
        <w:kinsoku/>
        <w:overflowPunct/>
        <w:autoSpaceDE/>
        <w:autoSpaceDN/>
        <w:adjustRightInd/>
        <w:snapToGrid/>
        <w:spacing w:after="120"/>
        <w:ind w:left="0"/>
        <w:rPr>
          <w:rFonts w:eastAsia="Times New Roman"/>
          <w:b/>
          <w:lang w:val="fr-FR"/>
        </w:rPr>
      </w:pPr>
      <w:r w:rsidRPr="00D335D4">
        <w:rPr>
          <w:rFonts w:eastAsia="Times New Roman"/>
          <w:b/>
          <w:lang w:val="fr-FR"/>
        </w:rPr>
        <w:t>Cycle extra-urbain (seconde partie) pour l</w:t>
      </w:r>
      <w:r w:rsidR="00DB4C2D">
        <w:rPr>
          <w:rFonts w:eastAsia="Times New Roman"/>
          <w:b/>
          <w:lang w:val="fr-FR"/>
        </w:rPr>
        <w:t>’</w:t>
      </w:r>
      <w:r w:rsidRPr="00D335D4">
        <w:rPr>
          <w:rFonts w:eastAsia="Times New Roman"/>
          <w:b/>
          <w:lang w:val="fr-FR"/>
        </w:rPr>
        <w:t>essai du type I</w:t>
      </w:r>
    </w:p>
    <w:bookmarkStart w:id="129" w:name="_MON_1448265661"/>
    <w:bookmarkStart w:id="130" w:name="_MON_1448265701"/>
    <w:bookmarkStart w:id="131" w:name="_MON_1448265996"/>
    <w:bookmarkEnd w:id="129"/>
    <w:bookmarkEnd w:id="130"/>
    <w:bookmarkEnd w:id="131"/>
    <w:p w:rsidR="00D335D4" w:rsidRDefault="00D335D4" w:rsidP="00D335D4">
      <w:pPr>
        <w:rPr>
          <w:lang w:val="fr-FR"/>
        </w:rPr>
      </w:pPr>
      <w:r w:rsidRPr="00A779B8">
        <w:rPr>
          <w:lang w:val="fr-FR"/>
        </w:rPr>
        <w:object w:dxaOrig="8803" w:dyaOrig="10243">
          <v:shape id="_x0000_i1079" type="#_x0000_t75" style="width:479.55pt;height:518.25pt" o:ole="" o:bordertopcolor="this" o:borderleftcolor="this" o:borderbottomcolor="this" o:borderrightcolor="this">
            <v:imagedata r:id="rId136" o:title="" cropleft="-2532f" cropright="-2532f"/>
            <w10:bordertop type="single" width="4"/>
            <w10:borderleft type="single" width="4"/>
            <w10:borderbottom type="single" width="4"/>
            <w10:borderright type="single" width="4"/>
          </v:shape>
          <o:OLEObject Type="Embed" ProgID="Word.Picture.8" ShapeID="_x0000_i1079" DrawAspect="Content" ObjectID="_1490178435" r:id="rId137"/>
        </w:object>
      </w:r>
    </w:p>
    <w:p w:rsidR="004B1047" w:rsidRDefault="004B1047" w:rsidP="00D335D4">
      <w:pPr>
        <w:rPr>
          <w:lang w:val="fr-FR"/>
        </w:rPr>
      </w:pPr>
    </w:p>
    <w:p w:rsidR="00D335D4" w:rsidRDefault="00D335D4" w:rsidP="00D335D4">
      <w:pPr>
        <w:rPr>
          <w:lang w:val="fr-FR"/>
        </w:rPr>
        <w:sectPr w:rsidR="00D335D4" w:rsidSect="00C108AC">
          <w:headerReference w:type="even" r:id="rId138"/>
          <w:headerReference w:type="default" r:id="rId139"/>
          <w:footerReference w:type="even" r:id="rId140"/>
          <w:footerReference w:type="default" r:id="rId141"/>
          <w:footnotePr>
            <w:numRestart w:val="eachSect"/>
          </w:footnotePr>
          <w:endnotePr>
            <w:numFmt w:val="decimal"/>
          </w:endnotePr>
          <w:pgSz w:w="11907" w:h="16840" w:code="9"/>
          <w:pgMar w:top="1701" w:right="1134" w:bottom="2268" w:left="1134" w:header="794" w:footer="1701" w:gutter="0"/>
          <w:cols w:space="720"/>
          <w:docGrid w:linePitch="272"/>
        </w:sectPr>
      </w:pPr>
    </w:p>
    <w:p w:rsidR="00D335D4" w:rsidRPr="00A779B8" w:rsidRDefault="00D335D4" w:rsidP="00D335D4">
      <w:pPr>
        <w:pStyle w:val="HChG"/>
        <w:rPr>
          <w:lang w:val="fr-FR"/>
        </w:rPr>
      </w:pPr>
      <w:r w:rsidRPr="00A779B8">
        <w:rPr>
          <w:lang w:val="fr-FR"/>
        </w:rPr>
        <w:lastRenderedPageBreak/>
        <w:t>Annexe 4a − Appendice 1</w:t>
      </w:r>
    </w:p>
    <w:p w:rsidR="00D335D4" w:rsidRPr="00A779B8" w:rsidRDefault="00D335D4" w:rsidP="00D335D4">
      <w:pPr>
        <w:pStyle w:val="HChG"/>
        <w:rPr>
          <w:bCs/>
          <w:lang w:val="fr-FR"/>
        </w:rPr>
      </w:pPr>
      <w:r w:rsidRPr="00A779B8">
        <w:rPr>
          <w:lang w:val="fr-FR"/>
        </w:rPr>
        <w:tab/>
      </w:r>
      <w:r w:rsidRPr="00A779B8">
        <w:rPr>
          <w:lang w:val="fr-FR"/>
        </w:rPr>
        <w:tab/>
        <w:t>Banc à rouleaux</w:t>
      </w:r>
    </w:p>
    <w:p w:rsidR="00D335D4" w:rsidRPr="00A779B8" w:rsidRDefault="00D335D4" w:rsidP="00D335D4">
      <w:pPr>
        <w:pStyle w:val="SingleTxtG"/>
        <w:keepNext/>
        <w:ind w:left="2268" w:hanging="1134"/>
        <w:jc w:val="left"/>
        <w:rPr>
          <w:lang w:val="fr-FR"/>
        </w:rPr>
      </w:pPr>
      <w:r w:rsidRPr="00A779B8">
        <w:rPr>
          <w:lang w:val="fr-FR"/>
        </w:rPr>
        <w:t>1.</w:t>
      </w:r>
      <w:r w:rsidRPr="00A779B8">
        <w:rPr>
          <w:lang w:val="fr-FR"/>
        </w:rPr>
        <w:tab/>
        <w:t>Description</w:t>
      </w:r>
    </w:p>
    <w:p w:rsidR="00D335D4" w:rsidRPr="00A779B8" w:rsidRDefault="00D335D4" w:rsidP="00D335D4">
      <w:pPr>
        <w:pStyle w:val="SingleTxtG"/>
        <w:keepNext/>
        <w:ind w:left="2268" w:hanging="1134"/>
        <w:jc w:val="left"/>
        <w:rPr>
          <w:lang w:val="fr-FR"/>
        </w:rPr>
      </w:pPr>
      <w:r w:rsidRPr="00A779B8">
        <w:rPr>
          <w:lang w:val="fr-FR"/>
        </w:rPr>
        <w:t>1.1</w:t>
      </w:r>
      <w:r w:rsidRPr="00A779B8">
        <w:rPr>
          <w:lang w:val="fr-FR"/>
        </w:rPr>
        <w:tab/>
        <w:t>Prescriptions générales</w:t>
      </w:r>
    </w:p>
    <w:p w:rsidR="00D335D4" w:rsidRPr="00A779B8" w:rsidRDefault="00D335D4" w:rsidP="00D335D4">
      <w:pPr>
        <w:pStyle w:val="SingleTxtG"/>
        <w:keepNext/>
        <w:ind w:left="2268" w:hanging="1134"/>
        <w:rPr>
          <w:lang w:val="fr-FR"/>
        </w:rPr>
      </w:pPr>
      <w:r w:rsidRPr="00A779B8">
        <w:rPr>
          <w:lang w:val="fr-FR"/>
        </w:rPr>
        <w:t>1.1.1</w:t>
      </w:r>
      <w:r w:rsidRPr="00A779B8">
        <w:rPr>
          <w:lang w:val="fr-FR"/>
        </w:rPr>
        <w:tab/>
        <w:t>Le banc doit permettre de simuler la résistance à l</w:t>
      </w:r>
      <w:r w:rsidR="00DB4C2D">
        <w:rPr>
          <w:lang w:val="fr-FR"/>
        </w:rPr>
        <w:t>’</w:t>
      </w:r>
      <w:r w:rsidRPr="00A779B8">
        <w:rPr>
          <w:lang w:val="fr-FR"/>
        </w:rPr>
        <w:t>avancement sur route et appartenir à l</w:t>
      </w:r>
      <w:r w:rsidR="00DB4C2D">
        <w:rPr>
          <w:lang w:val="fr-FR"/>
        </w:rPr>
        <w:t>’</w:t>
      </w:r>
      <w:r w:rsidRPr="00A779B8">
        <w:rPr>
          <w:lang w:val="fr-FR"/>
        </w:rPr>
        <w:t>un des deux types suivants:</w:t>
      </w:r>
    </w:p>
    <w:p w:rsidR="00D335D4" w:rsidRPr="00A779B8" w:rsidRDefault="00D335D4" w:rsidP="00D335D4">
      <w:pPr>
        <w:pStyle w:val="SingleTxtG"/>
        <w:ind w:left="2835" w:hanging="567"/>
        <w:rPr>
          <w:lang w:val="fr-FR"/>
        </w:rPr>
      </w:pPr>
      <w:r w:rsidRPr="00A779B8">
        <w:rPr>
          <w:lang w:val="fr-FR"/>
        </w:rPr>
        <w:t>a)</w:t>
      </w:r>
      <w:r w:rsidRPr="00A779B8">
        <w:rPr>
          <w:lang w:val="fr-FR"/>
        </w:rPr>
        <w:tab/>
        <w:t>Banc à courbe d</w:t>
      </w:r>
      <w:r w:rsidR="00DB4C2D">
        <w:rPr>
          <w:lang w:val="fr-FR"/>
        </w:rPr>
        <w:t>’</w:t>
      </w:r>
      <w:r w:rsidRPr="00A779B8">
        <w:rPr>
          <w:lang w:val="fr-FR"/>
        </w:rPr>
        <w:t>absorption de puissance définie: ce type de banc est un banc dont les caractéristiques physiques sont telles que la forme de la courbe soit définie;</w:t>
      </w:r>
    </w:p>
    <w:p w:rsidR="00D335D4" w:rsidRPr="00A779B8" w:rsidRDefault="00D335D4" w:rsidP="00D335D4">
      <w:pPr>
        <w:pStyle w:val="SingleTxtG"/>
        <w:ind w:left="2835" w:hanging="567"/>
        <w:rPr>
          <w:lang w:val="fr-FR"/>
        </w:rPr>
      </w:pPr>
      <w:r w:rsidRPr="00A779B8">
        <w:rPr>
          <w:lang w:val="fr-FR"/>
        </w:rPr>
        <w:t>b)</w:t>
      </w:r>
      <w:r w:rsidRPr="00A779B8">
        <w:rPr>
          <w:lang w:val="fr-FR"/>
        </w:rPr>
        <w:tab/>
        <w:t>Banc à courbe d</w:t>
      </w:r>
      <w:r w:rsidR="00DB4C2D">
        <w:rPr>
          <w:lang w:val="fr-FR"/>
        </w:rPr>
        <w:t>’</w:t>
      </w:r>
      <w:r w:rsidRPr="00A779B8">
        <w:rPr>
          <w:lang w:val="fr-FR"/>
        </w:rPr>
        <w:t>absorption de puissance réglable: ce type de banc est un banc où l</w:t>
      </w:r>
      <w:r w:rsidR="00DB4C2D">
        <w:rPr>
          <w:lang w:val="fr-FR"/>
        </w:rPr>
        <w:t>’</w:t>
      </w:r>
      <w:r w:rsidRPr="00A779B8">
        <w:rPr>
          <w:lang w:val="fr-FR"/>
        </w:rPr>
        <w:t>on peut régler deux paramètres au moins pour faire varier la forme de la courbe.</w:t>
      </w:r>
    </w:p>
    <w:p w:rsidR="00D335D4" w:rsidRPr="00A779B8" w:rsidRDefault="00D335D4" w:rsidP="00D335D4">
      <w:pPr>
        <w:pStyle w:val="SingleTxtG"/>
        <w:ind w:left="2268" w:hanging="1134"/>
        <w:rPr>
          <w:lang w:val="fr-FR"/>
        </w:rPr>
      </w:pPr>
      <w:r w:rsidRPr="00A779B8">
        <w:rPr>
          <w:lang w:val="fr-FR"/>
        </w:rPr>
        <w:t>1.1.2</w:t>
      </w:r>
      <w:r w:rsidRPr="00A779B8">
        <w:rPr>
          <w:lang w:val="fr-FR"/>
        </w:rPr>
        <w:tab/>
        <w:t>Pour les bancs à simulation électrique de l</w:t>
      </w:r>
      <w:r w:rsidR="00DB4C2D">
        <w:rPr>
          <w:lang w:val="fr-FR"/>
        </w:rPr>
        <w:t>’</w:t>
      </w:r>
      <w:r w:rsidRPr="00A779B8">
        <w:rPr>
          <w:lang w:val="fr-FR"/>
        </w:rPr>
        <w:t>inertie, il doit être démontré qu</w:t>
      </w:r>
      <w:r w:rsidR="00DB4C2D">
        <w:rPr>
          <w:lang w:val="fr-FR"/>
        </w:rPr>
        <w:t>’</w:t>
      </w:r>
      <w:r w:rsidRPr="00A779B8">
        <w:rPr>
          <w:lang w:val="fr-FR"/>
        </w:rPr>
        <w:t>ils donnent des résultats équivalents aux systèmes à inertie mécanique. Les méthodes par lesquelles cette équivalence est démontrée sont décrites à l</w:t>
      </w:r>
      <w:r w:rsidR="00DB4C2D">
        <w:rPr>
          <w:lang w:val="fr-FR"/>
        </w:rPr>
        <w:t>’</w:t>
      </w:r>
      <w:r w:rsidRPr="00A779B8">
        <w:rPr>
          <w:lang w:val="fr-FR"/>
        </w:rPr>
        <w:t>appendice 6 de la présente annexe.</w:t>
      </w:r>
    </w:p>
    <w:p w:rsidR="00D335D4" w:rsidRPr="00A779B8" w:rsidRDefault="00D335D4" w:rsidP="00D335D4">
      <w:pPr>
        <w:pStyle w:val="SingleTxtG"/>
        <w:ind w:left="2268" w:hanging="1134"/>
        <w:rPr>
          <w:lang w:val="fr-FR"/>
        </w:rPr>
      </w:pPr>
      <w:r w:rsidRPr="00A779B8">
        <w:rPr>
          <w:lang w:val="fr-FR"/>
        </w:rPr>
        <w:t>1.1.3</w:t>
      </w:r>
      <w:r w:rsidRPr="00A779B8">
        <w:rPr>
          <w:lang w:val="fr-FR"/>
        </w:rPr>
        <w:tab/>
        <w:t>Dans le cas où la résistance totale à l</w:t>
      </w:r>
      <w:r w:rsidR="00DB4C2D">
        <w:rPr>
          <w:lang w:val="fr-FR"/>
        </w:rPr>
        <w:t>’</w:t>
      </w:r>
      <w:r w:rsidRPr="00A779B8">
        <w:rPr>
          <w:lang w:val="fr-FR"/>
        </w:rPr>
        <w:t>avancement sur route ne peut pas être reproduite sur le banc entre les valeurs de 10 et 120 km/h, il est recommandé d</w:t>
      </w:r>
      <w:r w:rsidR="00DB4C2D">
        <w:rPr>
          <w:lang w:val="fr-FR"/>
        </w:rPr>
        <w:t>’</w:t>
      </w:r>
      <w:r w:rsidRPr="00A779B8">
        <w:rPr>
          <w:lang w:val="fr-FR"/>
        </w:rPr>
        <w:t>utiliser un banc à rouleaux ayant les caractéristiques définies ci-dessous.</w:t>
      </w:r>
    </w:p>
    <w:p w:rsidR="00D335D4" w:rsidRPr="00A779B8" w:rsidRDefault="00D335D4" w:rsidP="00D335D4">
      <w:pPr>
        <w:pStyle w:val="SingleTxtG"/>
        <w:keepNext/>
        <w:ind w:left="2268" w:hanging="1134"/>
        <w:rPr>
          <w:lang w:val="fr-FR"/>
        </w:rPr>
      </w:pPr>
      <w:r w:rsidRPr="00A779B8">
        <w:rPr>
          <w:lang w:val="fr-FR"/>
        </w:rPr>
        <w:t>1.1.3.1</w:t>
      </w:r>
      <w:r w:rsidRPr="00A779B8">
        <w:rPr>
          <w:lang w:val="fr-FR"/>
        </w:rPr>
        <w:tab/>
        <w:t>La force absorbée par le frein et les frottements internes du banc à rouleaux entre 0 et 120 km/h correspond à:</w:t>
      </w:r>
    </w:p>
    <w:p w:rsidR="00D335D4" w:rsidRPr="00A779B8" w:rsidRDefault="00D335D4" w:rsidP="00D335D4">
      <w:pPr>
        <w:pStyle w:val="SingleTxtG"/>
        <w:ind w:left="2268"/>
        <w:rPr>
          <w:lang w:val="fr-FR"/>
        </w:rPr>
      </w:pPr>
      <w:r w:rsidRPr="00A779B8">
        <w:rPr>
          <w:lang w:val="fr-FR"/>
        </w:rPr>
        <w:t>F = (a + b • V</w:t>
      </w:r>
      <w:r w:rsidRPr="00A779B8">
        <w:rPr>
          <w:vertAlign w:val="superscript"/>
          <w:lang w:val="fr-FR"/>
        </w:rPr>
        <w:t>2</w:t>
      </w:r>
      <w:r w:rsidRPr="00A779B8">
        <w:rPr>
          <w:lang w:val="fr-FR"/>
        </w:rPr>
        <w:t xml:space="preserve">) </w:t>
      </w:r>
      <w:r w:rsidRPr="00A779B8">
        <w:rPr>
          <w:lang w:val="fr-FR"/>
        </w:rPr>
        <w:sym w:font="Symbol" w:char="F0B1"/>
      </w:r>
      <w:r w:rsidRPr="00A779B8">
        <w:rPr>
          <w:lang w:val="fr-FR"/>
        </w:rPr>
        <w:t xml:space="preserve"> 0,1 • F</w:t>
      </w:r>
      <w:r w:rsidRPr="00A779B8">
        <w:rPr>
          <w:vertAlign w:val="subscript"/>
          <w:lang w:val="fr-FR"/>
        </w:rPr>
        <w:t>80</w:t>
      </w:r>
      <w:r w:rsidRPr="00A779B8">
        <w:rPr>
          <w:lang w:val="fr-FR"/>
        </w:rPr>
        <w:t xml:space="preserve"> (sans être négative)</w:t>
      </w:r>
    </w:p>
    <w:p w:rsidR="00D335D4" w:rsidRPr="00A779B8" w:rsidRDefault="00D335D4" w:rsidP="00D335D4">
      <w:pPr>
        <w:pStyle w:val="SingleTxtG"/>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35"/>
        <w:gridCol w:w="297"/>
        <w:gridCol w:w="5405"/>
        <w:tblGridChange w:id="132">
          <w:tblGrid>
            <w:gridCol w:w="535"/>
            <w:gridCol w:w="297"/>
            <w:gridCol w:w="5405"/>
          </w:tblGrid>
        </w:tblGridChange>
      </w:tblGrid>
      <w:tr w:rsidR="00D335D4" w:rsidRPr="007E29C4" w:rsidTr="00A36982">
        <w:tc>
          <w:tcPr>
            <w:tcW w:w="510" w:type="dxa"/>
            <w:shd w:val="clear" w:color="auto" w:fill="auto"/>
          </w:tcPr>
          <w:p w:rsidR="00D335D4" w:rsidRPr="007E29C4" w:rsidRDefault="00D335D4" w:rsidP="00A36982">
            <w:pPr>
              <w:spacing w:after="120"/>
              <w:rPr>
                <w:lang w:val="fr-FR"/>
              </w:rPr>
            </w:pPr>
            <w:r w:rsidRPr="007E29C4">
              <w:rPr>
                <w:lang w:val="fr-FR"/>
              </w:rPr>
              <w:t>F</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60" w:type="dxa"/>
            <w:shd w:val="clear" w:color="auto" w:fill="auto"/>
          </w:tcPr>
          <w:p w:rsidR="00D335D4" w:rsidRPr="007E29C4" w:rsidRDefault="00D335D4" w:rsidP="00A36982">
            <w:pPr>
              <w:spacing w:after="120"/>
              <w:rPr>
                <w:lang w:val="fr-FR"/>
              </w:rPr>
            </w:pPr>
            <w:r w:rsidRPr="007E29C4">
              <w:rPr>
                <w:lang w:val="fr-FR"/>
              </w:rPr>
              <w:t>force totale absorbée par le banc à rouleaux (N),</w:t>
            </w:r>
          </w:p>
        </w:tc>
      </w:tr>
      <w:tr w:rsidR="00D335D4" w:rsidRPr="007E29C4" w:rsidTr="00A36982">
        <w:tc>
          <w:tcPr>
            <w:tcW w:w="510" w:type="dxa"/>
            <w:shd w:val="clear" w:color="auto" w:fill="auto"/>
          </w:tcPr>
          <w:p w:rsidR="00D335D4" w:rsidRPr="007E29C4" w:rsidRDefault="00D335D4" w:rsidP="00A36982">
            <w:pPr>
              <w:spacing w:after="120"/>
              <w:rPr>
                <w:lang w:val="fr-FR"/>
              </w:rPr>
            </w:pPr>
            <w:r w:rsidRPr="007E29C4">
              <w:rPr>
                <w:lang w:val="fr-FR"/>
              </w:rPr>
              <w:t>a</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60" w:type="dxa"/>
            <w:shd w:val="clear" w:color="auto" w:fill="auto"/>
          </w:tcPr>
          <w:p w:rsidR="00D335D4" w:rsidRPr="007E29C4" w:rsidRDefault="00D335D4" w:rsidP="00A36982">
            <w:pPr>
              <w:spacing w:after="120"/>
              <w:rPr>
                <w:lang w:val="fr-FR"/>
              </w:rPr>
            </w:pPr>
            <w:r w:rsidRPr="007E29C4">
              <w:rPr>
                <w:lang w:val="fr-FR"/>
              </w:rPr>
              <w:t>valeur équivalente à la résistance au roulement (N),</w:t>
            </w:r>
          </w:p>
        </w:tc>
      </w:tr>
      <w:tr w:rsidR="00D335D4" w:rsidRPr="007E29C4" w:rsidTr="00A36982">
        <w:tc>
          <w:tcPr>
            <w:tcW w:w="510" w:type="dxa"/>
            <w:shd w:val="clear" w:color="auto" w:fill="auto"/>
          </w:tcPr>
          <w:p w:rsidR="00D335D4" w:rsidRPr="007E29C4" w:rsidRDefault="00D335D4" w:rsidP="00A36982">
            <w:pPr>
              <w:spacing w:after="120"/>
              <w:rPr>
                <w:lang w:val="fr-FR"/>
              </w:rPr>
            </w:pPr>
            <w:r w:rsidRPr="007E29C4">
              <w:rPr>
                <w:lang w:val="fr-FR"/>
              </w:rPr>
              <w:t>b</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60" w:type="dxa"/>
            <w:shd w:val="clear" w:color="auto" w:fill="auto"/>
          </w:tcPr>
          <w:p w:rsidR="00D335D4" w:rsidRPr="007E29C4" w:rsidRDefault="00D335D4" w:rsidP="00A36982">
            <w:pPr>
              <w:spacing w:after="120"/>
              <w:rPr>
                <w:lang w:val="fr-FR"/>
              </w:rPr>
            </w:pPr>
            <w:r w:rsidRPr="007E29C4">
              <w:rPr>
                <w:lang w:val="fr-FR"/>
              </w:rPr>
              <w:t>valeur équivalente au coefficient de résistance de l</w:t>
            </w:r>
            <w:r w:rsidR="00DB4C2D">
              <w:rPr>
                <w:lang w:val="fr-FR"/>
              </w:rPr>
              <w:t>’</w:t>
            </w:r>
            <w:r w:rsidRPr="007E29C4">
              <w:rPr>
                <w:lang w:val="fr-FR"/>
              </w:rPr>
              <w:t>air [N/(km/h)</w:t>
            </w:r>
            <w:r w:rsidRPr="004B1047">
              <w:rPr>
                <w:vertAlign w:val="superscript"/>
                <w:lang w:val="fr-FR"/>
              </w:rPr>
              <w:t>2</w:t>
            </w:r>
            <w:r w:rsidRPr="007E29C4">
              <w:rPr>
                <w:lang w:val="fr-FR"/>
              </w:rPr>
              <w:t>],</w:t>
            </w:r>
          </w:p>
        </w:tc>
      </w:tr>
      <w:tr w:rsidR="00D335D4" w:rsidRPr="007E29C4" w:rsidTr="00A36982">
        <w:tc>
          <w:tcPr>
            <w:tcW w:w="510" w:type="dxa"/>
            <w:shd w:val="clear" w:color="auto" w:fill="auto"/>
          </w:tcPr>
          <w:p w:rsidR="00D335D4" w:rsidRPr="007E29C4" w:rsidRDefault="00D335D4" w:rsidP="00A36982">
            <w:pPr>
              <w:spacing w:after="120"/>
              <w:rPr>
                <w:lang w:val="fr-FR"/>
              </w:rPr>
            </w:pPr>
            <w:r w:rsidRPr="007E29C4">
              <w:rPr>
                <w:lang w:val="fr-FR"/>
              </w:rPr>
              <w:t>V</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60" w:type="dxa"/>
            <w:shd w:val="clear" w:color="auto" w:fill="auto"/>
          </w:tcPr>
          <w:p w:rsidR="00D335D4" w:rsidRPr="007E29C4" w:rsidRDefault="00D335D4" w:rsidP="00A36982">
            <w:pPr>
              <w:spacing w:after="120"/>
              <w:rPr>
                <w:lang w:val="fr-FR"/>
              </w:rPr>
            </w:pPr>
            <w:r w:rsidRPr="007E29C4">
              <w:rPr>
                <w:lang w:val="fr-FR"/>
              </w:rPr>
              <w:t>vitesse (km/h),</w:t>
            </w:r>
          </w:p>
        </w:tc>
      </w:tr>
      <w:tr w:rsidR="00D335D4" w:rsidRPr="007E29C4" w:rsidTr="00A36982">
        <w:tc>
          <w:tcPr>
            <w:tcW w:w="510" w:type="dxa"/>
            <w:shd w:val="clear" w:color="auto" w:fill="auto"/>
          </w:tcPr>
          <w:p w:rsidR="00D335D4" w:rsidRPr="007E29C4" w:rsidRDefault="00D335D4" w:rsidP="00A36982">
            <w:pPr>
              <w:spacing w:after="120"/>
              <w:rPr>
                <w:lang w:val="fr-FR"/>
              </w:rPr>
            </w:pPr>
            <w:r w:rsidRPr="007E29C4">
              <w:rPr>
                <w:lang w:val="fr-FR"/>
              </w:rPr>
              <w:t>F</w:t>
            </w:r>
            <w:r w:rsidRPr="007E29C4">
              <w:rPr>
                <w:vertAlign w:val="subscript"/>
                <w:lang w:val="fr-FR"/>
              </w:rPr>
              <w:t>80</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60" w:type="dxa"/>
            <w:shd w:val="clear" w:color="auto" w:fill="auto"/>
          </w:tcPr>
          <w:p w:rsidR="00D335D4" w:rsidRPr="007E29C4" w:rsidRDefault="00D335D4" w:rsidP="00A36982">
            <w:pPr>
              <w:spacing w:after="120"/>
              <w:rPr>
                <w:lang w:val="fr-FR"/>
              </w:rPr>
            </w:pPr>
            <w:r w:rsidRPr="007E29C4">
              <w:rPr>
                <w:lang w:val="fr-FR"/>
              </w:rPr>
              <w:t>force à 80 km/h (N).</w:t>
            </w:r>
          </w:p>
        </w:tc>
      </w:tr>
    </w:tbl>
    <w:p w:rsidR="00D335D4" w:rsidRPr="00A779B8" w:rsidRDefault="00D335D4" w:rsidP="00D335D4">
      <w:pPr>
        <w:pStyle w:val="SingleTxtG"/>
        <w:keepNext/>
        <w:spacing w:before="120"/>
        <w:ind w:left="2268" w:hanging="1134"/>
        <w:jc w:val="left"/>
        <w:rPr>
          <w:lang w:val="fr-FR"/>
        </w:rPr>
      </w:pPr>
      <w:r w:rsidRPr="00A779B8">
        <w:rPr>
          <w:lang w:val="fr-FR"/>
        </w:rPr>
        <w:t>1.2</w:t>
      </w:r>
      <w:r w:rsidRPr="00A779B8">
        <w:rPr>
          <w:lang w:val="fr-FR"/>
        </w:rPr>
        <w:tab/>
        <w:t>Prescriptions particulières</w:t>
      </w:r>
    </w:p>
    <w:p w:rsidR="00D335D4" w:rsidRPr="00A779B8" w:rsidRDefault="00D335D4" w:rsidP="00D335D4">
      <w:pPr>
        <w:pStyle w:val="SingleTxtG"/>
        <w:spacing w:before="120"/>
        <w:ind w:left="2268" w:hanging="1134"/>
        <w:rPr>
          <w:lang w:val="fr-FR"/>
        </w:rPr>
      </w:pPr>
      <w:r w:rsidRPr="00A779B8">
        <w:rPr>
          <w:lang w:val="fr-FR"/>
        </w:rPr>
        <w:t>1.2.1</w:t>
      </w:r>
      <w:r w:rsidRPr="00A779B8">
        <w:rPr>
          <w:lang w:val="fr-FR"/>
        </w:rPr>
        <w:tab/>
        <w:t>Le réglage du banc doit demeurer stable dans le temps. Il ne doit pas engendrer de vibrations perceptibles sur le véhicule et susceptibles de nuire à son fonctionnement normal.</w:t>
      </w:r>
    </w:p>
    <w:p w:rsidR="00D335D4" w:rsidRPr="00A779B8" w:rsidRDefault="00D335D4" w:rsidP="00D335D4">
      <w:pPr>
        <w:pStyle w:val="SingleTxtG"/>
        <w:ind w:left="2268" w:hanging="1134"/>
        <w:rPr>
          <w:lang w:val="fr-FR"/>
        </w:rPr>
      </w:pPr>
      <w:r w:rsidRPr="00A779B8">
        <w:rPr>
          <w:lang w:val="fr-FR"/>
        </w:rPr>
        <w:t>1.2.2</w:t>
      </w:r>
      <w:r w:rsidRPr="00A779B8">
        <w:rPr>
          <w:lang w:val="fr-FR"/>
        </w:rPr>
        <w:tab/>
        <w:t>Le banc peut comporter un ou deux rouleaux. Le rouleau avant doit entraîner, directement ou indirectement, les masses d</w:t>
      </w:r>
      <w:r w:rsidR="00DB4C2D">
        <w:rPr>
          <w:lang w:val="fr-FR"/>
        </w:rPr>
        <w:t>’</w:t>
      </w:r>
      <w:r w:rsidRPr="00A779B8">
        <w:rPr>
          <w:lang w:val="fr-FR"/>
        </w:rPr>
        <w:t>inertie et le frein.</w:t>
      </w:r>
    </w:p>
    <w:p w:rsidR="00D335D4" w:rsidRPr="00A779B8" w:rsidRDefault="00D335D4" w:rsidP="00D335D4">
      <w:pPr>
        <w:pStyle w:val="SingleTxtG"/>
        <w:ind w:left="2268" w:hanging="1134"/>
        <w:rPr>
          <w:lang w:val="fr-FR"/>
        </w:rPr>
      </w:pPr>
      <w:r w:rsidRPr="00A779B8">
        <w:rPr>
          <w:lang w:val="fr-FR"/>
        </w:rPr>
        <w:t>1.2.3</w:t>
      </w:r>
      <w:r w:rsidRPr="00A779B8">
        <w:rPr>
          <w:lang w:val="fr-FR"/>
        </w:rPr>
        <w:tab/>
        <w:t>Il doit être possible de mesurer et de lire l</w:t>
      </w:r>
      <w:r w:rsidR="00DB4C2D">
        <w:rPr>
          <w:lang w:val="fr-FR"/>
        </w:rPr>
        <w:t>’</w:t>
      </w:r>
      <w:r w:rsidRPr="00A779B8">
        <w:rPr>
          <w:lang w:val="fr-FR"/>
        </w:rPr>
        <w:t xml:space="preserve">effort de freinage indiqué avec une précision de </w:t>
      </w:r>
      <w:r w:rsidRPr="00A779B8">
        <w:rPr>
          <w:lang w:val="fr-FR"/>
        </w:rPr>
        <w:sym w:font="Symbol" w:char="F0B1"/>
      </w:r>
      <w:r w:rsidRPr="00A779B8">
        <w:rPr>
          <w:lang w:val="fr-FR"/>
        </w:rPr>
        <w:t>5 %.</w:t>
      </w:r>
    </w:p>
    <w:p w:rsidR="00D335D4" w:rsidRPr="00A779B8" w:rsidRDefault="00D335D4" w:rsidP="00D335D4">
      <w:pPr>
        <w:pStyle w:val="SingleTxtG"/>
        <w:keepNext/>
        <w:keepLines/>
        <w:ind w:left="2268" w:hanging="1134"/>
        <w:rPr>
          <w:lang w:val="fr-FR"/>
        </w:rPr>
      </w:pPr>
      <w:r w:rsidRPr="00A779B8">
        <w:rPr>
          <w:lang w:val="fr-FR"/>
        </w:rPr>
        <w:lastRenderedPageBreak/>
        <w:t>1.2.4</w:t>
      </w:r>
      <w:r w:rsidRPr="00A779B8">
        <w:rPr>
          <w:lang w:val="fr-FR"/>
        </w:rPr>
        <w:tab/>
        <w:t>Dans le cas d</w:t>
      </w:r>
      <w:r w:rsidR="00DB4C2D">
        <w:rPr>
          <w:lang w:val="fr-FR"/>
        </w:rPr>
        <w:t>’</w:t>
      </w:r>
      <w:r w:rsidRPr="00A779B8">
        <w:rPr>
          <w:lang w:val="fr-FR"/>
        </w:rPr>
        <w:t>un banc à courbe d</w:t>
      </w:r>
      <w:r w:rsidR="00DB4C2D">
        <w:rPr>
          <w:lang w:val="fr-FR"/>
        </w:rPr>
        <w:t>’</w:t>
      </w:r>
      <w:r w:rsidRPr="00A779B8">
        <w:rPr>
          <w:lang w:val="fr-FR"/>
        </w:rPr>
        <w:t xml:space="preserve">absorption de puissance définie, la précision du réglage à 80 km/h doit être de </w:t>
      </w:r>
      <w:r w:rsidRPr="00A779B8">
        <w:rPr>
          <w:lang w:val="fr-FR"/>
        </w:rPr>
        <w:sym w:font="Symbol" w:char="F0B1"/>
      </w:r>
      <w:r w:rsidRPr="00A779B8">
        <w:rPr>
          <w:lang w:val="fr-FR"/>
        </w:rPr>
        <w:t>5 %. Dans le cas d</w:t>
      </w:r>
      <w:r w:rsidR="00DB4C2D">
        <w:rPr>
          <w:lang w:val="fr-FR"/>
        </w:rPr>
        <w:t>’</w:t>
      </w:r>
      <w:r w:rsidRPr="00A779B8">
        <w:rPr>
          <w:lang w:val="fr-FR"/>
        </w:rPr>
        <w:t>un banc à courbe d</w:t>
      </w:r>
      <w:r w:rsidR="00DB4C2D">
        <w:rPr>
          <w:lang w:val="fr-FR"/>
        </w:rPr>
        <w:t>’</w:t>
      </w:r>
      <w:r w:rsidRPr="00A779B8">
        <w:rPr>
          <w:lang w:val="fr-FR"/>
        </w:rPr>
        <w:t xml:space="preserve">absorption de puissance réglable, le réglage du banc doit pouvoir être adapté à la puissance absorbée sur route avec une précision de </w:t>
      </w:r>
      <w:r w:rsidRPr="00A779B8">
        <w:rPr>
          <w:lang w:val="fr-FR"/>
        </w:rPr>
        <w:sym w:font="Symbol" w:char="F0B1"/>
      </w:r>
      <w:r w:rsidRPr="00A779B8">
        <w:rPr>
          <w:lang w:val="fr-FR"/>
        </w:rPr>
        <w:t xml:space="preserve">5 % à 120, 100, 80, 60, 40 km/h, et de </w:t>
      </w:r>
      <w:r w:rsidRPr="00A779B8">
        <w:rPr>
          <w:lang w:val="fr-FR"/>
        </w:rPr>
        <w:sym w:font="Symbol" w:char="F0B1"/>
      </w:r>
      <w:r w:rsidRPr="00A779B8">
        <w:rPr>
          <w:lang w:val="fr-FR"/>
        </w:rPr>
        <w:t>10 % à 20 km/h. Au-dessous de ces vitesses, ce réglage doit garder une valeur positive.</w:t>
      </w:r>
    </w:p>
    <w:p w:rsidR="00D335D4" w:rsidRPr="00A779B8" w:rsidRDefault="00D335D4" w:rsidP="00D335D4">
      <w:pPr>
        <w:pStyle w:val="SingleTxtG"/>
        <w:ind w:left="2268" w:hanging="1134"/>
        <w:rPr>
          <w:lang w:val="fr-FR"/>
        </w:rPr>
      </w:pPr>
      <w:r w:rsidRPr="00A779B8">
        <w:rPr>
          <w:lang w:val="fr-FR"/>
        </w:rPr>
        <w:t>1.2.5</w:t>
      </w:r>
      <w:r w:rsidRPr="00A779B8">
        <w:rPr>
          <w:lang w:val="fr-FR"/>
        </w:rPr>
        <w:tab/>
        <w:t>L</w:t>
      </w:r>
      <w:r w:rsidR="00DB4C2D">
        <w:rPr>
          <w:lang w:val="fr-FR"/>
        </w:rPr>
        <w:t>’</w:t>
      </w:r>
      <w:r w:rsidRPr="00A779B8">
        <w:rPr>
          <w:lang w:val="fr-FR"/>
        </w:rPr>
        <w:t>inertie totale des parties tournantes (y compris l</w:t>
      </w:r>
      <w:r w:rsidR="00DB4C2D">
        <w:rPr>
          <w:lang w:val="fr-FR"/>
        </w:rPr>
        <w:t>’</w:t>
      </w:r>
      <w:r w:rsidRPr="00A779B8">
        <w:rPr>
          <w:lang w:val="fr-FR"/>
        </w:rPr>
        <w:t>inertie simulée lorsqu</w:t>
      </w:r>
      <w:r w:rsidR="00DB4C2D">
        <w:rPr>
          <w:lang w:val="fr-FR"/>
        </w:rPr>
        <w:t>’</w:t>
      </w:r>
      <w:r w:rsidRPr="00A779B8">
        <w:rPr>
          <w:lang w:val="fr-FR"/>
        </w:rPr>
        <w:t>il y a lieu) doit être connue et correspondre à 20 kg près à la classe d</w:t>
      </w:r>
      <w:r w:rsidR="00DB4C2D">
        <w:rPr>
          <w:lang w:val="fr-FR"/>
        </w:rPr>
        <w:t>’</w:t>
      </w:r>
      <w:r w:rsidRPr="00A779B8">
        <w:rPr>
          <w:lang w:val="fr-FR"/>
        </w:rPr>
        <w:t>inertie pour l</w:t>
      </w:r>
      <w:r w:rsidR="00DB4C2D">
        <w:rPr>
          <w:lang w:val="fr-FR"/>
        </w:rPr>
        <w:t>’</w:t>
      </w:r>
      <w:r w:rsidRPr="00A779B8">
        <w:rPr>
          <w:lang w:val="fr-FR"/>
        </w:rPr>
        <w:t>essai.</w:t>
      </w:r>
    </w:p>
    <w:p w:rsidR="00D335D4" w:rsidRPr="00A779B8" w:rsidRDefault="00D335D4" w:rsidP="00D335D4">
      <w:pPr>
        <w:pStyle w:val="SingleTxtG"/>
        <w:ind w:left="2268" w:hanging="1134"/>
        <w:rPr>
          <w:lang w:val="fr-FR"/>
        </w:rPr>
      </w:pPr>
      <w:r w:rsidRPr="00A779B8">
        <w:rPr>
          <w:lang w:val="fr-FR"/>
        </w:rPr>
        <w:t>1.2.6</w:t>
      </w:r>
      <w:r w:rsidRPr="00A779B8">
        <w:rPr>
          <w:lang w:val="fr-FR"/>
        </w:rPr>
        <w:tab/>
        <w:t>La vitesse du véhicule doit être déterminée d</w:t>
      </w:r>
      <w:r w:rsidR="00DB4C2D">
        <w:rPr>
          <w:lang w:val="fr-FR"/>
        </w:rPr>
        <w:t>’</w:t>
      </w:r>
      <w:r w:rsidRPr="00A779B8">
        <w:rPr>
          <w:lang w:val="fr-FR"/>
        </w:rPr>
        <w:t xml:space="preserve">après la vitesse de rotation du rouleau (rouleau avant dans le cas des bancs à deux rouleaux). Elle doit être mesurée avec une précision de </w:t>
      </w:r>
      <w:r w:rsidRPr="00A779B8">
        <w:rPr>
          <w:lang w:val="fr-FR"/>
        </w:rPr>
        <w:sym w:font="Symbol" w:char="F0B1"/>
      </w:r>
      <w:r w:rsidRPr="00A779B8">
        <w:rPr>
          <w:lang w:val="fr-FR"/>
        </w:rPr>
        <w:t>1 km/h aux vitesses supérieures à 10 km/h.</w:t>
      </w:r>
    </w:p>
    <w:p w:rsidR="00D335D4" w:rsidRPr="00A779B8" w:rsidRDefault="00D335D4" w:rsidP="00D335D4">
      <w:pPr>
        <w:pStyle w:val="SingleTxtG"/>
        <w:ind w:left="2268"/>
        <w:rPr>
          <w:lang w:val="fr-FR"/>
        </w:rPr>
      </w:pPr>
      <w:r w:rsidRPr="00A779B8">
        <w:rPr>
          <w:lang w:val="fr-FR"/>
        </w:rPr>
        <w:t>La distance réelle parcourue par le véhicule doit être mesurée à partir du mouvement de rotation du rouleau (dans le cas d</w:t>
      </w:r>
      <w:r w:rsidR="00DB4C2D">
        <w:rPr>
          <w:lang w:val="fr-FR"/>
        </w:rPr>
        <w:t>’</w:t>
      </w:r>
      <w:r w:rsidRPr="00A779B8">
        <w:rPr>
          <w:lang w:val="fr-FR"/>
        </w:rPr>
        <w:t>un banc à deux rouleaux, prendre le rouleau avant).</w:t>
      </w:r>
    </w:p>
    <w:p w:rsidR="00D335D4" w:rsidRPr="00A779B8" w:rsidRDefault="00D335D4" w:rsidP="00D335D4">
      <w:pPr>
        <w:pStyle w:val="SingleTxtG"/>
        <w:keepNext/>
        <w:ind w:left="2268" w:hanging="1134"/>
        <w:rPr>
          <w:lang w:val="fr-FR"/>
        </w:rPr>
      </w:pPr>
      <w:r w:rsidRPr="00A779B8">
        <w:rPr>
          <w:lang w:val="fr-FR"/>
        </w:rPr>
        <w:t>2.</w:t>
      </w:r>
      <w:r w:rsidRPr="00A779B8">
        <w:rPr>
          <w:lang w:val="fr-FR"/>
        </w:rPr>
        <w:tab/>
        <w:t>Méthode d</w:t>
      </w:r>
      <w:r w:rsidR="00DB4C2D">
        <w:rPr>
          <w:lang w:val="fr-FR"/>
        </w:rPr>
        <w:t>’</w:t>
      </w:r>
      <w:r w:rsidRPr="00A779B8">
        <w:rPr>
          <w:lang w:val="fr-FR"/>
        </w:rPr>
        <w:t>étalonnage du banc à rouleaux</w:t>
      </w:r>
    </w:p>
    <w:p w:rsidR="00D335D4" w:rsidRPr="00A779B8" w:rsidRDefault="00D335D4" w:rsidP="00D335D4">
      <w:pPr>
        <w:pStyle w:val="SingleTxtG"/>
        <w:keepNext/>
        <w:ind w:left="2268" w:hanging="1134"/>
        <w:rPr>
          <w:lang w:val="fr-FR"/>
        </w:rPr>
      </w:pPr>
      <w:r w:rsidRPr="00A779B8">
        <w:rPr>
          <w:lang w:val="fr-FR"/>
        </w:rPr>
        <w:t>2.1</w:t>
      </w:r>
      <w:r w:rsidRPr="00A779B8">
        <w:rPr>
          <w:lang w:val="fr-FR"/>
        </w:rPr>
        <w:tab/>
        <w:t>Introduction</w:t>
      </w:r>
    </w:p>
    <w:p w:rsidR="00D335D4" w:rsidRPr="00A779B8" w:rsidRDefault="00D335D4" w:rsidP="00D335D4">
      <w:pPr>
        <w:pStyle w:val="SingleTxtG"/>
        <w:ind w:left="2268"/>
        <w:rPr>
          <w:lang w:val="fr-FR"/>
        </w:rPr>
      </w:pPr>
      <w:r w:rsidRPr="00A779B8">
        <w:rPr>
          <w:lang w:val="fr-FR"/>
        </w:rPr>
        <w:t>Le présent paragraphe décrit la méthode à utiliser pour déterminer la force absorbée par un banc à rouleaux. La force absorbée comprend la force absorbée par les frottements et la force absorbée par le frein.</w:t>
      </w:r>
    </w:p>
    <w:p w:rsidR="00D335D4" w:rsidRPr="00A779B8" w:rsidRDefault="00D335D4" w:rsidP="00D335D4">
      <w:pPr>
        <w:pStyle w:val="SingleTxtG"/>
        <w:ind w:left="2268"/>
        <w:rPr>
          <w:lang w:val="fr-FR"/>
        </w:rPr>
      </w:pPr>
      <w:r w:rsidRPr="00A779B8">
        <w:rPr>
          <w:lang w:val="fr-FR"/>
        </w:rPr>
        <w:t>Le banc à rouleaux est lancé à une vitesse supérieure à la vitesse maximale d</w:t>
      </w:r>
      <w:r w:rsidR="00DB4C2D">
        <w:rPr>
          <w:lang w:val="fr-FR"/>
        </w:rPr>
        <w:t>’</w:t>
      </w:r>
      <w:r w:rsidRPr="00A779B8">
        <w:rPr>
          <w:lang w:val="fr-FR"/>
        </w:rPr>
        <w:t>essai. Le dispositif de lancement est alors débrayé: la vitesse de rotation du rouleau mené diminue.</w:t>
      </w:r>
    </w:p>
    <w:p w:rsidR="00D335D4" w:rsidRPr="00A779B8" w:rsidRDefault="00D335D4" w:rsidP="00D335D4">
      <w:pPr>
        <w:pStyle w:val="SingleTxtG"/>
        <w:ind w:left="2268"/>
        <w:rPr>
          <w:lang w:val="fr-FR"/>
        </w:rPr>
      </w:pPr>
      <w:r w:rsidRPr="00A779B8">
        <w:rPr>
          <w:lang w:val="fr-FR"/>
        </w:rPr>
        <w:t>L</w:t>
      </w:r>
      <w:r w:rsidR="00DB4C2D">
        <w:rPr>
          <w:lang w:val="fr-FR"/>
        </w:rPr>
        <w:t>’</w:t>
      </w:r>
      <w:r w:rsidRPr="00A779B8">
        <w:rPr>
          <w:lang w:val="fr-FR"/>
        </w:rPr>
        <w:t>énergie cinétique des rouleaux est dissipée par le frein et par les frottements. Cette méthode ne tient pas compte de la variation des frottements internes des rouleaux entre l</w:t>
      </w:r>
      <w:r w:rsidR="00DB4C2D">
        <w:rPr>
          <w:lang w:val="fr-FR"/>
        </w:rPr>
        <w:t>’</w:t>
      </w:r>
      <w:r w:rsidRPr="00A779B8">
        <w:rPr>
          <w:lang w:val="fr-FR"/>
        </w:rPr>
        <w:t>état chargé et l</w:t>
      </w:r>
      <w:r w:rsidR="00DB4C2D">
        <w:rPr>
          <w:lang w:val="fr-FR"/>
        </w:rPr>
        <w:t>’</w:t>
      </w:r>
      <w:r w:rsidRPr="00A779B8">
        <w:rPr>
          <w:lang w:val="fr-FR"/>
        </w:rPr>
        <w:t>état à vide. On ne doit pas tenir compte non plus des frottements du rouleau arrière quand il est libre.</w:t>
      </w:r>
    </w:p>
    <w:p w:rsidR="00D335D4" w:rsidRPr="00A779B8" w:rsidRDefault="00D335D4" w:rsidP="00D335D4">
      <w:pPr>
        <w:pStyle w:val="SingleTxtG"/>
        <w:keepNext/>
        <w:ind w:left="2268" w:hanging="1134"/>
        <w:rPr>
          <w:lang w:val="fr-FR"/>
        </w:rPr>
      </w:pPr>
      <w:r w:rsidRPr="00A779B8">
        <w:rPr>
          <w:lang w:val="fr-FR"/>
        </w:rPr>
        <w:t>2.2</w:t>
      </w:r>
      <w:r w:rsidRPr="00A779B8">
        <w:rPr>
          <w:lang w:val="fr-FR"/>
        </w:rPr>
        <w:tab/>
        <w:t>Étalonnage à 80 km/h de l</w:t>
      </w:r>
      <w:r w:rsidR="00DB4C2D">
        <w:rPr>
          <w:lang w:val="fr-FR"/>
        </w:rPr>
        <w:t>’</w:t>
      </w:r>
      <w:r w:rsidRPr="00A779B8">
        <w:rPr>
          <w:lang w:val="fr-FR"/>
        </w:rPr>
        <w:t>indicateur de force</w:t>
      </w:r>
    </w:p>
    <w:p w:rsidR="00D335D4" w:rsidRPr="00A779B8" w:rsidRDefault="00D335D4" w:rsidP="00D335D4">
      <w:pPr>
        <w:pStyle w:val="SingleTxtG"/>
        <w:ind w:left="2268"/>
        <w:rPr>
          <w:lang w:val="fr-FR"/>
        </w:rPr>
      </w:pPr>
      <w:r w:rsidRPr="00A779B8">
        <w:rPr>
          <w:lang w:val="fr-FR"/>
        </w:rPr>
        <w:t>Il faut appliquer la procédure définie ci-après pour étalonner l</w:t>
      </w:r>
      <w:r w:rsidR="00DB4C2D">
        <w:rPr>
          <w:lang w:val="fr-FR"/>
        </w:rPr>
        <w:t>’</w:t>
      </w:r>
      <w:r w:rsidRPr="00A779B8">
        <w:rPr>
          <w:lang w:val="fr-FR"/>
        </w:rPr>
        <w:t>indicateur de force à 80 km/h en fonction de la force absorbée (voir aussi la figure A4a.App1/4).</w:t>
      </w:r>
    </w:p>
    <w:p w:rsidR="00D335D4" w:rsidRPr="00A779B8" w:rsidRDefault="00D335D4" w:rsidP="00D335D4">
      <w:pPr>
        <w:pStyle w:val="SingleTxtG"/>
        <w:ind w:left="2268" w:hanging="1134"/>
        <w:rPr>
          <w:lang w:val="fr-FR"/>
        </w:rPr>
      </w:pPr>
      <w:r w:rsidRPr="00A779B8">
        <w:rPr>
          <w:lang w:val="fr-FR"/>
        </w:rPr>
        <w:t>2.2.1</w:t>
      </w:r>
      <w:r w:rsidRPr="00A779B8">
        <w:rPr>
          <w:lang w:val="fr-FR"/>
        </w:rPr>
        <w:tab/>
        <w:t>Mesurer la vitesse de rotation du rouleau si ce n</w:t>
      </w:r>
      <w:r w:rsidR="00DB4C2D">
        <w:rPr>
          <w:lang w:val="fr-FR"/>
        </w:rPr>
        <w:t>’</w:t>
      </w:r>
      <w:r w:rsidRPr="00A779B8">
        <w:rPr>
          <w:lang w:val="fr-FR"/>
        </w:rPr>
        <w:t>est pas déjà fait. On peut utiliser à cette fin une cinquième roue, un compte-tours ou un autre dispositif.</w:t>
      </w:r>
    </w:p>
    <w:p w:rsidR="00D335D4" w:rsidRPr="00A779B8" w:rsidRDefault="00D335D4" w:rsidP="00D335D4">
      <w:pPr>
        <w:pStyle w:val="SingleTxtG"/>
        <w:ind w:left="2268" w:hanging="1134"/>
        <w:rPr>
          <w:lang w:val="fr-FR"/>
        </w:rPr>
      </w:pPr>
      <w:r w:rsidRPr="00A779B8">
        <w:rPr>
          <w:lang w:val="fr-FR"/>
        </w:rPr>
        <w:t>2.2.2</w:t>
      </w:r>
      <w:r w:rsidRPr="00A779B8">
        <w:rPr>
          <w:lang w:val="fr-FR"/>
        </w:rPr>
        <w:tab/>
        <w:t>Installer le véhicule sur le banc ou appliquer une autre méthode pour lancer le banc.</w:t>
      </w:r>
    </w:p>
    <w:p w:rsidR="00D335D4" w:rsidRPr="00A779B8" w:rsidRDefault="00D335D4" w:rsidP="00D335D4">
      <w:pPr>
        <w:pStyle w:val="SingleTxtG"/>
        <w:ind w:left="2268" w:hanging="1134"/>
        <w:rPr>
          <w:lang w:val="fr-FR"/>
        </w:rPr>
      </w:pPr>
      <w:r w:rsidRPr="00A779B8">
        <w:rPr>
          <w:lang w:val="fr-FR"/>
        </w:rPr>
        <w:t>2.2.3</w:t>
      </w:r>
      <w:r w:rsidRPr="00A779B8">
        <w:rPr>
          <w:lang w:val="fr-FR"/>
        </w:rPr>
        <w:tab/>
        <w:t>Utiliser le volant d</w:t>
      </w:r>
      <w:r w:rsidR="00DB4C2D">
        <w:rPr>
          <w:lang w:val="fr-FR"/>
        </w:rPr>
        <w:t>’</w:t>
      </w:r>
      <w:r w:rsidRPr="00A779B8">
        <w:rPr>
          <w:lang w:val="fr-FR"/>
        </w:rPr>
        <w:t>inertie ou tout autre système d</w:t>
      </w:r>
      <w:r w:rsidR="00DB4C2D">
        <w:rPr>
          <w:lang w:val="fr-FR"/>
        </w:rPr>
        <w:t>’</w:t>
      </w:r>
      <w:r w:rsidRPr="00A779B8">
        <w:rPr>
          <w:lang w:val="fr-FR"/>
        </w:rPr>
        <w:t>inertie pour la classe d</w:t>
      </w:r>
      <w:r w:rsidR="00DB4C2D">
        <w:rPr>
          <w:lang w:val="fr-FR"/>
        </w:rPr>
        <w:t>’</w:t>
      </w:r>
      <w:r w:rsidRPr="00A779B8">
        <w:rPr>
          <w:lang w:val="fr-FR"/>
        </w:rPr>
        <w:t>inertie à considérer.</w:t>
      </w:r>
    </w:p>
    <w:p w:rsidR="00D335D4" w:rsidRPr="00A779B8" w:rsidRDefault="00D335D4" w:rsidP="00D335D4">
      <w:pPr>
        <w:pStyle w:val="Titre1"/>
        <w:spacing w:after="120"/>
        <w:rPr>
          <w:b/>
          <w:lang w:val="fr-FR"/>
        </w:rPr>
      </w:pPr>
      <w:r w:rsidRPr="00A779B8">
        <w:rPr>
          <w:lang w:val="fr-FR"/>
        </w:rPr>
        <w:lastRenderedPageBreak/>
        <w:t>Figure A4a.App1/4</w:t>
      </w:r>
      <w:r w:rsidRPr="00A779B8">
        <w:rPr>
          <w:lang w:val="fr-FR"/>
        </w:rPr>
        <w:br/>
      </w:r>
      <w:r w:rsidRPr="00A779B8">
        <w:rPr>
          <w:b/>
          <w:lang w:val="fr-FR"/>
        </w:rPr>
        <w:t>Diagramme de la force du banc à rouleaux</w:t>
      </w:r>
    </w:p>
    <w:bookmarkStart w:id="133" w:name="_MON_1448266565"/>
    <w:bookmarkStart w:id="134" w:name="_MON_1448266606"/>
    <w:bookmarkStart w:id="135" w:name="_MON_1448266707"/>
    <w:bookmarkEnd w:id="133"/>
    <w:bookmarkEnd w:id="134"/>
    <w:bookmarkEnd w:id="135"/>
    <w:p w:rsidR="00D335D4" w:rsidRPr="00AE3D74" w:rsidRDefault="00D335D4" w:rsidP="00D335D4">
      <w:pPr>
        <w:pStyle w:val="SingleTxtG"/>
        <w:spacing w:after="0" w:line="240" w:lineRule="auto"/>
        <w:rPr>
          <w:sz w:val="10"/>
          <w:szCs w:val="10"/>
          <w:lang w:val="fr-FR"/>
        </w:rPr>
      </w:pPr>
      <w:r w:rsidRPr="00A779B8">
        <w:rPr>
          <w:lang w:val="fr-FR"/>
        </w:rPr>
        <w:object w:dxaOrig="6534" w:dyaOrig="4573">
          <v:shape id="_x0000_i1080" type="#_x0000_t75" style="width:368.15pt;height:233.65pt" o:ole="" o:bordertopcolor="this" o:borderleftcolor="this" o:borderbottomcolor="this" o:borderrightcolor="this">
            <v:imagedata r:id="rId142" o:title="" croptop="-3250f" cropleft="-5117f" cropright="-5117f"/>
            <w10:bordertop type="single" width="4"/>
            <w10:borderleft type="single" width="4"/>
            <w10:borderbottom type="single" width="4"/>
            <w10:borderright type="single" width="4"/>
          </v:shape>
          <o:OLEObject Type="Embed" ProgID="Word.Picture.8" ShapeID="_x0000_i1080" DrawAspect="Content" ObjectID="_1490178436" r:id="rId143"/>
        </w:object>
      </w:r>
    </w:p>
    <w:p w:rsidR="00D335D4" w:rsidRPr="00A779B8" w:rsidRDefault="00D335D4" w:rsidP="00D335D4">
      <w:pPr>
        <w:pStyle w:val="SingleTxtG"/>
        <w:spacing w:after="0"/>
        <w:jc w:val="left"/>
        <w:rPr>
          <w:sz w:val="18"/>
          <w:szCs w:val="18"/>
          <w:lang w:val="fr-FR"/>
        </w:rPr>
      </w:pPr>
      <w:r w:rsidRPr="00A779B8">
        <w:rPr>
          <w:sz w:val="18"/>
          <w:szCs w:val="18"/>
          <w:lang w:val="fr-FR"/>
        </w:rPr>
        <w:t>Légende:</w:t>
      </w:r>
    </w:p>
    <w:tbl>
      <w:tblPr>
        <w:tblW w:w="7394" w:type="dxa"/>
        <w:tblInd w:w="1134" w:type="dxa"/>
        <w:tblCellMar>
          <w:left w:w="28" w:type="dxa"/>
          <w:right w:w="28" w:type="dxa"/>
        </w:tblCellMar>
        <w:tblLook w:val="01E0" w:firstRow="1" w:lastRow="1" w:firstColumn="1" w:lastColumn="1" w:noHBand="0" w:noVBand="0"/>
      </w:tblPr>
      <w:tblGrid>
        <w:gridCol w:w="2194"/>
        <w:gridCol w:w="2700"/>
        <w:gridCol w:w="2500"/>
      </w:tblGrid>
      <w:tr w:rsidR="00D335D4" w:rsidRPr="007E29C4" w:rsidTr="00A36982">
        <w:tc>
          <w:tcPr>
            <w:tcW w:w="2194" w:type="dxa"/>
            <w:tcBorders>
              <w:top w:val="nil"/>
              <w:left w:val="nil"/>
              <w:bottom w:val="nil"/>
              <w:right w:val="nil"/>
            </w:tcBorders>
            <w:shd w:val="clear" w:color="auto" w:fill="auto"/>
          </w:tcPr>
          <w:p w:rsidR="00D335D4" w:rsidRPr="007E29C4" w:rsidRDefault="00D335D4" w:rsidP="00A36982">
            <w:pPr>
              <w:spacing w:before="60" w:after="60"/>
              <w:rPr>
                <w:sz w:val="23"/>
                <w:szCs w:val="23"/>
                <w:lang w:val="fr-FR"/>
              </w:rPr>
            </w:pPr>
            <w:r w:rsidRPr="007E29C4">
              <w:rPr>
                <w:lang w:val="fr-FR"/>
              </w:rPr>
              <w:t xml:space="preserve">□ </w:t>
            </w:r>
            <w:r w:rsidRPr="007E29C4">
              <w:rPr>
                <w:sz w:val="23"/>
                <w:szCs w:val="23"/>
                <w:lang w:val="fr-FR"/>
              </w:rPr>
              <w:t>= F = a + b · V</w:t>
            </w:r>
            <w:r w:rsidRPr="007E29C4">
              <w:rPr>
                <w:sz w:val="23"/>
                <w:szCs w:val="23"/>
                <w:vertAlign w:val="superscript"/>
                <w:lang w:val="fr-FR"/>
              </w:rPr>
              <w:t>2</w:t>
            </w:r>
          </w:p>
        </w:tc>
        <w:tc>
          <w:tcPr>
            <w:tcW w:w="2700" w:type="dxa"/>
            <w:tcBorders>
              <w:top w:val="nil"/>
              <w:left w:val="nil"/>
              <w:bottom w:val="nil"/>
              <w:right w:val="nil"/>
            </w:tcBorders>
            <w:shd w:val="clear" w:color="auto" w:fill="auto"/>
          </w:tcPr>
          <w:p w:rsidR="00D335D4" w:rsidRPr="007E29C4" w:rsidRDefault="00D335D4" w:rsidP="00A36982">
            <w:pPr>
              <w:spacing w:before="60" w:after="60"/>
              <w:rPr>
                <w:sz w:val="23"/>
                <w:szCs w:val="23"/>
                <w:lang w:val="fr-FR"/>
              </w:rPr>
            </w:pPr>
            <w:r w:rsidRPr="007E29C4">
              <w:rPr>
                <w:sz w:val="18"/>
                <w:szCs w:val="18"/>
                <w:lang w:val="fr-FR"/>
              </w:rPr>
              <w:sym w:font="Symbol" w:char="F0B7"/>
            </w:r>
            <w:r w:rsidRPr="007E29C4">
              <w:rPr>
                <w:sz w:val="23"/>
                <w:szCs w:val="23"/>
                <w:lang w:val="fr-FR"/>
              </w:rPr>
              <w:t xml:space="preserve"> = (a + b · V</w:t>
            </w:r>
            <w:r w:rsidRPr="007E29C4">
              <w:rPr>
                <w:sz w:val="23"/>
                <w:szCs w:val="23"/>
                <w:vertAlign w:val="superscript"/>
                <w:lang w:val="fr-FR"/>
              </w:rPr>
              <w:t>2</w:t>
            </w:r>
            <w:r w:rsidRPr="007E29C4">
              <w:rPr>
                <w:sz w:val="23"/>
                <w:szCs w:val="23"/>
                <w:lang w:val="fr-FR"/>
              </w:rPr>
              <w:t>) ­ 0,1 · F</w:t>
            </w:r>
            <w:r w:rsidRPr="007E29C4">
              <w:rPr>
                <w:sz w:val="23"/>
                <w:szCs w:val="23"/>
                <w:vertAlign w:val="subscript"/>
                <w:lang w:val="fr-FR"/>
              </w:rPr>
              <w:t>80</w:t>
            </w:r>
          </w:p>
        </w:tc>
        <w:tc>
          <w:tcPr>
            <w:tcW w:w="2500" w:type="dxa"/>
            <w:tcBorders>
              <w:top w:val="nil"/>
              <w:left w:val="nil"/>
              <w:bottom w:val="nil"/>
              <w:right w:val="nil"/>
            </w:tcBorders>
            <w:shd w:val="clear" w:color="auto" w:fill="auto"/>
          </w:tcPr>
          <w:p w:rsidR="00D335D4" w:rsidRPr="007E29C4" w:rsidRDefault="00D335D4" w:rsidP="00A36982">
            <w:pPr>
              <w:spacing w:before="60" w:after="60"/>
              <w:rPr>
                <w:sz w:val="23"/>
                <w:szCs w:val="23"/>
                <w:lang w:val="fr-FR"/>
              </w:rPr>
            </w:pPr>
            <w:r w:rsidRPr="007E29C4">
              <w:rPr>
                <w:lang w:val="fr-FR"/>
              </w:rPr>
              <w:sym w:font="Symbol" w:char="F044"/>
            </w:r>
            <w:r w:rsidRPr="007E29C4">
              <w:rPr>
                <w:sz w:val="23"/>
                <w:szCs w:val="23"/>
                <w:lang w:val="fr-FR"/>
              </w:rPr>
              <w:t xml:space="preserve"> = (a + b · V</w:t>
            </w:r>
            <w:r w:rsidRPr="007E29C4">
              <w:rPr>
                <w:sz w:val="23"/>
                <w:szCs w:val="23"/>
                <w:vertAlign w:val="superscript"/>
                <w:lang w:val="fr-FR"/>
              </w:rPr>
              <w:t>2</w:t>
            </w:r>
            <w:r w:rsidRPr="007E29C4">
              <w:rPr>
                <w:sz w:val="23"/>
                <w:szCs w:val="23"/>
                <w:lang w:val="fr-FR"/>
              </w:rPr>
              <w:t>) + 0,1 · F</w:t>
            </w:r>
            <w:r w:rsidRPr="007E29C4">
              <w:rPr>
                <w:sz w:val="23"/>
                <w:szCs w:val="23"/>
                <w:vertAlign w:val="subscript"/>
                <w:lang w:val="fr-FR"/>
              </w:rPr>
              <w:t>80</w:t>
            </w:r>
          </w:p>
        </w:tc>
      </w:tr>
    </w:tbl>
    <w:p w:rsidR="00D335D4" w:rsidRPr="00A779B8" w:rsidRDefault="00D335D4" w:rsidP="00D335D4">
      <w:pPr>
        <w:pStyle w:val="SingleTxtG"/>
        <w:spacing w:before="240"/>
        <w:ind w:left="2268" w:hanging="1134"/>
        <w:rPr>
          <w:lang w:val="fr-FR"/>
        </w:rPr>
      </w:pPr>
      <w:r w:rsidRPr="00A779B8">
        <w:rPr>
          <w:lang w:val="fr-FR"/>
        </w:rPr>
        <w:t>2.2.4</w:t>
      </w:r>
      <w:r w:rsidRPr="00A779B8">
        <w:rPr>
          <w:lang w:val="fr-FR"/>
        </w:rPr>
        <w:tab/>
        <w:t>Lancer le banc à une vitesse de 80 km/h.</w:t>
      </w:r>
    </w:p>
    <w:p w:rsidR="00D335D4" w:rsidRPr="00A779B8" w:rsidRDefault="00D335D4" w:rsidP="00D335D4">
      <w:pPr>
        <w:pStyle w:val="SingleTxtG"/>
        <w:ind w:left="2268" w:hanging="1134"/>
        <w:rPr>
          <w:lang w:val="fr-FR"/>
        </w:rPr>
      </w:pPr>
      <w:r w:rsidRPr="00A779B8">
        <w:rPr>
          <w:lang w:val="fr-FR"/>
        </w:rPr>
        <w:t>2.2.5</w:t>
      </w:r>
      <w:r w:rsidRPr="00A779B8">
        <w:rPr>
          <w:lang w:val="fr-FR"/>
        </w:rPr>
        <w:tab/>
        <w:t>Noter la force affichée F</w:t>
      </w:r>
      <w:r w:rsidRPr="00A779B8">
        <w:rPr>
          <w:vertAlign w:val="subscript"/>
          <w:lang w:val="fr-FR"/>
        </w:rPr>
        <w:t>i</w:t>
      </w:r>
      <w:r w:rsidRPr="00A779B8">
        <w:rPr>
          <w:lang w:val="fr-FR"/>
        </w:rPr>
        <w:t xml:space="preserve"> (N).</w:t>
      </w:r>
    </w:p>
    <w:p w:rsidR="00D335D4" w:rsidRPr="00A779B8" w:rsidRDefault="00D335D4" w:rsidP="00D335D4">
      <w:pPr>
        <w:pStyle w:val="SingleTxtG"/>
        <w:ind w:left="2268" w:hanging="1134"/>
        <w:rPr>
          <w:lang w:val="fr-FR"/>
        </w:rPr>
      </w:pPr>
      <w:r w:rsidRPr="00A779B8">
        <w:rPr>
          <w:lang w:val="fr-FR"/>
        </w:rPr>
        <w:t>2.2.6</w:t>
      </w:r>
      <w:r w:rsidRPr="00A779B8">
        <w:rPr>
          <w:lang w:val="fr-FR"/>
        </w:rPr>
        <w:tab/>
        <w:t>Accroître la vitesse jusqu</w:t>
      </w:r>
      <w:r w:rsidR="00DB4C2D">
        <w:rPr>
          <w:lang w:val="fr-FR"/>
        </w:rPr>
        <w:t>’</w:t>
      </w:r>
      <w:r w:rsidRPr="00A779B8">
        <w:rPr>
          <w:lang w:val="fr-FR"/>
        </w:rPr>
        <w:t>à 90 km/h.</w:t>
      </w:r>
    </w:p>
    <w:p w:rsidR="00D335D4" w:rsidRPr="00A779B8" w:rsidRDefault="00D335D4" w:rsidP="00D335D4">
      <w:pPr>
        <w:pStyle w:val="SingleTxtG"/>
        <w:ind w:left="2268" w:hanging="1134"/>
        <w:rPr>
          <w:lang w:val="fr-FR"/>
        </w:rPr>
      </w:pPr>
      <w:r w:rsidRPr="00A779B8">
        <w:rPr>
          <w:lang w:val="fr-FR"/>
        </w:rPr>
        <w:t>2.2.7</w:t>
      </w:r>
      <w:r w:rsidRPr="00A779B8">
        <w:rPr>
          <w:lang w:val="fr-FR"/>
        </w:rPr>
        <w:tab/>
        <w:t>Débrayer le dispositif utilisé pour le lancement du banc.</w:t>
      </w:r>
    </w:p>
    <w:p w:rsidR="00D335D4" w:rsidRPr="00A779B8" w:rsidRDefault="00D335D4" w:rsidP="00D335D4">
      <w:pPr>
        <w:pStyle w:val="SingleTxtG"/>
        <w:ind w:left="2268" w:hanging="1134"/>
        <w:rPr>
          <w:lang w:val="fr-FR"/>
        </w:rPr>
      </w:pPr>
      <w:r w:rsidRPr="00A779B8">
        <w:rPr>
          <w:lang w:val="fr-FR"/>
        </w:rPr>
        <w:t>2.2.8</w:t>
      </w:r>
      <w:r w:rsidRPr="00A779B8">
        <w:rPr>
          <w:lang w:val="fr-FR"/>
        </w:rPr>
        <w:tab/>
        <w:t>Noter le temps de décélération du banc de 85 km/h à 75 km/h.</w:t>
      </w:r>
    </w:p>
    <w:p w:rsidR="00D335D4" w:rsidRPr="00A779B8" w:rsidRDefault="00D335D4" w:rsidP="00D335D4">
      <w:pPr>
        <w:pStyle w:val="SingleTxtG"/>
        <w:ind w:left="2268" w:hanging="1134"/>
        <w:rPr>
          <w:lang w:val="fr-FR"/>
        </w:rPr>
      </w:pPr>
      <w:r w:rsidRPr="00A779B8">
        <w:rPr>
          <w:lang w:val="fr-FR"/>
        </w:rPr>
        <w:t>2.2.9</w:t>
      </w:r>
      <w:r w:rsidRPr="00A779B8">
        <w:rPr>
          <w:lang w:val="fr-FR"/>
        </w:rPr>
        <w:tab/>
        <w:t>Régler le frein à une valeur différente.</w:t>
      </w:r>
    </w:p>
    <w:p w:rsidR="00D335D4" w:rsidRPr="00A779B8" w:rsidRDefault="00D335D4" w:rsidP="00D335D4">
      <w:pPr>
        <w:pStyle w:val="SingleTxtG"/>
        <w:ind w:left="2268" w:hanging="1134"/>
        <w:rPr>
          <w:lang w:val="fr-FR"/>
        </w:rPr>
      </w:pPr>
      <w:r w:rsidRPr="00A779B8">
        <w:rPr>
          <w:lang w:val="fr-FR"/>
        </w:rPr>
        <w:t>2.2.10</w:t>
      </w:r>
      <w:r w:rsidRPr="00A779B8">
        <w:rPr>
          <w:lang w:val="fr-FR"/>
        </w:rPr>
        <w:tab/>
        <w:t>Répéter les opérations prescrites aux paragraphes 2.2.4 à 2.2.9 un nombre de fois suffisant pour couvrir la plage des forces.</w:t>
      </w:r>
    </w:p>
    <w:p w:rsidR="00D335D4" w:rsidRPr="00A779B8" w:rsidRDefault="00D335D4" w:rsidP="00D335D4">
      <w:pPr>
        <w:pStyle w:val="SingleTxtG"/>
        <w:keepNext/>
        <w:spacing w:after="240"/>
        <w:ind w:left="2268" w:hanging="1134"/>
        <w:rPr>
          <w:lang w:val="fr-FR"/>
        </w:rPr>
      </w:pPr>
      <w:r w:rsidRPr="00A779B8">
        <w:rPr>
          <w:lang w:val="fr-FR"/>
        </w:rPr>
        <w:t>2.2.11</w:t>
      </w:r>
      <w:r w:rsidRPr="00A779B8">
        <w:rPr>
          <w:lang w:val="fr-FR"/>
        </w:rPr>
        <w:tab/>
        <w:t>Calculer la force absorbée en utilisant la formule:</w:t>
      </w:r>
    </w:p>
    <w:p w:rsidR="00D335D4" w:rsidRPr="00A779B8" w:rsidRDefault="00D335D4" w:rsidP="00D335D4">
      <w:pPr>
        <w:ind w:left="2268"/>
        <w:rPr>
          <w:szCs w:val="24"/>
          <w:lang w:val="fr-FR"/>
        </w:rPr>
      </w:pPr>
      <w:r w:rsidRPr="00A779B8">
        <w:rPr>
          <w:position w:val="-22"/>
          <w:szCs w:val="24"/>
          <w:lang w:val="fr-FR"/>
        </w:rPr>
        <w:object w:dxaOrig="1040" w:dyaOrig="560">
          <v:shape id="_x0000_i1081" type="#_x0000_t75" style="width:51.6pt;height:27.85pt" o:ole="">
            <v:imagedata r:id="rId144" o:title=""/>
          </v:shape>
          <o:OLEObject Type="Embed" ProgID="Equation.3" ShapeID="_x0000_i1081" DrawAspect="Content" ObjectID="_1490178437" r:id="rId145"/>
        </w:object>
      </w:r>
      <w:r w:rsidRPr="00A779B8">
        <w:rPr>
          <w:szCs w:val="24"/>
          <w:lang w:val="fr-FR"/>
        </w:rPr>
        <w:fldChar w:fldCharType="begin"/>
      </w:r>
      <w:r w:rsidRPr="00A779B8">
        <w:rPr>
          <w:szCs w:val="24"/>
          <w:lang w:val="fr-FR"/>
        </w:rPr>
        <w:instrText>ADVANCE \d 12</w:instrText>
      </w:r>
      <w:r w:rsidRPr="00A779B8">
        <w:rPr>
          <w:szCs w:val="24"/>
          <w:lang w:val="fr-FR"/>
        </w:rPr>
        <w:fldChar w:fldCharType="end"/>
      </w:r>
      <w:r w:rsidRPr="00A779B8">
        <w:rPr>
          <w:szCs w:val="24"/>
          <w:lang w:val="fr-FR"/>
        </w:rPr>
        <w:fldChar w:fldCharType="begin"/>
      </w:r>
      <w:r w:rsidRPr="00A779B8">
        <w:rPr>
          <w:szCs w:val="24"/>
          <w:lang w:val="fr-FR"/>
        </w:rPr>
        <w:instrText>ADVANCE \u 12</w:instrText>
      </w:r>
      <w:r w:rsidRPr="00A779B8">
        <w:rPr>
          <w:szCs w:val="24"/>
          <w:lang w:val="fr-FR"/>
        </w:rPr>
        <w:fldChar w:fldCharType="end"/>
      </w:r>
    </w:p>
    <w:p w:rsidR="00D335D4" w:rsidRPr="00A779B8" w:rsidRDefault="00D335D4" w:rsidP="00D335D4">
      <w:pPr>
        <w:pStyle w:val="SingleTxtG"/>
        <w:keepNex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Change w:id="136">
          <w:tblGrid>
            <w:gridCol w:w="594"/>
            <w:gridCol w:w="297"/>
            <w:gridCol w:w="5346"/>
          </w:tblGrid>
        </w:tblGridChange>
      </w:tblGrid>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t>F</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force absorbée (N),</w:t>
            </w:r>
          </w:p>
        </w:tc>
      </w:tr>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t>M</w:t>
            </w:r>
            <w:r w:rsidRPr="007E29C4">
              <w:rPr>
                <w:vertAlign w:val="subscript"/>
                <w:lang w:val="fr-FR"/>
              </w:rPr>
              <w:t>i</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inertie équivalente en kg (compte non tenu de l</w:t>
            </w:r>
            <w:r w:rsidR="00DB4C2D">
              <w:rPr>
                <w:lang w:val="fr-FR"/>
              </w:rPr>
              <w:t>’</w:t>
            </w:r>
            <w:r w:rsidRPr="007E29C4">
              <w:rPr>
                <w:lang w:val="fr-FR"/>
              </w:rPr>
              <w:t>inertie du rouleau libre arrière),</w:t>
            </w:r>
          </w:p>
        </w:tc>
      </w:tr>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sym w:font="Symbol" w:char="F044"/>
            </w:r>
            <w:r w:rsidRPr="007E29C4">
              <w:rPr>
                <w:lang w:val="fr-FR"/>
              </w:rPr>
              <w:t>V</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écart de vitesse en m/s (10 km/h = 2,775 m/s),</w:t>
            </w:r>
          </w:p>
        </w:tc>
      </w:tr>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t>t</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temps de décélération du rouleau de 85 km/h à 75 km/h.</w:t>
            </w:r>
          </w:p>
        </w:tc>
      </w:tr>
    </w:tbl>
    <w:p w:rsidR="00D335D4" w:rsidRPr="00A779B8" w:rsidRDefault="00D335D4" w:rsidP="00D335D4">
      <w:pPr>
        <w:pStyle w:val="SingleTxtG"/>
        <w:spacing w:before="120"/>
        <w:ind w:left="2268" w:hanging="1134"/>
        <w:rPr>
          <w:lang w:val="fr-FR"/>
        </w:rPr>
      </w:pPr>
      <w:r w:rsidRPr="00A779B8">
        <w:rPr>
          <w:lang w:val="fr-FR"/>
        </w:rPr>
        <w:t>2.2.12</w:t>
      </w:r>
      <w:r w:rsidRPr="00A779B8">
        <w:rPr>
          <w:lang w:val="fr-FR"/>
        </w:rPr>
        <w:tab/>
        <w:t>La figure A4a.App1/5 donne le diagramme de la force indiquée à 80 km/h en fonction de la force absorbée à la même vitesse.</w:t>
      </w:r>
    </w:p>
    <w:p w:rsidR="00D335D4" w:rsidRPr="00A779B8" w:rsidRDefault="00D335D4" w:rsidP="00D335D4">
      <w:pPr>
        <w:pStyle w:val="Titre1"/>
        <w:spacing w:after="120"/>
        <w:rPr>
          <w:lang w:val="fr-FR"/>
        </w:rPr>
      </w:pPr>
      <w:r w:rsidRPr="00A779B8">
        <w:rPr>
          <w:lang w:val="fr-FR"/>
        </w:rPr>
        <w:lastRenderedPageBreak/>
        <w:t>Figure A4a.App1/5</w:t>
      </w:r>
      <w:r w:rsidRPr="00A779B8">
        <w:rPr>
          <w:lang w:val="fr-FR"/>
        </w:rPr>
        <w:br/>
      </w:r>
      <w:r w:rsidRPr="00A779B8">
        <w:rPr>
          <w:b/>
          <w:lang w:val="fr-FR"/>
        </w:rPr>
        <w:t>Force affichée à 80 km/h en fonction de la force absorbée à 80 km/h</w:t>
      </w:r>
    </w:p>
    <w:bookmarkStart w:id="137" w:name="_MON_1448267280"/>
    <w:bookmarkStart w:id="138" w:name="_MON_1448267329"/>
    <w:bookmarkStart w:id="139" w:name="_MON_1448267396"/>
    <w:bookmarkEnd w:id="137"/>
    <w:bookmarkEnd w:id="138"/>
    <w:bookmarkEnd w:id="139"/>
    <w:p w:rsidR="00D335D4" w:rsidRPr="00A779B8" w:rsidRDefault="00D335D4" w:rsidP="00D335D4">
      <w:pPr>
        <w:pBdr>
          <w:top w:val="single" w:sz="4" w:space="1" w:color="auto"/>
          <w:left w:val="single" w:sz="4" w:space="4" w:color="auto"/>
          <w:bottom w:val="single" w:sz="4" w:space="1" w:color="auto"/>
          <w:right w:val="single" w:sz="4" w:space="4" w:color="auto"/>
        </w:pBdr>
        <w:spacing w:before="120" w:after="240"/>
        <w:ind w:left="1134" w:right="1134"/>
        <w:jc w:val="center"/>
        <w:rPr>
          <w:lang w:val="fr-FR"/>
        </w:rPr>
      </w:pPr>
      <w:r w:rsidRPr="00A779B8">
        <w:rPr>
          <w:lang w:val="fr-FR"/>
        </w:rPr>
        <w:object w:dxaOrig="7261" w:dyaOrig="3685">
          <v:shape id="_x0000_i1082" type="#_x0000_t75" style="width:366.1pt;height:185.45pt" o:ole="">
            <v:imagedata r:id="rId146" o:title=""/>
          </v:shape>
          <o:OLEObject Type="Embed" ProgID="Word.Picture.8" ShapeID="_x0000_i1082" DrawAspect="Content" ObjectID="_1490178438" r:id="rId147"/>
        </w:object>
      </w:r>
    </w:p>
    <w:p w:rsidR="00D335D4" w:rsidRPr="00A779B8" w:rsidRDefault="00D335D4" w:rsidP="00D335D4">
      <w:pPr>
        <w:pStyle w:val="SingleTxtG"/>
        <w:ind w:left="2268" w:hanging="1134"/>
        <w:rPr>
          <w:lang w:val="fr-FR"/>
        </w:rPr>
      </w:pPr>
      <w:r w:rsidRPr="00A779B8">
        <w:rPr>
          <w:lang w:val="fr-FR"/>
        </w:rPr>
        <w:t>2.2.13</w:t>
      </w:r>
      <w:r w:rsidRPr="00A779B8">
        <w:rPr>
          <w:lang w:val="fr-FR"/>
        </w:rPr>
        <w:tab/>
        <w:t>Les opérations prescrites aux paragraphes 2.2.3 à 2.2.12 du présent appendice doivent être répétées pour toutes les classes d</w:t>
      </w:r>
      <w:r w:rsidR="00DB4C2D">
        <w:rPr>
          <w:lang w:val="fr-FR"/>
        </w:rPr>
        <w:t>’</w:t>
      </w:r>
      <w:r w:rsidRPr="00A779B8">
        <w:rPr>
          <w:lang w:val="fr-FR"/>
        </w:rPr>
        <w:t>inertie à prendre en compte.</w:t>
      </w:r>
    </w:p>
    <w:p w:rsidR="00D335D4" w:rsidRPr="00A779B8" w:rsidRDefault="00D335D4" w:rsidP="00D335D4">
      <w:pPr>
        <w:pStyle w:val="SingleTxtG"/>
        <w:keepNext/>
        <w:ind w:left="2268" w:hanging="1134"/>
        <w:rPr>
          <w:lang w:val="fr-FR"/>
        </w:rPr>
      </w:pPr>
      <w:r w:rsidRPr="00A779B8">
        <w:rPr>
          <w:lang w:val="fr-FR"/>
        </w:rPr>
        <w:t>2.3</w:t>
      </w:r>
      <w:r w:rsidRPr="00A779B8">
        <w:rPr>
          <w:lang w:val="fr-FR"/>
        </w:rPr>
        <w:tab/>
        <w:t>Étalonnage de l</w:t>
      </w:r>
      <w:r w:rsidR="00DB4C2D">
        <w:rPr>
          <w:lang w:val="fr-FR"/>
        </w:rPr>
        <w:t>’</w:t>
      </w:r>
      <w:r w:rsidRPr="00A779B8">
        <w:rPr>
          <w:lang w:val="fr-FR"/>
        </w:rPr>
        <w:t>indicateur de force à d</w:t>
      </w:r>
      <w:r w:rsidR="00DB4C2D">
        <w:rPr>
          <w:lang w:val="fr-FR"/>
        </w:rPr>
        <w:t>’</w:t>
      </w:r>
      <w:r w:rsidRPr="00A779B8">
        <w:rPr>
          <w:lang w:val="fr-FR"/>
        </w:rPr>
        <w:t>autres vitesses</w:t>
      </w:r>
    </w:p>
    <w:p w:rsidR="00D335D4" w:rsidRPr="00A779B8" w:rsidRDefault="00D335D4" w:rsidP="00D335D4">
      <w:pPr>
        <w:pStyle w:val="SingleTxtG"/>
        <w:ind w:left="2268"/>
        <w:rPr>
          <w:lang w:val="fr-FR"/>
        </w:rPr>
      </w:pPr>
      <w:r w:rsidRPr="00A779B8">
        <w:rPr>
          <w:lang w:val="fr-FR"/>
        </w:rPr>
        <w:t>Les procédures du paragraphe 2.2 du présent appendice doivent être répétées autant de fois qu</w:t>
      </w:r>
      <w:r w:rsidR="00DB4C2D">
        <w:rPr>
          <w:lang w:val="fr-FR"/>
        </w:rPr>
        <w:t>’</w:t>
      </w:r>
      <w:r w:rsidRPr="00A779B8">
        <w:rPr>
          <w:lang w:val="fr-FR"/>
        </w:rPr>
        <w:t>il est nécessaire pour les vitesses choisies.</w:t>
      </w:r>
    </w:p>
    <w:p w:rsidR="00D335D4" w:rsidRPr="00A779B8" w:rsidRDefault="00D335D4" w:rsidP="00D335D4">
      <w:pPr>
        <w:pStyle w:val="SingleTxtG"/>
        <w:keepNext/>
        <w:ind w:left="2268" w:hanging="1134"/>
        <w:jc w:val="left"/>
        <w:rPr>
          <w:lang w:val="fr-FR"/>
        </w:rPr>
      </w:pPr>
      <w:r w:rsidRPr="00A779B8">
        <w:rPr>
          <w:lang w:val="fr-FR"/>
        </w:rPr>
        <w:t>2.4</w:t>
      </w:r>
      <w:r w:rsidRPr="00A779B8">
        <w:rPr>
          <w:lang w:val="fr-FR"/>
        </w:rPr>
        <w:tab/>
        <w:t>Étalonnage en force ou en couple</w:t>
      </w:r>
    </w:p>
    <w:p w:rsidR="00D335D4" w:rsidRPr="00A779B8" w:rsidRDefault="00D335D4" w:rsidP="00D335D4">
      <w:pPr>
        <w:pStyle w:val="SingleTxtG"/>
        <w:ind w:left="2268"/>
        <w:rPr>
          <w:lang w:val="fr-FR"/>
        </w:rPr>
      </w:pPr>
      <w:r w:rsidRPr="00A779B8">
        <w:rPr>
          <w:lang w:val="fr-FR"/>
        </w:rPr>
        <w:t>La même procédure doit être appliquée pour l</w:t>
      </w:r>
      <w:r w:rsidR="00DB4C2D">
        <w:rPr>
          <w:lang w:val="fr-FR"/>
        </w:rPr>
        <w:t>’</w:t>
      </w:r>
      <w:r w:rsidRPr="00A779B8">
        <w:rPr>
          <w:lang w:val="fr-FR"/>
        </w:rPr>
        <w:t>étalonnage en force ou en couple.</w:t>
      </w:r>
    </w:p>
    <w:p w:rsidR="00D335D4" w:rsidRPr="00A779B8" w:rsidRDefault="00D335D4" w:rsidP="00D335D4">
      <w:pPr>
        <w:pStyle w:val="SingleTxtG"/>
        <w:keepNext/>
        <w:ind w:left="2268" w:hanging="1134"/>
        <w:jc w:val="left"/>
        <w:rPr>
          <w:lang w:val="fr-FR"/>
        </w:rPr>
      </w:pPr>
      <w:r w:rsidRPr="00A779B8">
        <w:rPr>
          <w:lang w:val="fr-FR"/>
        </w:rPr>
        <w:t>3.</w:t>
      </w:r>
      <w:r w:rsidRPr="00A779B8">
        <w:rPr>
          <w:lang w:val="fr-FR"/>
        </w:rPr>
        <w:tab/>
        <w:t>Vérification de la courbe d</w:t>
      </w:r>
      <w:r w:rsidR="00DB4C2D">
        <w:rPr>
          <w:lang w:val="fr-FR"/>
        </w:rPr>
        <w:t>’</w:t>
      </w:r>
      <w:r w:rsidRPr="00A779B8">
        <w:rPr>
          <w:lang w:val="fr-FR"/>
        </w:rPr>
        <w:t>absorption</w:t>
      </w:r>
    </w:p>
    <w:p w:rsidR="00D335D4" w:rsidRPr="00A779B8" w:rsidRDefault="00D335D4" w:rsidP="00D335D4">
      <w:pPr>
        <w:pStyle w:val="SingleTxtG"/>
        <w:keepNext/>
        <w:ind w:left="2268" w:hanging="1134"/>
        <w:jc w:val="left"/>
        <w:rPr>
          <w:lang w:val="fr-FR"/>
        </w:rPr>
      </w:pPr>
      <w:r w:rsidRPr="00A779B8">
        <w:rPr>
          <w:lang w:val="fr-FR"/>
        </w:rPr>
        <w:t>3.1</w:t>
      </w:r>
      <w:r w:rsidRPr="00A779B8">
        <w:rPr>
          <w:lang w:val="fr-FR"/>
        </w:rPr>
        <w:tab/>
        <w:t>Procédure</w:t>
      </w:r>
    </w:p>
    <w:p w:rsidR="00D335D4" w:rsidRPr="00A779B8" w:rsidRDefault="00D335D4" w:rsidP="00D335D4">
      <w:pPr>
        <w:pStyle w:val="SingleTxtG"/>
        <w:keepNext/>
        <w:ind w:left="2268"/>
        <w:rPr>
          <w:lang w:val="fr-FR"/>
        </w:rPr>
      </w:pPr>
      <w:r w:rsidRPr="00A779B8">
        <w:rPr>
          <w:lang w:val="fr-FR"/>
        </w:rPr>
        <w:t>La courbe d</w:t>
      </w:r>
      <w:r w:rsidR="00DB4C2D">
        <w:rPr>
          <w:lang w:val="fr-FR"/>
        </w:rPr>
        <w:t>’</w:t>
      </w:r>
      <w:r w:rsidRPr="00A779B8">
        <w:rPr>
          <w:lang w:val="fr-FR"/>
        </w:rPr>
        <w:t>absorption du banc à rouleaux à partir d</w:t>
      </w:r>
      <w:r w:rsidR="00DB4C2D">
        <w:rPr>
          <w:lang w:val="fr-FR"/>
        </w:rPr>
        <w:t>’</w:t>
      </w:r>
      <w:r w:rsidRPr="00A779B8">
        <w:rPr>
          <w:lang w:val="fr-FR"/>
        </w:rPr>
        <w:t>un point de calage à la vitesse de 80 km/h doit être vérifiée comme suit:</w:t>
      </w:r>
    </w:p>
    <w:p w:rsidR="00D335D4" w:rsidRPr="00A779B8" w:rsidRDefault="00D335D4" w:rsidP="00D335D4">
      <w:pPr>
        <w:pStyle w:val="SingleTxtG"/>
        <w:ind w:left="2268" w:hanging="1134"/>
        <w:rPr>
          <w:lang w:val="fr-FR"/>
        </w:rPr>
      </w:pPr>
      <w:r w:rsidRPr="00A779B8">
        <w:rPr>
          <w:lang w:val="fr-FR"/>
        </w:rPr>
        <w:t>3.1.1</w:t>
      </w:r>
      <w:r w:rsidRPr="00A779B8">
        <w:rPr>
          <w:lang w:val="fr-FR"/>
        </w:rPr>
        <w:tab/>
        <w:t>Installer le véhicule sur le banc ou appliquer une autre méthode pour lancer le banc.</w:t>
      </w:r>
    </w:p>
    <w:p w:rsidR="00D335D4" w:rsidRPr="00A779B8" w:rsidRDefault="00D335D4" w:rsidP="00D335D4">
      <w:pPr>
        <w:pStyle w:val="SingleTxtG"/>
        <w:ind w:left="2268" w:hanging="1134"/>
        <w:rPr>
          <w:lang w:val="fr-FR"/>
        </w:rPr>
      </w:pPr>
      <w:r w:rsidRPr="00A779B8">
        <w:rPr>
          <w:lang w:val="fr-FR"/>
        </w:rPr>
        <w:t>3.1.2</w:t>
      </w:r>
      <w:r w:rsidRPr="00A779B8">
        <w:rPr>
          <w:lang w:val="fr-FR"/>
        </w:rPr>
        <w:tab/>
        <w:t>Régler le banc à la force absorbée (F) à la vitesse de 80 km/h.</w:t>
      </w:r>
    </w:p>
    <w:p w:rsidR="00D335D4" w:rsidRPr="00A779B8" w:rsidRDefault="00D335D4" w:rsidP="00D335D4">
      <w:pPr>
        <w:pStyle w:val="SingleTxtG"/>
        <w:ind w:left="2268" w:hanging="1134"/>
        <w:rPr>
          <w:lang w:val="fr-FR"/>
        </w:rPr>
      </w:pPr>
      <w:r w:rsidRPr="00A779B8">
        <w:rPr>
          <w:lang w:val="fr-FR"/>
        </w:rPr>
        <w:t>3.1.3</w:t>
      </w:r>
      <w:r w:rsidRPr="00A779B8">
        <w:rPr>
          <w:lang w:val="fr-FR"/>
        </w:rPr>
        <w:tab/>
        <w:t>Noter la force absorbée aux vitesses de 120, 100, 80, 60, 40 et 20 km/h.</w:t>
      </w:r>
    </w:p>
    <w:p w:rsidR="00D335D4" w:rsidRDefault="00D335D4" w:rsidP="00D335D4">
      <w:pPr>
        <w:pStyle w:val="SingleTxtG"/>
        <w:ind w:left="2268" w:hanging="1134"/>
        <w:rPr>
          <w:lang w:val="fr-FR"/>
        </w:rPr>
      </w:pPr>
      <w:r w:rsidRPr="00A779B8">
        <w:rPr>
          <w:lang w:val="fr-FR"/>
        </w:rPr>
        <w:t>3.1.4</w:t>
      </w:r>
      <w:r w:rsidRPr="00A779B8">
        <w:rPr>
          <w:lang w:val="fr-FR"/>
        </w:rPr>
        <w:tab/>
        <w:t>Tracer la courbe F(V) et vérifier qu</w:t>
      </w:r>
      <w:r w:rsidR="00DB4C2D">
        <w:rPr>
          <w:lang w:val="fr-FR"/>
        </w:rPr>
        <w:t>’</w:t>
      </w:r>
      <w:r w:rsidRPr="00A779B8">
        <w:rPr>
          <w:lang w:val="fr-FR"/>
        </w:rPr>
        <w:t>elle satisfait aux prescriptions du paragraphe 1.1.3.1 du présent appendice.</w:t>
      </w:r>
    </w:p>
    <w:p w:rsidR="00D335D4" w:rsidRDefault="00D335D4" w:rsidP="00D335D4">
      <w:pPr>
        <w:pStyle w:val="SingleTxtG"/>
        <w:ind w:left="2268" w:hanging="1134"/>
        <w:rPr>
          <w:lang w:val="fr-FR"/>
        </w:rPr>
        <w:sectPr w:rsidR="00D335D4" w:rsidSect="00C108AC">
          <w:headerReference w:type="even" r:id="rId148"/>
          <w:headerReference w:type="default" r:id="rId149"/>
          <w:footnotePr>
            <w:numRestart w:val="eachSect"/>
          </w:footnotePr>
          <w:endnotePr>
            <w:numFmt w:val="decimal"/>
          </w:endnotePr>
          <w:pgSz w:w="11907" w:h="16840" w:code="9"/>
          <w:pgMar w:top="1701" w:right="1134" w:bottom="2268" w:left="1134" w:header="794" w:footer="1701" w:gutter="0"/>
          <w:cols w:space="720"/>
          <w:docGrid w:linePitch="272"/>
        </w:sectPr>
      </w:pPr>
      <w:r w:rsidRPr="00A779B8">
        <w:rPr>
          <w:lang w:val="fr-FR"/>
        </w:rPr>
        <w:t>3.1.5</w:t>
      </w:r>
      <w:r w:rsidRPr="00A779B8">
        <w:rPr>
          <w:lang w:val="fr-FR"/>
        </w:rPr>
        <w:tab/>
        <w:t>Répéter les opérations des paragraphes 3.1.1 à 3.1.4 du présent appendice pour d</w:t>
      </w:r>
      <w:r w:rsidR="00DB4C2D">
        <w:rPr>
          <w:lang w:val="fr-FR"/>
        </w:rPr>
        <w:t>’</w:t>
      </w:r>
      <w:r w:rsidRPr="00A779B8">
        <w:rPr>
          <w:lang w:val="fr-FR"/>
        </w:rPr>
        <w:t>autres valeurs de force F à la vitesse de 80 km/h et d</w:t>
      </w:r>
      <w:r w:rsidR="00DB4C2D">
        <w:rPr>
          <w:lang w:val="fr-FR"/>
        </w:rPr>
        <w:t>’</w:t>
      </w:r>
      <w:r w:rsidRPr="00A779B8">
        <w:rPr>
          <w:lang w:val="fr-FR"/>
        </w:rPr>
        <w:t>autres valeurs d</w:t>
      </w:r>
      <w:r w:rsidR="00DB4C2D">
        <w:rPr>
          <w:lang w:val="fr-FR"/>
        </w:rPr>
        <w:t>’</w:t>
      </w:r>
      <w:r w:rsidRPr="00A779B8">
        <w:rPr>
          <w:lang w:val="fr-FR"/>
        </w:rPr>
        <w:t>inertie</w:t>
      </w:r>
      <w:r>
        <w:rPr>
          <w:lang w:val="fr-FR"/>
        </w:rPr>
        <w:t>.</w:t>
      </w:r>
    </w:p>
    <w:p w:rsidR="00D335D4" w:rsidRPr="00A779B8" w:rsidRDefault="00D335D4" w:rsidP="00D335D4">
      <w:pPr>
        <w:pStyle w:val="HChG"/>
        <w:rPr>
          <w:lang w:val="fr-FR"/>
        </w:rPr>
      </w:pPr>
      <w:r w:rsidRPr="00A779B8">
        <w:rPr>
          <w:lang w:val="fr-FR"/>
        </w:rPr>
        <w:lastRenderedPageBreak/>
        <w:t>Annexe 4a − Appendice 2</w:t>
      </w:r>
    </w:p>
    <w:p w:rsidR="00D335D4" w:rsidRPr="00A779B8" w:rsidRDefault="00D335D4" w:rsidP="00D335D4">
      <w:pPr>
        <w:pStyle w:val="HChG"/>
        <w:rPr>
          <w:lang w:val="fr-FR"/>
        </w:rPr>
      </w:pPr>
      <w:r w:rsidRPr="00A779B8">
        <w:rPr>
          <w:lang w:val="fr-FR"/>
        </w:rPr>
        <w:tab/>
      </w:r>
      <w:r w:rsidRPr="00A779B8">
        <w:rPr>
          <w:lang w:val="fr-FR"/>
        </w:rPr>
        <w:tab/>
        <w:t>Système de dilution des gaz d</w:t>
      </w:r>
      <w:r w:rsidR="00DB4C2D">
        <w:rPr>
          <w:lang w:val="fr-FR"/>
        </w:rPr>
        <w:t>’</w:t>
      </w:r>
      <w:r w:rsidRPr="00A779B8">
        <w:rPr>
          <w:lang w:val="fr-FR"/>
        </w:rPr>
        <w:t>échappement</w:t>
      </w:r>
    </w:p>
    <w:p w:rsidR="00D335D4" w:rsidRPr="00A779B8" w:rsidRDefault="00D335D4" w:rsidP="00D335D4">
      <w:pPr>
        <w:pStyle w:val="SingleTxtG"/>
        <w:keepNext/>
        <w:ind w:left="2268" w:hanging="1134"/>
        <w:jc w:val="left"/>
        <w:rPr>
          <w:lang w:val="fr-FR"/>
        </w:rPr>
      </w:pPr>
      <w:r w:rsidRPr="00A779B8">
        <w:rPr>
          <w:lang w:val="fr-FR"/>
        </w:rPr>
        <w:t>1.</w:t>
      </w:r>
      <w:r w:rsidRPr="00A779B8">
        <w:rPr>
          <w:lang w:val="fr-FR"/>
        </w:rPr>
        <w:tab/>
        <w:t>Caractéristiques du système</w:t>
      </w:r>
    </w:p>
    <w:p w:rsidR="00D335D4" w:rsidRPr="00A779B8" w:rsidRDefault="00D335D4" w:rsidP="00D335D4">
      <w:pPr>
        <w:pStyle w:val="SingleTxtG"/>
        <w:keepNext/>
        <w:ind w:left="2268" w:hanging="1134"/>
        <w:jc w:val="left"/>
        <w:rPr>
          <w:lang w:val="fr-FR"/>
        </w:rPr>
      </w:pPr>
      <w:r w:rsidRPr="00A779B8">
        <w:rPr>
          <w:lang w:val="fr-FR"/>
        </w:rPr>
        <w:t>1.1</w:t>
      </w:r>
      <w:r w:rsidRPr="00A779B8">
        <w:rPr>
          <w:lang w:val="fr-FR"/>
        </w:rPr>
        <w:tab/>
        <w:t>Description générale du système</w:t>
      </w:r>
    </w:p>
    <w:p w:rsidR="00D335D4" w:rsidRPr="00A779B8" w:rsidRDefault="00D335D4" w:rsidP="00D335D4">
      <w:pPr>
        <w:pStyle w:val="SingleTxtG"/>
        <w:ind w:left="2268"/>
        <w:rPr>
          <w:lang w:val="fr-FR"/>
        </w:rPr>
      </w:pPr>
      <w:r w:rsidRPr="00A779B8">
        <w:rPr>
          <w:lang w:val="fr-FR"/>
        </w:rPr>
        <w:t>Un système à dilution du flux total doit être utilisé. À cette fin, il faut que les gaz d</w:t>
      </w:r>
      <w:r w:rsidR="00DB4C2D">
        <w:rPr>
          <w:lang w:val="fr-FR"/>
        </w:rPr>
        <w:t>’</w:t>
      </w:r>
      <w:r w:rsidRPr="00A779B8">
        <w:rPr>
          <w:lang w:val="fr-FR"/>
        </w:rPr>
        <w:t>échappement du véhicule soient dilués de manière continue avec de l</w:t>
      </w:r>
      <w:r w:rsidR="00DB4C2D">
        <w:rPr>
          <w:lang w:val="fr-FR"/>
        </w:rPr>
        <w:t>’</w:t>
      </w:r>
      <w:r w:rsidRPr="00A779B8">
        <w:rPr>
          <w:lang w:val="fr-FR"/>
        </w:rPr>
        <w:t>air ambiant, dans des conditions contrôlées. Le volume total du mélange de gaz d</w:t>
      </w:r>
      <w:r w:rsidR="00DB4C2D">
        <w:rPr>
          <w:lang w:val="fr-FR"/>
        </w:rPr>
        <w:t>’</w:t>
      </w:r>
      <w:r w:rsidRPr="00A779B8">
        <w:rPr>
          <w:lang w:val="fr-FR"/>
        </w:rPr>
        <w:t>échappement et d</w:t>
      </w:r>
      <w:r w:rsidR="00DB4C2D">
        <w:rPr>
          <w:lang w:val="fr-FR"/>
        </w:rPr>
        <w:t>’</w:t>
      </w:r>
      <w:r w:rsidRPr="00A779B8">
        <w:rPr>
          <w:lang w:val="fr-FR"/>
        </w:rPr>
        <w:t>air de dilution doit être mesuré et un échantillon proportionnel continu de ce volume doit être collecté pour analyse. Les émissions massiques sont déterminées d</w:t>
      </w:r>
      <w:r w:rsidR="00DB4C2D">
        <w:rPr>
          <w:lang w:val="fr-FR"/>
        </w:rPr>
        <w:t>’</w:t>
      </w:r>
      <w:r w:rsidRPr="00A779B8">
        <w:rPr>
          <w:lang w:val="fr-FR"/>
        </w:rPr>
        <w:t>après les concentrations dans l</w:t>
      </w:r>
      <w:r w:rsidR="00DB4C2D">
        <w:rPr>
          <w:lang w:val="fr-FR"/>
        </w:rPr>
        <w:t>’</w:t>
      </w:r>
      <w:r w:rsidRPr="00A779B8">
        <w:rPr>
          <w:lang w:val="fr-FR"/>
        </w:rPr>
        <w:t>échantillon, compte tenu de la concentration de ces gaz dans l</w:t>
      </w:r>
      <w:r w:rsidR="00DB4C2D">
        <w:rPr>
          <w:lang w:val="fr-FR"/>
        </w:rPr>
        <w:t>’</w:t>
      </w:r>
      <w:r w:rsidRPr="00A779B8">
        <w:rPr>
          <w:lang w:val="fr-FR"/>
        </w:rPr>
        <w:t>air ambiant, et d</w:t>
      </w:r>
      <w:r w:rsidR="00DB4C2D">
        <w:rPr>
          <w:lang w:val="fr-FR"/>
        </w:rPr>
        <w:t>’</w:t>
      </w:r>
      <w:r w:rsidRPr="00A779B8">
        <w:rPr>
          <w:lang w:val="fr-FR"/>
        </w:rPr>
        <w:t>après le débit totalisé sur la durée de l</w:t>
      </w:r>
      <w:r w:rsidR="00DB4C2D">
        <w:rPr>
          <w:lang w:val="fr-FR"/>
        </w:rPr>
        <w:t>’</w:t>
      </w:r>
      <w:r w:rsidRPr="00A779B8">
        <w:rPr>
          <w:lang w:val="fr-FR"/>
        </w:rPr>
        <w:t>essai.</w:t>
      </w:r>
    </w:p>
    <w:p w:rsidR="00D335D4" w:rsidRPr="00A779B8" w:rsidRDefault="00D335D4" w:rsidP="00D335D4">
      <w:pPr>
        <w:pStyle w:val="SingleTxtG"/>
        <w:ind w:left="2268"/>
        <w:rPr>
          <w:lang w:val="fr-FR"/>
        </w:rPr>
      </w:pPr>
      <w:r w:rsidRPr="00A779B8">
        <w:rPr>
          <w:lang w:val="fr-FR"/>
        </w:rPr>
        <w:t>Le système de dilution des gaz d</w:t>
      </w:r>
      <w:r w:rsidR="00DB4C2D">
        <w:rPr>
          <w:lang w:val="fr-FR"/>
        </w:rPr>
        <w:t>’</w:t>
      </w:r>
      <w:r w:rsidRPr="00A779B8">
        <w:rPr>
          <w:lang w:val="fr-FR"/>
        </w:rPr>
        <w:t>échappement se compose d</w:t>
      </w:r>
      <w:r w:rsidR="00DB4C2D">
        <w:rPr>
          <w:lang w:val="fr-FR"/>
        </w:rPr>
        <w:t>’</w:t>
      </w:r>
      <w:r w:rsidRPr="00A779B8">
        <w:rPr>
          <w:lang w:val="fr-FR"/>
        </w:rPr>
        <w:t>un tube de transfert, d</w:t>
      </w:r>
      <w:r w:rsidR="00DB4C2D">
        <w:rPr>
          <w:lang w:val="fr-FR"/>
        </w:rPr>
        <w:t>’</w:t>
      </w:r>
      <w:r w:rsidRPr="00A779B8">
        <w:rPr>
          <w:lang w:val="fr-FR"/>
        </w:rPr>
        <w:t>une chambre de mélange et d</w:t>
      </w:r>
      <w:r w:rsidR="00DB4C2D">
        <w:rPr>
          <w:lang w:val="fr-FR"/>
        </w:rPr>
        <w:t>’</w:t>
      </w:r>
      <w:r w:rsidRPr="00A779B8">
        <w:rPr>
          <w:lang w:val="fr-FR"/>
        </w:rPr>
        <w:t>un tunnel de dilution, d</w:t>
      </w:r>
      <w:r w:rsidR="00DB4C2D">
        <w:rPr>
          <w:lang w:val="fr-FR"/>
        </w:rPr>
        <w:t>’</w:t>
      </w:r>
      <w:r w:rsidRPr="00A779B8">
        <w:rPr>
          <w:lang w:val="fr-FR"/>
        </w:rPr>
        <w:t>un dispositif de conditionnement de l</w:t>
      </w:r>
      <w:r w:rsidR="00DB4C2D">
        <w:rPr>
          <w:lang w:val="fr-FR"/>
        </w:rPr>
        <w:t>’</w:t>
      </w:r>
      <w:r w:rsidRPr="00A779B8">
        <w:rPr>
          <w:lang w:val="fr-FR"/>
        </w:rPr>
        <w:t>air de dilution, d</w:t>
      </w:r>
      <w:r w:rsidR="00DB4C2D">
        <w:rPr>
          <w:lang w:val="fr-FR"/>
        </w:rPr>
        <w:t>’</w:t>
      </w:r>
      <w:r w:rsidRPr="00A779B8">
        <w:rPr>
          <w:lang w:val="fr-FR"/>
        </w:rPr>
        <w:t>un dispositif d</w:t>
      </w:r>
      <w:r w:rsidR="00DB4C2D">
        <w:rPr>
          <w:lang w:val="fr-FR"/>
        </w:rPr>
        <w:t>’</w:t>
      </w:r>
      <w:r w:rsidRPr="00A779B8">
        <w:rPr>
          <w:lang w:val="fr-FR"/>
        </w:rPr>
        <w:t>aspiration et d</w:t>
      </w:r>
      <w:r w:rsidR="00DB4C2D">
        <w:rPr>
          <w:lang w:val="fr-FR"/>
        </w:rPr>
        <w:t>’</w:t>
      </w:r>
      <w:r w:rsidRPr="00A779B8">
        <w:rPr>
          <w:lang w:val="fr-FR"/>
        </w:rPr>
        <w:t>un dispositif de mesure du débit. Les sondes de prélèvement doivent être installées comme indiqué aux appendices 3, 4 et 5 de la présente annexe.</w:t>
      </w:r>
    </w:p>
    <w:p w:rsidR="00D335D4" w:rsidRPr="00A779B8" w:rsidRDefault="00D335D4" w:rsidP="00D335D4">
      <w:pPr>
        <w:pStyle w:val="SingleTxtG"/>
        <w:ind w:left="2268"/>
        <w:rPr>
          <w:lang w:val="fr-FR"/>
        </w:rPr>
      </w:pPr>
      <w:r w:rsidRPr="00A779B8">
        <w:rPr>
          <w:lang w:val="fr-FR"/>
        </w:rPr>
        <w:t>La chambre de mélange mentionnée ci-dessus est un récipient tel que ceux qui sont représentés aux figures A4a.App2/6 et A4a.App2/7, dans lequel les gaz d</w:t>
      </w:r>
      <w:r w:rsidR="00DB4C2D">
        <w:rPr>
          <w:lang w:val="fr-FR"/>
        </w:rPr>
        <w:t>’</w:t>
      </w:r>
      <w:r w:rsidRPr="00A779B8">
        <w:rPr>
          <w:lang w:val="fr-FR"/>
        </w:rPr>
        <w:t>échappement du véhicule et l</w:t>
      </w:r>
      <w:r w:rsidR="00DB4C2D">
        <w:rPr>
          <w:lang w:val="fr-FR"/>
        </w:rPr>
        <w:t>’</w:t>
      </w:r>
      <w:r w:rsidRPr="00A779B8">
        <w:rPr>
          <w:lang w:val="fr-FR"/>
        </w:rPr>
        <w:t xml:space="preserve">air de dilution sont mélangés de façon à produire un mélange homogène au point de sortie de la chambre. </w:t>
      </w:r>
    </w:p>
    <w:p w:rsidR="00D335D4" w:rsidRPr="00A779B8" w:rsidRDefault="00D335D4" w:rsidP="00D335D4">
      <w:pPr>
        <w:pStyle w:val="SingleTxtG"/>
        <w:keepNext/>
        <w:ind w:left="2268" w:hanging="1134"/>
        <w:jc w:val="left"/>
        <w:rPr>
          <w:lang w:val="fr-FR"/>
        </w:rPr>
      </w:pPr>
      <w:r w:rsidRPr="00A779B8">
        <w:rPr>
          <w:lang w:val="fr-FR"/>
        </w:rPr>
        <w:t>1.2</w:t>
      </w:r>
      <w:r w:rsidRPr="00A779B8">
        <w:rPr>
          <w:lang w:val="fr-FR"/>
        </w:rPr>
        <w:tab/>
        <w:t>Prescriptions générales</w:t>
      </w:r>
    </w:p>
    <w:p w:rsidR="00D335D4" w:rsidRPr="00A779B8" w:rsidRDefault="00D335D4" w:rsidP="00D335D4">
      <w:pPr>
        <w:pStyle w:val="SingleTxtG"/>
        <w:ind w:left="2268" w:hanging="1134"/>
        <w:rPr>
          <w:lang w:val="fr-FR"/>
        </w:rPr>
      </w:pPr>
      <w:r w:rsidRPr="00A779B8">
        <w:rPr>
          <w:lang w:val="fr-FR"/>
        </w:rPr>
        <w:t>1.2.1</w:t>
      </w:r>
      <w:r w:rsidRPr="00A779B8">
        <w:rPr>
          <w:lang w:val="fr-FR"/>
        </w:rPr>
        <w:tab/>
        <w:t>Les gaz d</w:t>
      </w:r>
      <w:r w:rsidR="00DB4C2D">
        <w:rPr>
          <w:lang w:val="fr-FR"/>
        </w:rPr>
        <w:t>’</w:t>
      </w:r>
      <w:r w:rsidRPr="00A779B8">
        <w:rPr>
          <w:lang w:val="fr-FR"/>
        </w:rPr>
        <w:t>échappement du véhicule doivent être dilués avec une quantité suffisante d</w:t>
      </w:r>
      <w:r w:rsidR="00DB4C2D">
        <w:rPr>
          <w:lang w:val="fr-FR"/>
        </w:rPr>
        <w:t>’</w:t>
      </w:r>
      <w:r w:rsidRPr="00A779B8">
        <w:rPr>
          <w:lang w:val="fr-FR"/>
        </w:rPr>
        <w:t>air ambiant pour empêcher une condensation de l</w:t>
      </w:r>
      <w:r w:rsidR="00DB4C2D">
        <w:rPr>
          <w:lang w:val="fr-FR"/>
        </w:rPr>
        <w:t>’</w:t>
      </w:r>
      <w:r w:rsidRPr="00A779B8">
        <w:rPr>
          <w:lang w:val="fr-FR"/>
        </w:rPr>
        <w:t>eau dans le système de prélèvement et de mesure dans toutes les conditions pouvant être rencontrées lors d</w:t>
      </w:r>
      <w:r w:rsidR="00DB4C2D">
        <w:rPr>
          <w:lang w:val="fr-FR"/>
        </w:rPr>
        <w:t>’</w:t>
      </w:r>
      <w:r w:rsidRPr="00A779B8">
        <w:rPr>
          <w:lang w:val="fr-FR"/>
        </w:rPr>
        <w:t>un essai.</w:t>
      </w:r>
    </w:p>
    <w:p w:rsidR="00D335D4" w:rsidRPr="00A779B8" w:rsidRDefault="00D335D4" w:rsidP="00D335D4">
      <w:pPr>
        <w:pStyle w:val="SingleTxtG"/>
        <w:ind w:left="2268" w:hanging="1134"/>
        <w:rPr>
          <w:lang w:val="fr-FR"/>
        </w:rPr>
      </w:pPr>
      <w:r w:rsidRPr="00A779B8">
        <w:rPr>
          <w:lang w:val="fr-FR"/>
        </w:rPr>
        <w:t>1.2.2</w:t>
      </w:r>
      <w:r w:rsidRPr="00A779B8">
        <w:rPr>
          <w:lang w:val="fr-FR"/>
        </w:rPr>
        <w:tab/>
        <w:t>Le mélange d</w:t>
      </w:r>
      <w:r w:rsidR="00DB4C2D">
        <w:rPr>
          <w:lang w:val="fr-FR"/>
        </w:rPr>
        <w:t>’</w:t>
      </w:r>
      <w:r w:rsidRPr="00A779B8">
        <w:rPr>
          <w:lang w:val="fr-FR"/>
        </w:rPr>
        <w:t>air et de gaz d</w:t>
      </w:r>
      <w:r w:rsidR="00DB4C2D">
        <w:rPr>
          <w:lang w:val="fr-FR"/>
        </w:rPr>
        <w:t>’</w:t>
      </w:r>
      <w:r w:rsidRPr="00A779B8">
        <w:rPr>
          <w:lang w:val="fr-FR"/>
        </w:rPr>
        <w:t>échappement doit être homogène à l</w:t>
      </w:r>
      <w:r w:rsidR="00DB4C2D">
        <w:rPr>
          <w:lang w:val="fr-FR"/>
        </w:rPr>
        <w:t>’</w:t>
      </w:r>
      <w:r w:rsidRPr="00A779B8">
        <w:rPr>
          <w:lang w:val="fr-FR"/>
        </w:rPr>
        <w:t>endroit où se trouve la sonde de prélèvement (voir par. 1.3.3 du présent appendice). La sonde doit prélever un échantillon représentatif des gaz d</w:t>
      </w:r>
      <w:r w:rsidR="00DB4C2D">
        <w:rPr>
          <w:lang w:val="fr-FR"/>
        </w:rPr>
        <w:t>’</w:t>
      </w:r>
      <w:r w:rsidRPr="00A779B8">
        <w:rPr>
          <w:lang w:val="fr-FR"/>
        </w:rPr>
        <w:t>échappement dilués.</w:t>
      </w:r>
    </w:p>
    <w:p w:rsidR="00D335D4" w:rsidRPr="00A779B8" w:rsidRDefault="00D335D4" w:rsidP="00D335D4">
      <w:pPr>
        <w:pStyle w:val="SingleTxtG"/>
        <w:ind w:left="2268" w:hanging="1134"/>
        <w:rPr>
          <w:lang w:val="fr-FR"/>
        </w:rPr>
      </w:pPr>
      <w:r w:rsidRPr="00A779B8">
        <w:rPr>
          <w:lang w:val="fr-FR"/>
        </w:rPr>
        <w:t>1.2.3</w:t>
      </w:r>
      <w:r w:rsidRPr="00A779B8">
        <w:rPr>
          <w:lang w:val="fr-FR"/>
        </w:rPr>
        <w:tab/>
        <w:t>Le système doit permettre de mesurer le volume total de gaz d</w:t>
      </w:r>
      <w:r w:rsidR="00DB4C2D">
        <w:rPr>
          <w:lang w:val="fr-FR"/>
        </w:rPr>
        <w:t>’</w:t>
      </w:r>
      <w:r w:rsidRPr="00A779B8">
        <w:rPr>
          <w:lang w:val="fr-FR"/>
        </w:rPr>
        <w:t>échappement dilués.</w:t>
      </w:r>
    </w:p>
    <w:p w:rsidR="00D335D4" w:rsidRPr="00A779B8" w:rsidRDefault="00D335D4" w:rsidP="00D335D4">
      <w:pPr>
        <w:pStyle w:val="SingleTxtG"/>
        <w:ind w:left="2268" w:hanging="1134"/>
        <w:rPr>
          <w:lang w:val="fr-FR"/>
        </w:rPr>
      </w:pPr>
      <w:r w:rsidRPr="00A779B8">
        <w:rPr>
          <w:lang w:val="fr-FR"/>
        </w:rPr>
        <w:t>1.2.4</w:t>
      </w:r>
      <w:r w:rsidRPr="00A779B8">
        <w:rPr>
          <w:lang w:val="fr-FR"/>
        </w:rPr>
        <w:tab/>
        <w:t>L</w:t>
      </w:r>
      <w:r w:rsidR="00DB4C2D">
        <w:rPr>
          <w:lang w:val="fr-FR"/>
        </w:rPr>
        <w:t>’</w:t>
      </w:r>
      <w:r w:rsidRPr="00A779B8">
        <w:rPr>
          <w:lang w:val="fr-FR"/>
        </w:rPr>
        <w:t>appareillage de prélèvement doit être étanche aux gaz. La conception du système de prélèvement à dilution variable et les matériaux dont il est constitué doivent être tels qu</w:t>
      </w:r>
      <w:r w:rsidR="00DB4C2D">
        <w:rPr>
          <w:lang w:val="fr-FR"/>
        </w:rPr>
        <w:t>’</w:t>
      </w:r>
      <w:r w:rsidRPr="00A779B8">
        <w:rPr>
          <w:lang w:val="fr-FR"/>
        </w:rPr>
        <w:t>ils n</w:t>
      </w:r>
      <w:r w:rsidR="00DB4C2D">
        <w:rPr>
          <w:lang w:val="fr-FR"/>
        </w:rPr>
        <w:t>’</w:t>
      </w:r>
      <w:r w:rsidRPr="00A779B8">
        <w:rPr>
          <w:lang w:val="fr-FR"/>
        </w:rPr>
        <w:t>affectent pas la concentration des polluants dans les gaz d</w:t>
      </w:r>
      <w:r w:rsidR="00DB4C2D">
        <w:rPr>
          <w:lang w:val="fr-FR"/>
        </w:rPr>
        <w:t>’</w:t>
      </w:r>
      <w:r w:rsidRPr="00A779B8">
        <w:rPr>
          <w:lang w:val="fr-FR"/>
        </w:rPr>
        <w:t>échappement dilués. Si l</w:t>
      </w:r>
      <w:r w:rsidR="00DB4C2D">
        <w:rPr>
          <w:lang w:val="fr-FR"/>
        </w:rPr>
        <w:t>’</w:t>
      </w:r>
      <w:r w:rsidRPr="00A779B8">
        <w:rPr>
          <w:lang w:val="fr-FR"/>
        </w:rPr>
        <w:t>un des éléments de l</w:t>
      </w:r>
      <w:r w:rsidR="00DB4C2D">
        <w:rPr>
          <w:lang w:val="fr-FR"/>
        </w:rPr>
        <w:t>’</w:t>
      </w:r>
      <w:r w:rsidRPr="00A779B8">
        <w:rPr>
          <w:lang w:val="fr-FR"/>
        </w:rPr>
        <w:t>appareillage (échangeur de chaleur, séparateur à cyclone, ventilateur, etc.) modifie la concentration de l</w:t>
      </w:r>
      <w:r w:rsidR="00DB4C2D">
        <w:rPr>
          <w:lang w:val="fr-FR"/>
        </w:rPr>
        <w:t>’</w:t>
      </w:r>
      <w:r w:rsidRPr="00A779B8">
        <w:rPr>
          <w:lang w:val="fr-FR"/>
        </w:rPr>
        <w:t>un quelconque des polluants dans les gaz dilués et que ce défaut ne peut pas être corrigé, on doit prélever l</w:t>
      </w:r>
      <w:r w:rsidR="00DB4C2D">
        <w:rPr>
          <w:lang w:val="fr-FR"/>
        </w:rPr>
        <w:t>’</w:t>
      </w:r>
      <w:r w:rsidRPr="00A779B8">
        <w:rPr>
          <w:lang w:val="fr-FR"/>
        </w:rPr>
        <w:t>échantillon de ce polluant en amont de cet élément.</w:t>
      </w:r>
    </w:p>
    <w:p w:rsidR="00D335D4" w:rsidRPr="00A779B8" w:rsidRDefault="00D335D4" w:rsidP="00D335D4">
      <w:pPr>
        <w:pStyle w:val="SingleTxtG"/>
        <w:ind w:left="2268" w:hanging="1134"/>
        <w:rPr>
          <w:rFonts w:eastAsia="Arial Unicode MS"/>
          <w:lang w:val="fr-FR"/>
        </w:rPr>
      </w:pPr>
      <w:r w:rsidRPr="00A779B8">
        <w:rPr>
          <w:lang w:val="fr-FR"/>
        </w:rPr>
        <w:t>1.2.5</w:t>
      </w:r>
      <w:r w:rsidRPr="00A779B8">
        <w:rPr>
          <w:lang w:val="fr-FR"/>
        </w:rPr>
        <w:tab/>
      </w:r>
      <w:r w:rsidRPr="00A779B8">
        <w:rPr>
          <w:rFonts w:eastAsia="Arial Unicode MS"/>
          <w:lang w:val="fr-FR"/>
        </w:rPr>
        <w:t>Tous les éléments du système de dilution qui entrent en contact avec les gaz d</w:t>
      </w:r>
      <w:r w:rsidR="00DB4C2D">
        <w:rPr>
          <w:rFonts w:eastAsia="Arial Unicode MS"/>
          <w:lang w:val="fr-FR"/>
        </w:rPr>
        <w:t>’</w:t>
      </w:r>
      <w:r w:rsidRPr="00A779B8">
        <w:rPr>
          <w:rFonts w:eastAsia="Arial Unicode MS"/>
          <w:lang w:val="fr-FR"/>
        </w:rPr>
        <w:t>échappement bruts et dilués doivent être conçus pour réduire le plus possible les dépôts ou l</w:t>
      </w:r>
      <w:r w:rsidR="00DB4C2D">
        <w:rPr>
          <w:rFonts w:eastAsia="Arial Unicode MS"/>
          <w:lang w:val="fr-FR"/>
        </w:rPr>
        <w:t>’</w:t>
      </w:r>
      <w:r w:rsidRPr="00A779B8">
        <w:rPr>
          <w:rFonts w:eastAsia="Arial Unicode MS"/>
          <w:lang w:val="fr-FR"/>
        </w:rPr>
        <w:t xml:space="preserve">altération des matières particulaires. Ils doivent être réalisés en matériaux électriquement conducteurs qui ne réagissent pas avec </w:t>
      </w:r>
      <w:r w:rsidRPr="00A779B8">
        <w:rPr>
          <w:rFonts w:eastAsia="Arial Unicode MS"/>
          <w:lang w:val="fr-FR"/>
        </w:rPr>
        <w:lastRenderedPageBreak/>
        <w:t>les constituants des gaz d</w:t>
      </w:r>
      <w:r w:rsidR="00DB4C2D">
        <w:rPr>
          <w:rFonts w:eastAsia="Arial Unicode MS"/>
          <w:lang w:val="fr-FR"/>
        </w:rPr>
        <w:t>’</w:t>
      </w:r>
      <w:r w:rsidRPr="00A779B8">
        <w:rPr>
          <w:rFonts w:eastAsia="Arial Unicode MS"/>
          <w:lang w:val="fr-FR"/>
        </w:rPr>
        <w:t>échappement, et ils doivent être mis à la masse électriquement pour prévenir les effets électrostatiques.</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1.2.6</w:t>
      </w:r>
      <w:r w:rsidRPr="00A779B8">
        <w:rPr>
          <w:rFonts w:eastAsia="Arial Unicode MS"/>
          <w:lang w:val="fr-FR"/>
        </w:rPr>
        <w:tab/>
        <w:t>Si le véhicule essayé a un système d</w:t>
      </w:r>
      <w:r w:rsidR="00DB4C2D">
        <w:rPr>
          <w:rFonts w:eastAsia="Arial Unicode MS"/>
          <w:lang w:val="fr-FR"/>
        </w:rPr>
        <w:t>’</w:t>
      </w:r>
      <w:r w:rsidRPr="00A779B8">
        <w:rPr>
          <w:rFonts w:eastAsia="Arial Unicode MS"/>
          <w:lang w:val="fr-FR"/>
        </w:rPr>
        <w:t>échappement à plusieurs sorties, les tuyaux de raccordement doivent être reliés entre eux aussi près que possible du véhicule sans pour autant porter atteinte à son fonctionnement.</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1.2.7</w:t>
      </w:r>
      <w:r w:rsidRPr="00A779B8">
        <w:rPr>
          <w:rFonts w:eastAsia="Arial Unicode MS"/>
          <w:lang w:val="fr-FR"/>
        </w:rPr>
        <w:tab/>
        <w:t>Le système à dilution variable doit être conçu de manière à permettre de prélever les gaz d</w:t>
      </w:r>
      <w:r w:rsidR="00DB4C2D">
        <w:rPr>
          <w:rFonts w:eastAsia="Arial Unicode MS"/>
          <w:lang w:val="fr-FR"/>
        </w:rPr>
        <w:t>’</w:t>
      </w:r>
      <w:r w:rsidRPr="00A779B8">
        <w:rPr>
          <w:rFonts w:eastAsia="Arial Unicode MS"/>
          <w:lang w:val="fr-FR"/>
        </w:rPr>
        <w:t xml:space="preserve">échappement sans modifier de manière sensible la </w:t>
      </w:r>
      <w:proofErr w:type="spellStart"/>
      <w:r>
        <w:rPr>
          <w:rFonts w:eastAsia="Arial Unicode MS"/>
          <w:lang w:val="fr-FR"/>
        </w:rPr>
        <w:t>contre</w:t>
      </w:r>
      <w:r w:rsidRPr="00A779B8">
        <w:rPr>
          <w:rFonts w:eastAsia="Arial Unicode MS"/>
          <w:lang w:val="fr-FR"/>
        </w:rPr>
        <w:t>pression</w:t>
      </w:r>
      <w:proofErr w:type="spellEnd"/>
      <w:r w:rsidRPr="00A779B8">
        <w:rPr>
          <w:rFonts w:eastAsia="Arial Unicode MS"/>
          <w:lang w:val="fr-FR"/>
        </w:rPr>
        <w:t xml:space="preserve"> à la sortie du tuyau d</w:t>
      </w:r>
      <w:r w:rsidR="00DB4C2D">
        <w:rPr>
          <w:rFonts w:eastAsia="Arial Unicode MS"/>
          <w:lang w:val="fr-FR"/>
        </w:rPr>
        <w:t>’</w:t>
      </w:r>
      <w:r w:rsidRPr="00A779B8">
        <w:rPr>
          <w:rFonts w:eastAsia="Arial Unicode MS"/>
          <w:lang w:val="fr-FR"/>
        </w:rPr>
        <w:t>échappement.</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1.2.8</w:t>
      </w:r>
      <w:r w:rsidRPr="00A779B8">
        <w:rPr>
          <w:rFonts w:eastAsia="Arial Unicode MS"/>
          <w:lang w:val="fr-FR"/>
        </w:rPr>
        <w:tab/>
        <w:t>Le tuyau reliant le véhicule au système de dilution doit être conçu de manière à réduire le plus possible les pertes thermiques.</w:t>
      </w:r>
    </w:p>
    <w:p w:rsidR="00D335D4" w:rsidRPr="00A779B8" w:rsidRDefault="00D335D4" w:rsidP="00D335D4">
      <w:pPr>
        <w:pStyle w:val="SingleTxtG"/>
        <w:keepNext/>
        <w:ind w:left="2268" w:hanging="1134"/>
        <w:jc w:val="left"/>
        <w:rPr>
          <w:rFonts w:eastAsia="Arial Unicode MS"/>
          <w:lang w:val="fr-FR"/>
        </w:rPr>
      </w:pPr>
      <w:r w:rsidRPr="00A779B8">
        <w:rPr>
          <w:rFonts w:eastAsia="Arial Unicode MS"/>
          <w:lang w:val="fr-FR"/>
        </w:rPr>
        <w:t>1.3</w:t>
      </w:r>
      <w:r w:rsidRPr="00A779B8">
        <w:rPr>
          <w:rFonts w:eastAsia="Arial Unicode MS"/>
          <w:lang w:val="fr-FR"/>
        </w:rPr>
        <w:tab/>
        <w:t>Prescriptions particulières</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1.3.1</w:t>
      </w:r>
      <w:r w:rsidRPr="00A779B8">
        <w:rPr>
          <w:rFonts w:eastAsia="Arial Unicode MS"/>
          <w:lang w:val="fr-FR"/>
        </w:rPr>
        <w:tab/>
        <w:t>Raccordement au(x) tuyau(x) d</w:t>
      </w:r>
      <w:r w:rsidR="00DB4C2D">
        <w:rPr>
          <w:rFonts w:eastAsia="Arial Unicode MS"/>
          <w:lang w:val="fr-FR"/>
        </w:rPr>
        <w:t>’</w:t>
      </w:r>
      <w:r w:rsidRPr="00A779B8">
        <w:rPr>
          <w:rFonts w:eastAsia="Arial Unicode MS"/>
          <w:lang w:val="fr-FR"/>
        </w:rPr>
        <w:t>échappement</w:t>
      </w:r>
    </w:p>
    <w:p w:rsidR="00D335D4" w:rsidRPr="00A779B8" w:rsidRDefault="00D335D4" w:rsidP="00D335D4">
      <w:pPr>
        <w:pStyle w:val="SingleTxtG"/>
        <w:ind w:left="2268"/>
        <w:rPr>
          <w:rFonts w:eastAsia="Arial Unicode MS"/>
          <w:lang w:val="fr-FR"/>
        </w:rPr>
      </w:pPr>
      <w:r w:rsidRPr="00A779B8">
        <w:rPr>
          <w:lang w:val="fr-FR"/>
        </w:rPr>
        <w:t>Le tuyau de raccordement entre la ou les sorties d</w:t>
      </w:r>
      <w:r w:rsidR="00DB4C2D">
        <w:rPr>
          <w:lang w:val="fr-FR"/>
        </w:rPr>
        <w:t>’</w:t>
      </w:r>
      <w:r w:rsidRPr="00A779B8">
        <w:rPr>
          <w:lang w:val="fr-FR"/>
        </w:rPr>
        <w:t>échappement du véhicule et le système de dilution doit être aussi court que possible et doit satisfaire aux prescriptions suivantes:</w:t>
      </w:r>
    </w:p>
    <w:p w:rsidR="00D335D4" w:rsidRPr="00A779B8" w:rsidRDefault="00D335D4" w:rsidP="00D335D4">
      <w:pPr>
        <w:pStyle w:val="SingleTxtG"/>
        <w:ind w:left="2835" w:hanging="567"/>
        <w:rPr>
          <w:rFonts w:eastAsia="Arial Unicode MS"/>
          <w:lang w:val="fr-FR"/>
        </w:rPr>
      </w:pPr>
      <w:r w:rsidRPr="00A779B8">
        <w:rPr>
          <w:rFonts w:eastAsia="Arial Unicode MS"/>
          <w:lang w:val="fr-FR"/>
        </w:rPr>
        <w:t>a)</w:t>
      </w:r>
      <w:r w:rsidRPr="00A779B8">
        <w:rPr>
          <w:rFonts w:eastAsia="Arial Unicode MS"/>
          <w:lang w:val="fr-FR"/>
        </w:rPr>
        <w:tab/>
        <w:t xml:space="preserve">Il doit </w:t>
      </w:r>
      <w:r w:rsidRPr="00A779B8">
        <w:rPr>
          <w:lang w:val="fr-FR"/>
        </w:rPr>
        <w:t>avoir une longueur inférieure à 3,6 m ou à 6,1 m s</w:t>
      </w:r>
      <w:r w:rsidR="00DB4C2D">
        <w:rPr>
          <w:lang w:val="fr-FR"/>
        </w:rPr>
        <w:t>’</w:t>
      </w:r>
      <w:r w:rsidRPr="00A779B8">
        <w:rPr>
          <w:lang w:val="fr-FR"/>
        </w:rPr>
        <w:t>il est isolé thermiquement. Son diamètre intérieur ne peut dépasser 105 mm;</w:t>
      </w:r>
    </w:p>
    <w:p w:rsidR="00D335D4" w:rsidRPr="00A779B8" w:rsidRDefault="00D335D4" w:rsidP="00D335D4">
      <w:pPr>
        <w:pStyle w:val="SingleTxtG"/>
        <w:ind w:left="2835" w:hanging="567"/>
        <w:rPr>
          <w:rFonts w:eastAsia="Arial Unicode MS"/>
          <w:lang w:val="fr-FR"/>
        </w:rPr>
      </w:pPr>
      <w:r w:rsidRPr="00A779B8">
        <w:rPr>
          <w:rFonts w:eastAsia="Arial Unicode MS"/>
          <w:lang w:val="fr-FR"/>
        </w:rPr>
        <w:t>b)</w:t>
      </w:r>
      <w:r w:rsidRPr="00A779B8">
        <w:rPr>
          <w:rFonts w:eastAsia="Arial Unicode MS"/>
          <w:lang w:val="fr-FR"/>
        </w:rPr>
        <w:tab/>
        <w:t xml:space="preserve">Il ne doit pas </w:t>
      </w:r>
      <w:r w:rsidRPr="00A779B8">
        <w:rPr>
          <w:lang w:val="fr-FR"/>
        </w:rPr>
        <w:t>modifier la pression statique à la ou aux sorties d</w:t>
      </w:r>
      <w:r w:rsidR="00DB4C2D">
        <w:rPr>
          <w:lang w:val="fr-FR"/>
        </w:rPr>
        <w:t>’</w:t>
      </w:r>
      <w:r w:rsidRPr="00A779B8">
        <w:rPr>
          <w:lang w:val="fr-FR"/>
        </w:rPr>
        <w:t>échappement du véhicule d</w:t>
      </w:r>
      <w:r w:rsidR="00DB4C2D">
        <w:rPr>
          <w:lang w:val="fr-FR"/>
        </w:rPr>
        <w:t>’</w:t>
      </w:r>
      <w:r w:rsidRPr="00A779B8">
        <w:rPr>
          <w:lang w:val="fr-FR"/>
        </w:rPr>
        <w:t xml:space="preserve">essai de plus de </w:t>
      </w:r>
      <w:r w:rsidRPr="00A779B8">
        <w:rPr>
          <w:lang w:val="fr-FR"/>
        </w:rPr>
        <w:sym w:font="Symbol" w:char="F0B1"/>
      </w:r>
      <w:r w:rsidRPr="00A779B8">
        <w:rPr>
          <w:lang w:val="fr-FR"/>
        </w:rPr>
        <w:t xml:space="preserve">0,75 kPa à 50 km/h ou de plus de </w:t>
      </w:r>
      <w:r w:rsidRPr="00A779B8">
        <w:rPr>
          <w:lang w:val="fr-FR"/>
        </w:rPr>
        <w:sym w:font="Symbol" w:char="F0B1"/>
      </w:r>
      <w:r w:rsidRPr="00A779B8">
        <w:rPr>
          <w:lang w:val="fr-FR"/>
        </w:rPr>
        <w:t>1,25 kPa sur toute la durée de l</w:t>
      </w:r>
      <w:r w:rsidR="00DB4C2D">
        <w:rPr>
          <w:lang w:val="fr-FR"/>
        </w:rPr>
        <w:t>’</w:t>
      </w:r>
      <w:r w:rsidRPr="00A779B8">
        <w:rPr>
          <w:lang w:val="fr-FR"/>
        </w:rPr>
        <w:t>essai, par rapport aux pressions statiques enregistrées lorsque les sorties d</w:t>
      </w:r>
      <w:r w:rsidR="00DB4C2D">
        <w:rPr>
          <w:lang w:val="fr-FR"/>
        </w:rPr>
        <w:t>’</w:t>
      </w:r>
      <w:r w:rsidRPr="00A779B8">
        <w:rPr>
          <w:lang w:val="fr-FR"/>
        </w:rPr>
        <w:t>échappement du véhicule sont libres. La pression doit être mesurée dans le tuyau de sortie d</w:t>
      </w:r>
      <w:r w:rsidR="00DB4C2D">
        <w:rPr>
          <w:lang w:val="fr-FR"/>
        </w:rPr>
        <w:t>’</w:t>
      </w:r>
      <w:r w:rsidRPr="00A779B8">
        <w:rPr>
          <w:lang w:val="fr-FR"/>
        </w:rPr>
        <w:t xml:space="preserve">échappement ou dans une </w:t>
      </w:r>
      <w:r w:rsidRPr="00A779B8">
        <w:rPr>
          <w:rFonts w:eastAsia="Arial Unicode MS"/>
          <w:lang w:val="fr-FR"/>
        </w:rPr>
        <w:t>rallonge</w:t>
      </w:r>
      <w:r w:rsidRPr="00A779B8">
        <w:rPr>
          <w:lang w:val="fr-FR"/>
        </w:rPr>
        <w:t xml:space="preserve"> ayant le même diamètre, aussi près que possible de l</w:t>
      </w:r>
      <w:r w:rsidR="00DB4C2D">
        <w:rPr>
          <w:lang w:val="fr-FR"/>
        </w:rPr>
        <w:t>’</w:t>
      </w:r>
      <w:r w:rsidRPr="00A779B8">
        <w:rPr>
          <w:lang w:val="fr-FR"/>
        </w:rPr>
        <w:t>extrémité du tuyau</w:t>
      </w:r>
      <w:r w:rsidRPr="00A779B8">
        <w:rPr>
          <w:rFonts w:eastAsia="Arial Unicode MS"/>
          <w:lang w:val="fr-FR"/>
        </w:rPr>
        <w:t xml:space="preserve">. </w:t>
      </w:r>
      <w:r w:rsidRPr="00A779B8">
        <w:rPr>
          <w:lang w:val="fr-FR"/>
        </w:rPr>
        <w:t>Un appareillage de prélèvement permettant d</w:t>
      </w:r>
      <w:r w:rsidR="00DB4C2D">
        <w:rPr>
          <w:lang w:val="fr-FR"/>
        </w:rPr>
        <w:t>’</w:t>
      </w:r>
      <w:r w:rsidRPr="00A779B8">
        <w:rPr>
          <w:lang w:val="fr-FR"/>
        </w:rPr>
        <w:t xml:space="preserve">abaisser ces tolérances à </w:t>
      </w:r>
      <w:r w:rsidRPr="00A779B8">
        <w:rPr>
          <w:lang w:val="fr-FR"/>
        </w:rPr>
        <w:sym w:font="Symbol" w:char="F0B1"/>
      </w:r>
      <w:r w:rsidRPr="00A779B8">
        <w:rPr>
          <w:lang w:val="fr-FR"/>
        </w:rPr>
        <w:t>0,25 kPa peut être utilisé si le constructeur le demande par écrit au service technique, en démontrant la nécessité de cet abaissement;</w:t>
      </w:r>
    </w:p>
    <w:p w:rsidR="00D335D4" w:rsidRPr="00A779B8" w:rsidRDefault="00D335D4" w:rsidP="00D335D4">
      <w:pPr>
        <w:pStyle w:val="SingleTxtG"/>
        <w:ind w:left="2835" w:hanging="567"/>
        <w:rPr>
          <w:rFonts w:eastAsia="Arial Unicode MS"/>
          <w:lang w:val="fr-FR"/>
        </w:rPr>
      </w:pPr>
      <w:r w:rsidRPr="00A779B8">
        <w:rPr>
          <w:rFonts w:eastAsia="Arial Unicode MS"/>
          <w:lang w:val="fr-FR"/>
        </w:rPr>
        <w:t>c)</w:t>
      </w:r>
      <w:r w:rsidRPr="00A779B8">
        <w:rPr>
          <w:rFonts w:eastAsia="Arial Unicode MS"/>
          <w:lang w:val="fr-FR"/>
        </w:rPr>
        <w:tab/>
      </w:r>
      <w:r w:rsidRPr="00A779B8">
        <w:rPr>
          <w:lang w:val="fr-FR"/>
        </w:rPr>
        <w:t>Il ne doit pas modifier la nature du gaz d</w:t>
      </w:r>
      <w:r w:rsidR="00DB4C2D">
        <w:rPr>
          <w:lang w:val="fr-FR"/>
        </w:rPr>
        <w:t>’</w:t>
      </w:r>
      <w:r w:rsidRPr="00A779B8">
        <w:rPr>
          <w:lang w:val="fr-FR"/>
        </w:rPr>
        <w:t>échappement;</w:t>
      </w:r>
    </w:p>
    <w:p w:rsidR="00D335D4" w:rsidRPr="00A779B8" w:rsidRDefault="00D335D4" w:rsidP="00D335D4">
      <w:pPr>
        <w:pStyle w:val="SingleTxtG"/>
        <w:ind w:left="2835" w:hanging="567"/>
        <w:rPr>
          <w:rFonts w:eastAsia="Arial Unicode MS"/>
          <w:lang w:val="fr-FR"/>
        </w:rPr>
      </w:pPr>
      <w:r w:rsidRPr="00A779B8">
        <w:rPr>
          <w:rFonts w:eastAsia="Arial Unicode MS"/>
          <w:lang w:val="fr-FR"/>
        </w:rPr>
        <w:t>d)</w:t>
      </w:r>
      <w:r w:rsidRPr="00A779B8">
        <w:rPr>
          <w:rFonts w:eastAsia="Arial Unicode MS"/>
          <w:lang w:val="fr-FR"/>
        </w:rPr>
        <w:tab/>
        <w:t>Tous les raccords en élastomère utilisés doivent être aussi stables que possible thermiquement et être exposés le moins possible aux gaz d</w:t>
      </w:r>
      <w:r w:rsidR="00DB4C2D">
        <w:rPr>
          <w:rFonts w:eastAsia="Arial Unicode MS"/>
          <w:lang w:val="fr-FR"/>
        </w:rPr>
        <w:t>’</w:t>
      </w:r>
      <w:r w:rsidRPr="00A779B8">
        <w:rPr>
          <w:rFonts w:eastAsia="Arial Unicode MS"/>
          <w:lang w:val="fr-FR"/>
        </w:rPr>
        <w:t>échappement.</w:t>
      </w:r>
    </w:p>
    <w:p w:rsidR="00D335D4" w:rsidRPr="00A779B8" w:rsidRDefault="00D335D4" w:rsidP="00D335D4">
      <w:pPr>
        <w:pStyle w:val="SingleTxtG"/>
        <w:keepNext/>
        <w:ind w:left="2268" w:hanging="1134"/>
        <w:jc w:val="left"/>
        <w:rPr>
          <w:rFonts w:eastAsia="Arial Unicode MS"/>
          <w:lang w:val="fr-FR"/>
        </w:rPr>
      </w:pPr>
      <w:r w:rsidRPr="00A779B8">
        <w:rPr>
          <w:rFonts w:eastAsia="Arial Unicode MS"/>
          <w:lang w:val="fr-FR"/>
        </w:rPr>
        <w:t>1.3.2</w:t>
      </w:r>
      <w:r w:rsidRPr="00A779B8">
        <w:rPr>
          <w:rFonts w:eastAsia="Arial Unicode MS"/>
          <w:lang w:val="fr-FR"/>
        </w:rPr>
        <w:tab/>
        <w:t>Conditionnement de l</w:t>
      </w:r>
      <w:r w:rsidR="00DB4C2D">
        <w:rPr>
          <w:rFonts w:eastAsia="Arial Unicode MS"/>
          <w:lang w:val="fr-FR"/>
        </w:rPr>
        <w:t>’</w:t>
      </w:r>
      <w:r w:rsidRPr="00A779B8">
        <w:rPr>
          <w:rFonts w:eastAsia="Arial Unicode MS"/>
          <w:lang w:val="fr-FR"/>
        </w:rPr>
        <w:t>air de dilution</w:t>
      </w:r>
    </w:p>
    <w:p w:rsidR="00D335D4" w:rsidRPr="00A779B8" w:rsidRDefault="00D335D4" w:rsidP="00D335D4">
      <w:pPr>
        <w:pStyle w:val="SingleTxtG"/>
        <w:ind w:left="2268"/>
        <w:rPr>
          <w:rFonts w:eastAsia="Arial Unicode MS"/>
          <w:lang w:val="fr-FR"/>
        </w:rPr>
      </w:pPr>
      <w:r w:rsidRPr="00A779B8">
        <w:rPr>
          <w:lang w:val="fr-FR"/>
        </w:rPr>
        <w:t>On doit faire passer l</w:t>
      </w:r>
      <w:r w:rsidR="00DB4C2D">
        <w:rPr>
          <w:lang w:val="fr-FR"/>
        </w:rPr>
        <w:t>’</w:t>
      </w:r>
      <w:r w:rsidRPr="00A779B8">
        <w:rPr>
          <w:lang w:val="fr-FR"/>
        </w:rPr>
        <w:t>air de dilution utilisé pour la dilution primaire dans le tunnel</w:t>
      </w:r>
      <w:r w:rsidRPr="00A779B8">
        <w:rPr>
          <w:rFonts w:eastAsia="Arial Unicode MS"/>
          <w:lang w:val="fr-FR"/>
        </w:rPr>
        <w:t xml:space="preserve"> de prélèvement à volume constant (tunnel CVS) à travers un dispositif dont le matériau filtrant soit capable de capturer au moins ≥99,95 % des </w:t>
      </w:r>
      <w:r w:rsidRPr="00A779B8">
        <w:rPr>
          <w:lang w:val="fr-FR"/>
        </w:rPr>
        <w:t>particules les plus pénétrante</w:t>
      </w:r>
      <w:r w:rsidRPr="00A779B8">
        <w:rPr>
          <w:rFonts w:eastAsia="Arial Unicode MS"/>
          <w:lang w:val="fr-FR"/>
        </w:rPr>
        <w:t>s ou à travers un filtre qui appartienne au minimum à la classe H13 telle qu</w:t>
      </w:r>
      <w:r w:rsidR="00DB4C2D">
        <w:rPr>
          <w:rFonts w:eastAsia="Arial Unicode MS"/>
          <w:lang w:val="fr-FR"/>
        </w:rPr>
        <w:t>’</w:t>
      </w:r>
      <w:r w:rsidRPr="00A779B8">
        <w:rPr>
          <w:rFonts w:eastAsia="Arial Unicode MS"/>
          <w:lang w:val="fr-FR"/>
        </w:rPr>
        <w:t>elle est définie par la norme européenne EN 1822:</w:t>
      </w:r>
      <w:r w:rsidRPr="00A779B8">
        <w:rPr>
          <w:rFonts w:eastAsia="Arial Unicode MS"/>
          <w:bCs/>
          <w:lang w:val="fr-FR"/>
        </w:rPr>
        <w:t>1998</w:t>
      </w:r>
      <w:r w:rsidRPr="00A779B8">
        <w:rPr>
          <w:rFonts w:eastAsia="Arial Unicode MS"/>
          <w:lang w:val="fr-FR"/>
        </w:rPr>
        <w:t>, c</w:t>
      </w:r>
      <w:r w:rsidR="00DB4C2D">
        <w:rPr>
          <w:rFonts w:eastAsia="Arial Unicode MS"/>
          <w:lang w:val="fr-FR"/>
        </w:rPr>
        <w:t>’</w:t>
      </w:r>
      <w:r w:rsidRPr="00A779B8">
        <w:rPr>
          <w:rFonts w:eastAsia="Arial Unicode MS"/>
          <w:lang w:val="fr-FR"/>
        </w:rPr>
        <w:t>est-à-dire à travers un dispositif qui satisfasse aux spécifications des filtres à très haute efficacité (filtres THE). Il est possible d</w:t>
      </w:r>
      <w:r w:rsidR="00DB4C2D">
        <w:rPr>
          <w:rFonts w:eastAsia="Arial Unicode MS"/>
          <w:lang w:val="fr-FR"/>
        </w:rPr>
        <w:t>’</w:t>
      </w:r>
      <w:r w:rsidRPr="00A779B8">
        <w:rPr>
          <w:rFonts w:eastAsia="Arial Unicode MS"/>
          <w:lang w:val="fr-FR"/>
        </w:rPr>
        <w:t>épurer l</w:t>
      </w:r>
      <w:r w:rsidR="00DB4C2D">
        <w:rPr>
          <w:rFonts w:eastAsia="Arial Unicode MS"/>
          <w:lang w:val="fr-FR"/>
        </w:rPr>
        <w:t>’</w:t>
      </w:r>
      <w:r w:rsidRPr="00A779B8">
        <w:rPr>
          <w:rFonts w:eastAsia="Arial Unicode MS"/>
          <w:lang w:val="fr-FR"/>
        </w:rPr>
        <w:t>air de dilution au charbon de bois avant de le faire passer dans le filtre THE. Dans ce cas, il est recommandé de placer un filtre supplémentaire à particules grossières avant le filtre THE et après l</w:t>
      </w:r>
      <w:r w:rsidR="00DB4C2D">
        <w:rPr>
          <w:rFonts w:eastAsia="Arial Unicode MS"/>
          <w:lang w:val="fr-FR"/>
        </w:rPr>
        <w:t>’</w:t>
      </w:r>
      <w:r w:rsidRPr="00A779B8">
        <w:rPr>
          <w:rFonts w:eastAsia="Arial Unicode MS"/>
          <w:lang w:val="fr-FR"/>
        </w:rPr>
        <w:t>épurateur à charbon de bois s</w:t>
      </w:r>
      <w:r w:rsidR="00DB4C2D">
        <w:rPr>
          <w:rFonts w:eastAsia="Arial Unicode MS"/>
          <w:lang w:val="fr-FR"/>
        </w:rPr>
        <w:t>’</w:t>
      </w:r>
      <w:r w:rsidRPr="00A779B8">
        <w:rPr>
          <w:rFonts w:eastAsia="Arial Unicode MS"/>
          <w:lang w:val="fr-FR"/>
        </w:rPr>
        <w:t>il existe.</w:t>
      </w:r>
    </w:p>
    <w:p w:rsidR="00D335D4" w:rsidRPr="00A779B8" w:rsidRDefault="00D335D4" w:rsidP="00D335D4">
      <w:pPr>
        <w:pStyle w:val="SingleTxtG"/>
        <w:keepLines/>
        <w:ind w:left="2268"/>
        <w:rPr>
          <w:rFonts w:eastAsia="Arial Unicode MS"/>
          <w:lang w:val="fr-FR"/>
        </w:rPr>
      </w:pPr>
      <w:r w:rsidRPr="00A779B8">
        <w:rPr>
          <w:rFonts w:eastAsia="Arial Unicode MS"/>
          <w:lang w:val="fr-FR"/>
        </w:rPr>
        <w:t>À la demande du constructeur du véhicule, l</w:t>
      </w:r>
      <w:r w:rsidR="00DB4C2D">
        <w:rPr>
          <w:rFonts w:eastAsia="Arial Unicode MS"/>
          <w:lang w:val="fr-FR"/>
        </w:rPr>
        <w:t>’</w:t>
      </w:r>
      <w:r w:rsidRPr="00A779B8">
        <w:rPr>
          <w:rFonts w:eastAsia="Arial Unicode MS"/>
          <w:lang w:val="fr-FR"/>
        </w:rPr>
        <w:t>air de dilution peut être prélevé et analysé dans les règles de l</w:t>
      </w:r>
      <w:r w:rsidR="00DB4C2D">
        <w:rPr>
          <w:rFonts w:eastAsia="Arial Unicode MS"/>
          <w:lang w:val="fr-FR"/>
        </w:rPr>
        <w:t>’</w:t>
      </w:r>
      <w:r w:rsidRPr="00A779B8">
        <w:rPr>
          <w:rFonts w:eastAsia="Arial Unicode MS"/>
          <w:lang w:val="fr-FR"/>
        </w:rPr>
        <w:t>art pour déterminer les quantités de particules ambiantes présentes dans le tunnel, qui peuvent ensuite être soustraites des valeurs mesurées dans les gaz d</w:t>
      </w:r>
      <w:r w:rsidR="00DB4C2D">
        <w:rPr>
          <w:rFonts w:eastAsia="Arial Unicode MS"/>
          <w:lang w:val="fr-FR"/>
        </w:rPr>
        <w:t>’</w:t>
      </w:r>
      <w:r w:rsidRPr="00A779B8">
        <w:rPr>
          <w:rFonts w:eastAsia="Arial Unicode MS"/>
          <w:lang w:val="fr-FR"/>
        </w:rPr>
        <w:t xml:space="preserve">échappement dilués. </w:t>
      </w:r>
    </w:p>
    <w:p w:rsidR="00D335D4" w:rsidRPr="00A779B8" w:rsidRDefault="00D335D4" w:rsidP="00D335D4">
      <w:pPr>
        <w:pStyle w:val="SingleTxtG"/>
        <w:keepNext/>
        <w:keepLines/>
        <w:ind w:left="2268" w:hanging="1134"/>
        <w:jc w:val="left"/>
        <w:rPr>
          <w:rFonts w:eastAsia="Arial Unicode MS"/>
          <w:lang w:val="fr-FR"/>
        </w:rPr>
      </w:pPr>
      <w:r w:rsidRPr="00A779B8">
        <w:rPr>
          <w:rFonts w:eastAsia="Arial Unicode MS"/>
          <w:lang w:val="fr-FR"/>
        </w:rPr>
        <w:lastRenderedPageBreak/>
        <w:t>1.3.3</w:t>
      </w:r>
      <w:r w:rsidRPr="00A779B8">
        <w:rPr>
          <w:rFonts w:eastAsia="Arial Unicode MS"/>
          <w:lang w:val="fr-FR"/>
        </w:rPr>
        <w:tab/>
        <w:t>Tunnel de dilution</w:t>
      </w:r>
    </w:p>
    <w:p w:rsidR="00D335D4" w:rsidRPr="00A779B8" w:rsidRDefault="00D335D4" w:rsidP="00D335D4">
      <w:pPr>
        <w:pStyle w:val="SingleTxtG"/>
        <w:spacing w:after="100"/>
        <w:ind w:left="2268"/>
        <w:rPr>
          <w:rFonts w:eastAsia="Arial Unicode MS"/>
          <w:lang w:val="fr-FR"/>
        </w:rPr>
      </w:pPr>
      <w:r w:rsidRPr="00A779B8">
        <w:rPr>
          <w:rFonts w:eastAsia="Arial Unicode MS"/>
          <w:lang w:val="fr-FR"/>
        </w:rPr>
        <w:t>Des dispositions doivent être prises pour mélanger les gaz d</w:t>
      </w:r>
      <w:r w:rsidR="00DB4C2D">
        <w:rPr>
          <w:rFonts w:eastAsia="Arial Unicode MS"/>
          <w:lang w:val="fr-FR"/>
        </w:rPr>
        <w:t>’</w:t>
      </w:r>
      <w:r w:rsidRPr="00A779B8">
        <w:rPr>
          <w:rFonts w:eastAsia="Arial Unicode MS"/>
          <w:lang w:val="fr-FR"/>
        </w:rPr>
        <w:t>échappement du véhicule et l</w:t>
      </w:r>
      <w:r w:rsidR="00DB4C2D">
        <w:rPr>
          <w:rFonts w:eastAsia="Arial Unicode MS"/>
          <w:lang w:val="fr-FR"/>
        </w:rPr>
        <w:t>’</w:t>
      </w:r>
      <w:r w:rsidRPr="00A779B8">
        <w:rPr>
          <w:rFonts w:eastAsia="Arial Unicode MS"/>
          <w:lang w:val="fr-FR"/>
        </w:rPr>
        <w:t>air de dilution. On peut utiliser une buse mélangeuse.</w:t>
      </w:r>
    </w:p>
    <w:p w:rsidR="00D335D4" w:rsidRPr="00A779B8" w:rsidRDefault="00D335D4" w:rsidP="00D335D4">
      <w:pPr>
        <w:pStyle w:val="SingleTxtG"/>
        <w:spacing w:after="100"/>
        <w:ind w:left="2268"/>
        <w:rPr>
          <w:rFonts w:eastAsia="Arial Unicode MS"/>
          <w:lang w:val="fr-FR"/>
        </w:rPr>
      </w:pPr>
      <w:r w:rsidRPr="00A779B8">
        <w:rPr>
          <w:rFonts w:eastAsia="Arial Unicode MS"/>
          <w:lang w:val="fr-FR"/>
        </w:rPr>
        <w:t>La pression au point de mélange ne doit pas s</w:t>
      </w:r>
      <w:r w:rsidR="00DB4C2D">
        <w:rPr>
          <w:rFonts w:eastAsia="Arial Unicode MS"/>
          <w:lang w:val="fr-FR"/>
        </w:rPr>
        <w:t>’</w:t>
      </w:r>
      <w:r w:rsidRPr="00A779B8">
        <w:rPr>
          <w:rFonts w:eastAsia="Arial Unicode MS"/>
          <w:lang w:val="fr-FR"/>
        </w:rPr>
        <w:t xml:space="preserve">écarter de plus de </w:t>
      </w:r>
      <w:r w:rsidRPr="00A779B8">
        <w:rPr>
          <w:lang w:val="fr-FR"/>
        </w:rPr>
        <w:sym w:font="Symbol" w:char="F0B1"/>
      </w:r>
      <w:r w:rsidRPr="00A779B8">
        <w:rPr>
          <w:rFonts w:eastAsia="Arial Unicode MS"/>
          <w:lang w:val="fr-FR"/>
        </w:rPr>
        <w:t>0,25 kPa de la pression atmosphérique pour réduire le plus possible les effets sur les conditions à la sortie d</w:t>
      </w:r>
      <w:r w:rsidR="00DB4C2D">
        <w:rPr>
          <w:rFonts w:eastAsia="Arial Unicode MS"/>
          <w:lang w:val="fr-FR"/>
        </w:rPr>
        <w:t>’</w:t>
      </w:r>
      <w:r w:rsidRPr="00A779B8">
        <w:rPr>
          <w:rFonts w:eastAsia="Arial Unicode MS"/>
          <w:lang w:val="fr-FR"/>
        </w:rPr>
        <w:t>échappement et pour limiter la chute de pression dans l</w:t>
      </w:r>
      <w:r w:rsidR="00DB4C2D">
        <w:rPr>
          <w:rFonts w:eastAsia="Arial Unicode MS"/>
          <w:lang w:val="fr-FR"/>
        </w:rPr>
        <w:t>’</w:t>
      </w:r>
      <w:r w:rsidRPr="00A779B8">
        <w:rPr>
          <w:rFonts w:eastAsia="Arial Unicode MS"/>
          <w:lang w:val="fr-FR"/>
        </w:rPr>
        <w:t>appareil de conditionnement de l</w:t>
      </w:r>
      <w:r w:rsidR="00DB4C2D">
        <w:rPr>
          <w:rFonts w:eastAsia="Arial Unicode MS"/>
          <w:lang w:val="fr-FR"/>
        </w:rPr>
        <w:t>’</w:t>
      </w:r>
      <w:r w:rsidRPr="00A779B8">
        <w:rPr>
          <w:rFonts w:eastAsia="Arial Unicode MS"/>
          <w:lang w:val="fr-FR"/>
        </w:rPr>
        <w:t>air de dilution, s</w:t>
      </w:r>
      <w:r w:rsidR="00DB4C2D">
        <w:rPr>
          <w:rFonts w:eastAsia="Arial Unicode MS"/>
          <w:lang w:val="fr-FR"/>
        </w:rPr>
        <w:t>’</w:t>
      </w:r>
      <w:r w:rsidRPr="00A779B8">
        <w:rPr>
          <w:rFonts w:eastAsia="Arial Unicode MS"/>
          <w:lang w:val="fr-FR"/>
        </w:rPr>
        <w:t>il existe.</w:t>
      </w:r>
    </w:p>
    <w:p w:rsidR="00D335D4" w:rsidRPr="00A779B8" w:rsidRDefault="00D335D4" w:rsidP="00D335D4">
      <w:pPr>
        <w:pStyle w:val="SingleTxtG"/>
        <w:spacing w:after="100"/>
        <w:ind w:left="2268"/>
        <w:rPr>
          <w:rFonts w:eastAsia="Arial Unicode MS"/>
          <w:lang w:val="fr-FR"/>
        </w:rPr>
      </w:pPr>
      <w:r w:rsidRPr="00A779B8">
        <w:rPr>
          <w:rFonts w:eastAsia="Arial Unicode MS"/>
          <w:lang w:val="fr-FR"/>
        </w:rPr>
        <w:t>L</w:t>
      </w:r>
      <w:r w:rsidR="00DB4C2D">
        <w:rPr>
          <w:rFonts w:eastAsia="Arial Unicode MS"/>
          <w:lang w:val="fr-FR"/>
        </w:rPr>
        <w:t>’</w:t>
      </w:r>
      <w:r w:rsidRPr="00A779B8">
        <w:rPr>
          <w:rFonts w:eastAsia="Arial Unicode MS"/>
          <w:lang w:val="fr-FR"/>
        </w:rPr>
        <w:t>homogénéité</w:t>
      </w:r>
      <w:r w:rsidRPr="00A779B8">
        <w:rPr>
          <w:lang w:val="fr-FR"/>
        </w:rPr>
        <w:t xml:space="preserve"> du mélange dans une coupe transversale quelconque au niveau de la sonde de prélèvement ne doit pas s</w:t>
      </w:r>
      <w:r w:rsidR="00DB4C2D">
        <w:rPr>
          <w:lang w:val="fr-FR"/>
        </w:rPr>
        <w:t>’</w:t>
      </w:r>
      <w:r w:rsidRPr="00A779B8">
        <w:rPr>
          <w:lang w:val="fr-FR"/>
        </w:rPr>
        <w:t xml:space="preserve">écarter de plus de </w:t>
      </w:r>
      <w:r w:rsidRPr="00A779B8">
        <w:rPr>
          <w:lang w:val="fr-FR"/>
        </w:rPr>
        <w:sym w:font="Symbol" w:char="F0B1"/>
      </w:r>
      <w:r w:rsidRPr="00A779B8">
        <w:rPr>
          <w:lang w:val="fr-FR"/>
        </w:rPr>
        <w:t>2 % de la valeur moyenne obtenue en cinq points au moins situés à des intervalles égaux sur le diamètre de la veine de gaz</w:t>
      </w:r>
      <w:r w:rsidRPr="00A779B8">
        <w:rPr>
          <w:rFonts w:eastAsia="Arial Unicode MS"/>
          <w:lang w:val="fr-FR"/>
        </w:rPr>
        <w:t>.</w:t>
      </w:r>
    </w:p>
    <w:p w:rsidR="00D335D4" w:rsidRPr="00A779B8" w:rsidRDefault="00D335D4" w:rsidP="00D335D4">
      <w:pPr>
        <w:pStyle w:val="SingleTxtG"/>
        <w:spacing w:after="100"/>
        <w:ind w:left="2268"/>
        <w:rPr>
          <w:rFonts w:eastAsia="Arial Unicode MS"/>
          <w:lang w:val="fr-FR"/>
        </w:rPr>
      </w:pPr>
      <w:r w:rsidRPr="00A779B8">
        <w:rPr>
          <w:rFonts w:eastAsia="Arial Unicode MS"/>
          <w:lang w:val="fr-FR"/>
        </w:rPr>
        <w:t xml:space="preserve">Pour le prélèvement des particules, il faut utiliser un tunnel de dilution qui: </w:t>
      </w:r>
    </w:p>
    <w:p w:rsidR="00D335D4" w:rsidRPr="00A779B8" w:rsidRDefault="00D335D4" w:rsidP="00D335D4">
      <w:pPr>
        <w:pStyle w:val="SingleTxtG"/>
        <w:spacing w:after="100"/>
        <w:ind w:left="2835" w:hanging="567"/>
        <w:rPr>
          <w:rFonts w:eastAsia="Arial Unicode MS"/>
          <w:lang w:val="fr-FR"/>
        </w:rPr>
      </w:pPr>
      <w:r w:rsidRPr="00A779B8">
        <w:rPr>
          <w:rFonts w:eastAsia="Arial Unicode MS"/>
          <w:lang w:val="fr-FR"/>
        </w:rPr>
        <w:t>a)</w:t>
      </w:r>
      <w:r w:rsidRPr="00A779B8">
        <w:rPr>
          <w:rFonts w:eastAsia="Arial Unicode MS"/>
          <w:lang w:val="fr-FR"/>
        </w:rPr>
        <w:tab/>
        <w:t xml:space="preserve">Doit </w:t>
      </w:r>
      <w:r w:rsidRPr="00A779B8">
        <w:rPr>
          <w:lang w:val="fr-FR"/>
        </w:rPr>
        <w:t>consister en un tube droit réalisé en un matériau conducteur de l</w:t>
      </w:r>
      <w:r w:rsidR="00DB4C2D">
        <w:rPr>
          <w:lang w:val="fr-FR"/>
        </w:rPr>
        <w:t>’</w:t>
      </w:r>
      <w:r w:rsidRPr="00A779B8">
        <w:rPr>
          <w:lang w:val="fr-FR"/>
        </w:rPr>
        <w:t>électricité et raccordé à la terre;</w:t>
      </w:r>
      <w:r w:rsidRPr="00A779B8">
        <w:rPr>
          <w:rFonts w:eastAsia="Arial Unicode MS"/>
          <w:lang w:val="fr-FR"/>
        </w:rPr>
        <w:t xml:space="preserve"> </w:t>
      </w:r>
    </w:p>
    <w:p w:rsidR="00D335D4" w:rsidRPr="00A779B8" w:rsidRDefault="00D335D4" w:rsidP="00D335D4">
      <w:pPr>
        <w:pStyle w:val="SingleTxtG"/>
        <w:spacing w:after="100"/>
        <w:ind w:left="2835" w:hanging="567"/>
        <w:rPr>
          <w:rFonts w:eastAsia="Arial Unicode MS"/>
          <w:lang w:val="fr-FR"/>
        </w:rPr>
      </w:pPr>
      <w:r w:rsidRPr="00A779B8">
        <w:rPr>
          <w:rFonts w:eastAsia="Arial Unicode MS"/>
          <w:lang w:val="fr-FR"/>
        </w:rPr>
        <w:t>b)</w:t>
      </w:r>
      <w:r w:rsidRPr="00A779B8">
        <w:rPr>
          <w:rFonts w:eastAsia="Arial Unicode MS"/>
          <w:lang w:val="fr-FR"/>
        </w:rPr>
        <w:tab/>
        <w:t>Doit avoir un diamètre suffisamment réduit pour engendrer des turbulences (nombre de Reynolds ≥4 000) et une longueur suffisante pour assurer le mélange complet des gaz d</w:t>
      </w:r>
      <w:r w:rsidR="00DB4C2D">
        <w:rPr>
          <w:rFonts w:eastAsia="Arial Unicode MS"/>
          <w:lang w:val="fr-FR"/>
        </w:rPr>
        <w:t>’</w:t>
      </w:r>
      <w:r w:rsidRPr="00A779B8">
        <w:rPr>
          <w:rFonts w:eastAsia="Arial Unicode MS"/>
          <w:lang w:val="fr-FR"/>
        </w:rPr>
        <w:t>échappement et de l</w:t>
      </w:r>
      <w:r w:rsidR="00DB4C2D">
        <w:rPr>
          <w:rFonts w:eastAsia="Arial Unicode MS"/>
          <w:lang w:val="fr-FR"/>
        </w:rPr>
        <w:t>’</w:t>
      </w:r>
      <w:r w:rsidRPr="00A779B8">
        <w:rPr>
          <w:rFonts w:eastAsia="Arial Unicode MS"/>
          <w:lang w:val="fr-FR"/>
        </w:rPr>
        <w:t>air de dilution;</w:t>
      </w:r>
    </w:p>
    <w:p w:rsidR="00D335D4" w:rsidRPr="00A779B8" w:rsidRDefault="00D335D4" w:rsidP="00D335D4">
      <w:pPr>
        <w:pStyle w:val="SingleTxtG"/>
        <w:spacing w:after="100"/>
        <w:ind w:left="2835" w:hanging="567"/>
        <w:rPr>
          <w:rFonts w:eastAsia="Arial Unicode MS"/>
          <w:lang w:val="fr-FR"/>
        </w:rPr>
      </w:pPr>
      <w:r w:rsidRPr="00A779B8">
        <w:rPr>
          <w:rFonts w:eastAsia="Arial Unicode MS"/>
          <w:lang w:val="fr-FR"/>
        </w:rPr>
        <w:t>c)</w:t>
      </w:r>
      <w:r w:rsidRPr="00A779B8">
        <w:rPr>
          <w:rFonts w:eastAsia="Arial Unicode MS"/>
          <w:lang w:val="fr-FR"/>
        </w:rPr>
        <w:tab/>
        <w:t>Doit avoir un diamètre d</w:t>
      </w:r>
      <w:r w:rsidR="00DB4C2D">
        <w:rPr>
          <w:rFonts w:eastAsia="Arial Unicode MS"/>
          <w:lang w:val="fr-FR"/>
        </w:rPr>
        <w:t>’</w:t>
      </w:r>
      <w:r w:rsidRPr="00A779B8">
        <w:rPr>
          <w:rFonts w:eastAsia="Arial Unicode MS"/>
          <w:lang w:val="fr-FR"/>
        </w:rPr>
        <w:t>au moins 200 mm;</w:t>
      </w:r>
    </w:p>
    <w:p w:rsidR="00D335D4" w:rsidRPr="00A779B8" w:rsidRDefault="00D335D4" w:rsidP="00D335D4">
      <w:pPr>
        <w:pStyle w:val="SingleTxtG"/>
        <w:spacing w:after="100"/>
        <w:ind w:left="2835" w:hanging="567"/>
        <w:rPr>
          <w:rFonts w:eastAsia="Arial Unicode MS"/>
          <w:lang w:val="fr-FR"/>
        </w:rPr>
      </w:pPr>
      <w:r w:rsidRPr="00A779B8">
        <w:rPr>
          <w:rFonts w:eastAsia="Arial Unicode MS"/>
          <w:lang w:val="fr-FR"/>
        </w:rPr>
        <w:t>d)</w:t>
      </w:r>
      <w:r w:rsidRPr="00A779B8">
        <w:rPr>
          <w:rFonts w:eastAsia="Arial Unicode MS"/>
          <w:lang w:val="fr-FR"/>
        </w:rPr>
        <w:tab/>
        <w:t>Peut être isolé.</w:t>
      </w:r>
    </w:p>
    <w:p w:rsidR="00D335D4" w:rsidRPr="00A779B8" w:rsidRDefault="00D335D4" w:rsidP="00D335D4">
      <w:pPr>
        <w:pStyle w:val="SingleTxtG"/>
        <w:keepNext/>
        <w:ind w:left="2268" w:hanging="1134"/>
        <w:jc w:val="left"/>
        <w:rPr>
          <w:rFonts w:eastAsia="Arial Unicode MS"/>
          <w:lang w:val="fr-FR"/>
        </w:rPr>
      </w:pPr>
      <w:r w:rsidRPr="00A779B8">
        <w:rPr>
          <w:rFonts w:eastAsia="Arial Unicode MS"/>
          <w:lang w:val="fr-FR"/>
        </w:rPr>
        <w:t>1.3.4</w:t>
      </w:r>
      <w:r w:rsidRPr="00A779B8">
        <w:rPr>
          <w:rFonts w:eastAsia="Arial Unicode MS"/>
          <w:lang w:val="fr-FR"/>
        </w:rPr>
        <w:tab/>
        <w:t>Dispositif d</w:t>
      </w:r>
      <w:r w:rsidR="00DB4C2D">
        <w:rPr>
          <w:rFonts w:eastAsia="Arial Unicode MS"/>
          <w:lang w:val="fr-FR"/>
        </w:rPr>
        <w:t>’</w:t>
      </w:r>
      <w:r w:rsidRPr="00A779B8">
        <w:rPr>
          <w:rFonts w:eastAsia="Arial Unicode MS"/>
          <w:lang w:val="fr-FR"/>
        </w:rPr>
        <w:t>aspiration</w:t>
      </w:r>
    </w:p>
    <w:p w:rsidR="00D335D4" w:rsidRPr="00A779B8" w:rsidRDefault="00D335D4" w:rsidP="00D335D4">
      <w:pPr>
        <w:pStyle w:val="SingleTxtG"/>
        <w:spacing w:after="100"/>
        <w:ind w:left="2268"/>
        <w:rPr>
          <w:rFonts w:eastAsia="Arial Unicode MS"/>
          <w:lang w:val="fr-FR"/>
        </w:rPr>
      </w:pPr>
      <w:r w:rsidRPr="00A779B8">
        <w:rPr>
          <w:rFonts w:eastAsia="Arial Unicode MS"/>
          <w:lang w:val="fr-FR"/>
        </w:rPr>
        <w:t>Ce dispositif peut avoir une gamme de vitesses fixes permettant de maintenir un débit suffisant pour empêcher la condensation de l</w:t>
      </w:r>
      <w:r w:rsidR="00DB4C2D">
        <w:rPr>
          <w:rFonts w:eastAsia="Arial Unicode MS"/>
          <w:lang w:val="fr-FR"/>
        </w:rPr>
        <w:t>’</w:t>
      </w:r>
      <w:r w:rsidRPr="00A779B8">
        <w:rPr>
          <w:rFonts w:eastAsia="Arial Unicode MS"/>
          <w:lang w:val="fr-FR"/>
        </w:rPr>
        <w:t>eau. O</w:t>
      </w:r>
      <w:r w:rsidRPr="00A779B8">
        <w:rPr>
          <w:lang w:val="fr-FR"/>
        </w:rPr>
        <w:t>n utilise en général pour cela un dispositif ayant une capacité:</w:t>
      </w:r>
    </w:p>
    <w:p w:rsidR="00D335D4" w:rsidRPr="00A779B8" w:rsidRDefault="00D335D4" w:rsidP="00D335D4">
      <w:pPr>
        <w:pStyle w:val="SingleTxtG"/>
        <w:spacing w:after="100"/>
        <w:ind w:left="2835" w:hanging="567"/>
        <w:rPr>
          <w:rFonts w:eastAsia="Arial Unicode MS"/>
          <w:lang w:val="fr-FR"/>
        </w:rPr>
      </w:pPr>
      <w:r w:rsidRPr="00A779B8">
        <w:rPr>
          <w:rFonts w:eastAsia="Arial Unicode MS"/>
          <w:lang w:val="fr-FR"/>
        </w:rPr>
        <w:t>a)</w:t>
      </w:r>
      <w:r w:rsidRPr="00A779B8">
        <w:rPr>
          <w:rFonts w:eastAsia="Arial Unicode MS"/>
          <w:lang w:val="fr-FR"/>
        </w:rPr>
        <w:tab/>
      </w:r>
      <w:r w:rsidRPr="00A779B8">
        <w:rPr>
          <w:lang w:val="fr-FR"/>
        </w:rPr>
        <w:t>Double du débit maximal de gaz d</w:t>
      </w:r>
      <w:r w:rsidR="00DB4C2D">
        <w:rPr>
          <w:lang w:val="fr-FR"/>
        </w:rPr>
        <w:t>’</w:t>
      </w:r>
      <w:r w:rsidRPr="00A779B8">
        <w:rPr>
          <w:lang w:val="fr-FR"/>
        </w:rPr>
        <w:t>échappement engendré par les phases d</w:t>
      </w:r>
      <w:r w:rsidR="00DB4C2D">
        <w:rPr>
          <w:lang w:val="fr-FR"/>
        </w:rPr>
        <w:t>’</w:t>
      </w:r>
      <w:r w:rsidRPr="00A779B8">
        <w:rPr>
          <w:lang w:val="fr-FR"/>
        </w:rPr>
        <w:t>accélération du cycle d</w:t>
      </w:r>
      <w:r w:rsidR="00DB4C2D">
        <w:rPr>
          <w:lang w:val="fr-FR"/>
        </w:rPr>
        <w:t>’</w:t>
      </w:r>
      <w:r w:rsidRPr="00A779B8">
        <w:rPr>
          <w:lang w:val="fr-FR"/>
        </w:rPr>
        <w:t>essai; ou</w:t>
      </w:r>
    </w:p>
    <w:p w:rsidR="00D335D4" w:rsidRPr="00A779B8" w:rsidRDefault="00D335D4" w:rsidP="00D335D4">
      <w:pPr>
        <w:pStyle w:val="SingleTxtG"/>
        <w:spacing w:after="100"/>
        <w:ind w:left="2835" w:hanging="567"/>
        <w:rPr>
          <w:rFonts w:eastAsia="Arial Unicode MS"/>
          <w:lang w:val="fr-FR"/>
        </w:rPr>
      </w:pPr>
      <w:r w:rsidRPr="00A779B8">
        <w:rPr>
          <w:rFonts w:eastAsia="Arial Unicode MS"/>
          <w:lang w:val="fr-FR"/>
        </w:rPr>
        <w:t>b)</w:t>
      </w:r>
      <w:r w:rsidRPr="00A779B8">
        <w:rPr>
          <w:rFonts w:eastAsia="Arial Unicode MS"/>
          <w:lang w:val="fr-FR"/>
        </w:rPr>
        <w:tab/>
      </w:r>
      <w:r w:rsidRPr="00A779B8">
        <w:rPr>
          <w:lang w:val="fr-FR"/>
        </w:rPr>
        <w:t>Suffisante pour que la concentration de CO</w:t>
      </w:r>
      <w:r w:rsidRPr="00A779B8">
        <w:rPr>
          <w:vertAlign w:val="subscript"/>
          <w:lang w:val="fr-FR"/>
        </w:rPr>
        <w:t>2</w:t>
      </w:r>
      <w:r w:rsidRPr="00A779B8">
        <w:rPr>
          <w:lang w:val="fr-FR"/>
        </w:rPr>
        <w:t xml:space="preserve"> dans le sac de prélèvement des gaz d</w:t>
      </w:r>
      <w:r w:rsidR="00DB4C2D">
        <w:rPr>
          <w:lang w:val="fr-FR"/>
        </w:rPr>
        <w:t>’</w:t>
      </w:r>
      <w:r w:rsidRPr="00A779B8">
        <w:rPr>
          <w:lang w:val="fr-FR"/>
        </w:rPr>
        <w:t>échappement dilués soit maintenue en dessous de 3 % en volume pour l</w:t>
      </w:r>
      <w:r w:rsidR="00DB4C2D">
        <w:rPr>
          <w:lang w:val="fr-FR"/>
        </w:rPr>
        <w:t>’</w:t>
      </w:r>
      <w:r w:rsidRPr="00A779B8">
        <w:rPr>
          <w:lang w:val="fr-FR"/>
        </w:rPr>
        <w:t>essence et le gazole, en dessous de 2,2 % en volume pour le GPL et en dessous de 1,5 % en volume pour le GN/</w:t>
      </w:r>
      <w:proofErr w:type="spellStart"/>
      <w:r w:rsidRPr="00A779B8">
        <w:rPr>
          <w:lang w:val="fr-FR"/>
        </w:rPr>
        <w:t>biométhane</w:t>
      </w:r>
      <w:proofErr w:type="spellEnd"/>
      <w:r w:rsidRPr="00A779B8">
        <w:rPr>
          <w:lang w:val="fr-FR"/>
        </w:rPr>
        <w:t>.</w:t>
      </w:r>
    </w:p>
    <w:p w:rsidR="00D335D4" w:rsidRPr="00A779B8" w:rsidRDefault="00D335D4" w:rsidP="00D335D4">
      <w:pPr>
        <w:pStyle w:val="SingleTxtG"/>
        <w:keepNext/>
        <w:ind w:left="2268" w:hanging="1134"/>
        <w:jc w:val="left"/>
        <w:rPr>
          <w:rFonts w:eastAsia="Arial Unicode MS"/>
          <w:lang w:val="fr-FR"/>
        </w:rPr>
      </w:pPr>
      <w:r w:rsidRPr="00A779B8">
        <w:rPr>
          <w:rFonts w:eastAsia="Arial Unicode MS"/>
          <w:lang w:val="fr-FR"/>
        </w:rPr>
        <w:t>1.3.5</w:t>
      </w:r>
      <w:r w:rsidRPr="00A779B8">
        <w:rPr>
          <w:rFonts w:eastAsia="Arial Unicode MS"/>
          <w:lang w:val="fr-FR"/>
        </w:rPr>
        <w:tab/>
        <w:t>Mesure du volume dans le système de dilution primaire</w:t>
      </w:r>
    </w:p>
    <w:p w:rsidR="00D335D4" w:rsidRPr="00A779B8" w:rsidRDefault="00D335D4" w:rsidP="00D335D4">
      <w:pPr>
        <w:pStyle w:val="SingleTxtG"/>
        <w:spacing w:after="100"/>
        <w:ind w:left="2268"/>
        <w:rPr>
          <w:lang w:val="fr-FR"/>
        </w:rPr>
      </w:pPr>
      <w:r w:rsidRPr="00A779B8">
        <w:rPr>
          <w:lang w:val="fr-FR"/>
        </w:rPr>
        <w:t>La méthode de mesure du volume total de gaz d</w:t>
      </w:r>
      <w:r w:rsidR="00DB4C2D">
        <w:rPr>
          <w:lang w:val="fr-FR"/>
        </w:rPr>
        <w:t>’</w:t>
      </w:r>
      <w:r w:rsidRPr="00A779B8">
        <w:rPr>
          <w:lang w:val="fr-FR"/>
        </w:rPr>
        <w:t>échappement dilué appliquée dans le système de prélèvement à volume constant doit être telle que l</w:t>
      </w:r>
      <w:r w:rsidR="00DB4C2D">
        <w:rPr>
          <w:lang w:val="fr-FR"/>
        </w:rPr>
        <w:t>’</w:t>
      </w:r>
      <w:r w:rsidRPr="00A779B8">
        <w:rPr>
          <w:lang w:val="fr-FR"/>
        </w:rPr>
        <w:t xml:space="preserve">exactitude soit de </w:t>
      </w:r>
      <w:r w:rsidRPr="00A779B8">
        <w:rPr>
          <w:lang w:val="fr-FR"/>
        </w:rPr>
        <w:sym w:font="Symbol" w:char="F0B1"/>
      </w:r>
      <w:r w:rsidRPr="00A779B8">
        <w:rPr>
          <w:lang w:val="fr-FR"/>
        </w:rPr>
        <w:t>2 %</w:t>
      </w:r>
      <w:r w:rsidRPr="00A779B8">
        <w:rPr>
          <w:rFonts w:eastAsia="Arial Unicode MS"/>
          <w:lang w:val="fr-FR"/>
        </w:rPr>
        <w:t xml:space="preserve"> dans toutes les conditions de fonctionnement. </w:t>
      </w:r>
      <w:r w:rsidRPr="00A779B8">
        <w:rPr>
          <w:lang w:val="fr-FR"/>
        </w:rPr>
        <w:t>Si ce dispositif ne peut pas compenser les variations de température du mélange gaz d</w:t>
      </w:r>
      <w:r w:rsidR="00DB4C2D">
        <w:rPr>
          <w:lang w:val="fr-FR"/>
        </w:rPr>
        <w:t>’</w:t>
      </w:r>
      <w:r w:rsidRPr="00A779B8">
        <w:rPr>
          <w:lang w:val="fr-FR"/>
        </w:rPr>
        <w:t xml:space="preserve">échappement-air de dilution au point de mesure, on doit utiliser un échangeur de chaleur pour maintenir la température à </w:t>
      </w:r>
      <w:r w:rsidRPr="00A779B8">
        <w:rPr>
          <w:lang w:val="fr-FR"/>
        </w:rPr>
        <w:sym w:font="Symbol" w:char="F0B1"/>
      </w:r>
      <w:r w:rsidRPr="00A779B8">
        <w:rPr>
          <w:lang w:val="fr-FR"/>
        </w:rPr>
        <w:t>6 K de la température de fonctionnement prévue.</w:t>
      </w:r>
    </w:p>
    <w:p w:rsidR="00D335D4" w:rsidRPr="00A779B8" w:rsidRDefault="00D335D4" w:rsidP="00D335D4">
      <w:pPr>
        <w:pStyle w:val="SingleTxtG"/>
        <w:spacing w:after="100"/>
        <w:ind w:left="2268"/>
        <w:rPr>
          <w:rFonts w:eastAsia="Arial Unicode MS"/>
          <w:lang w:val="fr-FR"/>
        </w:rPr>
      </w:pPr>
      <w:r w:rsidRPr="00A779B8">
        <w:rPr>
          <w:lang w:val="fr-FR"/>
        </w:rPr>
        <w:t>Si nécessaire, on peut protéger le dispositif de mesure du volume à l</w:t>
      </w:r>
      <w:r w:rsidR="00DB4C2D">
        <w:rPr>
          <w:lang w:val="fr-FR"/>
        </w:rPr>
        <w:t>’</w:t>
      </w:r>
      <w:r w:rsidRPr="00A779B8">
        <w:rPr>
          <w:lang w:val="fr-FR"/>
        </w:rPr>
        <w:t xml:space="preserve">aide de dispositifs tels que séparateur à cyclone ou filtre à particules grossières, </w:t>
      </w:r>
      <w:r w:rsidRPr="00A779B8">
        <w:rPr>
          <w:rFonts w:eastAsia="Arial Unicode MS"/>
          <w:lang w:val="fr-FR"/>
        </w:rPr>
        <w:t>etc.</w:t>
      </w:r>
    </w:p>
    <w:p w:rsidR="00D335D4" w:rsidRPr="00A779B8" w:rsidRDefault="00D335D4" w:rsidP="00D335D4">
      <w:pPr>
        <w:pStyle w:val="SingleTxtG"/>
        <w:spacing w:after="100"/>
        <w:ind w:left="2268"/>
        <w:rPr>
          <w:lang w:val="fr-FR"/>
        </w:rPr>
      </w:pPr>
      <w:r w:rsidRPr="00A779B8">
        <w:rPr>
          <w:lang w:val="fr-FR"/>
        </w:rPr>
        <w:t xml:space="preserve">Un capteur de température doit être installé immédiatement en amont du dispositif de mesure du volume. Ce capteur de température doit avoir une exactitude et une précision de </w:t>
      </w:r>
      <w:r w:rsidRPr="00A779B8">
        <w:rPr>
          <w:lang w:val="fr-FR"/>
        </w:rPr>
        <w:sym w:font="Symbol" w:char="F0B1"/>
      </w:r>
      <w:r w:rsidRPr="00A779B8">
        <w:rPr>
          <w:lang w:val="fr-FR"/>
        </w:rPr>
        <w:t>1 K et un temps de réponse de 0,1 s à 62 % d</w:t>
      </w:r>
      <w:r w:rsidR="00DB4C2D">
        <w:rPr>
          <w:lang w:val="fr-FR"/>
        </w:rPr>
        <w:t>’</w:t>
      </w:r>
      <w:r w:rsidRPr="00A779B8">
        <w:rPr>
          <w:lang w:val="fr-FR"/>
        </w:rPr>
        <w:t>une variation de température donnée (valeur mesurée dans de l</w:t>
      </w:r>
      <w:r w:rsidR="00DB4C2D">
        <w:rPr>
          <w:lang w:val="fr-FR"/>
        </w:rPr>
        <w:t>’</w:t>
      </w:r>
      <w:r w:rsidRPr="00A779B8">
        <w:rPr>
          <w:lang w:val="fr-FR"/>
        </w:rPr>
        <w:t>huile de silicone).</w:t>
      </w:r>
    </w:p>
    <w:p w:rsidR="00D335D4" w:rsidRPr="00A779B8" w:rsidRDefault="00D335D4" w:rsidP="00D335D4">
      <w:pPr>
        <w:pStyle w:val="SingleTxtG"/>
        <w:ind w:left="2268"/>
        <w:rPr>
          <w:rFonts w:eastAsia="Arial Unicode MS"/>
          <w:lang w:val="fr-FR"/>
        </w:rPr>
      </w:pPr>
      <w:r w:rsidRPr="00A779B8">
        <w:rPr>
          <w:lang w:val="fr-FR"/>
        </w:rPr>
        <w:lastRenderedPageBreak/>
        <w:t>La détermination de la pression par rapport à la pression atmosphérique doit s</w:t>
      </w:r>
      <w:r w:rsidR="00DB4C2D">
        <w:rPr>
          <w:lang w:val="fr-FR"/>
        </w:rPr>
        <w:t>’</w:t>
      </w:r>
      <w:r w:rsidRPr="00A779B8">
        <w:rPr>
          <w:lang w:val="fr-FR"/>
        </w:rPr>
        <w:t>effectuer en amont et, si nécessaire, en aval du dispositif de mesure du volume.</w:t>
      </w:r>
    </w:p>
    <w:p w:rsidR="00D335D4" w:rsidRPr="00A779B8" w:rsidRDefault="00D335D4" w:rsidP="00D335D4">
      <w:pPr>
        <w:pStyle w:val="SingleTxtG"/>
        <w:ind w:left="2268"/>
        <w:rPr>
          <w:rFonts w:eastAsia="Arial Unicode MS"/>
          <w:lang w:val="fr-FR"/>
        </w:rPr>
      </w:pPr>
      <w:r w:rsidRPr="00A779B8">
        <w:rPr>
          <w:lang w:val="fr-FR"/>
        </w:rPr>
        <w:t>Les mesures de pression doivent avoir une exactitude et une précision de </w:t>
      </w:r>
      <w:r w:rsidRPr="00A779B8">
        <w:rPr>
          <w:lang w:val="fr-FR"/>
        </w:rPr>
        <w:sym w:font="Symbol" w:char="F0B1"/>
      </w:r>
      <w:r w:rsidRPr="00A779B8">
        <w:rPr>
          <w:lang w:val="fr-FR"/>
        </w:rPr>
        <w:t>0,4 kPa pendant l</w:t>
      </w:r>
      <w:r w:rsidR="00DB4C2D">
        <w:rPr>
          <w:lang w:val="fr-FR"/>
        </w:rPr>
        <w:t>’</w:t>
      </w:r>
      <w:r w:rsidRPr="00A779B8">
        <w:rPr>
          <w:lang w:val="fr-FR"/>
        </w:rPr>
        <w:t>essai.</w:t>
      </w:r>
    </w:p>
    <w:p w:rsidR="00D335D4" w:rsidRPr="00A779B8" w:rsidRDefault="00D335D4" w:rsidP="00D335D4">
      <w:pPr>
        <w:pStyle w:val="SingleTxtG"/>
        <w:keepNext/>
        <w:ind w:left="2268" w:hanging="1134"/>
        <w:jc w:val="left"/>
        <w:rPr>
          <w:rFonts w:eastAsia="Arial Unicode MS"/>
          <w:lang w:val="fr-FR"/>
        </w:rPr>
      </w:pPr>
      <w:r w:rsidRPr="00A779B8">
        <w:rPr>
          <w:rFonts w:eastAsia="Arial Unicode MS"/>
          <w:lang w:val="fr-FR"/>
        </w:rPr>
        <w:t>1.4</w:t>
      </w:r>
      <w:r w:rsidRPr="00A779B8">
        <w:rPr>
          <w:rFonts w:eastAsia="Arial Unicode MS"/>
          <w:lang w:val="fr-FR"/>
        </w:rPr>
        <w:tab/>
        <w:t>Description du système recommandé</w:t>
      </w:r>
    </w:p>
    <w:p w:rsidR="00D335D4" w:rsidRPr="00A779B8" w:rsidRDefault="00D335D4" w:rsidP="00D335D4">
      <w:pPr>
        <w:pStyle w:val="SingleTxtG"/>
        <w:ind w:left="2268"/>
        <w:rPr>
          <w:rFonts w:eastAsia="Arial Unicode MS"/>
          <w:lang w:val="fr-FR"/>
        </w:rPr>
      </w:pPr>
      <w:r w:rsidRPr="00A779B8">
        <w:rPr>
          <w:rFonts w:eastAsia="Arial Unicode MS"/>
          <w:lang w:val="fr-FR"/>
        </w:rPr>
        <w:t xml:space="preserve">Les </w:t>
      </w:r>
      <w:r w:rsidRPr="00A779B8">
        <w:rPr>
          <w:lang w:val="fr-FR"/>
        </w:rPr>
        <w:t>figures</w:t>
      </w:r>
      <w:r w:rsidRPr="00A779B8">
        <w:rPr>
          <w:rFonts w:eastAsia="Arial Unicode MS"/>
          <w:lang w:val="fr-FR"/>
        </w:rPr>
        <w:t xml:space="preserve"> A4a.App2/6 et A4a.App2/7 sont des schémas de principe de deux types de systèmes de dilution des gaz d</w:t>
      </w:r>
      <w:r w:rsidR="00DB4C2D">
        <w:rPr>
          <w:rFonts w:eastAsia="Arial Unicode MS"/>
          <w:lang w:val="fr-FR"/>
        </w:rPr>
        <w:t>’</w:t>
      </w:r>
      <w:r w:rsidRPr="00A779B8">
        <w:rPr>
          <w:rFonts w:eastAsia="Arial Unicode MS"/>
          <w:lang w:val="fr-FR"/>
        </w:rPr>
        <w:t>échappement recommandés, qui satisfont aux prescriptions de la présente annexe.</w:t>
      </w:r>
    </w:p>
    <w:p w:rsidR="00D335D4" w:rsidRPr="00A779B8" w:rsidRDefault="00D335D4" w:rsidP="00D335D4">
      <w:pPr>
        <w:pStyle w:val="SingleTxtG"/>
        <w:ind w:left="2268"/>
        <w:rPr>
          <w:rFonts w:eastAsia="Arial Unicode MS"/>
          <w:lang w:val="fr-FR"/>
        </w:rPr>
      </w:pPr>
      <w:r w:rsidRPr="00A779B8">
        <w:rPr>
          <w:lang w:val="fr-FR"/>
        </w:rPr>
        <w:t>Étant donné que des résultats justes peuvent être obtenus avec des configurations diverses, il n</w:t>
      </w:r>
      <w:r w:rsidR="00DB4C2D">
        <w:rPr>
          <w:lang w:val="fr-FR"/>
        </w:rPr>
        <w:t>’</w:t>
      </w:r>
      <w:r w:rsidRPr="00A779B8">
        <w:rPr>
          <w:lang w:val="fr-FR"/>
        </w:rPr>
        <w:t>est pas obligatoire que l</w:t>
      </w:r>
      <w:r w:rsidR="00DB4C2D">
        <w:rPr>
          <w:lang w:val="fr-FR"/>
        </w:rPr>
        <w:t>’</w:t>
      </w:r>
      <w:r w:rsidRPr="00A779B8">
        <w:rPr>
          <w:lang w:val="fr-FR"/>
        </w:rPr>
        <w:t>installation soit rigoureusement conforme au schéma.</w:t>
      </w:r>
      <w:r w:rsidRPr="00A779B8">
        <w:rPr>
          <w:rFonts w:eastAsia="Arial Unicode MS"/>
          <w:lang w:val="fr-FR"/>
        </w:rPr>
        <w:t xml:space="preserve"> </w:t>
      </w:r>
      <w:r w:rsidRPr="00A779B8">
        <w:rPr>
          <w:lang w:val="fr-FR"/>
        </w:rPr>
        <w:t>On pourra utiliser des éléments additionnels tels qu</w:t>
      </w:r>
      <w:r w:rsidR="00DB4C2D">
        <w:rPr>
          <w:lang w:val="fr-FR"/>
        </w:rPr>
        <w:t>’</w:t>
      </w:r>
      <w:r w:rsidRPr="00A779B8">
        <w:rPr>
          <w:lang w:val="fr-FR"/>
        </w:rPr>
        <w:t>appareils, vannes, solénoïdes et interrupteurs, en vue d</w:t>
      </w:r>
      <w:r w:rsidR="00DB4C2D">
        <w:rPr>
          <w:lang w:val="fr-FR"/>
        </w:rPr>
        <w:t>’</w:t>
      </w:r>
      <w:r w:rsidRPr="00A779B8">
        <w:rPr>
          <w:lang w:val="fr-FR"/>
        </w:rPr>
        <w:t>obtenir des informations supplémentaires et de coordonner les fonctions des éléments composant l</w:t>
      </w:r>
      <w:r w:rsidR="00DB4C2D">
        <w:rPr>
          <w:lang w:val="fr-FR"/>
        </w:rPr>
        <w:t>’</w:t>
      </w:r>
      <w:r w:rsidRPr="00A779B8">
        <w:rPr>
          <w:lang w:val="fr-FR"/>
        </w:rPr>
        <w:t>installation</w:t>
      </w:r>
      <w:r w:rsidRPr="00A779B8">
        <w:rPr>
          <w:rFonts w:eastAsia="Arial Unicode MS"/>
          <w:lang w:val="fr-FR"/>
        </w:rPr>
        <w:t>.</w:t>
      </w:r>
    </w:p>
    <w:p w:rsidR="00D335D4" w:rsidRPr="00A779B8" w:rsidRDefault="00D335D4" w:rsidP="00D335D4">
      <w:pPr>
        <w:pStyle w:val="SingleTxtG"/>
        <w:ind w:left="2268" w:hanging="1134"/>
        <w:rPr>
          <w:lang w:val="fr-FR"/>
        </w:rPr>
      </w:pPr>
      <w:r w:rsidRPr="00A779B8">
        <w:rPr>
          <w:lang w:val="fr-FR"/>
        </w:rPr>
        <w:t>1.4.1</w:t>
      </w:r>
      <w:r w:rsidRPr="00A779B8">
        <w:rPr>
          <w:lang w:val="fr-FR"/>
        </w:rPr>
        <w:tab/>
        <w:t>Système à dilution du flux total avec pompe volumétrique</w:t>
      </w:r>
    </w:p>
    <w:p w:rsidR="00D335D4" w:rsidRPr="00A779B8" w:rsidRDefault="00D335D4" w:rsidP="00D335D4">
      <w:pPr>
        <w:pStyle w:val="Titre1"/>
        <w:spacing w:after="120"/>
        <w:rPr>
          <w:lang w:val="fr-FR"/>
        </w:rPr>
      </w:pPr>
      <w:r w:rsidRPr="00A779B8">
        <w:rPr>
          <w:lang w:val="fr-FR"/>
        </w:rPr>
        <w:t xml:space="preserve">Figure </w:t>
      </w:r>
      <w:r w:rsidRPr="00A779B8">
        <w:rPr>
          <w:rFonts w:eastAsia="Arial Unicode MS"/>
          <w:lang w:val="fr-FR"/>
        </w:rPr>
        <w:t>A4a.App2/</w:t>
      </w:r>
      <w:r w:rsidRPr="00A779B8">
        <w:rPr>
          <w:lang w:val="fr-FR"/>
        </w:rPr>
        <w:t>6</w:t>
      </w:r>
      <w:r w:rsidRPr="00A779B8">
        <w:rPr>
          <w:lang w:val="fr-FR"/>
        </w:rPr>
        <w:br/>
      </w:r>
      <w:r w:rsidRPr="00A779B8">
        <w:rPr>
          <w:b/>
          <w:lang w:val="fr-FR"/>
        </w:rPr>
        <w:t>Système de dilution à pompe volumétrique</w:t>
      </w:r>
    </w:p>
    <w:bookmarkStart w:id="140" w:name="_MON_1266841024"/>
    <w:bookmarkStart w:id="141" w:name="_MON_1266846343"/>
    <w:bookmarkStart w:id="142" w:name="_MON_1266906931"/>
    <w:bookmarkStart w:id="143" w:name="_MON_1266907013"/>
    <w:bookmarkStart w:id="144" w:name="_MON_1266907027"/>
    <w:bookmarkStart w:id="145" w:name="_MON_1266907038"/>
    <w:bookmarkStart w:id="146" w:name="_MON_1272787266"/>
    <w:bookmarkStart w:id="147" w:name="_MON_1272787414"/>
    <w:bookmarkStart w:id="148" w:name="_MON_1316525202"/>
    <w:bookmarkStart w:id="149" w:name="_MON_1317542314"/>
    <w:bookmarkStart w:id="150" w:name="_MON_1317555304"/>
    <w:bookmarkStart w:id="151" w:name="_MON_1362903618"/>
    <w:bookmarkStart w:id="152" w:name="_MON_1433150355"/>
    <w:bookmarkStart w:id="153" w:name="_MON_1433312786"/>
    <w:bookmarkStart w:id="154" w:name="_MON_1433312805"/>
    <w:bookmarkStart w:id="155" w:name="_MON_1433312822"/>
    <w:bookmarkStart w:id="156" w:name="_MON_1448268619"/>
    <w:bookmarkStart w:id="157" w:name="_MON_1448958470"/>
    <w:bookmarkStart w:id="158" w:name="_MON_1448968340"/>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rsidR="00D335D4" w:rsidRPr="00A779B8" w:rsidRDefault="00D335D4" w:rsidP="00D335D4">
      <w:pPr>
        <w:spacing w:before="120" w:after="240"/>
        <w:ind w:left="1134"/>
        <w:rPr>
          <w:bCs/>
          <w:lang w:val="fr-FR"/>
        </w:rPr>
      </w:pPr>
      <w:r w:rsidRPr="00A779B8">
        <w:rPr>
          <w:bCs/>
          <w:lang w:val="fr-FR"/>
        </w:rPr>
        <w:object w:dxaOrig="7726" w:dyaOrig="5174">
          <v:shape id="_x0000_i1083" type="#_x0000_t75" style="width:366.1pt;height:243.15pt" o:ole="">
            <v:imagedata r:id="rId150" o:title=""/>
            <w10:bordertop type="single" width="4"/>
            <w10:borderleft type="single" width="4"/>
            <w10:borderbottom type="single" width="4"/>
            <w10:borderright type="single" width="4"/>
          </v:shape>
          <o:OLEObject Type="Embed" ProgID="Word.Picture.8" ShapeID="_x0000_i1083" DrawAspect="Content" ObjectID="_1490178439" r:id="rId151"/>
        </w:object>
      </w:r>
      <w:r w:rsidRPr="00A779B8">
        <w:rPr>
          <w:bCs/>
          <w:lang w:val="fr-FR"/>
        </w:rPr>
        <w:t xml:space="preserve"> </w:t>
      </w:r>
    </w:p>
    <w:p w:rsidR="00D335D4" w:rsidRPr="00A779B8" w:rsidRDefault="00D335D4" w:rsidP="00D335D4">
      <w:pPr>
        <w:pStyle w:val="SingleTxtG"/>
        <w:keepLines/>
        <w:ind w:left="2268"/>
        <w:rPr>
          <w:rFonts w:eastAsia="Arial Unicode MS"/>
          <w:lang w:val="fr-FR"/>
        </w:rPr>
      </w:pPr>
      <w:r w:rsidRPr="00A779B8">
        <w:rPr>
          <w:rFonts w:eastAsia="Arial Unicode MS"/>
          <w:lang w:val="fr-FR"/>
        </w:rPr>
        <w:t xml:space="preserve">Le système à dilution du flux total à pompe volumétrique (PDP) </w:t>
      </w:r>
      <w:r w:rsidRPr="00A779B8">
        <w:rPr>
          <w:lang w:val="fr-FR"/>
        </w:rPr>
        <w:t>satisfait aux conditions formulées dans la présente annexe en déterminant le débit de gaz passant par la pompe à température et pression constantes. Pour mesurer le volume total, on compte le nombre de tours accomplis par la pompe volumétrique, qui est étalonnée. On obtient l</w:t>
      </w:r>
      <w:r w:rsidR="00DB4C2D">
        <w:rPr>
          <w:lang w:val="fr-FR"/>
        </w:rPr>
        <w:t>’</w:t>
      </w:r>
      <w:r w:rsidRPr="00A779B8">
        <w:rPr>
          <w:lang w:val="fr-FR"/>
        </w:rPr>
        <w:t>échantillon proportionnel en opérant un prélèvement à débit constant, au moyen d</w:t>
      </w:r>
      <w:r w:rsidR="00DB4C2D">
        <w:rPr>
          <w:lang w:val="fr-FR"/>
        </w:rPr>
        <w:t>’</w:t>
      </w:r>
      <w:r w:rsidRPr="00A779B8">
        <w:rPr>
          <w:lang w:val="fr-FR"/>
        </w:rPr>
        <w:t>une pompe, d</w:t>
      </w:r>
      <w:r w:rsidR="00DB4C2D">
        <w:rPr>
          <w:lang w:val="fr-FR"/>
        </w:rPr>
        <w:t>’</w:t>
      </w:r>
      <w:r w:rsidRPr="00A779B8">
        <w:rPr>
          <w:lang w:val="fr-FR"/>
        </w:rPr>
        <w:t>un débitmètre et d</w:t>
      </w:r>
      <w:r w:rsidR="00DB4C2D">
        <w:rPr>
          <w:lang w:val="fr-FR"/>
        </w:rPr>
        <w:t>’</w:t>
      </w:r>
      <w:r w:rsidRPr="00A779B8">
        <w:rPr>
          <w:lang w:val="fr-FR"/>
        </w:rPr>
        <w:t>une vanne de réglage du débit</w:t>
      </w:r>
      <w:r w:rsidRPr="00A779B8">
        <w:rPr>
          <w:rFonts w:eastAsia="Arial Unicode MS"/>
          <w:lang w:val="fr-FR"/>
        </w:rPr>
        <w:t xml:space="preserve">. </w:t>
      </w:r>
      <w:r w:rsidRPr="00A779B8">
        <w:rPr>
          <w:lang w:val="fr-FR"/>
        </w:rPr>
        <w:t>L</w:t>
      </w:r>
      <w:r w:rsidR="00DB4C2D">
        <w:rPr>
          <w:lang w:val="fr-FR"/>
        </w:rPr>
        <w:t>’</w:t>
      </w:r>
      <w:r w:rsidRPr="00A779B8">
        <w:rPr>
          <w:lang w:val="fr-FR"/>
        </w:rPr>
        <w:t>appareillage de prélèvement comprend:</w:t>
      </w:r>
    </w:p>
    <w:p w:rsidR="00D335D4" w:rsidRPr="00A779B8" w:rsidRDefault="00D335D4" w:rsidP="00D335D4">
      <w:pPr>
        <w:pStyle w:val="SingleTxtG"/>
        <w:keepNext/>
        <w:keepLines/>
        <w:ind w:left="2268" w:hanging="1134"/>
        <w:rPr>
          <w:rFonts w:eastAsia="Arial Unicode MS"/>
          <w:lang w:val="fr-FR"/>
        </w:rPr>
      </w:pPr>
      <w:r w:rsidRPr="00A779B8">
        <w:rPr>
          <w:rFonts w:eastAsia="Arial Unicode MS"/>
          <w:lang w:val="fr-FR"/>
        </w:rPr>
        <w:lastRenderedPageBreak/>
        <w:t>1.4.1.1</w:t>
      </w:r>
      <w:r w:rsidRPr="00A779B8">
        <w:rPr>
          <w:rFonts w:eastAsia="Arial Unicode MS"/>
          <w:lang w:val="fr-FR"/>
        </w:rPr>
        <w:tab/>
        <w:t>Un filtre pour l</w:t>
      </w:r>
      <w:r w:rsidR="00DB4C2D">
        <w:rPr>
          <w:rFonts w:eastAsia="Arial Unicode MS"/>
          <w:lang w:val="fr-FR"/>
        </w:rPr>
        <w:t>’</w:t>
      </w:r>
      <w:r w:rsidRPr="00A779B8">
        <w:rPr>
          <w:rFonts w:eastAsia="Arial Unicode MS"/>
          <w:lang w:val="fr-FR"/>
        </w:rPr>
        <w:t>air de dilution (DAF), qui peut être préchauffé si nécessaire. Ce filtre est constitué de plusieurs filtres montés dans l</w:t>
      </w:r>
      <w:r w:rsidR="00DB4C2D">
        <w:rPr>
          <w:rFonts w:eastAsia="Arial Unicode MS"/>
          <w:lang w:val="fr-FR"/>
        </w:rPr>
        <w:t>’</w:t>
      </w:r>
      <w:r w:rsidRPr="00A779B8">
        <w:rPr>
          <w:rFonts w:eastAsia="Arial Unicode MS"/>
          <w:lang w:val="fr-FR"/>
        </w:rPr>
        <w:t>ordre suivant: un filtre à charbon de bois (facultatif) (à l</w:t>
      </w:r>
      <w:r w:rsidR="00DB4C2D">
        <w:rPr>
          <w:rFonts w:eastAsia="Arial Unicode MS"/>
          <w:lang w:val="fr-FR"/>
        </w:rPr>
        <w:t>’</w:t>
      </w:r>
      <w:r w:rsidRPr="00A779B8">
        <w:rPr>
          <w:rFonts w:eastAsia="Arial Unicode MS"/>
          <w:lang w:val="fr-FR"/>
        </w:rPr>
        <w:t>admission) et un filtre à particules à très haute efficacité (THE) (à la sortie). Il est recommandé d</w:t>
      </w:r>
      <w:r w:rsidR="00DB4C2D">
        <w:rPr>
          <w:rFonts w:eastAsia="Arial Unicode MS"/>
          <w:lang w:val="fr-FR"/>
        </w:rPr>
        <w:t>’</w:t>
      </w:r>
      <w:r w:rsidRPr="00A779B8">
        <w:rPr>
          <w:rFonts w:eastAsia="Arial Unicode MS"/>
          <w:lang w:val="fr-FR"/>
        </w:rPr>
        <w:t>ajouter un filtre à particules grossières en amont du filtre THE et en aval du filtre à charbon actif, si celui-ci est utilisé. Le filtre à charbon actif sert à abaisser et à stabiliser la concentration des hydrocarbures d</w:t>
      </w:r>
      <w:r w:rsidR="00DB4C2D">
        <w:rPr>
          <w:rFonts w:eastAsia="Arial Unicode MS"/>
          <w:lang w:val="fr-FR"/>
        </w:rPr>
        <w:t>’</w:t>
      </w:r>
      <w:r w:rsidRPr="00A779B8">
        <w:rPr>
          <w:rFonts w:eastAsia="Arial Unicode MS"/>
          <w:lang w:val="fr-FR"/>
        </w:rPr>
        <w:t>émissions ambiantes dans l</w:t>
      </w:r>
      <w:r w:rsidR="00DB4C2D">
        <w:rPr>
          <w:rFonts w:eastAsia="Arial Unicode MS"/>
          <w:lang w:val="fr-FR"/>
        </w:rPr>
        <w:t>’</w:t>
      </w:r>
      <w:r w:rsidRPr="00A779B8">
        <w:rPr>
          <w:rFonts w:eastAsia="Arial Unicode MS"/>
          <w:lang w:val="fr-FR"/>
        </w:rPr>
        <w:t>air de dilution;</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1.4.1.2</w:t>
      </w:r>
      <w:r w:rsidRPr="00A779B8">
        <w:rPr>
          <w:rFonts w:eastAsia="Arial Unicode MS"/>
          <w:lang w:val="fr-FR"/>
        </w:rPr>
        <w:tab/>
        <w:t>Un tube de transfert (TT) par lequel les gaz d</w:t>
      </w:r>
      <w:r w:rsidR="00DB4C2D">
        <w:rPr>
          <w:rFonts w:eastAsia="Arial Unicode MS"/>
          <w:lang w:val="fr-FR"/>
        </w:rPr>
        <w:t>’</w:t>
      </w:r>
      <w:r w:rsidRPr="00A779B8">
        <w:rPr>
          <w:rFonts w:eastAsia="Arial Unicode MS"/>
          <w:lang w:val="fr-FR"/>
        </w:rPr>
        <w:t>échappement du véhicule sont acheminés dans le tunnel de dilution (DT) où les gaz échappement et l</w:t>
      </w:r>
      <w:r w:rsidR="00DB4C2D">
        <w:rPr>
          <w:rFonts w:eastAsia="Arial Unicode MS"/>
          <w:lang w:val="fr-FR"/>
        </w:rPr>
        <w:t>’</w:t>
      </w:r>
      <w:r w:rsidRPr="00A779B8">
        <w:rPr>
          <w:rFonts w:eastAsia="Arial Unicode MS"/>
          <w:lang w:val="fr-FR"/>
        </w:rPr>
        <w:t>air de dilution sont mélangés d</w:t>
      </w:r>
      <w:r w:rsidR="00DB4C2D">
        <w:rPr>
          <w:rFonts w:eastAsia="Arial Unicode MS"/>
          <w:lang w:val="fr-FR"/>
        </w:rPr>
        <w:t>’</w:t>
      </w:r>
      <w:r w:rsidRPr="00A779B8">
        <w:rPr>
          <w:rFonts w:eastAsia="Arial Unicode MS"/>
          <w:lang w:val="fr-FR"/>
        </w:rPr>
        <w:t>une manière homogène;</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1.4.1.3</w:t>
      </w:r>
      <w:r w:rsidRPr="00A779B8">
        <w:rPr>
          <w:rFonts w:eastAsia="Arial Unicode MS"/>
          <w:lang w:val="fr-FR"/>
        </w:rPr>
        <w:tab/>
      </w:r>
      <w:r w:rsidRPr="00A779B8">
        <w:rPr>
          <w:lang w:val="fr-FR"/>
        </w:rPr>
        <w:t>Une pompe volumétrique (PDP) produisant un débit volumique constant de mélange air/gaz d</w:t>
      </w:r>
      <w:r w:rsidR="00DB4C2D">
        <w:rPr>
          <w:lang w:val="fr-FR"/>
        </w:rPr>
        <w:t>’</w:t>
      </w:r>
      <w:r w:rsidRPr="00A779B8">
        <w:rPr>
          <w:lang w:val="fr-FR"/>
        </w:rPr>
        <w:t xml:space="preserve">échappement. On utilise le nombre de tours de la pompe, ainsi que la température et la pression pour déterminer le débit; </w:t>
      </w:r>
    </w:p>
    <w:p w:rsidR="00D335D4" w:rsidRPr="00A779B8" w:rsidRDefault="00D335D4" w:rsidP="00D335D4">
      <w:pPr>
        <w:pStyle w:val="SingleTxtG"/>
        <w:ind w:left="2268" w:hanging="1134"/>
        <w:rPr>
          <w:lang w:val="fr-FR"/>
        </w:rPr>
      </w:pPr>
      <w:r w:rsidRPr="00A779B8">
        <w:rPr>
          <w:rFonts w:eastAsia="Arial Unicode MS"/>
          <w:lang w:val="fr-FR"/>
        </w:rPr>
        <w:t>1.4.1.4</w:t>
      </w:r>
      <w:r w:rsidRPr="00A779B8">
        <w:rPr>
          <w:rFonts w:eastAsia="Arial Unicode MS"/>
          <w:lang w:val="fr-FR"/>
        </w:rPr>
        <w:tab/>
      </w:r>
      <w:r w:rsidRPr="00A779B8">
        <w:rPr>
          <w:lang w:val="fr-FR"/>
        </w:rPr>
        <w:t>Un échangeur de chaleur (HE) d</w:t>
      </w:r>
      <w:r w:rsidR="00DB4C2D">
        <w:rPr>
          <w:lang w:val="fr-FR"/>
        </w:rPr>
        <w:t>’</w:t>
      </w:r>
      <w:r w:rsidRPr="00A779B8">
        <w:rPr>
          <w:lang w:val="fr-FR"/>
        </w:rPr>
        <w:t>une capacité suffisante pour maintenir pendant toute la durée de l</w:t>
      </w:r>
      <w:r w:rsidR="00DB4C2D">
        <w:rPr>
          <w:lang w:val="fr-FR"/>
        </w:rPr>
        <w:t>’</w:t>
      </w:r>
      <w:r w:rsidRPr="00A779B8">
        <w:rPr>
          <w:lang w:val="fr-FR"/>
        </w:rPr>
        <w:t>essai la température du mélange air/gaz d</w:t>
      </w:r>
      <w:r w:rsidR="00DB4C2D">
        <w:rPr>
          <w:lang w:val="fr-FR"/>
        </w:rPr>
        <w:t>’</w:t>
      </w:r>
      <w:r w:rsidRPr="00A779B8">
        <w:rPr>
          <w:lang w:val="fr-FR"/>
        </w:rPr>
        <w:t xml:space="preserve">échappement, mesurée juste en amont de la pompe volumétrique, à </w:t>
      </w:r>
      <w:r w:rsidRPr="00A779B8">
        <w:rPr>
          <w:lang w:val="fr-FR"/>
        </w:rPr>
        <w:sym w:font="Symbol" w:char="F0B1"/>
      </w:r>
      <w:r w:rsidRPr="00A779B8">
        <w:rPr>
          <w:lang w:val="fr-FR"/>
        </w:rPr>
        <w:t>6 K de la température moyenne de fonctionnement observée au cours de l</w:t>
      </w:r>
      <w:r w:rsidR="00DB4C2D">
        <w:rPr>
          <w:lang w:val="fr-FR"/>
        </w:rPr>
        <w:t>’</w:t>
      </w:r>
      <w:r w:rsidRPr="00A779B8">
        <w:rPr>
          <w:lang w:val="fr-FR"/>
        </w:rPr>
        <w:t>essai. Ce dispositif ne doit pas modifier la teneur en polluant des gaz dilués prélevés en aval pour analyse;</w:t>
      </w:r>
    </w:p>
    <w:p w:rsidR="00D335D4" w:rsidRPr="00A779B8" w:rsidRDefault="00D335D4" w:rsidP="00D335D4">
      <w:pPr>
        <w:pStyle w:val="SingleTxtG"/>
        <w:ind w:left="2268" w:hanging="1134"/>
        <w:rPr>
          <w:lang w:val="fr-FR"/>
        </w:rPr>
      </w:pPr>
      <w:r w:rsidRPr="00A779B8">
        <w:rPr>
          <w:lang w:val="fr-FR"/>
        </w:rPr>
        <w:t>1.4.1.5</w:t>
      </w:r>
      <w:r w:rsidRPr="00A779B8">
        <w:rPr>
          <w:lang w:val="fr-FR"/>
        </w:rPr>
        <w:tab/>
        <w:t>Une chambre de mélange (MC) dans laquelle les gaz d</w:t>
      </w:r>
      <w:r w:rsidR="00DB4C2D">
        <w:rPr>
          <w:lang w:val="fr-FR"/>
        </w:rPr>
        <w:t>’</w:t>
      </w:r>
      <w:r w:rsidRPr="00A779B8">
        <w:rPr>
          <w:lang w:val="fr-FR"/>
        </w:rPr>
        <w:t>échappement et l</w:t>
      </w:r>
      <w:r w:rsidR="00DB4C2D">
        <w:rPr>
          <w:lang w:val="fr-FR"/>
        </w:rPr>
        <w:t>’</w:t>
      </w:r>
      <w:r w:rsidRPr="00A779B8">
        <w:rPr>
          <w:lang w:val="fr-FR"/>
        </w:rPr>
        <w:t>air sont mélangés de façon homogène, qui peut être placée à proximité du véhicule de manière à réduire au minimum la longueur du tube de transfert (TT).</w:t>
      </w:r>
    </w:p>
    <w:p w:rsidR="00D335D4" w:rsidRPr="00A779B8" w:rsidRDefault="00D335D4" w:rsidP="00D335D4">
      <w:pPr>
        <w:pStyle w:val="SingleTxtG"/>
        <w:ind w:left="2268" w:hanging="1134"/>
        <w:rPr>
          <w:rFonts w:eastAsia="Arial Unicode MS"/>
          <w:lang w:val="fr-FR"/>
        </w:rPr>
      </w:pPr>
      <w:r w:rsidRPr="00A779B8">
        <w:rPr>
          <w:lang w:val="fr-FR"/>
        </w:rPr>
        <w:t>1.4.2</w:t>
      </w:r>
      <w:r w:rsidRPr="00A779B8">
        <w:rPr>
          <w:lang w:val="fr-FR"/>
        </w:rPr>
        <w:tab/>
        <w:t>Système de dilution à flux total avec tube de venturi à écoulement critique</w:t>
      </w:r>
    </w:p>
    <w:p w:rsidR="00D335D4" w:rsidRPr="00A779B8" w:rsidRDefault="00D335D4" w:rsidP="00D335D4">
      <w:pPr>
        <w:pStyle w:val="Titre1"/>
        <w:spacing w:after="120" w:line="240" w:lineRule="atLeast"/>
        <w:rPr>
          <w:rFonts w:eastAsia="Arial Unicode MS"/>
          <w:lang w:val="fr-FR"/>
        </w:rPr>
      </w:pPr>
      <w:r w:rsidRPr="00A779B8">
        <w:rPr>
          <w:rFonts w:eastAsia="Arial Unicode MS"/>
          <w:lang w:val="fr-FR"/>
        </w:rPr>
        <w:t>Figure A4a.App2/7</w:t>
      </w:r>
      <w:r w:rsidRPr="00A779B8">
        <w:rPr>
          <w:rFonts w:eastAsia="Arial Unicode MS"/>
          <w:lang w:val="fr-FR"/>
        </w:rPr>
        <w:br/>
      </w:r>
      <w:r w:rsidRPr="00A779B8">
        <w:rPr>
          <w:rFonts w:eastAsia="Arial Unicode MS"/>
          <w:b/>
          <w:lang w:val="fr-FR"/>
        </w:rPr>
        <w:t>Système de dilution à tube de venturi à écoulement critique</w:t>
      </w:r>
    </w:p>
    <w:bookmarkStart w:id="159" w:name="_MON_1267253304"/>
    <w:bookmarkStart w:id="160" w:name="_MON_1267269216"/>
    <w:bookmarkStart w:id="161" w:name="_MON_1267439050"/>
    <w:bookmarkStart w:id="162" w:name="_MON_1267453843"/>
    <w:bookmarkStart w:id="163" w:name="_MON_1272708550"/>
    <w:bookmarkStart w:id="164" w:name="_MON_1272787259"/>
    <w:bookmarkStart w:id="165" w:name="_MON_1316525203"/>
    <w:bookmarkStart w:id="166" w:name="_MON_1317542329"/>
    <w:bookmarkStart w:id="167" w:name="_MON_1317555305"/>
    <w:bookmarkStart w:id="168" w:name="_MON_1362903855"/>
    <w:bookmarkStart w:id="169" w:name="_MON_1433764522"/>
    <w:bookmarkStart w:id="170" w:name="_MON_1433764560"/>
    <w:bookmarkStart w:id="171" w:name="_MON_1448268701"/>
    <w:bookmarkStart w:id="172" w:name="_MON_1448958573"/>
    <w:bookmarkStart w:id="173" w:name="_MON_1448968341"/>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rsidR="00D335D4" w:rsidRPr="00A779B8" w:rsidRDefault="00D335D4" w:rsidP="00D335D4">
      <w:pPr>
        <w:spacing w:before="240" w:after="240"/>
        <w:ind w:left="1134"/>
        <w:rPr>
          <w:rFonts w:eastAsia="Arial Unicode MS"/>
          <w:lang w:val="fr-FR"/>
        </w:rPr>
      </w:pPr>
      <w:r w:rsidRPr="00A779B8">
        <w:rPr>
          <w:rFonts w:eastAsia="Arial Unicode MS"/>
          <w:lang w:val="fr-FR"/>
        </w:rPr>
        <w:object w:dxaOrig="7498" w:dyaOrig="5275">
          <v:shape id="_x0000_i1084" type="#_x0000_t75" style="width:365.45pt;height:243.15pt" o:ole="">
            <v:imagedata r:id="rId152" o:title=""/>
            <w10:bordertop type="single" width="4"/>
            <w10:borderleft type="single" width="4"/>
            <w10:borderbottom type="single" width="4"/>
            <w10:borderright type="single" width="4"/>
          </v:shape>
          <o:OLEObject Type="Embed" ProgID="Word.Picture.8" ShapeID="_x0000_i1084" DrawAspect="Content" ObjectID="_1490178440" r:id="rId153"/>
        </w:object>
      </w:r>
      <w:r w:rsidRPr="00A779B8">
        <w:rPr>
          <w:rFonts w:eastAsia="Arial Unicode MS"/>
          <w:lang w:val="fr-FR"/>
        </w:rPr>
        <w:t xml:space="preserve"> </w:t>
      </w:r>
    </w:p>
    <w:p w:rsidR="00D335D4" w:rsidRPr="00A779B8" w:rsidRDefault="00D335D4" w:rsidP="00D335D4">
      <w:pPr>
        <w:pStyle w:val="SingleTxtG"/>
        <w:ind w:left="2268"/>
        <w:rPr>
          <w:rFonts w:eastAsia="Arial Unicode MS"/>
          <w:lang w:val="fr-FR"/>
        </w:rPr>
      </w:pPr>
      <w:r w:rsidRPr="00A779B8">
        <w:rPr>
          <w:rFonts w:eastAsia="Arial Unicode MS"/>
          <w:lang w:val="fr-FR"/>
        </w:rPr>
        <w:lastRenderedPageBreak/>
        <w:tab/>
      </w:r>
      <w:r w:rsidRPr="00A779B8">
        <w:rPr>
          <w:lang w:val="fr-FR"/>
        </w:rPr>
        <w:t>L</w:t>
      </w:r>
      <w:r w:rsidR="00DB4C2D">
        <w:rPr>
          <w:lang w:val="fr-FR"/>
        </w:rPr>
        <w:t>’</w:t>
      </w:r>
      <w:r w:rsidRPr="00A779B8">
        <w:rPr>
          <w:lang w:val="fr-FR"/>
        </w:rPr>
        <w:t>utilisation d</w:t>
      </w:r>
      <w:r w:rsidR="00DB4C2D">
        <w:rPr>
          <w:lang w:val="fr-FR"/>
        </w:rPr>
        <w:t>’</w:t>
      </w:r>
      <w:r w:rsidRPr="00A779B8">
        <w:rPr>
          <w:lang w:val="fr-FR"/>
        </w:rPr>
        <w:t>un tube de venturi à écoulement critique pour le système de dilution à flux total est une application des principes de la mécanique des fluides dans les conditions d</w:t>
      </w:r>
      <w:r w:rsidR="00DB4C2D">
        <w:rPr>
          <w:lang w:val="fr-FR"/>
        </w:rPr>
        <w:t>’</w:t>
      </w:r>
      <w:r w:rsidRPr="00A779B8">
        <w:rPr>
          <w:lang w:val="fr-FR"/>
        </w:rPr>
        <w:t>écoulement critique. Le débit du mélange variable d</w:t>
      </w:r>
      <w:r w:rsidR="00DB4C2D">
        <w:rPr>
          <w:lang w:val="fr-FR"/>
        </w:rPr>
        <w:t>’</w:t>
      </w:r>
      <w:r w:rsidRPr="00A779B8">
        <w:rPr>
          <w:lang w:val="fr-FR"/>
        </w:rPr>
        <w:t>air de dilution et de gaz d</w:t>
      </w:r>
      <w:r w:rsidR="00DB4C2D">
        <w:rPr>
          <w:lang w:val="fr-FR"/>
        </w:rPr>
        <w:t>’</w:t>
      </w:r>
      <w:r w:rsidRPr="00A779B8">
        <w:rPr>
          <w:lang w:val="fr-FR"/>
        </w:rPr>
        <w:t>échappement est maintenu à une vitesse sonique qui est directement proportionnelle à la racine carrée de la température des gaz. Le débit est contrôlé, calculé et intégré de manière continue pendant tout l</w:t>
      </w:r>
      <w:r w:rsidR="00DB4C2D">
        <w:rPr>
          <w:lang w:val="fr-FR"/>
        </w:rPr>
        <w:t>’</w:t>
      </w:r>
      <w:r w:rsidRPr="00A779B8">
        <w:rPr>
          <w:lang w:val="fr-FR"/>
        </w:rPr>
        <w:t>essai</w:t>
      </w:r>
      <w:r w:rsidRPr="00A779B8">
        <w:rPr>
          <w:rFonts w:eastAsia="Arial Unicode MS"/>
          <w:lang w:val="fr-FR"/>
        </w:rPr>
        <w:t>.</w:t>
      </w:r>
    </w:p>
    <w:p w:rsidR="00D335D4" w:rsidRPr="00A779B8" w:rsidRDefault="00D335D4" w:rsidP="00D335D4">
      <w:pPr>
        <w:pStyle w:val="SingleTxtG"/>
        <w:ind w:left="2268"/>
        <w:rPr>
          <w:rFonts w:eastAsia="Arial Unicode MS"/>
          <w:lang w:val="fr-FR"/>
        </w:rPr>
      </w:pPr>
      <w:r w:rsidRPr="00A779B8">
        <w:rPr>
          <w:lang w:val="fr-FR"/>
        </w:rPr>
        <w:t>L</w:t>
      </w:r>
      <w:r w:rsidR="00DB4C2D">
        <w:rPr>
          <w:lang w:val="fr-FR"/>
        </w:rPr>
        <w:t>’</w:t>
      </w:r>
      <w:r w:rsidRPr="00A779B8">
        <w:rPr>
          <w:lang w:val="fr-FR"/>
        </w:rPr>
        <w:t>emploi d</w:t>
      </w:r>
      <w:r w:rsidR="00DB4C2D">
        <w:rPr>
          <w:lang w:val="fr-FR"/>
        </w:rPr>
        <w:t>’</w:t>
      </w:r>
      <w:r w:rsidRPr="00A779B8">
        <w:rPr>
          <w:lang w:val="fr-FR"/>
        </w:rPr>
        <w:t>un tube de venturi additionnel pour le prélèvement garantit la proportionnalité des échantillons gazeux prélevés dans le tunnel de dilution. Comme la pression et la température sont égales aux entrées des deux tubes de venturi, le volume de gaz prélevé est proportionnel au volume total de mélange de gaz d</w:t>
      </w:r>
      <w:r w:rsidR="00DB4C2D">
        <w:rPr>
          <w:lang w:val="fr-FR"/>
        </w:rPr>
        <w:t>’</w:t>
      </w:r>
      <w:r w:rsidRPr="00A779B8">
        <w:rPr>
          <w:lang w:val="fr-FR"/>
        </w:rPr>
        <w:t>échappement dilués produit, et le système remplit donc les conditions énoncées à la présente annexe. L</w:t>
      </w:r>
      <w:r w:rsidR="00DB4C2D">
        <w:rPr>
          <w:lang w:val="fr-FR"/>
        </w:rPr>
        <w:t>’</w:t>
      </w:r>
      <w:r w:rsidRPr="00A779B8">
        <w:rPr>
          <w:lang w:val="fr-FR"/>
        </w:rPr>
        <w:t>appareillage de collecte comprend:</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1.4.2.1</w:t>
      </w:r>
      <w:r w:rsidRPr="00A779B8">
        <w:rPr>
          <w:rFonts w:eastAsia="Arial Unicode MS"/>
          <w:lang w:val="fr-FR"/>
        </w:rPr>
        <w:tab/>
        <w:t>Un filtre pour l</w:t>
      </w:r>
      <w:r w:rsidR="00DB4C2D">
        <w:rPr>
          <w:rFonts w:eastAsia="Arial Unicode MS"/>
          <w:lang w:val="fr-FR"/>
        </w:rPr>
        <w:t>’</w:t>
      </w:r>
      <w:r w:rsidRPr="00A779B8">
        <w:rPr>
          <w:rFonts w:eastAsia="Arial Unicode MS"/>
          <w:lang w:val="fr-FR"/>
        </w:rPr>
        <w:t>air de dilution (DAF), qui peut être préchauffé si nécessaire. Ce filtre est constitué de plusieurs filtres montés dans l</w:t>
      </w:r>
      <w:r w:rsidR="00DB4C2D">
        <w:rPr>
          <w:rFonts w:eastAsia="Arial Unicode MS"/>
          <w:lang w:val="fr-FR"/>
        </w:rPr>
        <w:t>’</w:t>
      </w:r>
      <w:r w:rsidRPr="00A779B8">
        <w:rPr>
          <w:rFonts w:eastAsia="Arial Unicode MS"/>
          <w:lang w:val="fr-FR"/>
        </w:rPr>
        <w:t>ordre suivant: un filtre à charbon de bois (facultatif) (à l</w:t>
      </w:r>
      <w:r w:rsidR="00DB4C2D">
        <w:rPr>
          <w:rFonts w:eastAsia="Arial Unicode MS"/>
          <w:lang w:val="fr-FR"/>
        </w:rPr>
        <w:t>’</w:t>
      </w:r>
      <w:r w:rsidRPr="00A779B8">
        <w:rPr>
          <w:rFonts w:eastAsia="Arial Unicode MS"/>
          <w:lang w:val="fr-FR"/>
        </w:rPr>
        <w:t>admission) et un filtre à particules à très haute efficacité (THE) (à la sortie). Il est recommandé d</w:t>
      </w:r>
      <w:r w:rsidR="00DB4C2D">
        <w:rPr>
          <w:rFonts w:eastAsia="Arial Unicode MS"/>
          <w:lang w:val="fr-FR"/>
        </w:rPr>
        <w:t>’</w:t>
      </w:r>
      <w:r w:rsidRPr="00A779B8">
        <w:rPr>
          <w:rFonts w:eastAsia="Arial Unicode MS"/>
          <w:lang w:val="fr-FR"/>
        </w:rPr>
        <w:t>ajouter un filtre à particules grossières en amont du filtre THE et en aval du filtre à charbon actif, si celui-ci est utilisé. Le filtre à charbon actif sert à abaisser et à stabiliser la concentration des hydrocarbures d</w:t>
      </w:r>
      <w:r w:rsidR="00DB4C2D">
        <w:rPr>
          <w:rFonts w:eastAsia="Arial Unicode MS"/>
          <w:lang w:val="fr-FR"/>
        </w:rPr>
        <w:t>’</w:t>
      </w:r>
      <w:r w:rsidRPr="00A779B8">
        <w:rPr>
          <w:rFonts w:eastAsia="Arial Unicode MS"/>
          <w:lang w:val="fr-FR"/>
        </w:rPr>
        <w:t>émissions ambiantes dans l</w:t>
      </w:r>
      <w:r w:rsidR="00DB4C2D">
        <w:rPr>
          <w:rFonts w:eastAsia="Arial Unicode MS"/>
          <w:lang w:val="fr-FR"/>
        </w:rPr>
        <w:t>’</w:t>
      </w:r>
      <w:r w:rsidRPr="00A779B8">
        <w:rPr>
          <w:rFonts w:eastAsia="Arial Unicode MS"/>
          <w:lang w:val="fr-FR"/>
        </w:rPr>
        <w:t>air de dilution;</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1.4.2.2</w:t>
      </w:r>
      <w:r w:rsidRPr="00A779B8">
        <w:rPr>
          <w:rFonts w:eastAsia="Arial Unicode MS"/>
          <w:lang w:val="fr-FR"/>
        </w:rPr>
        <w:tab/>
        <w:t>Une MC</w:t>
      </w:r>
      <w:r>
        <w:rPr>
          <w:rFonts w:eastAsia="Arial Unicode MS"/>
          <w:lang w:val="fr-FR"/>
        </w:rPr>
        <w:t xml:space="preserve"> </w:t>
      </w:r>
      <w:r w:rsidRPr="00A779B8">
        <w:rPr>
          <w:rFonts w:eastAsia="Arial Unicode MS"/>
          <w:lang w:val="fr-FR"/>
        </w:rPr>
        <w:t>dans laquelle les gaz d</w:t>
      </w:r>
      <w:r w:rsidR="00DB4C2D">
        <w:rPr>
          <w:rFonts w:eastAsia="Arial Unicode MS"/>
          <w:lang w:val="fr-FR"/>
        </w:rPr>
        <w:t>’</w:t>
      </w:r>
      <w:r w:rsidRPr="00A779B8">
        <w:rPr>
          <w:rFonts w:eastAsia="Arial Unicode MS"/>
          <w:lang w:val="fr-FR"/>
        </w:rPr>
        <w:t>échappement et l</w:t>
      </w:r>
      <w:r w:rsidR="00DB4C2D">
        <w:rPr>
          <w:rFonts w:eastAsia="Arial Unicode MS"/>
          <w:lang w:val="fr-FR"/>
        </w:rPr>
        <w:t>’</w:t>
      </w:r>
      <w:r w:rsidRPr="00A779B8">
        <w:rPr>
          <w:rFonts w:eastAsia="Arial Unicode MS"/>
          <w:lang w:val="fr-FR"/>
        </w:rPr>
        <w:t>air sont mélangés de manière homogène et qui peut être placée près du véhicule de façon à réduire le plus possible la longueur du TT;</w:t>
      </w:r>
    </w:p>
    <w:p w:rsidR="00D335D4" w:rsidRPr="00A779B8" w:rsidRDefault="00D335D4" w:rsidP="00D335D4">
      <w:pPr>
        <w:pStyle w:val="SingleTxtG"/>
        <w:keepNext/>
        <w:spacing w:after="100"/>
        <w:ind w:left="2268" w:hanging="1134"/>
        <w:rPr>
          <w:rFonts w:eastAsia="Arial Unicode MS"/>
          <w:lang w:val="fr-FR"/>
        </w:rPr>
      </w:pPr>
      <w:r w:rsidRPr="00A779B8">
        <w:rPr>
          <w:rFonts w:eastAsia="Arial Unicode MS"/>
          <w:lang w:val="fr-FR"/>
        </w:rPr>
        <w:t>1.4.2.3</w:t>
      </w:r>
      <w:r w:rsidRPr="00A779B8">
        <w:rPr>
          <w:rFonts w:eastAsia="Arial Unicode MS"/>
          <w:lang w:val="fr-FR"/>
        </w:rPr>
        <w:tab/>
        <w:t>Un DT</w:t>
      </w:r>
      <w:r>
        <w:rPr>
          <w:rFonts w:eastAsia="Arial Unicode MS"/>
          <w:lang w:val="fr-FR"/>
        </w:rPr>
        <w:t xml:space="preserve"> </w:t>
      </w:r>
      <w:r w:rsidRPr="00A779B8">
        <w:rPr>
          <w:rFonts w:eastAsia="Arial Unicode MS"/>
          <w:lang w:val="fr-FR"/>
        </w:rPr>
        <w:t>où sont prélevées les particules;</w:t>
      </w:r>
    </w:p>
    <w:p w:rsidR="00D335D4" w:rsidRPr="00A779B8" w:rsidRDefault="00D335D4" w:rsidP="00D335D4">
      <w:pPr>
        <w:pStyle w:val="SingleTxtG"/>
        <w:spacing w:after="100"/>
        <w:ind w:left="2268" w:hanging="1134"/>
        <w:rPr>
          <w:rFonts w:eastAsia="Arial Unicode MS"/>
          <w:lang w:val="fr-FR"/>
        </w:rPr>
      </w:pPr>
      <w:r w:rsidRPr="00A779B8">
        <w:rPr>
          <w:rFonts w:eastAsia="Arial Unicode MS"/>
          <w:lang w:val="fr-FR"/>
        </w:rPr>
        <w:t>1.4.2.4</w:t>
      </w:r>
      <w:r w:rsidRPr="00A779B8">
        <w:rPr>
          <w:rFonts w:eastAsia="Arial Unicode MS"/>
          <w:lang w:val="fr-FR"/>
        </w:rPr>
        <w:tab/>
        <w:t>On peut protéger le système de mesure au moyen, par exemple, d</w:t>
      </w:r>
      <w:r w:rsidR="00DB4C2D">
        <w:rPr>
          <w:rFonts w:eastAsia="Arial Unicode MS"/>
          <w:lang w:val="fr-FR"/>
        </w:rPr>
        <w:t>’</w:t>
      </w:r>
      <w:r w:rsidRPr="00A779B8">
        <w:rPr>
          <w:rFonts w:eastAsia="Arial Unicode MS"/>
          <w:lang w:val="fr-FR"/>
        </w:rPr>
        <w:t>un séparateur à cyclone ou d</w:t>
      </w:r>
      <w:r w:rsidR="00DB4C2D">
        <w:rPr>
          <w:rFonts w:eastAsia="Arial Unicode MS"/>
          <w:lang w:val="fr-FR"/>
        </w:rPr>
        <w:t>’</w:t>
      </w:r>
      <w:r w:rsidRPr="00A779B8">
        <w:rPr>
          <w:rFonts w:eastAsia="Arial Unicode MS"/>
          <w:lang w:val="fr-FR"/>
        </w:rPr>
        <w:t>un filtre à particules grossières;</w:t>
      </w:r>
    </w:p>
    <w:p w:rsidR="00D335D4" w:rsidRPr="00A779B8" w:rsidRDefault="00D335D4" w:rsidP="00D335D4">
      <w:pPr>
        <w:pStyle w:val="SingleTxtG"/>
        <w:spacing w:after="100"/>
        <w:ind w:left="2268" w:hanging="1134"/>
        <w:rPr>
          <w:rFonts w:eastAsia="Arial Unicode MS"/>
          <w:lang w:val="fr-FR"/>
        </w:rPr>
      </w:pPr>
      <w:r w:rsidRPr="00A779B8">
        <w:rPr>
          <w:rFonts w:eastAsia="Arial Unicode MS"/>
          <w:lang w:val="fr-FR"/>
        </w:rPr>
        <w:t>1.4.2.5</w:t>
      </w:r>
      <w:r w:rsidRPr="00A779B8">
        <w:rPr>
          <w:rFonts w:eastAsia="Arial Unicode MS"/>
          <w:lang w:val="fr-FR"/>
        </w:rPr>
        <w:tab/>
        <w:t>Un CFV, servant à mesurer le débit volumique des gaz d</w:t>
      </w:r>
      <w:r w:rsidR="00DB4C2D">
        <w:rPr>
          <w:rFonts w:eastAsia="Arial Unicode MS"/>
          <w:lang w:val="fr-FR"/>
        </w:rPr>
        <w:t>’</w:t>
      </w:r>
      <w:r w:rsidRPr="00A779B8">
        <w:rPr>
          <w:rFonts w:eastAsia="Arial Unicode MS"/>
          <w:lang w:val="fr-FR"/>
        </w:rPr>
        <w:t>échappement dilués;</w:t>
      </w:r>
    </w:p>
    <w:p w:rsidR="00D335D4" w:rsidRPr="00A779B8" w:rsidRDefault="00D335D4" w:rsidP="00D335D4">
      <w:pPr>
        <w:pStyle w:val="SingleTxtG"/>
        <w:spacing w:after="100"/>
        <w:ind w:left="2268" w:hanging="1134"/>
        <w:rPr>
          <w:rFonts w:eastAsia="Arial Unicode MS"/>
          <w:lang w:val="fr-FR"/>
        </w:rPr>
      </w:pPr>
      <w:r w:rsidRPr="00A779B8">
        <w:rPr>
          <w:rFonts w:eastAsia="Arial Unicode MS"/>
          <w:lang w:val="fr-FR"/>
        </w:rPr>
        <w:t>1.4.2.6</w:t>
      </w:r>
      <w:r w:rsidRPr="00A779B8">
        <w:rPr>
          <w:rFonts w:eastAsia="Arial Unicode MS"/>
          <w:lang w:val="fr-FR"/>
        </w:rPr>
        <w:tab/>
        <w:t>Un ventilateur (BL) d</w:t>
      </w:r>
      <w:r w:rsidR="00DB4C2D">
        <w:rPr>
          <w:rFonts w:eastAsia="Arial Unicode MS"/>
          <w:lang w:val="fr-FR"/>
        </w:rPr>
        <w:t>’</w:t>
      </w:r>
      <w:r w:rsidRPr="00A779B8">
        <w:rPr>
          <w:rFonts w:eastAsia="Arial Unicode MS"/>
          <w:lang w:val="fr-FR"/>
        </w:rPr>
        <w:t>une capacité suffisante pour aspirer le volume total des gaz d</w:t>
      </w:r>
      <w:r w:rsidR="00DB4C2D">
        <w:rPr>
          <w:rFonts w:eastAsia="Arial Unicode MS"/>
          <w:lang w:val="fr-FR"/>
        </w:rPr>
        <w:t>’</w:t>
      </w:r>
      <w:r w:rsidRPr="00A779B8">
        <w:rPr>
          <w:rFonts w:eastAsia="Arial Unicode MS"/>
          <w:lang w:val="fr-FR"/>
        </w:rPr>
        <w:t>échappement dilués.</w:t>
      </w:r>
    </w:p>
    <w:p w:rsidR="00D335D4" w:rsidRPr="00A779B8" w:rsidRDefault="00D335D4" w:rsidP="00D335D4">
      <w:pPr>
        <w:pStyle w:val="SingleTxtG"/>
        <w:keepNext/>
        <w:spacing w:after="100"/>
        <w:ind w:left="2268" w:hanging="1134"/>
        <w:jc w:val="left"/>
        <w:rPr>
          <w:rFonts w:eastAsia="Arial Unicode MS"/>
          <w:lang w:val="fr-FR"/>
        </w:rPr>
      </w:pPr>
      <w:r w:rsidRPr="00A779B8">
        <w:rPr>
          <w:rFonts w:eastAsia="Arial Unicode MS"/>
          <w:lang w:val="fr-FR"/>
        </w:rPr>
        <w:t>2.</w:t>
      </w:r>
      <w:r w:rsidRPr="00A779B8">
        <w:rPr>
          <w:rFonts w:eastAsia="Arial Unicode MS"/>
          <w:lang w:val="fr-FR"/>
        </w:rPr>
        <w:tab/>
      </w:r>
      <w:r w:rsidRPr="00A779B8">
        <w:rPr>
          <w:lang w:val="fr-FR"/>
        </w:rPr>
        <w:t>Étalonnage du système de prélèvement à volume constant (système CVS)</w:t>
      </w:r>
    </w:p>
    <w:p w:rsidR="00D335D4" w:rsidRPr="00A779B8" w:rsidRDefault="00D335D4" w:rsidP="00D335D4">
      <w:pPr>
        <w:pStyle w:val="SingleTxtG"/>
        <w:keepNext/>
        <w:spacing w:after="100"/>
        <w:ind w:left="2268" w:hanging="1134"/>
        <w:jc w:val="left"/>
        <w:rPr>
          <w:rFonts w:eastAsia="Arial Unicode MS"/>
          <w:lang w:val="fr-FR"/>
        </w:rPr>
      </w:pPr>
      <w:r w:rsidRPr="00A779B8">
        <w:rPr>
          <w:rFonts w:eastAsia="Arial Unicode MS"/>
          <w:lang w:val="fr-FR"/>
        </w:rPr>
        <w:t>2.1</w:t>
      </w:r>
      <w:r w:rsidRPr="00A779B8">
        <w:rPr>
          <w:rFonts w:eastAsia="Arial Unicode MS"/>
          <w:lang w:val="fr-FR"/>
        </w:rPr>
        <w:tab/>
        <w:t>Prescriptions générales</w:t>
      </w:r>
    </w:p>
    <w:p w:rsidR="00D335D4" w:rsidRPr="00A779B8" w:rsidRDefault="00D335D4" w:rsidP="00D335D4">
      <w:pPr>
        <w:pStyle w:val="SingleTxtG"/>
        <w:spacing w:after="100"/>
        <w:ind w:left="2268"/>
        <w:rPr>
          <w:lang w:val="fr-FR"/>
        </w:rPr>
      </w:pPr>
      <w:r w:rsidRPr="00A779B8">
        <w:rPr>
          <w:lang w:val="fr-FR"/>
        </w:rPr>
        <w:t>On doit étalonner le système CVS en utilisant un débitmètre précis et un dispositif limitant le débit. Il faut mesurer le débit dans le système à diverses valeurs de pression, ainsi que les paramètres de réglage du système, puis déterminer la relation de ces paramètres avec les débits</w:t>
      </w:r>
      <w:r w:rsidRPr="00A779B8">
        <w:rPr>
          <w:rFonts w:eastAsia="Arial Unicode MS"/>
          <w:lang w:val="fr-FR"/>
        </w:rPr>
        <w:t>.</w:t>
      </w:r>
      <w:r w:rsidRPr="00A779B8">
        <w:rPr>
          <w:lang w:val="fr-FR"/>
        </w:rPr>
        <w:t xml:space="preserve"> Le dispositif de mesure du débit doit être de type dynamique et convenir pour les forts débits rencontrés dans l</w:t>
      </w:r>
      <w:r w:rsidR="00DB4C2D">
        <w:rPr>
          <w:lang w:val="fr-FR"/>
        </w:rPr>
        <w:t>’</w:t>
      </w:r>
      <w:r w:rsidRPr="00A779B8">
        <w:rPr>
          <w:lang w:val="fr-FR"/>
        </w:rPr>
        <w:t>utilisation du système de prélèvement à volume constant. Le dispositif doit être d</w:t>
      </w:r>
      <w:r w:rsidR="00DB4C2D">
        <w:rPr>
          <w:lang w:val="fr-FR"/>
        </w:rPr>
        <w:t>’</w:t>
      </w:r>
      <w:r w:rsidRPr="00A779B8">
        <w:rPr>
          <w:lang w:val="fr-FR"/>
        </w:rPr>
        <w:t>une précision certifiée et conforme à une norme nationale ou internationale officielle.</w:t>
      </w:r>
    </w:p>
    <w:p w:rsidR="00D335D4" w:rsidRPr="00A779B8" w:rsidRDefault="00D335D4" w:rsidP="00D335D4">
      <w:pPr>
        <w:pStyle w:val="SingleTxtG"/>
        <w:spacing w:after="100"/>
        <w:ind w:left="2268" w:hanging="1134"/>
        <w:rPr>
          <w:rFonts w:eastAsia="Arial Unicode MS"/>
          <w:lang w:val="fr-FR"/>
        </w:rPr>
      </w:pPr>
      <w:r w:rsidRPr="00A779B8">
        <w:rPr>
          <w:rFonts w:eastAsia="Arial Unicode MS"/>
          <w:lang w:val="fr-FR"/>
        </w:rPr>
        <w:t>2.1.1</w:t>
      </w:r>
      <w:r w:rsidRPr="00A779B8">
        <w:rPr>
          <w:rFonts w:eastAsia="Arial Unicode MS"/>
          <w:lang w:val="fr-FR"/>
        </w:rPr>
        <w:tab/>
      </w:r>
      <w:r w:rsidRPr="00A779B8">
        <w:rPr>
          <w:lang w:val="fr-FR"/>
        </w:rPr>
        <w:t>Le débitmètre utilisé peut être de divers types: tube de venturi étalonné, débitmètre laminaire, débitmètre à turbine étalonné, par exemple, à condition qu</w:t>
      </w:r>
      <w:r w:rsidR="00DB4C2D">
        <w:rPr>
          <w:lang w:val="fr-FR"/>
        </w:rPr>
        <w:t>’</w:t>
      </w:r>
      <w:r w:rsidRPr="00A779B8">
        <w:rPr>
          <w:lang w:val="fr-FR"/>
        </w:rPr>
        <w:t>il s</w:t>
      </w:r>
      <w:r w:rsidR="00DB4C2D">
        <w:rPr>
          <w:lang w:val="fr-FR"/>
        </w:rPr>
        <w:t>’</w:t>
      </w:r>
      <w:r w:rsidRPr="00A779B8">
        <w:rPr>
          <w:lang w:val="fr-FR"/>
        </w:rPr>
        <w:t>agisse d</w:t>
      </w:r>
      <w:r w:rsidR="00DB4C2D">
        <w:rPr>
          <w:lang w:val="fr-FR"/>
        </w:rPr>
        <w:t>’</w:t>
      </w:r>
      <w:r w:rsidRPr="00A779B8">
        <w:rPr>
          <w:lang w:val="fr-FR"/>
        </w:rPr>
        <w:t>un appareil de mesure dynamique, et qui puisse en outre satisfaire aux prescriptions du paragraphe </w:t>
      </w:r>
      <w:r w:rsidRPr="00A779B8">
        <w:rPr>
          <w:rFonts w:eastAsia="Arial Unicode MS"/>
          <w:lang w:val="fr-FR"/>
        </w:rPr>
        <w:t>1.3.5 du présent appendice.</w:t>
      </w:r>
    </w:p>
    <w:p w:rsidR="00D335D4" w:rsidRPr="00A779B8" w:rsidRDefault="00D335D4" w:rsidP="004B1047">
      <w:pPr>
        <w:pStyle w:val="SingleTxtG"/>
        <w:keepLines/>
        <w:spacing w:after="100"/>
        <w:ind w:left="2268" w:hanging="1134"/>
        <w:rPr>
          <w:rFonts w:eastAsia="Arial Unicode MS"/>
          <w:lang w:val="fr-FR"/>
        </w:rPr>
      </w:pPr>
      <w:r w:rsidRPr="00A779B8">
        <w:rPr>
          <w:rFonts w:eastAsia="Arial Unicode MS"/>
          <w:lang w:val="fr-FR"/>
        </w:rPr>
        <w:lastRenderedPageBreak/>
        <w:t>2.1.2</w:t>
      </w:r>
      <w:r w:rsidRPr="00A779B8">
        <w:rPr>
          <w:rFonts w:eastAsia="Arial Unicode MS"/>
          <w:lang w:val="fr-FR"/>
        </w:rPr>
        <w:tab/>
      </w:r>
      <w:r w:rsidRPr="00A779B8">
        <w:rPr>
          <w:lang w:val="fr-FR"/>
        </w:rPr>
        <w:t>On trouvera dans les sections qui suivent une description de méthodes applicables pour l</w:t>
      </w:r>
      <w:r w:rsidR="00DB4C2D">
        <w:rPr>
          <w:lang w:val="fr-FR"/>
        </w:rPr>
        <w:t>’</w:t>
      </w:r>
      <w:r w:rsidRPr="00A779B8">
        <w:rPr>
          <w:lang w:val="fr-FR"/>
        </w:rPr>
        <w:t>étalonnage des appareils de prélèvement PDP et CFV, basées sur l</w:t>
      </w:r>
      <w:r w:rsidR="00DB4C2D">
        <w:rPr>
          <w:lang w:val="fr-FR"/>
        </w:rPr>
        <w:t>’</w:t>
      </w:r>
      <w:r w:rsidRPr="00A779B8">
        <w:rPr>
          <w:lang w:val="fr-FR"/>
        </w:rPr>
        <w:t>emploi d</w:t>
      </w:r>
      <w:r w:rsidR="00DB4C2D">
        <w:rPr>
          <w:lang w:val="fr-FR"/>
        </w:rPr>
        <w:t>’</w:t>
      </w:r>
      <w:r w:rsidRPr="00A779B8">
        <w:rPr>
          <w:lang w:val="fr-FR"/>
        </w:rPr>
        <w:t>un débitmètre laminaire offrant la précision voulue, avec une vérification statistique de la validité de l</w:t>
      </w:r>
      <w:r w:rsidR="00DB4C2D">
        <w:rPr>
          <w:lang w:val="fr-FR"/>
        </w:rPr>
        <w:t>’</w:t>
      </w:r>
      <w:r w:rsidRPr="00A779B8">
        <w:rPr>
          <w:lang w:val="fr-FR"/>
        </w:rPr>
        <w:t>étalonnage.</w:t>
      </w:r>
    </w:p>
    <w:p w:rsidR="00D335D4" w:rsidRPr="00A779B8" w:rsidRDefault="00D335D4" w:rsidP="00D335D4">
      <w:pPr>
        <w:pStyle w:val="SingleTxtG"/>
        <w:keepNext/>
        <w:spacing w:after="100"/>
        <w:ind w:left="2268" w:hanging="1134"/>
        <w:jc w:val="left"/>
        <w:rPr>
          <w:lang w:val="fr-FR"/>
        </w:rPr>
      </w:pPr>
      <w:r w:rsidRPr="00A779B8">
        <w:rPr>
          <w:rFonts w:eastAsia="Arial Unicode MS"/>
          <w:lang w:val="fr-FR"/>
        </w:rPr>
        <w:t>2.2</w:t>
      </w:r>
      <w:r w:rsidRPr="00A779B8">
        <w:rPr>
          <w:rFonts w:eastAsia="Arial Unicode MS"/>
          <w:lang w:val="fr-FR"/>
        </w:rPr>
        <w:tab/>
        <w:t>É</w:t>
      </w:r>
      <w:r w:rsidRPr="00A779B8">
        <w:rPr>
          <w:lang w:val="fr-FR"/>
        </w:rPr>
        <w:t>talonnage de la PDP</w:t>
      </w:r>
    </w:p>
    <w:p w:rsidR="00D335D4" w:rsidRPr="00A779B8" w:rsidRDefault="00D335D4" w:rsidP="00D335D4">
      <w:pPr>
        <w:pStyle w:val="SingleTxtG"/>
        <w:spacing w:after="100"/>
        <w:ind w:left="2268" w:hanging="1134"/>
        <w:rPr>
          <w:rFonts w:eastAsia="Arial Unicode MS"/>
          <w:lang w:val="fr-FR"/>
        </w:rPr>
      </w:pPr>
      <w:r w:rsidRPr="00A779B8">
        <w:rPr>
          <w:rFonts w:eastAsia="Arial Unicode MS"/>
          <w:lang w:val="fr-FR"/>
        </w:rPr>
        <w:t>2.2.1</w:t>
      </w:r>
      <w:r w:rsidRPr="00A779B8">
        <w:rPr>
          <w:rFonts w:eastAsia="Arial Unicode MS"/>
          <w:lang w:val="fr-FR"/>
        </w:rPr>
        <w:tab/>
      </w:r>
      <w:r w:rsidRPr="00A779B8">
        <w:rPr>
          <w:lang w:val="fr-FR"/>
        </w:rPr>
        <w:t>La procédure d</w:t>
      </w:r>
      <w:r w:rsidR="00DB4C2D">
        <w:rPr>
          <w:lang w:val="fr-FR"/>
        </w:rPr>
        <w:t>’</w:t>
      </w:r>
      <w:r w:rsidRPr="00A779B8">
        <w:rPr>
          <w:lang w:val="fr-FR"/>
        </w:rPr>
        <w:t>étalonnage définie ci-après décrit l</w:t>
      </w:r>
      <w:r w:rsidR="00DB4C2D">
        <w:rPr>
          <w:lang w:val="fr-FR"/>
        </w:rPr>
        <w:t>’</w:t>
      </w:r>
      <w:r w:rsidRPr="00A779B8">
        <w:rPr>
          <w:lang w:val="fr-FR"/>
        </w:rPr>
        <w:t>appareillage, la configuration d</w:t>
      </w:r>
      <w:r w:rsidR="00DB4C2D">
        <w:rPr>
          <w:lang w:val="fr-FR"/>
        </w:rPr>
        <w:t>’</w:t>
      </w:r>
      <w:r w:rsidRPr="00A779B8">
        <w:rPr>
          <w:lang w:val="fr-FR"/>
        </w:rPr>
        <w:t>essai et les divers paramètres à mesurer pour la détermination du débit de la pompe du système CVS. Tous les paramètres intéressent le débitmètre qui est raccordé en série à la pompe. On peut alors tracer la courbe du débit calculé (exprimé en m</w:t>
      </w:r>
      <w:r w:rsidRPr="00A779B8">
        <w:rPr>
          <w:vertAlign w:val="superscript"/>
          <w:lang w:val="fr-FR"/>
        </w:rPr>
        <w:t>3</w:t>
      </w:r>
      <w:r w:rsidRPr="00A779B8">
        <w:rPr>
          <w:lang w:val="fr-FR"/>
        </w:rPr>
        <w:t>/min à l</w:t>
      </w:r>
      <w:r w:rsidR="00DB4C2D">
        <w:rPr>
          <w:lang w:val="fr-FR"/>
        </w:rPr>
        <w:t>’</w:t>
      </w:r>
      <w:r w:rsidRPr="00A779B8">
        <w:rPr>
          <w:lang w:val="fr-FR"/>
        </w:rPr>
        <w:t>entrée de la pompe, à pression et température absolues), rapporté à une fonction de corrélation correspondant à une combinaison donnée de paramètres de la pompe. L</w:t>
      </w:r>
      <w:r w:rsidR="00DB4C2D">
        <w:rPr>
          <w:lang w:val="fr-FR"/>
        </w:rPr>
        <w:t>’</w:t>
      </w:r>
      <w:r w:rsidRPr="00A779B8">
        <w:rPr>
          <w:lang w:val="fr-FR"/>
        </w:rPr>
        <w:t>équation linéaire exprimant la relation entre le débit de la pompe et la fonction de corrélation est alors déterminée. Si la pompe du système CVS a plusieurs vitesses d</w:t>
      </w:r>
      <w:r w:rsidR="00DB4C2D">
        <w:rPr>
          <w:lang w:val="fr-FR"/>
        </w:rPr>
        <w:t>’</w:t>
      </w:r>
      <w:r w:rsidRPr="00A779B8">
        <w:rPr>
          <w:lang w:val="fr-FR"/>
        </w:rPr>
        <w:t>entraînement, une opération d</w:t>
      </w:r>
      <w:r w:rsidR="00DB4C2D">
        <w:rPr>
          <w:lang w:val="fr-FR"/>
        </w:rPr>
        <w:t>’</w:t>
      </w:r>
      <w:r w:rsidRPr="00A779B8">
        <w:rPr>
          <w:lang w:val="fr-FR"/>
        </w:rPr>
        <w:t>étalonnage doit être exécutée pour chaque vitesse utilisée.</w:t>
      </w:r>
    </w:p>
    <w:p w:rsidR="00D335D4" w:rsidRPr="00A779B8" w:rsidRDefault="00D335D4" w:rsidP="00D335D4">
      <w:pPr>
        <w:pStyle w:val="SingleTxtG"/>
        <w:spacing w:after="100"/>
        <w:ind w:left="2268" w:hanging="1134"/>
        <w:rPr>
          <w:rFonts w:eastAsia="Arial Unicode MS"/>
          <w:lang w:val="fr-FR"/>
        </w:rPr>
      </w:pPr>
      <w:r w:rsidRPr="00A779B8">
        <w:rPr>
          <w:rFonts w:eastAsia="Arial Unicode MS"/>
          <w:lang w:val="fr-FR"/>
        </w:rPr>
        <w:t>2.2.2</w:t>
      </w:r>
      <w:r w:rsidRPr="00A779B8">
        <w:rPr>
          <w:rFonts w:eastAsia="Arial Unicode MS"/>
          <w:lang w:val="fr-FR"/>
        </w:rPr>
        <w:tab/>
      </w:r>
      <w:r w:rsidRPr="00A779B8">
        <w:rPr>
          <w:lang w:val="fr-FR"/>
        </w:rPr>
        <w:t>Cette procédure d</w:t>
      </w:r>
      <w:r w:rsidR="00DB4C2D">
        <w:rPr>
          <w:lang w:val="fr-FR"/>
        </w:rPr>
        <w:t>’</w:t>
      </w:r>
      <w:r w:rsidRPr="00A779B8">
        <w:rPr>
          <w:lang w:val="fr-FR"/>
        </w:rPr>
        <w:t>étalonnage est basée sur la mesure des valeurs absolues des paramètres de la pompe et des débitmètres qui sont en relation avec le débit en chaque point. Trois conditions doivent être respectées pour que la précision et la continuité de la courbe d</w:t>
      </w:r>
      <w:r w:rsidR="00DB4C2D">
        <w:rPr>
          <w:lang w:val="fr-FR"/>
        </w:rPr>
        <w:t>’</w:t>
      </w:r>
      <w:r w:rsidRPr="00A779B8">
        <w:rPr>
          <w:lang w:val="fr-FR"/>
        </w:rPr>
        <w:t>étalonnage soient garanties:</w:t>
      </w:r>
    </w:p>
    <w:p w:rsidR="00D335D4" w:rsidRPr="00A779B8" w:rsidRDefault="00D335D4" w:rsidP="00D335D4">
      <w:pPr>
        <w:pStyle w:val="SingleTxtG"/>
        <w:spacing w:after="100"/>
        <w:ind w:left="2268" w:hanging="1134"/>
        <w:rPr>
          <w:rFonts w:eastAsia="Arial Unicode MS"/>
          <w:lang w:val="fr-FR"/>
        </w:rPr>
      </w:pPr>
      <w:r w:rsidRPr="00A779B8">
        <w:rPr>
          <w:rFonts w:eastAsia="Arial Unicode MS"/>
          <w:lang w:val="fr-FR"/>
        </w:rPr>
        <w:t>2.2.2.1</w:t>
      </w:r>
      <w:r w:rsidRPr="00A779B8">
        <w:rPr>
          <w:rFonts w:eastAsia="Arial Unicode MS"/>
          <w:lang w:val="fr-FR"/>
        </w:rPr>
        <w:tab/>
      </w:r>
      <w:r w:rsidRPr="00A779B8">
        <w:rPr>
          <w:lang w:val="fr-FR"/>
        </w:rPr>
        <w:t>Les pressions de la pompe doivent être mesurées à des prises sur la pompe elle-même et non pas aux tuyauteries externes raccordées à l</w:t>
      </w:r>
      <w:r w:rsidR="00DB4C2D">
        <w:rPr>
          <w:lang w:val="fr-FR"/>
        </w:rPr>
        <w:t>’</w:t>
      </w:r>
      <w:r w:rsidRPr="00A779B8">
        <w:rPr>
          <w:lang w:val="fr-FR"/>
        </w:rPr>
        <w:t>entrée et à la sortie de la pompe. Les prises de pression installées au point haut et au point bas, respectivement, de la plaque frontale d</w:t>
      </w:r>
      <w:r w:rsidR="00DB4C2D">
        <w:rPr>
          <w:lang w:val="fr-FR"/>
        </w:rPr>
        <w:t>’</w:t>
      </w:r>
      <w:r w:rsidRPr="00A779B8">
        <w:rPr>
          <w:lang w:val="fr-FR"/>
        </w:rPr>
        <w:t>entraînement de la pompe sont soumises aux pressions réelles existant dans le carter de la pompe, et reflètent donc les écarts de pression absolus;</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2.2.2.2</w:t>
      </w:r>
      <w:r w:rsidRPr="00A779B8">
        <w:rPr>
          <w:rFonts w:eastAsia="Arial Unicode MS"/>
          <w:lang w:val="fr-FR"/>
        </w:rPr>
        <w:tab/>
      </w:r>
      <w:r w:rsidRPr="00A779B8">
        <w:rPr>
          <w:lang w:val="fr-FR"/>
        </w:rPr>
        <w:t>Une température stable doit être maintenue au cours de l</w:t>
      </w:r>
      <w:r w:rsidR="00DB4C2D">
        <w:rPr>
          <w:lang w:val="fr-FR"/>
        </w:rPr>
        <w:t>’</w:t>
      </w:r>
      <w:r w:rsidRPr="00A779B8">
        <w:rPr>
          <w:lang w:val="fr-FR"/>
        </w:rPr>
        <w:t>étalonnage. Le débitmètre laminaire est sensible aux variations de la température d</w:t>
      </w:r>
      <w:r w:rsidR="00DB4C2D">
        <w:rPr>
          <w:lang w:val="fr-FR"/>
        </w:rPr>
        <w:t>’</w:t>
      </w:r>
      <w:r w:rsidRPr="00A779B8">
        <w:rPr>
          <w:lang w:val="fr-FR"/>
        </w:rPr>
        <w:t>entrée, qui causent une dispersion des valeurs mesurées. Des variations de </w:t>
      </w:r>
      <w:r w:rsidRPr="00A779B8">
        <w:rPr>
          <w:lang w:val="fr-FR"/>
        </w:rPr>
        <w:sym w:font="Symbol" w:char="F0B1"/>
      </w:r>
      <w:r w:rsidRPr="00A779B8">
        <w:rPr>
          <w:lang w:val="fr-FR"/>
        </w:rPr>
        <w:t>1 K de la température sont acceptables à condition qu</w:t>
      </w:r>
      <w:r w:rsidR="00DB4C2D">
        <w:rPr>
          <w:lang w:val="fr-FR"/>
        </w:rPr>
        <w:t>’</w:t>
      </w:r>
      <w:r w:rsidRPr="00A779B8">
        <w:rPr>
          <w:lang w:val="fr-FR"/>
        </w:rPr>
        <w:t>elles se produisent progressivement sur une période de plusieurs minutes; et</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2.2.2.3</w:t>
      </w:r>
      <w:r w:rsidRPr="00A779B8">
        <w:rPr>
          <w:rFonts w:eastAsia="Arial Unicode MS"/>
          <w:lang w:val="fr-FR"/>
        </w:rPr>
        <w:tab/>
      </w:r>
      <w:r w:rsidRPr="00A779B8">
        <w:rPr>
          <w:lang w:val="fr-FR"/>
        </w:rPr>
        <w:t>Toutes les tuyauteries de raccordement entre le débitmètre et la pompe CVS doivent être étanches.</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2.2.3</w:t>
      </w:r>
      <w:r w:rsidRPr="00A779B8">
        <w:rPr>
          <w:rFonts w:eastAsia="Arial Unicode MS"/>
          <w:lang w:val="fr-FR"/>
        </w:rPr>
        <w:tab/>
      </w:r>
      <w:r w:rsidRPr="00A779B8">
        <w:rPr>
          <w:lang w:val="fr-FR"/>
        </w:rPr>
        <w:t>Au cours d</w:t>
      </w:r>
      <w:r w:rsidR="00DB4C2D">
        <w:rPr>
          <w:lang w:val="fr-FR"/>
        </w:rPr>
        <w:t>’</w:t>
      </w:r>
      <w:r w:rsidRPr="00A779B8">
        <w:rPr>
          <w:lang w:val="fr-FR"/>
        </w:rPr>
        <w:t>un essai de détermination des émissions d</w:t>
      </w:r>
      <w:r w:rsidR="00DB4C2D">
        <w:rPr>
          <w:lang w:val="fr-FR"/>
        </w:rPr>
        <w:t>’</w:t>
      </w:r>
      <w:r w:rsidRPr="00A779B8">
        <w:rPr>
          <w:lang w:val="fr-FR"/>
        </w:rPr>
        <w:t>échappement, la mesure de ces mêmes paramètres de la pompe permet à l</w:t>
      </w:r>
      <w:r w:rsidR="00DB4C2D">
        <w:rPr>
          <w:lang w:val="fr-FR"/>
        </w:rPr>
        <w:t>’</w:t>
      </w:r>
      <w:r w:rsidRPr="00A779B8">
        <w:rPr>
          <w:lang w:val="fr-FR"/>
        </w:rPr>
        <w:t>utilisateur de calculer le débit après l</w:t>
      </w:r>
      <w:r w:rsidR="00DB4C2D">
        <w:rPr>
          <w:lang w:val="fr-FR"/>
        </w:rPr>
        <w:t>’</w:t>
      </w:r>
      <w:r w:rsidRPr="00A779B8">
        <w:rPr>
          <w:lang w:val="fr-FR"/>
        </w:rPr>
        <w:t>équation d</w:t>
      </w:r>
      <w:r w:rsidR="00DB4C2D">
        <w:rPr>
          <w:lang w:val="fr-FR"/>
        </w:rPr>
        <w:t>’</w:t>
      </w:r>
      <w:r w:rsidRPr="00A779B8">
        <w:rPr>
          <w:lang w:val="fr-FR"/>
        </w:rPr>
        <w:t>étalonnage.</w:t>
      </w:r>
    </w:p>
    <w:p w:rsidR="00D335D4" w:rsidRPr="00A779B8" w:rsidRDefault="00D335D4" w:rsidP="00D335D4">
      <w:pPr>
        <w:pStyle w:val="SingleTxtG"/>
        <w:ind w:left="2268" w:hanging="1134"/>
        <w:rPr>
          <w:lang w:val="fr-FR"/>
        </w:rPr>
      </w:pPr>
      <w:r w:rsidRPr="00A779B8">
        <w:rPr>
          <w:rFonts w:eastAsia="Arial Unicode MS"/>
          <w:lang w:val="fr-FR"/>
        </w:rPr>
        <w:t>2.2.4</w:t>
      </w:r>
      <w:r w:rsidRPr="00A779B8">
        <w:rPr>
          <w:rFonts w:eastAsia="Arial Unicode MS"/>
          <w:lang w:val="fr-FR"/>
        </w:rPr>
        <w:tab/>
      </w:r>
      <w:r w:rsidRPr="00A779B8">
        <w:rPr>
          <w:lang w:val="fr-FR"/>
        </w:rPr>
        <w:t>La figure </w:t>
      </w:r>
      <w:r w:rsidRPr="00A779B8">
        <w:rPr>
          <w:rFonts w:eastAsia="Arial Unicode MS"/>
          <w:lang w:val="fr-FR"/>
        </w:rPr>
        <w:t>A4a.App2/</w:t>
      </w:r>
      <w:r w:rsidRPr="00A779B8">
        <w:rPr>
          <w:lang w:val="fr-FR"/>
        </w:rPr>
        <w:t>8 du présent appendice représente un exemple de configuration d</w:t>
      </w:r>
      <w:r w:rsidR="00DB4C2D">
        <w:rPr>
          <w:lang w:val="fr-FR"/>
        </w:rPr>
        <w:t>’</w:t>
      </w:r>
      <w:r w:rsidRPr="00A779B8">
        <w:rPr>
          <w:lang w:val="fr-FR"/>
        </w:rPr>
        <w:t>essai. Des variantes peuvent être admises, à condition qu</w:t>
      </w:r>
      <w:r w:rsidR="00DB4C2D">
        <w:rPr>
          <w:lang w:val="fr-FR"/>
        </w:rPr>
        <w:t>’</w:t>
      </w:r>
      <w:r w:rsidRPr="00A779B8">
        <w:rPr>
          <w:lang w:val="fr-FR"/>
        </w:rPr>
        <w:t>elles soient approuvées par le service technique comme offrant une justesse comparable. Si l</w:t>
      </w:r>
      <w:r w:rsidR="00DB4C2D">
        <w:rPr>
          <w:lang w:val="fr-FR"/>
        </w:rPr>
        <w:t>’</w:t>
      </w:r>
      <w:r w:rsidRPr="00A779B8">
        <w:rPr>
          <w:lang w:val="fr-FR"/>
        </w:rPr>
        <w:t>on utilise l</w:t>
      </w:r>
      <w:r w:rsidR="00DB4C2D">
        <w:rPr>
          <w:lang w:val="fr-FR"/>
        </w:rPr>
        <w:t>’</w:t>
      </w:r>
      <w:r w:rsidRPr="00A779B8">
        <w:rPr>
          <w:lang w:val="fr-FR"/>
        </w:rPr>
        <w:t>installation décrite à la figure </w:t>
      </w:r>
      <w:r w:rsidRPr="00A779B8">
        <w:rPr>
          <w:rFonts w:eastAsia="Arial Unicode MS"/>
          <w:lang w:val="fr-FR"/>
        </w:rPr>
        <w:t>A4a.App2/</w:t>
      </w:r>
      <w:r w:rsidRPr="00A779B8">
        <w:rPr>
          <w:lang w:val="fr-FR"/>
        </w:rPr>
        <w:t>8, les paramètres suivants doivent satisfaire aux tolérances de précision indiquées:</w:t>
      </w:r>
    </w:p>
    <w:tbl>
      <w:tblPr>
        <w:tblW w:w="0" w:type="auto"/>
        <w:tblInd w:w="2268" w:type="dxa"/>
        <w:tblLayout w:type="fixed"/>
        <w:tblCellMar>
          <w:left w:w="0" w:type="dxa"/>
          <w:right w:w="0" w:type="dxa"/>
        </w:tblCellMar>
        <w:tblLook w:val="01E0" w:firstRow="1" w:lastRow="1" w:firstColumn="1" w:lastColumn="1" w:noHBand="0" w:noVBand="0"/>
      </w:tblPr>
      <w:tblGrid>
        <w:gridCol w:w="5103"/>
        <w:gridCol w:w="1134"/>
      </w:tblGrid>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t>Pression barométrique (corrigée) (P</w:t>
            </w:r>
            <w:r w:rsidRPr="007E29C4">
              <w:rPr>
                <w:vertAlign w:val="subscript"/>
                <w:lang w:val="fr-FR"/>
              </w:rPr>
              <w:t>b</w:t>
            </w:r>
            <w:r w:rsidRPr="007E29C4">
              <w:rPr>
                <w:lang w:val="fr-FR"/>
              </w:rPr>
              <w:t>)</w:t>
            </w:r>
          </w:p>
        </w:tc>
        <w:tc>
          <w:tcPr>
            <w:tcW w:w="1134" w:type="dxa"/>
            <w:shd w:val="clear" w:color="auto" w:fill="auto"/>
          </w:tcPr>
          <w:p w:rsidR="00D335D4" w:rsidRPr="007E29C4" w:rsidRDefault="00D335D4" w:rsidP="00A36982">
            <w:pPr>
              <w:jc w:val="right"/>
              <w:rPr>
                <w:lang w:val="fr-FR"/>
              </w:rPr>
            </w:pPr>
            <w:r w:rsidRPr="007E29C4">
              <w:rPr>
                <w:lang w:val="fr-FR"/>
              </w:rPr>
              <w:sym w:font="Symbol" w:char="F0B1"/>
            </w:r>
            <w:r w:rsidRPr="007E29C4">
              <w:rPr>
                <w:lang w:val="fr-FR"/>
              </w:rPr>
              <w:t>0,03 kPa,</w:t>
            </w:r>
          </w:p>
        </w:tc>
      </w:tr>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t>Température ambiante (T)</w:t>
            </w:r>
          </w:p>
        </w:tc>
        <w:tc>
          <w:tcPr>
            <w:tcW w:w="1134" w:type="dxa"/>
            <w:shd w:val="clear" w:color="auto" w:fill="auto"/>
          </w:tcPr>
          <w:p w:rsidR="00D335D4" w:rsidRPr="007E29C4" w:rsidRDefault="00D335D4" w:rsidP="00A36982">
            <w:pPr>
              <w:jc w:val="right"/>
              <w:rPr>
                <w:lang w:val="fr-FR"/>
              </w:rPr>
            </w:pPr>
            <w:r w:rsidRPr="007E29C4">
              <w:rPr>
                <w:lang w:val="fr-FR"/>
              </w:rPr>
              <w:sym w:font="Symbol" w:char="F0B1"/>
            </w:r>
            <w:r w:rsidRPr="007E29C4">
              <w:rPr>
                <w:lang w:val="fr-FR"/>
              </w:rPr>
              <w:t>0,2 K,</w:t>
            </w:r>
          </w:p>
        </w:tc>
      </w:tr>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t>Température de l</w:t>
            </w:r>
            <w:r w:rsidR="00DB4C2D">
              <w:rPr>
                <w:lang w:val="fr-FR"/>
              </w:rPr>
              <w:t>’</w:t>
            </w:r>
            <w:r w:rsidRPr="007E29C4">
              <w:rPr>
                <w:lang w:val="fr-FR"/>
              </w:rPr>
              <w:t>air à l</w:t>
            </w:r>
            <w:r w:rsidR="00DB4C2D">
              <w:rPr>
                <w:lang w:val="fr-FR"/>
              </w:rPr>
              <w:t>’</w:t>
            </w:r>
            <w:r w:rsidRPr="007E29C4">
              <w:rPr>
                <w:lang w:val="fr-FR"/>
              </w:rPr>
              <w:t>entrée de LFE (ETI)</w:t>
            </w:r>
          </w:p>
        </w:tc>
        <w:tc>
          <w:tcPr>
            <w:tcW w:w="1134" w:type="dxa"/>
            <w:shd w:val="clear" w:color="auto" w:fill="auto"/>
          </w:tcPr>
          <w:p w:rsidR="00D335D4" w:rsidRPr="007E29C4" w:rsidRDefault="00D335D4" w:rsidP="00A36982">
            <w:pPr>
              <w:jc w:val="right"/>
              <w:rPr>
                <w:lang w:val="fr-FR"/>
              </w:rPr>
            </w:pPr>
            <w:r w:rsidRPr="007E29C4">
              <w:rPr>
                <w:lang w:val="fr-FR"/>
              </w:rPr>
              <w:sym w:font="Symbol" w:char="F0B1"/>
            </w:r>
            <w:r w:rsidRPr="007E29C4">
              <w:rPr>
                <w:lang w:val="fr-FR"/>
              </w:rPr>
              <w:t>0,15 K,</w:t>
            </w:r>
          </w:p>
        </w:tc>
      </w:tr>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t>Dépression en amont de LFE (EPI)</w:t>
            </w:r>
          </w:p>
        </w:tc>
        <w:tc>
          <w:tcPr>
            <w:tcW w:w="1134" w:type="dxa"/>
            <w:shd w:val="clear" w:color="auto" w:fill="auto"/>
          </w:tcPr>
          <w:p w:rsidR="00D335D4" w:rsidRPr="007E29C4" w:rsidRDefault="00D335D4" w:rsidP="00A36982">
            <w:pPr>
              <w:jc w:val="right"/>
              <w:rPr>
                <w:lang w:val="fr-FR"/>
              </w:rPr>
            </w:pPr>
            <w:r w:rsidRPr="007E29C4">
              <w:rPr>
                <w:lang w:val="fr-FR"/>
              </w:rPr>
              <w:sym w:font="Symbol" w:char="F0B1"/>
            </w:r>
            <w:r w:rsidRPr="007E29C4">
              <w:rPr>
                <w:lang w:val="fr-FR"/>
              </w:rPr>
              <w:t>0,01 kPa,</w:t>
            </w:r>
          </w:p>
        </w:tc>
      </w:tr>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t>Perte de charge à travers la buse de LFE (EDP)</w:t>
            </w:r>
          </w:p>
        </w:tc>
        <w:tc>
          <w:tcPr>
            <w:tcW w:w="1134" w:type="dxa"/>
            <w:shd w:val="clear" w:color="auto" w:fill="auto"/>
          </w:tcPr>
          <w:p w:rsidR="00D335D4" w:rsidRPr="007E29C4" w:rsidRDefault="00D335D4" w:rsidP="00A36982">
            <w:pPr>
              <w:jc w:val="right"/>
              <w:rPr>
                <w:lang w:val="fr-FR"/>
              </w:rPr>
            </w:pPr>
            <w:r w:rsidRPr="007E29C4">
              <w:rPr>
                <w:lang w:val="fr-FR"/>
              </w:rPr>
              <w:sym w:font="Symbol" w:char="F0B1"/>
            </w:r>
            <w:r w:rsidRPr="007E29C4">
              <w:rPr>
                <w:lang w:val="fr-FR"/>
              </w:rPr>
              <w:t>0,0015 kPa,</w:t>
            </w:r>
          </w:p>
        </w:tc>
      </w:tr>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lastRenderedPageBreak/>
              <w:t>Température de l</w:t>
            </w:r>
            <w:r w:rsidR="00DB4C2D">
              <w:rPr>
                <w:lang w:val="fr-FR"/>
              </w:rPr>
              <w:t>’</w:t>
            </w:r>
            <w:r w:rsidRPr="007E29C4">
              <w:rPr>
                <w:lang w:val="fr-FR"/>
              </w:rPr>
              <w:t>air à l</w:t>
            </w:r>
            <w:r w:rsidR="00DB4C2D">
              <w:rPr>
                <w:lang w:val="fr-FR"/>
              </w:rPr>
              <w:t>’</w:t>
            </w:r>
            <w:r w:rsidRPr="007E29C4">
              <w:rPr>
                <w:lang w:val="fr-FR"/>
              </w:rPr>
              <w:t>entrée de la pompe CVS (PTI)</w:t>
            </w:r>
          </w:p>
        </w:tc>
        <w:tc>
          <w:tcPr>
            <w:tcW w:w="1134" w:type="dxa"/>
            <w:shd w:val="clear" w:color="auto" w:fill="auto"/>
          </w:tcPr>
          <w:p w:rsidR="00D335D4" w:rsidRPr="007E29C4" w:rsidRDefault="00D335D4" w:rsidP="00A36982">
            <w:pPr>
              <w:jc w:val="right"/>
              <w:rPr>
                <w:lang w:val="fr-FR"/>
              </w:rPr>
            </w:pPr>
            <w:r w:rsidRPr="007E29C4">
              <w:rPr>
                <w:lang w:val="fr-FR"/>
              </w:rPr>
              <w:sym w:font="Symbol" w:char="F0B1"/>
            </w:r>
            <w:r w:rsidRPr="007E29C4">
              <w:rPr>
                <w:lang w:val="fr-FR"/>
              </w:rPr>
              <w:t>0,2 K,</w:t>
            </w:r>
          </w:p>
        </w:tc>
      </w:tr>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t>Température de l</w:t>
            </w:r>
            <w:r w:rsidR="00DB4C2D">
              <w:rPr>
                <w:lang w:val="fr-FR"/>
              </w:rPr>
              <w:t>’</w:t>
            </w:r>
            <w:r w:rsidRPr="007E29C4">
              <w:rPr>
                <w:lang w:val="fr-FR"/>
              </w:rPr>
              <w:t>air à la sortie de la pompe CVS (PTO)</w:t>
            </w:r>
          </w:p>
        </w:tc>
        <w:tc>
          <w:tcPr>
            <w:tcW w:w="1134" w:type="dxa"/>
            <w:shd w:val="clear" w:color="auto" w:fill="auto"/>
          </w:tcPr>
          <w:p w:rsidR="00D335D4" w:rsidRPr="007E29C4" w:rsidRDefault="00D335D4" w:rsidP="00A36982">
            <w:pPr>
              <w:jc w:val="right"/>
              <w:rPr>
                <w:lang w:val="fr-FR"/>
              </w:rPr>
            </w:pPr>
            <w:r w:rsidRPr="007E29C4">
              <w:rPr>
                <w:lang w:val="fr-FR"/>
              </w:rPr>
              <w:sym w:font="Symbol" w:char="F0B1"/>
            </w:r>
            <w:r w:rsidRPr="007E29C4">
              <w:rPr>
                <w:lang w:val="fr-FR"/>
              </w:rPr>
              <w:t>0,2 K,</w:t>
            </w:r>
          </w:p>
        </w:tc>
      </w:tr>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t>Dépression à l</w:t>
            </w:r>
            <w:r w:rsidR="00DB4C2D">
              <w:rPr>
                <w:lang w:val="fr-FR"/>
              </w:rPr>
              <w:t>’</w:t>
            </w:r>
            <w:r w:rsidRPr="007E29C4">
              <w:rPr>
                <w:lang w:val="fr-FR"/>
              </w:rPr>
              <w:t>entrée de la pompe CVS (PPI)</w:t>
            </w:r>
          </w:p>
        </w:tc>
        <w:tc>
          <w:tcPr>
            <w:tcW w:w="1134" w:type="dxa"/>
            <w:shd w:val="clear" w:color="auto" w:fill="auto"/>
          </w:tcPr>
          <w:p w:rsidR="00D335D4" w:rsidRPr="007E29C4" w:rsidRDefault="00D335D4" w:rsidP="00A36982">
            <w:pPr>
              <w:jc w:val="right"/>
              <w:rPr>
                <w:lang w:val="fr-FR"/>
              </w:rPr>
            </w:pPr>
            <w:r w:rsidRPr="007E29C4">
              <w:rPr>
                <w:lang w:val="fr-FR"/>
              </w:rPr>
              <w:sym w:font="Symbol" w:char="F0B1"/>
            </w:r>
            <w:r w:rsidRPr="007E29C4">
              <w:rPr>
                <w:lang w:val="fr-FR"/>
              </w:rPr>
              <w:t>0,22 kPa,</w:t>
            </w:r>
          </w:p>
        </w:tc>
      </w:tr>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t>Hauteur de refoulement à la sortie de la pompe CVS (PPO)</w:t>
            </w:r>
          </w:p>
        </w:tc>
        <w:tc>
          <w:tcPr>
            <w:tcW w:w="1134" w:type="dxa"/>
            <w:shd w:val="clear" w:color="auto" w:fill="auto"/>
          </w:tcPr>
          <w:p w:rsidR="00D335D4" w:rsidRPr="007E29C4" w:rsidRDefault="00D335D4" w:rsidP="00A36982">
            <w:pPr>
              <w:jc w:val="right"/>
              <w:rPr>
                <w:lang w:val="fr-FR"/>
              </w:rPr>
            </w:pPr>
            <w:r w:rsidRPr="007E29C4">
              <w:rPr>
                <w:lang w:val="fr-FR"/>
              </w:rPr>
              <w:sym w:font="Symbol" w:char="F0B1"/>
            </w:r>
            <w:r w:rsidRPr="007E29C4">
              <w:rPr>
                <w:lang w:val="fr-FR"/>
              </w:rPr>
              <w:t>0,22 kPa,</w:t>
            </w:r>
          </w:p>
        </w:tc>
      </w:tr>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t>Nombre de tours de la pompe au cours de l</w:t>
            </w:r>
            <w:r w:rsidR="00DB4C2D">
              <w:rPr>
                <w:lang w:val="fr-FR"/>
              </w:rPr>
              <w:t>’</w:t>
            </w:r>
            <w:r w:rsidRPr="007E29C4">
              <w:rPr>
                <w:lang w:val="fr-FR"/>
              </w:rPr>
              <w:t>essai (n)</w:t>
            </w:r>
          </w:p>
        </w:tc>
        <w:tc>
          <w:tcPr>
            <w:tcW w:w="1134" w:type="dxa"/>
            <w:shd w:val="clear" w:color="auto" w:fill="auto"/>
          </w:tcPr>
          <w:p w:rsidR="00D335D4" w:rsidRPr="007E29C4" w:rsidRDefault="00D335D4" w:rsidP="00A36982">
            <w:pPr>
              <w:jc w:val="right"/>
              <w:rPr>
                <w:vertAlign w:val="superscript"/>
                <w:lang w:val="fr-FR"/>
              </w:rPr>
            </w:pPr>
            <w:r w:rsidRPr="007E29C4">
              <w:rPr>
                <w:lang w:val="fr-FR"/>
              </w:rPr>
              <w:sym w:font="Symbol" w:char="F0B1"/>
            </w:r>
            <w:r w:rsidRPr="007E29C4">
              <w:rPr>
                <w:lang w:val="fr-FR"/>
              </w:rPr>
              <w:t>1 min</w:t>
            </w:r>
            <w:r w:rsidRPr="007E29C4">
              <w:rPr>
                <w:vertAlign w:val="superscript"/>
                <w:lang w:val="fr-FR"/>
              </w:rPr>
              <w:t>-1</w:t>
            </w:r>
            <w:r w:rsidRPr="007E29C4">
              <w:rPr>
                <w:lang w:val="fr-FR"/>
              </w:rPr>
              <w:t>,</w:t>
            </w:r>
          </w:p>
        </w:tc>
      </w:tr>
      <w:tr w:rsidR="00D335D4" w:rsidRPr="007E29C4" w:rsidTr="00A36982">
        <w:tc>
          <w:tcPr>
            <w:tcW w:w="5103" w:type="dxa"/>
            <w:shd w:val="clear" w:color="auto" w:fill="auto"/>
          </w:tcPr>
          <w:p w:rsidR="00D335D4" w:rsidRPr="007E29C4" w:rsidRDefault="00D335D4" w:rsidP="00A36982">
            <w:pPr>
              <w:pStyle w:val="SingleTxtG"/>
              <w:ind w:left="0" w:right="0"/>
              <w:jc w:val="left"/>
              <w:rPr>
                <w:lang w:val="fr-FR"/>
              </w:rPr>
            </w:pPr>
            <w:r w:rsidRPr="007E29C4">
              <w:rPr>
                <w:lang w:val="fr-FR"/>
              </w:rPr>
              <w:t>Durée de l</w:t>
            </w:r>
            <w:r w:rsidR="00DB4C2D">
              <w:rPr>
                <w:lang w:val="fr-FR"/>
              </w:rPr>
              <w:t>’</w:t>
            </w:r>
            <w:r w:rsidRPr="007E29C4">
              <w:rPr>
                <w:lang w:val="fr-FR"/>
              </w:rPr>
              <w:t>essai (minimum 250 s) (t)</w:t>
            </w:r>
          </w:p>
        </w:tc>
        <w:tc>
          <w:tcPr>
            <w:tcW w:w="1134" w:type="dxa"/>
            <w:shd w:val="clear" w:color="auto" w:fill="auto"/>
          </w:tcPr>
          <w:p w:rsidR="00D335D4" w:rsidRPr="007E29C4" w:rsidRDefault="00D335D4" w:rsidP="00A36982">
            <w:pPr>
              <w:jc w:val="right"/>
              <w:rPr>
                <w:lang w:val="fr-FR"/>
              </w:rPr>
            </w:pPr>
            <w:r w:rsidRPr="007E29C4">
              <w:rPr>
                <w:lang w:val="fr-FR"/>
              </w:rPr>
              <w:sym w:font="Symbol" w:char="F0B1"/>
            </w:r>
            <w:r w:rsidRPr="007E29C4">
              <w:rPr>
                <w:lang w:val="fr-FR"/>
              </w:rPr>
              <w:t>0,1 s.</w:t>
            </w:r>
          </w:p>
        </w:tc>
      </w:tr>
    </w:tbl>
    <w:p w:rsidR="00D335D4" w:rsidRPr="00A779B8" w:rsidRDefault="00D335D4" w:rsidP="00D335D4">
      <w:pPr>
        <w:pStyle w:val="Titre1"/>
        <w:spacing w:before="120" w:after="120"/>
        <w:rPr>
          <w:lang w:val="fr-FR"/>
        </w:rPr>
      </w:pPr>
      <w:r w:rsidRPr="00A779B8">
        <w:rPr>
          <w:rFonts w:eastAsia="Arial Unicode MS"/>
          <w:lang w:val="fr-FR"/>
        </w:rPr>
        <w:t>Figure A4a.App2/8</w:t>
      </w:r>
      <w:r w:rsidRPr="00A779B8">
        <w:rPr>
          <w:rFonts w:eastAsia="Arial Unicode MS"/>
          <w:lang w:val="fr-FR"/>
        </w:rPr>
        <w:br/>
      </w:r>
      <w:r w:rsidRPr="00A779B8">
        <w:rPr>
          <w:b/>
          <w:lang w:val="fr-FR"/>
        </w:rPr>
        <w:t>Configuration d</w:t>
      </w:r>
      <w:r w:rsidR="00DB4C2D">
        <w:rPr>
          <w:b/>
          <w:lang w:val="fr-FR"/>
        </w:rPr>
        <w:t>’</w:t>
      </w:r>
      <w:r w:rsidRPr="00A779B8">
        <w:rPr>
          <w:b/>
          <w:lang w:val="fr-FR"/>
        </w:rPr>
        <w:t>étalonnage pour le système PDP</w:t>
      </w:r>
    </w:p>
    <w:bookmarkStart w:id="174" w:name="_MON_1316525204"/>
    <w:bookmarkStart w:id="175" w:name="_MON_1448269059"/>
    <w:bookmarkEnd w:id="174"/>
    <w:bookmarkEnd w:id="175"/>
    <w:p w:rsidR="00D335D4" w:rsidRPr="00A779B8" w:rsidRDefault="00D335D4" w:rsidP="00D335D4">
      <w:pPr>
        <w:ind w:left="1134"/>
        <w:rPr>
          <w:lang w:val="fr-FR"/>
        </w:rPr>
      </w:pPr>
      <w:r w:rsidRPr="00A779B8">
        <w:rPr>
          <w:lang w:val="fr-FR"/>
        </w:rPr>
        <w:object w:dxaOrig="7694" w:dyaOrig="5444">
          <v:shape id="_x0000_i1085" type="#_x0000_t75" style="width:371.55pt;height:249.3pt" o:ole="">
            <v:imagedata r:id="rId154" o:title="" croptop="-1365f" cropleft="-966f"/>
            <w10:bordertop type="single" width="4"/>
            <w10:borderleft type="single" width="4"/>
            <w10:borderbottom type="single" width="4"/>
            <w10:borderright type="single" width="4"/>
          </v:shape>
          <o:OLEObject Type="Embed" ProgID="Word.Picture.8" ShapeID="_x0000_i1085" DrawAspect="Content" ObjectID="_1490178441" r:id="rId155"/>
        </w:object>
      </w:r>
    </w:p>
    <w:p w:rsidR="00D335D4" w:rsidRPr="00A779B8" w:rsidRDefault="00D335D4" w:rsidP="00D335D4">
      <w:pPr>
        <w:pStyle w:val="SingleTxtG"/>
        <w:spacing w:before="240"/>
        <w:ind w:left="2268" w:hanging="1134"/>
        <w:rPr>
          <w:lang w:val="fr-FR"/>
        </w:rPr>
      </w:pPr>
      <w:r w:rsidRPr="00A779B8">
        <w:rPr>
          <w:rFonts w:eastAsia="Arial Unicode MS"/>
          <w:lang w:val="fr-FR"/>
        </w:rPr>
        <w:t>2.2.5</w:t>
      </w:r>
      <w:r w:rsidRPr="00A779B8">
        <w:rPr>
          <w:rFonts w:eastAsia="Arial Unicode MS"/>
          <w:lang w:val="fr-FR"/>
        </w:rPr>
        <w:tab/>
      </w:r>
      <w:r w:rsidRPr="00A779B8">
        <w:rPr>
          <w:lang w:val="fr-FR"/>
        </w:rPr>
        <w:t>Une fois réalisé le montage représenté à la figure </w:t>
      </w:r>
      <w:r w:rsidRPr="00A779B8">
        <w:rPr>
          <w:rFonts w:eastAsia="Arial Unicode MS"/>
          <w:lang w:val="fr-FR"/>
        </w:rPr>
        <w:t>A4a.App2/</w:t>
      </w:r>
      <w:r w:rsidRPr="00A779B8">
        <w:rPr>
          <w:lang w:val="fr-FR"/>
        </w:rPr>
        <w:t>8 du présent appendice, régler la vanne de réglage du débit à pleine ouverture et faire fonctionner la pompe CVS pendant 20 min avant de commencer les opérations d</w:t>
      </w:r>
      <w:r w:rsidR="00DB4C2D">
        <w:rPr>
          <w:lang w:val="fr-FR"/>
        </w:rPr>
        <w:t>’</w:t>
      </w:r>
      <w:r w:rsidRPr="00A779B8">
        <w:rPr>
          <w:lang w:val="fr-FR"/>
        </w:rPr>
        <w:t>étalonnage.</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2.2.6</w:t>
      </w:r>
      <w:r w:rsidRPr="00A779B8">
        <w:rPr>
          <w:rFonts w:eastAsia="Arial Unicode MS"/>
          <w:lang w:val="fr-FR"/>
        </w:rPr>
        <w:tab/>
      </w:r>
      <w:r w:rsidRPr="00A779B8">
        <w:rPr>
          <w:lang w:val="fr-FR"/>
        </w:rPr>
        <w:t>Refermer partiellement la vanne de réglage du débit de manière à obtenir un accroissement de la dépression à l</w:t>
      </w:r>
      <w:r w:rsidR="00DB4C2D">
        <w:rPr>
          <w:lang w:val="fr-FR"/>
        </w:rPr>
        <w:t>’</w:t>
      </w:r>
      <w:r w:rsidRPr="00A779B8">
        <w:rPr>
          <w:lang w:val="fr-FR"/>
        </w:rPr>
        <w:t>entrée de la pompe (1 kPa environ) permettant de disposer d</w:t>
      </w:r>
      <w:r w:rsidR="00DB4C2D">
        <w:rPr>
          <w:lang w:val="fr-FR"/>
        </w:rPr>
        <w:t>’</w:t>
      </w:r>
      <w:r w:rsidRPr="00A779B8">
        <w:rPr>
          <w:lang w:val="fr-FR"/>
        </w:rPr>
        <w:t>un minimum de six points de mesure pour l</w:t>
      </w:r>
      <w:r w:rsidR="00DB4C2D">
        <w:rPr>
          <w:lang w:val="fr-FR"/>
        </w:rPr>
        <w:t>’</w:t>
      </w:r>
      <w:r w:rsidRPr="00A779B8">
        <w:rPr>
          <w:lang w:val="fr-FR"/>
        </w:rPr>
        <w:t>ensemble de l</w:t>
      </w:r>
      <w:r w:rsidR="00DB4C2D">
        <w:rPr>
          <w:lang w:val="fr-FR"/>
        </w:rPr>
        <w:t>’</w:t>
      </w:r>
      <w:r w:rsidRPr="00A779B8">
        <w:rPr>
          <w:lang w:val="fr-FR"/>
        </w:rPr>
        <w:t>étalonnage. Laisser le système atteindre son régime stabilisé pendant 3 min et répéter les mesures.</w:t>
      </w:r>
    </w:p>
    <w:p w:rsidR="00D335D4" w:rsidRPr="00A779B8" w:rsidRDefault="00D335D4" w:rsidP="00D335D4">
      <w:pPr>
        <w:pStyle w:val="SingleTxtG"/>
        <w:ind w:left="2268" w:hanging="1134"/>
        <w:rPr>
          <w:rFonts w:eastAsia="Arial Unicode MS"/>
          <w:lang w:val="fr-FR"/>
        </w:rPr>
      </w:pPr>
      <w:r w:rsidRPr="00A779B8">
        <w:rPr>
          <w:rFonts w:eastAsia="Arial Unicode MS"/>
          <w:lang w:val="fr-FR"/>
        </w:rPr>
        <w:t>2.2.7</w:t>
      </w:r>
      <w:r w:rsidRPr="00A779B8">
        <w:rPr>
          <w:rFonts w:eastAsia="Arial Unicode MS"/>
          <w:lang w:val="fr-FR"/>
        </w:rPr>
        <w:tab/>
      </w:r>
      <w:r w:rsidRPr="00A779B8">
        <w:rPr>
          <w:lang w:val="fr-FR"/>
        </w:rPr>
        <w:t>Le débit d</w:t>
      </w:r>
      <w:r w:rsidR="00DB4C2D">
        <w:rPr>
          <w:lang w:val="fr-FR"/>
        </w:rPr>
        <w:t>’</w:t>
      </w:r>
      <w:r w:rsidRPr="00A779B8">
        <w:rPr>
          <w:lang w:val="fr-FR"/>
        </w:rPr>
        <w:t xml:space="preserve">air </w:t>
      </w:r>
      <w:proofErr w:type="spellStart"/>
      <w:r w:rsidRPr="00A779B8">
        <w:rPr>
          <w:lang w:val="fr-FR"/>
        </w:rPr>
        <w:t>Q</w:t>
      </w:r>
      <w:r w:rsidRPr="00A779B8">
        <w:rPr>
          <w:vertAlign w:val="subscript"/>
          <w:lang w:val="fr-FR"/>
        </w:rPr>
        <w:t>s</w:t>
      </w:r>
      <w:proofErr w:type="spellEnd"/>
      <w:r w:rsidRPr="00A779B8">
        <w:rPr>
          <w:lang w:val="fr-FR"/>
        </w:rPr>
        <w:t xml:space="preserve"> à chaque point d</w:t>
      </w:r>
      <w:r w:rsidR="00DB4C2D">
        <w:rPr>
          <w:lang w:val="fr-FR"/>
        </w:rPr>
        <w:t>’</w:t>
      </w:r>
      <w:r w:rsidRPr="00A779B8">
        <w:rPr>
          <w:lang w:val="fr-FR"/>
        </w:rPr>
        <w:t>essai est calculé en m</w:t>
      </w:r>
      <w:r w:rsidRPr="00A779B8">
        <w:rPr>
          <w:vertAlign w:val="superscript"/>
          <w:lang w:val="fr-FR"/>
        </w:rPr>
        <w:t>3</w:t>
      </w:r>
      <w:r w:rsidRPr="00A779B8">
        <w:rPr>
          <w:lang w:val="fr-FR"/>
        </w:rPr>
        <w:t>/min (conditions normales) d</w:t>
      </w:r>
      <w:r w:rsidR="00DB4C2D">
        <w:rPr>
          <w:lang w:val="fr-FR"/>
        </w:rPr>
        <w:t>’</w:t>
      </w:r>
      <w:r w:rsidRPr="00A779B8">
        <w:rPr>
          <w:lang w:val="fr-FR"/>
        </w:rPr>
        <w:t>après les valeurs de mesure du débitmètre, selon la méthode prescrite par le fabricant.</w:t>
      </w:r>
    </w:p>
    <w:p w:rsidR="00D335D4" w:rsidRPr="00A779B8" w:rsidRDefault="00D335D4" w:rsidP="00D335D4">
      <w:pPr>
        <w:pStyle w:val="SingleTxtG"/>
        <w:keepNext/>
        <w:keepLines/>
        <w:ind w:left="2268" w:hanging="1134"/>
        <w:rPr>
          <w:rFonts w:eastAsia="Arial Unicode MS"/>
          <w:lang w:val="fr-FR"/>
        </w:rPr>
      </w:pPr>
      <w:r w:rsidRPr="00A779B8">
        <w:rPr>
          <w:rFonts w:eastAsia="Arial Unicode MS"/>
          <w:lang w:val="fr-FR"/>
        </w:rPr>
        <w:lastRenderedPageBreak/>
        <w:t>2.2.8</w:t>
      </w:r>
      <w:r w:rsidRPr="00A779B8">
        <w:rPr>
          <w:rFonts w:eastAsia="Arial Unicode MS"/>
          <w:lang w:val="fr-FR"/>
        </w:rPr>
        <w:tab/>
      </w:r>
      <w:r w:rsidRPr="00A779B8">
        <w:rPr>
          <w:lang w:val="fr-FR"/>
        </w:rPr>
        <w:t>Le débit d</w:t>
      </w:r>
      <w:r w:rsidR="00DB4C2D">
        <w:rPr>
          <w:lang w:val="fr-FR"/>
        </w:rPr>
        <w:t>’</w:t>
      </w:r>
      <w:r w:rsidRPr="00A779B8">
        <w:rPr>
          <w:lang w:val="fr-FR"/>
        </w:rPr>
        <w:t>air est alors converti en débit de la pompe V</w:t>
      </w:r>
      <w:r w:rsidRPr="00A779B8">
        <w:rPr>
          <w:vertAlign w:val="subscript"/>
          <w:lang w:val="fr-FR"/>
        </w:rPr>
        <w:t>0</w:t>
      </w:r>
      <w:r w:rsidRPr="00A779B8">
        <w:rPr>
          <w:lang w:val="fr-FR"/>
        </w:rPr>
        <w:t>, exprimé en m</w:t>
      </w:r>
      <w:r w:rsidRPr="00A779B8">
        <w:rPr>
          <w:vertAlign w:val="superscript"/>
          <w:lang w:val="fr-FR"/>
        </w:rPr>
        <w:t>3</w:t>
      </w:r>
      <w:r w:rsidRPr="00A779B8">
        <w:rPr>
          <w:lang w:val="fr-FR"/>
        </w:rPr>
        <w:t xml:space="preserve"> par tour à température et à pression absolue à l</w:t>
      </w:r>
      <w:r w:rsidR="00DB4C2D">
        <w:rPr>
          <w:lang w:val="fr-FR"/>
        </w:rPr>
        <w:t>’</w:t>
      </w:r>
      <w:r w:rsidRPr="00A779B8">
        <w:rPr>
          <w:lang w:val="fr-FR"/>
        </w:rPr>
        <w:t>entrée de la pompe:</w:t>
      </w:r>
    </w:p>
    <w:p w:rsidR="00D335D4" w:rsidRPr="00A779B8" w:rsidRDefault="00D335D4" w:rsidP="00D335D4">
      <w:pPr>
        <w:keepNext/>
        <w:keepLines/>
        <w:widowControl w:val="0"/>
        <w:pBdr>
          <w:top w:val="single" w:sz="8" w:space="0" w:color="FFFFFF"/>
          <w:left w:val="single" w:sz="8" w:space="0" w:color="FFFFFF"/>
          <w:bottom w:val="single" w:sz="8" w:space="0" w:color="FFFFFF"/>
          <w:right w:val="single" w:sz="8" w:space="0" w:color="FFFFFF"/>
        </w:pBdr>
        <w:ind w:left="2268"/>
        <w:rPr>
          <w:rFonts w:eastAsia="Arial Unicode MS"/>
          <w:szCs w:val="24"/>
          <w:lang w:val="fr-FR"/>
        </w:rPr>
      </w:pPr>
      <w:r w:rsidRPr="00A779B8">
        <w:rPr>
          <w:rFonts w:eastAsia="Arial Unicode MS"/>
          <w:position w:val="-28"/>
          <w:szCs w:val="24"/>
          <w:lang w:val="fr-FR"/>
        </w:rPr>
        <w:object w:dxaOrig="2020" w:dyaOrig="639">
          <v:shape id="_x0000_i1086" type="#_x0000_t75" style="width:101.2pt;height:31.9pt" o:ole="">
            <v:imagedata r:id="rId156" o:title=""/>
          </v:shape>
          <o:OLEObject Type="Embed" ProgID="Equation.3" ShapeID="_x0000_i1086" DrawAspect="Content" ObjectID="_1490178442" r:id="rId157"/>
        </w:object>
      </w:r>
      <w:r w:rsidRPr="00A779B8">
        <w:rPr>
          <w:rFonts w:eastAsia="Arial Unicode MS"/>
          <w:szCs w:val="24"/>
          <w:lang w:val="fr-FR"/>
        </w:rPr>
        <w:t xml:space="preserve"> </w:t>
      </w:r>
    </w:p>
    <w:p w:rsidR="00D335D4" w:rsidRPr="00A779B8" w:rsidRDefault="00D335D4" w:rsidP="00D335D4">
      <w:pPr>
        <w:pStyle w:val="SingleTxtG"/>
        <w:keepNex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Change w:id="176">
          <w:tblGrid>
            <w:gridCol w:w="594"/>
            <w:gridCol w:w="297"/>
            <w:gridCol w:w="5346"/>
          </w:tblGrid>
        </w:tblGridChange>
      </w:tblGrid>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t>V</w:t>
            </w:r>
            <w:r w:rsidRPr="007E29C4">
              <w:rPr>
                <w:vertAlign w:val="subscript"/>
                <w:lang w:val="fr-FR"/>
              </w:rPr>
              <w:t>0</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 xml:space="preserve">débit de la pompe à </w:t>
            </w:r>
            <w:proofErr w:type="spellStart"/>
            <w:r w:rsidRPr="007E29C4">
              <w:rPr>
                <w:lang w:val="fr-FR"/>
              </w:rPr>
              <w:t>Tp</w:t>
            </w:r>
            <w:proofErr w:type="spellEnd"/>
            <w:r w:rsidRPr="007E29C4">
              <w:rPr>
                <w:lang w:val="fr-FR"/>
              </w:rPr>
              <w:t xml:space="preserve"> et Pp, en m</w:t>
            </w:r>
            <w:r w:rsidRPr="007E29C4">
              <w:rPr>
                <w:vertAlign w:val="superscript"/>
                <w:lang w:val="fr-FR"/>
              </w:rPr>
              <w:t>3</w:t>
            </w:r>
            <w:r w:rsidRPr="007E29C4">
              <w:rPr>
                <w:lang w:val="fr-FR"/>
              </w:rPr>
              <w:t>/tr,</w:t>
            </w:r>
          </w:p>
        </w:tc>
      </w:tr>
      <w:tr w:rsidR="00D335D4" w:rsidRPr="007E29C4" w:rsidTr="00A36982">
        <w:tc>
          <w:tcPr>
            <w:tcW w:w="567" w:type="dxa"/>
            <w:shd w:val="clear" w:color="auto" w:fill="auto"/>
          </w:tcPr>
          <w:p w:rsidR="00D335D4" w:rsidRPr="007E29C4" w:rsidRDefault="00D335D4" w:rsidP="00A36982">
            <w:pPr>
              <w:spacing w:after="120"/>
              <w:rPr>
                <w:lang w:val="fr-FR"/>
              </w:rPr>
            </w:pPr>
            <w:proofErr w:type="spellStart"/>
            <w:r w:rsidRPr="007E29C4">
              <w:rPr>
                <w:lang w:val="fr-FR"/>
              </w:rPr>
              <w:t>Q</w:t>
            </w:r>
            <w:r w:rsidRPr="007E29C4">
              <w:rPr>
                <w:vertAlign w:val="subscript"/>
                <w:lang w:val="fr-FR"/>
              </w:rPr>
              <w:t>s</w:t>
            </w:r>
            <w:proofErr w:type="spellEnd"/>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débit d</w:t>
            </w:r>
            <w:r w:rsidR="00DB4C2D">
              <w:rPr>
                <w:lang w:val="fr-FR"/>
              </w:rPr>
              <w:t>’</w:t>
            </w:r>
            <w:r w:rsidRPr="007E29C4">
              <w:rPr>
                <w:lang w:val="fr-FR"/>
              </w:rPr>
              <w:t>air à 101,33 kPa et 273,2 K, en m</w:t>
            </w:r>
            <w:r w:rsidRPr="007E29C4">
              <w:rPr>
                <w:vertAlign w:val="superscript"/>
                <w:lang w:val="fr-FR"/>
              </w:rPr>
              <w:t>3</w:t>
            </w:r>
            <w:r w:rsidRPr="007E29C4">
              <w:rPr>
                <w:lang w:val="fr-FR"/>
              </w:rPr>
              <w:t>/min,</w:t>
            </w:r>
          </w:p>
        </w:tc>
      </w:tr>
      <w:tr w:rsidR="00D335D4" w:rsidRPr="007E29C4" w:rsidTr="00A36982">
        <w:tc>
          <w:tcPr>
            <w:tcW w:w="567" w:type="dxa"/>
            <w:shd w:val="clear" w:color="auto" w:fill="auto"/>
          </w:tcPr>
          <w:p w:rsidR="00D335D4" w:rsidRPr="007E29C4" w:rsidRDefault="00D335D4" w:rsidP="00A36982">
            <w:pPr>
              <w:spacing w:after="120"/>
              <w:rPr>
                <w:lang w:val="fr-FR"/>
              </w:rPr>
            </w:pPr>
            <w:proofErr w:type="spellStart"/>
            <w:r w:rsidRPr="007E29C4">
              <w:rPr>
                <w:lang w:val="fr-FR"/>
              </w:rPr>
              <w:t>T</w:t>
            </w:r>
            <w:r w:rsidRPr="007E29C4">
              <w:rPr>
                <w:vertAlign w:val="subscript"/>
                <w:lang w:val="fr-FR"/>
              </w:rPr>
              <w:t>p</w:t>
            </w:r>
            <w:proofErr w:type="spellEnd"/>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température à l</w:t>
            </w:r>
            <w:r w:rsidR="00DB4C2D">
              <w:rPr>
                <w:lang w:val="fr-FR"/>
              </w:rPr>
              <w:t>’</w:t>
            </w:r>
            <w:r w:rsidRPr="007E29C4">
              <w:rPr>
                <w:lang w:val="fr-FR"/>
              </w:rPr>
              <w:t>entrée de la pompe, en K,</w:t>
            </w:r>
          </w:p>
        </w:tc>
      </w:tr>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t>P</w:t>
            </w:r>
            <w:r w:rsidRPr="007E29C4">
              <w:rPr>
                <w:vertAlign w:val="subscript"/>
                <w:lang w:val="fr-FR"/>
              </w:rPr>
              <w:t>p</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pression absolue à l</w:t>
            </w:r>
            <w:r w:rsidR="00DB4C2D">
              <w:rPr>
                <w:lang w:val="fr-FR"/>
              </w:rPr>
              <w:t>’</w:t>
            </w:r>
            <w:r w:rsidRPr="007E29C4">
              <w:rPr>
                <w:lang w:val="fr-FR"/>
              </w:rPr>
              <w:t>entrée de la pompe, en kPa,</w:t>
            </w:r>
          </w:p>
        </w:tc>
      </w:tr>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t>n</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vitesse de rotation de la pompe, en min</w:t>
            </w:r>
            <w:r w:rsidRPr="007E29C4">
              <w:rPr>
                <w:vertAlign w:val="superscript"/>
                <w:lang w:val="fr-FR"/>
              </w:rPr>
              <w:t>-1</w:t>
            </w:r>
            <w:r w:rsidRPr="007E29C4">
              <w:rPr>
                <w:lang w:val="fr-FR"/>
              </w:rPr>
              <w:t>.</w:t>
            </w:r>
          </w:p>
        </w:tc>
      </w:tr>
    </w:tbl>
    <w:p w:rsidR="00D335D4" w:rsidRPr="00A779B8" w:rsidRDefault="00D335D4" w:rsidP="00D335D4">
      <w:pPr>
        <w:pStyle w:val="SingleTxtG"/>
        <w:spacing w:before="120" w:after="0"/>
        <w:ind w:left="2268" w:hanging="1134"/>
        <w:rPr>
          <w:lang w:val="fr-FR"/>
        </w:rPr>
      </w:pPr>
      <w:r w:rsidRPr="00A779B8">
        <w:rPr>
          <w:lang w:val="fr-FR"/>
        </w:rPr>
        <w:t>2.2.9</w:t>
      </w:r>
      <w:r w:rsidRPr="00A779B8">
        <w:rPr>
          <w:lang w:val="fr-FR"/>
        </w:rPr>
        <w:tab/>
        <w:t>Pour compenser l</w:t>
      </w:r>
      <w:r w:rsidR="00DB4C2D">
        <w:rPr>
          <w:lang w:val="fr-FR"/>
        </w:rPr>
        <w:t>’</w:t>
      </w:r>
      <w:r w:rsidRPr="00A779B8">
        <w:rPr>
          <w:lang w:val="fr-FR"/>
        </w:rPr>
        <w:t>interaction de la vitesse de rotation de la pompe, des variations de pression de celle-ci et du taux de glissement de la pompe, la fonction de corrélation (x</w:t>
      </w:r>
      <w:r w:rsidRPr="00A779B8">
        <w:rPr>
          <w:vertAlign w:val="subscript"/>
          <w:lang w:val="fr-FR"/>
        </w:rPr>
        <w:t>0</w:t>
      </w:r>
      <w:r w:rsidRPr="00A779B8">
        <w:rPr>
          <w:lang w:val="fr-FR"/>
        </w:rPr>
        <w:t>) entre la vitesse de la pompe (n), l</w:t>
      </w:r>
      <w:r w:rsidR="00DB4C2D">
        <w:rPr>
          <w:lang w:val="fr-FR"/>
        </w:rPr>
        <w:t>’</w:t>
      </w:r>
      <w:r w:rsidRPr="00A779B8">
        <w:rPr>
          <w:lang w:val="fr-FR"/>
        </w:rPr>
        <w:t>écart de pression entre l</w:t>
      </w:r>
      <w:r w:rsidR="00DB4C2D">
        <w:rPr>
          <w:lang w:val="fr-FR"/>
        </w:rPr>
        <w:t>’</w:t>
      </w:r>
      <w:r w:rsidRPr="00A779B8">
        <w:rPr>
          <w:lang w:val="fr-FR"/>
        </w:rPr>
        <w:t>entrée et la sortie de la pompe, et la pression absolue à la sortie de la pompe est alors calculée par la formule suivante:</w:t>
      </w:r>
    </w:p>
    <w:p w:rsidR="00D335D4" w:rsidRPr="00A779B8" w:rsidRDefault="00D335D4" w:rsidP="00D335D4">
      <w:pPr>
        <w:widowControl w:val="0"/>
        <w:pBdr>
          <w:top w:val="single" w:sz="8" w:space="0" w:color="FFFFFF"/>
          <w:left w:val="single" w:sz="8" w:space="0" w:color="FFFFFF"/>
          <w:bottom w:val="single" w:sz="8" w:space="0" w:color="FFFFFF"/>
          <w:right w:val="single" w:sz="8" w:space="0" w:color="FFFFFF"/>
        </w:pBdr>
        <w:spacing w:before="120" w:after="240"/>
        <w:ind w:left="2268"/>
        <w:rPr>
          <w:rFonts w:eastAsia="Arial Unicode MS"/>
          <w:szCs w:val="24"/>
          <w:lang w:val="fr-FR"/>
        </w:rPr>
      </w:pPr>
      <w:r w:rsidRPr="00A779B8">
        <w:rPr>
          <w:rFonts w:eastAsia="Arial Unicode MS"/>
          <w:position w:val="-28"/>
          <w:szCs w:val="24"/>
          <w:lang w:val="fr-FR"/>
        </w:rPr>
        <w:object w:dxaOrig="1219" w:dyaOrig="700">
          <v:shape id="_x0000_i1087" type="#_x0000_t75" style="width:61.15pt;height:35.3pt" o:ole="">
            <v:imagedata r:id="rId158" o:title=""/>
          </v:shape>
          <o:OLEObject Type="Embed" ProgID="Equation.3" ShapeID="_x0000_i1087" DrawAspect="Content" ObjectID="_1490178443" r:id="rId159"/>
        </w:object>
      </w:r>
    </w:p>
    <w:p w:rsidR="00D335D4" w:rsidRPr="00A779B8" w:rsidRDefault="00D335D4" w:rsidP="00D335D4">
      <w:pPr>
        <w:pStyle w:val="SingleTxtG"/>
        <w:keepNext/>
        <w:ind w:left="2268"/>
        <w:rPr>
          <w:lang w:val="fr-FR"/>
        </w:rPr>
      </w:pPr>
      <w:r w:rsidRPr="00A779B8">
        <w:rPr>
          <w:lang w:val="fr-FR"/>
        </w:rPr>
        <w:t>où:</w:t>
      </w:r>
    </w:p>
    <w:tbl>
      <w:tblPr>
        <w:tblW w:w="0" w:type="auto"/>
        <w:tblInd w:w="2268" w:type="dxa"/>
        <w:tblLayout w:type="fixed"/>
        <w:tblCellMar>
          <w:left w:w="0" w:type="dxa"/>
          <w:right w:w="0" w:type="dxa"/>
        </w:tblCellMar>
        <w:tblLook w:val="01E0" w:firstRow="1" w:lastRow="1" w:firstColumn="1" w:lastColumn="1" w:noHBand="0" w:noVBand="0"/>
      </w:tblPr>
      <w:tblGrid>
        <w:gridCol w:w="567"/>
        <w:gridCol w:w="284"/>
        <w:gridCol w:w="5103"/>
      </w:tblGrid>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t>x</w:t>
            </w:r>
            <w:r w:rsidRPr="007E29C4">
              <w:rPr>
                <w:vertAlign w:val="subscript"/>
                <w:lang w:val="fr-FR"/>
              </w:rPr>
              <w:t>0</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fonction de corrélation,</w:t>
            </w:r>
          </w:p>
        </w:tc>
      </w:tr>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t>∆P</w:t>
            </w:r>
            <w:r w:rsidRPr="007E29C4">
              <w:rPr>
                <w:vertAlign w:val="subscript"/>
                <w:lang w:val="fr-FR"/>
              </w:rPr>
              <w:t>p</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écart de pression entre l</w:t>
            </w:r>
            <w:r w:rsidR="00DB4C2D">
              <w:rPr>
                <w:lang w:val="fr-FR"/>
              </w:rPr>
              <w:t>’</w:t>
            </w:r>
            <w:r w:rsidRPr="007E29C4">
              <w:rPr>
                <w:lang w:val="fr-FR"/>
              </w:rPr>
              <w:t>entrée et la sortie de la pompe (kPa),</w:t>
            </w:r>
          </w:p>
        </w:tc>
      </w:tr>
      <w:tr w:rsidR="00D335D4" w:rsidRPr="007E29C4" w:rsidTr="00A36982">
        <w:tc>
          <w:tcPr>
            <w:tcW w:w="567" w:type="dxa"/>
            <w:shd w:val="clear" w:color="auto" w:fill="auto"/>
          </w:tcPr>
          <w:p w:rsidR="00D335D4" w:rsidRPr="007E29C4" w:rsidRDefault="00D335D4" w:rsidP="00A36982">
            <w:pPr>
              <w:spacing w:after="120"/>
              <w:rPr>
                <w:lang w:val="fr-FR"/>
              </w:rPr>
            </w:pPr>
            <w:proofErr w:type="spellStart"/>
            <w:r w:rsidRPr="007E29C4">
              <w:rPr>
                <w:lang w:val="fr-FR"/>
              </w:rPr>
              <w:t>P</w:t>
            </w:r>
            <w:r w:rsidRPr="007E29C4">
              <w:rPr>
                <w:vertAlign w:val="subscript"/>
                <w:lang w:val="fr-FR"/>
              </w:rPr>
              <w:t>e</w:t>
            </w:r>
            <w:proofErr w:type="spellEnd"/>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pression absolue à la sortie de la pompe (PPO + P</w:t>
            </w:r>
            <w:r w:rsidRPr="007E29C4">
              <w:rPr>
                <w:vertAlign w:val="subscript"/>
                <w:lang w:val="fr-FR"/>
              </w:rPr>
              <w:t>b</w:t>
            </w:r>
            <w:r w:rsidRPr="007E29C4">
              <w:rPr>
                <w:lang w:val="fr-FR"/>
              </w:rPr>
              <w:t>) (kPa).</w:t>
            </w:r>
          </w:p>
        </w:tc>
      </w:tr>
    </w:tbl>
    <w:p w:rsidR="00D335D4" w:rsidRPr="00A779B8" w:rsidRDefault="00D335D4" w:rsidP="00D335D4">
      <w:pPr>
        <w:pStyle w:val="SingleTxtG"/>
        <w:spacing w:before="120"/>
        <w:ind w:left="2268"/>
        <w:rPr>
          <w:lang w:val="fr-FR"/>
        </w:rPr>
      </w:pPr>
      <w:r w:rsidRPr="00A779B8">
        <w:rPr>
          <w:lang w:val="fr-FR"/>
        </w:rPr>
        <w:t>On exécute un ajustement linéaire par les moindres carrés pour obtenir les équations d</w:t>
      </w:r>
      <w:r w:rsidR="00DB4C2D">
        <w:rPr>
          <w:lang w:val="fr-FR"/>
        </w:rPr>
        <w:t>’</w:t>
      </w:r>
      <w:r w:rsidRPr="00A779B8">
        <w:rPr>
          <w:lang w:val="fr-FR"/>
        </w:rPr>
        <w:t>étalonnage qui ont pour formule:</w:t>
      </w:r>
    </w:p>
    <w:p w:rsidR="00D335D4" w:rsidRPr="00A779B8" w:rsidRDefault="00D335D4" w:rsidP="00D335D4">
      <w:pPr>
        <w:pStyle w:val="SingleTxtG"/>
        <w:ind w:left="2268"/>
        <w:rPr>
          <w:lang w:val="fr-FR"/>
        </w:rPr>
      </w:pPr>
      <w:r w:rsidRPr="00A779B8">
        <w:rPr>
          <w:lang w:val="fr-FR"/>
        </w:rPr>
        <w:t>V</w:t>
      </w:r>
      <w:r w:rsidRPr="00A779B8">
        <w:rPr>
          <w:vertAlign w:val="subscript"/>
          <w:lang w:val="fr-FR"/>
        </w:rPr>
        <w:t xml:space="preserve">0 </w:t>
      </w:r>
      <w:r w:rsidRPr="00A779B8">
        <w:rPr>
          <w:lang w:val="fr-FR"/>
        </w:rPr>
        <w:t>= D</w:t>
      </w:r>
      <w:r w:rsidRPr="00A779B8">
        <w:rPr>
          <w:vertAlign w:val="subscript"/>
          <w:lang w:val="fr-FR"/>
        </w:rPr>
        <w:t xml:space="preserve">0 </w:t>
      </w:r>
      <w:r w:rsidRPr="00A779B8">
        <w:rPr>
          <w:lang w:val="fr-FR"/>
        </w:rPr>
        <w:t>- M (x</w:t>
      </w:r>
      <w:r w:rsidRPr="00A779B8">
        <w:rPr>
          <w:vertAlign w:val="subscript"/>
          <w:lang w:val="fr-FR"/>
        </w:rPr>
        <w:t>0</w:t>
      </w:r>
      <w:r w:rsidRPr="00A779B8">
        <w:rPr>
          <w:lang w:val="fr-FR"/>
        </w:rPr>
        <w:t>)</w:t>
      </w:r>
    </w:p>
    <w:p w:rsidR="00D335D4" w:rsidRPr="00A779B8" w:rsidRDefault="00154816" w:rsidP="00D335D4">
      <w:pPr>
        <w:pStyle w:val="SingleTxtG"/>
        <w:ind w:left="2268"/>
        <w:rPr>
          <w:lang w:val="fr-FR"/>
        </w:rPr>
      </w:pPr>
      <w:r>
        <w:rPr>
          <w:lang w:val="fr-FR"/>
        </w:rPr>
        <w:t>n = A - B (</w:t>
      </w:r>
      <w:r w:rsidR="00D335D4" w:rsidRPr="00A779B8">
        <w:rPr>
          <w:lang w:val="fr-FR"/>
        </w:rPr>
        <w:t>∆P</w:t>
      </w:r>
      <w:r w:rsidR="00D335D4" w:rsidRPr="00A779B8">
        <w:rPr>
          <w:vertAlign w:val="subscript"/>
          <w:lang w:val="fr-FR"/>
        </w:rPr>
        <w:t>p</w:t>
      </w:r>
      <w:r w:rsidR="00D335D4" w:rsidRPr="00A779B8">
        <w:rPr>
          <w:lang w:val="fr-FR"/>
        </w:rPr>
        <w:t>)</w:t>
      </w:r>
    </w:p>
    <w:p w:rsidR="00D335D4" w:rsidRPr="00A779B8" w:rsidRDefault="00D335D4" w:rsidP="00D335D4">
      <w:pPr>
        <w:pStyle w:val="SingleTxtG"/>
        <w:ind w:left="2268"/>
        <w:rPr>
          <w:lang w:val="fr-FR"/>
        </w:rPr>
      </w:pPr>
      <w:r w:rsidRPr="00A779B8">
        <w:rPr>
          <w:lang w:val="fr-FR"/>
        </w:rPr>
        <w:t>D</w:t>
      </w:r>
      <w:r w:rsidRPr="00A779B8">
        <w:rPr>
          <w:vertAlign w:val="subscript"/>
          <w:lang w:val="fr-FR"/>
        </w:rPr>
        <w:t>0</w:t>
      </w:r>
      <w:r w:rsidRPr="00A779B8">
        <w:rPr>
          <w:lang w:val="fr-FR"/>
        </w:rPr>
        <w:t>, M, A et B sont les constantes de pente et d</w:t>
      </w:r>
      <w:r w:rsidR="00DB4C2D">
        <w:rPr>
          <w:lang w:val="fr-FR"/>
        </w:rPr>
        <w:t>’</w:t>
      </w:r>
      <w:r w:rsidRPr="00A779B8">
        <w:rPr>
          <w:lang w:val="fr-FR"/>
        </w:rPr>
        <w:t>ordonnée à l</w:t>
      </w:r>
      <w:r w:rsidR="00DB4C2D">
        <w:rPr>
          <w:lang w:val="fr-FR"/>
        </w:rPr>
        <w:t>’</w:t>
      </w:r>
      <w:r w:rsidRPr="00A779B8">
        <w:rPr>
          <w:lang w:val="fr-FR"/>
        </w:rPr>
        <w:t>origine décrivant les courbes.</w:t>
      </w:r>
    </w:p>
    <w:p w:rsidR="00D335D4" w:rsidRPr="00A779B8" w:rsidRDefault="00D335D4" w:rsidP="00D335D4">
      <w:pPr>
        <w:pStyle w:val="SingleTxtG"/>
        <w:ind w:left="2268" w:hanging="1134"/>
        <w:rPr>
          <w:lang w:val="fr-FR"/>
        </w:rPr>
      </w:pPr>
      <w:r w:rsidRPr="00A779B8">
        <w:rPr>
          <w:lang w:val="fr-FR"/>
        </w:rPr>
        <w:t>2.2.10</w:t>
      </w:r>
      <w:r w:rsidRPr="00A779B8">
        <w:rPr>
          <w:lang w:val="fr-FR"/>
        </w:rPr>
        <w:tab/>
        <w:t>Si le système CVS a plusieurs vitesses de fonctionnement, un étalonnage doit être exécuté pour chaque vitesse. Les courbes d</w:t>
      </w:r>
      <w:r w:rsidR="00DB4C2D">
        <w:rPr>
          <w:lang w:val="fr-FR"/>
        </w:rPr>
        <w:t>’</w:t>
      </w:r>
      <w:r w:rsidRPr="00A779B8">
        <w:rPr>
          <w:lang w:val="fr-FR"/>
        </w:rPr>
        <w:t>étalonnage obtenues pour ces vitesses doivent être sensiblement parallèles et les valeurs d</w:t>
      </w:r>
      <w:r w:rsidR="00DB4C2D">
        <w:rPr>
          <w:lang w:val="fr-FR"/>
        </w:rPr>
        <w:t>’</w:t>
      </w:r>
      <w:r w:rsidRPr="00A779B8">
        <w:rPr>
          <w:lang w:val="fr-FR"/>
        </w:rPr>
        <w:t>ordonnée à l</w:t>
      </w:r>
      <w:r w:rsidR="00DB4C2D">
        <w:rPr>
          <w:lang w:val="fr-FR"/>
        </w:rPr>
        <w:t>’</w:t>
      </w:r>
      <w:r w:rsidRPr="00A779B8">
        <w:rPr>
          <w:lang w:val="fr-FR"/>
        </w:rPr>
        <w:t>origine D</w:t>
      </w:r>
      <w:r w:rsidRPr="00A779B8">
        <w:rPr>
          <w:vertAlign w:val="subscript"/>
          <w:lang w:val="fr-FR"/>
        </w:rPr>
        <w:t>0</w:t>
      </w:r>
      <w:r w:rsidRPr="00A779B8">
        <w:rPr>
          <w:lang w:val="fr-FR"/>
        </w:rPr>
        <w:t xml:space="preserve"> doivent croître lorsque la plage de débit de la pompe décroît.</w:t>
      </w:r>
    </w:p>
    <w:p w:rsidR="00D335D4" w:rsidRPr="00A779B8" w:rsidRDefault="00D335D4" w:rsidP="00D335D4">
      <w:pPr>
        <w:pStyle w:val="SingleTxtG"/>
        <w:ind w:left="2268" w:hanging="1134"/>
        <w:rPr>
          <w:lang w:val="fr-FR"/>
        </w:rPr>
      </w:pPr>
      <w:r w:rsidRPr="00A779B8">
        <w:rPr>
          <w:lang w:val="fr-FR"/>
        </w:rPr>
        <w:t>2.2.11</w:t>
      </w:r>
      <w:r w:rsidRPr="00A779B8">
        <w:rPr>
          <w:lang w:val="fr-FR"/>
        </w:rPr>
        <w:tab/>
        <w:t>Si l</w:t>
      </w:r>
      <w:r w:rsidR="00DB4C2D">
        <w:rPr>
          <w:lang w:val="fr-FR"/>
        </w:rPr>
        <w:t>’</w:t>
      </w:r>
      <w:r w:rsidRPr="00A779B8">
        <w:rPr>
          <w:lang w:val="fr-FR"/>
        </w:rPr>
        <w:t>étalonnage a été bien exécuté, les valeurs calculées au moyen de l</w:t>
      </w:r>
      <w:r w:rsidR="00DB4C2D">
        <w:rPr>
          <w:lang w:val="fr-FR"/>
        </w:rPr>
        <w:t>’</w:t>
      </w:r>
      <w:r w:rsidRPr="00A779B8">
        <w:rPr>
          <w:lang w:val="fr-FR"/>
        </w:rPr>
        <w:t xml:space="preserve">équation doivent se situer à </w:t>
      </w:r>
      <w:r w:rsidRPr="00A779B8">
        <w:rPr>
          <w:lang w:val="fr-FR"/>
        </w:rPr>
        <w:sym w:font="Symbol" w:char="F0B1"/>
      </w:r>
      <w:r w:rsidRPr="00A779B8">
        <w:rPr>
          <w:lang w:val="fr-FR"/>
        </w:rPr>
        <w:t>0,5 % de la valeur mesurée de V</w:t>
      </w:r>
      <w:r w:rsidRPr="00A779B8">
        <w:rPr>
          <w:vertAlign w:val="subscript"/>
          <w:lang w:val="fr-FR"/>
        </w:rPr>
        <w:t>0</w:t>
      </w:r>
      <w:r w:rsidRPr="00A779B8">
        <w:rPr>
          <w:lang w:val="fr-FR"/>
        </w:rPr>
        <w:t>. Les valeurs de M devraient varier d</w:t>
      </w:r>
      <w:r w:rsidR="00DB4C2D">
        <w:rPr>
          <w:lang w:val="fr-FR"/>
        </w:rPr>
        <w:t>’</w:t>
      </w:r>
      <w:r w:rsidRPr="00A779B8">
        <w:rPr>
          <w:lang w:val="fr-FR"/>
        </w:rPr>
        <w:t>une pompe à l</w:t>
      </w:r>
      <w:r w:rsidR="00DB4C2D">
        <w:rPr>
          <w:lang w:val="fr-FR"/>
        </w:rPr>
        <w:t>’</w:t>
      </w:r>
      <w:r w:rsidRPr="00A779B8">
        <w:rPr>
          <w:lang w:val="fr-FR"/>
        </w:rPr>
        <w:t>autre. L</w:t>
      </w:r>
      <w:r w:rsidR="00DB4C2D">
        <w:rPr>
          <w:lang w:val="fr-FR"/>
        </w:rPr>
        <w:t>’</w:t>
      </w:r>
      <w:r w:rsidRPr="00A779B8">
        <w:rPr>
          <w:lang w:val="fr-FR"/>
        </w:rPr>
        <w:t>étalonnage doit être exécuté lors de la mise en service de la pompe et après toute opération importante d</w:t>
      </w:r>
      <w:r w:rsidR="00DB4C2D">
        <w:rPr>
          <w:lang w:val="fr-FR"/>
        </w:rPr>
        <w:t>’</w:t>
      </w:r>
      <w:r w:rsidRPr="00A779B8">
        <w:rPr>
          <w:lang w:val="fr-FR"/>
        </w:rPr>
        <w:t>entretien.</w:t>
      </w:r>
    </w:p>
    <w:p w:rsidR="00D335D4" w:rsidRPr="00A779B8" w:rsidRDefault="00D335D4" w:rsidP="00D335D4">
      <w:pPr>
        <w:pStyle w:val="SingleTxtG"/>
        <w:keepNext/>
        <w:ind w:left="2268" w:hanging="1134"/>
        <w:jc w:val="left"/>
        <w:rPr>
          <w:lang w:val="fr-FR"/>
        </w:rPr>
      </w:pPr>
      <w:r w:rsidRPr="00A779B8">
        <w:rPr>
          <w:lang w:val="fr-FR"/>
        </w:rPr>
        <w:lastRenderedPageBreak/>
        <w:t>2.3</w:t>
      </w:r>
      <w:r w:rsidRPr="00A779B8">
        <w:rPr>
          <w:lang w:val="fr-FR"/>
        </w:rPr>
        <w:tab/>
        <w:t>Étalonnage du CFV</w:t>
      </w:r>
    </w:p>
    <w:p w:rsidR="00D335D4" w:rsidRPr="00A779B8" w:rsidRDefault="00D335D4" w:rsidP="00D335D4">
      <w:pPr>
        <w:pStyle w:val="SingleTxtG"/>
        <w:keepNext/>
        <w:spacing w:line="200" w:lineRule="atLeast"/>
        <w:ind w:left="2268" w:hanging="1134"/>
        <w:rPr>
          <w:lang w:val="fr-FR"/>
        </w:rPr>
      </w:pPr>
      <w:r w:rsidRPr="00A779B8">
        <w:rPr>
          <w:lang w:val="fr-FR"/>
        </w:rPr>
        <w:t>2.3.1</w:t>
      </w:r>
      <w:r w:rsidRPr="00A779B8">
        <w:rPr>
          <w:lang w:val="fr-FR"/>
        </w:rPr>
        <w:tab/>
        <w:t>Pour l</w:t>
      </w:r>
      <w:r w:rsidR="00DB4C2D">
        <w:rPr>
          <w:lang w:val="fr-FR"/>
        </w:rPr>
        <w:t>’</w:t>
      </w:r>
      <w:r w:rsidRPr="00A779B8">
        <w:rPr>
          <w:lang w:val="fr-FR"/>
        </w:rPr>
        <w:t>étalonnage du tube de venturi CFV on se base sur l</w:t>
      </w:r>
      <w:r w:rsidR="00DB4C2D">
        <w:rPr>
          <w:lang w:val="fr-FR"/>
        </w:rPr>
        <w:t>’</w:t>
      </w:r>
      <w:r w:rsidRPr="00A779B8">
        <w:rPr>
          <w:lang w:val="fr-FR"/>
        </w:rPr>
        <w:t>équation de débit pour un tube de venturi à écoulement critique:</w:t>
      </w:r>
    </w:p>
    <w:p w:rsidR="00D335D4" w:rsidRPr="00A779B8" w:rsidRDefault="00D335D4" w:rsidP="00D335D4">
      <w:pPr>
        <w:spacing w:before="120" w:after="240"/>
        <w:ind w:left="2268"/>
        <w:rPr>
          <w:szCs w:val="24"/>
          <w:lang w:val="fr-FR"/>
        </w:rPr>
      </w:pPr>
      <w:r w:rsidRPr="00A779B8">
        <w:rPr>
          <w:position w:val="-26"/>
          <w:szCs w:val="24"/>
          <w:lang w:val="fr-FR"/>
        </w:rPr>
        <w:object w:dxaOrig="940" w:dyaOrig="600">
          <v:shape id="_x0000_i1088" type="#_x0000_t75" style="width:46.85pt;height:29.9pt" o:ole="">
            <v:imagedata r:id="rId160" o:title=""/>
          </v:shape>
          <o:OLEObject Type="Embed" ProgID="Equation.3" ShapeID="_x0000_i1088" DrawAspect="Content" ObjectID="_1490178444" r:id="rId161"/>
        </w:object>
      </w:r>
    </w:p>
    <w:p w:rsidR="00D335D4" w:rsidRPr="00A779B8" w:rsidRDefault="00D335D4" w:rsidP="00D335D4">
      <w:pPr>
        <w:pStyle w:val="SingleTxtG"/>
        <w:keepNext/>
        <w:ind w:left="2268"/>
        <w:rPr>
          <w:lang w:val="fr-FR"/>
        </w:rPr>
      </w:pPr>
      <w:r w:rsidRPr="00A779B8">
        <w:rPr>
          <w:lang w:val="fr-FR"/>
        </w:rPr>
        <w:t>où:</w:t>
      </w:r>
    </w:p>
    <w:tbl>
      <w:tblPr>
        <w:tblW w:w="0" w:type="auto"/>
        <w:tblInd w:w="2268" w:type="dxa"/>
        <w:tblLayout w:type="fixed"/>
        <w:tblCellMar>
          <w:left w:w="0" w:type="dxa"/>
          <w:right w:w="0" w:type="dxa"/>
        </w:tblCellMar>
        <w:tblLook w:val="01E0" w:firstRow="1" w:lastRow="1" w:firstColumn="1" w:lastColumn="1" w:noHBand="0" w:noVBand="0"/>
      </w:tblPr>
      <w:tblGrid>
        <w:gridCol w:w="567"/>
        <w:gridCol w:w="284"/>
        <w:gridCol w:w="5103"/>
      </w:tblGrid>
      <w:tr w:rsidR="00D335D4" w:rsidRPr="007E29C4" w:rsidTr="00A36982">
        <w:tc>
          <w:tcPr>
            <w:tcW w:w="567" w:type="dxa"/>
            <w:shd w:val="clear" w:color="auto" w:fill="auto"/>
          </w:tcPr>
          <w:p w:rsidR="00D335D4" w:rsidRPr="007E29C4" w:rsidRDefault="00D335D4" w:rsidP="00A36982">
            <w:pPr>
              <w:spacing w:after="120"/>
              <w:rPr>
                <w:lang w:val="fr-FR"/>
              </w:rPr>
            </w:pPr>
            <w:proofErr w:type="spellStart"/>
            <w:r w:rsidRPr="007E29C4">
              <w:rPr>
                <w:lang w:val="fr-FR"/>
              </w:rPr>
              <w:t>Q</w:t>
            </w:r>
            <w:r w:rsidRPr="007E29C4">
              <w:rPr>
                <w:vertAlign w:val="subscript"/>
                <w:lang w:val="fr-FR"/>
              </w:rPr>
              <w:t>s</w:t>
            </w:r>
            <w:proofErr w:type="spellEnd"/>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débit,</w:t>
            </w:r>
          </w:p>
        </w:tc>
      </w:tr>
      <w:tr w:rsidR="00D335D4" w:rsidRPr="007E29C4" w:rsidTr="00A36982">
        <w:tc>
          <w:tcPr>
            <w:tcW w:w="567" w:type="dxa"/>
            <w:shd w:val="clear" w:color="auto" w:fill="auto"/>
          </w:tcPr>
          <w:p w:rsidR="00D335D4" w:rsidRPr="007E29C4" w:rsidRDefault="00D335D4" w:rsidP="00A36982">
            <w:pPr>
              <w:spacing w:after="120"/>
              <w:rPr>
                <w:lang w:val="fr-FR"/>
              </w:rPr>
            </w:pPr>
            <w:proofErr w:type="spellStart"/>
            <w:r w:rsidRPr="007E29C4">
              <w:rPr>
                <w:lang w:val="fr-FR"/>
              </w:rPr>
              <w:t>K</w:t>
            </w:r>
            <w:r w:rsidRPr="007E29C4">
              <w:rPr>
                <w:vertAlign w:val="subscript"/>
                <w:lang w:val="fr-FR"/>
              </w:rPr>
              <w:t>v</w:t>
            </w:r>
            <w:proofErr w:type="spellEnd"/>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coefficient d</w:t>
            </w:r>
            <w:r w:rsidR="00DB4C2D">
              <w:rPr>
                <w:lang w:val="fr-FR"/>
              </w:rPr>
              <w:t>’</w:t>
            </w:r>
            <w:r w:rsidRPr="007E29C4">
              <w:rPr>
                <w:lang w:val="fr-FR"/>
              </w:rPr>
              <w:t>étalonnage,</w:t>
            </w:r>
          </w:p>
        </w:tc>
      </w:tr>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t>P</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pression absolue (kPa),</w:t>
            </w:r>
          </w:p>
        </w:tc>
      </w:tr>
      <w:tr w:rsidR="00D335D4" w:rsidRPr="007E29C4" w:rsidTr="00A36982">
        <w:tc>
          <w:tcPr>
            <w:tcW w:w="567" w:type="dxa"/>
            <w:shd w:val="clear" w:color="auto" w:fill="auto"/>
          </w:tcPr>
          <w:p w:rsidR="00D335D4" w:rsidRPr="007E29C4" w:rsidRDefault="00D335D4" w:rsidP="00A36982">
            <w:pPr>
              <w:spacing w:after="120"/>
              <w:rPr>
                <w:lang w:val="fr-FR"/>
              </w:rPr>
            </w:pPr>
            <w:r w:rsidRPr="007E29C4">
              <w:rPr>
                <w:lang w:val="fr-FR"/>
              </w:rPr>
              <w:t>T</w:t>
            </w:r>
          </w:p>
        </w:tc>
        <w:tc>
          <w:tcPr>
            <w:tcW w:w="284" w:type="dxa"/>
            <w:shd w:val="clear" w:color="auto" w:fill="auto"/>
          </w:tcPr>
          <w:p w:rsidR="00D335D4" w:rsidRPr="007E29C4" w:rsidRDefault="00D335D4" w:rsidP="00A36982">
            <w:pPr>
              <w:spacing w:after="120"/>
              <w:rPr>
                <w:lang w:val="fr-FR"/>
              </w:rPr>
            </w:pPr>
            <w:r w:rsidRPr="007E29C4">
              <w:rPr>
                <w:lang w:val="fr-FR"/>
              </w:rPr>
              <w:t>=</w:t>
            </w:r>
          </w:p>
        </w:tc>
        <w:tc>
          <w:tcPr>
            <w:tcW w:w="5103" w:type="dxa"/>
            <w:shd w:val="clear" w:color="auto" w:fill="auto"/>
          </w:tcPr>
          <w:p w:rsidR="00D335D4" w:rsidRPr="007E29C4" w:rsidRDefault="00D335D4" w:rsidP="00A36982">
            <w:pPr>
              <w:spacing w:after="120"/>
              <w:rPr>
                <w:lang w:val="fr-FR"/>
              </w:rPr>
            </w:pPr>
            <w:r w:rsidRPr="007E29C4">
              <w:rPr>
                <w:lang w:val="fr-FR"/>
              </w:rPr>
              <w:t>température absolue (K).</w:t>
            </w:r>
          </w:p>
        </w:tc>
      </w:tr>
    </w:tbl>
    <w:p w:rsidR="00D335D4" w:rsidRPr="00A779B8" w:rsidRDefault="00D335D4" w:rsidP="00D335D4">
      <w:pPr>
        <w:pStyle w:val="SingleTxtG"/>
        <w:spacing w:before="120"/>
        <w:ind w:left="2268"/>
        <w:rPr>
          <w:lang w:val="fr-FR"/>
        </w:rPr>
      </w:pPr>
      <w:r w:rsidRPr="00A779B8">
        <w:rPr>
          <w:lang w:val="fr-FR"/>
        </w:rPr>
        <w:t>Le débit de gaz est fonction de la pression et de la température d</w:t>
      </w:r>
      <w:r w:rsidR="00DB4C2D">
        <w:rPr>
          <w:lang w:val="fr-FR"/>
        </w:rPr>
        <w:t>’</w:t>
      </w:r>
      <w:r w:rsidRPr="00A779B8">
        <w:rPr>
          <w:lang w:val="fr-FR"/>
        </w:rPr>
        <w:t>entrée.</w:t>
      </w:r>
    </w:p>
    <w:p w:rsidR="00D335D4" w:rsidRPr="00A779B8" w:rsidRDefault="00D335D4" w:rsidP="00D335D4">
      <w:pPr>
        <w:pStyle w:val="SingleTxtG"/>
        <w:ind w:left="2268"/>
        <w:rPr>
          <w:lang w:val="fr-FR"/>
        </w:rPr>
      </w:pPr>
      <w:r w:rsidRPr="00A779B8">
        <w:rPr>
          <w:lang w:val="fr-FR"/>
        </w:rPr>
        <w:t>La procédure d</w:t>
      </w:r>
      <w:r w:rsidR="00DB4C2D">
        <w:rPr>
          <w:lang w:val="fr-FR"/>
        </w:rPr>
        <w:t>’</w:t>
      </w:r>
      <w:r w:rsidRPr="00A779B8">
        <w:rPr>
          <w:lang w:val="fr-FR"/>
        </w:rPr>
        <w:t>étalonnage décrite ci-après donne la valeur du coefficient d</w:t>
      </w:r>
      <w:r w:rsidR="00DB4C2D">
        <w:rPr>
          <w:lang w:val="fr-FR"/>
        </w:rPr>
        <w:t>’</w:t>
      </w:r>
      <w:r w:rsidRPr="00A779B8">
        <w:rPr>
          <w:lang w:val="fr-FR"/>
        </w:rPr>
        <w:t>étalonnage aux valeurs mesurées de pression, de température et de débit d</w:t>
      </w:r>
      <w:r w:rsidR="00DB4C2D">
        <w:rPr>
          <w:lang w:val="fr-FR"/>
        </w:rPr>
        <w:t>’</w:t>
      </w:r>
      <w:r w:rsidRPr="00A779B8">
        <w:rPr>
          <w:lang w:val="fr-FR"/>
        </w:rPr>
        <w:t>air.</w:t>
      </w:r>
    </w:p>
    <w:p w:rsidR="00D335D4" w:rsidRPr="00A779B8" w:rsidRDefault="00D335D4" w:rsidP="00D335D4">
      <w:pPr>
        <w:pStyle w:val="SingleTxtG"/>
        <w:ind w:left="2268" w:hanging="1134"/>
        <w:rPr>
          <w:lang w:val="fr-FR"/>
        </w:rPr>
      </w:pPr>
      <w:r w:rsidRPr="00A779B8">
        <w:rPr>
          <w:lang w:val="fr-FR"/>
        </w:rPr>
        <w:t>2.3.2</w:t>
      </w:r>
      <w:r w:rsidRPr="00A779B8">
        <w:rPr>
          <w:lang w:val="fr-FR"/>
        </w:rPr>
        <w:tab/>
        <w:t>Pour l</w:t>
      </w:r>
      <w:r w:rsidR="00DB4C2D">
        <w:rPr>
          <w:lang w:val="fr-FR"/>
        </w:rPr>
        <w:t>’</w:t>
      </w:r>
      <w:r w:rsidRPr="00A779B8">
        <w:rPr>
          <w:lang w:val="fr-FR"/>
        </w:rPr>
        <w:t>étalonnage de l</w:t>
      </w:r>
      <w:r w:rsidR="00DB4C2D">
        <w:rPr>
          <w:lang w:val="fr-FR"/>
        </w:rPr>
        <w:t>’</w:t>
      </w:r>
      <w:r w:rsidRPr="00A779B8">
        <w:rPr>
          <w:lang w:val="fr-FR"/>
        </w:rPr>
        <w:t>appareillage électronique du tube de venturi CFV, on suit la procédure recommandée par le fabricant.</w:t>
      </w:r>
    </w:p>
    <w:p w:rsidR="00D335D4" w:rsidRPr="00A779B8" w:rsidRDefault="00D335D4" w:rsidP="00D335D4">
      <w:pPr>
        <w:pStyle w:val="SingleTxtG"/>
        <w:ind w:left="2268" w:hanging="1134"/>
        <w:rPr>
          <w:lang w:val="fr-FR"/>
        </w:rPr>
      </w:pPr>
      <w:r w:rsidRPr="00A779B8">
        <w:rPr>
          <w:lang w:val="fr-FR"/>
        </w:rPr>
        <w:t>2.3.3</w:t>
      </w:r>
      <w:r w:rsidRPr="00A779B8">
        <w:rPr>
          <w:lang w:val="fr-FR"/>
        </w:rPr>
        <w:tab/>
        <w:t>Lors des mesures nécessaires pour l</w:t>
      </w:r>
      <w:r w:rsidR="00DB4C2D">
        <w:rPr>
          <w:lang w:val="fr-FR"/>
        </w:rPr>
        <w:t>’</w:t>
      </w:r>
      <w:r w:rsidRPr="00A779B8">
        <w:rPr>
          <w:lang w:val="fr-FR"/>
        </w:rPr>
        <w:t>étalonnage du débit du tube de venturi à écoulement critique, les paramètres suivants doivent satisfaire aux tolérances de précision indiquées:</w:t>
      </w:r>
    </w:p>
    <w:tbl>
      <w:tblPr>
        <w:tblW w:w="6237" w:type="dxa"/>
        <w:tblInd w:w="2268" w:type="dxa"/>
        <w:tblCellMar>
          <w:left w:w="0" w:type="dxa"/>
          <w:right w:w="0" w:type="dxa"/>
        </w:tblCellMar>
        <w:tblLook w:val="01E0" w:firstRow="1" w:lastRow="1" w:firstColumn="1" w:lastColumn="1" w:noHBand="0" w:noVBand="0"/>
      </w:tblPr>
      <w:tblGrid>
        <w:gridCol w:w="4937"/>
        <w:gridCol w:w="1300"/>
      </w:tblGrid>
      <w:tr w:rsidR="00D335D4" w:rsidRPr="007E29C4" w:rsidTr="00A36982">
        <w:tc>
          <w:tcPr>
            <w:tcW w:w="4996" w:type="dxa"/>
            <w:shd w:val="clear" w:color="auto" w:fill="auto"/>
          </w:tcPr>
          <w:p w:rsidR="00D335D4" w:rsidRPr="007E29C4" w:rsidRDefault="00D335D4" w:rsidP="00A36982">
            <w:pPr>
              <w:spacing w:after="120"/>
              <w:rPr>
                <w:lang w:val="fr-FR"/>
              </w:rPr>
            </w:pPr>
            <w:r w:rsidRPr="007E29C4">
              <w:rPr>
                <w:lang w:val="fr-FR"/>
              </w:rPr>
              <w:t>Pression barométrique (corrigée) (P</w:t>
            </w:r>
            <w:r w:rsidRPr="007E29C4">
              <w:rPr>
                <w:vertAlign w:val="subscript"/>
                <w:lang w:val="fr-FR"/>
              </w:rPr>
              <w:t>b</w:t>
            </w:r>
            <w:r w:rsidRPr="007E29C4">
              <w:rPr>
                <w:lang w:val="fr-FR"/>
              </w:rPr>
              <w:t>)</w:t>
            </w:r>
          </w:p>
        </w:tc>
        <w:tc>
          <w:tcPr>
            <w:tcW w:w="1304" w:type="dxa"/>
            <w:shd w:val="clear" w:color="auto" w:fill="auto"/>
          </w:tcPr>
          <w:p w:rsidR="00D335D4" w:rsidRPr="007E29C4" w:rsidRDefault="00D335D4" w:rsidP="00A36982">
            <w:pPr>
              <w:spacing w:after="120"/>
              <w:jc w:val="right"/>
              <w:rPr>
                <w:lang w:val="fr-FR"/>
              </w:rPr>
            </w:pPr>
            <w:r w:rsidRPr="007E29C4">
              <w:rPr>
                <w:lang w:val="fr-FR"/>
              </w:rPr>
              <w:sym w:font="Symbol" w:char="F0B1"/>
            </w:r>
            <w:r w:rsidRPr="007E29C4">
              <w:rPr>
                <w:lang w:val="fr-FR"/>
              </w:rPr>
              <w:t>0,03 kPa,</w:t>
            </w:r>
          </w:p>
        </w:tc>
      </w:tr>
      <w:tr w:rsidR="00D335D4" w:rsidRPr="007E29C4" w:rsidTr="00A36982">
        <w:tc>
          <w:tcPr>
            <w:tcW w:w="4996" w:type="dxa"/>
            <w:shd w:val="clear" w:color="auto" w:fill="auto"/>
          </w:tcPr>
          <w:p w:rsidR="00D335D4" w:rsidRPr="007E29C4" w:rsidRDefault="00D335D4" w:rsidP="00A36982">
            <w:pPr>
              <w:spacing w:after="120"/>
              <w:rPr>
                <w:lang w:val="fr-FR"/>
              </w:rPr>
            </w:pPr>
            <w:r w:rsidRPr="007E29C4">
              <w:rPr>
                <w:lang w:val="fr-FR"/>
              </w:rPr>
              <w:t>Température de l</w:t>
            </w:r>
            <w:r w:rsidR="00DB4C2D">
              <w:rPr>
                <w:lang w:val="fr-FR"/>
              </w:rPr>
              <w:t>’</w:t>
            </w:r>
            <w:r w:rsidRPr="007E29C4">
              <w:rPr>
                <w:lang w:val="fr-FR"/>
              </w:rPr>
              <w:t>air à l</w:t>
            </w:r>
            <w:r w:rsidR="00DB4C2D">
              <w:rPr>
                <w:lang w:val="fr-FR"/>
              </w:rPr>
              <w:t>’</w:t>
            </w:r>
            <w:r w:rsidRPr="007E29C4">
              <w:rPr>
                <w:lang w:val="fr-FR"/>
              </w:rPr>
              <w:t>entrée de LFE (ETI)</w:t>
            </w:r>
          </w:p>
        </w:tc>
        <w:tc>
          <w:tcPr>
            <w:tcW w:w="1304" w:type="dxa"/>
            <w:shd w:val="clear" w:color="auto" w:fill="auto"/>
          </w:tcPr>
          <w:p w:rsidR="00D335D4" w:rsidRPr="007E29C4" w:rsidRDefault="00D335D4" w:rsidP="00A36982">
            <w:pPr>
              <w:spacing w:after="120"/>
              <w:jc w:val="right"/>
              <w:rPr>
                <w:lang w:val="fr-FR"/>
              </w:rPr>
            </w:pPr>
            <w:r w:rsidRPr="007E29C4">
              <w:rPr>
                <w:lang w:val="fr-FR"/>
              </w:rPr>
              <w:sym w:font="Symbol" w:char="F0B1"/>
            </w:r>
            <w:r w:rsidRPr="007E29C4">
              <w:rPr>
                <w:lang w:val="fr-FR"/>
              </w:rPr>
              <w:t>0,15 K,</w:t>
            </w:r>
          </w:p>
        </w:tc>
      </w:tr>
      <w:tr w:rsidR="00D335D4" w:rsidRPr="007E29C4" w:rsidTr="00A36982">
        <w:tc>
          <w:tcPr>
            <w:tcW w:w="4996" w:type="dxa"/>
            <w:shd w:val="clear" w:color="auto" w:fill="auto"/>
          </w:tcPr>
          <w:p w:rsidR="00D335D4" w:rsidRPr="007E29C4" w:rsidRDefault="00D335D4" w:rsidP="00A36982">
            <w:pPr>
              <w:spacing w:after="120"/>
              <w:rPr>
                <w:lang w:val="fr-FR"/>
              </w:rPr>
            </w:pPr>
            <w:r w:rsidRPr="007E29C4">
              <w:rPr>
                <w:lang w:val="fr-FR"/>
              </w:rPr>
              <w:t>Dépression en amont de LFE (EPI)</w:t>
            </w:r>
          </w:p>
        </w:tc>
        <w:tc>
          <w:tcPr>
            <w:tcW w:w="1304" w:type="dxa"/>
            <w:shd w:val="clear" w:color="auto" w:fill="auto"/>
          </w:tcPr>
          <w:p w:rsidR="00D335D4" w:rsidRPr="007E29C4" w:rsidRDefault="00D335D4" w:rsidP="00A36982">
            <w:pPr>
              <w:spacing w:after="120"/>
              <w:jc w:val="right"/>
              <w:rPr>
                <w:lang w:val="fr-FR"/>
              </w:rPr>
            </w:pPr>
            <w:r w:rsidRPr="007E29C4">
              <w:rPr>
                <w:lang w:val="fr-FR"/>
              </w:rPr>
              <w:sym w:font="Symbol" w:char="F0B1"/>
            </w:r>
            <w:r w:rsidRPr="007E29C4">
              <w:rPr>
                <w:lang w:val="fr-FR"/>
              </w:rPr>
              <w:t>0,01 kPa,</w:t>
            </w:r>
          </w:p>
        </w:tc>
      </w:tr>
      <w:tr w:rsidR="00D335D4" w:rsidRPr="007E29C4" w:rsidTr="00A36982">
        <w:tc>
          <w:tcPr>
            <w:tcW w:w="4996" w:type="dxa"/>
            <w:shd w:val="clear" w:color="auto" w:fill="auto"/>
          </w:tcPr>
          <w:p w:rsidR="00D335D4" w:rsidRPr="007E29C4" w:rsidRDefault="00D335D4" w:rsidP="00A36982">
            <w:pPr>
              <w:spacing w:after="120"/>
              <w:rPr>
                <w:lang w:val="fr-FR"/>
              </w:rPr>
            </w:pPr>
            <w:r w:rsidRPr="007E29C4">
              <w:rPr>
                <w:lang w:val="fr-FR"/>
              </w:rPr>
              <w:t>Chute de pression à travers la buse de LFE (EDP)</w:t>
            </w:r>
          </w:p>
        </w:tc>
        <w:tc>
          <w:tcPr>
            <w:tcW w:w="1304" w:type="dxa"/>
            <w:shd w:val="clear" w:color="auto" w:fill="auto"/>
          </w:tcPr>
          <w:p w:rsidR="00D335D4" w:rsidRPr="007E29C4" w:rsidRDefault="00D335D4" w:rsidP="00A36982">
            <w:pPr>
              <w:spacing w:after="120"/>
              <w:jc w:val="right"/>
              <w:rPr>
                <w:lang w:val="fr-FR"/>
              </w:rPr>
            </w:pPr>
            <w:r w:rsidRPr="007E29C4">
              <w:rPr>
                <w:lang w:val="fr-FR"/>
              </w:rPr>
              <w:sym w:font="Symbol" w:char="F0B1"/>
            </w:r>
            <w:r w:rsidRPr="007E29C4">
              <w:rPr>
                <w:lang w:val="fr-FR"/>
              </w:rPr>
              <w:t>0,0015 kPa,</w:t>
            </w:r>
          </w:p>
        </w:tc>
      </w:tr>
      <w:tr w:rsidR="00D335D4" w:rsidRPr="007E29C4" w:rsidTr="00A36982">
        <w:tc>
          <w:tcPr>
            <w:tcW w:w="4996" w:type="dxa"/>
            <w:shd w:val="clear" w:color="auto" w:fill="auto"/>
          </w:tcPr>
          <w:p w:rsidR="00D335D4" w:rsidRPr="007E29C4" w:rsidRDefault="00D335D4" w:rsidP="00A36982">
            <w:pPr>
              <w:spacing w:after="120"/>
              <w:rPr>
                <w:lang w:val="fr-FR"/>
              </w:rPr>
            </w:pPr>
            <w:r w:rsidRPr="007E29C4">
              <w:rPr>
                <w:lang w:val="fr-FR"/>
              </w:rPr>
              <w:t>Débit d</w:t>
            </w:r>
            <w:r w:rsidR="00DB4C2D">
              <w:rPr>
                <w:lang w:val="fr-FR"/>
              </w:rPr>
              <w:t>’</w:t>
            </w:r>
            <w:r w:rsidRPr="007E29C4">
              <w:rPr>
                <w:lang w:val="fr-FR"/>
              </w:rPr>
              <w:t>air (</w:t>
            </w:r>
            <w:proofErr w:type="spellStart"/>
            <w:r w:rsidRPr="007E29C4">
              <w:rPr>
                <w:lang w:val="fr-FR"/>
              </w:rPr>
              <w:t>Q</w:t>
            </w:r>
            <w:r w:rsidRPr="007E29C4">
              <w:rPr>
                <w:vertAlign w:val="subscript"/>
                <w:lang w:val="fr-FR"/>
              </w:rPr>
              <w:t>s</w:t>
            </w:r>
            <w:proofErr w:type="spellEnd"/>
            <w:r w:rsidRPr="007E29C4">
              <w:rPr>
                <w:lang w:val="fr-FR"/>
              </w:rPr>
              <w:t>)</w:t>
            </w:r>
          </w:p>
        </w:tc>
        <w:tc>
          <w:tcPr>
            <w:tcW w:w="1304" w:type="dxa"/>
            <w:shd w:val="clear" w:color="auto" w:fill="auto"/>
          </w:tcPr>
          <w:p w:rsidR="00D335D4" w:rsidRPr="007E29C4" w:rsidRDefault="00D335D4" w:rsidP="00A36982">
            <w:pPr>
              <w:spacing w:after="120"/>
              <w:jc w:val="right"/>
              <w:rPr>
                <w:lang w:val="fr-FR"/>
              </w:rPr>
            </w:pPr>
            <w:r w:rsidRPr="007E29C4">
              <w:rPr>
                <w:lang w:val="fr-FR"/>
              </w:rPr>
              <w:sym w:font="Symbol" w:char="F0B1"/>
            </w:r>
            <w:r w:rsidRPr="007E29C4">
              <w:rPr>
                <w:lang w:val="fr-FR"/>
              </w:rPr>
              <w:t>0,5 %,</w:t>
            </w:r>
          </w:p>
        </w:tc>
      </w:tr>
      <w:tr w:rsidR="00D335D4" w:rsidRPr="007E29C4" w:rsidTr="00A36982">
        <w:tc>
          <w:tcPr>
            <w:tcW w:w="4996" w:type="dxa"/>
            <w:shd w:val="clear" w:color="auto" w:fill="auto"/>
          </w:tcPr>
          <w:p w:rsidR="00D335D4" w:rsidRPr="007E29C4" w:rsidRDefault="00D335D4" w:rsidP="00A36982">
            <w:pPr>
              <w:spacing w:after="120"/>
              <w:rPr>
                <w:lang w:val="fr-FR"/>
              </w:rPr>
            </w:pPr>
            <w:r w:rsidRPr="007E29C4">
              <w:rPr>
                <w:lang w:val="fr-FR"/>
              </w:rPr>
              <w:t>Dépression à l</w:t>
            </w:r>
            <w:r w:rsidR="00DB4C2D">
              <w:rPr>
                <w:lang w:val="fr-FR"/>
              </w:rPr>
              <w:t>’</w:t>
            </w:r>
            <w:r w:rsidRPr="007E29C4">
              <w:rPr>
                <w:lang w:val="fr-FR"/>
              </w:rPr>
              <w:t>entrée de CFV (PPI)</w:t>
            </w:r>
          </w:p>
        </w:tc>
        <w:tc>
          <w:tcPr>
            <w:tcW w:w="1304" w:type="dxa"/>
            <w:shd w:val="clear" w:color="auto" w:fill="auto"/>
          </w:tcPr>
          <w:p w:rsidR="00D335D4" w:rsidRPr="007E29C4" w:rsidRDefault="00D335D4" w:rsidP="00A36982">
            <w:pPr>
              <w:spacing w:after="120"/>
              <w:jc w:val="right"/>
              <w:rPr>
                <w:lang w:val="fr-FR"/>
              </w:rPr>
            </w:pPr>
            <w:r w:rsidRPr="007E29C4">
              <w:rPr>
                <w:lang w:val="fr-FR"/>
              </w:rPr>
              <w:sym w:font="Symbol" w:char="F0B1"/>
            </w:r>
            <w:r w:rsidRPr="007E29C4">
              <w:rPr>
                <w:lang w:val="fr-FR"/>
              </w:rPr>
              <w:t>0,02 kPa,</w:t>
            </w:r>
          </w:p>
        </w:tc>
      </w:tr>
      <w:tr w:rsidR="00D335D4" w:rsidRPr="007E29C4" w:rsidTr="00A36982">
        <w:tc>
          <w:tcPr>
            <w:tcW w:w="4996" w:type="dxa"/>
            <w:shd w:val="clear" w:color="auto" w:fill="auto"/>
          </w:tcPr>
          <w:p w:rsidR="00D335D4" w:rsidRPr="007E29C4" w:rsidRDefault="00D335D4" w:rsidP="00A36982">
            <w:pPr>
              <w:spacing w:after="120"/>
              <w:rPr>
                <w:lang w:val="fr-FR"/>
              </w:rPr>
            </w:pPr>
            <w:r w:rsidRPr="007E29C4">
              <w:rPr>
                <w:lang w:val="fr-FR"/>
              </w:rPr>
              <w:t>Température à l</w:t>
            </w:r>
            <w:r w:rsidR="00DB4C2D">
              <w:rPr>
                <w:lang w:val="fr-FR"/>
              </w:rPr>
              <w:t>’</w:t>
            </w:r>
            <w:r w:rsidRPr="007E29C4">
              <w:rPr>
                <w:lang w:val="fr-FR"/>
              </w:rPr>
              <w:t>entrée du tube de venturi (T</w:t>
            </w:r>
            <w:r w:rsidRPr="007E29C4">
              <w:rPr>
                <w:vertAlign w:val="subscript"/>
                <w:lang w:val="fr-FR"/>
              </w:rPr>
              <w:t>v</w:t>
            </w:r>
            <w:r w:rsidRPr="007E29C4">
              <w:rPr>
                <w:lang w:val="fr-FR"/>
              </w:rPr>
              <w:t>)</w:t>
            </w:r>
          </w:p>
        </w:tc>
        <w:tc>
          <w:tcPr>
            <w:tcW w:w="1304" w:type="dxa"/>
            <w:shd w:val="clear" w:color="auto" w:fill="auto"/>
          </w:tcPr>
          <w:p w:rsidR="00D335D4" w:rsidRPr="007E29C4" w:rsidRDefault="00D335D4" w:rsidP="00A36982">
            <w:pPr>
              <w:spacing w:after="120"/>
              <w:jc w:val="right"/>
              <w:rPr>
                <w:lang w:val="fr-FR"/>
              </w:rPr>
            </w:pPr>
            <w:r w:rsidRPr="007E29C4">
              <w:rPr>
                <w:lang w:val="fr-FR"/>
              </w:rPr>
              <w:sym w:font="Symbol" w:char="F0B1"/>
            </w:r>
            <w:r w:rsidRPr="007E29C4">
              <w:rPr>
                <w:lang w:val="fr-FR"/>
              </w:rPr>
              <w:t>0,2 K.</w:t>
            </w:r>
          </w:p>
        </w:tc>
      </w:tr>
    </w:tbl>
    <w:p w:rsidR="00D335D4" w:rsidRPr="00A779B8" w:rsidRDefault="00D335D4" w:rsidP="00D335D4">
      <w:pPr>
        <w:pStyle w:val="SingleTxtG"/>
        <w:spacing w:before="120"/>
        <w:ind w:left="2268" w:hanging="1134"/>
        <w:rPr>
          <w:lang w:val="fr-FR"/>
        </w:rPr>
      </w:pPr>
      <w:r w:rsidRPr="00A779B8">
        <w:rPr>
          <w:lang w:val="fr-FR"/>
        </w:rPr>
        <w:t>2.3.4</w:t>
      </w:r>
      <w:r w:rsidRPr="00A779B8">
        <w:rPr>
          <w:lang w:val="fr-FR"/>
        </w:rPr>
        <w:tab/>
        <w:t>Installer l</w:t>
      </w:r>
      <w:r w:rsidR="00DB4C2D">
        <w:rPr>
          <w:lang w:val="fr-FR"/>
        </w:rPr>
        <w:t>’</w:t>
      </w:r>
      <w:r w:rsidRPr="00A779B8">
        <w:rPr>
          <w:lang w:val="fr-FR"/>
        </w:rPr>
        <w:t>équipement conformément à la figure A4a.App2/9 du présent appendice et contrôler l</w:t>
      </w:r>
      <w:r w:rsidR="00DB4C2D">
        <w:rPr>
          <w:lang w:val="fr-FR"/>
        </w:rPr>
        <w:t>’</w:t>
      </w:r>
      <w:r w:rsidRPr="00A779B8">
        <w:rPr>
          <w:lang w:val="fr-FR"/>
        </w:rPr>
        <w:t>étanchéité. Toute fuite existant entre le dispositif de mesure du débit et le tube de venturi à écoulement critique affecterait gravement la précision de l</w:t>
      </w:r>
      <w:r w:rsidR="00DB4C2D">
        <w:rPr>
          <w:lang w:val="fr-FR"/>
        </w:rPr>
        <w:t>’</w:t>
      </w:r>
      <w:r w:rsidRPr="00A779B8">
        <w:rPr>
          <w:lang w:val="fr-FR"/>
        </w:rPr>
        <w:t>étalonnage.</w:t>
      </w:r>
    </w:p>
    <w:p w:rsidR="00D335D4" w:rsidRPr="00A779B8" w:rsidRDefault="00D335D4" w:rsidP="00D335D4">
      <w:pPr>
        <w:pStyle w:val="Titre1"/>
        <w:spacing w:after="120"/>
        <w:rPr>
          <w:lang w:val="fr-FR"/>
        </w:rPr>
      </w:pPr>
      <w:r w:rsidRPr="00A779B8">
        <w:rPr>
          <w:lang w:val="fr-FR"/>
        </w:rPr>
        <w:lastRenderedPageBreak/>
        <w:t>Figure A4a.App2/9</w:t>
      </w:r>
      <w:r w:rsidRPr="00A779B8">
        <w:rPr>
          <w:lang w:val="fr-FR"/>
        </w:rPr>
        <w:br/>
      </w:r>
      <w:r w:rsidRPr="00A779B8">
        <w:rPr>
          <w:b/>
          <w:lang w:val="fr-FR"/>
        </w:rPr>
        <w:t>Configuration d</w:t>
      </w:r>
      <w:r w:rsidR="00DB4C2D">
        <w:rPr>
          <w:b/>
          <w:lang w:val="fr-FR"/>
        </w:rPr>
        <w:t>’</w:t>
      </w:r>
      <w:r w:rsidRPr="00A779B8">
        <w:rPr>
          <w:b/>
          <w:lang w:val="fr-FR"/>
        </w:rPr>
        <w:t>étalonnage pour le système CFV-CVS</w:t>
      </w:r>
    </w:p>
    <w:bookmarkStart w:id="177" w:name="_MON_1316520286"/>
    <w:bookmarkStart w:id="178" w:name="_MON_1316525206"/>
    <w:bookmarkStart w:id="179" w:name="_MON_1432540118"/>
    <w:bookmarkStart w:id="180" w:name="_MON_1448269383"/>
    <w:bookmarkEnd w:id="177"/>
    <w:bookmarkEnd w:id="178"/>
    <w:bookmarkEnd w:id="179"/>
    <w:bookmarkEnd w:id="180"/>
    <w:p w:rsidR="00D335D4" w:rsidRPr="00A779B8" w:rsidRDefault="00D335D4" w:rsidP="00D335D4">
      <w:pPr>
        <w:widowControl w:val="0"/>
        <w:ind w:left="1134"/>
        <w:rPr>
          <w:lang w:val="fr-FR"/>
        </w:rPr>
      </w:pPr>
      <w:r w:rsidRPr="00A779B8">
        <w:rPr>
          <w:lang w:val="fr-FR"/>
        </w:rPr>
        <w:object w:dxaOrig="8887" w:dyaOrig="5355">
          <v:shape id="_x0000_i1089" type="#_x0000_t75" style="width:365.45pt;height:222.8pt" o:ole="">
            <v:imagedata r:id="rId162" o:title="" croptop="-2082f"/>
            <w10:bordertop type="single" width="4"/>
            <w10:borderleft type="single" width="4"/>
            <w10:borderbottom type="single" width="4"/>
            <w10:borderright type="single" width="4"/>
          </v:shape>
          <o:OLEObject Type="Embed" ProgID="Word.Picture.8" ShapeID="_x0000_i1089" DrawAspect="Content" ObjectID="_1490178445" r:id="rId163"/>
        </w:object>
      </w:r>
    </w:p>
    <w:p w:rsidR="00D335D4" w:rsidRPr="00A779B8" w:rsidRDefault="00D335D4" w:rsidP="00D335D4">
      <w:pPr>
        <w:pStyle w:val="SingleTxtG"/>
        <w:spacing w:before="180"/>
        <w:ind w:left="2268" w:hanging="1134"/>
        <w:rPr>
          <w:lang w:val="fr-FR"/>
        </w:rPr>
      </w:pPr>
      <w:r w:rsidRPr="00A779B8">
        <w:rPr>
          <w:lang w:val="fr-FR"/>
        </w:rPr>
        <w:t>2.3.5</w:t>
      </w:r>
      <w:r w:rsidRPr="00A779B8">
        <w:rPr>
          <w:lang w:val="fr-FR"/>
        </w:rPr>
        <w:tab/>
        <w:t>Régler la vanne de réglage du débit à pleine ouverture, mettre en marche le ventilateur et laisser le système atteindre son régime stabilisé. Enregistrer les valeurs données par tous les appareils.</w:t>
      </w:r>
    </w:p>
    <w:p w:rsidR="00D335D4" w:rsidRPr="00A779B8" w:rsidRDefault="00D335D4" w:rsidP="00D335D4">
      <w:pPr>
        <w:pStyle w:val="SingleTxtG"/>
        <w:ind w:left="2268" w:hanging="1134"/>
        <w:rPr>
          <w:lang w:val="fr-FR"/>
        </w:rPr>
      </w:pPr>
      <w:r w:rsidRPr="00A779B8">
        <w:rPr>
          <w:lang w:val="fr-FR"/>
        </w:rPr>
        <w:t>2.3.6</w:t>
      </w:r>
      <w:r w:rsidRPr="00A779B8">
        <w:rPr>
          <w:lang w:val="fr-FR"/>
        </w:rPr>
        <w:tab/>
        <w:t>Faire varier le réglage de la vanne de réglage du débit et exécuter au moins huit mesures réparties dans la plage d</w:t>
      </w:r>
      <w:r w:rsidR="00DB4C2D">
        <w:rPr>
          <w:lang w:val="fr-FR"/>
        </w:rPr>
        <w:t>’</w:t>
      </w:r>
      <w:r w:rsidRPr="00A779B8">
        <w:rPr>
          <w:lang w:val="fr-FR"/>
        </w:rPr>
        <w:t>écoulement critique du tube de venturi.</w:t>
      </w:r>
    </w:p>
    <w:p w:rsidR="00D335D4" w:rsidRPr="00A779B8" w:rsidRDefault="00D335D4" w:rsidP="00D335D4">
      <w:pPr>
        <w:pStyle w:val="SingleTxtG"/>
        <w:spacing w:after="100"/>
        <w:ind w:left="2268" w:hanging="1134"/>
        <w:rPr>
          <w:lang w:val="fr-FR"/>
        </w:rPr>
      </w:pPr>
      <w:r w:rsidRPr="00A779B8">
        <w:rPr>
          <w:lang w:val="fr-FR"/>
        </w:rPr>
        <w:t>2.3.7</w:t>
      </w:r>
      <w:r w:rsidRPr="00A779B8">
        <w:rPr>
          <w:lang w:val="fr-FR"/>
        </w:rPr>
        <w:tab/>
        <w:t>On doit utiliser les valeurs enregistrées lors de l</w:t>
      </w:r>
      <w:r w:rsidR="00DB4C2D">
        <w:rPr>
          <w:lang w:val="fr-FR"/>
        </w:rPr>
        <w:t>’</w:t>
      </w:r>
      <w:r w:rsidRPr="00A779B8">
        <w:rPr>
          <w:lang w:val="fr-FR"/>
        </w:rPr>
        <w:t>étalonnage pour déterminer les éléments ci-après. Le débit d</w:t>
      </w:r>
      <w:r w:rsidR="00DB4C2D">
        <w:rPr>
          <w:lang w:val="fr-FR"/>
        </w:rPr>
        <w:t>’</w:t>
      </w:r>
      <w:r w:rsidRPr="00A779B8">
        <w:rPr>
          <w:lang w:val="fr-FR"/>
        </w:rPr>
        <w:t xml:space="preserve">air </w:t>
      </w:r>
      <w:proofErr w:type="spellStart"/>
      <w:r w:rsidRPr="00A779B8">
        <w:rPr>
          <w:lang w:val="fr-FR"/>
        </w:rPr>
        <w:t>Q</w:t>
      </w:r>
      <w:r w:rsidRPr="00A779B8">
        <w:rPr>
          <w:vertAlign w:val="subscript"/>
          <w:lang w:val="fr-FR"/>
        </w:rPr>
        <w:t>s</w:t>
      </w:r>
      <w:proofErr w:type="spellEnd"/>
      <w:r w:rsidRPr="00A779B8">
        <w:rPr>
          <w:lang w:val="fr-FR"/>
        </w:rPr>
        <w:t xml:space="preserve"> à chaque point d</w:t>
      </w:r>
      <w:r w:rsidR="00DB4C2D">
        <w:rPr>
          <w:lang w:val="fr-FR"/>
        </w:rPr>
        <w:t>’</w:t>
      </w:r>
      <w:r w:rsidRPr="00A779B8">
        <w:rPr>
          <w:lang w:val="fr-FR"/>
        </w:rPr>
        <w:t>essai est calculé d</w:t>
      </w:r>
      <w:r w:rsidR="00DB4C2D">
        <w:rPr>
          <w:lang w:val="fr-FR"/>
        </w:rPr>
        <w:t>’</w:t>
      </w:r>
      <w:r w:rsidRPr="00A779B8">
        <w:rPr>
          <w:lang w:val="fr-FR"/>
        </w:rPr>
        <w:t>après les valeurs de mesure du débitmètre, selon la méthode prescrite par le fabricant.</w:t>
      </w:r>
    </w:p>
    <w:p w:rsidR="00D335D4" w:rsidRPr="00A779B8" w:rsidRDefault="00D335D4" w:rsidP="00D335D4">
      <w:pPr>
        <w:pStyle w:val="SingleTxtG"/>
        <w:spacing w:after="100"/>
        <w:ind w:left="2268"/>
        <w:rPr>
          <w:lang w:val="fr-FR"/>
        </w:rPr>
      </w:pPr>
      <w:r w:rsidRPr="00A779B8">
        <w:rPr>
          <w:lang w:val="fr-FR"/>
        </w:rPr>
        <w:t>On calcule les valeurs du coefficient d</w:t>
      </w:r>
      <w:r w:rsidR="00DB4C2D">
        <w:rPr>
          <w:lang w:val="fr-FR"/>
        </w:rPr>
        <w:t>’</w:t>
      </w:r>
      <w:r w:rsidRPr="00A779B8">
        <w:rPr>
          <w:lang w:val="fr-FR"/>
        </w:rPr>
        <w:t>étalonnage pour chaque point d</w:t>
      </w:r>
      <w:r w:rsidR="00DB4C2D">
        <w:rPr>
          <w:lang w:val="fr-FR"/>
        </w:rPr>
        <w:t>’</w:t>
      </w:r>
      <w:r w:rsidRPr="00A779B8">
        <w:rPr>
          <w:lang w:val="fr-FR"/>
        </w:rPr>
        <w:t>essai:</w:t>
      </w:r>
    </w:p>
    <w:p w:rsidR="00D335D4" w:rsidRPr="00A779B8" w:rsidRDefault="00D335D4" w:rsidP="00D335D4">
      <w:pPr>
        <w:spacing w:after="100"/>
        <w:ind w:left="2268"/>
        <w:rPr>
          <w:lang w:val="fr-FR"/>
        </w:rPr>
      </w:pPr>
      <w:r w:rsidRPr="00A779B8">
        <w:rPr>
          <w:position w:val="-26"/>
          <w:lang w:val="fr-FR"/>
        </w:rPr>
        <w:object w:dxaOrig="1200" w:dyaOrig="660">
          <v:shape id="_x0000_i1090" type="#_x0000_t75" style="width:59.75pt;height:33.3pt" o:ole="">
            <v:imagedata r:id="rId164" o:title=""/>
          </v:shape>
          <o:OLEObject Type="Embed" ProgID="Equation.3" ShapeID="_x0000_i1090" DrawAspect="Content" ObjectID="_1490178446" r:id="rId165"/>
        </w:object>
      </w:r>
    </w:p>
    <w:p w:rsidR="00D335D4" w:rsidRPr="00A779B8" w:rsidRDefault="00D335D4" w:rsidP="00D335D4">
      <w:pPr>
        <w:pStyle w:val="SingleTxtG"/>
        <w:keepNext/>
        <w:spacing w:after="100"/>
        <w:ind w:left="2268"/>
        <w:rPr>
          <w:lang w:val="fr-FR"/>
        </w:rPr>
      </w:pPr>
      <w:r w:rsidRPr="00A779B8">
        <w:rPr>
          <w:lang w:val="fr-FR"/>
        </w:rPr>
        <w:t>où:</w:t>
      </w:r>
    </w:p>
    <w:tbl>
      <w:tblPr>
        <w:tblW w:w="0" w:type="auto"/>
        <w:tblInd w:w="2268" w:type="dxa"/>
        <w:tblLayout w:type="fixed"/>
        <w:tblCellMar>
          <w:left w:w="0" w:type="dxa"/>
          <w:right w:w="0" w:type="dxa"/>
        </w:tblCellMar>
        <w:tblLook w:val="01E0" w:firstRow="1" w:lastRow="1" w:firstColumn="1" w:lastColumn="1" w:noHBand="0" w:noVBand="0"/>
      </w:tblPr>
      <w:tblGrid>
        <w:gridCol w:w="567"/>
        <w:gridCol w:w="284"/>
        <w:gridCol w:w="5103"/>
      </w:tblGrid>
      <w:tr w:rsidR="00D335D4" w:rsidRPr="007E29C4" w:rsidTr="00A36982">
        <w:tc>
          <w:tcPr>
            <w:tcW w:w="567" w:type="dxa"/>
            <w:shd w:val="clear" w:color="auto" w:fill="auto"/>
          </w:tcPr>
          <w:p w:rsidR="00D335D4" w:rsidRPr="007E29C4" w:rsidRDefault="00D335D4" w:rsidP="00A36982">
            <w:pPr>
              <w:spacing w:after="80"/>
              <w:rPr>
                <w:lang w:val="fr-FR"/>
              </w:rPr>
            </w:pPr>
            <w:proofErr w:type="spellStart"/>
            <w:r w:rsidRPr="007E29C4">
              <w:rPr>
                <w:lang w:val="fr-FR"/>
              </w:rPr>
              <w:t>Q</w:t>
            </w:r>
            <w:r w:rsidRPr="007E29C4">
              <w:rPr>
                <w:vertAlign w:val="subscript"/>
                <w:lang w:val="fr-FR"/>
              </w:rPr>
              <w:t>s</w:t>
            </w:r>
            <w:proofErr w:type="spellEnd"/>
          </w:p>
        </w:tc>
        <w:tc>
          <w:tcPr>
            <w:tcW w:w="284" w:type="dxa"/>
            <w:shd w:val="clear" w:color="auto" w:fill="auto"/>
          </w:tcPr>
          <w:p w:rsidR="00D335D4" w:rsidRPr="007E29C4" w:rsidRDefault="00D335D4" w:rsidP="00A36982">
            <w:pPr>
              <w:spacing w:after="80"/>
              <w:rPr>
                <w:lang w:val="fr-FR"/>
              </w:rPr>
            </w:pPr>
            <w:r w:rsidRPr="007E29C4">
              <w:rPr>
                <w:lang w:val="fr-FR"/>
              </w:rPr>
              <w:t>=</w:t>
            </w:r>
          </w:p>
        </w:tc>
        <w:tc>
          <w:tcPr>
            <w:tcW w:w="5103" w:type="dxa"/>
            <w:shd w:val="clear" w:color="auto" w:fill="auto"/>
          </w:tcPr>
          <w:p w:rsidR="00D335D4" w:rsidRPr="007E29C4" w:rsidRDefault="00D335D4" w:rsidP="00A36982">
            <w:pPr>
              <w:spacing w:after="80"/>
              <w:rPr>
                <w:lang w:val="fr-FR"/>
              </w:rPr>
            </w:pPr>
            <w:r w:rsidRPr="007E29C4">
              <w:rPr>
                <w:lang w:val="fr-FR"/>
              </w:rPr>
              <w:t>débit en m3/min à 273,2 K et 101,33 kPa,</w:t>
            </w:r>
          </w:p>
        </w:tc>
      </w:tr>
      <w:tr w:rsidR="00D335D4" w:rsidRPr="007E29C4" w:rsidTr="00A36982">
        <w:tc>
          <w:tcPr>
            <w:tcW w:w="567" w:type="dxa"/>
            <w:shd w:val="clear" w:color="auto" w:fill="auto"/>
          </w:tcPr>
          <w:p w:rsidR="00D335D4" w:rsidRPr="007E29C4" w:rsidRDefault="00D335D4" w:rsidP="00A36982">
            <w:pPr>
              <w:spacing w:after="80"/>
              <w:rPr>
                <w:lang w:val="fr-FR"/>
              </w:rPr>
            </w:pPr>
            <w:r w:rsidRPr="007E29C4">
              <w:rPr>
                <w:lang w:val="fr-FR"/>
              </w:rPr>
              <w:t>T</w:t>
            </w:r>
            <w:r w:rsidRPr="007E29C4">
              <w:rPr>
                <w:vertAlign w:val="subscript"/>
                <w:lang w:val="fr-FR"/>
              </w:rPr>
              <w:t>v</w:t>
            </w:r>
          </w:p>
        </w:tc>
        <w:tc>
          <w:tcPr>
            <w:tcW w:w="284" w:type="dxa"/>
            <w:shd w:val="clear" w:color="auto" w:fill="auto"/>
          </w:tcPr>
          <w:p w:rsidR="00D335D4" w:rsidRPr="007E29C4" w:rsidRDefault="00D335D4" w:rsidP="00A36982">
            <w:pPr>
              <w:spacing w:after="80"/>
              <w:rPr>
                <w:lang w:val="fr-FR"/>
              </w:rPr>
            </w:pPr>
            <w:r w:rsidRPr="007E29C4">
              <w:rPr>
                <w:lang w:val="fr-FR"/>
              </w:rPr>
              <w:t>=</w:t>
            </w:r>
          </w:p>
        </w:tc>
        <w:tc>
          <w:tcPr>
            <w:tcW w:w="5103" w:type="dxa"/>
            <w:shd w:val="clear" w:color="auto" w:fill="auto"/>
          </w:tcPr>
          <w:p w:rsidR="00D335D4" w:rsidRPr="007E29C4" w:rsidRDefault="00D335D4" w:rsidP="00A36982">
            <w:pPr>
              <w:spacing w:after="80"/>
              <w:rPr>
                <w:lang w:val="fr-FR"/>
              </w:rPr>
            </w:pPr>
            <w:r w:rsidRPr="007E29C4">
              <w:rPr>
                <w:lang w:val="fr-FR"/>
              </w:rPr>
              <w:t>température à l</w:t>
            </w:r>
            <w:r w:rsidR="00DB4C2D">
              <w:rPr>
                <w:lang w:val="fr-FR"/>
              </w:rPr>
              <w:t>’</w:t>
            </w:r>
            <w:r w:rsidRPr="007E29C4">
              <w:rPr>
                <w:lang w:val="fr-FR"/>
              </w:rPr>
              <w:t>entrée du tube de venturi (K),</w:t>
            </w:r>
          </w:p>
        </w:tc>
      </w:tr>
      <w:tr w:rsidR="00D335D4" w:rsidRPr="007E29C4" w:rsidTr="00A36982">
        <w:tc>
          <w:tcPr>
            <w:tcW w:w="567" w:type="dxa"/>
            <w:shd w:val="clear" w:color="auto" w:fill="auto"/>
          </w:tcPr>
          <w:p w:rsidR="00D335D4" w:rsidRPr="007E29C4" w:rsidRDefault="00D335D4" w:rsidP="00A36982">
            <w:pPr>
              <w:spacing w:after="80"/>
              <w:rPr>
                <w:lang w:val="fr-FR"/>
              </w:rPr>
            </w:pPr>
            <w:proofErr w:type="spellStart"/>
            <w:r w:rsidRPr="007E29C4">
              <w:rPr>
                <w:lang w:val="fr-FR"/>
              </w:rPr>
              <w:t>P</w:t>
            </w:r>
            <w:r w:rsidRPr="007E29C4">
              <w:rPr>
                <w:vertAlign w:val="subscript"/>
                <w:lang w:val="fr-FR"/>
              </w:rPr>
              <w:t>v</w:t>
            </w:r>
            <w:proofErr w:type="spellEnd"/>
          </w:p>
        </w:tc>
        <w:tc>
          <w:tcPr>
            <w:tcW w:w="284" w:type="dxa"/>
            <w:shd w:val="clear" w:color="auto" w:fill="auto"/>
          </w:tcPr>
          <w:p w:rsidR="00D335D4" w:rsidRPr="007E29C4" w:rsidRDefault="00D335D4" w:rsidP="00A36982">
            <w:pPr>
              <w:spacing w:after="80"/>
              <w:rPr>
                <w:lang w:val="fr-FR"/>
              </w:rPr>
            </w:pPr>
            <w:r w:rsidRPr="007E29C4">
              <w:rPr>
                <w:lang w:val="fr-FR"/>
              </w:rPr>
              <w:t>=</w:t>
            </w:r>
          </w:p>
        </w:tc>
        <w:tc>
          <w:tcPr>
            <w:tcW w:w="5103" w:type="dxa"/>
            <w:shd w:val="clear" w:color="auto" w:fill="auto"/>
          </w:tcPr>
          <w:p w:rsidR="00D335D4" w:rsidRPr="007E29C4" w:rsidRDefault="00D335D4" w:rsidP="00A36982">
            <w:pPr>
              <w:spacing w:after="80"/>
              <w:rPr>
                <w:lang w:val="fr-FR"/>
              </w:rPr>
            </w:pPr>
            <w:r w:rsidRPr="007E29C4">
              <w:rPr>
                <w:lang w:val="fr-FR"/>
              </w:rPr>
              <w:t>pression absolue à l</w:t>
            </w:r>
            <w:r w:rsidR="00DB4C2D">
              <w:rPr>
                <w:lang w:val="fr-FR"/>
              </w:rPr>
              <w:t>’</w:t>
            </w:r>
            <w:r w:rsidRPr="007E29C4">
              <w:rPr>
                <w:lang w:val="fr-FR"/>
              </w:rPr>
              <w:t>entrée du tube de venturi (kPa).</w:t>
            </w:r>
          </w:p>
        </w:tc>
      </w:tr>
    </w:tbl>
    <w:p w:rsidR="00D335D4" w:rsidRPr="00A779B8" w:rsidRDefault="00D335D4" w:rsidP="00D335D4">
      <w:pPr>
        <w:pStyle w:val="SingleTxtG"/>
        <w:spacing w:before="120" w:after="100"/>
        <w:ind w:left="2268"/>
        <w:rPr>
          <w:lang w:val="fr-FR"/>
        </w:rPr>
      </w:pPr>
      <w:r w:rsidRPr="00A779B8">
        <w:rPr>
          <w:lang w:val="fr-FR"/>
        </w:rPr>
        <w:t xml:space="preserve">Établir une courbe de </w:t>
      </w:r>
      <w:proofErr w:type="spellStart"/>
      <w:r w:rsidRPr="00A779B8">
        <w:rPr>
          <w:lang w:val="fr-FR"/>
        </w:rPr>
        <w:t>K</w:t>
      </w:r>
      <w:r w:rsidRPr="00A779B8">
        <w:rPr>
          <w:vertAlign w:val="subscript"/>
          <w:lang w:val="fr-FR"/>
        </w:rPr>
        <w:t>v</w:t>
      </w:r>
      <w:proofErr w:type="spellEnd"/>
      <w:r w:rsidRPr="00A779B8">
        <w:rPr>
          <w:lang w:val="fr-FR"/>
        </w:rPr>
        <w:t xml:space="preserve"> en fonction de la pression à l</w:t>
      </w:r>
      <w:r w:rsidR="00DB4C2D">
        <w:rPr>
          <w:lang w:val="fr-FR"/>
        </w:rPr>
        <w:t>’</w:t>
      </w:r>
      <w:r w:rsidRPr="00A779B8">
        <w:rPr>
          <w:lang w:val="fr-FR"/>
        </w:rPr>
        <w:t xml:space="preserve">entrée du tube de venturi. Pour un écoulement sonique, </w:t>
      </w:r>
      <w:proofErr w:type="spellStart"/>
      <w:r w:rsidRPr="00A779B8">
        <w:rPr>
          <w:lang w:val="fr-FR"/>
        </w:rPr>
        <w:t>K</w:t>
      </w:r>
      <w:r w:rsidRPr="00A779B8">
        <w:rPr>
          <w:vertAlign w:val="subscript"/>
          <w:lang w:val="fr-FR"/>
        </w:rPr>
        <w:t>v</w:t>
      </w:r>
      <w:proofErr w:type="spellEnd"/>
      <w:r w:rsidRPr="00A779B8">
        <w:rPr>
          <w:lang w:val="fr-FR"/>
        </w:rPr>
        <w:t xml:space="preserve"> a une valeur sensiblement constante. Lorsque la pression décroît (c</w:t>
      </w:r>
      <w:r w:rsidR="00DB4C2D">
        <w:rPr>
          <w:lang w:val="fr-FR"/>
        </w:rPr>
        <w:t>’</w:t>
      </w:r>
      <w:r w:rsidRPr="00A779B8">
        <w:rPr>
          <w:lang w:val="fr-FR"/>
        </w:rPr>
        <w:t xml:space="preserve">est-à-dire lorsque la dépression croît), le venturi se débloque et </w:t>
      </w:r>
      <w:proofErr w:type="spellStart"/>
      <w:r w:rsidRPr="00A779B8">
        <w:rPr>
          <w:lang w:val="fr-FR"/>
        </w:rPr>
        <w:t>K</w:t>
      </w:r>
      <w:r w:rsidRPr="00A779B8">
        <w:rPr>
          <w:vertAlign w:val="subscript"/>
          <w:lang w:val="fr-FR"/>
        </w:rPr>
        <w:t>v</w:t>
      </w:r>
      <w:proofErr w:type="spellEnd"/>
      <w:r w:rsidRPr="00A779B8">
        <w:rPr>
          <w:lang w:val="fr-FR"/>
        </w:rPr>
        <w:t xml:space="preserve"> décroît. Les variations résultantes de </w:t>
      </w:r>
      <w:proofErr w:type="spellStart"/>
      <w:r w:rsidRPr="00A779B8">
        <w:rPr>
          <w:lang w:val="fr-FR"/>
        </w:rPr>
        <w:t>K</w:t>
      </w:r>
      <w:r w:rsidRPr="00A779B8">
        <w:rPr>
          <w:vertAlign w:val="subscript"/>
          <w:lang w:val="fr-FR"/>
        </w:rPr>
        <w:t>v</w:t>
      </w:r>
      <w:proofErr w:type="spellEnd"/>
      <w:r w:rsidRPr="00A779B8">
        <w:rPr>
          <w:lang w:val="fr-FR"/>
        </w:rPr>
        <w:t xml:space="preserve"> ne sont pas autorisées.</w:t>
      </w:r>
    </w:p>
    <w:p w:rsidR="00D335D4" w:rsidRPr="00A779B8" w:rsidRDefault="00D335D4" w:rsidP="00D335D4">
      <w:pPr>
        <w:pStyle w:val="SingleTxtG"/>
        <w:spacing w:after="100"/>
        <w:ind w:left="2268"/>
        <w:rPr>
          <w:lang w:val="fr-FR"/>
        </w:rPr>
      </w:pPr>
      <w:r w:rsidRPr="00A779B8">
        <w:rPr>
          <w:lang w:val="fr-FR"/>
        </w:rPr>
        <w:t xml:space="preserve">Pour un nombre minimal de huit points dans la région critique, calculer le </w:t>
      </w:r>
      <w:proofErr w:type="spellStart"/>
      <w:r w:rsidRPr="00A779B8">
        <w:rPr>
          <w:lang w:val="fr-FR"/>
        </w:rPr>
        <w:t>K</w:t>
      </w:r>
      <w:r w:rsidRPr="00A779B8">
        <w:rPr>
          <w:vertAlign w:val="subscript"/>
          <w:lang w:val="fr-FR"/>
        </w:rPr>
        <w:t>v</w:t>
      </w:r>
      <w:proofErr w:type="spellEnd"/>
      <w:r w:rsidRPr="00A779B8">
        <w:rPr>
          <w:lang w:val="fr-FR"/>
        </w:rPr>
        <w:t xml:space="preserve"> moyen et l</w:t>
      </w:r>
      <w:r w:rsidR="00DB4C2D">
        <w:rPr>
          <w:lang w:val="fr-FR"/>
        </w:rPr>
        <w:t>’</w:t>
      </w:r>
      <w:r w:rsidRPr="00A779B8">
        <w:rPr>
          <w:lang w:val="fr-FR"/>
        </w:rPr>
        <w:t xml:space="preserve">écart type. </w:t>
      </w:r>
    </w:p>
    <w:p w:rsidR="00D335D4" w:rsidRPr="00A779B8" w:rsidRDefault="00D335D4" w:rsidP="00D335D4">
      <w:pPr>
        <w:pStyle w:val="SingleTxtG"/>
        <w:spacing w:after="100"/>
        <w:ind w:left="2268"/>
        <w:rPr>
          <w:lang w:val="fr-FR"/>
        </w:rPr>
      </w:pPr>
      <w:r w:rsidRPr="00A779B8">
        <w:rPr>
          <w:lang w:val="fr-FR"/>
        </w:rPr>
        <w:t>Si l</w:t>
      </w:r>
      <w:r w:rsidR="00DB4C2D">
        <w:rPr>
          <w:lang w:val="fr-FR"/>
        </w:rPr>
        <w:t>’</w:t>
      </w:r>
      <w:r w:rsidRPr="00A779B8">
        <w:rPr>
          <w:lang w:val="fr-FR"/>
        </w:rPr>
        <w:t xml:space="preserve">écart type dépasse 0,3 % du </w:t>
      </w:r>
      <w:proofErr w:type="spellStart"/>
      <w:r w:rsidRPr="00A779B8">
        <w:rPr>
          <w:lang w:val="fr-FR"/>
        </w:rPr>
        <w:t>K</w:t>
      </w:r>
      <w:r w:rsidRPr="00A779B8">
        <w:rPr>
          <w:vertAlign w:val="subscript"/>
          <w:lang w:val="fr-FR"/>
        </w:rPr>
        <w:t>v</w:t>
      </w:r>
      <w:proofErr w:type="spellEnd"/>
      <w:r w:rsidRPr="00A779B8">
        <w:rPr>
          <w:lang w:val="fr-FR"/>
        </w:rPr>
        <w:t xml:space="preserve"> moyen, on doit prendre des mesures pour y remédier.</w:t>
      </w:r>
    </w:p>
    <w:p w:rsidR="00D335D4" w:rsidRPr="00A779B8" w:rsidRDefault="00D335D4" w:rsidP="00D335D4">
      <w:pPr>
        <w:pStyle w:val="SingleTxtG"/>
        <w:keepNext/>
        <w:spacing w:after="100"/>
        <w:ind w:left="2268" w:hanging="1134"/>
        <w:jc w:val="left"/>
        <w:rPr>
          <w:rFonts w:eastAsia="Arial Unicode MS"/>
          <w:lang w:val="fr-FR"/>
        </w:rPr>
      </w:pPr>
      <w:r w:rsidRPr="00A779B8">
        <w:rPr>
          <w:rFonts w:eastAsia="Arial Unicode MS"/>
          <w:lang w:val="fr-FR"/>
        </w:rPr>
        <w:lastRenderedPageBreak/>
        <w:t>3.</w:t>
      </w:r>
      <w:r w:rsidRPr="00A779B8">
        <w:rPr>
          <w:rFonts w:eastAsia="Arial Unicode MS"/>
          <w:lang w:val="fr-FR"/>
        </w:rPr>
        <w:tab/>
        <w:t xml:space="preserve">Procédure de contrôle du système </w:t>
      </w:r>
    </w:p>
    <w:p w:rsidR="00D335D4" w:rsidRPr="00A779B8" w:rsidRDefault="00D335D4" w:rsidP="00D335D4">
      <w:pPr>
        <w:pStyle w:val="SingleTxtG"/>
        <w:keepNext/>
        <w:spacing w:after="100"/>
        <w:ind w:left="2268" w:hanging="1134"/>
        <w:jc w:val="left"/>
        <w:rPr>
          <w:rFonts w:eastAsia="Arial Unicode MS"/>
          <w:lang w:val="fr-FR"/>
        </w:rPr>
      </w:pPr>
      <w:r w:rsidRPr="00A779B8">
        <w:rPr>
          <w:rFonts w:eastAsia="Arial Unicode MS"/>
          <w:lang w:val="fr-FR"/>
        </w:rPr>
        <w:t>3.1</w:t>
      </w:r>
      <w:r w:rsidRPr="00A779B8">
        <w:rPr>
          <w:rFonts w:eastAsia="Arial Unicode MS"/>
          <w:lang w:val="fr-FR"/>
        </w:rPr>
        <w:tab/>
        <w:t>Prescriptions générales</w:t>
      </w:r>
    </w:p>
    <w:p w:rsidR="00D335D4" w:rsidRPr="00A779B8" w:rsidRDefault="00D335D4" w:rsidP="00D335D4">
      <w:pPr>
        <w:pStyle w:val="SingleTxtG"/>
        <w:spacing w:before="120" w:after="100"/>
        <w:ind w:left="2268"/>
        <w:rPr>
          <w:rFonts w:eastAsia="Arial Unicode MS"/>
          <w:lang w:val="fr-FR"/>
        </w:rPr>
      </w:pPr>
      <w:r w:rsidRPr="00A779B8">
        <w:rPr>
          <w:lang w:val="fr-FR"/>
        </w:rPr>
        <w:t>On doit déterminer la précision globale de l</w:t>
      </w:r>
      <w:r w:rsidR="00DB4C2D">
        <w:rPr>
          <w:lang w:val="fr-FR"/>
        </w:rPr>
        <w:t>’</w:t>
      </w:r>
      <w:r w:rsidRPr="00A779B8">
        <w:rPr>
          <w:lang w:val="fr-FR"/>
        </w:rPr>
        <w:t>appareillage de prélèvement CVS et d</w:t>
      </w:r>
      <w:r w:rsidR="00DB4C2D">
        <w:rPr>
          <w:lang w:val="fr-FR"/>
        </w:rPr>
        <w:t>’</w:t>
      </w:r>
      <w:r w:rsidRPr="00A779B8">
        <w:rPr>
          <w:lang w:val="fr-FR"/>
        </w:rPr>
        <w:t>analyse en introduisant une masse connue de polluant gazeux dans le système lorsqu</w:t>
      </w:r>
      <w:r w:rsidR="00DB4C2D">
        <w:rPr>
          <w:lang w:val="fr-FR"/>
        </w:rPr>
        <w:t>’</w:t>
      </w:r>
      <w:r w:rsidRPr="00A779B8">
        <w:rPr>
          <w:lang w:val="fr-FR"/>
        </w:rPr>
        <w:t>il fonctionne comme pour un essai normal, puis en procédant à l</w:t>
      </w:r>
      <w:r w:rsidR="00DB4C2D">
        <w:rPr>
          <w:lang w:val="fr-FR"/>
        </w:rPr>
        <w:t>’</w:t>
      </w:r>
      <w:r w:rsidRPr="00A779B8">
        <w:rPr>
          <w:lang w:val="fr-FR"/>
        </w:rPr>
        <w:t>analyse et en calculant la masse de polluant selon les formules du paragraphe 6.6 de l</w:t>
      </w:r>
      <w:r>
        <w:rPr>
          <w:lang w:val="fr-FR"/>
        </w:rPr>
        <w:t xml:space="preserve">a présente </w:t>
      </w:r>
      <w:r w:rsidRPr="00A779B8">
        <w:rPr>
          <w:lang w:val="fr-FR"/>
        </w:rPr>
        <w:t>annexe, en prenant toutefois comme masse volumique du propane la valeur de 1,967 g/l aux conditions normales. Deux techniques connues pour donner une précision suffisante sont décrites ci-après.</w:t>
      </w:r>
    </w:p>
    <w:p w:rsidR="00D335D4" w:rsidRPr="00A779B8" w:rsidRDefault="00D335D4" w:rsidP="00D335D4">
      <w:pPr>
        <w:pStyle w:val="SingleTxtG"/>
        <w:spacing w:before="120" w:after="100"/>
        <w:ind w:left="2268"/>
        <w:rPr>
          <w:rFonts w:eastAsia="Arial Unicode MS"/>
          <w:lang w:val="fr-FR"/>
        </w:rPr>
      </w:pPr>
      <w:r w:rsidRPr="00A779B8">
        <w:rPr>
          <w:lang w:val="fr-FR"/>
        </w:rPr>
        <w:t>L</w:t>
      </w:r>
      <w:r w:rsidR="00DB4C2D">
        <w:rPr>
          <w:lang w:val="fr-FR"/>
        </w:rPr>
        <w:t>’</w:t>
      </w:r>
      <w:r w:rsidRPr="00A779B8">
        <w:rPr>
          <w:lang w:val="fr-FR"/>
        </w:rPr>
        <w:t>écart</w:t>
      </w:r>
      <w:r w:rsidRPr="00A779B8">
        <w:rPr>
          <w:rFonts w:eastAsia="Arial Unicode MS"/>
          <w:lang w:val="fr-FR"/>
        </w:rPr>
        <w:t xml:space="preserve"> maximal admis entre la quantité de gaz introduite et la quantité de gaz mesurée est de 5 %.</w:t>
      </w:r>
    </w:p>
    <w:p w:rsidR="00D335D4" w:rsidRPr="00A779B8" w:rsidRDefault="00D335D4" w:rsidP="00D335D4">
      <w:pPr>
        <w:pStyle w:val="SingleTxtG"/>
        <w:keepNext/>
        <w:spacing w:after="100"/>
        <w:ind w:left="2268" w:hanging="1134"/>
        <w:jc w:val="left"/>
        <w:rPr>
          <w:rFonts w:eastAsia="Arial Unicode MS"/>
          <w:lang w:val="fr-FR"/>
        </w:rPr>
      </w:pPr>
      <w:r w:rsidRPr="00A779B8">
        <w:rPr>
          <w:rFonts w:eastAsia="Arial Unicode MS"/>
          <w:lang w:val="fr-FR"/>
        </w:rPr>
        <w:t>3.2</w:t>
      </w:r>
      <w:r w:rsidRPr="00A779B8">
        <w:rPr>
          <w:rFonts w:eastAsia="Arial Unicode MS"/>
          <w:lang w:val="fr-FR"/>
        </w:rPr>
        <w:tab/>
        <w:t>Utilisation d</w:t>
      </w:r>
      <w:r w:rsidR="00DB4C2D">
        <w:rPr>
          <w:rFonts w:eastAsia="Arial Unicode MS"/>
          <w:lang w:val="fr-FR"/>
        </w:rPr>
        <w:t>’</w:t>
      </w:r>
      <w:r w:rsidRPr="00A779B8">
        <w:rPr>
          <w:rFonts w:eastAsia="Arial Unicode MS"/>
          <w:lang w:val="fr-FR"/>
        </w:rPr>
        <w:t>un orifice à écoulement critique</w:t>
      </w:r>
      <w:r>
        <w:rPr>
          <w:rFonts w:eastAsia="Arial Unicode MS"/>
          <w:lang w:val="fr-FR"/>
        </w:rPr>
        <w:t xml:space="preserve"> (CFO)</w:t>
      </w:r>
    </w:p>
    <w:p w:rsidR="00D335D4" w:rsidRPr="00A779B8" w:rsidRDefault="00D335D4" w:rsidP="00D335D4">
      <w:pPr>
        <w:pStyle w:val="SingleTxtG"/>
        <w:keepNext/>
        <w:spacing w:after="100"/>
        <w:ind w:left="2268" w:hanging="1134"/>
        <w:jc w:val="left"/>
        <w:rPr>
          <w:rFonts w:eastAsia="Arial Unicode MS"/>
          <w:lang w:val="fr-FR"/>
        </w:rPr>
      </w:pPr>
      <w:r w:rsidRPr="00A779B8">
        <w:rPr>
          <w:rFonts w:eastAsia="Arial Unicode MS"/>
          <w:lang w:val="fr-FR"/>
        </w:rPr>
        <w:t>3.2.1</w:t>
      </w:r>
      <w:r w:rsidRPr="00A779B8">
        <w:rPr>
          <w:rFonts w:eastAsia="Arial Unicode MS"/>
          <w:lang w:val="fr-FR"/>
        </w:rPr>
        <w:tab/>
      </w:r>
      <w:r w:rsidRPr="00A779B8">
        <w:rPr>
          <w:lang w:val="fr-FR"/>
        </w:rPr>
        <w:t>Mesure du débit constant de gaz pur (CO ou C</w:t>
      </w:r>
      <w:r w:rsidRPr="00A779B8">
        <w:rPr>
          <w:vertAlign w:val="subscript"/>
          <w:lang w:val="fr-FR"/>
        </w:rPr>
        <w:t>3</w:t>
      </w:r>
      <w:r w:rsidRPr="00A779B8">
        <w:rPr>
          <w:lang w:val="fr-FR"/>
        </w:rPr>
        <w:t>H</w:t>
      </w:r>
      <w:r w:rsidRPr="00A779B8">
        <w:rPr>
          <w:vertAlign w:val="subscript"/>
          <w:lang w:val="fr-FR"/>
        </w:rPr>
        <w:t>8</w:t>
      </w:r>
      <w:r w:rsidRPr="00A779B8">
        <w:rPr>
          <w:lang w:val="fr-FR"/>
        </w:rPr>
        <w:t>) avec un orifice à écoulement critique</w:t>
      </w:r>
    </w:p>
    <w:p w:rsidR="00D335D4" w:rsidRPr="00A779B8" w:rsidRDefault="00D335D4" w:rsidP="00D335D4">
      <w:pPr>
        <w:pStyle w:val="SingleTxtG"/>
        <w:spacing w:after="100"/>
        <w:ind w:left="2268" w:hanging="1134"/>
        <w:rPr>
          <w:rFonts w:eastAsia="Arial Unicode MS"/>
          <w:lang w:val="fr-FR"/>
        </w:rPr>
      </w:pPr>
      <w:r w:rsidRPr="00A779B8">
        <w:rPr>
          <w:rFonts w:eastAsia="Arial Unicode MS"/>
          <w:lang w:val="fr-FR"/>
        </w:rPr>
        <w:t>3.2.2</w:t>
      </w:r>
      <w:r w:rsidRPr="00A779B8">
        <w:rPr>
          <w:rFonts w:eastAsia="Arial Unicode MS"/>
          <w:lang w:val="fr-FR"/>
        </w:rPr>
        <w:tab/>
        <w:t>Une quantité déterminée de gaz pur (CO ou C</w:t>
      </w:r>
      <w:r w:rsidRPr="00A779B8">
        <w:rPr>
          <w:rFonts w:eastAsia="Arial Unicode MS"/>
          <w:vertAlign w:val="subscript"/>
          <w:lang w:val="fr-FR"/>
        </w:rPr>
        <w:t>3</w:t>
      </w:r>
      <w:r w:rsidRPr="00A779B8">
        <w:rPr>
          <w:rFonts w:eastAsia="Arial Unicode MS"/>
          <w:lang w:val="fr-FR"/>
        </w:rPr>
        <w:t>H</w:t>
      </w:r>
      <w:r w:rsidRPr="00A779B8">
        <w:rPr>
          <w:rFonts w:eastAsia="Arial Unicode MS"/>
          <w:vertAlign w:val="subscript"/>
          <w:lang w:val="fr-FR"/>
        </w:rPr>
        <w:t>8</w:t>
      </w:r>
      <w:r w:rsidRPr="00A779B8">
        <w:rPr>
          <w:rFonts w:eastAsia="Arial Unicode MS"/>
          <w:lang w:val="fr-FR"/>
        </w:rPr>
        <w:t>) est introduite dans le système CVS par l</w:t>
      </w:r>
      <w:r w:rsidR="00DB4C2D">
        <w:rPr>
          <w:rFonts w:eastAsia="Arial Unicode MS"/>
          <w:lang w:val="fr-FR"/>
        </w:rPr>
        <w:t>’</w:t>
      </w:r>
      <w:r w:rsidRPr="00A779B8">
        <w:rPr>
          <w:rFonts w:eastAsia="Arial Unicode MS"/>
          <w:lang w:val="fr-FR"/>
        </w:rPr>
        <w:t xml:space="preserve">orifice à écoulement critique étalonné. </w:t>
      </w:r>
      <w:r w:rsidRPr="00A779B8">
        <w:rPr>
          <w:lang w:val="fr-FR"/>
        </w:rPr>
        <w:t>Si la pression d</w:t>
      </w:r>
      <w:r w:rsidR="00DB4C2D">
        <w:rPr>
          <w:lang w:val="fr-FR"/>
        </w:rPr>
        <w:t>’</w:t>
      </w:r>
      <w:r w:rsidRPr="00A779B8">
        <w:rPr>
          <w:lang w:val="fr-FR"/>
        </w:rPr>
        <w:t>entrée est suffisamment grande, le débit (q) réglé par l</w:t>
      </w:r>
      <w:r w:rsidR="00DB4C2D">
        <w:rPr>
          <w:lang w:val="fr-FR"/>
        </w:rPr>
        <w:t>’</w:t>
      </w:r>
      <w:r w:rsidRPr="00A779B8">
        <w:rPr>
          <w:lang w:val="fr-FR"/>
        </w:rPr>
        <w:t>orifice est indépendant de la pression de sortie de l</w:t>
      </w:r>
      <w:r w:rsidR="00DB4C2D">
        <w:rPr>
          <w:lang w:val="fr-FR"/>
        </w:rPr>
        <w:t>’</w:t>
      </w:r>
      <w:r w:rsidRPr="00A779B8">
        <w:rPr>
          <w:lang w:val="fr-FR"/>
        </w:rPr>
        <w:t>orifice (conditions d</w:t>
      </w:r>
      <w:r w:rsidR="00DB4C2D">
        <w:rPr>
          <w:lang w:val="fr-FR"/>
        </w:rPr>
        <w:t>’</w:t>
      </w:r>
      <w:r w:rsidRPr="00A779B8">
        <w:rPr>
          <w:lang w:val="fr-FR"/>
        </w:rPr>
        <w:t>écoulement critique). Si les écarts observés dépassent 5 %, la cause de l</w:t>
      </w:r>
      <w:r w:rsidR="00DB4C2D">
        <w:rPr>
          <w:lang w:val="fr-FR"/>
        </w:rPr>
        <w:t>’</w:t>
      </w:r>
      <w:r w:rsidRPr="00A779B8">
        <w:rPr>
          <w:lang w:val="fr-FR"/>
        </w:rPr>
        <w:t>anomalie doit être déterminée et supprimée. On fait fonctionner l</w:t>
      </w:r>
      <w:r w:rsidR="00DB4C2D">
        <w:rPr>
          <w:lang w:val="fr-FR"/>
        </w:rPr>
        <w:t>’</w:t>
      </w:r>
      <w:r w:rsidRPr="00A779B8">
        <w:rPr>
          <w:lang w:val="fr-FR"/>
        </w:rPr>
        <w:t>appareillage CVS comme pour un essai de mesure des émissions d</w:t>
      </w:r>
      <w:r w:rsidR="00DB4C2D">
        <w:rPr>
          <w:lang w:val="fr-FR"/>
        </w:rPr>
        <w:t>’</w:t>
      </w:r>
      <w:r w:rsidRPr="00A779B8">
        <w:rPr>
          <w:lang w:val="fr-FR"/>
        </w:rPr>
        <w:t>échappement pendant 5 à 10 min. On analyse les gaz recueillis dans le sac de prélèvement avec l</w:t>
      </w:r>
      <w:r w:rsidR="00DB4C2D">
        <w:rPr>
          <w:lang w:val="fr-FR"/>
        </w:rPr>
        <w:t>’</w:t>
      </w:r>
      <w:r w:rsidRPr="00A779B8">
        <w:rPr>
          <w:lang w:val="fr-FR"/>
        </w:rPr>
        <w:t>appareillage normal et on compare les résultats obtenus à la teneur des échantillons de gaz, déjà connue.</w:t>
      </w:r>
    </w:p>
    <w:p w:rsidR="00D335D4" w:rsidRPr="00A779B8" w:rsidRDefault="00D335D4" w:rsidP="00D335D4">
      <w:pPr>
        <w:pStyle w:val="SingleTxtG"/>
        <w:keepNext/>
        <w:ind w:left="2268" w:hanging="1134"/>
        <w:jc w:val="left"/>
        <w:rPr>
          <w:rFonts w:eastAsia="Arial Unicode MS"/>
          <w:lang w:val="fr-FR"/>
        </w:rPr>
      </w:pPr>
      <w:r w:rsidRPr="00A779B8">
        <w:rPr>
          <w:rFonts w:eastAsia="Arial Unicode MS"/>
          <w:lang w:val="fr-FR"/>
        </w:rPr>
        <w:t>3.3</w:t>
      </w:r>
      <w:r w:rsidRPr="00A779B8">
        <w:rPr>
          <w:rFonts w:eastAsia="Arial Unicode MS"/>
          <w:lang w:val="fr-FR"/>
        </w:rPr>
        <w:tab/>
        <w:t>Méthode gravimétrique</w:t>
      </w:r>
    </w:p>
    <w:p w:rsidR="00D335D4" w:rsidRPr="00A779B8" w:rsidRDefault="00D335D4" w:rsidP="00D335D4">
      <w:pPr>
        <w:pStyle w:val="SingleTxtG"/>
        <w:ind w:left="2268" w:hanging="1134"/>
        <w:rPr>
          <w:lang w:val="fr-FR"/>
        </w:rPr>
      </w:pPr>
      <w:r w:rsidRPr="00A779B8">
        <w:rPr>
          <w:lang w:val="fr-FR"/>
        </w:rPr>
        <w:t>3.3.1</w:t>
      </w:r>
      <w:r w:rsidRPr="00A779B8">
        <w:rPr>
          <w:lang w:val="fr-FR"/>
        </w:rPr>
        <w:tab/>
        <w:t>Mesure d</w:t>
      </w:r>
      <w:r w:rsidR="00DB4C2D">
        <w:rPr>
          <w:lang w:val="fr-FR"/>
        </w:rPr>
        <w:t>’</w:t>
      </w:r>
      <w:r w:rsidRPr="00A779B8">
        <w:rPr>
          <w:lang w:val="fr-FR"/>
        </w:rPr>
        <w:t>une quantité donnée de gaz pur (CO ou C</w:t>
      </w:r>
      <w:r w:rsidRPr="00A779B8">
        <w:rPr>
          <w:vertAlign w:val="subscript"/>
          <w:lang w:val="fr-FR"/>
        </w:rPr>
        <w:t>3</w:t>
      </w:r>
      <w:r w:rsidRPr="00A779B8">
        <w:rPr>
          <w:lang w:val="fr-FR"/>
        </w:rPr>
        <w:t>H</w:t>
      </w:r>
      <w:r w:rsidRPr="00A779B8">
        <w:rPr>
          <w:vertAlign w:val="subscript"/>
          <w:lang w:val="fr-FR"/>
        </w:rPr>
        <w:t>8</w:t>
      </w:r>
      <w:r w:rsidRPr="00A779B8">
        <w:rPr>
          <w:lang w:val="fr-FR"/>
        </w:rPr>
        <w:t>) par une méthode gravimétrique</w:t>
      </w:r>
    </w:p>
    <w:p w:rsidR="00D335D4" w:rsidRPr="00A779B8" w:rsidRDefault="00D335D4" w:rsidP="00D335D4">
      <w:pPr>
        <w:pStyle w:val="SingleTxtG"/>
        <w:keepNext/>
        <w:ind w:left="2268" w:hanging="1134"/>
        <w:rPr>
          <w:lang w:val="fr-FR"/>
        </w:rPr>
      </w:pPr>
      <w:r w:rsidRPr="00A779B8">
        <w:rPr>
          <w:rFonts w:eastAsia="Arial Unicode MS"/>
          <w:lang w:val="fr-FR"/>
        </w:rPr>
        <w:t>3.3.2</w:t>
      </w:r>
      <w:r w:rsidRPr="00A779B8">
        <w:rPr>
          <w:rFonts w:eastAsia="Arial Unicode MS"/>
          <w:lang w:val="fr-FR"/>
        </w:rPr>
        <w:tab/>
      </w:r>
      <w:r w:rsidRPr="00A779B8">
        <w:rPr>
          <w:lang w:val="fr-FR"/>
        </w:rPr>
        <w:t>Pour contrôler l</w:t>
      </w:r>
      <w:r w:rsidR="00DB4C2D">
        <w:rPr>
          <w:lang w:val="fr-FR"/>
        </w:rPr>
        <w:t>’</w:t>
      </w:r>
      <w:r w:rsidRPr="00A779B8">
        <w:rPr>
          <w:lang w:val="fr-FR"/>
        </w:rPr>
        <w:t>appareillage CVS par la méthode gravimétrique, on procède comme suit:</w:t>
      </w:r>
    </w:p>
    <w:p w:rsidR="00D335D4" w:rsidRDefault="00D335D4" w:rsidP="00D335D4">
      <w:pPr>
        <w:pStyle w:val="SingleTxtG"/>
        <w:ind w:left="2268"/>
        <w:rPr>
          <w:lang w:val="fr-FR"/>
        </w:rPr>
      </w:pPr>
      <w:r w:rsidRPr="00A779B8">
        <w:rPr>
          <w:lang w:val="fr-FR"/>
        </w:rPr>
        <w:t xml:space="preserve">On utilise une petite bouteille remplie soit de monoxyde de carbone, soit de propane, dont on détermine la masse avec une précision de </w:t>
      </w:r>
      <w:r w:rsidRPr="00A779B8">
        <w:rPr>
          <w:lang w:val="fr-FR"/>
        </w:rPr>
        <w:sym w:font="Symbol" w:char="F0B1"/>
      </w:r>
      <w:r w:rsidRPr="00A779B8">
        <w:rPr>
          <w:lang w:val="fr-FR"/>
        </w:rPr>
        <w:t>0,01 g; pendant 5 à 10 min, on fait fonctionner l</w:t>
      </w:r>
      <w:r w:rsidR="00DB4C2D">
        <w:rPr>
          <w:lang w:val="fr-FR"/>
        </w:rPr>
        <w:t>’</w:t>
      </w:r>
      <w:r w:rsidRPr="00A779B8">
        <w:rPr>
          <w:lang w:val="fr-FR"/>
        </w:rPr>
        <w:t>appareillage CVS comme pour un essai normal de détermination des émissions d</w:t>
      </w:r>
      <w:r w:rsidR="00DB4C2D">
        <w:rPr>
          <w:lang w:val="fr-FR"/>
        </w:rPr>
        <w:t>’</w:t>
      </w:r>
      <w:r w:rsidRPr="00A779B8">
        <w:rPr>
          <w:lang w:val="fr-FR"/>
        </w:rPr>
        <w:t>échappement, tout en injectant dans le système du CO ou du propane selon le cas. On détermine la quantité de gaz pur introduit dans l</w:t>
      </w:r>
      <w:r w:rsidR="00DB4C2D">
        <w:rPr>
          <w:lang w:val="fr-FR"/>
        </w:rPr>
        <w:t>’</w:t>
      </w:r>
      <w:r w:rsidRPr="00A779B8">
        <w:rPr>
          <w:lang w:val="fr-FR"/>
        </w:rPr>
        <w:t xml:space="preserve">appareillage en </w:t>
      </w:r>
      <w:r w:rsidRPr="00D335D4">
        <w:t>mesurant</w:t>
      </w:r>
      <w:r w:rsidRPr="00A779B8">
        <w:rPr>
          <w:lang w:val="fr-FR"/>
        </w:rPr>
        <w:t xml:space="preserve"> la différence de masse de la bouteille. On analyse ensuite le gaz recueilli dans le sac avec l</w:t>
      </w:r>
      <w:r w:rsidR="00DB4C2D">
        <w:rPr>
          <w:lang w:val="fr-FR"/>
        </w:rPr>
        <w:t>’</w:t>
      </w:r>
      <w:r w:rsidRPr="00A779B8">
        <w:rPr>
          <w:lang w:val="fr-FR"/>
        </w:rPr>
        <w:t>appareillage normalement utilisé pour l</w:t>
      </w:r>
      <w:r w:rsidR="00DB4C2D">
        <w:rPr>
          <w:lang w:val="fr-FR"/>
        </w:rPr>
        <w:t>’</w:t>
      </w:r>
      <w:r w:rsidRPr="00A779B8">
        <w:rPr>
          <w:lang w:val="fr-FR"/>
        </w:rPr>
        <w:t>analyse des gaz d</w:t>
      </w:r>
      <w:r w:rsidR="00DB4C2D">
        <w:rPr>
          <w:lang w:val="fr-FR"/>
        </w:rPr>
        <w:t>’</w:t>
      </w:r>
      <w:r w:rsidRPr="00A779B8">
        <w:rPr>
          <w:lang w:val="fr-FR"/>
        </w:rPr>
        <w:t>échappement. On compare alors les résultats aux valeurs de concentration calculées précédemment.</w:t>
      </w:r>
    </w:p>
    <w:p w:rsidR="00154816" w:rsidRDefault="00154816" w:rsidP="00D335D4">
      <w:pPr>
        <w:pStyle w:val="SingleTxtG"/>
        <w:ind w:left="2268"/>
        <w:rPr>
          <w:lang w:val="fr-FR"/>
        </w:rPr>
      </w:pPr>
    </w:p>
    <w:p w:rsidR="00C060A6" w:rsidRDefault="00C060A6" w:rsidP="00C060A6">
      <w:pPr>
        <w:pStyle w:val="SingleTxtG"/>
        <w:sectPr w:rsidR="00C060A6" w:rsidSect="00C108AC">
          <w:headerReference w:type="even" r:id="rId166"/>
          <w:headerReference w:type="default" r:id="rId167"/>
          <w:footnotePr>
            <w:numRestart w:val="eachSect"/>
          </w:footnotePr>
          <w:endnotePr>
            <w:numFmt w:val="decimal"/>
          </w:endnotePr>
          <w:pgSz w:w="11907" w:h="16840" w:code="9"/>
          <w:pgMar w:top="1701" w:right="1134" w:bottom="2268" w:left="1134" w:header="794" w:footer="1701" w:gutter="0"/>
          <w:cols w:space="720"/>
          <w:docGrid w:linePitch="272"/>
        </w:sectPr>
      </w:pPr>
    </w:p>
    <w:p w:rsidR="00C060A6" w:rsidRPr="00A779B8" w:rsidRDefault="00C060A6" w:rsidP="00C060A6">
      <w:pPr>
        <w:pStyle w:val="HChG"/>
        <w:rPr>
          <w:lang w:val="fr-FR"/>
        </w:rPr>
      </w:pPr>
      <w:r w:rsidRPr="00A779B8">
        <w:rPr>
          <w:lang w:val="fr-FR"/>
        </w:rPr>
        <w:lastRenderedPageBreak/>
        <w:t xml:space="preserve">Annexe 4a − Appendice 3 </w:t>
      </w:r>
    </w:p>
    <w:p w:rsidR="00C060A6" w:rsidRPr="00A779B8" w:rsidRDefault="00C060A6" w:rsidP="00C060A6">
      <w:pPr>
        <w:pStyle w:val="HChG"/>
        <w:rPr>
          <w:lang w:val="fr-FR"/>
        </w:rPr>
      </w:pPr>
      <w:r w:rsidRPr="00A779B8">
        <w:rPr>
          <w:lang w:val="fr-FR"/>
        </w:rPr>
        <w:tab/>
      </w:r>
      <w:r w:rsidRPr="00A779B8">
        <w:rPr>
          <w:lang w:val="fr-FR"/>
        </w:rPr>
        <w:tab/>
        <w:t>Appareillage de mesure des émissions gazeuses</w:t>
      </w:r>
    </w:p>
    <w:p w:rsidR="00C060A6" w:rsidRPr="00A779B8" w:rsidRDefault="00C060A6" w:rsidP="00C060A6">
      <w:pPr>
        <w:pStyle w:val="SingleTxtG"/>
        <w:keepNext/>
        <w:spacing w:after="100"/>
        <w:ind w:left="2268" w:hanging="1134"/>
        <w:jc w:val="left"/>
        <w:rPr>
          <w:lang w:val="fr-FR"/>
        </w:rPr>
      </w:pPr>
      <w:r w:rsidRPr="00A779B8">
        <w:rPr>
          <w:lang w:val="fr-FR"/>
        </w:rPr>
        <w:t>1.</w:t>
      </w:r>
      <w:r w:rsidRPr="00A779B8">
        <w:rPr>
          <w:lang w:val="fr-FR"/>
        </w:rPr>
        <w:tab/>
        <w:t>Description</w:t>
      </w:r>
    </w:p>
    <w:p w:rsidR="00C060A6" w:rsidRPr="00A779B8" w:rsidRDefault="00C060A6" w:rsidP="00C060A6">
      <w:pPr>
        <w:pStyle w:val="SingleTxtG"/>
        <w:keepNext/>
        <w:spacing w:after="100"/>
        <w:ind w:left="2268" w:hanging="1134"/>
        <w:rPr>
          <w:lang w:val="fr-FR"/>
        </w:rPr>
      </w:pPr>
      <w:r w:rsidRPr="00A779B8">
        <w:rPr>
          <w:lang w:val="fr-FR"/>
        </w:rPr>
        <w:t>1.1</w:t>
      </w:r>
      <w:r w:rsidRPr="00A779B8">
        <w:rPr>
          <w:lang w:val="fr-FR"/>
        </w:rPr>
        <w:tab/>
        <w:t>Vue d</w:t>
      </w:r>
      <w:r w:rsidR="00DB4C2D">
        <w:rPr>
          <w:lang w:val="fr-FR"/>
        </w:rPr>
        <w:t>’</w:t>
      </w:r>
      <w:r w:rsidRPr="00A779B8">
        <w:rPr>
          <w:lang w:val="fr-FR"/>
        </w:rPr>
        <w:t>ensemble du système</w:t>
      </w:r>
    </w:p>
    <w:p w:rsidR="00C060A6" w:rsidRPr="00A779B8" w:rsidRDefault="00C060A6" w:rsidP="00C060A6">
      <w:pPr>
        <w:pStyle w:val="SingleTxtG"/>
        <w:spacing w:after="100"/>
        <w:ind w:left="2268"/>
        <w:rPr>
          <w:lang w:val="fr-FR"/>
        </w:rPr>
      </w:pPr>
      <w:r w:rsidRPr="00A779B8">
        <w:rPr>
          <w:lang w:val="fr-FR"/>
        </w:rPr>
        <w:t>Un échantillon de proportion constante de gaz d</w:t>
      </w:r>
      <w:r w:rsidR="00DB4C2D">
        <w:rPr>
          <w:lang w:val="fr-FR"/>
        </w:rPr>
        <w:t>’</w:t>
      </w:r>
      <w:r w:rsidRPr="00A779B8">
        <w:rPr>
          <w:lang w:val="fr-FR"/>
        </w:rPr>
        <w:t>échappement dilués et d</w:t>
      </w:r>
      <w:r w:rsidR="00DB4C2D">
        <w:rPr>
          <w:lang w:val="fr-FR"/>
        </w:rPr>
        <w:t>’</w:t>
      </w:r>
      <w:r w:rsidRPr="00A779B8">
        <w:rPr>
          <w:lang w:val="fr-FR"/>
        </w:rPr>
        <w:t>air de dilution doit être recueilli pour analyse.</w:t>
      </w:r>
    </w:p>
    <w:p w:rsidR="00C060A6" w:rsidRPr="00A779B8" w:rsidRDefault="00C060A6" w:rsidP="00C060A6">
      <w:pPr>
        <w:pStyle w:val="SingleTxtG"/>
        <w:spacing w:after="100"/>
        <w:ind w:left="2268"/>
        <w:rPr>
          <w:lang w:val="fr-FR"/>
        </w:rPr>
      </w:pPr>
      <w:r w:rsidRPr="00A779B8">
        <w:rPr>
          <w:lang w:val="fr-FR"/>
        </w:rPr>
        <w:t>Les émissions gazeuses massiques doivent être déterminées d</w:t>
      </w:r>
      <w:r w:rsidR="00DB4C2D">
        <w:rPr>
          <w:lang w:val="fr-FR"/>
        </w:rPr>
        <w:t>’</w:t>
      </w:r>
      <w:r w:rsidRPr="00A779B8">
        <w:rPr>
          <w:lang w:val="fr-FR"/>
        </w:rPr>
        <w:t>après les concentrations de l</w:t>
      </w:r>
      <w:r w:rsidR="00DB4C2D">
        <w:rPr>
          <w:lang w:val="fr-FR"/>
        </w:rPr>
        <w:t>’</w:t>
      </w:r>
      <w:r w:rsidRPr="00A779B8">
        <w:rPr>
          <w:lang w:val="fr-FR"/>
        </w:rPr>
        <w:t>échantillon proportionnel et le volume total mesuré pendant l</w:t>
      </w:r>
      <w:r w:rsidR="00DB4C2D">
        <w:rPr>
          <w:lang w:val="fr-FR"/>
        </w:rPr>
        <w:t>’</w:t>
      </w:r>
      <w:r w:rsidRPr="00A779B8">
        <w:rPr>
          <w:lang w:val="fr-FR"/>
        </w:rPr>
        <w:t>essai. Les concentrations de l</w:t>
      </w:r>
      <w:r w:rsidR="00DB4C2D">
        <w:rPr>
          <w:lang w:val="fr-FR"/>
        </w:rPr>
        <w:t>’</w:t>
      </w:r>
      <w:r w:rsidRPr="00A779B8">
        <w:rPr>
          <w:lang w:val="fr-FR"/>
        </w:rPr>
        <w:t>échantillon doivent être corrigées en fonction de la teneur en polluants de l</w:t>
      </w:r>
      <w:r w:rsidR="00DB4C2D">
        <w:rPr>
          <w:lang w:val="fr-FR"/>
        </w:rPr>
        <w:t>’</w:t>
      </w:r>
      <w:r w:rsidRPr="00A779B8">
        <w:rPr>
          <w:lang w:val="fr-FR"/>
        </w:rPr>
        <w:t>air ambiant.</w:t>
      </w:r>
    </w:p>
    <w:p w:rsidR="00C060A6" w:rsidRPr="00A779B8" w:rsidRDefault="00C060A6" w:rsidP="00C060A6">
      <w:pPr>
        <w:pStyle w:val="SingleTxtG"/>
        <w:keepNext/>
        <w:spacing w:after="100"/>
        <w:ind w:left="2268" w:hanging="1134"/>
        <w:jc w:val="left"/>
        <w:rPr>
          <w:lang w:val="fr-FR"/>
        </w:rPr>
      </w:pPr>
      <w:r w:rsidRPr="00A779B8">
        <w:rPr>
          <w:lang w:val="fr-FR"/>
        </w:rPr>
        <w:t>1.2</w:t>
      </w:r>
      <w:r w:rsidRPr="00A779B8">
        <w:rPr>
          <w:lang w:val="fr-FR"/>
        </w:rPr>
        <w:tab/>
        <w:t>Prescriptions concernant le système de prélèvement</w:t>
      </w:r>
    </w:p>
    <w:p w:rsidR="00C060A6" w:rsidRPr="00A779B8" w:rsidRDefault="00C060A6" w:rsidP="00C060A6">
      <w:pPr>
        <w:pStyle w:val="SingleTxtG"/>
        <w:spacing w:after="100"/>
        <w:ind w:left="2268" w:hanging="1134"/>
        <w:rPr>
          <w:lang w:val="fr-FR"/>
        </w:rPr>
      </w:pPr>
      <w:r w:rsidRPr="00A779B8">
        <w:rPr>
          <w:lang w:val="fr-FR"/>
        </w:rPr>
        <w:t>1.2.1</w:t>
      </w:r>
      <w:r w:rsidRPr="00A779B8">
        <w:rPr>
          <w:lang w:val="fr-FR"/>
        </w:rPr>
        <w:tab/>
        <w:t>L</w:t>
      </w:r>
      <w:r w:rsidR="00DB4C2D">
        <w:rPr>
          <w:lang w:val="fr-FR"/>
        </w:rPr>
        <w:t>’</w:t>
      </w:r>
      <w:r w:rsidRPr="00A779B8">
        <w:rPr>
          <w:lang w:val="fr-FR"/>
        </w:rPr>
        <w:t>échantillon de gaz d</w:t>
      </w:r>
      <w:r w:rsidR="00DB4C2D">
        <w:rPr>
          <w:lang w:val="fr-FR"/>
        </w:rPr>
        <w:t>’</w:t>
      </w:r>
      <w:r w:rsidRPr="00A779B8">
        <w:rPr>
          <w:lang w:val="fr-FR"/>
        </w:rPr>
        <w:t>échappement dilués est prélevé en amont du dispositif d</w:t>
      </w:r>
      <w:r w:rsidR="00DB4C2D">
        <w:rPr>
          <w:lang w:val="fr-FR"/>
        </w:rPr>
        <w:t>’</w:t>
      </w:r>
      <w:r w:rsidRPr="00A779B8">
        <w:rPr>
          <w:lang w:val="fr-FR"/>
        </w:rPr>
        <w:t>aspiration mais en aval des appareils de conditionnement (s</w:t>
      </w:r>
      <w:r w:rsidR="00DB4C2D">
        <w:rPr>
          <w:lang w:val="fr-FR"/>
        </w:rPr>
        <w:t>’</w:t>
      </w:r>
      <w:r w:rsidRPr="00A779B8">
        <w:rPr>
          <w:lang w:val="fr-FR"/>
        </w:rPr>
        <w:t>ils existent).</w:t>
      </w:r>
    </w:p>
    <w:p w:rsidR="00C060A6" w:rsidRPr="00A779B8" w:rsidRDefault="00C060A6" w:rsidP="00C060A6">
      <w:pPr>
        <w:pStyle w:val="SingleTxtG"/>
        <w:spacing w:after="100"/>
        <w:ind w:left="2268" w:hanging="1134"/>
        <w:rPr>
          <w:lang w:val="fr-FR"/>
        </w:rPr>
      </w:pPr>
      <w:r w:rsidRPr="00A779B8">
        <w:rPr>
          <w:lang w:val="fr-FR"/>
        </w:rPr>
        <w:t>1.2.2</w:t>
      </w:r>
      <w:r w:rsidRPr="00A779B8">
        <w:rPr>
          <w:lang w:val="fr-FR"/>
        </w:rPr>
        <w:tab/>
        <w:t>Le débit ne doit pas s</w:t>
      </w:r>
      <w:r w:rsidR="00DB4C2D">
        <w:rPr>
          <w:lang w:val="fr-FR"/>
        </w:rPr>
        <w:t>’</w:t>
      </w:r>
      <w:r w:rsidRPr="00A779B8">
        <w:rPr>
          <w:lang w:val="fr-FR"/>
        </w:rPr>
        <w:t xml:space="preserve">écarter de plus de </w:t>
      </w:r>
      <w:r w:rsidRPr="00A779B8">
        <w:rPr>
          <w:lang w:val="fr-FR"/>
        </w:rPr>
        <w:sym w:font="Symbol" w:char="F0B1"/>
      </w:r>
      <w:r w:rsidRPr="00A779B8">
        <w:rPr>
          <w:lang w:val="fr-FR"/>
        </w:rPr>
        <w:t>2 % de la moyenne.</w:t>
      </w:r>
    </w:p>
    <w:p w:rsidR="00C060A6" w:rsidRPr="00A779B8" w:rsidRDefault="00C060A6" w:rsidP="00C060A6">
      <w:pPr>
        <w:pStyle w:val="SingleTxtG"/>
        <w:spacing w:after="100"/>
        <w:ind w:left="2268" w:hanging="1134"/>
        <w:rPr>
          <w:lang w:val="fr-FR"/>
        </w:rPr>
      </w:pPr>
      <w:r w:rsidRPr="00A779B8">
        <w:rPr>
          <w:lang w:val="fr-FR"/>
        </w:rPr>
        <w:t>1.2.3</w:t>
      </w:r>
      <w:r w:rsidRPr="00A779B8">
        <w:rPr>
          <w:lang w:val="fr-FR"/>
        </w:rPr>
        <w:tab/>
        <w:t>Le débit du prélèvement doit être au minimum de 5 l/min et ne doit pas dépasser 0,2 % du débit des gaz d</w:t>
      </w:r>
      <w:r w:rsidR="00DB4C2D">
        <w:rPr>
          <w:lang w:val="fr-FR"/>
        </w:rPr>
        <w:t>’</w:t>
      </w:r>
      <w:r w:rsidRPr="00A779B8">
        <w:rPr>
          <w:lang w:val="fr-FR"/>
        </w:rPr>
        <w:t>échappement dilués. On doit appliquer une limite équivalente aux systèmes de prélèvement à débit-masse constant.</w:t>
      </w:r>
    </w:p>
    <w:p w:rsidR="00C060A6" w:rsidRPr="00A779B8" w:rsidRDefault="00C060A6" w:rsidP="00C060A6">
      <w:pPr>
        <w:pStyle w:val="SingleTxtG"/>
        <w:spacing w:after="100"/>
        <w:ind w:left="2268" w:hanging="1134"/>
        <w:rPr>
          <w:lang w:val="fr-FR"/>
        </w:rPr>
      </w:pPr>
      <w:r w:rsidRPr="00A779B8">
        <w:rPr>
          <w:lang w:val="fr-FR"/>
        </w:rPr>
        <w:t>1.2.4</w:t>
      </w:r>
      <w:r w:rsidRPr="00A779B8">
        <w:rPr>
          <w:lang w:val="fr-FR"/>
        </w:rPr>
        <w:tab/>
        <w:t>On doit effectuer un prélèvement d</w:t>
      </w:r>
      <w:r w:rsidR="00DB4C2D">
        <w:rPr>
          <w:lang w:val="fr-FR"/>
        </w:rPr>
        <w:t>’</w:t>
      </w:r>
      <w:r w:rsidRPr="00A779B8">
        <w:rPr>
          <w:lang w:val="fr-FR"/>
        </w:rPr>
        <w:t>air de dilution à un débit constant, à proximité de l</w:t>
      </w:r>
      <w:r w:rsidR="00DB4C2D">
        <w:rPr>
          <w:lang w:val="fr-FR"/>
        </w:rPr>
        <w:t>’</w:t>
      </w:r>
      <w:r w:rsidRPr="00A779B8">
        <w:rPr>
          <w:lang w:val="fr-FR"/>
        </w:rPr>
        <w:t>orifice d</w:t>
      </w:r>
      <w:r w:rsidR="00DB4C2D">
        <w:rPr>
          <w:lang w:val="fr-FR"/>
        </w:rPr>
        <w:t>’</w:t>
      </w:r>
      <w:r w:rsidRPr="00A779B8">
        <w:rPr>
          <w:lang w:val="fr-FR"/>
        </w:rPr>
        <w:t>entrée de l</w:t>
      </w:r>
      <w:r w:rsidR="00DB4C2D">
        <w:rPr>
          <w:lang w:val="fr-FR"/>
        </w:rPr>
        <w:t>’</w:t>
      </w:r>
      <w:r w:rsidRPr="00A779B8">
        <w:rPr>
          <w:lang w:val="fr-FR"/>
        </w:rPr>
        <w:t>air ambiant (en aval du filtre, si le dispositif en possède un).</w:t>
      </w:r>
    </w:p>
    <w:p w:rsidR="00C060A6" w:rsidRPr="00A779B8" w:rsidRDefault="00C060A6" w:rsidP="00C060A6">
      <w:pPr>
        <w:pStyle w:val="SingleTxtG"/>
        <w:spacing w:after="100"/>
        <w:ind w:left="2268" w:hanging="1134"/>
        <w:rPr>
          <w:lang w:val="fr-FR"/>
        </w:rPr>
      </w:pPr>
      <w:r w:rsidRPr="00A779B8">
        <w:rPr>
          <w:lang w:val="fr-FR"/>
        </w:rPr>
        <w:t>1.2.5</w:t>
      </w:r>
      <w:r w:rsidRPr="00A779B8">
        <w:rPr>
          <w:lang w:val="fr-FR"/>
        </w:rPr>
        <w:tab/>
        <w:t>L</w:t>
      </w:r>
      <w:r w:rsidR="00DB4C2D">
        <w:rPr>
          <w:lang w:val="fr-FR"/>
        </w:rPr>
        <w:t>’</w:t>
      </w:r>
      <w:r w:rsidRPr="00A779B8">
        <w:rPr>
          <w:lang w:val="fr-FR"/>
        </w:rPr>
        <w:t>échantillon de l</w:t>
      </w:r>
      <w:r w:rsidR="00DB4C2D">
        <w:rPr>
          <w:lang w:val="fr-FR"/>
        </w:rPr>
        <w:t>’</w:t>
      </w:r>
      <w:r w:rsidRPr="00A779B8">
        <w:rPr>
          <w:lang w:val="fr-FR"/>
        </w:rPr>
        <w:t>air de dilution ne doit pas être contaminé par les gaz d</w:t>
      </w:r>
      <w:r w:rsidR="00DB4C2D">
        <w:rPr>
          <w:lang w:val="fr-FR"/>
        </w:rPr>
        <w:t>’</w:t>
      </w:r>
      <w:r w:rsidRPr="00A779B8">
        <w:rPr>
          <w:lang w:val="fr-FR"/>
        </w:rPr>
        <w:t xml:space="preserve">échappement provenant de la zone de mélange. </w:t>
      </w:r>
    </w:p>
    <w:p w:rsidR="00C060A6" w:rsidRPr="00A779B8" w:rsidRDefault="00C060A6" w:rsidP="00C060A6">
      <w:pPr>
        <w:pStyle w:val="SingleTxtG"/>
        <w:spacing w:after="100"/>
        <w:ind w:left="2268" w:hanging="1134"/>
        <w:rPr>
          <w:lang w:val="fr-FR"/>
        </w:rPr>
      </w:pPr>
      <w:r w:rsidRPr="00A779B8">
        <w:rPr>
          <w:lang w:val="fr-FR"/>
        </w:rPr>
        <w:t>1.2.6</w:t>
      </w:r>
      <w:r w:rsidRPr="00A779B8">
        <w:rPr>
          <w:lang w:val="fr-FR"/>
        </w:rPr>
        <w:tab/>
        <w:t>Le débit du prélèvement de l</w:t>
      </w:r>
      <w:r w:rsidR="00DB4C2D">
        <w:rPr>
          <w:lang w:val="fr-FR"/>
        </w:rPr>
        <w:t>’</w:t>
      </w:r>
      <w:r w:rsidRPr="00A779B8">
        <w:rPr>
          <w:lang w:val="fr-FR"/>
        </w:rPr>
        <w:t>air de dilution doit être comparable à celui des gaz d</w:t>
      </w:r>
      <w:r w:rsidR="00DB4C2D">
        <w:rPr>
          <w:lang w:val="fr-FR"/>
        </w:rPr>
        <w:t>’</w:t>
      </w:r>
      <w:r w:rsidRPr="00A779B8">
        <w:rPr>
          <w:lang w:val="fr-FR"/>
        </w:rPr>
        <w:t>échappement dilués.</w:t>
      </w:r>
    </w:p>
    <w:p w:rsidR="00C060A6" w:rsidRPr="00A779B8" w:rsidRDefault="00C060A6" w:rsidP="00C060A6">
      <w:pPr>
        <w:pStyle w:val="SingleTxtG"/>
        <w:spacing w:after="100"/>
        <w:ind w:left="2268" w:hanging="1134"/>
        <w:rPr>
          <w:lang w:val="fr-FR"/>
        </w:rPr>
      </w:pPr>
      <w:r w:rsidRPr="00A779B8">
        <w:rPr>
          <w:lang w:val="fr-FR"/>
        </w:rPr>
        <w:t>1.2.7</w:t>
      </w:r>
      <w:r w:rsidRPr="00A779B8">
        <w:rPr>
          <w:lang w:val="fr-FR"/>
        </w:rPr>
        <w:tab/>
        <w:t>Les matériaux utilisés pour les opérations de prélèvement doivent être tels qu</w:t>
      </w:r>
      <w:r w:rsidR="00DB4C2D">
        <w:rPr>
          <w:lang w:val="fr-FR"/>
        </w:rPr>
        <w:t>’</w:t>
      </w:r>
      <w:r w:rsidRPr="00A779B8">
        <w:rPr>
          <w:lang w:val="fr-FR"/>
        </w:rPr>
        <w:t>ils ne modifient pas la concentration des polluants.</w:t>
      </w:r>
    </w:p>
    <w:p w:rsidR="00C060A6" w:rsidRPr="00A779B8" w:rsidRDefault="00C060A6" w:rsidP="00C060A6">
      <w:pPr>
        <w:pStyle w:val="SingleTxtG"/>
        <w:spacing w:after="100"/>
        <w:ind w:left="2268" w:hanging="1134"/>
        <w:rPr>
          <w:lang w:val="fr-FR"/>
        </w:rPr>
      </w:pPr>
      <w:r w:rsidRPr="00A779B8">
        <w:rPr>
          <w:lang w:val="fr-FR"/>
        </w:rPr>
        <w:t>1.2.8</w:t>
      </w:r>
      <w:r w:rsidRPr="00A779B8">
        <w:rPr>
          <w:lang w:val="fr-FR"/>
        </w:rPr>
        <w:tab/>
        <w:t>On peut utiliser des filtres pour extraire les particules solides de l</w:t>
      </w:r>
      <w:r w:rsidR="00DB4C2D">
        <w:rPr>
          <w:lang w:val="fr-FR"/>
        </w:rPr>
        <w:t>’</w:t>
      </w:r>
      <w:r w:rsidRPr="00A779B8">
        <w:rPr>
          <w:lang w:val="fr-FR"/>
        </w:rPr>
        <w:t>échantillon.</w:t>
      </w:r>
    </w:p>
    <w:p w:rsidR="00C060A6" w:rsidRPr="00A779B8" w:rsidRDefault="00C060A6" w:rsidP="00C060A6">
      <w:pPr>
        <w:pStyle w:val="SingleTxtG"/>
        <w:spacing w:after="100"/>
        <w:ind w:left="2268" w:hanging="1134"/>
        <w:rPr>
          <w:lang w:val="fr-FR"/>
        </w:rPr>
      </w:pPr>
      <w:r w:rsidRPr="00A779B8">
        <w:rPr>
          <w:lang w:val="fr-FR"/>
        </w:rPr>
        <w:t>1.2.9</w:t>
      </w:r>
      <w:r w:rsidRPr="00A779B8">
        <w:rPr>
          <w:lang w:val="fr-FR"/>
        </w:rPr>
        <w:tab/>
        <w:t>Les différentes vannes employées pour diriger les gaz de prélèvement doivent être à réglage et à action rapides.</w:t>
      </w:r>
    </w:p>
    <w:p w:rsidR="00C060A6" w:rsidRPr="00A779B8" w:rsidRDefault="00C060A6" w:rsidP="00C060A6">
      <w:pPr>
        <w:pStyle w:val="SingleTxtG"/>
        <w:spacing w:after="100"/>
        <w:ind w:left="2268" w:hanging="1134"/>
        <w:rPr>
          <w:lang w:val="fr-FR"/>
        </w:rPr>
      </w:pPr>
      <w:r w:rsidRPr="00A779B8">
        <w:rPr>
          <w:lang w:val="fr-FR"/>
        </w:rPr>
        <w:t>1.2.10</w:t>
      </w:r>
      <w:r w:rsidRPr="00A779B8">
        <w:rPr>
          <w:lang w:val="fr-FR"/>
        </w:rPr>
        <w:tab/>
        <w:t>Des raccords étanches au gaz à verrouillage rapide peuvent être employés entre les vannes à trois voies et les sacs de prélèvement, les raccords s</w:t>
      </w:r>
      <w:r w:rsidR="00DB4C2D">
        <w:rPr>
          <w:lang w:val="fr-FR"/>
        </w:rPr>
        <w:t>’</w:t>
      </w:r>
      <w:r w:rsidRPr="00A779B8">
        <w:rPr>
          <w:lang w:val="fr-FR"/>
        </w:rPr>
        <w:t>obturant automatiquement du côté du sac. D</w:t>
      </w:r>
      <w:r w:rsidR="00DB4C2D">
        <w:rPr>
          <w:lang w:val="fr-FR"/>
        </w:rPr>
        <w:t>’</w:t>
      </w:r>
      <w:r w:rsidRPr="00A779B8">
        <w:rPr>
          <w:lang w:val="fr-FR"/>
        </w:rPr>
        <w:t>autres systèmes peuvent être utilisés pour acheminer les échantillons jusqu</w:t>
      </w:r>
      <w:r w:rsidR="00DB4C2D">
        <w:rPr>
          <w:lang w:val="fr-FR"/>
        </w:rPr>
        <w:t>’</w:t>
      </w:r>
      <w:r w:rsidRPr="00A779B8">
        <w:rPr>
          <w:lang w:val="fr-FR"/>
        </w:rPr>
        <w:t>à l</w:t>
      </w:r>
      <w:r w:rsidR="00DB4C2D">
        <w:rPr>
          <w:lang w:val="fr-FR"/>
        </w:rPr>
        <w:t>’</w:t>
      </w:r>
      <w:r w:rsidRPr="00A779B8">
        <w:rPr>
          <w:lang w:val="fr-FR"/>
        </w:rPr>
        <w:t>analyseur (robinets d</w:t>
      </w:r>
      <w:r w:rsidR="00DB4C2D">
        <w:rPr>
          <w:lang w:val="fr-FR"/>
        </w:rPr>
        <w:t>’</w:t>
      </w:r>
      <w:r w:rsidRPr="00A779B8">
        <w:rPr>
          <w:lang w:val="fr-FR"/>
        </w:rPr>
        <w:t>arrêt à trois voies par exemple).</w:t>
      </w:r>
    </w:p>
    <w:p w:rsidR="00C060A6" w:rsidRPr="00A779B8" w:rsidRDefault="00C060A6" w:rsidP="00C060A6">
      <w:pPr>
        <w:pStyle w:val="SingleTxtG"/>
        <w:keepNext/>
        <w:spacing w:after="100"/>
        <w:ind w:left="2268" w:hanging="1134"/>
        <w:rPr>
          <w:lang w:val="fr-FR"/>
        </w:rPr>
      </w:pPr>
      <w:r w:rsidRPr="00A779B8">
        <w:rPr>
          <w:lang w:val="fr-FR"/>
        </w:rPr>
        <w:t>1.2.11</w:t>
      </w:r>
      <w:r w:rsidRPr="00A779B8">
        <w:rPr>
          <w:lang w:val="fr-FR"/>
        </w:rPr>
        <w:tab/>
        <w:t>Stockage de l</w:t>
      </w:r>
      <w:r w:rsidR="00DB4C2D">
        <w:rPr>
          <w:lang w:val="fr-FR"/>
        </w:rPr>
        <w:t>’</w:t>
      </w:r>
      <w:r w:rsidRPr="00A779B8">
        <w:rPr>
          <w:lang w:val="fr-FR"/>
        </w:rPr>
        <w:t>échantillon</w:t>
      </w:r>
    </w:p>
    <w:p w:rsidR="00C060A6" w:rsidRPr="00A779B8" w:rsidRDefault="00C060A6" w:rsidP="00C060A6">
      <w:pPr>
        <w:pStyle w:val="SingleTxtG"/>
        <w:spacing w:after="100"/>
        <w:ind w:left="2268"/>
        <w:rPr>
          <w:lang w:val="fr-FR"/>
        </w:rPr>
      </w:pPr>
      <w:r w:rsidRPr="00A779B8">
        <w:rPr>
          <w:lang w:val="fr-FR"/>
        </w:rPr>
        <w:t>Les échantillons de gaz doivent être recueillis dans des sacs de prélèvement ayant une capacité suffisante pour ne pas réduire le débit de prélèvement et faits d</w:t>
      </w:r>
      <w:r w:rsidR="00DB4C2D">
        <w:rPr>
          <w:lang w:val="fr-FR"/>
        </w:rPr>
        <w:t>’</w:t>
      </w:r>
      <w:r w:rsidRPr="00A779B8">
        <w:rPr>
          <w:lang w:val="fr-FR"/>
        </w:rPr>
        <w:t xml:space="preserve">un matériau qui ne modifie pas </w:t>
      </w:r>
      <w:r w:rsidRPr="00A779B8">
        <w:rPr>
          <w:rFonts w:eastAsia="Arial Unicode MS"/>
          <w:lang w:val="fr-FR"/>
        </w:rPr>
        <w:t xml:space="preserve">de plus de </w:t>
      </w:r>
      <w:r w:rsidRPr="00A779B8">
        <w:rPr>
          <w:lang w:val="fr-FR"/>
        </w:rPr>
        <w:sym w:font="Symbol" w:char="F0B1"/>
      </w:r>
      <w:r w:rsidRPr="00A779B8">
        <w:rPr>
          <w:rFonts w:eastAsia="Arial Unicode MS"/>
          <w:lang w:val="fr-FR"/>
        </w:rPr>
        <w:t>2 % après 20 min</w:t>
      </w:r>
      <w:r w:rsidRPr="00A779B8">
        <w:rPr>
          <w:lang w:val="fr-FR"/>
        </w:rPr>
        <w:t xml:space="preserve"> les mesures elles-mêmes ou la composition chimique des échantillons de gaz (films composites de polyéthylène polyamide, ou de </w:t>
      </w:r>
      <w:proofErr w:type="spellStart"/>
      <w:r w:rsidRPr="00A779B8">
        <w:rPr>
          <w:lang w:val="fr-FR"/>
        </w:rPr>
        <w:t>polyhydrocarbures</w:t>
      </w:r>
      <w:proofErr w:type="spellEnd"/>
      <w:r w:rsidRPr="00A779B8">
        <w:rPr>
          <w:lang w:val="fr-FR"/>
        </w:rPr>
        <w:t xml:space="preserve"> fluorés par exemple).</w:t>
      </w:r>
    </w:p>
    <w:p w:rsidR="00C060A6" w:rsidRPr="00A779B8" w:rsidRDefault="00C060A6" w:rsidP="00C060A6">
      <w:pPr>
        <w:pStyle w:val="SingleTxtG"/>
        <w:keepNext/>
        <w:keepLines/>
        <w:ind w:left="2268" w:hanging="1134"/>
        <w:jc w:val="left"/>
        <w:rPr>
          <w:lang w:val="fr-FR"/>
        </w:rPr>
      </w:pPr>
      <w:r w:rsidRPr="00A779B8">
        <w:rPr>
          <w:lang w:val="fr-FR"/>
        </w:rPr>
        <w:lastRenderedPageBreak/>
        <w:t>1.2.12</w:t>
      </w:r>
      <w:r w:rsidRPr="00A779B8">
        <w:rPr>
          <w:lang w:val="fr-FR"/>
        </w:rPr>
        <w:tab/>
        <w:t>Système de prélèvement d</w:t>
      </w:r>
      <w:r w:rsidR="00DB4C2D">
        <w:rPr>
          <w:lang w:val="fr-FR"/>
        </w:rPr>
        <w:t>’</w:t>
      </w:r>
      <w:r w:rsidRPr="00A779B8">
        <w:rPr>
          <w:lang w:val="fr-FR"/>
        </w:rPr>
        <w:t>hydrocarbures − Moteurs diesel</w:t>
      </w:r>
    </w:p>
    <w:p w:rsidR="00C060A6" w:rsidRPr="00A779B8" w:rsidRDefault="00C060A6" w:rsidP="00C060A6">
      <w:pPr>
        <w:pStyle w:val="SingleTxtG"/>
        <w:ind w:left="2268" w:hanging="1134"/>
        <w:rPr>
          <w:lang w:val="fr-FR"/>
        </w:rPr>
      </w:pPr>
      <w:r w:rsidRPr="00A779B8">
        <w:rPr>
          <w:lang w:val="fr-FR"/>
        </w:rPr>
        <w:t>1.2.12.1</w:t>
      </w:r>
      <w:r w:rsidRPr="00A779B8">
        <w:rPr>
          <w:lang w:val="fr-FR"/>
        </w:rPr>
        <w:tab/>
        <w:t>Le système de prélèvement d</w:t>
      </w:r>
      <w:r w:rsidR="00DB4C2D">
        <w:rPr>
          <w:lang w:val="fr-FR"/>
        </w:rPr>
        <w:t>’</w:t>
      </w:r>
      <w:r w:rsidRPr="00A779B8">
        <w:rPr>
          <w:lang w:val="fr-FR"/>
        </w:rPr>
        <w:t>hydrocarbures se compose d</w:t>
      </w:r>
      <w:r w:rsidR="00DB4C2D">
        <w:rPr>
          <w:lang w:val="fr-FR"/>
        </w:rPr>
        <w:t>’</w:t>
      </w:r>
      <w:r w:rsidRPr="00A779B8">
        <w:rPr>
          <w:lang w:val="fr-FR"/>
        </w:rPr>
        <w:t>une sonde, d</w:t>
      </w:r>
      <w:r w:rsidR="00DB4C2D">
        <w:rPr>
          <w:lang w:val="fr-FR"/>
        </w:rPr>
        <w:t>’</w:t>
      </w:r>
      <w:r w:rsidRPr="00A779B8">
        <w:rPr>
          <w:lang w:val="fr-FR"/>
        </w:rPr>
        <w:t>une conduite, d</w:t>
      </w:r>
      <w:r w:rsidR="00DB4C2D">
        <w:rPr>
          <w:lang w:val="fr-FR"/>
        </w:rPr>
        <w:t>’</w:t>
      </w:r>
      <w:r w:rsidRPr="00A779B8">
        <w:rPr>
          <w:lang w:val="fr-FR"/>
        </w:rPr>
        <w:t>un filtre et d</w:t>
      </w:r>
      <w:r w:rsidR="00DB4C2D">
        <w:rPr>
          <w:lang w:val="fr-FR"/>
        </w:rPr>
        <w:t>’</w:t>
      </w:r>
      <w:r w:rsidRPr="00A779B8">
        <w:rPr>
          <w:lang w:val="fr-FR"/>
        </w:rPr>
        <w:t>une pompe de prélèvement chauffés. La sonde de prélèvement doit être mise en place à la même distance de l</w:t>
      </w:r>
      <w:r w:rsidR="00DB4C2D">
        <w:rPr>
          <w:lang w:val="fr-FR"/>
        </w:rPr>
        <w:t>’</w:t>
      </w:r>
      <w:r w:rsidRPr="00A779B8">
        <w:rPr>
          <w:lang w:val="fr-FR"/>
        </w:rPr>
        <w:t>orifice d</w:t>
      </w:r>
      <w:r w:rsidR="00DB4C2D">
        <w:rPr>
          <w:lang w:val="fr-FR"/>
        </w:rPr>
        <w:t>’</w:t>
      </w:r>
      <w:r w:rsidRPr="00A779B8">
        <w:rPr>
          <w:lang w:val="fr-FR"/>
        </w:rPr>
        <w:t>entrée des gaz d</w:t>
      </w:r>
      <w:r w:rsidR="00DB4C2D">
        <w:rPr>
          <w:lang w:val="fr-FR"/>
        </w:rPr>
        <w:t>’</w:t>
      </w:r>
      <w:r w:rsidRPr="00A779B8">
        <w:rPr>
          <w:lang w:val="fr-FR"/>
        </w:rPr>
        <w:t>échappement que la sonde de prélèvement des particules, de façon à éviter une interaction entre prélèvements. Elle doit avoir un diamètre intérieur d</w:t>
      </w:r>
      <w:r w:rsidR="00DB4C2D">
        <w:rPr>
          <w:lang w:val="fr-FR"/>
        </w:rPr>
        <w:t>’</w:t>
      </w:r>
      <w:r w:rsidRPr="00A779B8">
        <w:rPr>
          <w:lang w:val="fr-FR"/>
        </w:rPr>
        <w:t>au moins 4 </w:t>
      </w:r>
      <w:proofErr w:type="spellStart"/>
      <w:r w:rsidRPr="00A779B8">
        <w:rPr>
          <w:lang w:val="fr-FR"/>
        </w:rPr>
        <w:t>mm.</w:t>
      </w:r>
      <w:proofErr w:type="spellEnd"/>
    </w:p>
    <w:p w:rsidR="00C060A6" w:rsidRPr="00A779B8" w:rsidRDefault="00C060A6" w:rsidP="00C060A6">
      <w:pPr>
        <w:pStyle w:val="SingleTxtG"/>
        <w:ind w:left="2268" w:hanging="1134"/>
        <w:rPr>
          <w:lang w:val="fr-FR"/>
        </w:rPr>
      </w:pPr>
      <w:r w:rsidRPr="00A779B8">
        <w:rPr>
          <w:lang w:val="fr-FR"/>
        </w:rPr>
        <w:t>1.2.12.2</w:t>
      </w:r>
      <w:r w:rsidRPr="00A779B8">
        <w:rPr>
          <w:lang w:val="fr-FR"/>
        </w:rPr>
        <w:tab/>
        <w:t xml:space="preserve">Tous les éléments chauffés doivent être maintenus par le système de chauffage à une température de 463 K (190 °C) </w:t>
      </w:r>
      <w:r w:rsidRPr="00A779B8">
        <w:rPr>
          <w:lang w:val="fr-FR"/>
        </w:rPr>
        <w:sym w:font="Symbol" w:char="F0B1"/>
      </w:r>
      <w:r w:rsidRPr="00A779B8">
        <w:rPr>
          <w:lang w:val="fr-FR"/>
        </w:rPr>
        <w:t>10 K.</w:t>
      </w:r>
    </w:p>
    <w:p w:rsidR="00C060A6" w:rsidRPr="00A779B8" w:rsidRDefault="00C060A6" w:rsidP="00C060A6">
      <w:pPr>
        <w:pStyle w:val="SingleTxtG"/>
        <w:ind w:left="2268" w:hanging="1134"/>
        <w:rPr>
          <w:lang w:val="fr-FR"/>
        </w:rPr>
      </w:pPr>
      <w:r w:rsidRPr="00A779B8">
        <w:rPr>
          <w:lang w:val="fr-FR"/>
        </w:rPr>
        <w:t>1.2.12.3</w:t>
      </w:r>
      <w:r w:rsidRPr="00A779B8">
        <w:rPr>
          <w:lang w:val="fr-FR"/>
        </w:rPr>
        <w:tab/>
        <w:t>La concentration moyenne des hydrocarbures mesurés doit être déterminée par intégration.</w:t>
      </w:r>
    </w:p>
    <w:p w:rsidR="00C060A6" w:rsidRPr="00A779B8" w:rsidRDefault="00C060A6" w:rsidP="00C060A6">
      <w:pPr>
        <w:pStyle w:val="SingleTxtG"/>
        <w:ind w:left="2268" w:hanging="1134"/>
        <w:rPr>
          <w:lang w:val="fr-FR"/>
        </w:rPr>
      </w:pPr>
      <w:r w:rsidRPr="00A779B8">
        <w:rPr>
          <w:lang w:val="fr-FR"/>
        </w:rPr>
        <w:t>1.2.12.4</w:t>
      </w:r>
      <w:r w:rsidRPr="00A779B8">
        <w:rPr>
          <w:lang w:val="fr-FR"/>
        </w:rPr>
        <w:tab/>
        <w:t>La conduite doit être munie d</w:t>
      </w:r>
      <w:r w:rsidR="00DB4C2D">
        <w:rPr>
          <w:lang w:val="fr-FR"/>
        </w:rPr>
        <w:t>’</w:t>
      </w:r>
      <w:r w:rsidRPr="00A779B8">
        <w:rPr>
          <w:lang w:val="fr-FR"/>
        </w:rPr>
        <w:t>un filtre chauffé (F</w:t>
      </w:r>
      <w:r w:rsidRPr="00A779B8">
        <w:rPr>
          <w:vertAlign w:val="subscript"/>
          <w:lang w:val="fr-FR"/>
        </w:rPr>
        <w:t>H</w:t>
      </w:r>
      <w:r w:rsidRPr="00A779B8">
        <w:rPr>
          <w:lang w:val="fr-FR"/>
        </w:rPr>
        <w:t>) d</w:t>
      </w:r>
      <w:r w:rsidR="00DB4C2D">
        <w:rPr>
          <w:lang w:val="fr-FR"/>
        </w:rPr>
        <w:t>’</w:t>
      </w:r>
      <w:r w:rsidRPr="00A779B8">
        <w:rPr>
          <w:lang w:val="fr-FR"/>
        </w:rPr>
        <w:t>une efficacité de 99 % pour les particules ≥0,3 </w:t>
      </w:r>
      <w:proofErr w:type="spellStart"/>
      <w:r w:rsidRPr="00A779B8">
        <w:rPr>
          <w:lang w:val="fr-FR"/>
        </w:rPr>
        <w:t>μm</w:t>
      </w:r>
      <w:proofErr w:type="spellEnd"/>
      <w:r w:rsidRPr="00A779B8">
        <w:rPr>
          <w:lang w:val="fr-FR"/>
        </w:rPr>
        <w:t>, servant à extraire les particules solides du flux continu de gaz utilisé pour l</w:t>
      </w:r>
      <w:r w:rsidR="00DB4C2D">
        <w:rPr>
          <w:lang w:val="fr-FR"/>
        </w:rPr>
        <w:t>’</w:t>
      </w:r>
      <w:r w:rsidRPr="00A779B8">
        <w:rPr>
          <w:lang w:val="fr-FR"/>
        </w:rPr>
        <w:t>analyse.</w:t>
      </w:r>
    </w:p>
    <w:p w:rsidR="00C060A6" w:rsidRPr="00A779B8" w:rsidRDefault="00C060A6" w:rsidP="00C060A6">
      <w:pPr>
        <w:pStyle w:val="SingleTxtG"/>
        <w:ind w:left="2268" w:hanging="1134"/>
        <w:rPr>
          <w:lang w:val="fr-FR"/>
        </w:rPr>
      </w:pPr>
      <w:r w:rsidRPr="00A779B8">
        <w:rPr>
          <w:lang w:val="fr-FR"/>
        </w:rPr>
        <w:t>1.2.12.5</w:t>
      </w:r>
      <w:r w:rsidRPr="00A779B8">
        <w:rPr>
          <w:lang w:val="fr-FR"/>
        </w:rPr>
        <w:tab/>
        <w:t>Le temps de réponse du système de prélèvement (de la sonde à l</w:t>
      </w:r>
      <w:r w:rsidR="00DB4C2D">
        <w:rPr>
          <w:lang w:val="fr-FR"/>
        </w:rPr>
        <w:t>’</w:t>
      </w:r>
      <w:r w:rsidRPr="00A779B8">
        <w:rPr>
          <w:lang w:val="fr-FR"/>
        </w:rPr>
        <w:t>entrée de l</w:t>
      </w:r>
      <w:r w:rsidR="00DB4C2D">
        <w:rPr>
          <w:lang w:val="fr-FR"/>
        </w:rPr>
        <w:t>’</w:t>
      </w:r>
      <w:r w:rsidRPr="00A779B8">
        <w:rPr>
          <w:lang w:val="fr-FR"/>
        </w:rPr>
        <w:t>analyseur) doit être inférieur à 4 s.</w:t>
      </w:r>
    </w:p>
    <w:p w:rsidR="00C060A6" w:rsidRPr="00A779B8" w:rsidRDefault="00C060A6" w:rsidP="00C060A6">
      <w:pPr>
        <w:pStyle w:val="SingleTxtG"/>
        <w:ind w:left="2268" w:hanging="1134"/>
        <w:rPr>
          <w:lang w:val="fr-FR"/>
        </w:rPr>
      </w:pPr>
      <w:r w:rsidRPr="00A779B8">
        <w:rPr>
          <w:lang w:val="fr-FR"/>
        </w:rPr>
        <w:t>1.2.12.6</w:t>
      </w:r>
      <w:r w:rsidRPr="00A779B8">
        <w:rPr>
          <w:lang w:val="fr-FR"/>
        </w:rPr>
        <w:tab/>
        <w:t>Le détecteur à ionisation de flamme chauffé (HFID) doit être utilisé avec système à débit constant (échangeur de chaleur) pour assurer un prélèvement représentatif, à moins qu</w:t>
      </w:r>
      <w:r w:rsidR="00DB4C2D">
        <w:rPr>
          <w:lang w:val="fr-FR"/>
        </w:rPr>
        <w:t>’</w:t>
      </w:r>
      <w:r w:rsidRPr="00A779B8">
        <w:rPr>
          <w:lang w:val="fr-FR"/>
        </w:rPr>
        <w:t>une compensation ne soit effectuée pour la variation du débit des systèmes CFV ou CFO.</w:t>
      </w:r>
    </w:p>
    <w:p w:rsidR="00C060A6" w:rsidRPr="00A779B8" w:rsidRDefault="00C060A6" w:rsidP="00C060A6">
      <w:pPr>
        <w:pStyle w:val="SingleTxtG"/>
        <w:keepNext/>
        <w:ind w:left="2268" w:hanging="1134"/>
        <w:jc w:val="left"/>
        <w:rPr>
          <w:lang w:val="fr-FR"/>
        </w:rPr>
      </w:pPr>
      <w:r w:rsidRPr="00A779B8">
        <w:rPr>
          <w:lang w:val="fr-FR"/>
        </w:rPr>
        <w:t>1.3</w:t>
      </w:r>
      <w:r w:rsidRPr="00A779B8">
        <w:rPr>
          <w:lang w:val="fr-FR"/>
        </w:rPr>
        <w:tab/>
        <w:t>Prescriptions concernant l</w:t>
      </w:r>
      <w:r w:rsidR="00DB4C2D">
        <w:rPr>
          <w:lang w:val="fr-FR"/>
        </w:rPr>
        <w:t>’</w:t>
      </w:r>
      <w:r w:rsidRPr="00A779B8">
        <w:rPr>
          <w:lang w:val="fr-FR"/>
        </w:rPr>
        <w:t>analyse des gaz</w:t>
      </w:r>
    </w:p>
    <w:p w:rsidR="00C060A6" w:rsidRPr="00A779B8" w:rsidRDefault="00C060A6" w:rsidP="00C060A6">
      <w:pPr>
        <w:pStyle w:val="SingleTxtG"/>
        <w:keepNext/>
        <w:ind w:left="2268" w:hanging="1134"/>
        <w:jc w:val="left"/>
        <w:rPr>
          <w:lang w:val="fr-FR"/>
        </w:rPr>
      </w:pPr>
      <w:r w:rsidRPr="00A779B8">
        <w:rPr>
          <w:lang w:val="fr-FR"/>
        </w:rPr>
        <w:t>1.3.1</w:t>
      </w:r>
      <w:r w:rsidRPr="00A779B8">
        <w:rPr>
          <w:lang w:val="fr-FR"/>
        </w:rPr>
        <w:tab/>
        <w:t>Monoxyde de carbone (CO) et dioxyde de carbone (CO</w:t>
      </w:r>
      <w:r w:rsidRPr="00A779B8">
        <w:rPr>
          <w:vertAlign w:val="subscript"/>
          <w:lang w:val="fr-FR"/>
        </w:rPr>
        <w:t>2</w:t>
      </w:r>
      <w:r w:rsidRPr="00A779B8">
        <w:rPr>
          <w:lang w:val="fr-FR"/>
        </w:rPr>
        <w:t>):</w:t>
      </w:r>
    </w:p>
    <w:p w:rsidR="00C060A6" w:rsidRPr="00A779B8" w:rsidRDefault="00C060A6" w:rsidP="00C060A6">
      <w:pPr>
        <w:pStyle w:val="SingleTxtG"/>
        <w:ind w:left="2268"/>
        <w:rPr>
          <w:lang w:val="fr-FR"/>
        </w:rPr>
      </w:pPr>
      <w:r w:rsidRPr="00A779B8">
        <w:rPr>
          <w:lang w:val="fr-FR"/>
        </w:rPr>
        <w:t>L</w:t>
      </w:r>
      <w:r w:rsidR="00DB4C2D">
        <w:rPr>
          <w:lang w:val="fr-FR"/>
        </w:rPr>
        <w:t>’</w:t>
      </w:r>
      <w:r w:rsidRPr="00A779B8">
        <w:rPr>
          <w:lang w:val="fr-FR"/>
        </w:rPr>
        <w:t>analyseur doit être du type non dispersif à absorption dans l</w:t>
      </w:r>
      <w:r w:rsidR="00DB4C2D">
        <w:rPr>
          <w:lang w:val="fr-FR"/>
        </w:rPr>
        <w:t>’</w:t>
      </w:r>
      <w:proofErr w:type="spellStart"/>
      <w:r w:rsidRPr="00A779B8">
        <w:rPr>
          <w:lang w:val="fr-FR"/>
        </w:rPr>
        <w:t>infrarouge</w:t>
      </w:r>
      <w:proofErr w:type="spellEnd"/>
      <w:r w:rsidRPr="00A779B8">
        <w:rPr>
          <w:lang w:val="fr-FR"/>
        </w:rPr>
        <w:t xml:space="preserve"> (NDIR).</w:t>
      </w:r>
    </w:p>
    <w:p w:rsidR="00C060A6" w:rsidRPr="00A779B8" w:rsidRDefault="00C060A6" w:rsidP="00C060A6">
      <w:pPr>
        <w:pStyle w:val="SingleTxtG"/>
        <w:keepNext/>
        <w:ind w:left="2268" w:hanging="1134"/>
        <w:jc w:val="left"/>
        <w:rPr>
          <w:lang w:val="fr-FR"/>
        </w:rPr>
      </w:pPr>
      <w:r w:rsidRPr="00A779B8">
        <w:rPr>
          <w:lang w:val="fr-FR"/>
        </w:rPr>
        <w:t>1.3.2</w:t>
      </w:r>
      <w:r w:rsidRPr="00A779B8">
        <w:rPr>
          <w:lang w:val="fr-FR"/>
        </w:rPr>
        <w:tab/>
        <w:t>Hydrocarbures totaux (HCT) − moteurs à allumage commandé:</w:t>
      </w:r>
    </w:p>
    <w:p w:rsidR="00C060A6" w:rsidRPr="00A779B8" w:rsidRDefault="00C060A6" w:rsidP="00C060A6">
      <w:pPr>
        <w:pStyle w:val="SingleTxtG"/>
        <w:ind w:left="2268"/>
        <w:rPr>
          <w:lang w:val="fr-FR"/>
        </w:rPr>
      </w:pPr>
      <w:r w:rsidRPr="00A779B8">
        <w:rPr>
          <w:lang w:val="fr-FR"/>
        </w:rPr>
        <w:t>L</w:t>
      </w:r>
      <w:r w:rsidR="00DB4C2D">
        <w:rPr>
          <w:lang w:val="fr-FR"/>
        </w:rPr>
        <w:t>’</w:t>
      </w:r>
      <w:r w:rsidRPr="00A779B8">
        <w:rPr>
          <w:lang w:val="fr-FR"/>
        </w:rPr>
        <w:t>analyseur doit être du type à ionisation de flamme</w:t>
      </w:r>
      <w:r>
        <w:rPr>
          <w:lang w:val="fr-FR"/>
        </w:rPr>
        <w:t xml:space="preserve"> </w:t>
      </w:r>
      <w:r w:rsidRPr="00A779B8">
        <w:rPr>
          <w:lang w:val="fr-FR"/>
        </w:rPr>
        <w:t>étalonné au propane exprimé en équivalent d</w:t>
      </w:r>
      <w:r w:rsidR="00DB4C2D">
        <w:rPr>
          <w:lang w:val="fr-FR"/>
        </w:rPr>
        <w:t>’</w:t>
      </w:r>
      <w:r w:rsidRPr="00A779B8">
        <w:rPr>
          <w:lang w:val="fr-FR"/>
        </w:rPr>
        <w:t>atomes de carbone (C</w:t>
      </w:r>
      <w:r w:rsidRPr="00A779B8">
        <w:rPr>
          <w:vertAlign w:val="subscript"/>
          <w:lang w:val="fr-FR"/>
        </w:rPr>
        <w:t>1</w:t>
      </w:r>
      <w:r w:rsidRPr="00A779B8">
        <w:rPr>
          <w:lang w:val="fr-FR"/>
        </w:rPr>
        <w:t>).</w:t>
      </w:r>
    </w:p>
    <w:p w:rsidR="00C060A6" w:rsidRPr="00A779B8" w:rsidRDefault="00C060A6" w:rsidP="00C060A6">
      <w:pPr>
        <w:pStyle w:val="SingleTxtG"/>
        <w:keepNext/>
        <w:ind w:left="2268" w:hanging="1134"/>
        <w:jc w:val="left"/>
        <w:rPr>
          <w:lang w:val="fr-FR"/>
        </w:rPr>
      </w:pPr>
      <w:r w:rsidRPr="00A779B8">
        <w:rPr>
          <w:lang w:val="fr-FR"/>
        </w:rPr>
        <w:t>1.3.3</w:t>
      </w:r>
      <w:r w:rsidRPr="00A779B8">
        <w:rPr>
          <w:lang w:val="fr-FR"/>
        </w:rPr>
        <w:tab/>
        <w:t xml:space="preserve">Hydrocarbures totaux (HCT) − véhicules à moteurs à allumage par compression: </w:t>
      </w:r>
    </w:p>
    <w:p w:rsidR="00C060A6" w:rsidRPr="00A779B8" w:rsidRDefault="00C060A6" w:rsidP="00C060A6">
      <w:pPr>
        <w:pStyle w:val="SingleTxtG"/>
        <w:ind w:left="2268"/>
        <w:rPr>
          <w:lang w:val="fr-FR"/>
        </w:rPr>
      </w:pPr>
      <w:r w:rsidRPr="00A779B8">
        <w:rPr>
          <w:lang w:val="fr-FR"/>
        </w:rPr>
        <w:t>L</w:t>
      </w:r>
      <w:r w:rsidR="00DB4C2D">
        <w:rPr>
          <w:lang w:val="fr-FR"/>
        </w:rPr>
        <w:t>’</w:t>
      </w:r>
      <w:r w:rsidRPr="00A779B8">
        <w:rPr>
          <w:lang w:val="fr-FR"/>
        </w:rPr>
        <w:t xml:space="preserve">analyseur doit être du type à ionisation de flamme, avec détecteur, vannes, tuyauteries, etc., chauffés à 463 K (190 °C) </w:t>
      </w:r>
      <w:r w:rsidRPr="00A779B8">
        <w:rPr>
          <w:lang w:val="fr-FR"/>
        </w:rPr>
        <w:sym w:font="Symbol" w:char="F0B1"/>
      </w:r>
      <w:r w:rsidRPr="00A779B8">
        <w:rPr>
          <w:lang w:val="fr-FR"/>
        </w:rPr>
        <w:t>10 K (HFID). Il est étalonné au propane exprimé en équivalent atomes de carbone (C</w:t>
      </w:r>
      <w:r w:rsidRPr="00A779B8">
        <w:rPr>
          <w:vertAlign w:val="subscript"/>
          <w:lang w:val="fr-FR"/>
        </w:rPr>
        <w:t>1</w:t>
      </w:r>
      <w:r w:rsidRPr="00A779B8">
        <w:rPr>
          <w:lang w:val="fr-FR"/>
        </w:rPr>
        <w:t>).</w:t>
      </w:r>
    </w:p>
    <w:p w:rsidR="00C060A6" w:rsidRPr="00A779B8" w:rsidRDefault="00C060A6" w:rsidP="00C060A6">
      <w:pPr>
        <w:pStyle w:val="SingleTxtG"/>
        <w:keepNext/>
        <w:ind w:left="2268" w:hanging="1134"/>
        <w:jc w:val="left"/>
        <w:rPr>
          <w:lang w:val="fr-FR"/>
        </w:rPr>
      </w:pPr>
      <w:r w:rsidRPr="00A779B8">
        <w:rPr>
          <w:lang w:val="fr-FR"/>
        </w:rPr>
        <w:t>1.3.4</w:t>
      </w:r>
      <w:r w:rsidRPr="00A779B8">
        <w:rPr>
          <w:lang w:val="fr-FR"/>
        </w:rPr>
        <w:tab/>
        <w:t>Méthane (CH</w:t>
      </w:r>
      <w:r w:rsidRPr="00A779B8">
        <w:rPr>
          <w:vertAlign w:val="subscript"/>
          <w:lang w:val="fr-FR"/>
        </w:rPr>
        <w:t>4</w:t>
      </w:r>
      <w:r w:rsidRPr="00A779B8">
        <w:rPr>
          <w:lang w:val="fr-FR"/>
        </w:rPr>
        <w:t xml:space="preserve">): </w:t>
      </w:r>
    </w:p>
    <w:p w:rsidR="00C060A6" w:rsidRPr="00A779B8" w:rsidRDefault="00C060A6" w:rsidP="00C060A6">
      <w:pPr>
        <w:pStyle w:val="SingleTxtG"/>
        <w:ind w:left="2268"/>
        <w:rPr>
          <w:lang w:val="fr-FR"/>
        </w:rPr>
      </w:pPr>
      <w:r w:rsidRPr="00A779B8">
        <w:rPr>
          <w:lang w:val="fr-FR"/>
        </w:rPr>
        <w:t>L</w:t>
      </w:r>
      <w:r w:rsidR="00DB4C2D">
        <w:rPr>
          <w:lang w:val="fr-FR"/>
        </w:rPr>
        <w:t>’</w:t>
      </w:r>
      <w:r w:rsidRPr="00A779B8">
        <w:rPr>
          <w:lang w:val="fr-FR"/>
        </w:rPr>
        <w:t>analyseur doit être soit un chromatographe gazeux combiné à un</w:t>
      </w:r>
      <w:r>
        <w:rPr>
          <w:lang w:val="fr-FR"/>
        </w:rPr>
        <w:t xml:space="preserve"> FID</w:t>
      </w:r>
      <w:r w:rsidRPr="00A779B8">
        <w:rPr>
          <w:lang w:val="fr-FR"/>
        </w:rPr>
        <w:t xml:space="preserve"> ou à un FID</w:t>
      </w:r>
      <w:r>
        <w:rPr>
          <w:lang w:val="fr-FR"/>
        </w:rPr>
        <w:t xml:space="preserve"> </w:t>
      </w:r>
      <w:r w:rsidRPr="00A779B8">
        <w:rPr>
          <w:lang w:val="fr-FR"/>
        </w:rPr>
        <w:t>avec un convertisseur d</w:t>
      </w:r>
      <w:r w:rsidR="00DB4C2D">
        <w:rPr>
          <w:lang w:val="fr-FR"/>
        </w:rPr>
        <w:t>’</w:t>
      </w:r>
      <w:r w:rsidRPr="00A779B8">
        <w:rPr>
          <w:lang w:val="fr-FR"/>
        </w:rPr>
        <w:t>hydrocarbures non méthaniques étalonné au méthane exprimé en équivalent atomes de carbone (C</w:t>
      </w:r>
      <w:r w:rsidRPr="00A779B8">
        <w:rPr>
          <w:vertAlign w:val="subscript"/>
          <w:lang w:val="fr-FR"/>
        </w:rPr>
        <w:t>1</w:t>
      </w:r>
      <w:r w:rsidRPr="00A779B8">
        <w:rPr>
          <w:lang w:val="fr-FR"/>
        </w:rPr>
        <w:t>).</w:t>
      </w:r>
    </w:p>
    <w:p w:rsidR="00C060A6" w:rsidRPr="00A779B8" w:rsidRDefault="00C060A6" w:rsidP="00C060A6">
      <w:pPr>
        <w:pStyle w:val="SingleTxtG"/>
        <w:keepNext/>
        <w:ind w:left="2268" w:hanging="1134"/>
        <w:jc w:val="left"/>
        <w:rPr>
          <w:lang w:val="fr-FR"/>
        </w:rPr>
      </w:pPr>
      <w:r w:rsidRPr="00A779B8">
        <w:rPr>
          <w:lang w:val="fr-FR"/>
        </w:rPr>
        <w:t>1.3.5</w:t>
      </w:r>
      <w:r w:rsidRPr="00A779B8">
        <w:rPr>
          <w:lang w:val="fr-FR"/>
        </w:rPr>
        <w:tab/>
        <w:t>Eau (H</w:t>
      </w:r>
      <w:r w:rsidRPr="00A779B8">
        <w:rPr>
          <w:vertAlign w:val="subscript"/>
          <w:lang w:val="fr-FR"/>
        </w:rPr>
        <w:t>2</w:t>
      </w:r>
      <w:r w:rsidRPr="00A779B8">
        <w:rPr>
          <w:lang w:val="fr-FR"/>
        </w:rPr>
        <w:t>O):</w:t>
      </w:r>
    </w:p>
    <w:p w:rsidR="00C060A6" w:rsidRPr="00A779B8" w:rsidRDefault="00C060A6" w:rsidP="00C060A6">
      <w:pPr>
        <w:pStyle w:val="SingleTxtG"/>
        <w:ind w:left="2268"/>
        <w:rPr>
          <w:lang w:val="fr-FR"/>
        </w:rPr>
      </w:pPr>
      <w:r w:rsidRPr="00A779B8">
        <w:rPr>
          <w:lang w:val="fr-FR"/>
        </w:rPr>
        <w:t>L</w:t>
      </w:r>
      <w:r w:rsidR="00DB4C2D">
        <w:rPr>
          <w:lang w:val="fr-FR"/>
        </w:rPr>
        <w:t>’</w:t>
      </w:r>
      <w:r w:rsidRPr="00A779B8">
        <w:rPr>
          <w:lang w:val="fr-FR"/>
        </w:rPr>
        <w:t>analyseur doit être du type analyseur non dispersif à absorption dans l</w:t>
      </w:r>
      <w:r w:rsidR="00DB4C2D">
        <w:rPr>
          <w:lang w:val="fr-FR"/>
        </w:rPr>
        <w:t>’</w:t>
      </w:r>
      <w:proofErr w:type="spellStart"/>
      <w:r w:rsidRPr="00A779B8">
        <w:rPr>
          <w:lang w:val="fr-FR"/>
        </w:rPr>
        <w:t>infrarouge</w:t>
      </w:r>
      <w:proofErr w:type="spellEnd"/>
      <w:r w:rsidRPr="00A779B8">
        <w:rPr>
          <w:lang w:val="fr-FR"/>
        </w:rPr>
        <w:t xml:space="preserve"> (NDIR). Le NDIR doit être étalonné soit avec de la vapeur d</w:t>
      </w:r>
      <w:r w:rsidR="00DB4C2D">
        <w:rPr>
          <w:lang w:val="fr-FR"/>
        </w:rPr>
        <w:t>’</w:t>
      </w:r>
      <w:r w:rsidRPr="00A779B8">
        <w:rPr>
          <w:lang w:val="fr-FR"/>
        </w:rPr>
        <w:t>eau soit avec du propylène (C</w:t>
      </w:r>
      <w:r w:rsidRPr="00A779B8">
        <w:rPr>
          <w:vertAlign w:val="subscript"/>
          <w:lang w:val="fr-FR"/>
        </w:rPr>
        <w:t>3</w:t>
      </w:r>
      <w:r w:rsidRPr="00A779B8">
        <w:rPr>
          <w:lang w:val="fr-FR"/>
        </w:rPr>
        <w:t>H</w:t>
      </w:r>
      <w:r w:rsidRPr="00A779B8">
        <w:rPr>
          <w:vertAlign w:val="subscript"/>
          <w:lang w:val="fr-FR"/>
        </w:rPr>
        <w:t>6</w:t>
      </w:r>
      <w:r w:rsidRPr="00A779B8">
        <w:rPr>
          <w:lang w:val="fr-FR"/>
        </w:rPr>
        <w:t>). S</w:t>
      </w:r>
      <w:r w:rsidR="00DB4C2D">
        <w:rPr>
          <w:lang w:val="fr-FR"/>
        </w:rPr>
        <w:t>’</w:t>
      </w:r>
      <w:r w:rsidRPr="00A779B8">
        <w:rPr>
          <w:lang w:val="fr-FR"/>
        </w:rPr>
        <w:t>il l</w:t>
      </w:r>
      <w:r w:rsidR="00DB4C2D">
        <w:rPr>
          <w:lang w:val="fr-FR"/>
        </w:rPr>
        <w:t>’</w:t>
      </w:r>
      <w:r w:rsidRPr="00A779B8">
        <w:rPr>
          <w:lang w:val="fr-FR"/>
        </w:rPr>
        <w:t>est avec de la vapeur d</w:t>
      </w:r>
      <w:r w:rsidR="00DB4C2D">
        <w:rPr>
          <w:lang w:val="fr-FR"/>
        </w:rPr>
        <w:t>’</w:t>
      </w:r>
      <w:r w:rsidRPr="00A779B8">
        <w:rPr>
          <w:lang w:val="fr-FR"/>
        </w:rPr>
        <w:t>eau, il faut veiller à ce qu</w:t>
      </w:r>
      <w:r w:rsidR="00DB4C2D">
        <w:rPr>
          <w:lang w:val="fr-FR"/>
        </w:rPr>
        <w:t>’</w:t>
      </w:r>
      <w:r w:rsidRPr="00A779B8">
        <w:rPr>
          <w:lang w:val="fr-FR"/>
        </w:rPr>
        <w:t>aucune condensation ne puisse se produire dans les tuyauteries et connexions pendant le processus d</w:t>
      </w:r>
      <w:r w:rsidR="00DB4C2D">
        <w:rPr>
          <w:lang w:val="fr-FR"/>
        </w:rPr>
        <w:t>’</w:t>
      </w:r>
      <w:r w:rsidRPr="00A779B8">
        <w:rPr>
          <w:lang w:val="fr-FR"/>
        </w:rPr>
        <w:t>étalonnage. S</w:t>
      </w:r>
      <w:r w:rsidR="00DB4C2D">
        <w:rPr>
          <w:lang w:val="fr-FR"/>
        </w:rPr>
        <w:t>’</w:t>
      </w:r>
      <w:r w:rsidRPr="00A779B8">
        <w:rPr>
          <w:lang w:val="fr-FR"/>
        </w:rPr>
        <w:t>il l</w:t>
      </w:r>
      <w:r w:rsidR="00DB4C2D">
        <w:rPr>
          <w:lang w:val="fr-FR"/>
        </w:rPr>
        <w:t>’</w:t>
      </w:r>
      <w:r w:rsidRPr="00A779B8">
        <w:rPr>
          <w:lang w:val="fr-FR"/>
        </w:rPr>
        <w:t>est avec du propylène, le fabricant de l</w:t>
      </w:r>
      <w:r w:rsidR="00DB4C2D">
        <w:rPr>
          <w:lang w:val="fr-FR"/>
        </w:rPr>
        <w:t>’</w:t>
      </w:r>
      <w:r w:rsidRPr="00A779B8">
        <w:rPr>
          <w:lang w:val="fr-FR"/>
        </w:rPr>
        <w:t>analyseur doit communiquer les informations nécessaires pour convertir la concentration de propylène en concentration correspondante de vapeur d</w:t>
      </w:r>
      <w:r w:rsidR="00DB4C2D">
        <w:rPr>
          <w:lang w:val="fr-FR"/>
        </w:rPr>
        <w:t>’</w:t>
      </w:r>
      <w:r w:rsidRPr="00A779B8">
        <w:rPr>
          <w:lang w:val="fr-FR"/>
        </w:rPr>
        <w:t xml:space="preserve">eau. Les valeurs pour la conversion doivent </w:t>
      </w:r>
      <w:r w:rsidRPr="00A779B8">
        <w:rPr>
          <w:lang w:val="fr-FR"/>
        </w:rPr>
        <w:lastRenderedPageBreak/>
        <w:t>être</w:t>
      </w:r>
      <w:r>
        <w:rPr>
          <w:lang w:val="fr-FR"/>
        </w:rPr>
        <w:t> </w:t>
      </w:r>
      <w:r w:rsidRPr="00A779B8">
        <w:rPr>
          <w:lang w:val="fr-FR"/>
        </w:rPr>
        <w:t>périodiquement vérifiées, au moins une fois par an, par le fabricant de</w:t>
      </w:r>
      <w:r>
        <w:rPr>
          <w:lang w:val="fr-FR"/>
        </w:rPr>
        <w:t> </w:t>
      </w:r>
      <w:r w:rsidRPr="00A779B8">
        <w:rPr>
          <w:lang w:val="fr-FR"/>
        </w:rPr>
        <w:t>l</w:t>
      </w:r>
      <w:r w:rsidR="00DB4C2D">
        <w:rPr>
          <w:lang w:val="fr-FR"/>
        </w:rPr>
        <w:t>’</w:t>
      </w:r>
      <w:r w:rsidRPr="00A779B8">
        <w:rPr>
          <w:lang w:val="fr-FR"/>
        </w:rPr>
        <w:t>analyseur.</w:t>
      </w:r>
    </w:p>
    <w:p w:rsidR="00C060A6" w:rsidRPr="00A779B8" w:rsidRDefault="00C060A6" w:rsidP="00C060A6">
      <w:pPr>
        <w:pStyle w:val="SingleTxtG"/>
        <w:keepNext/>
        <w:ind w:left="2268" w:hanging="1134"/>
        <w:jc w:val="left"/>
        <w:rPr>
          <w:lang w:val="fr-FR"/>
        </w:rPr>
      </w:pPr>
      <w:r w:rsidRPr="00A779B8">
        <w:rPr>
          <w:lang w:val="fr-FR"/>
        </w:rPr>
        <w:t>1.3.6</w:t>
      </w:r>
      <w:r w:rsidRPr="00A779B8">
        <w:rPr>
          <w:lang w:val="fr-FR"/>
        </w:rPr>
        <w:tab/>
        <w:t>Hydrogène (H</w:t>
      </w:r>
      <w:r w:rsidRPr="00A779B8">
        <w:rPr>
          <w:vertAlign w:val="subscript"/>
          <w:lang w:val="fr-FR"/>
        </w:rPr>
        <w:t>2</w:t>
      </w:r>
      <w:r w:rsidRPr="00A779B8">
        <w:rPr>
          <w:lang w:val="fr-FR"/>
        </w:rPr>
        <w:t>):</w:t>
      </w:r>
    </w:p>
    <w:p w:rsidR="00C060A6" w:rsidRPr="00A779B8" w:rsidRDefault="00C060A6" w:rsidP="00C060A6">
      <w:pPr>
        <w:pStyle w:val="SingleTxtG"/>
        <w:ind w:left="2268"/>
        <w:rPr>
          <w:lang w:val="fr-FR"/>
        </w:rPr>
      </w:pPr>
      <w:r w:rsidRPr="00A779B8">
        <w:rPr>
          <w:lang w:val="fr-FR"/>
        </w:rPr>
        <w:t>L</w:t>
      </w:r>
      <w:r w:rsidR="00DB4C2D">
        <w:rPr>
          <w:lang w:val="fr-FR"/>
        </w:rPr>
        <w:t>’</w:t>
      </w:r>
      <w:r w:rsidRPr="00A779B8">
        <w:rPr>
          <w:lang w:val="fr-FR"/>
        </w:rPr>
        <w:t>analyseur doit être du type analyseur de terrain par spectrométrie de masse à secteur et être étalonné à l</w:t>
      </w:r>
      <w:r w:rsidR="00DB4C2D">
        <w:rPr>
          <w:lang w:val="fr-FR"/>
        </w:rPr>
        <w:t>’</w:t>
      </w:r>
      <w:r w:rsidRPr="00A779B8">
        <w:rPr>
          <w:lang w:val="fr-FR"/>
        </w:rPr>
        <w:t>hydrogène.</w:t>
      </w:r>
    </w:p>
    <w:p w:rsidR="00C060A6" w:rsidRPr="00A779B8" w:rsidRDefault="00C060A6" w:rsidP="00C060A6">
      <w:pPr>
        <w:pStyle w:val="SingleTxtG"/>
        <w:keepNext/>
        <w:ind w:left="2268" w:hanging="1134"/>
        <w:jc w:val="left"/>
        <w:rPr>
          <w:lang w:val="fr-FR"/>
        </w:rPr>
      </w:pPr>
      <w:r w:rsidRPr="00A779B8">
        <w:rPr>
          <w:lang w:val="fr-FR"/>
        </w:rPr>
        <w:t>1.3.7</w:t>
      </w:r>
      <w:r w:rsidRPr="00A779B8">
        <w:rPr>
          <w:lang w:val="fr-FR"/>
        </w:rPr>
        <w:tab/>
        <w:t>Oxydes d</w:t>
      </w:r>
      <w:r w:rsidR="00DB4C2D">
        <w:rPr>
          <w:lang w:val="fr-FR"/>
        </w:rPr>
        <w:t>’</w:t>
      </w:r>
      <w:r w:rsidRPr="00A779B8">
        <w:rPr>
          <w:lang w:val="fr-FR"/>
        </w:rPr>
        <w:t>azote (</w:t>
      </w:r>
      <w:proofErr w:type="spellStart"/>
      <w:r w:rsidRPr="00A779B8">
        <w:rPr>
          <w:lang w:val="fr-FR"/>
        </w:rPr>
        <w:t>NO</w:t>
      </w:r>
      <w:r w:rsidRPr="00A779B8">
        <w:rPr>
          <w:vertAlign w:val="subscript"/>
          <w:lang w:val="fr-FR"/>
        </w:rPr>
        <w:t>x</w:t>
      </w:r>
      <w:proofErr w:type="spellEnd"/>
      <w:r w:rsidRPr="00A779B8">
        <w:rPr>
          <w:lang w:val="fr-FR"/>
        </w:rPr>
        <w:t>):</w:t>
      </w:r>
    </w:p>
    <w:p w:rsidR="00C060A6" w:rsidRPr="00A779B8" w:rsidRDefault="00C060A6" w:rsidP="00C060A6">
      <w:pPr>
        <w:pStyle w:val="SingleTxtG"/>
        <w:ind w:left="2268"/>
        <w:rPr>
          <w:lang w:val="fr-FR"/>
        </w:rPr>
      </w:pPr>
      <w:r w:rsidRPr="00A779B8">
        <w:rPr>
          <w:lang w:val="fr-FR"/>
        </w:rPr>
        <w:t>L</w:t>
      </w:r>
      <w:r w:rsidR="00DB4C2D">
        <w:rPr>
          <w:lang w:val="fr-FR"/>
        </w:rPr>
        <w:t>’</w:t>
      </w:r>
      <w:r w:rsidRPr="00A779B8">
        <w:rPr>
          <w:lang w:val="fr-FR"/>
        </w:rPr>
        <w:t>analyseur doit être soit du type à chimiluminescence (CLA) soit du type non dispersif à absorption de résonnance dans l</w:t>
      </w:r>
      <w:r w:rsidR="00DB4C2D">
        <w:rPr>
          <w:lang w:val="fr-FR"/>
        </w:rPr>
        <w:t>’</w:t>
      </w:r>
      <w:r w:rsidRPr="00A779B8">
        <w:rPr>
          <w:lang w:val="fr-FR"/>
        </w:rPr>
        <w:t xml:space="preserve">ultraviolet (NDUVR), dans les deux cas avec convertisseur </w:t>
      </w:r>
      <w:proofErr w:type="spellStart"/>
      <w:r w:rsidRPr="00A779B8">
        <w:rPr>
          <w:lang w:val="fr-FR"/>
        </w:rPr>
        <w:t>NO</w:t>
      </w:r>
      <w:r w:rsidRPr="00A779B8">
        <w:rPr>
          <w:vertAlign w:val="subscript"/>
          <w:lang w:val="fr-FR"/>
        </w:rPr>
        <w:t>x</w:t>
      </w:r>
      <w:proofErr w:type="spellEnd"/>
      <w:r w:rsidRPr="00A779B8">
        <w:rPr>
          <w:lang w:val="fr-FR"/>
        </w:rPr>
        <w:t>/NO.</w:t>
      </w:r>
    </w:p>
    <w:p w:rsidR="00C060A6" w:rsidRPr="00A779B8" w:rsidRDefault="00C060A6" w:rsidP="00C060A6">
      <w:pPr>
        <w:pStyle w:val="SingleTxtG"/>
        <w:ind w:left="2268" w:hanging="1134"/>
        <w:rPr>
          <w:lang w:val="fr-FR"/>
        </w:rPr>
      </w:pPr>
      <w:r w:rsidRPr="00A779B8">
        <w:rPr>
          <w:lang w:val="fr-FR"/>
        </w:rPr>
        <w:t>1.3.8</w:t>
      </w:r>
      <w:r w:rsidRPr="00A779B8">
        <w:rPr>
          <w:lang w:val="fr-FR"/>
        </w:rPr>
        <w:tab/>
        <w:t>Les analyseurs doivent avoir une étendue de mesure compatible avec la précision requise pour la mesure des concentrations de polluants dans les échantillons de gaz d</w:t>
      </w:r>
      <w:r w:rsidR="00DB4C2D">
        <w:rPr>
          <w:lang w:val="fr-FR"/>
        </w:rPr>
        <w:t>’</w:t>
      </w:r>
      <w:r w:rsidRPr="00A779B8">
        <w:rPr>
          <w:lang w:val="fr-FR"/>
        </w:rPr>
        <w:t>échappement.</w:t>
      </w:r>
    </w:p>
    <w:p w:rsidR="00C060A6" w:rsidRPr="00A779B8" w:rsidRDefault="00C060A6" w:rsidP="00C060A6">
      <w:pPr>
        <w:pStyle w:val="SingleTxtG"/>
        <w:ind w:left="2268" w:hanging="1134"/>
        <w:rPr>
          <w:lang w:val="fr-FR"/>
        </w:rPr>
      </w:pPr>
      <w:r w:rsidRPr="00A779B8">
        <w:rPr>
          <w:lang w:val="fr-FR"/>
        </w:rPr>
        <w:t>1.3.9</w:t>
      </w:r>
      <w:r w:rsidRPr="00A779B8">
        <w:rPr>
          <w:lang w:val="fr-FR"/>
        </w:rPr>
        <w:tab/>
        <w:t>L</w:t>
      </w:r>
      <w:r w:rsidR="00DB4C2D">
        <w:rPr>
          <w:lang w:val="fr-FR"/>
        </w:rPr>
        <w:t>’</w:t>
      </w:r>
      <w:r w:rsidRPr="00A779B8">
        <w:rPr>
          <w:lang w:val="fr-FR"/>
        </w:rPr>
        <w:t xml:space="preserve">erreur de mesure ne doit pas être supérieure à </w:t>
      </w:r>
      <w:r w:rsidRPr="00A779B8">
        <w:rPr>
          <w:lang w:val="fr-FR"/>
        </w:rPr>
        <w:sym w:font="Symbol" w:char="F0B1"/>
      </w:r>
      <w:r w:rsidRPr="00A779B8">
        <w:rPr>
          <w:lang w:val="fr-FR"/>
        </w:rPr>
        <w:t>2 % (erreur intrinsèque de l</w:t>
      </w:r>
      <w:r w:rsidR="00DB4C2D">
        <w:rPr>
          <w:lang w:val="fr-FR"/>
        </w:rPr>
        <w:t>’</w:t>
      </w:r>
      <w:r w:rsidRPr="00A779B8">
        <w:rPr>
          <w:lang w:val="fr-FR"/>
        </w:rPr>
        <w:t>analyseur) compte non tenu de la vraie valeur des gaz d</w:t>
      </w:r>
      <w:r w:rsidR="00DB4C2D">
        <w:rPr>
          <w:lang w:val="fr-FR"/>
        </w:rPr>
        <w:t>’</w:t>
      </w:r>
      <w:r w:rsidRPr="00A779B8">
        <w:rPr>
          <w:lang w:val="fr-FR"/>
        </w:rPr>
        <w:t>étalonnage.</w:t>
      </w:r>
    </w:p>
    <w:p w:rsidR="00C060A6" w:rsidRPr="00A779B8" w:rsidRDefault="00C060A6" w:rsidP="00C060A6">
      <w:pPr>
        <w:pStyle w:val="SingleTxtG"/>
        <w:ind w:left="2268" w:hanging="1134"/>
        <w:rPr>
          <w:lang w:val="fr-FR"/>
        </w:rPr>
      </w:pPr>
      <w:r w:rsidRPr="00A779B8">
        <w:rPr>
          <w:lang w:val="fr-FR"/>
        </w:rPr>
        <w:t>1.3.10</w:t>
      </w:r>
      <w:r w:rsidRPr="00A779B8">
        <w:rPr>
          <w:lang w:val="fr-FR"/>
        </w:rPr>
        <w:tab/>
        <w:t>Pour les concentrations inférieures à 100 ppm, l</w:t>
      </w:r>
      <w:r w:rsidR="00DB4C2D">
        <w:rPr>
          <w:lang w:val="fr-FR"/>
        </w:rPr>
        <w:t>’</w:t>
      </w:r>
      <w:r w:rsidRPr="00A779B8">
        <w:rPr>
          <w:lang w:val="fr-FR"/>
        </w:rPr>
        <w:t xml:space="preserve">erreur de mesure ne doit pas être supérieure à </w:t>
      </w:r>
      <w:r w:rsidRPr="00A779B8">
        <w:rPr>
          <w:lang w:val="fr-FR"/>
        </w:rPr>
        <w:sym w:font="Symbol" w:char="F0B1"/>
      </w:r>
      <w:r w:rsidRPr="00A779B8">
        <w:rPr>
          <w:lang w:val="fr-FR"/>
        </w:rPr>
        <w:t>2 ppm.</w:t>
      </w:r>
    </w:p>
    <w:p w:rsidR="00C060A6" w:rsidRPr="00A779B8" w:rsidRDefault="00C060A6" w:rsidP="00C060A6">
      <w:pPr>
        <w:pStyle w:val="SingleTxtG"/>
        <w:ind w:left="2268" w:hanging="1134"/>
        <w:rPr>
          <w:lang w:val="fr-FR"/>
        </w:rPr>
      </w:pPr>
      <w:r w:rsidRPr="00A779B8">
        <w:rPr>
          <w:lang w:val="fr-FR"/>
        </w:rPr>
        <w:t>1.3.11</w:t>
      </w:r>
      <w:r w:rsidRPr="00A779B8">
        <w:rPr>
          <w:lang w:val="fr-FR"/>
        </w:rPr>
        <w:tab/>
        <w:t>L</w:t>
      </w:r>
      <w:r w:rsidR="00DB4C2D">
        <w:rPr>
          <w:lang w:val="fr-FR"/>
        </w:rPr>
        <w:t>’</w:t>
      </w:r>
      <w:r w:rsidRPr="00A779B8">
        <w:rPr>
          <w:lang w:val="fr-FR"/>
        </w:rPr>
        <w:t>analyse de l</w:t>
      </w:r>
      <w:r w:rsidR="00DB4C2D">
        <w:rPr>
          <w:lang w:val="fr-FR"/>
        </w:rPr>
        <w:t>’</w:t>
      </w:r>
      <w:r w:rsidRPr="00A779B8">
        <w:rPr>
          <w:lang w:val="fr-FR"/>
        </w:rPr>
        <w:t>échantillon d</w:t>
      </w:r>
      <w:r w:rsidR="00DB4C2D">
        <w:rPr>
          <w:lang w:val="fr-FR"/>
        </w:rPr>
        <w:t>’</w:t>
      </w:r>
      <w:r w:rsidRPr="00A779B8">
        <w:rPr>
          <w:lang w:val="fr-FR"/>
        </w:rPr>
        <w:t>air ambiant est exécutée sur le même analyseur et sur une gamme de mesure appropriée.</w:t>
      </w:r>
    </w:p>
    <w:p w:rsidR="00C060A6" w:rsidRPr="00A779B8" w:rsidRDefault="00C060A6" w:rsidP="00C060A6">
      <w:pPr>
        <w:pStyle w:val="SingleTxtG"/>
        <w:ind w:left="2268" w:hanging="1134"/>
        <w:rPr>
          <w:lang w:val="fr-FR"/>
        </w:rPr>
      </w:pPr>
      <w:r w:rsidRPr="00A779B8">
        <w:rPr>
          <w:lang w:val="fr-FR"/>
        </w:rPr>
        <w:t>1.3.12</w:t>
      </w:r>
      <w:r w:rsidRPr="00A779B8">
        <w:rPr>
          <w:lang w:val="fr-FR"/>
        </w:rPr>
        <w:tab/>
        <w:t>Aucun dispositif de séchage du gaz ne doit être utilisé en amont des analyseurs, à moins qu</w:t>
      </w:r>
      <w:r w:rsidR="00DB4C2D">
        <w:rPr>
          <w:lang w:val="fr-FR"/>
        </w:rPr>
        <w:t>’</w:t>
      </w:r>
      <w:r w:rsidRPr="00A779B8">
        <w:rPr>
          <w:lang w:val="fr-FR"/>
        </w:rPr>
        <w:t>il soit démontré qu</w:t>
      </w:r>
      <w:r w:rsidR="00DB4C2D">
        <w:rPr>
          <w:lang w:val="fr-FR"/>
        </w:rPr>
        <w:t>’</w:t>
      </w:r>
      <w:r w:rsidRPr="00A779B8">
        <w:rPr>
          <w:lang w:val="fr-FR"/>
        </w:rPr>
        <w:t>il n</w:t>
      </w:r>
      <w:r w:rsidR="00DB4C2D">
        <w:rPr>
          <w:lang w:val="fr-FR"/>
        </w:rPr>
        <w:t>’</w:t>
      </w:r>
      <w:r w:rsidRPr="00A779B8">
        <w:rPr>
          <w:lang w:val="fr-FR"/>
        </w:rPr>
        <w:t>a aucun effet sur la teneur en polluants du flux de gaz.</w:t>
      </w:r>
    </w:p>
    <w:p w:rsidR="00C060A6" w:rsidRPr="00A779B8" w:rsidRDefault="00C060A6" w:rsidP="00C060A6">
      <w:pPr>
        <w:pStyle w:val="SingleTxtG"/>
        <w:keepNext/>
        <w:ind w:left="2268" w:hanging="1134"/>
        <w:jc w:val="left"/>
        <w:rPr>
          <w:lang w:val="fr-FR"/>
        </w:rPr>
      </w:pPr>
      <w:r w:rsidRPr="00A779B8">
        <w:rPr>
          <w:lang w:val="fr-FR"/>
        </w:rPr>
        <w:t>1.4</w:t>
      </w:r>
      <w:r w:rsidRPr="00A779B8">
        <w:rPr>
          <w:lang w:val="fr-FR"/>
        </w:rPr>
        <w:tab/>
        <w:t>Description du système recommandé</w:t>
      </w:r>
    </w:p>
    <w:p w:rsidR="00C060A6" w:rsidRPr="00A779B8" w:rsidRDefault="00C060A6" w:rsidP="00C060A6">
      <w:pPr>
        <w:pStyle w:val="SingleTxtG"/>
        <w:ind w:left="2268"/>
        <w:rPr>
          <w:lang w:val="fr-FR"/>
        </w:rPr>
      </w:pPr>
      <w:r w:rsidRPr="00A779B8">
        <w:rPr>
          <w:lang w:val="fr-FR"/>
        </w:rPr>
        <w:t>La figure A4a.App3/10 est un schéma de principe du système de prélèvement des émissions gazeuses.</w:t>
      </w:r>
    </w:p>
    <w:p w:rsidR="00C060A6" w:rsidRPr="00A779B8" w:rsidRDefault="00C060A6" w:rsidP="00C060A6">
      <w:pPr>
        <w:pStyle w:val="Titre1"/>
        <w:keepLines w:val="0"/>
        <w:spacing w:after="120"/>
        <w:rPr>
          <w:lang w:val="fr-FR"/>
        </w:rPr>
      </w:pPr>
      <w:r w:rsidRPr="00A779B8">
        <w:rPr>
          <w:lang w:val="fr-FR"/>
        </w:rPr>
        <w:lastRenderedPageBreak/>
        <w:t>Figure A4a.App3/10</w:t>
      </w:r>
      <w:r w:rsidRPr="00A779B8">
        <w:rPr>
          <w:lang w:val="fr-FR"/>
        </w:rPr>
        <w:br/>
      </w:r>
      <w:r w:rsidRPr="00A779B8">
        <w:rPr>
          <w:b/>
          <w:lang w:val="fr-FR"/>
        </w:rPr>
        <w:t>Schéma du système de prélèvement des émissions gazeuses</w:t>
      </w:r>
    </w:p>
    <w:bookmarkStart w:id="181" w:name="_MON_1267253484"/>
    <w:bookmarkStart w:id="182" w:name="_MON_1267266253"/>
    <w:bookmarkStart w:id="183" w:name="_MON_1267266348"/>
    <w:bookmarkStart w:id="184" w:name="_MON_1267266454"/>
    <w:bookmarkStart w:id="185" w:name="_MON_1267266633"/>
    <w:bookmarkStart w:id="186" w:name="_MON_1267343390"/>
    <w:bookmarkStart w:id="187" w:name="_MON_1267343439"/>
    <w:bookmarkStart w:id="188" w:name="_MON_1267345112"/>
    <w:bookmarkStart w:id="189" w:name="_MON_1267345142"/>
    <w:bookmarkStart w:id="190" w:name="_MON_1267443537"/>
    <w:bookmarkStart w:id="191" w:name="_MON_1267453845"/>
    <w:bookmarkStart w:id="192" w:name="_MON_1316525208"/>
    <w:bookmarkStart w:id="193" w:name="_MON_1433151492"/>
    <w:bookmarkStart w:id="194" w:name="_MON_1433313621"/>
    <w:bookmarkStart w:id="195" w:name="_MON_1433313726"/>
    <w:bookmarkStart w:id="196" w:name="_MON_1433313745"/>
    <w:bookmarkStart w:id="197" w:name="_MON_1433765078"/>
    <w:bookmarkStart w:id="198" w:name="_MON_1448958780"/>
    <w:bookmarkStart w:id="199" w:name="_MON_1448968342"/>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rsidR="00C060A6" w:rsidRPr="00A779B8" w:rsidRDefault="00C060A6" w:rsidP="00C060A6">
      <w:pPr>
        <w:widowControl w:val="0"/>
        <w:ind w:left="1134"/>
        <w:rPr>
          <w:lang w:val="fr-FR"/>
        </w:rPr>
      </w:pPr>
      <w:r w:rsidRPr="00A779B8">
        <w:rPr>
          <w:lang w:val="fr-FR"/>
        </w:rPr>
        <w:object w:dxaOrig="8503" w:dyaOrig="5832">
          <v:shape id="_x0000_i1091" type="#_x0000_t75" style="width:365.45pt;height:267.6pt" o:ole="" fillcolor="window">
            <v:imagedata r:id="rId168" o:title="" cropright="7297f"/>
            <w10:bordertop type="single" width="4"/>
            <w10:borderleft type="single" width="4"/>
            <w10:borderbottom type="single" width="4"/>
            <w10:borderright type="single" width="4"/>
          </v:shape>
          <o:OLEObject Type="Embed" ProgID="Word.Picture.8" ShapeID="_x0000_i1091" DrawAspect="Content" ObjectID="_1490178447" r:id="rId169"/>
        </w:object>
      </w:r>
    </w:p>
    <w:p w:rsidR="00C060A6" w:rsidRPr="00A779B8" w:rsidRDefault="00C060A6" w:rsidP="00C060A6">
      <w:pPr>
        <w:pStyle w:val="SingleTxtG"/>
        <w:keepNext/>
        <w:spacing w:before="240"/>
        <w:ind w:left="2268"/>
        <w:rPr>
          <w:lang w:val="fr-FR"/>
        </w:rPr>
      </w:pPr>
      <w:r w:rsidRPr="00A779B8">
        <w:rPr>
          <w:lang w:val="fr-FR"/>
        </w:rPr>
        <w:tab/>
        <w:t>Le système se compose des éléments suivants:</w:t>
      </w:r>
    </w:p>
    <w:p w:rsidR="00C060A6" w:rsidRPr="00A779B8" w:rsidRDefault="00C060A6" w:rsidP="00C060A6">
      <w:pPr>
        <w:pStyle w:val="SingleTxtG"/>
        <w:ind w:left="2268" w:hanging="1134"/>
        <w:rPr>
          <w:lang w:val="fr-FR"/>
        </w:rPr>
      </w:pPr>
      <w:r w:rsidRPr="00A779B8">
        <w:rPr>
          <w:lang w:val="fr-FR"/>
        </w:rPr>
        <w:t>1.4.1</w:t>
      </w:r>
      <w:r w:rsidRPr="00A779B8">
        <w:rPr>
          <w:lang w:val="fr-FR"/>
        </w:rPr>
        <w:tab/>
        <w:t>Deux sondes de prélèvement (S</w:t>
      </w:r>
      <w:r w:rsidRPr="00A779B8">
        <w:rPr>
          <w:vertAlign w:val="subscript"/>
          <w:lang w:val="fr-FR"/>
        </w:rPr>
        <w:t>1</w:t>
      </w:r>
      <w:r w:rsidRPr="00A779B8">
        <w:rPr>
          <w:lang w:val="fr-FR"/>
        </w:rPr>
        <w:t xml:space="preserve"> et S</w:t>
      </w:r>
      <w:r w:rsidRPr="00A779B8">
        <w:rPr>
          <w:vertAlign w:val="subscript"/>
          <w:lang w:val="fr-FR"/>
        </w:rPr>
        <w:t>2</w:t>
      </w:r>
      <w:r w:rsidRPr="00A779B8">
        <w:rPr>
          <w:lang w:val="fr-FR"/>
        </w:rPr>
        <w:t>) permettant de prélever des échantillons constants de l</w:t>
      </w:r>
      <w:r w:rsidR="00DB4C2D">
        <w:rPr>
          <w:lang w:val="fr-FR"/>
        </w:rPr>
        <w:t>’</w:t>
      </w:r>
      <w:r w:rsidRPr="00A779B8">
        <w:rPr>
          <w:lang w:val="fr-FR"/>
        </w:rPr>
        <w:t>air de dilution et du mélange dilué gaz d</w:t>
      </w:r>
      <w:r w:rsidR="00DB4C2D">
        <w:rPr>
          <w:lang w:val="fr-FR"/>
        </w:rPr>
        <w:t>’</w:t>
      </w:r>
      <w:r w:rsidRPr="00A779B8">
        <w:rPr>
          <w:lang w:val="fr-FR"/>
        </w:rPr>
        <w:t>échappement/air;</w:t>
      </w:r>
    </w:p>
    <w:p w:rsidR="00C060A6" w:rsidRPr="00A779B8" w:rsidRDefault="00C060A6" w:rsidP="00C060A6">
      <w:pPr>
        <w:pStyle w:val="SingleTxtG"/>
        <w:ind w:left="2268" w:hanging="1134"/>
        <w:rPr>
          <w:lang w:val="fr-FR"/>
        </w:rPr>
      </w:pPr>
      <w:r w:rsidRPr="00A779B8">
        <w:rPr>
          <w:lang w:val="fr-FR"/>
        </w:rPr>
        <w:t>1.4.2</w:t>
      </w:r>
      <w:r w:rsidRPr="00A779B8">
        <w:rPr>
          <w:lang w:val="fr-FR"/>
        </w:rPr>
        <w:tab/>
        <w:t>Un filtre (F) servant à extraire les particules solides des gaz prélevés pour l</w:t>
      </w:r>
      <w:r w:rsidR="00DB4C2D">
        <w:rPr>
          <w:lang w:val="fr-FR"/>
        </w:rPr>
        <w:t>’</w:t>
      </w:r>
      <w:r w:rsidRPr="00A779B8">
        <w:rPr>
          <w:lang w:val="fr-FR"/>
        </w:rPr>
        <w:t>analyse;</w:t>
      </w:r>
    </w:p>
    <w:p w:rsidR="00C060A6" w:rsidRPr="00A779B8" w:rsidRDefault="00C060A6" w:rsidP="00C060A6">
      <w:pPr>
        <w:pStyle w:val="SingleTxtG"/>
        <w:ind w:left="2268" w:hanging="1134"/>
        <w:rPr>
          <w:lang w:val="fr-FR"/>
        </w:rPr>
      </w:pPr>
      <w:r w:rsidRPr="00A779B8">
        <w:rPr>
          <w:lang w:val="fr-FR"/>
        </w:rPr>
        <w:t>1.4.3</w:t>
      </w:r>
      <w:r w:rsidRPr="00A779B8">
        <w:rPr>
          <w:lang w:val="fr-FR"/>
        </w:rPr>
        <w:tab/>
        <w:t>Des pompes (P) servant à prélever un débit constant d</w:t>
      </w:r>
      <w:r w:rsidR="00DB4C2D">
        <w:rPr>
          <w:lang w:val="fr-FR"/>
        </w:rPr>
        <w:t>’</w:t>
      </w:r>
      <w:r w:rsidRPr="00A779B8">
        <w:rPr>
          <w:lang w:val="fr-FR"/>
        </w:rPr>
        <w:t>air de dilution ainsi que de mélange dilué gaz d</w:t>
      </w:r>
      <w:r w:rsidR="00DB4C2D">
        <w:rPr>
          <w:lang w:val="fr-FR"/>
        </w:rPr>
        <w:t>’</w:t>
      </w:r>
      <w:r w:rsidRPr="00A779B8">
        <w:rPr>
          <w:lang w:val="fr-FR"/>
        </w:rPr>
        <w:t>échappement/air pendant l</w:t>
      </w:r>
      <w:r w:rsidR="00DB4C2D">
        <w:rPr>
          <w:lang w:val="fr-FR"/>
        </w:rPr>
        <w:t>’</w:t>
      </w:r>
      <w:r w:rsidRPr="00A779B8">
        <w:rPr>
          <w:lang w:val="fr-FR"/>
        </w:rPr>
        <w:t>essai;</w:t>
      </w:r>
    </w:p>
    <w:p w:rsidR="00C060A6" w:rsidRPr="00A779B8" w:rsidRDefault="00C060A6" w:rsidP="00C060A6">
      <w:pPr>
        <w:pStyle w:val="SingleTxtG"/>
        <w:ind w:left="2268" w:hanging="1134"/>
        <w:rPr>
          <w:lang w:val="fr-FR"/>
        </w:rPr>
      </w:pPr>
      <w:r w:rsidRPr="00A779B8">
        <w:rPr>
          <w:lang w:val="fr-FR"/>
        </w:rPr>
        <w:t>1.4.4</w:t>
      </w:r>
      <w:r w:rsidRPr="00A779B8">
        <w:rPr>
          <w:lang w:val="fr-FR"/>
        </w:rPr>
        <w:tab/>
        <w:t>Des régulateurs de débit (N) servant à maintenir constant le débit du prélèvement de gaz au cours de l</w:t>
      </w:r>
      <w:r w:rsidR="00DB4C2D">
        <w:rPr>
          <w:lang w:val="fr-FR"/>
        </w:rPr>
        <w:t>’</w:t>
      </w:r>
      <w:r w:rsidRPr="00A779B8">
        <w:rPr>
          <w:lang w:val="fr-FR"/>
        </w:rPr>
        <w:t>essai par les sondes de prélèvement S</w:t>
      </w:r>
      <w:r w:rsidRPr="00A779B8">
        <w:rPr>
          <w:vertAlign w:val="subscript"/>
          <w:lang w:val="fr-FR"/>
        </w:rPr>
        <w:t>1</w:t>
      </w:r>
      <w:r w:rsidRPr="00A779B8">
        <w:rPr>
          <w:lang w:val="fr-FR"/>
        </w:rPr>
        <w:t xml:space="preserve"> et S</w:t>
      </w:r>
      <w:r w:rsidRPr="00A779B8">
        <w:rPr>
          <w:vertAlign w:val="subscript"/>
          <w:lang w:val="fr-FR"/>
        </w:rPr>
        <w:t>2</w:t>
      </w:r>
      <w:r w:rsidRPr="00A779B8">
        <w:rPr>
          <w:lang w:val="fr-FR"/>
        </w:rPr>
        <w:t xml:space="preserve"> (pour le système) PDP-CVS; ce débit doit être tel qu</w:t>
      </w:r>
      <w:r w:rsidR="00DB4C2D">
        <w:rPr>
          <w:lang w:val="fr-FR"/>
        </w:rPr>
        <w:t>’</w:t>
      </w:r>
      <w:r w:rsidRPr="00A779B8">
        <w:rPr>
          <w:lang w:val="fr-FR"/>
        </w:rPr>
        <w:t>à la fin de l</w:t>
      </w:r>
      <w:r w:rsidR="00DB4C2D">
        <w:rPr>
          <w:lang w:val="fr-FR"/>
        </w:rPr>
        <w:t>’</w:t>
      </w:r>
      <w:r w:rsidRPr="00A779B8">
        <w:rPr>
          <w:lang w:val="fr-FR"/>
        </w:rPr>
        <w:t>essai, on dispose d</w:t>
      </w:r>
      <w:r w:rsidR="00DB4C2D">
        <w:rPr>
          <w:lang w:val="fr-FR"/>
        </w:rPr>
        <w:t>’</w:t>
      </w:r>
      <w:r w:rsidRPr="00A779B8">
        <w:rPr>
          <w:lang w:val="fr-FR"/>
        </w:rPr>
        <w:t>échantillons de dimension suffisante pour l</w:t>
      </w:r>
      <w:r w:rsidR="00DB4C2D">
        <w:rPr>
          <w:lang w:val="fr-FR"/>
        </w:rPr>
        <w:t>’</w:t>
      </w:r>
      <w:r w:rsidRPr="00A779B8">
        <w:rPr>
          <w:lang w:val="fr-FR"/>
        </w:rPr>
        <w:t>analyse (environ 10 l/min);</w:t>
      </w:r>
    </w:p>
    <w:p w:rsidR="00C060A6" w:rsidRPr="00A779B8" w:rsidRDefault="00C060A6" w:rsidP="00C060A6">
      <w:pPr>
        <w:pStyle w:val="SingleTxtG"/>
        <w:ind w:left="2268" w:hanging="1134"/>
        <w:rPr>
          <w:lang w:val="fr-FR"/>
        </w:rPr>
      </w:pPr>
      <w:r w:rsidRPr="00A779B8">
        <w:rPr>
          <w:lang w:val="fr-FR"/>
        </w:rPr>
        <w:t>1.4.5</w:t>
      </w:r>
      <w:r w:rsidRPr="00A779B8">
        <w:rPr>
          <w:lang w:val="fr-FR"/>
        </w:rPr>
        <w:tab/>
        <w:t>Des débitmètres (FL) pour le réglage et le contrôle de la constance du débit des prélèvements de gaz au cours de l</w:t>
      </w:r>
      <w:r w:rsidR="00DB4C2D">
        <w:rPr>
          <w:lang w:val="fr-FR"/>
        </w:rPr>
        <w:t>’</w:t>
      </w:r>
      <w:r w:rsidRPr="00A779B8">
        <w:rPr>
          <w:lang w:val="fr-FR"/>
        </w:rPr>
        <w:t>essai;</w:t>
      </w:r>
    </w:p>
    <w:p w:rsidR="00C060A6" w:rsidRPr="00A779B8" w:rsidRDefault="00C060A6" w:rsidP="00C060A6">
      <w:pPr>
        <w:pStyle w:val="SingleTxtG"/>
        <w:ind w:left="2268" w:hanging="1134"/>
        <w:rPr>
          <w:lang w:val="fr-FR"/>
        </w:rPr>
      </w:pPr>
      <w:r w:rsidRPr="00A779B8">
        <w:rPr>
          <w:lang w:val="fr-FR"/>
        </w:rPr>
        <w:t>1.4.6</w:t>
      </w:r>
      <w:r w:rsidRPr="00A779B8">
        <w:rPr>
          <w:lang w:val="fr-FR"/>
        </w:rPr>
        <w:tab/>
        <w:t>Des vannes à action rapide (V) servant à diriger le débit constant d</w:t>
      </w:r>
      <w:r w:rsidR="00DB4C2D">
        <w:rPr>
          <w:lang w:val="fr-FR"/>
        </w:rPr>
        <w:t>’</w:t>
      </w:r>
      <w:r w:rsidRPr="00A779B8">
        <w:rPr>
          <w:lang w:val="fr-FR"/>
        </w:rPr>
        <w:t>échantillons de gaz soit vers les sacs de prélèvement, soit vers l</w:t>
      </w:r>
      <w:r w:rsidR="00DB4C2D">
        <w:rPr>
          <w:lang w:val="fr-FR"/>
        </w:rPr>
        <w:t>’</w:t>
      </w:r>
      <w:r w:rsidRPr="00A779B8">
        <w:rPr>
          <w:lang w:val="fr-FR"/>
        </w:rPr>
        <w:t>atmosphère;</w:t>
      </w:r>
    </w:p>
    <w:p w:rsidR="00C060A6" w:rsidRPr="00A779B8" w:rsidRDefault="00C060A6" w:rsidP="00C060A6">
      <w:pPr>
        <w:pStyle w:val="SingleTxtG"/>
        <w:ind w:left="2268" w:hanging="1134"/>
        <w:rPr>
          <w:lang w:val="fr-FR"/>
        </w:rPr>
      </w:pPr>
      <w:r w:rsidRPr="00A779B8">
        <w:rPr>
          <w:lang w:val="fr-FR"/>
        </w:rPr>
        <w:t>1.4.7</w:t>
      </w:r>
      <w:r w:rsidRPr="00A779B8">
        <w:rPr>
          <w:lang w:val="fr-FR"/>
        </w:rPr>
        <w:tab/>
        <w:t>Des raccords étanches aux gaz à verrouillage rapide (Q) intercalés entre les vannes à action rapide et les sacs de prélèvement. Le raccord doit s</w:t>
      </w:r>
      <w:r w:rsidR="00DB4C2D">
        <w:rPr>
          <w:lang w:val="fr-FR"/>
        </w:rPr>
        <w:t>’</w:t>
      </w:r>
      <w:r w:rsidRPr="00A779B8">
        <w:rPr>
          <w:lang w:val="fr-FR"/>
        </w:rPr>
        <w:t>obturer automatiquement du côté sac. D</w:t>
      </w:r>
      <w:r w:rsidR="00DB4C2D">
        <w:rPr>
          <w:lang w:val="fr-FR"/>
        </w:rPr>
        <w:t>’</w:t>
      </w:r>
      <w:r w:rsidRPr="00A779B8">
        <w:rPr>
          <w:lang w:val="fr-FR"/>
        </w:rPr>
        <w:t>autres méthodes pour acheminer l</w:t>
      </w:r>
      <w:r w:rsidR="00DB4C2D">
        <w:rPr>
          <w:lang w:val="fr-FR"/>
        </w:rPr>
        <w:t>’</w:t>
      </w:r>
      <w:r w:rsidRPr="00A779B8">
        <w:rPr>
          <w:lang w:val="fr-FR"/>
        </w:rPr>
        <w:t>échantillon jusqu</w:t>
      </w:r>
      <w:r w:rsidR="00DB4C2D">
        <w:rPr>
          <w:lang w:val="fr-FR"/>
        </w:rPr>
        <w:t>’</w:t>
      </w:r>
      <w:r w:rsidRPr="00A779B8">
        <w:rPr>
          <w:lang w:val="fr-FR"/>
        </w:rPr>
        <w:t>à l</w:t>
      </w:r>
      <w:r w:rsidR="00DB4C2D">
        <w:rPr>
          <w:lang w:val="fr-FR"/>
        </w:rPr>
        <w:t>’</w:t>
      </w:r>
      <w:r w:rsidRPr="00A779B8">
        <w:rPr>
          <w:lang w:val="fr-FR"/>
        </w:rPr>
        <w:t>analyseur peuvent être utilisées (robinets d</w:t>
      </w:r>
      <w:r w:rsidR="00DB4C2D">
        <w:rPr>
          <w:lang w:val="fr-FR"/>
        </w:rPr>
        <w:t>’</w:t>
      </w:r>
      <w:r w:rsidRPr="00A779B8">
        <w:rPr>
          <w:lang w:val="fr-FR"/>
        </w:rPr>
        <w:t>arrêt à trois voies, par exemple);</w:t>
      </w:r>
    </w:p>
    <w:p w:rsidR="00C060A6" w:rsidRPr="00A779B8" w:rsidRDefault="00C060A6" w:rsidP="00C060A6">
      <w:pPr>
        <w:pStyle w:val="SingleTxtG"/>
        <w:ind w:left="2268" w:hanging="1134"/>
        <w:rPr>
          <w:lang w:val="fr-FR"/>
        </w:rPr>
      </w:pPr>
      <w:r w:rsidRPr="00A779B8">
        <w:rPr>
          <w:lang w:val="fr-FR"/>
        </w:rPr>
        <w:lastRenderedPageBreak/>
        <w:t>1.4.8</w:t>
      </w:r>
      <w:r w:rsidRPr="00A779B8">
        <w:rPr>
          <w:lang w:val="fr-FR"/>
        </w:rPr>
        <w:tab/>
        <w:t>Des sacs (B) pour la collecte des échantillons de gaz d</w:t>
      </w:r>
      <w:r w:rsidR="00DB4C2D">
        <w:rPr>
          <w:lang w:val="fr-FR"/>
        </w:rPr>
        <w:t>’</w:t>
      </w:r>
      <w:r w:rsidRPr="00A779B8">
        <w:rPr>
          <w:lang w:val="fr-FR"/>
        </w:rPr>
        <w:t>échappement dilués et d</w:t>
      </w:r>
      <w:r w:rsidR="00DB4C2D">
        <w:rPr>
          <w:lang w:val="fr-FR"/>
        </w:rPr>
        <w:t>’</w:t>
      </w:r>
      <w:r w:rsidRPr="00A779B8">
        <w:rPr>
          <w:lang w:val="fr-FR"/>
        </w:rPr>
        <w:t>air de dilution pendant l</w:t>
      </w:r>
      <w:r w:rsidR="00DB4C2D">
        <w:rPr>
          <w:lang w:val="fr-FR"/>
        </w:rPr>
        <w:t>’</w:t>
      </w:r>
      <w:r w:rsidRPr="00A779B8">
        <w:rPr>
          <w:lang w:val="fr-FR"/>
        </w:rPr>
        <w:t>essai;</w:t>
      </w:r>
    </w:p>
    <w:p w:rsidR="00C060A6" w:rsidRPr="00A779B8" w:rsidRDefault="00C060A6" w:rsidP="00C060A6">
      <w:pPr>
        <w:pStyle w:val="SingleTxtG"/>
        <w:ind w:left="2268" w:hanging="1134"/>
        <w:rPr>
          <w:lang w:val="fr-FR"/>
        </w:rPr>
      </w:pPr>
      <w:r w:rsidRPr="00A779B8">
        <w:rPr>
          <w:lang w:val="fr-FR"/>
        </w:rPr>
        <w:t>1.4.9</w:t>
      </w:r>
      <w:r w:rsidRPr="00A779B8">
        <w:rPr>
          <w:lang w:val="fr-FR"/>
        </w:rPr>
        <w:tab/>
        <w:t>Un venturi de prélèvement (SV) à écoulement critique, permettant de prélever des échantillons proportionnels de gaz d</w:t>
      </w:r>
      <w:r w:rsidR="00DB4C2D">
        <w:rPr>
          <w:lang w:val="fr-FR"/>
        </w:rPr>
        <w:t>’</w:t>
      </w:r>
      <w:r w:rsidRPr="00A779B8">
        <w:rPr>
          <w:lang w:val="fr-FR"/>
        </w:rPr>
        <w:t>échappement dilués à la sonde de prélèvement S</w:t>
      </w:r>
      <w:r w:rsidRPr="00A779B8">
        <w:rPr>
          <w:vertAlign w:val="subscript"/>
          <w:lang w:val="fr-FR"/>
        </w:rPr>
        <w:t>2</w:t>
      </w:r>
      <w:r w:rsidRPr="00A779B8">
        <w:rPr>
          <w:lang w:val="fr-FR"/>
        </w:rPr>
        <w:t> A (CFV-CVS uniquement);</w:t>
      </w:r>
    </w:p>
    <w:p w:rsidR="00C060A6" w:rsidRPr="00A779B8" w:rsidRDefault="00C060A6" w:rsidP="00C060A6">
      <w:pPr>
        <w:pStyle w:val="SingleTxtG"/>
        <w:ind w:left="2268" w:hanging="1134"/>
        <w:rPr>
          <w:lang w:val="fr-FR"/>
        </w:rPr>
      </w:pPr>
      <w:r w:rsidRPr="00A779B8">
        <w:rPr>
          <w:lang w:val="fr-FR"/>
        </w:rPr>
        <w:t>1.4.10</w:t>
      </w:r>
      <w:r w:rsidRPr="00A779B8">
        <w:rPr>
          <w:lang w:val="fr-FR"/>
        </w:rPr>
        <w:tab/>
        <w:t>Un épurateur (PS) dans la conduite de prélèvement (CFV-CVS uniquement);</w:t>
      </w:r>
    </w:p>
    <w:p w:rsidR="00C060A6" w:rsidRPr="00A779B8" w:rsidRDefault="00C060A6" w:rsidP="00C060A6">
      <w:pPr>
        <w:pStyle w:val="SingleTxtG"/>
        <w:ind w:left="2268" w:hanging="1134"/>
        <w:rPr>
          <w:lang w:val="fr-FR"/>
        </w:rPr>
      </w:pPr>
      <w:r w:rsidRPr="00A779B8">
        <w:rPr>
          <w:lang w:val="fr-FR"/>
        </w:rPr>
        <w:t>1.4.11</w:t>
      </w:r>
      <w:r w:rsidRPr="00A779B8">
        <w:rPr>
          <w:lang w:val="fr-FR"/>
        </w:rPr>
        <w:tab/>
        <w:t>Éléments pour le prélèvement des échantillons d</w:t>
      </w:r>
      <w:r w:rsidR="00DB4C2D">
        <w:rPr>
          <w:lang w:val="fr-FR"/>
        </w:rPr>
        <w:t>’</w:t>
      </w:r>
      <w:r w:rsidRPr="00A779B8">
        <w:rPr>
          <w:lang w:val="fr-FR"/>
        </w:rPr>
        <w:t>hydrocarbures au moyen d</w:t>
      </w:r>
      <w:r w:rsidR="00DB4C2D">
        <w:rPr>
          <w:lang w:val="fr-FR"/>
        </w:rPr>
        <w:t>’</w:t>
      </w:r>
      <w:r w:rsidRPr="00A779B8">
        <w:rPr>
          <w:lang w:val="fr-FR"/>
        </w:rPr>
        <w:t>un analyseur à ionisation de flamme chauffé (HFID):</w:t>
      </w:r>
    </w:p>
    <w:tbl>
      <w:tblPr>
        <w:tblW w:w="0" w:type="auto"/>
        <w:tblInd w:w="2268" w:type="dxa"/>
        <w:tblLayout w:type="fixed"/>
        <w:tblCellMar>
          <w:left w:w="0" w:type="dxa"/>
          <w:right w:w="0" w:type="dxa"/>
        </w:tblCellMar>
        <w:tblLook w:val="01E0" w:firstRow="1" w:lastRow="1" w:firstColumn="1" w:lastColumn="1" w:noHBand="0" w:noVBand="0"/>
      </w:tblPr>
      <w:tblGrid>
        <w:gridCol w:w="567"/>
        <w:gridCol w:w="284"/>
        <w:gridCol w:w="5103"/>
        <w:tblGridChange w:id="200">
          <w:tblGrid>
            <w:gridCol w:w="567"/>
            <w:gridCol w:w="284"/>
            <w:gridCol w:w="5103"/>
          </w:tblGrid>
        </w:tblGridChange>
      </w:tblGrid>
      <w:tr w:rsidR="00C060A6" w:rsidRPr="007E29C4" w:rsidTr="00A36982">
        <w:tc>
          <w:tcPr>
            <w:tcW w:w="567" w:type="dxa"/>
            <w:shd w:val="clear" w:color="auto" w:fill="auto"/>
          </w:tcPr>
          <w:p w:rsidR="00C060A6" w:rsidRPr="007E29C4" w:rsidRDefault="00C060A6" w:rsidP="00A36982">
            <w:pPr>
              <w:spacing w:after="120"/>
              <w:rPr>
                <w:lang w:val="fr-FR"/>
              </w:rPr>
            </w:pPr>
            <w:proofErr w:type="spellStart"/>
            <w:r w:rsidRPr="007E29C4">
              <w:rPr>
                <w:lang w:val="fr-FR"/>
              </w:rPr>
              <w:t>Fh</w:t>
            </w:r>
            <w:proofErr w:type="spellEnd"/>
          </w:p>
        </w:tc>
        <w:tc>
          <w:tcPr>
            <w:tcW w:w="284" w:type="dxa"/>
            <w:shd w:val="clear" w:color="auto" w:fill="auto"/>
          </w:tcPr>
          <w:p w:rsidR="00C060A6" w:rsidRPr="007E29C4" w:rsidRDefault="00C060A6" w:rsidP="00A36982">
            <w:pPr>
              <w:spacing w:after="120"/>
              <w:rPr>
                <w:lang w:val="fr-FR"/>
              </w:rPr>
            </w:pPr>
            <w:r w:rsidRPr="007E29C4">
              <w:rPr>
                <w:lang w:val="fr-FR"/>
              </w:rPr>
              <w:t>=</w:t>
            </w:r>
          </w:p>
        </w:tc>
        <w:tc>
          <w:tcPr>
            <w:tcW w:w="5103" w:type="dxa"/>
            <w:shd w:val="clear" w:color="auto" w:fill="auto"/>
          </w:tcPr>
          <w:p w:rsidR="00C060A6" w:rsidRPr="007E29C4" w:rsidRDefault="00C060A6" w:rsidP="00A36982">
            <w:pPr>
              <w:spacing w:after="120"/>
              <w:rPr>
                <w:lang w:val="fr-FR"/>
              </w:rPr>
            </w:pPr>
            <w:r w:rsidRPr="007E29C4">
              <w:rPr>
                <w:lang w:val="fr-FR"/>
              </w:rPr>
              <w:t>filtre chauffé,</w:t>
            </w:r>
          </w:p>
        </w:tc>
      </w:tr>
      <w:tr w:rsidR="00C060A6" w:rsidRPr="007E29C4" w:rsidTr="00A36982">
        <w:tc>
          <w:tcPr>
            <w:tcW w:w="567" w:type="dxa"/>
            <w:shd w:val="clear" w:color="auto" w:fill="auto"/>
          </w:tcPr>
          <w:p w:rsidR="00C060A6" w:rsidRPr="007E29C4" w:rsidRDefault="00C060A6" w:rsidP="00A36982">
            <w:pPr>
              <w:spacing w:after="120"/>
              <w:rPr>
                <w:lang w:val="fr-FR"/>
              </w:rPr>
            </w:pPr>
            <w:r w:rsidRPr="007E29C4">
              <w:rPr>
                <w:lang w:val="fr-FR"/>
              </w:rPr>
              <w:t>S</w:t>
            </w:r>
            <w:r w:rsidRPr="007E29C4">
              <w:rPr>
                <w:vertAlign w:val="subscript"/>
                <w:lang w:val="fr-FR"/>
              </w:rPr>
              <w:t>3</w:t>
            </w:r>
          </w:p>
        </w:tc>
        <w:tc>
          <w:tcPr>
            <w:tcW w:w="284" w:type="dxa"/>
            <w:shd w:val="clear" w:color="auto" w:fill="auto"/>
          </w:tcPr>
          <w:p w:rsidR="00C060A6" w:rsidRPr="007E29C4" w:rsidRDefault="00C060A6" w:rsidP="00A36982">
            <w:pPr>
              <w:spacing w:after="120"/>
              <w:rPr>
                <w:lang w:val="fr-FR"/>
              </w:rPr>
            </w:pPr>
            <w:r w:rsidRPr="007E29C4">
              <w:rPr>
                <w:lang w:val="fr-FR"/>
              </w:rPr>
              <w:t>=</w:t>
            </w:r>
          </w:p>
        </w:tc>
        <w:tc>
          <w:tcPr>
            <w:tcW w:w="5103" w:type="dxa"/>
            <w:shd w:val="clear" w:color="auto" w:fill="auto"/>
          </w:tcPr>
          <w:p w:rsidR="00C060A6" w:rsidRPr="007E29C4" w:rsidRDefault="00C060A6" w:rsidP="00A36982">
            <w:pPr>
              <w:spacing w:after="120"/>
              <w:rPr>
                <w:lang w:val="fr-FR"/>
              </w:rPr>
            </w:pPr>
            <w:r w:rsidRPr="007E29C4">
              <w:rPr>
                <w:lang w:val="fr-FR"/>
              </w:rPr>
              <w:t>point de prélèvement à proximité de la chambre de mélange,</w:t>
            </w:r>
          </w:p>
        </w:tc>
      </w:tr>
      <w:tr w:rsidR="00C060A6" w:rsidRPr="007E29C4" w:rsidTr="00A36982">
        <w:tc>
          <w:tcPr>
            <w:tcW w:w="567" w:type="dxa"/>
            <w:shd w:val="clear" w:color="auto" w:fill="auto"/>
          </w:tcPr>
          <w:p w:rsidR="00C060A6" w:rsidRPr="007E29C4" w:rsidRDefault="00C060A6" w:rsidP="00A36982">
            <w:pPr>
              <w:spacing w:after="120"/>
              <w:rPr>
                <w:lang w:val="fr-FR"/>
              </w:rPr>
            </w:pPr>
            <w:proofErr w:type="spellStart"/>
            <w:r w:rsidRPr="007E29C4">
              <w:rPr>
                <w:lang w:val="fr-FR"/>
              </w:rPr>
              <w:t>V</w:t>
            </w:r>
            <w:r w:rsidRPr="007E29C4">
              <w:rPr>
                <w:vertAlign w:val="subscript"/>
                <w:lang w:val="fr-FR"/>
              </w:rPr>
              <w:t>h</w:t>
            </w:r>
            <w:proofErr w:type="spellEnd"/>
          </w:p>
        </w:tc>
        <w:tc>
          <w:tcPr>
            <w:tcW w:w="284" w:type="dxa"/>
            <w:shd w:val="clear" w:color="auto" w:fill="auto"/>
          </w:tcPr>
          <w:p w:rsidR="00C060A6" w:rsidRPr="007E29C4" w:rsidRDefault="00C060A6" w:rsidP="00A36982">
            <w:pPr>
              <w:spacing w:after="120"/>
              <w:rPr>
                <w:lang w:val="fr-FR"/>
              </w:rPr>
            </w:pPr>
            <w:r w:rsidRPr="007E29C4">
              <w:rPr>
                <w:lang w:val="fr-FR"/>
              </w:rPr>
              <w:t>=</w:t>
            </w:r>
          </w:p>
        </w:tc>
        <w:tc>
          <w:tcPr>
            <w:tcW w:w="5103" w:type="dxa"/>
            <w:shd w:val="clear" w:color="auto" w:fill="auto"/>
          </w:tcPr>
          <w:p w:rsidR="00C060A6" w:rsidRPr="007E29C4" w:rsidRDefault="00C060A6" w:rsidP="00A36982">
            <w:pPr>
              <w:spacing w:after="120"/>
              <w:rPr>
                <w:lang w:val="fr-FR"/>
              </w:rPr>
            </w:pPr>
            <w:r w:rsidRPr="007E29C4">
              <w:rPr>
                <w:lang w:val="fr-FR"/>
              </w:rPr>
              <w:t>vanne multivoies chauffée,</w:t>
            </w:r>
          </w:p>
        </w:tc>
      </w:tr>
      <w:tr w:rsidR="00C060A6" w:rsidRPr="007E29C4" w:rsidTr="00A36982">
        <w:tc>
          <w:tcPr>
            <w:tcW w:w="567" w:type="dxa"/>
            <w:shd w:val="clear" w:color="auto" w:fill="auto"/>
          </w:tcPr>
          <w:p w:rsidR="00C060A6" w:rsidRPr="007E29C4" w:rsidRDefault="00C060A6" w:rsidP="00A36982">
            <w:pPr>
              <w:spacing w:after="120"/>
              <w:rPr>
                <w:lang w:val="fr-FR"/>
              </w:rPr>
            </w:pPr>
            <w:r w:rsidRPr="007E29C4">
              <w:rPr>
                <w:lang w:val="fr-FR"/>
              </w:rPr>
              <w:t>Q</w:t>
            </w:r>
          </w:p>
        </w:tc>
        <w:tc>
          <w:tcPr>
            <w:tcW w:w="284" w:type="dxa"/>
            <w:shd w:val="clear" w:color="auto" w:fill="auto"/>
          </w:tcPr>
          <w:p w:rsidR="00C060A6" w:rsidRPr="007E29C4" w:rsidRDefault="00C060A6" w:rsidP="00A36982">
            <w:pPr>
              <w:spacing w:after="120"/>
              <w:rPr>
                <w:lang w:val="fr-FR"/>
              </w:rPr>
            </w:pPr>
            <w:r w:rsidRPr="007E29C4">
              <w:rPr>
                <w:lang w:val="fr-FR"/>
              </w:rPr>
              <w:t>=</w:t>
            </w:r>
          </w:p>
        </w:tc>
        <w:tc>
          <w:tcPr>
            <w:tcW w:w="5103" w:type="dxa"/>
            <w:shd w:val="clear" w:color="auto" w:fill="auto"/>
          </w:tcPr>
          <w:p w:rsidR="00C060A6" w:rsidRPr="007E29C4" w:rsidRDefault="00C060A6" w:rsidP="00A36982">
            <w:pPr>
              <w:spacing w:after="120"/>
              <w:rPr>
                <w:lang w:val="fr-FR"/>
              </w:rPr>
            </w:pPr>
            <w:r w:rsidRPr="007E29C4">
              <w:rPr>
                <w:lang w:val="fr-FR"/>
              </w:rPr>
              <w:t>raccord rapide permettant d</w:t>
            </w:r>
            <w:r w:rsidR="00DB4C2D">
              <w:rPr>
                <w:lang w:val="fr-FR"/>
              </w:rPr>
              <w:t>’</w:t>
            </w:r>
            <w:r w:rsidRPr="007E29C4">
              <w:rPr>
                <w:lang w:val="fr-FR"/>
              </w:rPr>
              <w:t>analyser l</w:t>
            </w:r>
            <w:r w:rsidR="00DB4C2D">
              <w:rPr>
                <w:lang w:val="fr-FR"/>
              </w:rPr>
              <w:t>’</w:t>
            </w:r>
            <w:r w:rsidRPr="007E29C4">
              <w:rPr>
                <w:lang w:val="fr-FR"/>
              </w:rPr>
              <w:t>échantillon d</w:t>
            </w:r>
            <w:r w:rsidR="00DB4C2D">
              <w:rPr>
                <w:lang w:val="fr-FR"/>
              </w:rPr>
              <w:t>’</w:t>
            </w:r>
            <w:r w:rsidRPr="007E29C4">
              <w:rPr>
                <w:lang w:val="fr-FR"/>
              </w:rPr>
              <w:t>air ambiant BA sur le détecteur HFID,</w:t>
            </w:r>
          </w:p>
        </w:tc>
      </w:tr>
      <w:tr w:rsidR="00C060A6" w:rsidRPr="007E29C4" w:rsidTr="00A36982">
        <w:tc>
          <w:tcPr>
            <w:tcW w:w="567" w:type="dxa"/>
            <w:shd w:val="clear" w:color="auto" w:fill="auto"/>
          </w:tcPr>
          <w:p w:rsidR="00C060A6" w:rsidRPr="007E29C4" w:rsidRDefault="00C060A6" w:rsidP="00A36982">
            <w:pPr>
              <w:spacing w:after="120"/>
              <w:rPr>
                <w:lang w:val="fr-FR"/>
              </w:rPr>
            </w:pPr>
            <w:r w:rsidRPr="007E29C4">
              <w:rPr>
                <w:lang w:val="fr-FR"/>
              </w:rPr>
              <w:t>FID</w:t>
            </w:r>
          </w:p>
        </w:tc>
        <w:tc>
          <w:tcPr>
            <w:tcW w:w="284" w:type="dxa"/>
            <w:shd w:val="clear" w:color="auto" w:fill="auto"/>
          </w:tcPr>
          <w:p w:rsidR="00C060A6" w:rsidRPr="007E29C4" w:rsidRDefault="00C060A6" w:rsidP="00A36982">
            <w:pPr>
              <w:spacing w:after="120"/>
              <w:rPr>
                <w:lang w:val="fr-FR"/>
              </w:rPr>
            </w:pPr>
            <w:r w:rsidRPr="007E29C4">
              <w:rPr>
                <w:lang w:val="fr-FR"/>
              </w:rPr>
              <w:t>=</w:t>
            </w:r>
          </w:p>
        </w:tc>
        <w:tc>
          <w:tcPr>
            <w:tcW w:w="5103" w:type="dxa"/>
            <w:shd w:val="clear" w:color="auto" w:fill="auto"/>
          </w:tcPr>
          <w:p w:rsidR="00C060A6" w:rsidRPr="007E29C4" w:rsidRDefault="00C060A6" w:rsidP="00A36982">
            <w:pPr>
              <w:spacing w:after="120"/>
              <w:rPr>
                <w:lang w:val="fr-FR"/>
              </w:rPr>
            </w:pPr>
            <w:r w:rsidRPr="007E29C4">
              <w:rPr>
                <w:lang w:val="fr-FR"/>
              </w:rPr>
              <w:t>analyseur à ionisation de flamme chauffé,</w:t>
            </w:r>
          </w:p>
        </w:tc>
      </w:tr>
      <w:tr w:rsidR="00C060A6" w:rsidRPr="007E29C4" w:rsidTr="00A36982">
        <w:tc>
          <w:tcPr>
            <w:tcW w:w="567" w:type="dxa"/>
            <w:shd w:val="clear" w:color="auto" w:fill="auto"/>
          </w:tcPr>
          <w:p w:rsidR="00C060A6" w:rsidRPr="007E29C4" w:rsidRDefault="00C060A6" w:rsidP="00A36982">
            <w:pPr>
              <w:spacing w:after="120"/>
              <w:rPr>
                <w:lang w:val="fr-FR"/>
              </w:rPr>
            </w:pPr>
            <w:r w:rsidRPr="007E29C4">
              <w:rPr>
                <w:lang w:val="fr-FR"/>
              </w:rPr>
              <w:t>R et I</w:t>
            </w:r>
          </w:p>
        </w:tc>
        <w:tc>
          <w:tcPr>
            <w:tcW w:w="284" w:type="dxa"/>
            <w:shd w:val="clear" w:color="auto" w:fill="auto"/>
          </w:tcPr>
          <w:p w:rsidR="00C060A6" w:rsidRPr="007E29C4" w:rsidRDefault="00C060A6" w:rsidP="00A36982">
            <w:pPr>
              <w:spacing w:after="120"/>
              <w:rPr>
                <w:lang w:val="fr-FR"/>
              </w:rPr>
            </w:pPr>
            <w:r w:rsidRPr="007E29C4">
              <w:rPr>
                <w:lang w:val="fr-FR"/>
              </w:rPr>
              <w:t>=</w:t>
            </w:r>
          </w:p>
        </w:tc>
        <w:tc>
          <w:tcPr>
            <w:tcW w:w="5103" w:type="dxa"/>
            <w:shd w:val="clear" w:color="auto" w:fill="auto"/>
          </w:tcPr>
          <w:p w:rsidR="00C060A6" w:rsidRPr="007E29C4" w:rsidRDefault="00C060A6" w:rsidP="00A36982">
            <w:pPr>
              <w:spacing w:after="120"/>
              <w:rPr>
                <w:lang w:val="fr-FR"/>
              </w:rPr>
            </w:pPr>
            <w:r w:rsidRPr="007E29C4">
              <w:rPr>
                <w:lang w:val="fr-FR"/>
              </w:rPr>
              <w:t>appareils d</w:t>
            </w:r>
            <w:r w:rsidR="00DB4C2D">
              <w:rPr>
                <w:lang w:val="fr-FR"/>
              </w:rPr>
              <w:t>’</w:t>
            </w:r>
            <w:r w:rsidRPr="007E29C4">
              <w:rPr>
                <w:lang w:val="fr-FR"/>
              </w:rPr>
              <w:t>intégration et d</w:t>
            </w:r>
            <w:r w:rsidR="00DB4C2D">
              <w:rPr>
                <w:lang w:val="fr-FR"/>
              </w:rPr>
              <w:t>’</w:t>
            </w:r>
            <w:r w:rsidRPr="007E29C4">
              <w:rPr>
                <w:lang w:val="fr-FR"/>
              </w:rPr>
              <w:t>enregistrement des concentrations instantanées d</w:t>
            </w:r>
            <w:r w:rsidR="00DB4C2D">
              <w:rPr>
                <w:lang w:val="fr-FR"/>
              </w:rPr>
              <w:t>’</w:t>
            </w:r>
            <w:r w:rsidRPr="007E29C4">
              <w:rPr>
                <w:lang w:val="fr-FR"/>
              </w:rPr>
              <w:t>hydrocarbures,</w:t>
            </w:r>
          </w:p>
        </w:tc>
      </w:tr>
      <w:tr w:rsidR="00C060A6" w:rsidRPr="007E29C4" w:rsidTr="00A36982">
        <w:tc>
          <w:tcPr>
            <w:tcW w:w="567" w:type="dxa"/>
            <w:shd w:val="clear" w:color="auto" w:fill="auto"/>
          </w:tcPr>
          <w:p w:rsidR="00C060A6" w:rsidRPr="007E29C4" w:rsidRDefault="00C060A6" w:rsidP="00A36982">
            <w:pPr>
              <w:spacing w:after="120"/>
              <w:rPr>
                <w:lang w:val="fr-FR"/>
              </w:rPr>
            </w:pPr>
            <w:proofErr w:type="spellStart"/>
            <w:r w:rsidRPr="007E29C4">
              <w:rPr>
                <w:lang w:val="fr-FR"/>
              </w:rPr>
              <w:t>L</w:t>
            </w:r>
            <w:r w:rsidRPr="007E29C4">
              <w:rPr>
                <w:vertAlign w:val="subscript"/>
                <w:lang w:val="fr-FR"/>
              </w:rPr>
              <w:t>h</w:t>
            </w:r>
            <w:proofErr w:type="spellEnd"/>
          </w:p>
        </w:tc>
        <w:tc>
          <w:tcPr>
            <w:tcW w:w="284" w:type="dxa"/>
            <w:shd w:val="clear" w:color="auto" w:fill="auto"/>
          </w:tcPr>
          <w:p w:rsidR="00C060A6" w:rsidRPr="007E29C4" w:rsidRDefault="00C060A6" w:rsidP="00A36982">
            <w:pPr>
              <w:spacing w:after="120"/>
              <w:rPr>
                <w:lang w:val="fr-FR"/>
              </w:rPr>
            </w:pPr>
            <w:r w:rsidRPr="007E29C4">
              <w:rPr>
                <w:lang w:val="fr-FR"/>
              </w:rPr>
              <w:t>=</w:t>
            </w:r>
          </w:p>
        </w:tc>
        <w:tc>
          <w:tcPr>
            <w:tcW w:w="5103" w:type="dxa"/>
            <w:shd w:val="clear" w:color="auto" w:fill="auto"/>
          </w:tcPr>
          <w:p w:rsidR="00C060A6" w:rsidRPr="007E29C4" w:rsidRDefault="00C060A6" w:rsidP="00A36982">
            <w:pPr>
              <w:spacing w:after="120"/>
              <w:rPr>
                <w:lang w:val="fr-FR"/>
              </w:rPr>
            </w:pPr>
            <w:r w:rsidRPr="007E29C4">
              <w:rPr>
                <w:lang w:val="fr-FR"/>
              </w:rPr>
              <w:t>conduite de prélèvement chauffée.</w:t>
            </w:r>
          </w:p>
        </w:tc>
      </w:tr>
    </w:tbl>
    <w:p w:rsidR="00C060A6" w:rsidRPr="00A779B8" w:rsidRDefault="00C060A6" w:rsidP="00C060A6">
      <w:pPr>
        <w:pStyle w:val="SingleTxtG"/>
        <w:keepNext/>
        <w:spacing w:before="120"/>
        <w:ind w:left="2268" w:hanging="1134"/>
        <w:jc w:val="left"/>
        <w:rPr>
          <w:lang w:val="fr-FR"/>
        </w:rPr>
      </w:pPr>
      <w:r w:rsidRPr="00A779B8">
        <w:rPr>
          <w:lang w:val="fr-FR"/>
        </w:rPr>
        <w:t>2.</w:t>
      </w:r>
      <w:r w:rsidRPr="00A779B8">
        <w:rPr>
          <w:lang w:val="fr-FR"/>
        </w:rPr>
        <w:tab/>
        <w:t>Procédures d</w:t>
      </w:r>
      <w:r w:rsidR="00DB4C2D">
        <w:rPr>
          <w:lang w:val="fr-FR"/>
        </w:rPr>
        <w:t>’</w:t>
      </w:r>
      <w:r w:rsidRPr="00A779B8">
        <w:rPr>
          <w:lang w:val="fr-FR"/>
        </w:rPr>
        <w:t>étalonnage</w:t>
      </w:r>
    </w:p>
    <w:p w:rsidR="00C060A6" w:rsidRPr="00A779B8" w:rsidRDefault="00C060A6" w:rsidP="00C060A6">
      <w:pPr>
        <w:pStyle w:val="SingleTxtG"/>
        <w:keepNext/>
        <w:ind w:left="2268" w:hanging="1134"/>
        <w:rPr>
          <w:lang w:val="fr-FR"/>
        </w:rPr>
      </w:pPr>
      <w:r w:rsidRPr="00A779B8">
        <w:rPr>
          <w:lang w:val="fr-FR"/>
        </w:rPr>
        <w:t>2.1</w:t>
      </w:r>
      <w:r w:rsidRPr="00A779B8">
        <w:rPr>
          <w:lang w:val="fr-FR"/>
        </w:rPr>
        <w:tab/>
        <w:t>Procédure d</w:t>
      </w:r>
      <w:r w:rsidR="00DB4C2D">
        <w:rPr>
          <w:lang w:val="fr-FR"/>
        </w:rPr>
        <w:t>’</w:t>
      </w:r>
      <w:r w:rsidRPr="00A779B8">
        <w:rPr>
          <w:lang w:val="fr-FR"/>
        </w:rPr>
        <w:t>étalonnage des analyseurs</w:t>
      </w:r>
    </w:p>
    <w:p w:rsidR="00C060A6" w:rsidRPr="00A779B8" w:rsidRDefault="00C060A6" w:rsidP="00C060A6">
      <w:pPr>
        <w:pStyle w:val="SingleTxtG"/>
        <w:ind w:left="2268" w:hanging="1134"/>
        <w:rPr>
          <w:lang w:val="fr-FR"/>
        </w:rPr>
      </w:pPr>
      <w:r w:rsidRPr="00A779B8">
        <w:rPr>
          <w:lang w:val="fr-FR"/>
        </w:rPr>
        <w:t>2.1.1</w:t>
      </w:r>
      <w:r w:rsidRPr="00A779B8">
        <w:rPr>
          <w:lang w:val="fr-FR"/>
        </w:rPr>
        <w:tab/>
        <w:t>Chaque analyseur doit être étalonné aussi souvent qu</w:t>
      </w:r>
      <w:r w:rsidR="00DB4C2D">
        <w:rPr>
          <w:lang w:val="fr-FR"/>
        </w:rPr>
        <w:t>’</w:t>
      </w:r>
      <w:r w:rsidRPr="00A779B8">
        <w:rPr>
          <w:lang w:val="fr-FR"/>
        </w:rPr>
        <w:t>il est nécessaire et en tout cas au cours du mois précédant l</w:t>
      </w:r>
      <w:r w:rsidR="00DB4C2D">
        <w:rPr>
          <w:lang w:val="fr-FR"/>
        </w:rPr>
        <w:t>’</w:t>
      </w:r>
      <w:r w:rsidRPr="00A779B8">
        <w:rPr>
          <w:lang w:val="fr-FR"/>
        </w:rPr>
        <w:t>essai d</w:t>
      </w:r>
      <w:r w:rsidR="00DB4C2D">
        <w:rPr>
          <w:lang w:val="fr-FR"/>
        </w:rPr>
        <w:t>’</w:t>
      </w:r>
      <w:r w:rsidRPr="00A779B8">
        <w:rPr>
          <w:lang w:val="fr-FR"/>
        </w:rPr>
        <w:t>homologation de type, ainsi qu</w:t>
      </w:r>
      <w:r w:rsidR="00DB4C2D">
        <w:rPr>
          <w:lang w:val="fr-FR"/>
        </w:rPr>
        <w:t>’</w:t>
      </w:r>
      <w:r w:rsidRPr="00A779B8">
        <w:rPr>
          <w:lang w:val="fr-FR"/>
        </w:rPr>
        <w:t>une fois au moins tous les six mois pour le contrôle de la conformité de production.</w:t>
      </w:r>
    </w:p>
    <w:p w:rsidR="00C060A6" w:rsidRPr="00A779B8" w:rsidRDefault="00C060A6" w:rsidP="00C060A6">
      <w:pPr>
        <w:pStyle w:val="SingleTxtG"/>
        <w:ind w:left="2268" w:hanging="1134"/>
        <w:rPr>
          <w:lang w:val="fr-FR"/>
        </w:rPr>
      </w:pPr>
      <w:r w:rsidRPr="00A779B8">
        <w:rPr>
          <w:lang w:val="fr-FR"/>
        </w:rPr>
        <w:t>2.1.2</w:t>
      </w:r>
      <w:r w:rsidRPr="00A779B8">
        <w:rPr>
          <w:lang w:val="fr-FR"/>
        </w:rPr>
        <w:tab/>
        <w:t>Chaque gamme de mesure normalement utilisée doit être étalonnée par la méthode définie ci-après.</w:t>
      </w:r>
    </w:p>
    <w:p w:rsidR="00C060A6" w:rsidRPr="00A779B8" w:rsidRDefault="00C060A6" w:rsidP="00C060A6">
      <w:pPr>
        <w:pStyle w:val="SingleTxtG"/>
        <w:ind w:left="2268" w:hanging="1134"/>
        <w:rPr>
          <w:lang w:val="fr-FR"/>
        </w:rPr>
      </w:pPr>
      <w:r w:rsidRPr="00A779B8">
        <w:rPr>
          <w:lang w:val="fr-FR"/>
        </w:rPr>
        <w:t>2.1.2.1</w:t>
      </w:r>
      <w:r w:rsidRPr="00A779B8">
        <w:rPr>
          <w:lang w:val="fr-FR"/>
        </w:rPr>
        <w:tab/>
        <w:t>On détermine la courbe d</w:t>
      </w:r>
      <w:r w:rsidR="00DB4C2D">
        <w:rPr>
          <w:lang w:val="fr-FR"/>
        </w:rPr>
        <w:t>’</w:t>
      </w:r>
      <w:r w:rsidRPr="00A779B8">
        <w:rPr>
          <w:lang w:val="fr-FR"/>
        </w:rPr>
        <w:t>étalonnage sur cinq points au moins d</w:t>
      </w:r>
      <w:r w:rsidR="00DB4C2D">
        <w:rPr>
          <w:lang w:val="fr-FR"/>
        </w:rPr>
        <w:t>’</w:t>
      </w:r>
      <w:r w:rsidRPr="00A779B8">
        <w:rPr>
          <w:lang w:val="fr-FR"/>
        </w:rPr>
        <w:t>étalonnage, dont l</w:t>
      </w:r>
      <w:r w:rsidR="00DB4C2D">
        <w:rPr>
          <w:lang w:val="fr-FR"/>
        </w:rPr>
        <w:t>’</w:t>
      </w:r>
      <w:r w:rsidRPr="00A779B8">
        <w:rPr>
          <w:lang w:val="fr-FR"/>
        </w:rPr>
        <w:t>espacement doit être aussi uniforme que possible. La concentration nominale du gaz d</w:t>
      </w:r>
      <w:r w:rsidR="00DB4C2D">
        <w:rPr>
          <w:lang w:val="fr-FR"/>
        </w:rPr>
        <w:t>’</w:t>
      </w:r>
      <w:r w:rsidRPr="00A779B8">
        <w:rPr>
          <w:lang w:val="fr-FR"/>
        </w:rPr>
        <w:t>étalonnage à la plus forte concentration doit être au moins égale à 80 % de la pleine échelle.</w:t>
      </w:r>
    </w:p>
    <w:p w:rsidR="00C060A6" w:rsidRPr="00A779B8" w:rsidRDefault="00C060A6" w:rsidP="00C060A6">
      <w:pPr>
        <w:pStyle w:val="SingleTxtG"/>
        <w:ind w:left="2268" w:hanging="1134"/>
        <w:rPr>
          <w:lang w:val="fr-FR"/>
        </w:rPr>
      </w:pPr>
      <w:r w:rsidRPr="00A779B8">
        <w:rPr>
          <w:lang w:val="fr-FR"/>
        </w:rPr>
        <w:t>2.1.2.2</w:t>
      </w:r>
      <w:r w:rsidRPr="00A779B8">
        <w:rPr>
          <w:lang w:val="fr-FR"/>
        </w:rPr>
        <w:tab/>
        <w:t>La concentration du gaz d</w:t>
      </w:r>
      <w:r w:rsidR="00DB4C2D">
        <w:rPr>
          <w:lang w:val="fr-FR"/>
        </w:rPr>
        <w:t>’</w:t>
      </w:r>
      <w:r w:rsidRPr="00A779B8">
        <w:rPr>
          <w:lang w:val="fr-FR"/>
        </w:rPr>
        <w:t>étalonnage prescrite peut être obtenue avec un mélangeur doseur de gaz, par dilution avec de l</w:t>
      </w:r>
      <w:r w:rsidR="00DB4C2D">
        <w:rPr>
          <w:lang w:val="fr-FR"/>
        </w:rPr>
        <w:t>’</w:t>
      </w:r>
      <w:r w:rsidRPr="00A779B8">
        <w:rPr>
          <w:lang w:val="fr-FR"/>
        </w:rPr>
        <w:t>azote purifié ou avec de l</w:t>
      </w:r>
      <w:r w:rsidR="00DB4C2D">
        <w:rPr>
          <w:lang w:val="fr-FR"/>
        </w:rPr>
        <w:t>’</w:t>
      </w:r>
      <w:r w:rsidRPr="00A779B8">
        <w:rPr>
          <w:lang w:val="fr-FR"/>
        </w:rPr>
        <w:t>air synthétique purifié. La justesse du dispositif mélangeur doit être telle que la teneur des gaz d</w:t>
      </w:r>
      <w:r w:rsidR="00DB4C2D">
        <w:rPr>
          <w:lang w:val="fr-FR"/>
        </w:rPr>
        <w:t>’</w:t>
      </w:r>
      <w:r w:rsidRPr="00A779B8">
        <w:rPr>
          <w:lang w:val="fr-FR"/>
        </w:rPr>
        <w:t xml:space="preserve">étalonnage dilués puisse être déterminée à </w:t>
      </w:r>
      <w:r w:rsidRPr="00A779B8">
        <w:rPr>
          <w:lang w:val="fr-FR"/>
        </w:rPr>
        <w:sym w:font="Symbol" w:char="F0B1"/>
      </w:r>
      <w:r w:rsidRPr="00A779B8">
        <w:rPr>
          <w:lang w:val="fr-FR"/>
        </w:rPr>
        <w:t>2 %.</w:t>
      </w:r>
    </w:p>
    <w:p w:rsidR="00C060A6" w:rsidRPr="00A779B8" w:rsidRDefault="00C060A6" w:rsidP="00C060A6">
      <w:pPr>
        <w:pStyle w:val="SingleTxtG"/>
        <w:ind w:left="2268" w:hanging="1134"/>
        <w:rPr>
          <w:lang w:val="fr-FR"/>
        </w:rPr>
      </w:pPr>
      <w:r w:rsidRPr="00A779B8">
        <w:rPr>
          <w:lang w:val="fr-FR"/>
        </w:rPr>
        <w:t>2.1.2.3</w:t>
      </w:r>
      <w:r w:rsidRPr="00A779B8">
        <w:rPr>
          <w:lang w:val="fr-FR"/>
        </w:rPr>
        <w:tab/>
        <w:t>La courbe d</w:t>
      </w:r>
      <w:r w:rsidR="00DB4C2D">
        <w:rPr>
          <w:lang w:val="fr-FR"/>
        </w:rPr>
        <w:t>’</w:t>
      </w:r>
      <w:r w:rsidRPr="00A779B8">
        <w:rPr>
          <w:lang w:val="fr-FR"/>
        </w:rPr>
        <w:t>étalonnage est calculée par la méthode des «moindres carrés». Si le polynôme résultant est d</w:t>
      </w:r>
      <w:r w:rsidR="00DB4C2D">
        <w:rPr>
          <w:lang w:val="fr-FR"/>
        </w:rPr>
        <w:t>’</w:t>
      </w:r>
      <w:r w:rsidRPr="00A779B8">
        <w:rPr>
          <w:lang w:val="fr-FR"/>
        </w:rPr>
        <w:t>un degré supérieur à 3, le nombre de points d</w:t>
      </w:r>
      <w:r w:rsidR="00DB4C2D">
        <w:rPr>
          <w:lang w:val="fr-FR"/>
        </w:rPr>
        <w:t>’</w:t>
      </w:r>
      <w:r w:rsidRPr="00A779B8">
        <w:rPr>
          <w:lang w:val="fr-FR"/>
        </w:rPr>
        <w:t>étalonnage doit être au moins égal au degré de ce polynôme plus 2.</w:t>
      </w:r>
    </w:p>
    <w:p w:rsidR="00C060A6" w:rsidRPr="00A779B8" w:rsidRDefault="00C060A6" w:rsidP="00C060A6">
      <w:pPr>
        <w:pStyle w:val="SingleTxtG"/>
        <w:ind w:left="2268" w:hanging="1134"/>
        <w:rPr>
          <w:lang w:val="fr-FR"/>
        </w:rPr>
      </w:pPr>
      <w:r w:rsidRPr="00A779B8">
        <w:rPr>
          <w:lang w:val="fr-FR"/>
        </w:rPr>
        <w:t>2.1.2.4</w:t>
      </w:r>
      <w:r w:rsidRPr="00A779B8">
        <w:rPr>
          <w:lang w:val="fr-FR"/>
        </w:rPr>
        <w:tab/>
        <w:t>La courbe d</w:t>
      </w:r>
      <w:r w:rsidR="00DB4C2D">
        <w:rPr>
          <w:lang w:val="fr-FR"/>
        </w:rPr>
        <w:t>’</w:t>
      </w:r>
      <w:r w:rsidRPr="00A779B8">
        <w:rPr>
          <w:lang w:val="fr-FR"/>
        </w:rPr>
        <w:t>étalonnage ne doit pas s</w:t>
      </w:r>
      <w:r w:rsidR="00DB4C2D">
        <w:rPr>
          <w:lang w:val="fr-FR"/>
        </w:rPr>
        <w:t>’</w:t>
      </w:r>
      <w:r w:rsidRPr="00A779B8">
        <w:rPr>
          <w:lang w:val="fr-FR"/>
        </w:rPr>
        <w:t>écarter de plus de 2 % de la valeur nominale de chaque gaz d</w:t>
      </w:r>
      <w:r w:rsidR="00DB4C2D">
        <w:rPr>
          <w:lang w:val="fr-FR"/>
        </w:rPr>
        <w:t>’</w:t>
      </w:r>
      <w:r w:rsidRPr="00A779B8">
        <w:rPr>
          <w:lang w:val="fr-FR"/>
        </w:rPr>
        <w:t>étalonnage.</w:t>
      </w:r>
    </w:p>
    <w:p w:rsidR="00C060A6" w:rsidRPr="00A779B8" w:rsidRDefault="00C060A6" w:rsidP="00C060A6">
      <w:pPr>
        <w:pStyle w:val="SingleTxtG"/>
        <w:keepNext/>
        <w:ind w:left="2268" w:hanging="1134"/>
        <w:rPr>
          <w:lang w:val="fr-FR"/>
        </w:rPr>
      </w:pPr>
      <w:r w:rsidRPr="00A779B8">
        <w:rPr>
          <w:lang w:val="fr-FR"/>
        </w:rPr>
        <w:lastRenderedPageBreak/>
        <w:t>2.1.3</w:t>
      </w:r>
      <w:r w:rsidRPr="00A779B8">
        <w:rPr>
          <w:lang w:val="fr-FR"/>
        </w:rPr>
        <w:tab/>
        <w:t>Tracé de la courbe d</w:t>
      </w:r>
      <w:r w:rsidR="00DB4C2D">
        <w:rPr>
          <w:lang w:val="fr-FR"/>
        </w:rPr>
        <w:t>’</w:t>
      </w:r>
      <w:r w:rsidRPr="00A779B8">
        <w:rPr>
          <w:lang w:val="fr-FR"/>
        </w:rPr>
        <w:t>étalonnage</w:t>
      </w:r>
    </w:p>
    <w:p w:rsidR="00C060A6" w:rsidRPr="00A779B8" w:rsidRDefault="00C060A6" w:rsidP="00C060A6">
      <w:pPr>
        <w:pStyle w:val="SingleTxtG"/>
        <w:keepNext/>
        <w:ind w:left="2268"/>
        <w:rPr>
          <w:lang w:val="fr-FR"/>
        </w:rPr>
      </w:pPr>
      <w:r w:rsidRPr="00A779B8">
        <w:rPr>
          <w:lang w:val="fr-FR"/>
        </w:rPr>
        <w:tab/>
        <w:t>Le tracé de la courbe d</w:t>
      </w:r>
      <w:r w:rsidR="00DB4C2D">
        <w:rPr>
          <w:lang w:val="fr-FR"/>
        </w:rPr>
        <w:t>’</w:t>
      </w:r>
      <w:r w:rsidRPr="00A779B8">
        <w:rPr>
          <w:lang w:val="fr-FR"/>
        </w:rPr>
        <w:t>étalonnage et des points d</w:t>
      </w:r>
      <w:r w:rsidR="00DB4C2D">
        <w:rPr>
          <w:lang w:val="fr-FR"/>
        </w:rPr>
        <w:t>’</w:t>
      </w:r>
      <w:r w:rsidRPr="00A779B8">
        <w:rPr>
          <w:lang w:val="fr-FR"/>
        </w:rPr>
        <w:t>étalonnage permet de vérifier l</w:t>
      </w:r>
      <w:r w:rsidR="00DB4C2D">
        <w:rPr>
          <w:lang w:val="fr-FR"/>
        </w:rPr>
        <w:t>’</w:t>
      </w:r>
      <w:r w:rsidRPr="00A779B8">
        <w:rPr>
          <w:lang w:val="fr-FR"/>
        </w:rPr>
        <w:t>exécution correcte de l</w:t>
      </w:r>
      <w:r w:rsidR="00DB4C2D">
        <w:rPr>
          <w:lang w:val="fr-FR"/>
        </w:rPr>
        <w:t>’</w:t>
      </w:r>
      <w:r w:rsidRPr="00A779B8">
        <w:rPr>
          <w:lang w:val="fr-FR"/>
        </w:rPr>
        <w:t>étalonnage. Les différents paramètres caractéristiques de l</w:t>
      </w:r>
      <w:r w:rsidR="00DB4C2D">
        <w:rPr>
          <w:lang w:val="fr-FR"/>
        </w:rPr>
        <w:t>’</w:t>
      </w:r>
      <w:r w:rsidRPr="00A779B8">
        <w:rPr>
          <w:lang w:val="fr-FR"/>
        </w:rPr>
        <w:t>analyseur doivent être indiqués, notamment:</w:t>
      </w:r>
    </w:p>
    <w:p w:rsidR="00C060A6" w:rsidRPr="00A779B8" w:rsidRDefault="00C060A6" w:rsidP="00C060A6">
      <w:pPr>
        <w:pStyle w:val="SingleTxtG"/>
        <w:ind w:left="2268"/>
        <w:jc w:val="left"/>
        <w:rPr>
          <w:lang w:val="fr-FR"/>
        </w:rPr>
      </w:pPr>
      <w:r w:rsidRPr="00A779B8">
        <w:rPr>
          <w:lang w:val="fr-FR"/>
        </w:rPr>
        <w:t>L</w:t>
      </w:r>
      <w:r w:rsidR="00DB4C2D">
        <w:rPr>
          <w:lang w:val="fr-FR"/>
        </w:rPr>
        <w:t>’</w:t>
      </w:r>
      <w:r w:rsidRPr="00A779B8">
        <w:rPr>
          <w:lang w:val="fr-FR"/>
        </w:rPr>
        <w:t>échelle;</w:t>
      </w:r>
    </w:p>
    <w:p w:rsidR="00C060A6" w:rsidRPr="00A779B8" w:rsidRDefault="00C060A6" w:rsidP="00C060A6">
      <w:pPr>
        <w:pStyle w:val="SingleTxtG"/>
        <w:ind w:left="2268"/>
        <w:jc w:val="left"/>
        <w:rPr>
          <w:lang w:val="fr-FR"/>
        </w:rPr>
      </w:pPr>
      <w:r w:rsidRPr="00A779B8">
        <w:rPr>
          <w:lang w:val="fr-FR"/>
        </w:rPr>
        <w:t>La sensibilité;</w:t>
      </w:r>
    </w:p>
    <w:p w:rsidR="00C060A6" w:rsidRPr="00A779B8" w:rsidRDefault="00C060A6" w:rsidP="00C060A6">
      <w:pPr>
        <w:pStyle w:val="SingleTxtG"/>
        <w:ind w:left="2268"/>
        <w:jc w:val="left"/>
        <w:rPr>
          <w:lang w:val="fr-FR"/>
        </w:rPr>
      </w:pPr>
      <w:r w:rsidRPr="00A779B8">
        <w:rPr>
          <w:lang w:val="fr-FR"/>
        </w:rPr>
        <w:t>Le zéro;</w:t>
      </w:r>
    </w:p>
    <w:p w:rsidR="00C060A6" w:rsidRPr="00A779B8" w:rsidRDefault="00C060A6" w:rsidP="00C060A6">
      <w:pPr>
        <w:pStyle w:val="SingleTxtG"/>
        <w:ind w:left="2268"/>
        <w:jc w:val="left"/>
        <w:rPr>
          <w:lang w:val="fr-FR"/>
        </w:rPr>
      </w:pPr>
      <w:r w:rsidRPr="00A779B8">
        <w:rPr>
          <w:lang w:val="fr-FR"/>
        </w:rPr>
        <w:t>La date de l</w:t>
      </w:r>
      <w:r w:rsidR="00DB4C2D">
        <w:rPr>
          <w:lang w:val="fr-FR"/>
        </w:rPr>
        <w:t>’</w:t>
      </w:r>
      <w:r w:rsidRPr="00A779B8">
        <w:rPr>
          <w:lang w:val="fr-FR"/>
        </w:rPr>
        <w:t>étalonnage.</w:t>
      </w:r>
    </w:p>
    <w:p w:rsidR="00C060A6" w:rsidRPr="00A779B8" w:rsidRDefault="00C060A6" w:rsidP="00C060A6">
      <w:pPr>
        <w:pStyle w:val="SingleTxtG"/>
        <w:ind w:left="2268" w:hanging="1134"/>
        <w:rPr>
          <w:lang w:val="fr-FR"/>
        </w:rPr>
      </w:pPr>
      <w:r w:rsidRPr="00A779B8">
        <w:rPr>
          <w:lang w:val="fr-FR"/>
        </w:rPr>
        <w:t>2.1.4</w:t>
      </w:r>
      <w:r w:rsidRPr="00A779B8">
        <w:rPr>
          <w:lang w:val="fr-FR"/>
        </w:rPr>
        <w:tab/>
        <w:t>D</w:t>
      </w:r>
      <w:r w:rsidR="00DB4C2D">
        <w:rPr>
          <w:lang w:val="fr-FR"/>
        </w:rPr>
        <w:t>’</w:t>
      </w:r>
      <w:r w:rsidRPr="00A779B8">
        <w:rPr>
          <w:lang w:val="fr-FR"/>
        </w:rPr>
        <w:t>autres techniques (utilisation d</w:t>
      </w:r>
      <w:r w:rsidR="00DB4C2D">
        <w:rPr>
          <w:lang w:val="fr-FR"/>
        </w:rPr>
        <w:t>’</w:t>
      </w:r>
      <w:r w:rsidRPr="00A779B8">
        <w:rPr>
          <w:lang w:val="fr-FR"/>
        </w:rPr>
        <w:t>un calculateur, commutation de gamme électronique, etc.) peuvent être appliquées, s</w:t>
      </w:r>
      <w:r w:rsidR="00DB4C2D">
        <w:rPr>
          <w:lang w:val="fr-FR"/>
        </w:rPr>
        <w:t>’</w:t>
      </w:r>
      <w:r w:rsidRPr="00A779B8">
        <w:rPr>
          <w:lang w:val="fr-FR"/>
        </w:rPr>
        <w:t>il est démontré à la satisfaction du service technique qu</w:t>
      </w:r>
      <w:r w:rsidR="00DB4C2D">
        <w:rPr>
          <w:lang w:val="fr-FR"/>
        </w:rPr>
        <w:t>’</w:t>
      </w:r>
      <w:r w:rsidRPr="00A779B8">
        <w:rPr>
          <w:lang w:val="fr-FR"/>
        </w:rPr>
        <w:t>elles offrent une précision équivalente.</w:t>
      </w:r>
    </w:p>
    <w:p w:rsidR="00C060A6" w:rsidRPr="00A779B8" w:rsidRDefault="00C060A6" w:rsidP="00C060A6">
      <w:pPr>
        <w:pStyle w:val="SingleTxtG"/>
        <w:keepNext/>
        <w:ind w:left="2268" w:hanging="1134"/>
        <w:rPr>
          <w:lang w:val="fr-FR"/>
        </w:rPr>
      </w:pPr>
      <w:r w:rsidRPr="00A779B8">
        <w:rPr>
          <w:lang w:val="fr-FR"/>
        </w:rPr>
        <w:t>2.2</w:t>
      </w:r>
      <w:r w:rsidRPr="00A779B8">
        <w:rPr>
          <w:lang w:val="fr-FR"/>
        </w:rPr>
        <w:tab/>
        <w:t>Procédure de vérification de l</w:t>
      </w:r>
      <w:r w:rsidR="00DB4C2D">
        <w:rPr>
          <w:lang w:val="fr-FR"/>
        </w:rPr>
        <w:t>’</w:t>
      </w:r>
      <w:r w:rsidRPr="00A779B8">
        <w:rPr>
          <w:lang w:val="fr-FR"/>
        </w:rPr>
        <w:t>analyseur</w:t>
      </w:r>
    </w:p>
    <w:p w:rsidR="00C060A6" w:rsidRPr="00A779B8" w:rsidRDefault="00C060A6" w:rsidP="00C060A6">
      <w:pPr>
        <w:pStyle w:val="SingleTxtG"/>
        <w:ind w:left="2268" w:hanging="1134"/>
        <w:rPr>
          <w:lang w:val="fr-FR"/>
        </w:rPr>
      </w:pPr>
      <w:r w:rsidRPr="00A779B8">
        <w:rPr>
          <w:lang w:val="fr-FR"/>
        </w:rPr>
        <w:t>2.2.1</w:t>
      </w:r>
      <w:r w:rsidRPr="00A779B8">
        <w:rPr>
          <w:lang w:val="fr-FR"/>
        </w:rPr>
        <w:tab/>
        <w:t>Chaque gamme de mesure normalement utilisée doit être vérifiée avant chaque analyse conformément aux prescriptions ci-après.</w:t>
      </w:r>
    </w:p>
    <w:p w:rsidR="00C060A6" w:rsidRPr="00A779B8" w:rsidRDefault="00C060A6" w:rsidP="00C060A6">
      <w:pPr>
        <w:pStyle w:val="SingleTxtG"/>
        <w:ind w:left="2268" w:hanging="1134"/>
        <w:rPr>
          <w:lang w:val="fr-FR"/>
        </w:rPr>
      </w:pPr>
      <w:r w:rsidRPr="00A779B8">
        <w:rPr>
          <w:lang w:val="fr-FR"/>
        </w:rPr>
        <w:t>2.2.2</w:t>
      </w:r>
      <w:r w:rsidRPr="00A779B8">
        <w:rPr>
          <w:lang w:val="fr-FR"/>
        </w:rPr>
        <w:tab/>
        <w:t>On doit vérifier l</w:t>
      </w:r>
      <w:r w:rsidR="00DB4C2D">
        <w:rPr>
          <w:lang w:val="fr-FR"/>
        </w:rPr>
        <w:t>’</w:t>
      </w:r>
      <w:r w:rsidRPr="00A779B8">
        <w:rPr>
          <w:lang w:val="fr-FR"/>
        </w:rPr>
        <w:t>étalonnage en utilisant un gaz zéro et un gaz d</w:t>
      </w:r>
      <w:r w:rsidR="00DB4C2D">
        <w:rPr>
          <w:lang w:val="fr-FR"/>
        </w:rPr>
        <w:t>’</w:t>
      </w:r>
      <w:r w:rsidRPr="00A779B8">
        <w:rPr>
          <w:lang w:val="fr-FR"/>
        </w:rPr>
        <w:t>étalonnage dont la valeur nominale est comprise entre 80 et 95 % de la valeur que l</w:t>
      </w:r>
      <w:r w:rsidR="00DB4C2D">
        <w:rPr>
          <w:lang w:val="fr-FR"/>
        </w:rPr>
        <w:t>’</w:t>
      </w:r>
      <w:r w:rsidRPr="00A779B8">
        <w:rPr>
          <w:lang w:val="fr-FR"/>
        </w:rPr>
        <w:t>on est censé analyser.</w:t>
      </w:r>
    </w:p>
    <w:p w:rsidR="00C060A6" w:rsidRPr="00A779B8" w:rsidRDefault="00C060A6" w:rsidP="00C060A6">
      <w:pPr>
        <w:pStyle w:val="SingleTxtG"/>
        <w:ind w:left="2268" w:hanging="1134"/>
        <w:rPr>
          <w:lang w:val="fr-FR"/>
        </w:rPr>
      </w:pPr>
      <w:r w:rsidRPr="00A779B8">
        <w:rPr>
          <w:lang w:val="fr-FR"/>
        </w:rPr>
        <w:t>2.2.3</w:t>
      </w:r>
      <w:r w:rsidRPr="00A779B8">
        <w:rPr>
          <w:lang w:val="fr-FR"/>
        </w:rPr>
        <w:tab/>
        <w:t>Si, pour les deux points considérés, l</w:t>
      </w:r>
      <w:r w:rsidR="00DB4C2D">
        <w:rPr>
          <w:lang w:val="fr-FR"/>
        </w:rPr>
        <w:t>’</w:t>
      </w:r>
      <w:r w:rsidRPr="00A779B8">
        <w:rPr>
          <w:lang w:val="fr-FR"/>
        </w:rPr>
        <w:t>écart entre la valeur théorique et celle obtenue au moment de la vérification n</w:t>
      </w:r>
      <w:r w:rsidR="00DB4C2D">
        <w:rPr>
          <w:lang w:val="fr-FR"/>
        </w:rPr>
        <w:t>’</w:t>
      </w:r>
      <w:r w:rsidRPr="00A779B8">
        <w:rPr>
          <w:lang w:val="fr-FR"/>
        </w:rPr>
        <w:t xml:space="preserve">est pas supérieur à </w:t>
      </w:r>
      <w:r w:rsidRPr="00A779B8">
        <w:rPr>
          <w:lang w:val="fr-FR"/>
        </w:rPr>
        <w:sym w:font="Symbol" w:char="F0B1"/>
      </w:r>
      <w:r w:rsidRPr="00A779B8">
        <w:rPr>
          <w:lang w:val="fr-FR"/>
        </w:rPr>
        <w:t>5 % de la pleine échelle, on peut réajuster les paramètres de réglage. Dans le cas contraire, on doit refaire une courbe d</w:t>
      </w:r>
      <w:r w:rsidR="00DB4C2D">
        <w:rPr>
          <w:lang w:val="fr-FR"/>
        </w:rPr>
        <w:t>’</w:t>
      </w:r>
      <w:r w:rsidRPr="00A779B8">
        <w:rPr>
          <w:lang w:val="fr-FR"/>
        </w:rPr>
        <w:t>étalonnage conformément au paragraphe 2.1 du présent appendice.</w:t>
      </w:r>
    </w:p>
    <w:p w:rsidR="00C060A6" w:rsidRPr="00A779B8" w:rsidRDefault="00C060A6" w:rsidP="00C060A6">
      <w:pPr>
        <w:pStyle w:val="SingleTxtG"/>
        <w:ind w:left="2268" w:hanging="1134"/>
        <w:rPr>
          <w:lang w:val="fr-FR"/>
        </w:rPr>
      </w:pPr>
      <w:r w:rsidRPr="00A779B8">
        <w:rPr>
          <w:lang w:val="fr-FR"/>
        </w:rPr>
        <w:t>2.2.4</w:t>
      </w:r>
      <w:r w:rsidRPr="00A779B8">
        <w:rPr>
          <w:lang w:val="fr-FR"/>
        </w:rPr>
        <w:tab/>
        <w:t>Après l</w:t>
      </w:r>
      <w:r w:rsidR="00DB4C2D">
        <w:rPr>
          <w:lang w:val="fr-FR"/>
        </w:rPr>
        <w:t>’</w:t>
      </w:r>
      <w:r w:rsidRPr="00A779B8">
        <w:rPr>
          <w:lang w:val="fr-FR"/>
        </w:rPr>
        <w:t>essai, le gaz zéro et le même gaz d</w:t>
      </w:r>
      <w:r w:rsidR="00DB4C2D">
        <w:rPr>
          <w:lang w:val="fr-FR"/>
        </w:rPr>
        <w:t>’</w:t>
      </w:r>
      <w:r w:rsidRPr="00A779B8">
        <w:rPr>
          <w:lang w:val="fr-FR"/>
        </w:rPr>
        <w:t>étalonnage sont utilisés pour un nouveau contrôle. L</w:t>
      </w:r>
      <w:r w:rsidR="00DB4C2D">
        <w:rPr>
          <w:lang w:val="fr-FR"/>
        </w:rPr>
        <w:t>’</w:t>
      </w:r>
      <w:r w:rsidRPr="00A779B8">
        <w:rPr>
          <w:lang w:val="fr-FR"/>
        </w:rPr>
        <w:t>analyse est considérée comme valable si l</w:t>
      </w:r>
      <w:r w:rsidR="00DB4C2D">
        <w:rPr>
          <w:lang w:val="fr-FR"/>
        </w:rPr>
        <w:t>’</w:t>
      </w:r>
      <w:r w:rsidRPr="00A779B8">
        <w:rPr>
          <w:lang w:val="fr-FR"/>
        </w:rPr>
        <w:t>écart entre les deux mesures est inférieur à 2 %.</w:t>
      </w:r>
    </w:p>
    <w:p w:rsidR="00C060A6" w:rsidRPr="00A779B8" w:rsidRDefault="00C060A6" w:rsidP="00C060A6">
      <w:pPr>
        <w:pStyle w:val="SingleTxtG"/>
        <w:keepNext/>
        <w:ind w:left="2268" w:hanging="1134"/>
        <w:jc w:val="left"/>
        <w:rPr>
          <w:lang w:val="fr-FR"/>
        </w:rPr>
      </w:pPr>
      <w:r w:rsidRPr="00A779B8">
        <w:rPr>
          <w:lang w:val="fr-FR"/>
        </w:rPr>
        <w:t>2.3</w:t>
      </w:r>
      <w:r w:rsidRPr="00A779B8">
        <w:rPr>
          <w:lang w:val="fr-FR"/>
        </w:rPr>
        <w:tab/>
        <w:t>Contrôle du détecteur à ionisation de flamme: réponse aux hydrocarbures</w:t>
      </w:r>
    </w:p>
    <w:p w:rsidR="00C060A6" w:rsidRPr="00A779B8" w:rsidRDefault="00C060A6" w:rsidP="00C060A6">
      <w:pPr>
        <w:pStyle w:val="SingleTxtG"/>
        <w:keepNext/>
        <w:ind w:left="2268" w:hanging="1134"/>
        <w:jc w:val="left"/>
        <w:rPr>
          <w:lang w:val="fr-FR"/>
        </w:rPr>
      </w:pPr>
      <w:r w:rsidRPr="00A779B8">
        <w:rPr>
          <w:lang w:val="fr-FR"/>
        </w:rPr>
        <w:t>2.3.1</w:t>
      </w:r>
      <w:r w:rsidRPr="00A779B8">
        <w:rPr>
          <w:lang w:val="fr-FR"/>
        </w:rPr>
        <w:tab/>
        <w:t>Optimisation de la réponse du détecteur</w:t>
      </w:r>
    </w:p>
    <w:p w:rsidR="00C060A6" w:rsidRPr="00A779B8" w:rsidRDefault="00C060A6" w:rsidP="00C060A6">
      <w:pPr>
        <w:pStyle w:val="SingleTxtG"/>
        <w:ind w:left="2268"/>
        <w:rPr>
          <w:lang w:val="fr-FR"/>
        </w:rPr>
      </w:pPr>
      <w:r w:rsidRPr="00A779B8">
        <w:rPr>
          <w:lang w:val="fr-FR"/>
        </w:rPr>
        <w:t>Le détecteur doit être réglé selon les instructions fournies par le fabricant. Pour optimiser la réponse dans la gamme de détection la plus courante, on utilisera un mélange propane-air.</w:t>
      </w:r>
    </w:p>
    <w:p w:rsidR="00C060A6" w:rsidRPr="00A779B8" w:rsidRDefault="00C060A6" w:rsidP="00C060A6">
      <w:pPr>
        <w:pStyle w:val="SingleTxtG"/>
        <w:keepNext/>
        <w:ind w:left="2268" w:hanging="1134"/>
        <w:rPr>
          <w:lang w:val="fr-FR"/>
        </w:rPr>
      </w:pPr>
      <w:r w:rsidRPr="00A779B8">
        <w:rPr>
          <w:lang w:val="fr-FR"/>
        </w:rPr>
        <w:t>2.3.2</w:t>
      </w:r>
      <w:r w:rsidRPr="00A779B8">
        <w:rPr>
          <w:lang w:val="fr-FR"/>
        </w:rPr>
        <w:tab/>
        <w:t>Étalonnage de l</w:t>
      </w:r>
      <w:r w:rsidR="00DB4C2D">
        <w:rPr>
          <w:lang w:val="fr-FR"/>
        </w:rPr>
        <w:t>’</w:t>
      </w:r>
      <w:r w:rsidRPr="00A779B8">
        <w:rPr>
          <w:lang w:val="fr-FR"/>
        </w:rPr>
        <w:t>analyseur d</w:t>
      </w:r>
      <w:r w:rsidR="00DB4C2D">
        <w:rPr>
          <w:lang w:val="fr-FR"/>
        </w:rPr>
        <w:t>’</w:t>
      </w:r>
      <w:r w:rsidRPr="00A779B8">
        <w:rPr>
          <w:lang w:val="fr-FR"/>
        </w:rPr>
        <w:t>hydrocarbures</w:t>
      </w:r>
    </w:p>
    <w:p w:rsidR="00C060A6" w:rsidRPr="00A779B8" w:rsidRDefault="00C060A6" w:rsidP="00C060A6">
      <w:pPr>
        <w:pStyle w:val="SingleTxtG"/>
        <w:ind w:left="2268"/>
        <w:rPr>
          <w:lang w:val="fr-FR"/>
        </w:rPr>
      </w:pPr>
      <w:r w:rsidRPr="00A779B8">
        <w:rPr>
          <w:lang w:val="fr-FR"/>
        </w:rPr>
        <w:t>L</w:t>
      </w:r>
      <w:r w:rsidR="00DB4C2D">
        <w:rPr>
          <w:lang w:val="fr-FR"/>
        </w:rPr>
        <w:t>’</w:t>
      </w:r>
      <w:r w:rsidRPr="00A779B8">
        <w:rPr>
          <w:lang w:val="fr-FR"/>
        </w:rPr>
        <w:t>analyseur doit être étalonné au moyen d</w:t>
      </w:r>
      <w:r w:rsidR="00DB4C2D">
        <w:rPr>
          <w:lang w:val="fr-FR"/>
        </w:rPr>
        <w:t>’</w:t>
      </w:r>
      <w:r w:rsidRPr="00A779B8">
        <w:rPr>
          <w:lang w:val="fr-FR"/>
        </w:rPr>
        <w:t>un mélange propane-air et de l</w:t>
      </w:r>
      <w:r w:rsidR="00DB4C2D">
        <w:rPr>
          <w:lang w:val="fr-FR"/>
        </w:rPr>
        <w:t>’</w:t>
      </w:r>
      <w:r w:rsidRPr="00A779B8">
        <w:rPr>
          <w:lang w:val="fr-FR"/>
        </w:rPr>
        <w:t>air synthétique purifié (voir le paragraphe 3 du présent appendice).</w:t>
      </w:r>
    </w:p>
    <w:p w:rsidR="00C060A6" w:rsidRPr="00A779B8" w:rsidRDefault="00C060A6" w:rsidP="00C060A6">
      <w:pPr>
        <w:pStyle w:val="SingleTxtG"/>
        <w:ind w:left="2268"/>
        <w:rPr>
          <w:lang w:val="fr-FR"/>
        </w:rPr>
      </w:pPr>
      <w:r w:rsidRPr="00A779B8">
        <w:rPr>
          <w:lang w:val="fr-FR"/>
        </w:rPr>
        <w:t>Établir la courbe d</w:t>
      </w:r>
      <w:r w:rsidR="00DB4C2D">
        <w:rPr>
          <w:lang w:val="fr-FR"/>
        </w:rPr>
        <w:t>’</w:t>
      </w:r>
      <w:r w:rsidRPr="00A779B8">
        <w:rPr>
          <w:lang w:val="fr-FR"/>
        </w:rPr>
        <w:t>étalonnage comme indiqué au paragraphe 2.1 du présent appendice.</w:t>
      </w:r>
    </w:p>
    <w:p w:rsidR="00C060A6" w:rsidRPr="00A779B8" w:rsidRDefault="00C060A6" w:rsidP="00C060A6">
      <w:pPr>
        <w:pStyle w:val="SingleTxtG"/>
        <w:keepNext/>
        <w:spacing w:after="100"/>
        <w:ind w:left="2268" w:hanging="1134"/>
        <w:jc w:val="left"/>
        <w:rPr>
          <w:lang w:val="fr-FR"/>
        </w:rPr>
      </w:pPr>
      <w:r w:rsidRPr="00A779B8">
        <w:rPr>
          <w:lang w:val="fr-FR"/>
        </w:rPr>
        <w:t>2.3.3</w:t>
      </w:r>
      <w:r w:rsidRPr="00A779B8">
        <w:rPr>
          <w:lang w:val="fr-FR"/>
        </w:rPr>
        <w:tab/>
        <w:t>Facteurs de réponse pour les différents hydrocarbures</w:t>
      </w:r>
      <w:r w:rsidRPr="00A779B8">
        <w:rPr>
          <w:lang w:val="fr-FR"/>
        </w:rPr>
        <w:br/>
        <w:t>et limites recommandées</w:t>
      </w:r>
    </w:p>
    <w:p w:rsidR="00C060A6" w:rsidRPr="00A779B8" w:rsidRDefault="00C060A6" w:rsidP="00C060A6">
      <w:pPr>
        <w:pStyle w:val="SingleTxtG"/>
        <w:spacing w:after="100"/>
        <w:ind w:left="2268"/>
        <w:rPr>
          <w:lang w:val="fr-FR"/>
        </w:rPr>
      </w:pPr>
      <w:r w:rsidRPr="00A779B8">
        <w:rPr>
          <w:lang w:val="fr-FR"/>
        </w:rPr>
        <w:t>Le facteur de réponse (</w:t>
      </w:r>
      <w:proofErr w:type="spellStart"/>
      <w:r w:rsidRPr="00A779B8">
        <w:rPr>
          <w:lang w:val="fr-FR"/>
        </w:rPr>
        <w:t>Rf</w:t>
      </w:r>
      <w:proofErr w:type="spellEnd"/>
      <w:r w:rsidRPr="00A779B8">
        <w:rPr>
          <w:lang w:val="fr-FR"/>
        </w:rPr>
        <w:t>), pour un hydrocarbure déterminé, s</w:t>
      </w:r>
      <w:r w:rsidR="00DB4C2D">
        <w:rPr>
          <w:lang w:val="fr-FR"/>
        </w:rPr>
        <w:t>’</w:t>
      </w:r>
      <w:r w:rsidRPr="00A779B8">
        <w:rPr>
          <w:lang w:val="fr-FR"/>
        </w:rPr>
        <w:t>exprime par le rapport entre l</w:t>
      </w:r>
      <w:r w:rsidR="00DB4C2D">
        <w:rPr>
          <w:lang w:val="fr-FR"/>
        </w:rPr>
        <w:t>’</w:t>
      </w:r>
      <w:r w:rsidRPr="00A779B8">
        <w:rPr>
          <w:lang w:val="fr-FR"/>
        </w:rPr>
        <w:t>indication C</w:t>
      </w:r>
      <w:r w:rsidRPr="00A779B8">
        <w:rPr>
          <w:vertAlign w:val="subscript"/>
          <w:lang w:val="fr-FR"/>
        </w:rPr>
        <w:t>1</w:t>
      </w:r>
      <w:r w:rsidRPr="00A779B8">
        <w:rPr>
          <w:lang w:val="fr-FR"/>
        </w:rPr>
        <w:t xml:space="preserve"> donnée par le détecteur et la concentration du gaz d</w:t>
      </w:r>
      <w:r w:rsidR="00DB4C2D">
        <w:rPr>
          <w:lang w:val="fr-FR"/>
        </w:rPr>
        <w:t>’</w:t>
      </w:r>
      <w:r w:rsidRPr="00A779B8">
        <w:rPr>
          <w:lang w:val="fr-FR"/>
        </w:rPr>
        <w:t>étalonnage exprimée en ppm de C</w:t>
      </w:r>
      <w:r w:rsidRPr="00A779B8">
        <w:rPr>
          <w:vertAlign w:val="subscript"/>
          <w:lang w:val="fr-FR"/>
        </w:rPr>
        <w:t>1</w:t>
      </w:r>
      <w:r w:rsidRPr="00A779B8">
        <w:rPr>
          <w:lang w:val="fr-FR"/>
        </w:rPr>
        <w:t>.</w:t>
      </w:r>
    </w:p>
    <w:p w:rsidR="00C060A6" w:rsidRPr="00A779B8" w:rsidRDefault="00C060A6" w:rsidP="00C060A6">
      <w:pPr>
        <w:pStyle w:val="SingleTxtG"/>
        <w:spacing w:after="100"/>
        <w:ind w:left="2268"/>
        <w:rPr>
          <w:lang w:val="fr-FR"/>
        </w:rPr>
      </w:pPr>
      <w:r w:rsidRPr="00A779B8">
        <w:rPr>
          <w:rStyle w:val="SingleTxtGChar"/>
          <w:lang w:val="fr-FR"/>
        </w:rPr>
        <w:t xml:space="preserve">La </w:t>
      </w:r>
      <w:r w:rsidRPr="00A779B8">
        <w:rPr>
          <w:lang w:val="fr-FR"/>
        </w:rPr>
        <w:t>concentration</w:t>
      </w:r>
      <w:r w:rsidRPr="00A779B8">
        <w:rPr>
          <w:rStyle w:val="SingleTxtGChar"/>
          <w:lang w:val="fr-FR"/>
        </w:rPr>
        <w:t xml:space="preserve"> du gaz d</w:t>
      </w:r>
      <w:r w:rsidR="00DB4C2D">
        <w:rPr>
          <w:rStyle w:val="SingleTxtGChar"/>
          <w:lang w:val="fr-FR"/>
        </w:rPr>
        <w:t>’</w:t>
      </w:r>
      <w:r w:rsidRPr="00A779B8">
        <w:rPr>
          <w:rStyle w:val="SingleTxtGChar"/>
          <w:lang w:val="fr-FR"/>
        </w:rPr>
        <w:t xml:space="preserve">essai doit être suffisante pour donner une réponse correspondant </w:t>
      </w:r>
      <w:r w:rsidRPr="00A779B8">
        <w:rPr>
          <w:lang w:val="fr-FR"/>
        </w:rPr>
        <w:t xml:space="preserve">à environ 80 % de la déviation totale, pour la gamme de sensibilité choisie. La concentration doit être connue à 2 % près par rapport à </w:t>
      </w:r>
      <w:r w:rsidRPr="00A779B8">
        <w:rPr>
          <w:lang w:val="fr-FR"/>
        </w:rPr>
        <w:lastRenderedPageBreak/>
        <w:t>un étalon gravimétrique exprimé en volume. En outre, les bouteilles de gaz doivent être conditionnées pendant 24 h entre 293 K et 303 K (20 et 30 °C) avant de commencer la vérification.</w:t>
      </w:r>
    </w:p>
    <w:p w:rsidR="00C060A6" w:rsidRPr="00A779B8" w:rsidRDefault="00C060A6" w:rsidP="00C060A6">
      <w:pPr>
        <w:pStyle w:val="SingleTxtG"/>
        <w:ind w:left="2268"/>
        <w:rPr>
          <w:lang w:val="fr-FR"/>
        </w:rPr>
      </w:pPr>
      <w:r w:rsidRPr="00A779B8">
        <w:rPr>
          <w:lang w:val="fr-FR"/>
        </w:rPr>
        <w:t>Les facteurs de réponse doivent être déterminés lors de la mise en service de l</w:t>
      </w:r>
      <w:r w:rsidR="00DB4C2D">
        <w:rPr>
          <w:lang w:val="fr-FR"/>
        </w:rPr>
        <w:t>’</w:t>
      </w:r>
      <w:r w:rsidRPr="00A779B8">
        <w:rPr>
          <w:lang w:val="fr-FR"/>
        </w:rPr>
        <w:t>analyseur et à des intervalles correspondant aux opérations d</w:t>
      </w:r>
      <w:r w:rsidR="00DB4C2D">
        <w:rPr>
          <w:lang w:val="fr-FR"/>
        </w:rPr>
        <w:t>’</w:t>
      </w:r>
      <w:r w:rsidRPr="00A779B8">
        <w:rPr>
          <w:lang w:val="fr-FR"/>
        </w:rPr>
        <w:t>entretien principales. Les gaz d</w:t>
      </w:r>
      <w:r w:rsidR="00DB4C2D">
        <w:rPr>
          <w:lang w:val="fr-FR"/>
        </w:rPr>
        <w:t>’</w:t>
      </w:r>
      <w:r w:rsidRPr="00A779B8">
        <w:rPr>
          <w:lang w:val="fr-FR"/>
        </w:rPr>
        <w:t>essai à utiliser et les facteurs de réponse recommandés sont les suivants:</w:t>
      </w:r>
    </w:p>
    <w:tbl>
      <w:tblPr>
        <w:tblW w:w="6237" w:type="dxa"/>
        <w:tblInd w:w="2268" w:type="dxa"/>
        <w:tblCellMar>
          <w:left w:w="0" w:type="dxa"/>
          <w:right w:w="0" w:type="dxa"/>
        </w:tblCellMar>
        <w:tblLook w:val="01E0" w:firstRow="1" w:lastRow="1" w:firstColumn="1" w:lastColumn="1" w:noHBand="0" w:noVBand="0"/>
      </w:tblPr>
      <w:tblGrid>
        <w:gridCol w:w="4560"/>
        <w:gridCol w:w="1677"/>
      </w:tblGrid>
      <w:tr w:rsidR="00C060A6" w:rsidRPr="007E29C4" w:rsidTr="00A36982">
        <w:tc>
          <w:tcPr>
            <w:tcW w:w="4560" w:type="dxa"/>
            <w:shd w:val="clear" w:color="auto" w:fill="auto"/>
          </w:tcPr>
          <w:p w:rsidR="00C060A6" w:rsidRPr="007E29C4" w:rsidRDefault="00C060A6" w:rsidP="00A36982">
            <w:pPr>
              <w:spacing w:after="120"/>
              <w:rPr>
                <w:lang w:val="fr-FR"/>
              </w:rPr>
            </w:pPr>
            <w:r w:rsidRPr="007E29C4">
              <w:rPr>
                <w:lang w:val="fr-FR"/>
              </w:rPr>
              <w:t>Méthane et air purifié:</w:t>
            </w:r>
          </w:p>
        </w:tc>
        <w:tc>
          <w:tcPr>
            <w:tcW w:w="1677" w:type="dxa"/>
            <w:shd w:val="clear" w:color="auto" w:fill="auto"/>
          </w:tcPr>
          <w:p w:rsidR="00C060A6" w:rsidRPr="007E29C4" w:rsidRDefault="00C060A6" w:rsidP="00A36982">
            <w:pPr>
              <w:keepNext/>
              <w:spacing w:after="120"/>
              <w:jc w:val="right"/>
              <w:rPr>
                <w:lang w:val="fr-FR"/>
              </w:rPr>
            </w:pPr>
            <w:r w:rsidRPr="007E29C4">
              <w:rPr>
                <w:lang w:val="fr-FR"/>
              </w:rPr>
              <w:t xml:space="preserve">1,00 &lt; </w:t>
            </w:r>
            <w:proofErr w:type="spellStart"/>
            <w:r w:rsidRPr="007E29C4">
              <w:rPr>
                <w:lang w:val="fr-FR"/>
              </w:rPr>
              <w:t>Rf</w:t>
            </w:r>
            <w:proofErr w:type="spellEnd"/>
            <w:r w:rsidRPr="007E29C4">
              <w:rPr>
                <w:lang w:val="fr-FR"/>
              </w:rPr>
              <w:t xml:space="preserve"> &lt; 1,15</w:t>
            </w:r>
          </w:p>
        </w:tc>
      </w:tr>
    </w:tbl>
    <w:p w:rsidR="00C060A6" w:rsidRPr="00A779B8" w:rsidRDefault="00C060A6" w:rsidP="00C060A6">
      <w:pPr>
        <w:pStyle w:val="SingleTxtG"/>
        <w:ind w:left="2268"/>
        <w:rPr>
          <w:lang w:val="fr-FR"/>
        </w:rPr>
      </w:pPr>
      <w:r w:rsidRPr="00A779B8">
        <w:rPr>
          <w:lang w:val="fr-FR"/>
        </w:rPr>
        <w:t xml:space="preserve">ou 1,00 &lt; </w:t>
      </w:r>
      <w:proofErr w:type="spellStart"/>
      <w:r w:rsidRPr="00A779B8">
        <w:rPr>
          <w:lang w:val="fr-FR"/>
        </w:rPr>
        <w:t>Rf</w:t>
      </w:r>
      <w:proofErr w:type="spellEnd"/>
      <w:r w:rsidRPr="00A779B8">
        <w:rPr>
          <w:lang w:val="fr-FR"/>
        </w:rPr>
        <w:t xml:space="preserve"> &lt; 1,05 pour les véhicules fonctionnant au GN/</w:t>
      </w:r>
      <w:proofErr w:type="spellStart"/>
      <w:r w:rsidRPr="00A779B8">
        <w:rPr>
          <w:lang w:val="fr-FR"/>
        </w:rPr>
        <w:t>biométhane</w:t>
      </w:r>
      <w:proofErr w:type="spellEnd"/>
    </w:p>
    <w:tbl>
      <w:tblPr>
        <w:tblW w:w="6237" w:type="dxa"/>
        <w:tblInd w:w="2268" w:type="dxa"/>
        <w:tblCellMar>
          <w:left w:w="0" w:type="dxa"/>
          <w:right w:w="0" w:type="dxa"/>
        </w:tblCellMar>
        <w:tblLook w:val="01E0" w:firstRow="1" w:lastRow="1" w:firstColumn="1" w:lastColumn="1" w:noHBand="0" w:noVBand="0"/>
      </w:tblPr>
      <w:tblGrid>
        <w:gridCol w:w="4560"/>
        <w:gridCol w:w="1677"/>
      </w:tblGrid>
      <w:tr w:rsidR="00C060A6" w:rsidRPr="007E29C4" w:rsidTr="00A36982">
        <w:tc>
          <w:tcPr>
            <w:tcW w:w="4560" w:type="dxa"/>
            <w:shd w:val="clear" w:color="auto" w:fill="auto"/>
          </w:tcPr>
          <w:p w:rsidR="00C060A6" w:rsidRPr="007E29C4" w:rsidRDefault="00C060A6" w:rsidP="00A36982">
            <w:pPr>
              <w:spacing w:after="120"/>
              <w:rPr>
                <w:lang w:val="fr-FR"/>
              </w:rPr>
            </w:pPr>
            <w:r w:rsidRPr="007E29C4">
              <w:rPr>
                <w:lang w:val="fr-FR"/>
              </w:rPr>
              <w:t>Propylène et air purifié:</w:t>
            </w:r>
          </w:p>
        </w:tc>
        <w:tc>
          <w:tcPr>
            <w:tcW w:w="1677" w:type="dxa"/>
            <w:shd w:val="clear" w:color="auto" w:fill="auto"/>
          </w:tcPr>
          <w:p w:rsidR="00C060A6" w:rsidRPr="007E29C4" w:rsidRDefault="00C060A6" w:rsidP="00A36982">
            <w:pPr>
              <w:keepNext/>
              <w:spacing w:after="120"/>
              <w:jc w:val="right"/>
              <w:rPr>
                <w:lang w:val="fr-FR"/>
              </w:rPr>
            </w:pPr>
            <w:r w:rsidRPr="007E29C4">
              <w:rPr>
                <w:lang w:val="fr-FR"/>
              </w:rPr>
              <w:t xml:space="preserve">0,90 &lt; </w:t>
            </w:r>
            <w:proofErr w:type="spellStart"/>
            <w:r w:rsidRPr="007E29C4">
              <w:rPr>
                <w:lang w:val="fr-FR"/>
              </w:rPr>
              <w:t>Rf</w:t>
            </w:r>
            <w:proofErr w:type="spellEnd"/>
            <w:r w:rsidRPr="007E29C4">
              <w:rPr>
                <w:lang w:val="fr-FR"/>
              </w:rPr>
              <w:t xml:space="preserve"> &lt; 1,00</w:t>
            </w:r>
          </w:p>
        </w:tc>
      </w:tr>
      <w:tr w:rsidR="00C060A6" w:rsidRPr="007E29C4" w:rsidTr="00A36982">
        <w:tc>
          <w:tcPr>
            <w:tcW w:w="4560" w:type="dxa"/>
            <w:shd w:val="clear" w:color="auto" w:fill="auto"/>
          </w:tcPr>
          <w:p w:rsidR="00C060A6" w:rsidRPr="007E29C4" w:rsidRDefault="00C060A6" w:rsidP="00A36982">
            <w:pPr>
              <w:spacing w:after="120"/>
              <w:rPr>
                <w:lang w:val="fr-FR"/>
              </w:rPr>
            </w:pPr>
            <w:r w:rsidRPr="007E29C4">
              <w:rPr>
                <w:lang w:val="fr-FR"/>
              </w:rPr>
              <w:t>Toluène et air purifié:</w:t>
            </w:r>
          </w:p>
        </w:tc>
        <w:tc>
          <w:tcPr>
            <w:tcW w:w="1677" w:type="dxa"/>
            <w:shd w:val="clear" w:color="auto" w:fill="auto"/>
          </w:tcPr>
          <w:p w:rsidR="00C060A6" w:rsidRPr="007E29C4" w:rsidRDefault="00C060A6" w:rsidP="00A36982">
            <w:pPr>
              <w:keepNext/>
              <w:spacing w:after="120"/>
              <w:jc w:val="right"/>
              <w:rPr>
                <w:lang w:val="fr-FR"/>
              </w:rPr>
            </w:pPr>
            <w:r w:rsidRPr="007E29C4">
              <w:rPr>
                <w:lang w:val="fr-FR"/>
              </w:rPr>
              <w:t xml:space="preserve">0,90 &lt; </w:t>
            </w:r>
            <w:proofErr w:type="spellStart"/>
            <w:r w:rsidRPr="007E29C4">
              <w:rPr>
                <w:lang w:val="fr-FR"/>
              </w:rPr>
              <w:t>Rf</w:t>
            </w:r>
            <w:proofErr w:type="spellEnd"/>
            <w:r w:rsidRPr="007E29C4">
              <w:rPr>
                <w:lang w:val="fr-FR"/>
              </w:rPr>
              <w:t xml:space="preserve"> &lt; 1,00</w:t>
            </w:r>
          </w:p>
        </w:tc>
      </w:tr>
    </w:tbl>
    <w:p w:rsidR="00C060A6" w:rsidRPr="00A779B8" w:rsidRDefault="00C060A6" w:rsidP="00C060A6">
      <w:pPr>
        <w:pStyle w:val="SingleTxtG"/>
        <w:ind w:left="2268"/>
        <w:rPr>
          <w:lang w:val="fr-FR"/>
        </w:rPr>
      </w:pPr>
      <w:r w:rsidRPr="00A779B8">
        <w:rPr>
          <w:lang w:val="fr-FR"/>
        </w:rPr>
        <w:t>Le facteur de réponse (</w:t>
      </w:r>
      <w:proofErr w:type="spellStart"/>
      <w:r w:rsidRPr="00A779B8">
        <w:rPr>
          <w:lang w:val="fr-FR"/>
        </w:rPr>
        <w:t>Rf</w:t>
      </w:r>
      <w:proofErr w:type="spellEnd"/>
      <w:r w:rsidRPr="00A779B8">
        <w:rPr>
          <w:lang w:val="fr-FR"/>
        </w:rPr>
        <w:t>) de 1,00 correspondant au propane-air purifié.</w:t>
      </w:r>
    </w:p>
    <w:p w:rsidR="00C060A6" w:rsidRPr="00A779B8" w:rsidRDefault="00C060A6" w:rsidP="00C060A6">
      <w:pPr>
        <w:pStyle w:val="SingleTxtG"/>
        <w:spacing w:before="120"/>
        <w:ind w:left="2268" w:hanging="1134"/>
        <w:rPr>
          <w:lang w:val="fr-FR"/>
        </w:rPr>
      </w:pPr>
      <w:r w:rsidRPr="00A779B8">
        <w:rPr>
          <w:lang w:val="fr-FR"/>
        </w:rPr>
        <w:t>2.3.4</w:t>
      </w:r>
      <w:r w:rsidRPr="00A779B8">
        <w:rPr>
          <w:lang w:val="fr-FR"/>
        </w:rPr>
        <w:tab/>
        <w:t>Contrôle de l</w:t>
      </w:r>
      <w:r w:rsidR="00DB4C2D">
        <w:rPr>
          <w:lang w:val="fr-FR"/>
        </w:rPr>
        <w:t>’</w:t>
      </w:r>
      <w:r w:rsidRPr="00A779B8">
        <w:rPr>
          <w:lang w:val="fr-FR"/>
        </w:rPr>
        <w:t>interaction avec l</w:t>
      </w:r>
      <w:r w:rsidR="00DB4C2D">
        <w:rPr>
          <w:lang w:val="fr-FR"/>
        </w:rPr>
        <w:t>’</w:t>
      </w:r>
      <w:r w:rsidRPr="00A779B8">
        <w:rPr>
          <w:lang w:val="fr-FR"/>
        </w:rPr>
        <w:t>oxygène et limites recommandées</w:t>
      </w:r>
    </w:p>
    <w:p w:rsidR="00C060A6" w:rsidRPr="00A779B8" w:rsidRDefault="00C060A6" w:rsidP="00C060A6">
      <w:pPr>
        <w:pStyle w:val="SingleTxtG"/>
        <w:ind w:left="2268"/>
        <w:rPr>
          <w:lang w:val="fr-FR"/>
        </w:rPr>
      </w:pPr>
      <w:r w:rsidRPr="00A779B8">
        <w:rPr>
          <w:lang w:val="fr-FR"/>
        </w:rPr>
        <w:t>Le facteur de réponse doit être déterminé comme décrit au paragraphe 2.3.3 ci-dessus. Le gaz à utiliser et la gamme du facteur de réponse sont:</w:t>
      </w:r>
    </w:p>
    <w:tbl>
      <w:tblPr>
        <w:tblW w:w="6240" w:type="dxa"/>
        <w:tblInd w:w="2268" w:type="dxa"/>
        <w:tblCellMar>
          <w:left w:w="0" w:type="dxa"/>
          <w:right w:w="0" w:type="dxa"/>
        </w:tblCellMar>
        <w:tblLook w:val="01E0" w:firstRow="1" w:lastRow="1" w:firstColumn="1" w:lastColumn="1" w:noHBand="0" w:noVBand="0"/>
      </w:tblPr>
      <w:tblGrid>
        <w:gridCol w:w="4560"/>
        <w:gridCol w:w="1680"/>
      </w:tblGrid>
      <w:tr w:rsidR="00C060A6" w:rsidRPr="007E29C4" w:rsidTr="00A36982">
        <w:tc>
          <w:tcPr>
            <w:tcW w:w="4560" w:type="dxa"/>
            <w:shd w:val="clear" w:color="auto" w:fill="auto"/>
          </w:tcPr>
          <w:p w:rsidR="00C060A6" w:rsidRPr="007E29C4" w:rsidRDefault="00C060A6" w:rsidP="00A36982">
            <w:pPr>
              <w:pStyle w:val="SingleTxtG"/>
              <w:ind w:left="0"/>
              <w:jc w:val="left"/>
              <w:rPr>
                <w:lang w:val="fr-FR"/>
              </w:rPr>
            </w:pPr>
            <w:r w:rsidRPr="007E29C4">
              <w:rPr>
                <w:lang w:val="fr-FR"/>
              </w:rPr>
              <w:t>Propane et azote:</w:t>
            </w:r>
          </w:p>
        </w:tc>
        <w:tc>
          <w:tcPr>
            <w:tcW w:w="1680" w:type="dxa"/>
            <w:shd w:val="clear" w:color="auto" w:fill="auto"/>
          </w:tcPr>
          <w:p w:rsidR="00C060A6" w:rsidRPr="007E29C4" w:rsidRDefault="00C060A6" w:rsidP="00A36982">
            <w:pPr>
              <w:pStyle w:val="SingleTxtG"/>
              <w:ind w:left="0" w:right="0"/>
              <w:jc w:val="right"/>
              <w:rPr>
                <w:lang w:val="fr-FR"/>
              </w:rPr>
            </w:pPr>
            <w:r w:rsidRPr="007E29C4">
              <w:rPr>
                <w:lang w:val="fr-FR"/>
              </w:rPr>
              <w:t xml:space="preserve">0,95 &lt; </w:t>
            </w:r>
            <w:proofErr w:type="spellStart"/>
            <w:r w:rsidRPr="007E29C4">
              <w:rPr>
                <w:lang w:val="fr-FR"/>
              </w:rPr>
              <w:t>Rf</w:t>
            </w:r>
            <w:proofErr w:type="spellEnd"/>
            <w:r w:rsidRPr="007E29C4">
              <w:rPr>
                <w:lang w:val="fr-FR"/>
              </w:rPr>
              <w:t xml:space="preserve"> &lt; 1,05</w:t>
            </w:r>
          </w:p>
        </w:tc>
      </w:tr>
    </w:tbl>
    <w:p w:rsidR="00C060A6" w:rsidRPr="00A779B8" w:rsidRDefault="00C060A6" w:rsidP="00C060A6">
      <w:pPr>
        <w:pStyle w:val="SingleTxtG"/>
        <w:keepNext/>
        <w:spacing w:before="120" w:after="100"/>
        <w:ind w:left="2268" w:hanging="1134"/>
        <w:rPr>
          <w:lang w:val="fr-FR"/>
        </w:rPr>
      </w:pPr>
      <w:r w:rsidRPr="00A779B8">
        <w:rPr>
          <w:lang w:val="fr-FR"/>
        </w:rPr>
        <w:t>2.4</w:t>
      </w:r>
      <w:r w:rsidRPr="00A779B8">
        <w:rPr>
          <w:lang w:val="fr-FR"/>
        </w:rPr>
        <w:tab/>
        <w:t>Essai d</w:t>
      </w:r>
      <w:r w:rsidR="00DB4C2D">
        <w:rPr>
          <w:lang w:val="fr-FR"/>
        </w:rPr>
        <w:t>’</w:t>
      </w:r>
      <w:r w:rsidRPr="00A779B8">
        <w:rPr>
          <w:lang w:val="fr-FR"/>
        </w:rPr>
        <w:t xml:space="preserve">efficacité du convertisseur de </w:t>
      </w:r>
      <w:proofErr w:type="spellStart"/>
      <w:r w:rsidRPr="00A779B8">
        <w:rPr>
          <w:lang w:val="fr-FR"/>
        </w:rPr>
        <w:t>NO</w:t>
      </w:r>
      <w:r w:rsidRPr="00A779B8">
        <w:rPr>
          <w:vertAlign w:val="subscript"/>
          <w:lang w:val="fr-FR"/>
        </w:rPr>
        <w:t>x</w:t>
      </w:r>
      <w:proofErr w:type="spellEnd"/>
    </w:p>
    <w:p w:rsidR="00C060A6" w:rsidRPr="00A779B8" w:rsidRDefault="00C060A6" w:rsidP="00C060A6">
      <w:pPr>
        <w:pStyle w:val="SingleTxtG"/>
        <w:spacing w:after="100"/>
        <w:ind w:left="2268"/>
        <w:rPr>
          <w:lang w:val="fr-FR"/>
        </w:rPr>
      </w:pPr>
      <w:r w:rsidRPr="00A779B8">
        <w:rPr>
          <w:lang w:val="fr-FR"/>
        </w:rPr>
        <w:t>L</w:t>
      </w:r>
      <w:r w:rsidR="00DB4C2D">
        <w:rPr>
          <w:lang w:val="fr-FR"/>
        </w:rPr>
        <w:t>’</w:t>
      </w:r>
      <w:r w:rsidRPr="00A779B8">
        <w:rPr>
          <w:lang w:val="fr-FR"/>
        </w:rPr>
        <w:t>efficacité du convertisseur utilisé pour la conversion de NO</w:t>
      </w:r>
      <w:r w:rsidRPr="00A779B8">
        <w:rPr>
          <w:vertAlign w:val="subscript"/>
          <w:lang w:val="fr-FR"/>
        </w:rPr>
        <w:t>2</w:t>
      </w:r>
      <w:r w:rsidRPr="00A779B8">
        <w:rPr>
          <w:lang w:val="fr-FR"/>
        </w:rPr>
        <w:t xml:space="preserve"> en NO doit être contrôlée.</w:t>
      </w:r>
    </w:p>
    <w:p w:rsidR="00C060A6" w:rsidRPr="00A779B8" w:rsidRDefault="00C060A6" w:rsidP="00C060A6">
      <w:pPr>
        <w:pStyle w:val="SingleTxtG"/>
        <w:spacing w:after="100"/>
        <w:ind w:left="2268"/>
        <w:rPr>
          <w:lang w:val="fr-FR"/>
        </w:rPr>
      </w:pPr>
      <w:r w:rsidRPr="00A779B8">
        <w:rPr>
          <w:lang w:val="fr-FR"/>
        </w:rPr>
        <w:t>Ce contrôle peut s</w:t>
      </w:r>
      <w:r w:rsidR="00DB4C2D">
        <w:rPr>
          <w:lang w:val="fr-FR"/>
        </w:rPr>
        <w:t>’</w:t>
      </w:r>
      <w:r w:rsidRPr="00A779B8">
        <w:rPr>
          <w:lang w:val="fr-FR"/>
        </w:rPr>
        <w:t>effectuer avec un ozoniseur conformément au montage d</w:t>
      </w:r>
      <w:r w:rsidR="00DB4C2D">
        <w:rPr>
          <w:lang w:val="fr-FR"/>
        </w:rPr>
        <w:t>’</w:t>
      </w:r>
      <w:r w:rsidRPr="00A779B8">
        <w:rPr>
          <w:lang w:val="fr-FR"/>
        </w:rPr>
        <w:t>essai présenté à la figure A4a.App3/11 et à la procédure décrite ci-après.</w:t>
      </w:r>
    </w:p>
    <w:p w:rsidR="00C060A6" w:rsidRPr="00A779B8" w:rsidRDefault="00C060A6" w:rsidP="00C060A6">
      <w:pPr>
        <w:pStyle w:val="SingleTxtG"/>
        <w:spacing w:after="100"/>
        <w:ind w:left="2268" w:hanging="1134"/>
        <w:rPr>
          <w:lang w:val="fr-FR"/>
        </w:rPr>
      </w:pPr>
      <w:r w:rsidRPr="00A779B8">
        <w:rPr>
          <w:lang w:val="fr-FR"/>
        </w:rPr>
        <w:t>2.4.1</w:t>
      </w:r>
      <w:r w:rsidRPr="00A779B8">
        <w:rPr>
          <w:lang w:val="fr-FR"/>
        </w:rPr>
        <w:tab/>
        <w:t>On étalonne l</w:t>
      </w:r>
      <w:r w:rsidR="00DB4C2D">
        <w:rPr>
          <w:lang w:val="fr-FR"/>
        </w:rPr>
        <w:t>’</w:t>
      </w:r>
      <w:r w:rsidRPr="00A779B8">
        <w:rPr>
          <w:lang w:val="fr-FR"/>
        </w:rPr>
        <w:t>analyseur sur la gamme la plus couramment utilisée conformément aux instructions du fabricant avec des gaz zéro et d</w:t>
      </w:r>
      <w:r w:rsidR="00DB4C2D">
        <w:rPr>
          <w:lang w:val="fr-FR"/>
        </w:rPr>
        <w:t>’</w:t>
      </w:r>
      <w:r w:rsidRPr="00A779B8">
        <w:rPr>
          <w:lang w:val="fr-FR"/>
        </w:rPr>
        <w:t>étalonnage (ce dernier doit avoir une teneur en NO correspondant à 80 % environ de la pleine échelle, et la concentration de NO</w:t>
      </w:r>
      <w:r w:rsidRPr="00A779B8">
        <w:rPr>
          <w:vertAlign w:val="subscript"/>
          <w:lang w:val="fr-FR"/>
        </w:rPr>
        <w:t>2</w:t>
      </w:r>
      <w:r w:rsidRPr="00A779B8">
        <w:rPr>
          <w:lang w:val="fr-FR"/>
        </w:rPr>
        <w:t xml:space="preserve"> dans le mélange de gaz doit être inférieure à 5 % de la concentration de NO). On doit régler l</w:t>
      </w:r>
      <w:r w:rsidR="00DB4C2D">
        <w:rPr>
          <w:lang w:val="fr-FR"/>
        </w:rPr>
        <w:t>’</w:t>
      </w:r>
      <w:r w:rsidRPr="00A779B8">
        <w:rPr>
          <w:lang w:val="fr-FR"/>
        </w:rPr>
        <w:t xml:space="preserve">analyseur de </w:t>
      </w:r>
      <w:proofErr w:type="spellStart"/>
      <w:r w:rsidRPr="00A779B8">
        <w:rPr>
          <w:lang w:val="fr-FR"/>
        </w:rPr>
        <w:t>NO</w:t>
      </w:r>
      <w:r w:rsidRPr="00A779B8">
        <w:rPr>
          <w:vertAlign w:val="subscript"/>
          <w:lang w:val="fr-FR"/>
        </w:rPr>
        <w:t>x</w:t>
      </w:r>
      <w:proofErr w:type="spellEnd"/>
      <w:r w:rsidRPr="00A779B8">
        <w:rPr>
          <w:lang w:val="fr-FR"/>
        </w:rPr>
        <w:t xml:space="preserve"> sur le mode NO, de telle manière que le gaz d</w:t>
      </w:r>
      <w:r w:rsidR="00DB4C2D">
        <w:rPr>
          <w:lang w:val="fr-FR"/>
        </w:rPr>
        <w:t>’</w:t>
      </w:r>
      <w:r w:rsidRPr="00A779B8">
        <w:rPr>
          <w:lang w:val="fr-FR"/>
        </w:rPr>
        <w:t>étalonnage ne passe pas dans le convertisseur. On enregistre la concentration affichée.</w:t>
      </w:r>
    </w:p>
    <w:p w:rsidR="00C060A6" w:rsidRPr="00A779B8" w:rsidRDefault="00C060A6" w:rsidP="00C060A6">
      <w:pPr>
        <w:pStyle w:val="SingleTxtG"/>
        <w:spacing w:after="100"/>
        <w:ind w:left="2268" w:hanging="1134"/>
        <w:rPr>
          <w:lang w:val="fr-FR"/>
        </w:rPr>
      </w:pPr>
      <w:r w:rsidRPr="00A779B8">
        <w:rPr>
          <w:lang w:val="fr-FR"/>
        </w:rPr>
        <w:t>2.4.2</w:t>
      </w:r>
      <w:r w:rsidRPr="00A779B8">
        <w:rPr>
          <w:lang w:val="fr-FR"/>
        </w:rPr>
        <w:tab/>
        <w:t>Par un raccord en T, on ajoute de manière continue de l</w:t>
      </w:r>
      <w:r w:rsidR="00DB4C2D">
        <w:rPr>
          <w:lang w:val="fr-FR"/>
        </w:rPr>
        <w:t>’</w:t>
      </w:r>
      <w:r w:rsidRPr="00A779B8">
        <w:rPr>
          <w:lang w:val="fr-FR"/>
        </w:rPr>
        <w:t>oxygène ou de l</w:t>
      </w:r>
      <w:r w:rsidR="00DB4C2D">
        <w:rPr>
          <w:lang w:val="fr-FR"/>
        </w:rPr>
        <w:t>’</w:t>
      </w:r>
      <w:r w:rsidRPr="00A779B8">
        <w:rPr>
          <w:lang w:val="fr-FR"/>
        </w:rPr>
        <w:t>air synthétique au courant de gaz étalon jusqu</w:t>
      </w:r>
      <w:r w:rsidR="00DB4C2D">
        <w:rPr>
          <w:lang w:val="fr-FR"/>
        </w:rPr>
        <w:t>’</w:t>
      </w:r>
      <w:r w:rsidRPr="00A779B8">
        <w:rPr>
          <w:lang w:val="fr-FR"/>
        </w:rPr>
        <w:t>à ce que la concentration affichée soit d</w:t>
      </w:r>
      <w:r w:rsidR="00DB4C2D">
        <w:rPr>
          <w:lang w:val="fr-FR"/>
        </w:rPr>
        <w:t>’</w:t>
      </w:r>
      <w:r w:rsidRPr="00A779B8">
        <w:rPr>
          <w:lang w:val="fr-FR"/>
        </w:rPr>
        <w:t>environ 10 % inférieure à la concentration d</w:t>
      </w:r>
      <w:r w:rsidR="00DB4C2D">
        <w:rPr>
          <w:lang w:val="fr-FR"/>
        </w:rPr>
        <w:t>’</w:t>
      </w:r>
      <w:r w:rsidRPr="00A779B8">
        <w:rPr>
          <w:lang w:val="fr-FR"/>
        </w:rPr>
        <w:t>étalonnage affichée telle qu</w:t>
      </w:r>
      <w:r w:rsidR="00DB4C2D">
        <w:rPr>
          <w:lang w:val="fr-FR"/>
        </w:rPr>
        <w:t>’</w:t>
      </w:r>
      <w:r w:rsidRPr="00A779B8">
        <w:rPr>
          <w:lang w:val="fr-FR"/>
        </w:rPr>
        <w:t>elle est spécifiée au paragraphe 2.4.1 du présent appendice. On enregistre la concentration affichée (c). L</w:t>
      </w:r>
      <w:r w:rsidR="00DB4C2D">
        <w:rPr>
          <w:lang w:val="fr-FR"/>
        </w:rPr>
        <w:t>’</w:t>
      </w:r>
      <w:r w:rsidRPr="00A779B8">
        <w:rPr>
          <w:lang w:val="fr-FR"/>
        </w:rPr>
        <w:t>ozoniseur doit demeurer hors fonction pendant toute cette opération.</w:t>
      </w:r>
    </w:p>
    <w:p w:rsidR="00C060A6" w:rsidRPr="00A779B8" w:rsidRDefault="00C060A6" w:rsidP="00C060A6">
      <w:pPr>
        <w:pStyle w:val="SingleTxtG"/>
        <w:spacing w:after="100"/>
        <w:ind w:left="2268" w:hanging="1134"/>
        <w:rPr>
          <w:lang w:val="fr-FR"/>
        </w:rPr>
      </w:pPr>
      <w:r w:rsidRPr="00A779B8">
        <w:rPr>
          <w:lang w:val="fr-FR"/>
        </w:rPr>
        <w:t>2.4.3</w:t>
      </w:r>
      <w:r w:rsidRPr="00A779B8">
        <w:rPr>
          <w:lang w:val="fr-FR"/>
        </w:rPr>
        <w:tab/>
        <w:t>On met alors l</w:t>
      </w:r>
      <w:r w:rsidR="00DB4C2D">
        <w:rPr>
          <w:lang w:val="fr-FR"/>
        </w:rPr>
        <w:t>’</w:t>
      </w:r>
      <w:r w:rsidRPr="00A779B8">
        <w:rPr>
          <w:lang w:val="fr-FR"/>
        </w:rPr>
        <w:t>ozoniseur en fonction de manière à produire suffisamment d</w:t>
      </w:r>
      <w:r w:rsidR="00DB4C2D">
        <w:rPr>
          <w:lang w:val="fr-FR"/>
        </w:rPr>
        <w:t>’</w:t>
      </w:r>
      <w:r w:rsidRPr="00A779B8">
        <w:rPr>
          <w:lang w:val="fr-FR"/>
        </w:rPr>
        <w:t>ozone pour faire tomber la concentration de NO à 20 % (valeur minimale: 10 %) de la concentration d</w:t>
      </w:r>
      <w:r w:rsidR="00DB4C2D">
        <w:rPr>
          <w:lang w:val="fr-FR"/>
        </w:rPr>
        <w:t>’</w:t>
      </w:r>
      <w:r w:rsidRPr="00A779B8">
        <w:rPr>
          <w:lang w:val="fr-FR"/>
        </w:rPr>
        <w:t>étalonnage spécifiée au paragraphe 2.4.1 du présent appendice. On enregistre la concentration affichée (d).</w:t>
      </w:r>
    </w:p>
    <w:p w:rsidR="00C060A6" w:rsidRPr="00A779B8" w:rsidRDefault="00C060A6" w:rsidP="00C060A6">
      <w:pPr>
        <w:pStyle w:val="SingleTxtG"/>
        <w:spacing w:after="100"/>
        <w:ind w:left="2268" w:hanging="1134"/>
        <w:rPr>
          <w:lang w:val="fr-FR"/>
        </w:rPr>
      </w:pPr>
      <w:r w:rsidRPr="00A779B8">
        <w:rPr>
          <w:lang w:val="fr-FR"/>
        </w:rPr>
        <w:t>2.4.4</w:t>
      </w:r>
      <w:r w:rsidRPr="00A779B8">
        <w:rPr>
          <w:lang w:val="fr-FR"/>
        </w:rPr>
        <w:tab/>
        <w:t>On commute ensuite l</w:t>
      </w:r>
      <w:r w:rsidR="00DB4C2D">
        <w:rPr>
          <w:lang w:val="fr-FR"/>
        </w:rPr>
        <w:t>’</w:t>
      </w:r>
      <w:r w:rsidRPr="00A779B8">
        <w:rPr>
          <w:lang w:val="fr-FR"/>
        </w:rPr>
        <w:t xml:space="preserve">analyseur sur le mode </w:t>
      </w:r>
      <w:proofErr w:type="spellStart"/>
      <w:r w:rsidRPr="00A779B8">
        <w:rPr>
          <w:lang w:val="fr-FR"/>
        </w:rPr>
        <w:t>NO</w:t>
      </w:r>
      <w:r w:rsidRPr="00A779B8">
        <w:rPr>
          <w:vertAlign w:val="subscript"/>
          <w:lang w:val="fr-FR"/>
        </w:rPr>
        <w:t>x</w:t>
      </w:r>
      <w:proofErr w:type="spellEnd"/>
      <w:r w:rsidRPr="00A779B8">
        <w:rPr>
          <w:lang w:val="fr-FR"/>
        </w:rPr>
        <w:t>, et le mélange de gaz (constitué de NO, NO</w:t>
      </w:r>
      <w:r w:rsidRPr="00A779B8">
        <w:rPr>
          <w:vertAlign w:val="subscript"/>
          <w:lang w:val="fr-FR"/>
        </w:rPr>
        <w:t>2</w:t>
      </w:r>
      <w:r w:rsidRPr="00A779B8">
        <w:rPr>
          <w:lang w:val="fr-FR"/>
        </w:rPr>
        <w:t>, O</w:t>
      </w:r>
      <w:r w:rsidRPr="00A779B8">
        <w:rPr>
          <w:vertAlign w:val="subscript"/>
          <w:lang w:val="fr-FR"/>
        </w:rPr>
        <w:t>2</w:t>
      </w:r>
      <w:r w:rsidRPr="00A779B8">
        <w:rPr>
          <w:lang w:val="fr-FR"/>
        </w:rPr>
        <w:t xml:space="preserve"> et N</w:t>
      </w:r>
      <w:r w:rsidRPr="00A779B8">
        <w:rPr>
          <w:vertAlign w:val="subscript"/>
          <w:lang w:val="fr-FR"/>
        </w:rPr>
        <w:t>2</w:t>
      </w:r>
      <w:r w:rsidRPr="00A779B8">
        <w:rPr>
          <w:lang w:val="fr-FR"/>
        </w:rPr>
        <w:t>) traverse dès lors le convertisseur. On enregistre la concentration affichée (a).</w:t>
      </w:r>
    </w:p>
    <w:p w:rsidR="00C060A6" w:rsidRPr="00A779B8" w:rsidRDefault="00C060A6" w:rsidP="00C060A6">
      <w:pPr>
        <w:pStyle w:val="SingleTxtG"/>
        <w:ind w:left="2268" w:hanging="1134"/>
        <w:rPr>
          <w:lang w:val="fr-FR"/>
        </w:rPr>
      </w:pPr>
      <w:r w:rsidRPr="00A779B8">
        <w:rPr>
          <w:lang w:val="fr-FR"/>
        </w:rPr>
        <w:t>2.4.5</w:t>
      </w:r>
      <w:r w:rsidRPr="00A779B8">
        <w:rPr>
          <w:lang w:val="fr-FR"/>
        </w:rPr>
        <w:tab/>
        <w:t>On met enfin l</w:t>
      </w:r>
      <w:r w:rsidR="00DB4C2D">
        <w:rPr>
          <w:lang w:val="fr-FR"/>
        </w:rPr>
        <w:t>’</w:t>
      </w:r>
      <w:r w:rsidRPr="00A779B8">
        <w:rPr>
          <w:lang w:val="fr-FR"/>
        </w:rPr>
        <w:t>ozoniseur hors fonction. Le mélange de gaz défini au paragraphe 2.4.2 du présen</w:t>
      </w:r>
      <w:r>
        <w:rPr>
          <w:lang w:val="fr-FR"/>
        </w:rPr>
        <w:t>t</w:t>
      </w:r>
      <w:r w:rsidRPr="00A779B8">
        <w:rPr>
          <w:lang w:val="fr-FR"/>
        </w:rPr>
        <w:t xml:space="preserve"> appendice traverse le convertisseur puis passe dans le détecteur. On enregistre la concentration affichée (b).</w:t>
      </w:r>
    </w:p>
    <w:p w:rsidR="00C060A6" w:rsidRPr="00A779B8" w:rsidRDefault="00C060A6" w:rsidP="00C060A6">
      <w:pPr>
        <w:pStyle w:val="Titre1"/>
        <w:spacing w:after="120"/>
        <w:rPr>
          <w:vertAlign w:val="subscript"/>
          <w:lang w:val="fr-FR"/>
        </w:rPr>
      </w:pPr>
      <w:r w:rsidRPr="00A779B8">
        <w:rPr>
          <w:lang w:val="fr-FR"/>
        </w:rPr>
        <w:lastRenderedPageBreak/>
        <w:t>Figure A4a.App3/11</w:t>
      </w:r>
      <w:r w:rsidRPr="00A779B8">
        <w:rPr>
          <w:lang w:val="fr-FR"/>
        </w:rPr>
        <w:br/>
      </w:r>
      <w:r w:rsidRPr="00A779B8">
        <w:rPr>
          <w:b/>
          <w:lang w:val="fr-FR"/>
        </w:rPr>
        <w:t>Configuration de l</w:t>
      </w:r>
      <w:r w:rsidR="00DB4C2D">
        <w:rPr>
          <w:b/>
          <w:lang w:val="fr-FR"/>
        </w:rPr>
        <w:t>’</w:t>
      </w:r>
      <w:r w:rsidRPr="00A779B8">
        <w:rPr>
          <w:b/>
          <w:lang w:val="fr-FR"/>
        </w:rPr>
        <w:t>essai d</w:t>
      </w:r>
      <w:r w:rsidR="00DB4C2D">
        <w:rPr>
          <w:b/>
          <w:lang w:val="fr-FR"/>
        </w:rPr>
        <w:t>’</w:t>
      </w:r>
      <w:r w:rsidRPr="00A779B8">
        <w:rPr>
          <w:b/>
          <w:lang w:val="fr-FR"/>
        </w:rPr>
        <w:t xml:space="preserve">efficacité du convertisseur de </w:t>
      </w:r>
      <w:proofErr w:type="spellStart"/>
      <w:r w:rsidRPr="00A779B8">
        <w:rPr>
          <w:b/>
          <w:lang w:val="fr-FR"/>
        </w:rPr>
        <w:t>NO</w:t>
      </w:r>
      <w:r w:rsidRPr="00A779B8">
        <w:rPr>
          <w:b/>
          <w:vertAlign w:val="subscript"/>
          <w:lang w:val="fr-FR"/>
        </w:rPr>
        <w:t>x</w:t>
      </w:r>
      <w:proofErr w:type="spellEnd"/>
    </w:p>
    <w:bookmarkStart w:id="201" w:name="_MON_1316525209"/>
    <w:bookmarkStart w:id="202" w:name="_MON_1317555306"/>
    <w:bookmarkStart w:id="203" w:name="_MON_1448270187"/>
    <w:bookmarkStart w:id="204" w:name="_MON_1448958929"/>
    <w:bookmarkStart w:id="205" w:name="_MON_1448968343"/>
    <w:bookmarkEnd w:id="201"/>
    <w:bookmarkEnd w:id="202"/>
    <w:bookmarkEnd w:id="203"/>
    <w:bookmarkEnd w:id="204"/>
    <w:bookmarkEnd w:id="205"/>
    <w:p w:rsidR="00C060A6" w:rsidRPr="00A779B8" w:rsidRDefault="00C060A6" w:rsidP="00C060A6">
      <w:pPr>
        <w:spacing w:after="240"/>
        <w:ind w:left="1134"/>
        <w:rPr>
          <w:lang w:val="fr-FR"/>
        </w:rPr>
      </w:pPr>
      <w:r w:rsidRPr="00A779B8">
        <w:rPr>
          <w:lang w:val="fr-FR"/>
        </w:rPr>
        <w:object w:dxaOrig="7650" w:dyaOrig="4410">
          <v:shape id="_x0000_i1092" type="#_x0000_t75" style="width:368.15pt;height:212.6pt" o:ole="">
            <v:imagedata r:id="rId170" o:title=""/>
            <w10:bordertop type="single" width="4"/>
            <w10:borderleft type="single" width="4"/>
            <w10:borderbottom type="single" width="4"/>
            <w10:borderright type="single" width="4"/>
          </v:shape>
          <o:OLEObject Type="Embed" ProgID="Word.Picture.8" ShapeID="_x0000_i1092" DrawAspect="Content" ObjectID="_1490178448" r:id="rId171"/>
        </w:object>
      </w:r>
    </w:p>
    <w:p w:rsidR="00C060A6" w:rsidRPr="00A779B8" w:rsidRDefault="00C060A6" w:rsidP="00C060A6">
      <w:pPr>
        <w:pStyle w:val="SingleTxtG"/>
        <w:ind w:left="2268" w:hanging="1134"/>
        <w:rPr>
          <w:lang w:val="fr-FR"/>
        </w:rPr>
      </w:pPr>
      <w:r w:rsidRPr="00A779B8">
        <w:rPr>
          <w:lang w:val="fr-FR"/>
        </w:rPr>
        <w:t>2.4.6</w:t>
      </w:r>
      <w:r w:rsidRPr="00A779B8">
        <w:rPr>
          <w:lang w:val="fr-FR"/>
        </w:rPr>
        <w:tab/>
        <w:t>L</w:t>
      </w:r>
      <w:r w:rsidR="00DB4C2D">
        <w:rPr>
          <w:lang w:val="fr-FR"/>
        </w:rPr>
        <w:t>’</w:t>
      </w:r>
      <w:r w:rsidRPr="00A779B8">
        <w:rPr>
          <w:lang w:val="fr-FR"/>
        </w:rPr>
        <w:t>ozoniseur étant toujours hors fonction, on coupe aussi l</w:t>
      </w:r>
      <w:r w:rsidR="00DB4C2D">
        <w:rPr>
          <w:lang w:val="fr-FR"/>
        </w:rPr>
        <w:t>’</w:t>
      </w:r>
      <w:r w:rsidRPr="00A779B8">
        <w:rPr>
          <w:lang w:val="fr-FR"/>
        </w:rPr>
        <w:t>arrivée d</w:t>
      </w:r>
      <w:r w:rsidR="00DB4C2D">
        <w:rPr>
          <w:lang w:val="fr-FR"/>
        </w:rPr>
        <w:t>’</w:t>
      </w:r>
      <w:r w:rsidRPr="00A779B8">
        <w:rPr>
          <w:lang w:val="fr-FR"/>
        </w:rPr>
        <w:t>oxygène ou d</w:t>
      </w:r>
      <w:r w:rsidR="00DB4C2D">
        <w:rPr>
          <w:lang w:val="fr-FR"/>
        </w:rPr>
        <w:t>’</w:t>
      </w:r>
      <w:r w:rsidRPr="00A779B8">
        <w:rPr>
          <w:lang w:val="fr-FR"/>
        </w:rPr>
        <w:t>air synthétique. La valeur de NO</w:t>
      </w:r>
      <w:r w:rsidRPr="00A779B8">
        <w:rPr>
          <w:vertAlign w:val="subscript"/>
          <w:lang w:val="fr-FR"/>
        </w:rPr>
        <w:t>2</w:t>
      </w:r>
      <w:r w:rsidRPr="00A779B8">
        <w:rPr>
          <w:lang w:val="fr-FR"/>
        </w:rPr>
        <w:t xml:space="preserve"> affichée par l</w:t>
      </w:r>
      <w:r w:rsidR="00DB4C2D">
        <w:rPr>
          <w:lang w:val="fr-FR"/>
        </w:rPr>
        <w:t>’</w:t>
      </w:r>
      <w:r w:rsidRPr="00A779B8">
        <w:rPr>
          <w:lang w:val="fr-FR"/>
        </w:rPr>
        <w:t>analyseur ne doit pas alors être supérieure de plus de 5 % à la valeur spécifiée au paragraphe 2.4.1 du présent appendice.</w:t>
      </w:r>
    </w:p>
    <w:p w:rsidR="00C060A6" w:rsidRPr="00A779B8" w:rsidRDefault="00C060A6" w:rsidP="00C060A6">
      <w:pPr>
        <w:pStyle w:val="SingleTxtG"/>
        <w:ind w:left="2268" w:hanging="1134"/>
        <w:rPr>
          <w:lang w:val="fr-FR"/>
        </w:rPr>
      </w:pPr>
      <w:r w:rsidRPr="00A779B8">
        <w:rPr>
          <w:lang w:val="fr-FR"/>
        </w:rPr>
        <w:t>2.4.7</w:t>
      </w:r>
      <w:r w:rsidRPr="00A779B8">
        <w:rPr>
          <w:lang w:val="fr-FR"/>
        </w:rPr>
        <w:tab/>
        <w:t>L</w:t>
      </w:r>
      <w:r w:rsidR="00DB4C2D">
        <w:rPr>
          <w:lang w:val="fr-FR"/>
        </w:rPr>
        <w:t>’</w:t>
      </w:r>
      <w:r w:rsidRPr="00A779B8">
        <w:rPr>
          <w:lang w:val="fr-FR"/>
        </w:rPr>
        <w:t xml:space="preserve">efficacité du convertisseur de </w:t>
      </w:r>
      <w:proofErr w:type="spellStart"/>
      <w:r w:rsidRPr="00A779B8">
        <w:rPr>
          <w:lang w:val="fr-FR"/>
        </w:rPr>
        <w:t>NO</w:t>
      </w:r>
      <w:r w:rsidRPr="00A779B8">
        <w:rPr>
          <w:vertAlign w:val="subscript"/>
          <w:lang w:val="fr-FR"/>
        </w:rPr>
        <w:t>x</w:t>
      </w:r>
      <w:proofErr w:type="spellEnd"/>
      <w:r w:rsidRPr="00A779B8">
        <w:rPr>
          <w:lang w:val="fr-FR"/>
        </w:rPr>
        <w:t xml:space="preserve"> est calculée comme suit:</w:t>
      </w:r>
    </w:p>
    <w:p w:rsidR="00C060A6" w:rsidRPr="00A779B8" w:rsidRDefault="00C060A6" w:rsidP="00C060A6">
      <w:pPr>
        <w:spacing w:after="220"/>
        <w:ind w:left="2268"/>
        <w:rPr>
          <w:lang w:val="fr-FR"/>
        </w:rPr>
      </w:pPr>
      <w:r w:rsidRPr="00A779B8">
        <w:rPr>
          <w:position w:val="-28"/>
          <w:lang w:val="fr-FR"/>
        </w:rPr>
        <w:object w:dxaOrig="2700" w:dyaOrig="660">
          <v:shape id="_x0000_i1093" type="#_x0000_t75" style="width:135.15pt;height:33.3pt" o:ole="" fillcolor="window">
            <v:imagedata r:id="rId172" o:title=""/>
          </v:shape>
          <o:OLEObject Type="Embed" ProgID="Equation.3" ShapeID="_x0000_i1093" DrawAspect="Content" ObjectID="_1490178449" r:id="rId173"/>
        </w:object>
      </w:r>
      <w:r w:rsidRPr="00A779B8">
        <w:rPr>
          <w:lang w:val="fr-FR"/>
        </w:rPr>
        <w:t xml:space="preserve"> </w:t>
      </w:r>
    </w:p>
    <w:p w:rsidR="00C060A6" w:rsidRPr="00A779B8" w:rsidRDefault="00C060A6" w:rsidP="00C060A6">
      <w:pPr>
        <w:pStyle w:val="SingleTxtG"/>
        <w:ind w:left="2268" w:hanging="1134"/>
        <w:rPr>
          <w:lang w:val="fr-FR"/>
        </w:rPr>
      </w:pPr>
      <w:r w:rsidRPr="00A779B8">
        <w:rPr>
          <w:lang w:val="fr-FR"/>
        </w:rPr>
        <w:t>2.4.8</w:t>
      </w:r>
      <w:r w:rsidRPr="00A779B8">
        <w:rPr>
          <w:lang w:val="fr-FR"/>
        </w:rPr>
        <w:tab/>
        <w:t>La valeur ainsi obtenue ne doit pas être inférieure à 95 %.</w:t>
      </w:r>
    </w:p>
    <w:p w:rsidR="00C060A6" w:rsidRPr="00A779B8" w:rsidRDefault="00C060A6" w:rsidP="00C060A6">
      <w:pPr>
        <w:pStyle w:val="SingleTxtG"/>
        <w:ind w:left="2268" w:hanging="1134"/>
        <w:rPr>
          <w:lang w:val="fr-FR"/>
        </w:rPr>
      </w:pPr>
      <w:r w:rsidRPr="00A779B8">
        <w:rPr>
          <w:lang w:val="fr-FR"/>
        </w:rPr>
        <w:t>2.4.9</w:t>
      </w:r>
      <w:r w:rsidRPr="00A779B8">
        <w:rPr>
          <w:lang w:val="fr-FR"/>
        </w:rPr>
        <w:tab/>
        <w:t>Le contrôle de l</w:t>
      </w:r>
      <w:r w:rsidR="00DB4C2D">
        <w:rPr>
          <w:lang w:val="fr-FR"/>
        </w:rPr>
        <w:t>’</w:t>
      </w:r>
      <w:r w:rsidRPr="00A779B8">
        <w:rPr>
          <w:lang w:val="fr-FR"/>
        </w:rPr>
        <w:t>efficacité doit être fait au moins une fois par semaine.</w:t>
      </w:r>
    </w:p>
    <w:p w:rsidR="00C060A6" w:rsidRPr="00A779B8" w:rsidRDefault="00C060A6" w:rsidP="00C060A6">
      <w:pPr>
        <w:pStyle w:val="SingleTxtG"/>
        <w:keepNext/>
        <w:ind w:left="2268" w:hanging="1134"/>
        <w:jc w:val="left"/>
        <w:rPr>
          <w:lang w:val="fr-FR"/>
        </w:rPr>
      </w:pPr>
      <w:r w:rsidRPr="00A779B8">
        <w:rPr>
          <w:lang w:val="fr-FR"/>
        </w:rPr>
        <w:t>3.</w:t>
      </w:r>
      <w:r w:rsidRPr="00A779B8">
        <w:rPr>
          <w:lang w:val="fr-FR"/>
        </w:rPr>
        <w:tab/>
        <w:t>Gaz de référence</w:t>
      </w:r>
    </w:p>
    <w:p w:rsidR="00C060A6" w:rsidRPr="00A779B8" w:rsidRDefault="00C060A6" w:rsidP="00C060A6">
      <w:pPr>
        <w:pStyle w:val="SingleTxtG"/>
        <w:keepNext/>
        <w:ind w:left="2268" w:hanging="1134"/>
        <w:jc w:val="left"/>
        <w:rPr>
          <w:lang w:val="fr-FR"/>
        </w:rPr>
      </w:pPr>
      <w:r w:rsidRPr="00A779B8">
        <w:rPr>
          <w:lang w:val="fr-FR"/>
        </w:rPr>
        <w:t>3.1</w:t>
      </w:r>
      <w:r w:rsidRPr="00A779B8">
        <w:rPr>
          <w:lang w:val="fr-FR"/>
        </w:rPr>
        <w:tab/>
        <w:t>Gaz purs</w:t>
      </w:r>
    </w:p>
    <w:p w:rsidR="00C060A6" w:rsidRPr="00A779B8" w:rsidRDefault="00C060A6" w:rsidP="00C060A6">
      <w:pPr>
        <w:pStyle w:val="SingleTxtG"/>
        <w:ind w:left="2268"/>
        <w:rPr>
          <w:lang w:val="fr-FR"/>
        </w:rPr>
      </w:pPr>
      <w:r w:rsidRPr="00A779B8">
        <w:rPr>
          <w:lang w:val="fr-FR"/>
        </w:rPr>
        <w:t>Les gaz purs utilisés selon le cas pour l</w:t>
      </w:r>
      <w:r w:rsidR="00DB4C2D">
        <w:rPr>
          <w:lang w:val="fr-FR"/>
        </w:rPr>
        <w:t>’</w:t>
      </w:r>
      <w:r w:rsidRPr="00A779B8">
        <w:rPr>
          <w:lang w:val="fr-FR"/>
        </w:rPr>
        <w:t>étalonnage et l</w:t>
      </w:r>
      <w:r w:rsidR="00DB4C2D">
        <w:rPr>
          <w:lang w:val="fr-FR"/>
        </w:rPr>
        <w:t>’</w:t>
      </w:r>
      <w:r w:rsidRPr="00A779B8">
        <w:rPr>
          <w:lang w:val="fr-FR"/>
        </w:rPr>
        <w:t>utilisation de l</w:t>
      </w:r>
      <w:r w:rsidR="00DB4C2D">
        <w:rPr>
          <w:lang w:val="fr-FR"/>
        </w:rPr>
        <w:t>’</w:t>
      </w:r>
      <w:r w:rsidRPr="00A779B8">
        <w:rPr>
          <w:lang w:val="fr-FR"/>
        </w:rPr>
        <w:t>appareillage doivent remplir les conditions suivantes:</w:t>
      </w:r>
    </w:p>
    <w:p w:rsidR="00C060A6" w:rsidRPr="00A779B8" w:rsidRDefault="00C060A6" w:rsidP="00C060A6">
      <w:pPr>
        <w:pStyle w:val="SingleTxtG"/>
        <w:ind w:left="2268"/>
        <w:rPr>
          <w:lang w:val="en-GB"/>
        </w:rPr>
      </w:pPr>
      <w:r w:rsidRPr="00A779B8">
        <w:rPr>
          <w:lang w:val="en-GB"/>
        </w:rPr>
        <w:t xml:space="preserve">Azote </w:t>
      </w:r>
      <w:proofErr w:type="spellStart"/>
      <w:r w:rsidRPr="00A779B8">
        <w:rPr>
          <w:lang w:val="en-GB"/>
        </w:rPr>
        <w:t>purifié</w:t>
      </w:r>
      <w:proofErr w:type="spellEnd"/>
      <w:r w:rsidRPr="00A779B8">
        <w:rPr>
          <w:lang w:val="en-GB"/>
        </w:rPr>
        <w:t>: (</w:t>
      </w:r>
      <w:proofErr w:type="spellStart"/>
      <w:r w:rsidRPr="00A779B8">
        <w:rPr>
          <w:lang w:val="en-GB"/>
        </w:rPr>
        <w:t>pureté</w:t>
      </w:r>
      <w:proofErr w:type="spellEnd"/>
      <w:r w:rsidRPr="00A779B8">
        <w:rPr>
          <w:lang w:val="en-GB"/>
        </w:rPr>
        <w:t> ≤ 1 ppm C, ≤ 1 ppm CO, ≤ 400 ppm CO</w:t>
      </w:r>
      <w:r w:rsidRPr="00A779B8">
        <w:rPr>
          <w:vertAlign w:val="subscript"/>
          <w:lang w:val="en-GB"/>
        </w:rPr>
        <w:t>2</w:t>
      </w:r>
      <w:r w:rsidRPr="00A779B8">
        <w:rPr>
          <w:lang w:val="en-GB"/>
        </w:rPr>
        <w:t xml:space="preserve"> et ≤ 0,1 ppm NO);</w:t>
      </w:r>
    </w:p>
    <w:p w:rsidR="00C060A6" w:rsidRPr="00A779B8" w:rsidRDefault="00C060A6" w:rsidP="00C060A6">
      <w:pPr>
        <w:pStyle w:val="SingleTxtG"/>
        <w:ind w:left="2268"/>
        <w:rPr>
          <w:lang w:val="fr-FR"/>
        </w:rPr>
      </w:pPr>
      <w:r w:rsidRPr="00A779B8">
        <w:rPr>
          <w:lang w:val="fr-FR"/>
        </w:rPr>
        <w:t>Air synthétique purifié: (pureté ≤ 1 ppm C, ≤ 1 ppm CO, ≤ 400 ppm CO</w:t>
      </w:r>
      <w:r w:rsidRPr="00A779B8">
        <w:rPr>
          <w:vertAlign w:val="subscript"/>
          <w:lang w:val="fr-FR"/>
        </w:rPr>
        <w:t>2</w:t>
      </w:r>
      <w:r w:rsidRPr="00A779B8">
        <w:rPr>
          <w:lang w:val="fr-FR"/>
        </w:rPr>
        <w:t>, ≤ 0,1 ppm NO); concentration d</w:t>
      </w:r>
      <w:r w:rsidR="00DB4C2D">
        <w:rPr>
          <w:lang w:val="fr-FR"/>
        </w:rPr>
        <w:t>’</w:t>
      </w:r>
      <w:r w:rsidRPr="00A779B8">
        <w:rPr>
          <w:lang w:val="fr-FR"/>
        </w:rPr>
        <w:t>oxygène de 18 à 21 % en volume;</w:t>
      </w:r>
    </w:p>
    <w:p w:rsidR="00C060A6" w:rsidRPr="00A779B8" w:rsidRDefault="00C060A6" w:rsidP="00C060A6">
      <w:pPr>
        <w:pStyle w:val="SingleTxtG"/>
        <w:ind w:left="2268"/>
        <w:rPr>
          <w:lang w:val="fr-FR"/>
        </w:rPr>
      </w:pPr>
      <w:r w:rsidRPr="00A779B8">
        <w:rPr>
          <w:lang w:val="fr-FR"/>
        </w:rPr>
        <w:t>Oxygène purifié: (pureté &gt; 99,5 % O</w:t>
      </w:r>
      <w:r w:rsidRPr="00A779B8">
        <w:rPr>
          <w:vertAlign w:val="subscript"/>
          <w:lang w:val="fr-FR"/>
        </w:rPr>
        <w:t>2</w:t>
      </w:r>
      <w:r w:rsidRPr="00A779B8">
        <w:rPr>
          <w:lang w:val="fr-FR"/>
        </w:rPr>
        <w:t xml:space="preserve"> en volume);</w:t>
      </w:r>
    </w:p>
    <w:p w:rsidR="00C060A6" w:rsidRPr="00A779B8" w:rsidRDefault="00C060A6" w:rsidP="00C060A6">
      <w:pPr>
        <w:pStyle w:val="SingleTxtG"/>
        <w:ind w:left="2268"/>
        <w:rPr>
          <w:lang w:val="fr-FR"/>
        </w:rPr>
      </w:pPr>
      <w:r w:rsidRPr="00A779B8">
        <w:rPr>
          <w:lang w:val="fr-FR"/>
        </w:rPr>
        <w:t>Hydrogène purifié (et mélange contenant de l</w:t>
      </w:r>
      <w:r w:rsidR="00DB4C2D">
        <w:rPr>
          <w:lang w:val="fr-FR"/>
        </w:rPr>
        <w:t>’</w:t>
      </w:r>
      <w:r w:rsidRPr="00A779B8">
        <w:rPr>
          <w:lang w:val="fr-FR"/>
        </w:rPr>
        <w:t>hélium): (pureté ≤ 1 ppm C, ≤ 400 ppm CO</w:t>
      </w:r>
      <w:r w:rsidRPr="00A779B8">
        <w:rPr>
          <w:vertAlign w:val="subscript"/>
          <w:lang w:val="fr-FR"/>
        </w:rPr>
        <w:t>2</w:t>
      </w:r>
      <w:r w:rsidRPr="00A779B8">
        <w:rPr>
          <w:lang w:val="fr-FR"/>
        </w:rPr>
        <w:t>);</w:t>
      </w:r>
    </w:p>
    <w:p w:rsidR="00C060A6" w:rsidRPr="00A779B8" w:rsidRDefault="00C060A6" w:rsidP="00C060A6">
      <w:pPr>
        <w:pStyle w:val="SingleTxtG"/>
        <w:ind w:left="2268"/>
        <w:rPr>
          <w:lang w:val="fr-FR"/>
        </w:rPr>
      </w:pPr>
      <w:r w:rsidRPr="00A779B8">
        <w:rPr>
          <w:lang w:val="fr-FR"/>
        </w:rPr>
        <w:t>Monoxyde de carbone: (pureté minimale 99,5 %);</w:t>
      </w:r>
    </w:p>
    <w:p w:rsidR="00C060A6" w:rsidRPr="00A779B8" w:rsidRDefault="00C060A6" w:rsidP="00C060A6">
      <w:pPr>
        <w:pStyle w:val="SingleTxtG"/>
        <w:ind w:left="2268"/>
        <w:rPr>
          <w:lang w:val="fr-FR"/>
        </w:rPr>
      </w:pPr>
      <w:r w:rsidRPr="00A779B8">
        <w:rPr>
          <w:lang w:val="fr-FR"/>
        </w:rPr>
        <w:t>Propane: (pureté minimale 99,5 %);</w:t>
      </w:r>
    </w:p>
    <w:p w:rsidR="00C060A6" w:rsidRPr="00A779B8" w:rsidRDefault="00C060A6" w:rsidP="00C060A6">
      <w:pPr>
        <w:pStyle w:val="SingleTxtG"/>
        <w:ind w:left="2268"/>
        <w:rPr>
          <w:lang w:val="fr-FR"/>
        </w:rPr>
      </w:pPr>
      <w:r w:rsidRPr="00A779B8">
        <w:rPr>
          <w:lang w:val="fr-FR"/>
        </w:rPr>
        <w:t>Propylène: (pureté minimale 99,5 %).</w:t>
      </w:r>
    </w:p>
    <w:p w:rsidR="00C060A6" w:rsidRPr="00A779B8" w:rsidRDefault="00C060A6" w:rsidP="00C060A6">
      <w:pPr>
        <w:pStyle w:val="SingleTxtG"/>
        <w:keepNext/>
        <w:ind w:left="2268" w:hanging="1134"/>
        <w:jc w:val="left"/>
        <w:rPr>
          <w:lang w:val="fr-FR"/>
        </w:rPr>
      </w:pPr>
      <w:r w:rsidRPr="00A779B8">
        <w:rPr>
          <w:lang w:val="fr-FR"/>
        </w:rPr>
        <w:lastRenderedPageBreak/>
        <w:t>3.2</w:t>
      </w:r>
      <w:r w:rsidRPr="00A779B8">
        <w:rPr>
          <w:lang w:val="fr-FR"/>
        </w:rPr>
        <w:tab/>
        <w:t>Gaz d</w:t>
      </w:r>
      <w:r w:rsidR="00DB4C2D">
        <w:rPr>
          <w:lang w:val="fr-FR"/>
        </w:rPr>
        <w:t>’</w:t>
      </w:r>
      <w:r w:rsidRPr="00A779B8">
        <w:rPr>
          <w:lang w:val="fr-FR"/>
        </w:rPr>
        <w:t>étalonnage/réglage d</w:t>
      </w:r>
      <w:r w:rsidR="00DB4C2D">
        <w:rPr>
          <w:lang w:val="fr-FR"/>
        </w:rPr>
        <w:t>’</w:t>
      </w:r>
      <w:r w:rsidRPr="00A779B8">
        <w:rPr>
          <w:lang w:val="fr-FR"/>
        </w:rPr>
        <w:t>échelle</w:t>
      </w:r>
    </w:p>
    <w:p w:rsidR="00C060A6" w:rsidRPr="00A779B8" w:rsidRDefault="00C060A6" w:rsidP="00C060A6">
      <w:pPr>
        <w:pStyle w:val="SingleTxtG"/>
        <w:ind w:left="2268"/>
        <w:rPr>
          <w:lang w:val="fr-FR"/>
        </w:rPr>
      </w:pPr>
      <w:r w:rsidRPr="00A779B8">
        <w:rPr>
          <w:lang w:val="fr-FR"/>
        </w:rPr>
        <w:t>Les mélanges de gaz utilisés pour l</w:t>
      </w:r>
      <w:r w:rsidR="00DB4C2D">
        <w:rPr>
          <w:lang w:val="fr-FR"/>
        </w:rPr>
        <w:t>’</w:t>
      </w:r>
      <w:r w:rsidRPr="00A779B8">
        <w:rPr>
          <w:lang w:val="fr-FR"/>
        </w:rPr>
        <w:t>étalonnage ou le réglage d</w:t>
      </w:r>
      <w:r w:rsidR="00DB4C2D">
        <w:rPr>
          <w:lang w:val="fr-FR"/>
        </w:rPr>
        <w:t>’</w:t>
      </w:r>
      <w:r w:rsidRPr="00A779B8">
        <w:rPr>
          <w:lang w:val="fr-FR"/>
        </w:rPr>
        <w:t>échelle doivent avoir la composition chimique spécifiée ci-après:</w:t>
      </w:r>
    </w:p>
    <w:p w:rsidR="00C060A6" w:rsidRPr="00A779B8" w:rsidRDefault="00C060A6" w:rsidP="00C060A6">
      <w:pPr>
        <w:pStyle w:val="SingleTxtG"/>
        <w:ind w:left="2835" w:hanging="567"/>
        <w:rPr>
          <w:lang w:val="fr-FR"/>
        </w:rPr>
      </w:pPr>
      <w:r w:rsidRPr="00A779B8">
        <w:rPr>
          <w:lang w:val="fr-FR"/>
        </w:rPr>
        <w:t>a)</w:t>
      </w:r>
      <w:r w:rsidRPr="00A779B8">
        <w:rPr>
          <w:lang w:val="fr-FR"/>
        </w:rPr>
        <w:tab/>
        <w:t>C</w:t>
      </w:r>
      <w:r w:rsidRPr="00A779B8">
        <w:rPr>
          <w:vertAlign w:val="subscript"/>
          <w:lang w:val="fr-FR"/>
        </w:rPr>
        <w:t>3</w:t>
      </w:r>
      <w:r w:rsidRPr="00A779B8">
        <w:rPr>
          <w:lang w:val="fr-FR"/>
        </w:rPr>
        <w:t>H</w:t>
      </w:r>
      <w:r w:rsidRPr="00A779B8">
        <w:rPr>
          <w:vertAlign w:val="subscript"/>
          <w:lang w:val="fr-FR"/>
        </w:rPr>
        <w:t>8</w:t>
      </w:r>
      <w:r w:rsidRPr="00A779B8">
        <w:rPr>
          <w:lang w:val="fr-FR"/>
        </w:rPr>
        <w:t xml:space="preserve"> et air synthétique purifié (voir par. 3.1</w:t>
      </w:r>
      <w:r>
        <w:rPr>
          <w:lang w:val="fr-FR"/>
        </w:rPr>
        <w:t xml:space="preserve"> ci-dessus</w:t>
      </w:r>
      <w:r w:rsidRPr="00A779B8">
        <w:rPr>
          <w:lang w:val="fr-FR"/>
        </w:rPr>
        <w:t>);</w:t>
      </w:r>
    </w:p>
    <w:p w:rsidR="00C060A6" w:rsidRPr="00A779B8" w:rsidRDefault="00C060A6" w:rsidP="00C060A6">
      <w:pPr>
        <w:pStyle w:val="SingleTxtG"/>
        <w:ind w:left="2835" w:hanging="567"/>
        <w:rPr>
          <w:lang w:val="fr-FR"/>
        </w:rPr>
      </w:pPr>
      <w:r w:rsidRPr="00A779B8">
        <w:rPr>
          <w:lang w:val="fr-FR"/>
        </w:rPr>
        <w:t>b)</w:t>
      </w:r>
      <w:r w:rsidRPr="00A779B8">
        <w:rPr>
          <w:lang w:val="fr-FR"/>
        </w:rPr>
        <w:tab/>
        <w:t>CO et azote purifié;</w:t>
      </w:r>
    </w:p>
    <w:p w:rsidR="00C060A6" w:rsidRPr="00A779B8" w:rsidRDefault="00C060A6" w:rsidP="00C060A6">
      <w:pPr>
        <w:pStyle w:val="SingleTxtG"/>
        <w:ind w:left="2835" w:hanging="567"/>
        <w:rPr>
          <w:lang w:val="fr-FR"/>
        </w:rPr>
      </w:pPr>
      <w:r w:rsidRPr="00A779B8">
        <w:rPr>
          <w:lang w:val="fr-FR"/>
        </w:rPr>
        <w:t>c)</w:t>
      </w:r>
      <w:r w:rsidRPr="00A779B8">
        <w:rPr>
          <w:lang w:val="fr-FR"/>
        </w:rPr>
        <w:tab/>
        <w:t>CO</w:t>
      </w:r>
      <w:r w:rsidRPr="00A779B8">
        <w:rPr>
          <w:vertAlign w:val="subscript"/>
          <w:lang w:val="fr-FR"/>
        </w:rPr>
        <w:t>2</w:t>
      </w:r>
      <w:r w:rsidRPr="00A779B8">
        <w:rPr>
          <w:lang w:val="fr-FR"/>
        </w:rPr>
        <w:t xml:space="preserve"> et azote purifié.</w:t>
      </w:r>
    </w:p>
    <w:p w:rsidR="00C060A6" w:rsidRPr="00A779B8" w:rsidRDefault="00C060A6" w:rsidP="00C060A6">
      <w:pPr>
        <w:pStyle w:val="SingleTxtG"/>
        <w:ind w:left="2268"/>
        <w:rPr>
          <w:lang w:val="fr-FR"/>
        </w:rPr>
      </w:pPr>
      <w:r w:rsidRPr="00A779B8">
        <w:rPr>
          <w:lang w:val="fr-FR"/>
        </w:rPr>
        <w:t>NO et azote purifié (la proportion de NO</w:t>
      </w:r>
      <w:r w:rsidRPr="00A779B8">
        <w:rPr>
          <w:vertAlign w:val="subscript"/>
          <w:lang w:val="fr-FR"/>
        </w:rPr>
        <w:t>2</w:t>
      </w:r>
      <w:r w:rsidRPr="00A779B8">
        <w:rPr>
          <w:lang w:val="fr-FR"/>
        </w:rPr>
        <w:t xml:space="preserve"> contenu dans ce gaz d</w:t>
      </w:r>
      <w:r w:rsidR="00DB4C2D">
        <w:rPr>
          <w:lang w:val="fr-FR"/>
        </w:rPr>
        <w:t>’</w:t>
      </w:r>
      <w:r w:rsidRPr="00A779B8">
        <w:rPr>
          <w:lang w:val="fr-FR"/>
        </w:rPr>
        <w:t>étalonnage ne doit pas dépasser 5 % de la teneur en NO).</w:t>
      </w:r>
    </w:p>
    <w:p w:rsidR="00C060A6" w:rsidRDefault="00C060A6" w:rsidP="00C060A6">
      <w:pPr>
        <w:pStyle w:val="SingleTxtG"/>
        <w:ind w:left="2268"/>
        <w:rPr>
          <w:lang w:val="fr-FR"/>
        </w:rPr>
      </w:pPr>
      <w:r w:rsidRPr="00A779B8">
        <w:rPr>
          <w:lang w:val="fr-FR"/>
        </w:rPr>
        <w:t>La concentration réelle d</w:t>
      </w:r>
      <w:r w:rsidR="00DB4C2D">
        <w:rPr>
          <w:lang w:val="fr-FR"/>
        </w:rPr>
        <w:t>’</w:t>
      </w:r>
      <w:r w:rsidRPr="00A779B8">
        <w:rPr>
          <w:lang w:val="fr-FR"/>
        </w:rPr>
        <w:t>un gaz d</w:t>
      </w:r>
      <w:r w:rsidR="00DB4C2D">
        <w:rPr>
          <w:lang w:val="fr-FR"/>
        </w:rPr>
        <w:t>’</w:t>
      </w:r>
      <w:r w:rsidRPr="00A779B8">
        <w:rPr>
          <w:lang w:val="fr-FR"/>
        </w:rPr>
        <w:t xml:space="preserve">étalonnage doit être conforme à la valeur nominale à </w:t>
      </w:r>
      <w:r w:rsidRPr="00A779B8">
        <w:rPr>
          <w:lang w:val="fr-FR"/>
        </w:rPr>
        <w:sym w:font="Symbol" w:char="F0B1"/>
      </w:r>
      <w:r w:rsidRPr="00A779B8">
        <w:rPr>
          <w:lang w:val="fr-FR"/>
        </w:rPr>
        <w:t>2 %.</w:t>
      </w:r>
    </w:p>
    <w:p w:rsidR="006D17E1" w:rsidRDefault="006D17E1" w:rsidP="00C060A6">
      <w:pPr>
        <w:pStyle w:val="SingleTxtG"/>
        <w:ind w:left="2268"/>
        <w:sectPr w:rsidR="006D17E1" w:rsidSect="00C108AC">
          <w:headerReference w:type="even" r:id="rId174"/>
          <w:headerReference w:type="default" r:id="rId175"/>
          <w:footnotePr>
            <w:numRestart w:val="eachSect"/>
          </w:footnotePr>
          <w:endnotePr>
            <w:numFmt w:val="decimal"/>
          </w:endnotePr>
          <w:pgSz w:w="11907" w:h="16840" w:code="9"/>
          <w:pgMar w:top="1701" w:right="1134" w:bottom="2268" w:left="1134" w:header="794" w:footer="1701" w:gutter="0"/>
          <w:cols w:space="720"/>
          <w:docGrid w:linePitch="272"/>
        </w:sectPr>
      </w:pPr>
    </w:p>
    <w:p w:rsidR="006D17E1" w:rsidRPr="00A779B8" w:rsidRDefault="006D17E1" w:rsidP="006D17E1">
      <w:pPr>
        <w:pStyle w:val="HChG"/>
        <w:rPr>
          <w:lang w:val="fr-FR"/>
        </w:rPr>
      </w:pPr>
      <w:r w:rsidRPr="00A779B8">
        <w:rPr>
          <w:lang w:val="fr-FR"/>
        </w:rPr>
        <w:lastRenderedPageBreak/>
        <w:t>Annexe 4a − Appendice 4</w:t>
      </w:r>
    </w:p>
    <w:p w:rsidR="006D17E1" w:rsidRPr="00A779B8" w:rsidRDefault="006D17E1" w:rsidP="006D17E1">
      <w:pPr>
        <w:pStyle w:val="HChG"/>
        <w:rPr>
          <w:lang w:val="fr-FR"/>
        </w:rPr>
      </w:pPr>
      <w:r w:rsidRPr="00A779B8">
        <w:rPr>
          <w:lang w:val="fr-FR"/>
        </w:rPr>
        <w:tab/>
      </w:r>
      <w:r w:rsidRPr="00A779B8">
        <w:rPr>
          <w:lang w:val="fr-FR"/>
        </w:rPr>
        <w:tab/>
        <w:t>Appareillage de mesure de la masse des particules émises</w:t>
      </w:r>
    </w:p>
    <w:p w:rsidR="006D17E1" w:rsidRPr="00A779B8" w:rsidRDefault="006D17E1" w:rsidP="006D17E1">
      <w:pPr>
        <w:pStyle w:val="SingleTxtG"/>
        <w:keepNext/>
        <w:ind w:left="2268" w:hanging="1134"/>
        <w:jc w:val="left"/>
        <w:rPr>
          <w:lang w:val="fr-FR"/>
        </w:rPr>
      </w:pPr>
      <w:r w:rsidRPr="00A779B8">
        <w:rPr>
          <w:lang w:val="fr-FR"/>
        </w:rPr>
        <w:t>1.</w:t>
      </w:r>
      <w:r w:rsidRPr="00A779B8">
        <w:rPr>
          <w:lang w:val="fr-FR"/>
        </w:rPr>
        <w:tab/>
        <w:t>Description</w:t>
      </w:r>
    </w:p>
    <w:p w:rsidR="006D17E1" w:rsidRPr="00A779B8" w:rsidRDefault="006D17E1" w:rsidP="006D17E1">
      <w:pPr>
        <w:pStyle w:val="SingleTxtG"/>
        <w:keepNext/>
        <w:ind w:left="2268" w:hanging="1134"/>
        <w:jc w:val="left"/>
        <w:rPr>
          <w:lang w:val="fr-FR"/>
        </w:rPr>
      </w:pPr>
      <w:r w:rsidRPr="00A779B8">
        <w:rPr>
          <w:lang w:val="fr-FR"/>
        </w:rPr>
        <w:t>1.1</w:t>
      </w:r>
      <w:r w:rsidRPr="00A779B8">
        <w:rPr>
          <w:lang w:val="fr-FR"/>
        </w:rPr>
        <w:tab/>
        <w:t>Vue d</w:t>
      </w:r>
      <w:r w:rsidR="00DB4C2D">
        <w:rPr>
          <w:lang w:val="fr-FR"/>
        </w:rPr>
        <w:t>’</w:t>
      </w:r>
      <w:r w:rsidRPr="00A779B8">
        <w:rPr>
          <w:lang w:val="fr-FR"/>
        </w:rPr>
        <w:t>ensemble du système</w:t>
      </w:r>
    </w:p>
    <w:p w:rsidR="006D17E1" w:rsidRPr="00A779B8" w:rsidRDefault="006D17E1" w:rsidP="006D17E1">
      <w:pPr>
        <w:pStyle w:val="SingleTxtG"/>
        <w:ind w:left="2268" w:hanging="1134"/>
        <w:rPr>
          <w:lang w:val="fr-FR"/>
        </w:rPr>
      </w:pPr>
      <w:r w:rsidRPr="00A779B8">
        <w:rPr>
          <w:lang w:val="fr-FR"/>
        </w:rPr>
        <w:t>1.1.1</w:t>
      </w:r>
      <w:r w:rsidRPr="00A779B8">
        <w:rPr>
          <w:lang w:val="fr-FR"/>
        </w:rPr>
        <w:tab/>
        <w:t>Le dispositif de prélèvement de l</w:t>
      </w:r>
      <w:r w:rsidR="00DB4C2D">
        <w:rPr>
          <w:lang w:val="fr-FR"/>
        </w:rPr>
        <w:t>’</w:t>
      </w:r>
      <w:r w:rsidRPr="00A779B8">
        <w:rPr>
          <w:lang w:val="fr-FR"/>
        </w:rPr>
        <w:t>échantillon de mesure des particules se compose d</w:t>
      </w:r>
      <w:r w:rsidR="00DB4C2D">
        <w:rPr>
          <w:lang w:val="fr-FR"/>
        </w:rPr>
        <w:t>’</w:t>
      </w:r>
      <w:r w:rsidRPr="00A779B8">
        <w:rPr>
          <w:lang w:val="fr-FR"/>
        </w:rPr>
        <w:t>une sonde de prélèvement située dans le tunnel de dilution, d</w:t>
      </w:r>
      <w:r w:rsidR="00DB4C2D">
        <w:rPr>
          <w:lang w:val="fr-FR"/>
        </w:rPr>
        <w:t>’</w:t>
      </w:r>
      <w:r w:rsidRPr="00A779B8">
        <w:rPr>
          <w:lang w:val="fr-FR"/>
        </w:rPr>
        <w:t>un tube pour le transfert des échantillons de particules, d</w:t>
      </w:r>
      <w:r w:rsidR="00DB4C2D">
        <w:rPr>
          <w:lang w:val="fr-FR"/>
        </w:rPr>
        <w:t>’</w:t>
      </w:r>
      <w:r w:rsidRPr="00A779B8">
        <w:rPr>
          <w:lang w:val="fr-FR"/>
        </w:rPr>
        <w:t>un porte-filtre, d</w:t>
      </w:r>
      <w:r w:rsidR="00DB4C2D">
        <w:rPr>
          <w:lang w:val="fr-FR"/>
        </w:rPr>
        <w:t>’</w:t>
      </w:r>
      <w:r w:rsidRPr="00A779B8">
        <w:rPr>
          <w:lang w:val="fr-FR"/>
        </w:rPr>
        <w:t>une pompe à flux partiel, de régulateurs de débit et de débitmètres.</w:t>
      </w:r>
    </w:p>
    <w:p w:rsidR="006D17E1" w:rsidRPr="00A779B8" w:rsidRDefault="006D17E1" w:rsidP="006D17E1">
      <w:pPr>
        <w:pStyle w:val="SingleTxtG"/>
        <w:ind w:left="2268" w:hanging="1134"/>
        <w:rPr>
          <w:lang w:val="fr-FR"/>
        </w:rPr>
      </w:pPr>
      <w:r w:rsidRPr="00A779B8">
        <w:rPr>
          <w:lang w:val="fr-FR"/>
        </w:rPr>
        <w:t>1.1.2</w:t>
      </w:r>
      <w:r w:rsidRPr="00A779B8">
        <w:rPr>
          <w:lang w:val="fr-FR"/>
        </w:rPr>
        <w:tab/>
        <w:t>Il est recommandé d</w:t>
      </w:r>
      <w:r w:rsidR="00DB4C2D">
        <w:rPr>
          <w:lang w:val="fr-FR"/>
        </w:rPr>
        <w:t>’</w:t>
      </w:r>
      <w:r w:rsidRPr="00A779B8">
        <w:rPr>
          <w:lang w:val="fr-FR"/>
        </w:rPr>
        <w:t xml:space="preserve">utiliser, en amont du porte-filtre, un séparateur primaire (type pot à poussières ou cyclone, par exemple). Toutefois, on peut également utiliser une sonde de prélèvement fonctionnant comme un dispositif approprié de </w:t>
      </w:r>
      <w:proofErr w:type="spellStart"/>
      <w:r w:rsidRPr="00A779B8">
        <w:rPr>
          <w:lang w:val="fr-FR"/>
        </w:rPr>
        <w:t>préclassification</w:t>
      </w:r>
      <w:proofErr w:type="spellEnd"/>
      <w:r w:rsidRPr="00A779B8">
        <w:rPr>
          <w:lang w:val="fr-FR"/>
        </w:rPr>
        <w:t>, comme celle qui est montrée à la figure A4a.App4/13.</w:t>
      </w:r>
    </w:p>
    <w:p w:rsidR="006D17E1" w:rsidRPr="00A779B8" w:rsidRDefault="006D17E1" w:rsidP="006D17E1">
      <w:pPr>
        <w:pStyle w:val="SingleTxtG"/>
        <w:keepNext/>
        <w:ind w:left="2268" w:hanging="1134"/>
        <w:jc w:val="left"/>
        <w:rPr>
          <w:lang w:val="fr-FR"/>
        </w:rPr>
      </w:pPr>
      <w:r w:rsidRPr="00A779B8">
        <w:rPr>
          <w:lang w:val="fr-FR"/>
        </w:rPr>
        <w:t>1.2</w:t>
      </w:r>
      <w:r w:rsidRPr="00A779B8">
        <w:rPr>
          <w:lang w:val="fr-FR"/>
        </w:rPr>
        <w:tab/>
        <w:t>Prescriptions générales</w:t>
      </w:r>
    </w:p>
    <w:p w:rsidR="006D17E1" w:rsidRPr="00A779B8" w:rsidRDefault="006D17E1" w:rsidP="006D17E1">
      <w:pPr>
        <w:pStyle w:val="SingleTxtG"/>
        <w:ind w:left="2268" w:hanging="1134"/>
        <w:rPr>
          <w:lang w:val="fr-FR"/>
        </w:rPr>
      </w:pPr>
      <w:r w:rsidRPr="00A779B8">
        <w:rPr>
          <w:lang w:val="fr-FR"/>
        </w:rPr>
        <w:t>1.2.1</w:t>
      </w:r>
      <w:r w:rsidRPr="00A779B8">
        <w:rPr>
          <w:lang w:val="fr-FR"/>
        </w:rPr>
        <w:tab/>
        <w:t>La sonde de prélèvement du flux de gaz dans lequel les particules sont prélevées doit être disposée dans le canal de dilution de façon à permettre le prélèvement d</w:t>
      </w:r>
      <w:r w:rsidR="00DB4C2D">
        <w:rPr>
          <w:lang w:val="fr-FR"/>
        </w:rPr>
        <w:t>’</w:t>
      </w:r>
      <w:r w:rsidRPr="00A779B8">
        <w:rPr>
          <w:lang w:val="fr-FR"/>
        </w:rPr>
        <w:t>un flux de gaz représentatif du mélange air/gaz d</w:t>
      </w:r>
      <w:r w:rsidR="00DB4C2D">
        <w:rPr>
          <w:lang w:val="fr-FR"/>
        </w:rPr>
        <w:t>’</w:t>
      </w:r>
      <w:r w:rsidRPr="00A779B8">
        <w:rPr>
          <w:lang w:val="fr-FR"/>
        </w:rPr>
        <w:t>échappement homogène.</w:t>
      </w:r>
    </w:p>
    <w:p w:rsidR="006D17E1" w:rsidRPr="00A779B8" w:rsidRDefault="006D17E1" w:rsidP="006D17E1">
      <w:pPr>
        <w:pStyle w:val="SingleTxtG"/>
        <w:ind w:left="2268" w:hanging="1134"/>
        <w:rPr>
          <w:lang w:val="fr-FR"/>
        </w:rPr>
      </w:pPr>
      <w:r w:rsidRPr="00A779B8">
        <w:rPr>
          <w:lang w:val="fr-FR"/>
        </w:rPr>
        <w:t>1.2.2</w:t>
      </w:r>
      <w:r w:rsidRPr="00A779B8">
        <w:rPr>
          <w:lang w:val="fr-FR"/>
        </w:rPr>
        <w:tab/>
        <w:t>Le débit de l</w:t>
      </w:r>
      <w:r w:rsidR="00DB4C2D">
        <w:rPr>
          <w:lang w:val="fr-FR"/>
        </w:rPr>
        <w:t>’</w:t>
      </w:r>
      <w:r w:rsidRPr="00A779B8">
        <w:rPr>
          <w:lang w:val="fr-FR"/>
        </w:rPr>
        <w:t>échantillon de mesure des particules doit être proportionnel au flux total de gaz d</w:t>
      </w:r>
      <w:r w:rsidR="00DB4C2D">
        <w:rPr>
          <w:lang w:val="fr-FR"/>
        </w:rPr>
        <w:t>’</w:t>
      </w:r>
      <w:r w:rsidRPr="00A779B8">
        <w:rPr>
          <w:lang w:val="fr-FR"/>
        </w:rPr>
        <w:t xml:space="preserve">échappement dilués dans le tunnel de dilution avec une tolérance de </w:t>
      </w:r>
      <w:r w:rsidRPr="00A779B8">
        <w:rPr>
          <w:lang w:val="fr-FR"/>
        </w:rPr>
        <w:sym w:font="Symbol" w:char="F0B1"/>
      </w:r>
      <w:r w:rsidRPr="00A779B8">
        <w:rPr>
          <w:lang w:val="fr-FR"/>
        </w:rPr>
        <w:t>5 %.</w:t>
      </w:r>
    </w:p>
    <w:p w:rsidR="006D17E1" w:rsidRPr="00A779B8" w:rsidRDefault="006D17E1" w:rsidP="006D17E1">
      <w:pPr>
        <w:pStyle w:val="SingleTxtG"/>
        <w:ind w:left="2268" w:hanging="1134"/>
        <w:rPr>
          <w:lang w:val="fr-FR"/>
        </w:rPr>
      </w:pPr>
      <w:r w:rsidRPr="00A779B8">
        <w:rPr>
          <w:lang w:val="fr-FR"/>
        </w:rPr>
        <w:t>1.2.3</w:t>
      </w:r>
      <w:r w:rsidRPr="00A779B8">
        <w:rPr>
          <w:lang w:val="fr-FR"/>
        </w:rPr>
        <w:tab/>
        <w:t>Les gaz d</w:t>
      </w:r>
      <w:r w:rsidR="00DB4C2D">
        <w:rPr>
          <w:lang w:val="fr-FR"/>
        </w:rPr>
        <w:t>’</w:t>
      </w:r>
      <w:r w:rsidRPr="00A779B8">
        <w:rPr>
          <w:lang w:val="fr-FR"/>
        </w:rPr>
        <w:t>échappement dilués prélevés doivent être maintenus à une température inférieure à 325 K (52 °C) dans les 20 cm situés en amont ou en aval de l</w:t>
      </w:r>
      <w:r w:rsidR="00DB4C2D">
        <w:rPr>
          <w:lang w:val="fr-FR"/>
        </w:rPr>
        <w:t>’</w:t>
      </w:r>
      <w:r w:rsidRPr="00A779B8">
        <w:rPr>
          <w:lang w:val="fr-FR"/>
        </w:rPr>
        <w:t>avant du filtre à particules, sauf dans le cas d</w:t>
      </w:r>
      <w:r w:rsidR="00DB4C2D">
        <w:rPr>
          <w:lang w:val="fr-FR"/>
        </w:rPr>
        <w:t>’</w:t>
      </w:r>
      <w:r w:rsidRPr="00A779B8">
        <w:rPr>
          <w:lang w:val="fr-FR"/>
        </w:rPr>
        <w:t>un essai de régénération. Dans ce cas, la température doit être inférieure à 192 °C.</w:t>
      </w:r>
    </w:p>
    <w:p w:rsidR="006D17E1" w:rsidRPr="00A779B8" w:rsidRDefault="006D17E1" w:rsidP="006D17E1">
      <w:pPr>
        <w:pStyle w:val="SingleTxtG"/>
        <w:ind w:left="2268" w:hanging="1134"/>
        <w:rPr>
          <w:lang w:val="fr-FR"/>
        </w:rPr>
      </w:pPr>
      <w:r w:rsidRPr="00A779B8">
        <w:rPr>
          <w:lang w:val="fr-FR"/>
        </w:rPr>
        <w:t>1.2.4</w:t>
      </w:r>
      <w:r w:rsidRPr="00A779B8">
        <w:rPr>
          <w:lang w:val="fr-FR"/>
        </w:rPr>
        <w:tab/>
        <w:t>L</w:t>
      </w:r>
      <w:r w:rsidR="00DB4C2D">
        <w:rPr>
          <w:lang w:val="fr-FR"/>
        </w:rPr>
        <w:t>’</w:t>
      </w:r>
      <w:r w:rsidRPr="00A779B8">
        <w:rPr>
          <w:lang w:val="fr-FR"/>
        </w:rPr>
        <w:t>échantillon de mesure des particules doit être prélevé sur un seul filtre monté sur un support dans les gaz d</w:t>
      </w:r>
      <w:r w:rsidR="00DB4C2D">
        <w:rPr>
          <w:lang w:val="fr-FR"/>
        </w:rPr>
        <w:t>’</w:t>
      </w:r>
      <w:r w:rsidRPr="00A779B8">
        <w:rPr>
          <w:lang w:val="fr-FR"/>
        </w:rPr>
        <w:t>échappement dilués prélevés.</w:t>
      </w:r>
    </w:p>
    <w:p w:rsidR="006D17E1" w:rsidRPr="00A779B8" w:rsidRDefault="006D17E1" w:rsidP="006D17E1">
      <w:pPr>
        <w:pStyle w:val="SingleTxtG"/>
        <w:ind w:left="2268" w:hanging="1134"/>
        <w:rPr>
          <w:lang w:val="fr-FR"/>
        </w:rPr>
      </w:pPr>
      <w:r w:rsidRPr="00A779B8">
        <w:rPr>
          <w:lang w:val="fr-FR"/>
        </w:rPr>
        <w:t>1.2.5</w:t>
      </w:r>
      <w:r w:rsidRPr="00A779B8">
        <w:rPr>
          <w:lang w:val="fr-FR"/>
        </w:rPr>
        <w:tab/>
        <w:t>Tous les éléments du système de dilution et du système de prélèvement compris entre le tuyau d</w:t>
      </w:r>
      <w:r w:rsidR="00DB4C2D">
        <w:rPr>
          <w:lang w:val="fr-FR"/>
        </w:rPr>
        <w:t>’</w:t>
      </w:r>
      <w:r w:rsidRPr="00A779B8">
        <w:rPr>
          <w:lang w:val="fr-FR"/>
        </w:rPr>
        <w:t>échappement et le porte-filtre qui entrent en contact avec les gaz d</w:t>
      </w:r>
      <w:r w:rsidR="00DB4C2D">
        <w:rPr>
          <w:lang w:val="fr-FR"/>
        </w:rPr>
        <w:t>’</w:t>
      </w:r>
      <w:r w:rsidRPr="00A779B8">
        <w:rPr>
          <w:lang w:val="fr-FR"/>
        </w:rPr>
        <w:t>échappement bruts et dilués doivent être conçus pour réduire le plus possible les dépôts ou l</w:t>
      </w:r>
      <w:r w:rsidR="00DB4C2D">
        <w:rPr>
          <w:lang w:val="fr-FR"/>
        </w:rPr>
        <w:t>’</w:t>
      </w:r>
      <w:r w:rsidRPr="00A779B8">
        <w:rPr>
          <w:lang w:val="fr-FR"/>
        </w:rPr>
        <w:t>altération des matières particulaires. Ils doivent être réalisés en matériaux électriquement conducteurs qui ne réagissent pas avec les constituants des gaz d</w:t>
      </w:r>
      <w:r w:rsidR="00DB4C2D">
        <w:rPr>
          <w:lang w:val="fr-FR"/>
        </w:rPr>
        <w:t>’</w:t>
      </w:r>
      <w:r w:rsidRPr="00A779B8">
        <w:rPr>
          <w:lang w:val="fr-FR"/>
        </w:rPr>
        <w:t xml:space="preserve">échappement, et ils doivent être mis à la masse électriquement pour prévenir les effets électrostatiques. </w:t>
      </w:r>
    </w:p>
    <w:p w:rsidR="006D17E1" w:rsidRPr="00A779B8" w:rsidRDefault="006D17E1" w:rsidP="006D17E1">
      <w:pPr>
        <w:pStyle w:val="SingleTxtG"/>
        <w:ind w:left="2268" w:hanging="1134"/>
        <w:rPr>
          <w:lang w:val="fr-FR"/>
        </w:rPr>
      </w:pPr>
      <w:r w:rsidRPr="00A779B8">
        <w:rPr>
          <w:lang w:val="fr-FR"/>
        </w:rPr>
        <w:t>1.2.6</w:t>
      </w:r>
      <w:r w:rsidRPr="00A779B8">
        <w:rPr>
          <w:lang w:val="fr-FR"/>
        </w:rPr>
        <w:tab/>
        <w:t>Si une compensation des variations de débit n</w:t>
      </w:r>
      <w:r w:rsidR="00DB4C2D">
        <w:rPr>
          <w:lang w:val="fr-FR"/>
        </w:rPr>
        <w:t>’</w:t>
      </w:r>
      <w:r w:rsidRPr="00A779B8">
        <w:rPr>
          <w:lang w:val="fr-FR"/>
        </w:rPr>
        <w:t>est pas possible, on doit prévoir un échangeur de chaleur et un dispositif de régulation des températures ayant les caractéristiques spécifiées au paragraphe 1.3.5 de l</w:t>
      </w:r>
      <w:r w:rsidR="00DB4C2D">
        <w:rPr>
          <w:lang w:val="fr-FR"/>
        </w:rPr>
        <w:t>’</w:t>
      </w:r>
      <w:r w:rsidRPr="00A779B8">
        <w:rPr>
          <w:lang w:val="fr-FR"/>
        </w:rPr>
        <w:t>appendice 2 de la présente annexe pour garantir la constance du débit dans le système et, de ce fait, la proportionnalité du débit de prélèvement.</w:t>
      </w:r>
    </w:p>
    <w:p w:rsidR="006D17E1" w:rsidRPr="00A779B8" w:rsidRDefault="006D17E1" w:rsidP="006D17E1">
      <w:pPr>
        <w:pStyle w:val="SingleTxtG"/>
        <w:keepNext/>
        <w:ind w:left="2268" w:hanging="1134"/>
        <w:jc w:val="left"/>
        <w:rPr>
          <w:lang w:val="fr-FR"/>
        </w:rPr>
      </w:pPr>
      <w:r w:rsidRPr="00A779B8">
        <w:rPr>
          <w:lang w:val="fr-FR"/>
        </w:rPr>
        <w:lastRenderedPageBreak/>
        <w:t>1.3</w:t>
      </w:r>
      <w:r w:rsidRPr="00A779B8">
        <w:rPr>
          <w:lang w:val="fr-FR"/>
        </w:rPr>
        <w:tab/>
        <w:t>Prescriptions particulières</w:t>
      </w:r>
    </w:p>
    <w:p w:rsidR="006D17E1" w:rsidRPr="00A779B8" w:rsidRDefault="006D17E1" w:rsidP="006D17E1">
      <w:pPr>
        <w:pStyle w:val="SingleTxtG"/>
        <w:keepNext/>
        <w:ind w:left="2268" w:hanging="1134"/>
        <w:jc w:val="left"/>
        <w:rPr>
          <w:lang w:val="fr-FR"/>
        </w:rPr>
      </w:pPr>
      <w:r w:rsidRPr="00A779B8">
        <w:rPr>
          <w:lang w:val="fr-FR"/>
        </w:rPr>
        <w:t>1.3.1</w:t>
      </w:r>
      <w:r w:rsidRPr="00A779B8">
        <w:rPr>
          <w:lang w:val="fr-FR"/>
        </w:rPr>
        <w:tab/>
        <w:t>Sonde de prélèvement des particules</w:t>
      </w:r>
    </w:p>
    <w:p w:rsidR="006D17E1" w:rsidRPr="00A779B8" w:rsidRDefault="006D17E1" w:rsidP="006D17E1">
      <w:pPr>
        <w:pStyle w:val="SingleTxtG"/>
        <w:keepNext/>
        <w:keepLines/>
        <w:ind w:left="2268" w:hanging="1134"/>
        <w:rPr>
          <w:lang w:val="fr-FR"/>
        </w:rPr>
      </w:pPr>
      <w:r w:rsidRPr="00A779B8">
        <w:rPr>
          <w:lang w:val="fr-FR"/>
        </w:rPr>
        <w:t>1.3.1.1</w:t>
      </w:r>
      <w:r w:rsidRPr="00A779B8">
        <w:rPr>
          <w:lang w:val="fr-FR"/>
        </w:rPr>
        <w:tab/>
        <w:t>La sonde de prélèvement doit avoir, en matière de classification granulométrique des particules, l</w:t>
      </w:r>
      <w:r w:rsidR="00DB4C2D">
        <w:rPr>
          <w:lang w:val="fr-FR"/>
        </w:rPr>
        <w:t>’</w:t>
      </w:r>
      <w:r w:rsidRPr="00A779B8">
        <w:rPr>
          <w:lang w:val="fr-FR"/>
        </w:rPr>
        <w:t>efficacité décrite au paragraphe 1.3.1.4</w:t>
      </w:r>
      <w:r>
        <w:rPr>
          <w:lang w:val="fr-FR"/>
        </w:rPr>
        <w:t xml:space="preserve"> du présent appendice</w:t>
      </w:r>
      <w:r w:rsidRPr="00A779B8">
        <w:rPr>
          <w:lang w:val="fr-FR"/>
        </w:rPr>
        <w:t>. Pour parvenir à cette efficacité, il est recommandé d</w:t>
      </w:r>
      <w:r w:rsidR="00DB4C2D">
        <w:rPr>
          <w:lang w:val="fr-FR"/>
        </w:rPr>
        <w:t>’</w:t>
      </w:r>
      <w:r w:rsidRPr="00A779B8">
        <w:rPr>
          <w:lang w:val="fr-FR"/>
        </w:rPr>
        <w:t>utiliser une sonde à arêtes vives et à tube ouvert faisant directement face à l</w:t>
      </w:r>
      <w:r w:rsidR="00DB4C2D">
        <w:rPr>
          <w:lang w:val="fr-FR"/>
        </w:rPr>
        <w:t>’</w:t>
      </w:r>
      <w:r w:rsidRPr="00A779B8">
        <w:rPr>
          <w:lang w:val="fr-FR"/>
        </w:rPr>
        <w:t>amont ainsi qu</w:t>
      </w:r>
      <w:r w:rsidR="00DB4C2D">
        <w:rPr>
          <w:lang w:val="fr-FR"/>
        </w:rPr>
        <w:t>’</w:t>
      </w:r>
      <w:r w:rsidRPr="00A779B8">
        <w:rPr>
          <w:lang w:val="fr-FR"/>
        </w:rPr>
        <w:t>un séparateur primaire (type pot à poussières ou cyclone, etc.). On peut également utiliser une sonde de prélèvement telle que celle qui est décrite à la figure A4a.App4/13 à condition qu</w:t>
      </w:r>
      <w:r w:rsidR="00DB4C2D">
        <w:rPr>
          <w:lang w:val="fr-FR"/>
        </w:rPr>
        <w:t>’</w:t>
      </w:r>
      <w:r w:rsidRPr="00A779B8">
        <w:rPr>
          <w:lang w:val="fr-FR"/>
        </w:rPr>
        <w:t xml:space="preserve">elle parvienne, en matière de </w:t>
      </w:r>
      <w:proofErr w:type="spellStart"/>
      <w:r w:rsidRPr="00A779B8">
        <w:rPr>
          <w:lang w:val="fr-FR"/>
        </w:rPr>
        <w:t>préclassification</w:t>
      </w:r>
      <w:proofErr w:type="spellEnd"/>
      <w:r w:rsidRPr="00A779B8">
        <w:rPr>
          <w:lang w:val="fr-FR"/>
        </w:rPr>
        <w:t>, à l</w:t>
      </w:r>
      <w:r w:rsidR="00DB4C2D">
        <w:rPr>
          <w:lang w:val="fr-FR"/>
        </w:rPr>
        <w:t>’</w:t>
      </w:r>
      <w:r w:rsidRPr="00A779B8">
        <w:rPr>
          <w:lang w:val="fr-FR"/>
        </w:rPr>
        <w:t>efficacité décrite au paragraphe 1.3.1.4</w:t>
      </w:r>
      <w:r>
        <w:rPr>
          <w:lang w:val="fr-FR"/>
        </w:rPr>
        <w:t xml:space="preserve"> du présent appendice</w:t>
      </w:r>
      <w:r w:rsidRPr="00A779B8">
        <w:rPr>
          <w:lang w:val="fr-FR"/>
        </w:rPr>
        <w:t>.</w:t>
      </w:r>
    </w:p>
    <w:p w:rsidR="006D17E1" w:rsidRPr="00A779B8" w:rsidRDefault="006D17E1" w:rsidP="006D17E1">
      <w:pPr>
        <w:pStyle w:val="SingleTxtG"/>
        <w:ind w:left="2268" w:hanging="1134"/>
        <w:rPr>
          <w:lang w:val="fr-FR"/>
        </w:rPr>
      </w:pPr>
      <w:r w:rsidRPr="00A779B8">
        <w:rPr>
          <w:lang w:val="fr-FR"/>
        </w:rPr>
        <w:t>1.3.1.2</w:t>
      </w:r>
      <w:r w:rsidRPr="00A779B8">
        <w:rPr>
          <w:lang w:val="fr-FR"/>
        </w:rPr>
        <w:tab/>
        <w:t>La sonde de prélèvement doit être installée à proximité de l</w:t>
      </w:r>
      <w:r w:rsidR="00DB4C2D">
        <w:rPr>
          <w:lang w:val="fr-FR"/>
        </w:rPr>
        <w:t>’</w:t>
      </w:r>
      <w:r w:rsidRPr="00A779B8">
        <w:rPr>
          <w:lang w:val="fr-FR"/>
        </w:rPr>
        <w:t>axe du tunnel, à une distance comprise entre 10 et 20 diamètres du tunnel en aval du flux à partir de l</w:t>
      </w:r>
      <w:r w:rsidR="00DB4C2D">
        <w:rPr>
          <w:lang w:val="fr-FR"/>
        </w:rPr>
        <w:t>’</w:t>
      </w:r>
      <w:r w:rsidRPr="00A779B8">
        <w:rPr>
          <w:lang w:val="fr-FR"/>
        </w:rPr>
        <w:t>entrée des gaz d</w:t>
      </w:r>
      <w:r w:rsidR="00DB4C2D">
        <w:rPr>
          <w:lang w:val="fr-FR"/>
        </w:rPr>
        <w:t>’</w:t>
      </w:r>
      <w:r w:rsidRPr="00A779B8">
        <w:rPr>
          <w:lang w:val="fr-FR"/>
        </w:rPr>
        <w:t>échappement, et doit avoir un diamètre intérieur d</w:t>
      </w:r>
      <w:r w:rsidR="00DB4C2D">
        <w:rPr>
          <w:lang w:val="fr-FR"/>
        </w:rPr>
        <w:t>’</w:t>
      </w:r>
      <w:r w:rsidRPr="00A779B8">
        <w:rPr>
          <w:lang w:val="fr-FR"/>
        </w:rPr>
        <w:t>au moins 12 </w:t>
      </w:r>
      <w:proofErr w:type="spellStart"/>
      <w:r w:rsidRPr="00A779B8">
        <w:rPr>
          <w:lang w:val="fr-FR"/>
        </w:rPr>
        <w:t>mm.</w:t>
      </w:r>
      <w:proofErr w:type="spellEnd"/>
    </w:p>
    <w:p w:rsidR="006D17E1" w:rsidRPr="00A779B8" w:rsidRDefault="006D17E1" w:rsidP="006D17E1">
      <w:pPr>
        <w:pStyle w:val="SingleTxtG"/>
        <w:ind w:left="2268"/>
        <w:rPr>
          <w:lang w:val="fr-FR"/>
        </w:rPr>
      </w:pPr>
      <w:r w:rsidRPr="00A779B8">
        <w:rPr>
          <w:lang w:val="fr-FR"/>
        </w:rPr>
        <w:t>Si plusieurs échantillons sont prélevés simultanément à partir d</w:t>
      </w:r>
      <w:r w:rsidR="00DB4C2D">
        <w:rPr>
          <w:lang w:val="fr-FR"/>
        </w:rPr>
        <w:t>’</w:t>
      </w:r>
      <w:r w:rsidRPr="00A779B8">
        <w:rPr>
          <w:lang w:val="fr-FR"/>
        </w:rPr>
        <w:t>une sonde de prélèvement unique, le débit prélevé à partir de cette sonde doit être divisé en débits fractionnels égaux afin d</w:t>
      </w:r>
      <w:r w:rsidR="00DB4C2D">
        <w:rPr>
          <w:lang w:val="fr-FR"/>
        </w:rPr>
        <w:t>’</w:t>
      </w:r>
      <w:r w:rsidRPr="00A779B8">
        <w:rPr>
          <w:lang w:val="fr-FR"/>
        </w:rPr>
        <w:t>éviter tout effet de biais sur le prélèvement.</w:t>
      </w:r>
    </w:p>
    <w:p w:rsidR="006D17E1" w:rsidRPr="00A779B8" w:rsidRDefault="006D17E1" w:rsidP="006D17E1">
      <w:pPr>
        <w:pStyle w:val="SingleTxtG"/>
        <w:ind w:left="2268"/>
        <w:rPr>
          <w:lang w:val="fr-FR"/>
        </w:rPr>
      </w:pPr>
      <w:r w:rsidRPr="00A779B8">
        <w:rPr>
          <w:lang w:val="fr-FR"/>
        </w:rPr>
        <w:t>Si l</w:t>
      </w:r>
      <w:r w:rsidR="00DB4C2D">
        <w:rPr>
          <w:lang w:val="fr-FR"/>
        </w:rPr>
        <w:t>’</w:t>
      </w:r>
      <w:r w:rsidRPr="00A779B8">
        <w:rPr>
          <w:lang w:val="fr-FR"/>
        </w:rPr>
        <w:t>on utilise plusieurs sondes, chacune doit être à arêtes vives et à tube ouvert faisant directement face à l</w:t>
      </w:r>
      <w:r w:rsidR="00DB4C2D">
        <w:rPr>
          <w:lang w:val="fr-FR"/>
        </w:rPr>
        <w:t>’</w:t>
      </w:r>
      <w:r w:rsidRPr="00A779B8">
        <w:rPr>
          <w:lang w:val="fr-FR"/>
        </w:rPr>
        <w:t>amont. Les sondes doivent être également espacées autour de l</w:t>
      </w:r>
      <w:r w:rsidR="00DB4C2D">
        <w:rPr>
          <w:lang w:val="fr-FR"/>
        </w:rPr>
        <w:t>’</w:t>
      </w:r>
      <w:r w:rsidRPr="00A779B8">
        <w:rPr>
          <w:lang w:val="fr-FR"/>
        </w:rPr>
        <w:t>axe longitudinal central du tunnel de dilution, l</w:t>
      </w:r>
      <w:r w:rsidR="00DB4C2D">
        <w:rPr>
          <w:lang w:val="fr-FR"/>
        </w:rPr>
        <w:t>’</w:t>
      </w:r>
      <w:r w:rsidRPr="00A779B8">
        <w:rPr>
          <w:lang w:val="fr-FR"/>
        </w:rPr>
        <w:t>espace entre deux sondes devant être d</w:t>
      </w:r>
      <w:r w:rsidR="00DB4C2D">
        <w:rPr>
          <w:lang w:val="fr-FR"/>
        </w:rPr>
        <w:t>’</w:t>
      </w:r>
      <w:r w:rsidRPr="00A779B8">
        <w:rPr>
          <w:lang w:val="fr-FR"/>
        </w:rPr>
        <w:t>au moins 5 cm.</w:t>
      </w:r>
    </w:p>
    <w:p w:rsidR="006D17E1" w:rsidRPr="00A779B8" w:rsidRDefault="006D17E1" w:rsidP="006D17E1">
      <w:pPr>
        <w:pStyle w:val="SingleTxtG"/>
        <w:ind w:left="2268" w:hanging="1134"/>
        <w:rPr>
          <w:lang w:val="fr-FR"/>
        </w:rPr>
      </w:pPr>
      <w:r w:rsidRPr="00A779B8">
        <w:rPr>
          <w:lang w:val="fr-FR"/>
        </w:rPr>
        <w:t>1.3.1.3</w:t>
      </w:r>
      <w:r w:rsidRPr="00A779B8">
        <w:rPr>
          <w:lang w:val="fr-FR"/>
        </w:rPr>
        <w:tab/>
        <w:t>La distance entre la pointe de la sonde de prélèvement et le porte-filtre doit être égale à au moins cinq fois le diamètre de la sonde, sans toutefois dépasser 1 020 </w:t>
      </w:r>
      <w:proofErr w:type="spellStart"/>
      <w:r w:rsidRPr="00A779B8">
        <w:rPr>
          <w:lang w:val="fr-FR"/>
        </w:rPr>
        <w:t>mm.</w:t>
      </w:r>
      <w:proofErr w:type="spellEnd"/>
    </w:p>
    <w:p w:rsidR="006D17E1" w:rsidRPr="00A779B8" w:rsidRDefault="006D17E1" w:rsidP="006D17E1">
      <w:pPr>
        <w:pStyle w:val="SingleTxtG"/>
        <w:ind w:left="2268" w:hanging="1134"/>
        <w:rPr>
          <w:lang w:val="fr-FR"/>
        </w:rPr>
      </w:pPr>
      <w:r w:rsidRPr="00A779B8">
        <w:rPr>
          <w:lang w:val="fr-FR"/>
        </w:rPr>
        <w:t>1.3.1.4</w:t>
      </w:r>
      <w:r w:rsidRPr="00A779B8">
        <w:rPr>
          <w:lang w:val="fr-FR"/>
        </w:rPr>
        <w:tab/>
        <w:t xml:space="preserve">Le séparateur granulométrique primaire (type pot à poussières ou cyclone, par exemple) doit être placé en amont du porte-filtre. Son point de coupure à 50 % doit être compris entre 2,5 µm et 10 µm au débit volumique choisi pour le prélèvement des particules. Le séparateur primaire doit laisser passer au moins 99 % des particules de 1 µm au débit volumique choisi pour le prélèvement des particules émises. Toutefois, une sonde de prélèvement agissant comme un dispositif approprié de </w:t>
      </w:r>
      <w:proofErr w:type="spellStart"/>
      <w:r w:rsidRPr="00A779B8">
        <w:rPr>
          <w:lang w:val="fr-FR"/>
        </w:rPr>
        <w:t>préclassification</w:t>
      </w:r>
      <w:proofErr w:type="spellEnd"/>
      <w:r w:rsidRPr="00A779B8">
        <w:rPr>
          <w:lang w:val="fr-FR"/>
        </w:rPr>
        <w:t xml:space="preserve"> granulométrique, telle que celle montrée à la figure A4a.App3/13, peut remplacer le séparateur primaire.</w:t>
      </w:r>
    </w:p>
    <w:p w:rsidR="006D17E1" w:rsidRPr="00A779B8" w:rsidRDefault="006D17E1" w:rsidP="006D17E1">
      <w:pPr>
        <w:pStyle w:val="SingleTxtG"/>
        <w:ind w:left="2268" w:hanging="1134"/>
        <w:jc w:val="left"/>
        <w:rPr>
          <w:lang w:val="fr-FR"/>
        </w:rPr>
      </w:pPr>
      <w:r w:rsidRPr="00A779B8">
        <w:rPr>
          <w:lang w:val="fr-FR"/>
        </w:rPr>
        <w:t>1.3.2</w:t>
      </w:r>
      <w:r w:rsidRPr="00A779B8">
        <w:rPr>
          <w:lang w:val="fr-FR"/>
        </w:rPr>
        <w:tab/>
        <w:t xml:space="preserve">Pompe de prélèvement et débitmètre </w:t>
      </w:r>
    </w:p>
    <w:p w:rsidR="006D17E1" w:rsidRPr="00A779B8" w:rsidRDefault="006D17E1" w:rsidP="006D17E1">
      <w:pPr>
        <w:pStyle w:val="SingleTxtG"/>
        <w:ind w:left="2268" w:hanging="1134"/>
        <w:rPr>
          <w:lang w:val="fr-FR"/>
        </w:rPr>
      </w:pPr>
      <w:r w:rsidRPr="00A779B8">
        <w:rPr>
          <w:lang w:val="fr-FR"/>
        </w:rPr>
        <w:t>1.3.2.1</w:t>
      </w:r>
      <w:r w:rsidRPr="00A779B8">
        <w:rPr>
          <w:lang w:val="fr-FR"/>
        </w:rPr>
        <w:tab/>
        <w:t>Le dispositif de mesure du flux de gaz d</w:t>
      </w:r>
      <w:r w:rsidR="00DB4C2D">
        <w:rPr>
          <w:lang w:val="fr-FR"/>
        </w:rPr>
        <w:t>’</w:t>
      </w:r>
      <w:r w:rsidRPr="00A779B8">
        <w:rPr>
          <w:lang w:val="fr-FR"/>
        </w:rPr>
        <w:t>essai se compose de pompes, de régulateurs de débit et de débitmètres.</w:t>
      </w:r>
    </w:p>
    <w:p w:rsidR="006D17E1" w:rsidRPr="00A779B8" w:rsidRDefault="006D17E1" w:rsidP="006D17E1">
      <w:pPr>
        <w:pStyle w:val="SingleTxtG"/>
        <w:ind w:left="2268" w:hanging="1134"/>
        <w:rPr>
          <w:lang w:val="fr-FR"/>
        </w:rPr>
      </w:pPr>
      <w:r w:rsidRPr="00A779B8">
        <w:rPr>
          <w:lang w:val="fr-FR"/>
        </w:rPr>
        <w:t>1.3.2.2</w:t>
      </w:r>
      <w:r w:rsidRPr="00A779B8">
        <w:rPr>
          <w:lang w:val="fr-FR"/>
        </w:rPr>
        <w:tab/>
        <w:t xml:space="preserve">La température du flux de gaz au niveau du débitmètre ne doit pas varier de plus de </w:t>
      </w:r>
      <w:r w:rsidRPr="00A779B8">
        <w:rPr>
          <w:lang w:val="fr-FR"/>
        </w:rPr>
        <w:sym w:font="Symbol" w:char="F0B1"/>
      </w:r>
      <w:r w:rsidRPr="00A779B8">
        <w:rPr>
          <w:lang w:val="fr-FR"/>
        </w:rPr>
        <w:t>3 K sauf pendant les essais de régénération sur les véhicules équipés de dispositifs de traitement aval à régénération discontinue. En outre, le débit-masse de prélèvement doit rester proportionnel au flux total des gaz d</w:t>
      </w:r>
      <w:r w:rsidR="00DB4C2D">
        <w:rPr>
          <w:lang w:val="fr-FR"/>
        </w:rPr>
        <w:t>’</w:t>
      </w:r>
      <w:r w:rsidRPr="00A779B8">
        <w:rPr>
          <w:lang w:val="fr-FR"/>
        </w:rPr>
        <w:t xml:space="preserve">échappement dilués avec une tolérance de </w:t>
      </w:r>
      <w:r w:rsidRPr="00A779B8">
        <w:rPr>
          <w:lang w:val="fr-FR"/>
        </w:rPr>
        <w:sym w:font="Symbol" w:char="F0B1"/>
      </w:r>
      <w:r w:rsidRPr="00A779B8">
        <w:rPr>
          <w:lang w:val="fr-FR"/>
        </w:rPr>
        <w:t>5 % du débit-masse de particules collecté. Lorsqu</w:t>
      </w:r>
      <w:r w:rsidR="00DB4C2D">
        <w:rPr>
          <w:lang w:val="fr-FR"/>
        </w:rPr>
        <w:t>’</w:t>
      </w:r>
      <w:r w:rsidRPr="00A779B8">
        <w:rPr>
          <w:lang w:val="fr-FR"/>
        </w:rPr>
        <w:t>il se produit une modification inadmissible du débit en raison d</w:t>
      </w:r>
      <w:r w:rsidR="00DB4C2D">
        <w:rPr>
          <w:lang w:val="fr-FR"/>
        </w:rPr>
        <w:t>’</w:t>
      </w:r>
      <w:r w:rsidRPr="00A779B8">
        <w:rPr>
          <w:lang w:val="fr-FR"/>
        </w:rPr>
        <w:t>une charge trop élevée du filtre, l</w:t>
      </w:r>
      <w:r w:rsidR="00DB4C2D">
        <w:rPr>
          <w:lang w:val="fr-FR"/>
        </w:rPr>
        <w:t>’</w:t>
      </w:r>
      <w:r w:rsidRPr="00A779B8">
        <w:rPr>
          <w:lang w:val="fr-FR"/>
        </w:rPr>
        <w:t>essai doit être interrompu. Lors de la répétition de l</w:t>
      </w:r>
      <w:r w:rsidR="00DB4C2D">
        <w:rPr>
          <w:lang w:val="fr-FR"/>
        </w:rPr>
        <w:t>’</w:t>
      </w:r>
      <w:r w:rsidRPr="00A779B8">
        <w:rPr>
          <w:lang w:val="fr-FR"/>
        </w:rPr>
        <w:t>essai, il y a lieu de prévoir un débit moins important.</w:t>
      </w:r>
    </w:p>
    <w:p w:rsidR="006D17E1" w:rsidRPr="00A779B8" w:rsidRDefault="006D17E1" w:rsidP="006D17E1">
      <w:pPr>
        <w:pStyle w:val="SingleTxtG"/>
        <w:keepNext/>
        <w:ind w:left="2268" w:hanging="1134"/>
        <w:jc w:val="left"/>
        <w:rPr>
          <w:lang w:val="fr-FR"/>
        </w:rPr>
      </w:pPr>
      <w:r w:rsidRPr="00A779B8">
        <w:rPr>
          <w:lang w:val="fr-FR"/>
        </w:rPr>
        <w:lastRenderedPageBreak/>
        <w:t>1.3.3</w:t>
      </w:r>
      <w:r w:rsidRPr="00A779B8">
        <w:rPr>
          <w:lang w:val="fr-FR"/>
        </w:rPr>
        <w:tab/>
        <w:t xml:space="preserve">Filtre et porte-filtre </w:t>
      </w:r>
    </w:p>
    <w:p w:rsidR="006D17E1" w:rsidRPr="00A779B8" w:rsidRDefault="006D17E1" w:rsidP="006D17E1">
      <w:pPr>
        <w:pStyle w:val="SingleTxtG"/>
        <w:ind w:left="2268" w:hanging="1134"/>
        <w:rPr>
          <w:lang w:val="fr-FR"/>
        </w:rPr>
      </w:pPr>
      <w:r w:rsidRPr="00A779B8">
        <w:rPr>
          <w:lang w:val="fr-FR"/>
        </w:rPr>
        <w:t>1.3.3.1</w:t>
      </w:r>
      <w:r w:rsidRPr="00A779B8">
        <w:rPr>
          <w:lang w:val="fr-FR"/>
        </w:rPr>
        <w:tab/>
        <w:t>Une soupape doit être placée en aval du filtre dans la direction du flux. La valve doit s</w:t>
      </w:r>
      <w:r w:rsidR="00DB4C2D">
        <w:rPr>
          <w:lang w:val="fr-FR"/>
        </w:rPr>
        <w:t>’</w:t>
      </w:r>
      <w:r w:rsidRPr="00A779B8">
        <w:rPr>
          <w:lang w:val="fr-FR"/>
        </w:rPr>
        <w:t>ouvrir et se fermer dans la seconde suivant le début et la fin de l</w:t>
      </w:r>
      <w:r w:rsidR="00DB4C2D">
        <w:rPr>
          <w:lang w:val="fr-FR"/>
        </w:rPr>
        <w:t>’</w:t>
      </w:r>
      <w:r w:rsidRPr="00A779B8">
        <w:rPr>
          <w:lang w:val="fr-FR"/>
        </w:rPr>
        <w:t>essai.</w:t>
      </w:r>
    </w:p>
    <w:p w:rsidR="006D17E1" w:rsidRPr="00A779B8" w:rsidRDefault="006D17E1" w:rsidP="006D17E1">
      <w:pPr>
        <w:pStyle w:val="SingleTxtG"/>
        <w:ind w:left="2268" w:hanging="1134"/>
        <w:rPr>
          <w:lang w:val="fr-FR"/>
        </w:rPr>
      </w:pPr>
      <w:r w:rsidRPr="00A779B8">
        <w:rPr>
          <w:lang w:val="fr-FR"/>
        </w:rPr>
        <w:t>1.3.3.2</w:t>
      </w:r>
      <w:r w:rsidRPr="00A779B8">
        <w:rPr>
          <w:lang w:val="fr-FR"/>
        </w:rPr>
        <w:tab/>
        <w:t>Il est recommandé que la masse collectée sur le filtre de diamètre 47 mm (</w:t>
      </w:r>
      <w:proofErr w:type="spellStart"/>
      <w:r w:rsidRPr="00A779B8">
        <w:rPr>
          <w:lang w:val="fr-FR"/>
        </w:rPr>
        <w:t>P</w:t>
      </w:r>
      <w:r w:rsidRPr="00A779B8">
        <w:rPr>
          <w:vertAlign w:val="subscript"/>
          <w:lang w:val="fr-FR"/>
        </w:rPr>
        <w:t>e</w:t>
      </w:r>
      <w:proofErr w:type="spellEnd"/>
      <w:r w:rsidRPr="00A779B8">
        <w:rPr>
          <w:lang w:val="fr-FR"/>
        </w:rPr>
        <w:t>) soit ≥ 20 µg et que la charge du filtre soit maximisée conformément aux prescriptions des paragraphes 1.2.3, 1.3.2 et 1.3.3 du présent appendice.</w:t>
      </w:r>
    </w:p>
    <w:p w:rsidR="006D17E1" w:rsidRPr="00A779B8" w:rsidRDefault="006D17E1" w:rsidP="006D17E1">
      <w:pPr>
        <w:pStyle w:val="SingleTxtG"/>
        <w:keepNext/>
        <w:keepLines/>
        <w:ind w:left="2268" w:hanging="1134"/>
        <w:rPr>
          <w:lang w:val="fr-FR"/>
        </w:rPr>
      </w:pPr>
      <w:r w:rsidRPr="00A779B8">
        <w:rPr>
          <w:lang w:val="fr-FR"/>
        </w:rPr>
        <w:t>1.3.3.3</w:t>
      </w:r>
      <w:r w:rsidRPr="00A779B8">
        <w:rPr>
          <w:lang w:val="fr-FR"/>
        </w:rPr>
        <w:tab/>
        <w:t>Pour un essai donné, il faut attribuer à la vitesse à laquelle le gaz entre dans le filtre une valeur unique comprise entre 20 cm/s et 80 cm/s à moins que le système de dilution ne fonctionne avec un flux de prélèvement proportionnel au débit du dispositif de prélèvement à volume constant.</w:t>
      </w:r>
    </w:p>
    <w:p w:rsidR="006D17E1" w:rsidRPr="00A779B8" w:rsidRDefault="006D17E1" w:rsidP="006D17E1">
      <w:pPr>
        <w:pStyle w:val="SingleTxtG"/>
        <w:ind w:left="2268" w:hanging="1134"/>
        <w:rPr>
          <w:lang w:val="fr-FR"/>
        </w:rPr>
      </w:pPr>
      <w:r w:rsidRPr="00A779B8">
        <w:rPr>
          <w:lang w:val="fr-FR"/>
        </w:rPr>
        <w:t>1.3.3.4</w:t>
      </w:r>
      <w:r w:rsidRPr="00A779B8">
        <w:rPr>
          <w:lang w:val="fr-FR"/>
        </w:rPr>
        <w:tab/>
        <w:t xml:space="preserve">Des filtres en fibre de verre revêtus de </w:t>
      </w:r>
      <w:proofErr w:type="spellStart"/>
      <w:r w:rsidRPr="00A779B8">
        <w:rPr>
          <w:lang w:val="fr-FR"/>
        </w:rPr>
        <w:t>fluorocarbone</w:t>
      </w:r>
      <w:proofErr w:type="spellEnd"/>
      <w:r w:rsidRPr="00A779B8">
        <w:rPr>
          <w:lang w:val="fr-FR"/>
        </w:rPr>
        <w:t xml:space="preserve"> ou des filtres à membranes à base de </w:t>
      </w:r>
      <w:proofErr w:type="spellStart"/>
      <w:r w:rsidRPr="00A779B8">
        <w:rPr>
          <w:lang w:val="fr-FR"/>
        </w:rPr>
        <w:t>fluorocarbone</w:t>
      </w:r>
      <w:proofErr w:type="spellEnd"/>
      <w:r w:rsidRPr="00A779B8">
        <w:rPr>
          <w:lang w:val="fr-FR"/>
        </w:rPr>
        <w:t xml:space="preserve"> sont nécessaires. Quel que soit le type, le filtre doit avoir un coefficient de rétention des particules de DOP (di</w:t>
      </w:r>
      <w:r w:rsidRPr="00A779B8">
        <w:rPr>
          <w:lang w:val="fr-FR"/>
        </w:rPr>
        <w:noBreakHyphen/>
      </w:r>
      <w:proofErr w:type="spellStart"/>
      <w:r w:rsidRPr="00A779B8">
        <w:rPr>
          <w:lang w:val="fr-FR"/>
        </w:rPr>
        <w:t>octylphthalate</w:t>
      </w:r>
      <w:proofErr w:type="spellEnd"/>
      <w:r w:rsidRPr="00A779B8">
        <w:rPr>
          <w:lang w:val="fr-FR"/>
        </w:rPr>
        <w:t>) ou de PAO (</w:t>
      </w:r>
      <w:proofErr w:type="spellStart"/>
      <w:r w:rsidRPr="00A779B8">
        <w:rPr>
          <w:lang w:val="fr-FR"/>
        </w:rPr>
        <w:t>polyalphaoléfine</w:t>
      </w:r>
      <w:proofErr w:type="spellEnd"/>
      <w:r w:rsidRPr="00A779B8">
        <w:rPr>
          <w:lang w:val="fr-FR"/>
        </w:rPr>
        <w:t>) CS 68649-12-7 ou CS 68037-01-4 de 0,3 </w:t>
      </w:r>
      <w:proofErr w:type="spellStart"/>
      <w:r w:rsidRPr="00A779B8">
        <w:rPr>
          <w:lang w:val="fr-FR"/>
        </w:rPr>
        <w:t>μm</w:t>
      </w:r>
      <w:proofErr w:type="spellEnd"/>
      <w:r w:rsidRPr="00A779B8">
        <w:rPr>
          <w:lang w:val="fr-FR"/>
        </w:rPr>
        <w:t xml:space="preserve"> d</w:t>
      </w:r>
      <w:r w:rsidR="00DB4C2D">
        <w:rPr>
          <w:lang w:val="fr-FR"/>
        </w:rPr>
        <w:t>’</w:t>
      </w:r>
      <w:r w:rsidRPr="00A779B8">
        <w:rPr>
          <w:lang w:val="fr-FR"/>
        </w:rPr>
        <w:t>au moins 99 % à une vitesse d</w:t>
      </w:r>
      <w:r w:rsidR="00DB4C2D">
        <w:rPr>
          <w:lang w:val="fr-FR"/>
        </w:rPr>
        <w:t>’</w:t>
      </w:r>
      <w:r w:rsidRPr="00A779B8">
        <w:rPr>
          <w:lang w:val="fr-FR"/>
        </w:rPr>
        <w:t>entrée d</w:t>
      </w:r>
      <w:r w:rsidR="00DB4C2D">
        <w:rPr>
          <w:lang w:val="fr-FR"/>
        </w:rPr>
        <w:t>’</w:t>
      </w:r>
      <w:r w:rsidRPr="00A779B8">
        <w:rPr>
          <w:lang w:val="fr-FR"/>
        </w:rPr>
        <w:t>au moins 5,33 cm/s mesurée conformément à l</w:t>
      </w:r>
      <w:r w:rsidR="00DB4C2D">
        <w:rPr>
          <w:lang w:val="fr-FR"/>
        </w:rPr>
        <w:t>’</w:t>
      </w:r>
      <w:r w:rsidRPr="00A779B8">
        <w:rPr>
          <w:lang w:val="fr-FR"/>
        </w:rPr>
        <w:t>une des normes ci</w:t>
      </w:r>
      <w:r w:rsidRPr="00A779B8">
        <w:rPr>
          <w:lang w:val="fr-FR"/>
        </w:rPr>
        <w:noBreakHyphen/>
        <w:t>après:</w:t>
      </w:r>
    </w:p>
    <w:p w:rsidR="006D17E1" w:rsidRPr="00A779B8" w:rsidRDefault="006D17E1" w:rsidP="006D17E1">
      <w:pPr>
        <w:pStyle w:val="SingleTxtG"/>
        <w:ind w:left="2835" w:hanging="567"/>
        <w:rPr>
          <w:lang w:val="en-GB"/>
        </w:rPr>
      </w:pPr>
      <w:r w:rsidRPr="00A779B8">
        <w:rPr>
          <w:lang w:val="en-GB"/>
        </w:rPr>
        <w:t>a)</w:t>
      </w:r>
      <w:r w:rsidRPr="00A779B8">
        <w:rPr>
          <w:lang w:val="en-GB"/>
        </w:rPr>
        <w:tab/>
        <w:t xml:space="preserve">U.S.A. Department of </w:t>
      </w:r>
      <w:proofErr w:type="spellStart"/>
      <w:r w:rsidRPr="00A779B8">
        <w:rPr>
          <w:lang w:val="en-GB"/>
        </w:rPr>
        <w:t>Defense</w:t>
      </w:r>
      <w:proofErr w:type="spellEnd"/>
      <w:r w:rsidRPr="00A779B8">
        <w:rPr>
          <w:lang w:val="en-GB"/>
        </w:rPr>
        <w:t xml:space="preserve"> Test Method Standard, MIL-STD-282 method 102.8: DOP-Smoke Penetration of Aerosol-Filter Element;</w:t>
      </w:r>
    </w:p>
    <w:p w:rsidR="006D17E1" w:rsidRPr="00A779B8" w:rsidRDefault="006D17E1" w:rsidP="006D17E1">
      <w:pPr>
        <w:pStyle w:val="SingleTxtG"/>
        <w:ind w:left="2835" w:hanging="567"/>
        <w:rPr>
          <w:lang w:val="en-GB"/>
        </w:rPr>
      </w:pPr>
      <w:r w:rsidRPr="00A779B8">
        <w:rPr>
          <w:lang w:val="en-GB"/>
        </w:rPr>
        <w:t>b)</w:t>
      </w:r>
      <w:r w:rsidRPr="00A779B8">
        <w:rPr>
          <w:lang w:val="en-GB"/>
        </w:rPr>
        <w:tab/>
        <w:t xml:space="preserve">U.S.A. Department of </w:t>
      </w:r>
      <w:proofErr w:type="spellStart"/>
      <w:r w:rsidRPr="00A779B8">
        <w:rPr>
          <w:lang w:val="en-GB"/>
        </w:rPr>
        <w:t>Defense</w:t>
      </w:r>
      <w:proofErr w:type="spellEnd"/>
      <w:r w:rsidRPr="00A779B8">
        <w:rPr>
          <w:lang w:val="en-GB"/>
        </w:rPr>
        <w:t xml:space="preserve"> Test Method Standard, MIL-STD-282 method 502.1.1: DOP-Smoke Penetration of Gas-Mask Canisters;</w:t>
      </w:r>
    </w:p>
    <w:p w:rsidR="006D17E1" w:rsidRPr="00A779B8" w:rsidRDefault="006D17E1" w:rsidP="006D17E1">
      <w:pPr>
        <w:pStyle w:val="SingleTxtG"/>
        <w:ind w:left="2835" w:hanging="567"/>
        <w:rPr>
          <w:lang w:val="en-GB"/>
        </w:rPr>
      </w:pPr>
      <w:r w:rsidRPr="00A779B8">
        <w:rPr>
          <w:lang w:val="en-GB"/>
        </w:rPr>
        <w:t>c)</w:t>
      </w:r>
      <w:r w:rsidRPr="00A779B8">
        <w:rPr>
          <w:lang w:val="en-GB"/>
        </w:rPr>
        <w:tab/>
        <w:t>Institute of Environmental Sciences and Technology, IEST-RP-CC021: Testing HEPA and ULPA Filter Media.</w:t>
      </w:r>
    </w:p>
    <w:p w:rsidR="006D17E1" w:rsidRPr="00A779B8" w:rsidRDefault="006D17E1" w:rsidP="006D17E1">
      <w:pPr>
        <w:pStyle w:val="SingleTxtG"/>
        <w:ind w:left="2268" w:hanging="1134"/>
        <w:rPr>
          <w:lang w:val="fr-FR"/>
        </w:rPr>
      </w:pPr>
      <w:r w:rsidRPr="00A779B8">
        <w:rPr>
          <w:lang w:val="fr-FR"/>
        </w:rPr>
        <w:t>1.3.3.5</w:t>
      </w:r>
      <w:r w:rsidRPr="00A779B8">
        <w:rPr>
          <w:lang w:val="fr-FR"/>
        </w:rPr>
        <w:tab/>
        <w:t>Le porte-filtre doit être conçu de manière à assurer une répartition régulière du flux sur toute la surface utile du filtre. La surface utile du filtre doit être au minimum de 1 075 mm</w:t>
      </w:r>
      <w:r w:rsidRPr="00A779B8">
        <w:rPr>
          <w:vertAlign w:val="superscript"/>
          <w:lang w:val="fr-FR"/>
        </w:rPr>
        <w:t>2</w:t>
      </w:r>
      <w:r w:rsidRPr="00A779B8">
        <w:rPr>
          <w:lang w:val="fr-FR"/>
        </w:rPr>
        <w:t>.</w:t>
      </w:r>
    </w:p>
    <w:p w:rsidR="006D17E1" w:rsidRPr="00A779B8" w:rsidRDefault="006D17E1" w:rsidP="006D17E1">
      <w:pPr>
        <w:pStyle w:val="SingleTxtG"/>
        <w:keepNext/>
        <w:ind w:left="2268" w:hanging="1134"/>
        <w:jc w:val="left"/>
        <w:rPr>
          <w:lang w:val="fr-FR"/>
        </w:rPr>
      </w:pPr>
      <w:r w:rsidRPr="00A779B8">
        <w:rPr>
          <w:lang w:val="fr-FR"/>
        </w:rPr>
        <w:t>1.3.4</w:t>
      </w:r>
      <w:r w:rsidRPr="00A779B8">
        <w:rPr>
          <w:lang w:val="fr-FR"/>
        </w:rPr>
        <w:tab/>
        <w:t>Chambre de pesage des filtres et balance</w:t>
      </w:r>
    </w:p>
    <w:p w:rsidR="006D17E1" w:rsidRPr="00A779B8" w:rsidRDefault="006D17E1" w:rsidP="006D17E1">
      <w:pPr>
        <w:pStyle w:val="SingleTxtG"/>
        <w:ind w:left="2268" w:hanging="1134"/>
        <w:rPr>
          <w:lang w:val="fr-FR"/>
        </w:rPr>
      </w:pPr>
      <w:r w:rsidRPr="00A779B8">
        <w:rPr>
          <w:lang w:val="fr-FR"/>
        </w:rPr>
        <w:t>1.3.4.1</w:t>
      </w:r>
      <w:r w:rsidRPr="00A779B8">
        <w:rPr>
          <w:lang w:val="fr-FR"/>
        </w:rPr>
        <w:tab/>
        <w:t>La microbalance utilisée pour déterminer le poids des filtres doit avoir une précision (écart type) de 2 µg et une résolution de 1 µg ou mieux.</w:t>
      </w:r>
    </w:p>
    <w:p w:rsidR="006D17E1" w:rsidRPr="00A779B8" w:rsidRDefault="006D17E1" w:rsidP="006D17E1">
      <w:pPr>
        <w:pStyle w:val="SingleTxtG"/>
        <w:ind w:left="2268"/>
        <w:rPr>
          <w:lang w:val="fr-FR"/>
        </w:rPr>
      </w:pPr>
      <w:r w:rsidRPr="00A779B8">
        <w:rPr>
          <w:lang w:val="fr-FR"/>
        </w:rPr>
        <w:t>Il est recommandé de vérifier la microbalance au début de chaque session de pesage au moyen d</w:t>
      </w:r>
      <w:r w:rsidR="00DB4C2D">
        <w:rPr>
          <w:lang w:val="fr-FR"/>
        </w:rPr>
        <w:t>’</w:t>
      </w:r>
      <w:r w:rsidRPr="00A779B8">
        <w:rPr>
          <w:lang w:val="fr-FR"/>
        </w:rPr>
        <w:t>un poids de référence de 50 mg. On pèse ce poids à trois reprises et on enregistre la moyenne des résultats de ces trois pesées. Si cette moyenne est à 5 µg près la même que celle obtenue lors de la précédente session de pesage, la session de pesage et la balance sont considérées comme valables.</w:t>
      </w:r>
    </w:p>
    <w:p w:rsidR="006D17E1" w:rsidRPr="00A779B8" w:rsidRDefault="006D17E1" w:rsidP="006D17E1">
      <w:pPr>
        <w:pStyle w:val="SingleTxtG"/>
        <w:ind w:left="2268"/>
        <w:rPr>
          <w:lang w:val="fr-FR"/>
        </w:rPr>
      </w:pPr>
      <w:r w:rsidRPr="00A779B8">
        <w:rPr>
          <w:lang w:val="fr-FR"/>
        </w:rPr>
        <w:t>La chambre (ou le local) de pesage doit répondre aux conditions suivantes pendant toutes les opérations de conditionnement et de pesée du filtre:</w:t>
      </w:r>
    </w:p>
    <w:p w:rsidR="006D17E1" w:rsidRPr="00A779B8" w:rsidRDefault="006D17E1" w:rsidP="006D17E1">
      <w:pPr>
        <w:pStyle w:val="SingleTxtG"/>
        <w:ind w:left="2268"/>
        <w:jc w:val="left"/>
        <w:rPr>
          <w:lang w:val="fr-FR"/>
        </w:rPr>
      </w:pPr>
      <w:r w:rsidRPr="00A779B8">
        <w:rPr>
          <w:lang w:val="fr-FR"/>
        </w:rPr>
        <w:t>Température maintenue à 295 </w:t>
      </w:r>
      <w:r w:rsidRPr="00A779B8">
        <w:rPr>
          <w:lang w:val="fr-FR"/>
        </w:rPr>
        <w:sym w:font="Symbol" w:char="F0B1"/>
      </w:r>
      <w:r w:rsidRPr="00A779B8">
        <w:rPr>
          <w:lang w:val="fr-FR"/>
        </w:rPr>
        <w:t xml:space="preserve"> 3 K (22 </w:t>
      </w:r>
      <w:r w:rsidRPr="00A779B8">
        <w:rPr>
          <w:lang w:val="fr-FR"/>
        </w:rPr>
        <w:sym w:font="Symbol" w:char="F0B1"/>
      </w:r>
      <w:r w:rsidRPr="00A779B8">
        <w:rPr>
          <w:lang w:val="fr-FR"/>
        </w:rPr>
        <w:t xml:space="preserve"> 3 °C); </w:t>
      </w:r>
    </w:p>
    <w:p w:rsidR="006D17E1" w:rsidRPr="00A779B8" w:rsidRDefault="006D17E1" w:rsidP="006D17E1">
      <w:pPr>
        <w:pStyle w:val="SingleTxtG"/>
        <w:ind w:left="2268"/>
        <w:jc w:val="left"/>
        <w:rPr>
          <w:lang w:val="fr-FR"/>
        </w:rPr>
      </w:pPr>
      <w:r w:rsidRPr="00A779B8">
        <w:rPr>
          <w:lang w:val="fr-FR"/>
        </w:rPr>
        <w:t>Humidité relative maintenue à 45 </w:t>
      </w:r>
      <w:r w:rsidRPr="00A779B8">
        <w:rPr>
          <w:lang w:val="fr-FR"/>
        </w:rPr>
        <w:sym w:font="Symbol" w:char="F0B1"/>
      </w:r>
      <w:r w:rsidRPr="00A779B8">
        <w:rPr>
          <w:lang w:val="fr-FR"/>
        </w:rPr>
        <w:t xml:space="preserve"> 8 %;</w:t>
      </w:r>
    </w:p>
    <w:p w:rsidR="006D17E1" w:rsidRPr="00A779B8" w:rsidRDefault="006D17E1" w:rsidP="006D17E1">
      <w:pPr>
        <w:pStyle w:val="SingleTxtG"/>
        <w:ind w:left="2268"/>
        <w:jc w:val="left"/>
        <w:rPr>
          <w:lang w:val="fr-FR"/>
        </w:rPr>
      </w:pPr>
      <w:r w:rsidRPr="00A779B8">
        <w:rPr>
          <w:lang w:val="fr-FR"/>
        </w:rPr>
        <w:t>Point de rosée maintenu à 9,5 °C </w:t>
      </w:r>
      <w:r w:rsidRPr="00A779B8">
        <w:rPr>
          <w:lang w:val="fr-FR"/>
        </w:rPr>
        <w:sym w:font="Symbol" w:char="F0B1"/>
      </w:r>
      <w:r w:rsidRPr="00A779B8">
        <w:rPr>
          <w:lang w:val="fr-FR"/>
        </w:rPr>
        <w:t xml:space="preserve"> 3 °C.</w:t>
      </w:r>
    </w:p>
    <w:p w:rsidR="006D17E1" w:rsidRPr="00A779B8" w:rsidRDefault="006D17E1" w:rsidP="006D17E1">
      <w:pPr>
        <w:pStyle w:val="SingleTxtG"/>
        <w:ind w:left="2268"/>
        <w:rPr>
          <w:lang w:val="fr-FR"/>
        </w:rPr>
      </w:pPr>
      <w:r w:rsidRPr="00A779B8">
        <w:rPr>
          <w:lang w:val="fr-FR"/>
        </w:rPr>
        <w:t>Il est recommandé d</w:t>
      </w:r>
      <w:r w:rsidR="00DB4C2D">
        <w:rPr>
          <w:lang w:val="fr-FR"/>
        </w:rPr>
        <w:t>’</w:t>
      </w:r>
      <w:r w:rsidRPr="00A779B8">
        <w:rPr>
          <w:lang w:val="fr-FR"/>
        </w:rPr>
        <w:t>enregistrer les conditions de température et d</w:t>
      </w:r>
      <w:r w:rsidR="00DB4C2D">
        <w:rPr>
          <w:lang w:val="fr-FR"/>
        </w:rPr>
        <w:t>’</w:t>
      </w:r>
      <w:r w:rsidRPr="00A779B8">
        <w:rPr>
          <w:lang w:val="fr-FR"/>
        </w:rPr>
        <w:t>humidité en même temps que les poids de l</w:t>
      </w:r>
      <w:r w:rsidR="00DB4C2D">
        <w:rPr>
          <w:lang w:val="fr-FR"/>
        </w:rPr>
        <w:t>’</w:t>
      </w:r>
      <w:r w:rsidRPr="00A779B8">
        <w:rPr>
          <w:lang w:val="fr-FR"/>
        </w:rPr>
        <w:t>échantillon et du filtre de référence.</w:t>
      </w:r>
    </w:p>
    <w:p w:rsidR="006D17E1" w:rsidRPr="00A779B8" w:rsidRDefault="006D17E1" w:rsidP="006D17E1">
      <w:pPr>
        <w:pStyle w:val="SingleTxtG"/>
        <w:keepNext/>
        <w:ind w:left="2268" w:hanging="1134"/>
        <w:jc w:val="left"/>
        <w:rPr>
          <w:lang w:val="fr-FR"/>
        </w:rPr>
      </w:pPr>
      <w:r w:rsidRPr="00A779B8">
        <w:rPr>
          <w:lang w:val="fr-FR"/>
        </w:rPr>
        <w:lastRenderedPageBreak/>
        <w:t>1.3.4.2</w:t>
      </w:r>
      <w:r w:rsidRPr="00A779B8">
        <w:rPr>
          <w:lang w:val="fr-FR"/>
        </w:rPr>
        <w:tab/>
        <w:t xml:space="preserve">Correction des effets de flottabilité </w:t>
      </w:r>
    </w:p>
    <w:p w:rsidR="006D17E1" w:rsidRPr="00A779B8" w:rsidRDefault="006D17E1" w:rsidP="006D17E1">
      <w:pPr>
        <w:pStyle w:val="SingleTxtG"/>
        <w:ind w:left="2268"/>
        <w:rPr>
          <w:lang w:val="fr-FR"/>
        </w:rPr>
      </w:pPr>
      <w:r w:rsidRPr="00A779B8">
        <w:rPr>
          <w:lang w:val="fr-FR"/>
        </w:rPr>
        <w:t>Le poids de chaque filtre doit être corrigé en fonction de la flottabilité du filtre dans l</w:t>
      </w:r>
      <w:r w:rsidR="00DB4C2D">
        <w:rPr>
          <w:lang w:val="fr-FR"/>
        </w:rPr>
        <w:t>’</w:t>
      </w:r>
      <w:r w:rsidRPr="00A779B8">
        <w:rPr>
          <w:lang w:val="fr-FR"/>
        </w:rPr>
        <w:t>air.</w:t>
      </w:r>
    </w:p>
    <w:p w:rsidR="006D17E1" w:rsidRPr="00A779B8" w:rsidRDefault="006D17E1" w:rsidP="006D17E1">
      <w:pPr>
        <w:pStyle w:val="SingleTxtG"/>
        <w:ind w:left="2268"/>
        <w:rPr>
          <w:lang w:val="fr-FR"/>
        </w:rPr>
      </w:pPr>
      <w:r w:rsidRPr="00A779B8">
        <w:rPr>
          <w:lang w:val="fr-FR"/>
        </w:rPr>
        <w:t>La correction de flottabilité dépend de la densité du matériau filtrant, de la densité de l</w:t>
      </w:r>
      <w:r w:rsidR="00DB4C2D">
        <w:rPr>
          <w:lang w:val="fr-FR"/>
        </w:rPr>
        <w:t>’</w:t>
      </w:r>
      <w:r w:rsidRPr="00A779B8">
        <w:rPr>
          <w:lang w:val="fr-FR"/>
        </w:rPr>
        <w:t>air et de la densité du poids de référence utilisé pour étalonner la balance. La densité de l</w:t>
      </w:r>
      <w:r w:rsidR="00DB4C2D">
        <w:rPr>
          <w:lang w:val="fr-FR"/>
        </w:rPr>
        <w:t>’</w:t>
      </w:r>
      <w:r w:rsidRPr="00A779B8">
        <w:rPr>
          <w:lang w:val="fr-FR"/>
        </w:rPr>
        <w:t>air est fonction de la pression, de la température et de l</w:t>
      </w:r>
      <w:r w:rsidR="00DB4C2D">
        <w:rPr>
          <w:lang w:val="fr-FR"/>
        </w:rPr>
        <w:t>’</w:t>
      </w:r>
      <w:r w:rsidRPr="00A779B8">
        <w:rPr>
          <w:lang w:val="fr-FR"/>
        </w:rPr>
        <w:t>humidité.</w:t>
      </w:r>
    </w:p>
    <w:p w:rsidR="006D17E1" w:rsidRPr="00A779B8" w:rsidRDefault="006D17E1" w:rsidP="006D17E1">
      <w:pPr>
        <w:pStyle w:val="SingleTxtG"/>
        <w:ind w:left="2268"/>
        <w:rPr>
          <w:lang w:val="fr-FR"/>
        </w:rPr>
      </w:pPr>
      <w:r w:rsidRPr="00A779B8">
        <w:rPr>
          <w:lang w:val="fr-FR"/>
        </w:rPr>
        <w:t>Il est recommandé de maintenir la température et le point de rosée dans la</w:t>
      </w:r>
      <w:r>
        <w:rPr>
          <w:lang w:val="fr-FR"/>
        </w:rPr>
        <w:t> </w:t>
      </w:r>
      <w:r w:rsidRPr="00A779B8">
        <w:rPr>
          <w:lang w:val="fr-FR"/>
        </w:rPr>
        <w:t xml:space="preserve">chambre de pesage à 22 °C </w:t>
      </w:r>
      <w:r w:rsidRPr="00A779B8">
        <w:rPr>
          <w:lang w:val="fr-FR"/>
        </w:rPr>
        <w:sym w:font="Symbol" w:char="F0B1"/>
      </w:r>
      <w:r w:rsidRPr="00A779B8">
        <w:rPr>
          <w:lang w:val="fr-FR"/>
        </w:rPr>
        <w:t xml:space="preserve"> 1 °C et 9,5 °C </w:t>
      </w:r>
      <w:r w:rsidRPr="00A779B8">
        <w:rPr>
          <w:lang w:val="fr-FR"/>
        </w:rPr>
        <w:sym w:font="Symbol" w:char="F0B1"/>
      </w:r>
      <w:r w:rsidRPr="00A779B8">
        <w:rPr>
          <w:lang w:val="fr-FR"/>
        </w:rPr>
        <w:t xml:space="preserve"> 1 °C respectivement. Toutefois, l</w:t>
      </w:r>
      <w:r w:rsidR="00DB4C2D">
        <w:rPr>
          <w:lang w:val="fr-FR"/>
        </w:rPr>
        <w:t>’</w:t>
      </w:r>
      <w:r w:rsidRPr="00A779B8">
        <w:rPr>
          <w:lang w:val="fr-FR"/>
        </w:rPr>
        <w:t>application des prescriptions minimales énoncées au paragraphe 1.3.4.1 du présent appendice donnera aussi une correction acceptable des effets de flottabilité. La correction des effets de flottabilité se calcule au moyen de la formule suivante:</w:t>
      </w:r>
    </w:p>
    <w:p w:rsidR="006D17E1" w:rsidRPr="00A779B8" w:rsidRDefault="006D17E1" w:rsidP="006D17E1">
      <w:pPr>
        <w:pBdr>
          <w:top w:val="single" w:sz="6" w:space="0" w:color="FFFFFF"/>
          <w:left w:val="single" w:sz="6" w:space="0" w:color="FFFFFF"/>
          <w:bottom w:val="single" w:sz="6" w:space="0" w:color="FFFFFF"/>
          <w:right w:val="single" w:sz="6" w:space="0" w:color="FFFFFF"/>
        </w:pBdr>
        <w:spacing w:after="120"/>
        <w:ind w:left="2268"/>
        <w:rPr>
          <w:lang w:val="fr-FR"/>
        </w:rPr>
      </w:pPr>
      <w:r w:rsidRPr="00A779B8">
        <w:rPr>
          <w:position w:val="-14"/>
          <w:lang w:val="fr-FR"/>
        </w:rPr>
        <w:object w:dxaOrig="5240" w:dyaOrig="340">
          <v:shape id="_x0000_i1094" type="#_x0000_t75" style="width:324.7pt;height:20.4pt" o:ole="">
            <v:imagedata r:id="rId176" o:title=""/>
          </v:shape>
          <o:OLEObject Type="Embed" ProgID="Equation.3" ShapeID="_x0000_i1094" DrawAspect="Content" ObjectID="_1490178450" r:id="rId177"/>
        </w:object>
      </w:r>
    </w:p>
    <w:p w:rsidR="006D17E1" w:rsidRPr="00A779B8" w:rsidRDefault="006D17E1" w:rsidP="006D17E1">
      <w:pPr>
        <w:pStyle w:val="SingleTxtG"/>
        <w:keepNex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88"/>
        <w:gridCol w:w="358"/>
        <w:gridCol w:w="5291"/>
      </w:tblGrid>
      <w:tr w:rsidR="006D17E1" w:rsidRPr="007E29C4" w:rsidTr="00A36982">
        <w:tc>
          <w:tcPr>
            <w:tcW w:w="567" w:type="dxa"/>
            <w:shd w:val="clear" w:color="auto" w:fill="auto"/>
          </w:tcPr>
          <w:p w:rsidR="006D17E1" w:rsidRPr="007E29C4" w:rsidRDefault="006D17E1" w:rsidP="00A36982">
            <w:pPr>
              <w:spacing w:after="120"/>
              <w:rPr>
                <w:lang w:val="fr-FR"/>
              </w:rPr>
            </w:pPr>
            <w:proofErr w:type="spellStart"/>
            <w:r w:rsidRPr="007E29C4">
              <w:rPr>
                <w:lang w:val="fr-FR"/>
              </w:rPr>
              <w:t>m</w:t>
            </w:r>
            <w:r w:rsidRPr="007E29C4">
              <w:rPr>
                <w:vertAlign w:val="subscript"/>
                <w:lang w:val="fr-FR"/>
              </w:rPr>
              <w:t>corr</w:t>
            </w:r>
            <w:proofErr w:type="spellEnd"/>
          </w:p>
        </w:tc>
        <w:tc>
          <w:tcPr>
            <w:tcW w:w="345" w:type="dxa"/>
            <w:shd w:val="clear" w:color="auto" w:fill="auto"/>
          </w:tcPr>
          <w:p w:rsidR="006D17E1" w:rsidRPr="007E29C4" w:rsidRDefault="006D17E1" w:rsidP="00A36982">
            <w:pPr>
              <w:spacing w:after="120"/>
              <w:rPr>
                <w:lang w:val="fr-FR"/>
              </w:rPr>
            </w:pPr>
            <w:r w:rsidRPr="007E29C4">
              <w:rPr>
                <w:lang w:val="fr-FR"/>
              </w:rPr>
              <w:t>=</w:t>
            </w:r>
          </w:p>
        </w:tc>
        <w:tc>
          <w:tcPr>
            <w:tcW w:w="5103" w:type="dxa"/>
            <w:shd w:val="clear" w:color="auto" w:fill="auto"/>
          </w:tcPr>
          <w:p w:rsidR="006D17E1" w:rsidRPr="007E29C4" w:rsidRDefault="006D17E1" w:rsidP="00A36982">
            <w:pPr>
              <w:spacing w:after="120"/>
              <w:rPr>
                <w:lang w:val="fr-FR"/>
              </w:rPr>
            </w:pPr>
            <w:r w:rsidRPr="007E29C4">
              <w:rPr>
                <w:lang w:val="fr-FR"/>
              </w:rPr>
              <w:t>masse des matières particulaires corrigée des effets de flottabilité,</w:t>
            </w:r>
          </w:p>
        </w:tc>
      </w:tr>
      <w:tr w:rsidR="006D17E1" w:rsidRPr="007E29C4" w:rsidTr="00A36982">
        <w:tc>
          <w:tcPr>
            <w:tcW w:w="567" w:type="dxa"/>
            <w:shd w:val="clear" w:color="auto" w:fill="auto"/>
          </w:tcPr>
          <w:p w:rsidR="006D17E1" w:rsidRPr="007E29C4" w:rsidRDefault="006D17E1" w:rsidP="00A36982">
            <w:pPr>
              <w:spacing w:after="120"/>
              <w:rPr>
                <w:lang w:val="fr-FR"/>
              </w:rPr>
            </w:pPr>
            <w:proofErr w:type="spellStart"/>
            <w:r w:rsidRPr="007E29C4">
              <w:rPr>
                <w:lang w:val="fr-FR"/>
              </w:rPr>
              <w:t>m</w:t>
            </w:r>
            <w:r w:rsidRPr="007E29C4">
              <w:rPr>
                <w:vertAlign w:val="subscript"/>
                <w:lang w:val="fr-FR"/>
              </w:rPr>
              <w:t>noncorr</w:t>
            </w:r>
            <w:proofErr w:type="spellEnd"/>
          </w:p>
        </w:tc>
        <w:tc>
          <w:tcPr>
            <w:tcW w:w="345" w:type="dxa"/>
            <w:shd w:val="clear" w:color="auto" w:fill="auto"/>
          </w:tcPr>
          <w:p w:rsidR="006D17E1" w:rsidRPr="007E29C4" w:rsidRDefault="006D17E1" w:rsidP="00A36982">
            <w:pPr>
              <w:spacing w:after="120"/>
              <w:rPr>
                <w:lang w:val="fr-FR"/>
              </w:rPr>
            </w:pPr>
            <w:r w:rsidRPr="007E29C4">
              <w:rPr>
                <w:lang w:val="fr-FR"/>
              </w:rPr>
              <w:t>=</w:t>
            </w:r>
          </w:p>
        </w:tc>
        <w:tc>
          <w:tcPr>
            <w:tcW w:w="5103" w:type="dxa"/>
            <w:shd w:val="clear" w:color="auto" w:fill="auto"/>
          </w:tcPr>
          <w:p w:rsidR="006D17E1" w:rsidRPr="007E29C4" w:rsidRDefault="006D17E1" w:rsidP="00A36982">
            <w:pPr>
              <w:spacing w:after="120"/>
              <w:rPr>
                <w:lang w:val="fr-FR"/>
              </w:rPr>
            </w:pPr>
            <w:r w:rsidRPr="007E29C4">
              <w:rPr>
                <w:lang w:val="fr-FR"/>
              </w:rPr>
              <w:t>masse des matières particulaires non corrigée des effets de flottabilité,</w:t>
            </w:r>
          </w:p>
        </w:tc>
      </w:tr>
      <w:tr w:rsidR="006D17E1" w:rsidRPr="007E29C4" w:rsidTr="00A36982">
        <w:tc>
          <w:tcPr>
            <w:tcW w:w="567" w:type="dxa"/>
            <w:shd w:val="clear" w:color="auto" w:fill="auto"/>
          </w:tcPr>
          <w:p w:rsidR="006D17E1" w:rsidRPr="007E29C4" w:rsidRDefault="006D17E1" w:rsidP="00A36982">
            <w:pPr>
              <w:spacing w:after="120"/>
              <w:rPr>
                <w:lang w:val="fr-FR"/>
              </w:rPr>
            </w:pPr>
            <w:proofErr w:type="spellStart"/>
            <w:r w:rsidRPr="007E29C4">
              <w:rPr>
                <w:lang w:val="fr-FR"/>
              </w:rPr>
              <w:t>ρ</w:t>
            </w:r>
            <w:r w:rsidRPr="007E29C4">
              <w:rPr>
                <w:vertAlign w:val="subscript"/>
                <w:lang w:val="fr-FR"/>
              </w:rPr>
              <w:t>air</w:t>
            </w:r>
            <w:proofErr w:type="spellEnd"/>
          </w:p>
        </w:tc>
        <w:tc>
          <w:tcPr>
            <w:tcW w:w="345" w:type="dxa"/>
            <w:shd w:val="clear" w:color="auto" w:fill="auto"/>
          </w:tcPr>
          <w:p w:rsidR="006D17E1" w:rsidRPr="007E29C4" w:rsidRDefault="006D17E1" w:rsidP="00A36982">
            <w:pPr>
              <w:spacing w:after="120"/>
              <w:rPr>
                <w:lang w:val="fr-FR"/>
              </w:rPr>
            </w:pPr>
            <w:r w:rsidRPr="007E29C4">
              <w:rPr>
                <w:lang w:val="fr-FR"/>
              </w:rPr>
              <w:t>=</w:t>
            </w:r>
          </w:p>
        </w:tc>
        <w:tc>
          <w:tcPr>
            <w:tcW w:w="5103" w:type="dxa"/>
            <w:shd w:val="clear" w:color="auto" w:fill="auto"/>
          </w:tcPr>
          <w:p w:rsidR="006D17E1" w:rsidRPr="007E29C4" w:rsidRDefault="006D17E1" w:rsidP="00A36982">
            <w:pPr>
              <w:spacing w:after="120"/>
              <w:rPr>
                <w:lang w:val="fr-FR"/>
              </w:rPr>
            </w:pPr>
            <w:r w:rsidRPr="007E29C4">
              <w:rPr>
                <w:lang w:val="fr-FR"/>
              </w:rPr>
              <w:t>masse volumique de l</w:t>
            </w:r>
            <w:r w:rsidR="00DB4C2D">
              <w:rPr>
                <w:lang w:val="fr-FR"/>
              </w:rPr>
              <w:t>’</w:t>
            </w:r>
            <w:r w:rsidRPr="007E29C4">
              <w:rPr>
                <w:lang w:val="fr-FR"/>
              </w:rPr>
              <w:t>air ambiant à proximité de la balance,</w:t>
            </w:r>
          </w:p>
        </w:tc>
      </w:tr>
      <w:tr w:rsidR="006D17E1" w:rsidRPr="007E29C4" w:rsidTr="00A36982">
        <w:tc>
          <w:tcPr>
            <w:tcW w:w="567" w:type="dxa"/>
            <w:shd w:val="clear" w:color="auto" w:fill="auto"/>
          </w:tcPr>
          <w:p w:rsidR="006D17E1" w:rsidRPr="007E29C4" w:rsidRDefault="006D17E1" w:rsidP="00A36982">
            <w:pPr>
              <w:spacing w:after="120"/>
              <w:rPr>
                <w:lang w:val="fr-FR"/>
              </w:rPr>
            </w:pPr>
            <w:proofErr w:type="spellStart"/>
            <w:r w:rsidRPr="007E29C4">
              <w:rPr>
                <w:lang w:val="fr-FR"/>
              </w:rPr>
              <w:t>ρ</w:t>
            </w:r>
            <w:r w:rsidRPr="007E29C4">
              <w:rPr>
                <w:vertAlign w:val="subscript"/>
                <w:lang w:val="fr-FR"/>
              </w:rPr>
              <w:t>poids</w:t>
            </w:r>
            <w:proofErr w:type="spellEnd"/>
          </w:p>
        </w:tc>
        <w:tc>
          <w:tcPr>
            <w:tcW w:w="345" w:type="dxa"/>
            <w:shd w:val="clear" w:color="auto" w:fill="auto"/>
          </w:tcPr>
          <w:p w:rsidR="006D17E1" w:rsidRPr="007E29C4" w:rsidRDefault="006D17E1" w:rsidP="00A36982">
            <w:pPr>
              <w:spacing w:after="120"/>
              <w:rPr>
                <w:lang w:val="fr-FR"/>
              </w:rPr>
            </w:pPr>
            <w:r w:rsidRPr="007E29C4">
              <w:rPr>
                <w:lang w:val="fr-FR"/>
              </w:rPr>
              <w:t>=</w:t>
            </w:r>
          </w:p>
        </w:tc>
        <w:tc>
          <w:tcPr>
            <w:tcW w:w="5103" w:type="dxa"/>
            <w:shd w:val="clear" w:color="auto" w:fill="auto"/>
          </w:tcPr>
          <w:p w:rsidR="006D17E1" w:rsidRPr="007E29C4" w:rsidRDefault="006D17E1" w:rsidP="00A36982">
            <w:pPr>
              <w:spacing w:after="120"/>
              <w:rPr>
                <w:lang w:val="fr-FR"/>
              </w:rPr>
            </w:pPr>
            <w:r w:rsidRPr="007E29C4">
              <w:rPr>
                <w:lang w:val="fr-FR"/>
              </w:rPr>
              <w:t>masse volumique du poids étalon utilisé pour étalonner la balance,</w:t>
            </w:r>
          </w:p>
        </w:tc>
      </w:tr>
      <w:tr w:rsidR="006D17E1" w:rsidRPr="007E29C4" w:rsidTr="00A36982">
        <w:tc>
          <w:tcPr>
            <w:tcW w:w="567" w:type="dxa"/>
            <w:shd w:val="clear" w:color="auto" w:fill="auto"/>
          </w:tcPr>
          <w:p w:rsidR="006D17E1" w:rsidRPr="007E29C4" w:rsidRDefault="006D17E1" w:rsidP="00A36982">
            <w:pPr>
              <w:spacing w:after="120"/>
              <w:rPr>
                <w:lang w:val="fr-FR"/>
              </w:rPr>
            </w:pPr>
            <w:proofErr w:type="spellStart"/>
            <w:r w:rsidRPr="007E29C4">
              <w:rPr>
                <w:lang w:val="fr-FR"/>
              </w:rPr>
              <w:t>ρ</w:t>
            </w:r>
            <w:r w:rsidRPr="007E29C4">
              <w:rPr>
                <w:vertAlign w:val="subscript"/>
                <w:lang w:val="fr-FR"/>
              </w:rPr>
              <w:t>matériau</w:t>
            </w:r>
            <w:proofErr w:type="spellEnd"/>
            <w:r w:rsidRPr="007E29C4">
              <w:rPr>
                <w:vertAlign w:val="subscript"/>
                <w:lang w:val="fr-FR"/>
              </w:rPr>
              <w:t xml:space="preserve"> filtrant</w:t>
            </w:r>
          </w:p>
        </w:tc>
        <w:tc>
          <w:tcPr>
            <w:tcW w:w="345" w:type="dxa"/>
            <w:shd w:val="clear" w:color="auto" w:fill="auto"/>
          </w:tcPr>
          <w:p w:rsidR="006D17E1" w:rsidRPr="007E29C4" w:rsidRDefault="006D17E1" w:rsidP="00A36982">
            <w:pPr>
              <w:spacing w:after="120"/>
              <w:rPr>
                <w:lang w:val="fr-FR"/>
              </w:rPr>
            </w:pPr>
            <w:r w:rsidRPr="007E29C4">
              <w:rPr>
                <w:lang w:val="fr-FR"/>
              </w:rPr>
              <w:t>=</w:t>
            </w:r>
          </w:p>
        </w:tc>
        <w:tc>
          <w:tcPr>
            <w:tcW w:w="5103" w:type="dxa"/>
            <w:shd w:val="clear" w:color="auto" w:fill="auto"/>
          </w:tcPr>
          <w:p w:rsidR="006D17E1" w:rsidRPr="007E29C4" w:rsidRDefault="006D17E1" w:rsidP="00A36982">
            <w:pPr>
              <w:spacing w:after="120"/>
              <w:rPr>
                <w:lang w:val="fr-FR"/>
              </w:rPr>
            </w:pPr>
            <w:r w:rsidRPr="007E29C4">
              <w:rPr>
                <w:lang w:val="fr-FR"/>
              </w:rPr>
              <w:t>masse volumique du matériau filtrant (filtre) conformément au tableau ci-dessous:</w:t>
            </w:r>
          </w:p>
        </w:tc>
      </w:tr>
    </w:tbl>
    <w:p w:rsidR="006D17E1" w:rsidRPr="00A779B8" w:rsidRDefault="006D17E1" w:rsidP="006D17E1">
      <w:pPr>
        <w:tabs>
          <w:tab w:val="left" w:pos="7351"/>
        </w:tabs>
        <w:spacing w:after="120"/>
        <w:ind w:left="2268"/>
        <w:rPr>
          <w:lang w:val="fr-FR"/>
        </w:rPr>
      </w:pPr>
    </w:p>
    <w:tbl>
      <w:tblPr>
        <w:tblW w:w="0" w:type="auto"/>
        <w:tblInd w:w="2268" w:type="dxa"/>
        <w:tblLayout w:type="fixed"/>
        <w:tblCellMar>
          <w:left w:w="0" w:type="dxa"/>
          <w:right w:w="0" w:type="dxa"/>
        </w:tblCellMar>
        <w:tblLook w:val="01E0" w:firstRow="1" w:lastRow="1" w:firstColumn="1" w:lastColumn="1" w:noHBand="0" w:noVBand="0"/>
      </w:tblPr>
      <w:tblGrid>
        <w:gridCol w:w="5083"/>
        <w:gridCol w:w="1154"/>
      </w:tblGrid>
      <w:tr w:rsidR="006D17E1" w:rsidRPr="007E29C4" w:rsidTr="00A36982">
        <w:tc>
          <w:tcPr>
            <w:tcW w:w="5083" w:type="dxa"/>
            <w:shd w:val="clear" w:color="auto" w:fill="auto"/>
          </w:tcPr>
          <w:p w:rsidR="006D17E1" w:rsidRPr="007E29C4" w:rsidRDefault="006D17E1" w:rsidP="00A36982">
            <w:pPr>
              <w:spacing w:after="120"/>
              <w:rPr>
                <w:lang w:val="fr-FR"/>
              </w:rPr>
            </w:pPr>
            <w:r w:rsidRPr="007E29C4">
              <w:rPr>
                <w:lang w:val="fr-FR"/>
              </w:rPr>
              <w:t>Matériau filtrant</w:t>
            </w:r>
          </w:p>
        </w:tc>
        <w:tc>
          <w:tcPr>
            <w:tcW w:w="1154" w:type="dxa"/>
            <w:shd w:val="clear" w:color="auto" w:fill="auto"/>
          </w:tcPr>
          <w:p w:rsidR="006D17E1" w:rsidRPr="007E29C4" w:rsidRDefault="006D17E1" w:rsidP="00A36982">
            <w:pPr>
              <w:spacing w:after="120"/>
              <w:rPr>
                <w:lang w:val="fr-FR"/>
              </w:rPr>
            </w:pPr>
            <w:proofErr w:type="spellStart"/>
            <w:r w:rsidRPr="007E29C4">
              <w:rPr>
                <w:lang w:val="fr-FR"/>
              </w:rPr>
              <w:t>ρ</w:t>
            </w:r>
            <w:r w:rsidRPr="007E29C4">
              <w:rPr>
                <w:vertAlign w:val="subscript"/>
                <w:lang w:val="fr-FR"/>
              </w:rPr>
              <w:t>matériau</w:t>
            </w:r>
            <w:proofErr w:type="spellEnd"/>
            <w:r w:rsidRPr="007E29C4">
              <w:rPr>
                <w:vertAlign w:val="subscript"/>
                <w:lang w:val="fr-FR"/>
              </w:rPr>
              <w:t xml:space="preserve"> filtrant</w:t>
            </w:r>
          </w:p>
        </w:tc>
      </w:tr>
      <w:tr w:rsidR="006D17E1" w:rsidRPr="007E29C4" w:rsidTr="00A36982">
        <w:tc>
          <w:tcPr>
            <w:tcW w:w="5083" w:type="dxa"/>
            <w:shd w:val="clear" w:color="auto" w:fill="auto"/>
          </w:tcPr>
          <w:p w:rsidR="006D17E1" w:rsidRPr="007E29C4" w:rsidRDefault="006D17E1" w:rsidP="00A36982">
            <w:pPr>
              <w:spacing w:after="120"/>
              <w:rPr>
                <w:lang w:val="fr-FR"/>
              </w:rPr>
            </w:pPr>
            <w:r w:rsidRPr="007E29C4">
              <w:rPr>
                <w:rFonts w:eastAsia="Arial Unicode MS"/>
                <w:lang w:val="fr-FR"/>
              </w:rPr>
              <w:t xml:space="preserve">Filtre en fibre de verre revêtu de téflon </w:t>
            </w:r>
            <w:r w:rsidRPr="007E29C4">
              <w:rPr>
                <w:lang w:val="fr-FR"/>
              </w:rPr>
              <w:t>(par exemple TX40).</w:t>
            </w:r>
          </w:p>
        </w:tc>
        <w:tc>
          <w:tcPr>
            <w:tcW w:w="1154" w:type="dxa"/>
            <w:shd w:val="clear" w:color="auto" w:fill="auto"/>
          </w:tcPr>
          <w:p w:rsidR="006D17E1" w:rsidRPr="007E29C4" w:rsidRDefault="006D17E1" w:rsidP="00A36982">
            <w:pPr>
              <w:spacing w:after="120"/>
              <w:rPr>
                <w:lang w:val="fr-FR"/>
              </w:rPr>
            </w:pPr>
            <w:r w:rsidRPr="007E29C4">
              <w:rPr>
                <w:lang w:val="fr-FR"/>
              </w:rPr>
              <w:t>2 300 kg/m</w:t>
            </w:r>
            <w:r w:rsidRPr="007E29C4">
              <w:rPr>
                <w:vertAlign w:val="superscript"/>
                <w:lang w:val="fr-FR"/>
              </w:rPr>
              <w:t>3</w:t>
            </w:r>
          </w:p>
        </w:tc>
      </w:tr>
    </w:tbl>
    <w:p w:rsidR="006D17E1" w:rsidRPr="00A779B8" w:rsidRDefault="006D17E1" w:rsidP="006D17E1">
      <w:pPr>
        <w:widowControl w:val="0"/>
        <w:spacing w:before="120"/>
        <w:ind w:left="2268" w:right="1134"/>
        <w:rPr>
          <w:lang w:val="fr-FR"/>
        </w:rPr>
      </w:pPr>
      <w:proofErr w:type="spellStart"/>
      <w:r w:rsidRPr="00A779B8">
        <w:rPr>
          <w:lang w:val="fr-FR"/>
        </w:rPr>
        <w:t>ρ</w:t>
      </w:r>
      <w:r w:rsidRPr="00A779B8">
        <w:rPr>
          <w:vertAlign w:val="subscript"/>
          <w:lang w:val="fr-FR"/>
        </w:rPr>
        <w:t>air</w:t>
      </w:r>
      <w:proofErr w:type="spellEnd"/>
      <w:r w:rsidRPr="00A779B8">
        <w:rPr>
          <w:lang w:val="fr-FR"/>
        </w:rPr>
        <w:t xml:space="preserve"> peut être calculé comme suit:</w:t>
      </w:r>
    </w:p>
    <w:p w:rsidR="006D17E1" w:rsidRPr="00A779B8" w:rsidRDefault="006D17E1" w:rsidP="006D17E1">
      <w:pPr>
        <w:spacing w:before="120" w:after="120"/>
        <w:ind w:left="2268"/>
        <w:rPr>
          <w:szCs w:val="24"/>
          <w:lang w:val="fr-FR"/>
        </w:rPr>
      </w:pPr>
      <w:r w:rsidRPr="00A779B8">
        <w:rPr>
          <w:position w:val="-26"/>
          <w:lang w:val="fr-FR"/>
        </w:rPr>
        <w:object w:dxaOrig="1440" w:dyaOrig="600">
          <v:shape id="_x0000_i1095" type="#_x0000_t75" style="width:87.6pt;height:37.35pt" o:ole="">
            <v:imagedata r:id="rId178" o:title=""/>
          </v:shape>
          <o:OLEObject Type="Embed" ProgID="Equation.3" ShapeID="_x0000_i1095" DrawAspect="Content" ObjectID="_1490178451" r:id="rId179"/>
        </w:object>
      </w:r>
      <w:r w:rsidRPr="00A779B8">
        <w:rPr>
          <w:lang w:val="fr-FR"/>
        </w:rPr>
        <w:t xml:space="preserve"> </w:t>
      </w:r>
    </w:p>
    <w:p w:rsidR="006D17E1" w:rsidRPr="00A779B8" w:rsidRDefault="006D17E1" w:rsidP="006D17E1">
      <w:pPr>
        <w:pStyle w:val="SingleTxtG"/>
        <w:keepNex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6D17E1" w:rsidRPr="007E29C4" w:rsidTr="00A36982">
        <w:tc>
          <w:tcPr>
            <w:tcW w:w="567" w:type="dxa"/>
            <w:shd w:val="clear" w:color="auto" w:fill="auto"/>
          </w:tcPr>
          <w:p w:rsidR="006D17E1" w:rsidRPr="007E29C4" w:rsidRDefault="006D17E1" w:rsidP="00A36982">
            <w:pPr>
              <w:spacing w:after="120"/>
              <w:rPr>
                <w:lang w:val="fr-FR"/>
              </w:rPr>
            </w:pPr>
            <w:proofErr w:type="spellStart"/>
            <w:r w:rsidRPr="007E29C4">
              <w:rPr>
                <w:lang w:val="fr-FR"/>
              </w:rPr>
              <w:t>P</w:t>
            </w:r>
            <w:r w:rsidRPr="007E29C4">
              <w:rPr>
                <w:vertAlign w:val="subscript"/>
                <w:lang w:val="fr-FR"/>
              </w:rPr>
              <w:t>abs</w:t>
            </w:r>
            <w:proofErr w:type="spellEnd"/>
          </w:p>
        </w:tc>
        <w:tc>
          <w:tcPr>
            <w:tcW w:w="284" w:type="dxa"/>
            <w:shd w:val="clear" w:color="auto" w:fill="auto"/>
          </w:tcPr>
          <w:p w:rsidR="006D17E1" w:rsidRPr="007E29C4" w:rsidRDefault="006D17E1" w:rsidP="00A36982">
            <w:pPr>
              <w:spacing w:after="120"/>
              <w:rPr>
                <w:lang w:val="fr-FR"/>
              </w:rPr>
            </w:pPr>
            <w:r w:rsidRPr="007E29C4">
              <w:rPr>
                <w:lang w:val="fr-FR"/>
              </w:rPr>
              <w:t>=</w:t>
            </w:r>
          </w:p>
        </w:tc>
        <w:tc>
          <w:tcPr>
            <w:tcW w:w="5103" w:type="dxa"/>
            <w:shd w:val="clear" w:color="auto" w:fill="auto"/>
          </w:tcPr>
          <w:p w:rsidR="006D17E1" w:rsidRPr="007E29C4" w:rsidRDefault="006D17E1" w:rsidP="00A36982">
            <w:pPr>
              <w:spacing w:after="120"/>
              <w:rPr>
                <w:lang w:val="fr-FR"/>
              </w:rPr>
            </w:pPr>
            <w:r w:rsidRPr="007E29C4">
              <w:rPr>
                <w:lang w:val="fr-FR"/>
              </w:rPr>
              <w:t>pression absolue à proximité de la balance,</w:t>
            </w:r>
          </w:p>
        </w:tc>
      </w:tr>
      <w:tr w:rsidR="006D17E1" w:rsidRPr="007E29C4" w:rsidTr="00A36982">
        <w:tc>
          <w:tcPr>
            <w:tcW w:w="567" w:type="dxa"/>
            <w:shd w:val="clear" w:color="auto" w:fill="auto"/>
          </w:tcPr>
          <w:p w:rsidR="006D17E1" w:rsidRPr="007E29C4" w:rsidRDefault="006D17E1" w:rsidP="00A36982">
            <w:pPr>
              <w:spacing w:after="120"/>
              <w:rPr>
                <w:lang w:val="fr-FR"/>
              </w:rPr>
            </w:pPr>
            <w:proofErr w:type="spellStart"/>
            <w:r w:rsidRPr="007E29C4">
              <w:rPr>
                <w:lang w:val="fr-FR"/>
              </w:rPr>
              <w:t>M</w:t>
            </w:r>
            <w:r w:rsidRPr="007E29C4">
              <w:rPr>
                <w:vertAlign w:val="subscript"/>
                <w:lang w:val="fr-FR"/>
              </w:rPr>
              <w:t>mix</w:t>
            </w:r>
            <w:proofErr w:type="spellEnd"/>
          </w:p>
        </w:tc>
        <w:tc>
          <w:tcPr>
            <w:tcW w:w="284" w:type="dxa"/>
            <w:shd w:val="clear" w:color="auto" w:fill="auto"/>
          </w:tcPr>
          <w:p w:rsidR="006D17E1" w:rsidRPr="007E29C4" w:rsidRDefault="006D17E1" w:rsidP="00A36982">
            <w:pPr>
              <w:spacing w:after="120"/>
              <w:rPr>
                <w:lang w:val="fr-FR"/>
              </w:rPr>
            </w:pPr>
            <w:r w:rsidRPr="007E29C4">
              <w:rPr>
                <w:lang w:val="fr-FR"/>
              </w:rPr>
              <w:t>=</w:t>
            </w:r>
          </w:p>
        </w:tc>
        <w:tc>
          <w:tcPr>
            <w:tcW w:w="5103" w:type="dxa"/>
            <w:shd w:val="clear" w:color="auto" w:fill="auto"/>
          </w:tcPr>
          <w:p w:rsidR="006D17E1" w:rsidRPr="007E29C4" w:rsidRDefault="006D17E1" w:rsidP="00A36982">
            <w:pPr>
              <w:spacing w:after="120"/>
              <w:rPr>
                <w:lang w:val="fr-FR"/>
              </w:rPr>
            </w:pPr>
            <w:r w:rsidRPr="007E29C4">
              <w:rPr>
                <w:lang w:val="fr-FR"/>
              </w:rPr>
              <w:t>masse molaire de l</w:t>
            </w:r>
            <w:r w:rsidR="00DB4C2D">
              <w:rPr>
                <w:lang w:val="fr-FR"/>
              </w:rPr>
              <w:t>’</w:t>
            </w:r>
            <w:r w:rsidRPr="007E29C4">
              <w:rPr>
                <w:lang w:val="fr-FR"/>
              </w:rPr>
              <w:t xml:space="preserve">air à proximité de la balance </w:t>
            </w:r>
            <w:r w:rsidRPr="007E29C4">
              <w:rPr>
                <w:lang w:val="fr-FR"/>
              </w:rPr>
              <w:br/>
              <w:t>(28,836 gmol</w:t>
            </w:r>
            <w:r w:rsidRPr="007E29C4">
              <w:rPr>
                <w:vertAlign w:val="superscript"/>
                <w:lang w:val="fr-FR"/>
              </w:rPr>
              <w:t>-1</w:t>
            </w:r>
            <w:r w:rsidRPr="007E29C4">
              <w:rPr>
                <w:lang w:val="fr-FR"/>
              </w:rPr>
              <w:t>),</w:t>
            </w:r>
          </w:p>
        </w:tc>
      </w:tr>
      <w:tr w:rsidR="006D17E1" w:rsidRPr="007E29C4" w:rsidTr="00A36982">
        <w:tc>
          <w:tcPr>
            <w:tcW w:w="567" w:type="dxa"/>
            <w:shd w:val="clear" w:color="auto" w:fill="auto"/>
          </w:tcPr>
          <w:p w:rsidR="006D17E1" w:rsidRPr="007E29C4" w:rsidRDefault="006D17E1" w:rsidP="00A36982">
            <w:pPr>
              <w:spacing w:after="120"/>
              <w:rPr>
                <w:lang w:val="fr-FR"/>
              </w:rPr>
            </w:pPr>
            <w:r w:rsidRPr="007E29C4">
              <w:rPr>
                <w:lang w:val="fr-FR"/>
              </w:rPr>
              <w:t>R</w:t>
            </w:r>
          </w:p>
        </w:tc>
        <w:tc>
          <w:tcPr>
            <w:tcW w:w="284" w:type="dxa"/>
            <w:shd w:val="clear" w:color="auto" w:fill="auto"/>
          </w:tcPr>
          <w:p w:rsidR="006D17E1" w:rsidRPr="007E29C4" w:rsidRDefault="006D17E1" w:rsidP="00A36982">
            <w:pPr>
              <w:spacing w:after="120"/>
              <w:rPr>
                <w:lang w:val="fr-FR"/>
              </w:rPr>
            </w:pPr>
            <w:r w:rsidRPr="007E29C4">
              <w:rPr>
                <w:lang w:val="fr-FR"/>
              </w:rPr>
              <w:t>=</w:t>
            </w:r>
          </w:p>
        </w:tc>
        <w:tc>
          <w:tcPr>
            <w:tcW w:w="5103" w:type="dxa"/>
            <w:shd w:val="clear" w:color="auto" w:fill="auto"/>
          </w:tcPr>
          <w:p w:rsidR="006D17E1" w:rsidRPr="007E29C4" w:rsidRDefault="006D17E1" w:rsidP="00A36982">
            <w:pPr>
              <w:spacing w:after="120"/>
              <w:rPr>
                <w:lang w:val="fr-FR"/>
              </w:rPr>
            </w:pPr>
            <w:r w:rsidRPr="007E29C4">
              <w:rPr>
                <w:lang w:val="fr-FR"/>
              </w:rPr>
              <w:t>constante molaire des gaz (8,314 Jmol</w:t>
            </w:r>
            <w:r w:rsidRPr="007E29C4">
              <w:rPr>
                <w:vertAlign w:val="superscript"/>
                <w:lang w:val="fr-FR"/>
              </w:rPr>
              <w:t>-1</w:t>
            </w:r>
            <w:r w:rsidRPr="007E29C4">
              <w:rPr>
                <w:lang w:val="fr-FR"/>
              </w:rPr>
              <w:t>K</w:t>
            </w:r>
            <w:r w:rsidRPr="007E29C4">
              <w:rPr>
                <w:vertAlign w:val="superscript"/>
                <w:lang w:val="fr-FR"/>
              </w:rPr>
              <w:t>-1</w:t>
            </w:r>
            <w:r w:rsidRPr="007E29C4">
              <w:rPr>
                <w:lang w:val="fr-FR"/>
              </w:rPr>
              <w:t>),</w:t>
            </w:r>
          </w:p>
        </w:tc>
      </w:tr>
      <w:tr w:rsidR="006D17E1" w:rsidRPr="007E29C4" w:rsidTr="00A36982">
        <w:tc>
          <w:tcPr>
            <w:tcW w:w="567" w:type="dxa"/>
            <w:shd w:val="clear" w:color="auto" w:fill="auto"/>
          </w:tcPr>
          <w:p w:rsidR="006D17E1" w:rsidRPr="007E29C4" w:rsidRDefault="006D17E1" w:rsidP="00A36982">
            <w:pPr>
              <w:spacing w:after="120"/>
              <w:rPr>
                <w:lang w:val="fr-FR"/>
              </w:rPr>
            </w:pPr>
            <w:proofErr w:type="spellStart"/>
            <w:r w:rsidRPr="007E29C4">
              <w:rPr>
                <w:lang w:val="fr-FR"/>
              </w:rPr>
              <w:t>T</w:t>
            </w:r>
            <w:r w:rsidRPr="007E29C4">
              <w:rPr>
                <w:vertAlign w:val="subscript"/>
                <w:lang w:val="fr-FR"/>
              </w:rPr>
              <w:t>amb</w:t>
            </w:r>
            <w:proofErr w:type="spellEnd"/>
          </w:p>
        </w:tc>
        <w:tc>
          <w:tcPr>
            <w:tcW w:w="284" w:type="dxa"/>
            <w:shd w:val="clear" w:color="auto" w:fill="auto"/>
          </w:tcPr>
          <w:p w:rsidR="006D17E1" w:rsidRPr="007E29C4" w:rsidRDefault="006D17E1" w:rsidP="00A36982">
            <w:pPr>
              <w:spacing w:after="120"/>
              <w:rPr>
                <w:lang w:val="fr-FR"/>
              </w:rPr>
            </w:pPr>
            <w:r w:rsidRPr="007E29C4">
              <w:rPr>
                <w:lang w:val="fr-FR"/>
              </w:rPr>
              <w:t>=</w:t>
            </w:r>
          </w:p>
        </w:tc>
        <w:tc>
          <w:tcPr>
            <w:tcW w:w="5103" w:type="dxa"/>
            <w:shd w:val="clear" w:color="auto" w:fill="auto"/>
          </w:tcPr>
          <w:p w:rsidR="006D17E1" w:rsidRPr="007E29C4" w:rsidRDefault="006D17E1" w:rsidP="00A36982">
            <w:pPr>
              <w:spacing w:after="120"/>
              <w:rPr>
                <w:lang w:val="fr-FR"/>
              </w:rPr>
            </w:pPr>
            <w:r w:rsidRPr="007E29C4">
              <w:rPr>
                <w:lang w:val="fr-FR"/>
              </w:rPr>
              <w:t>température ambiante absolue de l</w:t>
            </w:r>
            <w:r w:rsidR="00DB4C2D">
              <w:rPr>
                <w:lang w:val="fr-FR"/>
              </w:rPr>
              <w:t>’</w:t>
            </w:r>
            <w:r w:rsidRPr="007E29C4">
              <w:rPr>
                <w:lang w:val="fr-FR"/>
              </w:rPr>
              <w:t>air à proximité de la balance.</w:t>
            </w:r>
          </w:p>
        </w:tc>
      </w:tr>
    </w:tbl>
    <w:p w:rsidR="006D17E1" w:rsidRPr="00A779B8" w:rsidRDefault="006D17E1" w:rsidP="006D17E1">
      <w:pPr>
        <w:pStyle w:val="SingleTxtG"/>
        <w:spacing w:before="120"/>
        <w:ind w:left="2268"/>
        <w:rPr>
          <w:lang w:val="fr-FR"/>
        </w:rPr>
      </w:pPr>
      <w:r w:rsidRPr="00A779B8">
        <w:rPr>
          <w:rFonts w:eastAsia="Arial Unicode MS"/>
          <w:lang w:val="fr-FR"/>
        </w:rPr>
        <w:t>L</w:t>
      </w:r>
      <w:r w:rsidR="00DB4C2D">
        <w:rPr>
          <w:rFonts w:eastAsia="Arial Unicode MS"/>
          <w:lang w:val="fr-FR"/>
        </w:rPr>
        <w:t>’</w:t>
      </w:r>
      <w:r w:rsidRPr="00A779B8">
        <w:rPr>
          <w:rFonts w:eastAsia="Arial Unicode MS"/>
          <w:lang w:val="fr-FR"/>
        </w:rPr>
        <w:t>atmosphère de la chambre doit être exempte de tout contaminant ambiant (poussières, par exemple) pouvant se déposer sur les filtres au cours de la phase de stabilisation.</w:t>
      </w:r>
    </w:p>
    <w:p w:rsidR="006D17E1" w:rsidRPr="00A779B8" w:rsidRDefault="006D17E1" w:rsidP="006D17E1">
      <w:pPr>
        <w:pStyle w:val="SingleTxtG"/>
        <w:spacing w:before="120"/>
        <w:ind w:left="2268"/>
        <w:rPr>
          <w:lang w:val="fr-FR"/>
        </w:rPr>
      </w:pPr>
      <w:r w:rsidRPr="00A779B8">
        <w:rPr>
          <w:lang w:val="fr-FR"/>
        </w:rPr>
        <w:lastRenderedPageBreak/>
        <w:t>Des écarts limités par rapport aux conditions de température et d</w:t>
      </w:r>
      <w:r w:rsidR="00DB4C2D">
        <w:rPr>
          <w:lang w:val="fr-FR"/>
        </w:rPr>
        <w:t>’</w:t>
      </w:r>
      <w:r w:rsidRPr="00A779B8">
        <w:rPr>
          <w:lang w:val="fr-FR"/>
        </w:rPr>
        <w:t>humidité prescrites pour la chambre de pesage sont tolérés si leur durée totale ne dépasse pas 30 min pendant l</w:t>
      </w:r>
      <w:r w:rsidR="00DB4C2D">
        <w:rPr>
          <w:lang w:val="fr-FR"/>
        </w:rPr>
        <w:t>’</w:t>
      </w:r>
      <w:r w:rsidRPr="00A779B8">
        <w:rPr>
          <w:lang w:val="fr-FR"/>
        </w:rPr>
        <w:t xml:space="preserve">une quelconque des périodes de conditionnement du filtre. </w:t>
      </w:r>
      <w:r w:rsidRPr="00A779B8">
        <w:rPr>
          <w:rFonts w:eastAsia="Arial Unicode MS"/>
          <w:lang w:val="fr-FR"/>
        </w:rPr>
        <w:t>La chambre de pesage devrait en tout cas satisfaire aux conditions prescrites avant toute entrée de personnel dans la chambre. Pendant l</w:t>
      </w:r>
      <w:r w:rsidR="00DB4C2D">
        <w:rPr>
          <w:rFonts w:eastAsia="Arial Unicode MS"/>
          <w:lang w:val="fr-FR"/>
        </w:rPr>
        <w:t>’</w:t>
      </w:r>
      <w:r w:rsidRPr="00A779B8">
        <w:rPr>
          <w:rFonts w:eastAsia="Arial Unicode MS"/>
          <w:lang w:val="fr-FR"/>
        </w:rPr>
        <w:t>opération de pesage, aucun écart par rapport aux conditions prescrites n</w:t>
      </w:r>
      <w:r w:rsidR="00DB4C2D">
        <w:rPr>
          <w:rFonts w:eastAsia="Arial Unicode MS"/>
          <w:lang w:val="fr-FR"/>
        </w:rPr>
        <w:t>’</w:t>
      </w:r>
      <w:r w:rsidRPr="00A779B8">
        <w:rPr>
          <w:rFonts w:eastAsia="Arial Unicode MS"/>
          <w:lang w:val="fr-FR"/>
        </w:rPr>
        <w:t>est admis</w:t>
      </w:r>
      <w:r w:rsidRPr="00A779B8">
        <w:rPr>
          <w:lang w:val="fr-FR"/>
        </w:rPr>
        <w:t xml:space="preserve">. </w:t>
      </w:r>
    </w:p>
    <w:p w:rsidR="006D17E1" w:rsidRPr="00A779B8" w:rsidRDefault="006D17E1" w:rsidP="006D17E1">
      <w:pPr>
        <w:pStyle w:val="SingleTxtG"/>
        <w:keepLines/>
        <w:ind w:left="2268" w:hanging="1134"/>
        <w:rPr>
          <w:lang w:val="fr-FR"/>
        </w:rPr>
      </w:pPr>
      <w:r w:rsidRPr="00A779B8">
        <w:rPr>
          <w:lang w:val="fr-FR"/>
        </w:rPr>
        <w:t>1.3.4.3</w:t>
      </w:r>
      <w:r w:rsidRPr="00A779B8">
        <w:rPr>
          <w:lang w:val="fr-FR"/>
        </w:rPr>
        <w:tab/>
        <w:t>Les effets de l</w:t>
      </w:r>
      <w:r w:rsidR="00DB4C2D">
        <w:rPr>
          <w:lang w:val="fr-FR"/>
        </w:rPr>
        <w:t>’</w:t>
      </w:r>
      <w:r w:rsidRPr="00A779B8">
        <w:rPr>
          <w:lang w:val="fr-FR"/>
        </w:rPr>
        <w:t>électricité statique doivent être annulés. Pour ce faire, on peut soit mettre la balance à la terre en la plaçant sur un tapis antistatique et en neutralisant les filtres à particules avant le pesage au moyen d</w:t>
      </w:r>
      <w:r w:rsidR="00DB4C2D">
        <w:rPr>
          <w:lang w:val="fr-FR"/>
        </w:rPr>
        <w:t>’</w:t>
      </w:r>
      <w:r w:rsidRPr="00A779B8">
        <w:rPr>
          <w:lang w:val="fr-FR"/>
        </w:rPr>
        <w:t xml:space="preserve">un </w:t>
      </w:r>
      <w:proofErr w:type="spellStart"/>
      <w:r w:rsidRPr="00A779B8">
        <w:rPr>
          <w:rFonts w:eastAsia="Arial Unicode MS"/>
          <w:lang w:val="fr-FR"/>
        </w:rPr>
        <w:t>neutraliseur</w:t>
      </w:r>
      <w:proofErr w:type="spellEnd"/>
      <w:r w:rsidRPr="00A779B8">
        <w:rPr>
          <w:rFonts w:eastAsia="Arial Unicode MS"/>
          <w:lang w:val="fr-FR"/>
        </w:rPr>
        <w:t xml:space="preserve"> au polonium ou par un autre moyen également efficace, soit égaliser la charge statique.</w:t>
      </w:r>
      <w:r w:rsidRPr="00A779B8">
        <w:rPr>
          <w:lang w:val="fr-FR"/>
        </w:rPr>
        <w:t xml:space="preserve"> </w:t>
      </w:r>
    </w:p>
    <w:p w:rsidR="006D17E1" w:rsidRPr="00A779B8" w:rsidRDefault="006D17E1" w:rsidP="006D17E1">
      <w:pPr>
        <w:pStyle w:val="SingleTxtG"/>
        <w:ind w:left="2268" w:hanging="1134"/>
        <w:rPr>
          <w:lang w:val="fr-FR"/>
        </w:rPr>
      </w:pPr>
      <w:r w:rsidRPr="00A779B8">
        <w:rPr>
          <w:lang w:val="fr-FR"/>
        </w:rPr>
        <w:t>1.3.4.4</w:t>
      </w:r>
      <w:r w:rsidRPr="00A779B8">
        <w:rPr>
          <w:lang w:val="fr-FR"/>
        </w:rPr>
        <w:tab/>
        <w:t>Les filtres d</w:t>
      </w:r>
      <w:r w:rsidR="00DB4C2D">
        <w:rPr>
          <w:lang w:val="fr-FR"/>
        </w:rPr>
        <w:t>’</w:t>
      </w:r>
      <w:r w:rsidRPr="00A779B8">
        <w:rPr>
          <w:lang w:val="fr-FR"/>
        </w:rPr>
        <w:t>essai sont retirés de l</w:t>
      </w:r>
      <w:r w:rsidR="00DB4C2D">
        <w:rPr>
          <w:lang w:val="fr-FR"/>
        </w:rPr>
        <w:t>’</w:t>
      </w:r>
      <w:r w:rsidRPr="00A779B8">
        <w:rPr>
          <w:lang w:val="fr-FR"/>
        </w:rPr>
        <w:t>enceinte au plus tôt une heure avant le début de l</w:t>
      </w:r>
      <w:r w:rsidR="00DB4C2D">
        <w:rPr>
          <w:lang w:val="fr-FR"/>
        </w:rPr>
        <w:t>’</w:t>
      </w:r>
      <w:r w:rsidRPr="00A779B8">
        <w:rPr>
          <w:lang w:val="fr-FR"/>
        </w:rPr>
        <w:t>essai.</w:t>
      </w:r>
    </w:p>
    <w:p w:rsidR="006D17E1" w:rsidRPr="00A779B8" w:rsidRDefault="006D17E1" w:rsidP="006D17E1">
      <w:pPr>
        <w:pStyle w:val="SingleTxtG"/>
        <w:keepLines/>
        <w:ind w:left="2268" w:hanging="1134"/>
        <w:jc w:val="left"/>
        <w:rPr>
          <w:lang w:val="fr-FR"/>
        </w:rPr>
      </w:pPr>
      <w:r w:rsidRPr="00A779B8">
        <w:rPr>
          <w:lang w:val="fr-FR"/>
        </w:rPr>
        <w:t>1.4</w:t>
      </w:r>
      <w:r w:rsidRPr="00A779B8">
        <w:rPr>
          <w:lang w:val="fr-FR"/>
        </w:rPr>
        <w:tab/>
        <w:t>Description du système recommandé</w:t>
      </w:r>
    </w:p>
    <w:p w:rsidR="006D17E1" w:rsidRPr="00A779B8" w:rsidRDefault="006D17E1" w:rsidP="006D17E1">
      <w:pPr>
        <w:pStyle w:val="SingleTxtG"/>
        <w:spacing w:before="120"/>
        <w:ind w:left="2268"/>
        <w:rPr>
          <w:lang w:val="fr-FR"/>
        </w:rPr>
      </w:pPr>
      <w:r w:rsidRPr="00A779B8">
        <w:rPr>
          <w:lang w:val="fr-FR"/>
        </w:rPr>
        <w:t xml:space="preserve">La figure A4a.App4/12 est un schéma de principe du système recommandé pour le prélèvement des particules. </w:t>
      </w:r>
      <w:r w:rsidRPr="00A779B8">
        <w:rPr>
          <w:rFonts w:eastAsia="Arial Unicode MS"/>
          <w:lang w:val="fr-FR"/>
        </w:rPr>
        <w:t xml:space="preserve">Des configurations différentes pouvant donner des résultats équivalents, la </w:t>
      </w:r>
      <w:r w:rsidRPr="00A779B8">
        <w:rPr>
          <w:lang w:val="fr-FR"/>
        </w:rPr>
        <w:t>stricte</w:t>
      </w:r>
      <w:r w:rsidRPr="00A779B8">
        <w:rPr>
          <w:rFonts w:eastAsia="Arial Unicode MS"/>
          <w:lang w:val="fr-FR"/>
        </w:rPr>
        <w:t xml:space="preserve"> conformité à cette figure n</w:t>
      </w:r>
      <w:r w:rsidR="00DB4C2D">
        <w:rPr>
          <w:rFonts w:eastAsia="Arial Unicode MS"/>
          <w:lang w:val="fr-FR"/>
        </w:rPr>
        <w:t>’</w:t>
      </w:r>
      <w:r w:rsidRPr="00A779B8">
        <w:rPr>
          <w:rFonts w:eastAsia="Arial Unicode MS"/>
          <w:lang w:val="fr-FR"/>
        </w:rPr>
        <w:t>est pas exigée</w:t>
      </w:r>
      <w:r w:rsidRPr="00A779B8">
        <w:rPr>
          <w:lang w:val="fr-FR"/>
        </w:rPr>
        <w:t>. Des éléments additionnels tels qu</w:t>
      </w:r>
      <w:r w:rsidR="00DB4C2D">
        <w:rPr>
          <w:lang w:val="fr-FR"/>
        </w:rPr>
        <w:t>’</w:t>
      </w:r>
      <w:r w:rsidRPr="00A779B8">
        <w:rPr>
          <w:lang w:val="fr-FR"/>
        </w:rPr>
        <w:t>appareils de mesure, robinets, solénoïdes, pompes et commutateurs peuvent être utilisés pour obtenir d</w:t>
      </w:r>
      <w:r w:rsidR="00DB4C2D">
        <w:rPr>
          <w:lang w:val="fr-FR"/>
        </w:rPr>
        <w:t>’</w:t>
      </w:r>
      <w:r w:rsidRPr="00A779B8">
        <w:rPr>
          <w:lang w:val="fr-FR"/>
        </w:rPr>
        <w:t>autres informations et pour coordonner les fonctions des divers systèmes constituant l</w:t>
      </w:r>
      <w:r w:rsidR="00DB4C2D">
        <w:rPr>
          <w:lang w:val="fr-FR"/>
        </w:rPr>
        <w:t>’</w:t>
      </w:r>
      <w:r w:rsidRPr="00A779B8">
        <w:rPr>
          <w:lang w:val="fr-FR"/>
        </w:rPr>
        <w:t>ensemble. D</w:t>
      </w:r>
      <w:r w:rsidR="00DB4C2D">
        <w:rPr>
          <w:lang w:val="fr-FR"/>
        </w:rPr>
        <w:t>’</w:t>
      </w:r>
      <w:r w:rsidRPr="00A779B8">
        <w:rPr>
          <w:lang w:val="fr-FR"/>
        </w:rPr>
        <w:t>autres éléments qui, dans certains systèmes, ne sont pas nécessaires pour garantir la précision peuvent être omis si cela est compatible avec les règles de l</w:t>
      </w:r>
      <w:r w:rsidR="00DB4C2D">
        <w:rPr>
          <w:lang w:val="fr-FR"/>
        </w:rPr>
        <w:t>’</w:t>
      </w:r>
      <w:r w:rsidRPr="00A779B8">
        <w:rPr>
          <w:lang w:val="fr-FR"/>
        </w:rPr>
        <w:t>art.</w:t>
      </w:r>
    </w:p>
    <w:p w:rsidR="006D17E1" w:rsidRPr="00A779B8" w:rsidRDefault="006D17E1" w:rsidP="006D17E1">
      <w:pPr>
        <w:pStyle w:val="Titre1"/>
        <w:spacing w:after="120"/>
        <w:rPr>
          <w:lang w:val="fr-FR"/>
        </w:rPr>
      </w:pPr>
      <w:r w:rsidRPr="00A779B8">
        <w:rPr>
          <w:lang w:val="fr-FR"/>
        </w:rPr>
        <w:t>Figure A4a.App4/12</w:t>
      </w:r>
      <w:r w:rsidRPr="00A779B8">
        <w:rPr>
          <w:lang w:val="fr-FR"/>
        </w:rPr>
        <w:br/>
      </w:r>
      <w:r w:rsidRPr="00A779B8">
        <w:rPr>
          <w:b/>
          <w:lang w:val="fr-FR"/>
        </w:rPr>
        <w:t>Système de prélèvement des particules</w:t>
      </w:r>
    </w:p>
    <w:bookmarkStart w:id="206" w:name="_MON_1267253846"/>
    <w:bookmarkStart w:id="207" w:name="_MON_1267253895"/>
    <w:bookmarkStart w:id="208" w:name="_MON_1267344709"/>
    <w:bookmarkStart w:id="209" w:name="_MON_1267344764"/>
    <w:bookmarkStart w:id="210" w:name="_MON_1267344809"/>
    <w:bookmarkStart w:id="211" w:name="_MON_1267344833"/>
    <w:bookmarkStart w:id="212" w:name="_MON_1316525211"/>
    <w:bookmarkStart w:id="213" w:name="_MON_1433314314"/>
    <w:bookmarkStart w:id="214" w:name="_MON_1433314328"/>
    <w:bookmarkStart w:id="215" w:name="_MON_1433314337"/>
    <w:bookmarkStart w:id="216" w:name="_MON_1448959936"/>
    <w:bookmarkStart w:id="217" w:name="_MON_1448959953"/>
    <w:bookmarkEnd w:id="206"/>
    <w:bookmarkEnd w:id="207"/>
    <w:bookmarkEnd w:id="208"/>
    <w:bookmarkEnd w:id="209"/>
    <w:bookmarkEnd w:id="210"/>
    <w:bookmarkEnd w:id="211"/>
    <w:bookmarkEnd w:id="212"/>
    <w:bookmarkEnd w:id="213"/>
    <w:bookmarkEnd w:id="214"/>
    <w:bookmarkEnd w:id="215"/>
    <w:bookmarkEnd w:id="216"/>
    <w:bookmarkEnd w:id="217"/>
    <w:p w:rsidR="006D17E1" w:rsidRPr="00A779B8" w:rsidRDefault="006D17E1" w:rsidP="006D17E1">
      <w:pPr>
        <w:spacing w:after="240"/>
        <w:ind w:left="1134"/>
        <w:rPr>
          <w:lang w:val="fr-FR"/>
        </w:rPr>
      </w:pPr>
      <w:r w:rsidRPr="00A779B8">
        <w:rPr>
          <w:lang w:val="fr-FR"/>
        </w:rPr>
        <w:object w:dxaOrig="8503" w:dyaOrig="5122">
          <v:shape id="_x0000_i1096" type="#_x0000_t75" style="width:366.8pt;height:265.6pt" o:ole="" fillcolor="window">
            <v:imagedata r:id="rId180" o:title="" cropright="10530f"/>
            <w10:bordertop type="single" width="4"/>
            <w10:borderleft type="single" width="4"/>
            <w10:borderbottom type="single" width="4"/>
            <w10:borderright type="single" width="4"/>
          </v:shape>
          <o:OLEObject Type="Embed" ProgID="Word.Picture.8" ShapeID="_x0000_i1096" DrawAspect="Content" ObjectID="_1490178452" r:id="rId181"/>
        </w:object>
      </w:r>
    </w:p>
    <w:p w:rsidR="006D17E1" w:rsidRPr="00A779B8" w:rsidRDefault="006D17E1" w:rsidP="006D17E1">
      <w:pPr>
        <w:pStyle w:val="SingleTxtG"/>
        <w:ind w:left="2268"/>
        <w:rPr>
          <w:lang w:val="fr-FR"/>
        </w:rPr>
      </w:pPr>
      <w:r w:rsidRPr="00A779B8">
        <w:rPr>
          <w:rFonts w:eastAsia="Arial Unicode MS"/>
          <w:lang w:val="fr-FR"/>
        </w:rPr>
        <w:lastRenderedPageBreak/>
        <w:t>Un échantillon de gaz d</w:t>
      </w:r>
      <w:r w:rsidR="00DB4C2D">
        <w:rPr>
          <w:rFonts w:eastAsia="Arial Unicode MS"/>
          <w:lang w:val="fr-FR"/>
        </w:rPr>
        <w:t>’</w:t>
      </w:r>
      <w:r w:rsidRPr="00A779B8">
        <w:rPr>
          <w:rFonts w:eastAsia="Arial Unicode MS"/>
          <w:lang w:val="fr-FR"/>
        </w:rPr>
        <w:t>échappement dilués est prélevé dans le tunnel de dilution de flux total DT par l</w:t>
      </w:r>
      <w:r w:rsidR="00DB4C2D">
        <w:rPr>
          <w:rFonts w:eastAsia="Arial Unicode MS"/>
          <w:lang w:val="fr-FR"/>
        </w:rPr>
        <w:t>’</w:t>
      </w:r>
      <w:r w:rsidRPr="00A779B8">
        <w:rPr>
          <w:rFonts w:eastAsia="Arial Unicode MS"/>
          <w:lang w:val="fr-FR"/>
        </w:rPr>
        <w:t>intermédiaire de la sonde et du tube de transfert de l</w:t>
      </w:r>
      <w:r w:rsidR="00DB4C2D">
        <w:rPr>
          <w:rFonts w:eastAsia="Arial Unicode MS"/>
          <w:lang w:val="fr-FR"/>
        </w:rPr>
        <w:t>’</w:t>
      </w:r>
      <w:r w:rsidRPr="00A779B8">
        <w:rPr>
          <w:rFonts w:eastAsia="Arial Unicode MS"/>
          <w:lang w:val="fr-FR"/>
        </w:rPr>
        <w:t>échantillon de particules PTT au moyen de la pompe de prélèvement P</w:t>
      </w:r>
      <w:r w:rsidRPr="00A779B8">
        <w:rPr>
          <w:lang w:val="fr-FR"/>
        </w:rPr>
        <w:t>. L</w:t>
      </w:r>
      <w:r w:rsidR="00DB4C2D">
        <w:rPr>
          <w:lang w:val="fr-FR"/>
        </w:rPr>
        <w:t>’</w:t>
      </w:r>
      <w:r w:rsidRPr="00A779B8">
        <w:rPr>
          <w:lang w:val="fr-FR"/>
        </w:rPr>
        <w:t>échantillon traverse un séparateur granulométrique primaire PCF et</w:t>
      </w:r>
      <w:r w:rsidRPr="00A779B8">
        <w:rPr>
          <w:rFonts w:eastAsia="Arial Unicode MS"/>
          <w:lang w:val="fr-FR"/>
        </w:rPr>
        <w:t xml:space="preserve"> le(s) porte-filtre(s) FH qui contiennent les filtres à particules</w:t>
      </w:r>
      <w:r w:rsidRPr="00A779B8">
        <w:rPr>
          <w:lang w:val="fr-FR"/>
        </w:rPr>
        <w:t>. Le débit est réglé par le régulateur de débit FC.</w:t>
      </w:r>
    </w:p>
    <w:p w:rsidR="006D17E1" w:rsidRPr="00A779B8" w:rsidRDefault="006D17E1" w:rsidP="006D17E1">
      <w:pPr>
        <w:pStyle w:val="SingleTxtG"/>
        <w:keepNext/>
        <w:ind w:left="2268" w:hanging="1134"/>
        <w:rPr>
          <w:lang w:val="fr-FR"/>
        </w:rPr>
      </w:pPr>
      <w:r w:rsidRPr="00A779B8">
        <w:rPr>
          <w:lang w:val="fr-FR"/>
        </w:rPr>
        <w:t>2.</w:t>
      </w:r>
      <w:r w:rsidRPr="00A779B8">
        <w:rPr>
          <w:lang w:val="fr-FR"/>
        </w:rPr>
        <w:tab/>
        <w:t>Procédures d</w:t>
      </w:r>
      <w:r w:rsidR="00DB4C2D">
        <w:rPr>
          <w:lang w:val="fr-FR"/>
        </w:rPr>
        <w:t>’</w:t>
      </w:r>
      <w:r w:rsidRPr="00A779B8">
        <w:rPr>
          <w:lang w:val="fr-FR"/>
        </w:rPr>
        <w:t xml:space="preserve">étalonnage et de vérification </w:t>
      </w:r>
    </w:p>
    <w:p w:rsidR="006D17E1" w:rsidRPr="00A779B8" w:rsidRDefault="006D17E1" w:rsidP="006D17E1">
      <w:pPr>
        <w:pStyle w:val="SingleTxtG"/>
        <w:keepNext/>
        <w:ind w:left="2268" w:hanging="1134"/>
        <w:rPr>
          <w:lang w:val="fr-FR"/>
        </w:rPr>
      </w:pPr>
      <w:r w:rsidRPr="00A779B8">
        <w:rPr>
          <w:lang w:val="fr-FR"/>
        </w:rPr>
        <w:t>2.1</w:t>
      </w:r>
      <w:r w:rsidRPr="00A779B8">
        <w:rPr>
          <w:lang w:val="fr-FR"/>
        </w:rPr>
        <w:tab/>
        <w:t>Étalonnage du débitmètre</w:t>
      </w:r>
    </w:p>
    <w:p w:rsidR="006D17E1" w:rsidRPr="00A779B8" w:rsidRDefault="006D17E1" w:rsidP="006D17E1">
      <w:pPr>
        <w:pStyle w:val="SingleTxtG"/>
        <w:ind w:left="2268"/>
        <w:rPr>
          <w:lang w:val="fr-FR"/>
        </w:rPr>
      </w:pPr>
      <w:r w:rsidRPr="00A779B8">
        <w:rPr>
          <w:lang w:val="fr-FR"/>
        </w:rPr>
        <w:t xml:space="preserve">Le </w:t>
      </w:r>
      <w:r w:rsidRPr="00A779B8">
        <w:rPr>
          <w:rFonts w:eastAsia="Arial Unicode MS"/>
          <w:lang w:val="fr-FR"/>
        </w:rPr>
        <w:t>service</w:t>
      </w:r>
      <w:r w:rsidRPr="00A779B8">
        <w:rPr>
          <w:lang w:val="fr-FR"/>
        </w:rPr>
        <w:t xml:space="preserve"> technique doit vérifier l</w:t>
      </w:r>
      <w:r w:rsidR="00DB4C2D">
        <w:rPr>
          <w:lang w:val="fr-FR"/>
        </w:rPr>
        <w:t>’</w:t>
      </w:r>
      <w:r w:rsidRPr="00A779B8">
        <w:rPr>
          <w:lang w:val="fr-FR"/>
        </w:rPr>
        <w:t>existence d</w:t>
      </w:r>
      <w:r w:rsidR="00DB4C2D">
        <w:rPr>
          <w:lang w:val="fr-FR"/>
        </w:rPr>
        <w:t>’</w:t>
      </w:r>
      <w:r w:rsidRPr="00A779B8">
        <w:rPr>
          <w:lang w:val="fr-FR"/>
        </w:rPr>
        <w:t>un certificat d</w:t>
      </w:r>
      <w:r w:rsidR="00DB4C2D">
        <w:rPr>
          <w:lang w:val="fr-FR"/>
        </w:rPr>
        <w:t>’</w:t>
      </w:r>
      <w:r w:rsidRPr="00A779B8">
        <w:rPr>
          <w:lang w:val="fr-FR"/>
        </w:rPr>
        <w:t>étalonnage du débitmètre attestant la conformité du débitmètre à une norme identifiable et établi dans les 12 mois précédant l</w:t>
      </w:r>
      <w:r w:rsidR="00DB4C2D">
        <w:rPr>
          <w:lang w:val="fr-FR"/>
        </w:rPr>
        <w:t>’</w:t>
      </w:r>
      <w:r w:rsidRPr="00A779B8">
        <w:rPr>
          <w:lang w:val="fr-FR"/>
        </w:rPr>
        <w:t>essai ou après que le débitmètre a fait l</w:t>
      </w:r>
      <w:r w:rsidR="00DB4C2D">
        <w:rPr>
          <w:lang w:val="fr-FR"/>
        </w:rPr>
        <w:t>’</w:t>
      </w:r>
      <w:r w:rsidRPr="00A779B8">
        <w:rPr>
          <w:lang w:val="fr-FR"/>
        </w:rPr>
        <w:t>objet d</w:t>
      </w:r>
      <w:r w:rsidR="00DB4C2D">
        <w:rPr>
          <w:lang w:val="fr-FR"/>
        </w:rPr>
        <w:t>’</w:t>
      </w:r>
      <w:r w:rsidRPr="00A779B8">
        <w:rPr>
          <w:lang w:val="fr-FR"/>
        </w:rPr>
        <w:t>une réparation ou d</w:t>
      </w:r>
      <w:r w:rsidR="00DB4C2D">
        <w:rPr>
          <w:lang w:val="fr-FR"/>
        </w:rPr>
        <w:t>’</w:t>
      </w:r>
      <w:r w:rsidRPr="00A779B8">
        <w:rPr>
          <w:lang w:val="fr-FR"/>
        </w:rPr>
        <w:t>une modification susceptible d</w:t>
      </w:r>
      <w:r w:rsidR="00DB4C2D">
        <w:rPr>
          <w:lang w:val="fr-FR"/>
        </w:rPr>
        <w:t>’</w:t>
      </w:r>
      <w:r w:rsidRPr="00A779B8">
        <w:rPr>
          <w:lang w:val="fr-FR"/>
        </w:rPr>
        <w:t>influer sur l</w:t>
      </w:r>
      <w:r w:rsidR="00DB4C2D">
        <w:rPr>
          <w:lang w:val="fr-FR"/>
        </w:rPr>
        <w:t>’</w:t>
      </w:r>
      <w:r w:rsidRPr="00A779B8">
        <w:rPr>
          <w:lang w:val="fr-FR"/>
        </w:rPr>
        <w:t>étalonnage.</w:t>
      </w:r>
    </w:p>
    <w:p w:rsidR="006D17E1" w:rsidRPr="00A779B8" w:rsidRDefault="006D17E1" w:rsidP="006D17E1">
      <w:pPr>
        <w:pStyle w:val="SingleTxtG"/>
        <w:keepNext/>
        <w:ind w:left="2268" w:hanging="1134"/>
        <w:rPr>
          <w:lang w:val="fr-FR"/>
        </w:rPr>
      </w:pPr>
      <w:r w:rsidRPr="00A779B8">
        <w:rPr>
          <w:lang w:val="fr-FR"/>
        </w:rPr>
        <w:t>2.2</w:t>
      </w:r>
      <w:r w:rsidRPr="00A779B8">
        <w:rPr>
          <w:lang w:val="fr-FR"/>
        </w:rPr>
        <w:tab/>
        <w:t>Étalonnage de la microbalance</w:t>
      </w:r>
    </w:p>
    <w:p w:rsidR="006D17E1" w:rsidRPr="00A779B8" w:rsidRDefault="006D17E1" w:rsidP="006D17E1">
      <w:pPr>
        <w:pStyle w:val="SingleTxtG"/>
        <w:ind w:left="2268"/>
        <w:rPr>
          <w:lang w:val="fr-FR"/>
        </w:rPr>
      </w:pPr>
      <w:r w:rsidRPr="00A779B8">
        <w:rPr>
          <w:lang w:val="fr-FR"/>
        </w:rPr>
        <w:t>Le service technique doit vérifier l</w:t>
      </w:r>
      <w:r w:rsidR="00DB4C2D">
        <w:rPr>
          <w:lang w:val="fr-FR"/>
        </w:rPr>
        <w:t>’</w:t>
      </w:r>
      <w:r w:rsidRPr="00A779B8">
        <w:rPr>
          <w:lang w:val="fr-FR"/>
        </w:rPr>
        <w:t>existence d</w:t>
      </w:r>
      <w:r w:rsidR="00DB4C2D">
        <w:rPr>
          <w:lang w:val="fr-FR"/>
        </w:rPr>
        <w:t>’</w:t>
      </w:r>
      <w:r w:rsidRPr="00A779B8">
        <w:rPr>
          <w:lang w:val="fr-FR"/>
        </w:rPr>
        <w:t>un certificat d</w:t>
      </w:r>
      <w:r w:rsidR="00DB4C2D">
        <w:rPr>
          <w:lang w:val="fr-FR"/>
        </w:rPr>
        <w:t>’</w:t>
      </w:r>
      <w:r w:rsidRPr="00A779B8">
        <w:rPr>
          <w:lang w:val="fr-FR"/>
        </w:rPr>
        <w:t>étalonnage de la microbalance attestant la conformité de la microbalance à une norme identifiable et établi dans les 12 mois précédant l</w:t>
      </w:r>
      <w:r w:rsidR="00DB4C2D">
        <w:rPr>
          <w:lang w:val="fr-FR"/>
        </w:rPr>
        <w:t>’</w:t>
      </w:r>
      <w:r w:rsidRPr="00A779B8">
        <w:rPr>
          <w:lang w:val="fr-FR"/>
        </w:rPr>
        <w:t>essai.</w:t>
      </w:r>
    </w:p>
    <w:p w:rsidR="006D17E1" w:rsidRPr="00A779B8" w:rsidRDefault="006D17E1" w:rsidP="006D17E1">
      <w:pPr>
        <w:pStyle w:val="SingleTxtG"/>
        <w:keepNext/>
        <w:ind w:left="2268" w:hanging="1134"/>
        <w:rPr>
          <w:lang w:val="fr-FR"/>
        </w:rPr>
      </w:pPr>
      <w:r w:rsidRPr="00A779B8">
        <w:rPr>
          <w:lang w:val="fr-FR"/>
        </w:rPr>
        <w:t>2.3</w:t>
      </w:r>
      <w:r w:rsidRPr="00A779B8">
        <w:rPr>
          <w:lang w:val="fr-FR"/>
        </w:rPr>
        <w:tab/>
        <w:t xml:space="preserve">Pesage du filtre de référence </w:t>
      </w:r>
    </w:p>
    <w:p w:rsidR="006D17E1" w:rsidRPr="00A779B8" w:rsidRDefault="006D17E1" w:rsidP="006D17E1">
      <w:pPr>
        <w:pStyle w:val="SingleTxtG"/>
        <w:ind w:left="2268"/>
        <w:rPr>
          <w:lang w:val="fr-FR"/>
        </w:rPr>
      </w:pPr>
      <w:r w:rsidRPr="00A779B8">
        <w:rPr>
          <w:rFonts w:eastAsia="Arial Unicode MS"/>
          <w:lang w:val="fr-FR"/>
        </w:rPr>
        <w:t xml:space="preserve">Pour </w:t>
      </w:r>
      <w:r w:rsidRPr="00A779B8">
        <w:rPr>
          <w:lang w:val="fr-FR"/>
        </w:rPr>
        <w:t>déterminer</w:t>
      </w:r>
      <w:r w:rsidRPr="00A779B8">
        <w:rPr>
          <w:rFonts w:eastAsia="Arial Unicode MS"/>
          <w:lang w:val="fr-FR"/>
        </w:rPr>
        <w:t xml:space="preserve"> les poids spécifiques des filtres de référence, au moins deux filtres de référence non utilisés doivent être pesés, de préférence en même temps que les filtres de prélèvement, mais en tout cas dans un délai maximum de 8 h à compter du pesage des filtres de prélèvement. Les filtres de référence doivent être de la même dimension et du même matériau que les filtres de prélèvement.</w:t>
      </w:r>
    </w:p>
    <w:p w:rsidR="006D17E1" w:rsidRPr="00A779B8" w:rsidRDefault="006D17E1" w:rsidP="006D17E1">
      <w:pPr>
        <w:pStyle w:val="SingleTxtG"/>
        <w:ind w:left="2268"/>
        <w:rPr>
          <w:lang w:val="fr-FR"/>
        </w:rPr>
      </w:pPr>
      <w:r w:rsidRPr="00A779B8">
        <w:rPr>
          <w:lang w:val="fr-FR"/>
        </w:rPr>
        <w:t>Si le poids spécifique d</w:t>
      </w:r>
      <w:r w:rsidR="00DB4C2D">
        <w:rPr>
          <w:lang w:val="fr-FR"/>
        </w:rPr>
        <w:t>’</w:t>
      </w:r>
      <w:r w:rsidRPr="00A779B8">
        <w:rPr>
          <w:lang w:val="fr-FR"/>
        </w:rPr>
        <w:t xml:space="preserve">un filtre de référence varie de plus de </w:t>
      </w:r>
      <w:r w:rsidRPr="00A779B8">
        <w:rPr>
          <w:lang w:val="fr-FR"/>
        </w:rPr>
        <w:sym w:font="Symbol" w:char="F0B1"/>
      </w:r>
      <w:r w:rsidRPr="00A779B8">
        <w:rPr>
          <w:lang w:val="fr-FR"/>
        </w:rPr>
        <w:t xml:space="preserve">5 µg entre les pesages des filtres de prélèvement, le filtre de prélèvement et les filtres de référence doivent alors être reconditionnés dans la chambre de pesage puis pesés une nouvelle fois. </w:t>
      </w:r>
    </w:p>
    <w:p w:rsidR="006D17E1" w:rsidRPr="00A779B8" w:rsidRDefault="006D17E1" w:rsidP="006D17E1">
      <w:pPr>
        <w:pStyle w:val="SingleTxtG"/>
        <w:ind w:left="2268"/>
        <w:rPr>
          <w:lang w:val="fr-FR"/>
        </w:rPr>
      </w:pPr>
      <w:r w:rsidRPr="00A779B8">
        <w:rPr>
          <w:lang w:val="fr-FR"/>
        </w:rPr>
        <w:t>Pour comparer les pesées d</w:t>
      </w:r>
      <w:r w:rsidR="00DB4C2D">
        <w:rPr>
          <w:lang w:val="fr-FR"/>
        </w:rPr>
        <w:t>’</w:t>
      </w:r>
      <w:r w:rsidRPr="00A779B8">
        <w:rPr>
          <w:lang w:val="fr-FR"/>
        </w:rPr>
        <w:t>un filtre de référence, on doit comparer les poids spécifiques de ce filtre et la moyenne mobile des poids spécifiques de ce filtre.</w:t>
      </w:r>
    </w:p>
    <w:p w:rsidR="006D17E1" w:rsidRPr="00A779B8" w:rsidRDefault="006D17E1" w:rsidP="006D17E1">
      <w:pPr>
        <w:pStyle w:val="SingleTxtG"/>
        <w:ind w:left="2268"/>
        <w:rPr>
          <w:lang w:val="fr-FR"/>
        </w:rPr>
      </w:pPr>
      <w:r w:rsidRPr="00A779B8">
        <w:rPr>
          <w:lang w:val="fr-FR"/>
        </w:rPr>
        <w:t>La moyenne mobile est calculée à partir des poids spécifiques mesurés pendant la période qui a débuté au moment où les filtres de référence ont été placés dans la chambre de pesage. Cette période ne doit être ni inférieure à 1 jour ni supérieure à 30 jours.</w:t>
      </w:r>
    </w:p>
    <w:p w:rsidR="006D17E1" w:rsidRPr="00A779B8" w:rsidRDefault="006D17E1" w:rsidP="006D17E1">
      <w:pPr>
        <w:pStyle w:val="SingleTxtG"/>
        <w:ind w:left="2268"/>
        <w:rPr>
          <w:lang w:val="fr-FR"/>
        </w:rPr>
      </w:pPr>
      <w:r w:rsidRPr="00A779B8">
        <w:rPr>
          <w:lang w:val="fr-FR"/>
        </w:rPr>
        <w:t>Le conditionnement et le pesage des filtres de collecte et de référence peuvent être répétés pendant les 80 h qui suivent la mesure des gaz lors de l</w:t>
      </w:r>
      <w:r w:rsidR="00DB4C2D">
        <w:rPr>
          <w:lang w:val="fr-FR"/>
        </w:rPr>
        <w:t>’</w:t>
      </w:r>
      <w:r w:rsidRPr="00A779B8">
        <w:rPr>
          <w:lang w:val="fr-FR"/>
        </w:rPr>
        <w:t>essai d</w:t>
      </w:r>
      <w:r w:rsidR="00DB4C2D">
        <w:rPr>
          <w:lang w:val="fr-FR"/>
        </w:rPr>
        <w:t>’</w:t>
      </w:r>
      <w:r w:rsidRPr="00A779B8">
        <w:rPr>
          <w:lang w:val="fr-FR"/>
        </w:rPr>
        <w:t>émissions.</w:t>
      </w:r>
    </w:p>
    <w:p w:rsidR="006D17E1" w:rsidRPr="00A779B8" w:rsidRDefault="006D17E1" w:rsidP="006D17E1">
      <w:pPr>
        <w:pStyle w:val="SingleTxtG"/>
        <w:ind w:left="2268"/>
        <w:rPr>
          <w:lang w:val="fr-FR"/>
        </w:rPr>
      </w:pPr>
      <w:r w:rsidRPr="00A779B8">
        <w:rPr>
          <w:lang w:val="fr-FR"/>
        </w:rPr>
        <w:t>Si avant l</w:t>
      </w:r>
      <w:r w:rsidR="00DB4C2D">
        <w:rPr>
          <w:lang w:val="fr-FR"/>
        </w:rPr>
        <w:t>’</w:t>
      </w:r>
      <w:r w:rsidRPr="00A779B8">
        <w:rPr>
          <w:lang w:val="fr-FR"/>
        </w:rPr>
        <w:t>expiration ou à l</w:t>
      </w:r>
      <w:r w:rsidR="00DB4C2D">
        <w:rPr>
          <w:lang w:val="fr-FR"/>
        </w:rPr>
        <w:t>’</w:t>
      </w:r>
      <w:r w:rsidRPr="00A779B8">
        <w:rPr>
          <w:lang w:val="fr-FR"/>
        </w:rPr>
        <w:t xml:space="preserve">expiration de ce délai de 80 h, plus de la moitié du nombre de filtres de référence satisfont au critère de </w:t>
      </w:r>
      <w:r w:rsidRPr="00A779B8">
        <w:rPr>
          <w:lang w:val="fr-FR"/>
        </w:rPr>
        <w:sym w:font="Symbol" w:char="F0B1"/>
      </w:r>
      <w:r w:rsidRPr="00A779B8">
        <w:rPr>
          <w:lang w:val="fr-FR"/>
        </w:rPr>
        <w:t>5 µg, la pesée du filtre de prélèvement peut être considérée comme valide.</w:t>
      </w:r>
    </w:p>
    <w:p w:rsidR="006D17E1" w:rsidRPr="00A779B8" w:rsidRDefault="006D17E1" w:rsidP="006D17E1">
      <w:pPr>
        <w:pStyle w:val="SingleTxtG"/>
        <w:ind w:left="2268"/>
        <w:rPr>
          <w:bCs/>
          <w:lang w:val="fr-FR"/>
        </w:rPr>
      </w:pPr>
      <w:r w:rsidRPr="00A779B8">
        <w:rPr>
          <w:lang w:val="fr-FR"/>
        </w:rPr>
        <w:t>Si, à l</w:t>
      </w:r>
      <w:r w:rsidR="00DB4C2D">
        <w:rPr>
          <w:lang w:val="fr-FR"/>
        </w:rPr>
        <w:t>’</w:t>
      </w:r>
      <w:r w:rsidRPr="00A779B8">
        <w:rPr>
          <w:lang w:val="fr-FR"/>
        </w:rPr>
        <w:t xml:space="preserve">expiration du délai de 80 h, deux filtres de référence sont employés et si un filtre ne remplit pas le critère de </w:t>
      </w:r>
      <w:r w:rsidRPr="00A779B8">
        <w:rPr>
          <w:lang w:val="fr-FR"/>
        </w:rPr>
        <w:sym w:font="Symbol" w:char="F0B1"/>
      </w:r>
      <w:r w:rsidRPr="00A779B8">
        <w:rPr>
          <w:lang w:val="fr-FR"/>
        </w:rPr>
        <w:t xml:space="preserve">5 µg, la pesée du filtre de prélèvement peut être considérée comme valide à condition que la somme des différences absolues entre les moyennes spécifiques et les moyennes mobiles des deux filtres de référence soit inférieure ou égale à </w:t>
      </w:r>
      <w:r w:rsidRPr="00A779B8">
        <w:rPr>
          <w:bCs/>
          <w:lang w:val="fr-FR"/>
        </w:rPr>
        <w:t>10 µg.</w:t>
      </w:r>
    </w:p>
    <w:p w:rsidR="006D17E1" w:rsidRPr="00A779B8" w:rsidRDefault="006D17E1" w:rsidP="006D17E1">
      <w:pPr>
        <w:pStyle w:val="SingleTxtG"/>
        <w:ind w:left="2268"/>
        <w:rPr>
          <w:lang w:val="fr-FR"/>
        </w:rPr>
      </w:pPr>
      <w:r w:rsidRPr="00A779B8">
        <w:rPr>
          <w:lang w:val="fr-FR"/>
        </w:rPr>
        <w:lastRenderedPageBreak/>
        <w:t xml:space="preserve">Si moins de la moitié des filtres de référence satisfont au critère de </w:t>
      </w:r>
      <w:r w:rsidRPr="00A779B8">
        <w:rPr>
          <w:lang w:val="fr-FR"/>
        </w:rPr>
        <w:sym w:font="Symbol" w:char="F0B1"/>
      </w:r>
      <w:r w:rsidRPr="00A779B8">
        <w:rPr>
          <w:lang w:val="fr-FR"/>
        </w:rPr>
        <w:t>5 µg, le filtre de prélèvement est rejeté et l</w:t>
      </w:r>
      <w:r w:rsidR="00DB4C2D">
        <w:rPr>
          <w:lang w:val="fr-FR"/>
        </w:rPr>
        <w:t>’</w:t>
      </w:r>
      <w:r w:rsidRPr="00A779B8">
        <w:rPr>
          <w:lang w:val="fr-FR"/>
        </w:rPr>
        <w:t>essai d</w:t>
      </w:r>
      <w:r w:rsidR="00DB4C2D">
        <w:rPr>
          <w:lang w:val="fr-FR"/>
        </w:rPr>
        <w:t>’</w:t>
      </w:r>
      <w:r w:rsidRPr="00A779B8">
        <w:rPr>
          <w:lang w:val="fr-FR"/>
        </w:rPr>
        <w:t xml:space="preserve">émissions est répété. Tous les filtres de référence doivent être rejetés et remplacés dans les 48 h. </w:t>
      </w:r>
    </w:p>
    <w:p w:rsidR="006D17E1" w:rsidRPr="00A779B8" w:rsidRDefault="006D17E1" w:rsidP="006D17E1">
      <w:pPr>
        <w:pStyle w:val="SingleTxtG"/>
        <w:ind w:left="2268"/>
        <w:rPr>
          <w:lang w:val="fr-FR"/>
        </w:rPr>
      </w:pPr>
      <w:r w:rsidRPr="00A779B8">
        <w:rPr>
          <w:lang w:val="fr-FR"/>
        </w:rPr>
        <w:t>Dans tous les autres cas, les filtres de référence doivent être remplacés au moins tous les 30 jours et de telle manière qu</w:t>
      </w:r>
      <w:r w:rsidR="00DB4C2D">
        <w:rPr>
          <w:lang w:val="fr-FR"/>
        </w:rPr>
        <w:t>’</w:t>
      </w:r>
      <w:r w:rsidRPr="00A779B8">
        <w:rPr>
          <w:lang w:val="fr-FR"/>
        </w:rPr>
        <w:t>aucun filtre de prélèvement ne soit pesé sans être comparé à un filtre de référence présent dans la chambre de pesage depuis au moins 1 jour.</w:t>
      </w:r>
    </w:p>
    <w:p w:rsidR="006D17E1" w:rsidRPr="00A779B8" w:rsidRDefault="006D17E1" w:rsidP="006D17E1">
      <w:pPr>
        <w:pStyle w:val="SingleTxtG"/>
        <w:ind w:left="2268"/>
        <w:rPr>
          <w:rFonts w:eastAsia="Arial Unicode MS"/>
          <w:lang w:val="fr-FR"/>
        </w:rPr>
      </w:pPr>
      <w:r w:rsidRPr="00A779B8">
        <w:rPr>
          <w:lang w:val="fr-FR"/>
        </w:rPr>
        <w:t>Si les critères</w:t>
      </w:r>
      <w:r w:rsidRPr="00A779B8">
        <w:rPr>
          <w:rFonts w:eastAsia="Arial Unicode MS"/>
          <w:lang w:val="fr-FR"/>
        </w:rPr>
        <w:t xml:space="preserve"> de stabilité des conditions dans la chambre de pesage énoncés au paragraphe 1.3.4 du présent appendice ne sont pas respectés, mais si les pesées des filtres de référence satisfont aux critères ci-dessus, le constructeur du véhicule peut, à son choix, accepter la pesée des filtres de prélèvement ou déclarer les essais nuls, faire réparer le système de conditionnement de la chambre de pesage et procéder à un nouvel essai.</w:t>
      </w:r>
    </w:p>
    <w:p w:rsidR="006D17E1" w:rsidRPr="00A779B8" w:rsidRDefault="006D17E1" w:rsidP="006D17E1">
      <w:pPr>
        <w:pStyle w:val="Titre1"/>
        <w:spacing w:after="120"/>
        <w:rPr>
          <w:rFonts w:eastAsia="Arial Unicode MS"/>
          <w:b/>
          <w:lang w:val="fr-FR"/>
        </w:rPr>
      </w:pPr>
      <w:r w:rsidRPr="00A779B8">
        <w:rPr>
          <w:lang w:val="fr-FR"/>
        </w:rPr>
        <w:t>Figure A4a.App4/13</w:t>
      </w:r>
      <w:r w:rsidRPr="00A779B8">
        <w:rPr>
          <w:lang w:val="fr-FR"/>
        </w:rPr>
        <w:br/>
      </w:r>
      <w:r w:rsidRPr="00A779B8">
        <w:rPr>
          <w:rFonts w:eastAsia="Arial Unicode MS"/>
          <w:b/>
          <w:lang w:val="fr-FR"/>
        </w:rPr>
        <w:t>Configuration de la sonde de prélèvement des particules</w:t>
      </w:r>
    </w:p>
    <w:bookmarkStart w:id="218" w:name="_MON_1448960006"/>
    <w:bookmarkStart w:id="219" w:name="_MON_1448968344"/>
    <w:bookmarkEnd w:id="218"/>
    <w:bookmarkEnd w:id="219"/>
    <w:p w:rsidR="006D17E1" w:rsidRDefault="006D17E1" w:rsidP="006D17E1">
      <w:pPr>
        <w:ind w:left="1134"/>
        <w:rPr>
          <w:lang w:val="fr-FR"/>
        </w:rPr>
      </w:pPr>
      <w:r w:rsidRPr="00A779B8">
        <w:rPr>
          <w:lang w:val="fr-FR"/>
        </w:rPr>
        <w:object w:dxaOrig="7527" w:dyaOrig="3156">
          <v:shape id="_x0000_i1097" type="#_x0000_t75" style="width:366.1pt;height:152.85pt" o:ole="">
            <v:imagedata r:id="rId182" o:title=""/>
            <w10:bordertop type="single" width="4"/>
            <w10:borderleft type="single" width="4"/>
            <w10:borderbottom type="single" width="4"/>
            <w10:borderright type="single" width="4"/>
          </v:shape>
          <o:OLEObject Type="Embed" ProgID="Word.Picture.8" ShapeID="_x0000_i1097" DrawAspect="Content" ObjectID="_1490178453" r:id="rId183"/>
        </w:object>
      </w:r>
    </w:p>
    <w:p w:rsidR="006E5069" w:rsidRDefault="006E5069" w:rsidP="006E5069">
      <w:pPr>
        <w:pStyle w:val="SingleTxtG"/>
      </w:pPr>
    </w:p>
    <w:p w:rsidR="00154816" w:rsidRDefault="00154816" w:rsidP="006E5069">
      <w:pPr>
        <w:pStyle w:val="SingleTxtG"/>
        <w:sectPr w:rsidR="00154816" w:rsidSect="00C108AC">
          <w:headerReference w:type="even" r:id="rId184"/>
          <w:headerReference w:type="default" r:id="rId185"/>
          <w:footnotePr>
            <w:numRestart w:val="eachSect"/>
          </w:footnotePr>
          <w:endnotePr>
            <w:numFmt w:val="decimal"/>
          </w:endnotePr>
          <w:pgSz w:w="11907" w:h="16840" w:code="9"/>
          <w:pgMar w:top="1701" w:right="1134" w:bottom="2268" w:left="1134" w:header="794" w:footer="1701" w:gutter="0"/>
          <w:cols w:space="720"/>
          <w:docGrid w:linePitch="272"/>
        </w:sectPr>
      </w:pPr>
    </w:p>
    <w:p w:rsidR="006E5069" w:rsidRPr="00A779B8" w:rsidRDefault="006E5069" w:rsidP="006E5069">
      <w:pPr>
        <w:pStyle w:val="HChG"/>
        <w:rPr>
          <w:lang w:val="fr-FR"/>
        </w:rPr>
      </w:pPr>
      <w:r w:rsidRPr="00A779B8">
        <w:rPr>
          <w:lang w:val="fr-FR"/>
        </w:rPr>
        <w:lastRenderedPageBreak/>
        <w:t>Annexe 4a − Appendice 5</w:t>
      </w:r>
    </w:p>
    <w:p w:rsidR="006E5069" w:rsidRPr="00A779B8" w:rsidRDefault="006E5069" w:rsidP="006E5069">
      <w:pPr>
        <w:pStyle w:val="HChG"/>
        <w:rPr>
          <w:lang w:val="fr-FR"/>
        </w:rPr>
      </w:pPr>
      <w:r w:rsidRPr="00A779B8">
        <w:rPr>
          <w:lang w:val="fr-FR"/>
        </w:rPr>
        <w:tab/>
      </w:r>
      <w:r w:rsidRPr="00A779B8">
        <w:rPr>
          <w:lang w:val="fr-FR"/>
        </w:rPr>
        <w:tab/>
        <w:t>Appareillage de mesure</w:t>
      </w:r>
      <w:r w:rsidR="00A2744F">
        <w:rPr>
          <w:lang w:val="fr-FR"/>
        </w:rPr>
        <w:t xml:space="preserve"> du nombre de particules émises</w:t>
      </w:r>
    </w:p>
    <w:p w:rsidR="006E5069" w:rsidRPr="00A779B8" w:rsidRDefault="006E5069" w:rsidP="006E5069">
      <w:pPr>
        <w:pStyle w:val="SingleTxtG"/>
        <w:keepNext/>
        <w:spacing w:after="100" w:line="236" w:lineRule="atLeast"/>
        <w:ind w:left="2268" w:hanging="1134"/>
        <w:jc w:val="left"/>
        <w:rPr>
          <w:lang w:val="fr-FR"/>
        </w:rPr>
      </w:pPr>
      <w:r w:rsidRPr="00A779B8">
        <w:rPr>
          <w:lang w:val="fr-FR"/>
        </w:rPr>
        <w:t>1.</w:t>
      </w:r>
      <w:r w:rsidRPr="00A779B8">
        <w:rPr>
          <w:lang w:val="fr-FR"/>
        </w:rPr>
        <w:tab/>
        <w:t>Description</w:t>
      </w:r>
    </w:p>
    <w:p w:rsidR="006E5069" w:rsidRPr="00A779B8" w:rsidRDefault="006E5069" w:rsidP="006E5069">
      <w:pPr>
        <w:pStyle w:val="SingleTxtG"/>
        <w:keepNext/>
        <w:spacing w:after="100" w:line="236" w:lineRule="atLeast"/>
        <w:ind w:left="2268" w:hanging="1134"/>
        <w:jc w:val="left"/>
        <w:rPr>
          <w:lang w:val="fr-FR"/>
        </w:rPr>
      </w:pPr>
      <w:r w:rsidRPr="00A779B8">
        <w:rPr>
          <w:lang w:val="fr-FR"/>
        </w:rPr>
        <w:t>1.1</w:t>
      </w:r>
      <w:r w:rsidRPr="00A779B8">
        <w:rPr>
          <w:lang w:val="fr-FR"/>
        </w:rPr>
        <w:tab/>
        <w:t>Vue d</w:t>
      </w:r>
      <w:r w:rsidR="00DB4C2D">
        <w:rPr>
          <w:lang w:val="fr-FR"/>
        </w:rPr>
        <w:t>’</w:t>
      </w:r>
      <w:r w:rsidRPr="00A779B8">
        <w:rPr>
          <w:lang w:val="fr-FR"/>
        </w:rPr>
        <w:t>ensemble du système</w:t>
      </w:r>
    </w:p>
    <w:p w:rsidR="006E5069" w:rsidRPr="00A779B8" w:rsidRDefault="006E5069" w:rsidP="006E5069">
      <w:pPr>
        <w:pStyle w:val="SingleTxtG"/>
        <w:spacing w:after="100" w:line="236" w:lineRule="atLeast"/>
        <w:ind w:left="2268" w:hanging="1134"/>
        <w:rPr>
          <w:lang w:val="fr-FR"/>
        </w:rPr>
      </w:pPr>
      <w:r w:rsidRPr="00A779B8">
        <w:rPr>
          <w:lang w:val="fr-FR"/>
        </w:rPr>
        <w:t>1.1.1</w:t>
      </w:r>
      <w:r w:rsidRPr="00A779B8">
        <w:rPr>
          <w:lang w:val="fr-FR"/>
        </w:rPr>
        <w:tab/>
        <w:t>Le système de prélèvement des particules se compose d</w:t>
      </w:r>
      <w:r w:rsidR="00DB4C2D">
        <w:rPr>
          <w:lang w:val="fr-FR"/>
        </w:rPr>
        <w:t>’</w:t>
      </w:r>
      <w:r w:rsidRPr="00A779B8">
        <w:rPr>
          <w:lang w:val="fr-FR"/>
        </w:rPr>
        <w:t>un tunnel de dilution, d</w:t>
      </w:r>
      <w:r w:rsidR="00DB4C2D">
        <w:rPr>
          <w:lang w:val="fr-FR"/>
        </w:rPr>
        <w:t>’</w:t>
      </w:r>
      <w:r w:rsidRPr="00A779B8">
        <w:rPr>
          <w:lang w:val="fr-FR"/>
        </w:rPr>
        <w:t>une sonde de prélèvement et d</w:t>
      </w:r>
      <w:r w:rsidR="00DB4C2D">
        <w:rPr>
          <w:lang w:val="fr-FR"/>
        </w:rPr>
        <w:t>’</w:t>
      </w:r>
      <w:r w:rsidRPr="00A779B8">
        <w:rPr>
          <w:lang w:val="fr-FR"/>
        </w:rPr>
        <w:t>un séparateur de particules volatiles (VPR) en amont d</w:t>
      </w:r>
      <w:r w:rsidR="00DB4C2D">
        <w:rPr>
          <w:lang w:val="fr-FR"/>
        </w:rPr>
        <w:t>’</w:t>
      </w:r>
      <w:r w:rsidRPr="00A779B8">
        <w:rPr>
          <w:lang w:val="fr-FR"/>
        </w:rPr>
        <w:t>un compteur de particules (PNC), et d</w:t>
      </w:r>
      <w:r w:rsidR="00DB4C2D">
        <w:rPr>
          <w:lang w:val="fr-FR"/>
        </w:rPr>
        <w:t>’</w:t>
      </w:r>
      <w:r w:rsidRPr="00A779B8">
        <w:rPr>
          <w:lang w:val="fr-FR"/>
        </w:rPr>
        <w:t>un tube de transfert approprié.</w:t>
      </w:r>
    </w:p>
    <w:p w:rsidR="006E5069" w:rsidRPr="00A779B8" w:rsidRDefault="006E5069" w:rsidP="006E5069">
      <w:pPr>
        <w:pStyle w:val="SingleTxtG"/>
        <w:spacing w:after="100" w:line="236" w:lineRule="atLeast"/>
        <w:ind w:left="2268" w:hanging="1134"/>
        <w:rPr>
          <w:lang w:val="fr-FR"/>
        </w:rPr>
      </w:pPr>
      <w:r w:rsidRPr="00A779B8">
        <w:rPr>
          <w:lang w:val="fr-FR"/>
        </w:rPr>
        <w:t>1.1.2</w:t>
      </w:r>
      <w:r w:rsidRPr="00A779B8">
        <w:rPr>
          <w:lang w:val="fr-FR"/>
        </w:rPr>
        <w:tab/>
        <w:t>Il est recommandé de placer, avant l</w:t>
      </w:r>
      <w:r w:rsidR="00DB4C2D">
        <w:rPr>
          <w:lang w:val="fr-FR"/>
        </w:rPr>
        <w:t>’</w:t>
      </w:r>
      <w:r w:rsidRPr="00A779B8">
        <w:rPr>
          <w:lang w:val="fr-FR"/>
        </w:rPr>
        <w:t xml:space="preserve">entrée du séparateur de particules volatiles, un séparateur granulométrique primaire (type pot à poussières ou cyclone, par exemple). Toutefois, une sonde de prélèvement agissant comme un dispositif approprié de </w:t>
      </w:r>
      <w:proofErr w:type="spellStart"/>
      <w:r w:rsidRPr="00A779B8">
        <w:rPr>
          <w:lang w:val="fr-FR"/>
        </w:rPr>
        <w:t>préclassification</w:t>
      </w:r>
      <w:proofErr w:type="spellEnd"/>
      <w:r w:rsidRPr="00A779B8">
        <w:rPr>
          <w:lang w:val="fr-FR"/>
        </w:rPr>
        <w:t xml:space="preserve"> granulométrique, telle que celle montrée à la figure A4a.App3/13, peut remplacer le séparateur primaire.</w:t>
      </w:r>
    </w:p>
    <w:p w:rsidR="006E5069" w:rsidRPr="00A779B8" w:rsidRDefault="006E5069" w:rsidP="006E5069">
      <w:pPr>
        <w:pStyle w:val="SingleTxtG"/>
        <w:keepNext/>
        <w:spacing w:after="100" w:line="236" w:lineRule="atLeast"/>
        <w:ind w:left="2268" w:hanging="1134"/>
        <w:jc w:val="left"/>
        <w:rPr>
          <w:lang w:val="fr-FR"/>
        </w:rPr>
      </w:pPr>
      <w:r w:rsidRPr="00A779B8">
        <w:rPr>
          <w:lang w:val="fr-FR"/>
        </w:rPr>
        <w:t>1.2</w:t>
      </w:r>
      <w:r w:rsidRPr="00A779B8">
        <w:rPr>
          <w:lang w:val="fr-FR"/>
        </w:rPr>
        <w:tab/>
        <w:t>Prescriptions générales</w:t>
      </w:r>
    </w:p>
    <w:p w:rsidR="006E5069" w:rsidRPr="00A779B8" w:rsidRDefault="006E5069" w:rsidP="006E5069">
      <w:pPr>
        <w:pStyle w:val="SingleTxtG"/>
        <w:spacing w:after="100" w:line="236" w:lineRule="atLeast"/>
        <w:ind w:left="2268" w:hanging="1134"/>
        <w:rPr>
          <w:lang w:val="fr-FR"/>
        </w:rPr>
      </w:pPr>
      <w:r w:rsidRPr="00A779B8">
        <w:rPr>
          <w:lang w:val="fr-FR"/>
        </w:rPr>
        <w:t>1.2.1</w:t>
      </w:r>
      <w:r w:rsidRPr="00A779B8">
        <w:rPr>
          <w:lang w:val="fr-FR"/>
        </w:rPr>
        <w:tab/>
        <w:t>Le point de prélèvement des particules doit être situé dans le tunnel de dilution.</w:t>
      </w:r>
    </w:p>
    <w:p w:rsidR="006E5069" w:rsidRPr="00A779B8" w:rsidRDefault="006E5069" w:rsidP="006E5069">
      <w:pPr>
        <w:pStyle w:val="SingleTxtG"/>
        <w:spacing w:after="100" w:line="236" w:lineRule="atLeast"/>
        <w:ind w:left="2268"/>
        <w:rPr>
          <w:bCs/>
          <w:lang w:val="fr-FR"/>
        </w:rPr>
      </w:pPr>
      <w:r>
        <w:rPr>
          <w:lang w:val="fr-FR"/>
        </w:rPr>
        <w:t>L</w:t>
      </w:r>
      <w:r w:rsidR="00DB4C2D">
        <w:rPr>
          <w:lang w:val="fr-FR"/>
        </w:rPr>
        <w:t>’</w:t>
      </w:r>
      <w:r>
        <w:rPr>
          <w:lang w:val="fr-FR"/>
        </w:rPr>
        <w:t xml:space="preserve">extrémité amont de la sonde ou le point de prélèvement </w:t>
      </w:r>
      <w:r w:rsidRPr="00A779B8">
        <w:rPr>
          <w:lang w:val="fr-FR"/>
        </w:rPr>
        <w:t>(PSP) et le tube de transfert des particules (PTT) constituent le système de transfert des particules (PTS). Le PTS achemine l</w:t>
      </w:r>
      <w:r w:rsidR="00DB4C2D">
        <w:rPr>
          <w:lang w:val="fr-FR"/>
        </w:rPr>
        <w:t>’</w:t>
      </w:r>
      <w:r w:rsidRPr="00A779B8">
        <w:rPr>
          <w:lang w:val="fr-FR"/>
        </w:rPr>
        <w:t>échantillon prélevé dans le tunnel de dilution jusqu</w:t>
      </w:r>
      <w:r w:rsidR="00DB4C2D">
        <w:rPr>
          <w:lang w:val="fr-FR"/>
        </w:rPr>
        <w:t>’</w:t>
      </w:r>
      <w:r w:rsidRPr="00A779B8">
        <w:rPr>
          <w:lang w:val="fr-FR"/>
        </w:rPr>
        <w:t>à l</w:t>
      </w:r>
      <w:r w:rsidR="00DB4C2D">
        <w:rPr>
          <w:lang w:val="fr-FR"/>
        </w:rPr>
        <w:t>’</w:t>
      </w:r>
      <w:r w:rsidRPr="00A779B8">
        <w:rPr>
          <w:lang w:val="fr-FR"/>
        </w:rPr>
        <w:t>entrée du VPR. Le PTS doit remplir les conditions suivantes:</w:t>
      </w:r>
    </w:p>
    <w:p w:rsidR="006E5069" w:rsidRPr="00A779B8" w:rsidRDefault="006E5069" w:rsidP="006E5069">
      <w:pPr>
        <w:pStyle w:val="SingleTxtG"/>
        <w:spacing w:after="100" w:line="236" w:lineRule="atLeast"/>
        <w:ind w:left="2268"/>
        <w:rPr>
          <w:bCs/>
          <w:lang w:val="fr-FR"/>
        </w:rPr>
      </w:pPr>
      <w:r w:rsidRPr="00A779B8">
        <w:rPr>
          <w:bCs/>
          <w:lang w:val="fr-FR"/>
        </w:rPr>
        <w:t>La sonde doit être installée à proximité de l</w:t>
      </w:r>
      <w:r w:rsidR="00DB4C2D">
        <w:rPr>
          <w:bCs/>
          <w:lang w:val="fr-FR"/>
        </w:rPr>
        <w:t>’</w:t>
      </w:r>
      <w:r w:rsidRPr="00A779B8">
        <w:rPr>
          <w:bCs/>
          <w:lang w:val="fr-FR"/>
        </w:rPr>
        <w:t>axe du tunnel, à une distance de l</w:t>
      </w:r>
      <w:r w:rsidR="00DB4C2D">
        <w:rPr>
          <w:bCs/>
          <w:lang w:val="fr-FR"/>
        </w:rPr>
        <w:t>’</w:t>
      </w:r>
      <w:r w:rsidRPr="00A779B8">
        <w:rPr>
          <w:bCs/>
          <w:lang w:val="fr-FR"/>
        </w:rPr>
        <w:t>entrée des gaz comprise entre 10 et 20 diamètres de tunnel, être dirigée vers l</w:t>
      </w:r>
      <w:r w:rsidR="00DB4C2D">
        <w:rPr>
          <w:bCs/>
          <w:lang w:val="fr-FR"/>
        </w:rPr>
        <w:t>’</w:t>
      </w:r>
      <w:r w:rsidRPr="00A779B8">
        <w:rPr>
          <w:bCs/>
          <w:lang w:val="fr-FR"/>
        </w:rPr>
        <w:t>amont, l</w:t>
      </w:r>
      <w:r w:rsidR="00DB4C2D">
        <w:rPr>
          <w:bCs/>
          <w:lang w:val="fr-FR"/>
        </w:rPr>
        <w:t>’</w:t>
      </w:r>
      <w:r w:rsidRPr="00A779B8">
        <w:rPr>
          <w:bCs/>
          <w:lang w:val="fr-FR"/>
        </w:rPr>
        <w:t>axe de son extrémité étant parallèle à l</w:t>
      </w:r>
      <w:r w:rsidR="00DB4C2D">
        <w:rPr>
          <w:bCs/>
          <w:lang w:val="fr-FR"/>
        </w:rPr>
        <w:t>’</w:t>
      </w:r>
      <w:r w:rsidRPr="00A779B8">
        <w:rPr>
          <w:bCs/>
          <w:lang w:val="fr-FR"/>
        </w:rPr>
        <w:t>axe du tunnel de dilution;</w:t>
      </w:r>
    </w:p>
    <w:p w:rsidR="006E5069" w:rsidRPr="00A779B8" w:rsidRDefault="006E5069" w:rsidP="006E5069">
      <w:pPr>
        <w:pStyle w:val="SingleTxtG"/>
        <w:spacing w:after="100" w:line="236" w:lineRule="atLeast"/>
        <w:ind w:left="2268"/>
        <w:rPr>
          <w:bCs/>
          <w:lang w:val="fr-FR"/>
        </w:rPr>
      </w:pPr>
      <w:r w:rsidRPr="00A779B8">
        <w:rPr>
          <w:bCs/>
          <w:lang w:val="fr-FR"/>
        </w:rPr>
        <w:t>Son diamètre intérieur doit être ≥8 </w:t>
      </w:r>
      <w:proofErr w:type="spellStart"/>
      <w:r w:rsidRPr="00A779B8">
        <w:rPr>
          <w:bCs/>
          <w:lang w:val="fr-FR"/>
        </w:rPr>
        <w:t>mm.</w:t>
      </w:r>
      <w:proofErr w:type="spellEnd"/>
    </w:p>
    <w:p w:rsidR="006E5069" w:rsidRPr="00A779B8" w:rsidRDefault="006E5069" w:rsidP="006E5069">
      <w:pPr>
        <w:pStyle w:val="SingleTxtG"/>
        <w:spacing w:after="100" w:line="236" w:lineRule="atLeast"/>
        <w:ind w:left="2268"/>
        <w:rPr>
          <w:bCs/>
          <w:lang w:val="fr-FR"/>
        </w:rPr>
      </w:pPr>
      <w:r w:rsidRPr="00A779B8">
        <w:rPr>
          <w:bCs/>
          <w:lang w:val="fr-FR"/>
        </w:rPr>
        <w:t>L</w:t>
      </w:r>
      <w:r w:rsidR="00DB4C2D">
        <w:rPr>
          <w:bCs/>
          <w:lang w:val="fr-FR"/>
        </w:rPr>
        <w:t>’</w:t>
      </w:r>
      <w:r w:rsidRPr="00A779B8">
        <w:rPr>
          <w:bCs/>
          <w:lang w:val="fr-FR"/>
        </w:rPr>
        <w:t>échantillon de gaz prélevé dans le PTS doit remplir les conditions suivantes:</w:t>
      </w:r>
    </w:p>
    <w:p w:rsidR="006E5069" w:rsidRPr="00A779B8" w:rsidRDefault="006E5069" w:rsidP="006E5069">
      <w:pPr>
        <w:pStyle w:val="SingleTxtG"/>
        <w:spacing w:after="100" w:line="236" w:lineRule="atLeast"/>
        <w:ind w:left="2268"/>
        <w:rPr>
          <w:bCs/>
          <w:lang w:val="fr-FR"/>
        </w:rPr>
      </w:pPr>
      <w:r w:rsidRPr="00A779B8">
        <w:rPr>
          <w:bCs/>
          <w:lang w:val="fr-FR"/>
        </w:rPr>
        <w:t>Son écoulement turbulent (nombre de Reynolds) doit être &lt;1 700;</w:t>
      </w:r>
    </w:p>
    <w:p w:rsidR="006E5069" w:rsidRPr="00A779B8" w:rsidRDefault="006E5069" w:rsidP="006E5069">
      <w:pPr>
        <w:pStyle w:val="SingleTxtG"/>
        <w:spacing w:after="100" w:line="236" w:lineRule="atLeast"/>
        <w:ind w:left="2268"/>
        <w:rPr>
          <w:bCs/>
          <w:lang w:val="fr-FR"/>
        </w:rPr>
      </w:pPr>
      <w:r w:rsidRPr="00A779B8">
        <w:rPr>
          <w:bCs/>
          <w:lang w:val="fr-FR"/>
        </w:rPr>
        <w:t>Son temps de séjour dans le PTS doit être ≤3 s.</w:t>
      </w:r>
    </w:p>
    <w:p w:rsidR="006E5069" w:rsidRPr="00A779B8" w:rsidRDefault="006E5069" w:rsidP="006E5069">
      <w:pPr>
        <w:pStyle w:val="SingleTxtG"/>
        <w:spacing w:after="100" w:line="236" w:lineRule="atLeast"/>
        <w:ind w:left="2268"/>
        <w:rPr>
          <w:bCs/>
          <w:lang w:val="fr-FR"/>
        </w:rPr>
      </w:pPr>
      <w:r w:rsidRPr="00A779B8">
        <w:rPr>
          <w:bCs/>
          <w:lang w:val="fr-FR"/>
        </w:rPr>
        <w:t>Toute autre configuration de prélèvement du PTS pour laquelle il peut être démontré que la pénétration des particules de 30 nm est équivalente est considérée comme satisfaisante.</w:t>
      </w:r>
    </w:p>
    <w:p w:rsidR="006E5069" w:rsidRPr="00A779B8" w:rsidRDefault="006E5069" w:rsidP="006E5069">
      <w:pPr>
        <w:pStyle w:val="SingleTxtG"/>
        <w:spacing w:after="100" w:line="236" w:lineRule="atLeast"/>
        <w:ind w:left="2268"/>
        <w:rPr>
          <w:bCs/>
          <w:lang w:val="fr-FR"/>
        </w:rPr>
      </w:pPr>
      <w:r w:rsidRPr="00A779B8">
        <w:rPr>
          <w:bCs/>
          <w:lang w:val="fr-FR"/>
        </w:rPr>
        <w:t>Le tuyau de sortie (OT) acheminant l</w:t>
      </w:r>
      <w:r w:rsidR="00DB4C2D">
        <w:rPr>
          <w:bCs/>
          <w:lang w:val="fr-FR"/>
        </w:rPr>
        <w:t>’</w:t>
      </w:r>
      <w:r w:rsidRPr="00A779B8">
        <w:rPr>
          <w:bCs/>
          <w:lang w:val="fr-FR"/>
        </w:rPr>
        <w:t>échantillon dilué du VPR vers l</w:t>
      </w:r>
      <w:r w:rsidR="00DB4C2D">
        <w:rPr>
          <w:bCs/>
          <w:lang w:val="fr-FR"/>
        </w:rPr>
        <w:t>’</w:t>
      </w:r>
      <w:r w:rsidRPr="00A779B8">
        <w:rPr>
          <w:bCs/>
          <w:lang w:val="fr-FR"/>
        </w:rPr>
        <w:t>entrée du PNC doit avoir les caractéristiques suivantes:</w:t>
      </w:r>
    </w:p>
    <w:p w:rsidR="006E5069" w:rsidRPr="00A779B8" w:rsidRDefault="006E5069" w:rsidP="006E5069">
      <w:pPr>
        <w:pStyle w:val="SingleTxtG"/>
        <w:spacing w:after="100" w:line="236" w:lineRule="atLeast"/>
        <w:ind w:left="2268"/>
        <w:rPr>
          <w:bCs/>
          <w:lang w:val="fr-FR"/>
        </w:rPr>
      </w:pPr>
      <w:r w:rsidRPr="00A779B8">
        <w:rPr>
          <w:bCs/>
          <w:lang w:val="fr-FR"/>
        </w:rPr>
        <w:t>Son diamètre interne doit être ≥4 mm;</w:t>
      </w:r>
    </w:p>
    <w:p w:rsidR="006E5069" w:rsidRPr="00A779B8" w:rsidRDefault="006E5069" w:rsidP="006E5069">
      <w:pPr>
        <w:pStyle w:val="SingleTxtG"/>
        <w:spacing w:after="100" w:line="236" w:lineRule="atLeast"/>
        <w:ind w:left="2268"/>
        <w:rPr>
          <w:bCs/>
          <w:lang w:val="fr-FR"/>
        </w:rPr>
      </w:pPr>
      <w:r w:rsidRPr="00A779B8">
        <w:rPr>
          <w:bCs/>
          <w:lang w:val="fr-FR"/>
        </w:rPr>
        <w:t>Le temps de séjour dans le tuyau de sortie OT du gaz prélevé doit être ≤0,8 s.</w:t>
      </w:r>
    </w:p>
    <w:p w:rsidR="006E5069" w:rsidRPr="00A779B8" w:rsidRDefault="006E5069" w:rsidP="006E5069">
      <w:pPr>
        <w:pStyle w:val="SingleTxtG"/>
        <w:spacing w:after="100" w:line="236" w:lineRule="atLeast"/>
        <w:ind w:left="2268"/>
        <w:rPr>
          <w:lang w:val="fr-FR"/>
        </w:rPr>
      </w:pPr>
      <w:r w:rsidRPr="00A779B8">
        <w:rPr>
          <w:bCs/>
          <w:lang w:val="fr-FR"/>
        </w:rPr>
        <w:t>Toute autre configuration de prélèvement de l</w:t>
      </w:r>
      <w:r w:rsidR="00DB4C2D">
        <w:rPr>
          <w:bCs/>
          <w:lang w:val="fr-FR"/>
        </w:rPr>
        <w:t>’</w:t>
      </w:r>
      <w:r w:rsidRPr="00A779B8">
        <w:rPr>
          <w:bCs/>
          <w:lang w:val="fr-FR"/>
        </w:rPr>
        <w:t>OT pour laquelle il peut être démontré que la pénétration des particules de 30 nm est équivalente est considérée comme satisfaisante.</w:t>
      </w:r>
    </w:p>
    <w:p w:rsidR="006E5069" w:rsidRPr="00A779B8" w:rsidRDefault="006E5069" w:rsidP="006E5069">
      <w:pPr>
        <w:pStyle w:val="SingleTxtG"/>
        <w:spacing w:after="100"/>
        <w:ind w:left="2268" w:hanging="1134"/>
        <w:rPr>
          <w:lang w:val="fr-FR"/>
        </w:rPr>
      </w:pPr>
      <w:r w:rsidRPr="00A779B8">
        <w:rPr>
          <w:lang w:val="fr-FR"/>
        </w:rPr>
        <w:t>1.2.2</w:t>
      </w:r>
      <w:r w:rsidRPr="00A779B8">
        <w:rPr>
          <w:lang w:val="fr-FR"/>
        </w:rPr>
        <w:tab/>
        <w:t>Le VPR doit comprendre des dispositifs pour la dilution de l</w:t>
      </w:r>
      <w:r w:rsidR="00DB4C2D">
        <w:rPr>
          <w:lang w:val="fr-FR"/>
        </w:rPr>
        <w:t>’</w:t>
      </w:r>
      <w:r w:rsidRPr="00A779B8">
        <w:rPr>
          <w:lang w:val="fr-FR"/>
        </w:rPr>
        <w:t xml:space="preserve">échantillon et pour la capture des particules volatiles. La sonde de prélèvement du flux de gaz dans lequel les particules sont prélevées doit être disposée dans le canal </w:t>
      </w:r>
      <w:r w:rsidRPr="00A779B8">
        <w:rPr>
          <w:lang w:val="fr-FR"/>
        </w:rPr>
        <w:lastRenderedPageBreak/>
        <w:t>de dilution de façon à permettre le prélèvement d</w:t>
      </w:r>
      <w:r w:rsidR="00DB4C2D">
        <w:rPr>
          <w:lang w:val="fr-FR"/>
        </w:rPr>
        <w:t>’</w:t>
      </w:r>
      <w:r w:rsidRPr="00A779B8">
        <w:rPr>
          <w:lang w:val="fr-FR"/>
        </w:rPr>
        <w:t>un flux de gaz représentatif du mélange air/gaz d</w:t>
      </w:r>
      <w:r w:rsidR="00DB4C2D">
        <w:rPr>
          <w:lang w:val="fr-FR"/>
        </w:rPr>
        <w:t>’</w:t>
      </w:r>
      <w:r w:rsidRPr="00A779B8">
        <w:rPr>
          <w:lang w:val="fr-FR"/>
        </w:rPr>
        <w:t>échappement homogène.</w:t>
      </w:r>
    </w:p>
    <w:p w:rsidR="006E5069" w:rsidRPr="00A779B8" w:rsidRDefault="006E5069" w:rsidP="006E5069">
      <w:pPr>
        <w:pStyle w:val="SingleTxtG"/>
        <w:spacing w:after="100"/>
        <w:ind w:left="2268" w:hanging="1134"/>
        <w:rPr>
          <w:lang w:val="fr-FR"/>
        </w:rPr>
      </w:pPr>
      <w:r w:rsidRPr="00A779B8">
        <w:rPr>
          <w:lang w:val="fr-FR"/>
        </w:rPr>
        <w:t>1.2.3</w:t>
      </w:r>
      <w:r w:rsidRPr="00A779B8">
        <w:rPr>
          <w:lang w:val="fr-FR"/>
        </w:rPr>
        <w:tab/>
      </w:r>
      <w:r w:rsidRPr="00A779B8">
        <w:rPr>
          <w:rFonts w:eastAsia="Arial Unicode MS"/>
          <w:lang w:val="fr-FR"/>
        </w:rPr>
        <w:t>Tous les éléments du système de dilution et du système de prélèvement compris entre le tuyau d</w:t>
      </w:r>
      <w:r w:rsidR="00DB4C2D">
        <w:rPr>
          <w:rFonts w:eastAsia="Arial Unicode MS"/>
          <w:lang w:val="fr-FR"/>
        </w:rPr>
        <w:t>’</w:t>
      </w:r>
      <w:r w:rsidRPr="00A779B8">
        <w:rPr>
          <w:rFonts w:eastAsia="Arial Unicode MS"/>
          <w:lang w:val="fr-FR"/>
        </w:rPr>
        <w:t>échappement et le PNC qui entrent en contact avec les gaz d</w:t>
      </w:r>
      <w:r w:rsidR="00DB4C2D">
        <w:rPr>
          <w:rFonts w:eastAsia="Arial Unicode MS"/>
          <w:lang w:val="fr-FR"/>
        </w:rPr>
        <w:t>’</w:t>
      </w:r>
      <w:r w:rsidRPr="00A779B8">
        <w:rPr>
          <w:rFonts w:eastAsia="Arial Unicode MS"/>
          <w:lang w:val="fr-FR"/>
        </w:rPr>
        <w:t>échappement bruts et dilués doivent être conçus pour réduire le plus possible les dépôts de particules. Ils doivent être réalisés en matériaux électriquement conducteurs qui ne réagissent pas avec les constituants des gaz d</w:t>
      </w:r>
      <w:r w:rsidR="00DB4C2D">
        <w:rPr>
          <w:rFonts w:eastAsia="Arial Unicode MS"/>
          <w:lang w:val="fr-FR"/>
        </w:rPr>
        <w:t>’</w:t>
      </w:r>
      <w:r w:rsidRPr="00A779B8">
        <w:rPr>
          <w:rFonts w:eastAsia="Arial Unicode MS"/>
          <w:lang w:val="fr-FR"/>
        </w:rPr>
        <w:t>échappement, et ils doivent être mis à la masse électriquement pour prévenir les effets électrostatiques.</w:t>
      </w:r>
    </w:p>
    <w:p w:rsidR="006E5069" w:rsidRPr="00A779B8" w:rsidRDefault="006E5069" w:rsidP="006E5069">
      <w:pPr>
        <w:pStyle w:val="SingleTxtG"/>
        <w:spacing w:after="100"/>
        <w:ind w:left="2268" w:hanging="1134"/>
        <w:rPr>
          <w:lang w:val="fr-FR"/>
        </w:rPr>
      </w:pPr>
      <w:r w:rsidRPr="00A779B8">
        <w:rPr>
          <w:lang w:val="fr-FR"/>
        </w:rPr>
        <w:t>1.2.4</w:t>
      </w:r>
      <w:r w:rsidRPr="00A779B8">
        <w:rPr>
          <w:lang w:val="fr-FR"/>
        </w:rPr>
        <w:tab/>
        <w:t>Le système de prélèvement des particules doit satisfaire aux critères de bonnes pratiques en matière de prélèvement d</w:t>
      </w:r>
      <w:r w:rsidR="00DB4C2D">
        <w:rPr>
          <w:lang w:val="fr-FR"/>
        </w:rPr>
        <w:t>’</w:t>
      </w:r>
      <w:r w:rsidRPr="00A779B8">
        <w:rPr>
          <w:lang w:val="fr-FR"/>
        </w:rPr>
        <w:t>aérosols et notamment ne pas comporter de coudes prononcés ni de changements brusques dans la section transversale, comporter des surfaces internes lisses et avoir une tuyauterie de prélèvement la plus courte possible. Des variations graduelles dans la section transversale sont acceptables.</w:t>
      </w:r>
    </w:p>
    <w:p w:rsidR="006E5069" w:rsidRPr="00A779B8" w:rsidRDefault="006E5069" w:rsidP="006E5069">
      <w:pPr>
        <w:pStyle w:val="SingleTxtG"/>
        <w:keepNext/>
        <w:spacing w:after="100"/>
        <w:ind w:left="2268" w:hanging="1134"/>
        <w:jc w:val="left"/>
        <w:rPr>
          <w:lang w:val="fr-FR"/>
        </w:rPr>
      </w:pPr>
      <w:r w:rsidRPr="00A779B8">
        <w:rPr>
          <w:lang w:val="fr-FR"/>
        </w:rPr>
        <w:t>1.3</w:t>
      </w:r>
      <w:r w:rsidRPr="00A779B8">
        <w:rPr>
          <w:lang w:val="fr-FR"/>
        </w:rPr>
        <w:tab/>
        <w:t>Prescriptions particulières</w:t>
      </w:r>
    </w:p>
    <w:p w:rsidR="006E5069" w:rsidRPr="00A779B8" w:rsidRDefault="006E5069" w:rsidP="006E5069">
      <w:pPr>
        <w:pStyle w:val="SingleTxtG"/>
        <w:spacing w:after="100"/>
        <w:ind w:left="2268" w:hanging="1134"/>
        <w:rPr>
          <w:lang w:val="fr-FR"/>
        </w:rPr>
      </w:pPr>
      <w:r w:rsidRPr="00A779B8">
        <w:rPr>
          <w:lang w:val="fr-FR"/>
        </w:rPr>
        <w:t>1.3.1</w:t>
      </w:r>
      <w:r w:rsidRPr="00A779B8">
        <w:rPr>
          <w:lang w:val="fr-FR"/>
        </w:rPr>
        <w:tab/>
        <w:t>L</w:t>
      </w:r>
      <w:r w:rsidR="00DB4C2D">
        <w:rPr>
          <w:lang w:val="fr-FR"/>
        </w:rPr>
        <w:t>’</w:t>
      </w:r>
      <w:r w:rsidRPr="00A779B8">
        <w:rPr>
          <w:lang w:val="fr-FR"/>
        </w:rPr>
        <w:t>échantillon de particules ne doit pas passer à travers une pompe avant de passer à travers le PNC.</w:t>
      </w:r>
    </w:p>
    <w:p w:rsidR="006E5069" w:rsidRPr="00A779B8" w:rsidRDefault="006E5069" w:rsidP="006E5069">
      <w:pPr>
        <w:pStyle w:val="SingleTxtG"/>
        <w:spacing w:after="100"/>
        <w:ind w:left="2268" w:hanging="1134"/>
        <w:rPr>
          <w:lang w:val="fr-FR"/>
        </w:rPr>
      </w:pPr>
      <w:r w:rsidRPr="00A779B8">
        <w:rPr>
          <w:lang w:val="fr-FR"/>
        </w:rPr>
        <w:t>1.3.2</w:t>
      </w:r>
      <w:r w:rsidRPr="00A779B8">
        <w:rPr>
          <w:lang w:val="fr-FR"/>
        </w:rPr>
        <w:tab/>
        <w:t>Il est recommandé d</w:t>
      </w:r>
      <w:r w:rsidR="00DB4C2D">
        <w:rPr>
          <w:lang w:val="fr-FR"/>
        </w:rPr>
        <w:t>’</w:t>
      </w:r>
      <w:r w:rsidRPr="00A779B8">
        <w:rPr>
          <w:lang w:val="fr-FR"/>
        </w:rPr>
        <w:t>utiliser un séparateur primaire.</w:t>
      </w:r>
    </w:p>
    <w:p w:rsidR="006E5069" w:rsidRPr="00A779B8" w:rsidRDefault="006E5069" w:rsidP="006E5069">
      <w:pPr>
        <w:pStyle w:val="SingleTxtG"/>
        <w:spacing w:after="100"/>
        <w:ind w:left="2268" w:hanging="1134"/>
        <w:rPr>
          <w:lang w:val="fr-FR"/>
        </w:rPr>
      </w:pPr>
      <w:r w:rsidRPr="00A779B8">
        <w:rPr>
          <w:lang w:val="fr-FR"/>
        </w:rPr>
        <w:t>1.3.3</w:t>
      </w:r>
      <w:r w:rsidRPr="00A779B8">
        <w:rPr>
          <w:lang w:val="fr-FR"/>
        </w:rPr>
        <w:tab/>
        <w:t>L</w:t>
      </w:r>
      <w:r w:rsidR="00DB4C2D">
        <w:rPr>
          <w:lang w:val="fr-FR"/>
        </w:rPr>
        <w:t>’</w:t>
      </w:r>
      <w:r w:rsidRPr="00A779B8">
        <w:rPr>
          <w:lang w:val="fr-FR"/>
        </w:rPr>
        <w:t xml:space="preserve">unité de </w:t>
      </w:r>
      <w:proofErr w:type="spellStart"/>
      <w:r w:rsidRPr="00A779B8">
        <w:rPr>
          <w:lang w:val="fr-FR"/>
        </w:rPr>
        <w:t>préconditionnement</w:t>
      </w:r>
      <w:proofErr w:type="spellEnd"/>
      <w:r w:rsidRPr="00A779B8">
        <w:rPr>
          <w:lang w:val="fr-FR"/>
        </w:rPr>
        <w:t xml:space="preserve"> de l</w:t>
      </w:r>
      <w:r w:rsidR="00DB4C2D">
        <w:rPr>
          <w:lang w:val="fr-FR"/>
        </w:rPr>
        <w:t>’</w:t>
      </w:r>
      <w:r w:rsidRPr="00A779B8">
        <w:rPr>
          <w:lang w:val="fr-FR"/>
        </w:rPr>
        <w:t>échantillon doit:</w:t>
      </w:r>
    </w:p>
    <w:p w:rsidR="006E5069" w:rsidRPr="00A779B8" w:rsidRDefault="006E5069" w:rsidP="006E5069">
      <w:pPr>
        <w:pStyle w:val="SingleTxtG"/>
        <w:spacing w:after="100"/>
        <w:ind w:left="2268" w:hanging="1134"/>
        <w:rPr>
          <w:lang w:val="fr-FR"/>
        </w:rPr>
      </w:pPr>
      <w:r w:rsidRPr="00A779B8">
        <w:rPr>
          <w:bCs/>
          <w:lang w:val="fr-FR"/>
        </w:rPr>
        <w:t>1.3.3.1</w:t>
      </w:r>
      <w:r w:rsidRPr="00A779B8">
        <w:rPr>
          <w:bCs/>
          <w:lang w:val="fr-FR"/>
        </w:rPr>
        <w:tab/>
        <w:t>Être capable de diluer l</w:t>
      </w:r>
      <w:r w:rsidR="00DB4C2D">
        <w:rPr>
          <w:bCs/>
          <w:lang w:val="fr-FR"/>
        </w:rPr>
        <w:t>’</w:t>
      </w:r>
      <w:r w:rsidRPr="00A779B8">
        <w:rPr>
          <w:bCs/>
          <w:lang w:val="fr-FR"/>
        </w:rPr>
        <w:t>échantillon en une ou plusieurs étapes pour, d</w:t>
      </w:r>
      <w:r w:rsidR="00DB4C2D">
        <w:rPr>
          <w:bCs/>
          <w:lang w:val="fr-FR"/>
        </w:rPr>
        <w:t>’</w:t>
      </w:r>
      <w:r w:rsidRPr="00A779B8">
        <w:rPr>
          <w:bCs/>
          <w:lang w:val="fr-FR"/>
        </w:rPr>
        <w:t>une part, abaisser la concentration en nombre de particules au-dessous du seuil à partir duquel le PNC ne peut plus fonctionner en mode de comptage particule par particule et, d</w:t>
      </w:r>
      <w:r w:rsidR="00DB4C2D">
        <w:rPr>
          <w:bCs/>
          <w:lang w:val="fr-FR"/>
        </w:rPr>
        <w:t>’</w:t>
      </w:r>
      <w:r w:rsidRPr="00A779B8">
        <w:rPr>
          <w:bCs/>
          <w:lang w:val="fr-FR"/>
        </w:rPr>
        <w:t>autre part, faire descendre la température du gaz au</w:t>
      </w:r>
      <w:r w:rsidRPr="00A779B8">
        <w:rPr>
          <w:bCs/>
          <w:lang w:val="fr-FR"/>
        </w:rPr>
        <w:noBreakHyphen/>
        <w:t>dessous de 35 °C à l</w:t>
      </w:r>
      <w:r w:rsidR="00DB4C2D">
        <w:rPr>
          <w:bCs/>
          <w:lang w:val="fr-FR"/>
        </w:rPr>
        <w:t>’</w:t>
      </w:r>
      <w:r w:rsidRPr="00A779B8">
        <w:rPr>
          <w:bCs/>
          <w:lang w:val="fr-FR"/>
        </w:rPr>
        <w:t>entrée du PNC;</w:t>
      </w:r>
    </w:p>
    <w:p w:rsidR="006E5069" w:rsidRPr="00A779B8" w:rsidRDefault="006E5069" w:rsidP="006E5069">
      <w:pPr>
        <w:pStyle w:val="SingleTxtG"/>
        <w:spacing w:after="100"/>
        <w:ind w:left="2268" w:hanging="1134"/>
        <w:rPr>
          <w:lang w:val="fr-FR"/>
        </w:rPr>
      </w:pPr>
      <w:r w:rsidRPr="00A779B8">
        <w:rPr>
          <w:lang w:val="fr-FR"/>
        </w:rPr>
        <w:t>1.3.3.2</w:t>
      </w:r>
      <w:r w:rsidRPr="00A779B8">
        <w:rPr>
          <w:lang w:val="fr-FR"/>
        </w:rPr>
        <w:tab/>
        <w:t>Comprendre une étape initiale de dilution chauffée à l</w:t>
      </w:r>
      <w:r w:rsidR="00DB4C2D">
        <w:rPr>
          <w:lang w:val="fr-FR"/>
        </w:rPr>
        <w:t>’</w:t>
      </w:r>
      <w:r w:rsidRPr="00A779B8">
        <w:rPr>
          <w:lang w:val="fr-FR"/>
        </w:rPr>
        <w:t>issue de laquelle la température de l</w:t>
      </w:r>
      <w:r w:rsidR="00DB4C2D">
        <w:rPr>
          <w:lang w:val="fr-FR"/>
        </w:rPr>
        <w:t>’</w:t>
      </w:r>
      <w:r w:rsidRPr="00A779B8">
        <w:rPr>
          <w:lang w:val="fr-FR"/>
        </w:rPr>
        <w:t>échantillon est ≥150 °C et ≤400 °C et l</w:t>
      </w:r>
      <w:r w:rsidR="00DB4C2D">
        <w:rPr>
          <w:lang w:val="fr-FR"/>
        </w:rPr>
        <w:t>’</w:t>
      </w:r>
      <w:r w:rsidRPr="00A779B8">
        <w:rPr>
          <w:lang w:val="fr-FR"/>
        </w:rPr>
        <w:t>échantillon dilué d</w:t>
      </w:r>
      <w:r w:rsidR="00DB4C2D">
        <w:rPr>
          <w:lang w:val="fr-FR"/>
        </w:rPr>
        <w:t>’</w:t>
      </w:r>
      <w:r w:rsidRPr="00A779B8">
        <w:rPr>
          <w:lang w:val="fr-FR"/>
        </w:rPr>
        <w:t>un facteur 10 au minimum;</w:t>
      </w:r>
    </w:p>
    <w:p w:rsidR="006E5069" w:rsidRPr="00A779B8" w:rsidRDefault="006E5069" w:rsidP="006E5069">
      <w:pPr>
        <w:pStyle w:val="SingleTxtG"/>
        <w:spacing w:after="100"/>
        <w:ind w:left="2268" w:hanging="1134"/>
        <w:rPr>
          <w:lang w:val="fr-FR"/>
        </w:rPr>
      </w:pPr>
      <w:r w:rsidRPr="00A779B8">
        <w:rPr>
          <w:lang w:val="fr-FR"/>
        </w:rPr>
        <w:t>1.3.3.3</w:t>
      </w:r>
      <w:r w:rsidRPr="00A779B8">
        <w:rPr>
          <w:lang w:val="fr-FR"/>
        </w:rPr>
        <w:tab/>
        <w:t>Maintenir les étages chauffés à leur température nominale de fonctionnement, dans la plage définie au paragraphe 1.3.3.2 du présent appendice, avec une tolérance de ±10 °C. Préciser si les étages chauffés sont ou non à leur température correcte de fonctionnement;</w:t>
      </w:r>
    </w:p>
    <w:p w:rsidR="006E5069" w:rsidRPr="00A779B8" w:rsidRDefault="006E5069" w:rsidP="006E5069">
      <w:pPr>
        <w:pStyle w:val="SingleTxtG"/>
        <w:spacing w:after="100"/>
        <w:ind w:left="2268" w:hanging="1134"/>
        <w:rPr>
          <w:bCs/>
          <w:lang w:val="fr-FR"/>
        </w:rPr>
      </w:pPr>
      <w:r w:rsidRPr="00A779B8">
        <w:rPr>
          <w:bCs/>
          <w:lang w:val="fr-FR"/>
        </w:rPr>
        <w:t>1.3.3.4</w:t>
      </w:r>
      <w:r w:rsidRPr="00A779B8">
        <w:rPr>
          <w:bCs/>
          <w:lang w:val="fr-FR"/>
        </w:rPr>
        <w:tab/>
      </w:r>
      <w:r w:rsidRPr="00A779B8">
        <w:rPr>
          <w:lang w:val="fr-FR"/>
        </w:rPr>
        <w:t>Obtenir un facteur de réduction de la concentration des particules (</w:t>
      </w:r>
      <w:proofErr w:type="spellStart"/>
      <w:r w:rsidRPr="00A779B8">
        <w:rPr>
          <w:lang w:val="fr-FR"/>
        </w:rPr>
        <w:t>f</w:t>
      </w:r>
      <w:r w:rsidRPr="00A779B8">
        <w:rPr>
          <w:vertAlign w:val="subscript"/>
          <w:lang w:val="fr-FR"/>
        </w:rPr>
        <w:t>r</w:t>
      </w:r>
      <w:proofErr w:type="spellEnd"/>
      <w:r w:rsidRPr="00A779B8">
        <w:rPr>
          <w:lang w:val="fr-FR"/>
        </w:rPr>
        <w:t>(d</w:t>
      </w:r>
      <w:r w:rsidRPr="00A779B8">
        <w:rPr>
          <w:vertAlign w:val="subscript"/>
          <w:lang w:val="fr-FR"/>
        </w:rPr>
        <w:t>i</w:t>
      </w:r>
      <w:r w:rsidRPr="00A779B8">
        <w:rPr>
          <w:lang w:val="fr-FR"/>
        </w:rPr>
        <w:t>)), tel qu</w:t>
      </w:r>
      <w:r w:rsidR="00DB4C2D">
        <w:rPr>
          <w:lang w:val="fr-FR"/>
        </w:rPr>
        <w:t>’</w:t>
      </w:r>
      <w:r w:rsidRPr="00A779B8">
        <w:rPr>
          <w:lang w:val="fr-FR"/>
        </w:rPr>
        <w:t>il est défini au paragraphe 2.2.2 du présent appendice, pour des particules dont le diamètre de mobilité électrique est de 30 nm et 50 nm, qui ne soit pas supérieur de plus de 30 % et de plus de 20 % respectivement ni inférieur de plus de 5 % à celui obtenu pour des particules ayant un diamètre de mobilité électrique de 100 nm, pour l</w:t>
      </w:r>
      <w:r w:rsidR="00DB4C2D">
        <w:rPr>
          <w:lang w:val="fr-FR"/>
        </w:rPr>
        <w:t>’</w:t>
      </w:r>
      <w:r w:rsidRPr="00A779B8">
        <w:rPr>
          <w:lang w:val="fr-FR"/>
        </w:rPr>
        <w:t>ensemble du VPR;</w:t>
      </w:r>
    </w:p>
    <w:p w:rsidR="006E5069" w:rsidRPr="00A779B8" w:rsidRDefault="006E5069" w:rsidP="006E5069">
      <w:pPr>
        <w:pStyle w:val="SingleTxtG"/>
        <w:spacing w:after="100"/>
        <w:ind w:left="2268" w:hanging="1134"/>
        <w:rPr>
          <w:bCs/>
          <w:lang w:val="fr-FR"/>
        </w:rPr>
      </w:pPr>
      <w:r w:rsidRPr="00A779B8">
        <w:rPr>
          <w:bCs/>
          <w:lang w:val="fr-FR"/>
        </w:rPr>
        <w:t>1.3.3.5</w:t>
      </w:r>
      <w:r w:rsidRPr="00A779B8">
        <w:rPr>
          <w:bCs/>
          <w:lang w:val="fr-FR"/>
        </w:rPr>
        <w:tab/>
      </w:r>
      <w:r w:rsidRPr="00A779B8">
        <w:rPr>
          <w:lang w:val="fr-FR"/>
        </w:rPr>
        <w:t xml:space="preserve">Obtenir aussi une vaporisation &gt;99,0 % de particules de </w:t>
      </w:r>
      <w:proofErr w:type="spellStart"/>
      <w:r w:rsidRPr="00A779B8">
        <w:rPr>
          <w:lang w:val="fr-FR"/>
        </w:rPr>
        <w:t>tétracontane</w:t>
      </w:r>
      <w:proofErr w:type="spellEnd"/>
      <w:r w:rsidRPr="00A779B8">
        <w:rPr>
          <w:lang w:val="fr-FR"/>
        </w:rPr>
        <w:t xml:space="preserve"> (CH</w:t>
      </w:r>
      <w:r w:rsidRPr="00A779B8">
        <w:rPr>
          <w:vertAlign w:val="subscript"/>
          <w:lang w:val="fr-FR"/>
        </w:rPr>
        <w:t>3</w:t>
      </w:r>
      <w:r w:rsidRPr="00A779B8">
        <w:rPr>
          <w:lang w:val="fr-FR"/>
        </w:rPr>
        <w:t>(CH</w:t>
      </w:r>
      <w:r w:rsidRPr="00A779B8">
        <w:rPr>
          <w:vertAlign w:val="subscript"/>
          <w:lang w:val="fr-FR"/>
        </w:rPr>
        <w:t>2</w:t>
      </w:r>
      <w:r w:rsidRPr="00A779B8">
        <w:rPr>
          <w:lang w:val="fr-FR"/>
        </w:rPr>
        <w:t>)</w:t>
      </w:r>
      <w:r w:rsidRPr="00A779B8">
        <w:rPr>
          <w:vertAlign w:val="subscript"/>
          <w:lang w:val="fr-FR"/>
        </w:rPr>
        <w:t>38</w:t>
      </w:r>
      <w:r w:rsidRPr="00A779B8">
        <w:rPr>
          <w:lang w:val="fr-FR"/>
        </w:rPr>
        <w:t>CH</w:t>
      </w:r>
      <w:r w:rsidRPr="00A779B8">
        <w:rPr>
          <w:vertAlign w:val="subscript"/>
          <w:lang w:val="fr-FR"/>
        </w:rPr>
        <w:t>3</w:t>
      </w:r>
      <w:r w:rsidRPr="00A779B8">
        <w:rPr>
          <w:lang w:val="fr-FR"/>
        </w:rPr>
        <w:t>) de 30 nm, avec une concentration à l</w:t>
      </w:r>
      <w:r w:rsidR="00DB4C2D">
        <w:rPr>
          <w:lang w:val="fr-FR"/>
        </w:rPr>
        <w:t>’</w:t>
      </w:r>
      <w:r w:rsidRPr="00A779B8">
        <w:rPr>
          <w:lang w:val="fr-FR"/>
        </w:rPr>
        <w:t>entrée ≥10 000 cm</w:t>
      </w:r>
      <w:r w:rsidRPr="00A779B8">
        <w:rPr>
          <w:vertAlign w:val="superscript"/>
          <w:lang w:val="fr-FR"/>
        </w:rPr>
        <w:t>-3</w:t>
      </w:r>
      <w:r w:rsidRPr="00A779B8">
        <w:rPr>
          <w:lang w:val="fr-FR"/>
        </w:rPr>
        <w:t xml:space="preserve">, par chauffage et réduction des pressions partielles du </w:t>
      </w:r>
      <w:proofErr w:type="spellStart"/>
      <w:r w:rsidRPr="00A779B8">
        <w:rPr>
          <w:lang w:val="fr-FR"/>
        </w:rPr>
        <w:t>tétracontane</w:t>
      </w:r>
      <w:proofErr w:type="spellEnd"/>
      <w:r w:rsidRPr="00A779B8">
        <w:rPr>
          <w:lang w:val="fr-FR"/>
        </w:rPr>
        <w:t>.</w:t>
      </w:r>
    </w:p>
    <w:p w:rsidR="006E5069" w:rsidRPr="00A779B8" w:rsidRDefault="006E5069" w:rsidP="006E5069">
      <w:pPr>
        <w:pStyle w:val="SingleTxtG"/>
        <w:keepNext/>
        <w:spacing w:after="100"/>
        <w:ind w:left="2268" w:hanging="1134"/>
        <w:rPr>
          <w:lang w:val="fr-FR"/>
        </w:rPr>
      </w:pPr>
      <w:r w:rsidRPr="00A779B8">
        <w:rPr>
          <w:lang w:val="fr-FR"/>
        </w:rPr>
        <w:t>1.3.4</w:t>
      </w:r>
      <w:r w:rsidRPr="00A779B8">
        <w:rPr>
          <w:lang w:val="fr-FR"/>
        </w:rPr>
        <w:tab/>
        <w:t>Le PNC doit:</w:t>
      </w:r>
    </w:p>
    <w:p w:rsidR="006E5069" w:rsidRPr="00A779B8" w:rsidRDefault="006E5069" w:rsidP="006E5069">
      <w:pPr>
        <w:pStyle w:val="SingleTxtG"/>
        <w:spacing w:after="100"/>
        <w:ind w:left="2268" w:hanging="1134"/>
        <w:rPr>
          <w:lang w:val="fr-FR"/>
        </w:rPr>
      </w:pPr>
      <w:r w:rsidRPr="00A779B8">
        <w:rPr>
          <w:lang w:val="fr-FR"/>
        </w:rPr>
        <w:t>1.3.4.1</w:t>
      </w:r>
      <w:r w:rsidRPr="00A779B8">
        <w:rPr>
          <w:lang w:val="fr-FR"/>
        </w:rPr>
        <w:tab/>
        <w:t>Fonctionner en flux total;</w:t>
      </w:r>
    </w:p>
    <w:p w:rsidR="006E5069" w:rsidRPr="00A779B8" w:rsidRDefault="006E5069" w:rsidP="006E5069">
      <w:pPr>
        <w:pStyle w:val="SingleTxtG"/>
        <w:spacing w:after="100"/>
        <w:ind w:left="2268" w:hanging="1134"/>
        <w:rPr>
          <w:lang w:val="fr-FR"/>
        </w:rPr>
      </w:pPr>
      <w:r w:rsidRPr="00A779B8">
        <w:rPr>
          <w:lang w:val="fr-FR"/>
        </w:rPr>
        <w:t>1.3.4.2</w:t>
      </w:r>
      <w:r w:rsidRPr="00A779B8">
        <w:rPr>
          <w:lang w:val="fr-FR"/>
        </w:rPr>
        <w:tab/>
        <w:t xml:space="preserve">Effectuer le comptage avec une exactitude de </w:t>
      </w:r>
      <w:r w:rsidRPr="00A779B8">
        <w:rPr>
          <w:lang w:val="fr-FR"/>
        </w:rPr>
        <w:sym w:font="Symbol" w:char="F0B1"/>
      </w:r>
      <w:r w:rsidRPr="00A779B8">
        <w:rPr>
          <w:lang w:val="fr-FR"/>
        </w:rPr>
        <w:t>10 % dans la plage comprise entre 1 cm</w:t>
      </w:r>
      <w:r w:rsidRPr="00A779B8">
        <w:rPr>
          <w:vertAlign w:val="superscript"/>
          <w:lang w:val="fr-FR"/>
        </w:rPr>
        <w:t>-3</w:t>
      </w:r>
      <w:r w:rsidRPr="00A779B8">
        <w:rPr>
          <w:lang w:val="fr-FR"/>
        </w:rPr>
        <w:t xml:space="preserve"> et le seuil à partir duquel le PNC ne fonctionne plus en mode comptage particule par particule selon une norme identifiable. À des concentrations inférieures à 100 cm</w:t>
      </w:r>
      <w:r w:rsidRPr="00A779B8">
        <w:rPr>
          <w:vertAlign w:val="superscript"/>
          <w:lang w:val="fr-FR"/>
        </w:rPr>
        <w:t>-3</w:t>
      </w:r>
      <w:r w:rsidRPr="00A779B8">
        <w:rPr>
          <w:lang w:val="fr-FR"/>
        </w:rPr>
        <w:t xml:space="preserve">, des mesures dont la moyenne est </w:t>
      </w:r>
      <w:r w:rsidRPr="00A779B8">
        <w:rPr>
          <w:lang w:val="fr-FR"/>
        </w:rPr>
        <w:lastRenderedPageBreak/>
        <w:t>calculée sur des périodes de prélèvement de longue durée peuvent être exigées pour démontrer la précision du PNC avec un degré de fiabilité statistique élevé;</w:t>
      </w:r>
    </w:p>
    <w:p w:rsidR="006E5069" w:rsidRPr="00A779B8" w:rsidRDefault="006E5069" w:rsidP="006E5069">
      <w:pPr>
        <w:pStyle w:val="SingleTxtG"/>
        <w:ind w:left="2268" w:hanging="1134"/>
        <w:rPr>
          <w:lang w:val="fr-FR"/>
        </w:rPr>
      </w:pPr>
      <w:r w:rsidRPr="00A779B8">
        <w:rPr>
          <w:lang w:val="fr-FR"/>
        </w:rPr>
        <w:t>1.3.4.3</w:t>
      </w:r>
      <w:r w:rsidRPr="00A779B8">
        <w:rPr>
          <w:lang w:val="fr-FR"/>
        </w:rPr>
        <w:tab/>
        <w:t>Avoir une précision de lecture d</w:t>
      </w:r>
      <w:r w:rsidR="00DB4C2D">
        <w:rPr>
          <w:lang w:val="fr-FR"/>
        </w:rPr>
        <w:t>’</w:t>
      </w:r>
      <w:r w:rsidRPr="00A779B8">
        <w:rPr>
          <w:lang w:val="fr-FR"/>
        </w:rPr>
        <w:t>au moins 0,1 particule cm</w:t>
      </w:r>
      <w:r w:rsidRPr="00A779B8">
        <w:rPr>
          <w:vertAlign w:val="superscript"/>
          <w:lang w:val="fr-FR"/>
        </w:rPr>
        <w:t>-3</w:t>
      </w:r>
      <w:r w:rsidRPr="00A779B8">
        <w:rPr>
          <w:lang w:val="fr-FR"/>
        </w:rPr>
        <w:t xml:space="preserve"> à des concentrations inférieures à 100 cm</w:t>
      </w:r>
      <w:r w:rsidRPr="00A779B8">
        <w:rPr>
          <w:vertAlign w:val="superscript"/>
          <w:lang w:val="fr-FR"/>
        </w:rPr>
        <w:t>-3</w:t>
      </w:r>
      <w:r w:rsidRPr="00A779B8">
        <w:rPr>
          <w:lang w:val="fr-FR"/>
        </w:rPr>
        <w:t>;</w:t>
      </w:r>
    </w:p>
    <w:p w:rsidR="006E5069" w:rsidRPr="00A779B8" w:rsidRDefault="006E5069" w:rsidP="006E5069">
      <w:pPr>
        <w:pStyle w:val="SingleTxtG"/>
        <w:ind w:left="2268" w:hanging="1134"/>
        <w:rPr>
          <w:lang w:val="fr-FR"/>
        </w:rPr>
      </w:pPr>
      <w:r w:rsidRPr="00A779B8">
        <w:rPr>
          <w:lang w:val="fr-FR"/>
        </w:rPr>
        <w:t>1.3.4.4</w:t>
      </w:r>
      <w:r w:rsidRPr="00A779B8">
        <w:rPr>
          <w:lang w:val="fr-FR"/>
        </w:rPr>
        <w:tab/>
        <w:t>Avoir une réponse linéaire aux concentrations de particules sur la totalité de la plage de mesure en mode de comptage particule par particule;</w:t>
      </w:r>
    </w:p>
    <w:p w:rsidR="006E5069" w:rsidRPr="00A779B8" w:rsidRDefault="006E5069" w:rsidP="006E5069">
      <w:pPr>
        <w:pStyle w:val="SingleTxtG"/>
        <w:ind w:left="2268" w:hanging="1134"/>
        <w:rPr>
          <w:lang w:val="fr-FR"/>
        </w:rPr>
      </w:pPr>
      <w:r w:rsidRPr="00A779B8">
        <w:rPr>
          <w:lang w:val="fr-FR"/>
        </w:rPr>
        <w:t>1.3.4.5</w:t>
      </w:r>
      <w:r w:rsidRPr="00A779B8">
        <w:rPr>
          <w:lang w:val="fr-FR"/>
        </w:rPr>
        <w:tab/>
        <w:t>Avoir une fréquence de communication des données égale ou supérieure à 0,5 Hz;</w:t>
      </w:r>
    </w:p>
    <w:p w:rsidR="006E5069" w:rsidRPr="00A779B8" w:rsidRDefault="006E5069" w:rsidP="006E5069">
      <w:pPr>
        <w:pStyle w:val="SingleTxtG"/>
        <w:ind w:left="2268" w:hanging="1134"/>
        <w:rPr>
          <w:lang w:val="fr-FR"/>
        </w:rPr>
      </w:pPr>
      <w:r w:rsidRPr="00A779B8">
        <w:rPr>
          <w:lang w:val="fr-FR"/>
        </w:rPr>
        <w:t>1.3.4.6</w:t>
      </w:r>
      <w:r w:rsidRPr="00A779B8">
        <w:rPr>
          <w:lang w:val="fr-FR"/>
        </w:rPr>
        <w:tab/>
        <w:t>Avoir un temps de réponse T90 sur la plage de mesure des concentrations de moins de 5 s;</w:t>
      </w:r>
    </w:p>
    <w:p w:rsidR="006E5069" w:rsidRPr="00A779B8" w:rsidRDefault="006E5069" w:rsidP="006E5069">
      <w:pPr>
        <w:pStyle w:val="SingleTxtG"/>
        <w:ind w:left="2268" w:hanging="1134"/>
        <w:rPr>
          <w:bCs/>
          <w:lang w:val="fr-FR"/>
        </w:rPr>
      </w:pPr>
      <w:r w:rsidRPr="00A779B8">
        <w:rPr>
          <w:lang w:val="fr-FR"/>
        </w:rPr>
        <w:t>1.3.4.7</w:t>
      </w:r>
      <w:r w:rsidRPr="00A779B8">
        <w:rPr>
          <w:lang w:val="fr-FR"/>
        </w:rPr>
        <w:tab/>
        <w:t>Comporter une fonction de correction de coïncidence jusqu</w:t>
      </w:r>
      <w:r w:rsidR="00DB4C2D">
        <w:rPr>
          <w:lang w:val="fr-FR"/>
        </w:rPr>
        <w:t>’</w:t>
      </w:r>
      <w:r w:rsidRPr="00A779B8">
        <w:rPr>
          <w:lang w:val="fr-FR"/>
        </w:rPr>
        <w:t>à une correction maximale de 10 % et pouvoir appliquer un facteur d</w:t>
      </w:r>
      <w:r w:rsidR="00DB4C2D">
        <w:rPr>
          <w:lang w:val="fr-FR"/>
        </w:rPr>
        <w:t>’</w:t>
      </w:r>
      <w:r w:rsidRPr="00A779B8">
        <w:rPr>
          <w:lang w:val="fr-FR"/>
        </w:rPr>
        <w:t>étalonnage interne comme indiqué au paragraphe 2.1.3</w:t>
      </w:r>
      <w:r>
        <w:rPr>
          <w:lang w:val="fr-FR"/>
        </w:rPr>
        <w:t xml:space="preserve"> du présent appendice</w:t>
      </w:r>
      <w:r w:rsidRPr="00A779B8">
        <w:rPr>
          <w:lang w:val="fr-FR"/>
        </w:rPr>
        <w:t xml:space="preserve"> mais n</w:t>
      </w:r>
      <w:r w:rsidR="00DB4C2D">
        <w:rPr>
          <w:lang w:val="fr-FR"/>
        </w:rPr>
        <w:t>’</w:t>
      </w:r>
      <w:r w:rsidRPr="00A779B8">
        <w:rPr>
          <w:lang w:val="fr-FR"/>
        </w:rPr>
        <w:t xml:space="preserve">utiliser aucun autre algorithme </w:t>
      </w:r>
      <w:r w:rsidRPr="00A779B8">
        <w:rPr>
          <w:bCs/>
          <w:lang w:val="fr-FR"/>
        </w:rPr>
        <w:t>pour corriger ou définir l</w:t>
      </w:r>
      <w:r w:rsidR="00DB4C2D">
        <w:rPr>
          <w:bCs/>
          <w:lang w:val="fr-FR"/>
        </w:rPr>
        <w:t>’</w:t>
      </w:r>
      <w:r w:rsidRPr="00A779B8">
        <w:rPr>
          <w:bCs/>
          <w:lang w:val="fr-FR"/>
        </w:rPr>
        <w:t xml:space="preserve">efficacité du comptage; </w:t>
      </w:r>
    </w:p>
    <w:p w:rsidR="006E5069" w:rsidRPr="00A779B8" w:rsidRDefault="006E5069" w:rsidP="006E5069">
      <w:pPr>
        <w:pStyle w:val="SingleTxtG"/>
        <w:ind w:left="2268" w:hanging="1134"/>
        <w:rPr>
          <w:lang w:val="fr-FR"/>
        </w:rPr>
      </w:pPr>
      <w:r w:rsidRPr="00A779B8">
        <w:rPr>
          <w:lang w:val="fr-FR"/>
        </w:rPr>
        <w:t>1.3.4.8</w:t>
      </w:r>
      <w:r w:rsidRPr="00A779B8">
        <w:rPr>
          <w:lang w:val="fr-FR"/>
        </w:rPr>
        <w:tab/>
        <w:t>Avoir une efficacité de comptage de 50 % (</w:t>
      </w:r>
      <w:r w:rsidRPr="00A779B8">
        <w:rPr>
          <w:lang w:val="fr-FR"/>
        </w:rPr>
        <w:sym w:font="Symbol" w:char="F0B1"/>
      </w:r>
      <w:r w:rsidRPr="00A779B8">
        <w:rPr>
          <w:lang w:val="fr-FR"/>
        </w:rPr>
        <w:t>12 %) pour les particules ayant un diamètre de mobilité électrique de 23 nm (</w:t>
      </w:r>
      <w:r w:rsidRPr="00A779B8">
        <w:rPr>
          <w:lang w:val="fr-FR"/>
        </w:rPr>
        <w:sym w:font="Symbol" w:char="F0B1"/>
      </w:r>
      <w:r w:rsidRPr="00A779B8">
        <w:rPr>
          <w:lang w:val="fr-FR"/>
        </w:rPr>
        <w:t>1 nm) et de plus de 90 % pour les particules ayant un diamètre de mobilité électrique de 41 nm (</w:t>
      </w:r>
      <w:r w:rsidRPr="00A779B8">
        <w:rPr>
          <w:lang w:val="fr-FR"/>
        </w:rPr>
        <w:sym w:font="Symbol" w:char="F0B1"/>
      </w:r>
      <w:r w:rsidRPr="00A779B8">
        <w:rPr>
          <w:lang w:val="fr-FR"/>
        </w:rPr>
        <w:t xml:space="preserve">1 nm). Ces efficacités de comptage peuvent être obtenues par des moyens internes (par exemple conception appropriée des instruments) ou externes (par exemple </w:t>
      </w:r>
      <w:proofErr w:type="spellStart"/>
      <w:r w:rsidRPr="00A779B8">
        <w:rPr>
          <w:lang w:val="fr-FR"/>
        </w:rPr>
        <w:t>préclassificateur</w:t>
      </w:r>
      <w:proofErr w:type="spellEnd"/>
      <w:r w:rsidRPr="00A779B8">
        <w:rPr>
          <w:lang w:val="fr-FR"/>
        </w:rPr>
        <w:t xml:space="preserve"> granulométrique);</w:t>
      </w:r>
    </w:p>
    <w:p w:rsidR="006E5069" w:rsidRPr="00A779B8" w:rsidRDefault="006E5069" w:rsidP="006E5069">
      <w:pPr>
        <w:pStyle w:val="SingleTxtG"/>
        <w:ind w:left="2268" w:hanging="1134"/>
        <w:rPr>
          <w:lang w:val="fr-FR"/>
        </w:rPr>
      </w:pPr>
      <w:r w:rsidRPr="00A779B8">
        <w:rPr>
          <w:lang w:val="fr-FR"/>
        </w:rPr>
        <w:t>1.3.4.9</w:t>
      </w:r>
      <w:r w:rsidRPr="00A779B8">
        <w:rPr>
          <w:lang w:val="fr-FR"/>
        </w:rPr>
        <w:tab/>
        <w:t>Si le PNC fonctionne avec un liquide, celui-ci doit être remplacé à la fréquence indiquée par le fabricant de l</w:t>
      </w:r>
      <w:r w:rsidR="00DB4C2D">
        <w:rPr>
          <w:lang w:val="fr-FR"/>
        </w:rPr>
        <w:t>’</w:t>
      </w:r>
      <w:r w:rsidRPr="00A779B8">
        <w:rPr>
          <w:lang w:val="fr-FR"/>
        </w:rPr>
        <w:t>instrument.</w:t>
      </w:r>
    </w:p>
    <w:p w:rsidR="006E5069" w:rsidRPr="00A779B8" w:rsidRDefault="006E5069" w:rsidP="006E5069">
      <w:pPr>
        <w:pStyle w:val="SingleTxtG"/>
        <w:ind w:left="2268" w:hanging="1134"/>
        <w:rPr>
          <w:bCs/>
          <w:lang w:val="fr-FR"/>
        </w:rPr>
      </w:pPr>
      <w:r w:rsidRPr="00A779B8">
        <w:rPr>
          <w:lang w:val="fr-FR"/>
        </w:rPr>
        <w:t>1.3.5</w:t>
      </w:r>
      <w:r w:rsidRPr="00A779B8">
        <w:rPr>
          <w:lang w:val="fr-FR"/>
        </w:rPr>
        <w:tab/>
        <w:t>Si elles ne sont pas maintenues à une valeur constante connue au point où le débit du PNC est réglé, la pression et/ou la température à l</w:t>
      </w:r>
      <w:r w:rsidR="00DB4C2D">
        <w:rPr>
          <w:lang w:val="fr-FR"/>
        </w:rPr>
        <w:t>’</w:t>
      </w:r>
      <w:r w:rsidRPr="00A779B8">
        <w:rPr>
          <w:lang w:val="fr-FR"/>
        </w:rPr>
        <w:t xml:space="preserve">entrée du PNC doivent être mesurées et transmises aux fins de la correction des concentrations mesurées de particules pour les ramener aux conditions </w:t>
      </w:r>
      <w:r w:rsidRPr="00A779B8">
        <w:rPr>
          <w:bCs/>
          <w:lang w:val="fr-FR"/>
        </w:rPr>
        <w:t>normales.</w:t>
      </w:r>
    </w:p>
    <w:p w:rsidR="006E5069" w:rsidRPr="00A779B8" w:rsidRDefault="006E5069" w:rsidP="006E5069">
      <w:pPr>
        <w:pStyle w:val="SingleTxtG"/>
        <w:ind w:left="2268" w:hanging="1134"/>
        <w:rPr>
          <w:lang w:val="fr-FR"/>
        </w:rPr>
      </w:pPr>
      <w:r w:rsidRPr="00A779B8">
        <w:rPr>
          <w:lang w:val="fr-FR"/>
        </w:rPr>
        <w:t>1.3.6</w:t>
      </w:r>
      <w:r w:rsidRPr="00A779B8">
        <w:rPr>
          <w:lang w:val="fr-FR"/>
        </w:rPr>
        <w:tab/>
        <w:t>La somme du temps de séjour dans le PTS, le VPR et l</w:t>
      </w:r>
      <w:r w:rsidR="00DB4C2D">
        <w:rPr>
          <w:lang w:val="fr-FR"/>
        </w:rPr>
        <w:t>’</w:t>
      </w:r>
      <w:r w:rsidRPr="00A779B8">
        <w:rPr>
          <w:lang w:val="fr-FR"/>
        </w:rPr>
        <w:t>OT et du temps de réponse T90 du PNC ne doit pas dépasser 20 s.</w:t>
      </w:r>
    </w:p>
    <w:p w:rsidR="006E5069" w:rsidRPr="00A779B8" w:rsidRDefault="006E5069" w:rsidP="006E5069">
      <w:pPr>
        <w:pStyle w:val="SingleTxtG"/>
        <w:keepNext/>
        <w:ind w:left="2268" w:hanging="1134"/>
        <w:rPr>
          <w:lang w:val="fr-FR"/>
        </w:rPr>
      </w:pPr>
      <w:r w:rsidRPr="00A779B8">
        <w:rPr>
          <w:lang w:val="fr-FR"/>
        </w:rPr>
        <w:t>1.4</w:t>
      </w:r>
      <w:r w:rsidRPr="00A779B8">
        <w:rPr>
          <w:lang w:val="fr-FR"/>
        </w:rPr>
        <w:tab/>
        <w:t xml:space="preserve">Description du système recommandé </w:t>
      </w:r>
    </w:p>
    <w:p w:rsidR="006E5069" w:rsidRPr="00A779B8" w:rsidRDefault="006E5069" w:rsidP="006E5069">
      <w:pPr>
        <w:pStyle w:val="SingleTxtG"/>
        <w:ind w:left="2268"/>
        <w:rPr>
          <w:lang w:val="fr-FR"/>
        </w:rPr>
      </w:pPr>
      <w:r w:rsidRPr="00A779B8">
        <w:rPr>
          <w:lang w:val="fr-FR"/>
        </w:rPr>
        <w:tab/>
        <w:t>Le présent paragraphe décrit la pratique recommandée pour la mesure du nombre de particules. Toutefois, il est possible d</w:t>
      </w:r>
      <w:r w:rsidR="00DB4C2D">
        <w:rPr>
          <w:lang w:val="fr-FR"/>
        </w:rPr>
        <w:t>’</w:t>
      </w:r>
      <w:r w:rsidRPr="00A779B8">
        <w:rPr>
          <w:lang w:val="fr-FR"/>
        </w:rPr>
        <w:t>utiliser un autre système à condition qu</w:t>
      </w:r>
      <w:r w:rsidR="00DB4C2D">
        <w:rPr>
          <w:lang w:val="fr-FR"/>
        </w:rPr>
        <w:t>’</w:t>
      </w:r>
      <w:r w:rsidRPr="00A779B8">
        <w:rPr>
          <w:lang w:val="fr-FR"/>
        </w:rPr>
        <w:t>il satisfasse aux prescriptions fonctionnelles énoncées aux paragraphes 1.2 et 1.3 du présent appendice.</w:t>
      </w:r>
    </w:p>
    <w:p w:rsidR="006E5069" w:rsidRPr="00A779B8" w:rsidRDefault="006E5069" w:rsidP="006E5069">
      <w:pPr>
        <w:pStyle w:val="SingleTxtG"/>
        <w:ind w:left="2268"/>
        <w:rPr>
          <w:lang w:val="fr-FR"/>
        </w:rPr>
      </w:pPr>
      <w:r w:rsidRPr="00A779B8">
        <w:rPr>
          <w:lang w:val="fr-FR"/>
        </w:rPr>
        <w:tab/>
        <w:t>La figure A4a.App5/14 est un schéma de principe du système recommandé pour le prélèvement des particules.</w:t>
      </w:r>
    </w:p>
    <w:p w:rsidR="006E5069" w:rsidRPr="00A779B8" w:rsidRDefault="006E5069" w:rsidP="006E5069">
      <w:pPr>
        <w:pStyle w:val="Titre1"/>
        <w:spacing w:after="120"/>
        <w:rPr>
          <w:lang w:val="fr-FR"/>
        </w:rPr>
      </w:pPr>
      <w:r w:rsidRPr="00A779B8">
        <w:rPr>
          <w:lang w:val="fr-FR"/>
        </w:rPr>
        <w:lastRenderedPageBreak/>
        <w:t>Figure A4a.App5/14</w:t>
      </w:r>
      <w:r w:rsidRPr="00A779B8">
        <w:rPr>
          <w:lang w:val="fr-FR"/>
        </w:rPr>
        <w:br/>
      </w:r>
      <w:r w:rsidRPr="00A779B8">
        <w:rPr>
          <w:b/>
          <w:lang w:val="fr-FR"/>
        </w:rPr>
        <w:t>Schéma du système recommandé de prélèvement des particules</w:t>
      </w:r>
    </w:p>
    <w:bookmarkStart w:id="220" w:name="_MON_1267253974"/>
    <w:bookmarkStart w:id="221" w:name="_MON_1267254060"/>
    <w:bookmarkStart w:id="222" w:name="_MON_1267269453"/>
    <w:bookmarkStart w:id="223" w:name="_MON_1267270278"/>
    <w:bookmarkStart w:id="224" w:name="_MON_1267270746"/>
    <w:bookmarkStart w:id="225" w:name="_MON_1267270773"/>
    <w:bookmarkStart w:id="226" w:name="_MON_1267354282"/>
    <w:bookmarkStart w:id="227" w:name="_MON_1267354295"/>
    <w:bookmarkStart w:id="228" w:name="_MON_1267529869"/>
    <w:bookmarkStart w:id="229" w:name="_MON_1316525214"/>
    <w:bookmarkStart w:id="230" w:name="_MON_1448273760"/>
    <w:bookmarkStart w:id="231" w:name="_MON_1448960109"/>
    <w:bookmarkStart w:id="232" w:name="_MON_1448968345"/>
    <w:bookmarkEnd w:id="220"/>
    <w:bookmarkEnd w:id="221"/>
    <w:bookmarkEnd w:id="222"/>
    <w:bookmarkEnd w:id="223"/>
    <w:bookmarkEnd w:id="224"/>
    <w:bookmarkEnd w:id="225"/>
    <w:bookmarkEnd w:id="226"/>
    <w:bookmarkEnd w:id="227"/>
    <w:bookmarkEnd w:id="228"/>
    <w:bookmarkEnd w:id="229"/>
    <w:bookmarkEnd w:id="230"/>
    <w:bookmarkEnd w:id="231"/>
    <w:bookmarkEnd w:id="232"/>
    <w:p w:rsidR="006E5069" w:rsidRPr="00A779B8" w:rsidRDefault="006E5069" w:rsidP="006E5069">
      <w:pPr>
        <w:spacing w:after="240"/>
        <w:ind w:left="1134"/>
        <w:jc w:val="center"/>
        <w:rPr>
          <w:szCs w:val="24"/>
          <w:lang w:val="fr-FR"/>
        </w:rPr>
      </w:pPr>
      <w:r w:rsidRPr="00A779B8">
        <w:rPr>
          <w:szCs w:val="24"/>
          <w:lang w:val="fr-FR"/>
        </w:rPr>
        <w:object w:dxaOrig="9963" w:dyaOrig="5418">
          <v:shape id="_x0000_i1098" type="#_x0000_t75" style="width:422.5pt;height:249.3pt" o:ole="">
            <v:imagedata r:id="rId186" o:title=""/>
            <w10:bordertop type="single" width="4"/>
            <w10:borderleft type="single" width="4"/>
            <w10:borderbottom type="single" width="4"/>
            <w10:borderright type="single" width="4"/>
          </v:shape>
          <o:OLEObject Type="Embed" ProgID="Word.Picture.8" ShapeID="_x0000_i1098" DrawAspect="Content" ObjectID="_1490178454" r:id="rId187"/>
        </w:object>
      </w:r>
    </w:p>
    <w:p w:rsidR="006E5069" w:rsidRPr="00A779B8" w:rsidRDefault="006E5069" w:rsidP="006E5069">
      <w:pPr>
        <w:pStyle w:val="SingleTxtG"/>
        <w:keepNext/>
        <w:ind w:left="2268" w:hanging="1134"/>
        <w:rPr>
          <w:lang w:val="fr-FR"/>
        </w:rPr>
      </w:pPr>
      <w:r w:rsidRPr="00A779B8">
        <w:rPr>
          <w:lang w:val="fr-FR"/>
        </w:rPr>
        <w:t>1.4.1</w:t>
      </w:r>
      <w:r w:rsidRPr="00A779B8">
        <w:rPr>
          <w:lang w:val="fr-FR"/>
        </w:rPr>
        <w:tab/>
        <w:t>Description du système de prélèvement</w:t>
      </w:r>
    </w:p>
    <w:p w:rsidR="006E5069" w:rsidRPr="00A779B8" w:rsidRDefault="006E5069" w:rsidP="006E5069">
      <w:pPr>
        <w:pStyle w:val="SingleTxtG"/>
        <w:ind w:left="2268"/>
        <w:rPr>
          <w:lang w:val="fr-FR"/>
        </w:rPr>
      </w:pPr>
      <w:r w:rsidRPr="00A779B8">
        <w:rPr>
          <w:rFonts w:eastAsia="Arial Unicode MS"/>
          <w:lang w:val="fr-FR"/>
        </w:rPr>
        <w:t xml:space="preserve">Le système de </w:t>
      </w:r>
      <w:r>
        <w:rPr>
          <w:rFonts w:eastAsia="Arial Unicode MS"/>
          <w:lang w:val="fr-FR"/>
        </w:rPr>
        <w:t>collecte des particules</w:t>
      </w:r>
      <w:r w:rsidRPr="00A779B8">
        <w:rPr>
          <w:rFonts w:eastAsia="Arial Unicode MS"/>
          <w:lang w:val="fr-FR"/>
        </w:rPr>
        <w:t xml:space="preserve"> se compose d</w:t>
      </w:r>
      <w:r w:rsidR="00DB4C2D">
        <w:rPr>
          <w:rFonts w:eastAsia="Arial Unicode MS"/>
          <w:lang w:val="fr-FR"/>
        </w:rPr>
        <w:t>’</w:t>
      </w:r>
      <w:r w:rsidRPr="00A779B8">
        <w:rPr>
          <w:rFonts w:eastAsia="Arial Unicode MS"/>
          <w:lang w:val="fr-FR"/>
        </w:rPr>
        <w:t xml:space="preserve">une sonde de prélèvement dans le tunnel de dilution </w:t>
      </w:r>
      <w:r w:rsidRPr="00A779B8">
        <w:rPr>
          <w:lang w:val="fr-FR"/>
        </w:rPr>
        <w:t>(PSP), d</w:t>
      </w:r>
      <w:r w:rsidR="00DB4C2D">
        <w:rPr>
          <w:lang w:val="fr-FR"/>
        </w:rPr>
        <w:t>’</w:t>
      </w:r>
      <w:r w:rsidRPr="00A779B8">
        <w:rPr>
          <w:lang w:val="fr-FR"/>
        </w:rPr>
        <w:t>un</w:t>
      </w:r>
      <w:r>
        <w:rPr>
          <w:lang w:val="fr-FR"/>
        </w:rPr>
        <w:t xml:space="preserve"> </w:t>
      </w:r>
      <w:r w:rsidRPr="00A779B8">
        <w:rPr>
          <w:lang w:val="fr-FR"/>
        </w:rPr>
        <w:t>PTT, d</w:t>
      </w:r>
      <w:r w:rsidR="00DB4C2D">
        <w:rPr>
          <w:lang w:val="fr-FR"/>
        </w:rPr>
        <w:t>’</w:t>
      </w:r>
      <w:r w:rsidRPr="00A779B8">
        <w:rPr>
          <w:lang w:val="fr-FR"/>
        </w:rPr>
        <w:t>un PCF</w:t>
      </w:r>
      <w:r>
        <w:rPr>
          <w:lang w:val="fr-FR"/>
        </w:rPr>
        <w:t xml:space="preserve"> </w:t>
      </w:r>
      <w:r w:rsidRPr="00A779B8">
        <w:rPr>
          <w:lang w:val="fr-FR"/>
        </w:rPr>
        <w:t>et d</w:t>
      </w:r>
      <w:r w:rsidR="00DB4C2D">
        <w:rPr>
          <w:lang w:val="fr-FR"/>
        </w:rPr>
        <w:t>’</w:t>
      </w:r>
      <w:r w:rsidRPr="00A779B8">
        <w:rPr>
          <w:lang w:val="fr-FR"/>
        </w:rPr>
        <w:t>un séparateur de particules volatiles (VPR) à l</w:t>
      </w:r>
      <w:r w:rsidR="00DB4C2D">
        <w:rPr>
          <w:lang w:val="fr-FR"/>
        </w:rPr>
        <w:t>’</w:t>
      </w:r>
      <w:r w:rsidRPr="00A779B8">
        <w:rPr>
          <w:lang w:val="fr-FR"/>
        </w:rPr>
        <w:t>amont du dispositif de mesure du nombre de particules (PNC). Le VPR doit comporter des dispositifs de dilution de l</w:t>
      </w:r>
      <w:r w:rsidR="00DB4C2D">
        <w:rPr>
          <w:lang w:val="fr-FR"/>
        </w:rPr>
        <w:t>’</w:t>
      </w:r>
      <w:r w:rsidRPr="00A779B8">
        <w:rPr>
          <w:lang w:val="fr-FR"/>
        </w:rPr>
        <w:t>échantillon (PND</w:t>
      </w:r>
      <w:r w:rsidRPr="00A779B8">
        <w:rPr>
          <w:vertAlign w:val="subscript"/>
          <w:lang w:val="fr-FR"/>
        </w:rPr>
        <w:t>1</w:t>
      </w:r>
      <w:r w:rsidRPr="00A779B8">
        <w:rPr>
          <w:lang w:val="fr-FR"/>
        </w:rPr>
        <w:t xml:space="preserve"> et PND</w:t>
      </w:r>
      <w:r w:rsidRPr="00A779B8">
        <w:rPr>
          <w:vertAlign w:val="subscript"/>
          <w:lang w:val="fr-FR"/>
        </w:rPr>
        <w:t>2</w:t>
      </w:r>
      <w:r w:rsidRPr="00A779B8">
        <w:rPr>
          <w:lang w:val="fr-FR"/>
        </w:rPr>
        <w:t>) et d</w:t>
      </w:r>
      <w:r w:rsidR="00DB4C2D">
        <w:rPr>
          <w:lang w:val="fr-FR"/>
        </w:rPr>
        <w:t>’</w:t>
      </w:r>
      <w:r w:rsidRPr="00A779B8">
        <w:rPr>
          <w:lang w:val="fr-FR"/>
        </w:rPr>
        <w:t>évaporation des particules (tube d</w:t>
      </w:r>
      <w:r w:rsidR="00DB4C2D">
        <w:rPr>
          <w:lang w:val="fr-FR"/>
        </w:rPr>
        <w:t>’</w:t>
      </w:r>
      <w:r w:rsidRPr="00A779B8">
        <w:rPr>
          <w:lang w:val="fr-FR"/>
        </w:rPr>
        <w:t>évaporation, ET). La sonde de prélèvement du flux de gaz dans lequel les particules sont prélevées doit être disposée dans le tunnel de dilution de façon à permettre le prélèvement d</w:t>
      </w:r>
      <w:r w:rsidR="00DB4C2D">
        <w:rPr>
          <w:lang w:val="fr-FR"/>
        </w:rPr>
        <w:t>’</w:t>
      </w:r>
      <w:r w:rsidRPr="00A779B8">
        <w:rPr>
          <w:lang w:val="fr-FR"/>
        </w:rPr>
        <w:t>un flux de gaz représentatif du mélange air/gaz d</w:t>
      </w:r>
      <w:r w:rsidR="00DB4C2D">
        <w:rPr>
          <w:lang w:val="fr-FR"/>
        </w:rPr>
        <w:t>’</w:t>
      </w:r>
      <w:r w:rsidRPr="00A779B8">
        <w:rPr>
          <w:lang w:val="fr-FR"/>
        </w:rPr>
        <w:t>échappement homogène. La somme du temps de séjour dans le système et du temps de réponse T90 du PNC ne doit pas dépasser 20 s.</w:t>
      </w:r>
    </w:p>
    <w:p w:rsidR="006E5069" w:rsidRPr="00A779B8" w:rsidRDefault="006E5069" w:rsidP="006E5069">
      <w:pPr>
        <w:pStyle w:val="SingleTxtG"/>
        <w:keepNext/>
        <w:ind w:left="2268" w:hanging="1134"/>
        <w:rPr>
          <w:lang w:val="fr-FR"/>
        </w:rPr>
      </w:pPr>
      <w:r w:rsidRPr="00A779B8">
        <w:rPr>
          <w:lang w:val="fr-FR"/>
        </w:rPr>
        <w:t>1.4.2</w:t>
      </w:r>
      <w:r w:rsidRPr="00A779B8">
        <w:rPr>
          <w:lang w:val="fr-FR"/>
        </w:rPr>
        <w:tab/>
        <w:t>Système de transfert des particules</w:t>
      </w:r>
    </w:p>
    <w:p w:rsidR="006E5069" w:rsidRPr="00A779B8" w:rsidRDefault="006E5069" w:rsidP="006E5069">
      <w:pPr>
        <w:pStyle w:val="SingleTxtG"/>
        <w:ind w:left="2268"/>
        <w:rPr>
          <w:bCs/>
          <w:lang w:val="fr-FR"/>
        </w:rPr>
      </w:pPr>
      <w:r w:rsidRPr="00A779B8">
        <w:rPr>
          <w:bCs/>
          <w:lang w:val="fr-FR"/>
        </w:rPr>
        <w:t>La PSP</w:t>
      </w:r>
      <w:r>
        <w:rPr>
          <w:bCs/>
          <w:lang w:val="fr-FR"/>
        </w:rPr>
        <w:t xml:space="preserve"> </w:t>
      </w:r>
      <w:r w:rsidRPr="00A779B8">
        <w:rPr>
          <w:bCs/>
          <w:lang w:val="fr-FR"/>
        </w:rPr>
        <w:t>et le</w:t>
      </w:r>
      <w:r>
        <w:rPr>
          <w:bCs/>
          <w:lang w:val="fr-FR"/>
        </w:rPr>
        <w:t xml:space="preserve"> </w:t>
      </w:r>
      <w:r w:rsidRPr="00A779B8">
        <w:rPr>
          <w:bCs/>
          <w:lang w:val="fr-FR"/>
        </w:rPr>
        <w:t>PTT</w:t>
      </w:r>
      <w:r>
        <w:rPr>
          <w:bCs/>
          <w:lang w:val="fr-FR"/>
        </w:rPr>
        <w:t xml:space="preserve"> </w:t>
      </w:r>
      <w:r w:rsidRPr="00A779B8">
        <w:rPr>
          <w:bCs/>
          <w:lang w:val="fr-FR"/>
        </w:rPr>
        <w:t>constituent le</w:t>
      </w:r>
      <w:r>
        <w:rPr>
          <w:bCs/>
          <w:lang w:val="fr-FR"/>
        </w:rPr>
        <w:t xml:space="preserve"> </w:t>
      </w:r>
      <w:r w:rsidRPr="00A779B8">
        <w:rPr>
          <w:bCs/>
          <w:lang w:val="fr-FR"/>
        </w:rPr>
        <w:t>PTS. Le PTS achemine l</w:t>
      </w:r>
      <w:r w:rsidR="00DB4C2D">
        <w:rPr>
          <w:bCs/>
          <w:lang w:val="fr-FR"/>
        </w:rPr>
        <w:t>’</w:t>
      </w:r>
      <w:r w:rsidRPr="00A779B8">
        <w:rPr>
          <w:bCs/>
          <w:lang w:val="fr-FR"/>
        </w:rPr>
        <w:t>échantillon prélevé dans le tunnel de dilution jusqu</w:t>
      </w:r>
      <w:r w:rsidR="00DB4C2D">
        <w:rPr>
          <w:bCs/>
          <w:lang w:val="fr-FR"/>
        </w:rPr>
        <w:t>’</w:t>
      </w:r>
      <w:r w:rsidRPr="00A779B8">
        <w:rPr>
          <w:bCs/>
          <w:lang w:val="fr-FR"/>
        </w:rPr>
        <w:t>à l</w:t>
      </w:r>
      <w:r w:rsidR="00DB4C2D">
        <w:rPr>
          <w:bCs/>
          <w:lang w:val="fr-FR"/>
        </w:rPr>
        <w:t>’</w:t>
      </w:r>
      <w:r w:rsidRPr="00A779B8">
        <w:rPr>
          <w:bCs/>
          <w:lang w:val="fr-FR"/>
        </w:rPr>
        <w:t xml:space="preserve">entrée du premier </w:t>
      </w:r>
      <w:proofErr w:type="spellStart"/>
      <w:r w:rsidRPr="00A779B8">
        <w:rPr>
          <w:bCs/>
          <w:lang w:val="fr-FR"/>
        </w:rPr>
        <w:t>dilueur</w:t>
      </w:r>
      <w:proofErr w:type="spellEnd"/>
      <w:r w:rsidRPr="00A779B8">
        <w:rPr>
          <w:bCs/>
          <w:lang w:val="fr-FR"/>
        </w:rPr>
        <w:t xml:space="preserve"> de particules. Le PTS doit remplir les conditions suivantes:</w:t>
      </w:r>
    </w:p>
    <w:p w:rsidR="006E5069" w:rsidRPr="00A779B8" w:rsidRDefault="006E5069" w:rsidP="006E5069">
      <w:pPr>
        <w:pStyle w:val="SingleTxtG"/>
        <w:ind w:left="2268"/>
        <w:rPr>
          <w:lang w:val="fr-FR"/>
        </w:rPr>
      </w:pPr>
      <w:r w:rsidRPr="00A779B8">
        <w:rPr>
          <w:bCs/>
          <w:lang w:val="fr-FR"/>
        </w:rPr>
        <w:t>La sonde doit être installée à proximité de l</w:t>
      </w:r>
      <w:r w:rsidR="00DB4C2D">
        <w:rPr>
          <w:bCs/>
          <w:lang w:val="fr-FR"/>
        </w:rPr>
        <w:t>’</w:t>
      </w:r>
      <w:r w:rsidRPr="00A779B8">
        <w:rPr>
          <w:bCs/>
          <w:lang w:val="fr-FR"/>
        </w:rPr>
        <w:t>axe du tunnel à une distance de l</w:t>
      </w:r>
      <w:r w:rsidR="00DB4C2D">
        <w:rPr>
          <w:bCs/>
          <w:lang w:val="fr-FR"/>
        </w:rPr>
        <w:t>’</w:t>
      </w:r>
      <w:r w:rsidRPr="00A779B8">
        <w:rPr>
          <w:bCs/>
          <w:lang w:val="fr-FR"/>
        </w:rPr>
        <w:t xml:space="preserve">entrée </w:t>
      </w:r>
      <w:r w:rsidRPr="00A779B8">
        <w:rPr>
          <w:lang w:val="fr-FR"/>
        </w:rPr>
        <w:t>des gaz comprise entre 10 et 20 diamètres de tunnel, être dirigée vers l</w:t>
      </w:r>
      <w:r w:rsidR="00DB4C2D">
        <w:rPr>
          <w:lang w:val="fr-FR"/>
        </w:rPr>
        <w:t>’</w:t>
      </w:r>
      <w:r w:rsidRPr="00A779B8">
        <w:rPr>
          <w:lang w:val="fr-FR"/>
        </w:rPr>
        <w:t>amont, l</w:t>
      </w:r>
      <w:r w:rsidR="00DB4C2D">
        <w:rPr>
          <w:lang w:val="fr-FR"/>
        </w:rPr>
        <w:t>’</w:t>
      </w:r>
      <w:r w:rsidRPr="00A779B8">
        <w:rPr>
          <w:lang w:val="fr-FR"/>
        </w:rPr>
        <w:t>axe de son extrémité étant parallèle à l</w:t>
      </w:r>
      <w:r w:rsidR="00DB4C2D">
        <w:rPr>
          <w:lang w:val="fr-FR"/>
        </w:rPr>
        <w:t>’</w:t>
      </w:r>
      <w:r w:rsidRPr="00A779B8">
        <w:rPr>
          <w:lang w:val="fr-FR"/>
        </w:rPr>
        <w:t>axe du tunnel de dilution.</w:t>
      </w:r>
    </w:p>
    <w:p w:rsidR="006E5069" w:rsidRPr="00A779B8" w:rsidRDefault="006E5069" w:rsidP="006E5069">
      <w:pPr>
        <w:pStyle w:val="SingleTxtG"/>
        <w:ind w:left="2268"/>
        <w:rPr>
          <w:lang w:val="fr-FR"/>
        </w:rPr>
      </w:pPr>
      <w:r w:rsidRPr="00A779B8">
        <w:rPr>
          <w:lang w:val="fr-FR"/>
        </w:rPr>
        <w:t>Son diamètre intérieur doit être ≥8 </w:t>
      </w:r>
      <w:proofErr w:type="spellStart"/>
      <w:r w:rsidRPr="00A779B8">
        <w:rPr>
          <w:lang w:val="fr-FR"/>
        </w:rPr>
        <w:t>mm.</w:t>
      </w:r>
      <w:proofErr w:type="spellEnd"/>
    </w:p>
    <w:p w:rsidR="006E5069" w:rsidRPr="00A779B8" w:rsidRDefault="006E5069" w:rsidP="006E5069">
      <w:pPr>
        <w:pStyle w:val="SingleTxtG"/>
        <w:ind w:left="2268"/>
        <w:rPr>
          <w:lang w:val="fr-FR"/>
        </w:rPr>
      </w:pPr>
      <w:r w:rsidRPr="00A779B8">
        <w:rPr>
          <w:lang w:val="fr-FR"/>
        </w:rPr>
        <w:t>Le gaz prélevé dans le PTS doit remplir les conditions suivantes:</w:t>
      </w:r>
    </w:p>
    <w:p w:rsidR="006E5069" w:rsidRPr="00A779B8" w:rsidRDefault="006E5069" w:rsidP="006E5069">
      <w:pPr>
        <w:pStyle w:val="SingleTxtG"/>
        <w:ind w:left="2268"/>
        <w:rPr>
          <w:lang w:val="fr-FR"/>
        </w:rPr>
      </w:pPr>
      <w:r w:rsidRPr="00A779B8">
        <w:rPr>
          <w:rFonts w:eastAsia="Arial Unicode MS"/>
          <w:lang w:val="fr-FR"/>
        </w:rPr>
        <w:t>Son</w:t>
      </w:r>
      <w:r w:rsidRPr="00A779B8">
        <w:rPr>
          <w:lang w:val="fr-FR"/>
        </w:rPr>
        <w:t xml:space="preserve"> écoulement turbulent (nombre de Reynolds) doit être &lt;1 700;</w:t>
      </w:r>
    </w:p>
    <w:p w:rsidR="006E5069" w:rsidRPr="00A779B8" w:rsidRDefault="006E5069" w:rsidP="006E5069">
      <w:pPr>
        <w:pStyle w:val="SingleTxtG"/>
        <w:ind w:left="2268"/>
        <w:rPr>
          <w:bCs/>
          <w:lang w:val="fr-FR"/>
        </w:rPr>
      </w:pPr>
      <w:r w:rsidRPr="00A779B8">
        <w:rPr>
          <w:lang w:val="fr-FR"/>
        </w:rPr>
        <w:t>Son temps</w:t>
      </w:r>
      <w:r w:rsidRPr="00A779B8">
        <w:rPr>
          <w:bCs/>
          <w:lang w:val="fr-FR"/>
        </w:rPr>
        <w:t xml:space="preserve"> de séjour dans le PTS doit être ≤3 s.</w:t>
      </w:r>
    </w:p>
    <w:p w:rsidR="006E5069" w:rsidRPr="00A779B8" w:rsidRDefault="006E5069" w:rsidP="006E5069">
      <w:pPr>
        <w:pStyle w:val="SingleTxtG"/>
        <w:ind w:left="2268"/>
        <w:rPr>
          <w:lang w:val="fr-FR"/>
        </w:rPr>
      </w:pPr>
      <w:r w:rsidRPr="00A779B8">
        <w:rPr>
          <w:bCs/>
          <w:lang w:val="fr-FR"/>
        </w:rPr>
        <w:lastRenderedPageBreak/>
        <w:t xml:space="preserve">Toute autre configuration de prélèvement du PTS pour laquelle il peut être </w:t>
      </w:r>
      <w:r w:rsidRPr="00A779B8">
        <w:rPr>
          <w:lang w:val="fr-FR"/>
        </w:rPr>
        <w:t>démontré que la pénétration des particules ayant un diamètre de mobilité électrique de 30 nm est équivalente est considérée comme satisfaisante.</w:t>
      </w:r>
    </w:p>
    <w:p w:rsidR="006E5069" w:rsidRPr="00A779B8" w:rsidRDefault="006E5069" w:rsidP="006E5069">
      <w:pPr>
        <w:pStyle w:val="SingleTxtG"/>
        <w:spacing w:after="100"/>
        <w:ind w:left="2268"/>
        <w:rPr>
          <w:lang w:val="fr-FR"/>
        </w:rPr>
      </w:pPr>
      <w:r w:rsidRPr="00A779B8">
        <w:rPr>
          <w:lang w:val="fr-FR"/>
        </w:rPr>
        <w:t>Le tuyau de sortie (OT) acheminant l</w:t>
      </w:r>
      <w:r w:rsidR="00DB4C2D">
        <w:rPr>
          <w:lang w:val="fr-FR"/>
        </w:rPr>
        <w:t>’</w:t>
      </w:r>
      <w:r w:rsidRPr="00A779B8">
        <w:rPr>
          <w:lang w:val="fr-FR"/>
        </w:rPr>
        <w:t>échantillon dilué du VPR vers l</w:t>
      </w:r>
      <w:r w:rsidR="00DB4C2D">
        <w:rPr>
          <w:lang w:val="fr-FR"/>
        </w:rPr>
        <w:t>’</w:t>
      </w:r>
      <w:r w:rsidRPr="00A779B8">
        <w:rPr>
          <w:lang w:val="fr-FR"/>
        </w:rPr>
        <w:t>entrée du PNC doit avoir les propriétés suivantes:</w:t>
      </w:r>
    </w:p>
    <w:p w:rsidR="006E5069" w:rsidRPr="00A779B8" w:rsidRDefault="006E5069" w:rsidP="006E5069">
      <w:pPr>
        <w:pStyle w:val="SingleTxtG"/>
        <w:spacing w:after="100"/>
        <w:ind w:left="2268"/>
        <w:rPr>
          <w:lang w:val="fr-FR"/>
        </w:rPr>
      </w:pPr>
      <w:r w:rsidRPr="00A779B8">
        <w:rPr>
          <w:rFonts w:eastAsia="Arial Unicode MS"/>
          <w:lang w:val="fr-FR"/>
        </w:rPr>
        <w:t>Son</w:t>
      </w:r>
      <w:r w:rsidRPr="00A779B8">
        <w:rPr>
          <w:lang w:val="fr-FR"/>
        </w:rPr>
        <w:t xml:space="preserve"> diamètre interne doit être ≥4 mm;</w:t>
      </w:r>
    </w:p>
    <w:p w:rsidR="006E5069" w:rsidRPr="00A779B8" w:rsidRDefault="006E5069" w:rsidP="006E5069">
      <w:pPr>
        <w:pStyle w:val="SingleTxtG"/>
        <w:spacing w:after="100"/>
        <w:ind w:left="2268"/>
        <w:rPr>
          <w:lang w:val="fr-FR"/>
        </w:rPr>
      </w:pPr>
      <w:r w:rsidRPr="00A779B8">
        <w:rPr>
          <w:lang w:val="fr-FR"/>
        </w:rPr>
        <w:t>Le temps de séjour dans le tuyau de sortie OT du gaz prélevé doit être ≤0,8 s.</w:t>
      </w:r>
    </w:p>
    <w:p w:rsidR="006E5069" w:rsidRPr="00A779B8" w:rsidRDefault="006E5069" w:rsidP="006E5069">
      <w:pPr>
        <w:pStyle w:val="SingleTxtG"/>
        <w:spacing w:after="100"/>
        <w:ind w:left="2268"/>
        <w:rPr>
          <w:lang w:val="fr-FR"/>
        </w:rPr>
      </w:pPr>
      <w:r w:rsidRPr="00A779B8">
        <w:rPr>
          <w:rFonts w:eastAsia="Arial Unicode MS"/>
          <w:lang w:val="fr-FR"/>
        </w:rPr>
        <w:t>Toute</w:t>
      </w:r>
      <w:r w:rsidRPr="00A779B8">
        <w:rPr>
          <w:lang w:val="fr-FR"/>
        </w:rPr>
        <w:t xml:space="preserve"> autre configuration de prélèvement de l</w:t>
      </w:r>
      <w:r w:rsidR="00DB4C2D">
        <w:rPr>
          <w:lang w:val="fr-FR"/>
        </w:rPr>
        <w:t>’</w:t>
      </w:r>
      <w:r w:rsidRPr="00A779B8">
        <w:rPr>
          <w:lang w:val="fr-FR"/>
        </w:rPr>
        <w:t>OT pour laquelle il peut être démontré</w:t>
      </w:r>
      <w:r w:rsidRPr="00A779B8">
        <w:rPr>
          <w:bCs/>
          <w:lang w:val="fr-FR"/>
        </w:rPr>
        <w:t xml:space="preserve"> que la pénétration des particules ayant un diamètre de mobilité électrique de 30 nm est équivalente est considérée comme satisfaisante.</w:t>
      </w:r>
    </w:p>
    <w:p w:rsidR="006E5069" w:rsidRPr="00A779B8" w:rsidRDefault="006E5069" w:rsidP="006E5069">
      <w:pPr>
        <w:pStyle w:val="SingleTxtG"/>
        <w:keepNext/>
        <w:spacing w:after="100"/>
        <w:ind w:left="2268" w:hanging="1134"/>
        <w:rPr>
          <w:lang w:val="fr-FR"/>
        </w:rPr>
      </w:pPr>
      <w:r w:rsidRPr="00A779B8">
        <w:rPr>
          <w:lang w:val="fr-FR"/>
        </w:rPr>
        <w:t>1.4.3</w:t>
      </w:r>
      <w:r w:rsidRPr="00A779B8">
        <w:rPr>
          <w:lang w:val="fr-FR"/>
        </w:rPr>
        <w:tab/>
        <w:t xml:space="preserve">Séparateur primaire granulométrique </w:t>
      </w:r>
    </w:p>
    <w:p w:rsidR="006E5069" w:rsidRPr="00A779B8" w:rsidRDefault="006E5069" w:rsidP="006E5069">
      <w:pPr>
        <w:pStyle w:val="SingleTxtG"/>
        <w:spacing w:after="100"/>
        <w:ind w:left="2268"/>
        <w:rPr>
          <w:lang w:val="fr-FR"/>
        </w:rPr>
      </w:pPr>
      <w:r w:rsidRPr="00A779B8">
        <w:rPr>
          <w:lang w:val="fr-FR"/>
        </w:rPr>
        <w:t>Le séparateur primaire recommandé doit être installé à l</w:t>
      </w:r>
      <w:r w:rsidR="00DB4C2D">
        <w:rPr>
          <w:lang w:val="fr-FR"/>
        </w:rPr>
        <w:t>’</w:t>
      </w:r>
      <w:r w:rsidRPr="00A779B8">
        <w:rPr>
          <w:lang w:val="fr-FR"/>
        </w:rPr>
        <w:t>amont du VPR. Il doit avoir un point de coupure à 50 % compris entre 2,5 µm et 10 µm au débit volumique choisi pour le prélèvement des particules émises. Il doit laisser passer au moins 99 % des particules de 1 µm au débit volumique choisi pour le prélèvement des émissions de particules.</w:t>
      </w:r>
    </w:p>
    <w:p w:rsidR="006E5069" w:rsidRPr="00A779B8" w:rsidRDefault="006E5069" w:rsidP="006E5069">
      <w:pPr>
        <w:pStyle w:val="SingleTxtG"/>
        <w:keepNext/>
        <w:spacing w:after="100"/>
        <w:ind w:left="2268" w:hanging="1134"/>
        <w:rPr>
          <w:lang w:val="fr-FR"/>
        </w:rPr>
      </w:pPr>
      <w:r w:rsidRPr="00A779B8">
        <w:rPr>
          <w:lang w:val="fr-FR"/>
        </w:rPr>
        <w:t>1.4.4</w:t>
      </w:r>
      <w:r w:rsidRPr="00A779B8">
        <w:rPr>
          <w:lang w:val="fr-FR"/>
        </w:rPr>
        <w:tab/>
        <w:t>Séparateur de particules volatiles (VPR)</w:t>
      </w:r>
    </w:p>
    <w:p w:rsidR="006E5069" w:rsidRPr="00A779B8" w:rsidRDefault="006E5069" w:rsidP="006E5069">
      <w:pPr>
        <w:pStyle w:val="SingleTxtG"/>
        <w:spacing w:after="100"/>
        <w:ind w:left="2268"/>
        <w:rPr>
          <w:lang w:val="fr-FR"/>
        </w:rPr>
      </w:pPr>
      <w:r w:rsidRPr="00A779B8">
        <w:rPr>
          <w:lang w:val="fr-FR"/>
        </w:rPr>
        <w:t>Le VPR se compose d</w:t>
      </w:r>
      <w:r w:rsidR="00DB4C2D">
        <w:rPr>
          <w:lang w:val="fr-FR"/>
        </w:rPr>
        <w:t>’</w:t>
      </w:r>
      <w:r w:rsidRPr="00A779B8">
        <w:rPr>
          <w:lang w:val="fr-FR"/>
        </w:rPr>
        <w:t xml:space="preserve">un </w:t>
      </w:r>
      <w:proofErr w:type="spellStart"/>
      <w:r w:rsidRPr="00A779B8">
        <w:rPr>
          <w:lang w:val="fr-FR"/>
        </w:rPr>
        <w:t>dilueur</w:t>
      </w:r>
      <w:proofErr w:type="spellEnd"/>
      <w:r w:rsidRPr="00A779B8">
        <w:rPr>
          <w:lang w:val="fr-FR"/>
        </w:rPr>
        <w:t xml:space="preserve"> permettant de réduire la concentration en nombre de particules (PND</w:t>
      </w:r>
      <w:r w:rsidRPr="00A779B8">
        <w:rPr>
          <w:vertAlign w:val="subscript"/>
          <w:lang w:val="fr-FR"/>
        </w:rPr>
        <w:t>1</w:t>
      </w:r>
      <w:r w:rsidRPr="00A779B8">
        <w:rPr>
          <w:lang w:val="fr-FR"/>
        </w:rPr>
        <w:t>), d</w:t>
      </w:r>
      <w:r w:rsidR="00DB4C2D">
        <w:rPr>
          <w:lang w:val="fr-FR"/>
        </w:rPr>
        <w:t>’</w:t>
      </w:r>
      <w:r w:rsidRPr="00A779B8">
        <w:rPr>
          <w:lang w:val="fr-FR"/>
        </w:rPr>
        <w:t>un tube d</w:t>
      </w:r>
      <w:r w:rsidR="00DB4C2D">
        <w:rPr>
          <w:lang w:val="fr-FR"/>
        </w:rPr>
        <w:t>’</w:t>
      </w:r>
      <w:r w:rsidRPr="00A779B8">
        <w:rPr>
          <w:lang w:val="fr-FR"/>
        </w:rPr>
        <w:t>évaporation et d</w:t>
      </w:r>
      <w:r w:rsidR="00DB4C2D">
        <w:rPr>
          <w:lang w:val="fr-FR"/>
        </w:rPr>
        <w:t>’</w:t>
      </w:r>
      <w:r w:rsidRPr="00A779B8">
        <w:rPr>
          <w:lang w:val="fr-FR"/>
        </w:rPr>
        <w:t xml:space="preserve">un second </w:t>
      </w:r>
      <w:proofErr w:type="spellStart"/>
      <w:r w:rsidRPr="00A779B8">
        <w:rPr>
          <w:lang w:val="fr-FR"/>
        </w:rPr>
        <w:t>dilueur</w:t>
      </w:r>
      <w:proofErr w:type="spellEnd"/>
      <w:r w:rsidRPr="00A779B8">
        <w:rPr>
          <w:lang w:val="fr-FR"/>
        </w:rPr>
        <w:t xml:space="preserve"> (PND</w:t>
      </w:r>
      <w:r w:rsidRPr="00A779B8">
        <w:rPr>
          <w:vertAlign w:val="subscript"/>
          <w:lang w:val="fr-FR"/>
        </w:rPr>
        <w:t>2</w:t>
      </w:r>
      <w:r w:rsidRPr="00A779B8">
        <w:rPr>
          <w:lang w:val="fr-FR"/>
        </w:rPr>
        <w:t>) montés en série. Cette fonction de dilution a pour objet d</w:t>
      </w:r>
      <w:r w:rsidR="00DB4C2D">
        <w:rPr>
          <w:lang w:val="fr-FR"/>
        </w:rPr>
        <w:t>’</w:t>
      </w:r>
      <w:r w:rsidRPr="00A779B8">
        <w:rPr>
          <w:lang w:val="fr-FR"/>
        </w:rPr>
        <w:t>abaisser la concentration en nombre des particules présentes dans l</w:t>
      </w:r>
      <w:r w:rsidR="00DB4C2D">
        <w:rPr>
          <w:lang w:val="fr-FR"/>
        </w:rPr>
        <w:t>’</w:t>
      </w:r>
      <w:r w:rsidRPr="00A779B8">
        <w:rPr>
          <w:lang w:val="fr-FR"/>
        </w:rPr>
        <w:t>échantillon entrant dans le dispositif de mesure de la concentration des particules au-dessous du seuil à partir duquel le PNC ne peut plus fonctionner en mode de comptage particule par particule et de supprimer la nucléation au sein de l</w:t>
      </w:r>
      <w:r w:rsidR="00DB4C2D">
        <w:rPr>
          <w:lang w:val="fr-FR"/>
        </w:rPr>
        <w:t>’</w:t>
      </w:r>
      <w:r w:rsidRPr="00A779B8">
        <w:rPr>
          <w:lang w:val="fr-FR"/>
        </w:rPr>
        <w:t>échantillon. Le VPR doit indiquer si oui ou non le PND</w:t>
      </w:r>
      <w:r w:rsidRPr="00A779B8">
        <w:rPr>
          <w:vertAlign w:val="subscript"/>
          <w:lang w:val="fr-FR"/>
        </w:rPr>
        <w:t>1</w:t>
      </w:r>
      <w:r w:rsidRPr="00A779B8">
        <w:rPr>
          <w:lang w:val="fr-FR"/>
        </w:rPr>
        <w:t xml:space="preserve"> et le tube d</w:t>
      </w:r>
      <w:r w:rsidR="00DB4C2D">
        <w:rPr>
          <w:lang w:val="fr-FR"/>
        </w:rPr>
        <w:t>’</w:t>
      </w:r>
      <w:r w:rsidRPr="00A779B8">
        <w:rPr>
          <w:lang w:val="fr-FR"/>
        </w:rPr>
        <w:t>évaporation sont à leurs températures correctes de fonctionnement.</w:t>
      </w:r>
    </w:p>
    <w:p w:rsidR="006E5069" w:rsidRPr="00A779B8" w:rsidRDefault="006E5069" w:rsidP="006E5069">
      <w:pPr>
        <w:pStyle w:val="SingleTxtG"/>
        <w:spacing w:after="100"/>
        <w:ind w:left="2268"/>
        <w:rPr>
          <w:lang w:val="fr-FR"/>
        </w:rPr>
      </w:pPr>
      <w:r w:rsidRPr="00A779B8">
        <w:rPr>
          <w:lang w:val="fr-FR"/>
        </w:rPr>
        <w:t xml:space="preserve">Le VPR doit obtenir aussi une vaporisation &gt;99,0 % de particules de </w:t>
      </w:r>
      <w:proofErr w:type="spellStart"/>
      <w:r w:rsidRPr="00A779B8">
        <w:rPr>
          <w:lang w:val="fr-FR"/>
        </w:rPr>
        <w:t>tétracontane</w:t>
      </w:r>
      <w:proofErr w:type="spellEnd"/>
      <w:r w:rsidRPr="00A779B8">
        <w:rPr>
          <w:lang w:val="fr-FR"/>
        </w:rPr>
        <w:t xml:space="preserve"> (CH</w:t>
      </w:r>
      <w:r w:rsidRPr="00A779B8">
        <w:rPr>
          <w:vertAlign w:val="subscript"/>
          <w:lang w:val="fr-FR"/>
        </w:rPr>
        <w:t>3</w:t>
      </w:r>
      <w:r w:rsidRPr="00A779B8">
        <w:rPr>
          <w:lang w:val="fr-FR"/>
        </w:rPr>
        <w:t>(CH</w:t>
      </w:r>
      <w:r w:rsidRPr="00A779B8">
        <w:rPr>
          <w:vertAlign w:val="subscript"/>
          <w:lang w:val="fr-FR"/>
        </w:rPr>
        <w:t>2</w:t>
      </w:r>
      <w:r w:rsidRPr="00A779B8">
        <w:rPr>
          <w:lang w:val="fr-FR"/>
        </w:rPr>
        <w:t>)</w:t>
      </w:r>
      <w:r w:rsidRPr="00A779B8">
        <w:rPr>
          <w:vertAlign w:val="subscript"/>
          <w:lang w:val="fr-FR"/>
        </w:rPr>
        <w:t>38</w:t>
      </w:r>
      <w:r w:rsidRPr="00A779B8">
        <w:rPr>
          <w:lang w:val="fr-FR"/>
        </w:rPr>
        <w:t>CH</w:t>
      </w:r>
      <w:r w:rsidRPr="00A779B8">
        <w:rPr>
          <w:vertAlign w:val="subscript"/>
          <w:lang w:val="fr-FR"/>
        </w:rPr>
        <w:t>3</w:t>
      </w:r>
      <w:r w:rsidRPr="00A779B8">
        <w:rPr>
          <w:lang w:val="fr-FR"/>
        </w:rPr>
        <w:t>) de 30 nm, avec une concentration à l</w:t>
      </w:r>
      <w:r w:rsidR="00DB4C2D">
        <w:rPr>
          <w:lang w:val="fr-FR"/>
        </w:rPr>
        <w:t>’</w:t>
      </w:r>
      <w:r w:rsidRPr="00A779B8">
        <w:rPr>
          <w:lang w:val="fr-FR"/>
        </w:rPr>
        <w:t>entrée ≥10 000 cm</w:t>
      </w:r>
      <w:r w:rsidRPr="00A779B8">
        <w:rPr>
          <w:vertAlign w:val="superscript"/>
          <w:lang w:val="fr-FR"/>
        </w:rPr>
        <w:t>-3</w:t>
      </w:r>
      <w:r w:rsidRPr="00A779B8">
        <w:rPr>
          <w:lang w:val="fr-FR"/>
        </w:rPr>
        <w:t xml:space="preserve">, par chauffage et réduction des pressions partielles du </w:t>
      </w:r>
      <w:proofErr w:type="spellStart"/>
      <w:r w:rsidRPr="00A779B8">
        <w:rPr>
          <w:lang w:val="fr-FR"/>
        </w:rPr>
        <w:t>tétracontane</w:t>
      </w:r>
      <w:proofErr w:type="spellEnd"/>
      <w:r w:rsidRPr="00A779B8">
        <w:rPr>
          <w:lang w:val="fr-FR"/>
        </w:rPr>
        <w:t>. Il doit aussi obtenir un facteur de réduction de la concentration des particules (</w:t>
      </w:r>
      <w:proofErr w:type="spellStart"/>
      <w:r w:rsidRPr="00A779B8">
        <w:rPr>
          <w:lang w:val="fr-FR"/>
        </w:rPr>
        <w:t>f</w:t>
      </w:r>
      <w:r w:rsidRPr="00A779B8">
        <w:rPr>
          <w:vertAlign w:val="subscript"/>
          <w:lang w:val="fr-FR"/>
        </w:rPr>
        <w:t>r</w:t>
      </w:r>
      <w:proofErr w:type="spellEnd"/>
      <w:r w:rsidRPr="00A779B8">
        <w:rPr>
          <w:lang w:val="fr-FR"/>
        </w:rPr>
        <w:t>) pour des particules dont le diamètre de mobilité électrique est de 30 nm et 50 nm, qui ne soit pas supérieur de plus de 30 % et de plus de 20 % respectivement ni inférieur de plus de 5 % à celui obtenu pour des particules ayant un diamètre de mobilité électrique de 100 nm, pour l</w:t>
      </w:r>
      <w:r w:rsidR="00DB4C2D">
        <w:rPr>
          <w:lang w:val="fr-FR"/>
        </w:rPr>
        <w:t>’</w:t>
      </w:r>
      <w:r w:rsidRPr="00A779B8">
        <w:rPr>
          <w:lang w:val="fr-FR"/>
        </w:rPr>
        <w:t xml:space="preserve">ensemble du VPR. </w:t>
      </w:r>
    </w:p>
    <w:p w:rsidR="006E5069" w:rsidRPr="00A779B8" w:rsidRDefault="006E5069" w:rsidP="006E5069">
      <w:pPr>
        <w:pStyle w:val="SingleTxtG"/>
        <w:keepNext/>
        <w:spacing w:after="100"/>
        <w:ind w:left="2268" w:hanging="1134"/>
        <w:jc w:val="left"/>
        <w:rPr>
          <w:lang w:val="fr-FR"/>
        </w:rPr>
      </w:pPr>
      <w:r w:rsidRPr="00A779B8">
        <w:rPr>
          <w:lang w:val="fr-FR"/>
        </w:rPr>
        <w:t>1.4.4.1</w:t>
      </w:r>
      <w:r w:rsidRPr="00A779B8">
        <w:rPr>
          <w:lang w:val="fr-FR"/>
        </w:rPr>
        <w:tab/>
        <w:t>Premier dispositif de dilution de la concentration en nombre de particules (PND</w:t>
      </w:r>
      <w:r w:rsidRPr="00A779B8">
        <w:rPr>
          <w:vertAlign w:val="subscript"/>
          <w:lang w:val="fr-FR"/>
        </w:rPr>
        <w:t>1</w:t>
      </w:r>
      <w:r w:rsidRPr="00A779B8">
        <w:rPr>
          <w:lang w:val="fr-FR"/>
        </w:rPr>
        <w:t>)</w:t>
      </w:r>
    </w:p>
    <w:p w:rsidR="006E5069" w:rsidRPr="00A779B8" w:rsidRDefault="006E5069" w:rsidP="006E5069">
      <w:pPr>
        <w:pStyle w:val="SingleTxtG"/>
        <w:tabs>
          <w:tab w:val="left" w:pos="6900"/>
        </w:tabs>
        <w:spacing w:after="100"/>
        <w:ind w:left="2268"/>
        <w:rPr>
          <w:lang w:val="fr-FR"/>
        </w:rPr>
      </w:pPr>
      <w:r w:rsidRPr="00A779B8">
        <w:rPr>
          <w:lang w:val="fr-FR"/>
        </w:rPr>
        <w:t>Le PND</w:t>
      </w:r>
      <w:r w:rsidRPr="00A779B8">
        <w:rPr>
          <w:vertAlign w:val="subscript"/>
          <w:lang w:val="fr-FR"/>
        </w:rPr>
        <w:t>1</w:t>
      </w:r>
      <w:r w:rsidRPr="00A779B8">
        <w:rPr>
          <w:lang w:val="fr-FR"/>
        </w:rPr>
        <w:t xml:space="preserve"> doit être spécialement conçu pour diluer la concentration en nombre de particules et pour fonctionner à une température (de paroi) comprise entre 150 °C et 400 °C. La valeur de consigne de la température de paroi doit être maintenue à une température nominale de fonctionnement constante, comprise dans cette fourchette, avec une tolérance de </w:t>
      </w:r>
      <w:r w:rsidRPr="00A779B8">
        <w:rPr>
          <w:lang w:val="fr-FR"/>
        </w:rPr>
        <w:sym w:font="Symbol" w:char="F0B1"/>
      </w:r>
      <w:r w:rsidRPr="00A779B8">
        <w:rPr>
          <w:lang w:val="fr-FR"/>
        </w:rPr>
        <w:t>10 °C et ne doit pas dépasser la température de paroi du tube d</w:t>
      </w:r>
      <w:r w:rsidR="00DB4C2D">
        <w:rPr>
          <w:lang w:val="fr-FR"/>
        </w:rPr>
        <w:t>’</w:t>
      </w:r>
      <w:r w:rsidRPr="00A779B8">
        <w:rPr>
          <w:lang w:val="fr-FR"/>
        </w:rPr>
        <w:t>évaporation ET (par. 1.4.4.2 du présent appendice). Le </w:t>
      </w:r>
      <w:proofErr w:type="spellStart"/>
      <w:r w:rsidRPr="00A779B8">
        <w:rPr>
          <w:lang w:val="fr-FR"/>
        </w:rPr>
        <w:t>dilueur</w:t>
      </w:r>
      <w:proofErr w:type="spellEnd"/>
      <w:r w:rsidRPr="00A779B8">
        <w:rPr>
          <w:lang w:val="fr-FR"/>
        </w:rPr>
        <w:t xml:space="preserve"> doit être alimenté par de l</w:t>
      </w:r>
      <w:r w:rsidR="00DB4C2D">
        <w:rPr>
          <w:lang w:val="fr-FR"/>
        </w:rPr>
        <w:t>’</w:t>
      </w:r>
      <w:r w:rsidRPr="00A779B8">
        <w:rPr>
          <w:lang w:val="fr-FR"/>
        </w:rPr>
        <w:t>air de dilution filtré par un filtre THE et être capable de diviser la concentration de l</w:t>
      </w:r>
      <w:r w:rsidR="00DB4C2D">
        <w:rPr>
          <w:lang w:val="fr-FR"/>
        </w:rPr>
        <w:t>’</w:t>
      </w:r>
      <w:r w:rsidRPr="00A779B8">
        <w:rPr>
          <w:lang w:val="fr-FR"/>
        </w:rPr>
        <w:t>échantillon d</w:t>
      </w:r>
      <w:r w:rsidR="00DB4C2D">
        <w:rPr>
          <w:lang w:val="fr-FR"/>
        </w:rPr>
        <w:t>’</w:t>
      </w:r>
      <w:r w:rsidRPr="00A779B8">
        <w:rPr>
          <w:lang w:val="fr-FR"/>
        </w:rPr>
        <w:t>un facteur compris entre 10 et 200.</w:t>
      </w:r>
    </w:p>
    <w:p w:rsidR="006E5069" w:rsidRPr="00A779B8" w:rsidRDefault="006E5069" w:rsidP="006E5069">
      <w:pPr>
        <w:pStyle w:val="SingleTxtG"/>
        <w:keepNext/>
        <w:spacing w:after="100"/>
        <w:ind w:left="2268" w:hanging="1134"/>
        <w:jc w:val="left"/>
        <w:rPr>
          <w:lang w:val="fr-FR"/>
        </w:rPr>
      </w:pPr>
      <w:r w:rsidRPr="00A779B8">
        <w:rPr>
          <w:lang w:val="fr-FR"/>
        </w:rPr>
        <w:lastRenderedPageBreak/>
        <w:t>1.4.4.2</w:t>
      </w:r>
      <w:r w:rsidRPr="00A779B8">
        <w:rPr>
          <w:lang w:val="fr-FR"/>
        </w:rPr>
        <w:tab/>
        <w:t>Tube d</w:t>
      </w:r>
      <w:r w:rsidR="00DB4C2D">
        <w:rPr>
          <w:lang w:val="fr-FR"/>
        </w:rPr>
        <w:t>’</w:t>
      </w:r>
      <w:r w:rsidRPr="00A779B8">
        <w:rPr>
          <w:lang w:val="fr-FR"/>
        </w:rPr>
        <w:t>évaporation</w:t>
      </w:r>
    </w:p>
    <w:p w:rsidR="006E5069" w:rsidRPr="00A779B8" w:rsidRDefault="006E5069" w:rsidP="006E5069">
      <w:pPr>
        <w:pStyle w:val="SingleTxtG"/>
        <w:tabs>
          <w:tab w:val="left" w:pos="6900"/>
        </w:tabs>
        <w:spacing w:after="100"/>
        <w:ind w:left="2268"/>
        <w:rPr>
          <w:lang w:val="fr-FR"/>
        </w:rPr>
      </w:pPr>
      <w:r w:rsidRPr="00A779B8">
        <w:rPr>
          <w:lang w:val="fr-FR"/>
        </w:rPr>
        <w:t>Sur toute la longueur du tube d</w:t>
      </w:r>
      <w:r w:rsidR="00DB4C2D">
        <w:rPr>
          <w:lang w:val="fr-FR"/>
        </w:rPr>
        <w:t>’</w:t>
      </w:r>
      <w:r w:rsidRPr="00A779B8">
        <w:rPr>
          <w:lang w:val="fr-FR"/>
        </w:rPr>
        <w:t xml:space="preserve">évaporation, la température de paroi doit être supérieure ou égale à celle du premier dispositif de dilution de la concentration en nombre de particules et maintenue à une température nominale de fonctionnement fixe comprise entre 300 °C et 400 °C, avec une tolérance de </w:t>
      </w:r>
      <w:r w:rsidRPr="00A779B8">
        <w:rPr>
          <w:lang w:val="fr-FR"/>
        </w:rPr>
        <w:sym w:font="Symbol" w:char="F0B1"/>
      </w:r>
      <w:r w:rsidRPr="00A779B8">
        <w:rPr>
          <w:lang w:val="fr-FR"/>
        </w:rPr>
        <w:t>10 °C.</w:t>
      </w:r>
    </w:p>
    <w:p w:rsidR="006E5069" w:rsidRPr="00A779B8" w:rsidRDefault="006E5069" w:rsidP="006E5069">
      <w:pPr>
        <w:pStyle w:val="SingleTxtG"/>
        <w:keepNext/>
        <w:ind w:left="2268" w:hanging="1134"/>
        <w:jc w:val="left"/>
        <w:rPr>
          <w:lang w:val="fr-FR"/>
        </w:rPr>
      </w:pPr>
      <w:r w:rsidRPr="00A779B8">
        <w:rPr>
          <w:lang w:val="fr-FR"/>
        </w:rPr>
        <w:t>1.4.4.3</w:t>
      </w:r>
      <w:r w:rsidRPr="00A779B8">
        <w:rPr>
          <w:lang w:val="fr-FR"/>
        </w:rPr>
        <w:tab/>
        <w:t xml:space="preserve">Deuxième dispositif de dilution de la concentration en nombre </w:t>
      </w:r>
      <w:r w:rsidRPr="00A779B8">
        <w:rPr>
          <w:lang w:val="fr-FR"/>
        </w:rPr>
        <w:br/>
        <w:t>de particules (PND</w:t>
      </w:r>
      <w:r w:rsidRPr="00A779B8">
        <w:rPr>
          <w:vertAlign w:val="subscript"/>
          <w:lang w:val="fr-FR"/>
        </w:rPr>
        <w:t>2</w:t>
      </w:r>
      <w:r w:rsidRPr="00A779B8">
        <w:rPr>
          <w:lang w:val="fr-FR"/>
        </w:rPr>
        <w:t>)</w:t>
      </w:r>
    </w:p>
    <w:p w:rsidR="006E5069" w:rsidRPr="00A779B8" w:rsidRDefault="006E5069" w:rsidP="006E5069">
      <w:pPr>
        <w:pStyle w:val="SingleTxtG"/>
        <w:tabs>
          <w:tab w:val="left" w:pos="6900"/>
        </w:tabs>
        <w:ind w:left="2268"/>
        <w:rPr>
          <w:lang w:val="fr-FR"/>
        </w:rPr>
      </w:pPr>
      <w:r w:rsidRPr="00A779B8">
        <w:rPr>
          <w:lang w:val="fr-FR"/>
        </w:rPr>
        <w:t>Le PND</w:t>
      </w:r>
      <w:r w:rsidRPr="00A779B8">
        <w:rPr>
          <w:vertAlign w:val="subscript"/>
          <w:lang w:val="fr-FR"/>
        </w:rPr>
        <w:t>2</w:t>
      </w:r>
      <w:r w:rsidRPr="00A779B8">
        <w:rPr>
          <w:lang w:val="fr-FR"/>
        </w:rPr>
        <w:t xml:space="preserve"> doit être spécialement conçu pour diluer la concentration en nombre de particules. Il doit être alimenté par de l</w:t>
      </w:r>
      <w:r w:rsidR="00DB4C2D">
        <w:rPr>
          <w:lang w:val="fr-FR"/>
        </w:rPr>
        <w:t>’</w:t>
      </w:r>
      <w:r w:rsidRPr="00A779B8">
        <w:rPr>
          <w:lang w:val="fr-FR"/>
        </w:rPr>
        <w:t>air filtré par un filtre THE et doit être capable de maintenir un facteur de dilution unique compris entre 10 et 30. Le facteur de dilution doit être fixé entre 10 et 15 de telle manière que la concentration en nombre de particules à l</w:t>
      </w:r>
      <w:r w:rsidR="00DB4C2D">
        <w:rPr>
          <w:lang w:val="fr-FR"/>
        </w:rPr>
        <w:t>’</w:t>
      </w:r>
      <w:r w:rsidRPr="00A779B8">
        <w:rPr>
          <w:lang w:val="fr-FR"/>
        </w:rPr>
        <w:t xml:space="preserve">aval du deuxième </w:t>
      </w:r>
      <w:proofErr w:type="spellStart"/>
      <w:r w:rsidRPr="00A779B8">
        <w:rPr>
          <w:lang w:val="fr-FR"/>
        </w:rPr>
        <w:t>dilueur</w:t>
      </w:r>
      <w:proofErr w:type="spellEnd"/>
      <w:r w:rsidRPr="00A779B8">
        <w:rPr>
          <w:lang w:val="fr-FR"/>
        </w:rPr>
        <w:t xml:space="preserve"> soit inférieure au seuil à partir duquel le PNC ne peut plus fonctionner en mode de comptage particule par particule et que la température des gaz à l</w:t>
      </w:r>
      <w:r w:rsidR="00DB4C2D">
        <w:rPr>
          <w:lang w:val="fr-FR"/>
        </w:rPr>
        <w:t>’</w:t>
      </w:r>
      <w:r w:rsidRPr="00A779B8">
        <w:rPr>
          <w:lang w:val="fr-FR"/>
        </w:rPr>
        <w:t xml:space="preserve">entrée du PNC soit </w:t>
      </w:r>
      <w:r w:rsidRPr="00A779B8">
        <w:rPr>
          <w:sz w:val="18"/>
          <w:lang w:val="fr-FR"/>
        </w:rPr>
        <w:t>&lt;</w:t>
      </w:r>
      <w:r w:rsidRPr="00A779B8">
        <w:rPr>
          <w:lang w:val="fr-FR"/>
        </w:rPr>
        <w:t>35 °C.</w:t>
      </w:r>
    </w:p>
    <w:p w:rsidR="006E5069" w:rsidRPr="00A779B8" w:rsidRDefault="006E5069" w:rsidP="006E5069">
      <w:pPr>
        <w:pStyle w:val="SingleTxtG"/>
        <w:keepNext/>
        <w:ind w:left="2268" w:hanging="1134"/>
        <w:jc w:val="left"/>
        <w:rPr>
          <w:lang w:val="fr-FR"/>
        </w:rPr>
      </w:pPr>
      <w:r w:rsidRPr="00A779B8">
        <w:rPr>
          <w:lang w:val="fr-FR"/>
        </w:rPr>
        <w:t>1.4.5</w:t>
      </w:r>
      <w:r w:rsidRPr="00A779B8">
        <w:rPr>
          <w:lang w:val="fr-FR"/>
        </w:rPr>
        <w:tab/>
        <w:t>Compteur du nombre de particules (PNC)</w:t>
      </w:r>
    </w:p>
    <w:p w:rsidR="006E5069" w:rsidRPr="00A779B8" w:rsidRDefault="006E5069" w:rsidP="006E5069">
      <w:pPr>
        <w:pStyle w:val="SingleTxtG"/>
        <w:tabs>
          <w:tab w:val="left" w:pos="6900"/>
        </w:tabs>
        <w:ind w:left="2268"/>
        <w:rPr>
          <w:lang w:val="fr-FR"/>
        </w:rPr>
      </w:pPr>
      <w:r w:rsidRPr="00A779B8">
        <w:rPr>
          <w:lang w:val="fr-FR"/>
        </w:rPr>
        <w:t>Le PNC doit satisfaire aux prescriptions du paragraphe 1.3.4</w:t>
      </w:r>
      <w:r>
        <w:rPr>
          <w:lang w:val="fr-FR"/>
        </w:rPr>
        <w:t xml:space="preserve"> du présent appendice</w:t>
      </w:r>
      <w:r w:rsidRPr="00A779B8">
        <w:rPr>
          <w:lang w:val="fr-FR"/>
        </w:rPr>
        <w:t>.</w:t>
      </w:r>
    </w:p>
    <w:p w:rsidR="006E5069" w:rsidRPr="00A779B8" w:rsidRDefault="006E5069" w:rsidP="006E5069">
      <w:pPr>
        <w:pStyle w:val="SingleTxtG"/>
        <w:keepNext/>
        <w:ind w:left="2268" w:hanging="1134"/>
        <w:jc w:val="left"/>
        <w:rPr>
          <w:lang w:val="fr-FR"/>
        </w:rPr>
      </w:pPr>
      <w:r w:rsidRPr="00A779B8">
        <w:rPr>
          <w:lang w:val="fr-FR"/>
        </w:rPr>
        <w:t>2.</w:t>
      </w:r>
      <w:r w:rsidRPr="00A779B8">
        <w:rPr>
          <w:lang w:val="fr-FR"/>
        </w:rPr>
        <w:tab/>
        <w:t>Étalonnage/validation du système de prélèvement des particules</w:t>
      </w:r>
      <w:r w:rsidR="004C7820">
        <w:rPr>
          <w:rStyle w:val="Appelnotedebasdep"/>
        </w:rPr>
        <w:footnoteReference w:id="39"/>
      </w:r>
    </w:p>
    <w:p w:rsidR="006E5069" w:rsidRPr="00A779B8" w:rsidRDefault="006E5069" w:rsidP="006E5069">
      <w:pPr>
        <w:pStyle w:val="SingleTxtG"/>
        <w:keepNext/>
        <w:ind w:left="2268" w:hanging="1134"/>
        <w:jc w:val="left"/>
        <w:rPr>
          <w:lang w:val="fr-FR"/>
        </w:rPr>
      </w:pPr>
      <w:r w:rsidRPr="00A779B8">
        <w:rPr>
          <w:lang w:val="fr-FR"/>
        </w:rPr>
        <w:t>2.1</w:t>
      </w:r>
      <w:r w:rsidRPr="00A779B8">
        <w:rPr>
          <w:lang w:val="fr-FR"/>
        </w:rPr>
        <w:tab/>
        <w:t>Étalonnage du compteur du nombre de particules</w:t>
      </w:r>
    </w:p>
    <w:p w:rsidR="006E5069" w:rsidRPr="00A779B8" w:rsidRDefault="006E5069" w:rsidP="006E5069">
      <w:pPr>
        <w:pStyle w:val="SingleTxtG"/>
        <w:ind w:left="2268" w:hanging="1134"/>
        <w:rPr>
          <w:lang w:val="fr-FR"/>
        </w:rPr>
      </w:pPr>
      <w:r w:rsidRPr="00A779B8">
        <w:rPr>
          <w:lang w:val="fr-FR"/>
        </w:rPr>
        <w:t>2.1.1</w:t>
      </w:r>
      <w:r w:rsidRPr="00A779B8">
        <w:rPr>
          <w:lang w:val="fr-FR"/>
        </w:rPr>
        <w:tab/>
        <w:t>Le service technique doit vérifier l</w:t>
      </w:r>
      <w:r w:rsidR="00DB4C2D">
        <w:rPr>
          <w:lang w:val="fr-FR"/>
        </w:rPr>
        <w:t>’</w:t>
      </w:r>
      <w:r w:rsidRPr="00A779B8">
        <w:rPr>
          <w:lang w:val="fr-FR"/>
        </w:rPr>
        <w:t>existence d</w:t>
      </w:r>
      <w:r w:rsidR="00DB4C2D">
        <w:rPr>
          <w:lang w:val="fr-FR"/>
        </w:rPr>
        <w:t>’</w:t>
      </w:r>
      <w:r w:rsidRPr="00A779B8">
        <w:rPr>
          <w:lang w:val="fr-FR"/>
        </w:rPr>
        <w:t>un certificat d</w:t>
      </w:r>
      <w:r w:rsidR="00DB4C2D">
        <w:rPr>
          <w:lang w:val="fr-FR"/>
        </w:rPr>
        <w:t>’</w:t>
      </w:r>
      <w:r w:rsidRPr="00A779B8">
        <w:rPr>
          <w:lang w:val="fr-FR"/>
        </w:rPr>
        <w:t>étalonnage du PNC attestant la conformité du PNC à une norme identifiable et établi dans les 12 mois précédant l</w:t>
      </w:r>
      <w:r w:rsidR="00DB4C2D">
        <w:rPr>
          <w:lang w:val="fr-FR"/>
        </w:rPr>
        <w:t>’</w:t>
      </w:r>
      <w:r w:rsidRPr="00A779B8">
        <w:rPr>
          <w:lang w:val="fr-FR"/>
        </w:rPr>
        <w:t>essai.</w:t>
      </w:r>
    </w:p>
    <w:p w:rsidR="006E5069" w:rsidRPr="00A779B8" w:rsidRDefault="006E5069" w:rsidP="006E5069">
      <w:pPr>
        <w:pStyle w:val="SingleTxtG"/>
        <w:ind w:left="2268" w:hanging="1134"/>
        <w:rPr>
          <w:lang w:val="fr-FR"/>
        </w:rPr>
      </w:pPr>
      <w:r w:rsidRPr="00A779B8">
        <w:rPr>
          <w:lang w:val="fr-FR"/>
        </w:rPr>
        <w:t>2.1.2</w:t>
      </w:r>
      <w:r w:rsidRPr="00A779B8">
        <w:rPr>
          <w:lang w:val="fr-FR"/>
        </w:rPr>
        <w:tab/>
        <w:t>Après toute nouvelle opération d</w:t>
      </w:r>
      <w:r w:rsidR="00DB4C2D">
        <w:rPr>
          <w:lang w:val="fr-FR"/>
        </w:rPr>
        <w:t>’</w:t>
      </w:r>
      <w:r w:rsidRPr="00A779B8">
        <w:rPr>
          <w:lang w:val="fr-FR"/>
        </w:rPr>
        <w:t>entretien importante, le PNC doit être à nouveau étalonné et un nouveau certificat d</w:t>
      </w:r>
      <w:r w:rsidR="00DB4C2D">
        <w:rPr>
          <w:lang w:val="fr-FR"/>
        </w:rPr>
        <w:t>’</w:t>
      </w:r>
      <w:r w:rsidRPr="00A779B8">
        <w:rPr>
          <w:lang w:val="fr-FR"/>
        </w:rPr>
        <w:t>étalonnage doit être établi.</w:t>
      </w:r>
    </w:p>
    <w:p w:rsidR="006E5069" w:rsidRPr="00A779B8" w:rsidRDefault="006E5069" w:rsidP="006E5069">
      <w:pPr>
        <w:pStyle w:val="SingleTxtG"/>
        <w:spacing w:after="100"/>
        <w:ind w:left="2268" w:hanging="1134"/>
        <w:rPr>
          <w:lang w:val="fr-FR"/>
        </w:rPr>
      </w:pPr>
      <w:r w:rsidRPr="00A779B8">
        <w:rPr>
          <w:lang w:val="fr-FR"/>
        </w:rPr>
        <w:t>2.1.3</w:t>
      </w:r>
      <w:r w:rsidRPr="00A779B8">
        <w:rPr>
          <w:lang w:val="fr-FR"/>
        </w:rPr>
        <w:tab/>
      </w:r>
      <w:r w:rsidRPr="00A779B8">
        <w:rPr>
          <w:spacing w:val="-3"/>
          <w:lang w:val="fr-FR"/>
        </w:rPr>
        <w:t>L</w:t>
      </w:r>
      <w:r w:rsidR="00DB4C2D">
        <w:rPr>
          <w:spacing w:val="-3"/>
          <w:lang w:val="fr-FR"/>
        </w:rPr>
        <w:t>’</w:t>
      </w:r>
      <w:r w:rsidRPr="00A779B8">
        <w:rPr>
          <w:spacing w:val="-3"/>
          <w:lang w:val="fr-FR"/>
        </w:rPr>
        <w:t>étalonnage doit être effectué conformément à une méthode d</w:t>
      </w:r>
      <w:r w:rsidR="00DB4C2D">
        <w:rPr>
          <w:spacing w:val="-3"/>
          <w:lang w:val="fr-FR"/>
        </w:rPr>
        <w:t>’</w:t>
      </w:r>
      <w:r w:rsidRPr="00A779B8">
        <w:rPr>
          <w:spacing w:val="-3"/>
          <w:lang w:val="fr-FR"/>
        </w:rPr>
        <w:t>étalonnage reconnue</w:t>
      </w:r>
      <w:r w:rsidRPr="00A779B8">
        <w:rPr>
          <w:lang w:val="fr-FR"/>
        </w:rPr>
        <w:t>:</w:t>
      </w:r>
    </w:p>
    <w:p w:rsidR="006E5069" w:rsidRPr="00A779B8" w:rsidRDefault="006E5069" w:rsidP="006E5069">
      <w:pPr>
        <w:pStyle w:val="SingleTxtG"/>
        <w:spacing w:after="100"/>
        <w:ind w:left="2835" w:hanging="567"/>
        <w:rPr>
          <w:lang w:val="fr-FR"/>
        </w:rPr>
      </w:pPr>
      <w:r w:rsidRPr="00A779B8">
        <w:rPr>
          <w:lang w:val="fr-FR"/>
        </w:rPr>
        <w:t>a)</w:t>
      </w:r>
      <w:r w:rsidRPr="00A779B8">
        <w:rPr>
          <w:lang w:val="fr-FR"/>
        </w:rPr>
        <w:tab/>
        <w:t>Par comparaison de la réponse du PNC à étalonner avec celle d</w:t>
      </w:r>
      <w:r w:rsidR="00DB4C2D">
        <w:rPr>
          <w:lang w:val="fr-FR"/>
        </w:rPr>
        <w:t>’</w:t>
      </w:r>
      <w:r w:rsidRPr="00A779B8">
        <w:rPr>
          <w:lang w:val="fr-FR"/>
        </w:rPr>
        <w:t>un électromètre à aérosol étalonné analysant simultanément des particules classées en fonction de leur charge électrostatique; ou</w:t>
      </w:r>
    </w:p>
    <w:p w:rsidR="006E5069" w:rsidRPr="00A779B8" w:rsidRDefault="006E5069" w:rsidP="006E5069">
      <w:pPr>
        <w:pStyle w:val="SingleTxtG"/>
        <w:spacing w:after="100"/>
        <w:ind w:left="2835" w:hanging="567"/>
        <w:rPr>
          <w:spacing w:val="-3"/>
          <w:lang w:val="fr-FR"/>
        </w:rPr>
      </w:pPr>
      <w:r w:rsidRPr="00A779B8">
        <w:rPr>
          <w:lang w:val="fr-FR"/>
        </w:rPr>
        <w:t>b)</w:t>
      </w:r>
      <w:r w:rsidRPr="00A779B8">
        <w:rPr>
          <w:lang w:val="fr-FR"/>
        </w:rPr>
        <w:tab/>
        <w:t>Par comparaison de la réponse du PNC à étalonner avec celle d</w:t>
      </w:r>
      <w:r w:rsidR="00DB4C2D">
        <w:rPr>
          <w:lang w:val="fr-FR"/>
        </w:rPr>
        <w:t>’</w:t>
      </w:r>
      <w:r w:rsidRPr="00A779B8">
        <w:rPr>
          <w:lang w:val="fr-FR"/>
        </w:rPr>
        <w:t xml:space="preserve">un </w:t>
      </w:r>
      <w:r w:rsidRPr="00A779B8">
        <w:rPr>
          <w:spacing w:val="-3"/>
          <w:lang w:val="fr-FR"/>
        </w:rPr>
        <w:t>deuxième PNC qui a été directement étalonné selon la méthode de référence.</w:t>
      </w:r>
    </w:p>
    <w:p w:rsidR="006E5069" w:rsidRPr="00A779B8" w:rsidRDefault="006E5069" w:rsidP="006E5069">
      <w:pPr>
        <w:pStyle w:val="SingleTxtG"/>
        <w:tabs>
          <w:tab w:val="left" w:pos="567"/>
        </w:tabs>
        <w:spacing w:after="100"/>
        <w:ind w:left="2268"/>
        <w:rPr>
          <w:lang w:val="fr-FR"/>
        </w:rPr>
      </w:pPr>
      <w:r w:rsidRPr="00A779B8">
        <w:rPr>
          <w:lang w:val="fr-FR"/>
        </w:rPr>
        <w:t>Dans le cas de l</w:t>
      </w:r>
      <w:r w:rsidR="00DB4C2D">
        <w:rPr>
          <w:lang w:val="fr-FR"/>
        </w:rPr>
        <w:t>’</w:t>
      </w:r>
      <w:r w:rsidRPr="00A779B8">
        <w:rPr>
          <w:lang w:val="fr-FR"/>
        </w:rPr>
        <w:t>électromètre, on doit procéder à l</w:t>
      </w:r>
      <w:r w:rsidR="00DB4C2D">
        <w:rPr>
          <w:lang w:val="fr-FR"/>
        </w:rPr>
        <w:t>’</w:t>
      </w:r>
      <w:r w:rsidRPr="00A779B8">
        <w:rPr>
          <w:lang w:val="fr-FR"/>
        </w:rPr>
        <w:t>étalonnage en utilisant au moins six concentrations de référence espacées le plus uniformément possible sur la plage de mesure du PNC. L</w:t>
      </w:r>
      <w:r w:rsidR="00DB4C2D">
        <w:rPr>
          <w:lang w:val="fr-FR"/>
        </w:rPr>
        <w:t>’</w:t>
      </w:r>
      <w:r w:rsidRPr="00A779B8">
        <w:rPr>
          <w:lang w:val="fr-FR"/>
        </w:rPr>
        <w:t>un de ces points est le point correspondant à une concentration nominale égale zéro que l</w:t>
      </w:r>
      <w:r w:rsidR="00DB4C2D">
        <w:rPr>
          <w:lang w:val="fr-FR"/>
        </w:rPr>
        <w:t>’</w:t>
      </w:r>
      <w:r w:rsidRPr="00A779B8">
        <w:rPr>
          <w:lang w:val="fr-FR"/>
        </w:rPr>
        <w:t>on obtient en raccordant à l</w:t>
      </w:r>
      <w:r w:rsidR="00DB4C2D">
        <w:rPr>
          <w:lang w:val="fr-FR"/>
        </w:rPr>
        <w:t>’</w:t>
      </w:r>
      <w:r w:rsidRPr="00A779B8">
        <w:rPr>
          <w:lang w:val="fr-FR"/>
        </w:rPr>
        <w:t>entrée de chaque instrument un filtre THE répondant au minimum à la classe H13 définie dans la norme EN 1822:2008, ou un filtre équivalent. Aucun facteur d</w:t>
      </w:r>
      <w:r w:rsidR="00DB4C2D">
        <w:rPr>
          <w:lang w:val="fr-FR"/>
        </w:rPr>
        <w:t>’</w:t>
      </w:r>
      <w:r w:rsidRPr="00A779B8">
        <w:rPr>
          <w:lang w:val="fr-FR"/>
        </w:rPr>
        <w:t>étalonnage n</w:t>
      </w:r>
      <w:r w:rsidR="00DB4C2D">
        <w:rPr>
          <w:lang w:val="fr-FR"/>
        </w:rPr>
        <w:t>’</w:t>
      </w:r>
      <w:r w:rsidRPr="00A779B8">
        <w:rPr>
          <w:lang w:val="fr-FR"/>
        </w:rPr>
        <w:t>étant appliqué au PNC à étalonner, les concentrations mesurées ne doivent pas s</w:t>
      </w:r>
      <w:r w:rsidR="00DB4C2D">
        <w:rPr>
          <w:lang w:val="fr-FR"/>
        </w:rPr>
        <w:t>’</w:t>
      </w:r>
      <w:r w:rsidRPr="00A779B8">
        <w:rPr>
          <w:lang w:val="fr-FR"/>
        </w:rPr>
        <w:t xml:space="preserve">écarter de plus de </w:t>
      </w:r>
      <w:r w:rsidRPr="00A779B8">
        <w:rPr>
          <w:lang w:val="fr-FR"/>
        </w:rPr>
        <w:sym w:font="Symbol" w:char="F0B1"/>
      </w:r>
      <w:r w:rsidRPr="00A779B8">
        <w:rPr>
          <w:lang w:val="fr-FR"/>
        </w:rPr>
        <w:t>10 % de la concentration de référence pour chaque concentration utilisée, à l</w:t>
      </w:r>
      <w:r w:rsidR="00DB4C2D">
        <w:rPr>
          <w:lang w:val="fr-FR"/>
        </w:rPr>
        <w:t>’</w:t>
      </w:r>
      <w:r w:rsidRPr="00A779B8">
        <w:rPr>
          <w:lang w:val="fr-FR"/>
        </w:rPr>
        <w:t xml:space="preserve">exception du point zéro. Dans le cas contraire, le PNC doit être rejeté. Le gradient </w:t>
      </w:r>
      <w:r w:rsidRPr="00A779B8">
        <w:rPr>
          <w:lang w:val="fr-FR"/>
        </w:rPr>
        <w:lastRenderedPageBreak/>
        <w:t>obtenu par régression linéaire des deux ensembles de données doit être calculé et enregistré. Un facteur d</w:t>
      </w:r>
      <w:r w:rsidR="00DB4C2D">
        <w:rPr>
          <w:lang w:val="fr-FR"/>
        </w:rPr>
        <w:t>’</w:t>
      </w:r>
      <w:r w:rsidRPr="00A779B8">
        <w:rPr>
          <w:lang w:val="fr-FR"/>
        </w:rPr>
        <w:t>étalonnage égal à l</w:t>
      </w:r>
      <w:r w:rsidR="00DB4C2D">
        <w:rPr>
          <w:lang w:val="fr-FR"/>
        </w:rPr>
        <w:t>’</w:t>
      </w:r>
      <w:r w:rsidRPr="00A779B8">
        <w:rPr>
          <w:lang w:val="fr-FR"/>
        </w:rPr>
        <w:t>inverse du gradient est appliqué au PNC à étalonner. On calcule la linéarité de la réponse sur la base du carré du coefficient de corrélation de Pearson (R</w:t>
      </w:r>
      <w:r w:rsidRPr="00A779B8">
        <w:rPr>
          <w:vertAlign w:val="superscript"/>
          <w:lang w:val="fr-FR"/>
        </w:rPr>
        <w:t>2</w:t>
      </w:r>
      <w:r w:rsidRPr="00A779B8">
        <w:rPr>
          <w:lang w:val="fr-FR"/>
        </w:rPr>
        <w:t>) des deux ensembles de données; elle doit être égale ou supérieure à 0,97. Pour le calcul du gradient et de R</w:t>
      </w:r>
      <w:r w:rsidRPr="00A779B8">
        <w:rPr>
          <w:vertAlign w:val="superscript"/>
          <w:lang w:val="fr-FR"/>
        </w:rPr>
        <w:t>2</w:t>
      </w:r>
      <w:r w:rsidRPr="00A779B8">
        <w:rPr>
          <w:lang w:val="fr-FR"/>
        </w:rPr>
        <w:t>, on doit faire passer la droite de régression linéaire par l</w:t>
      </w:r>
      <w:r w:rsidR="00DB4C2D">
        <w:rPr>
          <w:lang w:val="fr-FR"/>
        </w:rPr>
        <w:t>’</w:t>
      </w:r>
      <w:r w:rsidRPr="00A779B8">
        <w:rPr>
          <w:lang w:val="fr-FR"/>
        </w:rPr>
        <w:t>origine (correspondant à une concentration zéro pour les deux instruments).</w:t>
      </w:r>
    </w:p>
    <w:p w:rsidR="006E5069" w:rsidRPr="00A779B8" w:rsidRDefault="006E5069" w:rsidP="006E5069">
      <w:pPr>
        <w:pStyle w:val="SingleTxtG"/>
        <w:ind w:left="2268"/>
        <w:rPr>
          <w:lang w:val="fr-FR"/>
        </w:rPr>
      </w:pPr>
      <w:r w:rsidRPr="00A779B8">
        <w:rPr>
          <w:lang w:val="fr-FR"/>
        </w:rPr>
        <w:t>Dans le cas du PNC de référence, on doit procéder à l</w:t>
      </w:r>
      <w:r w:rsidR="00DB4C2D">
        <w:rPr>
          <w:lang w:val="fr-FR"/>
        </w:rPr>
        <w:t>’</w:t>
      </w:r>
      <w:r w:rsidRPr="00A779B8">
        <w:rPr>
          <w:lang w:val="fr-FR"/>
        </w:rPr>
        <w:t>étalonnage en utilisant au moins six concentrations de référence réparties sur la plage de mesure du PNC. Trois points au moins doivent être à des concentrations inférieures à 1 000 cm</w:t>
      </w:r>
      <w:r w:rsidRPr="00A779B8">
        <w:rPr>
          <w:vertAlign w:val="superscript"/>
          <w:lang w:val="fr-FR"/>
        </w:rPr>
        <w:t>-3</w:t>
      </w:r>
      <w:r w:rsidRPr="00A779B8">
        <w:rPr>
          <w:lang w:val="fr-FR"/>
        </w:rPr>
        <w:t>, les concentrations restantes devant être linéairement espacées entre 1 000 cm</w:t>
      </w:r>
      <w:r w:rsidRPr="00A779B8">
        <w:rPr>
          <w:vertAlign w:val="superscript"/>
          <w:lang w:val="fr-FR"/>
        </w:rPr>
        <w:t xml:space="preserve">-3 </w:t>
      </w:r>
      <w:r w:rsidRPr="00A779B8">
        <w:rPr>
          <w:lang w:val="fr-FR"/>
        </w:rPr>
        <w:t>et la concentration maximale à laquelle le PNC peut fonctionner en mode de comptage particule par particule. L</w:t>
      </w:r>
      <w:r w:rsidR="00DB4C2D">
        <w:rPr>
          <w:lang w:val="fr-FR"/>
        </w:rPr>
        <w:t>’</w:t>
      </w:r>
      <w:r w:rsidRPr="00A779B8">
        <w:rPr>
          <w:lang w:val="fr-FR"/>
        </w:rPr>
        <w:t>un de ces points est le point correspondant à une concentration nominale égale zéro que l</w:t>
      </w:r>
      <w:r w:rsidR="00DB4C2D">
        <w:rPr>
          <w:lang w:val="fr-FR"/>
        </w:rPr>
        <w:t>’</w:t>
      </w:r>
      <w:r w:rsidRPr="00A779B8">
        <w:rPr>
          <w:lang w:val="fr-FR"/>
        </w:rPr>
        <w:t>on obtient en raccordant à l</w:t>
      </w:r>
      <w:r w:rsidR="00DB4C2D">
        <w:rPr>
          <w:lang w:val="fr-FR"/>
        </w:rPr>
        <w:t>’</w:t>
      </w:r>
      <w:r w:rsidRPr="00A779B8">
        <w:rPr>
          <w:lang w:val="fr-FR"/>
        </w:rPr>
        <w:t>entrée de chaque instrument un filtre THE répondant au minimum à la classe H13 définie dans la norme EN 1822:2008, ou un filtre équivalent. Aucun facteur d</w:t>
      </w:r>
      <w:r w:rsidR="00DB4C2D">
        <w:rPr>
          <w:lang w:val="fr-FR"/>
        </w:rPr>
        <w:t>’</w:t>
      </w:r>
      <w:r w:rsidRPr="00A779B8">
        <w:rPr>
          <w:lang w:val="fr-FR"/>
        </w:rPr>
        <w:t>étalonnage n</w:t>
      </w:r>
      <w:r w:rsidR="00DB4C2D">
        <w:rPr>
          <w:lang w:val="fr-FR"/>
        </w:rPr>
        <w:t>’</w:t>
      </w:r>
      <w:r w:rsidRPr="00A779B8">
        <w:rPr>
          <w:lang w:val="fr-FR"/>
        </w:rPr>
        <w:t>étant appliqué au PNC à étalonner, les concentrations mesurées ne doivent pas s</w:t>
      </w:r>
      <w:r w:rsidR="00DB4C2D">
        <w:rPr>
          <w:lang w:val="fr-FR"/>
        </w:rPr>
        <w:t>’</w:t>
      </w:r>
      <w:r w:rsidRPr="00A779B8">
        <w:rPr>
          <w:lang w:val="fr-FR"/>
        </w:rPr>
        <w:t>écarter de plus de ±10% de la concentration de référence pour chaque concentration utilisée, à l</w:t>
      </w:r>
      <w:r w:rsidR="00DB4C2D">
        <w:rPr>
          <w:lang w:val="fr-FR"/>
        </w:rPr>
        <w:t>’</w:t>
      </w:r>
      <w:r w:rsidRPr="00A779B8">
        <w:rPr>
          <w:lang w:val="fr-FR"/>
        </w:rPr>
        <w:t>exception du point zéro. Dans le cas contraire, le PNC doit être rejeté. Le gradient obtenu par régression linéaire des deux ensembles de données doit être calculé et enregistré. Un facteur d</w:t>
      </w:r>
      <w:r w:rsidR="00DB4C2D">
        <w:rPr>
          <w:lang w:val="fr-FR"/>
        </w:rPr>
        <w:t>’</w:t>
      </w:r>
      <w:r w:rsidRPr="00A779B8">
        <w:rPr>
          <w:lang w:val="fr-FR"/>
        </w:rPr>
        <w:t>étalonnage égal à l</w:t>
      </w:r>
      <w:r w:rsidR="00DB4C2D">
        <w:rPr>
          <w:lang w:val="fr-FR"/>
        </w:rPr>
        <w:t>’</w:t>
      </w:r>
      <w:r w:rsidRPr="00A779B8">
        <w:rPr>
          <w:lang w:val="fr-FR"/>
        </w:rPr>
        <w:t>inverse du gradient est appliqué au PNC à étalonner. On calcule la linéarité de la réponse sur la base du carré du coefficient de corrélation de Pearson (R</w:t>
      </w:r>
      <w:r w:rsidRPr="00A779B8">
        <w:rPr>
          <w:vertAlign w:val="superscript"/>
          <w:lang w:val="fr-FR"/>
        </w:rPr>
        <w:t>2</w:t>
      </w:r>
      <w:r w:rsidRPr="00A779B8">
        <w:rPr>
          <w:lang w:val="fr-FR"/>
        </w:rPr>
        <w:t>) des deux ensembles de données; elle doit être égale ou supérieure à 0,97. Pour le calcul du gradient et de R</w:t>
      </w:r>
      <w:r w:rsidRPr="00A779B8">
        <w:rPr>
          <w:vertAlign w:val="superscript"/>
          <w:lang w:val="fr-FR"/>
        </w:rPr>
        <w:t>2</w:t>
      </w:r>
      <w:r w:rsidRPr="00A779B8">
        <w:rPr>
          <w:lang w:val="fr-FR"/>
        </w:rPr>
        <w:t>, on doit faire passer la droite de régression linéaire par l</w:t>
      </w:r>
      <w:r w:rsidR="00DB4C2D">
        <w:rPr>
          <w:lang w:val="fr-FR"/>
        </w:rPr>
        <w:t>’</w:t>
      </w:r>
      <w:r w:rsidRPr="00A779B8">
        <w:rPr>
          <w:lang w:val="fr-FR"/>
        </w:rPr>
        <w:t>origine (correspondant à une concentration zéro pour les deux instruments).</w:t>
      </w:r>
    </w:p>
    <w:p w:rsidR="006E5069" w:rsidRPr="00A779B8" w:rsidRDefault="006E5069" w:rsidP="006E5069">
      <w:pPr>
        <w:pStyle w:val="SingleTxtG"/>
        <w:ind w:left="2268" w:hanging="1134"/>
        <w:rPr>
          <w:lang w:val="fr-FR"/>
        </w:rPr>
      </w:pPr>
      <w:r w:rsidRPr="00A779B8">
        <w:rPr>
          <w:lang w:val="fr-FR"/>
        </w:rPr>
        <w:t>2.1.4</w:t>
      </w:r>
      <w:r w:rsidRPr="00A779B8">
        <w:rPr>
          <w:lang w:val="fr-FR"/>
        </w:rPr>
        <w:tab/>
        <w:t>Lors de l</w:t>
      </w:r>
      <w:r w:rsidR="00DB4C2D">
        <w:rPr>
          <w:lang w:val="fr-FR"/>
        </w:rPr>
        <w:t>’</w:t>
      </w:r>
      <w:r w:rsidRPr="00A779B8">
        <w:rPr>
          <w:lang w:val="fr-FR"/>
        </w:rPr>
        <w:t>étalonnage, on doit aussi vérifier qu</w:t>
      </w:r>
      <w:r w:rsidR="00DB4C2D">
        <w:rPr>
          <w:lang w:val="fr-FR"/>
        </w:rPr>
        <w:t>’</w:t>
      </w:r>
      <w:r w:rsidRPr="00A779B8">
        <w:rPr>
          <w:lang w:val="fr-FR"/>
        </w:rPr>
        <w:t>il est satisfait aux prescriptions du paragraphe 1.3.4.8</w:t>
      </w:r>
      <w:r>
        <w:rPr>
          <w:lang w:val="fr-FR"/>
        </w:rPr>
        <w:t xml:space="preserve"> du présent appendice</w:t>
      </w:r>
      <w:r w:rsidRPr="00A779B8">
        <w:rPr>
          <w:lang w:val="fr-FR"/>
        </w:rPr>
        <w:t xml:space="preserve"> concernant l</w:t>
      </w:r>
      <w:r w:rsidR="00DB4C2D">
        <w:rPr>
          <w:lang w:val="fr-FR"/>
        </w:rPr>
        <w:t>’</w:t>
      </w:r>
      <w:r w:rsidRPr="00A779B8">
        <w:rPr>
          <w:lang w:val="fr-FR"/>
        </w:rPr>
        <w:t>efficacité avec laquelle le PNC détecte les particules ayant un diamètre de mobilité électrique de 23 nm. Le contrôle de l</w:t>
      </w:r>
      <w:r w:rsidR="00DB4C2D">
        <w:rPr>
          <w:lang w:val="fr-FR"/>
        </w:rPr>
        <w:t>’</w:t>
      </w:r>
      <w:r w:rsidRPr="00A779B8">
        <w:rPr>
          <w:lang w:val="fr-FR"/>
        </w:rPr>
        <w:t>efficacité de comptage des particules de 41 nm n</w:t>
      </w:r>
      <w:r w:rsidR="00DB4C2D">
        <w:rPr>
          <w:lang w:val="fr-FR"/>
        </w:rPr>
        <w:t>’</w:t>
      </w:r>
      <w:r w:rsidRPr="00A779B8">
        <w:rPr>
          <w:lang w:val="fr-FR"/>
        </w:rPr>
        <w:t>est pas obligatoire.</w:t>
      </w:r>
    </w:p>
    <w:p w:rsidR="006E5069" w:rsidRPr="00A779B8" w:rsidRDefault="006E5069" w:rsidP="006E5069">
      <w:pPr>
        <w:pStyle w:val="SingleTxtG"/>
        <w:ind w:left="2268" w:hanging="1134"/>
        <w:rPr>
          <w:lang w:val="fr-FR"/>
        </w:rPr>
      </w:pPr>
      <w:r w:rsidRPr="00A779B8">
        <w:rPr>
          <w:lang w:val="fr-FR"/>
        </w:rPr>
        <w:t>2.2</w:t>
      </w:r>
      <w:r w:rsidRPr="00A779B8">
        <w:rPr>
          <w:lang w:val="fr-FR"/>
        </w:rPr>
        <w:tab/>
        <w:t>Étalonnage/validation du séparateur de particules volatiles (VPR)</w:t>
      </w:r>
    </w:p>
    <w:p w:rsidR="006E5069" w:rsidRPr="00A779B8" w:rsidRDefault="006E5069" w:rsidP="006E5069">
      <w:pPr>
        <w:pStyle w:val="SingleTxtG"/>
        <w:ind w:left="2268" w:hanging="1134"/>
        <w:rPr>
          <w:lang w:val="fr-FR"/>
        </w:rPr>
      </w:pPr>
      <w:r w:rsidRPr="00A779B8">
        <w:rPr>
          <w:lang w:val="fr-FR"/>
        </w:rPr>
        <w:t>2.2.1</w:t>
      </w:r>
      <w:r w:rsidRPr="00A779B8">
        <w:rPr>
          <w:lang w:val="fr-FR"/>
        </w:rPr>
        <w:tab/>
        <w:t>II doit être procédé à l</w:t>
      </w:r>
      <w:r w:rsidR="00DB4C2D">
        <w:rPr>
          <w:lang w:val="fr-FR"/>
        </w:rPr>
        <w:t>’</w:t>
      </w:r>
      <w:r w:rsidRPr="00A779B8">
        <w:rPr>
          <w:lang w:val="fr-FR"/>
        </w:rPr>
        <w:t>étalonnage des facteurs de réduction de la concentration de particules applicable au VPR sur toute la plage de réglages de dilution, aux températures nominales fixes de fonctionnement de l</w:t>
      </w:r>
      <w:r w:rsidR="00DB4C2D">
        <w:rPr>
          <w:lang w:val="fr-FR"/>
        </w:rPr>
        <w:t>’</w:t>
      </w:r>
      <w:r w:rsidRPr="00A779B8">
        <w:rPr>
          <w:lang w:val="fr-FR"/>
        </w:rPr>
        <w:t>instrument, lorsque le dispositif est neuf ou après une opération d</w:t>
      </w:r>
      <w:r w:rsidR="00DB4C2D">
        <w:rPr>
          <w:lang w:val="fr-FR"/>
        </w:rPr>
        <w:t>’</w:t>
      </w:r>
      <w:r w:rsidRPr="00A779B8">
        <w:rPr>
          <w:lang w:val="fr-FR"/>
        </w:rPr>
        <w:t>entretien importante. La seule obligation concernant la validation périodique du facteur de réduction de la concentration de particules applicable au VPR consiste à effectuer un contrôle dans une seule station d</w:t>
      </w:r>
      <w:r w:rsidR="00DB4C2D">
        <w:rPr>
          <w:lang w:val="fr-FR"/>
        </w:rPr>
        <w:t>’</w:t>
      </w:r>
      <w:r w:rsidRPr="00A779B8">
        <w:rPr>
          <w:lang w:val="fr-FR"/>
        </w:rPr>
        <w:t>essai, caractéristique de celles où on procède aux mesures sur les véhicules diesel équipés d</w:t>
      </w:r>
      <w:r w:rsidR="00DB4C2D">
        <w:rPr>
          <w:lang w:val="fr-FR"/>
        </w:rPr>
        <w:t>’</w:t>
      </w:r>
      <w:r w:rsidRPr="00A779B8">
        <w:rPr>
          <w:lang w:val="fr-FR"/>
        </w:rPr>
        <w:t>un filtre à particules. Le service technique doit s</w:t>
      </w:r>
      <w:r w:rsidR="00DB4C2D">
        <w:rPr>
          <w:lang w:val="fr-FR"/>
        </w:rPr>
        <w:t>’</w:t>
      </w:r>
      <w:r w:rsidRPr="00A779B8">
        <w:rPr>
          <w:lang w:val="fr-FR"/>
        </w:rPr>
        <w:t>assurer qu</w:t>
      </w:r>
      <w:r w:rsidR="00DB4C2D">
        <w:rPr>
          <w:lang w:val="fr-FR"/>
        </w:rPr>
        <w:t>’</w:t>
      </w:r>
      <w:r w:rsidRPr="00A779B8">
        <w:rPr>
          <w:lang w:val="fr-FR"/>
        </w:rPr>
        <w:t>il existe un certificat d</w:t>
      </w:r>
      <w:r w:rsidR="00DB4C2D">
        <w:rPr>
          <w:lang w:val="fr-FR"/>
        </w:rPr>
        <w:t>’</w:t>
      </w:r>
      <w:r w:rsidRPr="00A779B8">
        <w:rPr>
          <w:lang w:val="fr-FR"/>
        </w:rPr>
        <w:t>étalonnage ou de validation du séparateur de particules volatiles, établi dans les 6 mois précédant l</w:t>
      </w:r>
      <w:r w:rsidR="00DB4C2D">
        <w:rPr>
          <w:lang w:val="fr-FR"/>
        </w:rPr>
        <w:t>’</w:t>
      </w:r>
      <w:r w:rsidRPr="00A779B8">
        <w:rPr>
          <w:lang w:val="fr-FR"/>
        </w:rPr>
        <w:t>essai d</w:t>
      </w:r>
      <w:r w:rsidR="00DB4C2D">
        <w:rPr>
          <w:lang w:val="fr-FR"/>
        </w:rPr>
        <w:t>’</w:t>
      </w:r>
      <w:r w:rsidRPr="00A779B8">
        <w:rPr>
          <w:lang w:val="fr-FR"/>
        </w:rPr>
        <w:t>émissions. Si l</w:t>
      </w:r>
      <w:r w:rsidR="00DB4C2D">
        <w:rPr>
          <w:lang w:val="fr-FR"/>
        </w:rPr>
        <w:t>’</w:t>
      </w:r>
      <w:r w:rsidRPr="00A779B8">
        <w:rPr>
          <w:lang w:val="fr-FR"/>
        </w:rPr>
        <w:t>instrument est équipé de dispositifs d</w:t>
      </w:r>
      <w:r w:rsidR="00DB4C2D">
        <w:rPr>
          <w:lang w:val="fr-FR"/>
        </w:rPr>
        <w:t>’</w:t>
      </w:r>
      <w:r w:rsidRPr="00A779B8">
        <w:rPr>
          <w:lang w:val="fr-FR"/>
        </w:rPr>
        <w:t>alerte pour la surveillance de la température, l</w:t>
      </w:r>
      <w:r w:rsidR="00DB4C2D">
        <w:rPr>
          <w:lang w:val="fr-FR"/>
        </w:rPr>
        <w:t>’</w:t>
      </w:r>
      <w:r w:rsidRPr="00A779B8">
        <w:rPr>
          <w:lang w:val="fr-FR"/>
        </w:rPr>
        <w:t>intervalle entre deux validations peut être de 12 mois.</w:t>
      </w:r>
    </w:p>
    <w:p w:rsidR="006E5069" w:rsidRPr="00A779B8" w:rsidRDefault="006E5069" w:rsidP="006E5069">
      <w:pPr>
        <w:pStyle w:val="SingleTxtG"/>
        <w:ind w:left="2268"/>
        <w:rPr>
          <w:lang w:val="fr-FR"/>
        </w:rPr>
      </w:pPr>
      <w:r w:rsidRPr="00A779B8">
        <w:rPr>
          <w:lang w:val="fr-FR"/>
        </w:rPr>
        <w:t>Les caractéristiques du VPR doivent être déterminées quant au facteur de réduction de la concentration de particules avec des particules solides ayant un diamètre de mobilité électrique de 30 nm, 50 nm et 100 nm. Les facteurs de réduction de la concentration de particules (</w:t>
      </w:r>
      <w:proofErr w:type="spellStart"/>
      <w:r w:rsidRPr="00A779B8">
        <w:rPr>
          <w:lang w:val="fr-FR"/>
        </w:rPr>
        <w:t>f</w:t>
      </w:r>
      <w:r w:rsidRPr="00A779B8">
        <w:rPr>
          <w:vertAlign w:val="subscript"/>
          <w:lang w:val="fr-FR"/>
        </w:rPr>
        <w:t>r</w:t>
      </w:r>
      <w:proofErr w:type="spellEnd"/>
      <w:r w:rsidRPr="00A779B8">
        <w:rPr>
          <w:lang w:val="fr-FR"/>
        </w:rPr>
        <w:t>(d)) pour les particules d</w:t>
      </w:r>
      <w:r w:rsidR="00DB4C2D">
        <w:rPr>
          <w:lang w:val="fr-FR"/>
        </w:rPr>
        <w:t>’</w:t>
      </w:r>
      <w:r w:rsidRPr="00A779B8">
        <w:rPr>
          <w:lang w:val="fr-FR"/>
        </w:rPr>
        <w:t xml:space="preserve">un diamètre de mobilité électrique de 30 nm et 50 nm ne doivent pas être </w:t>
      </w:r>
      <w:r w:rsidRPr="00A779B8">
        <w:rPr>
          <w:lang w:val="fr-FR"/>
        </w:rPr>
        <w:lastRenderedPageBreak/>
        <w:t>supérieurs de plus de 30 % et de plus de 20 % respectivement ni inférieurs de plus de 5 % à ceux obtenus pour les particules d</w:t>
      </w:r>
      <w:r w:rsidR="00DB4C2D">
        <w:rPr>
          <w:lang w:val="fr-FR"/>
        </w:rPr>
        <w:t>’</w:t>
      </w:r>
      <w:r w:rsidRPr="00A779B8">
        <w:rPr>
          <w:lang w:val="fr-FR"/>
        </w:rPr>
        <w:t>un diamètre de mobilité électrique de 100 nm. Aux fins de validation, le facteur moyen de réduction de la concentration de particules ne doit pas s</w:t>
      </w:r>
      <w:r w:rsidR="00DB4C2D">
        <w:rPr>
          <w:lang w:val="fr-FR"/>
        </w:rPr>
        <w:t>’</w:t>
      </w:r>
      <w:r w:rsidRPr="00A779B8">
        <w:rPr>
          <w:lang w:val="fr-FR"/>
        </w:rPr>
        <w:t xml:space="preserve">écarter de plus de </w:t>
      </w:r>
      <w:r w:rsidRPr="00A779B8">
        <w:rPr>
          <w:lang w:val="fr-FR"/>
        </w:rPr>
        <w:sym w:font="Symbol" w:char="F0B1"/>
      </w:r>
      <w:r w:rsidRPr="00A779B8">
        <w:rPr>
          <w:lang w:val="fr-FR"/>
        </w:rPr>
        <w:t>10 % du facteur moyen de réduction (</w:t>
      </w:r>
      <w:r w:rsidRPr="00A779B8">
        <w:rPr>
          <w:spacing w:val="-3"/>
          <w:position w:val="-10"/>
          <w:lang w:val="fr-FR"/>
        </w:rPr>
        <w:object w:dxaOrig="300" w:dyaOrig="380">
          <v:shape id="_x0000_i1099" type="#_x0000_t75" style="width:12.9pt;height:15.6pt" o:ole="">
            <v:imagedata r:id="rId188" o:title=""/>
          </v:shape>
          <o:OLEObject Type="Embed" ProgID="Equation.3" ShapeID="_x0000_i1099" DrawAspect="Content" ObjectID="_1490178455" r:id="rId189"/>
        </w:object>
      </w:r>
      <w:r w:rsidRPr="00A779B8">
        <w:rPr>
          <w:lang w:val="fr-FR"/>
        </w:rPr>
        <w:t>) déterminé lors du premier étalonnage du VPR.</w:t>
      </w:r>
    </w:p>
    <w:p w:rsidR="006E5069" w:rsidRPr="00A779B8" w:rsidRDefault="006E5069" w:rsidP="006E5069">
      <w:pPr>
        <w:pStyle w:val="SingleTxtG"/>
        <w:ind w:left="2268" w:hanging="1134"/>
        <w:rPr>
          <w:lang w:val="fr-FR"/>
        </w:rPr>
      </w:pPr>
      <w:r w:rsidRPr="00A779B8">
        <w:rPr>
          <w:lang w:val="fr-FR"/>
        </w:rPr>
        <w:t>2.2.2</w:t>
      </w:r>
      <w:r w:rsidRPr="00A779B8">
        <w:rPr>
          <w:lang w:val="fr-FR"/>
        </w:rPr>
        <w:tab/>
        <w:t>L</w:t>
      </w:r>
      <w:r w:rsidR="00DB4C2D">
        <w:rPr>
          <w:lang w:val="fr-FR"/>
        </w:rPr>
        <w:t>’</w:t>
      </w:r>
      <w:r w:rsidRPr="00A779B8">
        <w:rPr>
          <w:lang w:val="fr-FR"/>
        </w:rPr>
        <w:t>aérosol d</w:t>
      </w:r>
      <w:r w:rsidR="00DB4C2D">
        <w:rPr>
          <w:lang w:val="fr-FR"/>
        </w:rPr>
        <w:t>’</w:t>
      </w:r>
      <w:r w:rsidRPr="00A779B8">
        <w:rPr>
          <w:lang w:val="fr-FR"/>
        </w:rPr>
        <w:t>essai utilisé pour ces mesures est constitué de particules solides d</w:t>
      </w:r>
      <w:r w:rsidR="00DB4C2D">
        <w:rPr>
          <w:lang w:val="fr-FR"/>
        </w:rPr>
        <w:t>’</w:t>
      </w:r>
      <w:r w:rsidRPr="00A779B8">
        <w:rPr>
          <w:lang w:val="fr-FR"/>
        </w:rPr>
        <w:t>un diamètre de mobilité électrique de 30, 50 et 100 nm, avec une concentration minimale de 5 000 particules cm</w:t>
      </w:r>
      <w:r w:rsidRPr="00A779B8">
        <w:rPr>
          <w:vertAlign w:val="superscript"/>
          <w:lang w:val="fr-FR"/>
        </w:rPr>
        <w:t>-3</w:t>
      </w:r>
      <w:r w:rsidRPr="00A779B8">
        <w:rPr>
          <w:lang w:val="fr-FR"/>
        </w:rPr>
        <w:t xml:space="preserve"> à l</w:t>
      </w:r>
      <w:r w:rsidR="00DB4C2D">
        <w:rPr>
          <w:lang w:val="fr-FR"/>
        </w:rPr>
        <w:t>’</w:t>
      </w:r>
      <w:r w:rsidRPr="00A779B8">
        <w:rPr>
          <w:lang w:val="fr-FR"/>
        </w:rPr>
        <w:t xml:space="preserve">entrée du VPR. Les concentrations de particules sont mesurées en amont et en aval des composants. </w:t>
      </w:r>
    </w:p>
    <w:p w:rsidR="006E5069" w:rsidRPr="00A779B8" w:rsidRDefault="006E5069" w:rsidP="006E5069">
      <w:pPr>
        <w:pStyle w:val="SingleTxtG"/>
        <w:ind w:left="2268"/>
        <w:rPr>
          <w:lang w:val="fr-FR"/>
        </w:rPr>
      </w:pPr>
      <w:r w:rsidRPr="00A779B8">
        <w:rPr>
          <w:lang w:val="fr-FR"/>
        </w:rPr>
        <w:t>Le facteur de réduction de la concentration des particules pour chaque granulométrie (</w:t>
      </w:r>
      <w:proofErr w:type="spellStart"/>
      <w:r w:rsidRPr="00A779B8">
        <w:rPr>
          <w:lang w:val="fr-FR"/>
        </w:rPr>
        <w:t>f</w:t>
      </w:r>
      <w:r w:rsidRPr="00A779B8">
        <w:rPr>
          <w:vertAlign w:val="subscript"/>
          <w:lang w:val="fr-FR"/>
        </w:rPr>
        <w:t>r</w:t>
      </w:r>
      <w:proofErr w:type="spellEnd"/>
      <w:r w:rsidRPr="00A779B8">
        <w:rPr>
          <w:lang w:val="fr-FR"/>
        </w:rPr>
        <w:t>(di)) est calculé comme suit:</w:t>
      </w:r>
    </w:p>
    <w:p w:rsidR="006E5069" w:rsidRPr="00A779B8" w:rsidRDefault="006E5069" w:rsidP="006E5069">
      <w:pPr>
        <w:pBdr>
          <w:top w:val="single" w:sz="6" w:space="0" w:color="FFFFFF"/>
          <w:left w:val="single" w:sz="6" w:space="0" w:color="FFFFFF"/>
          <w:bottom w:val="single" w:sz="6" w:space="0" w:color="FFFFFF"/>
          <w:right w:val="single" w:sz="6" w:space="0" w:color="FFFFFF"/>
        </w:pBdr>
        <w:spacing w:after="120"/>
        <w:ind w:left="2268"/>
        <w:rPr>
          <w:lang w:val="fr-FR"/>
        </w:rPr>
      </w:pPr>
      <w:r w:rsidRPr="00A779B8">
        <w:rPr>
          <w:color w:val="000000"/>
          <w:position w:val="-26"/>
          <w:lang w:val="fr-FR"/>
        </w:rPr>
        <w:object w:dxaOrig="1480" w:dyaOrig="580">
          <v:shape id="_x0000_i1100" type="#_x0000_t75" style="width:74.05pt;height:29.2pt" o:ole="">
            <v:imagedata r:id="rId190" o:title=""/>
          </v:shape>
          <o:OLEObject Type="Embed" ProgID="Equation.3" ShapeID="_x0000_i1100" DrawAspect="Content" ObjectID="_1490178456" r:id="rId191"/>
        </w:object>
      </w:r>
    </w:p>
    <w:p w:rsidR="006E5069" w:rsidRPr="00A779B8" w:rsidRDefault="006E5069" w:rsidP="006E5069">
      <w:pPr>
        <w:pStyle w:val="SingleTxtG"/>
        <w:keepNext/>
        <w:tabs>
          <w:tab w:val="left" w:pos="3119"/>
          <w:tab w:val="left" w:pos="3403"/>
        </w:tabs>
        <w:ind w:left="2268" w:right="0"/>
        <w:jc w:val="left"/>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6E5069" w:rsidRPr="007E29C4" w:rsidTr="00A36982">
        <w:tc>
          <w:tcPr>
            <w:tcW w:w="567" w:type="dxa"/>
            <w:shd w:val="clear" w:color="auto" w:fill="auto"/>
          </w:tcPr>
          <w:p w:rsidR="006E5069" w:rsidRPr="007E29C4" w:rsidRDefault="006E5069" w:rsidP="00A36982">
            <w:pPr>
              <w:pStyle w:val="SingleTxtG"/>
              <w:ind w:left="0" w:right="0"/>
              <w:jc w:val="left"/>
              <w:rPr>
                <w:lang w:val="fr-FR"/>
              </w:rPr>
            </w:pPr>
            <w:r w:rsidRPr="007E29C4">
              <w:rPr>
                <w:lang w:val="fr-FR"/>
              </w:rPr>
              <w:t>N</w:t>
            </w:r>
            <w:r w:rsidRPr="007E29C4">
              <w:rPr>
                <w:vertAlign w:val="subscript"/>
                <w:lang w:val="fr-FR"/>
              </w:rPr>
              <w:t>in</w:t>
            </w:r>
            <w:r w:rsidRPr="007E29C4">
              <w:rPr>
                <w:lang w:val="fr-FR"/>
              </w:rPr>
              <w:t>(d</w:t>
            </w:r>
            <w:r w:rsidRPr="007E29C4">
              <w:rPr>
                <w:vertAlign w:val="subscript"/>
                <w:lang w:val="fr-FR"/>
              </w:rPr>
              <w:t>i</w:t>
            </w:r>
            <w:r w:rsidRPr="007E29C4">
              <w:rPr>
                <w:lang w:val="fr-FR"/>
              </w:rPr>
              <w:t>)</w:t>
            </w:r>
          </w:p>
        </w:tc>
        <w:tc>
          <w:tcPr>
            <w:tcW w:w="284" w:type="dxa"/>
            <w:shd w:val="clear" w:color="auto" w:fill="auto"/>
          </w:tcPr>
          <w:p w:rsidR="006E5069" w:rsidRPr="007E29C4" w:rsidRDefault="006E5069" w:rsidP="00A36982">
            <w:pPr>
              <w:pStyle w:val="SingleTxtG"/>
              <w:ind w:left="0" w:right="0"/>
              <w:jc w:val="left"/>
              <w:rPr>
                <w:lang w:val="fr-FR"/>
              </w:rPr>
            </w:pPr>
            <w:r w:rsidRPr="007E29C4">
              <w:rPr>
                <w:lang w:val="fr-FR"/>
              </w:rPr>
              <w:t>=</w:t>
            </w:r>
          </w:p>
        </w:tc>
        <w:tc>
          <w:tcPr>
            <w:tcW w:w="5103" w:type="dxa"/>
            <w:shd w:val="clear" w:color="auto" w:fill="auto"/>
          </w:tcPr>
          <w:p w:rsidR="006E5069" w:rsidRPr="007E29C4" w:rsidRDefault="006E5069" w:rsidP="00A36982">
            <w:pPr>
              <w:pStyle w:val="SingleTxtG"/>
              <w:ind w:left="0" w:right="0"/>
              <w:jc w:val="left"/>
              <w:rPr>
                <w:lang w:val="fr-FR"/>
              </w:rPr>
            </w:pPr>
            <w:r w:rsidRPr="007E29C4">
              <w:rPr>
                <w:lang w:val="fr-FR"/>
              </w:rPr>
              <w:t>concentration en particules de diamètre d</w:t>
            </w:r>
            <w:r w:rsidRPr="007E29C4">
              <w:rPr>
                <w:vertAlign w:val="subscript"/>
                <w:lang w:val="fr-FR"/>
              </w:rPr>
              <w:t>i</w:t>
            </w:r>
            <w:r w:rsidRPr="007E29C4">
              <w:rPr>
                <w:lang w:val="fr-FR"/>
              </w:rPr>
              <w:t xml:space="preserve"> en amont,</w:t>
            </w:r>
          </w:p>
        </w:tc>
      </w:tr>
      <w:tr w:rsidR="006E5069" w:rsidRPr="007E29C4" w:rsidTr="00A36982">
        <w:tc>
          <w:tcPr>
            <w:tcW w:w="567" w:type="dxa"/>
            <w:shd w:val="clear" w:color="auto" w:fill="auto"/>
          </w:tcPr>
          <w:p w:rsidR="006E5069" w:rsidRPr="007E29C4" w:rsidRDefault="006E5069" w:rsidP="00A36982">
            <w:pPr>
              <w:pStyle w:val="SingleTxtG"/>
              <w:ind w:left="0" w:right="0"/>
              <w:jc w:val="left"/>
              <w:rPr>
                <w:lang w:val="fr-FR"/>
              </w:rPr>
            </w:pPr>
            <w:proofErr w:type="spellStart"/>
            <w:r w:rsidRPr="007E29C4">
              <w:rPr>
                <w:lang w:val="fr-FR"/>
              </w:rPr>
              <w:t>N</w:t>
            </w:r>
            <w:r w:rsidRPr="007E29C4">
              <w:rPr>
                <w:vertAlign w:val="subscript"/>
                <w:lang w:val="fr-FR"/>
              </w:rPr>
              <w:t>out</w:t>
            </w:r>
            <w:proofErr w:type="spellEnd"/>
            <w:r w:rsidRPr="007E29C4">
              <w:rPr>
                <w:lang w:val="fr-FR"/>
              </w:rPr>
              <w:t>(d</w:t>
            </w:r>
            <w:r w:rsidRPr="007E29C4">
              <w:rPr>
                <w:vertAlign w:val="subscript"/>
                <w:lang w:val="fr-FR"/>
              </w:rPr>
              <w:t>i</w:t>
            </w:r>
            <w:r w:rsidRPr="007E29C4">
              <w:rPr>
                <w:lang w:val="fr-FR"/>
              </w:rPr>
              <w:t>)</w:t>
            </w:r>
          </w:p>
        </w:tc>
        <w:tc>
          <w:tcPr>
            <w:tcW w:w="284" w:type="dxa"/>
            <w:shd w:val="clear" w:color="auto" w:fill="auto"/>
          </w:tcPr>
          <w:p w:rsidR="006E5069" w:rsidRPr="007E29C4" w:rsidRDefault="006E5069" w:rsidP="00A36982">
            <w:pPr>
              <w:pStyle w:val="SingleTxtG"/>
              <w:ind w:left="0" w:right="0"/>
              <w:jc w:val="left"/>
              <w:rPr>
                <w:lang w:val="fr-FR"/>
              </w:rPr>
            </w:pPr>
            <w:r w:rsidRPr="007E29C4">
              <w:rPr>
                <w:lang w:val="fr-FR"/>
              </w:rPr>
              <w:t>=</w:t>
            </w:r>
          </w:p>
        </w:tc>
        <w:tc>
          <w:tcPr>
            <w:tcW w:w="5103" w:type="dxa"/>
            <w:shd w:val="clear" w:color="auto" w:fill="auto"/>
          </w:tcPr>
          <w:p w:rsidR="006E5069" w:rsidRPr="007E29C4" w:rsidRDefault="006E5069" w:rsidP="00A36982">
            <w:pPr>
              <w:pStyle w:val="SingleTxtG"/>
              <w:ind w:left="0" w:right="0"/>
              <w:jc w:val="left"/>
              <w:rPr>
                <w:lang w:val="fr-FR"/>
              </w:rPr>
            </w:pPr>
            <w:r w:rsidRPr="007E29C4">
              <w:rPr>
                <w:lang w:val="fr-FR"/>
              </w:rPr>
              <w:t>concentration en particules de diamètre d</w:t>
            </w:r>
            <w:r w:rsidRPr="007E29C4">
              <w:rPr>
                <w:vertAlign w:val="subscript"/>
                <w:lang w:val="fr-FR"/>
              </w:rPr>
              <w:t>i</w:t>
            </w:r>
            <w:r w:rsidRPr="007E29C4">
              <w:rPr>
                <w:lang w:val="fr-FR"/>
              </w:rPr>
              <w:t xml:space="preserve"> en aval,</w:t>
            </w:r>
          </w:p>
        </w:tc>
      </w:tr>
      <w:tr w:rsidR="006E5069" w:rsidRPr="007E29C4" w:rsidTr="00A36982">
        <w:tc>
          <w:tcPr>
            <w:tcW w:w="567" w:type="dxa"/>
            <w:shd w:val="clear" w:color="auto" w:fill="auto"/>
          </w:tcPr>
          <w:p w:rsidR="006E5069" w:rsidRPr="007E29C4" w:rsidRDefault="006E5069" w:rsidP="00A36982">
            <w:pPr>
              <w:pStyle w:val="SingleTxtG"/>
              <w:ind w:left="0" w:right="0"/>
              <w:jc w:val="left"/>
              <w:rPr>
                <w:lang w:val="fr-FR"/>
              </w:rPr>
            </w:pPr>
            <w:r w:rsidRPr="007E29C4">
              <w:rPr>
                <w:lang w:val="fr-FR"/>
              </w:rPr>
              <w:t>d</w:t>
            </w:r>
            <w:r w:rsidRPr="007E29C4">
              <w:rPr>
                <w:vertAlign w:val="subscript"/>
                <w:lang w:val="fr-FR"/>
              </w:rPr>
              <w:t>i</w:t>
            </w:r>
          </w:p>
        </w:tc>
        <w:tc>
          <w:tcPr>
            <w:tcW w:w="284" w:type="dxa"/>
            <w:shd w:val="clear" w:color="auto" w:fill="auto"/>
          </w:tcPr>
          <w:p w:rsidR="006E5069" w:rsidRPr="007E29C4" w:rsidRDefault="006E5069" w:rsidP="00A36982">
            <w:pPr>
              <w:pStyle w:val="SingleTxtG"/>
              <w:ind w:left="0" w:right="0"/>
              <w:jc w:val="left"/>
              <w:rPr>
                <w:lang w:val="fr-FR"/>
              </w:rPr>
            </w:pPr>
            <w:r w:rsidRPr="007E29C4">
              <w:rPr>
                <w:lang w:val="fr-FR"/>
              </w:rPr>
              <w:t>=</w:t>
            </w:r>
          </w:p>
        </w:tc>
        <w:tc>
          <w:tcPr>
            <w:tcW w:w="5103" w:type="dxa"/>
            <w:shd w:val="clear" w:color="auto" w:fill="auto"/>
          </w:tcPr>
          <w:p w:rsidR="006E5069" w:rsidRPr="007E29C4" w:rsidRDefault="006E5069" w:rsidP="00A36982">
            <w:pPr>
              <w:pStyle w:val="SingleTxtG"/>
              <w:ind w:left="0" w:right="0"/>
              <w:jc w:val="left"/>
              <w:rPr>
                <w:lang w:val="fr-FR"/>
              </w:rPr>
            </w:pPr>
            <w:r w:rsidRPr="007E29C4">
              <w:rPr>
                <w:lang w:val="fr-FR"/>
              </w:rPr>
              <w:t>diamètre de mobilité électrique des particules (30, 50 ou 100 nm).</w:t>
            </w:r>
          </w:p>
        </w:tc>
      </w:tr>
    </w:tbl>
    <w:p w:rsidR="006E5069" w:rsidRPr="00A779B8" w:rsidRDefault="006E5069" w:rsidP="006E5069">
      <w:pPr>
        <w:pStyle w:val="SingleTxtG"/>
        <w:spacing w:before="120"/>
        <w:ind w:left="2268"/>
        <w:rPr>
          <w:lang w:val="fr-FR"/>
        </w:rPr>
      </w:pPr>
      <w:r w:rsidRPr="00A779B8">
        <w:rPr>
          <w:lang w:val="fr-FR"/>
        </w:rPr>
        <w:t>N</w:t>
      </w:r>
      <w:r w:rsidRPr="00A779B8">
        <w:rPr>
          <w:vertAlign w:val="subscript"/>
          <w:lang w:val="fr-FR"/>
        </w:rPr>
        <w:t>in</w:t>
      </w:r>
      <w:r w:rsidRPr="00A779B8">
        <w:rPr>
          <w:lang w:val="fr-FR"/>
        </w:rPr>
        <w:t>(d</w:t>
      </w:r>
      <w:r w:rsidRPr="00A779B8">
        <w:rPr>
          <w:vertAlign w:val="subscript"/>
          <w:lang w:val="fr-FR"/>
        </w:rPr>
        <w:t>i</w:t>
      </w:r>
      <w:r w:rsidRPr="00A779B8">
        <w:rPr>
          <w:lang w:val="fr-FR"/>
        </w:rPr>
        <w:t xml:space="preserve">) et </w:t>
      </w:r>
      <w:proofErr w:type="spellStart"/>
      <w:r w:rsidRPr="00A779B8">
        <w:rPr>
          <w:lang w:val="fr-FR"/>
        </w:rPr>
        <w:t>N</w:t>
      </w:r>
      <w:r w:rsidRPr="00A779B8">
        <w:rPr>
          <w:vertAlign w:val="subscript"/>
          <w:lang w:val="fr-FR"/>
        </w:rPr>
        <w:t>out</w:t>
      </w:r>
      <w:proofErr w:type="spellEnd"/>
      <w:r w:rsidRPr="00A779B8">
        <w:rPr>
          <w:lang w:val="fr-FR"/>
        </w:rPr>
        <w:t>(d</w:t>
      </w:r>
      <w:r w:rsidRPr="00A779B8">
        <w:rPr>
          <w:vertAlign w:val="subscript"/>
          <w:lang w:val="fr-FR"/>
        </w:rPr>
        <w:t>i</w:t>
      </w:r>
      <w:r w:rsidRPr="00A779B8">
        <w:rPr>
          <w:lang w:val="fr-FR"/>
        </w:rPr>
        <w:t>) sont corrigés dans les mêmes conditions.</w:t>
      </w:r>
    </w:p>
    <w:p w:rsidR="006E5069" w:rsidRPr="00A779B8" w:rsidRDefault="006E5069" w:rsidP="006E5069">
      <w:pPr>
        <w:pStyle w:val="SingleTxtG"/>
        <w:ind w:left="2268"/>
        <w:rPr>
          <w:lang w:val="fr-FR"/>
        </w:rPr>
      </w:pPr>
      <w:r w:rsidRPr="00A779B8">
        <w:rPr>
          <w:lang w:val="fr-FR"/>
        </w:rPr>
        <w:t>La réduction moyenne de la concentration en particules (</w:t>
      </w:r>
      <w:r w:rsidRPr="00A779B8">
        <w:rPr>
          <w:position w:val="-10"/>
          <w:lang w:val="fr-FR"/>
        </w:rPr>
        <w:object w:dxaOrig="300" w:dyaOrig="380">
          <v:shape id="_x0000_i1101" type="#_x0000_t75" style="width:14.95pt;height:19pt" o:ole="">
            <v:imagedata r:id="rId188" o:title=""/>
          </v:shape>
          <o:OLEObject Type="Embed" ProgID="Equation.3" ShapeID="_x0000_i1101" DrawAspect="Content" ObjectID="_1490178457" r:id="rId192"/>
        </w:object>
      </w:r>
      <w:r w:rsidRPr="00A779B8">
        <w:rPr>
          <w:lang w:val="fr-FR"/>
        </w:rPr>
        <w:t>) pour un niveau de dilution donné est calculée comme suit:</w:t>
      </w:r>
    </w:p>
    <w:p w:rsidR="006E5069" w:rsidRPr="00A779B8" w:rsidRDefault="009D55DD" w:rsidP="006E5069">
      <w:pPr>
        <w:pBdr>
          <w:top w:val="single" w:sz="6" w:space="0" w:color="FFFFFF"/>
          <w:left w:val="single" w:sz="6" w:space="0" w:color="FFFFFF"/>
          <w:bottom w:val="single" w:sz="6" w:space="0" w:color="FFFFFF"/>
          <w:right w:val="single" w:sz="6" w:space="0" w:color="FFFFFF"/>
        </w:pBdr>
        <w:ind w:left="2268"/>
        <w:rPr>
          <w:lang w:val="fr-FR"/>
        </w:rPr>
      </w:pPr>
      <w:r>
        <w:rPr>
          <w:noProof/>
          <w:position w:val="-22"/>
          <w:lang w:val="en-US"/>
        </w:rPr>
        <w:drawing>
          <wp:inline distT="0" distB="0" distL="0" distR="0">
            <wp:extent cx="1992630" cy="353695"/>
            <wp:effectExtent l="0" t="0" r="7620" b="825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992630" cy="353695"/>
                    </a:xfrm>
                    <a:prstGeom prst="rect">
                      <a:avLst/>
                    </a:prstGeom>
                    <a:noFill/>
                    <a:ln>
                      <a:noFill/>
                    </a:ln>
                  </pic:spPr>
                </pic:pic>
              </a:graphicData>
            </a:graphic>
          </wp:inline>
        </w:drawing>
      </w:r>
    </w:p>
    <w:p w:rsidR="006E5069" w:rsidRPr="00A779B8" w:rsidRDefault="006E5069" w:rsidP="006E5069">
      <w:pPr>
        <w:pStyle w:val="SingleTxtG"/>
        <w:ind w:left="2268"/>
        <w:rPr>
          <w:bCs/>
          <w:lang w:val="fr-FR"/>
        </w:rPr>
      </w:pPr>
      <w:r w:rsidRPr="00A779B8">
        <w:rPr>
          <w:lang w:val="fr-FR"/>
        </w:rPr>
        <w:t>Il est recommandé d</w:t>
      </w:r>
      <w:r w:rsidR="00DB4C2D">
        <w:rPr>
          <w:lang w:val="fr-FR"/>
        </w:rPr>
        <w:t>’</w:t>
      </w:r>
      <w:r w:rsidRPr="00A779B8">
        <w:rPr>
          <w:lang w:val="fr-FR"/>
        </w:rPr>
        <w:t>étalonner et de valider le VPR comme une unité complète.</w:t>
      </w:r>
    </w:p>
    <w:p w:rsidR="006E5069" w:rsidRPr="00A779B8" w:rsidRDefault="006E5069" w:rsidP="006E5069">
      <w:pPr>
        <w:pStyle w:val="SingleTxtG"/>
        <w:ind w:left="2268" w:hanging="1134"/>
        <w:rPr>
          <w:bCs/>
          <w:lang w:val="fr-FR"/>
        </w:rPr>
      </w:pPr>
      <w:r w:rsidRPr="00A779B8">
        <w:rPr>
          <w:lang w:val="fr-FR"/>
        </w:rPr>
        <w:t>2.2.3</w:t>
      </w:r>
      <w:r w:rsidRPr="00A779B8">
        <w:rPr>
          <w:lang w:val="fr-FR"/>
        </w:rPr>
        <w:tab/>
        <w:t>Le service technique doit vérifier l</w:t>
      </w:r>
      <w:r w:rsidR="00DB4C2D">
        <w:rPr>
          <w:lang w:val="fr-FR"/>
        </w:rPr>
        <w:t>’</w:t>
      </w:r>
      <w:r w:rsidRPr="00A779B8">
        <w:rPr>
          <w:lang w:val="fr-FR"/>
        </w:rPr>
        <w:t>existence d</w:t>
      </w:r>
      <w:r w:rsidR="00DB4C2D">
        <w:rPr>
          <w:lang w:val="fr-FR"/>
        </w:rPr>
        <w:t>’</w:t>
      </w:r>
      <w:r w:rsidRPr="00A779B8">
        <w:rPr>
          <w:lang w:val="fr-FR"/>
        </w:rPr>
        <w:t>un certificat de validation du VPR attestant l</w:t>
      </w:r>
      <w:r w:rsidR="00DB4C2D">
        <w:rPr>
          <w:lang w:val="fr-FR"/>
        </w:rPr>
        <w:t>’</w:t>
      </w:r>
      <w:r w:rsidRPr="00A779B8">
        <w:rPr>
          <w:lang w:val="fr-FR"/>
        </w:rPr>
        <w:t>efficacité du séparateur de particules volatiles et établi dans les 6 mois précédant l</w:t>
      </w:r>
      <w:r w:rsidR="00DB4C2D">
        <w:rPr>
          <w:lang w:val="fr-FR"/>
        </w:rPr>
        <w:t>’</w:t>
      </w:r>
      <w:r w:rsidRPr="00A779B8">
        <w:rPr>
          <w:lang w:val="fr-FR"/>
        </w:rPr>
        <w:t>essai d</w:t>
      </w:r>
      <w:r w:rsidR="00DB4C2D">
        <w:rPr>
          <w:lang w:val="fr-FR"/>
        </w:rPr>
        <w:t>’</w:t>
      </w:r>
      <w:r w:rsidRPr="00A779B8">
        <w:rPr>
          <w:lang w:val="fr-FR"/>
        </w:rPr>
        <w:t>émissions. Si l</w:t>
      </w:r>
      <w:r w:rsidR="00DB4C2D">
        <w:rPr>
          <w:lang w:val="fr-FR"/>
        </w:rPr>
        <w:t>’</w:t>
      </w:r>
      <w:r w:rsidRPr="00A779B8">
        <w:rPr>
          <w:lang w:val="fr-FR"/>
        </w:rPr>
        <w:t>instrument est équipé de dispositifs d</w:t>
      </w:r>
      <w:r w:rsidR="00DB4C2D">
        <w:rPr>
          <w:lang w:val="fr-FR"/>
        </w:rPr>
        <w:t>’</w:t>
      </w:r>
      <w:r w:rsidRPr="00A779B8">
        <w:rPr>
          <w:lang w:val="fr-FR"/>
        </w:rPr>
        <w:t>alerte pour la surveillance de la température, l</w:t>
      </w:r>
      <w:r w:rsidR="00DB4C2D">
        <w:rPr>
          <w:lang w:val="fr-FR"/>
        </w:rPr>
        <w:t>’</w:t>
      </w:r>
      <w:r w:rsidRPr="00A779B8">
        <w:rPr>
          <w:lang w:val="fr-FR"/>
        </w:rPr>
        <w:t xml:space="preserve">intervalle maximal entre deux validations est porté à 12 mois. Le VPR doit retenir à plus de 99 % les particules de </w:t>
      </w:r>
      <w:proofErr w:type="spellStart"/>
      <w:r w:rsidRPr="00A779B8">
        <w:rPr>
          <w:lang w:val="fr-FR"/>
        </w:rPr>
        <w:t>tétracontane</w:t>
      </w:r>
      <w:proofErr w:type="spellEnd"/>
      <w:r w:rsidRPr="00A779B8">
        <w:rPr>
          <w:lang w:val="fr-FR"/>
        </w:rPr>
        <w:t xml:space="preserve"> (CH</w:t>
      </w:r>
      <w:r w:rsidRPr="00A779B8">
        <w:rPr>
          <w:vertAlign w:val="subscript"/>
          <w:lang w:val="fr-FR"/>
        </w:rPr>
        <w:t>3</w:t>
      </w:r>
      <w:r w:rsidRPr="00A779B8">
        <w:rPr>
          <w:lang w:val="fr-FR"/>
        </w:rPr>
        <w:t>(CH</w:t>
      </w:r>
      <w:r w:rsidRPr="00A779B8">
        <w:rPr>
          <w:vertAlign w:val="subscript"/>
          <w:lang w:val="fr-FR"/>
        </w:rPr>
        <w:t>2</w:t>
      </w:r>
      <w:r w:rsidRPr="00A779B8">
        <w:rPr>
          <w:lang w:val="fr-FR"/>
        </w:rPr>
        <w:t>)</w:t>
      </w:r>
      <w:r w:rsidRPr="00A779B8">
        <w:rPr>
          <w:vertAlign w:val="subscript"/>
          <w:lang w:val="fr-FR"/>
        </w:rPr>
        <w:t>38</w:t>
      </w:r>
      <w:r w:rsidRPr="00A779B8">
        <w:rPr>
          <w:lang w:val="fr-FR"/>
        </w:rPr>
        <w:t>CH</w:t>
      </w:r>
      <w:r w:rsidRPr="00A779B8">
        <w:rPr>
          <w:vertAlign w:val="subscript"/>
          <w:lang w:val="fr-FR"/>
        </w:rPr>
        <w:t>3</w:t>
      </w:r>
      <w:r w:rsidRPr="00A779B8">
        <w:rPr>
          <w:lang w:val="fr-FR"/>
        </w:rPr>
        <w:t>) d</w:t>
      </w:r>
      <w:r w:rsidR="00DB4C2D">
        <w:rPr>
          <w:lang w:val="fr-FR"/>
        </w:rPr>
        <w:t>’</w:t>
      </w:r>
      <w:r w:rsidRPr="00A779B8">
        <w:rPr>
          <w:lang w:val="fr-FR"/>
        </w:rPr>
        <w:t>un diamètre de mobilité électrique d</w:t>
      </w:r>
      <w:r w:rsidR="00DB4C2D">
        <w:rPr>
          <w:lang w:val="fr-FR"/>
        </w:rPr>
        <w:t>’</w:t>
      </w:r>
      <w:r w:rsidRPr="00A779B8">
        <w:rPr>
          <w:lang w:val="fr-FR"/>
        </w:rPr>
        <w:t>au moins 30 nm, à une concentration d</w:t>
      </w:r>
      <w:r w:rsidR="00DB4C2D">
        <w:rPr>
          <w:lang w:val="fr-FR"/>
        </w:rPr>
        <w:t>’</w:t>
      </w:r>
      <w:r w:rsidRPr="00A779B8">
        <w:rPr>
          <w:lang w:val="fr-FR"/>
        </w:rPr>
        <w:t>entrée de ≥10 000 cm</w:t>
      </w:r>
      <w:r w:rsidRPr="00A779B8">
        <w:rPr>
          <w:vertAlign w:val="superscript"/>
          <w:lang w:val="fr-FR"/>
        </w:rPr>
        <w:t>-3</w:t>
      </w:r>
      <w:r w:rsidRPr="00A779B8">
        <w:rPr>
          <w:lang w:val="fr-FR"/>
        </w:rPr>
        <w:t xml:space="preserve"> et lorsque l</w:t>
      </w:r>
      <w:r w:rsidR="00DB4C2D">
        <w:rPr>
          <w:lang w:val="fr-FR"/>
        </w:rPr>
        <w:t>’</w:t>
      </w:r>
      <w:r w:rsidRPr="00A779B8">
        <w:rPr>
          <w:lang w:val="fr-FR"/>
        </w:rPr>
        <w:t>appareil fonctionne à son niveau de dilution minimale et à la température recommandée par le fabricant.</w:t>
      </w:r>
    </w:p>
    <w:p w:rsidR="006E5069" w:rsidRPr="00A779B8" w:rsidRDefault="006E5069" w:rsidP="006E5069">
      <w:pPr>
        <w:pStyle w:val="SingleTxtG"/>
        <w:keepNext/>
        <w:ind w:left="2268" w:hanging="1134"/>
        <w:rPr>
          <w:lang w:val="fr-FR"/>
        </w:rPr>
      </w:pPr>
      <w:r w:rsidRPr="00A779B8">
        <w:rPr>
          <w:lang w:val="fr-FR"/>
        </w:rPr>
        <w:t>2.3</w:t>
      </w:r>
      <w:r w:rsidRPr="00A779B8">
        <w:rPr>
          <w:lang w:val="fr-FR"/>
        </w:rPr>
        <w:tab/>
        <w:t xml:space="preserve">Procédures de contrôle du système de comptage des particules </w:t>
      </w:r>
    </w:p>
    <w:p w:rsidR="006E5069" w:rsidRPr="00A779B8" w:rsidRDefault="006E5069" w:rsidP="006E5069">
      <w:pPr>
        <w:pStyle w:val="SingleTxtG"/>
        <w:ind w:left="2268" w:hanging="1134"/>
        <w:rPr>
          <w:lang w:val="fr-FR"/>
        </w:rPr>
      </w:pPr>
      <w:r w:rsidRPr="00A779B8">
        <w:rPr>
          <w:bCs/>
          <w:lang w:val="fr-FR"/>
        </w:rPr>
        <w:t>2.3.1</w:t>
      </w:r>
      <w:r w:rsidRPr="00A779B8">
        <w:rPr>
          <w:bCs/>
          <w:lang w:val="fr-FR"/>
        </w:rPr>
        <w:tab/>
        <w:t xml:space="preserve">Avant chaque essai, le compteur de particules doit afficher une concentration mesurée de moins de 0,5 particule </w:t>
      </w:r>
      <w:r w:rsidRPr="00A779B8">
        <w:rPr>
          <w:lang w:val="fr-FR"/>
        </w:rPr>
        <w:t>cm</w:t>
      </w:r>
      <w:r w:rsidRPr="00A779B8">
        <w:rPr>
          <w:vertAlign w:val="superscript"/>
          <w:lang w:val="fr-FR"/>
        </w:rPr>
        <w:t>-3</w:t>
      </w:r>
      <w:r w:rsidRPr="00A779B8">
        <w:rPr>
          <w:lang w:val="fr-FR"/>
        </w:rPr>
        <w:t xml:space="preserve"> lorsqu</w:t>
      </w:r>
      <w:r w:rsidR="00DB4C2D">
        <w:rPr>
          <w:lang w:val="fr-FR"/>
        </w:rPr>
        <w:t>’</w:t>
      </w:r>
      <w:r w:rsidRPr="00A779B8">
        <w:rPr>
          <w:lang w:val="fr-FR"/>
        </w:rPr>
        <w:t>un filtre THE répondant au minimum à la classe H13 définie dans la norme EN 1822:2008 ou un filtre équivalent est raccordé à l</w:t>
      </w:r>
      <w:r w:rsidR="00DB4C2D">
        <w:rPr>
          <w:lang w:val="fr-FR"/>
        </w:rPr>
        <w:t>’</w:t>
      </w:r>
      <w:r w:rsidRPr="00A779B8">
        <w:rPr>
          <w:lang w:val="fr-FR"/>
        </w:rPr>
        <w:t>entrée du système de prélèvement des particules (VPR et PNC).</w:t>
      </w:r>
    </w:p>
    <w:p w:rsidR="006E5069" w:rsidRPr="00A779B8" w:rsidRDefault="006E5069" w:rsidP="006E5069">
      <w:pPr>
        <w:pStyle w:val="SingleTxtG"/>
        <w:ind w:left="2268" w:hanging="1134"/>
        <w:rPr>
          <w:lang w:val="fr-FR"/>
        </w:rPr>
      </w:pPr>
      <w:r w:rsidRPr="00A779B8">
        <w:rPr>
          <w:lang w:val="fr-FR"/>
        </w:rPr>
        <w:t>2.3.2</w:t>
      </w:r>
      <w:r w:rsidRPr="00A779B8">
        <w:rPr>
          <w:lang w:val="fr-FR"/>
        </w:rPr>
        <w:tab/>
        <w:t>Chaque mois, on vérifie que la valeur affichée du débit entrant dans le compteur de particules ne s</w:t>
      </w:r>
      <w:r w:rsidR="00DB4C2D">
        <w:rPr>
          <w:lang w:val="fr-FR"/>
        </w:rPr>
        <w:t>’</w:t>
      </w:r>
      <w:r w:rsidRPr="00A779B8">
        <w:rPr>
          <w:lang w:val="fr-FR"/>
        </w:rPr>
        <w:t>écarte pas de plus de 5 % du débit nominal du compteur lorsque le contrôle est effectué au moyen d</w:t>
      </w:r>
      <w:r w:rsidR="00DB4C2D">
        <w:rPr>
          <w:lang w:val="fr-FR"/>
        </w:rPr>
        <w:t>’</w:t>
      </w:r>
      <w:r w:rsidRPr="00A779B8">
        <w:rPr>
          <w:lang w:val="fr-FR"/>
        </w:rPr>
        <w:t>un débitmètre étalonné.</w:t>
      </w:r>
    </w:p>
    <w:p w:rsidR="006E5069" w:rsidRPr="00A779B8" w:rsidRDefault="006E5069" w:rsidP="006E5069">
      <w:pPr>
        <w:pStyle w:val="SingleTxtG"/>
        <w:ind w:left="2268" w:hanging="1134"/>
        <w:rPr>
          <w:lang w:val="fr-FR"/>
        </w:rPr>
      </w:pPr>
      <w:r w:rsidRPr="00A779B8">
        <w:rPr>
          <w:lang w:val="fr-FR"/>
        </w:rPr>
        <w:lastRenderedPageBreak/>
        <w:t>2.3.3</w:t>
      </w:r>
      <w:r w:rsidRPr="00A779B8">
        <w:rPr>
          <w:lang w:val="fr-FR"/>
        </w:rPr>
        <w:tab/>
        <w:t>Chaque jour, on vérifie, après avoir raccordé un filtre THE répondant au minimum à la classe H13 définie dans la norme EN 1822:2008 ou un filtre équivalent à l</w:t>
      </w:r>
      <w:r w:rsidR="00DB4C2D">
        <w:rPr>
          <w:lang w:val="fr-FR"/>
        </w:rPr>
        <w:t>’</w:t>
      </w:r>
      <w:r w:rsidRPr="00A779B8">
        <w:rPr>
          <w:lang w:val="fr-FR"/>
        </w:rPr>
        <w:t>entrée du compteur de particules, que celui-ci affiche une concentration ≤0,2 cm</w:t>
      </w:r>
      <w:r w:rsidRPr="00A779B8">
        <w:rPr>
          <w:vertAlign w:val="superscript"/>
          <w:lang w:val="fr-FR"/>
        </w:rPr>
        <w:t>-3</w:t>
      </w:r>
      <w:r w:rsidRPr="00A779B8">
        <w:rPr>
          <w:lang w:val="fr-FR"/>
        </w:rPr>
        <w:t>. Ce filtre une fois enlevé, le compteur, lorsqu</w:t>
      </w:r>
      <w:r w:rsidR="00DB4C2D">
        <w:rPr>
          <w:lang w:val="fr-FR"/>
        </w:rPr>
        <w:t>’</w:t>
      </w:r>
      <w:r w:rsidRPr="00A779B8">
        <w:rPr>
          <w:lang w:val="fr-FR"/>
        </w:rPr>
        <w:t>il est alimenté par l</w:t>
      </w:r>
      <w:r w:rsidR="00DB4C2D">
        <w:rPr>
          <w:lang w:val="fr-FR"/>
        </w:rPr>
        <w:t>’</w:t>
      </w:r>
      <w:r w:rsidRPr="00A779B8">
        <w:rPr>
          <w:lang w:val="fr-FR"/>
        </w:rPr>
        <w:t>air ambiant, doit indiquer une augmentation de la concentration jusqu</w:t>
      </w:r>
      <w:r w:rsidR="00DB4C2D">
        <w:rPr>
          <w:lang w:val="fr-FR"/>
        </w:rPr>
        <w:t>’</w:t>
      </w:r>
      <w:r w:rsidRPr="00A779B8">
        <w:rPr>
          <w:lang w:val="fr-FR"/>
        </w:rPr>
        <w:t>à au moins 100 particules cm</w:t>
      </w:r>
      <w:r w:rsidRPr="00A779B8">
        <w:rPr>
          <w:vertAlign w:val="superscript"/>
          <w:lang w:val="fr-FR"/>
        </w:rPr>
        <w:t>-3</w:t>
      </w:r>
      <w:r w:rsidRPr="00A779B8">
        <w:rPr>
          <w:lang w:val="fr-FR"/>
        </w:rPr>
        <w:t>. Lorsqu</w:t>
      </w:r>
      <w:r w:rsidR="00DB4C2D">
        <w:rPr>
          <w:lang w:val="fr-FR"/>
        </w:rPr>
        <w:t>’</w:t>
      </w:r>
      <w:r w:rsidRPr="00A779B8">
        <w:rPr>
          <w:lang w:val="fr-FR"/>
        </w:rPr>
        <w:t>on remet le filtre THE en place, la concentration doit de nouveau être ≤0,2 cm</w:t>
      </w:r>
      <w:r w:rsidRPr="00A779B8">
        <w:rPr>
          <w:vertAlign w:val="superscript"/>
          <w:lang w:val="fr-FR"/>
        </w:rPr>
        <w:t>-3</w:t>
      </w:r>
      <w:r w:rsidRPr="00A779B8">
        <w:rPr>
          <w:lang w:val="fr-FR"/>
        </w:rPr>
        <w:t>.</w:t>
      </w:r>
    </w:p>
    <w:p w:rsidR="006E5069" w:rsidRPr="00A779B8" w:rsidRDefault="006E5069" w:rsidP="006E5069">
      <w:pPr>
        <w:pStyle w:val="SingleTxtG"/>
        <w:ind w:left="2268" w:hanging="1134"/>
        <w:rPr>
          <w:lang w:val="fr-FR"/>
        </w:rPr>
      </w:pPr>
      <w:r w:rsidRPr="00A779B8">
        <w:rPr>
          <w:lang w:val="fr-FR"/>
        </w:rPr>
        <w:t>2.3.4</w:t>
      </w:r>
      <w:r w:rsidRPr="00A779B8">
        <w:rPr>
          <w:lang w:val="fr-FR"/>
        </w:rPr>
        <w:tab/>
        <w:t>Avant le début de chaque essai, il doit être confirmé que le système de mesure indique que le tube d</w:t>
      </w:r>
      <w:r w:rsidR="00DB4C2D">
        <w:rPr>
          <w:lang w:val="fr-FR"/>
        </w:rPr>
        <w:t>’</w:t>
      </w:r>
      <w:r w:rsidRPr="00A779B8">
        <w:rPr>
          <w:lang w:val="fr-FR"/>
        </w:rPr>
        <w:t>évaporation, s</w:t>
      </w:r>
      <w:r w:rsidR="00DB4C2D">
        <w:rPr>
          <w:lang w:val="fr-FR"/>
        </w:rPr>
        <w:t>’</w:t>
      </w:r>
      <w:r w:rsidRPr="00A779B8">
        <w:rPr>
          <w:lang w:val="fr-FR"/>
        </w:rPr>
        <w:t>il fait partie de l</w:t>
      </w:r>
      <w:r w:rsidR="00DB4C2D">
        <w:rPr>
          <w:lang w:val="fr-FR"/>
        </w:rPr>
        <w:t>’</w:t>
      </w:r>
      <w:r w:rsidRPr="00A779B8">
        <w:rPr>
          <w:lang w:val="fr-FR"/>
        </w:rPr>
        <w:t>appareillage, a atteint sa température correcte de fonctionnement.</w:t>
      </w:r>
    </w:p>
    <w:p w:rsidR="006E5069" w:rsidRDefault="006E5069" w:rsidP="006E5069">
      <w:pPr>
        <w:pStyle w:val="SingleTxtG"/>
        <w:ind w:left="2268" w:hanging="1134"/>
        <w:rPr>
          <w:lang w:val="fr-FR"/>
        </w:rPr>
      </w:pPr>
      <w:r w:rsidRPr="00A779B8">
        <w:rPr>
          <w:lang w:val="fr-FR"/>
        </w:rPr>
        <w:t>2.3.5</w:t>
      </w:r>
      <w:r w:rsidRPr="00A779B8">
        <w:rPr>
          <w:lang w:val="fr-FR"/>
        </w:rPr>
        <w:tab/>
        <w:t xml:space="preserve">Avant le début de chaque essai, il doit être confirmé que le système de mesure indique que le </w:t>
      </w:r>
      <w:proofErr w:type="spellStart"/>
      <w:r w:rsidRPr="00A779B8">
        <w:rPr>
          <w:lang w:val="fr-FR"/>
        </w:rPr>
        <w:t>dilueur</w:t>
      </w:r>
      <w:proofErr w:type="spellEnd"/>
      <w:r w:rsidRPr="00A779B8">
        <w:rPr>
          <w:lang w:val="fr-FR"/>
        </w:rPr>
        <w:t xml:space="preserve"> PND</w:t>
      </w:r>
      <w:r w:rsidRPr="00A779B8">
        <w:rPr>
          <w:vertAlign w:val="subscript"/>
          <w:lang w:val="fr-FR"/>
        </w:rPr>
        <w:t>1</w:t>
      </w:r>
      <w:r w:rsidRPr="00A779B8">
        <w:rPr>
          <w:lang w:val="fr-FR"/>
        </w:rPr>
        <w:t xml:space="preserve"> a atteint sa température correcte de fonctionnement.</w:t>
      </w:r>
    </w:p>
    <w:p w:rsidR="00154816" w:rsidRDefault="00154816" w:rsidP="006E5069">
      <w:pPr>
        <w:pStyle w:val="SingleTxtG"/>
        <w:ind w:left="2268" w:hanging="1134"/>
        <w:rPr>
          <w:lang w:val="fr-FR"/>
        </w:rPr>
      </w:pPr>
    </w:p>
    <w:p w:rsidR="00AE6AFC" w:rsidRDefault="00AE6AFC" w:rsidP="00AE6AFC">
      <w:pPr>
        <w:pStyle w:val="SingleTxtG"/>
        <w:sectPr w:rsidR="00AE6AFC" w:rsidSect="00C108AC">
          <w:headerReference w:type="even" r:id="rId194"/>
          <w:headerReference w:type="default" r:id="rId195"/>
          <w:footnotePr>
            <w:numRestart w:val="eachSect"/>
          </w:footnotePr>
          <w:endnotePr>
            <w:numFmt w:val="decimal"/>
          </w:endnotePr>
          <w:pgSz w:w="11907" w:h="16840" w:code="9"/>
          <w:pgMar w:top="1701" w:right="1134" w:bottom="2268" w:left="1134" w:header="794" w:footer="1701" w:gutter="0"/>
          <w:cols w:space="720"/>
          <w:docGrid w:linePitch="272"/>
        </w:sectPr>
      </w:pPr>
    </w:p>
    <w:p w:rsidR="00AE6AFC" w:rsidRPr="00A779B8" w:rsidRDefault="00AE6AFC" w:rsidP="00AE6AFC">
      <w:pPr>
        <w:pStyle w:val="HChG"/>
        <w:rPr>
          <w:lang w:val="fr-FR"/>
        </w:rPr>
      </w:pPr>
      <w:r w:rsidRPr="00A779B8">
        <w:rPr>
          <w:lang w:val="fr-FR"/>
        </w:rPr>
        <w:lastRenderedPageBreak/>
        <w:t>Annexe 4a − Appendice 6</w:t>
      </w:r>
    </w:p>
    <w:p w:rsidR="00AE6AFC" w:rsidRPr="00A779B8" w:rsidRDefault="00AE6AFC" w:rsidP="00AE6AFC">
      <w:pPr>
        <w:pStyle w:val="HChG"/>
        <w:rPr>
          <w:lang w:val="fr-FR"/>
        </w:rPr>
      </w:pPr>
      <w:r w:rsidRPr="00A779B8">
        <w:rPr>
          <w:lang w:val="fr-FR"/>
        </w:rPr>
        <w:tab/>
      </w:r>
      <w:r w:rsidRPr="00A779B8">
        <w:rPr>
          <w:lang w:val="fr-FR"/>
        </w:rPr>
        <w:tab/>
        <w:t>Vérification de l</w:t>
      </w:r>
      <w:r w:rsidR="00DB4C2D">
        <w:rPr>
          <w:lang w:val="fr-FR"/>
        </w:rPr>
        <w:t>’</w:t>
      </w:r>
      <w:r w:rsidRPr="00A779B8">
        <w:rPr>
          <w:lang w:val="fr-FR"/>
        </w:rPr>
        <w:t>inertie simulée</w:t>
      </w:r>
    </w:p>
    <w:p w:rsidR="00AE6AFC" w:rsidRPr="00A779B8" w:rsidRDefault="00AE6AFC" w:rsidP="00AE6AFC">
      <w:pPr>
        <w:pStyle w:val="SingleTxtG"/>
        <w:keepNext/>
        <w:ind w:left="2268" w:hanging="1134"/>
        <w:jc w:val="left"/>
        <w:rPr>
          <w:lang w:val="fr-FR"/>
        </w:rPr>
      </w:pPr>
      <w:r w:rsidRPr="00A779B8">
        <w:rPr>
          <w:lang w:val="fr-FR"/>
        </w:rPr>
        <w:t>1.</w:t>
      </w:r>
      <w:r w:rsidRPr="00A779B8">
        <w:rPr>
          <w:lang w:val="fr-FR"/>
        </w:rPr>
        <w:tab/>
        <w:t>Objet</w:t>
      </w:r>
    </w:p>
    <w:p w:rsidR="00AE6AFC" w:rsidRPr="00A779B8" w:rsidRDefault="00AE6AFC" w:rsidP="00AE6AFC">
      <w:pPr>
        <w:pStyle w:val="SingleTxtG"/>
        <w:ind w:left="2268"/>
        <w:rPr>
          <w:lang w:val="fr-FR"/>
        </w:rPr>
      </w:pPr>
      <w:r w:rsidRPr="00A779B8">
        <w:rPr>
          <w:lang w:val="fr-FR"/>
        </w:rPr>
        <w:tab/>
        <w:t>La méthode décrite dans le présent appendice permet de vérifier que l</w:t>
      </w:r>
      <w:r w:rsidR="00DB4C2D">
        <w:rPr>
          <w:lang w:val="fr-FR"/>
        </w:rPr>
        <w:t>’</w:t>
      </w:r>
      <w:r w:rsidRPr="00A779B8">
        <w:rPr>
          <w:lang w:val="fr-FR"/>
        </w:rPr>
        <w:t>inertie totale du banc simule de manière satisfaisante les valeurs réelles au cours des diverses phases du cycle d</w:t>
      </w:r>
      <w:r w:rsidR="00DB4C2D">
        <w:rPr>
          <w:lang w:val="fr-FR"/>
        </w:rPr>
        <w:t>’</w:t>
      </w:r>
      <w:r w:rsidRPr="00A779B8">
        <w:rPr>
          <w:lang w:val="fr-FR"/>
        </w:rPr>
        <w:t>essai. Le constructeur du banc doit indiquer une méthode permettant de vérifier que les prescriptions du paragraphe 3 du présent appendice sont respectées.</w:t>
      </w:r>
    </w:p>
    <w:p w:rsidR="00AE6AFC" w:rsidRPr="00A779B8" w:rsidRDefault="00AE6AFC" w:rsidP="00AE6AFC">
      <w:pPr>
        <w:pStyle w:val="SingleTxtG"/>
        <w:keepNext/>
        <w:ind w:left="2268" w:hanging="1134"/>
        <w:jc w:val="left"/>
        <w:rPr>
          <w:lang w:val="fr-FR"/>
        </w:rPr>
      </w:pPr>
      <w:r w:rsidRPr="00A779B8">
        <w:rPr>
          <w:lang w:val="fr-FR"/>
        </w:rPr>
        <w:t>2.</w:t>
      </w:r>
      <w:r w:rsidRPr="00A779B8">
        <w:rPr>
          <w:lang w:val="fr-FR"/>
        </w:rPr>
        <w:tab/>
        <w:t>Principe</w:t>
      </w:r>
    </w:p>
    <w:p w:rsidR="00AE6AFC" w:rsidRPr="00A779B8" w:rsidRDefault="00AE6AFC" w:rsidP="00AE6AFC">
      <w:pPr>
        <w:pStyle w:val="SingleTxtG"/>
        <w:keepNext/>
        <w:ind w:left="2268" w:hanging="1134"/>
        <w:jc w:val="left"/>
        <w:rPr>
          <w:lang w:val="fr-FR"/>
        </w:rPr>
      </w:pPr>
      <w:r w:rsidRPr="00A779B8">
        <w:rPr>
          <w:lang w:val="fr-FR"/>
        </w:rPr>
        <w:t>2.1</w:t>
      </w:r>
      <w:r w:rsidRPr="00A779B8">
        <w:rPr>
          <w:lang w:val="fr-FR"/>
        </w:rPr>
        <w:tab/>
        <w:t>Élaboration des équations de travail</w:t>
      </w:r>
    </w:p>
    <w:p w:rsidR="00AE6AFC" w:rsidRPr="00A779B8" w:rsidRDefault="00AE6AFC" w:rsidP="00AE6AFC">
      <w:pPr>
        <w:pStyle w:val="SingleTxtG"/>
        <w:ind w:left="2268"/>
        <w:rPr>
          <w:lang w:val="fr-FR"/>
        </w:rPr>
      </w:pPr>
      <w:r w:rsidRPr="00A779B8">
        <w:rPr>
          <w:lang w:val="fr-FR"/>
        </w:rPr>
        <w:t>Étant donné que le banc est soumis aux variations de la vitesse de rotation du ou des rouleaux, la force à la surface du ou des rouleaux peut être exprimée par la formule:</w:t>
      </w:r>
    </w:p>
    <w:p w:rsidR="00AE6AFC" w:rsidRPr="00A779B8" w:rsidRDefault="00AE6AFC" w:rsidP="00AE6AFC">
      <w:pPr>
        <w:pBdr>
          <w:top w:val="single" w:sz="6" w:space="0" w:color="FFFFFF"/>
          <w:left w:val="single" w:sz="6" w:space="0" w:color="FFFFFF"/>
          <w:bottom w:val="single" w:sz="6" w:space="0" w:color="FFFFFF"/>
          <w:right w:val="single" w:sz="6" w:space="0" w:color="FFFFFF"/>
        </w:pBdr>
        <w:spacing w:after="240"/>
        <w:ind w:left="2268"/>
        <w:rPr>
          <w:lang w:val="fr-FR"/>
        </w:rPr>
      </w:pPr>
      <w:r w:rsidRPr="00A779B8">
        <w:rPr>
          <w:position w:val="-10"/>
          <w:lang w:val="fr-FR"/>
        </w:rPr>
        <w:object w:dxaOrig="1800" w:dyaOrig="320">
          <v:shape id="_x0000_i1103" type="#_x0000_t75" style="width:90.35pt;height:16.3pt" o:ole="">
            <v:imagedata r:id="rId196" o:title=""/>
          </v:shape>
          <o:OLEObject Type="Embed" ProgID="Equation.3" ShapeID="_x0000_i1103" DrawAspect="Content" ObjectID="_1490178458" r:id="rId197"/>
        </w:object>
      </w:r>
    </w:p>
    <w:p w:rsidR="00AE6AFC" w:rsidRPr="00A779B8" w:rsidRDefault="00AE6AFC" w:rsidP="00AE6AFC">
      <w:pPr>
        <w:pStyle w:val="SingleTxtG"/>
        <w:keepNext/>
        <w:tabs>
          <w:tab w:val="left" w:pos="3119"/>
          <w:tab w:val="left" w:pos="3403"/>
        </w:tabs>
        <w:ind w:left="2268" w:right="0"/>
        <w:jc w:val="left"/>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AE6AFC" w:rsidRPr="007E29C4" w:rsidTr="00A36982">
        <w:tc>
          <w:tcPr>
            <w:tcW w:w="567" w:type="dxa"/>
            <w:shd w:val="clear" w:color="auto" w:fill="auto"/>
          </w:tcPr>
          <w:p w:rsidR="00AE6AFC" w:rsidRPr="007E29C4" w:rsidRDefault="00AE6AFC" w:rsidP="00A36982">
            <w:pPr>
              <w:pStyle w:val="SingleTxtG"/>
              <w:ind w:left="0" w:right="0"/>
              <w:jc w:val="left"/>
              <w:rPr>
                <w:lang w:val="fr-FR"/>
              </w:rPr>
            </w:pPr>
            <w:r w:rsidRPr="007E29C4">
              <w:rPr>
                <w:lang w:val="fr-FR"/>
              </w:rPr>
              <w:t>F</w:t>
            </w:r>
          </w:p>
        </w:tc>
        <w:tc>
          <w:tcPr>
            <w:tcW w:w="284" w:type="dxa"/>
            <w:shd w:val="clear" w:color="auto" w:fill="auto"/>
          </w:tcPr>
          <w:p w:rsidR="00AE6AFC" w:rsidRPr="007E29C4" w:rsidRDefault="00AE6AFC" w:rsidP="00A36982">
            <w:pPr>
              <w:pStyle w:val="SingleTxtG"/>
              <w:ind w:left="0" w:right="0"/>
              <w:jc w:val="left"/>
              <w:rPr>
                <w:lang w:val="fr-FR"/>
              </w:rPr>
            </w:pPr>
            <w:r w:rsidRPr="007E29C4">
              <w:rPr>
                <w:lang w:val="fr-FR"/>
              </w:rPr>
              <w:t>=</w:t>
            </w:r>
          </w:p>
        </w:tc>
        <w:tc>
          <w:tcPr>
            <w:tcW w:w="5103" w:type="dxa"/>
            <w:shd w:val="clear" w:color="auto" w:fill="auto"/>
          </w:tcPr>
          <w:p w:rsidR="00AE6AFC" w:rsidRPr="007E29C4" w:rsidRDefault="00AE6AFC" w:rsidP="00A36982">
            <w:pPr>
              <w:pStyle w:val="SingleTxtG"/>
              <w:ind w:left="0" w:right="0"/>
              <w:jc w:val="left"/>
              <w:rPr>
                <w:lang w:val="fr-FR"/>
              </w:rPr>
            </w:pPr>
            <w:r w:rsidRPr="007E29C4">
              <w:rPr>
                <w:lang w:val="fr-FR"/>
              </w:rPr>
              <w:t>force à la surface du ou des rouleaux,</w:t>
            </w:r>
          </w:p>
        </w:tc>
      </w:tr>
      <w:tr w:rsidR="00AE6AFC" w:rsidRPr="007E29C4" w:rsidTr="00A36982">
        <w:tc>
          <w:tcPr>
            <w:tcW w:w="567" w:type="dxa"/>
            <w:shd w:val="clear" w:color="auto" w:fill="auto"/>
          </w:tcPr>
          <w:p w:rsidR="00AE6AFC" w:rsidRPr="007E29C4" w:rsidRDefault="00AE6AFC" w:rsidP="00A36982">
            <w:pPr>
              <w:pStyle w:val="SingleTxtG"/>
              <w:ind w:left="0" w:right="0"/>
              <w:jc w:val="left"/>
              <w:rPr>
                <w:lang w:val="fr-FR"/>
              </w:rPr>
            </w:pPr>
            <w:r w:rsidRPr="007E29C4">
              <w:rPr>
                <w:lang w:val="fr-FR"/>
              </w:rPr>
              <w:t>I</w:t>
            </w:r>
          </w:p>
        </w:tc>
        <w:tc>
          <w:tcPr>
            <w:tcW w:w="284" w:type="dxa"/>
            <w:shd w:val="clear" w:color="auto" w:fill="auto"/>
          </w:tcPr>
          <w:p w:rsidR="00AE6AFC" w:rsidRPr="007E29C4" w:rsidRDefault="00AE6AFC" w:rsidP="00A36982">
            <w:pPr>
              <w:pStyle w:val="SingleTxtG"/>
              <w:ind w:left="0" w:right="0"/>
              <w:jc w:val="left"/>
              <w:rPr>
                <w:lang w:val="fr-FR"/>
              </w:rPr>
            </w:pPr>
            <w:r w:rsidRPr="007E29C4">
              <w:rPr>
                <w:lang w:val="fr-FR"/>
              </w:rPr>
              <w:t>=</w:t>
            </w:r>
          </w:p>
        </w:tc>
        <w:tc>
          <w:tcPr>
            <w:tcW w:w="5103" w:type="dxa"/>
            <w:shd w:val="clear" w:color="auto" w:fill="auto"/>
          </w:tcPr>
          <w:p w:rsidR="00AE6AFC" w:rsidRPr="007E29C4" w:rsidRDefault="00AE6AFC" w:rsidP="00FD2704">
            <w:pPr>
              <w:pStyle w:val="SingleTxtG"/>
              <w:ind w:left="0" w:right="0"/>
              <w:jc w:val="left"/>
              <w:rPr>
                <w:lang w:val="fr-FR"/>
              </w:rPr>
            </w:pPr>
            <w:r w:rsidRPr="007E29C4">
              <w:rPr>
                <w:lang w:val="fr-FR"/>
              </w:rPr>
              <w:t>inertie totale du banc (inertie équiva</w:t>
            </w:r>
            <w:r w:rsidR="00FD2704">
              <w:rPr>
                <w:lang w:val="fr-FR"/>
              </w:rPr>
              <w:t>lente du véhicule: voir tableau </w:t>
            </w:r>
            <w:r w:rsidRPr="007E29C4">
              <w:rPr>
                <w:lang w:val="fr-FR"/>
              </w:rPr>
              <w:t>A4a/3 de la présente annexe),</w:t>
            </w:r>
          </w:p>
        </w:tc>
      </w:tr>
      <w:tr w:rsidR="00AE6AFC" w:rsidRPr="007E29C4" w:rsidTr="00A36982">
        <w:tc>
          <w:tcPr>
            <w:tcW w:w="567" w:type="dxa"/>
            <w:shd w:val="clear" w:color="auto" w:fill="auto"/>
          </w:tcPr>
          <w:p w:rsidR="00AE6AFC" w:rsidRPr="007E29C4" w:rsidRDefault="00AE6AFC" w:rsidP="00A36982">
            <w:pPr>
              <w:pStyle w:val="SingleTxtG"/>
              <w:ind w:left="0" w:right="0"/>
              <w:jc w:val="left"/>
              <w:rPr>
                <w:lang w:val="fr-FR"/>
              </w:rPr>
            </w:pPr>
            <w:r w:rsidRPr="007E29C4">
              <w:rPr>
                <w:lang w:val="fr-FR"/>
              </w:rPr>
              <w:t>I</w:t>
            </w:r>
            <w:r w:rsidRPr="007E29C4">
              <w:rPr>
                <w:vertAlign w:val="subscript"/>
                <w:lang w:val="fr-FR"/>
              </w:rPr>
              <w:t>M</w:t>
            </w:r>
          </w:p>
        </w:tc>
        <w:tc>
          <w:tcPr>
            <w:tcW w:w="284" w:type="dxa"/>
            <w:shd w:val="clear" w:color="auto" w:fill="auto"/>
          </w:tcPr>
          <w:p w:rsidR="00AE6AFC" w:rsidRPr="007E29C4" w:rsidRDefault="00AE6AFC" w:rsidP="00A36982">
            <w:pPr>
              <w:pStyle w:val="SingleTxtG"/>
              <w:ind w:left="0" w:right="0"/>
              <w:jc w:val="left"/>
              <w:rPr>
                <w:lang w:val="fr-FR"/>
              </w:rPr>
            </w:pPr>
            <w:r w:rsidRPr="007E29C4">
              <w:rPr>
                <w:lang w:val="fr-FR"/>
              </w:rPr>
              <w:t>=</w:t>
            </w:r>
          </w:p>
        </w:tc>
        <w:tc>
          <w:tcPr>
            <w:tcW w:w="5103" w:type="dxa"/>
            <w:shd w:val="clear" w:color="auto" w:fill="auto"/>
          </w:tcPr>
          <w:p w:rsidR="00AE6AFC" w:rsidRPr="007E29C4" w:rsidRDefault="00AE6AFC" w:rsidP="00A36982">
            <w:pPr>
              <w:pStyle w:val="SingleTxtG"/>
              <w:ind w:left="0" w:right="0"/>
              <w:jc w:val="left"/>
              <w:rPr>
                <w:lang w:val="fr-FR"/>
              </w:rPr>
            </w:pPr>
            <w:r w:rsidRPr="007E29C4">
              <w:rPr>
                <w:lang w:val="fr-FR"/>
              </w:rPr>
              <w:t>inertie des masses mécaniques du banc,</w:t>
            </w:r>
          </w:p>
        </w:tc>
      </w:tr>
      <w:tr w:rsidR="00AE6AFC" w:rsidRPr="007E29C4" w:rsidTr="00A36982">
        <w:tc>
          <w:tcPr>
            <w:tcW w:w="567" w:type="dxa"/>
            <w:shd w:val="clear" w:color="auto" w:fill="auto"/>
          </w:tcPr>
          <w:p w:rsidR="00AE6AFC" w:rsidRPr="007E29C4" w:rsidRDefault="00AE6AFC" w:rsidP="00A36982">
            <w:pPr>
              <w:pStyle w:val="SingleTxtG"/>
              <w:ind w:left="0" w:right="0"/>
              <w:jc w:val="left"/>
              <w:rPr>
                <w:lang w:val="fr-FR"/>
              </w:rPr>
            </w:pPr>
            <w:r w:rsidRPr="007E29C4">
              <w:rPr>
                <w:lang w:val="fr-FR"/>
              </w:rPr>
              <w:t>γ</w:t>
            </w:r>
          </w:p>
        </w:tc>
        <w:tc>
          <w:tcPr>
            <w:tcW w:w="284" w:type="dxa"/>
            <w:shd w:val="clear" w:color="auto" w:fill="auto"/>
          </w:tcPr>
          <w:p w:rsidR="00AE6AFC" w:rsidRPr="007E29C4" w:rsidRDefault="00AE6AFC" w:rsidP="00A36982">
            <w:pPr>
              <w:pStyle w:val="SingleTxtG"/>
              <w:ind w:left="0" w:right="0"/>
              <w:jc w:val="left"/>
              <w:rPr>
                <w:lang w:val="fr-FR"/>
              </w:rPr>
            </w:pPr>
            <w:r w:rsidRPr="007E29C4">
              <w:rPr>
                <w:lang w:val="fr-FR"/>
              </w:rPr>
              <w:t>=</w:t>
            </w:r>
          </w:p>
        </w:tc>
        <w:tc>
          <w:tcPr>
            <w:tcW w:w="5103" w:type="dxa"/>
            <w:shd w:val="clear" w:color="auto" w:fill="auto"/>
          </w:tcPr>
          <w:p w:rsidR="00AE6AFC" w:rsidRPr="007E29C4" w:rsidRDefault="00AE6AFC" w:rsidP="00A36982">
            <w:pPr>
              <w:pStyle w:val="SingleTxtG"/>
              <w:ind w:left="0" w:right="0"/>
              <w:jc w:val="left"/>
              <w:rPr>
                <w:lang w:val="fr-FR"/>
              </w:rPr>
            </w:pPr>
            <w:r w:rsidRPr="007E29C4">
              <w:rPr>
                <w:lang w:val="fr-FR"/>
              </w:rPr>
              <w:t>accélération tangentielle à la surface du rouleau,</w:t>
            </w:r>
          </w:p>
        </w:tc>
      </w:tr>
      <w:tr w:rsidR="00AE6AFC" w:rsidRPr="007E29C4" w:rsidTr="00A36982">
        <w:tc>
          <w:tcPr>
            <w:tcW w:w="567" w:type="dxa"/>
            <w:shd w:val="clear" w:color="auto" w:fill="auto"/>
          </w:tcPr>
          <w:p w:rsidR="00AE6AFC" w:rsidRPr="007E29C4" w:rsidRDefault="00AE6AFC" w:rsidP="00A36982">
            <w:pPr>
              <w:pStyle w:val="SingleTxtG"/>
              <w:ind w:left="0" w:right="0"/>
              <w:jc w:val="left"/>
              <w:rPr>
                <w:lang w:val="fr-FR"/>
              </w:rPr>
            </w:pPr>
            <w:r w:rsidRPr="007E29C4">
              <w:rPr>
                <w:lang w:val="fr-FR"/>
              </w:rPr>
              <w:t>F</w:t>
            </w:r>
            <w:r w:rsidRPr="007E29C4">
              <w:rPr>
                <w:vertAlign w:val="subscript"/>
                <w:lang w:val="fr-FR"/>
              </w:rPr>
              <w:t>1</w:t>
            </w:r>
          </w:p>
        </w:tc>
        <w:tc>
          <w:tcPr>
            <w:tcW w:w="284" w:type="dxa"/>
            <w:shd w:val="clear" w:color="auto" w:fill="auto"/>
          </w:tcPr>
          <w:p w:rsidR="00AE6AFC" w:rsidRPr="007E29C4" w:rsidRDefault="00AE6AFC" w:rsidP="00A36982">
            <w:pPr>
              <w:pStyle w:val="SingleTxtG"/>
              <w:ind w:left="0" w:right="0"/>
              <w:jc w:val="left"/>
              <w:rPr>
                <w:lang w:val="fr-FR"/>
              </w:rPr>
            </w:pPr>
            <w:r w:rsidRPr="007E29C4">
              <w:rPr>
                <w:lang w:val="fr-FR"/>
              </w:rPr>
              <w:t>=</w:t>
            </w:r>
          </w:p>
        </w:tc>
        <w:tc>
          <w:tcPr>
            <w:tcW w:w="5103" w:type="dxa"/>
            <w:shd w:val="clear" w:color="auto" w:fill="auto"/>
          </w:tcPr>
          <w:p w:rsidR="00AE6AFC" w:rsidRPr="007E29C4" w:rsidRDefault="00AE6AFC" w:rsidP="00A36982">
            <w:pPr>
              <w:pStyle w:val="SingleTxtG"/>
              <w:ind w:left="0" w:right="0"/>
              <w:jc w:val="left"/>
              <w:rPr>
                <w:lang w:val="fr-FR"/>
              </w:rPr>
            </w:pPr>
            <w:r w:rsidRPr="007E29C4">
              <w:rPr>
                <w:lang w:val="fr-FR"/>
              </w:rPr>
              <w:t>force d</w:t>
            </w:r>
            <w:r w:rsidR="00DB4C2D">
              <w:rPr>
                <w:lang w:val="fr-FR"/>
              </w:rPr>
              <w:t>’</w:t>
            </w:r>
            <w:r w:rsidRPr="007E29C4">
              <w:rPr>
                <w:lang w:val="fr-FR"/>
              </w:rPr>
              <w:t>inertie.</w:t>
            </w:r>
          </w:p>
        </w:tc>
      </w:tr>
    </w:tbl>
    <w:p w:rsidR="00AE6AFC" w:rsidRPr="00A779B8" w:rsidRDefault="00AE6AFC" w:rsidP="00AE6AFC">
      <w:pPr>
        <w:pStyle w:val="SingleTxtG"/>
        <w:ind w:left="2268"/>
        <w:rPr>
          <w:lang w:val="fr-FR"/>
        </w:rPr>
      </w:pPr>
      <w:r w:rsidRPr="00A779B8">
        <w:rPr>
          <w:i/>
          <w:lang w:val="fr-FR"/>
        </w:rPr>
        <w:t>Note</w:t>
      </w:r>
      <w:r w:rsidRPr="00A779B8">
        <w:rPr>
          <w:lang w:val="fr-FR"/>
        </w:rPr>
        <w:t>: On trouvera en appendice une explication de cette formule en ce qui concerne les bancs à simulation mécanique des inerties.</w:t>
      </w:r>
    </w:p>
    <w:p w:rsidR="00AE6AFC" w:rsidRPr="00A779B8" w:rsidRDefault="00AE6AFC" w:rsidP="00AE6AFC">
      <w:pPr>
        <w:pStyle w:val="SingleTxtG"/>
        <w:keepNext/>
        <w:ind w:left="2268"/>
        <w:rPr>
          <w:lang w:val="fr-FR"/>
        </w:rPr>
      </w:pPr>
      <w:r w:rsidRPr="00A779B8">
        <w:rPr>
          <w:lang w:val="fr-FR"/>
        </w:rPr>
        <w:t>Ainsi l</w:t>
      </w:r>
      <w:r w:rsidR="00DB4C2D">
        <w:rPr>
          <w:lang w:val="fr-FR"/>
        </w:rPr>
        <w:t>’</w:t>
      </w:r>
      <w:r w:rsidRPr="00A779B8">
        <w:rPr>
          <w:lang w:val="fr-FR"/>
        </w:rPr>
        <w:t>inertie totale est exprimée par la formule:</w:t>
      </w:r>
    </w:p>
    <w:p w:rsidR="00AE6AFC" w:rsidRPr="00A779B8" w:rsidRDefault="00AE6AFC" w:rsidP="00AE6AFC">
      <w:pPr>
        <w:pStyle w:val="SingleTxtG"/>
        <w:ind w:left="2268"/>
        <w:rPr>
          <w:lang w:val="fr-FR"/>
        </w:rPr>
      </w:pPr>
      <w:r w:rsidRPr="00A779B8">
        <w:rPr>
          <w:lang w:val="fr-FR"/>
        </w:rPr>
        <w:t>I = I</w:t>
      </w:r>
      <w:r w:rsidRPr="00A779B8">
        <w:rPr>
          <w:vertAlign w:val="subscript"/>
          <w:lang w:val="fr-FR"/>
        </w:rPr>
        <w:t>m</w:t>
      </w:r>
      <w:r w:rsidRPr="00A779B8">
        <w:rPr>
          <w:lang w:val="fr-FR"/>
        </w:rPr>
        <w:t>+ F</w:t>
      </w:r>
      <w:r w:rsidRPr="00A779B8">
        <w:rPr>
          <w:vertAlign w:val="subscript"/>
          <w:lang w:val="fr-FR"/>
        </w:rPr>
        <w:t>1</w:t>
      </w:r>
      <w:r w:rsidRPr="00A779B8">
        <w:rPr>
          <w:lang w:val="fr-FR"/>
        </w:rPr>
        <w:t xml:space="preserve"> / </w:t>
      </w:r>
      <w:r w:rsidRPr="00A779B8">
        <w:rPr>
          <w:lang w:val="fr-FR"/>
        </w:rPr>
        <w:sym w:font="Symbol" w:char="F067"/>
      </w:r>
    </w:p>
    <w:p w:rsidR="00AE6AFC" w:rsidRPr="00A779B8" w:rsidRDefault="00AE6AFC" w:rsidP="00AE6AFC">
      <w:pPr>
        <w:pStyle w:val="SingleTxtG"/>
        <w:keepNext/>
        <w:tabs>
          <w:tab w:val="left" w:pos="2835"/>
          <w:tab w:val="left" w:pos="3119"/>
        </w:tabs>
        <w:ind w:left="2268" w:right="0"/>
        <w:jc w:val="left"/>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AE6AFC" w:rsidRPr="007E29C4" w:rsidTr="00A36982">
        <w:tc>
          <w:tcPr>
            <w:tcW w:w="567" w:type="dxa"/>
            <w:shd w:val="clear" w:color="auto" w:fill="auto"/>
          </w:tcPr>
          <w:p w:rsidR="00AE6AFC" w:rsidRPr="007E29C4" w:rsidRDefault="00AE6AFC" w:rsidP="00A36982">
            <w:pPr>
              <w:pStyle w:val="SingleTxtG"/>
              <w:spacing w:before="40" w:after="40"/>
              <w:ind w:left="57" w:right="0"/>
              <w:jc w:val="left"/>
              <w:rPr>
                <w:lang w:val="fr-FR"/>
              </w:rPr>
            </w:pPr>
            <w:r w:rsidRPr="007E29C4">
              <w:rPr>
                <w:lang w:val="fr-FR"/>
              </w:rPr>
              <w:t>I</w:t>
            </w:r>
            <w:r w:rsidRPr="007E29C4">
              <w:rPr>
                <w:vertAlign w:val="subscript"/>
                <w:lang w:val="fr-FR"/>
              </w:rPr>
              <w:t>m</w:t>
            </w:r>
          </w:p>
        </w:tc>
        <w:tc>
          <w:tcPr>
            <w:tcW w:w="284" w:type="dxa"/>
            <w:shd w:val="clear" w:color="auto" w:fill="auto"/>
          </w:tcPr>
          <w:p w:rsidR="00AE6AFC" w:rsidRPr="007E29C4" w:rsidRDefault="00AE6AFC" w:rsidP="00A36982">
            <w:pPr>
              <w:pStyle w:val="SingleTxtG"/>
              <w:spacing w:before="40" w:after="40"/>
              <w:ind w:left="0" w:right="0"/>
              <w:jc w:val="left"/>
              <w:rPr>
                <w:lang w:val="fr-FR"/>
              </w:rPr>
            </w:pPr>
            <w:r w:rsidRPr="007E29C4">
              <w:rPr>
                <w:lang w:val="fr-FR"/>
              </w:rPr>
              <w:t>=</w:t>
            </w:r>
          </w:p>
        </w:tc>
        <w:tc>
          <w:tcPr>
            <w:tcW w:w="5103" w:type="dxa"/>
            <w:shd w:val="clear" w:color="auto" w:fill="auto"/>
          </w:tcPr>
          <w:p w:rsidR="00AE6AFC" w:rsidRPr="007E29C4" w:rsidRDefault="00AE6AFC" w:rsidP="00A36982">
            <w:pPr>
              <w:pStyle w:val="SingleTxtG"/>
              <w:spacing w:before="40" w:after="40"/>
              <w:ind w:left="0" w:right="0"/>
              <w:jc w:val="left"/>
              <w:rPr>
                <w:lang w:val="fr-FR"/>
              </w:rPr>
            </w:pPr>
            <w:r w:rsidRPr="007E29C4">
              <w:rPr>
                <w:lang w:val="fr-FR"/>
              </w:rPr>
              <w:t>peut être calculé ou mesuré par les méthodes traditionnelles,</w:t>
            </w:r>
          </w:p>
        </w:tc>
      </w:tr>
      <w:tr w:rsidR="00AE6AFC" w:rsidRPr="007E29C4" w:rsidTr="00A36982">
        <w:tc>
          <w:tcPr>
            <w:tcW w:w="567" w:type="dxa"/>
            <w:shd w:val="clear" w:color="auto" w:fill="auto"/>
          </w:tcPr>
          <w:p w:rsidR="00AE6AFC" w:rsidRPr="007E29C4" w:rsidRDefault="00AE6AFC" w:rsidP="00A36982">
            <w:pPr>
              <w:pStyle w:val="SingleTxtG"/>
              <w:spacing w:before="40" w:after="40"/>
              <w:ind w:left="57" w:right="0"/>
              <w:jc w:val="left"/>
              <w:rPr>
                <w:lang w:val="fr-FR"/>
              </w:rPr>
            </w:pPr>
            <w:r w:rsidRPr="007E29C4">
              <w:rPr>
                <w:lang w:val="fr-FR"/>
              </w:rPr>
              <w:t>F</w:t>
            </w:r>
            <w:r w:rsidRPr="007E29C4">
              <w:rPr>
                <w:vertAlign w:val="subscript"/>
                <w:lang w:val="fr-FR"/>
              </w:rPr>
              <w:t>1</w:t>
            </w:r>
          </w:p>
        </w:tc>
        <w:tc>
          <w:tcPr>
            <w:tcW w:w="284" w:type="dxa"/>
            <w:shd w:val="clear" w:color="auto" w:fill="auto"/>
          </w:tcPr>
          <w:p w:rsidR="00AE6AFC" w:rsidRPr="007E29C4" w:rsidRDefault="00AE6AFC" w:rsidP="00A36982">
            <w:pPr>
              <w:pStyle w:val="SingleTxtG"/>
              <w:spacing w:before="40" w:after="40"/>
              <w:ind w:left="0"/>
              <w:jc w:val="right"/>
              <w:rPr>
                <w:lang w:val="fr-FR"/>
              </w:rPr>
            </w:pPr>
            <w:r w:rsidRPr="007E29C4">
              <w:rPr>
                <w:lang w:val="fr-FR"/>
              </w:rPr>
              <w:t>=</w:t>
            </w:r>
          </w:p>
        </w:tc>
        <w:tc>
          <w:tcPr>
            <w:tcW w:w="5103" w:type="dxa"/>
            <w:shd w:val="clear" w:color="auto" w:fill="auto"/>
          </w:tcPr>
          <w:p w:rsidR="00AE6AFC" w:rsidRPr="007E29C4" w:rsidRDefault="00AE6AFC" w:rsidP="00A36982">
            <w:pPr>
              <w:pStyle w:val="SingleTxtG"/>
              <w:spacing w:before="40" w:after="40"/>
              <w:ind w:left="0" w:right="0"/>
              <w:jc w:val="left"/>
              <w:rPr>
                <w:lang w:val="fr-FR"/>
              </w:rPr>
            </w:pPr>
            <w:r w:rsidRPr="007E29C4">
              <w:rPr>
                <w:lang w:val="fr-FR"/>
              </w:rPr>
              <w:t>peut être mesuré au banc,</w:t>
            </w:r>
          </w:p>
        </w:tc>
      </w:tr>
      <w:tr w:rsidR="00AE6AFC" w:rsidRPr="007E29C4" w:rsidTr="00A36982">
        <w:tc>
          <w:tcPr>
            <w:tcW w:w="567" w:type="dxa"/>
            <w:shd w:val="clear" w:color="auto" w:fill="auto"/>
          </w:tcPr>
          <w:p w:rsidR="00AE6AFC" w:rsidRPr="007E29C4" w:rsidRDefault="00AE6AFC" w:rsidP="00A36982">
            <w:pPr>
              <w:pStyle w:val="SingleTxtG"/>
              <w:ind w:left="57" w:right="0"/>
              <w:jc w:val="left"/>
              <w:rPr>
                <w:lang w:val="fr-FR"/>
              </w:rPr>
            </w:pPr>
            <w:r w:rsidRPr="007E29C4">
              <w:rPr>
                <w:lang w:val="fr-FR"/>
              </w:rPr>
              <w:t>γ</w:t>
            </w:r>
          </w:p>
        </w:tc>
        <w:tc>
          <w:tcPr>
            <w:tcW w:w="284" w:type="dxa"/>
            <w:shd w:val="clear" w:color="auto" w:fill="auto"/>
          </w:tcPr>
          <w:p w:rsidR="00AE6AFC" w:rsidRPr="007E29C4" w:rsidRDefault="00AE6AFC" w:rsidP="00A36982">
            <w:pPr>
              <w:pStyle w:val="SingleTxtG"/>
              <w:ind w:left="0"/>
              <w:jc w:val="right"/>
              <w:rPr>
                <w:lang w:val="fr-FR"/>
              </w:rPr>
            </w:pPr>
            <w:r w:rsidRPr="007E29C4">
              <w:rPr>
                <w:lang w:val="fr-FR"/>
              </w:rPr>
              <w:t>=</w:t>
            </w:r>
          </w:p>
        </w:tc>
        <w:tc>
          <w:tcPr>
            <w:tcW w:w="5103" w:type="dxa"/>
            <w:shd w:val="clear" w:color="auto" w:fill="auto"/>
          </w:tcPr>
          <w:p w:rsidR="00AE6AFC" w:rsidRPr="007E29C4" w:rsidRDefault="00AE6AFC" w:rsidP="00A36982">
            <w:pPr>
              <w:pStyle w:val="SingleTxtG"/>
              <w:ind w:left="0" w:right="0"/>
              <w:jc w:val="left"/>
              <w:rPr>
                <w:lang w:val="fr-FR"/>
              </w:rPr>
            </w:pPr>
            <w:r w:rsidRPr="007E29C4">
              <w:rPr>
                <w:lang w:val="fr-FR"/>
              </w:rPr>
              <w:t>peut être calculé d</w:t>
            </w:r>
            <w:r w:rsidR="00DB4C2D">
              <w:rPr>
                <w:lang w:val="fr-FR"/>
              </w:rPr>
              <w:t>’</w:t>
            </w:r>
            <w:r w:rsidRPr="007E29C4">
              <w:rPr>
                <w:lang w:val="fr-FR"/>
              </w:rPr>
              <w:t>après la vitesse périphérique des rouleaux.</w:t>
            </w:r>
          </w:p>
        </w:tc>
      </w:tr>
    </w:tbl>
    <w:p w:rsidR="00AE6AFC" w:rsidRPr="00A779B8" w:rsidRDefault="00AE6AFC" w:rsidP="00AE6AFC">
      <w:pPr>
        <w:pStyle w:val="SingleTxtG"/>
        <w:ind w:left="2268"/>
        <w:rPr>
          <w:lang w:val="fr-FR"/>
        </w:rPr>
      </w:pPr>
      <w:r w:rsidRPr="00A779B8">
        <w:rPr>
          <w:lang w:val="fr-FR"/>
        </w:rPr>
        <w:t>L</w:t>
      </w:r>
      <w:r w:rsidR="00DB4C2D">
        <w:rPr>
          <w:lang w:val="fr-FR"/>
        </w:rPr>
        <w:t>’</w:t>
      </w:r>
      <w:r w:rsidRPr="00A779B8">
        <w:rPr>
          <w:lang w:val="fr-FR"/>
        </w:rPr>
        <w:t>inertie totale «I» est déterminée lors d</w:t>
      </w:r>
      <w:r w:rsidR="00DB4C2D">
        <w:rPr>
          <w:lang w:val="fr-FR"/>
        </w:rPr>
        <w:t>’</w:t>
      </w:r>
      <w:r w:rsidRPr="00A779B8">
        <w:rPr>
          <w:lang w:val="fr-FR"/>
        </w:rPr>
        <w:t>un essai d</w:t>
      </w:r>
      <w:r w:rsidR="00DB4C2D">
        <w:rPr>
          <w:lang w:val="fr-FR"/>
        </w:rPr>
        <w:t>’</w:t>
      </w:r>
      <w:r w:rsidRPr="00A779B8">
        <w:rPr>
          <w:lang w:val="fr-FR"/>
        </w:rPr>
        <w:t>accélération ou de décélération avec des valeurs supérieures ou égales à celles obtenues lors d</w:t>
      </w:r>
      <w:r w:rsidR="00DB4C2D">
        <w:rPr>
          <w:lang w:val="fr-FR"/>
        </w:rPr>
        <w:t>’</w:t>
      </w:r>
      <w:r w:rsidRPr="00A779B8">
        <w:rPr>
          <w:lang w:val="fr-FR"/>
        </w:rPr>
        <w:t>un cycle d</w:t>
      </w:r>
      <w:r w:rsidR="00DB4C2D">
        <w:rPr>
          <w:lang w:val="fr-FR"/>
        </w:rPr>
        <w:t>’</w:t>
      </w:r>
      <w:r w:rsidRPr="00A779B8">
        <w:rPr>
          <w:lang w:val="fr-FR"/>
        </w:rPr>
        <w:t>essai.</w:t>
      </w:r>
    </w:p>
    <w:p w:rsidR="00AE6AFC" w:rsidRPr="00A779B8" w:rsidRDefault="00AE6AFC" w:rsidP="00AE6AFC">
      <w:pPr>
        <w:pStyle w:val="SingleTxtG"/>
        <w:keepNext/>
        <w:ind w:left="2268" w:hanging="1134"/>
        <w:jc w:val="left"/>
        <w:rPr>
          <w:lang w:val="fr-FR"/>
        </w:rPr>
      </w:pPr>
      <w:r w:rsidRPr="00A779B8">
        <w:rPr>
          <w:lang w:val="fr-FR"/>
        </w:rPr>
        <w:t>2.2</w:t>
      </w:r>
      <w:r w:rsidRPr="00A779B8">
        <w:rPr>
          <w:lang w:val="fr-FR"/>
        </w:rPr>
        <w:tab/>
        <w:t>Erreur admissible dans le calcul de l</w:t>
      </w:r>
      <w:r w:rsidR="00DB4C2D">
        <w:rPr>
          <w:lang w:val="fr-FR"/>
        </w:rPr>
        <w:t>’</w:t>
      </w:r>
      <w:r w:rsidRPr="00A779B8">
        <w:rPr>
          <w:lang w:val="fr-FR"/>
        </w:rPr>
        <w:t>inertie totale</w:t>
      </w:r>
    </w:p>
    <w:p w:rsidR="00AE6AFC" w:rsidRPr="00A779B8" w:rsidRDefault="00AE6AFC" w:rsidP="00AE6AFC">
      <w:pPr>
        <w:pStyle w:val="SingleTxtG"/>
        <w:ind w:left="2268"/>
        <w:rPr>
          <w:lang w:val="fr-FR"/>
        </w:rPr>
      </w:pPr>
      <w:r w:rsidRPr="00A779B8">
        <w:rPr>
          <w:lang w:val="fr-FR"/>
        </w:rPr>
        <w:t>Les méthodes d</w:t>
      </w:r>
      <w:r w:rsidR="00DB4C2D">
        <w:rPr>
          <w:lang w:val="fr-FR"/>
        </w:rPr>
        <w:t>’</w:t>
      </w:r>
      <w:r w:rsidRPr="00A779B8">
        <w:rPr>
          <w:lang w:val="fr-FR"/>
        </w:rPr>
        <w:t>essai et de calcul doivent permettre de déterminer l</w:t>
      </w:r>
      <w:r w:rsidR="00DB4C2D">
        <w:rPr>
          <w:lang w:val="fr-FR"/>
        </w:rPr>
        <w:t>’</w:t>
      </w:r>
      <w:r w:rsidRPr="00A779B8">
        <w:rPr>
          <w:lang w:val="fr-FR"/>
        </w:rPr>
        <w:t xml:space="preserve">inertie totale I avec une </w:t>
      </w:r>
      <w:r w:rsidR="00FD2704">
        <w:rPr>
          <w:lang w:val="fr-FR"/>
        </w:rPr>
        <w:t>erreur relative (</w:t>
      </w:r>
      <w:r w:rsidRPr="00A779B8">
        <w:rPr>
          <w:lang w:val="fr-FR"/>
        </w:rPr>
        <w:t xml:space="preserve">ΔI/I) inférieure à </w:t>
      </w:r>
      <w:r w:rsidRPr="00A779B8">
        <w:rPr>
          <w:lang w:val="fr-FR"/>
        </w:rPr>
        <w:sym w:font="Symbol" w:char="F0B1"/>
      </w:r>
      <w:r w:rsidRPr="00A779B8">
        <w:rPr>
          <w:lang w:val="fr-FR"/>
        </w:rPr>
        <w:t>2 %.</w:t>
      </w:r>
    </w:p>
    <w:p w:rsidR="00AE6AFC" w:rsidRPr="00A779B8" w:rsidRDefault="00AE6AFC" w:rsidP="00AE6AFC">
      <w:pPr>
        <w:pStyle w:val="SingleTxtG"/>
        <w:keepNext/>
        <w:keepLines/>
        <w:ind w:left="2268" w:hanging="1134"/>
        <w:jc w:val="left"/>
        <w:rPr>
          <w:lang w:val="fr-FR"/>
        </w:rPr>
      </w:pPr>
      <w:r w:rsidRPr="00A779B8">
        <w:rPr>
          <w:lang w:val="fr-FR"/>
        </w:rPr>
        <w:lastRenderedPageBreak/>
        <w:t>3.</w:t>
      </w:r>
      <w:r w:rsidRPr="00A779B8">
        <w:rPr>
          <w:lang w:val="fr-FR"/>
        </w:rPr>
        <w:tab/>
        <w:t>Prescriptions</w:t>
      </w:r>
    </w:p>
    <w:p w:rsidR="00AE6AFC" w:rsidRPr="00A779B8" w:rsidRDefault="00AE6AFC" w:rsidP="00AE6AFC">
      <w:pPr>
        <w:pStyle w:val="SingleTxtG"/>
        <w:keepNext/>
        <w:keepLines/>
        <w:ind w:left="2268" w:hanging="1134"/>
        <w:rPr>
          <w:lang w:val="fr-FR"/>
        </w:rPr>
      </w:pPr>
      <w:r w:rsidRPr="00A779B8">
        <w:rPr>
          <w:lang w:val="fr-FR"/>
        </w:rPr>
        <w:t>3.1</w:t>
      </w:r>
      <w:r w:rsidRPr="00A779B8">
        <w:rPr>
          <w:lang w:val="fr-FR"/>
        </w:rPr>
        <w:tab/>
        <w:t>La masse de l</w:t>
      </w:r>
      <w:r w:rsidR="00DB4C2D">
        <w:rPr>
          <w:lang w:val="fr-FR"/>
        </w:rPr>
        <w:t>’</w:t>
      </w:r>
      <w:r w:rsidRPr="00A779B8">
        <w:rPr>
          <w:lang w:val="fr-FR"/>
        </w:rPr>
        <w:t>inertie totale simulée I doit demeurer la même que la valeur théorique de l</w:t>
      </w:r>
      <w:r w:rsidR="00DB4C2D">
        <w:rPr>
          <w:lang w:val="fr-FR"/>
        </w:rPr>
        <w:t>’</w:t>
      </w:r>
      <w:r w:rsidRPr="00A779B8">
        <w:rPr>
          <w:lang w:val="fr-FR"/>
        </w:rPr>
        <w:t>inertie équivalente (voir tableau A4a/3), dans les limites suivantes:</w:t>
      </w:r>
    </w:p>
    <w:p w:rsidR="00AE6AFC" w:rsidRPr="00A779B8" w:rsidRDefault="00AE6AFC" w:rsidP="00AE6AFC">
      <w:pPr>
        <w:pStyle w:val="SingleTxtG"/>
        <w:ind w:left="2268" w:hanging="1134"/>
        <w:rPr>
          <w:lang w:val="fr-FR"/>
        </w:rPr>
      </w:pPr>
      <w:r w:rsidRPr="00A779B8">
        <w:rPr>
          <w:lang w:val="fr-FR"/>
        </w:rPr>
        <w:t>3.1.1</w:t>
      </w:r>
      <w:r w:rsidRPr="00A779B8">
        <w:rPr>
          <w:lang w:val="fr-FR"/>
        </w:rPr>
        <w:tab/>
      </w:r>
      <w:r w:rsidRPr="00A779B8">
        <w:rPr>
          <w:lang w:val="fr-FR"/>
        </w:rPr>
        <w:sym w:font="Symbol" w:char="F0B1"/>
      </w:r>
      <w:r w:rsidRPr="00A779B8">
        <w:rPr>
          <w:lang w:val="fr-FR"/>
        </w:rPr>
        <w:t>5 % de la valeur théorique pour chaque valeur instantanée;</w:t>
      </w:r>
    </w:p>
    <w:p w:rsidR="00AE6AFC" w:rsidRPr="00A779B8" w:rsidRDefault="00AE6AFC" w:rsidP="00AE6AFC">
      <w:pPr>
        <w:pStyle w:val="SingleTxtG"/>
        <w:ind w:left="2268" w:hanging="1134"/>
        <w:rPr>
          <w:lang w:val="fr-FR"/>
        </w:rPr>
      </w:pPr>
      <w:r w:rsidRPr="00A779B8">
        <w:rPr>
          <w:lang w:val="fr-FR"/>
        </w:rPr>
        <w:t>3.1.2</w:t>
      </w:r>
      <w:r w:rsidRPr="00A779B8">
        <w:rPr>
          <w:lang w:val="fr-FR"/>
        </w:rPr>
        <w:tab/>
      </w:r>
      <w:r w:rsidRPr="00A779B8">
        <w:rPr>
          <w:lang w:val="fr-FR"/>
        </w:rPr>
        <w:sym w:font="Symbol" w:char="F0B1"/>
      </w:r>
      <w:r w:rsidRPr="00A779B8">
        <w:rPr>
          <w:lang w:val="fr-FR"/>
        </w:rPr>
        <w:t>2 % de la valeur théorique pour la valeur moyenne calculée pour chaque opération du cycle.</w:t>
      </w:r>
    </w:p>
    <w:p w:rsidR="00AE6AFC" w:rsidRPr="00A779B8" w:rsidRDefault="00AE6AFC" w:rsidP="00AE6AFC">
      <w:pPr>
        <w:pStyle w:val="SingleTxtG"/>
        <w:ind w:left="2268"/>
        <w:rPr>
          <w:lang w:val="fr-FR"/>
        </w:rPr>
      </w:pPr>
      <w:r w:rsidRPr="00A779B8">
        <w:rPr>
          <w:lang w:val="fr-FR"/>
        </w:rPr>
        <w:t xml:space="preserve">La limite spécifiée au paragraphe 3.1.1 du présent appendice est portée à </w:t>
      </w:r>
      <w:r w:rsidRPr="00A779B8">
        <w:rPr>
          <w:lang w:val="fr-FR"/>
        </w:rPr>
        <w:sym w:font="Symbol" w:char="F0B1"/>
      </w:r>
      <w:r w:rsidRPr="00A779B8">
        <w:rPr>
          <w:lang w:val="fr-FR"/>
        </w:rPr>
        <w:t>50 % pendant 1 s lors de la mise en vitesse et, pour les véhicules à boîte de vitesses manuelle, pendant 2 s au cours des changements de vitesse.</w:t>
      </w:r>
    </w:p>
    <w:p w:rsidR="00AE6AFC" w:rsidRPr="00A779B8" w:rsidRDefault="00AE6AFC" w:rsidP="00AE6AFC">
      <w:pPr>
        <w:pStyle w:val="SingleTxtG"/>
        <w:keepNext/>
        <w:ind w:left="2268" w:hanging="1134"/>
        <w:jc w:val="left"/>
        <w:rPr>
          <w:lang w:val="fr-FR"/>
        </w:rPr>
      </w:pPr>
      <w:r w:rsidRPr="00A779B8">
        <w:rPr>
          <w:lang w:val="fr-FR"/>
        </w:rPr>
        <w:t>4.</w:t>
      </w:r>
      <w:r w:rsidRPr="00A779B8">
        <w:rPr>
          <w:lang w:val="fr-FR"/>
        </w:rPr>
        <w:tab/>
        <w:t>Procédure de contrôle</w:t>
      </w:r>
    </w:p>
    <w:p w:rsidR="00AE6AFC" w:rsidRDefault="00AE6AFC" w:rsidP="00AE6AFC">
      <w:pPr>
        <w:pStyle w:val="SingleTxtG"/>
        <w:ind w:left="2268" w:hanging="1134"/>
        <w:rPr>
          <w:lang w:val="fr-FR"/>
        </w:rPr>
      </w:pPr>
      <w:r w:rsidRPr="00A779B8">
        <w:rPr>
          <w:lang w:val="fr-FR"/>
        </w:rPr>
        <w:t>4.1</w:t>
      </w:r>
      <w:r w:rsidRPr="00A779B8">
        <w:rPr>
          <w:lang w:val="fr-FR"/>
        </w:rPr>
        <w:tab/>
        <w:t xml:space="preserve">Le contrôle est exécuté au cours de chaque essai pendant toute la durée du cycle défini au paragraphe 6.1 de </w:t>
      </w:r>
      <w:r>
        <w:rPr>
          <w:lang w:val="fr-FR"/>
        </w:rPr>
        <w:t>la présente annexe</w:t>
      </w:r>
      <w:r w:rsidRPr="00A779B8">
        <w:rPr>
          <w:lang w:val="fr-FR"/>
        </w:rPr>
        <w:t>.</w:t>
      </w:r>
    </w:p>
    <w:p w:rsidR="00AE6AFC" w:rsidRDefault="00AE6AFC" w:rsidP="00AE6AFC">
      <w:pPr>
        <w:pStyle w:val="SingleTxtG"/>
        <w:ind w:left="2268" w:hanging="1134"/>
        <w:rPr>
          <w:lang w:val="fr-FR"/>
        </w:rPr>
      </w:pPr>
      <w:r w:rsidRPr="00A779B8">
        <w:rPr>
          <w:lang w:val="fr-FR"/>
        </w:rPr>
        <w:t>4.2</w:t>
      </w:r>
      <w:r w:rsidRPr="00A779B8">
        <w:rPr>
          <w:lang w:val="fr-FR"/>
        </w:rPr>
        <w:tab/>
        <w:t>Toutefois, s</w:t>
      </w:r>
      <w:r w:rsidR="00DB4C2D">
        <w:rPr>
          <w:lang w:val="fr-FR"/>
        </w:rPr>
        <w:t>’</w:t>
      </w:r>
      <w:r w:rsidRPr="00A779B8">
        <w:rPr>
          <w:lang w:val="fr-FR"/>
        </w:rPr>
        <w:t>il est satisfait aux dispositions du paragraphe 3</w:t>
      </w:r>
      <w:r>
        <w:rPr>
          <w:lang w:val="fr-FR"/>
        </w:rPr>
        <w:t xml:space="preserve"> ci-dessus</w:t>
      </w:r>
      <w:r w:rsidRPr="00A779B8">
        <w:rPr>
          <w:lang w:val="fr-FR"/>
        </w:rPr>
        <w:t xml:space="preserve"> avec des accélérations instantanées qui sont au moins trois fois supérieures ou inférieures aux valeurs obtenues lors des opérations du cycle théorique, le contrôle prescrit ci-dessus n</w:t>
      </w:r>
      <w:r w:rsidR="00DB4C2D">
        <w:rPr>
          <w:lang w:val="fr-FR"/>
        </w:rPr>
        <w:t>’</w:t>
      </w:r>
      <w:r w:rsidRPr="00A779B8">
        <w:rPr>
          <w:lang w:val="fr-FR"/>
        </w:rPr>
        <w:t>est pas nécessaire.</w:t>
      </w:r>
    </w:p>
    <w:p w:rsidR="00FD2704" w:rsidRDefault="00FD2704" w:rsidP="00AE6AFC">
      <w:pPr>
        <w:pStyle w:val="SingleTxtG"/>
        <w:ind w:left="2268" w:hanging="1134"/>
        <w:rPr>
          <w:lang w:val="fr-FR"/>
        </w:rPr>
      </w:pPr>
    </w:p>
    <w:p w:rsidR="00AE6AFC" w:rsidRDefault="00AE6AFC" w:rsidP="00AE6AFC">
      <w:pPr>
        <w:pStyle w:val="SingleTxtG"/>
        <w:ind w:left="2268" w:hanging="1134"/>
        <w:sectPr w:rsidR="00AE6AFC" w:rsidSect="00C108AC">
          <w:headerReference w:type="even" r:id="rId198"/>
          <w:headerReference w:type="default" r:id="rId199"/>
          <w:footnotePr>
            <w:numRestart w:val="eachSect"/>
          </w:footnotePr>
          <w:endnotePr>
            <w:numFmt w:val="decimal"/>
          </w:endnotePr>
          <w:pgSz w:w="11907" w:h="16840" w:code="9"/>
          <w:pgMar w:top="1701" w:right="1134" w:bottom="2268" w:left="1134" w:header="794" w:footer="1701" w:gutter="0"/>
          <w:cols w:space="720"/>
          <w:docGrid w:linePitch="272"/>
        </w:sectPr>
      </w:pPr>
    </w:p>
    <w:p w:rsidR="00AE6AFC" w:rsidRPr="00A779B8" w:rsidRDefault="00AE6AFC" w:rsidP="00AE6AFC">
      <w:pPr>
        <w:pStyle w:val="HChG"/>
        <w:rPr>
          <w:lang w:val="fr-FR"/>
        </w:rPr>
      </w:pPr>
      <w:r w:rsidRPr="00A779B8">
        <w:rPr>
          <w:lang w:val="fr-FR"/>
        </w:rPr>
        <w:lastRenderedPageBreak/>
        <w:t>Annexe 4a − Appendice 7</w:t>
      </w:r>
    </w:p>
    <w:p w:rsidR="00AE6AFC" w:rsidRPr="00A779B8" w:rsidRDefault="00AE6AFC" w:rsidP="00AE6AFC">
      <w:pPr>
        <w:pStyle w:val="HChG"/>
        <w:rPr>
          <w:lang w:val="fr-FR"/>
        </w:rPr>
      </w:pPr>
      <w:r w:rsidRPr="00A779B8">
        <w:rPr>
          <w:lang w:val="fr-FR"/>
        </w:rPr>
        <w:tab/>
      </w:r>
      <w:r w:rsidRPr="00A779B8">
        <w:rPr>
          <w:lang w:val="fr-FR"/>
        </w:rPr>
        <w:tab/>
        <w:t>Mesure de la résistance à l</w:t>
      </w:r>
      <w:r w:rsidR="00DB4C2D">
        <w:rPr>
          <w:lang w:val="fr-FR"/>
        </w:rPr>
        <w:t>’</w:t>
      </w:r>
      <w:r w:rsidRPr="00A779B8">
        <w:rPr>
          <w:lang w:val="fr-FR"/>
        </w:rPr>
        <w:t>avancement d</w:t>
      </w:r>
      <w:r w:rsidR="00DB4C2D">
        <w:rPr>
          <w:lang w:val="fr-FR"/>
        </w:rPr>
        <w:t>’</w:t>
      </w:r>
      <w:r w:rsidRPr="00A779B8">
        <w:rPr>
          <w:lang w:val="fr-FR"/>
        </w:rPr>
        <w:t>un véhicule</w:t>
      </w:r>
    </w:p>
    <w:p w:rsidR="00AE6AFC" w:rsidRPr="00A779B8" w:rsidRDefault="00AE6AFC" w:rsidP="00AE6AFC">
      <w:pPr>
        <w:pStyle w:val="HChG"/>
        <w:rPr>
          <w:lang w:val="fr-FR"/>
        </w:rPr>
      </w:pPr>
      <w:r w:rsidRPr="00A779B8">
        <w:rPr>
          <w:lang w:val="fr-FR"/>
        </w:rPr>
        <w:tab/>
      </w:r>
      <w:r w:rsidRPr="00A779B8">
        <w:rPr>
          <w:lang w:val="fr-FR"/>
        </w:rPr>
        <w:tab/>
        <w:t>Résistance à l</w:t>
      </w:r>
      <w:r w:rsidR="00DB4C2D">
        <w:rPr>
          <w:lang w:val="fr-FR"/>
        </w:rPr>
        <w:t>’</w:t>
      </w:r>
      <w:r w:rsidRPr="00A779B8">
        <w:rPr>
          <w:lang w:val="fr-FR"/>
        </w:rPr>
        <w:t>avancement d</w:t>
      </w:r>
      <w:r w:rsidR="00DB4C2D">
        <w:rPr>
          <w:lang w:val="fr-FR"/>
        </w:rPr>
        <w:t>’</w:t>
      </w:r>
      <w:r w:rsidRPr="00A779B8">
        <w:rPr>
          <w:lang w:val="fr-FR"/>
        </w:rPr>
        <w:t>un véhicule − Méthode de mesure sur piste − Simulation sur banc à rouleaux</w:t>
      </w:r>
    </w:p>
    <w:p w:rsidR="00AE6AFC" w:rsidRPr="00A779B8" w:rsidRDefault="00AE6AFC" w:rsidP="00AE6AFC">
      <w:pPr>
        <w:pStyle w:val="SingleTxtG"/>
        <w:keepNext/>
        <w:ind w:left="2268" w:hanging="1134"/>
        <w:jc w:val="left"/>
        <w:rPr>
          <w:lang w:val="fr-FR"/>
        </w:rPr>
      </w:pPr>
      <w:r w:rsidRPr="00A779B8">
        <w:rPr>
          <w:lang w:val="fr-FR"/>
        </w:rPr>
        <w:t>1.</w:t>
      </w:r>
      <w:r w:rsidRPr="00A779B8">
        <w:rPr>
          <w:lang w:val="fr-FR"/>
        </w:rPr>
        <w:tab/>
        <w:t>Objet</w:t>
      </w:r>
    </w:p>
    <w:p w:rsidR="00AE6AFC" w:rsidRPr="00A779B8" w:rsidRDefault="00AE6AFC" w:rsidP="00AE6AFC">
      <w:pPr>
        <w:pStyle w:val="SingleTxtG"/>
        <w:ind w:left="2268"/>
        <w:rPr>
          <w:lang w:val="fr-FR"/>
        </w:rPr>
      </w:pPr>
      <w:r w:rsidRPr="00A779B8">
        <w:rPr>
          <w:lang w:val="fr-FR"/>
        </w:rPr>
        <w:t>Les méthodes définies ci-après ont pour objet de mesurer la résistance à l</w:t>
      </w:r>
      <w:r w:rsidR="00DB4C2D">
        <w:rPr>
          <w:lang w:val="fr-FR"/>
        </w:rPr>
        <w:t>’</w:t>
      </w:r>
      <w:r w:rsidRPr="00A779B8">
        <w:rPr>
          <w:lang w:val="fr-FR"/>
        </w:rPr>
        <w:t>avancement d</w:t>
      </w:r>
      <w:r w:rsidR="00DB4C2D">
        <w:rPr>
          <w:lang w:val="fr-FR"/>
        </w:rPr>
        <w:t>’</w:t>
      </w:r>
      <w:r w:rsidRPr="00A779B8">
        <w:rPr>
          <w:lang w:val="fr-FR"/>
        </w:rPr>
        <w:t>un véhicule roulant à vitesse stabilisée sur route et de simuler cette résistance lors d</w:t>
      </w:r>
      <w:r w:rsidR="00DB4C2D">
        <w:rPr>
          <w:lang w:val="fr-FR"/>
        </w:rPr>
        <w:t>’</w:t>
      </w:r>
      <w:r w:rsidRPr="00A779B8">
        <w:rPr>
          <w:lang w:val="fr-FR"/>
        </w:rPr>
        <w:t xml:space="preserve">un essai sur banc à rouleaux selon les conditions spécifiées au paragraphe 6.2.1 </w:t>
      </w:r>
      <w:r>
        <w:rPr>
          <w:lang w:val="fr-FR"/>
        </w:rPr>
        <w:t>de la présente annexe</w:t>
      </w:r>
      <w:r w:rsidRPr="00A779B8">
        <w:rPr>
          <w:lang w:val="fr-FR"/>
        </w:rPr>
        <w:t>.</w:t>
      </w:r>
    </w:p>
    <w:p w:rsidR="00AE6AFC" w:rsidRPr="00A779B8" w:rsidRDefault="00AE6AFC" w:rsidP="00AE6AFC">
      <w:pPr>
        <w:pStyle w:val="SingleTxtG"/>
        <w:keepNext/>
        <w:ind w:left="2268" w:hanging="1134"/>
        <w:jc w:val="left"/>
        <w:rPr>
          <w:lang w:val="fr-FR"/>
        </w:rPr>
      </w:pPr>
      <w:r w:rsidRPr="00A779B8">
        <w:rPr>
          <w:lang w:val="fr-FR"/>
        </w:rPr>
        <w:t>2.</w:t>
      </w:r>
      <w:r w:rsidRPr="00A779B8">
        <w:rPr>
          <w:lang w:val="fr-FR"/>
        </w:rPr>
        <w:tab/>
        <w:t>Caractéristiques de la piste</w:t>
      </w:r>
    </w:p>
    <w:p w:rsidR="00AE6AFC" w:rsidRPr="00A779B8" w:rsidRDefault="00AE6AFC" w:rsidP="00AE6AFC">
      <w:pPr>
        <w:pStyle w:val="SingleTxtG"/>
        <w:ind w:left="2268"/>
        <w:rPr>
          <w:lang w:val="fr-FR"/>
        </w:rPr>
      </w:pPr>
      <w:r w:rsidRPr="00A779B8">
        <w:rPr>
          <w:lang w:val="fr-FR"/>
        </w:rPr>
        <w:t>La piste doit être horizontale et d</w:t>
      </w:r>
      <w:r w:rsidR="00DB4C2D">
        <w:rPr>
          <w:lang w:val="fr-FR"/>
        </w:rPr>
        <w:t>’</w:t>
      </w:r>
      <w:r w:rsidRPr="00A779B8">
        <w:rPr>
          <w:lang w:val="fr-FR"/>
        </w:rPr>
        <w:t>une longueur suffisante pour permettre l</w:t>
      </w:r>
      <w:r w:rsidR="00DB4C2D">
        <w:rPr>
          <w:lang w:val="fr-FR"/>
        </w:rPr>
        <w:t>’</w:t>
      </w:r>
      <w:r w:rsidRPr="00A779B8">
        <w:rPr>
          <w:lang w:val="fr-FR"/>
        </w:rPr>
        <w:t>exécution des mesures spécifiées dans le présent appendice. La pente doit être constante à 0,1 % près et ne pas excéder 1,5 %.</w:t>
      </w:r>
    </w:p>
    <w:p w:rsidR="00AE6AFC" w:rsidRPr="00A779B8" w:rsidRDefault="00AE6AFC" w:rsidP="00AE6AFC">
      <w:pPr>
        <w:pStyle w:val="SingleTxtG"/>
        <w:keepNext/>
        <w:ind w:left="2268" w:hanging="1134"/>
        <w:jc w:val="left"/>
        <w:rPr>
          <w:lang w:val="fr-FR"/>
        </w:rPr>
      </w:pPr>
      <w:r w:rsidRPr="00A779B8">
        <w:rPr>
          <w:lang w:val="fr-FR"/>
        </w:rPr>
        <w:t>3.</w:t>
      </w:r>
      <w:r w:rsidRPr="00A779B8">
        <w:rPr>
          <w:lang w:val="fr-FR"/>
        </w:rPr>
        <w:tab/>
        <w:t>Conditions atmosphériques</w:t>
      </w:r>
    </w:p>
    <w:p w:rsidR="00AE6AFC" w:rsidRPr="00A779B8" w:rsidRDefault="00AE6AFC" w:rsidP="00AE6AFC">
      <w:pPr>
        <w:pStyle w:val="SingleTxtG"/>
        <w:keepNext/>
        <w:ind w:left="2268" w:hanging="1134"/>
        <w:jc w:val="left"/>
        <w:rPr>
          <w:lang w:val="fr-FR"/>
        </w:rPr>
      </w:pPr>
      <w:r w:rsidRPr="00A779B8">
        <w:rPr>
          <w:lang w:val="fr-FR"/>
        </w:rPr>
        <w:t>3.1</w:t>
      </w:r>
      <w:r w:rsidRPr="00A779B8">
        <w:rPr>
          <w:lang w:val="fr-FR"/>
        </w:rPr>
        <w:tab/>
        <w:t>Vent</w:t>
      </w:r>
    </w:p>
    <w:p w:rsidR="00AE6AFC" w:rsidRPr="00A779B8" w:rsidRDefault="00AE6AFC" w:rsidP="00AE6AFC">
      <w:pPr>
        <w:pStyle w:val="SingleTxtG"/>
        <w:ind w:left="2268"/>
        <w:rPr>
          <w:lang w:val="fr-FR"/>
        </w:rPr>
      </w:pPr>
      <w:r w:rsidRPr="00A779B8">
        <w:rPr>
          <w:lang w:val="fr-FR"/>
        </w:rPr>
        <w:t>Lors de l</w:t>
      </w:r>
      <w:r w:rsidR="00DB4C2D">
        <w:rPr>
          <w:lang w:val="fr-FR"/>
        </w:rPr>
        <w:t>’</w:t>
      </w:r>
      <w:r w:rsidRPr="00A779B8">
        <w:rPr>
          <w:lang w:val="fr-FR"/>
        </w:rPr>
        <w:t>essai, la vitesse moyenne du vent ne doit pas dépasser 3 m/s, avec des rafales de moins de 5 m/s. En outre, la composante du vent transversalement à la piste doit être inférieure à 2 m/s. La vitesse du vent doit être mesurée à 0,7 m au-dessus du revêtement.</w:t>
      </w:r>
    </w:p>
    <w:p w:rsidR="00AE6AFC" w:rsidRPr="00A779B8" w:rsidRDefault="00AE6AFC" w:rsidP="00AE6AFC">
      <w:pPr>
        <w:pStyle w:val="SingleTxtG"/>
        <w:keepNext/>
        <w:ind w:left="2268" w:hanging="1134"/>
        <w:jc w:val="left"/>
        <w:rPr>
          <w:lang w:val="fr-FR"/>
        </w:rPr>
      </w:pPr>
      <w:r w:rsidRPr="00A779B8">
        <w:rPr>
          <w:lang w:val="fr-FR"/>
        </w:rPr>
        <w:t>3.2</w:t>
      </w:r>
      <w:r w:rsidRPr="00A779B8">
        <w:rPr>
          <w:lang w:val="fr-FR"/>
        </w:rPr>
        <w:tab/>
        <w:t>Humidité</w:t>
      </w:r>
    </w:p>
    <w:p w:rsidR="00AE6AFC" w:rsidRPr="00A779B8" w:rsidRDefault="00AE6AFC" w:rsidP="00AE6AFC">
      <w:pPr>
        <w:pStyle w:val="SingleTxtG"/>
        <w:ind w:left="2268"/>
        <w:rPr>
          <w:lang w:val="fr-FR"/>
        </w:rPr>
      </w:pPr>
      <w:r w:rsidRPr="00A779B8">
        <w:rPr>
          <w:lang w:val="fr-FR"/>
        </w:rPr>
        <w:t>La route doit être sèche.</w:t>
      </w:r>
    </w:p>
    <w:p w:rsidR="00AE6AFC" w:rsidRPr="00A779B8" w:rsidRDefault="00AE6AFC" w:rsidP="00AE6AFC">
      <w:pPr>
        <w:pStyle w:val="SingleTxtG"/>
        <w:keepNext/>
        <w:ind w:left="2268" w:hanging="1134"/>
        <w:jc w:val="left"/>
        <w:rPr>
          <w:lang w:val="fr-FR"/>
        </w:rPr>
      </w:pPr>
      <w:r w:rsidRPr="00A779B8">
        <w:rPr>
          <w:lang w:val="fr-FR"/>
        </w:rPr>
        <w:t>3.3</w:t>
      </w:r>
      <w:r w:rsidRPr="00A779B8">
        <w:rPr>
          <w:lang w:val="fr-FR"/>
        </w:rPr>
        <w:tab/>
        <w:t>Pression et température</w:t>
      </w:r>
    </w:p>
    <w:p w:rsidR="00AE6AFC" w:rsidRPr="00A779B8" w:rsidRDefault="00AE6AFC" w:rsidP="00AE6AFC">
      <w:pPr>
        <w:pStyle w:val="SingleTxtG"/>
        <w:ind w:left="2268"/>
        <w:rPr>
          <w:lang w:val="fr-FR"/>
        </w:rPr>
      </w:pPr>
      <w:r w:rsidRPr="00A779B8">
        <w:rPr>
          <w:lang w:val="fr-FR"/>
        </w:rPr>
        <w:t>La densité de l</w:t>
      </w:r>
      <w:r w:rsidR="00DB4C2D">
        <w:rPr>
          <w:lang w:val="fr-FR"/>
        </w:rPr>
        <w:t>’</w:t>
      </w:r>
      <w:r w:rsidRPr="00A779B8">
        <w:rPr>
          <w:lang w:val="fr-FR"/>
        </w:rPr>
        <w:t>air au moment de l</w:t>
      </w:r>
      <w:r w:rsidR="00DB4C2D">
        <w:rPr>
          <w:lang w:val="fr-FR"/>
        </w:rPr>
        <w:t>’</w:t>
      </w:r>
      <w:r w:rsidRPr="00A779B8">
        <w:rPr>
          <w:lang w:val="fr-FR"/>
        </w:rPr>
        <w:t>essai ne doit pas s</w:t>
      </w:r>
      <w:r w:rsidR="00DB4C2D">
        <w:rPr>
          <w:lang w:val="fr-FR"/>
        </w:rPr>
        <w:t>’</w:t>
      </w:r>
      <w:r w:rsidRPr="00A779B8">
        <w:rPr>
          <w:lang w:val="fr-FR"/>
        </w:rPr>
        <w:t xml:space="preserve">écarter de plus de </w:t>
      </w:r>
      <w:r w:rsidRPr="00A779B8">
        <w:rPr>
          <w:lang w:val="fr-FR"/>
        </w:rPr>
        <w:sym w:font="Symbol" w:char="F0B1"/>
      </w:r>
      <w:r w:rsidRPr="00A779B8">
        <w:rPr>
          <w:lang w:val="fr-FR"/>
        </w:rPr>
        <w:t>7,5 % de la densité de l</w:t>
      </w:r>
      <w:r w:rsidR="00DB4C2D">
        <w:rPr>
          <w:lang w:val="fr-FR"/>
        </w:rPr>
        <w:t>’</w:t>
      </w:r>
      <w:r w:rsidRPr="00A779B8">
        <w:rPr>
          <w:lang w:val="fr-FR"/>
        </w:rPr>
        <w:t>air aux conditions de référence P = 100 kPa, et T = 293,2 K.</w:t>
      </w:r>
    </w:p>
    <w:p w:rsidR="00AE6AFC" w:rsidRPr="00A779B8" w:rsidRDefault="00AE6AFC" w:rsidP="00AE6AFC">
      <w:pPr>
        <w:pStyle w:val="SingleTxtG"/>
        <w:keepNext/>
        <w:ind w:left="2268" w:hanging="1134"/>
        <w:jc w:val="left"/>
        <w:rPr>
          <w:lang w:val="fr-FR"/>
        </w:rPr>
      </w:pPr>
      <w:r w:rsidRPr="00A779B8">
        <w:rPr>
          <w:lang w:val="fr-FR"/>
        </w:rPr>
        <w:t>4.</w:t>
      </w:r>
      <w:r w:rsidRPr="00A779B8">
        <w:rPr>
          <w:lang w:val="fr-FR"/>
        </w:rPr>
        <w:tab/>
        <w:t>Préparation du véhicule</w:t>
      </w:r>
      <w:r>
        <w:rPr>
          <w:rStyle w:val="Appelnotedebasdep"/>
        </w:rPr>
        <w:footnoteReference w:id="40"/>
      </w:r>
    </w:p>
    <w:p w:rsidR="00AE6AFC" w:rsidRPr="00A779B8" w:rsidRDefault="00AE6AFC" w:rsidP="00AE6AFC">
      <w:pPr>
        <w:pStyle w:val="SingleTxtG"/>
        <w:keepNext/>
        <w:ind w:left="2268" w:hanging="1134"/>
        <w:jc w:val="left"/>
        <w:rPr>
          <w:lang w:val="fr-FR"/>
        </w:rPr>
      </w:pPr>
      <w:r w:rsidRPr="00A779B8">
        <w:rPr>
          <w:lang w:val="fr-FR"/>
        </w:rPr>
        <w:t>4.1</w:t>
      </w:r>
      <w:r w:rsidRPr="00A779B8">
        <w:rPr>
          <w:lang w:val="fr-FR"/>
        </w:rPr>
        <w:tab/>
        <w:t>Sélection du véhicule d</w:t>
      </w:r>
      <w:r w:rsidR="00DB4C2D">
        <w:rPr>
          <w:lang w:val="fr-FR"/>
        </w:rPr>
        <w:t>’</w:t>
      </w:r>
      <w:r w:rsidRPr="00A779B8">
        <w:rPr>
          <w:lang w:val="fr-FR"/>
        </w:rPr>
        <w:t>essai</w:t>
      </w:r>
    </w:p>
    <w:p w:rsidR="00AE6AFC" w:rsidRPr="00A779B8" w:rsidRDefault="00AE6AFC" w:rsidP="00AE6AFC">
      <w:pPr>
        <w:pStyle w:val="SingleTxtG"/>
        <w:ind w:left="2268"/>
        <w:rPr>
          <w:lang w:val="fr-FR"/>
        </w:rPr>
      </w:pPr>
      <w:r w:rsidRPr="00A779B8">
        <w:rPr>
          <w:lang w:val="fr-FR"/>
        </w:rPr>
        <w:t>Si l</w:t>
      </w:r>
      <w:r w:rsidR="00DB4C2D">
        <w:rPr>
          <w:lang w:val="fr-FR"/>
        </w:rPr>
        <w:t>’</w:t>
      </w:r>
      <w:r w:rsidRPr="00A779B8">
        <w:rPr>
          <w:lang w:val="fr-FR"/>
        </w:rPr>
        <w:t>essai n</w:t>
      </w:r>
      <w:r w:rsidR="00DB4C2D">
        <w:rPr>
          <w:lang w:val="fr-FR"/>
        </w:rPr>
        <w:t>’</w:t>
      </w:r>
      <w:r w:rsidRPr="00A779B8">
        <w:rPr>
          <w:lang w:val="fr-FR"/>
        </w:rPr>
        <w:t>est pas effectué sur toutes les variantes d</w:t>
      </w:r>
      <w:r w:rsidR="00DB4C2D">
        <w:rPr>
          <w:lang w:val="fr-FR"/>
        </w:rPr>
        <w:t>’</w:t>
      </w:r>
      <w:r w:rsidRPr="00A779B8">
        <w:rPr>
          <w:lang w:val="fr-FR"/>
        </w:rPr>
        <w:t>un type de véhicule, les critères ci-après doivent être appliqués pour sélectionner le véhicule d</w:t>
      </w:r>
      <w:r w:rsidR="00DB4C2D">
        <w:rPr>
          <w:lang w:val="fr-FR"/>
        </w:rPr>
        <w:t>’</w:t>
      </w:r>
      <w:r w:rsidRPr="00A779B8">
        <w:rPr>
          <w:lang w:val="fr-FR"/>
        </w:rPr>
        <w:t>essai.</w:t>
      </w:r>
    </w:p>
    <w:p w:rsidR="00AE6AFC" w:rsidRPr="00A779B8" w:rsidRDefault="00AE6AFC" w:rsidP="00AE6AFC">
      <w:pPr>
        <w:pStyle w:val="SingleTxtG"/>
        <w:keepNext/>
        <w:ind w:left="2268" w:hanging="1134"/>
        <w:jc w:val="left"/>
        <w:rPr>
          <w:lang w:val="fr-FR"/>
        </w:rPr>
      </w:pPr>
      <w:r w:rsidRPr="00A779B8">
        <w:rPr>
          <w:lang w:val="fr-FR"/>
        </w:rPr>
        <w:t>4.1.1</w:t>
      </w:r>
      <w:r w:rsidRPr="00A779B8">
        <w:rPr>
          <w:lang w:val="fr-FR"/>
        </w:rPr>
        <w:tab/>
        <w:t>Carrosserie</w:t>
      </w:r>
    </w:p>
    <w:p w:rsidR="00AE6AFC" w:rsidRPr="00A779B8" w:rsidRDefault="00AE6AFC" w:rsidP="00AE6AFC">
      <w:pPr>
        <w:pStyle w:val="SingleTxtG"/>
        <w:ind w:left="2268"/>
        <w:rPr>
          <w:lang w:val="fr-FR"/>
        </w:rPr>
      </w:pPr>
      <w:r w:rsidRPr="00A779B8">
        <w:rPr>
          <w:lang w:val="fr-FR"/>
        </w:rPr>
        <w:t>S</w:t>
      </w:r>
      <w:r w:rsidR="00DB4C2D">
        <w:rPr>
          <w:lang w:val="fr-FR"/>
        </w:rPr>
        <w:t>’</w:t>
      </w:r>
      <w:r w:rsidRPr="00A779B8">
        <w:rPr>
          <w:lang w:val="fr-FR"/>
        </w:rPr>
        <w:t>il existe différents types de carrosserie, l</w:t>
      </w:r>
      <w:r w:rsidR="00DB4C2D">
        <w:rPr>
          <w:lang w:val="fr-FR"/>
        </w:rPr>
        <w:t>’</w:t>
      </w:r>
      <w:r w:rsidRPr="00A779B8">
        <w:rPr>
          <w:lang w:val="fr-FR"/>
        </w:rPr>
        <w:t>essai doit être effectué sur la carrosserie la moins aérodynamique. Le constructeur doit fournir les renseignements nécessaires pour permettre la sélection.</w:t>
      </w:r>
    </w:p>
    <w:p w:rsidR="00AE6AFC" w:rsidRPr="00A779B8" w:rsidRDefault="00AE6AFC" w:rsidP="00AE6AFC">
      <w:pPr>
        <w:pStyle w:val="SingleTxtG"/>
        <w:keepNext/>
        <w:keepLines/>
        <w:ind w:left="2268" w:hanging="1134"/>
        <w:jc w:val="left"/>
        <w:rPr>
          <w:lang w:val="fr-FR"/>
        </w:rPr>
      </w:pPr>
      <w:r w:rsidRPr="00A779B8">
        <w:rPr>
          <w:lang w:val="fr-FR"/>
        </w:rPr>
        <w:lastRenderedPageBreak/>
        <w:t>4.1.2</w:t>
      </w:r>
      <w:r w:rsidRPr="00A779B8">
        <w:rPr>
          <w:lang w:val="fr-FR"/>
        </w:rPr>
        <w:tab/>
        <w:t>Pneumatiques</w:t>
      </w:r>
    </w:p>
    <w:p w:rsidR="00AE6AFC" w:rsidRDefault="00AE6AFC" w:rsidP="00AE6AFC">
      <w:pPr>
        <w:pStyle w:val="SingleTxtG"/>
        <w:ind w:left="2268"/>
        <w:rPr>
          <w:bCs/>
          <w:lang w:val="fr-FR"/>
        </w:rPr>
      </w:pPr>
      <w:r>
        <w:rPr>
          <w:bCs/>
          <w:lang w:val="fr-FR"/>
        </w:rPr>
        <w:t>Le choix des pneumatiques doit reposer sur la résistance au roulement. Sont sélectionnés les pneumatiques présentant la plus forte résistance au roulement, mesurée conformément à la norme ISO 28580.</w:t>
      </w:r>
    </w:p>
    <w:p w:rsidR="00AE6AFC" w:rsidRDefault="00AE6AFC" w:rsidP="00AE6AFC">
      <w:pPr>
        <w:pStyle w:val="SingleTxtG"/>
        <w:ind w:left="2268"/>
        <w:rPr>
          <w:bCs/>
          <w:lang w:val="fr-FR"/>
        </w:rPr>
      </w:pPr>
      <w:r>
        <w:rPr>
          <w:bCs/>
          <w:lang w:val="fr-FR"/>
        </w:rPr>
        <w:t>S</w:t>
      </w:r>
      <w:r w:rsidR="00DB4C2D">
        <w:rPr>
          <w:bCs/>
          <w:lang w:val="fr-FR"/>
        </w:rPr>
        <w:t>’</w:t>
      </w:r>
      <w:r>
        <w:rPr>
          <w:bCs/>
          <w:lang w:val="fr-FR"/>
        </w:rPr>
        <w:t>il existe plus de trois résistances au roulement, le pneumatique présentant la deuxième plus forte résistance doit être choisi.</w:t>
      </w:r>
    </w:p>
    <w:p w:rsidR="00AE6AFC" w:rsidRPr="00A779B8" w:rsidRDefault="00AE6AFC" w:rsidP="00AE6AFC">
      <w:pPr>
        <w:pStyle w:val="SingleTxtG"/>
        <w:ind w:left="2268"/>
        <w:rPr>
          <w:lang w:val="fr-FR"/>
        </w:rPr>
      </w:pPr>
      <w:r>
        <w:rPr>
          <w:bCs/>
          <w:lang w:val="fr-FR"/>
        </w:rPr>
        <w:t>Les caractéristiques de résistance au roulement des pneumatiques montés sur les véhicules de série doivent correspondre à celles des pneumatiques utilisés pour l</w:t>
      </w:r>
      <w:r w:rsidR="00DB4C2D">
        <w:rPr>
          <w:bCs/>
          <w:lang w:val="fr-FR"/>
        </w:rPr>
        <w:t>’</w:t>
      </w:r>
      <w:r>
        <w:rPr>
          <w:bCs/>
          <w:lang w:val="fr-FR"/>
        </w:rPr>
        <w:t>homologation de type.</w:t>
      </w:r>
    </w:p>
    <w:p w:rsidR="00AE6AFC" w:rsidRPr="00A779B8" w:rsidRDefault="00AE6AFC" w:rsidP="00AE6AFC">
      <w:pPr>
        <w:pStyle w:val="SingleTxtG"/>
        <w:keepNext/>
        <w:ind w:left="2268" w:hanging="1134"/>
        <w:jc w:val="left"/>
        <w:rPr>
          <w:lang w:val="fr-FR"/>
        </w:rPr>
      </w:pPr>
      <w:r w:rsidRPr="00A779B8">
        <w:rPr>
          <w:lang w:val="fr-FR"/>
        </w:rPr>
        <w:t>4.1.3</w:t>
      </w:r>
      <w:r w:rsidRPr="00A779B8">
        <w:rPr>
          <w:lang w:val="fr-FR"/>
        </w:rPr>
        <w:tab/>
        <w:t>Masse d</w:t>
      </w:r>
      <w:r w:rsidR="00DB4C2D">
        <w:rPr>
          <w:lang w:val="fr-FR"/>
        </w:rPr>
        <w:t>’</w:t>
      </w:r>
      <w:r w:rsidRPr="00A779B8">
        <w:rPr>
          <w:lang w:val="fr-FR"/>
        </w:rPr>
        <w:t>essai</w:t>
      </w:r>
    </w:p>
    <w:p w:rsidR="00AE6AFC" w:rsidRPr="00A779B8" w:rsidRDefault="00AE6AFC" w:rsidP="00AE6AFC">
      <w:pPr>
        <w:pStyle w:val="SingleTxtG"/>
        <w:ind w:left="2268"/>
        <w:rPr>
          <w:lang w:val="fr-FR"/>
        </w:rPr>
      </w:pPr>
      <w:r w:rsidRPr="00A779B8">
        <w:rPr>
          <w:lang w:val="fr-FR"/>
        </w:rPr>
        <w:t>La masse d</w:t>
      </w:r>
      <w:r w:rsidR="00DB4C2D">
        <w:rPr>
          <w:lang w:val="fr-FR"/>
        </w:rPr>
        <w:t>’</w:t>
      </w:r>
      <w:r w:rsidRPr="00A779B8">
        <w:rPr>
          <w:lang w:val="fr-FR"/>
        </w:rPr>
        <w:t>essai doit être la masse de référence du véhicule ayant la plage d</w:t>
      </w:r>
      <w:r w:rsidR="00DB4C2D">
        <w:rPr>
          <w:lang w:val="fr-FR"/>
        </w:rPr>
        <w:t>’</w:t>
      </w:r>
      <w:r w:rsidRPr="00A779B8">
        <w:rPr>
          <w:lang w:val="fr-FR"/>
        </w:rPr>
        <w:t>inerties la plus élevée.</w:t>
      </w:r>
    </w:p>
    <w:p w:rsidR="00AE6AFC" w:rsidRPr="00A779B8" w:rsidRDefault="00AE6AFC" w:rsidP="00AE6AFC">
      <w:pPr>
        <w:pStyle w:val="SingleTxtG"/>
        <w:keepNext/>
        <w:ind w:left="2268" w:hanging="1134"/>
        <w:jc w:val="left"/>
        <w:rPr>
          <w:lang w:val="fr-FR"/>
        </w:rPr>
      </w:pPr>
      <w:r w:rsidRPr="00A779B8">
        <w:rPr>
          <w:lang w:val="fr-FR"/>
        </w:rPr>
        <w:t>4.1.4</w:t>
      </w:r>
      <w:r w:rsidRPr="00A779B8">
        <w:rPr>
          <w:lang w:val="fr-FR"/>
        </w:rPr>
        <w:tab/>
        <w:t>Moteur</w:t>
      </w:r>
    </w:p>
    <w:p w:rsidR="00AE6AFC" w:rsidRPr="00A779B8" w:rsidRDefault="00AE6AFC" w:rsidP="00AE6AFC">
      <w:pPr>
        <w:pStyle w:val="SingleTxtG"/>
        <w:ind w:left="2268"/>
        <w:rPr>
          <w:lang w:val="fr-FR"/>
        </w:rPr>
      </w:pPr>
      <w:r w:rsidRPr="00A779B8">
        <w:rPr>
          <w:lang w:val="fr-FR"/>
        </w:rPr>
        <w:t>Le véhicule d</w:t>
      </w:r>
      <w:r w:rsidR="00DB4C2D">
        <w:rPr>
          <w:lang w:val="fr-FR"/>
        </w:rPr>
        <w:t>’</w:t>
      </w:r>
      <w:r w:rsidRPr="00A779B8">
        <w:rPr>
          <w:lang w:val="fr-FR"/>
        </w:rPr>
        <w:t>essai doit être équipé du ou des échangeurs thermiques de la plus grande capacité.</w:t>
      </w:r>
    </w:p>
    <w:p w:rsidR="00AE6AFC" w:rsidRPr="00A779B8" w:rsidRDefault="00AE6AFC" w:rsidP="00AE6AFC">
      <w:pPr>
        <w:pStyle w:val="SingleTxtG"/>
        <w:keepNext/>
        <w:ind w:left="2268" w:hanging="1134"/>
        <w:jc w:val="left"/>
        <w:rPr>
          <w:lang w:val="fr-FR"/>
        </w:rPr>
      </w:pPr>
      <w:r w:rsidRPr="00A779B8">
        <w:rPr>
          <w:lang w:val="fr-FR"/>
        </w:rPr>
        <w:t>4.1.5</w:t>
      </w:r>
      <w:r w:rsidRPr="00A779B8">
        <w:rPr>
          <w:lang w:val="fr-FR"/>
        </w:rPr>
        <w:tab/>
        <w:t>Transmission</w:t>
      </w:r>
    </w:p>
    <w:p w:rsidR="00AE6AFC" w:rsidRPr="00A779B8" w:rsidRDefault="00AE6AFC" w:rsidP="00AE6AFC">
      <w:pPr>
        <w:pStyle w:val="SingleTxtG"/>
        <w:ind w:left="2268"/>
        <w:rPr>
          <w:lang w:val="fr-FR"/>
        </w:rPr>
      </w:pPr>
      <w:r w:rsidRPr="00A779B8">
        <w:rPr>
          <w:lang w:val="fr-FR"/>
        </w:rPr>
        <w:t>Un essai doit être effectué sur chacun des types de transmission suivants:</w:t>
      </w:r>
    </w:p>
    <w:p w:rsidR="00AE6AFC" w:rsidRPr="00A779B8" w:rsidRDefault="00AE6AFC" w:rsidP="00AE6AFC">
      <w:pPr>
        <w:pStyle w:val="SingleTxtG"/>
        <w:ind w:left="2268"/>
        <w:jc w:val="left"/>
        <w:rPr>
          <w:lang w:val="fr-FR"/>
        </w:rPr>
      </w:pPr>
      <w:r w:rsidRPr="00A779B8">
        <w:rPr>
          <w:lang w:val="fr-FR"/>
        </w:rPr>
        <w:t>Traction avant;</w:t>
      </w:r>
    </w:p>
    <w:p w:rsidR="00AE6AFC" w:rsidRPr="00A779B8" w:rsidRDefault="00AE6AFC" w:rsidP="00AE6AFC">
      <w:pPr>
        <w:pStyle w:val="SingleTxtG"/>
        <w:ind w:left="2268"/>
        <w:jc w:val="left"/>
        <w:rPr>
          <w:lang w:val="fr-FR"/>
        </w:rPr>
      </w:pPr>
      <w:r w:rsidRPr="00A779B8">
        <w:rPr>
          <w:lang w:val="fr-FR"/>
        </w:rPr>
        <w:t>Propulsion arrière;</w:t>
      </w:r>
    </w:p>
    <w:p w:rsidR="00AE6AFC" w:rsidRPr="00A779B8" w:rsidRDefault="00AE6AFC" w:rsidP="00AE6AFC">
      <w:pPr>
        <w:pStyle w:val="SingleTxtG"/>
        <w:ind w:left="2268"/>
        <w:jc w:val="left"/>
        <w:rPr>
          <w:lang w:val="fr-FR"/>
        </w:rPr>
      </w:pPr>
      <w:r w:rsidRPr="00A779B8">
        <w:rPr>
          <w:lang w:val="fr-FR"/>
        </w:rPr>
        <w:t>4 x 4 permanent;</w:t>
      </w:r>
    </w:p>
    <w:p w:rsidR="00AE6AFC" w:rsidRPr="00A779B8" w:rsidRDefault="00AE6AFC" w:rsidP="00AE6AFC">
      <w:pPr>
        <w:pStyle w:val="SingleTxtG"/>
        <w:ind w:left="2268"/>
        <w:jc w:val="left"/>
        <w:rPr>
          <w:lang w:val="fr-FR"/>
        </w:rPr>
      </w:pPr>
      <w:r w:rsidRPr="00A779B8">
        <w:rPr>
          <w:lang w:val="fr-FR"/>
        </w:rPr>
        <w:t>4 x 4 partiel;</w:t>
      </w:r>
    </w:p>
    <w:p w:rsidR="00AE6AFC" w:rsidRPr="00A779B8" w:rsidRDefault="00AE6AFC" w:rsidP="00AE6AFC">
      <w:pPr>
        <w:pStyle w:val="SingleTxtG"/>
        <w:ind w:left="2268"/>
        <w:jc w:val="left"/>
        <w:rPr>
          <w:lang w:val="fr-FR"/>
        </w:rPr>
      </w:pPr>
      <w:r w:rsidRPr="00A779B8">
        <w:rPr>
          <w:lang w:val="fr-FR"/>
        </w:rPr>
        <w:t>Boîte de vitesses automatique;</w:t>
      </w:r>
    </w:p>
    <w:p w:rsidR="00AE6AFC" w:rsidRPr="00A779B8" w:rsidRDefault="00AE6AFC" w:rsidP="00AE6AFC">
      <w:pPr>
        <w:pStyle w:val="SingleTxtG"/>
        <w:ind w:left="2268"/>
        <w:jc w:val="left"/>
        <w:rPr>
          <w:lang w:val="fr-FR"/>
        </w:rPr>
      </w:pPr>
      <w:r w:rsidRPr="00A779B8">
        <w:rPr>
          <w:lang w:val="fr-FR"/>
        </w:rPr>
        <w:t>Boîte de vitesses manuelle.</w:t>
      </w:r>
    </w:p>
    <w:p w:rsidR="00AE6AFC" w:rsidRPr="00A779B8" w:rsidRDefault="00AE6AFC" w:rsidP="00AE6AFC">
      <w:pPr>
        <w:pStyle w:val="SingleTxtG"/>
        <w:keepNext/>
        <w:ind w:left="2268" w:hanging="1134"/>
        <w:jc w:val="left"/>
        <w:rPr>
          <w:lang w:val="fr-FR"/>
        </w:rPr>
      </w:pPr>
      <w:r w:rsidRPr="00A779B8">
        <w:rPr>
          <w:lang w:val="fr-FR"/>
        </w:rPr>
        <w:t>4.2</w:t>
      </w:r>
      <w:r w:rsidRPr="00A779B8">
        <w:rPr>
          <w:lang w:val="fr-FR"/>
        </w:rPr>
        <w:tab/>
        <w:t>Rodage</w:t>
      </w:r>
    </w:p>
    <w:p w:rsidR="00AE6AFC" w:rsidRPr="00A779B8" w:rsidRDefault="00AE6AFC" w:rsidP="00AE6AFC">
      <w:pPr>
        <w:pStyle w:val="SingleTxtG"/>
        <w:ind w:left="2268"/>
        <w:rPr>
          <w:lang w:val="fr-FR"/>
        </w:rPr>
      </w:pPr>
      <w:r w:rsidRPr="00A779B8">
        <w:rPr>
          <w:lang w:val="fr-FR"/>
        </w:rPr>
        <w:t>Le véhicule doit être en état normal de marche et de réglage et avoir été rodé sur au moins 3 000 km. Les pneumatiques doivent avoir été rodés en même temps que le véhicule ou avoir 90 à 50 % de la profondeur des dessins de la bande de roulement.</w:t>
      </w:r>
    </w:p>
    <w:p w:rsidR="00AE6AFC" w:rsidRPr="00A779B8" w:rsidRDefault="00AE6AFC" w:rsidP="00AE6AFC">
      <w:pPr>
        <w:pStyle w:val="SingleTxtG"/>
        <w:keepNext/>
        <w:ind w:left="2268" w:hanging="1134"/>
        <w:jc w:val="left"/>
        <w:rPr>
          <w:lang w:val="fr-FR"/>
        </w:rPr>
      </w:pPr>
      <w:r w:rsidRPr="00A779B8">
        <w:rPr>
          <w:lang w:val="fr-FR"/>
        </w:rPr>
        <w:t>4.3</w:t>
      </w:r>
      <w:r w:rsidRPr="00A779B8">
        <w:rPr>
          <w:lang w:val="fr-FR"/>
        </w:rPr>
        <w:tab/>
        <w:t>Vérifications</w:t>
      </w:r>
    </w:p>
    <w:p w:rsidR="00AE6AFC" w:rsidRPr="00A779B8" w:rsidRDefault="00AE6AFC" w:rsidP="00AE6AFC">
      <w:pPr>
        <w:pStyle w:val="SingleTxtG"/>
        <w:ind w:left="2268"/>
        <w:rPr>
          <w:lang w:val="fr-FR"/>
        </w:rPr>
      </w:pPr>
      <w:r w:rsidRPr="00A779B8">
        <w:rPr>
          <w:lang w:val="fr-FR"/>
        </w:rPr>
        <w:t>Il faut vérifier que sur les points ci-après le véhicule est conforme aux spécifications du constructeur pour l</w:t>
      </w:r>
      <w:r w:rsidR="00DB4C2D">
        <w:rPr>
          <w:lang w:val="fr-FR"/>
        </w:rPr>
        <w:t>’</w:t>
      </w:r>
      <w:r w:rsidRPr="00A779B8">
        <w:rPr>
          <w:lang w:val="fr-FR"/>
        </w:rPr>
        <w:t>utilisation considérée:</w:t>
      </w:r>
    </w:p>
    <w:p w:rsidR="00AE6AFC" w:rsidRPr="00A779B8" w:rsidRDefault="00AE6AFC" w:rsidP="00AE6AFC">
      <w:pPr>
        <w:pStyle w:val="SingleTxtG"/>
        <w:ind w:left="2268"/>
        <w:rPr>
          <w:lang w:val="fr-FR"/>
        </w:rPr>
      </w:pPr>
      <w:r w:rsidRPr="00A779B8">
        <w:rPr>
          <w:lang w:val="fr-FR"/>
        </w:rPr>
        <w:t>Roues, enjoliveurs, pneus (marque, type, pression), géométrie du train avant, réglage des freins (suppression des frottements parasites), lubrification des trains avant et arrière, réglage de la suspension et de l</w:t>
      </w:r>
      <w:r w:rsidR="00DB4C2D">
        <w:rPr>
          <w:lang w:val="fr-FR"/>
        </w:rPr>
        <w:t>’</w:t>
      </w:r>
      <w:r w:rsidRPr="00A779B8">
        <w:rPr>
          <w:lang w:val="fr-FR"/>
        </w:rPr>
        <w:t>assiette du véhicule, etc.</w:t>
      </w:r>
    </w:p>
    <w:p w:rsidR="00AE6AFC" w:rsidRPr="00A779B8" w:rsidRDefault="00AE6AFC" w:rsidP="00AE6AFC">
      <w:pPr>
        <w:pStyle w:val="SingleTxtG"/>
        <w:keepNext/>
        <w:ind w:left="2268" w:hanging="1134"/>
        <w:jc w:val="left"/>
        <w:rPr>
          <w:lang w:val="fr-FR"/>
        </w:rPr>
      </w:pPr>
      <w:r w:rsidRPr="00A779B8">
        <w:rPr>
          <w:lang w:val="fr-FR"/>
        </w:rPr>
        <w:t>4.4</w:t>
      </w:r>
      <w:r w:rsidRPr="00A779B8">
        <w:rPr>
          <w:lang w:val="fr-FR"/>
        </w:rPr>
        <w:tab/>
        <w:t>Préparatifs pour l</w:t>
      </w:r>
      <w:r w:rsidR="00DB4C2D">
        <w:rPr>
          <w:lang w:val="fr-FR"/>
        </w:rPr>
        <w:t>’</w:t>
      </w:r>
      <w:r w:rsidRPr="00A779B8">
        <w:rPr>
          <w:lang w:val="fr-FR"/>
        </w:rPr>
        <w:t>essai</w:t>
      </w:r>
    </w:p>
    <w:p w:rsidR="00AE6AFC" w:rsidRPr="00A779B8" w:rsidRDefault="00AE6AFC" w:rsidP="00AE6AFC">
      <w:pPr>
        <w:pStyle w:val="SingleTxtG"/>
        <w:ind w:left="2268" w:hanging="1134"/>
        <w:rPr>
          <w:lang w:val="fr-FR"/>
        </w:rPr>
      </w:pPr>
      <w:r w:rsidRPr="00A779B8">
        <w:rPr>
          <w:lang w:val="fr-FR"/>
        </w:rPr>
        <w:t>4.4.1</w:t>
      </w:r>
      <w:r w:rsidRPr="00A779B8">
        <w:rPr>
          <w:lang w:val="fr-FR"/>
        </w:rPr>
        <w:tab/>
        <w:t>Le véhicule est chargé à sa masse de référence. L</w:t>
      </w:r>
      <w:r w:rsidR="00DB4C2D">
        <w:rPr>
          <w:lang w:val="fr-FR"/>
        </w:rPr>
        <w:t>’</w:t>
      </w:r>
      <w:r w:rsidRPr="00A779B8">
        <w:rPr>
          <w:lang w:val="fr-FR"/>
        </w:rPr>
        <w:t>assiette du véhicule doit être celle obtenue lorsque le centre de gravité de la charge est situé au milieu du segment de droite qui joint les points «R» des places avant latérales.</w:t>
      </w:r>
    </w:p>
    <w:p w:rsidR="00AE6AFC" w:rsidRPr="00A779B8" w:rsidRDefault="00AE6AFC" w:rsidP="00AE6AFC">
      <w:pPr>
        <w:pStyle w:val="SingleTxtG"/>
        <w:ind w:left="2268" w:hanging="1134"/>
        <w:rPr>
          <w:lang w:val="fr-FR"/>
        </w:rPr>
      </w:pPr>
      <w:r w:rsidRPr="00A779B8">
        <w:rPr>
          <w:lang w:val="fr-FR"/>
        </w:rPr>
        <w:t>4.4.2</w:t>
      </w:r>
      <w:r w:rsidRPr="00A779B8">
        <w:rPr>
          <w:lang w:val="fr-FR"/>
        </w:rPr>
        <w:tab/>
        <w:t>Pour les essais sur piste, les fenêtres du véhicule doivent être fermées. Les éventuelles trappes de climatisation, de phares, etc., doivent être en position hors fonction.</w:t>
      </w:r>
    </w:p>
    <w:p w:rsidR="00AE6AFC" w:rsidRPr="00A779B8" w:rsidRDefault="00AE6AFC" w:rsidP="00AE6AFC">
      <w:pPr>
        <w:pStyle w:val="SingleTxtG"/>
        <w:ind w:left="2268" w:hanging="1134"/>
        <w:rPr>
          <w:lang w:val="fr-FR"/>
        </w:rPr>
      </w:pPr>
      <w:r w:rsidRPr="00A779B8">
        <w:rPr>
          <w:lang w:val="fr-FR"/>
        </w:rPr>
        <w:lastRenderedPageBreak/>
        <w:t>4.4.3</w:t>
      </w:r>
      <w:r w:rsidRPr="00A779B8">
        <w:rPr>
          <w:lang w:val="fr-FR"/>
        </w:rPr>
        <w:tab/>
        <w:t>Le véhicule doit être propre.</w:t>
      </w:r>
    </w:p>
    <w:p w:rsidR="00AE6AFC" w:rsidRPr="00A779B8" w:rsidRDefault="00AE6AFC" w:rsidP="00AE6AFC">
      <w:pPr>
        <w:pStyle w:val="SingleTxtG"/>
        <w:ind w:left="2268" w:hanging="1134"/>
        <w:rPr>
          <w:lang w:val="fr-FR"/>
        </w:rPr>
      </w:pPr>
      <w:r w:rsidRPr="00A779B8">
        <w:rPr>
          <w:lang w:val="fr-FR"/>
        </w:rPr>
        <w:t>4.4.4</w:t>
      </w:r>
      <w:r w:rsidRPr="00A779B8">
        <w:rPr>
          <w:lang w:val="fr-FR"/>
        </w:rPr>
        <w:tab/>
        <w:t>Immédiatement avant l</w:t>
      </w:r>
      <w:r w:rsidR="00DB4C2D">
        <w:rPr>
          <w:lang w:val="fr-FR"/>
        </w:rPr>
        <w:t>’</w:t>
      </w:r>
      <w:r w:rsidRPr="00A779B8">
        <w:rPr>
          <w:lang w:val="fr-FR"/>
        </w:rPr>
        <w:t>essai, le véhicule doit être porté à sa température normale de fonctionnement de manière appropriée.</w:t>
      </w:r>
    </w:p>
    <w:p w:rsidR="00AE6AFC" w:rsidRPr="00A779B8" w:rsidRDefault="00AE6AFC" w:rsidP="00AE6AFC">
      <w:pPr>
        <w:pStyle w:val="SingleTxtG"/>
        <w:keepNext/>
        <w:ind w:left="2268" w:hanging="1134"/>
        <w:rPr>
          <w:lang w:val="fr-FR"/>
        </w:rPr>
      </w:pPr>
      <w:r w:rsidRPr="00A779B8">
        <w:rPr>
          <w:lang w:val="fr-FR"/>
        </w:rPr>
        <w:t>5.</w:t>
      </w:r>
      <w:r w:rsidRPr="00A779B8">
        <w:rPr>
          <w:lang w:val="fr-FR"/>
        </w:rPr>
        <w:tab/>
        <w:t>Méthodes</w:t>
      </w:r>
    </w:p>
    <w:p w:rsidR="00AE6AFC" w:rsidRPr="00A779B8" w:rsidRDefault="00AE6AFC" w:rsidP="00AE6AFC">
      <w:pPr>
        <w:pStyle w:val="SingleTxtG"/>
        <w:keepNext/>
        <w:keepLines/>
        <w:ind w:left="2268" w:hanging="1134"/>
        <w:rPr>
          <w:lang w:val="fr-FR"/>
        </w:rPr>
      </w:pPr>
      <w:r w:rsidRPr="00A779B8">
        <w:rPr>
          <w:lang w:val="fr-FR"/>
        </w:rPr>
        <w:t>5.1</w:t>
      </w:r>
      <w:r w:rsidRPr="00A779B8">
        <w:rPr>
          <w:lang w:val="fr-FR"/>
        </w:rPr>
        <w:tab/>
        <w:t>Méthode de la variation d</w:t>
      </w:r>
      <w:r w:rsidR="00DB4C2D">
        <w:rPr>
          <w:lang w:val="fr-FR"/>
        </w:rPr>
        <w:t>’</w:t>
      </w:r>
      <w:r w:rsidRPr="00A779B8">
        <w:rPr>
          <w:lang w:val="fr-FR"/>
        </w:rPr>
        <w:t>énergie lors de la décélération en roue libre</w:t>
      </w:r>
    </w:p>
    <w:p w:rsidR="00AE6AFC" w:rsidRPr="00A779B8" w:rsidRDefault="00AE6AFC" w:rsidP="00AE6AFC">
      <w:pPr>
        <w:pStyle w:val="SingleTxtG"/>
        <w:keepNext/>
        <w:ind w:left="2268" w:hanging="1134"/>
        <w:rPr>
          <w:lang w:val="fr-FR"/>
        </w:rPr>
      </w:pPr>
      <w:r w:rsidRPr="00A779B8">
        <w:rPr>
          <w:lang w:val="fr-FR"/>
        </w:rPr>
        <w:t>5.1.1</w:t>
      </w:r>
      <w:r w:rsidRPr="00A779B8">
        <w:rPr>
          <w:lang w:val="fr-FR"/>
        </w:rPr>
        <w:tab/>
        <w:t>Sur piste</w:t>
      </w:r>
    </w:p>
    <w:p w:rsidR="00AE6AFC" w:rsidRPr="00A779B8" w:rsidRDefault="00AE6AFC" w:rsidP="00AE6AFC">
      <w:pPr>
        <w:pStyle w:val="SingleTxtG"/>
        <w:ind w:left="2268" w:hanging="1134"/>
        <w:rPr>
          <w:lang w:val="fr-FR"/>
        </w:rPr>
      </w:pPr>
      <w:r w:rsidRPr="00A779B8">
        <w:rPr>
          <w:lang w:val="fr-FR"/>
        </w:rPr>
        <w:t>5.1.1.1</w:t>
      </w:r>
      <w:r w:rsidRPr="00A779B8">
        <w:rPr>
          <w:lang w:val="fr-FR"/>
        </w:rPr>
        <w:tab/>
        <w:t xml:space="preserve">Appareillage de mesure et erreur admissible </w:t>
      </w:r>
    </w:p>
    <w:p w:rsidR="00AE6AFC" w:rsidRPr="00A779B8" w:rsidRDefault="00AE6AFC" w:rsidP="00AE6AFC">
      <w:pPr>
        <w:pStyle w:val="SingleTxtG"/>
        <w:ind w:left="2268"/>
        <w:rPr>
          <w:lang w:val="fr-FR"/>
        </w:rPr>
      </w:pPr>
      <w:r w:rsidRPr="00A779B8">
        <w:rPr>
          <w:lang w:val="fr-FR"/>
        </w:rPr>
        <w:t xml:space="preserve">La mesure du temps est doit être exécutée avec une erreur inférieure à </w:t>
      </w:r>
      <w:r w:rsidRPr="00A779B8">
        <w:rPr>
          <w:lang w:val="fr-FR"/>
        </w:rPr>
        <w:sym w:font="Symbol" w:char="F0B1"/>
      </w:r>
      <w:r w:rsidRPr="00A779B8">
        <w:rPr>
          <w:lang w:val="fr-FR"/>
        </w:rPr>
        <w:t>0,1 s.</w:t>
      </w:r>
    </w:p>
    <w:p w:rsidR="00AE6AFC" w:rsidRPr="00A779B8" w:rsidRDefault="00AE6AFC" w:rsidP="00AE6AFC">
      <w:pPr>
        <w:pStyle w:val="SingleTxtG"/>
        <w:ind w:left="2268"/>
        <w:rPr>
          <w:lang w:val="fr-FR"/>
        </w:rPr>
      </w:pPr>
      <w:r w:rsidRPr="00A779B8">
        <w:rPr>
          <w:lang w:val="fr-FR"/>
        </w:rPr>
        <w:t xml:space="preserve">La mesure de la vitesse doit être exécutée avec une erreur inférieure à </w:t>
      </w:r>
      <w:r w:rsidRPr="00A779B8">
        <w:rPr>
          <w:lang w:val="fr-FR"/>
        </w:rPr>
        <w:sym w:font="Symbol" w:char="F0B1"/>
      </w:r>
      <w:r w:rsidRPr="00A779B8">
        <w:rPr>
          <w:lang w:val="fr-FR"/>
        </w:rPr>
        <w:t>2 %.</w:t>
      </w:r>
    </w:p>
    <w:p w:rsidR="00AE6AFC" w:rsidRPr="00A779B8" w:rsidRDefault="00AE6AFC" w:rsidP="00AE6AFC">
      <w:pPr>
        <w:pStyle w:val="SingleTxtG"/>
        <w:ind w:left="2268" w:hanging="1134"/>
        <w:rPr>
          <w:lang w:val="fr-FR"/>
        </w:rPr>
      </w:pPr>
      <w:r w:rsidRPr="00A779B8">
        <w:rPr>
          <w:lang w:val="fr-FR"/>
        </w:rPr>
        <w:t>5.1.1.2</w:t>
      </w:r>
      <w:r w:rsidRPr="00A779B8">
        <w:rPr>
          <w:lang w:val="fr-FR"/>
        </w:rPr>
        <w:tab/>
        <w:t>Procédure d</w:t>
      </w:r>
      <w:r w:rsidR="00DB4C2D">
        <w:rPr>
          <w:lang w:val="fr-FR"/>
        </w:rPr>
        <w:t>’</w:t>
      </w:r>
      <w:r w:rsidRPr="00A779B8">
        <w:rPr>
          <w:lang w:val="fr-FR"/>
        </w:rPr>
        <w:t>essai</w:t>
      </w:r>
    </w:p>
    <w:p w:rsidR="00AE6AFC" w:rsidRPr="00A779B8" w:rsidRDefault="00AE6AFC" w:rsidP="00AE6AFC">
      <w:pPr>
        <w:pStyle w:val="SingleTxtG"/>
        <w:ind w:left="2268" w:hanging="1134"/>
        <w:rPr>
          <w:lang w:val="fr-FR"/>
        </w:rPr>
      </w:pPr>
      <w:r w:rsidRPr="00A779B8">
        <w:rPr>
          <w:lang w:val="fr-FR"/>
        </w:rPr>
        <w:t>5.1.1.2.1</w:t>
      </w:r>
      <w:r w:rsidRPr="00A779B8">
        <w:rPr>
          <w:lang w:val="fr-FR"/>
        </w:rPr>
        <w:tab/>
        <w:t>Accélérer le véhicule jusqu</w:t>
      </w:r>
      <w:r w:rsidR="00DB4C2D">
        <w:rPr>
          <w:lang w:val="fr-FR"/>
        </w:rPr>
        <w:t>’</w:t>
      </w:r>
      <w:r w:rsidRPr="00A779B8">
        <w:rPr>
          <w:lang w:val="fr-FR"/>
        </w:rPr>
        <w:t>à une vitesse supérieure de 10 km/h à la vitesse d</w:t>
      </w:r>
      <w:r w:rsidR="00DB4C2D">
        <w:rPr>
          <w:lang w:val="fr-FR"/>
        </w:rPr>
        <w:t>’</w:t>
      </w:r>
      <w:r w:rsidRPr="00A779B8">
        <w:rPr>
          <w:lang w:val="fr-FR"/>
        </w:rPr>
        <w:t>essai choisie V.</w:t>
      </w:r>
    </w:p>
    <w:p w:rsidR="00AE6AFC" w:rsidRPr="00A779B8" w:rsidRDefault="00AE6AFC" w:rsidP="00AE6AFC">
      <w:pPr>
        <w:pStyle w:val="SingleTxtG"/>
        <w:ind w:left="2268" w:hanging="1134"/>
        <w:rPr>
          <w:lang w:val="fr-FR"/>
        </w:rPr>
      </w:pPr>
      <w:r w:rsidRPr="00A779B8">
        <w:rPr>
          <w:lang w:val="fr-FR"/>
        </w:rPr>
        <w:t>5.1.1.2.2</w:t>
      </w:r>
      <w:r w:rsidRPr="00A779B8">
        <w:rPr>
          <w:lang w:val="fr-FR"/>
        </w:rPr>
        <w:tab/>
        <w:t>Mettre la boîte de vitesses au point mort.</w:t>
      </w:r>
    </w:p>
    <w:p w:rsidR="00AE6AFC" w:rsidRPr="00A779B8" w:rsidRDefault="00AE6AFC" w:rsidP="00AE6AFC">
      <w:pPr>
        <w:pStyle w:val="SingleTxtG"/>
        <w:ind w:left="2268" w:hanging="1134"/>
        <w:rPr>
          <w:lang w:val="fr-FR"/>
        </w:rPr>
      </w:pPr>
      <w:r w:rsidRPr="00A779B8">
        <w:rPr>
          <w:lang w:val="fr-FR"/>
        </w:rPr>
        <w:t>5.1.1.2.3</w:t>
      </w:r>
      <w:r w:rsidRPr="00A779B8">
        <w:rPr>
          <w:lang w:val="fr-FR"/>
        </w:rPr>
        <w:tab/>
        <w:t>Mesurer le temps (t</w:t>
      </w:r>
      <w:r w:rsidRPr="00A779B8">
        <w:rPr>
          <w:vertAlign w:val="subscript"/>
          <w:lang w:val="fr-FR"/>
        </w:rPr>
        <w:t>1</w:t>
      </w:r>
      <w:r w:rsidRPr="00A779B8">
        <w:rPr>
          <w:lang w:val="fr-FR"/>
        </w:rPr>
        <w:t>) de décélération du véhicule de la vitesse:</w:t>
      </w:r>
    </w:p>
    <w:p w:rsidR="00AE6AFC" w:rsidRPr="00A779B8" w:rsidRDefault="00AE6AFC" w:rsidP="00AE6AFC">
      <w:pPr>
        <w:pStyle w:val="SingleTxtG"/>
        <w:ind w:left="3402" w:hanging="1134"/>
        <w:rPr>
          <w:lang w:val="fr-FR"/>
        </w:rPr>
      </w:pPr>
      <w:r w:rsidRPr="00A779B8">
        <w:rPr>
          <w:lang w:val="fr-FR"/>
        </w:rPr>
        <w:t>V</w:t>
      </w:r>
      <w:r w:rsidRPr="00A779B8">
        <w:rPr>
          <w:vertAlign w:val="subscript"/>
          <w:lang w:val="fr-FR"/>
        </w:rPr>
        <w:t>2</w:t>
      </w:r>
      <w:r w:rsidRPr="00A779B8">
        <w:rPr>
          <w:lang w:val="fr-FR"/>
        </w:rPr>
        <w:t xml:space="preserve"> = V + </w:t>
      </w:r>
      <w:r w:rsidRPr="00A779B8">
        <w:rPr>
          <w:lang w:val="fr-FR"/>
        </w:rPr>
        <w:sym w:font="Symbol" w:char="F044"/>
      </w:r>
      <w:r w:rsidRPr="00A779B8">
        <w:rPr>
          <w:lang w:val="fr-FR"/>
        </w:rPr>
        <w:t>V km/h à V</w:t>
      </w:r>
      <w:r w:rsidRPr="00A779B8">
        <w:rPr>
          <w:vertAlign w:val="subscript"/>
          <w:lang w:val="fr-FR"/>
        </w:rPr>
        <w:t>1</w:t>
      </w:r>
      <w:r w:rsidRPr="00A779B8">
        <w:rPr>
          <w:lang w:val="fr-FR"/>
        </w:rPr>
        <w:t xml:space="preserve"> = V - </w:t>
      </w:r>
      <w:r w:rsidRPr="00A779B8">
        <w:rPr>
          <w:lang w:val="fr-FR"/>
        </w:rPr>
        <w:sym w:font="Symbol" w:char="F044"/>
      </w:r>
      <w:r w:rsidRPr="00A779B8">
        <w:rPr>
          <w:lang w:val="fr-FR"/>
        </w:rPr>
        <w:t>V km/h</w:t>
      </w:r>
    </w:p>
    <w:p w:rsidR="00AE6AFC" w:rsidRPr="00A779B8" w:rsidRDefault="00AE6AFC" w:rsidP="00AE6AFC">
      <w:pPr>
        <w:pStyle w:val="SingleTxtG"/>
        <w:ind w:left="2268" w:hanging="1134"/>
        <w:rPr>
          <w:lang w:val="fr-FR"/>
        </w:rPr>
      </w:pPr>
      <w:r w:rsidRPr="00A779B8">
        <w:rPr>
          <w:lang w:val="fr-FR"/>
        </w:rPr>
        <w:t>5.1.1.2.4</w:t>
      </w:r>
      <w:r w:rsidRPr="00A779B8">
        <w:rPr>
          <w:lang w:val="fr-FR"/>
        </w:rPr>
        <w:tab/>
        <w:t>Exécuter le même essai dans l</w:t>
      </w:r>
      <w:r w:rsidR="00DB4C2D">
        <w:rPr>
          <w:lang w:val="fr-FR"/>
        </w:rPr>
        <w:t>’</w:t>
      </w:r>
      <w:r w:rsidRPr="00A779B8">
        <w:rPr>
          <w:lang w:val="fr-FR"/>
        </w:rPr>
        <w:t>autre sens, et déterminer t</w:t>
      </w:r>
      <w:r w:rsidRPr="00A779B8">
        <w:rPr>
          <w:vertAlign w:val="subscript"/>
          <w:lang w:val="fr-FR"/>
        </w:rPr>
        <w:t>2</w:t>
      </w:r>
      <w:r w:rsidRPr="00A779B8">
        <w:rPr>
          <w:lang w:val="fr-FR"/>
        </w:rPr>
        <w:t>.</w:t>
      </w:r>
    </w:p>
    <w:p w:rsidR="00AE6AFC" w:rsidRPr="00A779B8" w:rsidRDefault="00AE6AFC" w:rsidP="00AE6AFC">
      <w:pPr>
        <w:pStyle w:val="SingleTxtG"/>
        <w:ind w:left="2268" w:hanging="1134"/>
        <w:rPr>
          <w:lang w:val="fr-FR"/>
        </w:rPr>
      </w:pPr>
      <w:r w:rsidRPr="00A779B8">
        <w:rPr>
          <w:lang w:val="fr-FR"/>
        </w:rPr>
        <w:t>5.1.1.2.5</w:t>
      </w:r>
      <w:r w:rsidRPr="00A779B8">
        <w:rPr>
          <w:lang w:val="fr-FR"/>
        </w:rPr>
        <w:tab/>
        <w:t>Faire la moyenne des deux temps t</w:t>
      </w:r>
      <w:r w:rsidRPr="00A779B8">
        <w:rPr>
          <w:vertAlign w:val="subscript"/>
          <w:lang w:val="fr-FR"/>
        </w:rPr>
        <w:t>1</w:t>
      </w:r>
      <w:r w:rsidRPr="00A779B8">
        <w:rPr>
          <w:lang w:val="fr-FR"/>
        </w:rPr>
        <w:t xml:space="preserve"> et t</w:t>
      </w:r>
      <w:r w:rsidRPr="00A779B8">
        <w:rPr>
          <w:vertAlign w:val="subscript"/>
          <w:lang w:val="fr-FR"/>
        </w:rPr>
        <w:t>2</w:t>
      </w:r>
      <w:r w:rsidRPr="00A779B8">
        <w:rPr>
          <w:lang w:val="fr-FR"/>
        </w:rPr>
        <w:t>, soit T.</w:t>
      </w:r>
    </w:p>
    <w:p w:rsidR="00AE6AFC" w:rsidRPr="00A779B8" w:rsidRDefault="00AE6AFC" w:rsidP="00AE6AFC">
      <w:pPr>
        <w:pStyle w:val="SingleTxtG"/>
        <w:ind w:left="2268" w:hanging="1134"/>
        <w:rPr>
          <w:lang w:val="fr-FR"/>
        </w:rPr>
      </w:pPr>
      <w:r w:rsidRPr="00A779B8">
        <w:rPr>
          <w:lang w:val="fr-FR"/>
        </w:rPr>
        <w:t>5.1.1.2.6</w:t>
      </w:r>
      <w:r w:rsidRPr="00A779B8">
        <w:rPr>
          <w:lang w:val="fr-FR"/>
        </w:rPr>
        <w:tab/>
        <w:t>Répéter ces essais un nombre de fois tel que la précision statistique (p) sur la moyenne</w:t>
      </w:r>
    </w:p>
    <w:p w:rsidR="00AE6AFC" w:rsidRPr="00A779B8" w:rsidRDefault="009D55DD" w:rsidP="00AE6AFC">
      <w:pPr>
        <w:pBdr>
          <w:top w:val="single" w:sz="6" w:space="0" w:color="FFFFFF"/>
          <w:left w:val="single" w:sz="6" w:space="0" w:color="FFFFFF"/>
          <w:bottom w:val="single" w:sz="6" w:space="0" w:color="FFFFFF"/>
          <w:right w:val="single" w:sz="6" w:space="0" w:color="FFFFFF"/>
        </w:pBdr>
        <w:spacing w:after="240"/>
        <w:ind w:left="2268"/>
        <w:rPr>
          <w:lang w:val="fr-FR"/>
        </w:rPr>
      </w:pPr>
      <w:r>
        <w:rPr>
          <w:noProof/>
          <w:position w:val="-28"/>
          <w:lang w:val="en-US"/>
        </w:rPr>
        <w:drawing>
          <wp:inline distT="0" distB="0" distL="0" distR="0">
            <wp:extent cx="698500" cy="431165"/>
            <wp:effectExtent l="0" t="0" r="0" b="698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98500" cy="431165"/>
                    </a:xfrm>
                    <a:prstGeom prst="rect">
                      <a:avLst/>
                    </a:prstGeom>
                    <a:noFill/>
                    <a:ln>
                      <a:noFill/>
                    </a:ln>
                  </pic:spPr>
                </pic:pic>
              </a:graphicData>
            </a:graphic>
          </wp:inline>
        </w:drawing>
      </w:r>
      <w:r w:rsidR="00AE6AFC" w:rsidRPr="00A779B8">
        <w:rPr>
          <w:lang w:val="fr-FR"/>
        </w:rPr>
        <w:t>soit égale ou inférieure à 2 % (p </w:t>
      </w:r>
      <w:r w:rsidR="00AE6AFC" w:rsidRPr="00A779B8">
        <w:rPr>
          <w:lang w:val="fr-FR"/>
        </w:rPr>
        <w:sym w:font="Symbol" w:char="F0A3"/>
      </w:r>
      <w:r w:rsidR="00AE6AFC" w:rsidRPr="00A779B8">
        <w:rPr>
          <w:lang w:val="fr-FR"/>
        </w:rPr>
        <w:t> 2 %).</w:t>
      </w:r>
    </w:p>
    <w:p w:rsidR="00AE6AFC" w:rsidRPr="00A779B8" w:rsidRDefault="00AE6AFC" w:rsidP="00AE6AFC">
      <w:pPr>
        <w:pStyle w:val="SingleTxtG"/>
        <w:ind w:left="2268"/>
        <w:rPr>
          <w:lang w:val="fr-FR"/>
        </w:rPr>
      </w:pPr>
      <w:r w:rsidRPr="00A779B8">
        <w:rPr>
          <w:lang w:val="fr-FR"/>
        </w:rPr>
        <w:t>La précision statistique est définie par:</w:t>
      </w:r>
    </w:p>
    <w:p w:rsidR="00AE6AFC" w:rsidRPr="00A779B8" w:rsidRDefault="009D55DD" w:rsidP="00AE6AFC">
      <w:pPr>
        <w:pBdr>
          <w:top w:val="single" w:sz="6" w:space="0" w:color="FFFFFF"/>
          <w:left w:val="single" w:sz="6" w:space="0" w:color="FFFFFF"/>
          <w:bottom w:val="single" w:sz="6" w:space="0" w:color="FFFFFF"/>
          <w:right w:val="single" w:sz="6" w:space="0" w:color="FFFFFF"/>
        </w:pBdr>
        <w:spacing w:after="240"/>
        <w:ind w:left="2268"/>
        <w:rPr>
          <w:lang w:val="fr-FR"/>
        </w:rPr>
      </w:pPr>
      <w:r>
        <w:rPr>
          <w:noProof/>
          <w:position w:val="-30"/>
          <w:lang w:val="en-US"/>
        </w:rPr>
        <w:drawing>
          <wp:inline distT="0" distB="0" distL="0" distR="0">
            <wp:extent cx="905510" cy="440055"/>
            <wp:effectExtent l="0" t="0" r="889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05510" cy="440055"/>
                    </a:xfrm>
                    <a:prstGeom prst="rect">
                      <a:avLst/>
                    </a:prstGeom>
                    <a:noFill/>
                    <a:ln>
                      <a:noFill/>
                    </a:ln>
                  </pic:spPr>
                </pic:pic>
              </a:graphicData>
            </a:graphic>
          </wp:inline>
        </w:drawing>
      </w:r>
    </w:p>
    <w:p w:rsidR="00AE6AFC" w:rsidRPr="00A779B8" w:rsidRDefault="00AE6AFC" w:rsidP="00AE6AFC">
      <w:pPr>
        <w:pStyle w:val="SingleTxtG"/>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396"/>
        <w:gridCol w:w="201"/>
        <w:gridCol w:w="2135"/>
        <w:gridCol w:w="3505"/>
      </w:tblGrid>
      <w:tr w:rsidR="00AE6AFC" w:rsidRPr="007E29C4" w:rsidTr="00A36982">
        <w:tc>
          <w:tcPr>
            <w:tcW w:w="396" w:type="dxa"/>
            <w:shd w:val="clear" w:color="auto" w:fill="auto"/>
          </w:tcPr>
          <w:p w:rsidR="00AE6AFC" w:rsidRPr="007E29C4" w:rsidRDefault="00AE6AFC" w:rsidP="00A36982">
            <w:pPr>
              <w:spacing w:after="120"/>
              <w:rPr>
                <w:lang w:val="fr-FR"/>
              </w:rPr>
            </w:pPr>
            <w:r w:rsidRPr="007E29C4">
              <w:rPr>
                <w:lang w:val="fr-FR"/>
              </w:rPr>
              <w:t>t</w:t>
            </w:r>
          </w:p>
        </w:tc>
        <w:tc>
          <w:tcPr>
            <w:tcW w:w="201" w:type="dxa"/>
            <w:shd w:val="clear" w:color="auto" w:fill="auto"/>
          </w:tcPr>
          <w:p w:rsidR="00AE6AFC" w:rsidRPr="007E29C4" w:rsidRDefault="00AE6AFC" w:rsidP="00A36982">
            <w:pPr>
              <w:spacing w:after="120"/>
              <w:rPr>
                <w:lang w:val="fr-FR"/>
              </w:rPr>
            </w:pPr>
            <w:r w:rsidRPr="007E29C4">
              <w:rPr>
                <w:lang w:val="fr-FR"/>
              </w:rPr>
              <w:t>=</w:t>
            </w:r>
          </w:p>
        </w:tc>
        <w:tc>
          <w:tcPr>
            <w:tcW w:w="5640" w:type="dxa"/>
            <w:gridSpan w:val="2"/>
            <w:shd w:val="clear" w:color="auto" w:fill="auto"/>
          </w:tcPr>
          <w:p w:rsidR="00AE6AFC" w:rsidRPr="007E29C4" w:rsidRDefault="00AE6AFC" w:rsidP="00A36982">
            <w:pPr>
              <w:spacing w:after="120"/>
              <w:rPr>
                <w:lang w:val="fr-FR"/>
              </w:rPr>
            </w:pPr>
            <w:r w:rsidRPr="007E29C4">
              <w:rPr>
                <w:lang w:val="fr-FR"/>
              </w:rPr>
              <w:t>coefficient donné par le tableau ci-après,</w:t>
            </w:r>
          </w:p>
        </w:tc>
      </w:tr>
      <w:tr w:rsidR="00AE6AFC" w:rsidRPr="007E29C4" w:rsidTr="00A36982">
        <w:tc>
          <w:tcPr>
            <w:tcW w:w="396" w:type="dxa"/>
            <w:shd w:val="clear" w:color="auto" w:fill="auto"/>
          </w:tcPr>
          <w:p w:rsidR="00AE6AFC" w:rsidRPr="007E29C4" w:rsidRDefault="00AE6AFC" w:rsidP="00A36982">
            <w:pPr>
              <w:spacing w:after="120"/>
              <w:rPr>
                <w:lang w:val="fr-FR"/>
              </w:rPr>
            </w:pPr>
            <w:r w:rsidRPr="007E29C4">
              <w:rPr>
                <w:lang w:val="fr-FR"/>
              </w:rPr>
              <w:t>n</w:t>
            </w:r>
          </w:p>
        </w:tc>
        <w:tc>
          <w:tcPr>
            <w:tcW w:w="201" w:type="dxa"/>
            <w:shd w:val="clear" w:color="auto" w:fill="auto"/>
          </w:tcPr>
          <w:p w:rsidR="00AE6AFC" w:rsidRPr="007E29C4" w:rsidRDefault="00AE6AFC" w:rsidP="00A36982">
            <w:pPr>
              <w:spacing w:after="120"/>
              <w:rPr>
                <w:lang w:val="fr-FR"/>
              </w:rPr>
            </w:pPr>
            <w:r w:rsidRPr="007E29C4">
              <w:rPr>
                <w:lang w:val="fr-FR"/>
              </w:rPr>
              <w:t>=</w:t>
            </w:r>
          </w:p>
        </w:tc>
        <w:tc>
          <w:tcPr>
            <w:tcW w:w="5640" w:type="dxa"/>
            <w:gridSpan w:val="2"/>
            <w:shd w:val="clear" w:color="auto" w:fill="auto"/>
          </w:tcPr>
          <w:p w:rsidR="00AE6AFC" w:rsidRPr="007E29C4" w:rsidRDefault="00AE6AFC" w:rsidP="00A36982">
            <w:pPr>
              <w:spacing w:after="120"/>
              <w:rPr>
                <w:lang w:val="fr-FR"/>
              </w:rPr>
            </w:pPr>
            <w:r w:rsidRPr="007E29C4">
              <w:rPr>
                <w:lang w:val="fr-FR"/>
              </w:rPr>
              <w:t>nombre d</w:t>
            </w:r>
            <w:r w:rsidR="00DB4C2D">
              <w:rPr>
                <w:lang w:val="fr-FR"/>
              </w:rPr>
              <w:t>’</w:t>
            </w:r>
            <w:r w:rsidRPr="007E29C4">
              <w:rPr>
                <w:lang w:val="fr-FR"/>
              </w:rPr>
              <w:t>essais,</w:t>
            </w:r>
          </w:p>
        </w:tc>
      </w:tr>
      <w:tr w:rsidR="00AE6AFC" w:rsidRPr="007E29C4" w:rsidTr="00A36982">
        <w:tc>
          <w:tcPr>
            <w:tcW w:w="396" w:type="dxa"/>
            <w:shd w:val="clear" w:color="auto" w:fill="auto"/>
          </w:tcPr>
          <w:p w:rsidR="00AE6AFC" w:rsidRPr="007E29C4" w:rsidRDefault="00AE6AFC" w:rsidP="00A36982">
            <w:pPr>
              <w:spacing w:after="120"/>
              <w:rPr>
                <w:lang w:val="fr-FR"/>
              </w:rPr>
            </w:pPr>
            <w:r w:rsidRPr="007E29C4">
              <w:rPr>
                <w:lang w:val="fr-FR"/>
              </w:rPr>
              <w:t>s</w:t>
            </w:r>
          </w:p>
        </w:tc>
        <w:tc>
          <w:tcPr>
            <w:tcW w:w="201" w:type="dxa"/>
            <w:shd w:val="clear" w:color="auto" w:fill="auto"/>
          </w:tcPr>
          <w:p w:rsidR="00AE6AFC" w:rsidRPr="007E29C4" w:rsidRDefault="00AE6AFC" w:rsidP="00A36982">
            <w:pPr>
              <w:spacing w:after="120"/>
              <w:rPr>
                <w:lang w:val="fr-FR"/>
              </w:rPr>
            </w:pPr>
            <w:r w:rsidRPr="007E29C4">
              <w:rPr>
                <w:lang w:val="fr-FR"/>
              </w:rPr>
              <w:t>=</w:t>
            </w:r>
          </w:p>
        </w:tc>
        <w:tc>
          <w:tcPr>
            <w:tcW w:w="2135" w:type="dxa"/>
            <w:shd w:val="clear" w:color="auto" w:fill="auto"/>
          </w:tcPr>
          <w:p w:rsidR="00AE6AFC" w:rsidRPr="007E29C4" w:rsidRDefault="00AE6AFC" w:rsidP="00A36982">
            <w:pPr>
              <w:spacing w:after="120"/>
              <w:rPr>
                <w:lang w:val="fr-FR"/>
              </w:rPr>
            </w:pPr>
            <w:r w:rsidRPr="007E29C4">
              <w:rPr>
                <w:lang w:val="fr-FR"/>
              </w:rPr>
              <w:t>écart type.</w:t>
            </w:r>
          </w:p>
        </w:tc>
        <w:tc>
          <w:tcPr>
            <w:tcW w:w="3505" w:type="dxa"/>
            <w:shd w:val="clear" w:color="auto" w:fill="auto"/>
          </w:tcPr>
          <w:p w:rsidR="00AE6AFC" w:rsidRPr="007E29C4" w:rsidRDefault="00AE6AFC" w:rsidP="00A36982">
            <w:pPr>
              <w:spacing w:after="120"/>
              <w:rPr>
                <w:lang w:val="fr-FR"/>
              </w:rPr>
            </w:pPr>
            <w:r w:rsidRPr="007E29C4">
              <w:rPr>
                <w:lang w:val="fr-FR"/>
              </w:rPr>
              <w:t xml:space="preserve"> </w:t>
            </w:r>
            <w:r w:rsidR="009D55DD">
              <w:rPr>
                <w:noProof/>
                <w:lang w:val="en-US"/>
              </w:rPr>
              <w:drawing>
                <wp:inline distT="0" distB="0" distL="0" distR="0">
                  <wp:extent cx="1069975" cy="483235"/>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69975" cy="483235"/>
                          </a:xfrm>
                          <a:prstGeom prst="rect">
                            <a:avLst/>
                          </a:prstGeom>
                          <a:noFill/>
                          <a:ln>
                            <a:noFill/>
                          </a:ln>
                        </pic:spPr>
                      </pic:pic>
                    </a:graphicData>
                  </a:graphic>
                </wp:inline>
              </w:drawing>
            </w:r>
          </w:p>
        </w:tc>
      </w:tr>
    </w:tbl>
    <w:p w:rsidR="00AE6AFC" w:rsidRPr="007E29C4" w:rsidRDefault="00AE6AFC" w:rsidP="00AE6AFC">
      <w:pPr>
        <w:rPr>
          <w:vanish/>
        </w:rPr>
      </w:pPr>
    </w:p>
    <w:tbl>
      <w:tblPr>
        <w:tblW w:w="7371" w:type="dxa"/>
        <w:tblInd w:w="2268" w:type="dxa"/>
        <w:tblLayout w:type="fixed"/>
        <w:tblCellMar>
          <w:left w:w="57" w:type="dxa"/>
          <w:right w:w="57" w:type="dxa"/>
        </w:tblCellMar>
        <w:tblLook w:val="0000" w:firstRow="0" w:lastRow="0" w:firstColumn="0" w:lastColumn="0" w:noHBand="0" w:noVBand="0"/>
      </w:tblPr>
      <w:tblGrid>
        <w:gridCol w:w="567"/>
        <w:gridCol w:w="567"/>
        <w:gridCol w:w="567"/>
        <w:gridCol w:w="567"/>
        <w:gridCol w:w="567"/>
        <w:gridCol w:w="567"/>
        <w:gridCol w:w="567"/>
        <w:gridCol w:w="567"/>
        <w:gridCol w:w="567"/>
        <w:gridCol w:w="567"/>
        <w:gridCol w:w="567"/>
        <w:gridCol w:w="567"/>
        <w:gridCol w:w="567"/>
      </w:tblGrid>
      <w:tr w:rsidR="00AE6AFC" w:rsidRPr="00A779B8" w:rsidTr="00A36982">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rPr>
                <w:sz w:val="18"/>
                <w:szCs w:val="18"/>
                <w:lang w:val="fr-FR"/>
              </w:rPr>
            </w:pPr>
            <w:r w:rsidRPr="00A779B8">
              <w:rPr>
                <w:sz w:val="18"/>
                <w:szCs w:val="18"/>
                <w:lang w:val="fr-FR"/>
              </w:rPr>
              <w:t>n</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4</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5</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6</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7</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8</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9</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10</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11</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12</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13</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14</w:t>
            </w:r>
          </w:p>
        </w:tc>
        <w:tc>
          <w:tcPr>
            <w:tcW w:w="567" w:type="dxa"/>
            <w:tcBorders>
              <w:top w:val="single" w:sz="7" w:space="0" w:color="auto"/>
              <w:left w:val="single" w:sz="7" w:space="0" w:color="auto"/>
              <w:righ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15</w:t>
            </w:r>
          </w:p>
        </w:tc>
      </w:tr>
      <w:tr w:rsidR="00AE6AFC" w:rsidRPr="00A779B8" w:rsidTr="00A36982">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rPr>
                <w:sz w:val="18"/>
                <w:szCs w:val="18"/>
                <w:lang w:val="fr-FR"/>
              </w:rPr>
            </w:pPr>
            <w:r w:rsidRPr="00A779B8">
              <w:rPr>
                <w:sz w:val="18"/>
                <w:szCs w:val="18"/>
                <w:lang w:val="fr-FR"/>
              </w:rPr>
              <w:t>t</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3,2</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2,8</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2,6</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2,5</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2,4</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2,3</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2,3</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2,2</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2,2</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2,2</w:t>
            </w:r>
          </w:p>
        </w:tc>
        <w:tc>
          <w:tcPr>
            <w:tcW w:w="567" w:type="dxa"/>
            <w:tcBorders>
              <w:top w:val="single" w:sz="7" w:space="0" w:color="auto"/>
              <w:lef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2,2</w:t>
            </w:r>
          </w:p>
        </w:tc>
        <w:tc>
          <w:tcPr>
            <w:tcW w:w="567" w:type="dxa"/>
            <w:tcBorders>
              <w:top w:val="single" w:sz="7" w:space="0" w:color="auto"/>
              <w:left w:val="single" w:sz="7" w:space="0" w:color="auto"/>
              <w:righ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2,2</w:t>
            </w:r>
          </w:p>
        </w:tc>
      </w:tr>
      <w:tr w:rsidR="00AE6AFC" w:rsidRPr="00A779B8" w:rsidTr="00A36982">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rPr>
                <w:sz w:val="18"/>
                <w:szCs w:val="18"/>
                <w:lang w:val="fr-FR"/>
              </w:rPr>
            </w:pPr>
            <w:r w:rsidRPr="00A779B8">
              <w:rPr>
                <w:position w:val="-26"/>
                <w:sz w:val="18"/>
                <w:szCs w:val="18"/>
                <w:lang w:val="fr-FR"/>
              </w:rPr>
              <w:object w:dxaOrig="380" w:dyaOrig="580">
                <v:shape id="_x0000_i1107" type="#_x0000_t75" style="width:19pt;height:29.2pt" o:ole="">
                  <v:imagedata r:id="rId203" o:title=""/>
                </v:shape>
                <o:OLEObject Type="Embed" ProgID="Equation.3" ShapeID="_x0000_i1107" DrawAspect="Content" ObjectID="_1490178459" r:id="rId204"/>
              </w:object>
            </w:r>
            <w:r w:rsidRPr="00A779B8">
              <w:rPr>
                <w:sz w:val="18"/>
                <w:szCs w:val="18"/>
                <w:lang w:val="fr-FR"/>
              </w:rPr>
              <w:fldChar w:fldCharType="begin"/>
            </w:r>
            <w:r w:rsidR="009D55DD">
              <w:rPr>
                <w:noProof/>
                <w:position w:val="-26"/>
                <w:sz w:val="18"/>
                <w:szCs w:val="18"/>
                <w:lang w:val="en-US"/>
              </w:rPr>
              <w:drawing>
                <wp:inline distT="0" distB="0" distL="0" distR="0">
                  <wp:extent cx="250190" cy="387985"/>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50190" cy="387985"/>
                          </a:xfrm>
                          <a:prstGeom prst="rect">
                            <a:avLst/>
                          </a:prstGeom>
                          <a:noFill/>
                          <a:ln>
                            <a:noFill/>
                          </a:ln>
                        </pic:spPr>
                      </pic:pic>
                    </a:graphicData>
                  </a:graphic>
                </wp:inline>
              </w:drawing>
            </w:r>
            <w:r w:rsidRPr="00A779B8">
              <w:rPr>
                <w:sz w:val="18"/>
                <w:szCs w:val="18"/>
                <w:lang w:val="fr-FR"/>
              </w:rPr>
              <w:fldChar w:fldCharType="separate"/>
            </w:r>
            <w:r w:rsidR="009D55DD">
              <w:rPr>
                <w:noProof/>
                <w:position w:val="-28"/>
                <w:sz w:val="18"/>
                <w:szCs w:val="18"/>
                <w:lang w:val="en-US"/>
              </w:rPr>
              <w:drawing>
                <wp:inline distT="0" distB="0" distL="0" distR="0">
                  <wp:extent cx="267335" cy="42291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67335" cy="422910"/>
                          </a:xfrm>
                          <a:prstGeom prst="rect">
                            <a:avLst/>
                          </a:prstGeom>
                          <a:noFill/>
                          <a:ln>
                            <a:noFill/>
                          </a:ln>
                        </pic:spPr>
                      </pic:pic>
                    </a:graphicData>
                  </a:graphic>
                </wp:inline>
              </w:drawing>
            </w:r>
            <w:r w:rsidRPr="00A779B8">
              <w:rPr>
                <w:sz w:val="18"/>
                <w:szCs w:val="18"/>
                <w:lang w:val="fr-FR"/>
              </w:rPr>
              <w:fldChar w:fldCharType="end"/>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1,6</w:t>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1,25</w:t>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1,06</w:t>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0,94</w:t>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0,85</w:t>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0,77</w:t>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0,73</w:t>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0,66</w:t>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0,64</w:t>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0,61</w:t>
            </w:r>
          </w:p>
        </w:tc>
        <w:tc>
          <w:tcPr>
            <w:tcW w:w="567" w:type="dxa"/>
            <w:tcBorders>
              <w:top w:val="single" w:sz="7" w:space="0" w:color="auto"/>
              <w:left w:val="single" w:sz="7" w:space="0" w:color="auto"/>
              <w:bottom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0,59</w:t>
            </w:r>
          </w:p>
        </w:tc>
        <w:tc>
          <w:tcPr>
            <w:tcW w:w="567" w:type="dxa"/>
            <w:tcBorders>
              <w:top w:val="single" w:sz="7" w:space="0" w:color="auto"/>
              <w:left w:val="single" w:sz="7" w:space="0" w:color="auto"/>
              <w:bottom w:val="single" w:sz="7" w:space="0" w:color="auto"/>
              <w:right w:val="single" w:sz="7" w:space="0" w:color="auto"/>
            </w:tcBorders>
            <w:tcMar>
              <w:top w:w="0" w:type="dxa"/>
              <w:bottom w:w="0" w:type="dxa"/>
            </w:tcMar>
            <w:vAlign w:val="bottom"/>
          </w:tcPr>
          <w:p w:rsidR="00AE6AFC" w:rsidRPr="00A779B8" w:rsidRDefault="00AE6AFC" w:rsidP="00A36982">
            <w:pPr>
              <w:tabs>
                <w:tab w:val="left" w:pos="1418"/>
              </w:tabs>
              <w:spacing w:before="60" w:after="60" w:line="220" w:lineRule="atLeast"/>
              <w:jc w:val="right"/>
              <w:rPr>
                <w:sz w:val="18"/>
                <w:szCs w:val="18"/>
                <w:lang w:val="fr-FR"/>
              </w:rPr>
            </w:pPr>
            <w:r w:rsidRPr="00A779B8">
              <w:rPr>
                <w:sz w:val="18"/>
                <w:szCs w:val="18"/>
                <w:lang w:val="fr-FR"/>
              </w:rPr>
              <w:t>0,57</w:t>
            </w:r>
          </w:p>
        </w:tc>
      </w:tr>
    </w:tbl>
    <w:p w:rsidR="00AE6AFC" w:rsidRPr="00A779B8" w:rsidRDefault="00AE6AFC" w:rsidP="00AE6AFC">
      <w:pPr>
        <w:pStyle w:val="SingleTxtG"/>
        <w:keepNext/>
        <w:spacing w:before="120"/>
        <w:ind w:left="2268" w:hanging="1134"/>
        <w:rPr>
          <w:lang w:val="fr-FR"/>
        </w:rPr>
      </w:pPr>
      <w:r w:rsidRPr="00A779B8">
        <w:rPr>
          <w:lang w:val="fr-FR"/>
        </w:rPr>
        <w:lastRenderedPageBreak/>
        <w:t>5.1.1.2.7</w:t>
      </w:r>
      <w:r w:rsidRPr="00A779B8">
        <w:rPr>
          <w:lang w:val="fr-FR"/>
        </w:rPr>
        <w:tab/>
        <w:t>Calculer la puissance par la formule:</w:t>
      </w:r>
    </w:p>
    <w:p w:rsidR="00AE6AFC" w:rsidRPr="00A779B8" w:rsidRDefault="009D55DD" w:rsidP="00AE6AFC">
      <w:pPr>
        <w:pBdr>
          <w:top w:val="single" w:sz="6" w:space="0" w:color="FFFFFF"/>
          <w:left w:val="single" w:sz="6" w:space="0" w:color="FFFFFF"/>
          <w:bottom w:val="single" w:sz="6" w:space="0" w:color="FFFFFF"/>
          <w:right w:val="single" w:sz="6" w:space="0" w:color="FFFFFF"/>
        </w:pBdr>
        <w:spacing w:after="120"/>
        <w:ind w:left="2268"/>
        <w:rPr>
          <w:lang w:val="fr-FR"/>
        </w:rPr>
      </w:pPr>
      <w:r>
        <w:rPr>
          <w:noProof/>
          <w:position w:val="-20"/>
          <w:lang w:val="en-US"/>
        </w:rPr>
        <w:drawing>
          <wp:inline distT="0" distB="0" distL="0" distR="0">
            <wp:extent cx="793750" cy="336550"/>
            <wp:effectExtent l="0" t="0" r="6350" b="635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93750" cy="336550"/>
                    </a:xfrm>
                    <a:prstGeom prst="rect">
                      <a:avLst/>
                    </a:prstGeom>
                    <a:noFill/>
                    <a:ln>
                      <a:noFill/>
                    </a:ln>
                  </pic:spPr>
                </pic:pic>
              </a:graphicData>
            </a:graphic>
          </wp:inline>
        </w:drawing>
      </w:r>
    </w:p>
    <w:p w:rsidR="00AE6AFC" w:rsidRPr="00A779B8" w:rsidRDefault="00AE6AFC" w:rsidP="00AE6AFC">
      <w:pPr>
        <w:pStyle w:val="SingleTxtG"/>
        <w:keepNex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P</w:t>
            </w:r>
          </w:p>
        </w:tc>
        <w:tc>
          <w:tcPr>
            <w:tcW w:w="284" w:type="dxa"/>
            <w:shd w:val="clear" w:color="auto" w:fill="auto"/>
          </w:tcPr>
          <w:p w:rsidR="00AE6AFC" w:rsidRPr="007E29C4" w:rsidRDefault="00AE6AFC" w:rsidP="00A36982">
            <w:pPr>
              <w:spacing w:after="120"/>
              <w:rPr>
                <w:lang w:val="fr-FR"/>
              </w:rPr>
            </w:pPr>
          </w:p>
        </w:tc>
        <w:tc>
          <w:tcPr>
            <w:tcW w:w="5103" w:type="dxa"/>
            <w:shd w:val="clear" w:color="auto" w:fill="auto"/>
          </w:tcPr>
          <w:p w:rsidR="00AE6AFC" w:rsidRPr="007E29C4" w:rsidRDefault="00AE6AFC" w:rsidP="00A36982">
            <w:pPr>
              <w:spacing w:after="120"/>
              <w:rPr>
                <w:lang w:val="fr-FR"/>
              </w:rPr>
            </w:pPr>
            <w:r w:rsidRPr="007E29C4">
              <w:rPr>
                <w:lang w:val="fr-FR"/>
              </w:rPr>
              <w:t>est exprimé en kW,</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V</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vitesse d</w:t>
            </w:r>
            <w:r w:rsidR="00DB4C2D">
              <w:rPr>
                <w:lang w:val="fr-FR"/>
              </w:rPr>
              <w:t>’</w:t>
            </w:r>
            <w:r w:rsidRPr="007E29C4">
              <w:rPr>
                <w:lang w:val="fr-FR"/>
              </w:rPr>
              <w:t>essai en m/s,</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∆V</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écart par rapport à la vitesse V (en m/s) comme indiqué au paragraphe 5.1.1.2.3 du présent appendice,</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M</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masse de référence en kg,</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T</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temps en secondes (s).</w:t>
            </w:r>
          </w:p>
        </w:tc>
      </w:tr>
    </w:tbl>
    <w:p w:rsidR="00AE6AFC" w:rsidRPr="00A779B8" w:rsidRDefault="00AE6AFC" w:rsidP="00FD2704">
      <w:pPr>
        <w:pStyle w:val="SingleTxtG"/>
        <w:keepLines/>
        <w:spacing w:before="120"/>
        <w:ind w:left="2268" w:hanging="1134"/>
        <w:rPr>
          <w:lang w:val="fr-FR"/>
        </w:rPr>
      </w:pPr>
      <w:r w:rsidRPr="00A779B8">
        <w:rPr>
          <w:lang w:val="fr-FR"/>
        </w:rPr>
        <w:t>5.1.1.2.8</w:t>
      </w:r>
      <w:r w:rsidRPr="00A779B8">
        <w:rPr>
          <w:lang w:val="fr-FR"/>
        </w:rPr>
        <w:tab/>
        <w:t>La puissance (P) obtenue sur la piste d</w:t>
      </w:r>
      <w:r w:rsidR="00DB4C2D">
        <w:rPr>
          <w:lang w:val="fr-FR"/>
        </w:rPr>
        <w:t>’</w:t>
      </w:r>
      <w:r w:rsidRPr="00A779B8">
        <w:rPr>
          <w:lang w:val="fr-FR"/>
        </w:rPr>
        <w:t>essai doit être corrigée en fonction des conditions ambiantes de référence, comme suit:</w:t>
      </w:r>
    </w:p>
    <w:p w:rsidR="00AE6AFC" w:rsidRPr="00A779B8" w:rsidRDefault="00AE6AFC" w:rsidP="00AE6AFC">
      <w:pPr>
        <w:pBdr>
          <w:top w:val="single" w:sz="6" w:space="0" w:color="FFFFFF"/>
          <w:left w:val="single" w:sz="6" w:space="0" w:color="FFFFFF"/>
          <w:bottom w:val="single" w:sz="6" w:space="0" w:color="FFFFFF"/>
          <w:right w:val="single" w:sz="6" w:space="0" w:color="FFFFFF"/>
        </w:pBdr>
        <w:spacing w:after="180"/>
        <w:ind w:left="3130" w:hanging="862"/>
        <w:rPr>
          <w:lang w:val="fr-FR"/>
        </w:rPr>
      </w:pPr>
      <w:proofErr w:type="spellStart"/>
      <w:r w:rsidRPr="00A779B8">
        <w:rPr>
          <w:lang w:val="fr-FR"/>
        </w:rPr>
        <w:t>P</w:t>
      </w:r>
      <w:r w:rsidRPr="00A779B8">
        <w:rPr>
          <w:vertAlign w:val="subscript"/>
          <w:lang w:val="fr-FR"/>
        </w:rPr>
        <w:t>Corrigée</w:t>
      </w:r>
      <w:proofErr w:type="spellEnd"/>
      <w:r w:rsidRPr="00A779B8">
        <w:rPr>
          <w:lang w:val="fr-FR"/>
        </w:rPr>
        <w:t xml:space="preserve"> =</w:t>
      </w:r>
      <w:r w:rsidRPr="00A779B8">
        <w:rPr>
          <w:lang w:val="fr-FR"/>
        </w:rPr>
        <w:tab/>
        <w:t xml:space="preserve">K • </w:t>
      </w:r>
      <w:proofErr w:type="spellStart"/>
      <w:r w:rsidRPr="00A779B8">
        <w:rPr>
          <w:lang w:val="fr-FR"/>
        </w:rPr>
        <w:t>P</w:t>
      </w:r>
      <w:r w:rsidRPr="00A779B8">
        <w:rPr>
          <w:vertAlign w:val="subscript"/>
          <w:lang w:val="fr-FR"/>
        </w:rPr>
        <w:t>Mesurée</w:t>
      </w:r>
      <w:proofErr w:type="spellEnd"/>
      <w:r w:rsidRPr="00A779B8">
        <w:rPr>
          <w:lang w:val="fr-FR"/>
        </w:rPr>
        <w:t> </w:t>
      </w:r>
    </w:p>
    <w:p w:rsidR="00AE6AFC" w:rsidRPr="00A779B8" w:rsidRDefault="009D55DD" w:rsidP="00AE6AFC">
      <w:pPr>
        <w:spacing w:after="120"/>
        <w:ind w:left="2268"/>
        <w:rPr>
          <w:lang w:val="fr-FR"/>
        </w:rPr>
      </w:pPr>
      <w:r>
        <w:rPr>
          <w:noProof/>
          <w:lang w:val="en-US"/>
        </w:rPr>
        <w:drawing>
          <wp:inline distT="0" distB="0" distL="0" distR="0">
            <wp:extent cx="2329180" cy="40513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329180" cy="405130"/>
                    </a:xfrm>
                    <a:prstGeom prst="rect">
                      <a:avLst/>
                    </a:prstGeom>
                    <a:noFill/>
                    <a:ln>
                      <a:noFill/>
                    </a:ln>
                  </pic:spPr>
                </pic:pic>
              </a:graphicData>
            </a:graphic>
          </wp:inline>
        </w:drawing>
      </w:r>
    </w:p>
    <w:p w:rsidR="00AE6AFC" w:rsidRPr="00A779B8" w:rsidRDefault="00AE6AFC" w:rsidP="00AE6AFC">
      <w:pPr>
        <w:pStyle w:val="SingleTxtG"/>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R</w:t>
            </w:r>
            <w:r w:rsidRPr="007E29C4">
              <w:rPr>
                <w:vertAlign w:val="subscript"/>
                <w:lang w:val="fr-FR"/>
              </w:rPr>
              <w:t>R</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résistance au roulement à la vitesse V,</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R</w:t>
            </w:r>
            <w:r w:rsidRPr="007E29C4">
              <w:rPr>
                <w:vertAlign w:val="subscript"/>
                <w:lang w:val="fr-FR"/>
              </w:rPr>
              <w:t>AERO</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traînée aérodynamique à la vitesse V,</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R</w:t>
            </w:r>
            <w:r w:rsidRPr="007E29C4">
              <w:rPr>
                <w:vertAlign w:val="subscript"/>
                <w:lang w:val="fr-FR"/>
              </w:rPr>
              <w:t>T</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résistance totale à l</w:t>
            </w:r>
            <w:r w:rsidR="00DB4C2D">
              <w:rPr>
                <w:lang w:val="fr-FR"/>
              </w:rPr>
              <w:t>’</w:t>
            </w:r>
            <w:r w:rsidRPr="007E29C4">
              <w:rPr>
                <w:lang w:val="fr-FR"/>
              </w:rPr>
              <w:t>avancement = R</w:t>
            </w:r>
            <w:r w:rsidRPr="007E29C4">
              <w:rPr>
                <w:vertAlign w:val="subscript"/>
                <w:lang w:val="fr-FR"/>
              </w:rPr>
              <w:t>R</w:t>
            </w:r>
            <w:r w:rsidRPr="007E29C4">
              <w:rPr>
                <w:lang w:val="fr-FR"/>
              </w:rPr>
              <w:t xml:space="preserve"> + R</w:t>
            </w:r>
            <w:r w:rsidRPr="007E29C4">
              <w:rPr>
                <w:vertAlign w:val="subscript"/>
                <w:lang w:val="fr-FR"/>
              </w:rPr>
              <w:t>AERO</w:t>
            </w:r>
            <w:r w:rsidRPr="007E29C4">
              <w:rPr>
                <w:lang w:val="fr-FR"/>
              </w:rPr>
              <w:t>,</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K</w:t>
            </w:r>
            <w:r w:rsidRPr="007E29C4">
              <w:rPr>
                <w:vertAlign w:val="subscript"/>
                <w:lang w:val="fr-FR"/>
              </w:rPr>
              <w:t>R</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facteur de correction de température de la résistance au roulement, considéré comme étant égal à 8,64 x 10</w:t>
            </w:r>
            <w:r w:rsidRPr="007E29C4">
              <w:rPr>
                <w:lang w:val="fr-FR"/>
              </w:rPr>
              <w:noBreakHyphen/>
              <w:t>3/°C, ou facteur de correction du constructeur, approuvé par l</w:t>
            </w:r>
            <w:r w:rsidR="00DB4C2D">
              <w:rPr>
                <w:lang w:val="fr-FR"/>
              </w:rPr>
              <w:t>’</w:t>
            </w:r>
            <w:r w:rsidRPr="007E29C4">
              <w:rPr>
                <w:lang w:val="fr-FR"/>
              </w:rPr>
              <w:t>autorité,</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t</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température ambiante de l</w:t>
            </w:r>
            <w:r w:rsidR="00DB4C2D">
              <w:rPr>
                <w:lang w:val="fr-FR"/>
              </w:rPr>
              <w:t>’</w:t>
            </w:r>
            <w:r w:rsidRPr="007E29C4">
              <w:rPr>
                <w:lang w:val="fr-FR"/>
              </w:rPr>
              <w:t>essai sur piste en °C,</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t</w:t>
            </w:r>
            <w:r w:rsidRPr="007E29C4">
              <w:rPr>
                <w:vertAlign w:val="subscript"/>
                <w:lang w:val="fr-FR"/>
              </w:rPr>
              <w:t>0</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température ambiante de référence = 20 °C,</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p</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densité de l</w:t>
            </w:r>
            <w:r w:rsidR="00DB4C2D">
              <w:rPr>
                <w:lang w:val="fr-FR"/>
              </w:rPr>
              <w:t>’</w:t>
            </w:r>
            <w:r w:rsidRPr="007E29C4">
              <w:rPr>
                <w:lang w:val="fr-FR"/>
              </w:rPr>
              <w:t>air dans les conditions de l</w:t>
            </w:r>
            <w:r w:rsidR="00DB4C2D">
              <w:rPr>
                <w:lang w:val="fr-FR"/>
              </w:rPr>
              <w:t>’</w:t>
            </w:r>
            <w:r w:rsidRPr="007E29C4">
              <w:rPr>
                <w:lang w:val="fr-FR"/>
              </w:rPr>
              <w:t>essai,</w:t>
            </w:r>
          </w:p>
        </w:tc>
      </w:tr>
      <w:tr w:rsidR="00AE6AFC" w:rsidRPr="007E29C4" w:rsidTr="00A36982">
        <w:tc>
          <w:tcPr>
            <w:tcW w:w="567" w:type="dxa"/>
            <w:shd w:val="clear" w:color="auto" w:fill="auto"/>
          </w:tcPr>
          <w:p w:rsidR="00AE6AFC" w:rsidRPr="007E29C4" w:rsidRDefault="00AE6AFC" w:rsidP="00A36982">
            <w:pPr>
              <w:spacing w:after="120"/>
              <w:rPr>
                <w:lang w:val="fr-FR"/>
              </w:rPr>
            </w:pPr>
            <w:r w:rsidRPr="007E29C4">
              <w:rPr>
                <w:lang w:val="fr-FR"/>
              </w:rPr>
              <w:t>p</w:t>
            </w:r>
            <w:r w:rsidRPr="007E29C4">
              <w:rPr>
                <w:vertAlign w:val="subscript"/>
                <w:lang w:val="fr-FR"/>
              </w:rPr>
              <w:t>0</w:t>
            </w:r>
          </w:p>
        </w:tc>
        <w:tc>
          <w:tcPr>
            <w:tcW w:w="284" w:type="dxa"/>
            <w:shd w:val="clear" w:color="auto" w:fill="auto"/>
          </w:tcPr>
          <w:p w:rsidR="00AE6AFC" w:rsidRPr="007E29C4" w:rsidRDefault="00AE6AFC" w:rsidP="00A36982">
            <w:pPr>
              <w:spacing w:after="120"/>
              <w:rPr>
                <w:lang w:val="fr-FR"/>
              </w:rPr>
            </w:pPr>
            <w:r w:rsidRPr="007E29C4">
              <w:rPr>
                <w:lang w:val="fr-FR"/>
              </w:rPr>
              <w:t>=</w:t>
            </w:r>
          </w:p>
        </w:tc>
        <w:tc>
          <w:tcPr>
            <w:tcW w:w="5103" w:type="dxa"/>
            <w:shd w:val="clear" w:color="auto" w:fill="auto"/>
          </w:tcPr>
          <w:p w:rsidR="00AE6AFC" w:rsidRPr="007E29C4" w:rsidRDefault="00AE6AFC" w:rsidP="00A36982">
            <w:pPr>
              <w:spacing w:after="120"/>
              <w:rPr>
                <w:lang w:val="fr-FR"/>
              </w:rPr>
            </w:pPr>
            <w:r w:rsidRPr="007E29C4">
              <w:rPr>
                <w:lang w:val="fr-FR"/>
              </w:rPr>
              <w:t>densité de l</w:t>
            </w:r>
            <w:r w:rsidR="00DB4C2D">
              <w:rPr>
                <w:lang w:val="fr-FR"/>
              </w:rPr>
              <w:t>’</w:t>
            </w:r>
            <w:r w:rsidRPr="007E29C4">
              <w:rPr>
                <w:lang w:val="fr-FR"/>
              </w:rPr>
              <w:t>air aux conditions de référence (20 °C, 100 kPa).</w:t>
            </w:r>
          </w:p>
        </w:tc>
      </w:tr>
    </w:tbl>
    <w:p w:rsidR="00AE6AFC" w:rsidRPr="00A779B8" w:rsidRDefault="00AE6AFC" w:rsidP="00AE6AFC">
      <w:pPr>
        <w:pStyle w:val="SingleTxtG"/>
        <w:spacing w:before="120"/>
        <w:ind w:left="2268"/>
        <w:rPr>
          <w:lang w:val="fr-FR"/>
        </w:rPr>
      </w:pPr>
      <w:r w:rsidRPr="00A779B8">
        <w:rPr>
          <w:lang w:val="fr-FR"/>
        </w:rPr>
        <w:t>Les rapports R</w:t>
      </w:r>
      <w:r w:rsidRPr="00A779B8">
        <w:rPr>
          <w:vertAlign w:val="subscript"/>
          <w:lang w:val="fr-FR"/>
        </w:rPr>
        <w:t>R</w:t>
      </w:r>
      <w:r w:rsidRPr="00A779B8">
        <w:rPr>
          <w:lang w:val="fr-FR"/>
        </w:rPr>
        <w:t>/R</w:t>
      </w:r>
      <w:r w:rsidRPr="00A779B8">
        <w:rPr>
          <w:vertAlign w:val="subscript"/>
          <w:lang w:val="fr-FR"/>
        </w:rPr>
        <w:t>T</w:t>
      </w:r>
      <w:r w:rsidRPr="00A779B8">
        <w:rPr>
          <w:lang w:val="fr-FR"/>
        </w:rPr>
        <w:t xml:space="preserve"> et R</w:t>
      </w:r>
      <w:r w:rsidRPr="00A779B8">
        <w:rPr>
          <w:vertAlign w:val="subscript"/>
          <w:lang w:val="fr-FR"/>
        </w:rPr>
        <w:t>AERO</w:t>
      </w:r>
      <w:r w:rsidRPr="00A779B8">
        <w:rPr>
          <w:lang w:val="fr-FR"/>
        </w:rPr>
        <w:t>/R</w:t>
      </w:r>
      <w:r w:rsidRPr="00A779B8">
        <w:rPr>
          <w:vertAlign w:val="subscript"/>
          <w:lang w:val="fr-FR"/>
        </w:rPr>
        <w:t>T</w:t>
      </w:r>
      <w:r w:rsidRPr="00A779B8">
        <w:rPr>
          <w:lang w:val="fr-FR"/>
        </w:rPr>
        <w:t xml:space="preserve"> doivent être précisés par le constructeur du véhicule, en fonction des données dont l</w:t>
      </w:r>
      <w:r w:rsidR="00DB4C2D">
        <w:rPr>
          <w:lang w:val="fr-FR"/>
        </w:rPr>
        <w:t>’</w:t>
      </w:r>
      <w:r w:rsidRPr="00A779B8">
        <w:rPr>
          <w:lang w:val="fr-FR"/>
        </w:rPr>
        <w:t>entreprise dispose normalement.</w:t>
      </w:r>
    </w:p>
    <w:p w:rsidR="00AE6AFC" w:rsidRPr="00A779B8" w:rsidRDefault="00AE6AFC" w:rsidP="00AE6AFC">
      <w:pPr>
        <w:pStyle w:val="SingleTxtG"/>
        <w:spacing w:before="120"/>
        <w:ind w:left="2268"/>
        <w:rPr>
          <w:lang w:val="fr-FR"/>
        </w:rPr>
      </w:pPr>
      <w:r w:rsidRPr="00A779B8">
        <w:rPr>
          <w:lang w:val="fr-FR"/>
        </w:rPr>
        <w:t>Si ces valeurs ne sont pas disponibles et sous réserve de l</w:t>
      </w:r>
      <w:r w:rsidR="00DB4C2D">
        <w:rPr>
          <w:lang w:val="fr-FR"/>
        </w:rPr>
        <w:t>’</w:t>
      </w:r>
      <w:r w:rsidRPr="00A779B8">
        <w:rPr>
          <w:lang w:val="fr-FR"/>
        </w:rPr>
        <w:t>accord du constructeur et du service technique concerné, il est possible d</w:t>
      </w:r>
      <w:r w:rsidR="00DB4C2D">
        <w:rPr>
          <w:lang w:val="fr-FR"/>
        </w:rPr>
        <w:t>’</w:t>
      </w:r>
      <w:r w:rsidRPr="00A779B8">
        <w:rPr>
          <w:lang w:val="fr-FR"/>
        </w:rPr>
        <w:t>utiliser les chiffres obtenus par la formule suivante pour le rapport résistance au roulement/résistance totale:</w:t>
      </w:r>
    </w:p>
    <w:p w:rsidR="00AE6AFC" w:rsidRPr="00A779B8" w:rsidRDefault="009D55DD" w:rsidP="00AE6AFC">
      <w:pPr>
        <w:pBdr>
          <w:top w:val="single" w:sz="6" w:space="0" w:color="FFFFFF"/>
          <w:left w:val="single" w:sz="6" w:space="0" w:color="FFFFFF"/>
          <w:bottom w:val="single" w:sz="6" w:space="0" w:color="FFFFFF"/>
          <w:right w:val="single" w:sz="6" w:space="0" w:color="FFFFFF"/>
        </w:pBdr>
        <w:spacing w:after="180"/>
        <w:ind w:left="2268"/>
        <w:rPr>
          <w:lang w:val="fr-FR"/>
        </w:rPr>
      </w:pPr>
      <w:r>
        <w:rPr>
          <w:noProof/>
          <w:position w:val="-28"/>
          <w:lang w:val="en-US"/>
        </w:rPr>
        <w:drawing>
          <wp:inline distT="0" distB="0" distL="0" distR="0">
            <wp:extent cx="905510" cy="405130"/>
            <wp:effectExtent l="0" t="0" r="889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05510" cy="405130"/>
                    </a:xfrm>
                    <a:prstGeom prst="rect">
                      <a:avLst/>
                    </a:prstGeom>
                    <a:noFill/>
                    <a:ln>
                      <a:noFill/>
                    </a:ln>
                  </pic:spPr>
                </pic:pic>
              </a:graphicData>
            </a:graphic>
          </wp:inline>
        </w:drawing>
      </w:r>
    </w:p>
    <w:p w:rsidR="00AE6AFC" w:rsidRPr="00A779B8" w:rsidRDefault="00AE6AFC" w:rsidP="00AE6AFC">
      <w:pPr>
        <w:pStyle w:val="SingleTxtG"/>
        <w:keepNext/>
        <w:ind w:left="2268"/>
        <w:rPr>
          <w:lang w:val="fr-FR"/>
        </w:rPr>
      </w:pPr>
      <w:r w:rsidRPr="00A779B8">
        <w:rPr>
          <w:lang w:val="fr-FR"/>
        </w:rPr>
        <w:lastRenderedPageBreak/>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AE6AFC" w:rsidRPr="007E29C4" w:rsidTr="00A36982">
        <w:tc>
          <w:tcPr>
            <w:tcW w:w="567" w:type="dxa"/>
            <w:shd w:val="clear" w:color="auto" w:fill="auto"/>
          </w:tcPr>
          <w:p w:rsidR="00AE6AFC" w:rsidRPr="007E29C4" w:rsidRDefault="00AE6AFC" w:rsidP="00C858F6">
            <w:pPr>
              <w:keepNext/>
              <w:keepLines/>
              <w:rPr>
                <w:lang w:val="fr-FR"/>
              </w:rPr>
            </w:pPr>
            <w:r w:rsidRPr="007E29C4">
              <w:rPr>
                <w:lang w:val="fr-FR"/>
              </w:rPr>
              <w:t>M</w:t>
            </w:r>
          </w:p>
        </w:tc>
        <w:tc>
          <w:tcPr>
            <w:tcW w:w="284" w:type="dxa"/>
            <w:shd w:val="clear" w:color="auto" w:fill="auto"/>
          </w:tcPr>
          <w:p w:rsidR="00AE6AFC" w:rsidRPr="007E29C4" w:rsidRDefault="00AE6AFC" w:rsidP="00C858F6">
            <w:pPr>
              <w:keepNext/>
              <w:keepLines/>
              <w:rPr>
                <w:lang w:val="fr-FR"/>
              </w:rPr>
            </w:pPr>
            <w:r w:rsidRPr="007E29C4">
              <w:rPr>
                <w:lang w:val="fr-FR"/>
              </w:rPr>
              <w:t>=</w:t>
            </w:r>
          </w:p>
        </w:tc>
        <w:tc>
          <w:tcPr>
            <w:tcW w:w="5103" w:type="dxa"/>
            <w:shd w:val="clear" w:color="auto" w:fill="auto"/>
          </w:tcPr>
          <w:p w:rsidR="00AE6AFC" w:rsidRPr="007E29C4" w:rsidRDefault="00AE6AFC" w:rsidP="00C858F6">
            <w:pPr>
              <w:keepNext/>
              <w:keepLines/>
              <w:rPr>
                <w:lang w:val="fr-FR"/>
              </w:rPr>
            </w:pPr>
            <w:r w:rsidRPr="007E29C4">
              <w:rPr>
                <w:lang w:val="fr-FR"/>
              </w:rPr>
              <w:t>masse du véhicule en kg, les coefficients a et b pour chaque vitesse sont donnés par le tableau ci-après:</w:t>
            </w:r>
          </w:p>
        </w:tc>
      </w:tr>
    </w:tbl>
    <w:p w:rsidR="00AE6AFC" w:rsidRDefault="00AE6AFC" w:rsidP="00C858F6">
      <w:pPr>
        <w:pStyle w:val="SingleTxtG"/>
        <w:keepNext/>
        <w:ind w:left="2268" w:hanging="1134"/>
      </w:pP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38"/>
        <w:gridCol w:w="2438"/>
        <w:gridCol w:w="2495"/>
      </w:tblGrid>
      <w:tr w:rsidR="00C858F6" w:rsidRPr="00C858F6" w:rsidTr="00A36982">
        <w:tblPrEx>
          <w:tblCellMar>
            <w:top w:w="0" w:type="dxa"/>
            <w:bottom w:w="0" w:type="dxa"/>
          </w:tblCellMar>
        </w:tblPrEx>
        <w:trPr>
          <w:tblHeader/>
        </w:trPr>
        <w:tc>
          <w:tcPr>
            <w:tcW w:w="2438" w:type="dxa"/>
            <w:vAlign w:val="center"/>
          </w:tcPr>
          <w:p w:rsidR="00C858F6" w:rsidRPr="00C858F6" w:rsidRDefault="00C858F6" w:rsidP="00C858F6">
            <w:pPr>
              <w:keepNext/>
              <w:tabs>
                <w:tab w:val="left" w:pos="1418"/>
              </w:tabs>
              <w:kinsoku/>
              <w:overflowPunct/>
              <w:autoSpaceDE/>
              <w:autoSpaceDN/>
              <w:adjustRightInd/>
              <w:snapToGrid/>
              <w:spacing w:before="60" w:after="60" w:line="200" w:lineRule="exact"/>
              <w:jc w:val="center"/>
              <w:rPr>
                <w:rFonts w:eastAsia="Times New Roman"/>
                <w:i/>
                <w:sz w:val="16"/>
                <w:szCs w:val="16"/>
                <w:lang w:val="fr-FR"/>
              </w:rPr>
            </w:pPr>
            <w:r w:rsidRPr="00C858F6">
              <w:rPr>
                <w:rFonts w:eastAsia="Times New Roman"/>
                <w:lang w:val="fr-FR"/>
              </w:rPr>
              <w:br w:type="page"/>
            </w:r>
            <w:r w:rsidRPr="00C858F6">
              <w:rPr>
                <w:rFonts w:eastAsia="Times New Roman"/>
                <w:i/>
                <w:sz w:val="16"/>
                <w:szCs w:val="16"/>
                <w:lang w:val="fr-FR"/>
              </w:rPr>
              <w:t>V (km/h)</w:t>
            </w:r>
          </w:p>
        </w:tc>
        <w:tc>
          <w:tcPr>
            <w:tcW w:w="2438" w:type="dxa"/>
            <w:vAlign w:val="center"/>
          </w:tcPr>
          <w:p w:rsidR="00C858F6" w:rsidRPr="00C858F6" w:rsidRDefault="00C858F6" w:rsidP="00C858F6">
            <w:pPr>
              <w:keepNext/>
              <w:tabs>
                <w:tab w:val="left" w:pos="1418"/>
              </w:tabs>
              <w:kinsoku/>
              <w:overflowPunct/>
              <w:autoSpaceDE/>
              <w:autoSpaceDN/>
              <w:adjustRightInd/>
              <w:snapToGrid/>
              <w:spacing w:before="60" w:after="60" w:line="200" w:lineRule="exact"/>
              <w:jc w:val="center"/>
              <w:rPr>
                <w:rFonts w:eastAsia="Times New Roman"/>
                <w:i/>
                <w:sz w:val="16"/>
                <w:szCs w:val="16"/>
                <w:lang w:val="fr-FR"/>
              </w:rPr>
            </w:pPr>
            <w:r w:rsidRPr="00C858F6">
              <w:rPr>
                <w:rFonts w:eastAsia="Times New Roman"/>
                <w:i/>
                <w:sz w:val="16"/>
                <w:szCs w:val="16"/>
                <w:lang w:val="fr-FR"/>
              </w:rPr>
              <w:t>a</w:t>
            </w:r>
          </w:p>
        </w:tc>
        <w:tc>
          <w:tcPr>
            <w:tcW w:w="2495" w:type="dxa"/>
            <w:vAlign w:val="center"/>
          </w:tcPr>
          <w:p w:rsidR="00C858F6" w:rsidRPr="00C858F6" w:rsidRDefault="00C858F6" w:rsidP="00C858F6">
            <w:pPr>
              <w:keepNext/>
              <w:tabs>
                <w:tab w:val="left" w:pos="1418"/>
              </w:tabs>
              <w:kinsoku/>
              <w:overflowPunct/>
              <w:autoSpaceDE/>
              <w:autoSpaceDN/>
              <w:adjustRightInd/>
              <w:snapToGrid/>
              <w:spacing w:before="60" w:after="60" w:line="200" w:lineRule="exact"/>
              <w:jc w:val="center"/>
              <w:rPr>
                <w:rFonts w:eastAsia="Times New Roman"/>
                <w:i/>
                <w:sz w:val="16"/>
                <w:szCs w:val="16"/>
                <w:lang w:val="fr-FR"/>
              </w:rPr>
            </w:pPr>
            <w:r w:rsidRPr="00C858F6">
              <w:rPr>
                <w:rFonts w:eastAsia="Times New Roman"/>
                <w:i/>
                <w:sz w:val="16"/>
                <w:szCs w:val="16"/>
                <w:lang w:val="fr-FR"/>
              </w:rPr>
              <w:t>b</w:t>
            </w:r>
          </w:p>
        </w:tc>
      </w:tr>
      <w:tr w:rsidR="00C858F6" w:rsidRPr="00C858F6" w:rsidTr="00A36982">
        <w:tblPrEx>
          <w:tblCellMar>
            <w:top w:w="0" w:type="dxa"/>
            <w:bottom w:w="0" w:type="dxa"/>
          </w:tblCellMar>
        </w:tblPrEx>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20</w:t>
            </w:r>
          </w:p>
        </w:tc>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7,24 x 10</w:t>
            </w:r>
            <w:r w:rsidRPr="00C858F6">
              <w:rPr>
                <w:rFonts w:eastAsia="Times New Roman"/>
                <w:sz w:val="18"/>
                <w:szCs w:val="18"/>
                <w:vertAlign w:val="superscript"/>
                <w:lang w:val="fr-FR"/>
              </w:rPr>
              <w:noBreakHyphen/>
              <w:t>5</w:t>
            </w:r>
          </w:p>
        </w:tc>
        <w:tc>
          <w:tcPr>
            <w:tcW w:w="2495"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0,82</w:t>
            </w:r>
          </w:p>
        </w:tc>
      </w:tr>
      <w:tr w:rsidR="00C858F6" w:rsidRPr="00C858F6" w:rsidTr="00A36982">
        <w:tblPrEx>
          <w:tblCellMar>
            <w:top w:w="0" w:type="dxa"/>
            <w:bottom w:w="0" w:type="dxa"/>
          </w:tblCellMar>
        </w:tblPrEx>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40</w:t>
            </w:r>
          </w:p>
        </w:tc>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1,59 x 10</w:t>
            </w:r>
            <w:r w:rsidRPr="00C858F6">
              <w:rPr>
                <w:rFonts w:eastAsia="Times New Roman"/>
                <w:sz w:val="18"/>
                <w:szCs w:val="18"/>
                <w:vertAlign w:val="superscript"/>
                <w:lang w:val="fr-FR"/>
              </w:rPr>
              <w:noBreakHyphen/>
              <w:t>4</w:t>
            </w:r>
          </w:p>
        </w:tc>
        <w:tc>
          <w:tcPr>
            <w:tcW w:w="2495"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0,54</w:t>
            </w:r>
          </w:p>
        </w:tc>
      </w:tr>
      <w:tr w:rsidR="00C858F6" w:rsidRPr="00C858F6" w:rsidTr="00A36982">
        <w:tblPrEx>
          <w:tblCellMar>
            <w:top w:w="0" w:type="dxa"/>
            <w:bottom w:w="0" w:type="dxa"/>
          </w:tblCellMar>
        </w:tblPrEx>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60</w:t>
            </w:r>
          </w:p>
        </w:tc>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1,96 x 10</w:t>
            </w:r>
            <w:r w:rsidRPr="00C858F6">
              <w:rPr>
                <w:rFonts w:eastAsia="Times New Roman"/>
                <w:sz w:val="18"/>
                <w:szCs w:val="18"/>
                <w:vertAlign w:val="superscript"/>
                <w:lang w:val="fr-FR"/>
              </w:rPr>
              <w:noBreakHyphen/>
              <w:t>4</w:t>
            </w:r>
          </w:p>
        </w:tc>
        <w:tc>
          <w:tcPr>
            <w:tcW w:w="2495"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0,33</w:t>
            </w:r>
          </w:p>
        </w:tc>
      </w:tr>
      <w:tr w:rsidR="00C858F6" w:rsidRPr="00C858F6" w:rsidTr="00A36982">
        <w:tblPrEx>
          <w:tblCellMar>
            <w:top w:w="0" w:type="dxa"/>
            <w:bottom w:w="0" w:type="dxa"/>
          </w:tblCellMar>
        </w:tblPrEx>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80</w:t>
            </w:r>
          </w:p>
        </w:tc>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1,85 x 10</w:t>
            </w:r>
            <w:r w:rsidRPr="00C858F6">
              <w:rPr>
                <w:rFonts w:eastAsia="Times New Roman"/>
                <w:sz w:val="18"/>
                <w:szCs w:val="18"/>
                <w:vertAlign w:val="superscript"/>
                <w:lang w:val="fr-FR"/>
              </w:rPr>
              <w:noBreakHyphen/>
              <w:t>4</w:t>
            </w:r>
          </w:p>
        </w:tc>
        <w:tc>
          <w:tcPr>
            <w:tcW w:w="2495"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0,23</w:t>
            </w:r>
          </w:p>
        </w:tc>
      </w:tr>
      <w:tr w:rsidR="00C858F6" w:rsidRPr="00C858F6" w:rsidTr="00A36982">
        <w:tblPrEx>
          <w:tblCellMar>
            <w:top w:w="0" w:type="dxa"/>
            <w:bottom w:w="0" w:type="dxa"/>
          </w:tblCellMar>
        </w:tblPrEx>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100</w:t>
            </w:r>
          </w:p>
        </w:tc>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1,63 x 10</w:t>
            </w:r>
            <w:r w:rsidRPr="00C858F6">
              <w:rPr>
                <w:rFonts w:eastAsia="Times New Roman"/>
                <w:sz w:val="18"/>
                <w:szCs w:val="18"/>
                <w:vertAlign w:val="superscript"/>
                <w:lang w:val="fr-FR"/>
              </w:rPr>
              <w:noBreakHyphen/>
              <w:t>4</w:t>
            </w:r>
          </w:p>
        </w:tc>
        <w:tc>
          <w:tcPr>
            <w:tcW w:w="2495"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0,18</w:t>
            </w:r>
          </w:p>
        </w:tc>
      </w:tr>
      <w:tr w:rsidR="00C858F6" w:rsidRPr="00C858F6" w:rsidTr="00A36982">
        <w:tblPrEx>
          <w:tblCellMar>
            <w:top w:w="0" w:type="dxa"/>
            <w:bottom w:w="0" w:type="dxa"/>
          </w:tblCellMar>
        </w:tblPrEx>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120</w:t>
            </w:r>
          </w:p>
        </w:tc>
        <w:tc>
          <w:tcPr>
            <w:tcW w:w="2438"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1,57 x 10</w:t>
            </w:r>
            <w:r w:rsidRPr="00C858F6">
              <w:rPr>
                <w:rFonts w:eastAsia="Times New Roman"/>
                <w:sz w:val="18"/>
                <w:szCs w:val="18"/>
                <w:vertAlign w:val="superscript"/>
                <w:lang w:val="fr-FR"/>
              </w:rPr>
              <w:noBreakHyphen/>
              <w:t>4</w:t>
            </w:r>
          </w:p>
        </w:tc>
        <w:tc>
          <w:tcPr>
            <w:tcW w:w="2495" w:type="dxa"/>
          </w:tcPr>
          <w:p w:rsidR="00C858F6" w:rsidRPr="00C858F6" w:rsidRDefault="00C858F6" w:rsidP="00C858F6">
            <w:pPr>
              <w:keepNext/>
              <w:kinsoku/>
              <w:overflowPunct/>
              <w:autoSpaceDE/>
              <w:autoSpaceDN/>
              <w:adjustRightInd/>
              <w:snapToGrid/>
              <w:spacing w:before="60" w:after="60" w:line="220" w:lineRule="atLeast"/>
              <w:jc w:val="center"/>
              <w:rPr>
                <w:rFonts w:eastAsia="Times New Roman"/>
                <w:sz w:val="18"/>
                <w:szCs w:val="18"/>
                <w:lang w:val="fr-FR"/>
              </w:rPr>
            </w:pPr>
            <w:r w:rsidRPr="00C858F6">
              <w:rPr>
                <w:rFonts w:eastAsia="Times New Roman"/>
                <w:sz w:val="18"/>
                <w:szCs w:val="18"/>
                <w:lang w:val="fr-FR"/>
              </w:rPr>
              <w:t>0,14</w:t>
            </w:r>
          </w:p>
        </w:tc>
      </w:tr>
    </w:tbl>
    <w:p w:rsidR="00C858F6" w:rsidRPr="00A779B8" w:rsidRDefault="00C858F6" w:rsidP="00C858F6">
      <w:pPr>
        <w:pStyle w:val="SingleTxtG"/>
        <w:spacing w:before="120"/>
        <w:ind w:left="2268" w:hanging="1134"/>
        <w:rPr>
          <w:lang w:val="fr-FR"/>
        </w:rPr>
      </w:pPr>
      <w:r w:rsidRPr="00A779B8">
        <w:rPr>
          <w:lang w:val="fr-FR"/>
        </w:rPr>
        <w:t>5.1.2</w:t>
      </w:r>
      <w:r w:rsidRPr="00A779B8">
        <w:rPr>
          <w:lang w:val="fr-FR"/>
        </w:rPr>
        <w:tab/>
        <w:t>Sur banc</w:t>
      </w:r>
    </w:p>
    <w:p w:rsidR="00C858F6" w:rsidRPr="00A779B8" w:rsidRDefault="00C858F6" w:rsidP="00C858F6">
      <w:pPr>
        <w:pStyle w:val="SingleTxtG"/>
        <w:keepNext/>
        <w:ind w:left="2268" w:hanging="1134"/>
        <w:rPr>
          <w:lang w:val="fr-FR"/>
        </w:rPr>
      </w:pPr>
      <w:r w:rsidRPr="00A779B8">
        <w:rPr>
          <w:lang w:val="fr-FR"/>
        </w:rPr>
        <w:t>5.1.2.1</w:t>
      </w:r>
      <w:r w:rsidRPr="00A779B8">
        <w:rPr>
          <w:lang w:val="fr-FR"/>
        </w:rPr>
        <w:tab/>
        <w:t>Appareillage de mesure et erreur admissible</w:t>
      </w:r>
    </w:p>
    <w:p w:rsidR="00C858F6" w:rsidRPr="00A779B8" w:rsidRDefault="00C858F6" w:rsidP="00C858F6">
      <w:pPr>
        <w:pStyle w:val="SingleTxtG"/>
        <w:ind w:left="2268"/>
        <w:rPr>
          <w:lang w:val="fr-FR"/>
        </w:rPr>
      </w:pPr>
      <w:r w:rsidRPr="00A779B8">
        <w:rPr>
          <w:lang w:val="fr-FR"/>
        </w:rPr>
        <w:t>L</w:t>
      </w:r>
      <w:r w:rsidR="00DB4C2D">
        <w:rPr>
          <w:lang w:val="fr-FR"/>
        </w:rPr>
        <w:t>’</w:t>
      </w:r>
      <w:r w:rsidRPr="00A779B8">
        <w:rPr>
          <w:lang w:val="fr-FR"/>
        </w:rPr>
        <w:t>appareillage doit être identique à celui utilisé pour l</w:t>
      </w:r>
      <w:r w:rsidR="00DB4C2D">
        <w:rPr>
          <w:lang w:val="fr-FR"/>
        </w:rPr>
        <w:t>’</w:t>
      </w:r>
      <w:r w:rsidRPr="00A779B8">
        <w:rPr>
          <w:lang w:val="fr-FR"/>
        </w:rPr>
        <w:t>essai sur piste.</w:t>
      </w:r>
    </w:p>
    <w:p w:rsidR="00C858F6" w:rsidRPr="00A779B8" w:rsidRDefault="00C858F6" w:rsidP="00C858F6">
      <w:pPr>
        <w:pStyle w:val="SingleTxtG"/>
        <w:ind w:left="2268" w:hanging="1134"/>
        <w:rPr>
          <w:lang w:val="fr-FR"/>
        </w:rPr>
      </w:pPr>
      <w:r w:rsidRPr="00A779B8">
        <w:rPr>
          <w:lang w:val="fr-FR"/>
        </w:rPr>
        <w:t>5.1.2.2</w:t>
      </w:r>
      <w:r w:rsidRPr="00A779B8">
        <w:rPr>
          <w:lang w:val="fr-FR"/>
        </w:rPr>
        <w:tab/>
        <w:t>Procédure d</w:t>
      </w:r>
      <w:r w:rsidR="00DB4C2D">
        <w:rPr>
          <w:lang w:val="fr-FR"/>
        </w:rPr>
        <w:t>’</w:t>
      </w:r>
      <w:r w:rsidRPr="00A779B8">
        <w:rPr>
          <w:lang w:val="fr-FR"/>
        </w:rPr>
        <w:t>essai</w:t>
      </w:r>
    </w:p>
    <w:p w:rsidR="00C858F6" w:rsidRPr="00A779B8" w:rsidRDefault="00C858F6" w:rsidP="00C858F6">
      <w:pPr>
        <w:pStyle w:val="SingleTxtG"/>
        <w:ind w:left="2268" w:hanging="1134"/>
        <w:rPr>
          <w:lang w:val="fr-FR"/>
        </w:rPr>
      </w:pPr>
      <w:r w:rsidRPr="00A779B8">
        <w:rPr>
          <w:lang w:val="fr-FR"/>
        </w:rPr>
        <w:t>5.1.2.2.1</w:t>
      </w:r>
      <w:r w:rsidRPr="00A779B8">
        <w:rPr>
          <w:lang w:val="fr-FR"/>
        </w:rPr>
        <w:tab/>
        <w:t>Installer le véhicule sur le banc à rouleaux.</w:t>
      </w:r>
    </w:p>
    <w:p w:rsidR="00C858F6" w:rsidRPr="00A779B8" w:rsidRDefault="00C858F6" w:rsidP="00C858F6">
      <w:pPr>
        <w:pStyle w:val="SingleTxtG"/>
        <w:ind w:left="2268" w:hanging="1134"/>
        <w:rPr>
          <w:lang w:val="fr-FR"/>
        </w:rPr>
      </w:pPr>
      <w:r w:rsidRPr="00A779B8">
        <w:rPr>
          <w:lang w:val="fr-FR"/>
        </w:rPr>
        <w:t>5.1.2.2.2</w:t>
      </w:r>
      <w:r w:rsidRPr="00A779B8">
        <w:rPr>
          <w:lang w:val="fr-FR"/>
        </w:rPr>
        <w:tab/>
        <w:t>Adapter la pression des pneus (à froid) des roues motrices à la valeur requise par le banc à rouleaux.</w:t>
      </w:r>
    </w:p>
    <w:p w:rsidR="00C858F6" w:rsidRPr="00A779B8" w:rsidRDefault="00C858F6" w:rsidP="00C858F6">
      <w:pPr>
        <w:pStyle w:val="SingleTxtG"/>
        <w:ind w:left="2268" w:hanging="1134"/>
        <w:rPr>
          <w:lang w:val="fr-FR"/>
        </w:rPr>
      </w:pPr>
      <w:r w:rsidRPr="00A779B8">
        <w:rPr>
          <w:lang w:val="fr-FR"/>
        </w:rPr>
        <w:t>5.1.2.2.3</w:t>
      </w:r>
      <w:r w:rsidRPr="00A779B8">
        <w:rPr>
          <w:lang w:val="fr-FR"/>
        </w:rPr>
        <w:tab/>
        <w:t>Régler l</w:t>
      </w:r>
      <w:r w:rsidR="00DB4C2D">
        <w:rPr>
          <w:lang w:val="fr-FR"/>
        </w:rPr>
        <w:t>’</w:t>
      </w:r>
      <w:r w:rsidRPr="00A779B8">
        <w:rPr>
          <w:lang w:val="fr-FR"/>
        </w:rPr>
        <w:t>inertie équivalente du banc.</w:t>
      </w:r>
    </w:p>
    <w:p w:rsidR="00C858F6" w:rsidRPr="00A779B8" w:rsidRDefault="00C858F6" w:rsidP="00C858F6">
      <w:pPr>
        <w:pStyle w:val="SingleTxtG"/>
        <w:ind w:left="2268" w:hanging="1134"/>
        <w:rPr>
          <w:lang w:val="fr-FR"/>
        </w:rPr>
      </w:pPr>
      <w:r w:rsidRPr="00A779B8">
        <w:rPr>
          <w:lang w:val="fr-FR"/>
        </w:rPr>
        <w:t>5.1.2.2.4</w:t>
      </w:r>
      <w:r w:rsidRPr="00A779B8">
        <w:rPr>
          <w:lang w:val="fr-FR"/>
        </w:rPr>
        <w:tab/>
        <w:t>Porter le véhicule et le banc à leur température de fonctionnement par une méthode appropriée.</w:t>
      </w:r>
    </w:p>
    <w:p w:rsidR="00C858F6" w:rsidRPr="00A779B8" w:rsidRDefault="00C858F6" w:rsidP="00C858F6">
      <w:pPr>
        <w:pStyle w:val="SingleTxtG"/>
        <w:ind w:left="2268" w:hanging="1134"/>
        <w:rPr>
          <w:lang w:val="fr-FR"/>
        </w:rPr>
      </w:pPr>
      <w:r w:rsidRPr="00A779B8">
        <w:rPr>
          <w:lang w:val="fr-FR"/>
        </w:rPr>
        <w:t>5.1.2.2.5</w:t>
      </w:r>
      <w:r w:rsidRPr="00A779B8">
        <w:rPr>
          <w:lang w:val="fr-FR"/>
        </w:rPr>
        <w:tab/>
        <w:t>Exécuter les opérations décrites dans le paragraphe 5.1.1.2 du présent appendice (par. 5.1.1.2.4 et 5.1.1.2.5 exceptés), en remplaçant M par I dans la formule du paragraphe 5.1.1.2.7.</w:t>
      </w:r>
    </w:p>
    <w:p w:rsidR="00C858F6" w:rsidRPr="00A779B8" w:rsidRDefault="00C858F6" w:rsidP="00C858F6">
      <w:pPr>
        <w:pStyle w:val="SingleTxtG"/>
        <w:spacing w:after="0"/>
        <w:ind w:left="2268" w:hanging="1134"/>
        <w:rPr>
          <w:lang w:val="fr-FR"/>
        </w:rPr>
      </w:pPr>
      <w:r w:rsidRPr="00A779B8">
        <w:rPr>
          <w:lang w:val="fr-FR"/>
        </w:rPr>
        <w:t>5.1.2.2.6</w:t>
      </w:r>
      <w:r w:rsidRPr="00A779B8">
        <w:rPr>
          <w:lang w:val="fr-FR"/>
        </w:rPr>
        <w:tab/>
        <w:t>Régler le frein de manière à reproduire la puissance corrigée (par. 5.1.1.2.8 du présent appendice) et à tenir compte de la différence entre la masse du véhicule (M) sur piste et la masse d</w:t>
      </w:r>
      <w:r w:rsidR="00DB4C2D">
        <w:rPr>
          <w:lang w:val="fr-FR"/>
        </w:rPr>
        <w:t>’</w:t>
      </w:r>
      <w:r w:rsidRPr="00A779B8">
        <w:rPr>
          <w:lang w:val="fr-FR"/>
        </w:rPr>
        <w:t>essai d</w:t>
      </w:r>
      <w:r w:rsidR="00DB4C2D">
        <w:rPr>
          <w:lang w:val="fr-FR"/>
        </w:rPr>
        <w:t>’</w:t>
      </w:r>
      <w:r w:rsidRPr="00A779B8">
        <w:rPr>
          <w:lang w:val="fr-FR"/>
        </w:rPr>
        <w:t>inertie équivalente (I) à utiliser. À cet effet, il est possible de calculer le temps moyen corrigé de décélération en roue libre de V</w:t>
      </w:r>
      <w:r w:rsidRPr="00A779B8">
        <w:rPr>
          <w:vertAlign w:val="subscript"/>
          <w:lang w:val="fr-FR"/>
        </w:rPr>
        <w:t>2</w:t>
      </w:r>
      <w:r w:rsidRPr="00A779B8">
        <w:rPr>
          <w:lang w:val="fr-FR"/>
        </w:rPr>
        <w:t xml:space="preserve"> à V</w:t>
      </w:r>
      <w:r w:rsidRPr="00A779B8">
        <w:rPr>
          <w:vertAlign w:val="subscript"/>
          <w:lang w:val="fr-FR"/>
        </w:rPr>
        <w:t>1</w:t>
      </w:r>
      <w:r w:rsidRPr="00A779B8">
        <w:rPr>
          <w:lang w:val="fr-FR"/>
        </w:rPr>
        <w:t xml:space="preserve"> sur piste et de reproduire ce même temps sur le banc, à l</w:t>
      </w:r>
      <w:r w:rsidR="00DB4C2D">
        <w:rPr>
          <w:lang w:val="fr-FR"/>
        </w:rPr>
        <w:t>’</w:t>
      </w:r>
      <w:r w:rsidRPr="00A779B8">
        <w:rPr>
          <w:lang w:val="fr-FR"/>
        </w:rPr>
        <w:t>aide de la formule suivante:</w:t>
      </w:r>
    </w:p>
    <w:p w:rsidR="00C858F6" w:rsidRPr="00A779B8" w:rsidRDefault="00C858F6" w:rsidP="00C858F6">
      <w:pPr>
        <w:spacing w:before="240" w:after="240"/>
        <w:ind w:left="2268"/>
        <w:rPr>
          <w:position w:val="-22"/>
          <w:lang w:val="fr-FR"/>
        </w:rPr>
      </w:pPr>
      <w:r w:rsidRPr="00A779B8">
        <w:rPr>
          <w:position w:val="-20"/>
          <w:lang w:val="fr-FR"/>
        </w:rPr>
        <w:object w:dxaOrig="1740" w:dyaOrig="540">
          <v:shape id="_x0000_i1113" type="#_x0000_t75" style="width:86.95pt;height:27.15pt" o:ole="">
            <v:imagedata r:id="rId210" o:title=""/>
          </v:shape>
          <o:OLEObject Type="Embed" ProgID="Equation.3" ShapeID="_x0000_i1113" DrawAspect="Content" ObjectID="_1490178460" r:id="rId211"/>
        </w:object>
      </w:r>
      <w:r w:rsidRPr="00A779B8">
        <w:rPr>
          <w:lang w:val="fr-FR"/>
        </w:rPr>
        <w:t xml:space="preserve"> </w:t>
      </w:r>
    </w:p>
    <w:p w:rsidR="00C858F6" w:rsidRPr="00A779B8" w:rsidRDefault="00C858F6" w:rsidP="00C858F6">
      <w:pPr>
        <w:pStyle w:val="SingleTxtG"/>
        <w:ind w:left="2268"/>
        <w:rPr>
          <w:lang w:val="fr-FR"/>
        </w:rPr>
      </w:pPr>
      <w:r w:rsidRPr="00A779B8">
        <w:rPr>
          <w:lang w:val="fr-FR"/>
        </w:rPr>
        <w:t>avec K = valeur indiquée au paragraphe 5.1.1.2.8 ci-dessus.</w:t>
      </w:r>
    </w:p>
    <w:p w:rsidR="00C858F6" w:rsidRPr="00A779B8" w:rsidRDefault="00C858F6" w:rsidP="00C858F6">
      <w:pPr>
        <w:pStyle w:val="SingleTxtG"/>
        <w:ind w:left="2268" w:hanging="1134"/>
        <w:rPr>
          <w:lang w:val="fr-FR"/>
        </w:rPr>
      </w:pPr>
      <w:r w:rsidRPr="00A779B8">
        <w:rPr>
          <w:lang w:val="fr-FR"/>
        </w:rPr>
        <w:t>5.1.2.2.7</w:t>
      </w:r>
      <w:r w:rsidRPr="00A779B8">
        <w:rPr>
          <w:lang w:val="fr-FR"/>
        </w:rPr>
        <w:tab/>
        <w:t>La puissance P</w:t>
      </w:r>
      <w:r w:rsidRPr="00A779B8">
        <w:rPr>
          <w:vertAlign w:val="subscript"/>
          <w:lang w:val="fr-FR"/>
        </w:rPr>
        <w:t>a</w:t>
      </w:r>
      <w:r w:rsidRPr="00A779B8">
        <w:rPr>
          <w:lang w:val="fr-FR"/>
        </w:rPr>
        <w:t xml:space="preserve"> absorbée par le banc à rouleaux doit être déterminée de telle sorte qu</w:t>
      </w:r>
      <w:r w:rsidR="00DB4C2D">
        <w:rPr>
          <w:lang w:val="fr-FR"/>
        </w:rPr>
        <w:t>’</w:t>
      </w:r>
      <w:r w:rsidRPr="00A779B8">
        <w:rPr>
          <w:lang w:val="fr-FR"/>
        </w:rPr>
        <w:t>elle permette de reproduire le réglage de puissance (par. 5.1.1.2.8 du présent appendice) pour un même véhicule un autre jour.</w:t>
      </w:r>
    </w:p>
    <w:p w:rsidR="00C858F6" w:rsidRPr="00A779B8" w:rsidRDefault="00C858F6" w:rsidP="00C858F6">
      <w:pPr>
        <w:pStyle w:val="SingleTxtG"/>
        <w:keepNext/>
        <w:ind w:left="2268" w:hanging="1134"/>
        <w:jc w:val="left"/>
        <w:rPr>
          <w:lang w:val="fr-FR"/>
        </w:rPr>
      </w:pPr>
      <w:r w:rsidRPr="00A779B8">
        <w:rPr>
          <w:lang w:val="fr-FR"/>
        </w:rPr>
        <w:lastRenderedPageBreak/>
        <w:t>5.2</w:t>
      </w:r>
      <w:r w:rsidRPr="00A779B8">
        <w:rPr>
          <w:lang w:val="fr-FR"/>
        </w:rPr>
        <w:tab/>
        <w:t>Méthode de la mesure du couple à vitesse constante</w:t>
      </w:r>
    </w:p>
    <w:p w:rsidR="00C858F6" w:rsidRPr="00A779B8" w:rsidRDefault="00C858F6" w:rsidP="00C858F6">
      <w:pPr>
        <w:pStyle w:val="SingleTxtG"/>
        <w:keepNext/>
        <w:ind w:left="2268" w:hanging="1134"/>
        <w:rPr>
          <w:lang w:val="fr-FR"/>
        </w:rPr>
      </w:pPr>
      <w:r w:rsidRPr="00A779B8">
        <w:rPr>
          <w:lang w:val="fr-FR"/>
        </w:rPr>
        <w:t>5.2.1</w:t>
      </w:r>
      <w:r w:rsidRPr="00A779B8">
        <w:rPr>
          <w:lang w:val="fr-FR"/>
        </w:rPr>
        <w:tab/>
        <w:t>Sur piste</w:t>
      </w:r>
    </w:p>
    <w:p w:rsidR="00C858F6" w:rsidRPr="00A779B8" w:rsidRDefault="00C858F6" w:rsidP="00C858F6">
      <w:pPr>
        <w:pStyle w:val="SingleTxtG"/>
        <w:keepNext/>
        <w:ind w:left="2268" w:hanging="1134"/>
        <w:rPr>
          <w:lang w:val="fr-FR"/>
        </w:rPr>
      </w:pPr>
      <w:r w:rsidRPr="00A779B8">
        <w:rPr>
          <w:lang w:val="fr-FR"/>
        </w:rPr>
        <w:t>5.2.1.1</w:t>
      </w:r>
      <w:r w:rsidRPr="00A779B8">
        <w:rPr>
          <w:lang w:val="fr-FR"/>
        </w:rPr>
        <w:tab/>
        <w:t>Appareillage de mesure et erreur admissible</w:t>
      </w:r>
    </w:p>
    <w:p w:rsidR="00C858F6" w:rsidRPr="00A779B8" w:rsidRDefault="00C858F6" w:rsidP="00C858F6">
      <w:pPr>
        <w:pStyle w:val="SingleTxtG"/>
        <w:ind w:left="2268"/>
        <w:rPr>
          <w:lang w:val="fr-FR"/>
        </w:rPr>
      </w:pPr>
      <w:r w:rsidRPr="00A779B8">
        <w:rPr>
          <w:lang w:val="fr-FR"/>
        </w:rPr>
        <w:t>La mesure du couple doit être exécutée avec un dispositif de mesure juste à </w:t>
      </w:r>
      <w:r w:rsidRPr="00A779B8">
        <w:rPr>
          <w:lang w:val="fr-FR"/>
        </w:rPr>
        <w:sym w:font="Symbol" w:char="F0B1"/>
      </w:r>
      <w:r w:rsidRPr="00A779B8">
        <w:rPr>
          <w:lang w:val="fr-FR"/>
        </w:rPr>
        <w:t>2 %.</w:t>
      </w:r>
    </w:p>
    <w:p w:rsidR="00C858F6" w:rsidRPr="00A779B8" w:rsidRDefault="00C858F6" w:rsidP="00C858F6">
      <w:pPr>
        <w:pStyle w:val="SingleTxtG"/>
        <w:ind w:left="2268"/>
        <w:rPr>
          <w:lang w:val="fr-FR"/>
        </w:rPr>
      </w:pPr>
      <w:r w:rsidRPr="00A779B8">
        <w:rPr>
          <w:lang w:val="fr-FR"/>
        </w:rPr>
        <w:t xml:space="preserve">La mesure de la vitesse doit être exécutée avec une justesse de </w:t>
      </w:r>
      <w:r w:rsidRPr="00A779B8">
        <w:rPr>
          <w:lang w:val="fr-FR"/>
        </w:rPr>
        <w:sym w:font="Symbol" w:char="F0B1"/>
      </w:r>
      <w:r w:rsidRPr="00A779B8">
        <w:rPr>
          <w:lang w:val="fr-FR"/>
        </w:rPr>
        <w:t>2 %.</w:t>
      </w:r>
    </w:p>
    <w:p w:rsidR="00C858F6" w:rsidRPr="00A779B8" w:rsidRDefault="00C858F6" w:rsidP="00C858F6">
      <w:pPr>
        <w:pStyle w:val="SingleTxtG"/>
        <w:keepNext/>
        <w:keepLines/>
        <w:ind w:left="2268" w:hanging="1134"/>
        <w:rPr>
          <w:lang w:val="fr-FR"/>
        </w:rPr>
      </w:pPr>
      <w:r w:rsidRPr="00A779B8">
        <w:rPr>
          <w:lang w:val="fr-FR"/>
        </w:rPr>
        <w:t>5.2.1.2</w:t>
      </w:r>
      <w:r w:rsidRPr="00A779B8">
        <w:rPr>
          <w:lang w:val="fr-FR"/>
        </w:rPr>
        <w:tab/>
        <w:t>Procédure d</w:t>
      </w:r>
      <w:r w:rsidR="00DB4C2D">
        <w:rPr>
          <w:lang w:val="fr-FR"/>
        </w:rPr>
        <w:t>’</w:t>
      </w:r>
      <w:r w:rsidRPr="00A779B8">
        <w:rPr>
          <w:lang w:val="fr-FR"/>
        </w:rPr>
        <w:t>essai</w:t>
      </w:r>
    </w:p>
    <w:p w:rsidR="00C858F6" w:rsidRPr="00A779B8" w:rsidRDefault="00C858F6" w:rsidP="00C858F6">
      <w:pPr>
        <w:pStyle w:val="SingleTxtG"/>
        <w:ind w:left="2268" w:hanging="1134"/>
        <w:rPr>
          <w:lang w:val="fr-FR"/>
        </w:rPr>
      </w:pPr>
      <w:r w:rsidRPr="00A779B8">
        <w:rPr>
          <w:lang w:val="fr-FR"/>
        </w:rPr>
        <w:t>5.2.1.2.1</w:t>
      </w:r>
      <w:r w:rsidRPr="00A779B8">
        <w:rPr>
          <w:lang w:val="fr-FR"/>
        </w:rPr>
        <w:tab/>
        <w:t>Porter le véhicule à la vitesse stabilisée choisie V.</w:t>
      </w:r>
    </w:p>
    <w:p w:rsidR="00C858F6" w:rsidRPr="00A779B8" w:rsidRDefault="00C858F6" w:rsidP="00C858F6">
      <w:pPr>
        <w:pStyle w:val="SingleTxtG"/>
        <w:ind w:left="2268" w:hanging="1134"/>
        <w:rPr>
          <w:lang w:val="fr-FR"/>
        </w:rPr>
      </w:pPr>
      <w:r w:rsidRPr="00A779B8">
        <w:rPr>
          <w:lang w:val="fr-FR"/>
        </w:rPr>
        <w:t>5.2.1.2.2</w:t>
      </w:r>
      <w:r w:rsidRPr="00A779B8">
        <w:rPr>
          <w:lang w:val="fr-FR"/>
        </w:rPr>
        <w:tab/>
        <w:t>Enregistrer le couple C</w:t>
      </w:r>
      <w:r w:rsidRPr="00A779B8">
        <w:rPr>
          <w:vertAlign w:val="subscript"/>
          <w:lang w:val="fr-FR"/>
        </w:rPr>
        <w:t>t</w:t>
      </w:r>
      <w:r w:rsidRPr="00A779B8">
        <w:rPr>
          <w:lang w:val="fr-FR"/>
        </w:rPr>
        <w:t xml:space="preserve"> et la vitesse sur une durée d</w:t>
      </w:r>
      <w:r w:rsidR="00DB4C2D">
        <w:rPr>
          <w:lang w:val="fr-FR"/>
        </w:rPr>
        <w:t>’</w:t>
      </w:r>
      <w:r w:rsidRPr="00A779B8">
        <w:rPr>
          <w:lang w:val="fr-FR"/>
        </w:rPr>
        <w:t>au moins 20 s. La justesse du système d</w:t>
      </w:r>
      <w:r w:rsidR="00DB4C2D">
        <w:rPr>
          <w:lang w:val="fr-FR"/>
        </w:rPr>
        <w:t>’</w:t>
      </w:r>
      <w:r w:rsidRPr="00A779B8">
        <w:rPr>
          <w:lang w:val="fr-FR"/>
        </w:rPr>
        <w:t xml:space="preserve">enregistrement des données doit être au minimum de </w:t>
      </w:r>
      <w:r w:rsidRPr="00A779B8">
        <w:rPr>
          <w:lang w:val="fr-FR"/>
        </w:rPr>
        <w:sym w:font="Symbol" w:char="F0B1"/>
      </w:r>
      <w:r w:rsidRPr="00A779B8">
        <w:rPr>
          <w:lang w:val="fr-FR"/>
        </w:rPr>
        <w:t xml:space="preserve">1 Nm pour le couple et de </w:t>
      </w:r>
      <w:r w:rsidRPr="00A779B8">
        <w:rPr>
          <w:lang w:val="fr-FR"/>
        </w:rPr>
        <w:sym w:font="Symbol" w:char="F0B1"/>
      </w:r>
      <w:r w:rsidRPr="00A779B8">
        <w:rPr>
          <w:lang w:val="fr-FR"/>
        </w:rPr>
        <w:t>0,2 km/h pour la vitesse.</w:t>
      </w:r>
    </w:p>
    <w:p w:rsidR="00C858F6" w:rsidRPr="00A779B8" w:rsidRDefault="00C858F6" w:rsidP="00C858F6">
      <w:pPr>
        <w:pStyle w:val="SingleTxtG"/>
        <w:ind w:left="2268" w:hanging="1134"/>
        <w:rPr>
          <w:lang w:val="fr-FR"/>
        </w:rPr>
      </w:pPr>
      <w:r w:rsidRPr="00A779B8">
        <w:rPr>
          <w:lang w:val="fr-FR"/>
        </w:rPr>
        <w:t>5.2.1.2.3</w:t>
      </w:r>
      <w:r w:rsidRPr="00A779B8">
        <w:rPr>
          <w:lang w:val="fr-FR"/>
        </w:rPr>
        <w:tab/>
        <w:t>Les variations du couple C</w:t>
      </w:r>
      <w:r w:rsidRPr="00A779B8">
        <w:rPr>
          <w:vertAlign w:val="subscript"/>
          <w:lang w:val="fr-FR"/>
        </w:rPr>
        <w:t>t</w:t>
      </w:r>
      <w:r w:rsidRPr="00A779B8">
        <w:rPr>
          <w:lang w:val="fr-FR"/>
        </w:rPr>
        <w:t xml:space="preserve"> et de la vitesse en fonction du temps ne doivent pas dépasser 5 % pendant chaque seconde de la durée d</w:t>
      </w:r>
      <w:r w:rsidR="00DB4C2D">
        <w:rPr>
          <w:lang w:val="fr-FR"/>
        </w:rPr>
        <w:t>’</w:t>
      </w:r>
      <w:r w:rsidRPr="00A779B8">
        <w:rPr>
          <w:lang w:val="fr-FR"/>
        </w:rPr>
        <w:t>enregistrement.</w:t>
      </w:r>
    </w:p>
    <w:p w:rsidR="00C858F6" w:rsidRPr="00A779B8" w:rsidRDefault="00C858F6" w:rsidP="00C858F6">
      <w:pPr>
        <w:pStyle w:val="SingleTxtG"/>
        <w:spacing w:after="0" w:line="200" w:lineRule="atLeast"/>
        <w:ind w:left="2268" w:hanging="1134"/>
        <w:rPr>
          <w:lang w:val="fr-FR"/>
        </w:rPr>
      </w:pPr>
      <w:r w:rsidRPr="00A779B8">
        <w:rPr>
          <w:lang w:val="fr-FR"/>
        </w:rPr>
        <w:t>5.2.1.2.4</w:t>
      </w:r>
      <w:r w:rsidRPr="00A779B8">
        <w:rPr>
          <w:lang w:val="fr-FR"/>
        </w:rPr>
        <w:tab/>
        <w:t>La valeur de couple retenue C</w:t>
      </w:r>
      <w:r w:rsidRPr="00A779B8">
        <w:rPr>
          <w:vertAlign w:val="subscript"/>
          <w:lang w:val="fr-FR"/>
        </w:rPr>
        <w:t>t1</w:t>
      </w:r>
      <w:r w:rsidRPr="00A779B8">
        <w:rPr>
          <w:lang w:val="fr-FR"/>
        </w:rPr>
        <w:t xml:space="preserve"> est le couple moyen déterminé selon la formule suivante:</w:t>
      </w:r>
    </w:p>
    <w:p w:rsidR="00C858F6" w:rsidRPr="00A779B8" w:rsidRDefault="009D55DD" w:rsidP="00C858F6">
      <w:pPr>
        <w:spacing w:before="120" w:after="120"/>
        <w:ind w:left="2268"/>
        <w:rPr>
          <w:lang w:val="fr-FR"/>
        </w:rPr>
      </w:pPr>
      <w:r>
        <w:rPr>
          <w:noProof/>
          <w:position w:val="-32"/>
          <w:lang w:val="en-US"/>
        </w:rPr>
        <w:drawing>
          <wp:inline distT="0" distB="0" distL="0" distR="0">
            <wp:extent cx="1043940" cy="474345"/>
            <wp:effectExtent l="0" t="0" r="3810" b="190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43940" cy="474345"/>
                    </a:xfrm>
                    <a:prstGeom prst="rect">
                      <a:avLst/>
                    </a:prstGeom>
                    <a:noFill/>
                    <a:ln>
                      <a:noFill/>
                    </a:ln>
                  </pic:spPr>
                </pic:pic>
              </a:graphicData>
            </a:graphic>
          </wp:inline>
        </w:drawing>
      </w:r>
    </w:p>
    <w:p w:rsidR="00C858F6" w:rsidRPr="00A779B8" w:rsidRDefault="00C858F6" w:rsidP="00C858F6">
      <w:pPr>
        <w:pStyle w:val="SingleTxtG"/>
        <w:ind w:left="2268" w:hanging="1134"/>
        <w:rPr>
          <w:lang w:val="fr-FR"/>
        </w:rPr>
      </w:pPr>
      <w:r w:rsidRPr="00A779B8">
        <w:rPr>
          <w:lang w:val="fr-FR"/>
        </w:rPr>
        <w:t>5.2.1.2.5</w:t>
      </w:r>
      <w:r w:rsidRPr="00A779B8">
        <w:rPr>
          <w:lang w:val="fr-FR"/>
        </w:rPr>
        <w:tab/>
        <w:t>L</w:t>
      </w:r>
      <w:r w:rsidR="00DB4C2D">
        <w:rPr>
          <w:lang w:val="fr-FR"/>
        </w:rPr>
        <w:t>’</w:t>
      </w:r>
      <w:r w:rsidRPr="00A779B8">
        <w:rPr>
          <w:lang w:val="fr-FR"/>
        </w:rPr>
        <w:t>essai doit être effectué trois fois dans chaque sens. Déterminer le couple moyen à partir de ces six mesures pour la vitesse de référence. Si la vitesse moyenne s</w:t>
      </w:r>
      <w:r w:rsidR="00DB4C2D">
        <w:rPr>
          <w:lang w:val="fr-FR"/>
        </w:rPr>
        <w:t>’</w:t>
      </w:r>
      <w:r w:rsidRPr="00A779B8">
        <w:rPr>
          <w:lang w:val="fr-FR"/>
        </w:rPr>
        <w:t>écarte de plus de 1 km/h de la vitesse de référence, on utilisera une régression linéaire pour calculer le couple moyen.</w:t>
      </w:r>
    </w:p>
    <w:p w:rsidR="00C858F6" w:rsidRPr="00A779B8" w:rsidRDefault="00C858F6" w:rsidP="00C858F6">
      <w:pPr>
        <w:pStyle w:val="SingleTxtG"/>
        <w:ind w:left="2268" w:hanging="1134"/>
        <w:rPr>
          <w:lang w:val="fr-FR"/>
        </w:rPr>
      </w:pPr>
      <w:r w:rsidRPr="00A779B8">
        <w:rPr>
          <w:lang w:val="fr-FR"/>
        </w:rPr>
        <w:t>5.2.1.2.6</w:t>
      </w:r>
      <w:r w:rsidRPr="00A779B8">
        <w:rPr>
          <w:lang w:val="fr-FR"/>
        </w:rPr>
        <w:tab/>
        <w:t>Calculer la moyenne des deux valeurs de couple C</w:t>
      </w:r>
      <w:r w:rsidRPr="00A779B8">
        <w:rPr>
          <w:vertAlign w:val="subscript"/>
          <w:lang w:val="fr-FR"/>
        </w:rPr>
        <w:t>t1</w:t>
      </w:r>
      <w:r w:rsidRPr="00A779B8">
        <w:rPr>
          <w:lang w:val="fr-FR"/>
        </w:rPr>
        <w:t xml:space="preserve"> et C</w:t>
      </w:r>
      <w:r w:rsidRPr="00A779B8">
        <w:rPr>
          <w:vertAlign w:val="subscript"/>
          <w:lang w:val="fr-FR"/>
        </w:rPr>
        <w:t>t2</w:t>
      </w:r>
      <w:r w:rsidRPr="00A779B8">
        <w:rPr>
          <w:lang w:val="fr-FR"/>
        </w:rPr>
        <w:t>, soit C</w:t>
      </w:r>
      <w:r w:rsidRPr="00A779B8">
        <w:rPr>
          <w:vertAlign w:val="subscript"/>
          <w:lang w:val="fr-FR"/>
        </w:rPr>
        <w:t>t</w:t>
      </w:r>
      <w:r w:rsidRPr="00A779B8">
        <w:rPr>
          <w:lang w:val="fr-FR"/>
        </w:rPr>
        <w:t>.</w:t>
      </w:r>
    </w:p>
    <w:p w:rsidR="00C858F6" w:rsidRPr="00A779B8" w:rsidRDefault="00C858F6" w:rsidP="00C858F6">
      <w:pPr>
        <w:pStyle w:val="SingleTxtG"/>
        <w:ind w:left="2268" w:hanging="1134"/>
        <w:rPr>
          <w:lang w:val="fr-FR"/>
        </w:rPr>
      </w:pPr>
      <w:r w:rsidRPr="00A779B8">
        <w:rPr>
          <w:lang w:val="fr-FR"/>
        </w:rPr>
        <w:t>5.2.1.2.7</w:t>
      </w:r>
      <w:r w:rsidRPr="00A779B8">
        <w:rPr>
          <w:lang w:val="fr-FR"/>
        </w:rPr>
        <w:tab/>
        <w:t>Le couple moyen C</w:t>
      </w:r>
      <w:r w:rsidRPr="00A779B8">
        <w:rPr>
          <w:vertAlign w:val="subscript"/>
          <w:lang w:val="fr-FR"/>
        </w:rPr>
        <w:t>T</w:t>
      </w:r>
      <w:r w:rsidRPr="00A779B8">
        <w:rPr>
          <w:lang w:val="fr-FR"/>
        </w:rPr>
        <w:t xml:space="preserve"> déterminé sur piste doit être corrigé pour tenir compte des conditions ambiantes de référence, comme suit:</w:t>
      </w:r>
    </w:p>
    <w:p w:rsidR="00C858F6" w:rsidRPr="00A779B8" w:rsidRDefault="00C858F6" w:rsidP="00C858F6">
      <w:pPr>
        <w:spacing w:after="240"/>
        <w:ind w:left="2268"/>
        <w:rPr>
          <w:lang w:val="fr-FR"/>
        </w:rPr>
      </w:pPr>
      <w:proofErr w:type="spellStart"/>
      <w:r w:rsidRPr="00A779B8">
        <w:rPr>
          <w:lang w:val="fr-FR"/>
        </w:rPr>
        <w:t>C</w:t>
      </w:r>
      <w:r w:rsidRPr="00A779B8">
        <w:rPr>
          <w:vertAlign w:val="subscript"/>
          <w:lang w:val="fr-FR"/>
        </w:rPr>
        <w:t>Tcorrigé</w:t>
      </w:r>
      <w:proofErr w:type="spellEnd"/>
      <w:r w:rsidRPr="00A779B8">
        <w:rPr>
          <w:lang w:val="fr-FR"/>
        </w:rPr>
        <w:t xml:space="preserve"> = K • </w:t>
      </w:r>
      <w:proofErr w:type="spellStart"/>
      <w:r w:rsidRPr="00A779B8">
        <w:rPr>
          <w:lang w:val="fr-FR"/>
        </w:rPr>
        <w:t>C</w:t>
      </w:r>
      <w:r w:rsidRPr="00A779B8">
        <w:rPr>
          <w:vertAlign w:val="subscript"/>
          <w:lang w:val="fr-FR"/>
        </w:rPr>
        <w:t>Tmesuré</w:t>
      </w:r>
      <w:proofErr w:type="spellEnd"/>
    </w:p>
    <w:p w:rsidR="00C858F6" w:rsidRPr="00A779B8" w:rsidRDefault="00C858F6" w:rsidP="00C858F6">
      <w:pPr>
        <w:pStyle w:val="SingleTxtG"/>
        <w:ind w:left="2268"/>
        <w:rPr>
          <w:lang w:val="fr-FR"/>
        </w:rPr>
      </w:pPr>
      <w:r w:rsidRPr="00A779B8">
        <w:rPr>
          <w:lang w:val="fr-FR"/>
        </w:rPr>
        <w:t>où K a la valeur précisée au paragraphe 5.1.1.2.8 du présent appendice.</w:t>
      </w:r>
    </w:p>
    <w:p w:rsidR="00C858F6" w:rsidRPr="00A779B8" w:rsidRDefault="00C858F6" w:rsidP="00C858F6">
      <w:pPr>
        <w:pStyle w:val="SingleTxtG"/>
        <w:ind w:left="2268" w:hanging="1134"/>
        <w:rPr>
          <w:lang w:val="fr-FR"/>
        </w:rPr>
      </w:pPr>
      <w:r w:rsidRPr="00A779B8">
        <w:rPr>
          <w:lang w:val="fr-FR"/>
        </w:rPr>
        <w:t>5.2.2</w:t>
      </w:r>
      <w:r w:rsidRPr="00A779B8">
        <w:rPr>
          <w:lang w:val="fr-FR"/>
        </w:rPr>
        <w:tab/>
        <w:t>Sur banc</w:t>
      </w:r>
    </w:p>
    <w:p w:rsidR="00C858F6" w:rsidRPr="00A779B8" w:rsidRDefault="00C858F6" w:rsidP="00C858F6">
      <w:pPr>
        <w:pStyle w:val="SingleTxtG"/>
        <w:ind w:left="2268" w:hanging="1134"/>
        <w:rPr>
          <w:lang w:val="fr-FR"/>
        </w:rPr>
      </w:pPr>
      <w:r w:rsidRPr="00A779B8">
        <w:rPr>
          <w:lang w:val="fr-FR"/>
        </w:rPr>
        <w:t>5.2.2.1</w:t>
      </w:r>
      <w:r w:rsidRPr="00A779B8">
        <w:rPr>
          <w:lang w:val="fr-FR"/>
        </w:rPr>
        <w:tab/>
        <w:t>Appareillage de mesure et erreur admissible</w:t>
      </w:r>
    </w:p>
    <w:p w:rsidR="00C858F6" w:rsidRPr="00A779B8" w:rsidRDefault="00C858F6" w:rsidP="00C858F6">
      <w:pPr>
        <w:pStyle w:val="SingleTxtG"/>
        <w:ind w:left="2268"/>
        <w:rPr>
          <w:lang w:val="fr-FR"/>
        </w:rPr>
      </w:pPr>
      <w:r w:rsidRPr="00A779B8">
        <w:rPr>
          <w:lang w:val="fr-FR"/>
        </w:rPr>
        <w:t>L</w:t>
      </w:r>
      <w:r w:rsidR="00DB4C2D">
        <w:rPr>
          <w:lang w:val="fr-FR"/>
        </w:rPr>
        <w:t>’</w:t>
      </w:r>
      <w:r w:rsidRPr="00A779B8">
        <w:rPr>
          <w:lang w:val="fr-FR"/>
        </w:rPr>
        <w:t>appareillage doit être identique à celui utilisé pour l</w:t>
      </w:r>
      <w:r w:rsidR="00DB4C2D">
        <w:rPr>
          <w:lang w:val="fr-FR"/>
        </w:rPr>
        <w:t>’</w:t>
      </w:r>
      <w:r w:rsidRPr="00A779B8">
        <w:rPr>
          <w:lang w:val="fr-FR"/>
        </w:rPr>
        <w:t>essai sur piste.</w:t>
      </w:r>
    </w:p>
    <w:p w:rsidR="00C858F6" w:rsidRPr="00A779B8" w:rsidRDefault="00C858F6" w:rsidP="00C858F6">
      <w:pPr>
        <w:pStyle w:val="SingleTxtG"/>
        <w:ind w:left="2268" w:hanging="1134"/>
        <w:rPr>
          <w:lang w:val="fr-FR"/>
        </w:rPr>
      </w:pPr>
      <w:r w:rsidRPr="00A779B8">
        <w:rPr>
          <w:lang w:val="fr-FR"/>
        </w:rPr>
        <w:t>5.2.2.2</w:t>
      </w:r>
      <w:r w:rsidRPr="00A779B8">
        <w:rPr>
          <w:lang w:val="fr-FR"/>
        </w:rPr>
        <w:tab/>
        <w:t>Procédure d</w:t>
      </w:r>
      <w:r w:rsidR="00DB4C2D">
        <w:rPr>
          <w:lang w:val="fr-FR"/>
        </w:rPr>
        <w:t>’</w:t>
      </w:r>
      <w:r w:rsidRPr="00A779B8">
        <w:rPr>
          <w:lang w:val="fr-FR"/>
        </w:rPr>
        <w:t>essai</w:t>
      </w:r>
    </w:p>
    <w:p w:rsidR="00C858F6" w:rsidRPr="00A779B8" w:rsidRDefault="00C858F6" w:rsidP="00C858F6">
      <w:pPr>
        <w:pStyle w:val="SingleTxtG"/>
        <w:ind w:left="2268" w:hanging="1134"/>
        <w:rPr>
          <w:lang w:val="fr-FR"/>
        </w:rPr>
      </w:pPr>
      <w:r w:rsidRPr="00A779B8">
        <w:rPr>
          <w:lang w:val="fr-FR"/>
        </w:rPr>
        <w:t>5.2.2.2.1</w:t>
      </w:r>
      <w:r w:rsidRPr="00A779B8">
        <w:rPr>
          <w:lang w:val="fr-FR"/>
        </w:rPr>
        <w:tab/>
        <w:t>Exécuter les opérations décrites aux paragraphes 5.1.2.2.1 à 5.1.2.2.4 du présent appendice.</w:t>
      </w:r>
    </w:p>
    <w:p w:rsidR="00C858F6" w:rsidRPr="00A779B8" w:rsidRDefault="00C858F6" w:rsidP="00C858F6">
      <w:pPr>
        <w:pStyle w:val="SingleTxtG"/>
        <w:ind w:left="2268" w:hanging="1134"/>
        <w:rPr>
          <w:lang w:val="fr-FR"/>
        </w:rPr>
      </w:pPr>
      <w:r w:rsidRPr="00A779B8">
        <w:rPr>
          <w:lang w:val="fr-FR"/>
        </w:rPr>
        <w:t>5.2.2.2.2</w:t>
      </w:r>
      <w:r w:rsidRPr="00A779B8">
        <w:rPr>
          <w:lang w:val="fr-FR"/>
        </w:rPr>
        <w:tab/>
        <w:t>Exécuter les opérations décrites aux paragraphes 5.2.1.2.1 à 5.2.1.2.4 du présent appendice.</w:t>
      </w:r>
    </w:p>
    <w:p w:rsidR="00C858F6" w:rsidRPr="00A779B8" w:rsidRDefault="00C858F6" w:rsidP="00C858F6">
      <w:pPr>
        <w:pStyle w:val="SingleTxtG"/>
        <w:ind w:left="2268" w:hanging="1134"/>
        <w:rPr>
          <w:lang w:val="fr-FR"/>
        </w:rPr>
      </w:pPr>
      <w:r w:rsidRPr="00A779B8">
        <w:rPr>
          <w:lang w:val="fr-FR"/>
        </w:rPr>
        <w:t>5.2.2.2.3</w:t>
      </w:r>
      <w:r w:rsidRPr="00A779B8">
        <w:rPr>
          <w:lang w:val="fr-FR"/>
        </w:rPr>
        <w:tab/>
        <w:t>Régler le frein de manière à reproduire le couple total moyen sur piste corrigé indiqué au paragraphe 5.2.1.2.7</w:t>
      </w:r>
      <w:r>
        <w:rPr>
          <w:lang w:val="fr-FR"/>
        </w:rPr>
        <w:t xml:space="preserve"> du présent appendice</w:t>
      </w:r>
      <w:r w:rsidRPr="00A779B8">
        <w:rPr>
          <w:lang w:val="fr-FR"/>
        </w:rPr>
        <w:t>.</w:t>
      </w:r>
    </w:p>
    <w:p w:rsidR="00C858F6" w:rsidRDefault="00C858F6" w:rsidP="00C858F6">
      <w:pPr>
        <w:pStyle w:val="SingleTxtG"/>
        <w:ind w:left="2268" w:hanging="1134"/>
        <w:rPr>
          <w:lang w:val="fr-FR"/>
        </w:rPr>
      </w:pPr>
      <w:r w:rsidRPr="00A779B8">
        <w:rPr>
          <w:lang w:val="fr-FR"/>
        </w:rPr>
        <w:t>5.2.2.2.4</w:t>
      </w:r>
      <w:r w:rsidRPr="00A779B8">
        <w:rPr>
          <w:lang w:val="fr-FR"/>
        </w:rPr>
        <w:tab/>
        <w:t>Exécuter aux mêmes fins les opérations décrites au paragraphe 5.1.2.2.7 du présent appendice.</w:t>
      </w:r>
    </w:p>
    <w:p w:rsidR="00C858F6" w:rsidRDefault="00C858F6" w:rsidP="00C858F6">
      <w:pPr>
        <w:pStyle w:val="SingleTxtG"/>
        <w:ind w:left="2268" w:hanging="1134"/>
        <w:sectPr w:rsidR="00C858F6" w:rsidSect="00C108AC">
          <w:headerReference w:type="even" r:id="rId213"/>
          <w:headerReference w:type="default" r:id="rId214"/>
          <w:footnotePr>
            <w:numRestart w:val="eachSect"/>
          </w:footnotePr>
          <w:endnotePr>
            <w:numFmt w:val="decimal"/>
          </w:endnotePr>
          <w:pgSz w:w="11907" w:h="16840" w:code="9"/>
          <w:pgMar w:top="1701" w:right="1134" w:bottom="2268" w:left="1134" w:header="794" w:footer="1701" w:gutter="0"/>
          <w:cols w:space="720"/>
          <w:docGrid w:linePitch="272"/>
        </w:sectPr>
      </w:pPr>
    </w:p>
    <w:p w:rsidR="00113E9F" w:rsidRPr="00A779B8" w:rsidRDefault="00113E9F" w:rsidP="00113E9F">
      <w:pPr>
        <w:pStyle w:val="HChG"/>
        <w:rPr>
          <w:lang w:val="fr-FR"/>
        </w:rPr>
      </w:pPr>
      <w:r w:rsidRPr="00A779B8">
        <w:rPr>
          <w:lang w:val="fr-FR"/>
        </w:rPr>
        <w:lastRenderedPageBreak/>
        <w:t>Annexe 5</w:t>
      </w:r>
    </w:p>
    <w:p w:rsidR="00113E9F" w:rsidRPr="00A779B8" w:rsidRDefault="00113E9F" w:rsidP="00113E9F">
      <w:pPr>
        <w:pStyle w:val="HChG"/>
        <w:spacing w:after="200"/>
        <w:rPr>
          <w:lang w:val="fr-FR"/>
        </w:rPr>
      </w:pPr>
      <w:r w:rsidRPr="00A779B8">
        <w:rPr>
          <w:lang w:val="fr-FR"/>
        </w:rPr>
        <w:tab/>
      </w:r>
      <w:r w:rsidRPr="00A779B8">
        <w:rPr>
          <w:lang w:val="fr-FR"/>
        </w:rPr>
        <w:tab/>
        <w:t>Essai du type II</w:t>
      </w:r>
    </w:p>
    <w:p w:rsidR="00113E9F" w:rsidRPr="00A779B8" w:rsidRDefault="00113E9F" w:rsidP="00113E9F">
      <w:pPr>
        <w:pStyle w:val="SingleTxtG"/>
        <w:rPr>
          <w:lang w:val="fr-FR"/>
        </w:rPr>
      </w:pPr>
      <w:r w:rsidRPr="00A779B8">
        <w:rPr>
          <w:lang w:val="fr-FR"/>
        </w:rPr>
        <w:t>(Contrôle des émissions de monoxyde de carbone au régime de ralenti)</w:t>
      </w:r>
    </w:p>
    <w:p w:rsidR="00113E9F" w:rsidRPr="00A779B8" w:rsidRDefault="00113E9F" w:rsidP="00113E9F">
      <w:pPr>
        <w:pStyle w:val="SingleTxtG"/>
        <w:keepNext/>
        <w:ind w:left="2268" w:hanging="1134"/>
        <w:rPr>
          <w:lang w:val="fr-FR"/>
        </w:rPr>
      </w:pPr>
      <w:r w:rsidRPr="00A779B8">
        <w:rPr>
          <w:lang w:val="fr-FR"/>
        </w:rPr>
        <w:t>1.</w:t>
      </w:r>
      <w:r w:rsidRPr="00A779B8">
        <w:rPr>
          <w:lang w:val="fr-FR"/>
        </w:rPr>
        <w:tab/>
        <w:t>Introduction</w:t>
      </w:r>
    </w:p>
    <w:p w:rsidR="00113E9F" w:rsidRPr="00A779B8" w:rsidRDefault="00113E9F" w:rsidP="00113E9F">
      <w:pPr>
        <w:pStyle w:val="SingleTxtG"/>
        <w:ind w:left="2268"/>
        <w:rPr>
          <w:lang w:val="fr-FR"/>
        </w:rPr>
      </w:pPr>
      <w:r w:rsidRPr="00A779B8">
        <w:rPr>
          <w:lang w:val="fr-FR"/>
        </w:rPr>
        <w:tab/>
        <w:t>La présente annexe décrit la méthode à suivre pour conduire l</w:t>
      </w:r>
      <w:r w:rsidR="00DB4C2D">
        <w:rPr>
          <w:lang w:val="fr-FR"/>
        </w:rPr>
        <w:t>’</w:t>
      </w:r>
      <w:r w:rsidRPr="00A779B8">
        <w:rPr>
          <w:lang w:val="fr-FR"/>
        </w:rPr>
        <w:t>essai du type II défini au paragraphe 5.3.2 du présent Règlement.</w:t>
      </w:r>
    </w:p>
    <w:p w:rsidR="00113E9F" w:rsidRPr="00A779B8" w:rsidRDefault="00113E9F" w:rsidP="00113E9F">
      <w:pPr>
        <w:pStyle w:val="SingleTxtG"/>
        <w:keepNext/>
        <w:ind w:left="2268" w:hanging="1134"/>
        <w:rPr>
          <w:lang w:val="fr-FR"/>
        </w:rPr>
      </w:pPr>
      <w:r w:rsidRPr="00A779B8">
        <w:rPr>
          <w:lang w:val="fr-FR"/>
        </w:rPr>
        <w:t>2.</w:t>
      </w:r>
      <w:r w:rsidRPr="00A779B8">
        <w:rPr>
          <w:lang w:val="fr-FR"/>
        </w:rPr>
        <w:tab/>
        <w:t>Conditions de mesure</w:t>
      </w:r>
    </w:p>
    <w:p w:rsidR="00113E9F" w:rsidRPr="00A779B8" w:rsidRDefault="00113E9F" w:rsidP="00113E9F">
      <w:pPr>
        <w:pStyle w:val="SingleTxtG"/>
        <w:ind w:left="2268" w:hanging="1134"/>
        <w:rPr>
          <w:lang w:val="fr-FR"/>
        </w:rPr>
      </w:pPr>
      <w:r w:rsidRPr="00A779B8">
        <w:rPr>
          <w:lang w:val="fr-FR"/>
        </w:rPr>
        <w:t>2.1</w:t>
      </w:r>
      <w:r w:rsidRPr="00A779B8">
        <w:rPr>
          <w:lang w:val="fr-FR"/>
        </w:rPr>
        <w:tab/>
        <w:t>Le carburant est le carburant de référence dont les caractéristiques sont données aux annexes 10 et 10a du présent Règlement.</w:t>
      </w:r>
    </w:p>
    <w:p w:rsidR="00113E9F" w:rsidRPr="00A779B8" w:rsidRDefault="00113E9F" w:rsidP="00113E9F">
      <w:pPr>
        <w:pStyle w:val="SingleTxtG"/>
        <w:ind w:left="2268" w:hanging="1134"/>
        <w:rPr>
          <w:lang w:val="fr-FR"/>
        </w:rPr>
      </w:pPr>
      <w:r w:rsidRPr="00A779B8">
        <w:rPr>
          <w:lang w:val="fr-FR"/>
        </w:rPr>
        <w:t>2.2</w:t>
      </w:r>
      <w:r w:rsidRPr="00A779B8">
        <w:rPr>
          <w:lang w:val="fr-FR"/>
        </w:rPr>
        <w:tab/>
        <w:t>Pendant l</w:t>
      </w:r>
      <w:r w:rsidR="00DB4C2D">
        <w:rPr>
          <w:lang w:val="fr-FR"/>
        </w:rPr>
        <w:t>’</w:t>
      </w:r>
      <w:r w:rsidRPr="00A779B8">
        <w:rPr>
          <w:lang w:val="fr-FR"/>
        </w:rPr>
        <w:t>essai, la température ambiante doit être comprise entre 293 et 303 K (20 °C et 30 °C). Le moteur est échauffé jusqu</w:t>
      </w:r>
      <w:r w:rsidR="00DB4C2D">
        <w:rPr>
          <w:lang w:val="fr-FR"/>
        </w:rPr>
        <w:t>’</w:t>
      </w:r>
      <w:r w:rsidRPr="00A779B8">
        <w:rPr>
          <w:lang w:val="fr-FR"/>
        </w:rPr>
        <w:t>à ce que les températures des fluides de refroidissement et de lubrification ainsi que la pression du lubrifiant aient atteint leur point d</w:t>
      </w:r>
      <w:r w:rsidR="00DB4C2D">
        <w:rPr>
          <w:lang w:val="fr-FR"/>
        </w:rPr>
        <w:t>’</w:t>
      </w:r>
      <w:r w:rsidRPr="00A779B8">
        <w:rPr>
          <w:lang w:val="fr-FR"/>
        </w:rPr>
        <w:t>équilibre.</w:t>
      </w:r>
    </w:p>
    <w:p w:rsidR="00113E9F" w:rsidRPr="00A779B8" w:rsidRDefault="00113E9F" w:rsidP="00113E9F">
      <w:pPr>
        <w:pStyle w:val="SingleTxtG"/>
        <w:ind w:left="2268" w:hanging="1134"/>
        <w:rPr>
          <w:lang w:val="fr-FR"/>
        </w:rPr>
      </w:pPr>
      <w:r w:rsidRPr="00A779B8">
        <w:rPr>
          <w:lang w:val="fr-FR"/>
        </w:rPr>
        <w:t>2.2.1</w:t>
      </w:r>
      <w:r w:rsidRPr="00A779B8">
        <w:rPr>
          <w:lang w:val="fr-FR"/>
        </w:rPr>
        <w:tab/>
        <w:t>Les véhicules qui fonctionnent soit à l</w:t>
      </w:r>
      <w:r w:rsidR="00DB4C2D">
        <w:rPr>
          <w:lang w:val="fr-FR"/>
        </w:rPr>
        <w:t>’</w:t>
      </w:r>
      <w:r w:rsidRPr="00A779B8">
        <w:rPr>
          <w:lang w:val="fr-FR"/>
        </w:rPr>
        <w:t>essence soit au GPL ou au GN/</w:t>
      </w:r>
      <w:proofErr w:type="spellStart"/>
      <w:r w:rsidRPr="00A779B8">
        <w:rPr>
          <w:lang w:val="fr-FR"/>
        </w:rPr>
        <w:t>biométhane</w:t>
      </w:r>
      <w:proofErr w:type="spellEnd"/>
      <w:r w:rsidRPr="00A779B8">
        <w:rPr>
          <w:lang w:val="fr-FR"/>
        </w:rPr>
        <w:t xml:space="preserve"> doivent être testés avec le (ou les) carburant(s) de référence utilisé(s) pour l</w:t>
      </w:r>
      <w:r w:rsidR="00DB4C2D">
        <w:rPr>
          <w:lang w:val="fr-FR"/>
        </w:rPr>
        <w:t>’</w:t>
      </w:r>
      <w:r w:rsidRPr="00A779B8">
        <w:rPr>
          <w:lang w:val="fr-FR"/>
        </w:rPr>
        <w:t>essai du type I.</w:t>
      </w:r>
    </w:p>
    <w:p w:rsidR="00113E9F" w:rsidRPr="00A779B8" w:rsidRDefault="00113E9F" w:rsidP="00113E9F">
      <w:pPr>
        <w:pStyle w:val="SingleTxtG"/>
        <w:ind w:left="2268" w:hanging="1134"/>
        <w:rPr>
          <w:lang w:val="fr-FR"/>
        </w:rPr>
      </w:pPr>
      <w:r w:rsidRPr="00A779B8">
        <w:rPr>
          <w:lang w:val="fr-FR"/>
        </w:rPr>
        <w:t>2.3</w:t>
      </w:r>
      <w:r w:rsidRPr="00A779B8">
        <w:rPr>
          <w:lang w:val="fr-FR"/>
        </w:rPr>
        <w:tab/>
        <w:t>Pour les véhicules à boîte de vites</w:t>
      </w:r>
      <w:r w:rsidR="00FD2704">
        <w:rPr>
          <w:lang w:val="fr-FR"/>
        </w:rPr>
        <w:t>ses à commande manuelle ou semi</w:t>
      </w:r>
      <w:r w:rsidR="00FD2704">
        <w:rPr>
          <w:lang w:val="fr-FR"/>
        </w:rPr>
        <w:noBreakHyphen/>
      </w:r>
      <w:r w:rsidRPr="00A779B8">
        <w:rPr>
          <w:lang w:val="fr-FR"/>
        </w:rPr>
        <w:t>automatique, l</w:t>
      </w:r>
      <w:r w:rsidR="00DB4C2D">
        <w:rPr>
          <w:lang w:val="fr-FR"/>
        </w:rPr>
        <w:t>’</w:t>
      </w:r>
      <w:r w:rsidRPr="00A779B8">
        <w:rPr>
          <w:lang w:val="fr-FR"/>
        </w:rPr>
        <w:t>essai doit être effectué en position boîte au point mort, embrayage embrayé.</w:t>
      </w:r>
    </w:p>
    <w:p w:rsidR="00113E9F" w:rsidRPr="00A779B8" w:rsidRDefault="00113E9F" w:rsidP="00113E9F">
      <w:pPr>
        <w:pStyle w:val="SingleTxtG"/>
        <w:ind w:left="2268" w:hanging="1134"/>
        <w:rPr>
          <w:lang w:val="fr-FR"/>
        </w:rPr>
      </w:pPr>
      <w:r w:rsidRPr="00A779B8">
        <w:rPr>
          <w:lang w:val="fr-FR"/>
        </w:rPr>
        <w:t>2.4</w:t>
      </w:r>
      <w:r w:rsidRPr="00A779B8">
        <w:rPr>
          <w:lang w:val="fr-FR"/>
        </w:rPr>
        <w:tab/>
        <w:t>Pour les véhicules à transmission automatique, l</w:t>
      </w:r>
      <w:r w:rsidR="00DB4C2D">
        <w:rPr>
          <w:lang w:val="fr-FR"/>
        </w:rPr>
        <w:t>’</w:t>
      </w:r>
      <w:r w:rsidRPr="00A779B8">
        <w:rPr>
          <w:lang w:val="fr-FR"/>
        </w:rPr>
        <w:t>essai doit être effectué avec le sélecteur en position «point mort» ou «stationnement».</w:t>
      </w:r>
    </w:p>
    <w:p w:rsidR="00113E9F" w:rsidRPr="00A779B8" w:rsidRDefault="00113E9F" w:rsidP="00113E9F">
      <w:pPr>
        <w:pStyle w:val="SingleTxtG"/>
        <w:keepNext/>
        <w:ind w:left="2268" w:hanging="1134"/>
        <w:jc w:val="left"/>
        <w:rPr>
          <w:lang w:val="fr-FR"/>
        </w:rPr>
      </w:pPr>
      <w:r w:rsidRPr="00A779B8">
        <w:rPr>
          <w:lang w:val="fr-FR"/>
        </w:rPr>
        <w:t>2.5</w:t>
      </w:r>
      <w:r w:rsidRPr="00A779B8">
        <w:rPr>
          <w:lang w:val="fr-FR"/>
        </w:rPr>
        <w:tab/>
        <w:t>Organes de réglage du ralenti</w:t>
      </w:r>
    </w:p>
    <w:p w:rsidR="00113E9F" w:rsidRPr="00A779B8" w:rsidRDefault="00113E9F" w:rsidP="00113E9F">
      <w:pPr>
        <w:pStyle w:val="SingleTxtG"/>
        <w:keepNext/>
        <w:ind w:left="2268" w:hanging="1134"/>
        <w:jc w:val="left"/>
        <w:rPr>
          <w:lang w:val="fr-FR"/>
        </w:rPr>
      </w:pPr>
      <w:r w:rsidRPr="00A779B8">
        <w:rPr>
          <w:lang w:val="fr-FR"/>
        </w:rPr>
        <w:t>2.5.1</w:t>
      </w:r>
      <w:r w:rsidRPr="00A779B8">
        <w:rPr>
          <w:lang w:val="fr-FR"/>
        </w:rPr>
        <w:tab/>
        <w:t>Définition</w:t>
      </w:r>
    </w:p>
    <w:p w:rsidR="00113E9F" w:rsidRPr="00A779B8" w:rsidRDefault="00113E9F" w:rsidP="00113E9F">
      <w:pPr>
        <w:pStyle w:val="SingleTxtG"/>
        <w:ind w:left="2268"/>
        <w:rPr>
          <w:lang w:val="fr-FR"/>
        </w:rPr>
      </w:pPr>
      <w:r w:rsidRPr="00A779B8">
        <w:rPr>
          <w:lang w:val="fr-FR"/>
        </w:rPr>
        <w:tab/>
        <w:t>Au sens du présent Règlement, on entend par «</w:t>
      </w:r>
      <w:r w:rsidRPr="00A779B8">
        <w:rPr>
          <w:i/>
          <w:lang w:val="fr-FR"/>
        </w:rPr>
        <w:t>organes de réglage du ralenti</w:t>
      </w:r>
      <w:r w:rsidRPr="00A779B8">
        <w:rPr>
          <w:lang w:val="fr-FR"/>
        </w:rPr>
        <w:t>», les organes permettant de modifier les conditions de marche au ralenti du moteur et susceptibles d</w:t>
      </w:r>
      <w:r w:rsidR="00DB4C2D">
        <w:rPr>
          <w:lang w:val="fr-FR"/>
        </w:rPr>
        <w:t>’</w:t>
      </w:r>
      <w:r w:rsidRPr="00A779B8">
        <w:rPr>
          <w:lang w:val="fr-FR"/>
        </w:rPr>
        <w:t>être manœuvrés aisément par un opérateur n</w:t>
      </w:r>
      <w:r w:rsidR="00DB4C2D">
        <w:rPr>
          <w:lang w:val="fr-FR"/>
        </w:rPr>
        <w:t>’</w:t>
      </w:r>
      <w:r w:rsidRPr="00A779B8">
        <w:rPr>
          <w:lang w:val="fr-FR"/>
        </w:rPr>
        <w:t>utilisant que les outils énumérés au paragraphe 2.5.1.1 de la présente annexe. Ne sont donc pas considérés, en particulier, comme organes de réglage, les dispositifs de calibrage des débits de carburant et d</w:t>
      </w:r>
      <w:r w:rsidR="00DB4C2D">
        <w:rPr>
          <w:lang w:val="fr-FR"/>
        </w:rPr>
        <w:t>’</w:t>
      </w:r>
      <w:r w:rsidRPr="00A779B8">
        <w:rPr>
          <w:lang w:val="fr-FR"/>
        </w:rPr>
        <w:t>air, pour autant que leur manœuvre nécessite l</w:t>
      </w:r>
      <w:r w:rsidR="00DB4C2D">
        <w:rPr>
          <w:lang w:val="fr-FR"/>
        </w:rPr>
        <w:t>’</w:t>
      </w:r>
      <w:r w:rsidRPr="00A779B8">
        <w:rPr>
          <w:lang w:val="fr-FR"/>
        </w:rPr>
        <w:t>enlèvement des témoins de blocage, qui interdisent normalement toute intervention autre que celle d</w:t>
      </w:r>
      <w:r w:rsidR="00DB4C2D">
        <w:rPr>
          <w:lang w:val="fr-FR"/>
        </w:rPr>
        <w:t>’</w:t>
      </w:r>
      <w:r w:rsidRPr="00A779B8">
        <w:rPr>
          <w:lang w:val="fr-FR"/>
        </w:rPr>
        <w:t>un opérateur professionnel.</w:t>
      </w:r>
    </w:p>
    <w:p w:rsidR="00113E9F" w:rsidRPr="00A779B8" w:rsidRDefault="00113E9F" w:rsidP="00113E9F">
      <w:pPr>
        <w:pStyle w:val="SingleTxtG"/>
        <w:ind w:left="2268" w:hanging="1134"/>
        <w:rPr>
          <w:lang w:val="fr-FR"/>
        </w:rPr>
      </w:pPr>
      <w:r w:rsidRPr="00A779B8">
        <w:rPr>
          <w:lang w:val="fr-FR"/>
        </w:rPr>
        <w:t>2.5.1.1</w:t>
      </w:r>
      <w:r w:rsidRPr="00A779B8">
        <w:rPr>
          <w:lang w:val="fr-FR"/>
        </w:rPr>
        <w:tab/>
        <w:t>Outils pouvant être utilisés pour la manœuvre des organes de réglage du ralenti: tournevis (ordinaire ou cruciforme), clefs (à œil, plate ou réglable), pinces, clefs Allen.</w:t>
      </w:r>
    </w:p>
    <w:p w:rsidR="00113E9F" w:rsidRPr="00A779B8" w:rsidRDefault="00113E9F" w:rsidP="00113E9F">
      <w:pPr>
        <w:pStyle w:val="SingleTxtG"/>
        <w:keepNext/>
        <w:ind w:left="2268" w:hanging="1134"/>
        <w:jc w:val="left"/>
        <w:rPr>
          <w:lang w:val="fr-FR"/>
        </w:rPr>
      </w:pPr>
      <w:r w:rsidRPr="00A779B8">
        <w:rPr>
          <w:lang w:val="fr-FR"/>
        </w:rPr>
        <w:t>2.5.2</w:t>
      </w:r>
      <w:r w:rsidRPr="00A779B8">
        <w:rPr>
          <w:lang w:val="fr-FR"/>
        </w:rPr>
        <w:tab/>
        <w:t>Détermination des points de mesure</w:t>
      </w:r>
    </w:p>
    <w:p w:rsidR="00113E9F" w:rsidRPr="00A779B8" w:rsidRDefault="00113E9F" w:rsidP="00113E9F">
      <w:pPr>
        <w:pStyle w:val="SingleTxtG"/>
        <w:ind w:left="2268" w:hanging="1134"/>
        <w:rPr>
          <w:lang w:val="fr-FR"/>
        </w:rPr>
      </w:pPr>
      <w:r w:rsidRPr="00A779B8">
        <w:rPr>
          <w:lang w:val="fr-FR"/>
        </w:rPr>
        <w:t>2.5.2.1</w:t>
      </w:r>
      <w:r w:rsidRPr="00A779B8">
        <w:rPr>
          <w:lang w:val="fr-FR"/>
        </w:rPr>
        <w:tab/>
        <w:t>On procède en premier lieu à une mesure dans les conditions de réglage fixées par le fabricant.</w:t>
      </w:r>
    </w:p>
    <w:p w:rsidR="00113E9F" w:rsidRPr="00A779B8" w:rsidRDefault="00113E9F" w:rsidP="00113E9F">
      <w:pPr>
        <w:pStyle w:val="SingleTxtG"/>
        <w:ind w:left="2268" w:hanging="1134"/>
        <w:rPr>
          <w:lang w:val="fr-FR"/>
        </w:rPr>
      </w:pPr>
      <w:r w:rsidRPr="00A779B8">
        <w:rPr>
          <w:lang w:val="fr-FR"/>
        </w:rPr>
        <w:t>2.5.2.2</w:t>
      </w:r>
      <w:r w:rsidRPr="00A779B8">
        <w:rPr>
          <w:lang w:val="fr-FR"/>
        </w:rPr>
        <w:tab/>
        <w:t>Pour chaque organe de réglage dont la position peut varier de façon continue, on doit déterminer des positions caractéristiques en nombre suffisant.</w:t>
      </w:r>
    </w:p>
    <w:p w:rsidR="00113E9F" w:rsidRPr="00A779B8" w:rsidRDefault="00113E9F" w:rsidP="008A4759">
      <w:pPr>
        <w:pStyle w:val="SingleTxtG"/>
        <w:spacing w:line="220" w:lineRule="atLeast"/>
        <w:ind w:left="2268" w:hanging="1134"/>
        <w:rPr>
          <w:lang w:val="fr-FR"/>
        </w:rPr>
      </w:pPr>
      <w:r w:rsidRPr="00A779B8">
        <w:rPr>
          <w:lang w:val="fr-FR"/>
        </w:rPr>
        <w:lastRenderedPageBreak/>
        <w:t>2.5.2.3</w:t>
      </w:r>
      <w:r w:rsidRPr="00A779B8">
        <w:rPr>
          <w:lang w:val="fr-FR"/>
        </w:rPr>
        <w:tab/>
        <w:t>La mesure de la teneur en monoxyde de carbone des gaz d</w:t>
      </w:r>
      <w:r w:rsidR="00DB4C2D">
        <w:rPr>
          <w:lang w:val="fr-FR"/>
        </w:rPr>
        <w:t>’</w:t>
      </w:r>
      <w:r w:rsidRPr="00A779B8">
        <w:rPr>
          <w:lang w:val="fr-FR"/>
        </w:rPr>
        <w:t>échappement doit être effectuée pour toutes les dispositions possibles des organes de réglage mais, pour les organes dont la position peut varier de façon continue, seules les positions définies au paragraphe 2.5.2.2 ci-dessus doivent être retenues.</w:t>
      </w:r>
    </w:p>
    <w:p w:rsidR="00113E9F" w:rsidRPr="00A779B8" w:rsidRDefault="00113E9F" w:rsidP="008A4759">
      <w:pPr>
        <w:pStyle w:val="SingleTxtG"/>
        <w:spacing w:line="220" w:lineRule="atLeast"/>
        <w:ind w:left="2268" w:hanging="1134"/>
        <w:rPr>
          <w:lang w:val="fr-FR"/>
        </w:rPr>
      </w:pPr>
      <w:r w:rsidRPr="00A779B8">
        <w:rPr>
          <w:lang w:val="fr-FR"/>
        </w:rPr>
        <w:t>2.5.2.4</w:t>
      </w:r>
      <w:r w:rsidRPr="00A779B8">
        <w:rPr>
          <w:lang w:val="fr-FR"/>
        </w:rPr>
        <w:tab/>
        <w:t>L</w:t>
      </w:r>
      <w:r w:rsidR="00DB4C2D">
        <w:rPr>
          <w:lang w:val="fr-FR"/>
        </w:rPr>
        <w:t>’</w:t>
      </w:r>
      <w:r w:rsidRPr="00A779B8">
        <w:rPr>
          <w:lang w:val="fr-FR"/>
        </w:rPr>
        <w:t>essai du type II doit être considéré comme satisfaisant si l</w:t>
      </w:r>
      <w:r w:rsidR="00DB4C2D">
        <w:rPr>
          <w:lang w:val="fr-FR"/>
        </w:rPr>
        <w:t>’</w:t>
      </w:r>
      <w:r w:rsidRPr="00A779B8">
        <w:rPr>
          <w:lang w:val="fr-FR"/>
        </w:rPr>
        <w:t>une ou l</w:t>
      </w:r>
      <w:r w:rsidR="00DB4C2D">
        <w:rPr>
          <w:lang w:val="fr-FR"/>
        </w:rPr>
        <w:t>’</w:t>
      </w:r>
      <w:r w:rsidRPr="00A779B8">
        <w:rPr>
          <w:lang w:val="fr-FR"/>
        </w:rPr>
        <w:t>autre des conditions ci-dessous est remplie:</w:t>
      </w:r>
    </w:p>
    <w:p w:rsidR="00113E9F" w:rsidRPr="00A779B8" w:rsidRDefault="00113E9F" w:rsidP="008A4759">
      <w:pPr>
        <w:pStyle w:val="SingleTxtG"/>
        <w:spacing w:line="220" w:lineRule="atLeast"/>
        <w:ind w:left="2268" w:hanging="1134"/>
        <w:rPr>
          <w:lang w:val="fr-FR"/>
        </w:rPr>
      </w:pPr>
      <w:r w:rsidRPr="00A779B8">
        <w:rPr>
          <w:lang w:val="fr-FR"/>
        </w:rPr>
        <w:t>2.5.2.4.1</w:t>
      </w:r>
      <w:r w:rsidRPr="00A779B8">
        <w:rPr>
          <w:lang w:val="fr-FR"/>
        </w:rPr>
        <w:tab/>
        <w:t>Aucune des valeurs mesurées conformément</w:t>
      </w:r>
      <w:r w:rsidR="00276BD8">
        <w:rPr>
          <w:lang w:val="fr-FR"/>
        </w:rPr>
        <w:t xml:space="preserve"> aux dispositions du paragraphe </w:t>
      </w:r>
      <w:r w:rsidRPr="00A779B8">
        <w:rPr>
          <w:lang w:val="fr-FR"/>
        </w:rPr>
        <w:t>2.5.2.3 ci-dessus ne dépasse la valeur limite;</w:t>
      </w:r>
    </w:p>
    <w:p w:rsidR="00113E9F" w:rsidRPr="00A779B8" w:rsidRDefault="00113E9F" w:rsidP="008A4759">
      <w:pPr>
        <w:pStyle w:val="SingleTxtG"/>
        <w:spacing w:line="220" w:lineRule="atLeast"/>
        <w:ind w:left="2268" w:hanging="1134"/>
        <w:rPr>
          <w:lang w:val="fr-FR"/>
        </w:rPr>
      </w:pPr>
      <w:r w:rsidRPr="00A779B8">
        <w:rPr>
          <w:lang w:val="fr-FR"/>
        </w:rPr>
        <w:t>2.5.2.4.2</w:t>
      </w:r>
      <w:r w:rsidRPr="00A779B8">
        <w:rPr>
          <w:lang w:val="fr-FR"/>
        </w:rPr>
        <w:tab/>
        <w:t>La teneur maximale obtenue, lorsqu</w:t>
      </w:r>
      <w:r w:rsidR="00DB4C2D">
        <w:rPr>
          <w:lang w:val="fr-FR"/>
        </w:rPr>
        <w:t>’</w:t>
      </w:r>
      <w:r w:rsidRPr="00A779B8">
        <w:rPr>
          <w:lang w:val="fr-FR"/>
        </w:rPr>
        <w:t>on fait varier de façon continue la position d</w:t>
      </w:r>
      <w:r w:rsidR="00DB4C2D">
        <w:rPr>
          <w:lang w:val="fr-FR"/>
        </w:rPr>
        <w:t>’</w:t>
      </w:r>
      <w:r w:rsidRPr="00A779B8">
        <w:rPr>
          <w:lang w:val="fr-FR"/>
        </w:rPr>
        <w:t>un des organes de réglage, les autres organes étant maintenus fixes, ne dépasse pas la valeur limite, cette condition étant satisfaite pour les différentes configurations des organes de réglage autres que celui dont on a fait varier de façon continue la position.</w:t>
      </w:r>
    </w:p>
    <w:p w:rsidR="00113E9F" w:rsidRPr="00A779B8" w:rsidRDefault="00113E9F" w:rsidP="008A4759">
      <w:pPr>
        <w:pStyle w:val="SingleTxtG"/>
        <w:keepNext/>
        <w:spacing w:line="220" w:lineRule="atLeast"/>
        <w:ind w:left="2268" w:hanging="1134"/>
        <w:jc w:val="left"/>
        <w:rPr>
          <w:lang w:val="fr-FR"/>
        </w:rPr>
      </w:pPr>
      <w:r w:rsidRPr="00A779B8">
        <w:rPr>
          <w:lang w:val="fr-FR"/>
        </w:rPr>
        <w:t>2.5.2.5</w:t>
      </w:r>
      <w:r w:rsidRPr="00A779B8">
        <w:rPr>
          <w:lang w:val="fr-FR"/>
        </w:rPr>
        <w:tab/>
        <w:t>Les positions possibles des organes de réglage sont limitées:</w:t>
      </w:r>
    </w:p>
    <w:p w:rsidR="00113E9F" w:rsidRPr="00A779B8" w:rsidRDefault="00113E9F" w:rsidP="008A4759">
      <w:pPr>
        <w:pStyle w:val="SingleTxtG"/>
        <w:spacing w:line="220" w:lineRule="atLeast"/>
        <w:ind w:left="2268" w:hanging="1134"/>
        <w:rPr>
          <w:lang w:val="fr-FR"/>
        </w:rPr>
      </w:pPr>
      <w:r w:rsidRPr="00A779B8">
        <w:rPr>
          <w:lang w:val="fr-FR"/>
        </w:rPr>
        <w:t>2.5.2.5.1</w:t>
      </w:r>
      <w:r w:rsidRPr="00A779B8">
        <w:rPr>
          <w:lang w:val="fr-FR"/>
        </w:rPr>
        <w:tab/>
        <w:t>D</w:t>
      </w:r>
      <w:r w:rsidR="00DB4C2D">
        <w:rPr>
          <w:lang w:val="fr-FR"/>
        </w:rPr>
        <w:t>’</w:t>
      </w:r>
      <w:r w:rsidRPr="00A779B8">
        <w:rPr>
          <w:lang w:val="fr-FR"/>
        </w:rPr>
        <w:t>un côté, par la plus grande des deux valeurs suivantes: la plus basse vitesse de rotation à laquelle le moteur peut tourner au ralenti, la vitesse de rotation recommandée par le constructeur moins 100 tr/min;</w:t>
      </w:r>
    </w:p>
    <w:p w:rsidR="00113E9F" w:rsidRPr="00A779B8" w:rsidRDefault="00113E9F" w:rsidP="008A4759">
      <w:pPr>
        <w:pStyle w:val="SingleTxtG"/>
        <w:keepNext/>
        <w:spacing w:line="220" w:lineRule="atLeast"/>
        <w:ind w:left="2268" w:hanging="1134"/>
        <w:jc w:val="left"/>
        <w:rPr>
          <w:lang w:val="fr-FR"/>
        </w:rPr>
      </w:pPr>
      <w:r w:rsidRPr="00A779B8">
        <w:rPr>
          <w:lang w:val="fr-FR"/>
        </w:rPr>
        <w:t>2.5.2.5.2</w:t>
      </w:r>
      <w:r w:rsidRPr="00A779B8">
        <w:rPr>
          <w:lang w:val="fr-FR"/>
        </w:rPr>
        <w:tab/>
        <w:t>De l</w:t>
      </w:r>
      <w:r w:rsidR="00DB4C2D">
        <w:rPr>
          <w:lang w:val="fr-FR"/>
        </w:rPr>
        <w:t>’</w:t>
      </w:r>
      <w:r w:rsidRPr="00A779B8">
        <w:rPr>
          <w:lang w:val="fr-FR"/>
        </w:rPr>
        <w:t>autre côté, par la plus petite des trois valeurs suivantes:</w:t>
      </w:r>
    </w:p>
    <w:p w:rsidR="00113E9F" w:rsidRPr="00A779B8" w:rsidRDefault="00113E9F" w:rsidP="008A4759">
      <w:pPr>
        <w:pStyle w:val="SingleTxtG"/>
        <w:spacing w:line="220" w:lineRule="atLeast"/>
        <w:ind w:left="2268"/>
        <w:rPr>
          <w:lang w:val="fr-FR"/>
        </w:rPr>
      </w:pPr>
      <w:r w:rsidRPr="00A779B8">
        <w:rPr>
          <w:lang w:val="fr-FR"/>
        </w:rPr>
        <w:tab/>
        <w:t>La plus grande vitesse de rotation à laquelle on peut faire tourner le moteur en agissant sur les organes de réglage du ralenti;</w:t>
      </w:r>
    </w:p>
    <w:p w:rsidR="00113E9F" w:rsidRPr="00A779B8" w:rsidRDefault="00113E9F" w:rsidP="008A4759">
      <w:pPr>
        <w:pStyle w:val="SingleTxtG"/>
        <w:spacing w:line="220" w:lineRule="atLeast"/>
        <w:ind w:left="2268"/>
        <w:rPr>
          <w:lang w:val="fr-FR"/>
        </w:rPr>
      </w:pPr>
      <w:r w:rsidRPr="00A779B8">
        <w:rPr>
          <w:lang w:val="fr-FR"/>
        </w:rPr>
        <w:tab/>
        <w:t>La vitesse de rotation recommandée par le constructeur plus 250 tr/min;</w:t>
      </w:r>
    </w:p>
    <w:p w:rsidR="00113E9F" w:rsidRPr="00A779B8" w:rsidRDefault="00113E9F" w:rsidP="008A4759">
      <w:pPr>
        <w:pStyle w:val="SingleTxtG"/>
        <w:spacing w:line="220" w:lineRule="atLeast"/>
        <w:ind w:left="2268"/>
        <w:rPr>
          <w:lang w:val="fr-FR"/>
        </w:rPr>
      </w:pPr>
      <w:r w:rsidRPr="00A779B8">
        <w:rPr>
          <w:lang w:val="fr-FR"/>
        </w:rPr>
        <w:tab/>
        <w:t>La vitesse de conjonction des embrayages automatiques.</w:t>
      </w:r>
    </w:p>
    <w:p w:rsidR="00113E9F" w:rsidRPr="00A779B8" w:rsidRDefault="00113E9F" w:rsidP="008A4759">
      <w:pPr>
        <w:pStyle w:val="SingleTxtG"/>
        <w:spacing w:line="220" w:lineRule="atLeast"/>
        <w:ind w:left="2268" w:hanging="1134"/>
        <w:rPr>
          <w:lang w:val="fr-FR"/>
        </w:rPr>
      </w:pPr>
      <w:r w:rsidRPr="00A779B8">
        <w:rPr>
          <w:lang w:val="fr-FR"/>
        </w:rPr>
        <w:t>2.5.2.6</w:t>
      </w:r>
      <w:r w:rsidRPr="00A779B8">
        <w:rPr>
          <w:lang w:val="fr-FR"/>
        </w:rPr>
        <w:tab/>
        <w:t>En outre, les positions de réglage incompatibles avec le fonctionnement correct du moteur ne doivent pas être retenues comme point de mesure. En particulier, lorsque le moteur est équipé de plusieurs carburateurs, tous les carburateurs doivent être dans la même position de réglage.</w:t>
      </w:r>
    </w:p>
    <w:p w:rsidR="00113E9F" w:rsidRPr="00A779B8" w:rsidRDefault="00113E9F" w:rsidP="008A4759">
      <w:pPr>
        <w:pStyle w:val="SingleTxtG"/>
        <w:keepNext/>
        <w:spacing w:line="220" w:lineRule="atLeast"/>
        <w:ind w:left="2268" w:hanging="1134"/>
        <w:jc w:val="left"/>
        <w:rPr>
          <w:lang w:val="fr-FR"/>
        </w:rPr>
      </w:pPr>
      <w:r w:rsidRPr="00A779B8">
        <w:rPr>
          <w:lang w:val="fr-FR"/>
        </w:rPr>
        <w:t>3.</w:t>
      </w:r>
      <w:r w:rsidRPr="00A779B8">
        <w:rPr>
          <w:lang w:val="fr-FR"/>
        </w:rPr>
        <w:tab/>
        <w:t>Prélèvement des gaz</w:t>
      </w:r>
    </w:p>
    <w:p w:rsidR="00113E9F" w:rsidRPr="00A779B8" w:rsidRDefault="00113E9F" w:rsidP="008A4759">
      <w:pPr>
        <w:pStyle w:val="SingleTxtG"/>
        <w:spacing w:line="220" w:lineRule="atLeast"/>
        <w:ind w:left="2268" w:hanging="1134"/>
        <w:rPr>
          <w:lang w:val="fr-FR"/>
        </w:rPr>
      </w:pPr>
      <w:r w:rsidRPr="00A779B8">
        <w:rPr>
          <w:lang w:val="fr-FR"/>
        </w:rPr>
        <w:t>3.1</w:t>
      </w:r>
      <w:r w:rsidRPr="00A779B8">
        <w:rPr>
          <w:lang w:val="fr-FR"/>
        </w:rPr>
        <w:tab/>
        <w:t>La sonde de prélèvement doit être placée à une profondeur minimale de 300 mm dans le tuyau d</w:t>
      </w:r>
      <w:r w:rsidR="00DB4C2D">
        <w:rPr>
          <w:lang w:val="fr-FR"/>
        </w:rPr>
        <w:t>’</w:t>
      </w:r>
      <w:r w:rsidRPr="00A779B8">
        <w:rPr>
          <w:lang w:val="fr-FR"/>
        </w:rPr>
        <w:t>échappement raccordant l</w:t>
      </w:r>
      <w:r w:rsidR="00DB4C2D">
        <w:rPr>
          <w:lang w:val="fr-FR"/>
        </w:rPr>
        <w:t>’</w:t>
      </w:r>
      <w:r w:rsidRPr="00A779B8">
        <w:rPr>
          <w:lang w:val="fr-FR"/>
        </w:rPr>
        <w:t>échappement du véhicule au sac et le plus près possible de l</w:t>
      </w:r>
      <w:r w:rsidR="00DB4C2D">
        <w:rPr>
          <w:lang w:val="fr-FR"/>
        </w:rPr>
        <w:t>’</w:t>
      </w:r>
      <w:r w:rsidRPr="00A779B8">
        <w:rPr>
          <w:lang w:val="fr-FR"/>
        </w:rPr>
        <w:t>échappement.</w:t>
      </w:r>
    </w:p>
    <w:p w:rsidR="00113E9F" w:rsidRPr="00A779B8" w:rsidRDefault="00113E9F" w:rsidP="008A4759">
      <w:pPr>
        <w:pStyle w:val="SingleTxtG"/>
        <w:spacing w:line="220" w:lineRule="atLeast"/>
        <w:ind w:left="2268" w:hanging="1134"/>
        <w:rPr>
          <w:lang w:val="fr-FR"/>
        </w:rPr>
      </w:pPr>
      <w:r w:rsidRPr="00A779B8">
        <w:rPr>
          <w:lang w:val="fr-FR"/>
        </w:rPr>
        <w:t>3.2</w:t>
      </w:r>
      <w:r w:rsidRPr="00A779B8">
        <w:rPr>
          <w:lang w:val="fr-FR"/>
        </w:rPr>
        <w:tab/>
        <w:t>La concentration de CO (C</w:t>
      </w:r>
      <w:r w:rsidRPr="00A779B8">
        <w:rPr>
          <w:vertAlign w:val="subscript"/>
          <w:lang w:val="fr-FR"/>
        </w:rPr>
        <w:t>CO</w:t>
      </w:r>
      <w:r w:rsidRPr="00A779B8">
        <w:rPr>
          <w:lang w:val="fr-FR"/>
        </w:rPr>
        <w:t>) et de CO</w:t>
      </w:r>
      <w:r w:rsidRPr="00A779B8">
        <w:rPr>
          <w:vertAlign w:val="subscript"/>
          <w:lang w:val="fr-FR"/>
        </w:rPr>
        <w:t>2</w:t>
      </w:r>
      <w:r w:rsidRPr="00A779B8">
        <w:rPr>
          <w:lang w:val="fr-FR"/>
        </w:rPr>
        <w:t xml:space="preserve"> (C</w:t>
      </w:r>
      <w:r w:rsidRPr="00A779B8">
        <w:rPr>
          <w:vertAlign w:val="subscript"/>
          <w:lang w:val="fr-FR"/>
        </w:rPr>
        <w:t>CO2</w:t>
      </w:r>
      <w:r w:rsidRPr="00A779B8">
        <w:rPr>
          <w:lang w:val="fr-FR"/>
        </w:rPr>
        <w:t xml:space="preserve"> ) doit être déterminée d</w:t>
      </w:r>
      <w:r w:rsidR="00DB4C2D">
        <w:rPr>
          <w:lang w:val="fr-FR"/>
        </w:rPr>
        <w:t>’</w:t>
      </w:r>
      <w:r w:rsidRPr="00A779B8">
        <w:rPr>
          <w:lang w:val="fr-FR"/>
        </w:rPr>
        <w:t>après les valeurs affichées ou enregistrées par l</w:t>
      </w:r>
      <w:r w:rsidR="00DB4C2D">
        <w:rPr>
          <w:lang w:val="fr-FR"/>
        </w:rPr>
        <w:t>’</w:t>
      </w:r>
      <w:r w:rsidRPr="00A779B8">
        <w:rPr>
          <w:lang w:val="fr-FR"/>
        </w:rPr>
        <w:t>appareil de mesure, compte tenu des courbes d</w:t>
      </w:r>
      <w:r w:rsidR="00DB4C2D">
        <w:rPr>
          <w:lang w:val="fr-FR"/>
        </w:rPr>
        <w:t>’</w:t>
      </w:r>
      <w:r w:rsidRPr="00A779B8">
        <w:rPr>
          <w:lang w:val="fr-FR"/>
        </w:rPr>
        <w:t>étalonnage applicables.</w:t>
      </w:r>
    </w:p>
    <w:p w:rsidR="00113E9F" w:rsidRPr="00A779B8" w:rsidRDefault="00113E9F" w:rsidP="008A4759">
      <w:pPr>
        <w:pStyle w:val="SingleTxtG"/>
        <w:spacing w:line="220" w:lineRule="atLeast"/>
        <w:ind w:left="2268" w:hanging="1134"/>
        <w:rPr>
          <w:noProof/>
          <w:lang w:val="fr-FR" w:eastAsia="en-GB"/>
        </w:rPr>
      </w:pPr>
      <w:r w:rsidRPr="00A779B8">
        <w:rPr>
          <w:lang w:val="fr-FR"/>
        </w:rPr>
        <w:t>3.3</w:t>
      </w:r>
      <w:r w:rsidRPr="00A779B8">
        <w:rPr>
          <w:lang w:val="fr-FR"/>
        </w:rPr>
        <w:tab/>
        <w:t>La concentration corrigée de monoxyde de carbone dans le cas d</w:t>
      </w:r>
      <w:r w:rsidR="00DB4C2D">
        <w:rPr>
          <w:lang w:val="fr-FR"/>
        </w:rPr>
        <w:t>’</w:t>
      </w:r>
      <w:r w:rsidRPr="00A779B8">
        <w:rPr>
          <w:lang w:val="fr-FR"/>
        </w:rPr>
        <w:t>un moteur à quatre temps est donnée par la formule:</w:t>
      </w:r>
    </w:p>
    <w:p w:rsidR="00113E9F" w:rsidRPr="00A779B8" w:rsidRDefault="009D55DD" w:rsidP="00113E9F">
      <w:pPr>
        <w:pStyle w:val="SingleTxtG"/>
        <w:tabs>
          <w:tab w:val="right" w:pos="8505"/>
        </w:tabs>
        <w:spacing w:after="0"/>
        <w:ind w:left="3402" w:hanging="1134"/>
        <w:rPr>
          <w:sz w:val="4"/>
          <w:szCs w:val="4"/>
          <w:lang w:val="fr-FR"/>
        </w:rPr>
      </w:pPr>
      <w:r>
        <w:rPr>
          <w:noProof/>
          <w:lang w:val="en-US"/>
        </w:rPr>
        <w:drawing>
          <wp:inline distT="0" distB="0" distL="0" distR="0">
            <wp:extent cx="1932305" cy="629920"/>
            <wp:effectExtent l="0" t="0" r="0" b="0"/>
            <wp:docPr id="9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32305" cy="629920"/>
                    </a:xfrm>
                    <a:prstGeom prst="rect">
                      <a:avLst/>
                    </a:prstGeom>
                    <a:noFill/>
                    <a:ln>
                      <a:noFill/>
                    </a:ln>
                  </pic:spPr>
                </pic:pic>
              </a:graphicData>
            </a:graphic>
          </wp:inline>
        </w:drawing>
      </w:r>
    </w:p>
    <w:p w:rsidR="00113E9F" w:rsidRPr="00A779B8" w:rsidRDefault="00113E9F" w:rsidP="008A4759">
      <w:pPr>
        <w:pStyle w:val="SingleTxtG"/>
        <w:keepNext/>
        <w:spacing w:line="220" w:lineRule="atLeast"/>
        <w:ind w:left="2268" w:hanging="1134"/>
        <w:rPr>
          <w:lang w:val="fr-FR"/>
        </w:rPr>
      </w:pPr>
      <w:r w:rsidRPr="00A779B8">
        <w:rPr>
          <w:lang w:val="fr-FR"/>
        </w:rPr>
        <w:t>3.4</w:t>
      </w:r>
      <w:r w:rsidRPr="00A779B8">
        <w:rPr>
          <w:lang w:val="fr-FR"/>
        </w:rPr>
        <w:tab/>
        <w:t>Il n</w:t>
      </w:r>
      <w:r w:rsidR="00DB4C2D">
        <w:rPr>
          <w:lang w:val="fr-FR"/>
        </w:rPr>
        <w:t>’</w:t>
      </w:r>
      <w:r w:rsidRPr="00A779B8">
        <w:rPr>
          <w:lang w:val="fr-FR"/>
        </w:rPr>
        <w:t>est pas nécessaire de corriger la concentration de C</w:t>
      </w:r>
      <w:r w:rsidRPr="00A779B8">
        <w:rPr>
          <w:vertAlign w:val="subscript"/>
          <w:lang w:val="fr-FR"/>
        </w:rPr>
        <w:t>CO</w:t>
      </w:r>
      <w:r w:rsidRPr="00A779B8">
        <w:rPr>
          <w:lang w:val="fr-FR"/>
        </w:rPr>
        <w:t xml:space="preserve"> (par. 3.2 de la présente annexe) déterminée selon les formules données dans le paragraphe 3.3 de la présente annexe si la valeur totale des concentrations mesurées (C</w:t>
      </w:r>
      <w:r w:rsidRPr="00A779B8">
        <w:rPr>
          <w:vertAlign w:val="subscript"/>
          <w:lang w:val="fr-FR"/>
        </w:rPr>
        <w:t>CO</w:t>
      </w:r>
      <w:r w:rsidRPr="00A779B8">
        <w:rPr>
          <w:lang w:val="fr-FR"/>
        </w:rPr>
        <w:t xml:space="preserve"> + C</w:t>
      </w:r>
      <w:r w:rsidRPr="00A779B8">
        <w:rPr>
          <w:vertAlign w:val="subscript"/>
          <w:lang w:val="fr-FR"/>
        </w:rPr>
        <w:t>CO2</w:t>
      </w:r>
      <w:r w:rsidRPr="00A779B8">
        <w:rPr>
          <w:lang w:val="fr-FR"/>
        </w:rPr>
        <w:t>) pour les moteurs à quatre temps est d</w:t>
      </w:r>
      <w:r w:rsidR="00DB4C2D">
        <w:rPr>
          <w:lang w:val="fr-FR"/>
        </w:rPr>
        <w:t>’</w:t>
      </w:r>
      <w:r w:rsidRPr="00A779B8">
        <w:rPr>
          <w:lang w:val="fr-FR"/>
        </w:rPr>
        <w:t>au moins:</w:t>
      </w:r>
    </w:p>
    <w:p w:rsidR="00113E9F" w:rsidRPr="00A779B8" w:rsidRDefault="00113E9F" w:rsidP="008A4759">
      <w:pPr>
        <w:pStyle w:val="SingleTxtG"/>
        <w:keepNext/>
        <w:tabs>
          <w:tab w:val="left" w:pos="2835"/>
          <w:tab w:val="left" w:pos="5103"/>
        </w:tabs>
        <w:spacing w:line="220" w:lineRule="atLeast"/>
        <w:ind w:left="2268"/>
        <w:rPr>
          <w:lang w:val="fr-FR"/>
        </w:rPr>
      </w:pPr>
      <w:r w:rsidRPr="00A779B8">
        <w:rPr>
          <w:lang w:val="fr-FR"/>
        </w:rPr>
        <w:t>a)</w:t>
      </w:r>
      <w:r w:rsidRPr="00A779B8">
        <w:rPr>
          <w:lang w:val="fr-FR"/>
        </w:rPr>
        <w:tab/>
        <w:t>Pour l</w:t>
      </w:r>
      <w:r w:rsidR="00DB4C2D">
        <w:rPr>
          <w:lang w:val="fr-FR"/>
        </w:rPr>
        <w:t>’</w:t>
      </w:r>
      <w:r w:rsidRPr="00A779B8">
        <w:rPr>
          <w:lang w:val="fr-FR"/>
        </w:rPr>
        <w:t>essence:</w:t>
      </w:r>
      <w:r w:rsidRPr="00A779B8">
        <w:rPr>
          <w:lang w:val="fr-FR"/>
        </w:rPr>
        <w:tab/>
        <w:t>15 %;</w:t>
      </w:r>
    </w:p>
    <w:p w:rsidR="00113E9F" w:rsidRPr="00A779B8" w:rsidRDefault="00113E9F" w:rsidP="008A4759">
      <w:pPr>
        <w:pStyle w:val="SingleTxtG"/>
        <w:tabs>
          <w:tab w:val="left" w:pos="2835"/>
          <w:tab w:val="left" w:pos="5103"/>
        </w:tabs>
        <w:spacing w:line="220" w:lineRule="atLeast"/>
        <w:ind w:left="2268"/>
        <w:rPr>
          <w:lang w:val="fr-FR"/>
        </w:rPr>
      </w:pPr>
      <w:r w:rsidRPr="00A779B8">
        <w:rPr>
          <w:lang w:val="fr-FR"/>
        </w:rPr>
        <w:t>b)</w:t>
      </w:r>
      <w:r w:rsidRPr="00A779B8">
        <w:rPr>
          <w:lang w:val="fr-FR"/>
        </w:rPr>
        <w:tab/>
        <w:t>Pour le GPL:</w:t>
      </w:r>
      <w:r w:rsidRPr="00A779B8">
        <w:rPr>
          <w:lang w:val="fr-FR"/>
        </w:rPr>
        <w:tab/>
        <w:t>13,5 %;</w:t>
      </w:r>
    </w:p>
    <w:p w:rsidR="008A4759" w:rsidRDefault="00113E9F" w:rsidP="008A4759">
      <w:pPr>
        <w:pStyle w:val="SingleTxtG"/>
        <w:tabs>
          <w:tab w:val="left" w:pos="2835"/>
          <w:tab w:val="left" w:pos="5103"/>
        </w:tabs>
        <w:spacing w:line="220" w:lineRule="atLeast"/>
        <w:ind w:left="2268"/>
        <w:rPr>
          <w:lang w:val="fr-FR"/>
        </w:rPr>
        <w:sectPr w:rsidR="008A4759" w:rsidSect="00C108AC">
          <w:headerReference w:type="even" r:id="rId216"/>
          <w:headerReference w:type="default" r:id="rId217"/>
          <w:footnotePr>
            <w:numRestart w:val="eachSect"/>
          </w:footnotePr>
          <w:endnotePr>
            <w:numFmt w:val="decimal"/>
          </w:endnotePr>
          <w:pgSz w:w="11907" w:h="16840" w:code="9"/>
          <w:pgMar w:top="1701" w:right="1134" w:bottom="2268" w:left="1134" w:header="794" w:footer="1701" w:gutter="0"/>
          <w:cols w:space="720"/>
          <w:docGrid w:linePitch="272"/>
        </w:sectPr>
      </w:pPr>
      <w:r w:rsidRPr="00A779B8">
        <w:rPr>
          <w:lang w:val="fr-FR"/>
        </w:rPr>
        <w:t>c)</w:t>
      </w:r>
      <w:r w:rsidRPr="00A779B8">
        <w:rPr>
          <w:lang w:val="fr-FR"/>
        </w:rPr>
        <w:tab/>
        <w:t>Pour le GN/</w:t>
      </w:r>
      <w:proofErr w:type="spellStart"/>
      <w:r w:rsidRPr="00A779B8">
        <w:rPr>
          <w:lang w:val="fr-FR"/>
        </w:rPr>
        <w:t>biométhane</w:t>
      </w:r>
      <w:proofErr w:type="spellEnd"/>
      <w:r w:rsidRPr="00A779B8">
        <w:rPr>
          <w:lang w:val="fr-FR"/>
        </w:rPr>
        <w:t>:</w:t>
      </w:r>
      <w:r w:rsidRPr="00A779B8">
        <w:rPr>
          <w:lang w:val="fr-FR"/>
        </w:rPr>
        <w:tab/>
        <w:t>11,5 %.</w:t>
      </w:r>
    </w:p>
    <w:p w:rsidR="008A4759" w:rsidRPr="00A779B8" w:rsidRDefault="008A4759" w:rsidP="008A4759">
      <w:pPr>
        <w:pStyle w:val="HChG"/>
        <w:rPr>
          <w:lang w:val="fr-FR"/>
        </w:rPr>
      </w:pPr>
      <w:r w:rsidRPr="00A779B8">
        <w:rPr>
          <w:lang w:val="fr-FR"/>
        </w:rPr>
        <w:lastRenderedPageBreak/>
        <w:t>Annexe 6</w:t>
      </w:r>
    </w:p>
    <w:p w:rsidR="008A4759" w:rsidRPr="00A779B8" w:rsidRDefault="008A4759" w:rsidP="008A4759">
      <w:pPr>
        <w:pStyle w:val="HChG"/>
        <w:rPr>
          <w:lang w:val="fr-FR"/>
        </w:rPr>
      </w:pPr>
      <w:r w:rsidRPr="00A779B8">
        <w:rPr>
          <w:lang w:val="fr-FR"/>
        </w:rPr>
        <w:tab/>
      </w:r>
      <w:r w:rsidRPr="00A779B8">
        <w:rPr>
          <w:lang w:val="fr-FR"/>
        </w:rPr>
        <w:tab/>
        <w:t>Essai du type III</w:t>
      </w:r>
    </w:p>
    <w:p w:rsidR="008A4759" w:rsidRPr="00A779B8" w:rsidRDefault="008A4759" w:rsidP="008A4759">
      <w:pPr>
        <w:pStyle w:val="SingleTxtG"/>
        <w:rPr>
          <w:lang w:val="fr-FR"/>
        </w:rPr>
      </w:pPr>
      <w:r w:rsidRPr="00A779B8">
        <w:rPr>
          <w:lang w:val="fr-FR"/>
        </w:rPr>
        <w:t>(Contrôle des émissions de gaz de carter)</w:t>
      </w:r>
    </w:p>
    <w:p w:rsidR="008A4759" w:rsidRPr="00A779B8" w:rsidRDefault="008A4759" w:rsidP="008A4759">
      <w:pPr>
        <w:pStyle w:val="SingleTxtG"/>
        <w:keepNext/>
        <w:ind w:left="2268" w:hanging="1134"/>
        <w:jc w:val="left"/>
        <w:rPr>
          <w:lang w:val="fr-FR"/>
        </w:rPr>
      </w:pPr>
      <w:r w:rsidRPr="00A779B8">
        <w:rPr>
          <w:lang w:val="fr-FR"/>
        </w:rPr>
        <w:t>1.</w:t>
      </w:r>
      <w:r w:rsidRPr="00A779B8">
        <w:rPr>
          <w:lang w:val="fr-FR"/>
        </w:rPr>
        <w:tab/>
        <w:t>Introduction</w:t>
      </w:r>
    </w:p>
    <w:p w:rsidR="008A4759" w:rsidRPr="00A779B8" w:rsidRDefault="008A4759" w:rsidP="008A4759">
      <w:pPr>
        <w:pStyle w:val="SingleTxtG"/>
        <w:ind w:left="2268"/>
        <w:rPr>
          <w:lang w:val="fr-FR"/>
        </w:rPr>
      </w:pPr>
      <w:r w:rsidRPr="00A779B8">
        <w:rPr>
          <w:lang w:val="fr-FR"/>
        </w:rPr>
        <w:tab/>
        <w:t>La présente annexe décrit la méthode à suivre pour conduire l</w:t>
      </w:r>
      <w:r w:rsidR="00DB4C2D">
        <w:rPr>
          <w:lang w:val="fr-FR"/>
        </w:rPr>
        <w:t>’</w:t>
      </w:r>
      <w:r w:rsidRPr="00A779B8">
        <w:rPr>
          <w:lang w:val="fr-FR"/>
        </w:rPr>
        <w:t>essai du type III défini au paragraphe 5.3.3 du présent Règlement.</w:t>
      </w:r>
    </w:p>
    <w:p w:rsidR="008A4759" w:rsidRPr="00A779B8" w:rsidRDefault="008A4759" w:rsidP="008A4759">
      <w:pPr>
        <w:pStyle w:val="SingleTxtG"/>
        <w:keepNext/>
        <w:ind w:left="2268" w:hanging="1134"/>
        <w:jc w:val="left"/>
        <w:rPr>
          <w:lang w:val="fr-FR"/>
        </w:rPr>
      </w:pPr>
      <w:r w:rsidRPr="00A779B8">
        <w:rPr>
          <w:lang w:val="fr-FR"/>
        </w:rPr>
        <w:t>2.</w:t>
      </w:r>
      <w:r w:rsidRPr="00A779B8">
        <w:rPr>
          <w:lang w:val="fr-FR"/>
        </w:rPr>
        <w:tab/>
        <w:t>Prescriptions générales</w:t>
      </w:r>
    </w:p>
    <w:p w:rsidR="008A4759" w:rsidRPr="00A779B8" w:rsidRDefault="008A4759" w:rsidP="008A4759">
      <w:pPr>
        <w:pStyle w:val="SingleTxtG"/>
        <w:ind w:left="2268" w:hanging="1134"/>
        <w:rPr>
          <w:lang w:val="fr-FR"/>
        </w:rPr>
      </w:pPr>
      <w:r w:rsidRPr="00A779B8">
        <w:rPr>
          <w:lang w:val="fr-FR"/>
        </w:rPr>
        <w:t>2.1</w:t>
      </w:r>
      <w:r w:rsidRPr="00A779B8">
        <w:rPr>
          <w:lang w:val="fr-FR"/>
        </w:rPr>
        <w:tab/>
        <w:t>L</w:t>
      </w:r>
      <w:r w:rsidR="00DB4C2D">
        <w:rPr>
          <w:lang w:val="fr-FR"/>
        </w:rPr>
        <w:t>’</w:t>
      </w:r>
      <w:r w:rsidRPr="00A779B8">
        <w:rPr>
          <w:lang w:val="fr-FR"/>
        </w:rPr>
        <w:t>essai du type III doit être exécuté sur le véhicule équipé d</w:t>
      </w:r>
      <w:r w:rsidR="00DB4C2D">
        <w:rPr>
          <w:lang w:val="fr-FR"/>
        </w:rPr>
        <w:t>’</w:t>
      </w:r>
      <w:r w:rsidRPr="00A779B8">
        <w:rPr>
          <w:lang w:val="fr-FR"/>
        </w:rPr>
        <w:t>un moteur à allumage commandé qui a été soumis aux essais du type I et du type II, selon le cas.</w:t>
      </w:r>
    </w:p>
    <w:p w:rsidR="008A4759" w:rsidRPr="00A779B8" w:rsidRDefault="008A4759" w:rsidP="008A4759">
      <w:pPr>
        <w:pStyle w:val="SingleTxtG"/>
        <w:ind w:left="2268" w:hanging="1134"/>
        <w:rPr>
          <w:lang w:val="fr-FR"/>
        </w:rPr>
      </w:pPr>
      <w:r w:rsidRPr="00A779B8">
        <w:rPr>
          <w:lang w:val="fr-FR"/>
        </w:rPr>
        <w:t>2.2</w:t>
      </w:r>
      <w:r w:rsidRPr="00A779B8">
        <w:rPr>
          <w:lang w:val="fr-FR"/>
        </w:rPr>
        <w:tab/>
        <w:t>Les moteurs, y compris les moteurs étanches, doivent être soumis à l</w:t>
      </w:r>
      <w:r w:rsidR="00DB4C2D">
        <w:rPr>
          <w:lang w:val="fr-FR"/>
        </w:rPr>
        <w:t>’</w:t>
      </w:r>
      <w:r w:rsidRPr="00A779B8">
        <w:rPr>
          <w:lang w:val="fr-FR"/>
        </w:rPr>
        <w:t>essai, à l</w:t>
      </w:r>
      <w:r w:rsidR="00DB4C2D">
        <w:rPr>
          <w:lang w:val="fr-FR"/>
        </w:rPr>
        <w:t>’</w:t>
      </w:r>
      <w:r w:rsidRPr="00A779B8">
        <w:rPr>
          <w:lang w:val="fr-FR"/>
        </w:rPr>
        <w:t>exception de ceux dont la conception est telle qu</w:t>
      </w:r>
      <w:r w:rsidR="00DB4C2D">
        <w:rPr>
          <w:lang w:val="fr-FR"/>
        </w:rPr>
        <w:t>’</w:t>
      </w:r>
      <w:r w:rsidRPr="00A779B8">
        <w:rPr>
          <w:lang w:val="fr-FR"/>
        </w:rPr>
        <w:t>une fuite, même légère, peut entraîner des vices de fonctionnement inacceptables (moteurs flat-twin, par exemple).</w:t>
      </w:r>
    </w:p>
    <w:p w:rsidR="008A4759" w:rsidRPr="00A779B8" w:rsidRDefault="008A4759" w:rsidP="008A4759">
      <w:pPr>
        <w:pStyle w:val="SingleTxtG"/>
        <w:keepNext/>
        <w:ind w:left="2268" w:hanging="1134"/>
        <w:jc w:val="left"/>
        <w:rPr>
          <w:lang w:val="fr-FR"/>
        </w:rPr>
      </w:pPr>
      <w:r w:rsidRPr="00A779B8">
        <w:rPr>
          <w:lang w:val="fr-FR"/>
        </w:rPr>
        <w:t>3.</w:t>
      </w:r>
      <w:r w:rsidRPr="00A779B8">
        <w:rPr>
          <w:lang w:val="fr-FR"/>
        </w:rPr>
        <w:tab/>
        <w:t>Conditions d</w:t>
      </w:r>
      <w:r w:rsidR="00DB4C2D">
        <w:rPr>
          <w:lang w:val="fr-FR"/>
        </w:rPr>
        <w:t>’</w:t>
      </w:r>
      <w:r w:rsidRPr="00A779B8">
        <w:rPr>
          <w:lang w:val="fr-FR"/>
        </w:rPr>
        <w:t>essais</w:t>
      </w:r>
    </w:p>
    <w:p w:rsidR="008A4759" w:rsidRPr="00A779B8" w:rsidRDefault="008A4759" w:rsidP="008A4759">
      <w:pPr>
        <w:pStyle w:val="SingleTxtG"/>
        <w:ind w:left="2268" w:hanging="1134"/>
        <w:rPr>
          <w:lang w:val="fr-FR"/>
        </w:rPr>
      </w:pPr>
      <w:r w:rsidRPr="00A779B8">
        <w:rPr>
          <w:lang w:val="fr-FR"/>
        </w:rPr>
        <w:t>3.1</w:t>
      </w:r>
      <w:r w:rsidRPr="00A779B8">
        <w:rPr>
          <w:lang w:val="fr-FR"/>
        </w:rPr>
        <w:tab/>
        <w:t>Le ralenti doit être réglé conformément aux recommandations du constructeur.</w:t>
      </w:r>
    </w:p>
    <w:p w:rsidR="008A4759" w:rsidRPr="00A779B8" w:rsidRDefault="008A4759" w:rsidP="008A4759">
      <w:pPr>
        <w:pStyle w:val="SingleTxtG"/>
        <w:ind w:left="2268" w:hanging="1134"/>
        <w:rPr>
          <w:lang w:val="fr-FR"/>
        </w:rPr>
      </w:pPr>
      <w:r w:rsidRPr="00A779B8">
        <w:rPr>
          <w:lang w:val="fr-FR"/>
        </w:rPr>
        <w:t>3.2</w:t>
      </w:r>
      <w:r w:rsidRPr="00A779B8">
        <w:rPr>
          <w:lang w:val="fr-FR"/>
        </w:rPr>
        <w:tab/>
        <w:t>Les mesures doivent être effectuées dans les trois conditions de fonctionnement suivantes du moteur:</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24"/>
        <w:gridCol w:w="4613"/>
      </w:tblGrid>
      <w:tr w:rsidR="008A4759" w:rsidRPr="00A779B8" w:rsidTr="00A36982">
        <w:tblPrEx>
          <w:tblCellMar>
            <w:top w:w="0" w:type="dxa"/>
            <w:bottom w:w="0" w:type="dxa"/>
          </w:tblCellMar>
        </w:tblPrEx>
        <w:tc>
          <w:tcPr>
            <w:tcW w:w="1624" w:type="dxa"/>
            <w:vAlign w:val="center"/>
          </w:tcPr>
          <w:p w:rsidR="008A4759" w:rsidRPr="00A779B8" w:rsidRDefault="008A4759" w:rsidP="00A36982">
            <w:pPr>
              <w:spacing w:before="60" w:after="60" w:line="200" w:lineRule="exact"/>
              <w:jc w:val="center"/>
              <w:rPr>
                <w:i/>
                <w:sz w:val="16"/>
                <w:szCs w:val="16"/>
                <w:lang w:val="fr-FR"/>
              </w:rPr>
            </w:pPr>
            <w:r w:rsidRPr="00A779B8">
              <w:rPr>
                <w:i/>
                <w:sz w:val="16"/>
                <w:szCs w:val="16"/>
                <w:lang w:val="fr-FR"/>
              </w:rPr>
              <w:t>Numéro de condition</w:t>
            </w:r>
          </w:p>
        </w:tc>
        <w:tc>
          <w:tcPr>
            <w:tcW w:w="4613" w:type="dxa"/>
            <w:vAlign w:val="center"/>
          </w:tcPr>
          <w:p w:rsidR="008A4759" w:rsidRPr="00A779B8" w:rsidRDefault="008A4759" w:rsidP="00A36982">
            <w:pPr>
              <w:spacing w:before="60" w:after="60" w:line="200" w:lineRule="exact"/>
              <w:jc w:val="center"/>
              <w:rPr>
                <w:i/>
                <w:sz w:val="16"/>
                <w:szCs w:val="16"/>
                <w:lang w:val="fr-FR"/>
              </w:rPr>
            </w:pPr>
            <w:r w:rsidRPr="00A779B8">
              <w:rPr>
                <w:i/>
                <w:sz w:val="16"/>
                <w:szCs w:val="16"/>
                <w:lang w:val="fr-FR"/>
              </w:rPr>
              <w:t>Vitesse du véhicule (km/h)</w:t>
            </w:r>
          </w:p>
        </w:tc>
      </w:tr>
      <w:tr w:rsidR="008A4759" w:rsidRPr="00A779B8" w:rsidTr="00A36982">
        <w:tblPrEx>
          <w:tblCellMar>
            <w:top w:w="0" w:type="dxa"/>
            <w:bottom w:w="0" w:type="dxa"/>
          </w:tblCellMar>
        </w:tblPrEx>
        <w:tc>
          <w:tcPr>
            <w:tcW w:w="1624" w:type="dxa"/>
            <w:vAlign w:val="bottom"/>
          </w:tcPr>
          <w:p w:rsidR="008A4759" w:rsidRPr="00A779B8" w:rsidRDefault="008A4759" w:rsidP="00A36982">
            <w:pPr>
              <w:spacing w:before="60" w:after="60"/>
              <w:rPr>
                <w:lang w:val="fr-FR"/>
              </w:rPr>
            </w:pPr>
            <w:r w:rsidRPr="00A779B8">
              <w:rPr>
                <w:lang w:val="fr-FR"/>
              </w:rPr>
              <w:t>1</w:t>
            </w:r>
          </w:p>
        </w:tc>
        <w:tc>
          <w:tcPr>
            <w:tcW w:w="4613" w:type="dxa"/>
          </w:tcPr>
          <w:p w:rsidR="008A4759" w:rsidRPr="00A779B8" w:rsidRDefault="008A4759" w:rsidP="00A36982">
            <w:pPr>
              <w:spacing w:before="60" w:after="60"/>
              <w:rPr>
                <w:lang w:val="fr-FR"/>
              </w:rPr>
            </w:pPr>
            <w:r w:rsidRPr="00A779B8">
              <w:rPr>
                <w:lang w:val="fr-FR"/>
              </w:rPr>
              <w:t>Ralenti à vide</w:t>
            </w:r>
          </w:p>
        </w:tc>
      </w:tr>
      <w:tr w:rsidR="008A4759" w:rsidRPr="00A779B8" w:rsidTr="00A36982">
        <w:tblPrEx>
          <w:tblCellMar>
            <w:top w:w="0" w:type="dxa"/>
            <w:bottom w:w="0" w:type="dxa"/>
          </w:tblCellMar>
        </w:tblPrEx>
        <w:tc>
          <w:tcPr>
            <w:tcW w:w="1624" w:type="dxa"/>
            <w:vAlign w:val="bottom"/>
          </w:tcPr>
          <w:p w:rsidR="008A4759" w:rsidRPr="00A779B8" w:rsidRDefault="008A4759" w:rsidP="00A36982">
            <w:pPr>
              <w:spacing w:before="60" w:after="60"/>
              <w:rPr>
                <w:lang w:val="fr-FR"/>
              </w:rPr>
            </w:pPr>
            <w:r w:rsidRPr="00A779B8">
              <w:rPr>
                <w:lang w:val="fr-FR"/>
              </w:rPr>
              <w:t>2</w:t>
            </w:r>
          </w:p>
        </w:tc>
        <w:tc>
          <w:tcPr>
            <w:tcW w:w="4613" w:type="dxa"/>
          </w:tcPr>
          <w:p w:rsidR="008A4759" w:rsidRPr="00A779B8" w:rsidRDefault="008A4759" w:rsidP="00A36982">
            <w:pPr>
              <w:spacing w:before="60" w:after="60"/>
              <w:rPr>
                <w:lang w:val="fr-FR"/>
              </w:rPr>
            </w:pPr>
            <w:r w:rsidRPr="00A779B8">
              <w:rPr>
                <w:lang w:val="fr-FR"/>
              </w:rPr>
              <w:t xml:space="preserve">50 </w:t>
            </w:r>
            <w:r w:rsidRPr="00A779B8">
              <w:rPr>
                <w:lang w:val="fr-FR"/>
              </w:rPr>
              <w:sym w:font="Symbol" w:char="F0B1"/>
            </w:r>
            <w:r w:rsidRPr="00A779B8">
              <w:rPr>
                <w:lang w:val="fr-FR"/>
              </w:rPr>
              <w:t xml:space="preserve"> 2 (troisième rapport ou «drive»)</w:t>
            </w:r>
          </w:p>
        </w:tc>
      </w:tr>
      <w:tr w:rsidR="008A4759" w:rsidRPr="00A779B8" w:rsidTr="00A36982">
        <w:tblPrEx>
          <w:tblCellMar>
            <w:top w:w="0" w:type="dxa"/>
            <w:bottom w:w="0" w:type="dxa"/>
          </w:tblCellMar>
        </w:tblPrEx>
        <w:tc>
          <w:tcPr>
            <w:tcW w:w="1624" w:type="dxa"/>
            <w:vAlign w:val="bottom"/>
          </w:tcPr>
          <w:p w:rsidR="008A4759" w:rsidRPr="00A779B8" w:rsidRDefault="008A4759" w:rsidP="00A36982">
            <w:pPr>
              <w:spacing w:before="60" w:after="60"/>
              <w:rPr>
                <w:lang w:val="fr-FR"/>
              </w:rPr>
            </w:pPr>
            <w:r w:rsidRPr="00A779B8">
              <w:rPr>
                <w:lang w:val="fr-FR"/>
              </w:rPr>
              <w:t>3</w:t>
            </w:r>
          </w:p>
        </w:tc>
        <w:tc>
          <w:tcPr>
            <w:tcW w:w="4613" w:type="dxa"/>
          </w:tcPr>
          <w:p w:rsidR="008A4759" w:rsidRPr="00A779B8" w:rsidRDefault="008A4759" w:rsidP="00A36982">
            <w:pPr>
              <w:spacing w:before="60" w:after="60"/>
              <w:rPr>
                <w:lang w:val="fr-FR"/>
              </w:rPr>
            </w:pPr>
            <w:r w:rsidRPr="00A779B8">
              <w:rPr>
                <w:lang w:val="fr-FR"/>
              </w:rPr>
              <w:t xml:space="preserve">50 </w:t>
            </w:r>
            <w:r w:rsidRPr="00A779B8">
              <w:rPr>
                <w:lang w:val="fr-FR"/>
              </w:rPr>
              <w:sym w:font="Symbol" w:char="F0B1"/>
            </w:r>
            <w:r w:rsidRPr="00A779B8">
              <w:rPr>
                <w:lang w:val="fr-FR"/>
              </w:rPr>
              <w:t xml:space="preserve"> 2 (troisième rapport ou «drive»)</w:t>
            </w:r>
          </w:p>
        </w:tc>
      </w:tr>
    </w:tbl>
    <w:p w:rsidR="008A4759" w:rsidRPr="00A779B8" w:rsidRDefault="008A4759" w:rsidP="008A4759">
      <w:pPr>
        <w:pStyle w:val="SingleTxtG"/>
        <w:rPr>
          <w:lang w:val="fr-FR"/>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24"/>
        <w:gridCol w:w="4613"/>
      </w:tblGrid>
      <w:tr w:rsidR="008A4759" w:rsidRPr="00A779B8" w:rsidTr="00A36982">
        <w:tblPrEx>
          <w:tblCellMar>
            <w:top w:w="0" w:type="dxa"/>
            <w:bottom w:w="0" w:type="dxa"/>
          </w:tblCellMar>
        </w:tblPrEx>
        <w:tc>
          <w:tcPr>
            <w:tcW w:w="1624" w:type="dxa"/>
            <w:vAlign w:val="center"/>
          </w:tcPr>
          <w:p w:rsidR="008A4759" w:rsidRPr="00A779B8" w:rsidRDefault="008A4759" w:rsidP="00A36982">
            <w:pPr>
              <w:spacing w:before="60" w:after="60" w:line="200" w:lineRule="exact"/>
              <w:jc w:val="center"/>
              <w:rPr>
                <w:i/>
                <w:sz w:val="16"/>
                <w:szCs w:val="16"/>
                <w:lang w:val="fr-FR"/>
              </w:rPr>
            </w:pPr>
            <w:r w:rsidRPr="00A779B8">
              <w:rPr>
                <w:i/>
                <w:sz w:val="16"/>
                <w:szCs w:val="16"/>
                <w:lang w:val="fr-FR"/>
              </w:rPr>
              <w:t>Numéro de condition</w:t>
            </w:r>
          </w:p>
        </w:tc>
        <w:tc>
          <w:tcPr>
            <w:tcW w:w="4613" w:type="dxa"/>
            <w:vAlign w:val="center"/>
          </w:tcPr>
          <w:p w:rsidR="008A4759" w:rsidRPr="00A779B8" w:rsidRDefault="008A4759" w:rsidP="00A36982">
            <w:pPr>
              <w:spacing w:before="60" w:after="60" w:line="200" w:lineRule="exact"/>
              <w:jc w:val="center"/>
              <w:rPr>
                <w:i/>
                <w:sz w:val="16"/>
                <w:szCs w:val="16"/>
                <w:lang w:val="fr-FR"/>
              </w:rPr>
            </w:pPr>
            <w:r w:rsidRPr="00A779B8">
              <w:rPr>
                <w:i/>
                <w:sz w:val="16"/>
                <w:szCs w:val="16"/>
                <w:lang w:val="fr-FR"/>
              </w:rPr>
              <w:t>Puissance absorbée par le banc</w:t>
            </w:r>
          </w:p>
        </w:tc>
      </w:tr>
      <w:tr w:rsidR="008A4759" w:rsidRPr="00A779B8" w:rsidTr="00A36982">
        <w:tblPrEx>
          <w:tblCellMar>
            <w:top w:w="0" w:type="dxa"/>
            <w:bottom w:w="0" w:type="dxa"/>
          </w:tblCellMar>
        </w:tblPrEx>
        <w:tc>
          <w:tcPr>
            <w:tcW w:w="1624" w:type="dxa"/>
            <w:vAlign w:val="bottom"/>
          </w:tcPr>
          <w:p w:rsidR="008A4759" w:rsidRPr="00A779B8" w:rsidRDefault="008A4759" w:rsidP="00A36982">
            <w:pPr>
              <w:spacing w:before="60" w:after="60"/>
              <w:rPr>
                <w:lang w:val="fr-FR"/>
              </w:rPr>
            </w:pPr>
            <w:r w:rsidRPr="00A779B8">
              <w:rPr>
                <w:lang w:val="fr-FR"/>
              </w:rPr>
              <w:t>1</w:t>
            </w:r>
          </w:p>
        </w:tc>
        <w:tc>
          <w:tcPr>
            <w:tcW w:w="4613" w:type="dxa"/>
          </w:tcPr>
          <w:p w:rsidR="008A4759" w:rsidRPr="00A779B8" w:rsidRDefault="008A4759" w:rsidP="00A36982">
            <w:pPr>
              <w:spacing w:before="60" w:after="60"/>
              <w:rPr>
                <w:lang w:val="fr-FR"/>
              </w:rPr>
            </w:pPr>
            <w:r w:rsidRPr="00A779B8">
              <w:rPr>
                <w:lang w:val="fr-FR"/>
              </w:rPr>
              <w:t>Nulle</w:t>
            </w:r>
          </w:p>
        </w:tc>
      </w:tr>
      <w:tr w:rsidR="008A4759" w:rsidRPr="00A779B8" w:rsidTr="00A36982">
        <w:tblPrEx>
          <w:tblCellMar>
            <w:top w:w="0" w:type="dxa"/>
            <w:bottom w:w="0" w:type="dxa"/>
          </w:tblCellMar>
        </w:tblPrEx>
        <w:tc>
          <w:tcPr>
            <w:tcW w:w="1624" w:type="dxa"/>
            <w:vAlign w:val="bottom"/>
          </w:tcPr>
          <w:p w:rsidR="008A4759" w:rsidRPr="00A779B8" w:rsidRDefault="008A4759" w:rsidP="00A36982">
            <w:pPr>
              <w:spacing w:before="60" w:after="60"/>
              <w:rPr>
                <w:lang w:val="fr-FR"/>
              </w:rPr>
            </w:pPr>
            <w:r w:rsidRPr="00A779B8">
              <w:rPr>
                <w:lang w:val="fr-FR"/>
              </w:rPr>
              <w:t>2</w:t>
            </w:r>
          </w:p>
        </w:tc>
        <w:tc>
          <w:tcPr>
            <w:tcW w:w="4613" w:type="dxa"/>
          </w:tcPr>
          <w:p w:rsidR="008A4759" w:rsidRPr="00A779B8" w:rsidRDefault="008A4759" w:rsidP="00A36982">
            <w:pPr>
              <w:spacing w:before="60" w:after="60"/>
              <w:rPr>
                <w:lang w:val="fr-FR"/>
              </w:rPr>
            </w:pPr>
            <w:r w:rsidRPr="00A779B8">
              <w:rPr>
                <w:lang w:val="fr-FR"/>
              </w:rPr>
              <w:t>Correspond au réglage pour l</w:t>
            </w:r>
            <w:r w:rsidR="00DB4C2D">
              <w:rPr>
                <w:lang w:val="fr-FR"/>
              </w:rPr>
              <w:t>’</w:t>
            </w:r>
            <w:r w:rsidRPr="00A779B8">
              <w:rPr>
                <w:lang w:val="fr-FR"/>
              </w:rPr>
              <w:t>essai de type I à 50 km/h</w:t>
            </w:r>
          </w:p>
        </w:tc>
      </w:tr>
      <w:tr w:rsidR="008A4759" w:rsidRPr="00A779B8" w:rsidTr="00A36982">
        <w:tblPrEx>
          <w:tblCellMar>
            <w:top w:w="0" w:type="dxa"/>
            <w:bottom w:w="0" w:type="dxa"/>
          </w:tblCellMar>
        </w:tblPrEx>
        <w:tc>
          <w:tcPr>
            <w:tcW w:w="1624" w:type="dxa"/>
            <w:vAlign w:val="bottom"/>
          </w:tcPr>
          <w:p w:rsidR="008A4759" w:rsidRPr="00A779B8" w:rsidRDefault="008A4759" w:rsidP="00A36982">
            <w:pPr>
              <w:spacing w:before="60" w:after="60"/>
              <w:rPr>
                <w:lang w:val="fr-FR"/>
              </w:rPr>
            </w:pPr>
            <w:r w:rsidRPr="00A779B8">
              <w:rPr>
                <w:lang w:val="fr-FR"/>
              </w:rPr>
              <w:t>3</w:t>
            </w:r>
          </w:p>
        </w:tc>
        <w:tc>
          <w:tcPr>
            <w:tcW w:w="4613" w:type="dxa"/>
          </w:tcPr>
          <w:p w:rsidR="008A4759" w:rsidRPr="00A779B8" w:rsidRDefault="008A4759" w:rsidP="00A36982">
            <w:pPr>
              <w:spacing w:before="60" w:after="60"/>
              <w:rPr>
                <w:lang w:val="fr-FR"/>
              </w:rPr>
            </w:pPr>
            <w:r w:rsidRPr="00A779B8">
              <w:rPr>
                <w:lang w:val="fr-FR"/>
              </w:rPr>
              <w:t>Condition n</w:t>
            </w:r>
            <w:r w:rsidRPr="00A779B8">
              <w:rPr>
                <w:vertAlign w:val="superscript"/>
                <w:lang w:val="fr-FR"/>
              </w:rPr>
              <w:t>o</w:t>
            </w:r>
            <w:r w:rsidRPr="00A779B8">
              <w:rPr>
                <w:lang w:val="fr-FR"/>
              </w:rPr>
              <w:t xml:space="preserve"> 2 multipliée par 1,7</w:t>
            </w:r>
          </w:p>
        </w:tc>
      </w:tr>
    </w:tbl>
    <w:p w:rsidR="008A4759" w:rsidRPr="00A779B8" w:rsidRDefault="008A4759" w:rsidP="008A4759">
      <w:pPr>
        <w:pStyle w:val="SingleTxtG"/>
        <w:keepNext/>
        <w:spacing w:before="240"/>
        <w:ind w:left="2268" w:hanging="1134"/>
        <w:jc w:val="left"/>
        <w:rPr>
          <w:lang w:val="fr-FR"/>
        </w:rPr>
      </w:pPr>
      <w:r w:rsidRPr="00A779B8">
        <w:rPr>
          <w:lang w:val="fr-FR"/>
        </w:rPr>
        <w:t>4.</w:t>
      </w:r>
      <w:r w:rsidRPr="00A779B8">
        <w:rPr>
          <w:lang w:val="fr-FR"/>
        </w:rPr>
        <w:tab/>
        <w:t>Méthode d</w:t>
      </w:r>
      <w:r w:rsidR="00DB4C2D">
        <w:rPr>
          <w:lang w:val="fr-FR"/>
        </w:rPr>
        <w:t>’</w:t>
      </w:r>
      <w:r w:rsidRPr="00A779B8">
        <w:rPr>
          <w:lang w:val="fr-FR"/>
        </w:rPr>
        <w:t>essai</w:t>
      </w:r>
    </w:p>
    <w:p w:rsidR="008A4759" w:rsidRPr="00A779B8" w:rsidRDefault="008A4759" w:rsidP="008A4759">
      <w:pPr>
        <w:pStyle w:val="SingleTxtG"/>
        <w:ind w:left="2268" w:hanging="1134"/>
        <w:rPr>
          <w:lang w:val="fr-FR"/>
        </w:rPr>
      </w:pPr>
      <w:r w:rsidRPr="00A779B8">
        <w:rPr>
          <w:lang w:val="fr-FR"/>
        </w:rPr>
        <w:t>4.1</w:t>
      </w:r>
      <w:r w:rsidRPr="00A779B8">
        <w:rPr>
          <w:lang w:val="fr-FR"/>
        </w:rPr>
        <w:tab/>
        <w:t xml:space="preserve">Dans les conditions de fonctionnement définies au paragraphe 3.2 de la présente annexe, on doit vérifier que le système de </w:t>
      </w:r>
      <w:proofErr w:type="spellStart"/>
      <w:r w:rsidRPr="00A779B8">
        <w:rPr>
          <w:lang w:val="fr-FR"/>
        </w:rPr>
        <w:t>réaspiration</w:t>
      </w:r>
      <w:proofErr w:type="spellEnd"/>
      <w:r w:rsidRPr="00A779B8">
        <w:rPr>
          <w:lang w:val="fr-FR"/>
        </w:rPr>
        <w:t xml:space="preserve"> des gaz de carter remplit efficacement sa fonction.</w:t>
      </w:r>
    </w:p>
    <w:p w:rsidR="008A4759" w:rsidRPr="00A779B8" w:rsidRDefault="008A4759" w:rsidP="008A4759">
      <w:pPr>
        <w:pStyle w:val="SingleTxtG"/>
        <w:keepNext/>
        <w:ind w:left="2268" w:hanging="1134"/>
        <w:jc w:val="left"/>
        <w:rPr>
          <w:lang w:val="fr-FR"/>
        </w:rPr>
      </w:pPr>
      <w:r w:rsidRPr="00A779B8">
        <w:rPr>
          <w:lang w:val="fr-FR"/>
        </w:rPr>
        <w:t>5.</w:t>
      </w:r>
      <w:r w:rsidRPr="00A779B8">
        <w:rPr>
          <w:lang w:val="fr-FR"/>
        </w:rPr>
        <w:tab/>
        <w:t xml:space="preserve">Méthode de contrôle du fonctionnement du système de </w:t>
      </w:r>
      <w:proofErr w:type="spellStart"/>
      <w:r w:rsidRPr="00A779B8">
        <w:rPr>
          <w:lang w:val="fr-FR"/>
        </w:rPr>
        <w:t>réaspiration</w:t>
      </w:r>
      <w:proofErr w:type="spellEnd"/>
      <w:r w:rsidRPr="00A779B8">
        <w:rPr>
          <w:lang w:val="fr-FR"/>
        </w:rPr>
        <w:br/>
        <w:t>des gaz de carter</w:t>
      </w:r>
    </w:p>
    <w:p w:rsidR="008A4759" w:rsidRPr="00A779B8" w:rsidRDefault="008A4759" w:rsidP="008A4759">
      <w:pPr>
        <w:pStyle w:val="SingleTxtG"/>
        <w:ind w:left="2268" w:hanging="1134"/>
        <w:rPr>
          <w:lang w:val="fr-FR"/>
        </w:rPr>
      </w:pPr>
      <w:r w:rsidRPr="00A779B8">
        <w:rPr>
          <w:lang w:val="fr-FR"/>
        </w:rPr>
        <w:t>5.1</w:t>
      </w:r>
      <w:r w:rsidRPr="00A779B8">
        <w:rPr>
          <w:lang w:val="fr-FR"/>
        </w:rPr>
        <w:tab/>
        <w:t>Tous les orifices du moteur doivent être laissés dans l</w:t>
      </w:r>
      <w:r w:rsidR="00DB4C2D">
        <w:rPr>
          <w:lang w:val="fr-FR"/>
        </w:rPr>
        <w:t>’</w:t>
      </w:r>
      <w:r w:rsidRPr="00A779B8">
        <w:rPr>
          <w:lang w:val="fr-FR"/>
        </w:rPr>
        <w:t>état où ils sont.</w:t>
      </w:r>
    </w:p>
    <w:p w:rsidR="008A4759" w:rsidRPr="00A779B8" w:rsidRDefault="008A4759" w:rsidP="008A4759">
      <w:pPr>
        <w:pStyle w:val="SingleTxtG"/>
        <w:ind w:left="2268" w:hanging="1134"/>
        <w:rPr>
          <w:lang w:val="fr-FR"/>
        </w:rPr>
      </w:pPr>
      <w:r w:rsidRPr="00A779B8">
        <w:rPr>
          <w:lang w:val="fr-FR"/>
        </w:rPr>
        <w:t>5.2</w:t>
      </w:r>
      <w:r w:rsidRPr="00A779B8">
        <w:rPr>
          <w:lang w:val="fr-FR"/>
        </w:rPr>
        <w:tab/>
        <w:t>La pression dans le carter doit être mesurée en un point approprié. On doit la mesurer par le trou de jauge avec un manomètre à tube incliné.</w:t>
      </w:r>
    </w:p>
    <w:p w:rsidR="008A4759" w:rsidRPr="00A779B8" w:rsidRDefault="008A4759" w:rsidP="008A4759">
      <w:pPr>
        <w:pStyle w:val="SingleTxtG"/>
        <w:ind w:left="2268" w:hanging="1134"/>
        <w:rPr>
          <w:lang w:val="fr-FR"/>
        </w:rPr>
      </w:pPr>
      <w:r w:rsidRPr="00A779B8">
        <w:rPr>
          <w:lang w:val="fr-FR"/>
        </w:rPr>
        <w:lastRenderedPageBreak/>
        <w:t>5.3</w:t>
      </w:r>
      <w:r w:rsidRPr="00A779B8">
        <w:rPr>
          <w:lang w:val="fr-FR"/>
        </w:rPr>
        <w:tab/>
        <w:t>Le véhicule est jugé conforme si dans toutes les conditions de mesure définies au paragraphe 3.2 de la présente annexe, la pression mesurée dans le carter ne dépasse pas la valeur de la pression atmosphérique au moment de la mesure.</w:t>
      </w:r>
    </w:p>
    <w:p w:rsidR="008A4759" w:rsidRPr="00A779B8" w:rsidRDefault="008A4759" w:rsidP="008A4759">
      <w:pPr>
        <w:pStyle w:val="SingleTxtG"/>
        <w:ind w:left="2268" w:hanging="1134"/>
        <w:rPr>
          <w:lang w:val="fr-FR"/>
        </w:rPr>
      </w:pPr>
      <w:r w:rsidRPr="00A779B8">
        <w:rPr>
          <w:lang w:val="fr-FR"/>
        </w:rPr>
        <w:t>5.4</w:t>
      </w:r>
      <w:r w:rsidRPr="00A779B8">
        <w:rPr>
          <w:lang w:val="fr-FR"/>
        </w:rPr>
        <w:tab/>
        <w:t>Pour l</w:t>
      </w:r>
      <w:r w:rsidR="00DB4C2D">
        <w:rPr>
          <w:lang w:val="fr-FR"/>
        </w:rPr>
        <w:t>’</w:t>
      </w:r>
      <w:r w:rsidRPr="00A779B8">
        <w:rPr>
          <w:lang w:val="fr-FR"/>
        </w:rPr>
        <w:t>essai exécuté selon la méthode décrite ci-dessus, la pression dans le collecteur d</w:t>
      </w:r>
      <w:r w:rsidR="00DB4C2D">
        <w:rPr>
          <w:lang w:val="fr-FR"/>
        </w:rPr>
        <w:t>’</w:t>
      </w:r>
      <w:r w:rsidRPr="00A779B8">
        <w:rPr>
          <w:lang w:val="fr-FR"/>
        </w:rPr>
        <w:t>admission doit être mesurée à 1 kPa près.</w:t>
      </w:r>
    </w:p>
    <w:p w:rsidR="008A4759" w:rsidRPr="00A779B8" w:rsidRDefault="008A4759" w:rsidP="008A4759">
      <w:pPr>
        <w:pStyle w:val="SingleTxtG"/>
        <w:ind w:left="2268" w:hanging="1134"/>
        <w:rPr>
          <w:lang w:val="fr-FR"/>
        </w:rPr>
      </w:pPr>
      <w:r w:rsidRPr="00A779B8">
        <w:rPr>
          <w:lang w:val="fr-FR"/>
        </w:rPr>
        <w:t>5.5</w:t>
      </w:r>
      <w:r w:rsidRPr="00A779B8">
        <w:rPr>
          <w:lang w:val="fr-FR"/>
        </w:rPr>
        <w:tab/>
        <w:t>La vitesse du véhicule, mesurée sur le banc dynamométrique, doit être déterminée à 2 km/h près.</w:t>
      </w:r>
    </w:p>
    <w:p w:rsidR="008A4759" w:rsidRPr="00A779B8" w:rsidRDefault="008A4759" w:rsidP="008A4759">
      <w:pPr>
        <w:pStyle w:val="SingleTxtG"/>
        <w:ind w:left="2268" w:hanging="1134"/>
        <w:rPr>
          <w:lang w:val="fr-FR"/>
        </w:rPr>
      </w:pPr>
      <w:r w:rsidRPr="00A779B8">
        <w:rPr>
          <w:lang w:val="fr-FR"/>
        </w:rPr>
        <w:t>5.6</w:t>
      </w:r>
      <w:r w:rsidRPr="00A779B8">
        <w:rPr>
          <w:lang w:val="fr-FR"/>
        </w:rPr>
        <w:tab/>
        <w:t>La pression mesurée dans le carter doit être déterminée à 0,01 kPa près.</w:t>
      </w:r>
    </w:p>
    <w:p w:rsidR="008A4759" w:rsidRPr="00A779B8" w:rsidRDefault="008A4759" w:rsidP="008A4759">
      <w:pPr>
        <w:pStyle w:val="SingleTxtG"/>
        <w:ind w:left="2268" w:hanging="1134"/>
        <w:rPr>
          <w:lang w:val="fr-FR"/>
        </w:rPr>
      </w:pPr>
      <w:r w:rsidRPr="00A779B8">
        <w:rPr>
          <w:lang w:val="fr-FR"/>
        </w:rPr>
        <w:t>5.7</w:t>
      </w:r>
      <w:r w:rsidRPr="00A779B8">
        <w:rPr>
          <w:lang w:val="fr-FR"/>
        </w:rPr>
        <w:tab/>
        <w:t>Si, pour une des conditions de mesure définies au paragraphe 3.2 de la présente annexe, la pression mesurée dans le carter dépasse la pression atmosphérique, on procède, si le constructeur le demande, à l</w:t>
      </w:r>
      <w:r w:rsidR="00DB4C2D">
        <w:rPr>
          <w:lang w:val="fr-FR"/>
        </w:rPr>
        <w:t>’</w:t>
      </w:r>
      <w:r w:rsidRPr="00A779B8">
        <w:rPr>
          <w:lang w:val="fr-FR"/>
        </w:rPr>
        <w:t>essai complémentaire défini au paragraphe 6 de la présente annexe.</w:t>
      </w:r>
    </w:p>
    <w:p w:rsidR="008A4759" w:rsidRPr="00A779B8" w:rsidRDefault="008A4759" w:rsidP="008A4759">
      <w:pPr>
        <w:pStyle w:val="SingleTxtG"/>
        <w:keepNext/>
        <w:ind w:left="2268" w:hanging="1134"/>
        <w:jc w:val="left"/>
        <w:rPr>
          <w:lang w:val="fr-FR"/>
        </w:rPr>
      </w:pPr>
      <w:r w:rsidRPr="00A779B8">
        <w:rPr>
          <w:lang w:val="fr-FR"/>
        </w:rPr>
        <w:t>6.</w:t>
      </w:r>
      <w:r w:rsidRPr="00A779B8">
        <w:rPr>
          <w:lang w:val="fr-FR"/>
        </w:rPr>
        <w:tab/>
        <w:t>Méthode d</w:t>
      </w:r>
      <w:r w:rsidR="00DB4C2D">
        <w:rPr>
          <w:lang w:val="fr-FR"/>
        </w:rPr>
        <w:t>’</w:t>
      </w:r>
      <w:r w:rsidRPr="00A779B8">
        <w:rPr>
          <w:lang w:val="fr-FR"/>
        </w:rPr>
        <w:t>essai complémentaire</w:t>
      </w:r>
    </w:p>
    <w:p w:rsidR="008A4759" w:rsidRPr="00A779B8" w:rsidRDefault="008A4759" w:rsidP="008A4759">
      <w:pPr>
        <w:pStyle w:val="SingleTxtG"/>
        <w:ind w:left="2268" w:hanging="1134"/>
        <w:rPr>
          <w:lang w:val="fr-FR"/>
        </w:rPr>
      </w:pPr>
      <w:r w:rsidRPr="00A779B8">
        <w:rPr>
          <w:lang w:val="fr-FR"/>
        </w:rPr>
        <w:t>6.1</w:t>
      </w:r>
      <w:r w:rsidRPr="00A779B8">
        <w:rPr>
          <w:lang w:val="fr-FR"/>
        </w:rPr>
        <w:tab/>
        <w:t>Les orifices du moteur doivent être laissés en l</w:t>
      </w:r>
      <w:r w:rsidR="00DB4C2D">
        <w:rPr>
          <w:lang w:val="fr-FR"/>
        </w:rPr>
        <w:t>’</w:t>
      </w:r>
      <w:r w:rsidRPr="00A779B8">
        <w:rPr>
          <w:lang w:val="fr-FR"/>
        </w:rPr>
        <w:t>état où on les trouve.</w:t>
      </w:r>
    </w:p>
    <w:p w:rsidR="008A4759" w:rsidRPr="00A779B8" w:rsidRDefault="008A4759" w:rsidP="008A4759">
      <w:pPr>
        <w:pStyle w:val="SingleTxtG"/>
        <w:ind w:left="2268" w:hanging="1134"/>
        <w:rPr>
          <w:lang w:val="fr-FR"/>
        </w:rPr>
      </w:pPr>
      <w:r w:rsidRPr="00A779B8">
        <w:rPr>
          <w:lang w:val="fr-FR"/>
        </w:rPr>
        <w:t>6.2</w:t>
      </w:r>
      <w:r w:rsidRPr="00A779B8">
        <w:rPr>
          <w:lang w:val="fr-FR"/>
        </w:rPr>
        <w:tab/>
        <w:t>Un sac souple, imperméable aux gaz de carter et ayant une capacité d</w:t>
      </w:r>
      <w:r w:rsidR="00DB4C2D">
        <w:rPr>
          <w:lang w:val="fr-FR"/>
        </w:rPr>
        <w:t>’</w:t>
      </w:r>
      <w:r w:rsidRPr="00A779B8">
        <w:rPr>
          <w:lang w:val="fr-FR"/>
        </w:rPr>
        <w:t>environ 5 l doit être raccordé à l</w:t>
      </w:r>
      <w:r w:rsidR="00DB4C2D">
        <w:rPr>
          <w:lang w:val="fr-FR"/>
        </w:rPr>
        <w:t>’</w:t>
      </w:r>
      <w:r w:rsidRPr="00A779B8">
        <w:rPr>
          <w:lang w:val="fr-FR"/>
        </w:rPr>
        <w:t>orifice de la jauge à huile. Ce sac doit être vide avant chaque mesure.</w:t>
      </w:r>
    </w:p>
    <w:p w:rsidR="008A4759" w:rsidRPr="00A779B8" w:rsidRDefault="008A4759" w:rsidP="008A4759">
      <w:pPr>
        <w:pStyle w:val="SingleTxtG"/>
        <w:ind w:left="2268" w:hanging="1134"/>
        <w:rPr>
          <w:lang w:val="fr-FR"/>
        </w:rPr>
      </w:pPr>
      <w:r w:rsidRPr="00A779B8">
        <w:rPr>
          <w:lang w:val="fr-FR"/>
        </w:rPr>
        <w:t>6.3</w:t>
      </w:r>
      <w:r w:rsidRPr="00A779B8">
        <w:rPr>
          <w:lang w:val="fr-FR"/>
        </w:rPr>
        <w:tab/>
        <w:t>Avant chaque mesure, le sac doit être obturé. Il doit être mis en communication avec le carter pendant 5 min pour chaque condition de mesure prescrite au paragraphe 3.2 de la présente annexe.</w:t>
      </w:r>
    </w:p>
    <w:p w:rsidR="008A4759" w:rsidRPr="00A779B8" w:rsidRDefault="008A4759" w:rsidP="008A4759">
      <w:pPr>
        <w:pStyle w:val="SingleTxtG"/>
        <w:ind w:left="2268" w:hanging="1134"/>
        <w:rPr>
          <w:lang w:val="fr-FR"/>
        </w:rPr>
      </w:pPr>
      <w:r w:rsidRPr="00A779B8">
        <w:rPr>
          <w:lang w:val="fr-FR"/>
        </w:rPr>
        <w:t>6.4</w:t>
      </w:r>
      <w:r w:rsidRPr="00A779B8">
        <w:rPr>
          <w:lang w:val="fr-FR"/>
        </w:rPr>
        <w:tab/>
        <w:t>Le véhicule est considéré comme satisfaisant si, pour toutes les conditions de mesure prescrites au paragraphe 3.2 de la présente annexe, aucun gonflement visible du sac ne se produit.</w:t>
      </w:r>
    </w:p>
    <w:p w:rsidR="008A4759" w:rsidRPr="00A779B8" w:rsidRDefault="008A4759" w:rsidP="008A4759">
      <w:pPr>
        <w:pStyle w:val="SingleTxtG"/>
        <w:keepNext/>
        <w:ind w:left="2268" w:hanging="1134"/>
        <w:jc w:val="left"/>
        <w:rPr>
          <w:lang w:val="fr-FR"/>
        </w:rPr>
      </w:pPr>
      <w:r w:rsidRPr="00A779B8">
        <w:rPr>
          <w:lang w:val="fr-FR"/>
        </w:rPr>
        <w:t>6.5</w:t>
      </w:r>
      <w:r w:rsidRPr="00A779B8">
        <w:rPr>
          <w:lang w:val="fr-FR"/>
        </w:rPr>
        <w:tab/>
        <w:t>Remarque</w:t>
      </w:r>
    </w:p>
    <w:p w:rsidR="008A4759" w:rsidRPr="00A779B8" w:rsidRDefault="008A4759" w:rsidP="008A4759">
      <w:pPr>
        <w:pStyle w:val="SingleTxtG"/>
        <w:ind w:left="2268" w:hanging="1134"/>
        <w:rPr>
          <w:lang w:val="fr-FR"/>
        </w:rPr>
      </w:pPr>
      <w:r w:rsidRPr="00A779B8">
        <w:rPr>
          <w:lang w:val="fr-FR"/>
        </w:rPr>
        <w:t>6.5.1</w:t>
      </w:r>
      <w:r w:rsidRPr="00A779B8">
        <w:rPr>
          <w:lang w:val="fr-FR"/>
        </w:rPr>
        <w:tab/>
        <w:t>Si l</w:t>
      </w:r>
      <w:r w:rsidR="00DB4C2D">
        <w:rPr>
          <w:lang w:val="fr-FR"/>
        </w:rPr>
        <w:t>’</w:t>
      </w:r>
      <w:r w:rsidRPr="00A779B8">
        <w:rPr>
          <w:lang w:val="fr-FR"/>
        </w:rPr>
        <w:t>architecture du moteur est telle qu</w:t>
      </w:r>
      <w:r w:rsidR="00DB4C2D">
        <w:rPr>
          <w:lang w:val="fr-FR"/>
        </w:rPr>
        <w:t>’</w:t>
      </w:r>
      <w:r w:rsidRPr="00A779B8">
        <w:rPr>
          <w:lang w:val="fr-FR"/>
        </w:rPr>
        <w:t>il n</w:t>
      </w:r>
      <w:r w:rsidR="00DB4C2D">
        <w:rPr>
          <w:lang w:val="fr-FR"/>
        </w:rPr>
        <w:t>’</w:t>
      </w:r>
      <w:r w:rsidRPr="00A779B8">
        <w:rPr>
          <w:lang w:val="fr-FR"/>
        </w:rPr>
        <w:t>est pas possible de réaliser l</w:t>
      </w:r>
      <w:r w:rsidR="00DB4C2D">
        <w:rPr>
          <w:lang w:val="fr-FR"/>
        </w:rPr>
        <w:t>’</w:t>
      </w:r>
      <w:r w:rsidRPr="00A779B8">
        <w:rPr>
          <w:lang w:val="fr-FR"/>
        </w:rPr>
        <w:t>essai suivant la méthode prescrite aux paragraphes 6.1 à 6.4 de la présente annexe, les mesures doivent être effectuées suivant cette même méthode, mais avec les modifications suivantes:</w:t>
      </w:r>
    </w:p>
    <w:p w:rsidR="008A4759" w:rsidRPr="00A779B8" w:rsidRDefault="008A4759" w:rsidP="008A4759">
      <w:pPr>
        <w:pStyle w:val="SingleTxtG"/>
        <w:ind w:left="2268" w:hanging="1134"/>
        <w:rPr>
          <w:lang w:val="fr-FR"/>
        </w:rPr>
      </w:pPr>
      <w:r w:rsidRPr="00A779B8">
        <w:rPr>
          <w:lang w:val="fr-FR"/>
        </w:rPr>
        <w:t>6.5.2</w:t>
      </w:r>
      <w:r w:rsidRPr="00A779B8">
        <w:rPr>
          <w:lang w:val="fr-FR"/>
        </w:rPr>
        <w:tab/>
        <w:t>Avant l</w:t>
      </w:r>
      <w:r w:rsidR="00DB4C2D">
        <w:rPr>
          <w:lang w:val="fr-FR"/>
        </w:rPr>
        <w:t>’</w:t>
      </w:r>
      <w:r w:rsidRPr="00A779B8">
        <w:rPr>
          <w:lang w:val="fr-FR"/>
        </w:rPr>
        <w:t>essai, tous les orifices autres que celui nécessaire à la récupération des gaz doivent être obturés;</w:t>
      </w:r>
    </w:p>
    <w:p w:rsidR="008A4759" w:rsidRPr="00A779B8" w:rsidRDefault="008A4759" w:rsidP="008A4759">
      <w:pPr>
        <w:pStyle w:val="SingleTxtG"/>
        <w:ind w:left="2268" w:hanging="1134"/>
        <w:rPr>
          <w:lang w:val="fr-FR"/>
        </w:rPr>
      </w:pPr>
      <w:r w:rsidRPr="00A779B8">
        <w:rPr>
          <w:lang w:val="fr-FR"/>
        </w:rPr>
        <w:t>6.5.3</w:t>
      </w:r>
      <w:r w:rsidRPr="00A779B8">
        <w:rPr>
          <w:lang w:val="fr-FR"/>
        </w:rPr>
        <w:tab/>
        <w:t>Le sac doit être placé sur une prise appropriée n</w:t>
      </w:r>
      <w:r w:rsidR="00DB4C2D">
        <w:rPr>
          <w:lang w:val="fr-FR"/>
        </w:rPr>
        <w:t>’</w:t>
      </w:r>
      <w:r w:rsidRPr="00A779B8">
        <w:rPr>
          <w:lang w:val="fr-FR"/>
        </w:rPr>
        <w:t xml:space="preserve">introduisant pas de perte de charge supplémentaire et installée sur le circuit de </w:t>
      </w:r>
      <w:proofErr w:type="spellStart"/>
      <w:r w:rsidRPr="00A779B8">
        <w:rPr>
          <w:lang w:val="fr-FR"/>
        </w:rPr>
        <w:t>réaspiration</w:t>
      </w:r>
      <w:proofErr w:type="spellEnd"/>
      <w:r w:rsidRPr="00A779B8">
        <w:rPr>
          <w:lang w:val="fr-FR"/>
        </w:rPr>
        <w:t xml:space="preserve"> du dispositif, directement sur l</w:t>
      </w:r>
      <w:r w:rsidR="00DB4C2D">
        <w:rPr>
          <w:lang w:val="fr-FR"/>
        </w:rPr>
        <w:t>’</w:t>
      </w:r>
      <w:r w:rsidRPr="00A779B8">
        <w:rPr>
          <w:lang w:val="fr-FR"/>
        </w:rPr>
        <w:t>orifice de branchement du moteur (voir le diagramme ci</w:t>
      </w:r>
      <w:r w:rsidRPr="00A779B8">
        <w:rPr>
          <w:lang w:val="fr-FR"/>
        </w:rPr>
        <w:noBreakHyphen/>
        <w:t>dessous).</w:t>
      </w:r>
    </w:p>
    <w:p w:rsidR="008A4759" w:rsidRPr="00A779B8" w:rsidRDefault="008A4759" w:rsidP="008A4759">
      <w:pPr>
        <w:pStyle w:val="Titre1"/>
        <w:spacing w:after="120"/>
        <w:rPr>
          <w:b/>
          <w:lang w:val="fr-FR"/>
        </w:rPr>
      </w:pPr>
      <w:r w:rsidRPr="00A779B8">
        <w:rPr>
          <w:b/>
          <w:lang w:val="fr-FR"/>
        </w:rPr>
        <w:lastRenderedPageBreak/>
        <w:t>Essai du type III</w:t>
      </w:r>
    </w:p>
    <w:bookmarkStart w:id="233" w:name="_MON_1433074645"/>
    <w:bookmarkStart w:id="234" w:name="_MON_1433074704"/>
    <w:bookmarkStart w:id="235" w:name="_MON_1433075145"/>
    <w:bookmarkStart w:id="236" w:name="_MON_1433075165"/>
    <w:bookmarkStart w:id="237" w:name="_MON_1433077061"/>
    <w:bookmarkStart w:id="238" w:name="_MON_1433083242"/>
    <w:bookmarkStart w:id="239" w:name="_MON_1433250274"/>
    <w:bookmarkStart w:id="240" w:name="_MON_1448960664"/>
    <w:bookmarkStart w:id="241" w:name="_MON_1448968346"/>
    <w:bookmarkEnd w:id="233"/>
    <w:bookmarkEnd w:id="234"/>
    <w:bookmarkEnd w:id="235"/>
    <w:bookmarkEnd w:id="236"/>
    <w:bookmarkEnd w:id="237"/>
    <w:bookmarkEnd w:id="238"/>
    <w:bookmarkEnd w:id="239"/>
    <w:bookmarkEnd w:id="240"/>
    <w:bookmarkEnd w:id="241"/>
    <w:p w:rsidR="00C858F6" w:rsidRDefault="008A4759" w:rsidP="008A4759">
      <w:pPr>
        <w:ind w:left="1134"/>
        <w:rPr>
          <w:lang w:val="fr-FR"/>
        </w:rPr>
      </w:pPr>
      <w:r w:rsidRPr="00A779B8">
        <w:rPr>
          <w:lang w:val="fr-FR"/>
        </w:rPr>
        <w:object w:dxaOrig="9929" w:dyaOrig="10890">
          <v:shape id="_x0000_i1116" type="#_x0000_t75" style="width:422.5pt;height:461.2pt" o:ole="">
            <v:imagedata r:id="rId218" o:title="" croptop="-3753f" cropleft="-4116f"/>
            <w10:bordertop type="single" width="4"/>
            <w10:borderleft type="single" width="4"/>
            <w10:borderbottom type="single" width="4"/>
            <w10:borderright type="single" width="4"/>
          </v:shape>
          <o:OLEObject Type="Embed" ProgID="Word.Picture.8" ShapeID="_x0000_i1116" DrawAspect="Content" ObjectID="_1490178461" r:id="rId219"/>
        </w:object>
      </w:r>
    </w:p>
    <w:p w:rsidR="00A320B5" w:rsidRDefault="00A320B5" w:rsidP="008A4759">
      <w:pPr>
        <w:ind w:left="1134"/>
        <w:sectPr w:rsidR="00A320B5" w:rsidSect="00C108AC">
          <w:headerReference w:type="even" r:id="rId220"/>
          <w:headerReference w:type="default" r:id="rId221"/>
          <w:footnotePr>
            <w:numRestart w:val="eachSect"/>
          </w:footnotePr>
          <w:endnotePr>
            <w:numFmt w:val="decimal"/>
          </w:endnotePr>
          <w:pgSz w:w="11907" w:h="16840" w:code="9"/>
          <w:pgMar w:top="1701" w:right="1134" w:bottom="2268" w:left="1134" w:header="794" w:footer="1701" w:gutter="0"/>
          <w:cols w:space="720"/>
          <w:docGrid w:linePitch="272"/>
        </w:sectPr>
      </w:pPr>
    </w:p>
    <w:p w:rsidR="00A320B5" w:rsidRPr="00A779B8" w:rsidRDefault="00A320B5" w:rsidP="00A320B5">
      <w:pPr>
        <w:pStyle w:val="HChG"/>
        <w:rPr>
          <w:lang w:val="fr-FR"/>
        </w:rPr>
      </w:pPr>
      <w:r w:rsidRPr="00A779B8">
        <w:rPr>
          <w:lang w:val="fr-FR"/>
        </w:rPr>
        <w:lastRenderedPageBreak/>
        <w:t>Annexe 7</w:t>
      </w:r>
    </w:p>
    <w:p w:rsidR="00A320B5" w:rsidRPr="00A779B8" w:rsidRDefault="00A320B5" w:rsidP="00A320B5">
      <w:pPr>
        <w:pStyle w:val="HChG"/>
        <w:rPr>
          <w:lang w:val="fr-FR"/>
        </w:rPr>
      </w:pPr>
      <w:r w:rsidRPr="00A779B8">
        <w:rPr>
          <w:lang w:val="fr-FR"/>
        </w:rPr>
        <w:tab/>
      </w:r>
      <w:r w:rsidRPr="00A779B8">
        <w:rPr>
          <w:lang w:val="fr-FR"/>
        </w:rPr>
        <w:tab/>
        <w:t>Essai du type IV</w:t>
      </w:r>
    </w:p>
    <w:p w:rsidR="00A320B5" w:rsidRPr="00A779B8" w:rsidRDefault="00A320B5" w:rsidP="00A320B5">
      <w:pPr>
        <w:pStyle w:val="SingleTxtG"/>
        <w:jc w:val="left"/>
        <w:rPr>
          <w:lang w:val="fr-FR"/>
        </w:rPr>
      </w:pPr>
      <w:r w:rsidRPr="00A779B8">
        <w:rPr>
          <w:lang w:val="fr-FR"/>
        </w:rPr>
        <w:t>(Détermination des émissions par évaporation provenant des véhicules à moteur</w:t>
      </w:r>
      <w:r w:rsidRPr="00A779B8">
        <w:rPr>
          <w:lang w:val="fr-FR"/>
        </w:rPr>
        <w:br/>
        <w:t>à allumage commandé)</w:t>
      </w:r>
    </w:p>
    <w:p w:rsidR="00A320B5" w:rsidRPr="00A779B8" w:rsidRDefault="00A320B5" w:rsidP="00A320B5">
      <w:pPr>
        <w:pStyle w:val="SingleTxtG"/>
        <w:keepNext/>
        <w:ind w:left="2268" w:hanging="1134"/>
        <w:jc w:val="left"/>
        <w:rPr>
          <w:lang w:val="fr-FR"/>
        </w:rPr>
      </w:pPr>
      <w:r w:rsidRPr="00A779B8">
        <w:rPr>
          <w:lang w:val="fr-FR"/>
        </w:rPr>
        <w:t>1.</w:t>
      </w:r>
      <w:r w:rsidRPr="00A779B8">
        <w:rPr>
          <w:lang w:val="fr-FR"/>
        </w:rPr>
        <w:tab/>
        <w:t>Introduction</w:t>
      </w:r>
    </w:p>
    <w:p w:rsidR="00A320B5" w:rsidRPr="00A779B8" w:rsidRDefault="00A320B5" w:rsidP="00A320B5">
      <w:pPr>
        <w:pStyle w:val="SingleTxtG"/>
        <w:ind w:left="2268"/>
        <w:rPr>
          <w:lang w:val="fr-FR"/>
        </w:rPr>
      </w:pPr>
      <w:r w:rsidRPr="00A779B8">
        <w:rPr>
          <w:lang w:val="fr-FR"/>
        </w:rPr>
        <w:tab/>
        <w:t>La présente annexe décrit la méthode à suivre pour l</w:t>
      </w:r>
      <w:r w:rsidR="00DB4C2D">
        <w:rPr>
          <w:lang w:val="fr-FR"/>
        </w:rPr>
        <w:t>’</w:t>
      </w:r>
      <w:r w:rsidRPr="00A779B8">
        <w:rPr>
          <w:lang w:val="fr-FR"/>
        </w:rPr>
        <w:t xml:space="preserve">essai du type IV, </w:t>
      </w:r>
      <w:r w:rsidRPr="00A779B8">
        <w:rPr>
          <w:lang w:val="fr-FR"/>
        </w:rPr>
        <w:tab/>
        <w:t xml:space="preserve">conformément au paragraphe 5.3.4 du présent Règlement. </w:t>
      </w:r>
    </w:p>
    <w:p w:rsidR="00A320B5" w:rsidRPr="00A779B8" w:rsidRDefault="00A320B5" w:rsidP="00A320B5">
      <w:pPr>
        <w:pStyle w:val="SingleTxtG"/>
        <w:ind w:left="2268"/>
        <w:rPr>
          <w:lang w:val="fr-FR"/>
        </w:rPr>
      </w:pPr>
      <w:r w:rsidRPr="00A779B8">
        <w:rPr>
          <w:lang w:val="fr-FR"/>
        </w:rPr>
        <w:tab/>
        <w:t>Cette procédure concerne une méthode à suivre pour déterminer les pertes d</w:t>
      </w:r>
      <w:r w:rsidR="00DB4C2D">
        <w:rPr>
          <w:lang w:val="fr-FR"/>
        </w:rPr>
        <w:t>’</w:t>
      </w:r>
      <w:r w:rsidRPr="00A779B8">
        <w:rPr>
          <w:lang w:val="fr-FR"/>
        </w:rPr>
        <w:t>hydrocarbures par évaporation provenant des systèmes d</w:t>
      </w:r>
      <w:r w:rsidR="00DB4C2D">
        <w:rPr>
          <w:lang w:val="fr-FR"/>
        </w:rPr>
        <w:t>’</w:t>
      </w:r>
      <w:r w:rsidRPr="00A779B8">
        <w:rPr>
          <w:lang w:val="fr-FR"/>
        </w:rPr>
        <w:t>alimentation en carburant des véhicules équipés de moteurs à allumage commandé.</w:t>
      </w:r>
    </w:p>
    <w:p w:rsidR="00A320B5" w:rsidRPr="00A779B8" w:rsidRDefault="00A320B5" w:rsidP="00A320B5">
      <w:pPr>
        <w:pStyle w:val="SingleTxtG"/>
        <w:keepNext/>
        <w:ind w:left="2268" w:hanging="1134"/>
        <w:jc w:val="left"/>
        <w:rPr>
          <w:lang w:val="fr-FR"/>
        </w:rPr>
      </w:pPr>
      <w:r w:rsidRPr="00A779B8">
        <w:rPr>
          <w:lang w:val="fr-FR"/>
        </w:rPr>
        <w:t>2.</w:t>
      </w:r>
      <w:r w:rsidRPr="00A779B8">
        <w:rPr>
          <w:lang w:val="fr-FR"/>
        </w:rPr>
        <w:tab/>
        <w:t>Description des essais</w:t>
      </w:r>
    </w:p>
    <w:p w:rsidR="00A320B5" w:rsidRPr="00A779B8" w:rsidRDefault="00A320B5" w:rsidP="00A320B5">
      <w:pPr>
        <w:pStyle w:val="SingleTxtG"/>
        <w:ind w:left="2268"/>
        <w:rPr>
          <w:lang w:val="fr-FR"/>
        </w:rPr>
      </w:pPr>
      <w:r w:rsidRPr="00A779B8">
        <w:rPr>
          <w:lang w:val="fr-FR"/>
        </w:rPr>
        <w:tab/>
        <w:t>L</w:t>
      </w:r>
      <w:r w:rsidR="00DB4C2D">
        <w:rPr>
          <w:lang w:val="fr-FR"/>
        </w:rPr>
        <w:t>’</w:t>
      </w:r>
      <w:r w:rsidRPr="00A779B8">
        <w:rPr>
          <w:lang w:val="fr-FR"/>
        </w:rPr>
        <w:t>essai d</w:t>
      </w:r>
      <w:r w:rsidR="00DB4C2D">
        <w:rPr>
          <w:lang w:val="fr-FR"/>
        </w:rPr>
        <w:t>’</w:t>
      </w:r>
      <w:r w:rsidRPr="00A779B8">
        <w:rPr>
          <w:lang w:val="fr-FR"/>
        </w:rPr>
        <w:t>émissions par évaporation (fig. A7/1) est conçu pour mesurer les émissions d</w:t>
      </w:r>
      <w:r w:rsidR="00DB4C2D">
        <w:rPr>
          <w:lang w:val="fr-FR"/>
        </w:rPr>
        <w:t>’</w:t>
      </w:r>
      <w:r w:rsidRPr="00A779B8">
        <w:rPr>
          <w:lang w:val="fr-FR"/>
        </w:rPr>
        <w:t>hydrocarbures par évaporation provoquées par les fluctuations de la température diurne, l</w:t>
      </w:r>
      <w:r w:rsidR="00DB4C2D">
        <w:rPr>
          <w:lang w:val="fr-FR"/>
        </w:rPr>
        <w:t>’</w:t>
      </w:r>
      <w:r w:rsidRPr="00A779B8">
        <w:rPr>
          <w:lang w:val="fr-FR"/>
        </w:rPr>
        <w:t>imprégnation à chaud au cours du stationnement et la conduite urbaine. L</w:t>
      </w:r>
      <w:r w:rsidR="00DB4C2D">
        <w:rPr>
          <w:lang w:val="fr-FR"/>
        </w:rPr>
        <w:t>’</w:t>
      </w:r>
      <w:r w:rsidRPr="00A779B8">
        <w:rPr>
          <w:lang w:val="fr-FR"/>
        </w:rPr>
        <w:t>essai comporte les phases suivantes:</w:t>
      </w:r>
    </w:p>
    <w:p w:rsidR="00A320B5" w:rsidRPr="00A779B8" w:rsidRDefault="00A320B5" w:rsidP="00A320B5">
      <w:pPr>
        <w:pStyle w:val="SingleTxtG"/>
        <w:ind w:left="2268" w:hanging="1134"/>
        <w:rPr>
          <w:lang w:val="fr-FR"/>
        </w:rPr>
      </w:pPr>
      <w:r w:rsidRPr="00A779B8">
        <w:rPr>
          <w:lang w:val="fr-FR"/>
        </w:rPr>
        <w:t>2.1</w:t>
      </w:r>
      <w:r w:rsidRPr="00A779B8">
        <w:rPr>
          <w:lang w:val="fr-FR"/>
        </w:rPr>
        <w:tab/>
        <w:t>Préparation de l</w:t>
      </w:r>
      <w:r w:rsidR="00DB4C2D">
        <w:rPr>
          <w:lang w:val="fr-FR"/>
        </w:rPr>
        <w:t>’</w:t>
      </w:r>
      <w:r w:rsidRPr="00A779B8">
        <w:rPr>
          <w:lang w:val="fr-FR"/>
        </w:rPr>
        <w:t>essai, comprenant un cycle de conduite urbain (première partie) et un cycle de conduite extra-urbain (seconde partie);</w:t>
      </w:r>
    </w:p>
    <w:p w:rsidR="00A320B5" w:rsidRPr="00A779B8" w:rsidRDefault="00A320B5" w:rsidP="00A320B5">
      <w:pPr>
        <w:pStyle w:val="SingleTxtG"/>
        <w:ind w:left="2268" w:hanging="1134"/>
        <w:rPr>
          <w:lang w:val="fr-FR"/>
        </w:rPr>
      </w:pPr>
      <w:r w:rsidRPr="00A779B8">
        <w:rPr>
          <w:lang w:val="fr-FR"/>
        </w:rPr>
        <w:t>2.2</w:t>
      </w:r>
      <w:r w:rsidRPr="00A779B8">
        <w:rPr>
          <w:lang w:val="fr-FR"/>
        </w:rPr>
        <w:tab/>
        <w:t>Détermination de la perte par imprégnation à chaud;</w:t>
      </w:r>
    </w:p>
    <w:p w:rsidR="00A320B5" w:rsidRPr="00A779B8" w:rsidRDefault="00A320B5" w:rsidP="00A320B5">
      <w:pPr>
        <w:pStyle w:val="SingleTxtG"/>
        <w:ind w:left="2268" w:hanging="1134"/>
        <w:rPr>
          <w:lang w:val="fr-FR"/>
        </w:rPr>
      </w:pPr>
      <w:r w:rsidRPr="00A779B8">
        <w:rPr>
          <w:lang w:val="fr-FR"/>
        </w:rPr>
        <w:t>2.3</w:t>
      </w:r>
      <w:r w:rsidRPr="00A779B8">
        <w:rPr>
          <w:lang w:val="fr-FR"/>
        </w:rPr>
        <w:tab/>
        <w:t>Détermination de la perte diurne.</w:t>
      </w:r>
    </w:p>
    <w:p w:rsidR="00A320B5" w:rsidRPr="00A779B8" w:rsidRDefault="00A320B5" w:rsidP="00A320B5">
      <w:pPr>
        <w:pStyle w:val="SingleTxtG"/>
        <w:ind w:left="2268"/>
        <w:rPr>
          <w:lang w:val="fr-FR"/>
        </w:rPr>
      </w:pPr>
      <w:r w:rsidRPr="00A779B8">
        <w:rPr>
          <w:lang w:val="fr-FR"/>
        </w:rPr>
        <w:tab/>
        <w:t>On additionne la masse d</w:t>
      </w:r>
      <w:r w:rsidR="00DB4C2D">
        <w:rPr>
          <w:lang w:val="fr-FR"/>
        </w:rPr>
        <w:t>’</w:t>
      </w:r>
      <w:r w:rsidRPr="00A779B8">
        <w:rPr>
          <w:lang w:val="fr-FR"/>
        </w:rPr>
        <w:t>hydrocarbures résultant des pertes par imprégnation à chaud et des pertes diurnes pour obtenir le résultat global de l</w:t>
      </w:r>
      <w:r w:rsidR="00DB4C2D">
        <w:rPr>
          <w:lang w:val="fr-FR"/>
        </w:rPr>
        <w:t>’</w:t>
      </w:r>
      <w:r w:rsidRPr="00A779B8">
        <w:rPr>
          <w:lang w:val="fr-FR"/>
        </w:rPr>
        <w:t>essai.</w:t>
      </w:r>
    </w:p>
    <w:p w:rsidR="00A320B5" w:rsidRPr="00A779B8" w:rsidRDefault="00A320B5" w:rsidP="00A320B5">
      <w:pPr>
        <w:pStyle w:val="SingleTxtG"/>
        <w:keepNext/>
        <w:ind w:left="2268" w:hanging="1134"/>
        <w:jc w:val="left"/>
        <w:rPr>
          <w:lang w:val="fr-FR"/>
        </w:rPr>
      </w:pPr>
      <w:r w:rsidRPr="00A779B8">
        <w:rPr>
          <w:lang w:val="fr-FR"/>
        </w:rPr>
        <w:t>3.</w:t>
      </w:r>
      <w:r w:rsidRPr="00A779B8">
        <w:rPr>
          <w:lang w:val="fr-FR"/>
        </w:rPr>
        <w:tab/>
        <w:t>Véhicule et carburant</w:t>
      </w:r>
    </w:p>
    <w:p w:rsidR="00A320B5" w:rsidRPr="00A779B8" w:rsidRDefault="00A320B5" w:rsidP="00A320B5">
      <w:pPr>
        <w:pStyle w:val="SingleTxtG"/>
        <w:keepNext/>
        <w:ind w:left="2268" w:hanging="1134"/>
        <w:jc w:val="left"/>
        <w:rPr>
          <w:lang w:val="fr-FR"/>
        </w:rPr>
      </w:pPr>
      <w:r w:rsidRPr="00A779B8">
        <w:rPr>
          <w:lang w:val="fr-FR"/>
        </w:rPr>
        <w:t>3.1</w:t>
      </w:r>
      <w:r w:rsidRPr="00A779B8">
        <w:rPr>
          <w:lang w:val="fr-FR"/>
        </w:rPr>
        <w:tab/>
        <w:t>Véhicule</w:t>
      </w:r>
    </w:p>
    <w:p w:rsidR="00A320B5" w:rsidRPr="00A779B8" w:rsidRDefault="00A320B5" w:rsidP="00A320B5">
      <w:pPr>
        <w:pStyle w:val="SingleTxtG"/>
        <w:ind w:left="2268" w:hanging="1134"/>
        <w:rPr>
          <w:lang w:val="fr-FR"/>
        </w:rPr>
      </w:pPr>
      <w:r w:rsidRPr="00A779B8">
        <w:rPr>
          <w:lang w:val="fr-FR"/>
        </w:rPr>
        <w:t>3.1.1</w:t>
      </w:r>
      <w:r w:rsidRPr="00A779B8">
        <w:rPr>
          <w:lang w:val="fr-FR"/>
        </w:rPr>
        <w:tab/>
        <w:t>Le véhicule présenté doit être en bon état mécanique; il doit avoir été rodé et avoir parcouru au moins 3 000 km avant l</w:t>
      </w:r>
      <w:r w:rsidR="00DB4C2D">
        <w:rPr>
          <w:lang w:val="fr-FR"/>
        </w:rPr>
        <w:t>’</w:t>
      </w:r>
      <w:r w:rsidRPr="00A779B8">
        <w:rPr>
          <w:lang w:val="fr-FR"/>
        </w:rPr>
        <w:t>essai. Pendant cette période, le système de contrôle des émissions par évaporation doit être branché et fonctionner correctement, le ou les absorbeurs des vapeurs de carburant (</w:t>
      </w:r>
      <w:proofErr w:type="spellStart"/>
      <w:r w:rsidRPr="00A779B8">
        <w:rPr>
          <w:lang w:val="fr-FR"/>
        </w:rPr>
        <w:t>canisters</w:t>
      </w:r>
      <w:proofErr w:type="spellEnd"/>
      <w:r w:rsidRPr="00A779B8">
        <w:rPr>
          <w:lang w:val="fr-FR"/>
        </w:rPr>
        <w:t>) étant soumis à un emploi normal, sans purge ni charge anormale.</w:t>
      </w:r>
    </w:p>
    <w:p w:rsidR="00A320B5" w:rsidRPr="00A779B8" w:rsidRDefault="00A320B5" w:rsidP="00A320B5">
      <w:pPr>
        <w:pStyle w:val="SingleTxtG"/>
        <w:keepNext/>
        <w:ind w:left="2268" w:hanging="1134"/>
        <w:jc w:val="left"/>
        <w:rPr>
          <w:lang w:val="fr-FR"/>
        </w:rPr>
      </w:pPr>
      <w:r w:rsidRPr="00A779B8">
        <w:rPr>
          <w:lang w:val="fr-FR"/>
        </w:rPr>
        <w:t>3.2</w:t>
      </w:r>
      <w:r w:rsidRPr="00A779B8">
        <w:rPr>
          <w:lang w:val="fr-FR"/>
        </w:rPr>
        <w:tab/>
        <w:t>Carburant</w:t>
      </w:r>
    </w:p>
    <w:p w:rsidR="00A320B5" w:rsidRPr="00A779B8" w:rsidRDefault="00A320B5" w:rsidP="00A320B5">
      <w:pPr>
        <w:pStyle w:val="SingleTxtG"/>
        <w:ind w:left="2268" w:hanging="1134"/>
        <w:rPr>
          <w:lang w:val="fr-FR"/>
        </w:rPr>
      </w:pPr>
      <w:r w:rsidRPr="00A779B8">
        <w:rPr>
          <w:lang w:val="fr-FR"/>
        </w:rPr>
        <w:t>3.2.1</w:t>
      </w:r>
      <w:r w:rsidRPr="00A779B8">
        <w:rPr>
          <w:lang w:val="fr-FR"/>
        </w:rPr>
        <w:tab/>
        <w:t>Le carburant de référence approprié doit être utilisé comme indiqué aux annexes 10 ou 10a du présent Règlement.</w:t>
      </w:r>
    </w:p>
    <w:p w:rsidR="00A320B5" w:rsidRPr="00A779B8" w:rsidRDefault="00A320B5" w:rsidP="00A320B5">
      <w:pPr>
        <w:pStyle w:val="SingleTxtG"/>
        <w:keepNext/>
        <w:ind w:left="2268" w:hanging="1134"/>
        <w:jc w:val="left"/>
        <w:rPr>
          <w:lang w:val="fr-FR"/>
        </w:rPr>
      </w:pPr>
      <w:r w:rsidRPr="00A779B8">
        <w:rPr>
          <w:lang w:val="fr-FR"/>
        </w:rPr>
        <w:t>4.</w:t>
      </w:r>
      <w:r w:rsidRPr="00A779B8">
        <w:rPr>
          <w:lang w:val="fr-FR"/>
        </w:rPr>
        <w:tab/>
        <w:t>Appareillage pour l</w:t>
      </w:r>
      <w:r w:rsidR="00DB4C2D">
        <w:rPr>
          <w:lang w:val="fr-FR"/>
        </w:rPr>
        <w:t>’</w:t>
      </w:r>
      <w:r w:rsidRPr="00A779B8">
        <w:rPr>
          <w:lang w:val="fr-FR"/>
        </w:rPr>
        <w:t>essai d</w:t>
      </w:r>
      <w:r w:rsidR="00DB4C2D">
        <w:rPr>
          <w:lang w:val="fr-FR"/>
        </w:rPr>
        <w:t>’</w:t>
      </w:r>
      <w:r w:rsidRPr="00A779B8">
        <w:rPr>
          <w:lang w:val="fr-FR"/>
        </w:rPr>
        <w:t>émissions par évaporation</w:t>
      </w:r>
    </w:p>
    <w:p w:rsidR="00A320B5" w:rsidRPr="00A779B8" w:rsidRDefault="00A320B5" w:rsidP="00A320B5">
      <w:pPr>
        <w:pStyle w:val="SingleTxtG"/>
        <w:keepNext/>
        <w:ind w:left="2268" w:hanging="1134"/>
        <w:jc w:val="left"/>
        <w:rPr>
          <w:lang w:val="fr-FR"/>
        </w:rPr>
      </w:pPr>
      <w:r w:rsidRPr="00A779B8">
        <w:rPr>
          <w:lang w:val="fr-FR"/>
        </w:rPr>
        <w:t>4.1</w:t>
      </w:r>
      <w:r w:rsidRPr="00A779B8">
        <w:rPr>
          <w:lang w:val="fr-FR"/>
        </w:rPr>
        <w:tab/>
        <w:t>Banc à rouleaux</w:t>
      </w:r>
    </w:p>
    <w:p w:rsidR="00A320B5" w:rsidRPr="00A779B8" w:rsidRDefault="00A320B5" w:rsidP="00A320B5">
      <w:pPr>
        <w:pStyle w:val="SingleTxtG"/>
        <w:ind w:left="2268"/>
        <w:rPr>
          <w:lang w:val="fr-FR"/>
        </w:rPr>
      </w:pPr>
      <w:r w:rsidRPr="00A779B8">
        <w:rPr>
          <w:lang w:val="fr-FR"/>
        </w:rPr>
        <w:tab/>
        <w:t>Le banc à rouleaux doit être conforme aux exigences de l</w:t>
      </w:r>
      <w:r w:rsidR="00DB4C2D">
        <w:rPr>
          <w:lang w:val="fr-FR"/>
        </w:rPr>
        <w:t>’</w:t>
      </w:r>
      <w:r w:rsidRPr="00A779B8">
        <w:rPr>
          <w:lang w:val="fr-FR"/>
        </w:rPr>
        <w:t>appendice 1 de l</w:t>
      </w:r>
      <w:r w:rsidR="00DB4C2D">
        <w:rPr>
          <w:lang w:val="fr-FR"/>
        </w:rPr>
        <w:t>’</w:t>
      </w:r>
      <w:r w:rsidRPr="00A779B8">
        <w:rPr>
          <w:lang w:val="fr-FR"/>
        </w:rPr>
        <w:t>annexe 4a du présent Règlement.</w:t>
      </w:r>
    </w:p>
    <w:p w:rsidR="00A320B5" w:rsidRPr="00A779B8" w:rsidRDefault="00A320B5" w:rsidP="00A320B5">
      <w:pPr>
        <w:pStyle w:val="SingleTxtG"/>
        <w:keepLines/>
        <w:ind w:left="2268" w:hanging="1134"/>
        <w:jc w:val="left"/>
        <w:rPr>
          <w:lang w:val="fr-FR"/>
        </w:rPr>
      </w:pPr>
      <w:r w:rsidRPr="00A779B8">
        <w:rPr>
          <w:lang w:val="fr-FR"/>
        </w:rPr>
        <w:t>4.2</w:t>
      </w:r>
      <w:r w:rsidRPr="00A779B8">
        <w:rPr>
          <w:lang w:val="fr-FR"/>
        </w:rPr>
        <w:tab/>
        <w:t>Enceinte de mesure des émissions par évaporation</w:t>
      </w:r>
    </w:p>
    <w:p w:rsidR="00A320B5" w:rsidRPr="00A779B8" w:rsidRDefault="00A320B5" w:rsidP="00A320B5">
      <w:pPr>
        <w:pStyle w:val="SingleTxtG"/>
        <w:ind w:left="2268"/>
        <w:rPr>
          <w:lang w:val="fr-FR"/>
        </w:rPr>
      </w:pPr>
      <w:r w:rsidRPr="00A779B8">
        <w:rPr>
          <w:lang w:val="fr-FR"/>
        </w:rPr>
        <w:tab/>
        <w:t>L</w:t>
      </w:r>
      <w:r w:rsidR="00DB4C2D">
        <w:rPr>
          <w:lang w:val="fr-FR"/>
        </w:rPr>
        <w:t>’</w:t>
      </w:r>
      <w:r w:rsidRPr="00A779B8">
        <w:rPr>
          <w:lang w:val="fr-FR"/>
        </w:rPr>
        <w:t>enceinte de mesure des émissions par évaporation doit être constituée par une enveloppe étanche aux gaz, de forme rectangulaire, pouvant contenir le véhicule soumis à l</w:t>
      </w:r>
      <w:r w:rsidR="00DB4C2D">
        <w:rPr>
          <w:lang w:val="fr-FR"/>
        </w:rPr>
        <w:t>’</w:t>
      </w:r>
      <w:r w:rsidRPr="00A779B8">
        <w:rPr>
          <w:lang w:val="fr-FR"/>
        </w:rPr>
        <w:t xml:space="preserve">essai. Le véhicule doit être accessible de tous les </w:t>
      </w:r>
      <w:r w:rsidR="0003588C" w:rsidRPr="00A779B8">
        <w:rPr>
          <w:lang w:val="fr-FR"/>
        </w:rPr>
        <w:t>côtés</w:t>
      </w:r>
      <w:r w:rsidRPr="00A779B8">
        <w:rPr>
          <w:lang w:val="fr-FR"/>
        </w:rPr>
        <w:t xml:space="preserve"> et, </w:t>
      </w:r>
      <w:r w:rsidRPr="00A779B8">
        <w:rPr>
          <w:lang w:val="fr-FR"/>
        </w:rPr>
        <w:lastRenderedPageBreak/>
        <w:t>lorsque l</w:t>
      </w:r>
      <w:r w:rsidR="00DB4C2D">
        <w:rPr>
          <w:lang w:val="fr-FR"/>
        </w:rPr>
        <w:t>’</w:t>
      </w:r>
      <w:r w:rsidRPr="00A779B8">
        <w:rPr>
          <w:lang w:val="fr-FR"/>
        </w:rPr>
        <w:t>enceinte est fermée de manière étanche, elle doit être imperméable aux gaz, conformément à l</w:t>
      </w:r>
      <w:r w:rsidR="00DB4C2D">
        <w:rPr>
          <w:lang w:val="fr-FR"/>
        </w:rPr>
        <w:t>’</w:t>
      </w:r>
      <w:r w:rsidRPr="00A779B8">
        <w:rPr>
          <w:lang w:val="fr-FR"/>
        </w:rPr>
        <w:t>appendice 1 de la présente annexe. La surface intérieure de l</w:t>
      </w:r>
      <w:r w:rsidR="00DB4C2D">
        <w:rPr>
          <w:lang w:val="fr-FR"/>
        </w:rPr>
        <w:t>’</w:t>
      </w:r>
      <w:r w:rsidRPr="00A779B8">
        <w:rPr>
          <w:lang w:val="fr-FR"/>
        </w:rPr>
        <w:t>enveloppe doit être imperméable et non réactive aux hydrocarbures. Le système de régulation de température doit permettre de régler la température de l</w:t>
      </w:r>
      <w:r w:rsidR="00DB4C2D">
        <w:rPr>
          <w:lang w:val="fr-FR"/>
        </w:rPr>
        <w:t>’</w:t>
      </w:r>
      <w:r w:rsidRPr="00A779B8">
        <w:rPr>
          <w:lang w:val="fr-FR"/>
        </w:rPr>
        <w:t>air à l</w:t>
      </w:r>
      <w:r w:rsidR="00DB4C2D">
        <w:rPr>
          <w:lang w:val="fr-FR"/>
        </w:rPr>
        <w:t>’</w:t>
      </w:r>
      <w:r w:rsidRPr="00A779B8">
        <w:rPr>
          <w:lang w:val="fr-FR"/>
        </w:rPr>
        <w:t>intérieur de l</w:t>
      </w:r>
      <w:r w:rsidR="00DB4C2D">
        <w:rPr>
          <w:lang w:val="fr-FR"/>
        </w:rPr>
        <w:t>’</w:t>
      </w:r>
      <w:r w:rsidRPr="00A779B8">
        <w:rPr>
          <w:lang w:val="fr-FR"/>
        </w:rPr>
        <w:t>enceinte afin de respecter, pendant toute la durée de l</w:t>
      </w:r>
      <w:r w:rsidR="00DB4C2D">
        <w:rPr>
          <w:lang w:val="fr-FR"/>
        </w:rPr>
        <w:t>’</w:t>
      </w:r>
      <w:r w:rsidRPr="00A779B8">
        <w:rPr>
          <w:lang w:val="fr-FR"/>
        </w:rPr>
        <w:t xml:space="preserve">essai, le profil température/temps prévu, avec une tolérance moyenne de </w:t>
      </w:r>
      <w:r w:rsidRPr="00A779B8">
        <w:rPr>
          <w:lang w:val="fr-FR"/>
        </w:rPr>
        <w:sym w:font="Symbol" w:char="F0B1"/>
      </w:r>
      <w:r w:rsidRPr="00A779B8">
        <w:rPr>
          <w:lang w:val="fr-FR"/>
        </w:rPr>
        <w:t>1 K sur la durée de l</w:t>
      </w:r>
      <w:r w:rsidR="00DB4C2D">
        <w:rPr>
          <w:lang w:val="fr-FR"/>
        </w:rPr>
        <w:t>’</w:t>
      </w:r>
      <w:r w:rsidRPr="00A779B8">
        <w:rPr>
          <w:lang w:val="fr-FR"/>
        </w:rPr>
        <w:t>essai.</w:t>
      </w:r>
    </w:p>
    <w:p w:rsidR="00A320B5" w:rsidRPr="00A779B8" w:rsidRDefault="00A320B5" w:rsidP="00A320B5">
      <w:pPr>
        <w:pStyle w:val="SingleTxtG"/>
        <w:ind w:left="2268"/>
        <w:rPr>
          <w:lang w:val="fr-FR"/>
        </w:rPr>
      </w:pPr>
      <w:r w:rsidRPr="00A779B8">
        <w:rPr>
          <w:lang w:val="fr-FR"/>
        </w:rPr>
        <w:tab/>
        <w:t>Le système de régulation doit être réglé de manière à obtenir un profil de température lisse, présentant le moins possible de dépassements temporaires, de pompage et d</w:t>
      </w:r>
      <w:r w:rsidR="00DB4C2D">
        <w:rPr>
          <w:lang w:val="fr-FR"/>
        </w:rPr>
        <w:t>’</w:t>
      </w:r>
      <w:r w:rsidRPr="00A779B8">
        <w:rPr>
          <w:lang w:val="fr-FR"/>
        </w:rPr>
        <w:t>instabilité par rapport au profil souhaité de température ambiante à long terme. La température de la paroi intérieure ne doit à aucun moment descendre au-dessous de 278 K (5 °C), ni dépasser 328 K (55 °C) pendant l</w:t>
      </w:r>
      <w:r w:rsidR="00DB4C2D">
        <w:rPr>
          <w:lang w:val="fr-FR"/>
        </w:rPr>
        <w:t>’</w:t>
      </w:r>
      <w:r w:rsidRPr="00A779B8">
        <w:rPr>
          <w:lang w:val="fr-FR"/>
        </w:rPr>
        <w:t>essai d</w:t>
      </w:r>
      <w:r w:rsidR="00DB4C2D">
        <w:rPr>
          <w:lang w:val="fr-FR"/>
        </w:rPr>
        <w:t>’</w:t>
      </w:r>
      <w:r w:rsidRPr="00A779B8">
        <w:rPr>
          <w:lang w:val="fr-FR"/>
        </w:rPr>
        <w:t>émissions diurne.</w:t>
      </w:r>
    </w:p>
    <w:p w:rsidR="00A320B5" w:rsidRPr="00A779B8" w:rsidRDefault="00A320B5" w:rsidP="00A320B5">
      <w:pPr>
        <w:pStyle w:val="SingleTxtG"/>
        <w:ind w:left="2268"/>
        <w:rPr>
          <w:lang w:val="fr-FR"/>
        </w:rPr>
      </w:pPr>
      <w:r w:rsidRPr="00A779B8">
        <w:rPr>
          <w:lang w:val="fr-FR"/>
        </w:rPr>
        <w:tab/>
        <w:t>Les parois doivent être conçues de façon à faciliter une bonne évacuation de la chaleur. La température de la paroi intérieure ne doit pas descendre au</w:t>
      </w:r>
      <w:r w:rsidRPr="00A779B8">
        <w:rPr>
          <w:lang w:val="fr-FR"/>
        </w:rPr>
        <w:noBreakHyphen/>
        <w:t>dessous de 293 K (20 °C), ni dépasser 325 K (52 °C) pendant l</w:t>
      </w:r>
      <w:r w:rsidR="00DB4C2D">
        <w:rPr>
          <w:lang w:val="fr-FR"/>
        </w:rPr>
        <w:t>’</w:t>
      </w:r>
      <w:r w:rsidRPr="00A779B8">
        <w:rPr>
          <w:lang w:val="fr-FR"/>
        </w:rPr>
        <w:t>essai d</w:t>
      </w:r>
      <w:r w:rsidR="00DB4C2D">
        <w:rPr>
          <w:lang w:val="fr-FR"/>
        </w:rPr>
        <w:t>’</w:t>
      </w:r>
      <w:r w:rsidRPr="00A779B8">
        <w:rPr>
          <w:lang w:val="fr-FR"/>
        </w:rPr>
        <w:t>imprégnation à chaud.</w:t>
      </w:r>
    </w:p>
    <w:p w:rsidR="00A320B5" w:rsidRPr="00A779B8" w:rsidRDefault="00A320B5" w:rsidP="00A320B5">
      <w:pPr>
        <w:pStyle w:val="SingleTxtG"/>
        <w:ind w:left="2268"/>
        <w:rPr>
          <w:lang w:val="fr-FR"/>
        </w:rPr>
      </w:pPr>
      <w:r w:rsidRPr="00A779B8">
        <w:rPr>
          <w:lang w:val="fr-FR"/>
        </w:rPr>
        <w:tab/>
        <w:t>Pour résoudre le problème des variations de volume dues aux changements de température à l</w:t>
      </w:r>
      <w:r w:rsidR="00DB4C2D">
        <w:rPr>
          <w:lang w:val="fr-FR"/>
        </w:rPr>
        <w:t>’</w:t>
      </w:r>
      <w:r w:rsidRPr="00A779B8">
        <w:rPr>
          <w:lang w:val="fr-FR"/>
        </w:rPr>
        <w:t>intérieur de l</w:t>
      </w:r>
      <w:r w:rsidR="00DB4C2D">
        <w:rPr>
          <w:lang w:val="fr-FR"/>
        </w:rPr>
        <w:t>’</w:t>
      </w:r>
      <w:r w:rsidRPr="00A779B8">
        <w:rPr>
          <w:lang w:val="fr-FR"/>
        </w:rPr>
        <w:t>enceinte, on peut utiliser soit une enceinte à volume fixe, soit une enceinte à volume variable.</w:t>
      </w:r>
    </w:p>
    <w:p w:rsidR="00A320B5" w:rsidRPr="00A779B8" w:rsidRDefault="00A320B5" w:rsidP="00A320B5">
      <w:pPr>
        <w:pStyle w:val="SingleTxtG"/>
        <w:keepNext/>
        <w:ind w:left="2268" w:hanging="1134"/>
        <w:jc w:val="left"/>
        <w:rPr>
          <w:lang w:val="fr-FR"/>
        </w:rPr>
      </w:pPr>
      <w:r w:rsidRPr="00A779B8">
        <w:rPr>
          <w:lang w:val="fr-FR"/>
        </w:rPr>
        <w:t>4.2.1</w:t>
      </w:r>
      <w:r w:rsidRPr="00A779B8">
        <w:rPr>
          <w:lang w:val="fr-FR"/>
        </w:rPr>
        <w:tab/>
        <w:t>Enceinte à volume variable</w:t>
      </w:r>
    </w:p>
    <w:p w:rsidR="00A320B5" w:rsidRPr="00A779B8" w:rsidRDefault="00A320B5" w:rsidP="00A320B5">
      <w:pPr>
        <w:pStyle w:val="SingleTxtG"/>
        <w:ind w:left="2268"/>
        <w:rPr>
          <w:lang w:val="fr-FR"/>
        </w:rPr>
      </w:pPr>
      <w:r w:rsidRPr="00A779B8">
        <w:rPr>
          <w:lang w:val="fr-FR"/>
        </w:rPr>
        <w:tab/>
        <w:t>L</w:t>
      </w:r>
      <w:r w:rsidR="00DB4C2D">
        <w:rPr>
          <w:lang w:val="fr-FR"/>
        </w:rPr>
        <w:t>’</w:t>
      </w:r>
      <w:r w:rsidRPr="00A779B8">
        <w:rPr>
          <w:lang w:val="fr-FR"/>
        </w:rPr>
        <w:t>enceinte à volume variable se dilate et se contracte en réaction aux variations de température de la masse d</w:t>
      </w:r>
      <w:r w:rsidR="00DB4C2D">
        <w:rPr>
          <w:lang w:val="fr-FR"/>
        </w:rPr>
        <w:t>’</w:t>
      </w:r>
      <w:r w:rsidRPr="00A779B8">
        <w:rPr>
          <w:lang w:val="fr-FR"/>
        </w:rPr>
        <w:t>air qu</w:t>
      </w:r>
      <w:r w:rsidR="00DB4C2D">
        <w:rPr>
          <w:lang w:val="fr-FR"/>
        </w:rPr>
        <w:t>’</w:t>
      </w:r>
      <w:r w:rsidRPr="00A779B8">
        <w:rPr>
          <w:lang w:val="fr-FR"/>
        </w:rPr>
        <w:t>elle contient. Deux moyens possibles pour faire varier le volume intérieur consistent à utiliser des panneaux mobiles, ou un système de soufflets, dans lequel des sacs imperméables placés à l</w:t>
      </w:r>
      <w:r w:rsidR="00DB4C2D">
        <w:rPr>
          <w:lang w:val="fr-FR"/>
        </w:rPr>
        <w:t>’</w:t>
      </w:r>
      <w:r w:rsidRPr="00A779B8">
        <w:rPr>
          <w:lang w:val="fr-FR"/>
        </w:rPr>
        <w:t>intérieur de l</w:t>
      </w:r>
      <w:r w:rsidR="00DB4C2D">
        <w:rPr>
          <w:lang w:val="fr-FR"/>
        </w:rPr>
        <w:t>’</w:t>
      </w:r>
      <w:r w:rsidRPr="00A779B8">
        <w:rPr>
          <w:lang w:val="fr-FR"/>
        </w:rPr>
        <w:t>enceinte se dilatent et se contractent en réaction aux variations de pression internes, par échange d</w:t>
      </w:r>
      <w:r w:rsidR="00DB4C2D">
        <w:rPr>
          <w:lang w:val="fr-FR"/>
        </w:rPr>
        <w:t>’</w:t>
      </w:r>
      <w:r w:rsidRPr="00A779B8">
        <w:rPr>
          <w:lang w:val="fr-FR"/>
        </w:rPr>
        <w:t>air avec l</w:t>
      </w:r>
      <w:r w:rsidR="00DB4C2D">
        <w:rPr>
          <w:lang w:val="fr-FR"/>
        </w:rPr>
        <w:t>’</w:t>
      </w:r>
      <w:r w:rsidRPr="00A779B8">
        <w:rPr>
          <w:lang w:val="fr-FR"/>
        </w:rPr>
        <w:t>extérieur de l</w:t>
      </w:r>
      <w:r w:rsidR="00DB4C2D">
        <w:rPr>
          <w:lang w:val="fr-FR"/>
        </w:rPr>
        <w:t>’</w:t>
      </w:r>
      <w:r w:rsidRPr="00A779B8">
        <w:rPr>
          <w:lang w:val="fr-FR"/>
        </w:rPr>
        <w:t>enceinte. Tout système de variation du volume doit respecter l</w:t>
      </w:r>
      <w:r w:rsidR="00DB4C2D">
        <w:rPr>
          <w:lang w:val="fr-FR"/>
        </w:rPr>
        <w:t>’</w:t>
      </w:r>
      <w:r w:rsidRPr="00A779B8">
        <w:rPr>
          <w:lang w:val="fr-FR"/>
        </w:rPr>
        <w:t>intégrité de l</w:t>
      </w:r>
      <w:r w:rsidR="00DB4C2D">
        <w:rPr>
          <w:lang w:val="fr-FR"/>
        </w:rPr>
        <w:t>’</w:t>
      </w:r>
      <w:r w:rsidRPr="00A779B8">
        <w:rPr>
          <w:lang w:val="fr-FR"/>
        </w:rPr>
        <w:t>enceinte conformément à l</w:t>
      </w:r>
      <w:r w:rsidR="00DB4C2D">
        <w:rPr>
          <w:lang w:val="fr-FR"/>
        </w:rPr>
        <w:t>’</w:t>
      </w:r>
      <w:r w:rsidRPr="00A779B8">
        <w:rPr>
          <w:lang w:val="fr-FR"/>
        </w:rPr>
        <w:t>appendice 1 de la présente annexe, sur la plage de températures spécifiée.</w:t>
      </w:r>
    </w:p>
    <w:p w:rsidR="00A320B5" w:rsidRPr="00A779B8" w:rsidRDefault="00A320B5" w:rsidP="00A320B5">
      <w:pPr>
        <w:pStyle w:val="SingleTxtG"/>
        <w:ind w:left="2268"/>
        <w:rPr>
          <w:lang w:val="fr-FR"/>
        </w:rPr>
      </w:pPr>
      <w:r w:rsidRPr="00A779B8">
        <w:rPr>
          <w:lang w:val="fr-FR"/>
        </w:rPr>
        <w:tab/>
        <w:t>Toute méthode de variation du volume doit limiter le différentiel entre la pression interne de l</w:t>
      </w:r>
      <w:r w:rsidR="00DB4C2D">
        <w:rPr>
          <w:lang w:val="fr-FR"/>
        </w:rPr>
        <w:t>’</w:t>
      </w:r>
      <w:r w:rsidRPr="00A779B8">
        <w:rPr>
          <w:lang w:val="fr-FR"/>
        </w:rPr>
        <w:t xml:space="preserve">enceinte et la pression barométrique à une valeur maximale de </w:t>
      </w:r>
      <w:r w:rsidRPr="00A779B8">
        <w:rPr>
          <w:lang w:val="fr-FR"/>
        </w:rPr>
        <w:sym w:font="Symbol" w:char="F0B1"/>
      </w:r>
      <w:r w:rsidRPr="00A779B8">
        <w:rPr>
          <w:lang w:val="fr-FR"/>
        </w:rPr>
        <w:t>5 kPa.</w:t>
      </w:r>
    </w:p>
    <w:p w:rsidR="00A320B5" w:rsidRPr="00A779B8" w:rsidRDefault="00A320B5" w:rsidP="00A320B5">
      <w:pPr>
        <w:pStyle w:val="SingleTxtG"/>
        <w:ind w:left="2268"/>
        <w:rPr>
          <w:lang w:val="fr-FR"/>
        </w:rPr>
      </w:pPr>
      <w:r w:rsidRPr="00A779B8">
        <w:rPr>
          <w:lang w:val="fr-FR"/>
        </w:rPr>
        <w:tab/>
        <w:t>L</w:t>
      </w:r>
      <w:r w:rsidR="00DB4C2D">
        <w:rPr>
          <w:lang w:val="fr-FR"/>
        </w:rPr>
        <w:t>’</w:t>
      </w:r>
      <w:r w:rsidRPr="00A779B8">
        <w:rPr>
          <w:lang w:val="fr-FR"/>
        </w:rPr>
        <w:t>enceinte doit pouvoir se verrouiller à un volume déterminé. Le volume d</w:t>
      </w:r>
      <w:r w:rsidR="00DB4C2D">
        <w:rPr>
          <w:lang w:val="fr-FR"/>
        </w:rPr>
        <w:t>’</w:t>
      </w:r>
      <w:r w:rsidRPr="00A779B8">
        <w:rPr>
          <w:lang w:val="fr-FR"/>
        </w:rPr>
        <w:t>une enceinte à volume variable doit pouvoir varier de +7 % par rapport à son «volume nominal» (par. 2.1.1 de l</w:t>
      </w:r>
      <w:r w:rsidR="00DB4C2D">
        <w:rPr>
          <w:lang w:val="fr-FR"/>
        </w:rPr>
        <w:t>’</w:t>
      </w:r>
      <w:r w:rsidRPr="00A779B8">
        <w:rPr>
          <w:lang w:val="fr-FR"/>
        </w:rPr>
        <w:t>appendice 1 de la présente annexe) en fonction du changement de température et de pression barométrique au cours des essais.</w:t>
      </w:r>
    </w:p>
    <w:p w:rsidR="00A320B5" w:rsidRPr="00A779B8" w:rsidRDefault="00A320B5" w:rsidP="00A320B5">
      <w:pPr>
        <w:pStyle w:val="SingleTxtG"/>
        <w:keepNext/>
        <w:ind w:left="2268" w:hanging="1134"/>
        <w:jc w:val="left"/>
        <w:rPr>
          <w:lang w:val="fr-FR"/>
        </w:rPr>
      </w:pPr>
      <w:r w:rsidRPr="00A779B8">
        <w:rPr>
          <w:lang w:val="fr-FR"/>
        </w:rPr>
        <w:t>4.2.2</w:t>
      </w:r>
      <w:r w:rsidRPr="00A779B8">
        <w:rPr>
          <w:lang w:val="fr-FR"/>
        </w:rPr>
        <w:tab/>
        <w:t>Enceinte à volume fixe</w:t>
      </w:r>
    </w:p>
    <w:p w:rsidR="00A320B5" w:rsidRPr="00A779B8" w:rsidRDefault="00A320B5" w:rsidP="00A320B5">
      <w:pPr>
        <w:pStyle w:val="SingleTxtG"/>
        <w:ind w:left="2268"/>
        <w:rPr>
          <w:lang w:val="fr-FR"/>
        </w:rPr>
      </w:pPr>
      <w:r w:rsidRPr="00A779B8">
        <w:rPr>
          <w:lang w:val="fr-FR"/>
        </w:rPr>
        <w:tab/>
        <w:t>L</w:t>
      </w:r>
      <w:r w:rsidR="00DB4C2D">
        <w:rPr>
          <w:lang w:val="fr-FR"/>
        </w:rPr>
        <w:t>’</w:t>
      </w:r>
      <w:r w:rsidRPr="00A779B8">
        <w:rPr>
          <w:lang w:val="fr-FR"/>
        </w:rPr>
        <w:t>enceinte à volume fixe doit être constituée de panneaux rigides qui maintiennent un volume intérieur fixe et répondre aux exigences suivantes.</w:t>
      </w:r>
    </w:p>
    <w:p w:rsidR="00A320B5" w:rsidRPr="00A779B8" w:rsidRDefault="00A320B5" w:rsidP="00A320B5">
      <w:pPr>
        <w:pStyle w:val="SingleTxtG"/>
        <w:ind w:left="2268" w:hanging="1134"/>
        <w:rPr>
          <w:lang w:val="fr-FR"/>
        </w:rPr>
      </w:pPr>
      <w:r w:rsidRPr="00A779B8">
        <w:rPr>
          <w:lang w:val="fr-FR"/>
        </w:rPr>
        <w:t>4.2.2.1</w:t>
      </w:r>
      <w:r w:rsidRPr="00A779B8">
        <w:rPr>
          <w:lang w:val="fr-FR"/>
        </w:rPr>
        <w:tab/>
        <w:t>L</w:t>
      </w:r>
      <w:r w:rsidR="00DB4C2D">
        <w:rPr>
          <w:lang w:val="fr-FR"/>
        </w:rPr>
        <w:t>’</w:t>
      </w:r>
      <w:r w:rsidRPr="00A779B8">
        <w:rPr>
          <w:lang w:val="fr-FR"/>
        </w:rPr>
        <w:t>enceinte doit être équipée d</w:t>
      </w:r>
      <w:r w:rsidR="00DB4C2D">
        <w:rPr>
          <w:lang w:val="fr-FR"/>
        </w:rPr>
        <w:t>’</w:t>
      </w:r>
      <w:r w:rsidRPr="00A779B8">
        <w:rPr>
          <w:lang w:val="fr-FR"/>
        </w:rPr>
        <w:t>une sortie d</w:t>
      </w:r>
      <w:r w:rsidR="00DB4C2D">
        <w:rPr>
          <w:lang w:val="fr-FR"/>
        </w:rPr>
        <w:t>’</w:t>
      </w:r>
      <w:r w:rsidRPr="00A779B8">
        <w:rPr>
          <w:lang w:val="fr-FR"/>
        </w:rPr>
        <w:t>air qui évacue l</w:t>
      </w:r>
      <w:r w:rsidR="00DB4C2D">
        <w:rPr>
          <w:lang w:val="fr-FR"/>
        </w:rPr>
        <w:t>’</w:t>
      </w:r>
      <w:r w:rsidRPr="00A779B8">
        <w:rPr>
          <w:lang w:val="fr-FR"/>
        </w:rPr>
        <w:t>air de l</w:t>
      </w:r>
      <w:r w:rsidR="00DB4C2D">
        <w:rPr>
          <w:lang w:val="fr-FR"/>
        </w:rPr>
        <w:t>’</w:t>
      </w:r>
      <w:r w:rsidRPr="00A779B8">
        <w:rPr>
          <w:lang w:val="fr-FR"/>
        </w:rPr>
        <w:t>enceinte à un débit bas et constant pendant toute la durée de l</w:t>
      </w:r>
      <w:r w:rsidR="00DB4C2D">
        <w:rPr>
          <w:lang w:val="fr-FR"/>
        </w:rPr>
        <w:t>’</w:t>
      </w:r>
      <w:r w:rsidRPr="00A779B8">
        <w:rPr>
          <w:lang w:val="fr-FR"/>
        </w:rPr>
        <w:t>essai. Une entrée d</w:t>
      </w:r>
      <w:r w:rsidR="00DB4C2D">
        <w:rPr>
          <w:lang w:val="fr-FR"/>
        </w:rPr>
        <w:t>’</w:t>
      </w:r>
      <w:r w:rsidRPr="00A779B8">
        <w:rPr>
          <w:lang w:val="fr-FR"/>
        </w:rPr>
        <w:t>air peut compenser cette évacuation par l</w:t>
      </w:r>
      <w:r w:rsidR="00DB4C2D">
        <w:rPr>
          <w:lang w:val="fr-FR"/>
        </w:rPr>
        <w:t>’</w:t>
      </w:r>
      <w:r w:rsidRPr="00A779B8">
        <w:rPr>
          <w:lang w:val="fr-FR"/>
        </w:rPr>
        <w:t>admission d</w:t>
      </w:r>
      <w:r w:rsidR="00DB4C2D">
        <w:rPr>
          <w:lang w:val="fr-FR"/>
        </w:rPr>
        <w:t>’</w:t>
      </w:r>
      <w:r w:rsidRPr="00A779B8">
        <w:rPr>
          <w:lang w:val="fr-FR"/>
        </w:rPr>
        <w:t>air ambiant. Celui-ci doit être filtré avec du charbon actif pour donner un niveau d</w:t>
      </w:r>
      <w:r w:rsidR="00DB4C2D">
        <w:rPr>
          <w:lang w:val="fr-FR"/>
        </w:rPr>
        <w:t>’</w:t>
      </w:r>
      <w:r w:rsidRPr="00A779B8">
        <w:rPr>
          <w:lang w:val="fr-FR"/>
        </w:rPr>
        <w:t>hydrocarbures relativement constant. Toute méthode destinée à tenir compte des variations volumiques doit limiter le différentiel entre la pression interne de l</w:t>
      </w:r>
      <w:r w:rsidR="00DB4C2D">
        <w:rPr>
          <w:lang w:val="fr-FR"/>
        </w:rPr>
        <w:t>’</w:t>
      </w:r>
      <w:r w:rsidRPr="00A779B8">
        <w:rPr>
          <w:lang w:val="fr-FR"/>
        </w:rPr>
        <w:t>enceinte et la pression barométrique entre 0 et -5 kPa.</w:t>
      </w:r>
    </w:p>
    <w:p w:rsidR="00A320B5" w:rsidRPr="00A779B8" w:rsidRDefault="00A320B5" w:rsidP="00A320B5">
      <w:pPr>
        <w:pStyle w:val="SingleTxtG"/>
        <w:ind w:left="2268" w:hanging="1134"/>
        <w:rPr>
          <w:lang w:val="fr-FR"/>
        </w:rPr>
      </w:pPr>
      <w:r w:rsidRPr="00A779B8">
        <w:rPr>
          <w:lang w:val="fr-FR"/>
        </w:rPr>
        <w:lastRenderedPageBreak/>
        <w:t>4.2.2.2</w:t>
      </w:r>
      <w:r w:rsidRPr="00A779B8">
        <w:rPr>
          <w:lang w:val="fr-FR"/>
        </w:rPr>
        <w:tab/>
        <w:t>L</w:t>
      </w:r>
      <w:r w:rsidR="00DB4C2D">
        <w:rPr>
          <w:lang w:val="fr-FR"/>
        </w:rPr>
        <w:t>’</w:t>
      </w:r>
      <w:r w:rsidRPr="00A779B8">
        <w:rPr>
          <w:lang w:val="fr-FR"/>
        </w:rPr>
        <w:t>équipement doit permettre de mesurer la masse d</w:t>
      </w:r>
      <w:r w:rsidR="00DB4C2D">
        <w:rPr>
          <w:lang w:val="fr-FR"/>
        </w:rPr>
        <w:t>’</w:t>
      </w:r>
      <w:r w:rsidRPr="00A779B8">
        <w:rPr>
          <w:lang w:val="fr-FR"/>
        </w:rPr>
        <w:t>hydrocarbures dans l</w:t>
      </w:r>
      <w:r w:rsidR="00DB4C2D">
        <w:rPr>
          <w:lang w:val="fr-FR"/>
        </w:rPr>
        <w:t>’</w:t>
      </w:r>
      <w:r w:rsidRPr="00A779B8">
        <w:rPr>
          <w:lang w:val="fr-FR"/>
        </w:rPr>
        <w:t>air à l</w:t>
      </w:r>
      <w:r w:rsidR="00DB4C2D">
        <w:rPr>
          <w:lang w:val="fr-FR"/>
        </w:rPr>
        <w:t>’</w:t>
      </w:r>
      <w:r w:rsidRPr="00A779B8">
        <w:rPr>
          <w:lang w:val="fr-FR"/>
        </w:rPr>
        <w:t>entrée et à la sortie avec une résolution de 0,01 g. Un système d</w:t>
      </w:r>
      <w:r w:rsidR="00DB4C2D">
        <w:rPr>
          <w:lang w:val="fr-FR"/>
        </w:rPr>
        <w:t>’</w:t>
      </w:r>
      <w:r w:rsidRPr="00A779B8">
        <w:rPr>
          <w:lang w:val="fr-FR"/>
        </w:rPr>
        <w:t>échantillonnage par sac peut être utilisé pour recueillir un échantillon proportionnel de l</w:t>
      </w:r>
      <w:r w:rsidR="00DB4C2D">
        <w:rPr>
          <w:lang w:val="fr-FR"/>
        </w:rPr>
        <w:t>’</w:t>
      </w:r>
      <w:r w:rsidRPr="00A779B8">
        <w:rPr>
          <w:lang w:val="fr-FR"/>
        </w:rPr>
        <w:t>air évacué de l</w:t>
      </w:r>
      <w:r w:rsidR="00DB4C2D">
        <w:rPr>
          <w:lang w:val="fr-FR"/>
        </w:rPr>
        <w:t>’</w:t>
      </w:r>
      <w:r w:rsidRPr="00A779B8">
        <w:rPr>
          <w:lang w:val="fr-FR"/>
        </w:rPr>
        <w:t>enceinte et admis dans l</w:t>
      </w:r>
      <w:r w:rsidR="00DB4C2D">
        <w:rPr>
          <w:lang w:val="fr-FR"/>
        </w:rPr>
        <w:t>’</w:t>
      </w:r>
      <w:r w:rsidRPr="00A779B8">
        <w:rPr>
          <w:lang w:val="fr-FR"/>
        </w:rPr>
        <w:t>enceinte. Une autre solution consiste à analyser en continu l</w:t>
      </w:r>
      <w:r w:rsidR="00DB4C2D">
        <w:rPr>
          <w:lang w:val="fr-FR"/>
        </w:rPr>
        <w:t>’</w:t>
      </w:r>
      <w:r w:rsidRPr="00A779B8">
        <w:rPr>
          <w:lang w:val="fr-FR"/>
        </w:rPr>
        <w:t>air à l</w:t>
      </w:r>
      <w:r w:rsidR="00DB4C2D">
        <w:rPr>
          <w:lang w:val="fr-FR"/>
        </w:rPr>
        <w:t>’</w:t>
      </w:r>
      <w:r w:rsidRPr="00A779B8">
        <w:rPr>
          <w:lang w:val="fr-FR"/>
        </w:rPr>
        <w:t>entrée et à la sortie au moyen d</w:t>
      </w:r>
      <w:r w:rsidR="00DB4C2D">
        <w:rPr>
          <w:lang w:val="fr-FR"/>
        </w:rPr>
        <w:t>’</w:t>
      </w:r>
      <w:r w:rsidRPr="00A779B8">
        <w:rPr>
          <w:lang w:val="fr-FR"/>
        </w:rPr>
        <w:t>un analyseur en ligne du type à ionisation de flamme (FID) et à l</w:t>
      </w:r>
      <w:r w:rsidR="00DB4C2D">
        <w:rPr>
          <w:lang w:val="fr-FR"/>
        </w:rPr>
        <w:t>’</w:t>
      </w:r>
      <w:r w:rsidRPr="00A779B8">
        <w:rPr>
          <w:lang w:val="fr-FR"/>
        </w:rPr>
        <w:t>intégrer aux mesures de flux afin d</w:t>
      </w:r>
      <w:r w:rsidR="00DB4C2D">
        <w:rPr>
          <w:lang w:val="fr-FR"/>
        </w:rPr>
        <w:t>’</w:t>
      </w:r>
      <w:r w:rsidRPr="00A779B8">
        <w:rPr>
          <w:lang w:val="fr-FR"/>
        </w:rPr>
        <w:t>obtenir un enregistrement continu des quantités d</w:t>
      </w:r>
      <w:r w:rsidR="00DB4C2D">
        <w:rPr>
          <w:lang w:val="fr-FR"/>
        </w:rPr>
        <w:t>’</w:t>
      </w:r>
      <w:r w:rsidRPr="00A779B8">
        <w:rPr>
          <w:lang w:val="fr-FR"/>
        </w:rPr>
        <w:t>hydrocarbures évacuées.</w:t>
      </w:r>
    </w:p>
    <w:p w:rsidR="00A320B5" w:rsidRPr="00A779B8" w:rsidRDefault="00A320B5" w:rsidP="00A320B5">
      <w:pPr>
        <w:pStyle w:val="Titre1"/>
        <w:spacing w:after="120"/>
        <w:rPr>
          <w:b/>
          <w:lang w:val="fr-FR"/>
        </w:rPr>
      </w:pPr>
      <w:r w:rsidRPr="00A779B8">
        <w:rPr>
          <w:lang w:val="fr-FR"/>
        </w:rPr>
        <w:t>Figure A7/1</w:t>
      </w:r>
      <w:r w:rsidRPr="00A779B8">
        <w:rPr>
          <w:lang w:val="fr-FR"/>
        </w:rPr>
        <w:br/>
      </w:r>
      <w:r w:rsidRPr="00A779B8">
        <w:rPr>
          <w:b/>
          <w:lang w:val="fr-FR"/>
        </w:rPr>
        <w:t>Détermination des émissions par évaporation</w:t>
      </w:r>
    </w:p>
    <w:p w:rsidR="00A320B5" w:rsidRPr="00A779B8" w:rsidRDefault="00A320B5" w:rsidP="00A320B5">
      <w:pPr>
        <w:pStyle w:val="Titre1"/>
        <w:spacing w:after="120"/>
        <w:rPr>
          <w:b/>
          <w:lang w:val="fr-FR"/>
        </w:rPr>
      </w:pPr>
      <w:r w:rsidRPr="00A779B8">
        <w:rPr>
          <w:b/>
          <w:lang w:val="fr-FR"/>
        </w:rPr>
        <w:t>Période de roulage de 3 000 km (sans purge/charge excessive)</w:t>
      </w:r>
      <w:r w:rsidRPr="00A779B8">
        <w:rPr>
          <w:b/>
          <w:lang w:val="fr-FR"/>
        </w:rPr>
        <w:br/>
        <w:t>Contrôle du vieillissement des absorbeurs de vapeurs de carburant</w:t>
      </w:r>
      <w:r w:rsidRPr="00A779B8">
        <w:rPr>
          <w:b/>
          <w:lang w:val="fr-FR"/>
        </w:rPr>
        <w:br/>
        <w:t>Nettoyage du véhicule à la vapeur (si nécessaire)</w:t>
      </w:r>
    </w:p>
    <w:bookmarkStart w:id="242" w:name="_MON_1433333687"/>
    <w:bookmarkStart w:id="243" w:name="_MON_1433333724"/>
    <w:bookmarkStart w:id="244" w:name="_MON_1433333731"/>
    <w:bookmarkStart w:id="245" w:name="_MON_1433334144"/>
    <w:bookmarkStart w:id="246" w:name="_MON_1433335857"/>
    <w:bookmarkStart w:id="247" w:name="_MON_1433335880"/>
    <w:bookmarkStart w:id="248" w:name="_MON_1433336241"/>
    <w:bookmarkStart w:id="249" w:name="_MON_1433336262"/>
    <w:bookmarkStart w:id="250" w:name="_MON_1433336282"/>
    <w:bookmarkStart w:id="251" w:name="_MON_1433336335"/>
    <w:bookmarkStart w:id="252" w:name="_MON_1433337897"/>
    <w:bookmarkStart w:id="253" w:name="_MON_1433338082"/>
    <w:bookmarkStart w:id="254" w:name="_MON_1433596725"/>
    <w:bookmarkStart w:id="255" w:name="_MON_1433752350"/>
    <w:bookmarkStart w:id="256" w:name="_MON_1433752396"/>
    <w:bookmarkStart w:id="257" w:name="_MON_1448339779"/>
    <w:bookmarkStart w:id="258" w:name="_MON_1448960697"/>
    <w:bookmarkStart w:id="259" w:name="_MON_1448960854"/>
    <w:bookmarkStart w:id="260" w:name="_MON_1448968348"/>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rsidR="00A320B5" w:rsidRPr="00A779B8" w:rsidRDefault="00A320B5" w:rsidP="00A320B5">
      <w:pPr>
        <w:ind w:left="1134"/>
        <w:rPr>
          <w:lang w:val="fr-FR"/>
        </w:rPr>
      </w:pPr>
      <w:r w:rsidRPr="00A779B8">
        <w:rPr>
          <w:lang w:val="fr-FR"/>
        </w:rPr>
        <w:object w:dxaOrig="7951" w:dyaOrig="7976">
          <v:shape id="_x0000_i1117" type="#_x0000_t75" style="width:423.15pt;height:396pt" o:ole="">
            <v:imagedata r:id="rId222" o:title="" cropleft="-2336f" cropright="-2336f"/>
            <w10:bordertop type="single" width="4"/>
            <w10:borderleft type="single" width="4"/>
            <w10:borderbottom type="single" width="4"/>
            <w10:borderright type="single" width="4"/>
          </v:shape>
          <o:OLEObject Type="Embed" ProgID="Word.Picture.8" ShapeID="_x0000_i1117" DrawAspect="Content" ObjectID="_1490178462" r:id="rId223"/>
        </w:object>
      </w:r>
    </w:p>
    <w:p w:rsidR="00A320B5" w:rsidRPr="00A779B8" w:rsidRDefault="00A320B5" w:rsidP="00A320B5">
      <w:pPr>
        <w:spacing w:before="120"/>
        <w:ind w:left="1134" w:right="1134" w:firstLine="170"/>
        <w:rPr>
          <w:sz w:val="18"/>
          <w:szCs w:val="18"/>
          <w:lang w:val="fr-FR"/>
        </w:rPr>
      </w:pPr>
      <w:r w:rsidRPr="00A779B8">
        <w:rPr>
          <w:i/>
          <w:sz w:val="18"/>
          <w:szCs w:val="18"/>
          <w:lang w:val="fr-FR"/>
        </w:rPr>
        <w:t>Notes</w:t>
      </w:r>
      <w:r w:rsidRPr="00A779B8">
        <w:rPr>
          <w:sz w:val="18"/>
          <w:szCs w:val="18"/>
          <w:lang w:val="fr-FR"/>
        </w:rPr>
        <w:t>:</w:t>
      </w:r>
    </w:p>
    <w:p w:rsidR="00A320B5" w:rsidRPr="00A779B8" w:rsidRDefault="00A320B5" w:rsidP="00A320B5">
      <w:pPr>
        <w:pStyle w:val="SingleTxtG"/>
        <w:spacing w:after="0"/>
        <w:ind w:firstLine="170"/>
        <w:jc w:val="left"/>
        <w:rPr>
          <w:sz w:val="18"/>
          <w:szCs w:val="18"/>
          <w:lang w:val="fr-FR"/>
        </w:rPr>
      </w:pPr>
      <w:r w:rsidRPr="00A779B8">
        <w:rPr>
          <w:i/>
          <w:sz w:val="18"/>
          <w:szCs w:val="18"/>
          <w:vertAlign w:val="superscript"/>
          <w:lang w:val="fr-FR"/>
        </w:rPr>
        <w:t>1</w:t>
      </w:r>
      <w:r w:rsidRPr="00A779B8">
        <w:rPr>
          <w:sz w:val="18"/>
          <w:szCs w:val="18"/>
          <w:lang w:val="fr-FR"/>
        </w:rPr>
        <w:t xml:space="preserve">  Familles relatives au contrôle des émissions par évaporation − détails explicités.</w:t>
      </w:r>
    </w:p>
    <w:p w:rsidR="00A320B5" w:rsidRPr="00A779B8" w:rsidRDefault="00A320B5" w:rsidP="00A320B5">
      <w:pPr>
        <w:pStyle w:val="SingleTxtG"/>
        <w:spacing w:after="240"/>
        <w:ind w:firstLine="170"/>
        <w:jc w:val="left"/>
        <w:rPr>
          <w:sz w:val="18"/>
          <w:szCs w:val="18"/>
          <w:lang w:val="fr-FR"/>
        </w:rPr>
      </w:pPr>
      <w:r w:rsidRPr="00A779B8">
        <w:rPr>
          <w:i/>
          <w:sz w:val="18"/>
          <w:szCs w:val="18"/>
          <w:vertAlign w:val="superscript"/>
          <w:lang w:val="fr-FR"/>
        </w:rPr>
        <w:t>2</w:t>
      </w:r>
      <w:r w:rsidRPr="00A779B8">
        <w:rPr>
          <w:sz w:val="18"/>
          <w:szCs w:val="18"/>
          <w:lang w:val="fr-FR"/>
        </w:rPr>
        <w:t xml:space="preserve">  Les émissions à l</w:t>
      </w:r>
      <w:r w:rsidR="00DB4C2D">
        <w:rPr>
          <w:sz w:val="18"/>
          <w:szCs w:val="18"/>
          <w:lang w:val="fr-FR"/>
        </w:rPr>
        <w:t>’</w:t>
      </w:r>
      <w:r w:rsidRPr="00A779B8">
        <w:rPr>
          <w:sz w:val="18"/>
          <w:szCs w:val="18"/>
          <w:lang w:val="fr-FR"/>
        </w:rPr>
        <w:t>échappement peuvent être mesurées pendant l</w:t>
      </w:r>
      <w:r w:rsidR="00DB4C2D">
        <w:rPr>
          <w:sz w:val="18"/>
          <w:szCs w:val="18"/>
          <w:lang w:val="fr-FR"/>
        </w:rPr>
        <w:t>’</w:t>
      </w:r>
      <w:r w:rsidRPr="00A779B8">
        <w:rPr>
          <w:sz w:val="18"/>
          <w:szCs w:val="18"/>
          <w:lang w:val="fr-FR"/>
        </w:rPr>
        <w:t>essai du type I, mais ne peuvent être utilisées pour l</w:t>
      </w:r>
      <w:r w:rsidR="00DB4C2D">
        <w:rPr>
          <w:sz w:val="18"/>
          <w:szCs w:val="18"/>
          <w:lang w:val="fr-FR"/>
        </w:rPr>
        <w:t>’</w:t>
      </w:r>
      <w:r w:rsidRPr="00A779B8">
        <w:rPr>
          <w:sz w:val="18"/>
          <w:szCs w:val="18"/>
          <w:lang w:val="fr-FR"/>
        </w:rPr>
        <w:t>homologation. Les essais d</w:t>
      </w:r>
      <w:r w:rsidR="00DB4C2D">
        <w:rPr>
          <w:sz w:val="18"/>
          <w:szCs w:val="18"/>
          <w:lang w:val="fr-FR"/>
        </w:rPr>
        <w:t>’</w:t>
      </w:r>
      <w:r w:rsidRPr="00A779B8">
        <w:rPr>
          <w:sz w:val="18"/>
          <w:szCs w:val="18"/>
          <w:lang w:val="fr-FR"/>
        </w:rPr>
        <w:t>émission à l</w:t>
      </w:r>
      <w:r w:rsidR="00DB4C2D">
        <w:rPr>
          <w:sz w:val="18"/>
          <w:szCs w:val="18"/>
          <w:lang w:val="fr-FR"/>
        </w:rPr>
        <w:t>’</w:t>
      </w:r>
      <w:r w:rsidRPr="00A779B8">
        <w:rPr>
          <w:sz w:val="18"/>
          <w:szCs w:val="18"/>
          <w:lang w:val="fr-FR"/>
        </w:rPr>
        <w:t>échappement en vue de l</w:t>
      </w:r>
      <w:r w:rsidR="00DB4C2D">
        <w:rPr>
          <w:sz w:val="18"/>
          <w:szCs w:val="18"/>
          <w:lang w:val="fr-FR"/>
        </w:rPr>
        <w:t>’</w:t>
      </w:r>
      <w:r w:rsidRPr="00A779B8">
        <w:rPr>
          <w:sz w:val="18"/>
          <w:szCs w:val="18"/>
          <w:lang w:val="fr-FR"/>
        </w:rPr>
        <w:t>homologation demeurent distincts.</w:t>
      </w:r>
    </w:p>
    <w:p w:rsidR="00A320B5" w:rsidRPr="00A779B8" w:rsidRDefault="00A320B5" w:rsidP="00A320B5">
      <w:pPr>
        <w:pStyle w:val="SingleTxtG"/>
        <w:keepNext/>
        <w:ind w:left="2268" w:hanging="1134"/>
        <w:rPr>
          <w:lang w:val="fr-FR"/>
        </w:rPr>
      </w:pPr>
      <w:r w:rsidRPr="00A779B8">
        <w:rPr>
          <w:lang w:val="fr-FR"/>
        </w:rPr>
        <w:lastRenderedPageBreak/>
        <w:t>4.3</w:t>
      </w:r>
      <w:r w:rsidRPr="00A779B8">
        <w:rPr>
          <w:lang w:val="fr-FR"/>
        </w:rPr>
        <w:tab/>
        <w:t>Système d</w:t>
      </w:r>
      <w:r w:rsidR="00DB4C2D">
        <w:rPr>
          <w:lang w:val="fr-FR"/>
        </w:rPr>
        <w:t>’</w:t>
      </w:r>
      <w:r w:rsidRPr="00A779B8">
        <w:rPr>
          <w:lang w:val="fr-FR"/>
        </w:rPr>
        <w:t>analyse</w:t>
      </w:r>
    </w:p>
    <w:p w:rsidR="00A320B5" w:rsidRPr="00A779B8" w:rsidRDefault="00A320B5" w:rsidP="00A320B5">
      <w:pPr>
        <w:pStyle w:val="SingleTxtG"/>
        <w:keepNext/>
        <w:ind w:left="2268" w:hanging="1134"/>
        <w:rPr>
          <w:lang w:val="fr-FR"/>
        </w:rPr>
      </w:pPr>
      <w:r w:rsidRPr="00A779B8">
        <w:rPr>
          <w:lang w:val="fr-FR"/>
        </w:rPr>
        <w:t>4.3.1</w:t>
      </w:r>
      <w:r w:rsidRPr="00A779B8">
        <w:rPr>
          <w:lang w:val="fr-FR"/>
        </w:rPr>
        <w:tab/>
        <w:t>Analyseur d</w:t>
      </w:r>
      <w:r w:rsidR="00DB4C2D">
        <w:rPr>
          <w:lang w:val="fr-FR"/>
        </w:rPr>
        <w:t>’</w:t>
      </w:r>
      <w:r w:rsidRPr="00A779B8">
        <w:rPr>
          <w:lang w:val="fr-FR"/>
        </w:rPr>
        <w:t>hydrocarbures</w:t>
      </w:r>
    </w:p>
    <w:p w:rsidR="00A320B5" w:rsidRPr="00A779B8" w:rsidRDefault="00A320B5" w:rsidP="00A320B5">
      <w:pPr>
        <w:pStyle w:val="SingleTxtG"/>
        <w:ind w:left="2268" w:hanging="1134"/>
        <w:rPr>
          <w:lang w:val="fr-FR"/>
        </w:rPr>
      </w:pPr>
      <w:r w:rsidRPr="00A779B8">
        <w:rPr>
          <w:lang w:val="fr-FR"/>
        </w:rPr>
        <w:t>4.3.1.1</w:t>
      </w:r>
      <w:r w:rsidRPr="00A779B8">
        <w:rPr>
          <w:lang w:val="fr-FR"/>
        </w:rPr>
        <w:tab/>
        <w:t>L</w:t>
      </w:r>
      <w:r w:rsidR="00DB4C2D">
        <w:rPr>
          <w:lang w:val="fr-FR"/>
        </w:rPr>
        <w:t>’</w:t>
      </w:r>
      <w:r w:rsidRPr="00A779B8">
        <w:rPr>
          <w:lang w:val="fr-FR"/>
        </w:rPr>
        <w:t>atmosphère à l</w:t>
      </w:r>
      <w:r w:rsidR="00DB4C2D">
        <w:rPr>
          <w:lang w:val="fr-FR"/>
        </w:rPr>
        <w:t>’</w:t>
      </w:r>
      <w:r w:rsidRPr="00A779B8">
        <w:rPr>
          <w:lang w:val="fr-FR"/>
        </w:rPr>
        <w:t>intérieur de la chambre est contrôlée au moyen d</w:t>
      </w:r>
      <w:r w:rsidR="00DB4C2D">
        <w:rPr>
          <w:lang w:val="fr-FR"/>
        </w:rPr>
        <w:t>’</w:t>
      </w:r>
      <w:r w:rsidRPr="00A779B8">
        <w:rPr>
          <w:lang w:val="fr-FR"/>
        </w:rPr>
        <w:t>un analyseur d</w:t>
      </w:r>
      <w:r w:rsidR="00DB4C2D">
        <w:rPr>
          <w:lang w:val="fr-FR"/>
        </w:rPr>
        <w:t>’</w:t>
      </w:r>
      <w:r w:rsidRPr="00A779B8">
        <w:rPr>
          <w:lang w:val="fr-FR"/>
        </w:rPr>
        <w:t>hydrocarbures du type détecteur à ionisation de flamme (FID). L</w:t>
      </w:r>
      <w:r w:rsidR="00DB4C2D">
        <w:rPr>
          <w:lang w:val="fr-FR"/>
        </w:rPr>
        <w:t>’</w:t>
      </w:r>
      <w:r w:rsidRPr="00A779B8">
        <w:rPr>
          <w:lang w:val="fr-FR"/>
        </w:rPr>
        <w:t>échantillon de gaz doit être prélevé au centre d</w:t>
      </w:r>
      <w:r w:rsidR="00DB4C2D">
        <w:rPr>
          <w:lang w:val="fr-FR"/>
        </w:rPr>
        <w:t>’</w:t>
      </w:r>
      <w:r w:rsidRPr="00A779B8">
        <w:rPr>
          <w:lang w:val="fr-FR"/>
        </w:rPr>
        <w:t>une face latérale ou du toit de la chambre, et tout écoulement dérivé doit être renvoyé dans l</w:t>
      </w:r>
      <w:r w:rsidR="00DB4C2D">
        <w:rPr>
          <w:lang w:val="fr-FR"/>
        </w:rPr>
        <w:t>’</w:t>
      </w:r>
      <w:r w:rsidRPr="00A779B8">
        <w:rPr>
          <w:lang w:val="fr-FR"/>
        </w:rPr>
        <w:t>enceinte, de préférence vers un point immédiatement en aval du ventilateur de mélange.</w:t>
      </w:r>
    </w:p>
    <w:p w:rsidR="00A320B5" w:rsidRPr="00A779B8" w:rsidRDefault="00A320B5" w:rsidP="00A320B5">
      <w:pPr>
        <w:pStyle w:val="SingleTxtG"/>
        <w:ind w:left="2268" w:hanging="1134"/>
        <w:rPr>
          <w:lang w:val="fr-FR"/>
        </w:rPr>
      </w:pPr>
      <w:r w:rsidRPr="00A779B8">
        <w:rPr>
          <w:lang w:val="fr-FR"/>
        </w:rPr>
        <w:t>4.3.1.2</w:t>
      </w:r>
      <w:r w:rsidRPr="00A779B8">
        <w:rPr>
          <w:lang w:val="fr-FR"/>
        </w:rPr>
        <w:tab/>
        <w:t>L</w:t>
      </w:r>
      <w:r w:rsidR="00DB4C2D">
        <w:rPr>
          <w:lang w:val="fr-FR"/>
        </w:rPr>
        <w:t>’</w:t>
      </w:r>
      <w:r w:rsidRPr="00A779B8">
        <w:rPr>
          <w:lang w:val="fr-FR"/>
        </w:rPr>
        <w:t>analyseur d</w:t>
      </w:r>
      <w:r w:rsidR="00DB4C2D">
        <w:rPr>
          <w:lang w:val="fr-FR"/>
        </w:rPr>
        <w:t>’</w:t>
      </w:r>
      <w:r w:rsidRPr="00A779B8">
        <w:rPr>
          <w:lang w:val="fr-FR"/>
        </w:rPr>
        <w:t>hydrocarbures doit avoir un temps de réponse inférieur à 1,5 s à 90 % de la pleine échelle de lecture. Il doit avoir une stabilité meilleure que 2 % de la pleine échelle à zéro et à 80 </w:t>
      </w:r>
      <w:r w:rsidRPr="00A779B8">
        <w:rPr>
          <w:lang w:val="fr-FR"/>
        </w:rPr>
        <w:sym w:font="Symbol" w:char="F0B1"/>
      </w:r>
      <w:r w:rsidRPr="00A779B8">
        <w:rPr>
          <w:lang w:val="fr-FR"/>
        </w:rPr>
        <w:t> 20 % de la pleine échelle, pendant une durée de 15 min et pour toutes les plages de fonctionnement.</w:t>
      </w:r>
    </w:p>
    <w:p w:rsidR="00A320B5" w:rsidRPr="00A779B8" w:rsidRDefault="00A320B5" w:rsidP="00A320B5">
      <w:pPr>
        <w:pStyle w:val="SingleTxtG"/>
        <w:ind w:left="2268" w:hanging="1134"/>
        <w:rPr>
          <w:lang w:val="fr-FR"/>
        </w:rPr>
      </w:pPr>
      <w:r w:rsidRPr="00A779B8">
        <w:rPr>
          <w:lang w:val="fr-FR"/>
        </w:rPr>
        <w:t>4.3.1.3</w:t>
      </w:r>
      <w:r w:rsidRPr="00A779B8">
        <w:rPr>
          <w:lang w:val="fr-FR"/>
        </w:rPr>
        <w:tab/>
        <w:t>La répétabilité de l</w:t>
      </w:r>
      <w:r w:rsidR="00DB4C2D">
        <w:rPr>
          <w:lang w:val="fr-FR"/>
        </w:rPr>
        <w:t>’</w:t>
      </w:r>
      <w:r w:rsidRPr="00A779B8">
        <w:rPr>
          <w:lang w:val="fr-FR"/>
        </w:rPr>
        <w:t>analyseur, exprimée sous forme d</w:t>
      </w:r>
      <w:r w:rsidR="00DB4C2D">
        <w:rPr>
          <w:lang w:val="fr-FR"/>
        </w:rPr>
        <w:t>’</w:t>
      </w:r>
      <w:r w:rsidRPr="00A779B8">
        <w:rPr>
          <w:lang w:val="fr-FR"/>
        </w:rPr>
        <w:t>écart type, doit être meilleure que 1 % de la pleine échelle, à zéro et à 80 </w:t>
      </w:r>
      <w:r w:rsidRPr="00A779B8">
        <w:rPr>
          <w:lang w:val="fr-FR"/>
        </w:rPr>
        <w:sym w:font="Symbol" w:char="F0B1"/>
      </w:r>
      <w:r w:rsidRPr="00A779B8">
        <w:rPr>
          <w:lang w:val="fr-FR"/>
        </w:rPr>
        <w:t> 20 % de la pleine échelle, pour toutes les plages utilisées.</w:t>
      </w:r>
    </w:p>
    <w:p w:rsidR="00A320B5" w:rsidRPr="00A779B8" w:rsidRDefault="00A320B5" w:rsidP="00A320B5">
      <w:pPr>
        <w:pStyle w:val="SingleTxtG"/>
        <w:ind w:left="2268" w:hanging="1134"/>
        <w:rPr>
          <w:lang w:val="fr-FR"/>
        </w:rPr>
      </w:pPr>
      <w:r w:rsidRPr="00A779B8">
        <w:rPr>
          <w:lang w:val="fr-FR"/>
        </w:rPr>
        <w:t>4.3.1.4</w:t>
      </w:r>
      <w:r w:rsidRPr="00A779B8">
        <w:rPr>
          <w:lang w:val="fr-FR"/>
        </w:rPr>
        <w:tab/>
        <w:t>Les plages de fonctionnement de l</w:t>
      </w:r>
      <w:r w:rsidR="00DB4C2D">
        <w:rPr>
          <w:lang w:val="fr-FR"/>
        </w:rPr>
        <w:t>’</w:t>
      </w:r>
      <w:r w:rsidRPr="00A779B8">
        <w:rPr>
          <w:lang w:val="fr-FR"/>
        </w:rPr>
        <w:t>analyseur doivent être choisies pour obtenir la meilleure résolution sur l</w:t>
      </w:r>
      <w:r w:rsidR="00DB4C2D">
        <w:rPr>
          <w:lang w:val="fr-FR"/>
        </w:rPr>
        <w:t>’</w:t>
      </w:r>
      <w:r w:rsidRPr="00A779B8">
        <w:rPr>
          <w:lang w:val="fr-FR"/>
        </w:rPr>
        <w:t>ensemble des procédures de mesure, d</w:t>
      </w:r>
      <w:r w:rsidR="00DB4C2D">
        <w:rPr>
          <w:lang w:val="fr-FR"/>
        </w:rPr>
        <w:t>’</w:t>
      </w:r>
      <w:r w:rsidRPr="00A779B8">
        <w:rPr>
          <w:lang w:val="fr-FR"/>
        </w:rPr>
        <w:t>étalonnage et de contrôle des fuites.</w:t>
      </w:r>
    </w:p>
    <w:p w:rsidR="00A320B5" w:rsidRPr="00A779B8" w:rsidRDefault="00A320B5" w:rsidP="00A320B5">
      <w:pPr>
        <w:pStyle w:val="SingleTxtG"/>
        <w:keepNext/>
        <w:ind w:left="2268" w:hanging="1134"/>
        <w:jc w:val="left"/>
        <w:rPr>
          <w:lang w:val="fr-FR"/>
        </w:rPr>
      </w:pPr>
      <w:r w:rsidRPr="00A779B8">
        <w:rPr>
          <w:lang w:val="fr-FR"/>
        </w:rPr>
        <w:t>4.3.2</w:t>
      </w:r>
      <w:r w:rsidRPr="00A779B8">
        <w:rPr>
          <w:lang w:val="fr-FR"/>
        </w:rPr>
        <w:tab/>
        <w:t>Système enregistreur associé à l</w:t>
      </w:r>
      <w:r w:rsidR="00DB4C2D">
        <w:rPr>
          <w:lang w:val="fr-FR"/>
        </w:rPr>
        <w:t>’</w:t>
      </w:r>
      <w:r w:rsidRPr="00A779B8">
        <w:rPr>
          <w:lang w:val="fr-FR"/>
        </w:rPr>
        <w:t>analyseur d</w:t>
      </w:r>
      <w:r w:rsidR="00DB4C2D">
        <w:rPr>
          <w:lang w:val="fr-FR"/>
        </w:rPr>
        <w:t>’</w:t>
      </w:r>
      <w:r w:rsidRPr="00A779B8">
        <w:rPr>
          <w:lang w:val="fr-FR"/>
        </w:rPr>
        <w:t>hydrocarbures</w:t>
      </w:r>
    </w:p>
    <w:p w:rsidR="00A320B5" w:rsidRPr="00A779B8" w:rsidRDefault="00A320B5" w:rsidP="00A320B5">
      <w:pPr>
        <w:pStyle w:val="SingleTxtG"/>
        <w:ind w:left="2268" w:hanging="1134"/>
        <w:rPr>
          <w:lang w:val="fr-FR"/>
        </w:rPr>
      </w:pPr>
      <w:r w:rsidRPr="00A779B8">
        <w:rPr>
          <w:lang w:val="fr-FR"/>
        </w:rPr>
        <w:t>4.3.2.1</w:t>
      </w:r>
      <w:r w:rsidRPr="00A779B8">
        <w:rPr>
          <w:lang w:val="fr-FR"/>
        </w:rPr>
        <w:tab/>
        <w:t>L</w:t>
      </w:r>
      <w:r w:rsidR="00DB4C2D">
        <w:rPr>
          <w:lang w:val="fr-FR"/>
        </w:rPr>
        <w:t>’</w:t>
      </w:r>
      <w:r w:rsidRPr="00A779B8">
        <w:rPr>
          <w:lang w:val="fr-FR"/>
        </w:rPr>
        <w:t>analyseur d</w:t>
      </w:r>
      <w:r w:rsidR="00DB4C2D">
        <w:rPr>
          <w:lang w:val="fr-FR"/>
        </w:rPr>
        <w:t>’</w:t>
      </w:r>
      <w:r w:rsidRPr="00A779B8">
        <w:rPr>
          <w:lang w:val="fr-FR"/>
        </w:rPr>
        <w:t>hydrocarbures doit être muni d</w:t>
      </w:r>
      <w:r w:rsidR="00DB4C2D">
        <w:rPr>
          <w:lang w:val="fr-FR"/>
        </w:rPr>
        <w:t>’</w:t>
      </w:r>
      <w:r w:rsidRPr="00A779B8">
        <w:rPr>
          <w:lang w:val="fr-FR"/>
        </w:rPr>
        <w:t>un équipement permettant d</w:t>
      </w:r>
      <w:r w:rsidR="00DB4C2D">
        <w:rPr>
          <w:lang w:val="fr-FR"/>
        </w:rPr>
        <w:t>’</w:t>
      </w:r>
      <w:r w:rsidRPr="00A779B8">
        <w:rPr>
          <w:lang w:val="fr-FR"/>
        </w:rPr>
        <w:t>enregistrer les signaux électriques de sortie, soit sur une bande graduée, soit par un autre système de traitement de données, à une fréquence d</w:t>
      </w:r>
      <w:r w:rsidR="00DB4C2D">
        <w:rPr>
          <w:lang w:val="fr-FR"/>
        </w:rPr>
        <w:t>’</w:t>
      </w:r>
      <w:r w:rsidRPr="00A779B8">
        <w:rPr>
          <w:lang w:val="fr-FR"/>
        </w:rPr>
        <w:t>au moins une fois par minute. Cet équipement d</w:t>
      </w:r>
      <w:r w:rsidR="00DB4C2D">
        <w:rPr>
          <w:lang w:val="fr-FR"/>
        </w:rPr>
        <w:t>’</w:t>
      </w:r>
      <w:r w:rsidRPr="00A779B8">
        <w:rPr>
          <w:lang w:val="fr-FR"/>
        </w:rPr>
        <w:t>enregistrement doit avoir des caractéristiques de fonctionnement au moins équivalentes aux signaux à enregistrer et doit fournir un enregistrement continu des résultats. Cet enregistrement doit indiquer de manière claire le début et la fin des essais d</w:t>
      </w:r>
      <w:r w:rsidR="00DB4C2D">
        <w:rPr>
          <w:lang w:val="fr-FR"/>
        </w:rPr>
        <w:t>’</w:t>
      </w:r>
      <w:r w:rsidRPr="00A779B8">
        <w:rPr>
          <w:lang w:val="fr-FR"/>
        </w:rPr>
        <w:t>imprégnation à chaud ou d</w:t>
      </w:r>
      <w:r w:rsidR="00DB4C2D">
        <w:rPr>
          <w:lang w:val="fr-FR"/>
        </w:rPr>
        <w:t>’</w:t>
      </w:r>
      <w:r w:rsidRPr="00A779B8">
        <w:rPr>
          <w:lang w:val="fr-FR"/>
        </w:rPr>
        <w:t>émission diurne (y compris le début et la fin des périodes d</w:t>
      </w:r>
      <w:r w:rsidR="00DB4C2D">
        <w:rPr>
          <w:lang w:val="fr-FR"/>
        </w:rPr>
        <w:t>’</w:t>
      </w:r>
      <w:r w:rsidRPr="00A779B8">
        <w:rPr>
          <w:lang w:val="fr-FR"/>
        </w:rPr>
        <w:t>échantillonnage, ainsi que le laps de temps écoulé entre le début et la fin de chaque essai).</w:t>
      </w:r>
    </w:p>
    <w:p w:rsidR="00A320B5" w:rsidRPr="00A779B8" w:rsidRDefault="00A320B5" w:rsidP="00A320B5">
      <w:pPr>
        <w:pStyle w:val="SingleTxtG"/>
        <w:keepNext/>
        <w:ind w:left="2268" w:hanging="1134"/>
        <w:jc w:val="left"/>
        <w:rPr>
          <w:lang w:val="fr-FR"/>
        </w:rPr>
      </w:pPr>
      <w:r w:rsidRPr="00A779B8">
        <w:rPr>
          <w:lang w:val="fr-FR"/>
        </w:rPr>
        <w:t>4.4</w:t>
      </w:r>
      <w:r w:rsidRPr="00A779B8">
        <w:rPr>
          <w:lang w:val="fr-FR"/>
        </w:rPr>
        <w:tab/>
        <w:t>Chauffage du réservoir de carburant (s</w:t>
      </w:r>
      <w:r w:rsidR="00DB4C2D">
        <w:rPr>
          <w:lang w:val="fr-FR"/>
        </w:rPr>
        <w:t>’</w:t>
      </w:r>
      <w:r w:rsidRPr="00A779B8">
        <w:rPr>
          <w:lang w:val="fr-FR"/>
        </w:rPr>
        <w:t>applique uniquement à l</w:t>
      </w:r>
      <w:r w:rsidR="00DB4C2D">
        <w:rPr>
          <w:lang w:val="fr-FR"/>
        </w:rPr>
        <w:t>’</w:t>
      </w:r>
      <w:r w:rsidRPr="00A779B8">
        <w:rPr>
          <w:lang w:val="fr-FR"/>
        </w:rPr>
        <w:t>option de charge à l</w:t>
      </w:r>
      <w:r w:rsidR="00DB4C2D">
        <w:rPr>
          <w:lang w:val="fr-FR"/>
        </w:rPr>
        <w:t>’</w:t>
      </w:r>
      <w:r w:rsidRPr="00A779B8">
        <w:rPr>
          <w:lang w:val="fr-FR"/>
        </w:rPr>
        <w:t>essence de l</w:t>
      </w:r>
      <w:r w:rsidR="00DB4C2D">
        <w:rPr>
          <w:lang w:val="fr-FR"/>
        </w:rPr>
        <w:t>’</w:t>
      </w:r>
      <w:r w:rsidRPr="00A779B8">
        <w:rPr>
          <w:lang w:val="fr-FR"/>
        </w:rPr>
        <w:t>absorbeur)</w:t>
      </w:r>
    </w:p>
    <w:p w:rsidR="00A320B5" w:rsidRPr="00A779B8" w:rsidRDefault="00A320B5" w:rsidP="00A320B5">
      <w:pPr>
        <w:pStyle w:val="SingleTxtG"/>
        <w:ind w:left="2268" w:hanging="1134"/>
        <w:rPr>
          <w:lang w:val="fr-FR"/>
        </w:rPr>
      </w:pPr>
      <w:r w:rsidRPr="00A779B8">
        <w:rPr>
          <w:lang w:val="fr-FR"/>
        </w:rPr>
        <w:t>4.4.1</w:t>
      </w:r>
      <w:r w:rsidRPr="00A779B8">
        <w:rPr>
          <w:lang w:val="fr-FR"/>
        </w:rPr>
        <w:tab/>
        <w:t>Le carburant contenu dans le(s) réservoir(s) doit être chauffé par une source de chaleur à puissance de chauffe réglable, une couverture chauffante de 2 000 W pouvant, par exemple, convenir à cet effet. Le système de chauffage doit fournir de la chaleur de manière homogène aux parois du réservoir, au</w:t>
      </w:r>
      <w:r w:rsidRPr="00A779B8">
        <w:rPr>
          <w:lang w:val="fr-FR"/>
        </w:rPr>
        <w:noBreakHyphen/>
        <w:t>dessous du niveau du carburant de manière à ne provoquer aucun effet localisé de surchauffe du carburant. La vapeur contenue dans le réservoir au</w:t>
      </w:r>
      <w:r w:rsidRPr="00A779B8">
        <w:rPr>
          <w:lang w:val="fr-FR"/>
        </w:rPr>
        <w:noBreakHyphen/>
        <w:t>dessus du carburant ne doit pas être exposée à la chaleur.</w:t>
      </w:r>
    </w:p>
    <w:p w:rsidR="00A320B5" w:rsidRPr="00A779B8" w:rsidRDefault="00A320B5" w:rsidP="00A320B5">
      <w:pPr>
        <w:pStyle w:val="SingleTxtG"/>
        <w:ind w:left="2268" w:hanging="1134"/>
        <w:rPr>
          <w:lang w:val="fr-FR"/>
        </w:rPr>
      </w:pPr>
      <w:r w:rsidRPr="00A779B8">
        <w:rPr>
          <w:lang w:val="fr-FR"/>
        </w:rPr>
        <w:t>4.4.2</w:t>
      </w:r>
      <w:r w:rsidRPr="00A779B8">
        <w:rPr>
          <w:lang w:val="fr-FR"/>
        </w:rPr>
        <w:tab/>
        <w:t xml:space="preserve">Le dispositif de chauffage du réservoir doit permettre un réchauffement homogène du carburant contenu dans le réservoir, pour en élever la température de 14 K en 60 min, à partir de 289 K (16 °C), le capteur de température étant disposé comme indiqué au paragraphe 5.1.1. Le système de chauffage doit permettre de contrôler la température du carburant à </w:t>
      </w:r>
      <w:r w:rsidRPr="00A779B8">
        <w:rPr>
          <w:lang w:val="fr-FR"/>
        </w:rPr>
        <w:sym w:font="Symbol" w:char="F0B1"/>
      </w:r>
      <w:r w:rsidRPr="00A779B8">
        <w:rPr>
          <w:lang w:val="fr-FR"/>
        </w:rPr>
        <w:t>1,5 K par rapport à la température voulue pendant la phase de chauffage du réservoir.</w:t>
      </w:r>
    </w:p>
    <w:p w:rsidR="00A320B5" w:rsidRPr="00A779B8" w:rsidRDefault="00A320B5" w:rsidP="00A320B5">
      <w:pPr>
        <w:pStyle w:val="SingleTxtG"/>
        <w:keepNext/>
        <w:ind w:left="2268" w:hanging="1134"/>
        <w:jc w:val="left"/>
        <w:rPr>
          <w:lang w:val="fr-FR"/>
        </w:rPr>
      </w:pPr>
      <w:r w:rsidRPr="00A779B8">
        <w:rPr>
          <w:lang w:val="fr-FR"/>
        </w:rPr>
        <w:lastRenderedPageBreak/>
        <w:t>4.5</w:t>
      </w:r>
      <w:r w:rsidRPr="00A779B8">
        <w:rPr>
          <w:lang w:val="fr-FR"/>
        </w:rPr>
        <w:tab/>
        <w:t>Enregistrement des températures</w:t>
      </w:r>
    </w:p>
    <w:p w:rsidR="00A320B5" w:rsidRPr="00A779B8" w:rsidRDefault="00A320B5" w:rsidP="00A320B5">
      <w:pPr>
        <w:pStyle w:val="SingleTxtG"/>
        <w:keepNext/>
        <w:keepLines/>
        <w:ind w:left="2268" w:hanging="1134"/>
        <w:rPr>
          <w:lang w:val="fr-FR"/>
        </w:rPr>
      </w:pPr>
      <w:r w:rsidRPr="00A779B8">
        <w:rPr>
          <w:lang w:val="fr-FR"/>
        </w:rPr>
        <w:t>4.5.1</w:t>
      </w:r>
      <w:r w:rsidRPr="00A779B8">
        <w:rPr>
          <w:lang w:val="fr-FR"/>
        </w:rPr>
        <w:tab/>
        <w:t>La température de la chambre est prise en deux points par des capteurs de température qui sont reliés l</w:t>
      </w:r>
      <w:r w:rsidR="00DB4C2D">
        <w:rPr>
          <w:lang w:val="fr-FR"/>
        </w:rPr>
        <w:t>’</w:t>
      </w:r>
      <w:r w:rsidRPr="00A779B8">
        <w:rPr>
          <w:lang w:val="fr-FR"/>
        </w:rPr>
        <w:t>un à l</w:t>
      </w:r>
      <w:r w:rsidR="00DB4C2D">
        <w:rPr>
          <w:lang w:val="fr-FR"/>
        </w:rPr>
        <w:t>’</w:t>
      </w:r>
      <w:r w:rsidRPr="00A779B8">
        <w:rPr>
          <w:lang w:val="fr-FR"/>
        </w:rPr>
        <w:t>autre de manière à indiquer une valeur moyenne. Les points de mesure sont écartés d</w:t>
      </w:r>
      <w:r w:rsidR="00DB4C2D">
        <w:rPr>
          <w:lang w:val="fr-FR"/>
        </w:rPr>
        <w:t>’</w:t>
      </w:r>
      <w:r w:rsidRPr="00A779B8">
        <w:rPr>
          <w:lang w:val="fr-FR"/>
        </w:rPr>
        <w:t>environ 0,1 m à l</w:t>
      </w:r>
      <w:r w:rsidR="00DB4C2D">
        <w:rPr>
          <w:lang w:val="fr-FR"/>
        </w:rPr>
        <w:t>’</w:t>
      </w:r>
      <w:r w:rsidRPr="00A779B8">
        <w:rPr>
          <w:lang w:val="fr-FR"/>
        </w:rPr>
        <w:t>intérieur de l</w:t>
      </w:r>
      <w:r w:rsidR="00DB4C2D">
        <w:rPr>
          <w:lang w:val="fr-FR"/>
        </w:rPr>
        <w:t>’</w:t>
      </w:r>
      <w:r w:rsidRPr="00A779B8">
        <w:rPr>
          <w:lang w:val="fr-FR"/>
        </w:rPr>
        <w:t>enceinte, à partir de l</w:t>
      </w:r>
      <w:r w:rsidR="00DB4C2D">
        <w:rPr>
          <w:lang w:val="fr-FR"/>
        </w:rPr>
        <w:t>’</w:t>
      </w:r>
      <w:r w:rsidRPr="00A779B8">
        <w:rPr>
          <w:lang w:val="fr-FR"/>
        </w:rPr>
        <w:t>axe vertical de symétrie de chaque paroi latérale, à une hauteur de 0,9 m </w:t>
      </w:r>
      <w:r w:rsidRPr="00A779B8">
        <w:rPr>
          <w:lang w:val="fr-FR"/>
        </w:rPr>
        <w:sym w:font="Symbol" w:char="F0B1"/>
      </w:r>
      <w:r w:rsidRPr="00A779B8">
        <w:rPr>
          <w:lang w:val="fr-FR"/>
        </w:rPr>
        <w:t> 0,2 m.</w:t>
      </w:r>
    </w:p>
    <w:p w:rsidR="00A320B5" w:rsidRPr="00A779B8" w:rsidRDefault="00A320B5" w:rsidP="00A320B5">
      <w:pPr>
        <w:pStyle w:val="SingleTxtG"/>
        <w:ind w:left="2268" w:hanging="1134"/>
        <w:rPr>
          <w:lang w:val="fr-FR"/>
        </w:rPr>
      </w:pPr>
      <w:r w:rsidRPr="00A779B8">
        <w:rPr>
          <w:lang w:val="fr-FR"/>
        </w:rPr>
        <w:t>4.5.2</w:t>
      </w:r>
      <w:r w:rsidRPr="00A779B8">
        <w:rPr>
          <w:lang w:val="fr-FR"/>
        </w:rPr>
        <w:tab/>
        <w:t>Les températures du ou des réservoirs doivent être enregistrée au moyen du capteur placé dans les réservoirs comme indiqué au paragraphe 5.1.1 de la présente annexe, si l</w:t>
      </w:r>
      <w:r w:rsidR="00DB4C2D">
        <w:rPr>
          <w:lang w:val="fr-FR"/>
        </w:rPr>
        <w:t>’</w:t>
      </w:r>
      <w:r w:rsidRPr="00A779B8">
        <w:rPr>
          <w:lang w:val="fr-FR"/>
        </w:rPr>
        <w:t>option de charge à l</w:t>
      </w:r>
      <w:r w:rsidR="00DB4C2D">
        <w:rPr>
          <w:lang w:val="fr-FR"/>
        </w:rPr>
        <w:t>’</w:t>
      </w:r>
      <w:r w:rsidRPr="00A779B8">
        <w:rPr>
          <w:lang w:val="fr-FR"/>
        </w:rPr>
        <w:t>essence de l</w:t>
      </w:r>
      <w:r w:rsidR="00DB4C2D">
        <w:rPr>
          <w:lang w:val="fr-FR"/>
        </w:rPr>
        <w:t>’</w:t>
      </w:r>
      <w:r w:rsidRPr="00A779B8">
        <w:rPr>
          <w:lang w:val="fr-FR"/>
        </w:rPr>
        <w:t>absorbeur de vapeurs de carburant est utilisée (par. 5.1.5 de la présente annexe).</w:t>
      </w:r>
    </w:p>
    <w:p w:rsidR="00A320B5" w:rsidRPr="00A779B8" w:rsidRDefault="00A320B5" w:rsidP="00A320B5">
      <w:pPr>
        <w:pStyle w:val="SingleTxtG"/>
        <w:ind w:left="2268" w:hanging="1134"/>
        <w:rPr>
          <w:lang w:val="fr-FR"/>
        </w:rPr>
      </w:pPr>
      <w:r w:rsidRPr="00A779B8">
        <w:rPr>
          <w:lang w:val="fr-FR"/>
        </w:rPr>
        <w:t>4.5.3</w:t>
      </w:r>
      <w:r w:rsidRPr="00A779B8">
        <w:rPr>
          <w:lang w:val="fr-FR"/>
        </w:rPr>
        <w:tab/>
        <w:t>Pour l</w:t>
      </w:r>
      <w:r w:rsidR="00DB4C2D">
        <w:rPr>
          <w:lang w:val="fr-FR"/>
        </w:rPr>
        <w:t>’</w:t>
      </w:r>
      <w:r w:rsidRPr="00A779B8">
        <w:rPr>
          <w:lang w:val="fr-FR"/>
        </w:rPr>
        <w:t>ensemble des mesures d</w:t>
      </w:r>
      <w:r w:rsidR="00DB4C2D">
        <w:rPr>
          <w:lang w:val="fr-FR"/>
        </w:rPr>
        <w:t>’</w:t>
      </w:r>
      <w:r w:rsidRPr="00A779B8">
        <w:rPr>
          <w:lang w:val="fr-FR"/>
        </w:rPr>
        <w:t>émissions par évaporation, les températures doivent être enregistrées ou introduites dans un système de traitement de données à la fréquence d</w:t>
      </w:r>
      <w:r w:rsidR="00DB4C2D">
        <w:rPr>
          <w:lang w:val="fr-FR"/>
        </w:rPr>
        <w:t>’</w:t>
      </w:r>
      <w:r w:rsidRPr="00A779B8">
        <w:rPr>
          <w:lang w:val="fr-FR"/>
        </w:rPr>
        <w:t>au moins une fois par minute.</w:t>
      </w:r>
    </w:p>
    <w:p w:rsidR="00A320B5" w:rsidRPr="00A779B8" w:rsidRDefault="00A320B5" w:rsidP="00A320B5">
      <w:pPr>
        <w:pStyle w:val="SingleTxtG"/>
        <w:ind w:left="2268" w:hanging="1134"/>
        <w:rPr>
          <w:lang w:val="fr-FR"/>
        </w:rPr>
      </w:pPr>
      <w:r w:rsidRPr="00A779B8">
        <w:rPr>
          <w:lang w:val="fr-FR"/>
        </w:rPr>
        <w:t>4.5.4</w:t>
      </w:r>
      <w:r w:rsidRPr="00A779B8">
        <w:rPr>
          <w:lang w:val="fr-FR"/>
        </w:rPr>
        <w:tab/>
        <w:t>La précision du système d</w:t>
      </w:r>
      <w:r w:rsidR="00DB4C2D">
        <w:rPr>
          <w:lang w:val="fr-FR"/>
        </w:rPr>
        <w:t>’</w:t>
      </w:r>
      <w:r w:rsidRPr="00A779B8">
        <w:rPr>
          <w:lang w:val="fr-FR"/>
        </w:rPr>
        <w:t xml:space="preserve">enregistrement des températures doit être comprise dans une fourchette de </w:t>
      </w:r>
      <w:r w:rsidRPr="00A779B8">
        <w:rPr>
          <w:lang w:val="fr-FR"/>
        </w:rPr>
        <w:sym w:font="Symbol" w:char="F0B1"/>
      </w:r>
      <w:r w:rsidRPr="00A779B8">
        <w:rPr>
          <w:lang w:val="fr-FR"/>
        </w:rPr>
        <w:t>1,0 K et la valeur de la température doit pouvoir être connue à 0,4 K près.</w:t>
      </w:r>
    </w:p>
    <w:p w:rsidR="00A320B5" w:rsidRPr="00A779B8" w:rsidRDefault="00A320B5" w:rsidP="00A320B5">
      <w:pPr>
        <w:pStyle w:val="SingleTxtG"/>
        <w:ind w:left="2268" w:hanging="1134"/>
        <w:rPr>
          <w:lang w:val="fr-FR"/>
        </w:rPr>
      </w:pPr>
      <w:r w:rsidRPr="00A779B8">
        <w:rPr>
          <w:lang w:val="fr-FR"/>
        </w:rPr>
        <w:t>4.5.5</w:t>
      </w:r>
      <w:r w:rsidRPr="00A779B8">
        <w:rPr>
          <w:lang w:val="fr-FR"/>
        </w:rPr>
        <w:tab/>
        <w:t>L</w:t>
      </w:r>
      <w:r w:rsidR="00DB4C2D">
        <w:rPr>
          <w:lang w:val="fr-FR"/>
        </w:rPr>
        <w:t>’</w:t>
      </w:r>
      <w:r w:rsidRPr="00A779B8">
        <w:rPr>
          <w:lang w:val="fr-FR"/>
        </w:rPr>
        <w:t xml:space="preserve">enregistrement du système de traitement de données doit permettre de connaître le temps avec une précision de </w:t>
      </w:r>
      <w:r w:rsidRPr="00A779B8">
        <w:rPr>
          <w:lang w:val="fr-FR"/>
        </w:rPr>
        <w:sym w:font="Symbol" w:char="F0B1"/>
      </w:r>
      <w:r w:rsidRPr="00A779B8">
        <w:rPr>
          <w:lang w:val="fr-FR"/>
        </w:rPr>
        <w:t>15 s.</w:t>
      </w:r>
    </w:p>
    <w:p w:rsidR="00A320B5" w:rsidRPr="00A779B8" w:rsidRDefault="00A320B5" w:rsidP="00A320B5">
      <w:pPr>
        <w:pStyle w:val="SingleTxtG"/>
        <w:keepNext/>
        <w:ind w:left="2268" w:hanging="1134"/>
        <w:jc w:val="left"/>
        <w:rPr>
          <w:lang w:val="fr-FR"/>
        </w:rPr>
      </w:pPr>
      <w:r w:rsidRPr="00A779B8">
        <w:rPr>
          <w:lang w:val="fr-FR"/>
        </w:rPr>
        <w:t>4.6</w:t>
      </w:r>
      <w:r w:rsidRPr="00A779B8">
        <w:rPr>
          <w:lang w:val="fr-FR"/>
        </w:rPr>
        <w:tab/>
        <w:t>Enregistrement de la pression</w:t>
      </w:r>
    </w:p>
    <w:p w:rsidR="00A320B5" w:rsidRPr="00A779B8" w:rsidRDefault="00A320B5" w:rsidP="00A320B5">
      <w:pPr>
        <w:pStyle w:val="SingleTxtG"/>
        <w:ind w:left="2268" w:hanging="1134"/>
        <w:rPr>
          <w:lang w:val="fr-FR"/>
        </w:rPr>
      </w:pPr>
      <w:r w:rsidRPr="00A779B8">
        <w:rPr>
          <w:lang w:val="fr-FR"/>
        </w:rPr>
        <w:t>4.6.1</w:t>
      </w:r>
      <w:r w:rsidRPr="00A779B8">
        <w:rPr>
          <w:lang w:val="fr-FR"/>
        </w:rPr>
        <w:tab/>
        <w:t>Pour l</w:t>
      </w:r>
      <w:r w:rsidR="00DB4C2D">
        <w:rPr>
          <w:lang w:val="fr-FR"/>
        </w:rPr>
        <w:t>’</w:t>
      </w:r>
      <w:r w:rsidRPr="00A779B8">
        <w:rPr>
          <w:lang w:val="fr-FR"/>
        </w:rPr>
        <w:t>ensemble des mesures d</w:t>
      </w:r>
      <w:r w:rsidR="00DB4C2D">
        <w:rPr>
          <w:lang w:val="fr-FR"/>
        </w:rPr>
        <w:t>’</w:t>
      </w:r>
      <w:r w:rsidRPr="00A779B8">
        <w:rPr>
          <w:lang w:val="fr-FR"/>
        </w:rPr>
        <w:t>émissions par évaporation, la différence</w:t>
      </w:r>
      <w:r w:rsidRPr="00A779B8">
        <w:rPr>
          <w:lang w:val="fr-FR"/>
        </w:rPr>
        <w:t> </w:t>
      </w:r>
      <w:proofErr w:type="spellStart"/>
      <w:r w:rsidRPr="00A779B8">
        <w:rPr>
          <w:lang w:val="fr-FR"/>
        </w:rPr>
        <w:t>Δp</w:t>
      </w:r>
      <w:proofErr w:type="spellEnd"/>
      <w:r w:rsidRPr="00A779B8">
        <w:rPr>
          <w:lang w:val="fr-FR"/>
        </w:rPr>
        <w:t xml:space="preserve"> entre la pression barométrique dans la zone d</w:t>
      </w:r>
      <w:r w:rsidR="00DB4C2D">
        <w:rPr>
          <w:lang w:val="fr-FR"/>
        </w:rPr>
        <w:t>’</w:t>
      </w:r>
      <w:r w:rsidRPr="00A779B8">
        <w:rPr>
          <w:lang w:val="fr-FR"/>
        </w:rPr>
        <w:t>essai et la pression intérieure de l</w:t>
      </w:r>
      <w:r w:rsidR="00DB4C2D">
        <w:rPr>
          <w:lang w:val="fr-FR"/>
        </w:rPr>
        <w:t>’</w:t>
      </w:r>
      <w:r w:rsidRPr="00A779B8">
        <w:rPr>
          <w:lang w:val="fr-FR"/>
        </w:rPr>
        <w:t>enceinte doit être enregistrée ou introduite dans un système de traitement des données à la fréquence d</w:t>
      </w:r>
      <w:r w:rsidR="00DB4C2D">
        <w:rPr>
          <w:lang w:val="fr-FR"/>
        </w:rPr>
        <w:t>’</w:t>
      </w:r>
      <w:r w:rsidRPr="00A779B8">
        <w:rPr>
          <w:lang w:val="fr-FR"/>
        </w:rPr>
        <w:t>au moins une fois par minute.</w:t>
      </w:r>
    </w:p>
    <w:p w:rsidR="00A320B5" w:rsidRPr="00A779B8" w:rsidRDefault="00A320B5" w:rsidP="00A320B5">
      <w:pPr>
        <w:pStyle w:val="SingleTxtG"/>
        <w:ind w:left="2268" w:hanging="1134"/>
        <w:rPr>
          <w:lang w:val="fr-FR"/>
        </w:rPr>
      </w:pPr>
      <w:r w:rsidRPr="00A779B8">
        <w:rPr>
          <w:lang w:val="fr-FR"/>
        </w:rPr>
        <w:t>4.6.2</w:t>
      </w:r>
      <w:r w:rsidRPr="00A779B8">
        <w:rPr>
          <w:lang w:val="fr-FR"/>
        </w:rPr>
        <w:tab/>
        <w:t>La précision du système d</w:t>
      </w:r>
      <w:r w:rsidR="00DB4C2D">
        <w:rPr>
          <w:lang w:val="fr-FR"/>
        </w:rPr>
        <w:t>’</w:t>
      </w:r>
      <w:r w:rsidRPr="00A779B8">
        <w:rPr>
          <w:lang w:val="fr-FR"/>
        </w:rPr>
        <w:t xml:space="preserve">enregistrement de la pression doit être comprise dans une fourchette de </w:t>
      </w:r>
      <w:r w:rsidRPr="00A779B8">
        <w:rPr>
          <w:lang w:val="fr-FR"/>
        </w:rPr>
        <w:sym w:font="Symbol" w:char="F0B1"/>
      </w:r>
      <w:r w:rsidRPr="00A779B8">
        <w:rPr>
          <w:lang w:val="fr-FR"/>
        </w:rPr>
        <w:t>2 kPa et la valeur de la pression doit pouvoir être connue à 0,2 kPa près.</w:t>
      </w:r>
    </w:p>
    <w:p w:rsidR="00A320B5" w:rsidRPr="00A779B8" w:rsidRDefault="00A320B5" w:rsidP="00A320B5">
      <w:pPr>
        <w:pStyle w:val="SingleTxtG"/>
        <w:ind w:left="2268" w:hanging="1134"/>
        <w:rPr>
          <w:lang w:val="fr-FR"/>
        </w:rPr>
      </w:pPr>
      <w:r w:rsidRPr="00A779B8">
        <w:rPr>
          <w:lang w:val="fr-FR"/>
        </w:rPr>
        <w:t>4.6.3</w:t>
      </w:r>
      <w:r w:rsidRPr="00A779B8">
        <w:rPr>
          <w:lang w:val="fr-FR"/>
        </w:rPr>
        <w:tab/>
        <w:t>Le système d</w:t>
      </w:r>
      <w:r w:rsidR="00DB4C2D">
        <w:rPr>
          <w:lang w:val="fr-FR"/>
        </w:rPr>
        <w:t>’</w:t>
      </w:r>
      <w:r w:rsidRPr="00A779B8">
        <w:rPr>
          <w:lang w:val="fr-FR"/>
        </w:rPr>
        <w:t xml:space="preserve">enregistrement ou de traitement de données doit permettre de connaître le temps avec une précision de </w:t>
      </w:r>
      <w:r w:rsidRPr="00A779B8">
        <w:rPr>
          <w:lang w:val="fr-FR"/>
        </w:rPr>
        <w:sym w:font="Symbol" w:char="F0B1"/>
      </w:r>
      <w:r w:rsidRPr="00A779B8">
        <w:rPr>
          <w:lang w:val="fr-FR"/>
        </w:rPr>
        <w:t>15 s.</w:t>
      </w:r>
    </w:p>
    <w:p w:rsidR="00A320B5" w:rsidRPr="00A779B8" w:rsidRDefault="00A320B5" w:rsidP="00A320B5">
      <w:pPr>
        <w:pStyle w:val="SingleTxtG"/>
        <w:keepNext/>
        <w:ind w:left="2268" w:hanging="1134"/>
        <w:jc w:val="left"/>
        <w:rPr>
          <w:lang w:val="fr-FR"/>
        </w:rPr>
      </w:pPr>
      <w:r w:rsidRPr="00A779B8">
        <w:rPr>
          <w:lang w:val="fr-FR"/>
        </w:rPr>
        <w:t>4.7</w:t>
      </w:r>
      <w:r w:rsidRPr="00A779B8">
        <w:rPr>
          <w:lang w:val="fr-FR"/>
        </w:rPr>
        <w:tab/>
        <w:t>Ventilateurs</w:t>
      </w:r>
    </w:p>
    <w:p w:rsidR="00A320B5" w:rsidRPr="00A779B8" w:rsidRDefault="00A320B5" w:rsidP="00A320B5">
      <w:pPr>
        <w:pStyle w:val="SingleTxtG"/>
        <w:ind w:left="2268" w:hanging="1134"/>
        <w:rPr>
          <w:lang w:val="fr-FR"/>
        </w:rPr>
      </w:pPr>
      <w:r w:rsidRPr="00A779B8">
        <w:rPr>
          <w:lang w:val="fr-FR"/>
        </w:rPr>
        <w:t>4.7.1</w:t>
      </w:r>
      <w:r w:rsidRPr="00A779B8">
        <w:rPr>
          <w:lang w:val="fr-FR"/>
        </w:rPr>
        <w:tab/>
        <w:t>En utilisant un ou plusieurs ventilateurs ou dispositifs soufflants avec les portes de la chambre</w:t>
      </w:r>
      <w:r>
        <w:rPr>
          <w:lang w:val="fr-FR"/>
        </w:rPr>
        <w:t xml:space="preserve"> </w:t>
      </w:r>
      <w:r w:rsidRPr="00A779B8">
        <w:rPr>
          <w:lang w:val="fr-FR"/>
        </w:rPr>
        <w:t>en position d</w:t>
      </w:r>
      <w:r w:rsidR="00DB4C2D">
        <w:rPr>
          <w:lang w:val="fr-FR"/>
        </w:rPr>
        <w:t>’</w:t>
      </w:r>
      <w:r w:rsidRPr="00A779B8">
        <w:rPr>
          <w:lang w:val="fr-FR"/>
        </w:rPr>
        <w:t>ouverture, il doit être possible d</w:t>
      </w:r>
      <w:r w:rsidR="00DB4C2D">
        <w:rPr>
          <w:lang w:val="fr-FR"/>
        </w:rPr>
        <w:t>’</w:t>
      </w:r>
      <w:r w:rsidRPr="00A779B8">
        <w:rPr>
          <w:lang w:val="fr-FR"/>
        </w:rPr>
        <w:t>abaisser la concentration en hydrocarbures à l</w:t>
      </w:r>
      <w:r w:rsidR="00DB4C2D">
        <w:rPr>
          <w:lang w:val="fr-FR"/>
        </w:rPr>
        <w:t>’</w:t>
      </w:r>
      <w:r w:rsidRPr="00A779B8">
        <w:rPr>
          <w:lang w:val="fr-FR"/>
        </w:rPr>
        <w:t>intérieur de la chambre au niveau de la concentration ambiante.</w:t>
      </w:r>
    </w:p>
    <w:p w:rsidR="00A320B5" w:rsidRPr="00A779B8" w:rsidRDefault="00A320B5" w:rsidP="00A320B5">
      <w:pPr>
        <w:pStyle w:val="SingleTxtG"/>
        <w:ind w:left="2268" w:hanging="1134"/>
        <w:rPr>
          <w:lang w:val="fr-FR"/>
        </w:rPr>
      </w:pPr>
      <w:r w:rsidRPr="00A779B8">
        <w:rPr>
          <w:lang w:val="fr-FR"/>
        </w:rPr>
        <w:t>4.7.2</w:t>
      </w:r>
      <w:r w:rsidRPr="00A779B8">
        <w:rPr>
          <w:lang w:val="fr-FR"/>
        </w:rPr>
        <w:tab/>
        <w:t>La chambre doit être équipée d</w:t>
      </w:r>
      <w:r w:rsidR="00DB4C2D">
        <w:rPr>
          <w:lang w:val="fr-FR"/>
        </w:rPr>
        <w:t>’</w:t>
      </w:r>
      <w:r w:rsidRPr="00A779B8">
        <w:rPr>
          <w:lang w:val="fr-FR"/>
        </w:rPr>
        <w:t>un ou plusieurs ventilateurs ou soufflantes ayant un débit de 0,1 à 0,5 m</w:t>
      </w:r>
      <w:r w:rsidRPr="00A779B8">
        <w:rPr>
          <w:vertAlign w:val="superscript"/>
          <w:lang w:val="fr-FR"/>
        </w:rPr>
        <w:t>3</w:t>
      </w:r>
      <w:r w:rsidRPr="00A779B8">
        <w:rPr>
          <w:lang w:val="fr-FR"/>
        </w:rPr>
        <w:t>/min, pour assurer un brassage complet de l</w:t>
      </w:r>
      <w:r w:rsidR="00DB4C2D">
        <w:rPr>
          <w:lang w:val="fr-FR"/>
        </w:rPr>
        <w:t>’</w:t>
      </w:r>
      <w:r w:rsidRPr="00A779B8">
        <w:rPr>
          <w:lang w:val="fr-FR"/>
        </w:rPr>
        <w:t>atmosphère de l</w:t>
      </w:r>
      <w:r w:rsidR="00DB4C2D">
        <w:rPr>
          <w:lang w:val="fr-FR"/>
        </w:rPr>
        <w:t>’</w:t>
      </w:r>
      <w:r w:rsidRPr="00A779B8">
        <w:rPr>
          <w:lang w:val="fr-FR"/>
        </w:rPr>
        <w:t>enceinte. Il doit être possible d</w:t>
      </w:r>
      <w:r w:rsidR="00DB4C2D">
        <w:rPr>
          <w:lang w:val="fr-FR"/>
        </w:rPr>
        <w:t>’</w:t>
      </w:r>
      <w:r w:rsidRPr="00A779B8">
        <w:rPr>
          <w:lang w:val="fr-FR"/>
        </w:rPr>
        <w:t>obtenir une répartition régulière de la température et de la concentration en hydrocarbures dans la chambre pendant les mesures. Le véhicule placé dans l</w:t>
      </w:r>
      <w:r w:rsidR="00DB4C2D">
        <w:rPr>
          <w:lang w:val="fr-FR"/>
        </w:rPr>
        <w:t>’</w:t>
      </w:r>
      <w:r w:rsidRPr="00A779B8">
        <w:rPr>
          <w:lang w:val="fr-FR"/>
        </w:rPr>
        <w:t>enceinte ne doit pas être soumis directement à un courant d</w:t>
      </w:r>
      <w:r w:rsidR="00DB4C2D">
        <w:rPr>
          <w:lang w:val="fr-FR"/>
        </w:rPr>
        <w:t>’</w:t>
      </w:r>
      <w:r w:rsidRPr="00A779B8">
        <w:rPr>
          <w:lang w:val="fr-FR"/>
        </w:rPr>
        <w:t>air provenant des ventilateurs ou des soufflantes.</w:t>
      </w:r>
    </w:p>
    <w:p w:rsidR="00A320B5" w:rsidRPr="00A779B8" w:rsidRDefault="00A320B5" w:rsidP="00A320B5">
      <w:pPr>
        <w:pStyle w:val="SingleTxtG"/>
        <w:keepNext/>
        <w:ind w:left="2268" w:hanging="1134"/>
        <w:jc w:val="left"/>
        <w:rPr>
          <w:lang w:val="fr-FR"/>
        </w:rPr>
      </w:pPr>
      <w:r w:rsidRPr="00A779B8">
        <w:rPr>
          <w:lang w:val="fr-FR"/>
        </w:rPr>
        <w:t>4.8</w:t>
      </w:r>
      <w:r w:rsidRPr="00A779B8">
        <w:rPr>
          <w:lang w:val="fr-FR"/>
        </w:rPr>
        <w:tab/>
        <w:t>Gaz</w:t>
      </w:r>
    </w:p>
    <w:p w:rsidR="00A320B5" w:rsidRPr="00A779B8" w:rsidRDefault="00A320B5" w:rsidP="00A320B5">
      <w:pPr>
        <w:pStyle w:val="SingleTxtG"/>
        <w:keepNext/>
        <w:ind w:left="2268" w:hanging="1134"/>
        <w:rPr>
          <w:lang w:val="fr-FR"/>
        </w:rPr>
      </w:pPr>
      <w:r w:rsidRPr="00A779B8">
        <w:rPr>
          <w:lang w:val="fr-FR"/>
        </w:rPr>
        <w:t>4.8.1</w:t>
      </w:r>
      <w:r w:rsidRPr="00A779B8">
        <w:rPr>
          <w:lang w:val="fr-FR"/>
        </w:rPr>
        <w:tab/>
        <w:t>On doit disposer des gaz purs ci-après pour l</w:t>
      </w:r>
      <w:r w:rsidR="00DB4C2D">
        <w:rPr>
          <w:lang w:val="fr-FR"/>
        </w:rPr>
        <w:t>’</w:t>
      </w:r>
      <w:r w:rsidRPr="00A779B8">
        <w:rPr>
          <w:lang w:val="fr-FR"/>
        </w:rPr>
        <w:t>étalonnage et le fonctionnement de l</w:t>
      </w:r>
      <w:r w:rsidR="00DB4C2D">
        <w:rPr>
          <w:lang w:val="fr-FR"/>
        </w:rPr>
        <w:t>’</w:t>
      </w:r>
      <w:r w:rsidRPr="00A779B8">
        <w:rPr>
          <w:lang w:val="fr-FR"/>
        </w:rPr>
        <w:t>installation:</w:t>
      </w:r>
    </w:p>
    <w:p w:rsidR="00A320B5" w:rsidRPr="00A779B8" w:rsidRDefault="00A320B5" w:rsidP="00A320B5">
      <w:pPr>
        <w:pStyle w:val="SingleTxtG"/>
        <w:keepNext/>
        <w:ind w:left="2268"/>
        <w:jc w:val="left"/>
        <w:rPr>
          <w:lang w:val="fr-FR"/>
        </w:rPr>
      </w:pPr>
      <w:r w:rsidRPr="00A779B8">
        <w:rPr>
          <w:lang w:val="fr-FR"/>
        </w:rPr>
        <w:tab/>
        <w:t>Air synthétique purifié: (pureté &lt; 1 ppm d</w:t>
      </w:r>
      <w:r w:rsidR="00DB4C2D">
        <w:rPr>
          <w:lang w:val="fr-FR"/>
        </w:rPr>
        <w:t>’</w:t>
      </w:r>
      <w:r w:rsidRPr="00A779B8">
        <w:rPr>
          <w:lang w:val="fr-FR"/>
        </w:rPr>
        <w:t>équivalent C</w:t>
      </w:r>
      <w:r w:rsidRPr="00A779B8">
        <w:rPr>
          <w:vertAlign w:val="subscript"/>
          <w:lang w:val="fr-FR"/>
        </w:rPr>
        <w:t>1</w:t>
      </w:r>
      <w:r w:rsidRPr="00A779B8">
        <w:rPr>
          <w:lang w:val="fr-FR"/>
        </w:rPr>
        <w:t>;</w:t>
      </w:r>
    </w:p>
    <w:p w:rsidR="00A320B5" w:rsidRPr="00A779B8" w:rsidRDefault="00A320B5" w:rsidP="00A320B5">
      <w:pPr>
        <w:pStyle w:val="SingleTxtG"/>
        <w:ind w:left="2268"/>
        <w:jc w:val="left"/>
        <w:rPr>
          <w:lang w:val="en-GB"/>
        </w:rPr>
      </w:pPr>
      <w:r w:rsidRPr="00A779B8">
        <w:rPr>
          <w:lang w:val="fr-FR"/>
        </w:rPr>
        <w:tab/>
      </w:r>
      <w:r w:rsidRPr="00A779B8">
        <w:rPr>
          <w:u w:val="single"/>
          <w:lang w:val="en-GB"/>
        </w:rPr>
        <w:t>&lt;</w:t>
      </w:r>
      <w:r w:rsidRPr="00A779B8">
        <w:rPr>
          <w:lang w:val="en-GB"/>
        </w:rPr>
        <w:t xml:space="preserve"> 1 ppm CO, </w:t>
      </w:r>
      <w:r w:rsidRPr="00A779B8">
        <w:rPr>
          <w:u w:val="single"/>
          <w:lang w:val="en-GB"/>
        </w:rPr>
        <w:t>&lt;</w:t>
      </w:r>
      <w:r w:rsidRPr="00A779B8">
        <w:rPr>
          <w:lang w:val="en-GB"/>
        </w:rPr>
        <w:t xml:space="preserve"> 400 ppm CO</w:t>
      </w:r>
      <w:r w:rsidRPr="00A779B8">
        <w:rPr>
          <w:vertAlign w:val="subscript"/>
          <w:lang w:val="en-GB"/>
        </w:rPr>
        <w:t>2</w:t>
      </w:r>
      <w:r w:rsidRPr="00A779B8">
        <w:rPr>
          <w:lang w:val="en-GB"/>
        </w:rPr>
        <w:t xml:space="preserve">, </w:t>
      </w:r>
      <w:r w:rsidRPr="00A779B8">
        <w:rPr>
          <w:u w:val="single"/>
          <w:lang w:val="en-GB"/>
        </w:rPr>
        <w:t>&lt;</w:t>
      </w:r>
      <w:r w:rsidRPr="00A779B8">
        <w:rPr>
          <w:lang w:val="en-GB"/>
        </w:rPr>
        <w:t xml:space="preserve"> 0,1 ppm NO);</w:t>
      </w:r>
    </w:p>
    <w:p w:rsidR="00A320B5" w:rsidRPr="00A779B8" w:rsidRDefault="00A320B5" w:rsidP="00A320B5">
      <w:pPr>
        <w:pStyle w:val="SingleTxtG"/>
        <w:ind w:left="2268"/>
        <w:jc w:val="left"/>
        <w:rPr>
          <w:lang w:val="fr-FR"/>
        </w:rPr>
      </w:pPr>
      <w:r w:rsidRPr="00A779B8">
        <w:rPr>
          <w:lang w:val="en-GB"/>
        </w:rPr>
        <w:lastRenderedPageBreak/>
        <w:tab/>
      </w:r>
      <w:r w:rsidRPr="00A779B8">
        <w:rPr>
          <w:lang w:val="fr-FR"/>
        </w:rPr>
        <w:t>Concentration d</w:t>
      </w:r>
      <w:r w:rsidR="00DB4C2D">
        <w:rPr>
          <w:lang w:val="fr-FR"/>
        </w:rPr>
        <w:t>’</w:t>
      </w:r>
      <w:r w:rsidRPr="00A779B8">
        <w:rPr>
          <w:lang w:val="fr-FR"/>
        </w:rPr>
        <w:t>oxygène de 18 à 21 % en volume;</w:t>
      </w:r>
    </w:p>
    <w:p w:rsidR="00A320B5" w:rsidRPr="00A779B8" w:rsidRDefault="00A320B5" w:rsidP="00A320B5">
      <w:pPr>
        <w:pStyle w:val="SingleTxtG"/>
        <w:ind w:left="2268"/>
        <w:rPr>
          <w:lang w:val="fr-FR"/>
        </w:rPr>
      </w:pPr>
      <w:r w:rsidRPr="00A779B8">
        <w:rPr>
          <w:lang w:val="fr-FR"/>
        </w:rPr>
        <w:tab/>
        <w:t>Gaz d</w:t>
      </w:r>
      <w:r w:rsidR="00DB4C2D">
        <w:rPr>
          <w:lang w:val="fr-FR"/>
        </w:rPr>
        <w:t>’</w:t>
      </w:r>
      <w:r w:rsidRPr="00A779B8">
        <w:rPr>
          <w:lang w:val="fr-FR"/>
        </w:rPr>
        <w:t>alimentation pour l</w:t>
      </w:r>
      <w:r w:rsidR="00DB4C2D">
        <w:rPr>
          <w:lang w:val="fr-FR"/>
        </w:rPr>
        <w:t>’</w:t>
      </w:r>
      <w:r w:rsidRPr="00A779B8">
        <w:rPr>
          <w:lang w:val="fr-FR"/>
        </w:rPr>
        <w:t>analyseur d</w:t>
      </w:r>
      <w:r w:rsidR="00DB4C2D">
        <w:rPr>
          <w:lang w:val="fr-FR"/>
        </w:rPr>
        <w:t>’</w:t>
      </w:r>
      <w:r w:rsidRPr="00A779B8">
        <w:rPr>
          <w:lang w:val="fr-FR"/>
        </w:rPr>
        <w:t>hydrocarbures: (40 </w:t>
      </w:r>
      <w:r w:rsidRPr="00A779B8">
        <w:rPr>
          <w:lang w:val="fr-FR"/>
        </w:rPr>
        <w:sym w:font="Symbol" w:char="F0B1"/>
      </w:r>
      <w:r w:rsidRPr="00A779B8">
        <w:rPr>
          <w:lang w:val="fr-FR"/>
        </w:rPr>
        <w:t> 2 % d</w:t>
      </w:r>
      <w:r w:rsidR="00DB4C2D">
        <w:rPr>
          <w:lang w:val="fr-FR"/>
        </w:rPr>
        <w:t>’</w:t>
      </w:r>
      <w:r w:rsidRPr="00A779B8">
        <w:rPr>
          <w:lang w:val="fr-FR"/>
        </w:rPr>
        <w:t>hydrogène, le complément étant constitué par l</w:t>
      </w:r>
      <w:r w:rsidR="00DB4C2D">
        <w:rPr>
          <w:lang w:val="fr-FR"/>
        </w:rPr>
        <w:t>’</w:t>
      </w:r>
      <w:r w:rsidRPr="00A779B8">
        <w:rPr>
          <w:lang w:val="fr-FR"/>
        </w:rPr>
        <w:t>hélium, avec une teneur limite de 1 ppm d</w:t>
      </w:r>
      <w:r w:rsidR="00DB4C2D">
        <w:rPr>
          <w:lang w:val="fr-FR"/>
        </w:rPr>
        <w:t>’</w:t>
      </w:r>
      <w:r w:rsidRPr="00A779B8">
        <w:rPr>
          <w:lang w:val="fr-FR"/>
        </w:rPr>
        <w:t>équivalent C</w:t>
      </w:r>
      <w:r w:rsidRPr="00A779B8">
        <w:rPr>
          <w:vertAlign w:val="subscript"/>
          <w:lang w:val="fr-FR"/>
        </w:rPr>
        <w:t>1</w:t>
      </w:r>
      <w:r w:rsidRPr="00A779B8">
        <w:rPr>
          <w:lang w:val="fr-FR"/>
        </w:rPr>
        <w:t>, et une teneur limite de 400 ppm CO</w:t>
      </w:r>
      <w:r w:rsidRPr="00A779B8">
        <w:rPr>
          <w:vertAlign w:val="subscript"/>
          <w:lang w:val="fr-FR"/>
        </w:rPr>
        <w:t>2</w:t>
      </w:r>
      <w:r w:rsidRPr="00A779B8">
        <w:rPr>
          <w:lang w:val="fr-FR"/>
        </w:rPr>
        <w:t>);</w:t>
      </w:r>
    </w:p>
    <w:p w:rsidR="00A320B5" w:rsidRPr="00A779B8" w:rsidRDefault="00A320B5" w:rsidP="00A320B5">
      <w:pPr>
        <w:pStyle w:val="SingleTxtG"/>
        <w:tabs>
          <w:tab w:val="left" w:pos="4000"/>
        </w:tabs>
        <w:ind w:left="2268"/>
        <w:jc w:val="left"/>
        <w:rPr>
          <w:lang w:val="fr-FR"/>
        </w:rPr>
      </w:pPr>
      <w:r w:rsidRPr="00A779B8">
        <w:rPr>
          <w:lang w:val="fr-FR"/>
        </w:rPr>
        <w:t>Propane (C</w:t>
      </w:r>
      <w:r w:rsidRPr="00A779B8">
        <w:rPr>
          <w:vertAlign w:val="subscript"/>
          <w:lang w:val="fr-FR"/>
        </w:rPr>
        <w:t>3</w:t>
      </w:r>
      <w:r w:rsidRPr="00A779B8">
        <w:rPr>
          <w:lang w:val="fr-FR"/>
        </w:rPr>
        <w:t>H</w:t>
      </w:r>
      <w:r w:rsidRPr="00A779B8">
        <w:rPr>
          <w:vertAlign w:val="subscript"/>
          <w:lang w:val="fr-FR"/>
        </w:rPr>
        <w:t>8</w:t>
      </w:r>
      <w:r w:rsidRPr="00A779B8">
        <w:rPr>
          <w:lang w:val="fr-FR"/>
        </w:rPr>
        <w:t>):</w:t>
      </w:r>
      <w:r w:rsidRPr="00A779B8">
        <w:rPr>
          <w:lang w:val="fr-FR"/>
        </w:rPr>
        <w:tab/>
        <w:t>99,5 % de pureté minimale;</w:t>
      </w:r>
    </w:p>
    <w:p w:rsidR="00A320B5" w:rsidRPr="00A779B8" w:rsidRDefault="00A320B5" w:rsidP="00A320B5">
      <w:pPr>
        <w:pStyle w:val="SingleTxtG"/>
        <w:tabs>
          <w:tab w:val="left" w:pos="4000"/>
        </w:tabs>
        <w:ind w:left="2268"/>
        <w:jc w:val="left"/>
        <w:rPr>
          <w:lang w:val="fr-FR"/>
        </w:rPr>
      </w:pPr>
      <w:r w:rsidRPr="00A779B8">
        <w:rPr>
          <w:lang w:val="fr-FR"/>
        </w:rPr>
        <w:t>Butane (C</w:t>
      </w:r>
      <w:r w:rsidRPr="00A779B8">
        <w:rPr>
          <w:vertAlign w:val="subscript"/>
          <w:lang w:val="fr-FR"/>
        </w:rPr>
        <w:t>4</w:t>
      </w:r>
      <w:r w:rsidRPr="00A779B8">
        <w:rPr>
          <w:lang w:val="fr-FR"/>
        </w:rPr>
        <w:t>H</w:t>
      </w:r>
      <w:r w:rsidRPr="00A779B8">
        <w:rPr>
          <w:vertAlign w:val="subscript"/>
          <w:lang w:val="fr-FR"/>
        </w:rPr>
        <w:t>10</w:t>
      </w:r>
      <w:r w:rsidRPr="00A779B8">
        <w:rPr>
          <w:lang w:val="fr-FR"/>
        </w:rPr>
        <w:t>):</w:t>
      </w:r>
      <w:r w:rsidRPr="00A779B8">
        <w:rPr>
          <w:lang w:val="fr-FR"/>
        </w:rPr>
        <w:tab/>
        <w:t>98 % de pureté minimale;</w:t>
      </w:r>
    </w:p>
    <w:p w:rsidR="00A320B5" w:rsidRPr="00A779B8" w:rsidRDefault="00A320B5" w:rsidP="00A320B5">
      <w:pPr>
        <w:pStyle w:val="SingleTxtG"/>
        <w:tabs>
          <w:tab w:val="left" w:pos="4000"/>
        </w:tabs>
        <w:ind w:left="2268"/>
        <w:jc w:val="left"/>
        <w:rPr>
          <w:lang w:val="fr-FR"/>
        </w:rPr>
      </w:pPr>
      <w:r w:rsidRPr="00A779B8">
        <w:rPr>
          <w:lang w:val="fr-FR"/>
        </w:rPr>
        <w:t>Azote (N</w:t>
      </w:r>
      <w:r w:rsidRPr="00A779B8">
        <w:rPr>
          <w:vertAlign w:val="subscript"/>
          <w:lang w:val="fr-FR"/>
        </w:rPr>
        <w:t>2</w:t>
      </w:r>
      <w:r w:rsidRPr="00A779B8">
        <w:rPr>
          <w:lang w:val="fr-FR"/>
        </w:rPr>
        <w:t>):</w:t>
      </w:r>
      <w:r w:rsidRPr="00A779B8">
        <w:rPr>
          <w:lang w:val="fr-FR"/>
        </w:rPr>
        <w:tab/>
        <w:t>98 % de pureté minimale.</w:t>
      </w:r>
    </w:p>
    <w:p w:rsidR="00A320B5" w:rsidRPr="00A779B8" w:rsidRDefault="00A320B5" w:rsidP="00A320B5">
      <w:pPr>
        <w:pStyle w:val="SingleTxtG"/>
        <w:ind w:left="2268" w:hanging="1134"/>
        <w:rPr>
          <w:lang w:val="fr-FR"/>
        </w:rPr>
      </w:pPr>
      <w:r w:rsidRPr="00A779B8">
        <w:rPr>
          <w:lang w:val="fr-FR"/>
        </w:rPr>
        <w:t>4.8.2</w:t>
      </w:r>
      <w:r w:rsidRPr="00A779B8">
        <w:rPr>
          <w:lang w:val="fr-FR"/>
        </w:rPr>
        <w:tab/>
        <w:t>Les gaz utilisés par l</w:t>
      </w:r>
      <w:r w:rsidR="00DB4C2D">
        <w:rPr>
          <w:lang w:val="fr-FR"/>
        </w:rPr>
        <w:t>’</w:t>
      </w:r>
      <w:r w:rsidRPr="00A779B8">
        <w:rPr>
          <w:lang w:val="fr-FR"/>
        </w:rPr>
        <w:t>étalonnage et le réglage d</w:t>
      </w:r>
      <w:r w:rsidR="00DB4C2D">
        <w:rPr>
          <w:lang w:val="fr-FR"/>
        </w:rPr>
        <w:t>’</w:t>
      </w:r>
      <w:r w:rsidRPr="00A779B8">
        <w:rPr>
          <w:lang w:val="fr-FR"/>
        </w:rPr>
        <w:t>échelle doivent être constitués par des mélanges de propane (C</w:t>
      </w:r>
      <w:r w:rsidRPr="00A779B8">
        <w:rPr>
          <w:vertAlign w:val="subscript"/>
          <w:lang w:val="fr-FR"/>
        </w:rPr>
        <w:t>3</w:t>
      </w:r>
      <w:r w:rsidRPr="00A779B8">
        <w:rPr>
          <w:lang w:val="fr-FR"/>
        </w:rPr>
        <w:t>H</w:t>
      </w:r>
      <w:r w:rsidRPr="00A779B8">
        <w:rPr>
          <w:vertAlign w:val="subscript"/>
          <w:lang w:val="fr-FR"/>
        </w:rPr>
        <w:t>8</w:t>
      </w:r>
      <w:r w:rsidRPr="00A779B8">
        <w:rPr>
          <w:lang w:val="fr-FR"/>
        </w:rPr>
        <w:t>) et d</w:t>
      </w:r>
      <w:r w:rsidR="00DB4C2D">
        <w:rPr>
          <w:lang w:val="fr-FR"/>
        </w:rPr>
        <w:t>’</w:t>
      </w:r>
      <w:r w:rsidRPr="00A779B8">
        <w:rPr>
          <w:lang w:val="fr-FR"/>
        </w:rPr>
        <w:t>air synthétique purifié. Les concentrations réelles d</w:t>
      </w:r>
      <w:r w:rsidR="00DB4C2D">
        <w:rPr>
          <w:lang w:val="fr-FR"/>
        </w:rPr>
        <w:t>’</w:t>
      </w:r>
      <w:r w:rsidRPr="00A779B8">
        <w:rPr>
          <w:lang w:val="fr-FR"/>
        </w:rPr>
        <w:t>un gaz d</w:t>
      </w:r>
      <w:r w:rsidR="00DB4C2D">
        <w:rPr>
          <w:lang w:val="fr-FR"/>
        </w:rPr>
        <w:t>’</w:t>
      </w:r>
      <w:r w:rsidRPr="00A779B8">
        <w:rPr>
          <w:lang w:val="fr-FR"/>
        </w:rPr>
        <w:t>étalonnage doivent être conformes à la valeur nominale à 2 %, près. La précision des gaz dilués obtenue lorsque l</w:t>
      </w:r>
      <w:r w:rsidR="00DB4C2D">
        <w:rPr>
          <w:lang w:val="fr-FR"/>
        </w:rPr>
        <w:t>’</w:t>
      </w:r>
      <w:r w:rsidRPr="00A779B8">
        <w:rPr>
          <w:lang w:val="fr-FR"/>
        </w:rPr>
        <w:t xml:space="preserve">on utilise un mélangeur-doseur de gaz doit être de </w:t>
      </w:r>
      <w:r w:rsidRPr="00A779B8">
        <w:rPr>
          <w:lang w:val="fr-FR"/>
        </w:rPr>
        <w:sym w:font="Symbol" w:char="F0B1"/>
      </w:r>
      <w:r w:rsidRPr="00A779B8">
        <w:rPr>
          <w:lang w:val="fr-FR"/>
        </w:rPr>
        <w:t>2 % de la valeur nominale. Les valeurs de concentration indiquées dans l</w:t>
      </w:r>
      <w:r w:rsidR="00DB4C2D">
        <w:rPr>
          <w:lang w:val="fr-FR"/>
        </w:rPr>
        <w:t>’</w:t>
      </w:r>
      <w:r w:rsidRPr="00A779B8">
        <w:rPr>
          <w:lang w:val="fr-FR"/>
        </w:rPr>
        <w:t>appendice 1 de la présente annexe pourront aussi être obtenues au moyen d</w:t>
      </w:r>
      <w:r w:rsidR="00DB4C2D">
        <w:rPr>
          <w:lang w:val="fr-FR"/>
        </w:rPr>
        <w:t>’</w:t>
      </w:r>
      <w:r w:rsidRPr="00A779B8">
        <w:rPr>
          <w:lang w:val="fr-FR"/>
        </w:rPr>
        <w:t>un mélangeur-doseur de gaz utilisant l</w:t>
      </w:r>
      <w:r w:rsidR="00DB4C2D">
        <w:rPr>
          <w:lang w:val="fr-FR"/>
        </w:rPr>
        <w:t>’</w:t>
      </w:r>
      <w:r w:rsidRPr="00A779B8">
        <w:rPr>
          <w:lang w:val="fr-FR"/>
        </w:rPr>
        <w:t>air synthétique comme gaz de dilution.</w:t>
      </w:r>
    </w:p>
    <w:p w:rsidR="00A320B5" w:rsidRPr="00A779B8" w:rsidRDefault="00A320B5" w:rsidP="00A320B5">
      <w:pPr>
        <w:pStyle w:val="SingleTxtG"/>
        <w:keepNext/>
        <w:ind w:left="2268" w:hanging="1134"/>
        <w:jc w:val="left"/>
        <w:rPr>
          <w:lang w:val="fr-FR"/>
        </w:rPr>
      </w:pPr>
      <w:r w:rsidRPr="00A779B8">
        <w:rPr>
          <w:lang w:val="fr-FR"/>
        </w:rPr>
        <w:t>4.9</w:t>
      </w:r>
      <w:r w:rsidRPr="00A779B8">
        <w:rPr>
          <w:lang w:val="fr-FR"/>
        </w:rPr>
        <w:tab/>
        <w:t>Équipement complémentaire</w:t>
      </w:r>
    </w:p>
    <w:p w:rsidR="00A320B5" w:rsidRPr="00A779B8" w:rsidRDefault="00A320B5" w:rsidP="00A320B5">
      <w:pPr>
        <w:pStyle w:val="SingleTxtG"/>
        <w:ind w:left="2268" w:hanging="1134"/>
        <w:rPr>
          <w:lang w:val="fr-FR"/>
        </w:rPr>
      </w:pPr>
      <w:r w:rsidRPr="00A779B8">
        <w:rPr>
          <w:lang w:val="fr-FR"/>
        </w:rPr>
        <w:t>4.9.1</w:t>
      </w:r>
      <w:r w:rsidRPr="00A779B8">
        <w:rPr>
          <w:lang w:val="fr-FR"/>
        </w:rPr>
        <w:tab/>
        <w:t>L</w:t>
      </w:r>
      <w:r w:rsidR="00DB4C2D">
        <w:rPr>
          <w:lang w:val="fr-FR"/>
        </w:rPr>
        <w:t>’</w:t>
      </w:r>
      <w:r w:rsidRPr="00A779B8">
        <w:rPr>
          <w:lang w:val="fr-FR"/>
        </w:rPr>
        <w:t>humidité absolue doit pouvoir être déterminée dans la zone d</w:t>
      </w:r>
      <w:r w:rsidR="00DB4C2D">
        <w:rPr>
          <w:lang w:val="fr-FR"/>
        </w:rPr>
        <w:t>’</w:t>
      </w:r>
      <w:r w:rsidRPr="00A779B8">
        <w:rPr>
          <w:lang w:val="fr-FR"/>
        </w:rPr>
        <w:t>essai à 5 % près.</w:t>
      </w:r>
    </w:p>
    <w:p w:rsidR="00A320B5" w:rsidRPr="00A779B8" w:rsidRDefault="00A320B5" w:rsidP="00A320B5">
      <w:pPr>
        <w:pStyle w:val="SingleTxtG"/>
        <w:keepNext/>
        <w:ind w:left="2268" w:hanging="1134"/>
        <w:jc w:val="left"/>
        <w:rPr>
          <w:lang w:val="fr-FR"/>
        </w:rPr>
      </w:pPr>
      <w:r w:rsidRPr="00A779B8">
        <w:rPr>
          <w:lang w:val="fr-FR"/>
        </w:rPr>
        <w:t>5.</w:t>
      </w:r>
      <w:r w:rsidRPr="00A779B8">
        <w:rPr>
          <w:lang w:val="fr-FR"/>
        </w:rPr>
        <w:tab/>
        <w:t>Procédure d</w:t>
      </w:r>
      <w:r w:rsidR="00DB4C2D">
        <w:rPr>
          <w:lang w:val="fr-FR"/>
        </w:rPr>
        <w:t>’</w:t>
      </w:r>
      <w:r w:rsidRPr="00A779B8">
        <w:rPr>
          <w:lang w:val="fr-FR"/>
        </w:rPr>
        <w:t>essai</w:t>
      </w:r>
    </w:p>
    <w:p w:rsidR="00A320B5" w:rsidRPr="00A779B8" w:rsidRDefault="00A320B5" w:rsidP="00A320B5">
      <w:pPr>
        <w:pStyle w:val="SingleTxtG"/>
        <w:keepNext/>
        <w:ind w:left="2268" w:hanging="1134"/>
        <w:jc w:val="left"/>
        <w:rPr>
          <w:lang w:val="fr-FR"/>
        </w:rPr>
      </w:pPr>
      <w:r w:rsidRPr="00A779B8">
        <w:rPr>
          <w:lang w:val="fr-FR"/>
        </w:rPr>
        <w:t>5.1</w:t>
      </w:r>
      <w:r w:rsidRPr="00A779B8">
        <w:rPr>
          <w:lang w:val="fr-FR"/>
        </w:rPr>
        <w:tab/>
        <w:t>Préparation de l</w:t>
      </w:r>
      <w:r w:rsidR="00DB4C2D">
        <w:rPr>
          <w:lang w:val="fr-FR"/>
        </w:rPr>
        <w:t>’</w:t>
      </w:r>
      <w:r w:rsidRPr="00A779B8">
        <w:rPr>
          <w:lang w:val="fr-FR"/>
        </w:rPr>
        <w:t>essai</w:t>
      </w:r>
    </w:p>
    <w:p w:rsidR="00A320B5" w:rsidRPr="00A779B8" w:rsidRDefault="00A320B5" w:rsidP="00A320B5">
      <w:pPr>
        <w:pStyle w:val="SingleTxtG"/>
        <w:keepNext/>
        <w:ind w:left="2268" w:hanging="1134"/>
        <w:rPr>
          <w:lang w:val="fr-FR"/>
        </w:rPr>
      </w:pPr>
      <w:r w:rsidRPr="00A779B8">
        <w:rPr>
          <w:lang w:val="fr-FR"/>
        </w:rPr>
        <w:t>5.1.1</w:t>
      </w:r>
      <w:r w:rsidRPr="00A779B8">
        <w:rPr>
          <w:lang w:val="fr-FR"/>
        </w:rPr>
        <w:tab/>
        <w:t>Le véhicule doit être préparé mécaniquement avant l</w:t>
      </w:r>
      <w:r w:rsidR="00DB4C2D">
        <w:rPr>
          <w:lang w:val="fr-FR"/>
        </w:rPr>
        <w:t>’</w:t>
      </w:r>
      <w:r w:rsidRPr="00A779B8">
        <w:rPr>
          <w:lang w:val="fr-FR"/>
        </w:rPr>
        <w:t>essai de la manière suivante:</w:t>
      </w:r>
    </w:p>
    <w:p w:rsidR="00A320B5" w:rsidRPr="00A779B8" w:rsidRDefault="00A320B5" w:rsidP="00A320B5">
      <w:pPr>
        <w:pStyle w:val="SingleTxtG"/>
        <w:ind w:left="2835" w:hanging="567"/>
        <w:rPr>
          <w:lang w:val="fr-FR"/>
        </w:rPr>
      </w:pPr>
      <w:r w:rsidRPr="00A779B8">
        <w:rPr>
          <w:lang w:val="fr-FR"/>
        </w:rPr>
        <w:t>a)</w:t>
      </w:r>
      <w:r w:rsidRPr="00A779B8">
        <w:rPr>
          <w:lang w:val="fr-FR"/>
        </w:rPr>
        <w:tab/>
        <w:t>Le système d</w:t>
      </w:r>
      <w:r w:rsidR="00DB4C2D">
        <w:rPr>
          <w:lang w:val="fr-FR"/>
        </w:rPr>
        <w:t>’</w:t>
      </w:r>
      <w:r w:rsidRPr="00A779B8">
        <w:rPr>
          <w:lang w:val="fr-FR"/>
        </w:rPr>
        <w:t>échappement du véhicule ne doit présenter aucune fuite;</w:t>
      </w:r>
    </w:p>
    <w:p w:rsidR="00A320B5" w:rsidRPr="00A779B8" w:rsidRDefault="00A320B5" w:rsidP="00A320B5">
      <w:pPr>
        <w:pStyle w:val="SingleTxtG"/>
        <w:ind w:left="2835" w:hanging="567"/>
        <w:rPr>
          <w:lang w:val="fr-FR"/>
        </w:rPr>
      </w:pPr>
      <w:r w:rsidRPr="00A779B8">
        <w:rPr>
          <w:lang w:val="fr-FR"/>
        </w:rPr>
        <w:t>b)</w:t>
      </w:r>
      <w:r w:rsidRPr="00A779B8">
        <w:rPr>
          <w:lang w:val="fr-FR"/>
        </w:rPr>
        <w:tab/>
        <w:t>Le véhicule peut être nettoyé à la vapeur avant l</w:t>
      </w:r>
      <w:r w:rsidR="00DB4C2D">
        <w:rPr>
          <w:lang w:val="fr-FR"/>
        </w:rPr>
        <w:t>’</w:t>
      </w:r>
      <w:r w:rsidRPr="00A779B8">
        <w:rPr>
          <w:lang w:val="fr-FR"/>
        </w:rPr>
        <w:t>essai;</w:t>
      </w:r>
    </w:p>
    <w:p w:rsidR="00A320B5" w:rsidRPr="00A779B8" w:rsidRDefault="00A320B5" w:rsidP="00A320B5">
      <w:pPr>
        <w:pStyle w:val="SingleTxtG"/>
        <w:ind w:left="2835" w:hanging="567"/>
        <w:rPr>
          <w:lang w:val="fr-FR"/>
        </w:rPr>
      </w:pPr>
      <w:r w:rsidRPr="00A779B8">
        <w:rPr>
          <w:lang w:val="fr-FR"/>
        </w:rPr>
        <w:t>c)</w:t>
      </w:r>
      <w:r w:rsidRPr="00A779B8">
        <w:rPr>
          <w:lang w:val="fr-FR"/>
        </w:rPr>
        <w:tab/>
        <w:t>Si l</w:t>
      </w:r>
      <w:r w:rsidR="00DB4C2D">
        <w:rPr>
          <w:lang w:val="fr-FR"/>
        </w:rPr>
        <w:t>’</w:t>
      </w:r>
      <w:r w:rsidRPr="00A779B8">
        <w:rPr>
          <w:lang w:val="fr-FR"/>
        </w:rPr>
        <w:t>option de charge à l</w:t>
      </w:r>
      <w:r w:rsidR="00DB4C2D">
        <w:rPr>
          <w:lang w:val="fr-FR"/>
        </w:rPr>
        <w:t>’</w:t>
      </w:r>
      <w:r w:rsidRPr="00A779B8">
        <w:rPr>
          <w:lang w:val="fr-FR"/>
        </w:rPr>
        <w:t>essence de l</w:t>
      </w:r>
      <w:r w:rsidR="00DB4C2D">
        <w:rPr>
          <w:lang w:val="fr-FR"/>
        </w:rPr>
        <w:t>’</w:t>
      </w:r>
      <w:r w:rsidRPr="00A779B8">
        <w:rPr>
          <w:lang w:val="fr-FR"/>
        </w:rPr>
        <w:t>absorbeur de vapeurs de carburant (par. 5.1.5 de la présente annexe) est utilisée, le réservoir de carburant du véhicule doit être équipé d</w:t>
      </w:r>
      <w:r w:rsidR="00DB4C2D">
        <w:rPr>
          <w:lang w:val="fr-FR"/>
        </w:rPr>
        <w:t>’</w:t>
      </w:r>
      <w:r w:rsidRPr="00A779B8">
        <w:rPr>
          <w:lang w:val="fr-FR"/>
        </w:rPr>
        <w:t>une sonde de température permettant de mesurer la température au point central du volume de carburant contenu dans le réservoir, lorsque celui-ci est rempli à 40 % de sa capacité;</w:t>
      </w:r>
    </w:p>
    <w:p w:rsidR="00A320B5" w:rsidRPr="00A779B8" w:rsidRDefault="00A320B5" w:rsidP="00A320B5">
      <w:pPr>
        <w:pStyle w:val="SingleTxtG"/>
        <w:ind w:left="2835" w:hanging="567"/>
        <w:rPr>
          <w:lang w:val="fr-FR"/>
        </w:rPr>
      </w:pPr>
      <w:r w:rsidRPr="00A779B8">
        <w:rPr>
          <w:lang w:val="fr-FR"/>
        </w:rPr>
        <w:t>d)</w:t>
      </w:r>
      <w:r w:rsidRPr="00A779B8">
        <w:rPr>
          <w:lang w:val="fr-FR"/>
        </w:rPr>
        <w:tab/>
        <w:t>Des raccords supplémentaires et adaptateurs d</w:t>
      </w:r>
      <w:r w:rsidR="00DB4C2D">
        <w:rPr>
          <w:lang w:val="fr-FR"/>
        </w:rPr>
        <w:t>’</w:t>
      </w:r>
      <w:r w:rsidRPr="00A779B8">
        <w:rPr>
          <w:lang w:val="fr-FR"/>
        </w:rPr>
        <w:t>appareils permettant une vidange complète du réservoir de carburant peuvent être montés sur le système d</w:t>
      </w:r>
      <w:r w:rsidR="00DB4C2D">
        <w:rPr>
          <w:lang w:val="fr-FR"/>
        </w:rPr>
        <w:t>’</w:t>
      </w:r>
      <w:r w:rsidRPr="00A779B8">
        <w:rPr>
          <w:lang w:val="fr-FR"/>
        </w:rPr>
        <w:t>alimentation. À cet effet, il n</w:t>
      </w:r>
      <w:r w:rsidR="00DB4C2D">
        <w:rPr>
          <w:lang w:val="fr-FR"/>
        </w:rPr>
        <w:t>’</w:t>
      </w:r>
      <w:r w:rsidRPr="00A779B8">
        <w:rPr>
          <w:lang w:val="fr-FR"/>
        </w:rPr>
        <w:t>est pas nécessaire de modifier le corps du réservoir;</w:t>
      </w:r>
    </w:p>
    <w:p w:rsidR="00A320B5" w:rsidRPr="00A779B8" w:rsidRDefault="00A320B5" w:rsidP="00A320B5">
      <w:pPr>
        <w:pStyle w:val="SingleTxtG"/>
        <w:ind w:left="2835" w:hanging="567"/>
        <w:rPr>
          <w:lang w:val="fr-FR"/>
        </w:rPr>
      </w:pPr>
      <w:r w:rsidRPr="00A779B8">
        <w:rPr>
          <w:lang w:val="fr-FR"/>
        </w:rPr>
        <w:t>e)</w:t>
      </w:r>
      <w:r w:rsidRPr="00A779B8">
        <w:rPr>
          <w:lang w:val="fr-FR"/>
        </w:rPr>
        <w:tab/>
        <w:t>Le constructeur peut proposer une méthode d</w:t>
      </w:r>
      <w:r w:rsidR="00DB4C2D">
        <w:rPr>
          <w:lang w:val="fr-FR"/>
        </w:rPr>
        <w:t>’</w:t>
      </w:r>
      <w:r w:rsidRPr="00A779B8">
        <w:rPr>
          <w:lang w:val="fr-FR"/>
        </w:rPr>
        <w:t>essai permettant de prendre en compte la perte d</w:t>
      </w:r>
      <w:r w:rsidR="00DB4C2D">
        <w:rPr>
          <w:lang w:val="fr-FR"/>
        </w:rPr>
        <w:t>’</w:t>
      </w:r>
      <w:r w:rsidRPr="00A779B8">
        <w:rPr>
          <w:lang w:val="fr-FR"/>
        </w:rPr>
        <w:t>hydrocarbures par évaporation provenant uniquement du système d</w:t>
      </w:r>
      <w:r w:rsidR="00DB4C2D">
        <w:rPr>
          <w:lang w:val="fr-FR"/>
        </w:rPr>
        <w:t>’</w:t>
      </w:r>
      <w:r w:rsidRPr="00A779B8">
        <w:rPr>
          <w:lang w:val="fr-FR"/>
        </w:rPr>
        <w:t>alimentation du véhicule.</w:t>
      </w:r>
    </w:p>
    <w:p w:rsidR="00A320B5" w:rsidRPr="00A779B8" w:rsidRDefault="00A320B5" w:rsidP="00A320B5">
      <w:pPr>
        <w:pStyle w:val="SingleTxtG"/>
        <w:ind w:left="2268" w:hanging="1134"/>
        <w:rPr>
          <w:lang w:val="fr-FR"/>
        </w:rPr>
      </w:pPr>
      <w:r w:rsidRPr="00A779B8">
        <w:rPr>
          <w:lang w:val="fr-FR"/>
        </w:rPr>
        <w:t>5.1.2</w:t>
      </w:r>
      <w:r w:rsidRPr="00A779B8">
        <w:rPr>
          <w:lang w:val="fr-FR"/>
        </w:rPr>
        <w:tab/>
        <w:t>Le véhicule doit être amené dans la zone d</w:t>
      </w:r>
      <w:r w:rsidR="00DB4C2D">
        <w:rPr>
          <w:lang w:val="fr-FR"/>
        </w:rPr>
        <w:t>’</w:t>
      </w:r>
      <w:r w:rsidRPr="00A779B8">
        <w:rPr>
          <w:lang w:val="fr-FR"/>
        </w:rPr>
        <w:t>essai où la température ambiante est comprise entre 293 et 303 K (20 °C et 30 °C).</w:t>
      </w:r>
    </w:p>
    <w:p w:rsidR="00A320B5" w:rsidRPr="00A779B8" w:rsidRDefault="00A320B5" w:rsidP="00A320B5">
      <w:pPr>
        <w:pStyle w:val="SingleTxtG"/>
        <w:ind w:left="2268" w:hanging="1134"/>
        <w:rPr>
          <w:lang w:val="fr-FR"/>
        </w:rPr>
      </w:pPr>
      <w:r w:rsidRPr="00A779B8">
        <w:rPr>
          <w:lang w:val="fr-FR"/>
        </w:rPr>
        <w:t>5.1.3</w:t>
      </w:r>
      <w:r w:rsidRPr="00A779B8">
        <w:rPr>
          <w:lang w:val="fr-FR"/>
        </w:rPr>
        <w:tab/>
        <w:t>Le vieillissement du ou des absorbeurs de vapeurs de carburant doit être vérifié. On peut pour ce faire démontrer qu</w:t>
      </w:r>
      <w:r w:rsidR="00DB4C2D">
        <w:rPr>
          <w:lang w:val="fr-FR"/>
        </w:rPr>
        <w:t>’</w:t>
      </w:r>
      <w:r w:rsidRPr="00A779B8">
        <w:rPr>
          <w:lang w:val="fr-FR"/>
        </w:rPr>
        <w:t>ils ont servi pendant au moins 3 000 km. Si cela ne peut être démontré, la procédure ci-après est utilisée. Dans le cas d</w:t>
      </w:r>
      <w:r w:rsidR="00DB4C2D">
        <w:rPr>
          <w:lang w:val="fr-FR"/>
        </w:rPr>
        <w:t>’</w:t>
      </w:r>
      <w:r w:rsidRPr="00A779B8">
        <w:rPr>
          <w:lang w:val="fr-FR"/>
        </w:rPr>
        <w:t>un système à plusieurs absorbeurs, chacun doit subir la procédure séparément.</w:t>
      </w:r>
    </w:p>
    <w:p w:rsidR="00A320B5" w:rsidRPr="00A779B8" w:rsidRDefault="00A320B5" w:rsidP="00A320B5">
      <w:pPr>
        <w:pStyle w:val="SingleTxtG"/>
        <w:ind w:left="2268" w:hanging="1134"/>
        <w:rPr>
          <w:lang w:val="fr-FR"/>
        </w:rPr>
      </w:pPr>
      <w:r w:rsidRPr="00A779B8">
        <w:rPr>
          <w:lang w:val="fr-FR"/>
        </w:rPr>
        <w:lastRenderedPageBreak/>
        <w:t>5.1.3.1</w:t>
      </w:r>
      <w:r w:rsidRPr="00A779B8">
        <w:rPr>
          <w:lang w:val="fr-FR"/>
        </w:rPr>
        <w:tab/>
        <w:t>Retirer l</w:t>
      </w:r>
      <w:r w:rsidR="00DB4C2D">
        <w:rPr>
          <w:lang w:val="fr-FR"/>
        </w:rPr>
        <w:t>’</w:t>
      </w:r>
      <w:r w:rsidRPr="00A779B8">
        <w:rPr>
          <w:lang w:val="fr-FR"/>
        </w:rPr>
        <w:t>absorbeur de vapeurs de carburant du véhicule. Veiller tout particulièrement, en procédant à l</w:t>
      </w:r>
      <w:r w:rsidR="00DB4C2D">
        <w:rPr>
          <w:lang w:val="fr-FR"/>
        </w:rPr>
        <w:t>’</w:t>
      </w:r>
      <w:r w:rsidRPr="00A779B8">
        <w:rPr>
          <w:lang w:val="fr-FR"/>
        </w:rPr>
        <w:t>enlèvement, à ne pas endommager les composants et à ne pas porter atteinte à l</w:t>
      </w:r>
      <w:r w:rsidR="00DB4C2D">
        <w:rPr>
          <w:lang w:val="fr-FR"/>
        </w:rPr>
        <w:t>’</w:t>
      </w:r>
      <w:r w:rsidRPr="00A779B8">
        <w:rPr>
          <w:lang w:val="fr-FR"/>
        </w:rPr>
        <w:t>intégrité du système d</w:t>
      </w:r>
      <w:r w:rsidR="00DB4C2D">
        <w:rPr>
          <w:lang w:val="fr-FR"/>
        </w:rPr>
        <w:t>’</w:t>
      </w:r>
      <w:r w:rsidRPr="00A779B8">
        <w:rPr>
          <w:lang w:val="fr-FR"/>
        </w:rPr>
        <w:t>alimentation.</w:t>
      </w:r>
    </w:p>
    <w:p w:rsidR="00A320B5" w:rsidRPr="00A779B8" w:rsidRDefault="00A320B5" w:rsidP="00A320B5">
      <w:pPr>
        <w:pStyle w:val="SingleTxtG"/>
        <w:ind w:left="2268" w:hanging="1134"/>
        <w:rPr>
          <w:lang w:val="fr-FR"/>
        </w:rPr>
      </w:pPr>
      <w:r w:rsidRPr="00A779B8">
        <w:rPr>
          <w:lang w:val="fr-FR"/>
        </w:rPr>
        <w:t>5.1.3.2</w:t>
      </w:r>
      <w:r w:rsidRPr="00A779B8">
        <w:rPr>
          <w:lang w:val="fr-FR"/>
        </w:rPr>
        <w:tab/>
        <w:t>Contrôler le poids de l</w:t>
      </w:r>
      <w:r w:rsidR="00DB4C2D">
        <w:rPr>
          <w:lang w:val="fr-FR"/>
        </w:rPr>
        <w:t>’</w:t>
      </w:r>
      <w:r w:rsidRPr="00A779B8">
        <w:rPr>
          <w:lang w:val="fr-FR"/>
        </w:rPr>
        <w:t>absorbeur de vapeurs de carburant.</w:t>
      </w:r>
    </w:p>
    <w:p w:rsidR="00A320B5" w:rsidRPr="00A779B8" w:rsidRDefault="00A320B5" w:rsidP="00A320B5">
      <w:pPr>
        <w:pStyle w:val="SingleTxtG"/>
        <w:ind w:left="2268" w:hanging="1134"/>
        <w:rPr>
          <w:lang w:val="fr-FR"/>
        </w:rPr>
      </w:pPr>
      <w:r w:rsidRPr="00A779B8">
        <w:rPr>
          <w:lang w:val="fr-FR"/>
        </w:rPr>
        <w:t>5.1.3.3</w:t>
      </w:r>
      <w:r w:rsidRPr="00A779B8">
        <w:rPr>
          <w:lang w:val="fr-FR"/>
        </w:rPr>
        <w:tab/>
        <w:t>Brancher l</w:t>
      </w:r>
      <w:r w:rsidR="00DB4C2D">
        <w:rPr>
          <w:lang w:val="fr-FR"/>
        </w:rPr>
        <w:t>’</w:t>
      </w:r>
      <w:r w:rsidRPr="00A779B8">
        <w:rPr>
          <w:lang w:val="fr-FR"/>
        </w:rPr>
        <w:t>absorbeur de vapeurs de carburant sur un réservoir de carburant, éventuellement externe, rempli à 40 % de son volume avec du carburant de référence.</w:t>
      </w:r>
    </w:p>
    <w:p w:rsidR="00A320B5" w:rsidRPr="00A779B8" w:rsidRDefault="00A320B5" w:rsidP="00A320B5">
      <w:pPr>
        <w:pStyle w:val="SingleTxtG"/>
        <w:ind w:left="2268" w:hanging="1134"/>
        <w:rPr>
          <w:lang w:val="fr-FR"/>
        </w:rPr>
      </w:pPr>
      <w:r w:rsidRPr="00A779B8">
        <w:rPr>
          <w:lang w:val="fr-FR"/>
        </w:rPr>
        <w:t>5.1.3.4</w:t>
      </w:r>
      <w:r w:rsidRPr="00A779B8">
        <w:rPr>
          <w:lang w:val="fr-FR"/>
        </w:rPr>
        <w:tab/>
        <w:t>La température du carburant dans le réservoir doit être comprise entre 183 K (10 °C) et 287 K (14 °C).</w:t>
      </w:r>
    </w:p>
    <w:p w:rsidR="00A320B5" w:rsidRPr="00A779B8" w:rsidRDefault="00A320B5" w:rsidP="00A320B5">
      <w:pPr>
        <w:pStyle w:val="SingleTxtG"/>
        <w:ind w:left="2268" w:hanging="1134"/>
        <w:rPr>
          <w:lang w:val="fr-FR"/>
        </w:rPr>
      </w:pPr>
      <w:r w:rsidRPr="00A779B8">
        <w:rPr>
          <w:lang w:val="fr-FR"/>
        </w:rPr>
        <w:t>5.1.3.5</w:t>
      </w:r>
      <w:r w:rsidRPr="00A779B8">
        <w:rPr>
          <w:lang w:val="fr-FR"/>
        </w:rPr>
        <w:tab/>
        <w:t>Chauffer le réservoir de carburant (externe) pour porter sa température de 288 K à 318 K (15 à 45 °C) (au rythme de 1 °C d</w:t>
      </w:r>
      <w:r w:rsidR="00DB4C2D">
        <w:rPr>
          <w:lang w:val="fr-FR"/>
        </w:rPr>
        <w:t>’</w:t>
      </w:r>
      <w:r w:rsidRPr="00A779B8">
        <w:rPr>
          <w:lang w:val="fr-FR"/>
        </w:rPr>
        <w:t>échauffement toutes les 9 min).</w:t>
      </w:r>
    </w:p>
    <w:p w:rsidR="00A320B5" w:rsidRPr="00A779B8" w:rsidRDefault="00A320B5" w:rsidP="00A320B5">
      <w:pPr>
        <w:pStyle w:val="SingleTxtG"/>
        <w:ind w:left="2268" w:hanging="1134"/>
        <w:rPr>
          <w:lang w:val="fr-FR"/>
        </w:rPr>
      </w:pPr>
      <w:r w:rsidRPr="00A779B8">
        <w:rPr>
          <w:lang w:val="fr-FR"/>
        </w:rPr>
        <w:t>5.1.3.6</w:t>
      </w:r>
      <w:r w:rsidRPr="00A779B8">
        <w:rPr>
          <w:lang w:val="fr-FR"/>
        </w:rPr>
        <w:tab/>
        <w:t>Si l</w:t>
      </w:r>
      <w:r w:rsidR="00DB4C2D">
        <w:rPr>
          <w:lang w:val="fr-FR"/>
        </w:rPr>
        <w:t>’</w:t>
      </w:r>
      <w:r w:rsidRPr="00A779B8">
        <w:rPr>
          <w:lang w:val="fr-FR"/>
        </w:rPr>
        <w:t>absorbeur de vapeurs de carburant atteint la percée avant que la température n</w:t>
      </w:r>
      <w:r w:rsidR="00DB4C2D">
        <w:rPr>
          <w:lang w:val="fr-FR"/>
        </w:rPr>
        <w:t>’</w:t>
      </w:r>
      <w:r w:rsidRPr="00A779B8">
        <w:rPr>
          <w:lang w:val="fr-FR"/>
        </w:rPr>
        <w:t>ait atteint 318 K (45 °C), couper la source de chaleur. Peser alors l</w:t>
      </w:r>
      <w:r w:rsidR="00DB4C2D">
        <w:rPr>
          <w:lang w:val="fr-FR"/>
        </w:rPr>
        <w:t>’</w:t>
      </w:r>
      <w:r w:rsidRPr="00A779B8">
        <w:rPr>
          <w:lang w:val="fr-FR"/>
        </w:rPr>
        <w:t>absorbeur. S</w:t>
      </w:r>
      <w:r w:rsidR="00DB4C2D">
        <w:rPr>
          <w:lang w:val="fr-FR"/>
        </w:rPr>
        <w:t>’</w:t>
      </w:r>
      <w:r w:rsidRPr="00A779B8">
        <w:rPr>
          <w:lang w:val="fr-FR"/>
        </w:rPr>
        <w:t>il n</w:t>
      </w:r>
      <w:r w:rsidR="00DB4C2D">
        <w:rPr>
          <w:lang w:val="fr-FR"/>
        </w:rPr>
        <w:t>’</w:t>
      </w:r>
      <w:r w:rsidRPr="00A779B8">
        <w:rPr>
          <w:lang w:val="fr-FR"/>
        </w:rPr>
        <w:t>atteint pas la percée pendant le chauffage à 318 K (45 °C), répéter la procédure à partir du paragraphe 5.1.3.3 de la présente annexe jusqu</w:t>
      </w:r>
      <w:r w:rsidR="00DB4C2D">
        <w:rPr>
          <w:lang w:val="fr-FR"/>
        </w:rPr>
        <w:t>’</w:t>
      </w:r>
      <w:r w:rsidRPr="00A779B8">
        <w:rPr>
          <w:lang w:val="fr-FR"/>
        </w:rPr>
        <w:t>à ce que la percée survienne.</w:t>
      </w:r>
    </w:p>
    <w:p w:rsidR="00A320B5" w:rsidRPr="00A779B8" w:rsidRDefault="00A320B5" w:rsidP="00A320B5">
      <w:pPr>
        <w:pStyle w:val="SingleTxtG"/>
        <w:ind w:left="2268" w:hanging="1134"/>
        <w:rPr>
          <w:lang w:val="fr-FR"/>
        </w:rPr>
      </w:pPr>
      <w:r w:rsidRPr="00A779B8">
        <w:rPr>
          <w:lang w:val="fr-FR"/>
        </w:rPr>
        <w:t>5.1.3.7</w:t>
      </w:r>
      <w:r w:rsidRPr="00A779B8">
        <w:rPr>
          <w:lang w:val="fr-FR"/>
        </w:rPr>
        <w:tab/>
        <w:t>L</w:t>
      </w:r>
      <w:r w:rsidR="00DB4C2D">
        <w:rPr>
          <w:lang w:val="fr-FR"/>
        </w:rPr>
        <w:t>’</w:t>
      </w:r>
      <w:r w:rsidRPr="00A779B8">
        <w:rPr>
          <w:lang w:val="fr-FR"/>
        </w:rPr>
        <w:t>état de percée peut être vérifié comme indiqué aux paragraphes 5.1.5 et 5.1.6 de la présente annexe, ou à 1</w:t>
      </w:r>
      <w:r w:rsidR="00DB4C2D">
        <w:rPr>
          <w:lang w:val="fr-FR"/>
        </w:rPr>
        <w:t>’</w:t>
      </w:r>
      <w:r w:rsidRPr="00A779B8">
        <w:rPr>
          <w:lang w:val="fr-FR"/>
        </w:rPr>
        <w:t>aide d</w:t>
      </w:r>
      <w:r w:rsidR="00DB4C2D">
        <w:rPr>
          <w:lang w:val="fr-FR"/>
        </w:rPr>
        <w:t>’</w:t>
      </w:r>
      <w:r w:rsidRPr="00A779B8">
        <w:rPr>
          <w:lang w:val="fr-FR"/>
        </w:rPr>
        <w:t>un autre système de prélèvement et d</w:t>
      </w:r>
      <w:r w:rsidR="00DB4C2D">
        <w:rPr>
          <w:lang w:val="fr-FR"/>
        </w:rPr>
        <w:t>’</w:t>
      </w:r>
      <w:r w:rsidRPr="00A779B8">
        <w:rPr>
          <w:lang w:val="fr-FR"/>
        </w:rPr>
        <w:t>analyse permettant de détecter l</w:t>
      </w:r>
      <w:r w:rsidR="00DB4C2D">
        <w:rPr>
          <w:lang w:val="fr-FR"/>
        </w:rPr>
        <w:t>’</w:t>
      </w:r>
      <w:r w:rsidRPr="00A779B8">
        <w:rPr>
          <w:lang w:val="fr-FR"/>
        </w:rPr>
        <w:t>émission d</w:t>
      </w:r>
      <w:r w:rsidR="00DB4C2D">
        <w:rPr>
          <w:lang w:val="fr-FR"/>
        </w:rPr>
        <w:t>’</w:t>
      </w:r>
      <w:r w:rsidRPr="00A779B8">
        <w:rPr>
          <w:lang w:val="fr-FR"/>
        </w:rPr>
        <w:t>hydrocarbures provenant de l</w:t>
      </w:r>
      <w:r w:rsidR="00DB4C2D">
        <w:rPr>
          <w:lang w:val="fr-FR"/>
        </w:rPr>
        <w:t>’</w:t>
      </w:r>
      <w:r w:rsidRPr="00A779B8">
        <w:rPr>
          <w:lang w:val="fr-FR"/>
        </w:rPr>
        <w:t>absorbeur de vapeurs de carburant au point de la percée.</w:t>
      </w:r>
    </w:p>
    <w:p w:rsidR="00A320B5" w:rsidRPr="00A779B8" w:rsidRDefault="00A320B5" w:rsidP="00A320B5">
      <w:pPr>
        <w:pStyle w:val="SingleTxtG"/>
        <w:ind w:left="2268" w:hanging="1134"/>
        <w:rPr>
          <w:lang w:val="fr-FR"/>
        </w:rPr>
      </w:pPr>
      <w:r w:rsidRPr="00A779B8">
        <w:rPr>
          <w:lang w:val="fr-FR"/>
        </w:rPr>
        <w:t>5.1.3.8</w:t>
      </w:r>
      <w:r w:rsidRPr="00A779B8">
        <w:rPr>
          <w:lang w:val="fr-FR"/>
        </w:rPr>
        <w:tab/>
        <w:t>Purger l</w:t>
      </w:r>
      <w:r w:rsidR="00DB4C2D">
        <w:rPr>
          <w:lang w:val="fr-FR"/>
        </w:rPr>
        <w:t>’</w:t>
      </w:r>
      <w:r w:rsidRPr="00A779B8">
        <w:rPr>
          <w:lang w:val="fr-FR"/>
        </w:rPr>
        <w:t>absorbeur de vapeurs de carburant à raison de 25 </w:t>
      </w:r>
      <w:r w:rsidRPr="00A779B8">
        <w:rPr>
          <w:lang w:val="fr-FR"/>
        </w:rPr>
        <w:sym w:font="Symbol" w:char="F0B1"/>
      </w:r>
      <w:r w:rsidRPr="00A779B8">
        <w:rPr>
          <w:lang w:val="fr-FR"/>
        </w:rPr>
        <w:t> 5 l par minute avec l</w:t>
      </w:r>
      <w:r w:rsidR="00DB4C2D">
        <w:rPr>
          <w:lang w:val="fr-FR"/>
        </w:rPr>
        <w:t>’</w:t>
      </w:r>
      <w:r w:rsidRPr="00A779B8">
        <w:rPr>
          <w:lang w:val="fr-FR"/>
        </w:rPr>
        <w:t>air synthétique jusqu</w:t>
      </w:r>
      <w:r w:rsidR="00DB4C2D">
        <w:rPr>
          <w:lang w:val="fr-FR"/>
        </w:rPr>
        <w:t>’</w:t>
      </w:r>
      <w:r w:rsidRPr="00A779B8">
        <w:rPr>
          <w:lang w:val="fr-FR"/>
        </w:rPr>
        <w:t>à atteindre 300 échanges volumiques.</w:t>
      </w:r>
    </w:p>
    <w:p w:rsidR="00A320B5" w:rsidRPr="00A779B8" w:rsidRDefault="00A320B5" w:rsidP="00A320B5">
      <w:pPr>
        <w:pStyle w:val="SingleTxtG"/>
        <w:ind w:left="2268" w:hanging="1134"/>
        <w:rPr>
          <w:lang w:val="fr-FR"/>
        </w:rPr>
      </w:pPr>
      <w:r w:rsidRPr="00A779B8">
        <w:rPr>
          <w:lang w:val="fr-FR"/>
        </w:rPr>
        <w:t>5.1.3.9</w:t>
      </w:r>
      <w:r w:rsidRPr="00A779B8">
        <w:rPr>
          <w:lang w:val="fr-FR"/>
        </w:rPr>
        <w:tab/>
        <w:t>Contrôler le poids de l</w:t>
      </w:r>
      <w:r w:rsidR="00DB4C2D">
        <w:rPr>
          <w:lang w:val="fr-FR"/>
        </w:rPr>
        <w:t>’</w:t>
      </w:r>
      <w:r w:rsidRPr="00A779B8">
        <w:rPr>
          <w:lang w:val="fr-FR"/>
        </w:rPr>
        <w:t>absorbeur de vapeurs de carburant.</w:t>
      </w:r>
    </w:p>
    <w:p w:rsidR="00A320B5" w:rsidRPr="00A779B8" w:rsidRDefault="00A320B5" w:rsidP="00A320B5">
      <w:pPr>
        <w:pStyle w:val="SingleTxtG"/>
        <w:ind w:left="2268" w:hanging="1134"/>
        <w:rPr>
          <w:lang w:val="fr-FR"/>
        </w:rPr>
      </w:pPr>
      <w:r w:rsidRPr="00A779B8">
        <w:rPr>
          <w:lang w:val="fr-FR"/>
        </w:rPr>
        <w:t>5.1.3.10</w:t>
      </w:r>
      <w:r w:rsidRPr="00A779B8">
        <w:rPr>
          <w:lang w:val="fr-FR"/>
        </w:rPr>
        <w:tab/>
        <w:t>Répéter neuf fois les étapes de la procédure décrites aux paragraphes 5.1.3.4 à 5.1.3.9 de la présente annexe. L</w:t>
      </w:r>
      <w:r w:rsidR="00DB4C2D">
        <w:rPr>
          <w:lang w:val="fr-FR"/>
        </w:rPr>
        <w:t>’</w:t>
      </w:r>
      <w:r w:rsidRPr="00A779B8">
        <w:rPr>
          <w:lang w:val="fr-FR"/>
        </w:rPr>
        <w:t>essai peut être terminé avant, après au moins trois cycles de vieillissement, si le poids de l</w:t>
      </w:r>
      <w:r w:rsidR="00DB4C2D">
        <w:rPr>
          <w:lang w:val="fr-FR"/>
        </w:rPr>
        <w:t>’</w:t>
      </w:r>
      <w:r w:rsidRPr="00A779B8">
        <w:rPr>
          <w:lang w:val="fr-FR"/>
        </w:rPr>
        <w:t>absorbeur s</w:t>
      </w:r>
      <w:r w:rsidR="00DB4C2D">
        <w:rPr>
          <w:lang w:val="fr-FR"/>
        </w:rPr>
        <w:t>’</w:t>
      </w:r>
      <w:r w:rsidRPr="00A779B8">
        <w:rPr>
          <w:lang w:val="fr-FR"/>
        </w:rPr>
        <w:t>est stabilisé après les derniers cycles.</w:t>
      </w:r>
    </w:p>
    <w:p w:rsidR="00A320B5" w:rsidRPr="00A779B8" w:rsidRDefault="00A320B5" w:rsidP="00A320B5">
      <w:pPr>
        <w:pStyle w:val="SingleTxtG"/>
        <w:ind w:left="2268" w:hanging="1134"/>
        <w:rPr>
          <w:lang w:val="fr-FR"/>
        </w:rPr>
      </w:pPr>
      <w:r w:rsidRPr="00A779B8">
        <w:rPr>
          <w:lang w:val="fr-FR"/>
        </w:rPr>
        <w:t>5.1.3.11</w:t>
      </w:r>
      <w:r w:rsidRPr="00A779B8">
        <w:rPr>
          <w:lang w:val="fr-FR"/>
        </w:rPr>
        <w:tab/>
        <w:t>Rebrancher l</w:t>
      </w:r>
      <w:r w:rsidR="00DB4C2D">
        <w:rPr>
          <w:lang w:val="fr-FR"/>
        </w:rPr>
        <w:t>’</w:t>
      </w:r>
      <w:r w:rsidRPr="00A779B8">
        <w:rPr>
          <w:lang w:val="fr-FR"/>
        </w:rPr>
        <w:t>absorbeur de vapeurs de carburant et remettre le véhicule dans son état de fonctionnement normal.</w:t>
      </w:r>
    </w:p>
    <w:p w:rsidR="00A320B5" w:rsidRPr="00A779B8" w:rsidRDefault="00A320B5" w:rsidP="00A320B5">
      <w:pPr>
        <w:pStyle w:val="SingleTxtG"/>
        <w:ind w:left="2268" w:hanging="1134"/>
        <w:rPr>
          <w:lang w:val="fr-FR"/>
        </w:rPr>
      </w:pPr>
      <w:r w:rsidRPr="00A779B8">
        <w:rPr>
          <w:lang w:val="fr-FR"/>
        </w:rPr>
        <w:t>5.1.4</w:t>
      </w:r>
      <w:r w:rsidRPr="00A779B8">
        <w:rPr>
          <w:lang w:val="fr-FR"/>
        </w:rPr>
        <w:tab/>
        <w:t>L</w:t>
      </w:r>
      <w:r w:rsidR="00DB4C2D">
        <w:rPr>
          <w:lang w:val="fr-FR"/>
        </w:rPr>
        <w:t>’</w:t>
      </w:r>
      <w:r w:rsidRPr="00A779B8">
        <w:rPr>
          <w:lang w:val="fr-FR"/>
        </w:rPr>
        <w:t xml:space="preserve">une des méthodes indiquées aux paragraphes 5.1.5 et 5.1.6 de la présente annexe doit être utilisée pour </w:t>
      </w:r>
      <w:proofErr w:type="spellStart"/>
      <w:r w:rsidRPr="00A779B8">
        <w:rPr>
          <w:lang w:val="fr-FR"/>
        </w:rPr>
        <w:t>préconditionner</w:t>
      </w:r>
      <w:proofErr w:type="spellEnd"/>
      <w:r w:rsidRPr="00A779B8">
        <w:rPr>
          <w:lang w:val="fr-FR"/>
        </w:rPr>
        <w:t xml:space="preserve"> 1</w:t>
      </w:r>
      <w:r w:rsidR="00DB4C2D">
        <w:rPr>
          <w:lang w:val="fr-FR"/>
        </w:rPr>
        <w:t>’</w:t>
      </w:r>
      <w:r w:rsidRPr="00A779B8">
        <w:rPr>
          <w:lang w:val="fr-FR"/>
        </w:rPr>
        <w:t>absorbeur de vapeurs de carburant. Pour les véhicules équipés d</w:t>
      </w:r>
      <w:r w:rsidR="00DB4C2D">
        <w:rPr>
          <w:lang w:val="fr-FR"/>
        </w:rPr>
        <w:t>’</w:t>
      </w:r>
      <w:r w:rsidRPr="00A779B8">
        <w:rPr>
          <w:lang w:val="fr-FR"/>
        </w:rPr>
        <w:t xml:space="preserve">absorbeurs multiples, chacun de ces absorbeurs doit être </w:t>
      </w:r>
      <w:proofErr w:type="spellStart"/>
      <w:r w:rsidRPr="00A779B8">
        <w:rPr>
          <w:lang w:val="fr-FR"/>
        </w:rPr>
        <w:t>préconditionné</w:t>
      </w:r>
      <w:proofErr w:type="spellEnd"/>
      <w:r w:rsidRPr="00A779B8">
        <w:rPr>
          <w:lang w:val="fr-FR"/>
        </w:rPr>
        <w:t xml:space="preserve"> séparément.</w:t>
      </w:r>
    </w:p>
    <w:p w:rsidR="00A320B5" w:rsidRPr="00A779B8" w:rsidRDefault="00A320B5" w:rsidP="00A320B5">
      <w:pPr>
        <w:pStyle w:val="SingleTxtG"/>
        <w:keepNext/>
        <w:ind w:left="2268" w:hanging="1134"/>
        <w:rPr>
          <w:lang w:val="fr-FR"/>
        </w:rPr>
      </w:pPr>
      <w:r w:rsidRPr="00A779B8">
        <w:rPr>
          <w:lang w:val="fr-FR"/>
        </w:rPr>
        <w:t>5.1.4.1</w:t>
      </w:r>
      <w:r w:rsidRPr="00A779B8">
        <w:rPr>
          <w:lang w:val="fr-FR"/>
        </w:rPr>
        <w:tab/>
        <w:t>Les émissions de l</w:t>
      </w:r>
      <w:r w:rsidR="00DB4C2D">
        <w:rPr>
          <w:lang w:val="fr-FR"/>
        </w:rPr>
        <w:t>’</w:t>
      </w:r>
      <w:r w:rsidRPr="00A779B8">
        <w:rPr>
          <w:lang w:val="fr-FR"/>
        </w:rPr>
        <w:t>absorbeur de vapeurs de carburant sont mesurées pour déterminer la percée.</w:t>
      </w:r>
    </w:p>
    <w:p w:rsidR="00A320B5" w:rsidRPr="00A779B8" w:rsidRDefault="00A320B5" w:rsidP="00A320B5">
      <w:pPr>
        <w:pStyle w:val="SingleTxtG"/>
        <w:ind w:left="2268"/>
        <w:rPr>
          <w:lang w:val="fr-FR"/>
        </w:rPr>
      </w:pPr>
      <w:r w:rsidRPr="00A779B8">
        <w:rPr>
          <w:lang w:val="fr-FR"/>
        </w:rPr>
        <w:tab/>
        <w:t>La percée est définie ici comme étant le point auquel la quantité cumulée d</w:t>
      </w:r>
      <w:r w:rsidR="00DB4C2D">
        <w:rPr>
          <w:lang w:val="fr-FR"/>
        </w:rPr>
        <w:t>’</w:t>
      </w:r>
      <w:r w:rsidRPr="00A779B8">
        <w:rPr>
          <w:lang w:val="fr-FR"/>
        </w:rPr>
        <w:t>hydrocarbures émise est égale à 2 g.</w:t>
      </w:r>
    </w:p>
    <w:p w:rsidR="00A320B5" w:rsidRPr="00A779B8" w:rsidRDefault="00A320B5" w:rsidP="00A320B5">
      <w:pPr>
        <w:pStyle w:val="SingleTxtG"/>
        <w:ind w:left="2268" w:hanging="1134"/>
        <w:rPr>
          <w:lang w:val="fr-FR"/>
        </w:rPr>
      </w:pPr>
      <w:r w:rsidRPr="00A779B8">
        <w:rPr>
          <w:lang w:val="fr-FR"/>
        </w:rPr>
        <w:t>5.1.4.2</w:t>
      </w:r>
      <w:r w:rsidRPr="00A779B8">
        <w:rPr>
          <w:lang w:val="fr-FR"/>
        </w:rPr>
        <w:tab/>
        <w:t>La percée peut être vérifiée en utilisant l</w:t>
      </w:r>
      <w:r w:rsidR="00DB4C2D">
        <w:rPr>
          <w:lang w:val="fr-FR"/>
        </w:rPr>
        <w:t>’</w:t>
      </w:r>
      <w:r w:rsidRPr="00A779B8">
        <w:rPr>
          <w:lang w:val="fr-FR"/>
        </w:rPr>
        <w:t>enceinte de mesure des émissions par évaporation comme indiqué aux paragraphes 5.1.5 et 5.1.6 de la présente annexe. Il est également possible de déterminer la percée en utilisant un absorbeur auxiliaire branché en aval de l</w:t>
      </w:r>
      <w:r w:rsidR="00DB4C2D">
        <w:rPr>
          <w:lang w:val="fr-FR"/>
        </w:rPr>
        <w:t>’</w:t>
      </w:r>
      <w:r w:rsidRPr="00A779B8">
        <w:rPr>
          <w:lang w:val="fr-FR"/>
        </w:rPr>
        <w:t>absorbeur du véhicule. Cet absorbeur auxiliaire sera purgé correctement à l</w:t>
      </w:r>
      <w:r w:rsidR="00DB4C2D">
        <w:rPr>
          <w:lang w:val="fr-FR"/>
        </w:rPr>
        <w:t>’</w:t>
      </w:r>
      <w:r w:rsidRPr="00A779B8">
        <w:rPr>
          <w:lang w:val="fr-FR"/>
        </w:rPr>
        <w:t>air sec avant d</w:t>
      </w:r>
      <w:r w:rsidR="00DB4C2D">
        <w:rPr>
          <w:lang w:val="fr-FR"/>
        </w:rPr>
        <w:t>’</w:t>
      </w:r>
      <w:r w:rsidRPr="00A779B8">
        <w:rPr>
          <w:lang w:val="fr-FR"/>
        </w:rPr>
        <w:t>être chargé.</w:t>
      </w:r>
    </w:p>
    <w:p w:rsidR="00A320B5" w:rsidRPr="00A779B8" w:rsidRDefault="00A320B5" w:rsidP="00A320B5">
      <w:pPr>
        <w:pStyle w:val="SingleTxtG"/>
        <w:keepLines/>
        <w:ind w:left="2268" w:hanging="1134"/>
        <w:rPr>
          <w:lang w:val="fr-FR"/>
        </w:rPr>
      </w:pPr>
      <w:r w:rsidRPr="00A779B8">
        <w:rPr>
          <w:lang w:val="fr-FR"/>
        </w:rPr>
        <w:lastRenderedPageBreak/>
        <w:t>5.1.4.3</w:t>
      </w:r>
      <w:r w:rsidRPr="00A779B8">
        <w:rPr>
          <w:lang w:val="fr-FR"/>
        </w:rPr>
        <w:tab/>
        <w:t>La chambre de mesure doit être purgée pendant plusieurs minutes immédiatement avant l</w:t>
      </w:r>
      <w:r w:rsidR="00DB4C2D">
        <w:rPr>
          <w:lang w:val="fr-FR"/>
        </w:rPr>
        <w:t>’</w:t>
      </w:r>
      <w:r w:rsidRPr="00A779B8">
        <w:rPr>
          <w:lang w:val="fr-FR"/>
        </w:rPr>
        <w:t>essai, jusqu</w:t>
      </w:r>
      <w:r w:rsidR="00DB4C2D">
        <w:rPr>
          <w:lang w:val="fr-FR"/>
        </w:rPr>
        <w:t>’</w:t>
      </w:r>
      <w:r w:rsidRPr="00A779B8">
        <w:rPr>
          <w:lang w:val="fr-FR"/>
        </w:rPr>
        <w:t>à ce qu</w:t>
      </w:r>
      <w:r w:rsidR="00DB4C2D">
        <w:rPr>
          <w:lang w:val="fr-FR"/>
        </w:rPr>
        <w:t>’</w:t>
      </w:r>
      <w:r w:rsidRPr="00A779B8">
        <w:rPr>
          <w:lang w:val="fr-FR"/>
        </w:rPr>
        <w:t>on obtienne un milieu stable. Le ou les ventilateurs de mélange de la chambre doivent fonctionner pendant cette phase.</w:t>
      </w:r>
    </w:p>
    <w:p w:rsidR="00A320B5" w:rsidRPr="00A779B8" w:rsidRDefault="00A320B5" w:rsidP="00A320B5">
      <w:pPr>
        <w:pStyle w:val="SingleTxtG"/>
        <w:ind w:left="2268"/>
        <w:rPr>
          <w:lang w:val="fr-FR"/>
        </w:rPr>
      </w:pPr>
      <w:r w:rsidRPr="00A779B8">
        <w:rPr>
          <w:lang w:val="fr-FR"/>
        </w:rPr>
        <w:tab/>
        <w:t>L</w:t>
      </w:r>
      <w:r w:rsidR="00DB4C2D">
        <w:rPr>
          <w:lang w:val="fr-FR"/>
        </w:rPr>
        <w:t>’</w:t>
      </w:r>
      <w:r w:rsidRPr="00A779B8">
        <w:rPr>
          <w:lang w:val="fr-FR"/>
        </w:rPr>
        <w:t>analyseur d</w:t>
      </w:r>
      <w:r w:rsidR="00DB4C2D">
        <w:rPr>
          <w:lang w:val="fr-FR"/>
        </w:rPr>
        <w:t>’</w:t>
      </w:r>
      <w:r w:rsidRPr="00A779B8">
        <w:rPr>
          <w:lang w:val="fr-FR"/>
        </w:rPr>
        <w:t>hydrocarbures doit être mis à zéro et faire l</w:t>
      </w:r>
      <w:r w:rsidR="00DB4C2D">
        <w:rPr>
          <w:lang w:val="fr-FR"/>
        </w:rPr>
        <w:t>’</w:t>
      </w:r>
      <w:r w:rsidRPr="00A779B8">
        <w:rPr>
          <w:lang w:val="fr-FR"/>
        </w:rPr>
        <w:t>objet d</w:t>
      </w:r>
      <w:r w:rsidR="00DB4C2D">
        <w:rPr>
          <w:lang w:val="fr-FR"/>
        </w:rPr>
        <w:t>’</w:t>
      </w:r>
      <w:r w:rsidRPr="00A779B8">
        <w:rPr>
          <w:lang w:val="fr-FR"/>
        </w:rPr>
        <w:t>un réglage d</w:t>
      </w:r>
      <w:r w:rsidR="00DB4C2D">
        <w:rPr>
          <w:lang w:val="fr-FR"/>
        </w:rPr>
        <w:t>’</w:t>
      </w:r>
      <w:r w:rsidRPr="00A779B8">
        <w:rPr>
          <w:lang w:val="fr-FR"/>
        </w:rPr>
        <w:t>échelle immédiatement avant l</w:t>
      </w:r>
      <w:r w:rsidR="00DB4C2D">
        <w:rPr>
          <w:lang w:val="fr-FR"/>
        </w:rPr>
        <w:t>’</w:t>
      </w:r>
      <w:r w:rsidRPr="00A779B8">
        <w:rPr>
          <w:lang w:val="fr-FR"/>
        </w:rPr>
        <w:t>essai.</w:t>
      </w:r>
    </w:p>
    <w:p w:rsidR="00A320B5" w:rsidRPr="00A779B8" w:rsidRDefault="00A320B5" w:rsidP="00A320B5">
      <w:pPr>
        <w:pStyle w:val="SingleTxtG"/>
        <w:ind w:left="2268" w:hanging="1134"/>
        <w:jc w:val="left"/>
        <w:rPr>
          <w:lang w:val="fr-FR"/>
        </w:rPr>
      </w:pPr>
      <w:r w:rsidRPr="00A779B8">
        <w:rPr>
          <w:lang w:val="fr-FR"/>
        </w:rPr>
        <w:t>5.1.5</w:t>
      </w:r>
      <w:r w:rsidRPr="00A779B8">
        <w:rPr>
          <w:lang w:val="fr-FR"/>
        </w:rPr>
        <w:tab/>
        <w:t>Charge de l</w:t>
      </w:r>
      <w:r w:rsidR="00DB4C2D">
        <w:rPr>
          <w:lang w:val="fr-FR"/>
        </w:rPr>
        <w:t>’</w:t>
      </w:r>
      <w:r w:rsidRPr="00A779B8">
        <w:rPr>
          <w:lang w:val="fr-FR"/>
        </w:rPr>
        <w:t>absorbeur de vapeurs de carburant par échauffement répété jusqu</w:t>
      </w:r>
      <w:r w:rsidR="00DB4C2D">
        <w:rPr>
          <w:lang w:val="fr-FR"/>
        </w:rPr>
        <w:t>’</w:t>
      </w:r>
      <w:r w:rsidRPr="00A779B8">
        <w:rPr>
          <w:lang w:val="fr-FR"/>
        </w:rPr>
        <w:t>au point de percée</w:t>
      </w:r>
    </w:p>
    <w:p w:rsidR="00A320B5" w:rsidRPr="00A779B8" w:rsidRDefault="00A320B5" w:rsidP="00A320B5">
      <w:pPr>
        <w:pStyle w:val="SingleTxtG"/>
        <w:ind w:left="2268" w:hanging="1134"/>
        <w:rPr>
          <w:lang w:val="fr-FR"/>
        </w:rPr>
      </w:pPr>
      <w:r w:rsidRPr="00A779B8">
        <w:rPr>
          <w:lang w:val="fr-FR"/>
        </w:rPr>
        <w:t>5.1.5.1</w:t>
      </w:r>
      <w:r w:rsidRPr="00A779B8">
        <w:rPr>
          <w:lang w:val="fr-FR"/>
        </w:rPr>
        <w:tab/>
        <w:t>Le ou les réservoirs de carburant sont vidangés en utilisant le ou les orifices de vidange prévus à cet effet. Il faut alors veiller à ne pas purger de manière anormale les dispositifs de contrôle d</w:t>
      </w:r>
      <w:r w:rsidR="00DB4C2D">
        <w:rPr>
          <w:lang w:val="fr-FR"/>
        </w:rPr>
        <w:t>’</w:t>
      </w:r>
      <w:r w:rsidRPr="00A779B8">
        <w:rPr>
          <w:lang w:val="fr-FR"/>
        </w:rPr>
        <w:t>évaporation montés sur le véhicule et à ne pas charger anormalement ces dispositifs. À cet effet, il suffira normalement d</w:t>
      </w:r>
      <w:r w:rsidR="00DB4C2D">
        <w:rPr>
          <w:lang w:val="fr-FR"/>
        </w:rPr>
        <w:t>’</w:t>
      </w:r>
      <w:r w:rsidRPr="00A779B8">
        <w:rPr>
          <w:lang w:val="fr-FR"/>
        </w:rPr>
        <w:t>enlever le bouchon des réservoirs.</w:t>
      </w:r>
    </w:p>
    <w:p w:rsidR="00A320B5" w:rsidRPr="00A779B8" w:rsidRDefault="00A320B5" w:rsidP="00A320B5">
      <w:pPr>
        <w:pStyle w:val="SingleTxtG"/>
        <w:ind w:left="2268" w:hanging="1134"/>
        <w:rPr>
          <w:lang w:val="fr-FR"/>
        </w:rPr>
      </w:pPr>
      <w:r w:rsidRPr="00A779B8">
        <w:rPr>
          <w:lang w:val="fr-FR"/>
        </w:rPr>
        <w:t>5.1.5.2</w:t>
      </w:r>
      <w:r w:rsidRPr="00A779B8">
        <w:rPr>
          <w:lang w:val="fr-FR"/>
        </w:rPr>
        <w:tab/>
        <w:t>Le ou les réservoirs de carburant sont alors remplis à nouveau avec le carburant prévu pour un essai, à une température située entre 283 K et 287 K (10 et 14 °C) à 40 </w:t>
      </w:r>
      <w:r w:rsidRPr="00A779B8">
        <w:rPr>
          <w:lang w:val="fr-FR"/>
        </w:rPr>
        <w:sym w:font="Symbol" w:char="F0B1"/>
      </w:r>
      <w:r w:rsidRPr="00A779B8">
        <w:rPr>
          <w:lang w:val="fr-FR"/>
        </w:rPr>
        <w:t> 2 %, de leur capacité normale. Le bouchon des réservoirs doit alors être remis en place.</w:t>
      </w:r>
    </w:p>
    <w:p w:rsidR="00A320B5" w:rsidRPr="00A779B8" w:rsidRDefault="00A320B5" w:rsidP="00A320B5">
      <w:pPr>
        <w:pStyle w:val="SingleTxtG"/>
        <w:ind w:left="2268" w:hanging="1134"/>
        <w:rPr>
          <w:lang w:val="fr-FR"/>
        </w:rPr>
      </w:pPr>
      <w:r w:rsidRPr="00A779B8">
        <w:rPr>
          <w:lang w:val="fr-FR"/>
        </w:rPr>
        <w:t>5.1.5.3</w:t>
      </w:r>
      <w:r w:rsidRPr="00A779B8">
        <w:rPr>
          <w:lang w:val="fr-FR"/>
        </w:rPr>
        <w:tab/>
        <w:t>Dans l</w:t>
      </w:r>
      <w:r w:rsidR="00DB4C2D">
        <w:rPr>
          <w:lang w:val="fr-FR"/>
        </w:rPr>
        <w:t>’</w:t>
      </w:r>
      <w:r w:rsidRPr="00A779B8">
        <w:rPr>
          <w:lang w:val="fr-FR"/>
        </w:rPr>
        <w:t>heure qui suit le remplissage du ou des réservoirs, le véhicule doit être placé, moteur à l</w:t>
      </w:r>
      <w:r w:rsidR="00DB4C2D">
        <w:rPr>
          <w:lang w:val="fr-FR"/>
        </w:rPr>
        <w:t>’</w:t>
      </w:r>
      <w:r w:rsidRPr="00A779B8">
        <w:rPr>
          <w:lang w:val="fr-FR"/>
        </w:rPr>
        <w:t>arrêt, dans l</w:t>
      </w:r>
      <w:r w:rsidR="00DB4C2D">
        <w:rPr>
          <w:lang w:val="fr-FR"/>
        </w:rPr>
        <w:t>’</w:t>
      </w:r>
      <w:r w:rsidRPr="00A779B8">
        <w:rPr>
          <w:lang w:val="fr-FR"/>
        </w:rPr>
        <w:t>enceinte de mesure des émissions par évaporation. La sonde de température du réservoir de carburant doit être reliée au système d</w:t>
      </w:r>
      <w:r w:rsidR="00DB4C2D">
        <w:rPr>
          <w:lang w:val="fr-FR"/>
        </w:rPr>
        <w:t>’</w:t>
      </w:r>
      <w:r w:rsidRPr="00A779B8">
        <w:rPr>
          <w:lang w:val="fr-FR"/>
        </w:rPr>
        <w:t>enregistrement des températures. Une source de chaleur est mise en place de manière adéquate par rapport aux réservoirs de carburant et est reliée au régulateur de température. Les caractéristiques de la source de chaleur sont spécifiées au paragraphe 4.4 de la présente annexe. Pour les véhicules équipés de plusieurs réservoirs de carburant, tous les réservoirs sont chauffés de la même manière, comme indiqué ci-après. Les températures des réservoirs doivent être identiques à 1,5 K près.</w:t>
      </w:r>
    </w:p>
    <w:p w:rsidR="00A320B5" w:rsidRPr="00A779B8" w:rsidRDefault="00A320B5" w:rsidP="00A320B5">
      <w:pPr>
        <w:pStyle w:val="SingleTxtG"/>
        <w:ind w:left="2268" w:hanging="1134"/>
        <w:rPr>
          <w:lang w:val="fr-FR"/>
        </w:rPr>
      </w:pPr>
      <w:r w:rsidRPr="00A779B8">
        <w:rPr>
          <w:lang w:val="fr-FR"/>
        </w:rPr>
        <w:t>5.1.5.4</w:t>
      </w:r>
      <w:r w:rsidRPr="00A779B8">
        <w:rPr>
          <w:lang w:val="fr-FR"/>
        </w:rPr>
        <w:tab/>
        <w:t>Le carburant peut être chauffé artificiellement jusqu</w:t>
      </w:r>
      <w:r w:rsidR="00DB4C2D">
        <w:rPr>
          <w:lang w:val="fr-FR"/>
        </w:rPr>
        <w:t>’</w:t>
      </w:r>
      <w:r w:rsidRPr="00A779B8">
        <w:rPr>
          <w:lang w:val="fr-FR"/>
        </w:rPr>
        <w:t>à la température diurne de départ de 293 K (20 °C) </w:t>
      </w:r>
      <w:r w:rsidRPr="00A779B8">
        <w:rPr>
          <w:lang w:val="fr-FR"/>
        </w:rPr>
        <w:sym w:font="Symbol" w:char="F0B1"/>
      </w:r>
      <w:r w:rsidRPr="00A779B8">
        <w:rPr>
          <w:lang w:val="fr-FR"/>
        </w:rPr>
        <w:t> 1 K.</w:t>
      </w:r>
    </w:p>
    <w:p w:rsidR="00A320B5" w:rsidRPr="00A779B8" w:rsidRDefault="00A320B5" w:rsidP="00A320B5">
      <w:pPr>
        <w:pStyle w:val="SingleTxtG"/>
        <w:ind w:left="2268" w:hanging="1134"/>
        <w:rPr>
          <w:lang w:val="fr-FR"/>
        </w:rPr>
      </w:pPr>
      <w:r w:rsidRPr="00A779B8">
        <w:rPr>
          <w:lang w:val="fr-FR"/>
        </w:rPr>
        <w:t>5.1.5.5</w:t>
      </w:r>
      <w:r w:rsidRPr="00A779B8">
        <w:rPr>
          <w:lang w:val="fr-FR"/>
        </w:rPr>
        <w:tab/>
        <w:t>Dès que le carburant atteint une température d</w:t>
      </w:r>
      <w:r w:rsidR="00DB4C2D">
        <w:rPr>
          <w:lang w:val="fr-FR"/>
        </w:rPr>
        <w:t>’</w:t>
      </w:r>
      <w:r w:rsidRPr="00A779B8">
        <w:rPr>
          <w:lang w:val="fr-FR"/>
        </w:rPr>
        <w:t>au moins 292 K (19 °C), mettre immédiatement la soufflante de purge hors tension; fermer et sceller les portes de l</w:t>
      </w:r>
      <w:r w:rsidR="00DB4C2D">
        <w:rPr>
          <w:lang w:val="fr-FR"/>
        </w:rPr>
        <w:t>’</w:t>
      </w:r>
      <w:r w:rsidRPr="00A779B8">
        <w:rPr>
          <w:lang w:val="fr-FR"/>
        </w:rPr>
        <w:t>enceinte; commencer à mesurer le niveau des hydrocarbures dans l</w:t>
      </w:r>
      <w:r w:rsidR="00DB4C2D">
        <w:rPr>
          <w:lang w:val="fr-FR"/>
        </w:rPr>
        <w:t>’</w:t>
      </w:r>
      <w:r w:rsidRPr="00A779B8">
        <w:rPr>
          <w:lang w:val="fr-FR"/>
        </w:rPr>
        <w:t>enceinte.</w:t>
      </w:r>
    </w:p>
    <w:p w:rsidR="00A320B5" w:rsidRPr="00A779B8" w:rsidRDefault="00A320B5" w:rsidP="00A320B5">
      <w:pPr>
        <w:pStyle w:val="SingleTxtG"/>
        <w:ind w:left="2268" w:hanging="1134"/>
        <w:rPr>
          <w:lang w:val="fr-FR"/>
        </w:rPr>
      </w:pPr>
      <w:r w:rsidRPr="00A779B8">
        <w:rPr>
          <w:lang w:val="fr-FR"/>
        </w:rPr>
        <w:t>5.1.5.6</w:t>
      </w:r>
      <w:r w:rsidRPr="00A779B8">
        <w:rPr>
          <w:lang w:val="fr-FR"/>
        </w:rPr>
        <w:tab/>
        <w:t>Lorsque la température du carburant dans le réservoir atteint 293 K (20 °C), commence une phase de montée linéaire en température de 15 K (15 °C). Au cours de cet échauffement, la température du carburant doit être conforme à la fonction figurant ci-dessous, à 1,5 K près. On enregistre le temps écoulé pour cette montée en température, ainsi que l</w:t>
      </w:r>
      <w:r w:rsidR="00DB4C2D">
        <w:rPr>
          <w:lang w:val="fr-FR"/>
        </w:rPr>
        <w:t>’</w:t>
      </w:r>
      <w:r w:rsidRPr="00A779B8">
        <w:rPr>
          <w:lang w:val="fr-FR"/>
        </w:rPr>
        <w:t>augmentation de température.</w:t>
      </w:r>
    </w:p>
    <w:p w:rsidR="00A320B5" w:rsidRPr="00A779B8" w:rsidRDefault="00A320B5" w:rsidP="00A320B5">
      <w:pPr>
        <w:pStyle w:val="SingleTxtG"/>
        <w:ind w:left="2268"/>
        <w:rPr>
          <w:lang w:val="fr-FR"/>
        </w:rPr>
      </w:pPr>
      <w:r w:rsidRPr="00A779B8">
        <w:rPr>
          <w:lang w:val="fr-FR"/>
        </w:rPr>
        <w:tab/>
        <w:t>T</w:t>
      </w:r>
      <w:r w:rsidRPr="00A779B8">
        <w:rPr>
          <w:vertAlign w:val="subscript"/>
          <w:lang w:val="fr-FR"/>
        </w:rPr>
        <w:t>r</w:t>
      </w:r>
      <w:r w:rsidRPr="00A779B8">
        <w:rPr>
          <w:lang w:val="fr-FR"/>
        </w:rPr>
        <w:t xml:space="preserve"> = T</w:t>
      </w:r>
      <w:r w:rsidRPr="00A779B8">
        <w:rPr>
          <w:vertAlign w:val="subscript"/>
          <w:lang w:val="fr-FR"/>
        </w:rPr>
        <w:t>0</w:t>
      </w:r>
      <w:r w:rsidRPr="00A779B8">
        <w:rPr>
          <w:lang w:val="fr-FR"/>
        </w:rPr>
        <w:t xml:space="preserve"> + 0,2333 </w:t>
      </w:r>
      <w:r w:rsidRPr="00A779B8">
        <w:rPr>
          <w:sz w:val="16"/>
          <w:szCs w:val="16"/>
          <w:lang w:val="fr-FR"/>
        </w:rPr>
        <w:t>·</w:t>
      </w:r>
      <w:r w:rsidRPr="00A779B8">
        <w:rPr>
          <w:lang w:val="fr-FR"/>
        </w:rPr>
        <w:t xml:space="preserve"> t</w:t>
      </w:r>
    </w:p>
    <w:p w:rsidR="00A320B5" w:rsidRPr="00A779B8" w:rsidRDefault="00A320B5" w:rsidP="00A320B5">
      <w:pPr>
        <w:pStyle w:val="SingleTxtG"/>
        <w:keepNex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8"/>
        <w:gridCol w:w="5345"/>
      </w:tblGrid>
      <w:tr w:rsidR="00A320B5" w:rsidRPr="007E29C4" w:rsidTr="00DB4C2D">
        <w:tc>
          <w:tcPr>
            <w:tcW w:w="567" w:type="dxa"/>
            <w:shd w:val="clear" w:color="auto" w:fill="auto"/>
          </w:tcPr>
          <w:p w:rsidR="00A320B5" w:rsidRPr="007E29C4" w:rsidRDefault="00A320B5" w:rsidP="00DB4C2D">
            <w:pPr>
              <w:spacing w:after="120"/>
              <w:rPr>
                <w:lang w:val="fr-FR"/>
              </w:rPr>
            </w:pPr>
            <w:r w:rsidRPr="007E29C4">
              <w:rPr>
                <w:lang w:val="fr-FR"/>
              </w:rPr>
              <w:t>T</w:t>
            </w:r>
            <w:r w:rsidRPr="007E29C4">
              <w:rPr>
                <w:vertAlign w:val="subscript"/>
                <w:lang w:val="fr-FR"/>
              </w:rPr>
              <w:t>r</w:t>
            </w:r>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2" w:type="dxa"/>
            <w:shd w:val="clear" w:color="auto" w:fill="auto"/>
          </w:tcPr>
          <w:p w:rsidR="00A320B5" w:rsidRPr="007E29C4" w:rsidRDefault="00A320B5" w:rsidP="00DB4C2D">
            <w:pPr>
              <w:spacing w:after="120"/>
              <w:rPr>
                <w:lang w:val="fr-FR"/>
              </w:rPr>
            </w:pPr>
            <w:r w:rsidRPr="007E29C4">
              <w:rPr>
                <w:lang w:val="fr-FR"/>
              </w:rPr>
              <w:t>température requise (K),</w:t>
            </w:r>
          </w:p>
        </w:tc>
      </w:tr>
      <w:tr w:rsidR="00A320B5" w:rsidRPr="007E29C4" w:rsidTr="00DB4C2D">
        <w:tc>
          <w:tcPr>
            <w:tcW w:w="567" w:type="dxa"/>
            <w:shd w:val="clear" w:color="auto" w:fill="auto"/>
          </w:tcPr>
          <w:p w:rsidR="00A320B5" w:rsidRPr="007E29C4" w:rsidRDefault="00A320B5" w:rsidP="00DB4C2D">
            <w:pPr>
              <w:spacing w:after="120"/>
              <w:rPr>
                <w:lang w:val="fr-FR"/>
              </w:rPr>
            </w:pPr>
            <w:r w:rsidRPr="007E29C4">
              <w:rPr>
                <w:lang w:val="fr-FR"/>
              </w:rPr>
              <w:t>T</w:t>
            </w:r>
            <w:r w:rsidRPr="007E29C4">
              <w:rPr>
                <w:vertAlign w:val="subscript"/>
                <w:lang w:val="fr-FR"/>
              </w:rPr>
              <w:t>0</w:t>
            </w:r>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2" w:type="dxa"/>
            <w:shd w:val="clear" w:color="auto" w:fill="auto"/>
          </w:tcPr>
          <w:p w:rsidR="00A320B5" w:rsidRPr="007E29C4" w:rsidRDefault="00A320B5" w:rsidP="00DB4C2D">
            <w:pPr>
              <w:spacing w:after="120"/>
              <w:rPr>
                <w:lang w:val="fr-FR"/>
              </w:rPr>
            </w:pPr>
            <w:r w:rsidRPr="007E29C4">
              <w:rPr>
                <w:lang w:val="fr-FR"/>
              </w:rPr>
              <w:t>température initiale (K),</w:t>
            </w:r>
          </w:p>
        </w:tc>
      </w:tr>
      <w:tr w:rsidR="00A320B5" w:rsidRPr="007E29C4" w:rsidTr="00DB4C2D">
        <w:tc>
          <w:tcPr>
            <w:tcW w:w="567" w:type="dxa"/>
            <w:shd w:val="clear" w:color="auto" w:fill="auto"/>
          </w:tcPr>
          <w:p w:rsidR="00A320B5" w:rsidRPr="007E29C4" w:rsidRDefault="00A320B5" w:rsidP="00DB4C2D">
            <w:pPr>
              <w:spacing w:after="120"/>
              <w:rPr>
                <w:lang w:val="fr-FR"/>
              </w:rPr>
            </w:pPr>
            <w:r w:rsidRPr="007E29C4">
              <w:rPr>
                <w:lang w:val="fr-FR"/>
              </w:rPr>
              <w:t>t</w:t>
            </w:r>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2" w:type="dxa"/>
            <w:shd w:val="clear" w:color="auto" w:fill="auto"/>
          </w:tcPr>
          <w:p w:rsidR="00A320B5" w:rsidRPr="007E29C4" w:rsidRDefault="00A320B5" w:rsidP="00DB4C2D">
            <w:pPr>
              <w:spacing w:after="120"/>
              <w:rPr>
                <w:lang w:val="fr-FR"/>
              </w:rPr>
            </w:pPr>
            <w:r w:rsidRPr="007E29C4">
              <w:rPr>
                <w:lang w:val="fr-FR"/>
              </w:rPr>
              <w:t>temps écoulé depuis le début de la montée en température du réservoir en minutes.</w:t>
            </w:r>
          </w:p>
        </w:tc>
      </w:tr>
    </w:tbl>
    <w:p w:rsidR="00A320B5" w:rsidRPr="00A779B8" w:rsidRDefault="00A320B5" w:rsidP="00A320B5">
      <w:pPr>
        <w:pStyle w:val="SingleTxtG"/>
        <w:keepNext/>
        <w:keepLines/>
        <w:spacing w:after="100"/>
        <w:ind w:left="2268" w:hanging="1134"/>
        <w:rPr>
          <w:lang w:val="fr-FR"/>
        </w:rPr>
      </w:pPr>
      <w:r w:rsidRPr="00A779B8">
        <w:rPr>
          <w:lang w:val="fr-FR"/>
        </w:rPr>
        <w:lastRenderedPageBreak/>
        <w:t>5.1.5.7</w:t>
      </w:r>
      <w:r w:rsidRPr="00A779B8">
        <w:rPr>
          <w:lang w:val="fr-FR"/>
        </w:rPr>
        <w:tab/>
        <w:t>Dès que la percée survient, ou lorsque la température du carburant atteint 308 K (35 °C), suivant le premier de ces événements qui survient, la source de chaleur est coupée, les portes de l</w:t>
      </w:r>
      <w:r w:rsidR="00DB4C2D">
        <w:rPr>
          <w:lang w:val="fr-FR"/>
        </w:rPr>
        <w:t>’</w:t>
      </w:r>
      <w:r w:rsidRPr="00A779B8">
        <w:rPr>
          <w:lang w:val="fr-FR"/>
        </w:rPr>
        <w:t>enceinte sont descellées et ouvertes et le ou les bouchons des réservoirs de carburant du véhicule sont retirés. Si la percée ne s</w:t>
      </w:r>
      <w:r w:rsidR="00DB4C2D">
        <w:rPr>
          <w:lang w:val="fr-FR"/>
        </w:rPr>
        <w:t>’</w:t>
      </w:r>
      <w:r w:rsidRPr="00A779B8">
        <w:rPr>
          <w:lang w:val="fr-FR"/>
        </w:rPr>
        <w:t>est pas produite lorsque la température du carburant a atteint 308 K (35 °C), la source de chaleur est retirée du véhicule, le véhicule est retiré de l</w:t>
      </w:r>
      <w:r w:rsidR="00DB4C2D">
        <w:rPr>
          <w:lang w:val="fr-FR"/>
        </w:rPr>
        <w:t>’</w:t>
      </w:r>
      <w:r w:rsidRPr="00A779B8">
        <w:rPr>
          <w:lang w:val="fr-FR"/>
        </w:rPr>
        <w:t>enceinte et la procédure exposée au paragraphe 5.1.7 est répétée jusqu</w:t>
      </w:r>
      <w:r w:rsidR="00DB4C2D">
        <w:rPr>
          <w:lang w:val="fr-FR"/>
        </w:rPr>
        <w:t>’</w:t>
      </w:r>
      <w:r w:rsidRPr="00A779B8">
        <w:rPr>
          <w:lang w:val="fr-FR"/>
        </w:rPr>
        <w:t>à ce que la percée survienne.</w:t>
      </w:r>
    </w:p>
    <w:p w:rsidR="00A320B5" w:rsidRPr="00A779B8" w:rsidRDefault="00A320B5" w:rsidP="00A320B5">
      <w:pPr>
        <w:pStyle w:val="SingleTxtG"/>
        <w:keepNext/>
        <w:spacing w:after="100"/>
        <w:ind w:left="2268" w:hanging="1134"/>
        <w:jc w:val="left"/>
        <w:rPr>
          <w:lang w:val="fr-FR"/>
        </w:rPr>
      </w:pPr>
      <w:r w:rsidRPr="00A779B8">
        <w:rPr>
          <w:lang w:val="fr-FR"/>
        </w:rPr>
        <w:t>5.1.6</w:t>
      </w:r>
      <w:r w:rsidRPr="00A779B8">
        <w:rPr>
          <w:lang w:val="fr-FR"/>
        </w:rPr>
        <w:tab/>
        <w:t>Charge au butane jusqu</w:t>
      </w:r>
      <w:r w:rsidR="00DB4C2D">
        <w:rPr>
          <w:lang w:val="fr-FR"/>
        </w:rPr>
        <w:t>’</w:t>
      </w:r>
      <w:r w:rsidRPr="00A779B8">
        <w:rPr>
          <w:lang w:val="fr-FR"/>
        </w:rPr>
        <w:t>à la percée</w:t>
      </w:r>
    </w:p>
    <w:p w:rsidR="00A320B5" w:rsidRPr="00A779B8" w:rsidRDefault="00A320B5" w:rsidP="00A320B5">
      <w:pPr>
        <w:pStyle w:val="SingleTxtG"/>
        <w:spacing w:after="100"/>
        <w:ind w:left="2268" w:hanging="1134"/>
        <w:rPr>
          <w:lang w:val="fr-FR"/>
        </w:rPr>
      </w:pPr>
      <w:r w:rsidRPr="00A779B8">
        <w:rPr>
          <w:lang w:val="fr-FR"/>
        </w:rPr>
        <w:t>5.1.6.1</w:t>
      </w:r>
      <w:r w:rsidRPr="00A779B8">
        <w:rPr>
          <w:lang w:val="fr-FR"/>
        </w:rPr>
        <w:tab/>
        <w:t>Si l</w:t>
      </w:r>
      <w:r w:rsidR="00DB4C2D">
        <w:rPr>
          <w:lang w:val="fr-FR"/>
        </w:rPr>
        <w:t>’</w:t>
      </w:r>
      <w:r w:rsidRPr="00A779B8">
        <w:rPr>
          <w:lang w:val="fr-FR"/>
        </w:rPr>
        <w:t>enceinte est utilisée pour déterminer la percée (par. 5.1.4.2 de la présente annexe), le véhicule doit être placé, moteur à l</w:t>
      </w:r>
      <w:r w:rsidR="00DB4C2D">
        <w:rPr>
          <w:lang w:val="fr-FR"/>
        </w:rPr>
        <w:t>’</w:t>
      </w:r>
      <w:r w:rsidRPr="00A779B8">
        <w:rPr>
          <w:lang w:val="fr-FR"/>
        </w:rPr>
        <w:t>arrêt, dans l</w:t>
      </w:r>
      <w:r w:rsidR="00DB4C2D">
        <w:rPr>
          <w:lang w:val="fr-FR"/>
        </w:rPr>
        <w:t>’</w:t>
      </w:r>
      <w:r w:rsidRPr="00A779B8">
        <w:rPr>
          <w:lang w:val="fr-FR"/>
        </w:rPr>
        <w:t>enceinte de mesure des émissions par évaporation.</w:t>
      </w:r>
    </w:p>
    <w:p w:rsidR="00A320B5" w:rsidRPr="00A779B8" w:rsidRDefault="00A320B5" w:rsidP="00A320B5">
      <w:pPr>
        <w:pStyle w:val="SingleTxtG"/>
        <w:spacing w:after="100"/>
        <w:ind w:left="2268" w:hanging="1134"/>
        <w:rPr>
          <w:lang w:val="fr-FR"/>
        </w:rPr>
      </w:pPr>
      <w:r w:rsidRPr="00A779B8">
        <w:rPr>
          <w:lang w:val="fr-FR"/>
        </w:rPr>
        <w:t>5.1.6.2</w:t>
      </w:r>
      <w:r w:rsidRPr="00A779B8">
        <w:rPr>
          <w:lang w:val="fr-FR"/>
        </w:rPr>
        <w:tab/>
        <w:t>Préparer l</w:t>
      </w:r>
      <w:r w:rsidR="00DB4C2D">
        <w:rPr>
          <w:lang w:val="fr-FR"/>
        </w:rPr>
        <w:t>’</w:t>
      </w:r>
      <w:r w:rsidRPr="00A779B8">
        <w:rPr>
          <w:lang w:val="fr-FR"/>
        </w:rPr>
        <w:t>absorbeur de vapeurs de carburant en vue de l</w:t>
      </w:r>
      <w:r w:rsidR="00DB4C2D">
        <w:rPr>
          <w:lang w:val="fr-FR"/>
        </w:rPr>
        <w:t>’</w:t>
      </w:r>
      <w:r w:rsidRPr="00A779B8">
        <w:rPr>
          <w:lang w:val="fr-FR"/>
        </w:rPr>
        <w:t>opération de chargement. L</w:t>
      </w:r>
      <w:r w:rsidR="00DB4C2D">
        <w:rPr>
          <w:lang w:val="fr-FR"/>
        </w:rPr>
        <w:t>’</w:t>
      </w:r>
      <w:r w:rsidRPr="00A779B8">
        <w:rPr>
          <w:lang w:val="fr-FR"/>
        </w:rPr>
        <w:t>absorbeur ne doit pas être retiré du véhicule sauf s</w:t>
      </w:r>
      <w:r w:rsidR="00DB4C2D">
        <w:rPr>
          <w:lang w:val="fr-FR"/>
        </w:rPr>
        <w:t>’</w:t>
      </w:r>
      <w:r w:rsidRPr="00A779B8">
        <w:rPr>
          <w:lang w:val="fr-FR"/>
        </w:rPr>
        <w:t>il est tellement difficile d</w:t>
      </w:r>
      <w:r w:rsidR="00DB4C2D">
        <w:rPr>
          <w:lang w:val="fr-FR"/>
        </w:rPr>
        <w:t>’</w:t>
      </w:r>
      <w:r w:rsidRPr="00A779B8">
        <w:rPr>
          <w:lang w:val="fr-FR"/>
        </w:rPr>
        <w:t>y accéder lorsqu</w:t>
      </w:r>
      <w:r w:rsidR="00DB4C2D">
        <w:rPr>
          <w:lang w:val="fr-FR"/>
        </w:rPr>
        <w:t>’</w:t>
      </w:r>
      <w:r w:rsidRPr="00A779B8">
        <w:rPr>
          <w:lang w:val="fr-FR"/>
        </w:rPr>
        <w:t>il se trouve à son emplacement normal que l</w:t>
      </w:r>
      <w:r w:rsidR="00DB4C2D">
        <w:rPr>
          <w:lang w:val="fr-FR"/>
        </w:rPr>
        <w:t>’</w:t>
      </w:r>
      <w:r w:rsidRPr="00A779B8">
        <w:rPr>
          <w:lang w:val="fr-FR"/>
        </w:rPr>
        <w:t>opération de chargement ne peut raisonnablement être effectuée qu</w:t>
      </w:r>
      <w:r w:rsidR="00DB4C2D">
        <w:rPr>
          <w:lang w:val="fr-FR"/>
        </w:rPr>
        <w:t>’</w:t>
      </w:r>
      <w:r w:rsidRPr="00A779B8">
        <w:rPr>
          <w:lang w:val="fr-FR"/>
        </w:rPr>
        <w:t>en le retirant du véhicule. Veiller soigneusement, en procédant à l</w:t>
      </w:r>
      <w:r w:rsidR="00DB4C2D">
        <w:rPr>
          <w:lang w:val="fr-FR"/>
        </w:rPr>
        <w:t>’</w:t>
      </w:r>
      <w:r w:rsidRPr="00A779B8">
        <w:rPr>
          <w:lang w:val="fr-FR"/>
        </w:rPr>
        <w:t>enlèvement, à ne pas endommager les composants et à ne pas porter atteinte à l</w:t>
      </w:r>
      <w:r w:rsidR="00DB4C2D">
        <w:rPr>
          <w:lang w:val="fr-FR"/>
        </w:rPr>
        <w:t>’</w:t>
      </w:r>
      <w:r w:rsidRPr="00A779B8">
        <w:rPr>
          <w:lang w:val="fr-FR"/>
        </w:rPr>
        <w:t>intégrité du système d</w:t>
      </w:r>
      <w:r w:rsidR="00DB4C2D">
        <w:rPr>
          <w:lang w:val="fr-FR"/>
        </w:rPr>
        <w:t>’</w:t>
      </w:r>
      <w:r w:rsidRPr="00A779B8">
        <w:rPr>
          <w:lang w:val="fr-FR"/>
        </w:rPr>
        <w:t>alimentation.</w:t>
      </w:r>
    </w:p>
    <w:p w:rsidR="00A320B5" w:rsidRPr="00A779B8" w:rsidRDefault="00A320B5" w:rsidP="00A320B5">
      <w:pPr>
        <w:pStyle w:val="SingleTxtG"/>
        <w:spacing w:after="100"/>
        <w:ind w:left="2268" w:hanging="1134"/>
        <w:rPr>
          <w:lang w:val="fr-FR"/>
        </w:rPr>
      </w:pPr>
      <w:r w:rsidRPr="00A779B8">
        <w:rPr>
          <w:lang w:val="fr-FR"/>
        </w:rPr>
        <w:t>5.1.6.3</w:t>
      </w:r>
      <w:r w:rsidRPr="00A779B8">
        <w:rPr>
          <w:lang w:val="fr-FR"/>
        </w:rPr>
        <w:tab/>
        <w:t>Charger l</w:t>
      </w:r>
      <w:r w:rsidR="00DB4C2D">
        <w:rPr>
          <w:lang w:val="fr-FR"/>
        </w:rPr>
        <w:t>’</w:t>
      </w:r>
      <w:r w:rsidRPr="00A779B8">
        <w:rPr>
          <w:lang w:val="fr-FR"/>
        </w:rPr>
        <w:t>absorbeur de vapeurs de carburant avec un mélange composé de 50 % de butane et de 50 % d</w:t>
      </w:r>
      <w:r w:rsidR="00DB4C2D">
        <w:rPr>
          <w:lang w:val="fr-FR"/>
        </w:rPr>
        <w:t>’</w:t>
      </w:r>
      <w:r w:rsidRPr="00A779B8">
        <w:rPr>
          <w:lang w:val="fr-FR"/>
        </w:rPr>
        <w:t>azote en volume, à un débit de 40 g de butane par heure.</w:t>
      </w:r>
    </w:p>
    <w:p w:rsidR="00A320B5" w:rsidRPr="00A779B8" w:rsidRDefault="00A320B5" w:rsidP="00A320B5">
      <w:pPr>
        <w:pStyle w:val="SingleTxtG"/>
        <w:spacing w:after="100"/>
        <w:ind w:left="2268" w:hanging="1134"/>
        <w:rPr>
          <w:lang w:val="fr-FR"/>
        </w:rPr>
      </w:pPr>
      <w:r w:rsidRPr="00A779B8">
        <w:rPr>
          <w:lang w:val="fr-FR"/>
        </w:rPr>
        <w:t>5.1.6.4</w:t>
      </w:r>
      <w:r w:rsidRPr="00A779B8">
        <w:rPr>
          <w:lang w:val="fr-FR"/>
        </w:rPr>
        <w:tab/>
        <w:t>Dès que l</w:t>
      </w:r>
      <w:r w:rsidR="00DB4C2D">
        <w:rPr>
          <w:lang w:val="fr-FR"/>
        </w:rPr>
        <w:t>’</w:t>
      </w:r>
      <w:r w:rsidRPr="00A779B8">
        <w:rPr>
          <w:lang w:val="fr-FR"/>
        </w:rPr>
        <w:t>absorbeur atteint le point de percée, la source de vapeur doit être coupée.</w:t>
      </w:r>
    </w:p>
    <w:p w:rsidR="00A320B5" w:rsidRPr="00A779B8" w:rsidRDefault="00A320B5" w:rsidP="00A320B5">
      <w:pPr>
        <w:pStyle w:val="SingleTxtG"/>
        <w:spacing w:after="100"/>
        <w:ind w:left="2268" w:hanging="1134"/>
        <w:rPr>
          <w:lang w:val="fr-FR"/>
        </w:rPr>
      </w:pPr>
      <w:r w:rsidRPr="00A779B8">
        <w:rPr>
          <w:lang w:val="fr-FR"/>
        </w:rPr>
        <w:t>5.1.6.5</w:t>
      </w:r>
      <w:r w:rsidRPr="00A779B8">
        <w:rPr>
          <w:lang w:val="fr-FR"/>
        </w:rPr>
        <w:tab/>
        <w:t>Rebrancher l</w:t>
      </w:r>
      <w:r w:rsidR="00DB4C2D">
        <w:rPr>
          <w:lang w:val="fr-FR"/>
        </w:rPr>
        <w:t>’</w:t>
      </w:r>
      <w:r w:rsidRPr="00A779B8">
        <w:rPr>
          <w:lang w:val="fr-FR"/>
        </w:rPr>
        <w:t>absorbeur et remettre le véhicule dans son état de fonctionnement normal.</w:t>
      </w:r>
    </w:p>
    <w:p w:rsidR="00A320B5" w:rsidRPr="00A779B8" w:rsidRDefault="00A320B5" w:rsidP="00A320B5">
      <w:pPr>
        <w:pStyle w:val="SingleTxtG"/>
        <w:keepNext/>
        <w:spacing w:after="100"/>
        <w:ind w:left="2268" w:hanging="1134"/>
        <w:jc w:val="left"/>
        <w:rPr>
          <w:lang w:val="fr-FR"/>
        </w:rPr>
      </w:pPr>
      <w:r w:rsidRPr="00A779B8">
        <w:rPr>
          <w:lang w:val="fr-FR"/>
        </w:rPr>
        <w:t>5.1.7</w:t>
      </w:r>
      <w:r w:rsidRPr="00A779B8">
        <w:rPr>
          <w:lang w:val="fr-FR"/>
        </w:rPr>
        <w:tab/>
        <w:t>Vidange et remplissage du réservoir</w:t>
      </w:r>
    </w:p>
    <w:p w:rsidR="00A320B5" w:rsidRPr="00A779B8" w:rsidRDefault="00A320B5" w:rsidP="00A320B5">
      <w:pPr>
        <w:pStyle w:val="SingleTxtG"/>
        <w:spacing w:after="100"/>
        <w:ind w:left="2268" w:hanging="1134"/>
        <w:rPr>
          <w:lang w:val="fr-FR"/>
        </w:rPr>
      </w:pPr>
      <w:r w:rsidRPr="00A779B8">
        <w:rPr>
          <w:lang w:val="fr-FR"/>
        </w:rPr>
        <w:t>5.1.7.1</w:t>
      </w:r>
      <w:r w:rsidRPr="00A779B8">
        <w:rPr>
          <w:lang w:val="fr-FR"/>
        </w:rPr>
        <w:tab/>
        <w:t>Le ou les réservoirs de carburant sont vidangés en utilisant les orifices de vidange prévus à cet effet. On doit veiller alors à ne pas purger de manière anormale les dispositifs de contrôle d</w:t>
      </w:r>
      <w:r w:rsidR="00DB4C2D">
        <w:rPr>
          <w:lang w:val="fr-FR"/>
        </w:rPr>
        <w:t>’</w:t>
      </w:r>
      <w:r w:rsidRPr="00A779B8">
        <w:rPr>
          <w:lang w:val="fr-FR"/>
        </w:rPr>
        <w:t>évaporation montés sur le véhicule ou à ne pas charger anormalement ces dispositifs. À cet effet, il suffira normalement d</w:t>
      </w:r>
      <w:r w:rsidR="00DB4C2D">
        <w:rPr>
          <w:lang w:val="fr-FR"/>
        </w:rPr>
        <w:t>’</w:t>
      </w:r>
      <w:r w:rsidRPr="00A779B8">
        <w:rPr>
          <w:lang w:val="fr-FR"/>
        </w:rPr>
        <w:t>enlever le bouchon des réservoirs.</w:t>
      </w:r>
    </w:p>
    <w:p w:rsidR="00A320B5" w:rsidRPr="00A779B8" w:rsidRDefault="00A320B5" w:rsidP="00A320B5">
      <w:pPr>
        <w:pStyle w:val="SingleTxtG"/>
        <w:spacing w:after="100"/>
        <w:ind w:left="2268" w:hanging="1134"/>
        <w:rPr>
          <w:lang w:val="fr-FR"/>
        </w:rPr>
      </w:pPr>
      <w:r w:rsidRPr="00A779B8">
        <w:rPr>
          <w:lang w:val="fr-FR"/>
        </w:rPr>
        <w:t>5.1.7.2</w:t>
      </w:r>
      <w:r w:rsidRPr="00A779B8">
        <w:rPr>
          <w:lang w:val="fr-FR"/>
        </w:rPr>
        <w:tab/>
        <w:t>Le ou les réservoirs de carburant sont alors remplis avec le carburant prévu pour l</w:t>
      </w:r>
      <w:r w:rsidR="00DB4C2D">
        <w:rPr>
          <w:lang w:val="fr-FR"/>
        </w:rPr>
        <w:t>’</w:t>
      </w:r>
      <w:r w:rsidRPr="00A779B8">
        <w:rPr>
          <w:lang w:val="fr-FR"/>
        </w:rPr>
        <w:t xml:space="preserve">essai, à une température de 291 </w:t>
      </w:r>
      <w:r w:rsidRPr="00A779B8">
        <w:rPr>
          <w:lang w:val="fr-FR"/>
        </w:rPr>
        <w:sym w:font="Symbol" w:char="F0B1"/>
      </w:r>
      <w:r w:rsidRPr="00A779B8">
        <w:rPr>
          <w:lang w:val="fr-FR"/>
        </w:rPr>
        <w:t xml:space="preserve"> 8 K (18 </w:t>
      </w:r>
      <w:r w:rsidRPr="00A779B8">
        <w:rPr>
          <w:lang w:val="fr-FR"/>
        </w:rPr>
        <w:sym w:font="Symbol" w:char="F0B1"/>
      </w:r>
      <w:r w:rsidRPr="00A779B8">
        <w:rPr>
          <w:lang w:val="fr-FR"/>
        </w:rPr>
        <w:t> 8 °C) à 40 ± 2 % de leur capacité normale. Le ou les bouchons des réservoirs doivent alors être remis en place.</w:t>
      </w:r>
    </w:p>
    <w:p w:rsidR="00A320B5" w:rsidRPr="00A779B8" w:rsidRDefault="00A320B5" w:rsidP="00A320B5">
      <w:pPr>
        <w:pStyle w:val="SingleTxtG"/>
        <w:keepNext/>
        <w:spacing w:after="100"/>
        <w:ind w:left="2268" w:hanging="1134"/>
        <w:jc w:val="left"/>
        <w:rPr>
          <w:lang w:val="fr-FR"/>
        </w:rPr>
      </w:pPr>
      <w:r w:rsidRPr="00A779B8">
        <w:rPr>
          <w:lang w:val="fr-FR"/>
        </w:rPr>
        <w:t>5.2</w:t>
      </w:r>
      <w:r w:rsidRPr="00A779B8">
        <w:rPr>
          <w:lang w:val="fr-FR"/>
        </w:rPr>
        <w:tab/>
        <w:t xml:space="preserve">Roulage de </w:t>
      </w:r>
      <w:proofErr w:type="spellStart"/>
      <w:r w:rsidRPr="00A779B8">
        <w:rPr>
          <w:lang w:val="fr-FR"/>
        </w:rPr>
        <w:t>préconditionnement</w:t>
      </w:r>
      <w:proofErr w:type="spellEnd"/>
    </w:p>
    <w:p w:rsidR="00A320B5" w:rsidRPr="00A779B8" w:rsidRDefault="00A320B5" w:rsidP="00A320B5">
      <w:pPr>
        <w:pStyle w:val="SingleTxtG"/>
        <w:spacing w:after="100"/>
        <w:ind w:left="2268" w:hanging="1134"/>
        <w:rPr>
          <w:lang w:val="fr-FR"/>
        </w:rPr>
      </w:pPr>
      <w:r w:rsidRPr="00A779B8">
        <w:rPr>
          <w:lang w:val="fr-FR"/>
        </w:rPr>
        <w:t>5.2.1</w:t>
      </w:r>
      <w:r w:rsidRPr="00A779B8">
        <w:rPr>
          <w:lang w:val="fr-FR"/>
        </w:rPr>
        <w:tab/>
        <w:t>Dans un délai de 1 h après l</w:t>
      </w:r>
      <w:r w:rsidR="00DB4C2D">
        <w:rPr>
          <w:lang w:val="fr-FR"/>
        </w:rPr>
        <w:t>’</w:t>
      </w:r>
      <w:r w:rsidRPr="00A779B8">
        <w:rPr>
          <w:lang w:val="fr-FR"/>
        </w:rPr>
        <w:t>achèvement du chargement de l</w:t>
      </w:r>
      <w:r w:rsidR="00DB4C2D">
        <w:rPr>
          <w:lang w:val="fr-FR"/>
        </w:rPr>
        <w:t>’</w:t>
      </w:r>
      <w:r w:rsidRPr="00A779B8">
        <w:rPr>
          <w:lang w:val="fr-FR"/>
        </w:rPr>
        <w:t>absorbeur de vapeurs de carburant conformément à la procédure décrite au paragraphe 5.1.5 ou 5.1.6 de la présente annexe, le véhicule est placé sur le banc à rouleaux. On exécute un cycle de conduite «première partie» et deux cycles de conduite «seconde partie» de l</w:t>
      </w:r>
      <w:r w:rsidR="00DB4C2D">
        <w:rPr>
          <w:lang w:val="fr-FR"/>
        </w:rPr>
        <w:t>’</w:t>
      </w:r>
      <w:r w:rsidRPr="00A779B8">
        <w:rPr>
          <w:lang w:val="fr-FR"/>
        </w:rPr>
        <w:t>essai du type I tels que décrits à l</w:t>
      </w:r>
      <w:r w:rsidR="00DB4C2D">
        <w:rPr>
          <w:lang w:val="fr-FR"/>
        </w:rPr>
        <w:t>’</w:t>
      </w:r>
      <w:r w:rsidRPr="00A779B8">
        <w:rPr>
          <w:lang w:val="fr-FR"/>
        </w:rPr>
        <w:t>annexe 4a du présent Règlement. Les émissions de gaz d</w:t>
      </w:r>
      <w:r w:rsidR="00DB4C2D">
        <w:rPr>
          <w:lang w:val="fr-FR"/>
        </w:rPr>
        <w:t>’</w:t>
      </w:r>
      <w:r w:rsidRPr="00A779B8">
        <w:rPr>
          <w:lang w:val="fr-FR"/>
        </w:rPr>
        <w:t>échappement ne sont pas prélevées pendant cette opération.</w:t>
      </w:r>
    </w:p>
    <w:p w:rsidR="00A320B5" w:rsidRPr="00A779B8" w:rsidRDefault="00A320B5" w:rsidP="00A320B5">
      <w:pPr>
        <w:pStyle w:val="SingleTxtG"/>
        <w:keepNext/>
        <w:spacing w:after="100"/>
        <w:ind w:left="2268" w:hanging="1134"/>
        <w:jc w:val="left"/>
        <w:rPr>
          <w:lang w:val="fr-FR"/>
        </w:rPr>
      </w:pPr>
      <w:r w:rsidRPr="00A779B8">
        <w:rPr>
          <w:lang w:val="fr-FR"/>
        </w:rPr>
        <w:t>5.3</w:t>
      </w:r>
      <w:r w:rsidRPr="00A779B8">
        <w:rPr>
          <w:lang w:val="fr-FR"/>
        </w:rPr>
        <w:tab/>
        <w:t>Imprégnation</w:t>
      </w:r>
    </w:p>
    <w:p w:rsidR="00A320B5" w:rsidRPr="00A779B8" w:rsidRDefault="00A320B5" w:rsidP="00A320B5">
      <w:pPr>
        <w:pStyle w:val="SingleTxtG"/>
        <w:ind w:left="2268" w:hanging="1134"/>
        <w:rPr>
          <w:lang w:val="fr-FR"/>
        </w:rPr>
      </w:pPr>
      <w:r w:rsidRPr="00A779B8">
        <w:rPr>
          <w:lang w:val="fr-FR"/>
        </w:rPr>
        <w:t>5.3.1</w:t>
      </w:r>
      <w:r w:rsidRPr="00A779B8">
        <w:rPr>
          <w:lang w:val="fr-FR"/>
        </w:rPr>
        <w:tab/>
        <w:t>Dans les 5 min qui suivent l</w:t>
      </w:r>
      <w:r w:rsidR="00DB4C2D">
        <w:rPr>
          <w:lang w:val="fr-FR"/>
        </w:rPr>
        <w:t>’</w:t>
      </w:r>
      <w:r w:rsidRPr="00A779B8">
        <w:rPr>
          <w:lang w:val="fr-FR"/>
        </w:rPr>
        <w:t>achèvement de l</w:t>
      </w:r>
      <w:r w:rsidR="00DB4C2D">
        <w:rPr>
          <w:lang w:val="fr-FR"/>
        </w:rPr>
        <w:t>’</w:t>
      </w:r>
      <w:r w:rsidRPr="00A779B8">
        <w:rPr>
          <w:lang w:val="fr-FR"/>
        </w:rPr>
        <w:t xml:space="preserve">opération de </w:t>
      </w:r>
      <w:proofErr w:type="spellStart"/>
      <w:r w:rsidRPr="00A779B8">
        <w:rPr>
          <w:lang w:val="fr-FR"/>
        </w:rPr>
        <w:t>préconditionnement</w:t>
      </w:r>
      <w:proofErr w:type="spellEnd"/>
      <w:r w:rsidRPr="00A779B8">
        <w:rPr>
          <w:lang w:val="fr-FR"/>
        </w:rPr>
        <w:t xml:space="preserve"> décrite au paragraphe 5.2.1 de la présente annexe, le capot-moteur doit être fermé et le véhicule emmené hors du banc à rouleaux </w:t>
      </w:r>
      <w:r w:rsidRPr="00A779B8">
        <w:rPr>
          <w:lang w:val="fr-FR"/>
        </w:rPr>
        <w:lastRenderedPageBreak/>
        <w:t>et parqué dans la zone d</w:t>
      </w:r>
      <w:r w:rsidR="00DB4C2D">
        <w:rPr>
          <w:lang w:val="fr-FR"/>
        </w:rPr>
        <w:t>’</w:t>
      </w:r>
      <w:r w:rsidRPr="00A779B8">
        <w:rPr>
          <w:lang w:val="fr-FR"/>
        </w:rPr>
        <w:t>imprégnation. Il y reste pendant 12 h au minimum et 36 h au maximum. À la fin de la période d</w:t>
      </w:r>
      <w:r w:rsidR="00DB4C2D">
        <w:rPr>
          <w:lang w:val="fr-FR"/>
        </w:rPr>
        <w:t>’</w:t>
      </w:r>
      <w:r w:rsidRPr="00A779B8">
        <w:rPr>
          <w:lang w:val="fr-FR"/>
        </w:rPr>
        <w:t>imprégnation, la température de l</w:t>
      </w:r>
      <w:r w:rsidR="00DB4C2D">
        <w:rPr>
          <w:lang w:val="fr-FR"/>
        </w:rPr>
        <w:t>’</w:t>
      </w:r>
      <w:r w:rsidRPr="00A779B8">
        <w:rPr>
          <w:lang w:val="fr-FR"/>
        </w:rPr>
        <w:t>huile du moteur et du liquide de refroidissement doit avoir atteint la température de la zone d</w:t>
      </w:r>
      <w:r w:rsidR="00DB4C2D">
        <w:rPr>
          <w:lang w:val="fr-FR"/>
        </w:rPr>
        <w:t>’</w:t>
      </w:r>
      <w:r w:rsidRPr="00A779B8">
        <w:rPr>
          <w:lang w:val="fr-FR"/>
        </w:rPr>
        <w:t>imprégnation, à 3 K près.</w:t>
      </w:r>
    </w:p>
    <w:p w:rsidR="00A320B5" w:rsidRPr="00A779B8" w:rsidRDefault="00A320B5" w:rsidP="00A320B5">
      <w:pPr>
        <w:pStyle w:val="SingleTxtG"/>
        <w:keepNext/>
        <w:ind w:left="2268" w:hanging="1134"/>
        <w:jc w:val="left"/>
        <w:rPr>
          <w:lang w:val="fr-FR"/>
        </w:rPr>
      </w:pPr>
      <w:r w:rsidRPr="00A779B8">
        <w:rPr>
          <w:lang w:val="fr-FR"/>
        </w:rPr>
        <w:t>5.4</w:t>
      </w:r>
      <w:r w:rsidRPr="00A779B8">
        <w:rPr>
          <w:lang w:val="fr-FR"/>
        </w:rPr>
        <w:tab/>
        <w:t>Essai au banc à rouleaux</w:t>
      </w:r>
    </w:p>
    <w:p w:rsidR="00A320B5" w:rsidRPr="00A779B8" w:rsidRDefault="00A320B5" w:rsidP="00A320B5">
      <w:pPr>
        <w:pStyle w:val="SingleTxtG"/>
        <w:ind w:left="2268" w:hanging="1134"/>
        <w:rPr>
          <w:lang w:val="fr-FR"/>
        </w:rPr>
      </w:pPr>
      <w:r w:rsidRPr="00A779B8">
        <w:rPr>
          <w:lang w:val="fr-FR"/>
        </w:rPr>
        <w:t>5.4.1</w:t>
      </w:r>
      <w:r w:rsidRPr="00A779B8">
        <w:rPr>
          <w:lang w:val="fr-FR"/>
        </w:rPr>
        <w:tab/>
        <w:t>Lorsque la période d</w:t>
      </w:r>
      <w:r w:rsidR="00DB4C2D">
        <w:rPr>
          <w:lang w:val="fr-FR"/>
        </w:rPr>
        <w:t>’</w:t>
      </w:r>
      <w:r w:rsidRPr="00A779B8">
        <w:rPr>
          <w:lang w:val="fr-FR"/>
        </w:rPr>
        <w:t>imprégnation est terminée, le véhicule subit un cycle complet d</w:t>
      </w:r>
      <w:r w:rsidR="00DB4C2D">
        <w:rPr>
          <w:lang w:val="fr-FR"/>
        </w:rPr>
        <w:t>’</w:t>
      </w:r>
      <w:r w:rsidRPr="00A779B8">
        <w:rPr>
          <w:lang w:val="fr-FR"/>
        </w:rPr>
        <w:t>essai du type I, tel que décrit à l</w:t>
      </w:r>
      <w:r w:rsidR="00DB4C2D">
        <w:rPr>
          <w:lang w:val="fr-FR"/>
        </w:rPr>
        <w:t>’</w:t>
      </w:r>
      <w:r w:rsidRPr="00A779B8">
        <w:rPr>
          <w:lang w:val="fr-FR"/>
        </w:rPr>
        <w:t>annexe 4a du présent Règlement (essai urbain et extra-urbain après un démarrage à froid). Le moteur est ensuite arrêté. Les émissions à l</w:t>
      </w:r>
      <w:r w:rsidR="00DB4C2D">
        <w:rPr>
          <w:lang w:val="fr-FR"/>
        </w:rPr>
        <w:t>’</w:t>
      </w:r>
      <w:r w:rsidRPr="00A779B8">
        <w:rPr>
          <w:lang w:val="fr-FR"/>
        </w:rPr>
        <w:t>échappement peuvent être échantillonnées pendant cette opération, mais les résultats ainsi obtenus n</w:t>
      </w:r>
      <w:r w:rsidR="00DB4C2D">
        <w:rPr>
          <w:lang w:val="fr-FR"/>
        </w:rPr>
        <w:t>’</w:t>
      </w:r>
      <w:r w:rsidRPr="00A779B8">
        <w:rPr>
          <w:lang w:val="fr-FR"/>
        </w:rPr>
        <w:t>entrent pas en ligne de compte pour l</w:t>
      </w:r>
      <w:r w:rsidR="00DB4C2D">
        <w:rPr>
          <w:lang w:val="fr-FR"/>
        </w:rPr>
        <w:t>’</w:t>
      </w:r>
      <w:r w:rsidRPr="00A779B8">
        <w:rPr>
          <w:lang w:val="fr-FR"/>
        </w:rPr>
        <w:t>octroi de l</w:t>
      </w:r>
      <w:r w:rsidR="00DB4C2D">
        <w:rPr>
          <w:lang w:val="fr-FR"/>
        </w:rPr>
        <w:t>’</w:t>
      </w:r>
      <w:r w:rsidRPr="00A779B8">
        <w:rPr>
          <w:lang w:val="fr-FR"/>
        </w:rPr>
        <w:t>homologation de type en ce qui concerne les émissions de gaz d</w:t>
      </w:r>
      <w:r w:rsidR="00DB4C2D">
        <w:rPr>
          <w:lang w:val="fr-FR"/>
        </w:rPr>
        <w:t>’</w:t>
      </w:r>
      <w:r w:rsidRPr="00A779B8">
        <w:rPr>
          <w:lang w:val="fr-FR"/>
        </w:rPr>
        <w:t>échappement.</w:t>
      </w:r>
    </w:p>
    <w:p w:rsidR="00A320B5" w:rsidRPr="00A779B8" w:rsidRDefault="00A320B5" w:rsidP="00A320B5">
      <w:pPr>
        <w:pStyle w:val="SingleTxtG"/>
        <w:ind w:left="2268" w:hanging="1134"/>
        <w:rPr>
          <w:lang w:val="fr-FR"/>
        </w:rPr>
      </w:pPr>
      <w:r w:rsidRPr="00A779B8">
        <w:rPr>
          <w:lang w:val="fr-FR"/>
        </w:rPr>
        <w:t>5.4.2</w:t>
      </w:r>
      <w:r w:rsidRPr="00A779B8">
        <w:rPr>
          <w:lang w:val="fr-FR"/>
        </w:rPr>
        <w:tab/>
        <w:t>Dans un délai de 2 min après l</w:t>
      </w:r>
      <w:r w:rsidR="00DB4C2D">
        <w:rPr>
          <w:lang w:val="fr-FR"/>
        </w:rPr>
        <w:t>’</w:t>
      </w:r>
      <w:r w:rsidRPr="00A779B8">
        <w:rPr>
          <w:lang w:val="fr-FR"/>
        </w:rPr>
        <w:t>essai de conduite du type I indiqué au paragraphe 5.4.1 ci-dessus, le véhicule subit un nouveau cycle de conduite de conditionnement consistant en un cycle urbain (démarrage à chaud) d</w:t>
      </w:r>
      <w:r w:rsidR="00DB4C2D">
        <w:rPr>
          <w:lang w:val="fr-FR"/>
        </w:rPr>
        <w:t>’</w:t>
      </w:r>
      <w:r w:rsidRPr="00A779B8">
        <w:rPr>
          <w:lang w:val="fr-FR"/>
        </w:rPr>
        <w:t>un essai du type I. Le moteur est ensuite coupé de nouveau. Les émissions à l</w:t>
      </w:r>
      <w:r w:rsidR="00DB4C2D">
        <w:rPr>
          <w:lang w:val="fr-FR"/>
        </w:rPr>
        <w:t>’</w:t>
      </w:r>
      <w:r w:rsidRPr="00A779B8">
        <w:rPr>
          <w:lang w:val="fr-FR"/>
        </w:rPr>
        <w:t>échappement n</w:t>
      </w:r>
      <w:r w:rsidR="00DB4C2D">
        <w:rPr>
          <w:lang w:val="fr-FR"/>
        </w:rPr>
        <w:t>’</w:t>
      </w:r>
      <w:r w:rsidRPr="00A779B8">
        <w:rPr>
          <w:lang w:val="fr-FR"/>
        </w:rPr>
        <w:t>ont pas à être mesurées pendant cette opération.</w:t>
      </w:r>
    </w:p>
    <w:p w:rsidR="00A320B5" w:rsidRPr="00A779B8" w:rsidRDefault="00A320B5" w:rsidP="00A320B5">
      <w:pPr>
        <w:pStyle w:val="SingleTxtG"/>
        <w:keepNext/>
        <w:ind w:left="2268" w:hanging="1134"/>
        <w:jc w:val="left"/>
        <w:rPr>
          <w:lang w:val="fr-FR"/>
        </w:rPr>
      </w:pPr>
      <w:r w:rsidRPr="00A779B8">
        <w:rPr>
          <w:lang w:val="fr-FR"/>
        </w:rPr>
        <w:t>5.5</w:t>
      </w:r>
      <w:r w:rsidRPr="00A779B8">
        <w:rPr>
          <w:lang w:val="fr-FR"/>
        </w:rPr>
        <w:tab/>
        <w:t>Essai d</w:t>
      </w:r>
      <w:r w:rsidR="00DB4C2D">
        <w:rPr>
          <w:lang w:val="fr-FR"/>
        </w:rPr>
        <w:t>’</w:t>
      </w:r>
      <w:r w:rsidRPr="00A779B8">
        <w:rPr>
          <w:lang w:val="fr-FR"/>
        </w:rPr>
        <w:t>émissions par évaporation après imprégnation à chaud</w:t>
      </w:r>
    </w:p>
    <w:p w:rsidR="00A320B5" w:rsidRPr="00A779B8" w:rsidRDefault="00A320B5" w:rsidP="00A320B5">
      <w:pPr>
        <w:pStyle w:val="SingleTxtG"/>
        <w:ind w:left="2268" w:hanging="1134"/>
        <w:rPr>
          <w:lang w:val="fr-FR"/>
        </w:rPr>
      </w:pPr>
      <w:r w:rsidRPr="00A779B8">
        <w:rPr>
          <w:lang w:val="fr-FR"/>
        </w:rPr>
        <w:t>5.5.1</w:t>
      </w:r>
      <w:r w:rsidRPr="00A779B8">
        <w:rPr>
          <w:lang w:val="fr-FR"/>
        </w:rPr>
        <w:tab/>
        <w:t>Avant l</w:t>
      </w:r>
      <w:r w:rsidR="00DB4C2D">
        <w:rPr>
          <w:lang w:val="fr-FR"/>
        </w:rPr>
        <w:t>’</w:t>
      </w:r>
      <w:r w:rsidRPr="00A779B8">
        <w:rPr>
          <w:lang w:val="fr-FR"/>
        </w:rPr>
        <w:t>achèvement du cycle de conduite de conditionnement, la chambre de mesure doit être purgée pendant plusieurs minutes, jusqu</w:t>
      </w:r>
      <w:r w:rsidR="00DB4C2D">
        <w:rPr>
          <w:lang w:val="fr-FR"/>
        </w:rPr>
        <w:t>’</w:t>
      </w:r>
      <w:r w:rsidRPr="00A779B8">
        <w:rPr>
          <w:lang w:val="fr-FR"/>
        </w:rPr>
        <w:t>à obtenir une concentration résiduelle en hydrocarbures stable. Le ou les ventilateurs de mélange de l</w:t>
      </w:r>
      <w:r w:rsidR="00DB4C2D">
        <w:rPr>
          <w:lang w:val="fr-FR"/>
        </w:rPr>
        <w:t>’</w:t>
      </w:r>
      <w:r w:rsidRPr="00A779B8">
        <w:rPr>
          <w:lang w:val="fr-FR"/>
        </w:rPr>
        <w:t>enceinte doivent également être mis en marche.</w:t>
      </w:r>
    </w:p>
    <w:p w:rsidR="00A320B5" w:rsidRPr="00A779B8" w:rsidRDefault="00A320B5" w:rsidP="00A320B5">
      <w:pPr>
        <w:pStyle w:val="SingleTxtG"/>
        <w:ind w:left="2268" w:hanging="1134"/>
        <w:rPr>
          <w:lang w:val="fr-FR"/>
        </w:rPr>
      </w:pPr>
      <w:r w:rsidRPr="00A779B8">
        <w:rPr>
          <w:lang w:val="fr-FR"/>
        </w:rPr>
        <w:t>5.5.2</w:t>
      </w:r>
      <w:r w:rsidRPr="00A779B8">
        <w:rPr>
          <w:lang w:val="fr-FR"/>
        </w:rPr>
        <w:tab/>
        <w:t>L</w:t>
      </w:r>
      <w:r w:rsidR="00DB4C2D">
        <w:rPr>
          <w:lang w:val="fr-FR"/>
        </w:rPr>
        <w:t>’</w:t>
      </w:r>
      <w:r w:rsidRPr="00A779B8">
        <w:rPr>
          <w:lang w:val="fr-FR"/>
        </w:rPr>
        <w:t>analyseur d</w:t>
      </w:r>
      <w:r w:rsidR="00DB4C2D">
        <w:rPr>
          <w:lang w:val="fr-FR"/>
        </w:rPr>
        <w:t>’</w:t>
      </w:r>
      <w:r w:rsidRPr="00A779B8">
        <w:rPr>
          <w:lang w:val="fr-FR"/>
        </w:rPr>
        <w:t>hydrocarbures doit être mis à zéro et faire l</w:t>
      </w:r>
      <w:r w:rsidR="00DB4C2D">
        <w:rPr>
          <w:lang w:val="fr-FR"/>
        </w:rPr>
        <w:t>’</w:t>
      </w:r>
      <w:r w:rsidRPr="00A779B8">
        <w:rPr>
          <w:lang w:val="fr-FR"/>
        </w:rPr>
        <w:t>objet d</w:t>
      </w:r>
      <w:r w:rsidR="00DB4C2D">
        <w:rPr>
          <w:lang w:val="fr-FR"/>
        </w:rPr>
        <w:t>’</w:t>
      </w:r>
      <w:r w:rsidRPr="00A779B8">
        <w:rPr>
          <w:lang w:val="fr-FR"/>
        </w:rPr>
        <w:t>un réglage d</w:t>
      </w:r>
      <w:r w:rsidR="00DB4C2D">
        <w:rPr>
          <w:lang w:val="fr-FR"/>
        </w:rPr>
        <w:t>’</w:t>
      </w:r>
      <w:r w:rsidRPr="00A779B8">
        <w:rPr>
          <w:lang w:val="fr-FR"/>
        </w:rPr>
        <w:t>échelle immédiatement avant l</w:t>
      </w:r>
      <w:r w:rsidR="00DB4C2D">
        <w:rPr>
          <w:lang w:val="fr-FR"/>
        </w:rPr>
        <w:t>’</w:t>
      </w:r>
      <w:r w:rsidRPr="00A779B8">
        <w:rPr>
          <w:lang w:val="fr-FR"/>
        </w:rPr>
        <w:t>essai.</w:t>
      </w:r>
    </w:p>
    <w:p w:rsidR="00A320B5" w:rsidRPr="00A779B8" w:rsidRDefault="00A320B5" w:rsidP="00A320B5">
      <w:pPr>
        <w:pStyle w:val="SingleTxtG"/>
        <w:ind w:left="2268" w:hanging="1134"/>
        <w:rPr>
          <w:lang w:val="fr-FR"/>
        </w:rPr>
      </w:pPr>
      <w:r w:rsidRPr="00A779B8">
        <w:rPr>
          <w:lang w:val="fr-FR"/>
        </w:rPr>
        <w:t>5.5.3</w:t>
      </w:r>
      <w:r w:rsidRPr="00A779B8">
        <w:rPr>
          <w:lang w:val="fr-FR"/>
        </w:rPr>
        <w:tab/>
        <w:t>À la fin du cycle de conduite de conditionnement, il faut fermer le capot-moteur et débrancher toutes les connexions entre le véhicule et le banc d</w:t>
      </w:r>
      <w:r w:rsidR="00DB4C2D">
        <w:rPr>
          <w:lang w:val="fr-FR"/>
        </w:rPr>
        <w:t>’</w:t>
      </w:r>
      <w:r w:rsidRPr="00A779B8">
        <w:rPr>
          <w:lang w:val="fr-FR"/>
        </w:rPr>
        <w:t>essai. Le véhicule est alors emmené au moteur jusqu</w:t>
      </w:r>
      <w:r w:rsidR="00DB4C2D">
        <w:rPr>
          <w:lang w:val="fr-FR"/>
        </w:rPr>
        <w:t>’</w:t>
      </w:r>
      <w:r w:rsidRPr="00A779B8">
        <w:rPr>
          <w:lang w:val="fr-FR"/>
        </w:rPr>
        <w:t>à l</w:t>
      </w:r>
      <w:r w:rsidR="00DB4C2D">
        <w:rPr>
          <w:lang w:val="fr-FR"/>
        </w:rPr>
        <w:t>’</w:t>
      </w:r>
      <w:r w:rsidRPr="00A779B8">
        <w:rPr>
          <w:lang w:val="fr-FR"/>
        </w:rPr>
        <w:t>enceinte de mesure, en utilisant au minimum la pédale d</w:t>
      </w:r>
      <w:r w:rsidR="00DB4C2D">
        <w:rPr>
          <w:lang w:val="fr-FR"/>
        </w:rPr>
        <w:t>’</w:t>
      </w:r>
      <w:r w:rsidRPr="00A779B8">
        <w:rPr>
          <w:lang w:val="fr-FR"/>
        </w:rPr>
        <w:t>accélérateur. Le moteur doit être coupé avant qu</w:t>
      </w:r>
      <w:r w:rsidR="00DB4C2D">
        <w:rPr>
          <w:lang w:val="fr-FR"/>
        </w:rPr>
        <w:t>’</w:t>
      </w:r>
      <w:r w:rsidRPr="00A779B8">
        <w:rPr>
          <w:lang w:val="fr-FR"/>
        </w:rPr>
        <w:t>une partie quelconque du véhicule pénètre dans l</w:t>
      </w:r>
      <w:r w:rsidR="00DB4C2D">
        <w:rPr>
          <w:lang w:val="fr-FR"/>
        </w:rPr>
        <w:t>’</w:t>
      </w:r>
      <w:r w:rsidRPr="00A779B8">
        <w:rPr>
          <w:lang w:val="fr-FR"/>
        </w:rPr>
        <w:t>enceinte de mesure. Le moment où le moteur est coupé doit être enregistré sur le système d</w:t>
      </w:r>
      <w:r w:rsidR="00DB4C2D">
        <w:rPr>
          <w:lang w:val="fr-FR"/>
        </w:rPr>
        <w:t>’</w:t>
      </w:r>
      <w:r w:rsidRPr="00A779B8">
        <w:rPr>
          <w:lang w:val="fr-FR"/>
        </w:rPr>
        <w:t>enregistrement des mesures d</w:t>
      </w:r>
      <w:r w:rsidR="00DB4C2D">
        <w:rPr>
          <w:lang w:val="fr-FR"/>
        </w:rPr>
        <w:t>’</w:t>
      </w:r>
      <w:r w:rsidRPr="00A779B8">
        <w:rPr>
          <w:lang w:val="fr-FR"/>
        </w:rPr>
        <w:t>émission par évaporation et l</w:t>
      </w:r>
      <w:r w:rsidR="00DB4C2D">
        <w:rPr>
          <w:lang w:val="fr-FR"/>
        </w:rPr>
        <w:t>’</w:t>
      </w:r>
      <w:r w:rsidRPr="00A779B8">
        <w:rPr>
          <w:lang w:val="fr-FR"/>
        </w:rPr>
        <w:t>enregistrement des températures doit commencer. Les fenêtres et le coffre à bagages du véhicule doivent être ouverts à ce moment, si ce n</w:t>
      </w:r>
      <w:r w:rsidR="00DB4C2D">
        <w:rPr>
          <w:lang w:val="fr-FR"/>
        </w:rPr>
        <w:t>’</w:t>
      </w:r>
      <w:r w:rsidRPr="00A779B8">
        <w:rPr>
          <w:lang w:val="fr-FR"/>
        </w:rPr>
        <w:t>est déjà fait.</w:t>
      </w:r>
    </w:p>
    <w:p w:rsidR="00A320B5" w:rsidRPr="00A779B8" w:rsidRDefault="00A320B5" w:rsidP="00A320B5">
      <w:pPr>
        <w:pStyle w:val="SingleTxtG"/>
        <w:ind w:left="2268" w:hanging="1134"/>
        <w:rPr>
          <w:lang w:val="fr-FR"/>
        </w:rPr>
      </w:pPr>
      <w:r w:rsidRPr="00A779B8">
        <w:rPr>
          <w:lang w:val="fr-FR"/>
        </w:rPr>
        <w:t>5.5.4</w:t>
      </w:r>
      <w:r w:rsidRPr="00A779B8">
        <w:rPr>
          <w:lang w:val="fr-FR"/>
        </w:rPr>
        <w:tab/>
        <w:t>Le véhicule doit être poussé, ou déplacé d</w:t>
      </w:r>
      <w:r w:rsidR="00DB4C2D">
        <w:rPr>
          <w:lang w:val="fr-FR"/>
        </w:rPr>
        <w:t>’</w:t>
      </w:r>
      <w:r w:rsidRPr="00A779B8">
        <w:rPr>
          <w:lang w:val="fr-FR"/>
        </w:rPr>
        <w:t>une autre manière, dans l</w:t>
      </w:r>
      <w:r w:rsidR="00DB4C2D">
        <w:rPr>
          <w:lang w:val="fr-FR"/>
        </w:rPr>
        <w:t>’</w:t>
      </w:r>
      <w:r w:rsidRPr="00A779B8">
        <w:rPr>
          <w:lang w:val="fr-FR"/>
        </w:rPr>
        <w:t>enceinte de mesure, moteur à l</w:t>
      </w:r>
      <w:r w:rsidR="00DB4C2D">
        <w:rPr>
          <w:lang w:val="fr-FR"/>
        </w:rPr>
        <w:t>’</w:t>
      </w:r>
      <w:r w:rsidRPr="00A779B8">
        <w:rPr>
          <w:lang w:val="fr-FR"/>
        </w:rPr>
        <w:t>arrêt.</w:t>
      </w:r>
    </w:p>
    <w:p w:rsidR="00A320B5" w:rsidRPr="00A779B8" w:rsidRDefault="00A320B5" w:rsidP="00A320B5">
      <w:pPr>
        <w:pStyle w:val="SingleTxtG"/>
        <w:ind w:left="2268" w:hanging="1134"/>
        <w:rPr>
          <w:lang w:val="fr-FR"/>
        </w:rPr>
      </w:pPr>
      <w:r w:rsidRPr="00A779B8">
        <w:rPr>
          <w:lang w:val="fr-FR"/>
        </w:rPr>
        <w:t>5.5.5</w:t>
      </w:r>
      <w:r w:rsidRPr="00A779B8">
        <w:rPr>
          <w:lang w:val="fr-FR"/>
        </w:rPr>
        <w:tab/>
        <w:t>Les portes de l</w:t>
      </w:r>
      <w:r w:rsidR="00DB4C2D">
        <w:rPr>
          <w:lang w:val="fr-FR"/>
        </w:rPr>
        <w:t>’</w:t>
      </w:r>
      <w:r w:rsidRPr="00A779B8">
        <w:rPr>
          <w:lang w:val="fr-FR"/>
        </w:rPr>
        <w:t>enceinte sont fermées de manière étanche aux gaz dans un délai de 2 min après l</w:t>
      </w:r>
      <w:r w:rsidR="00DB4C2D">
        <w:rPr>
          <w:lang w:val="fr-FR"/>
        </w:rPr>
        <w:t>’</w:t>
      </w:r>
      <w:r w:rsidRPr="00A779B8">
        <w:rPr>
          <w:lang w:val="fr-FR"/>
        </w:rPr>
        <w:t>arrêt du moteur et, au plus, 7 min après la fin du cycle de conduite de conditionnement.</w:t>
      </w:r>
    </w:p>
    <w:p w:rsidR="00A320B5" w:rsidRPr="00A779B8" w:rsidRDefault="00A320B5" w:rsidP="00A320B5">
      <w:pPr>
        <w:pStyle w:val="SingleTxtG"/>
        <w:ind w:left="2268" w:hanging="1134"/>
        <w:rPr>
          <w:lang w:val="fr-FR"/>
        </w:rPr>
      </w:pPr>
      <w:r w:rsidRPr="00A779B8">
        <w:rPr>
          <w:lang w:val="fr-FR"/>
        </w:rPr>
        <w:t>5.5.6</w:t>
      </w:r>
      <w:r w:rsidRPr="00A779B8">
        <w:rPr>
          <w:lang w:val="fr-FR"/>
        </w:rPr>
        <w:tab/>
        <w:t xml:space="preserve">La période de 60 </w:t>
      </w:r>
      <w:r w:rsidRPr="00A779B8">
        <w:rPr>
          <w:lang w:val="fr-FR"/>
        </w:rPr>
        <w:sym w:font="Symbol" w:char="F0B1"/>
      </w:r>
      <w:r w:rsidRPr="00A779B8">
        <w:rPr>
          <w:lang w:val="fr-FR"/>
        </w:rPr>
        <w:t> 0,5 min pour l</w:t>
      </w:r>
      <w:r w:rsidR="00DB4C2D">
        <w:rPr>
          <w:lang w:val="fr-FR"/>
        </w:rPr>
        <w:t>’</w:t>
      </w:r>
      <w:r w:rsidRPr="00A779B8">
        <w:rPr>
          <w:lang w:val="fr-FR"/>
        </w:rPr>
        <w:t>essai d</w:t>
      </w:r>
      <w:r w:rsidR="00DB4C2D">
        <w:rPr>
          <w:lang w:val="fr-FR"/>
        </w:rPr>
        <w:t>’</w:t>
      </w:r>
      <w:r w:rsidRPr="00A779B8">
        <w:rPr>
          <w:lang w:val="fr-FR"/>
        </w:rPr>
        <w:t>imprégnation à chaud commence dès l</w:t>
      </w:r>
      <w:r w:rsidR="00DB4C2D">
        <w:rPr>
          <w:lang w:val="fr-FR"/>
        </w:rPr>
        <w:t>’</w:t>
      </w:r>
      <w:r w:rsidRPr="00A779B8">
        <w:rPr>
          <w:lang w:val="fr-FR"/>
        </w:rPr>
        <w:t xml:space="preserve">instant où la chambre est fermée de manière étanche. On mesure alors la concentration en hydrocarbures, la température et la pression barométrique, pour avoir les valeurs initiales correspondantes </w:t>
      </w:r>
      <w:proofErr w:type="spellStart"/>
      <w:r w:rsidRPr="00A779B8">
        <w:rPr>
          <w:lang w:val="fr-FR"/>
        </w:rPr>
        <w:t>C</w:t>
      </w:r>
      <w:r w:rsidRPr="00A779B8">
        <w:rPr>
          <w:vertAlign w:val="subscript"/>
          <w:lang w:val="fr-FR"/>
        </w:rPr>
        <w:t>HCi</w:t>
      </w:r>
      <w:proofErr w:type="spellEnd"/>
      <w:r w:rsidRPr="00A779B8">
        <w:rPr>
          <w:lang w:val="fr-FR"/>
        </w:rPr>
        <w:t>, P</w:t>
      </w:r>
      <w:r w:rsidRPr="00A779B8">
        <w:rPr>
          <w:vertAlign w:val="subscript"/>
          <w:lang w:val="fr-FR"/>
        </w:rPr>
        <w:t>i</w:t>
      </w:r>
      <w:r w:rsidRPr="00A779B8">
        <w:rPr>
          <w:lang w:val="fr-FR"/>
        </w:rPr>
        <w:t xml:space="preserve"> et T</w:t>
      </w:r>
      <w:r w:rsidRPr="00A779B8">
        <w:rPr>
          <w:vertAlign w:val="subscript"/>
          <w:lang w:val="fr-FR"/>
        </w:rPr>
        <w:t>i</w:t>
      </w:r>
      <w:r w:rsidRPr="00A779B8">
        <w:rPr>
          <w:lang w:val="fr-FR"/>
        </w:rPr>
        <w:t xml:space="preserve"> en vue de l</w:t>
      </w:r>
      <w:r w:rsidR="00DB4C2D">
        <w:rPr>
          <w:lang w:val="fr-FR"/>
        </w:rPr>
        <w:t>’</w:t>
      </w:r>
      <w:r w:rsidRPr="00A779B8">
        <w:rPr>
          <w:lang w:val="fr-FR"/>
        </w:rPr>
        <w:t>essai d</w:t>
      </w:r>
      <w:r w:rsidR="00DB4C2D">
        <w:rPr>
          <w:lang w:val="fr-FR"/>
        </w:rPr>
        <w:t>’</w:t>
      </w:r>
      <w:r w:rsidRPr="00A779B8">
        <w:rPr>
          <w:lang w:val="fr-FR"/>
        </w:rPr>
        <w:t>imprégnation à chaud. Ces valeurs sont utilisées dans les calculs d</w:t>
      </w:r>
      <w:r w:rsidR="00DB4C2D">
        <w:rPr>
          <w:lang w:val="fr-FR"/>
        </w:rPr>
        <w:t>’</w:t>
      </w:r>
      <w:r w:rsidRPr="00A779B8">
        <w:rPr>
          <w:lang w:val="fr-FR"/>
        </w:rPr>
        <w:t>émission par évaporation (par. 6). La température ambiante T de l</w:t>
      </w:r>
      <w:r w:rsidR="00DB4C2D">
        <w:rPr>
          <w:lang w:val="fr-FR"/>
        </w:rPr>
        <w:t>’</w:t>
      </w:r>
      <w:r w:rsidRPr="00A779B8">
        <w:rPr>
          <w:lang w:val="fr-FR"/>
        </w:rPr>
        <w:t>enceinte ne devra pas être inférieure à 296 K ni supérieure à 304 K pendant la période d</w:t>
      </w:r>
      <w:r w:rsidR="00DB4C2D">
        <w:rPr>
          <w:lang w:val="fr-FR"/>
        </w:rPr>
        <w:t>’</w:t>
      </w:r>
      <w:r w:rsidRPr="00A779B8">
        <w:rPr>
          <w:lang w:val="fr-FR"/>
        </w:rPr>
        <w:t>imprégnation à chaud de 60 min.</w:t>
      </w:r>
    </w:p>
    <w:p w:rsidR="00A320B5" w:rsidRPr="00A779B8" w:rsidRDefault="00A320B5" w:rsidP="00A320B5">
      <w:pPr>
        <w:pStyle w:val="SingleTxtG"/>
        <w:ind w:left="2268" w:hanging="1134"/>
        <w:rPr>
          <w:lang w:val="fr-FR"/>
        </w:rPr>
      </w:pPr>
      <w:r w:rsidRPr="00A779B8">
        <w:rPr>
          <w:lang w:val="fr-FR"/>
        </w:rPr>
        <w:t>5.5.7</w:t>
      </w:r>
      <w:r w:rsidRPr="00A779B8">
        <w:rPr>
          <w:lang w:val="fr-FR"/>
        </w:rPr>
        <w:tab/>
        <w:t>L</w:t>
      </w:r>
      <w:r w:rsidR="00DB4C2D">
        <w:rPr>
          <w:lang w:val="fr-FR"/>
        </w:rPr>
        <w:t>’</w:t>
      </w:r>
      <w:r w:rsidRPr="00A779B8">
        <w:rPr>
          <w:lang w:val="fr-FR"/>
        </w:rPr>
        <w:t>analyseur d</w:t>
      </w:r>
      <w:r w:rsidR="00DB4C2D">
        <w:rPr>
          <w:lang w:val="fr-FR"/>
        </w:rPr>
        <w:t>’</w:t>
      </w:r>
      <w:r w:rsidRPr="00A779B8">
        <w:rPr>
          <w:lang w:val="fr-FR"/>
        </w:rPr>
        <w:t>hydrocarbures doit être mis à zéro et étalonné immédiatement avant la fin de la période d</w:t>
      </w:r>
      <w:r w:rsidR="00DB4C2D">
        <w:rPr>
          <w:lang w:val="fr-FR"/>
        </w:rPr>
        <w:t>’</w:t>
      </w:r>
      <w:r w:rsidRPr="00A779B8">
        <w:rPr>
          <w:lang w:val="fr-FR"/>
        </w:rPr>
        <w:t>essai de 60 </w:t>
      </w:r>
      <w:r w:rsidRPr="00A779B8">
        <w:rPr>
          <w:lang w:val="fr-FR"/>
        </w:rPr>
        <w:sym w:font="Symbol" w:char="F0B1"/>
      </w:r>
      <w:r w:rsidRPr="00A779B8">
        <w:rPr>
          <w:lang w:val="fr-FR"/>
        </w:rPr>
        <w:t> 0,5 min.</w:t>
      </w:r>
    </w:p>
    <w:p w:rsidR="00A320B5" w:rsidRPr="00A779B8" w:rsidRDefault="00A320B5" w:rsidP="00A320B5">
      <w:pPr>
        <w:pStyle w:val="SingleTxtG"/>
        <w:ind w:left="2268" w:hanging="1134"/>
        <w:rPr>
          <w:lang w:val="fr-FR"/>
        </w:rPr>
      </w:pPr>
      <w:r w:rsidRPr="00A779B8">
        <w:rPr>
          <w:lang w:val="fr-FR"/>
        </w:rPr>
        <w:lastRenderedPageBreak/>
        <w:t>5.5.8</w:t>
      </w:r>
      <w:r w:rsidRPr="00A779B8">
        <w:rPr>
          <w:lang w:val="fr-FR"/>
        </w:rPr>
        <w:tab/>
        <w:t>À la fin de la période d</w:t>
      </w:r>
      <w:r w:rsidR="00DB4C2D">
        <w:rPr>
          <w:lang w:val="fr-FR"/>
        </w:rPr>
        <w:t>’</w:t>
      </w:r>
      <w:r w:rsidRPr="00A779B8">
        <w:rPr>
          <w:lang w:val="fr-FR"/>
        </w:rPr>
        <w:t>essai de 60 </w:t>
      </w:r>
      <w:r w:rsidRPr="00A779B8">
        <w:rPr>
          <w:lang w:val="fr-FR"/>
        </w:rPr>
        <w:sym w:font="Symbol" w:char="F0B1"/>
      </w:r>
      <w:r w:rsidRPr="00A779B8">
        <w:rPr>
          <w:lang w:val="fr-FR"/>
        </w:rPr>
        <w:t> 0,5 min, il faut mesurer la concentration en hydrocarbures dans l</w:t>
      </w:r>
      <w:r w:rsidR="00DB4C2D">
        <w:rPr>
          <w:lang w:val="fr-FR"/>
        </w:rPr>
        <w:t>’</w:t>
      </w:r>
      <w:r w:rsidRPr="00A779B8">
        <w:rPr>
          <w:lang w:val="fr-FR"/>
        </w:rPr>
        <w:t xml:space="preserve">enceinte, de même que la température et la pression barométrique. On obtient ainsi les valeurs finales correspondantes </w:t>
      </w:r>
      <w:proofErr w:type="spellStart"/>
      <w:r w:rsidRPr="00A779B8">
        <w:rPr>
          <w:lang w:val="fr-FR"/>
        </w:rPr>
        <w:t>C</w:t>
      </w:r>
      <w:r w:rsidRPr="00A779B8">
        <w:rPr>
          <w:vertAlign w:val="subscript"/>
          <w:lang w:val="fr-FR"/>
        </w:rPr>
        <w:t>HCf</w:t>
      </w:r>
      <w:proofErr w:type="spellEnd"/>
      <w:r w:rsidRPr="00A779B8">
        <w:rPr>
          <w:lang w:val="fr-FR"/>
        </w:rPr>
        <w:t>, P</w:t>
      </w:r>
      <w:r w:rsidRPr="00A779B8">
        <w:rPr>
          <w:vertAlign w:val="subscript"/>
          <w:lang w:val="fr-FR"/>
        </w:rPr>
        <w:t>f</w:t>
      </w:r>
      <w:r w:rsidRPr="00A779B8">
        <w:rPr>
          <w:lang w:val="fr-FR"/>
        </w:rPr>
        <w:t xml:space="preserve"> et T</w:t>
      </w:r>
      <w:r w:rsidRPr="00A779B8">
        <w:rPr>
          <w:vertAlign w:val="subscript"/>
          <w:lang w:val="fr-FR"/>
        </w:rPr>
        <w:t>f</w:t>
      </w:r>
      <w:r w:rsidRPr="00A779B8">
        <w:rPr>
          <w:lang w:val="fr-FR"/>
        </w:rPr>
        <w:t xml:space="preserve"> pour l</w:t>
      </w:r>
      <w:r w:rsidR="00DB4C2D">
        <w:rPr>
          <w:lang w:val="fr-FR"/>
        </w:rPr>
        <w:t>’</w:t>
      </w:r>
      <w:r w:rsidRPr="00A779B8">
        <w:rPr>
          <w:lang w:val="fr-FR"/>
        </w:rPr>
        <w:t>essai d</w:t>
      </w:r>
      <w:r w:rsidR="00DB4C2D">
        <w:rPr>
          <w:lang w:val="fr-FR"/>
        </w:rPr>
        <w:t>’</w:t>
      </w:r>
      <w:r w:rsidRPr="00A779B8">
        <w:rPr>
          <w:lang w:val="fr-FR"/>
        </w:rPr>
        <w:t>imprégnation à chaud, en vue des calculs indiqués au paragraphe 6.</w:t>
      </w:r>
    </w:p>
    <w:p w:rsidR="00A320B5" w:rsidRPr="00A779B8" w:rsidRDefault="00A320B5" w:rsidP="00A320B5">
      <w:pPr>
        <w:pStyle w:val="SingleTxtG"/>
        <w:keepNext/>
        <w:ind w:left="2268" w:hanging="1134"/>
        <w:jc w:val="left"/>
        <w:rPr>
          <w:lang w:val="fr-FR"/>
        </w:rPr>
      </w:pPr>
      <w:r w:rsidRPr="00A779B8">
        <w:rPr>
          <w:lang w:val="fr-FR"/>
        </w:rPr>
        <w:t>5.6</w:t>
      </w:r>
      <w:r w:rsidRPr="00A779B8">
        <w:rPr>
          <w:lang w:val="fr-FR"/>
        </w:rPr>
        <w:tab/>
        <w:t>Imprégnation</w:t>
      </w:r>
    </w:p>
    <w:p w:rsidR="00A320B5" w:rsidRPr="00A779B8" w:rsidRDefault="00A320B5" w:rsidP="00A320B5">
      <w:pPr>
        <w:pStyle w:val="SingleTxtG"/>
        <w:ind w:left="2268" w:hanging="1134"/>
        <w:rPr>
          <w:lang w:val="fr-FR"/>
        </w:rPr>
      </w:pPr>
      <w:r w:rsidRPr="00A779B8">
        <w:rPr>
          <w:lang w:val="fr-FR"/>
        </w:rPr>
        <w:t>5.6.1</w:t>
      </w:r>
      <w:r w:rsidRPr="00A779B8">
        <w:rPr>
          <w:lang w:val="fr-FR"/>
        </w:rPr>
        <w:tab/>
        <w:t>Le véhicule d</w:t>
      </w:r>
      <w:r w:rsidR="00DB4C2D">
        <w:rPr>
          <w:lang w:val="fr-FR"/>
        </w:rPr>
        <w:t>’</w:t>
      </w:r>
      <w:r w:rsidRPr="00A779B8">
        <w:rPr>
          <w:lang w:val="fr-FR"/>
        </w:rPr>
        <w:t>essai doit être poussé, ou déplacé d</w:t>
      </w:r>
      <w:r w:rsidR="00DB4C2D">
        <w:rPr>
          <w:lang w:val="fr-FR"/>
        </w:rPr>
        <w:t>’</w:t>
      </w:r>
      <w:r w:rsidRPr="00A779B8">
        <w:rPr>
          <w:lang w:val="fr-FR"/>
        </w:rPr>
        <w:t>une autre manière, dans la zone d</w:t>
      </w:r>
      <w:r w:rsidR="00DB4C2D">
        <w:rPr>
          <w:lang w:val="fr-FR"/>
        </w:rPr>
        <w:t>’</w:t>
      </w:r>
      <w:r w:rsidRPr="00A779B8">
        <w:rPr>
          <w:lang w:val="fr-FR"/>
        </w:rPr>
        <w:t>imprégnation, moteur à l</w:t>
      </w:r>
      <w:r w:rsidR="00DB4C2D">
        <w:rPr>
          <w:lang w:val="fr-FR"/>
        </w:rPr>
        <w:t>’</w:t>
      </w:r>
      <w:r w:rsidRPr="00A779B8">
        <w:rPr>
          <w:lang w:val="fr-FR"/>
        </w:rPr>
        <w:t>arrêt et soumis à imprégnation pendant au minimum 6 h et au maximum 36 h entre la fin de l</w:t>
      </w:r>
      <w:r w:rsidR="00DB4C2D">
        <w:rPr>
          <w:lang w:val="fr-FR"/>
        </w:rPr>
        <w:t>’</w:t>
      </w:r>
      <w:r w:rsidRPr="00A779B8">
        <w:rPr>
          <w:lang w:val="fr-FR"/>
        </w:rPr>
        <w:t>essai d</w:t>
      </w:r>
      <w:r w:rsidR="00DB4C2D">
        <w:rPr>
          <w:lang w:val="fr-FR"/>
        </w:rPr>
        <w:t>’</w:t>
      </w:r>
      <w:r w:rsidRPr="00A779B8">
        <w:rPr>
          <w:lang w:val="fr-FR"/>
        </w:rPr>
        <w:t>imprégnation à chaud et le début de l</w:t>
      </w:r>
      <w:r w:rsidR="00DB4C2D">
        <w:rPr>
          <w:lang w:val="fr-FR"/>
        </w:rPr>
        <w:t>’</w:t>
      </w:r>
      <w:r w:rsidRPr="00A779B8">
        <w:rPr>
          <w:lang w:val="fr-FR"/>
        </w:rPr>
        <w:t>essai d</w:t>
      </w:r>
      <w:r w:rsidR="00DB4C2D">
        <w:rPr>
          <w:lang w:val="fr-FR"/>
        </w:rPr>
        <w:t>’</w:t>
      </w:r>
      <w:r w:rsidRPr="00A779B8">
        <w:rPr>
          <w:lang w:val="fr-FR"/>
        </w:rPr>
        <w:t>émissions diurne. Au cours de cette période le véhicule doit être imprégné pendant au moins 6 h à une température de 293 K </w:t>
      </w:r>
      <w:r w:rsidRPr="00A779B8">
        <w:rPr>
          <w:lang w:val="fr-FR"/>
        </w:rPr>
        <w:sym w:font="Symbol" w:char="F0B1"/>
      </w:r>
      <w:r w:rsidRPr="00A779B8">
        <w:rPr>
          <w:lang w:val="fr-FR"/>
        </w:rPr>
        <w:t> 2 K (20 °C </w:t>
      </w:r>
      <w:r w:rsidRPr="00A779B8">
        <w:rPr>
          <w:lang w:val="fr-FR"/>
        </w:rPr>
        <w:sym w:font="Symbol" w:char="F0B1"/>
      </w:r>
      <w:r w:rsidRPr="00A779B8">
        <w:rPr>
          <w:lang w:val="fr-FR"/>
        </w:rPr>
        <w:t> 2 °C).</w:t>
      </w:r>
    </w:p>
    <w:p w:rsidR="00A320B5" w:rsidRPr="00A779B8" w:rsidRDefault="00A320B5" w:rsidP="00A320B5">
      <w:pPr>
        <w:pStyle w:val="SingleTxtG"/>
        <w:keepNext/>
        <w:ind w:left="2268" w:hanging="1134"/>
        <w:jc w:val="left"/>
        <w:rPr>
          <w:lang w:val="fr-FR"/>
        </w:rPr>
      </w:pPr>
      <w:r w:rsidRPr="00A779B8">
        <w:rPr>
          <w:lang w:val="fr-FR"/>
        </w:rPr>
        <w:t>5.7</w:t>
      </w:r>
      <w:r w:rsidRPr="00A779B8">
        <w:rPr>
          <w:lang w:val="fr-FR"/>
        </w:rPr>
        <w:tab/>
        <w:t>Essai diurne</w:t>
      </w:r>
    </w:p>
    <w:p w:rsidR="00A320B5" w:rsidRPr="00A779B8" w:rsidRDefault="00A320B5" w:rsidP="00A320B5">
      <w:pPr>
        <w:pStyle w:val="SingleTxtG"/>
        <w:ind w:left="2268" w:hanging="1134"/>
        <w:rPr>
          <w:lang w:val="fr-FR"/>
        </w:rPr>
      </w:pPr>
      <w:r w:rsidRPr="00A779B8">
        <w:rPr>
          <w:lang w:val="fr-FR"/>
        </w:rPr>
        <w:t>5.7.1</w:t>
      </w:r>
      <w:r w:rsidRPr="00A779B8">
        <w:rPr>
          <w:lang w:val="fr-FR"/>
        </w:rPr>
        <w:tab/>
        <w:t>Le véhicule d</w:t>
      </w:r>
      <w:r w:rsidR="00DB4C2D">
        <w:rPr>
          <w:lang w:val="fr-FR"/>
        </w:rPr>
        <w:t>’</w:t>
      </w:r>
      <w:r w:rsidRPr="00A779B8">
        <w:rPr>
          <w:lang w:val="fr-FR"/>
        </w:rPr>
        <w:t>essai doit être exposé à un cycle de température ambiante conformément au profil indiqué à l</w:t>
      </w:r>
      <w:r w:rsidR="00DB4C2D">
        <w:rPr>
          <w:lang w:val="fr-FR"/>
        </w:rPr>
        <w:t>’</w:t>
      </w:r>
      <w:r w:rsidRPr="00A779B8">
        <w:rPr>
          <w:lang w:val="fr-FR"/>
        </w:rPr>
        <w:t xml:space="preserve">appendice 2 de la présente annexe avec, à tout instant, un écart maximal de </w:t>
      </w:r>
      <w:r w:rsidRPr="00A779B8">
        <w:rPr>
          <w:lang w:val="fr-FR"/>
        </w:rPr>
        <w:sym w:font="Symbol" w:char="F0B1"/>
      </w:r>
      <w:r w:rsidRPr="00A779B8">
        <w:rPr>
          <w:lang w:val="fr-FR"/>
        </w:rPr>
        <w:t>2 K. L</w:t>
      </w:r>
      <w:r w:rsidR="00DB4C2D">
        <w:rPr>
          <w:lang w:val="fr-FR"/>
        </w:rPr>
        <w:t>’</w:t>
      </w:r>
      <w:r w:rsidRPr="00A779B8">
        <w:rPr>
          <w:lang w:val="fr-FR"/>
        </w:rPr>
        <w:t xml:space="preserve">écart de température moyen par rapport au profil, calculé en utilisant la valeur absolue de chaque écart mesuré, ne doit pas être supérieur à </w:t>
      </w:r>
      <w:r w:rsidRPr="00A779B8">
        <w:rPr>
          <w:lang w:val="fr-FR"/>
        </w:rPr>
        <w:sym w:font="Symbol" w:char="F0B1"/>
      </w:r>
      <w:r w:rsidRPr="00A779B8">
        <w:rPr>
          <w:lang w:val="fr-FR"/>
        </w:rPr>
        <w:t xml:space="preserve">1 K. La température ambiante doit être mesurée au moins une fois par minute. Le cycle de température commence lorsque le temps </w:t>
      </w:r>
      <w:proofErr w:type="spellStart"/>
      <w:r w:rsidRPr="00A779B8">
        <w:rPr>
          <w:lang w:val="fr-FR"/>
        </w:rPr>
        <w:t>T</w:t>
      </w:r>
      <w:r w:rsidRPr="00A779B8">
        <w:rPr>
          <w:vertAlign w:val="subscript"/>
          <w:lang w:val="fr-FR"/>
        </w:rPr>
        <w:t>départ</w:t>
      </w:r>
      <w:proofErr w:type="spellEnd"/>
      <w:r w:rsidRPr="00A779B8">
        <w:rPr>
          <w:lang w:val="fr-FR"/>
        </w:rPr>
        <w:t> = 0, comme indiqué au paragraphe 5.7.6 ci-dessous.</w:t>
      </w:r>
    </w:p>
    <w:p w:rsidR="00A320B5" w:rsidRPr="00A779B8" w:rsidRDefault="00A320B5" w:rsidP="00A320B5">
      <w:pPr>
        <w:pStyle w:val="SingleTxtG"/>
        <w:ind w:left="2268" w:hanging="1134"/>
        <w:rPr>
          <w:lang w:val="fr-FR"/>
        </w:rPr>
      </w:pPr>
      <w:r w:rsidRPr="00A779B8">
        <w:rPr>
          <w:lang w:val="fr-FR"/>
        </w:rPr>
        <w:t>5.7.2</w:t>
      </w:r>
      <w:r w:rsidRPr="00A779B8">
        <w:rPr>
          <w:lang w:val="fr-FR"/>
        </w:rPr>
        <w:tab/>
        <w:t>La chambre de mesure doit être purgée pendant plusieurs minutes immédiatement avant l</w:t>
      </w:r>
      <w:r w:rsidR="00DB4C2D">
        <w:rPr>
          <w:lang w:val="fr-FR"/>
        </w:rPr>
        <w:t>’</w:t>
      </w:r>
      <w:r w:rsidRPr="00A779B8">
        <w:rPr>
          <w:lang w:val="fr-FR"/>
        </w:rPr>
        <w:t>essai, jusqu</w:t>
      </w:r>
      <w:r w:rsidR="00DB4C2D">
        <w:rPr>
          <w:lang w:val="fr-FR"/>
        </w:rPr>
        <w:t>’</w:t>
      </w:r>
      <w:r w:rsidRPr="00A779B8">
        <w:rPr>
          <w:lang w:val="fr-FR"/>
        </w:rPr>
        <w:t>à obtenir un milieu stable. Le ou les ventilateurs de mélange de l</w:t>
      </w:r>
      <w:r w:rsidR="00DB4C2D">
        <w:rPr>
          <w:lang w:val="fr-FR"/>
        </w:rPr>
        <w:t>’</w:t>
      </w:r>
      <w:r w:rsidRPr="00A779B8">
        <w:rPr>
          <w:lang w:val="fr-FR"/>
        </w:rPr>
        <w:t>enceinte doivent également être mis en marche à ce moment.</w:t>
      </w:r>
    </w:p>
    <w:p w:rsidR="00A320B5" w:rsidRPr="00A779B8" w:rsidRDefault="00A320B5" w:rsidP="00A320B5">
      <w:pPr>
        <w:pStyle w:val="SingleTxtG"/>
        <w:ind w:left="2268" w:hanging="1134"/>
        <w:rPr>
          <w:lang w:val="fr-FR"/>
        </w:rPr>
      </w:pPr>
      <w:r w:rsidRPr="00A779B8">
        <w:rPr>
          <w:lang w:val="fr-FR"/>
        </w:rPr>
        <w:t>5.7.3</w:t>
      </w:r>
      <w:r w:rsidRPr="00A779B8">
        <w:rPr>
          <w:lang w:val="fr-FR"/>
        </w:rPr>
        <w:tab/>
        <w:t>Le véhicule d</w:t>
      </w:r>
      <w:r w:rsidR="00DB4C2D">
        <w:rPr>
          <w:lang w:val="fr-FR"/>
        </w:rPr>
        <w:t>’</w:t>
      </w:r>
      <w:r w:rsidRPr="00A779B8">
        <w:rPr>
          <w:lang w:val="fr-FR"/>
        </w:rPr>
        <w:t>essai, moteur arrêté, fenêtres et coffre à bagages ouverts, doit être amené dans l</w:t>
      </w:r>
      <w:r w:rsidR="00DB4C2D">
        <w:rPr>
          <w:lang w:val="fr-FR"/>
        </w:rPr>
        <w:t>’</w:t>
      </w:r>
      <w:r w:rsidRPr="00A779B8">
        <w:rPr>
          <w:lang w:val="fr-FR"/>
        </w:rPr>
        <w:t>enceinte de mesure. Le ou les ventilateurs de mélange doivent être réglés de manière à maintenir un courant d</w:t>
      </w:r>
      <w:r w:rsidR="00DB4C2D">
        <w:rPr>
          <w:lang w:val="fr-FR"/>
        </w:rPr>
        <w:t>’</w:t>
      </w:r>
      <w:r w:rsidRPr="00A779B8">
        <w:rPr>
          <w:lang w:val="fr-FR"/>
        </w:rPr>
        <w:t>air d</w:t>
      </w:r>
      <w:r w:rsidR="00DB4C2D">
        <w:rPr>
          <w:lang w:val="fr-FR"/>
        </w:rPr>
        <w:t>’</w:t>
      </w:r>
      <w:r w:rsidRPr="00A779B8">
        <w:rPr>
          <w:lang w:val="fr-FR"/>
        </w:rPr>
        <w:t>une vitesse minimale de 8 km/h sous le réservoir de carburant du véhicule d</w:t>
      </w:r>
      <w:r w:rsidR="00DB4C2D">
        <w:rPr>
          <w:lang w:val="fr-FR"/>
        </w:rPr>
        <w:t>’</w:t>
      </w:r>
      <w:r w:rsidRPr="00A779B8">
        <w:rPr>
          <w:lang w:val="fr-FR"/>
        </w:rPr>
        <w:t>essai.</w:t>
      </w:r>
    </w:p>
    <w:p w:rsidR="00A320B5" w:rsidRPr="00A779B8" w:rsidRDefault="00A320B5" w:rsidP="00A320B5">
      <w:pPr>
        <w:pStyle w:val="SingleTxtG"/>
        <w:ind w:left="2268" w:hanging="1134"/>
        <w:rPr>
          <w:lang w:val="fr-FR"/>
        </w:rPr>
      </w:pPr>
      <w:r w:rsidRPr="00A779B8">
        <w:rPr>
          <w:lang w:val="fr-FR"/>
        </w:rPr>
        <w:t>5.7.4</w:t>
      </w:r>
      <w:r w:rsidRPr="00A779B8">
        <w:rPr>
          <w:lang w:val="fr-FR"/>
        </w:rPr>
        <w:tab/>
        <w:t>L</w:t>
      </w:r>
      <w:r w:rsidR="00DB4C2D">
        <w:rPr>
          <w:lang w:val="fr-FR"/>
        </w:rPr>
        <w:t>’</w:t>
      </w:r>
      <w:r w:rsidRPr="00A779B8">
        <w:rPr>
          <w:lang w:val="fr-FR"/>
        </w:rPr>
        <w:t>analyseur d</w:t>
      </w:r>
      <w:r w:rsidR="00DB4C2D">
        <w:rPr>
          <w:lang w:val="fr-FR"/>
        </w:rPr>
        <w:t>’</w:t>
      </w:r>
      <w:r w:rsidRPr="00A779B8">
        <w:rPr>
          <w:lang w:val="fr-FR"/>
        </w:rPr>
        <w:t>hydrocarbures doit être mis à zéro et faire l</w:t>
      </w:r>
      <w:r w:rsidR="00DB4C2D">
        <w:rPr>
          <w:lang w:val="fr-FR"/>
        </w:rPr>
        <w:t>’</w:t>
      </w:r>
      <w:r w:rsidRPr="00A779B8">
        <w:rPr>
          <w:lang w:val="fr-FR"/>
        </w:rPr>
        <w:t>objet d</w:t>
      </w:r>
      <w:r w:rsidR="00DB4C2D">
        <w:rPr>
          <w:lang w:val="fr-FR"/>
        </w:rPr>
        <w:t>’</w:t>
      </w:r>
      <w:r w:rsidRPr="00A779B8">
        <w:rPr>
          <w:lang w:val="fr-FR"/>
        </w:rPr>
        <w:t>un réglage d</w:t>
      </w:r>
      <w:r w:rsidR="00DB4C2D">
        <w:rPr>
          <w:lang w:val="fr-FR"/>
        </w:rPr>
        <w:t>’</w:t>
      </w:r>
      <w:r w:rsidRPr="00A779B8">
        <w:rPr>
          <w:lang w:val="fr-FR"/>
        </w:rPr>
        <w:t>échelle immédiatement avant l</w:t>
      </w:r>
      <w:r w:rsidR="00DB4C2D">
        <w:rPr>
          <w:lang w:val="fr-FR"/>
        </w:rPr>
        <w:t>’</w:t>
      </w:r>
      <w:r w:rsidRPr="00A779B8">
        <w:rPr>
          <w:lang w:val="fr-FR"/>
        </w:rPr>
        <w:t>essai.</w:t>
      </w:r>
    </w:p>
    <w:p w:rsidR="00A320B5" w:rsidRPr="00A779B8" w:rsidRDefault="00A320B5" w:rsidP="00A320B5">
      <w:pPr>
        <w:pStyle w:val="SingleTxtG"/>
        <w:ind w:left="2268" w:hanging="1134"/>
        <w:rPr>
          <w:lang w:val="fr-FR"/>
        </w:rPr>
      </w:pPr>
      <w:r w:rsidRPr="00A779B8">
        <w:rPr>
          <w:lang w:val="fr-FR"/>
        </w:rPr>
        <w:t>5.7.5</w:t>
      </w:r>
      <w:r w:rsidRPr="00A779B8">
        <w:rPr>
          <w:lang w:val="fr-FR"/>
        </w:rPr>
        <w:tab/>
        <w:t>Les portes de l</w:t>
      </w:r>
      <w:r w:rsidR="00DB4C2D">
        <w:rPr>
          <w:lang w:val="fr-FR"/>
        </w:rPr>
        <w:t>’</w:t>
      </w:r>
      <w:r w:rsidRPr="00A779B8">
        <w:rPr>
          <w:lang w:val="fr-FR"/>
        </w:rPr>
        <w:t>enceinte sont fermées de manière étanche au gaz.</w:t>
      </w:r>
    </w:p>
    <w:p w:rsidR="00A320B5" w:rsidRPr="00A779B8" w:rsidRDefault="00A320B5" w:rsidP="00A320B5">
      <w:pPr>
        <w:pStyle w:val="SingleTxtG"/>
        <w:ind w:left="2268" w:hanging="1134"/>
        <w:rPr>
          <w:lang w:val="fr-FR"/>
        </w:rPr>
      </w:pPr>
      <w:r w:rsidRPr="00A779B8">
        <w:rPr>
          <w:lang w:val="fr-FR"/>
        </w:rPr>
        <w:t>5.7.6</w:t>
      </w:r>
      <w:r w:rsidRPr="00A779B8">
        <w:rPr>
          <w:lang w:val="fr-FR"/>
        </w:rPr>
        <w:tab/>
        <w:t xml:space="preserve">Dans les 10 min qui suivent la fermeture des portes, on mesure la concentration en hydrocarbures, la température et la pression barométrique pour obtenir les valeurs initiales correspondantes </w:t>
      </w:r>
      <w:proofErr w:type="spellStart"/>
      <w:r w:rsidRPr="00A779B8">
        <w:rPr>
          <w:lang w:val="fr-FR"/>
        </w:rPr>
        <w:t>C</w:t>
      </w:r>
      <w:r w:rsidRPr="00A779B8">
        <w:rPr>
          <w:vertAlign w:val="subscript"/>
          <w:lang w:val="fr-FR"/>
        </w:rPr>
        <w:t>HCi</w:t>
      </w:r>
      <w:proofErr w:type="spellEnd"/>
      <w:r w:rsidRPr="00A779B8">
        <w:rPr>
          <w:lang w:val="fr-FR"/>
        </w:rPr>
        <w:t>, P</w:t>
      </w:r>
      <w:r w:rsidRPr="00A779B8">
        <w:rPr>
          <w:vertAlign w:val="subscript"/>
          <w:lang w:val="fr-FR"/>
        </w:rPr>
        <w:t>i</w:t>
      </w:r>
      <w:r w:rsidRPr="00A779B8">
        <w:rPr>
          <w:lang w:val="fr-FR"/>
        </w:rPr>
        <w:t xml:space="preserve"> et T</w:t>
      </w:r>
      <w:r w:rsidRPr="00A779B8">
        <w:rPr>
          <w:vertAlign w:val="subscript"/>
          <w:lang w:val="fr-FR"/>
        </w:rPr>
        <w:t>i</w:t>
      </w:r>
      <w:r w:rsidRPr="00A779B8">
        <w:rPr>
          <w:lang w:val="fr-FR"/>
        </w:rPr>
        <w:t xml:space="preserve"> pour l</w:t>
      </w:r>
      <w:r w:rsidR="00DB4C2D">
        <w:rPr>
          <w:lang w:val="fr-FR"/>
        </w:rPr>
        <w:t>’</w:t>
      </w:r>
      <w:r w:rsidRPr="00A779B8">
        <w:rPr>
          <w:lang w:val="fr-FR"/>
        </w:rPr>
        <w:t>essai diurne. C</w:t>
      </w:r>
      <w:r w:rsidR="00DB4C2D">
        <w:rPr>
          <w:lang w:val="fr-FR"/>
        </w:rPr>
        <w:t>’</w:t>
      </w:r>
      <w:r w:rsidRPr="00A779B8">
        <w:rPr>
          <w:lang w:val="fr-FR"/>
        </w:rPr>
        <w:t xml:space="preserve">est alors que le temps </w:t>
      </w:r>
      <w:proofErr w:type="spellStart"/>
      <w:r w:rsidRPr="00A779B8">
        <w:rPr>
          <w:lang w:val="fr-FR"/>
        </w:rPr>
        <w:t>T</w:t>
      </w:r>
      <w:r w:rsidRPr="00A779B8">
        <w:rPr>
          <w:vertAlign w:val="subscript"/>
          <w:lang w:val="fr-FR"/>
        </w:rPr>
        <w:t>départ</w:t>
      </w:r>
      <w:proofErr w:type="spellEnd"/>
      <w:r w:rsidRPr="00A779B8">
        <w:rPr>
          <w:lang w:val="fr-FR"/>
        </w:rPr>
        <w:t> = 0.</w:t>
      </w:r>
    </w:p>
    <w:p w:rsidR="00A320B5" w:rsidRPr="00A779B8" w:rsidRDefault="00A320B5" w:rsidP="00A320B5">
      <w:pPr>
        <w:pStyle w:val="SingleTxtG"/>
        <w:ind w:left="2268" w:hanging="1134"/>
        <w:rPr>
          <w:lang w:val="fr-FR"/>
        </w:rPr>
      </w:pPr>
      <w:r w:rsidRPr="00A779B8">
        <w:rPr>
          <w:lang w:val="fr-FR"/>
        </w:rPr>
        <w:t>5.7.7</w:t>
      </w:r>
      <w:r w:rsidRPr="00A779B8">
        <w:rPr>
          <w:lang w:val="fr-FR"/>
        </w:rPr>
        <w:tab/>
        <w:t>L</w:t>
      </w:r>
      <w:r w:rsidR="00DB4C2D">
        <w:rPr>
          <w:lang w:val="fr-FR"/>
        </w:rPr>
        <w:t>’</w:t>
      </w:r>
      <w:r w:rsidRPr="00A779B8">
        <w:rPr>
          <w:lang w:val="fr-FR"/>
        </w:rPr>
        <w:t>analyseur d</w:t>
      </w:r>
      <w:r w:rsidR="00DB4C2D">
        <w:rPr>
          <w:lang w:val="fr-FR"/>
        </w:rPr>
        <w:t>’</w:t>
      </w:r>
      <w:r w:rsidRPr="00A779B8">
        <w:rPr>
          <w:lang w:val="fr-FR"/>
        </w:rPr>
        <w:t>hydrocarbures doit être mis à zéro et faire l</w:t>
      </w:r>
      <w:r w:rsidR="00DB4C2D">
        <w:rPr>
          <w:lang w:val="fr-FR"/>
        </w:rPr>
        <w:t>’</w:t>
      </w:r>
      <w:r w:rsidRPr="00A779B8">
        <w:rPr>
          <w:lang w:val="fr-FR"/>
        </w:rPr>
        <w:t>objet d</w:t>
      </w:r>
      <w:r w:rsidR="00DB4C2D">
        <w:rPr>
          <w:lang w:val="fr-FR"/>
        </w:rPr>
        <w:t>’</w:t>
      </w:r>
      <w:r w:rsidRPr="00A779B8">
        <w:rPr>
          <w:lang w:val="fr-FR"/>
        </w:rPr>
        <w:t>un réglage d</w:t>
      </w:r>
      <w:r w:rsidR="00DB4C2D">
        <w:rPr>
          <w:lang w:val="fr-FR"/>
        </w:rPr>
        <w:t>’</w:t>
      </w:r>
      <w:r w:rsidRPr="00A779B8">
        <w:rPr>
          <w:lang w:val="fr-FR"/>
        </w:rPr>
        <w:t>échelle immédiatement avant la fin de l</w:t>
      </w:r>
      <w:r w:rsidR="00DB4C2D">
        <w:rPr>
          <w:lang w:val="fr-FR"/>
        </w:rPr>
        <w:t>’</w:t>
      </w:r>
      <w:r w:rsidRPr="00A779B8">
        <w:rPr>
          <w:lang w:val="fr-FR"/>
        </w:rPr>
        <w:t>essai.</w:t>
      </w:r>
    </w:p>
    <w:p w:rsidR="00A320B5" w:rsidRPr="00A779B8" w:rsidRDefault="00A320B5" w:rsidP="00A320B5">
      <w:pPr>
        <w:pStyle w:val="SingleTxtG"/>
        <w:ind w:left="2268" w:hanging="1134"/>
        <w:rPr>
          <w:lang w:val="fr-FR"/>
        </w:rPr>
      </w:pPr>
      <w:r w:rsidRPr="00A779B8">
        <w:rPr>
          <w:lang w:val="fr-FR"/>
        </w:rPr>
        <w:t>5.7.8</w:t>
      </w:r>
      <w:r w:rsidRPr="00A779B8">
        <w:rPr>
          <w:lang w:val="fr-FR"/>
        </w:rPr>
        <w:tab/>
        <w:t>La fin de la période de mesure des émissions est prévue 24 h </w:t>
      </w:r>
      <w:r w:rsidRPr="00A779B8">
        <w:rPr>
          <w:lang w:val="fr-FR"/>
        </w:rPr>
        <w:sym w:font="Symbol" w:char="F0B1"/>
      </w:r>
      <w:r w:rsidRPr="00A779B8">
        <w:rPr>
          <w:lang w:val="fr-FR"/>
        </w:rPr>
        <w:t xml:space="preserve"> 6 min après les mesures initiales décrites au paragraphe 5.7.6 ci-dessus. Le temps écoulé est enregistré. La concentration en hydrocarbures, la température et la pression barométrique sont mesurées pour obtenir les valeurs finales correspondantes </w:t>
      </w:r>
      <w:proofErr w:type="spellStart"/>
      <w:r w:rsidRPr="00A779B8">
        <w:rPr>
          <w:lang w:val="fr-FR"/>
        </w:rPr>
        <w:t>C</w:t>
      </w:r>
      <w:r w:rsidRPr="00A779B8">
        <w:rPr>
          <w:vertAlign w:val="subscript"/>
          <w:lang w:val="fr-FR"/>
        </w:rPr>
        <w:t>HCf</w:t>
      </w:r>
      <w:proofErr w:type="spellEnd"/>
      <w:r w:rsidRPr="00A779B8">
        <w:rPr>
          <w:lang w:val="fr-FR"/>
        </w:rPr>
        <w:t>, P</w:t>
      </w:r>
      <w:r w:rsidRPr="00A779B8">
        <w:rPr>
          <w:vertAlign w:val="subscript"/>
          <w:lang w:val="fr-FR"/>
        </w:rPr>
        <w:t>f</w:t>
      </w:r>
      <w:r w:rsidRPr="00A779B8">
        <w:rPr>
          <w:lang w:val="fr-FR"/>
        </w:rPr>
        <w:t xml:space="preserve"> et T</w:t>
      </w:r>
      <w:r w:rsidRPr="00A779B8">
        <w:rPr>
          <w:vertAlign w:val="subscript"/>
          <w:lang w:val="fr-FR"/>
        </w:rPr>
        <w:t>f</w:t>
      </w:r>
      <w:r w:rsidRPr="00A779B8">
        <w:rPr>
          <w:lang w:val="fr-FR"/>
        </w:rPr>
        <w:t xml:space="preserve"> pour l</w:t>
      </w:r>
      <w:r w:rsidR="00DB4C2D">
        <w:rPr>
          <w:lang w:val="fr-FR"/>
        </w:rPr>
        <w:t>’</w:t>
      </w:r>
      <w:r w:rsidRPr="00A779B8">
        <w:rPr>
          <w:lang w:val="fr-FR"/>
        </w:rPr>
        <w:t>essai diurne, utilisées pour les calculs spécifiés au paragraphe 6 ci-dessous. Ceci termine la procédure d</w:t>
      </w:r>
      <w:r w:rsidR="00DB4C2D">
        <w:rPr>
          <w:lang w:val="fr-FR"/>
        </w:rPr>
        <w:t>’</w:t>
      </w:r>
      <w:r w:rsidRPr="00A779B8">
        <w:rPr>
          <w:lang w:val="fr-FR"/>
        </w:rPr>
        <w:t>essai d</w:t>
      </w:r>
      <w:r w:rsidR="00DB4C2D">
        <w:rPr>
          <w:lang w:val="fr-FR"/>
        </w:rPr>
        <w:t>’</w:t>
      </w:r>
      <w:r w:rsidRPr="00A779B8">
        <w:rPr>
          <w:lang w:val="fr-FR"/>
        </w:rPr>
        <w:t>émissions par évaporation.</w:t>
      </w:r>
    </w:p>
    <w:p w:rsidR="00A320B5" w:rsidRPr="00A779B8" w:rsidRDefault="00A320B5" w:rsidP="00A320B5">
      <w:pPr>
        <w:pStyle w:val="SingleTxtG"/>
        <w:keepNext/>
        <w:ind w:left="2268" w:hanging="1134"/>
        <w:jc w:val="left"/>
        <w:rPr>
          <w:lang w:val="fr-FR"/>
        </w:rPr>
      </w:pPr>
      <w:r w:rsidRPr="00A779B8">
        <w:rPr>
          <w:lang w:val="fr-FR"/>
        </w:rPr>
        <w:t>6.</w:t>
      </w:r>
      <w:r w:rsidRPr="00A779B8">
        <w:rPr>
          <w:lang w:val="fr-FR"/>
        </w:rPr>
        <w:tab/>
        <w:t>Calculs</w:t>
      </w:r>
    </w:p>
    <w:p w:rsidR="00A320B5" w:rsidRPr="00A779B8" w:rsidRDefault="00A320B5" w:rsidP="00A320B5">
      <w:pPr>
        <w:pStyle w:val="SingleTxtG"/>
        <w:keepNext/>
        <w:ind w:left="2268" w:hanging="1134"/>
        <w:rPr>
          <w:lang w:val="fr-FR"/>
        </w:rPr>
      </w:pPr>
      <w:r w:rsidRPr="00A779B8">
        <w:rPr>
          <w:lang w:val="fr-FR"/>
        </w:rPr>
        <w:t>6.1</w:t>
      </w:r>
      <w:r w:rsidRPr="00A779B8">
        <w:rPr>
          <w:lang w:val="fr-FR"/>
        </w:rPr>
        <w:tab/>
        <w:t>Les essais d</w:t>
      </w:r>
      <w:r w:rsidR="00DB4C2D">
        <w:rPr>
          <w:lang w:val="fr-FR"/>
        </w:rPr>
        <w:t>’</w:t>
      </w:r>
      <w:r w:rsidRPr="00A779B8">
        <w:rPr>
          <w:lang w:val="fr-FR"/>
        </w:rPr>
        <w:t>émissions par évaporation décrits au paragraphe 5 de la présente annexe permettent le calcul des émissions d</w:t>
      </w:r>
      <w:r w:rsidR="00DB4C2D">
        <w:rPr>
          <w:lang w:val="fr-FR"/>
        </w:rPr>
        <w:t>’</w:t>
      </w:r>
      <w:r w:rsidRPr="00A779B8">
        <w:rPr>
          <w:lang w:val="fr-FR"/>
        </w:rPr>
        <w:t xml:space="preserve">hydrocarbures par évaporation </w:t>
      </w:r>
      <w:r w:rsidRPr="00A779B8">
        <w:rPr>
          <w:lang w:val="fr-FR"/>
        </w:rPr>
        <w:lastRenderedPageBreak/>
        <w:t>pendant les phases diurne et d</w:t>
      </w:r>
      <w:r w:rsidR="00DB4C2D">
        <w:rPr>
          <w:lang w:val="fr-FR"/>
        </w:rPr>
        <w:t>’</w:t>
      </w:r>
      <w:r w:rsidRPr="00A779B8">
        <w:rPr>
          <w:lang w:val="fr-FR"/>
        </w:rPr>
        <w:t>imprégnation à chaud. Pour chacune de ces phases, on calcule les pertes par évaporation à partir des valeurs initiales et finales de la concentration en hydrocarbures, de la température et de la pression dans l</w:t>
      </w:r>
      <w:r w:rsidR="00DB4C2D">
        <w:rPr>
          <w:lang w:val="fr-FR"/>
        </w:rPr>
        <w:t>’</w:t>
      </w:r>
      <w:r w:rsidRPr="00A779B8">
        <w:rPr>
          <w:lang w:val="fr-FR"/>
        </w:rPr>
        <w:t>enceinte et de la valeur nette du volume de l</w:t>
      </w:r>
      <w:r w:rsidR="00DB4C2D">
        <w:rPr>
          <w:lang w:val="fr-FR"/>
        </w:rPr>
        <w:t>’</w:t>
      </w:r>
      <w:r w:rsidRPr="00A779B8">
        <w:rPr>
          <w:lang w:val="fr-FR"/>
        </w:rPr>
        <w:t>enceinte. On utilise la formule suivante:</w:t>
      </w:r>
    </w:p>
    <w:p w:rsidR="00A320B5" w:rsidRPr="00A779B8" w:rsidRDefault="00A320B5" w:rsidP="00A320B5">
      <w:pPr>
        <w:pStyle w:val="SingleTxtG"/>
        <w:ind w:left="2268"/>
        <w:rPr>
          <w:lang w:val="fr-FR"/>
        </w:rPr>
      </w:pPr>
      <w:r w:rsidRPr="00A779B8">
        <w:rPr>
          <w:lang w:val="fr-FR"/>
        </w:rPr>
        <w:tab/>
      </w:r>
      <w:r w:rsidRPr="00A779B8">
        <w:rPr>
          <w:position w:val="-28"/>
          <w:lang w:val="fr-FR"/>
        </w:rPr>
        <w:object w:dxaOrig="4700" w:dyaOrig="660">
          <v:shape id="_x0000_i1118" type="#_x0000_t75" style="width:235pt;height:33.3pt" o:ole="" o:allowoverlap="f">
            <v:imagedata r:id="rId224" o:title=""/>
          </v:shape>
          <o:OLEObject Type="Embed" ProgID="Equation.3" ShapeID="_x0000_i1118" DrawAspect="Content" ObjectID="_1490178463" r:id="rId225"/>
        </w:object>
      </w:r>
    </w:p>
    <w:p w:rsidR="00A320B5" w:rsidRPr="00A779B8" w:rsidRDefault="00A320B5" w:rsidP="00A320B5">
      <w:pPr>
        <w:pStyle w:val="SingleTxtG"/>
        <w:keepNext/>
        <w:tabs>
          <w:tab w:val="left" w:pos="2862"/>
          <w:tab w:val="left" w:pos="3159"/>
        </w:tabs>
        <w:ind w:left="2268"/>
        <w:jc w:val="left"/>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M</w:t>
            </w:r>
            <w:r w:rsidRPr="007E29C4">
              <w:rPr>
                <w:vertAlign w:val="subscript"/>
                <w:lang w:val="fr-FR"/>
              </w:rPr>
              <w:t>HC</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9" w:type="dxa"/>
            <w:shd w:val="clear" w:color="auto" w:fill="auto"/>
          </w:tcPr>
          <w:p w:rsidR="00A320B5" w:rsidRPr="007E29C4" w:rsidRDefault="00A320B5" w:rsidP="00DB4C2D">
            <w:pPr>
              <w:spacing w:after="100"/>
              <w:rPr>
                <w:lang w:val="fr-FR"/>
              </w:rPr>
            </w:pPr>
            <w:r w:rsidRPr="007E29C4">
              <w:rPr>
                <w:lang w:val="fr-FR"/>
              </w:rPr>
              <w:t>masse d</w:t>
            </w:r>
            <w:r w:rsidR="00DB4C2D">
              <w:rPr>
                <w:lang w:val="fr-FR"/>
              </w:rPr>
              <w:t>’</w:t>
            </w:r>
            <w:r w:rsidRPr="007E29C4">
              <w:rPr>
                <w:lang w:val="fr-FR"/>
              </w:rPr>
              <w:t>hydrocarbures (g),</w:t>
            </w:r>
          </w:p>
        </w:tc>
      </w:tr>
      <w:tr w:rsidR="00A320B5" w:rsidRPr="007E29C4" w:rsidTr="00DB4C2D">
        <w:tc>
          <w:tcPr>
            <w:tcW w:w="567" w:type="dxa"/>
            <w:shd w:val="clear" w:color="auto" w:fill="auto"/>
          </w:tcPr>
          <w:p w:rsidR="00A320B5" w:rsidRPr="007E29C4" w:rsidRDefault="00A320B5" w:rsidP="00DB4C2D">
            <w:pPr>
              <w:spacing w:after="100"/>
              <w:rPr>
                <w:lang w:val="fr-FR"/>
              </w:rPr>
            </w:pPr>
            <w:proofErr w:type="spellStart"/>
            <w:r w:rsidRPr="007E29C4">
              <w:rPr>
                <w:lang w:val="fr-FR"/>
              </w:rPr>
              <w:t>M</w:t>
            </w:r>
            <w:r w:rsidRPr="007E29C4">
              <w:rPr>
                <w:vertAlign w:val="subscript"/>
                <w:lang w:val="fr-FR"/>
              </w:rPr>
              <w:t>HC,out</w:t>
            </w:r>
            <w:proofErr w:type="spellEnd"/>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9" w:type="dxa"/>
            <w:shd w:val="clear" w:color="auto" w:fill="auto"/>
          </w:tcPr>
          <w:p w:rsidR="00A320B5" w:rsidRPr="007E29C4" w:rsidRDefault="00A320B5" w:rsidP="00DB4C2D">
            <w:pPr>
              <w:spacing w:after="100"/>
              <w:rPr>
                <w:lang w:val="fr-FR"/>
              </w:rPr>
            </w:pPr>
            <w:r w:rsidRPr="007E29C4">
              <w:rPr>
                <w:lang w:val="fr-FR"/>
              </w:rPr>
              <w:t>masse des hydrocarbures quittant l</w:t>
            </w:r>
            <w:r w:rsidR="00DB4C2D">
              <w:rPr>
                <w:lang w:val="fr-FR"/>
              </w:rPr>
              <w:t>’</w:t>
            </w:r>
            <w:r w:rsidRPr="007E29C4">
              <w:rPr>
                <w:lang w:val="fr-FR"/>
              </w:rPr>
              <w:t>enceinte, lorsqu</w:t>
            </w:r>
            <w:r w:rsidR="00DB4C2D">
              <w:rPr>
                <w:lang w:val="fr-FR"/>
              </w:rPr>
              <w:t>’</w:t>
            </w:r>
            <w:r w:rsidRPr="007E29C4">
              <w:rPr>
                <w:lang w:val="fr-FR"/>
              </w:rPr>
              <w:t>une enceinte à volume fixe est utilisée pour les essais d</w:t>
            </w:r>
            <w:r w:rsidR="00DB4C2D">
              <w:rPr>
                <w:lang w:val="fr-FR"/>
              </w:rPr>
              <w:t>’</w:t>
            </w:r>
            <w:r w:rsidRPr="007E29C4">
              <w:rPr>
                <w:lang w:val="fr-FR"/>
              </w:rPr>
              <w:t>émissions diurnes (g),</w:t>
            </w:r>
          </w:p>
        </w:tc>
      </w:tr>
      <w:tr w:rsidR="00A320B5" w:rsidRPr="007E29C4" w:rsidTr="00DB4C2D">
        <w:tc>
          <w:tcPr>
            <w:tcW w:w="567" w:type="dxa"/>
            <w:shd w:val="clear" w:color="auto" w:fill="auto"/>
          </w:tcPr>
          <w:p w:rsidR="00A320B5" w:rsidRPr="007E29C4" w:rsidRDefault="00A320B5" w:rsidP="00DB4C2D">
            <w:pPr>
              <w:spacing w:after="100"/>
              <w:rPr>
                <w:lang w:val="fr-FR"/>
              </w:rPr>
            </w:pPr>
            <w:proofErr w:type="spellStart"/>
            <w:r w:rsidRPr="007E29C4">
              <w:rPr>
                <w:lang w:val="fr-FR"/>
              </w:rPr>
              <w:t>M</w:t>
            </w:r>
            <w:r w:rsidRPr="007E29C4">
              <w:rPr>
                <w:vertAlign w:val="subscript"/>
                <w:lang w:val="fr-FR"/>
              </w:rPr>
              <w:t>HC,i</w:t>
            </w:r>
            <w:proofErr w:type="spellEnd"/>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9" w:type="dxa"/>
            <w:shd w:val="clear" w:color="auto" w:fill="auto"/>
          </w:tcPr>
          <w:p w:rsidR="00A320B5" w:rsidRPr="007E29C4" w:rsidRDefault="00A320B5" w:rsidP="00DB4C2D">
            <w:pPr>
              <w:spacing w:after="100"/>
              <w:rPr>
                <w:lang w:val="fr-FR"/>
              </w:rPr>
            </w:pPr>
            <w:r w:rsidRPr="007E29C4">
              <w:rPr>
                <w:lang w:val="fr-FR"/>
              </w:rPr>
              <w:t>masse des hydrocarbures entrant dans l</w:t>
            </w:r>
            <w:r w:rsidR="00DB4C2D">
              <w:rPr>
                <w:lang w:val="fr-FR"/>
              </w:rPr>
              <w:t>’</w:t>
            </w:r>
            <w:r w:rsidRPr="007E29C4">
              <w:rPr>
                <w:lang w:val="fr-FR"/>
              </w:rPr>
              <w:t>enceinte, lorsqu</w:t>
            </w:r>
            <w:r w:rsidR="00DB4C2D">
              <w:rPr>
                <w:lang w:val="fr-FR"/>
              </w:rPr>
              <w:t>’</w:t>
            </w:r>
            <w:r w:rsidRPr="007E29C4">
              <w:rPr>
                <w:lang w:val="fr-FR"/>
              </w:rPr>
              <w:t>une enceinte à volume fixe est utilisée pour les essais d</w:t>
            </w:r>
            <w:r w:rsidR="00DB4C2D">
              <w:rPr>
                <w:lang w:val="fr-FR"/>
              </w:rPr>
              <w:t>’</w:t>
            </w:r>
            <w:r w:rsidRPr="007E29C4">
              <w:rPr>
                <w:lang w:val="fr-FR"/>
              </w:rPr>
              <w:t>émissions diurnes (g),</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C</w:t>
            </w:r>
            <w:r w:rsidRPr="007E29C4">
              <w:rPr>
                <w:vertAlign w:val="subscript"/>
                <w:lang w:val="fr-FR"/>
              </w:rPr>
              <w:t>HC</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9" w:type="dxa"/>
            <w:shd w:val="clear" w:color="auto" w:fill="auto"/>
          </w:tcPr>
          <w:p w:rsidR="00A320B5" w:rsidRPr="007E29C4" w:rsidRDefault="00A320B5" w:rsidP="00DB4C2D">
            <w:pPr>
              <w:spacing w:after="100"/>
              <w:rPr>
                <w:lang w:val="fr-FR"/>
              </w:rPr>
            </w:pPr>
            <w:r w:rsidRPr="007E29C4">
              <w:rPr>
                <w:lang w:val="fr-FR"/>
              </w:rPr>
              <w:t>valeur mesurée de la concentration en hydrocarbures dans l</w:t>
            </w:r>
            <w:r w:rsidR="00DB4C2D">
              <w:rPr>
                <w:lang w:val="fr-FR"/>
              </w:rPr>
              <w:t>’</w:t>
            </w:r>
            <w:r w:rsidRPr="007E29C4">
              <w:rPr>
                <w:lang w:val="fr-FR"/>
              </w:rPr>
              <w:t>enceinte [ppm (volume) en équivalent C1],</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V</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9" w:type="dxa"/>
            <w:shd w:val="clear" w:color="auto" w:fill="auto"/>
          </w:tcPr>
          <w:p w:rsidR="00A320B5" w:rsidRPr="007E29C4" w:rsidRDefault="00A320B5" w:rsidP="00DB4C2D">
            <w:pPr>
              <w:spacing w:after="100"/>
              <w:rPr>
                <w:lang w:val="fr-FR"/>
              </w:rPr>
            </w:pPr>
            <w:r w:rsidRPr="007E29C4">
              <w:rPr>
                <w:lang w:val="fr-FR"/>
              </w:rPr>
              <w:t>volume net de l</w:t>
            </w:r>
            <w:r w:rsidR="00DB4C2D">
              <w:rPr>
                <w:lang w:val="fr-FR"/>
              </w:rPr>
              <w:t>’</w:t>
            </w:r>
            <w:r w:rsidRPr="007E29C4">
              <w:rPr>
                <w:lang w:val="fr-FR"/>
              </w:rPr>
              <w:t>enceinte en m3, déduction faite du volume du véhicule avec les fenêtres et le coffre à bagages ouverts. Si le volume du véhicule n</w:t>
            </w:r>
            <w:r w:rsidR="00DB4C2D">
              <w:rPr>
                <w:lang w:val="fr-FR"/>
              </w:rPr>
              <w:t>’</w:t>
            </w:r>
            <w:r w:rsidRPr="007E29C4">
              <w:rPr>
                <w:lang w:val="fr-FR"/>
              </w:rPr>
              <w:t>est pas déterminé, on retranche un volume de 1,42 m</w:t>
            </w:r>
            <w:r w:rsidRPr="007E29C4">
              <w:rPr>
                <w:vertAlign w:val="superscript"/>
                <w:lang w:val="fr-FR"/>
              </w:rPr>
              <w:t>3</w:t>
            </w:r>
            <w:r w:rsidRPr="007E29C4">
              <w:rPr>
                <w:lang w:val="fr-FR"/>
              </w:rPr>
              <w:t>,</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T</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9" w:type="dxa"/>
            <w:shd w:val="clear" w:color="auto" w:fill="auto"/>
          </w:tcPr>
          <w:p w:rsidR="00A320B5" w:rsidRPr="007E29C4" w:rsidRDefault="00A320B5" w:rsidP="00DB4C2D">
            <w:pPr>
              <w:spacing w:after="100"/>
              <w:rPr>
                <w:lang w:val="fr-FR"/>
              </w:rPr>
            </w:pPr>
            <w:r w:rsidRPr="007E29C4">
              <w:rPr>
                <w:lang w:val="fr-FR"/>
              </w:rPr>
              <w:t>température ambiante de la chambre (K),</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P</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9" w:type="dxa"/>
            <w:shd w:val="clear" w:color="auto" w:fill="auto"/>
          </w:tcPr>
          <w:p w:rsidR="00A320B5" w:rsidRPr="007E29C4" w:rsidRDefault="00A320B5" w:rsidP="00DB4C2D">
            <w:pPr>
              <w:spacing w:after="100"/>
              <w:rPr>
                <w:lang w:val="fr-FR"/>
              </w:rPr>
            </w:pPr>
            <w:r w:rsidRPr="007E29C4">
              <w:rPr>
                <w:lang w:val="fr-FR"/>
              </w:rPr>
              <w:t>pression absolue dans la chambre d</w:t>
            </w:r>
            <w:r w:rsidR="00DB4C2D">
              <w:rPr>
                <w:lang w:val="fr-FR"/>
              </w:rPr>
              <w:t>’</w:t>
            </w:r>
            <w:r w:rsidRPr="007E29C4">
              <w:rPr>
                <w:lang w:val="fr-FR"/>
              </w:rPr>
              <w:t>essai (kPa),</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H/C</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9" w:type="dxa"/>
            <w:shd w:val="clear" w:color="auto" w:fill="auto"/>
          </w:tcPr>
          <w:p w:rsidR="00A320B5" w:rsidRPr="007E29C4" w:rsidRDefault="00A320B5" w:rsidP="00DB4C2D">
            <w:pPr>
              <w:spacing w:after="100"/>
              <w:rPr>
                <w:lang w:val="fr-FR"/>
              </w:rPr>
            </w:pPr>
            <w:r w:rsidRPr="007E29C4">
              <w:rPr>
                <w:lang w:val="fr-FR"/>
              </w:rPr>
              <w:t>rapport hydrogène/carbone,</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k</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9" w:type="dxa"/>
            <w:shd w:val="clear" w:color="auto" w:fill="auto"/>
          </w:tcPr>
          <w:p w:rsidR="00A320B5" w:rsidRPr="007E29C4" w:rsidRDefault="00A320B5" w:rsidP="00DB4C2D">
            <w:pPr>
              <w:spacing w:after="100"/>
              <w:rPr>
                <w:lang w:val="fr-FR"/>
              </w:rPr>
            </w:pPr>
            <w:r w:rsidRPr="007E29C4">
              <w:rPr>
                <w:lang w:val="fr-FR"/>
              </w:rPr>
              <w:t>1,2 • (12 + H/C);</w:t>
            </w:r>
          </w:p>
        </w:tc>
      </w:tr>
    </w:tbl>
    <w:p w:rsidR="00A320B5" w:rsidRPr="00A779B8" w:rsidRDefault="00A320B5" w:rsidP="00A320B5">
      <w:pPr>
        <w:pStyle w:val="SingleTxtG"/>
        <w:keepNex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i</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3" w:type="dxa"/>
            <w:shd w:val="clear" w:color="auto" w:fill="auto"/>
          </w:tcPr>
          <w:p w:rsidR="00A320B5" w:rsidRPr="007E29C4" w:rsidRDefault="00A320B5" w:rsidP="00DB4C2D">
            <w:pPr>
              <w:spacing w:after="100"/>
              <w:rPr>
                <w:lang w:val="fr-FR"/>
              </w:rPr>
            </w:pPr>
            <w:r w:rsidRPr="007E29C4">
              <w:rPr>
                <w:lang w:val="fr-FR"/>
              </w:rPr>
              <w:t>est un indice de valeur initiale,</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f</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3" w:type="dxa"/>
            <w:shd w:val="clear" w:color="auto" w:fill="auto"/>
          </w:tcPr>
          <w:p w:rsidR="00A320B5" w:rsidRPr="007E29C4" w:rsidRDefault="00A320B5" w:rsidP="00DB4C2D">
            <w:pPr>
              <w:spacing w:after="100"/>
              <w:rPr>
                <w:lang w:val="fr-FR"/>
              </w:rPr>
            </w:pPr>
            <w:r w:rsidRPr="007E29C4">
              <w:rPr>
                <w:lang w:val="fr-FR"/>
              </w:rPr>
              <w:t>est un indice de valeur finale,</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H/C</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3" w:type="dxa"/>
            <w:shd w:val="clear" w:color="auto" w:fill="auto"/>
          </w:tcPr>
          <w:p w:rsidR="00A320B5" w:rsidRPr="007E29C4" w:rsidRDefault="00A320B5" w:rsidP="00DB4C2D">
            <w:pPr>
              <w:spacing w:after="100"/>
              <w:rPr>
                <w:lang w:val="fr-FR"/>
              </w:rPr>
            </w:pPr>
            <w:r w:rsidRPr="007E29C4">
              <w:rPr>
                <w:lang w:val="fr-FR"/>
              </w:rPr>
              <w:t>est pris égal à 2,33 pour les pertes par essai diurne,</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H/C</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3" w:type="dxa"/>
            <w:shd w:val="clear" w:color="auto" w:fill="auto"/>
          </w:tcPr>
          <w:p w:rsidR="00A320B5" w:rsidRPr="007E29C4" w:rsidRDefault="00A320B5" w:rsidP="00DB4C2D">
            <w:pPr>
              <w:spacing w:after="100"/>
              <w:rPr>
                <w:lang w:val="fr-FR"/>
              </w:rPr>
            </w:pPr>
            <w:r w:rsidRPr="007E29C4">
              <w:rPr>
                <w:lang w:val="fr-FR"/>
              </w:rPr>
              <w:t>est pris égal à 2,20 pour les pertes par imprégnation à chaud.</w:t>
            </w:r>
          </w:p>
        </w:tc>
      </w:tr>
    </w:tbl>
    <w:p w:rsidR="00A320B5" w:rsidRPr="00A779B8" w:rsidRDefault="00A320B5" w:rsidP="00A320B5">
      <w:pPr>
        <w:pStyle w:val="SingleTxtG"/>
        <w:keepNext/>
        <w:spacing w:before="240"/>
        <w:ind w:left="2268" w:hanging="1134"/>
        <w:jc w:val="left"/>
        <w:rPr>
          <w:lang w:val="fr-FR"/>
        </w:rPr>
      </w:pPr>
      <w:r w:rsidRPr="00A779B8">
        <w:rPr>
          <w:lang w:val="fr-FR"/>
        </w:rPr>
        <w:t>6.2</w:t>
      </w:r>
      <w:r w:rsidRPr="00A779B8">
        <w:rPr>
          <w:lang w:val="fr-FR"/>
        </w:rPr>
        <w:tab/>
        <w:t>Résultat global de l</w:t>
      </w:r>
      <w:r w:rsidR="00DB4C2D">
        <w:rPr>
          <w:lang w:val="fr-FR"/>
        </w:rPr>
        <w:t>’</w:t>
      </w:r>
      <w:r w:rsidRPr="00A779B8">
        <w:rPr>
          <w:lang w:val="fr-FR"/>
        </w:rPr>
        <w:t>essai</w:t>
      </w:r>
    </w:p>
    <w:p w:rsidR="00A320B5" w:rsidRPr="00A779B8" w:rsidRDefault="00A320B5" w:rsidP="00A320B5">
      <w:pPr>
        <w:pStyle w:val="SingleTxtG"/>
        <w:keepNext/>
        <w:ind w:left="2268"/>
        <w:rPr>
          <w:lang w:val="fr-FR"/>
        </w:rPr>
      </w:pPr>
      <w:r w:rsidRPr="00A779B8">
        <w:rPr>
          <w:lang w:val="fr-FR"/>
        </w:rPr>
        <w:tab/>
        <w:t>La valeur globale de l</w:t>
      </w:r>
      <w:r w:rsidR="00DB4C2D">
        <w:rPr>
          <w:lang w:val="fr-FR"/>
        </w:rPr>
        <w:t>’</w:t>
      </w:r>
      <w:r w:rsidRPr="00A779B8">
        <w:rPr>
          <w:lang w:val="fr-FR"/>
        </w:rPr>
        <w:t>émission d</w:t>
      </w:r>
      <w:r w:rsidR="00DB4C2D">
        <w:rPr>
          <w:lang w:val="fr-FR"/>
        </w:rPr>
        <w:t>’</w:t>
      </w:r>
      <w:r w:rsidRPr="00A779B8">
        <w:rPr>
          <w:lang w:val="fr-FR"/>
        </w:rPr>
        <w:t>hydrocarbures, en masse, est égale à:</w:t>
      </w:r>
    </w:p>
    <w:p w:rsidR="00A320B5" w:rsidRPr="00A779B8" w:rsidRDefault="00A320B5" w:rsidP="00A320B5">
      <w:pPr>
        <w:pStyle w:val="SingleTxtG"/>
        <w:keepNext/>
        <w:ind w:left="3402" w:hanging="1134"/>
        <w:jc w:val="left"/>
        <w:rPr>
          <w:lang w:val="fr-FR"/>
        </w:rPr>
      </w:pPr>
      <w:proofErr w:type="spellStart"/>
      <w:r w:rsidRPr="00A779B8">
        <w:rPr>
          <w:lang w:val="fr-FR"/>
        </w:rPr>
        <w:t>M</w:t>
      </w:r>
      <w:r w:rsidRPr="00A779B8">
        <w:rPr>
          <w:vertAlign w:val="subscript"/>
          <w:lang w:val="fr-FR"/>
        </w:rPr>
        <w:t>totale</w:t>
      </w:r>
      <w:proofErr w:type="spellEnd"/>
      <w:r w:rsidRPr="00A779B8">
        <w:rPr>
          <w:lang w:val="fr-FR"/>
        </w:rPr>
        <w:t xml:space="preserve"> = M</w:t>
      </w:r>
      <w:r w:rsidRPr="00A779B8">
        <w:rPr>
          <w:vertAlign w:val="subscript"/>
          <w:lang w:val="fr-FR"/>
        </w:rPr>
        <w:t>DI</w:t>
      </w:r>
      <w:r w:rsidRPr="00A779B8">
        <w:rPr>
          <w:lang w:val="fr-FR"/>
        </w:rPr>
        <w:t xml:space="preserve"> + M</w:t>
      </w:r>
      <w:r w:rsidRPr="00A779B8">
        <w:rPr>
          <w:vertAlign w:val="subscript"/>
          <w:lang w:val="fr-FR"/>
        </w:rPr>
        <w:t>HS</w:t>
      </w:r>
    </w:p>
    <w:p w:rsidR="00A320B5" w:rsidRPr="00A779B8" w:rsidRDefault="00A320B5" w:rsidP="00A320B5">
      <w:pPr>
        <w:pStyle w:val="SingleTxtG"/>
        <w:keepNex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A320B5" w:rsidRPr="007E29C4" w:rsidTr="00DB4C2D">
        <w:tc>
          <w:tcPr>
            <w:tcW w:w="567" w:type="dxa"/>
            <w:shd w:val="clear" w:color="auto" w:fill="auto"/>
          </w:tcPr>
          <w:p w:rsidR="00A320B5" w:rsidRPr="007E29C4" w:rsidRDefault="00A320B5" w:rsidP="00DB4C2D">
            <w:pPr>
              <w:spacing w:after="100"/>
              <w:rPr>
                <w:lang w:val="fr-FR"/>
              </w:rPr>
            </w:pPr>
            <w:proofErr w:type="spellStart"/>
            <w:r w:rsidRPr="007E29C4">
              <w:rPr>
                <w:lang w:val="fr-FR"/>
              </w:rPr>
              <w:t>M</w:t>
            </w:r>
            <w:r w:rsidRPr="007E29C4">
              <w:rPr>
                <w:vertAlign w:val="subscript"/>
                <w:lang w:val="fr-FR"/>
              </w:rPr>
              <w:t>totale</w:t>
            </w:r>
            <w:proofErr w:type="spellEnd"/>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3" w:type="dxa"/>
            <w:shd w:val="clear" w:color="auto" w:fill="auto"/>
          </w:tcPr>
          <w:p w:rsidR="00A320B5" w:rsidRPr="007E29C4" w:rsidRDefault="00A320B5" w:rsidP="00DB4C2D">
            <w:pPr>
              <w:spacing w:after="100"/>
              <w:rPr>
                <w:lang w:val="fr-FR"/>
              </w:rPr>
            </w:pPr>
            <w:r w:rsidRPr="007E29C4">
              <w:rPr>
                <w:lang w:val="fr-FR"/>
              </w:rPr>
              <w:t>émission globale en masse du véhicule (g),</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M</w:t>
            </w:r>
            <w:r w:rsidRPr="007E29C4">
              <w:rPr>
                <w:vertAlign w:val="subscript"/>
                <w:lang w:val="fr-FR"/>
              </w:rPr>
              <w:t>DI</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3" w:type="dxa"/>
            <w:shd w:val="clear" w:color="auto" w:fill="auto"/>
          </w:tcPr>
          <w:p w:rsidR="00A320B5" w:rsidRPr="007E29C4" w:rsidRDefault="00A320B5" w:rsidP="00DB4C2D">
            <w:pPr>
              <w:spacing w:after="100"/>
              <w:rPr>
                <w:lang w:val="fr-FR"/>
              </w:rPr>
            </w:pPr>
            <w:r w:rsidRPr="007E29C4">
              <w:rPr>
                <w:lang w:val="fr-FR"/>
              </w:rPr>
              <w:t>émission d</w:t>
            </w:r>
            <w:r w:rsidR="00DB4C2D">
              <w:rPr>
                <w:lang w:val="fr-FR"/>
              </w:rPr>
              <w:t>’</w:t>
            </w:r>
            <w:r w:rsidRPr="007E29C4">
              <w:rPr>
                <w:lang w:val="fr-FR"/>
              </w:rPr>
              <w:t>hydrocarbures, en masse, pour l</w:t>
            </w:r>
            <w:r w:rsidR="00DB4C2D">
              <w:rPr>
                <w:lang w:val="fr-FR"/>
              </w:rPr>
              <w:t>’</w:t>
            </w:r>
            <w:r w:rsidRPr="007E29C4">
              <w:rPr>
                <w:lang w:val="fr-FR"/>
              </w:rPr>
              <w:t>essai diurne (g),</w:t>
            </w:r>
          </w:p>
        </w:tc>
      </w:tr>
      <w:tr w:rsidR="00A320B5" w:rsidRPr="007E29C4" w:rsidTr="00DB4C2D">
        <w:tc>
          <w:tcPr>
            <w:tcW w:w="567" w:type="dxa"/>
            <w:shd w:val="clear" w:color="auto" w:fill="auto"/>
          </w:tcPr>
          <w:p w:rsidR="00A320B5" w:rsidRPr="007E29C4" w:rsidRDefault="00A320B5" w:rsidP="00DB4C2D">
            <w:pPr>
              <w:spacing w:after="100"/>
              <w:rPr>
                <w:lang w:val="fr-FR"/>
              </w:rPr>
            </w:pPr>
            <w:r w:rsidRPr="007E29C4">
              <w:rPr>
                <w:lang w:val="fr-FR"/>
              </w:rPr>
              <w:t>M</w:t>
            </w:r>
            <w:r w:rsidRPr="007E29C4">
              <w:rPr>
                <w:vertAlign w:val="subscript"/>
                <w:lang w:val="fr-FR"/>
              </w:rPr>
              <w:t>HS</w:t>
            </w:r>
          </w:p>
        </w:tc>
        <w:tc>
          <w:tcPr>
            <w:tcW w:w="284" w:type="dxa"/>
            <w:shd w:val="clear" w:color="auto" w:fill="auto"/>
          </w:tcPr>
          <w:p w:rsidR="00A320B5" w:rsidRPr="007E29C4" w:rsidRDefault="00A320B5" w:rsidP="00DB4C2D">
            <w:pPr>
              <w:spacing w:after="100"/>
              <w:rPr>
                <w:lang w:val="fr-FR"/>
              </w:rPr>
            </w:pPr>
            <w:r w:rsidRPr="007E29C4">
              <w:rPr>
                <w:lang w:val="fr-FR"/>
              </w:rPr>
              <w:t>=</w:t>
            </w:r>
          </w:p>
        </w:tc>
        <w:tc>
          <w:tcPr>
            <w:tcW w:w="5103" w:type="dxa"/>
            <w:shd w:val="clear" w:color="auto" w:fill="auto"/>
          </w:tcPr>
          <w:p w:rsidR="00A320B5" w:rsidRPr="007E29C4" w:rsidRDefault="00A320B5" w:rsidP="00DB4C2D">
            <w:pPr>
              <w:spacing w:after="100"/>
              <w:rPr>
                <w:lang w:val="fr-FR"/>
              </w:rPr>
            </w:pPr>
            <w:r w:rsidRPr="007E29C4">
              <w:rPr>
                <w:lang w:val="fr-FR"/>
              </w:rPr>
              <w:t>émission d</w:t>
            </w:r>
            <w:r w:rsidR="00DB4C2D">
              <w:rPr>
                <w:lang w:val="fr-FR"/>
              </w:rPr>
              <w:t>’</w:t>
            </w:r>
            <w:r w:rsidRPr="007E29C4">
              <w:rPr>
                <w:lang w:val="fr-FR"/>
              </w:rPr>
              <w:t>hydrocarbures, en masse, pour la phase d</w:t>
            </w:r>
            <w:r w:rsidR="00DB4C2D">
              <w:rPr>
                <w:lang w:val="fr-FR"/>
              </w:rPr>
              <w:t>’</w:t>
            </w:r>
            <w:r w:rsidRPr="007E29C4">
              <w:rPr>
                <w:lang w:val="fr-FR"/>
              </w:rPr>
              <w:t>imprégnation à chaud (g).</w:t>
            </w:r>
          </w:p>
        </w:tc>
      </w:tr>
    </w:tbl>
    <w:p w:rsidR="00A320B5" w:rsidRPr="00A779B8" w:rsidRDefault="00A320B5" w:rsidP="00A320B5">
      <w:pPr>
        <w:pStyle w:val="SingleTxtG"/>
        <w:keepNext/>
        <w:spacing w:before="240" w:after="100"/>
        <w:ind w:left="2268" w:hanging="1134"/>
        <w:jc w:val="left"/>
        <w:rPr>
          <w:lang w:val="fr-FR"/>
        </w:rPr>
      </w:pPr>
      <w:r w:rsidRPr="00A779B8">
        <w:rPr>
          <w:lang w:val="fr-FR"/>
        </w:rPr>
        <w:lastRenderedPageBreak/>
        <w:t>7.</w:t>
      </w:r>
      <w:r w:rsidRPr="00A779B8">
        <w:rPr>
          <w:lang w:val="fr-FR"/>
        </w:rPr>
        <w:tab/>
        <w:t>Contrôle de la conformité de production</w:t>
      </w:r>
    </w:p>
    <w:p w:rsidR="00A320B5" w:rsidRPr="00A779B8" w:rsidRDefault="00A320B5" w:rsidP="00A320B5">
      <w:pPr>
        <w:pStyle w:val="SingleTxtG"/>
        <w:spacing w:after="100"/>
        <w:ind w:left="2268" w:hanging="1134"/>
        <w:rPr>
          <w:lang w:val="fr-FR"/>
        </w:rPr>
      </w:pPr>
      <w:r w:rsidRPr="00A779B8">
        <w:rPr>
          <w:lang w:val="fr-FR"/>
        </w:rPr>
        <w:t>7.1</w:t>
      </w:r>
      <w:r w:rsidRPr="00A779B8">
        <w:rPr>
          <w:lang w:val="fr-FR"/>
        </w:rPr>
        <w:tab/>
        <w:t>Pour les contrôles de la fin de la chaîne de production, le détenteur de l</w:t>
      </w:r>
      <w:r w:rsidR="00DB4C2D">
        <w:rPr>
          <w:lang w:val="fr-FR"/>
        </w:rPr>
        <w:t>’</w:t>
      </w:r>
      <w:r w:rsidRPr="00A779B8">
        <w:rPr>
          <w:lang w:val="fr-FR"/>
        </w:rPr>
        <w:t>homologation peut démontrer la conformité par l</w:t>
      </w:r>
      <w:r w:rsidR="00DB4C2D">
        <w:rPr>
          <w:lang w:val="fr-FR"/>
        </w:rPr>
        <w:t>’</w:t>
      </w:r>
      <w:r w:rsidRPr="00A779B8">
        <w:rPr>
          <w:lang w:val="fr-FR"/>
        </w:rPr>
        <w:t>échantillonnage de véhicules qui doit satisfaire aux prescriptions suivantes.</w:t>
      </w:r>
    </w:p>
    <w:p w:rsidR="00A320B5" w:rsidRPr="00A779B8" w:rsidRDefault="00A320B5" w:rsidP="00A320B5">
      <w:pPr>
        <w:pStyle w:val="SingleTxtG"/>
        <w:keepNext/>
        <w:spacing w:after="100"/>
        <w:ind w:left="2268" w:hanging="1134"/>
        <w:jc w:val="left"/>
        <w:rPr>
          <w:lang w:val="fr-FR"/>
        </w:rPr>
      </w:pPr>
      <w:r w:rsidRPr="00A779B8">
        <w:rPr>
          <w:lang w:val="fr-FR"/>
        </w:rPr>
        <w:t>7.2</w:t>
      </w:r>
      <w:r w:rsidRPr="00A779B8">
        <w:rPr>
          <w:lang w:val="fr-FR"/>
        </w:rPr>
        <w:tab/>
        <w:t>Essais d</w:t>
      </w:r>
      <w:r w:rsidR="00DB4C2D">
        <w:rPr>
          <w:lang w:val="fr-FR"/>
        </w:rPr>
        <w:t>’</w:t>
      </w:r>
      <w:r w:rsidRPr="00A779B8">
        <w:rPr>
          <w:lang w:val="fr-FR"/>
        </w:rPr>
        <w:t>étanchéité</w:t>
      </w:r>
    </w:p>
    <w:p w:rsidR="00A320B5" w:rsidRPr="00A779B8" w:rsidRDefault="00A320B5" w:rsidP="00A320B5">
      <w:pPr>
        <w:pStyle w:val="SingleTxtG"/>
        <w:spacing w:after="100"/>
        <w:ind w:left="2268" w:hanging="1134"/>
        <w:rPr>
          <w:lang w:val="fr-FR"/>
        </w:rPr>
      </w:pPr>
      <w:r w:rsidRPr="00A779B8">
        <w:rPr>
          <w:lang w:val="fr-FR"/>
        </w:rPr>
        <w:t>7.2.1</w:t>
      </w:r>
      <w:r w:rsidRPr="00A779B8">
        <w:rPr>
          <w:lang w:val="fr-FR"/>
        </w:rPr>
        <w:tab/>
        <w:t>Les mises à l</w:t>
      </w:r>
      <w:r w:rsidR="00DB4C2D">
        <w:rPr>
          <w:lang w:val="fr-FR"/>
        </w:rPr>
        <w:t>’</w:t>
      </w:r>
      <w:r w:rsidRPr="00A779B8">
        <w:rPr>
          <w:lang w:val="fr-FR"/>
        </w:rPr>
        <w:t>air libre à l</w:t>
      </w:r>
      <w:r w:rsidR="00DB4C2D">
        <w:rPr>
          <w:lang w:val="fr-FR"/>
        </w:rPr>
        <w:t>’</w:t>
      </w:r>
      <w:r w:rsidRPr="00A779B8">
        <w:rPr>
          <w:lang w:val="fr-FR"/>
        </w:rPr>
        <w:t>atmosphère à partir du système de contrôle des émissions doivent être isolées.</w:t>
      </w:r>
    </w:p>
    <w:p w:rsidR="00A320B5" w:rsidRPr="00A779B8" w:rsidRDefault="00A320B5" w:rsidP="00A320B5">
      <w:pPr>
        <w:pStyle w:val="SingleTxtG"/>
        <w:spacing w:after="100"/>
        <w:ind w:left="2268" w:hanging="1134"/>
        <w:rPr>
          <w:lang w:val="fr-FR"/>
        </w:rPr>
      </w:pPr>
      <w:r w:rsidRPr="00A779B8">
        <w:rPr>
          <w:lang w:val="fr-FR"/>
        </w:rPr>
        <w:t>7.2.2</w:t>
      </w:r>
      <w:r w:rsidRPr="00A779B8">
        <w:rPr>
          <w:lang w:val="fr-FR"/>
        </w:rPr>
        <w:tab/>
        <w:t>Une pression de 370 </w:t>
      </w:r>
      <w:r w:rsidRPr="00A779B8">
        <w:rPr>
          <w:lang w:val="fr-FR"/>
        </w:rPr>
        <w:sym w:font="Symbol" w:char="F0B1"/>
      </w:r>
      <w:r w:rsidRPr="00A779B8">
        <w:rPr>
          <w:lang w:val="fr-FR"/>
        </w:rPr>
        <w:t> 10 mm de H</w:t>
      </w:r>
      <w:r w:rsidRPr="00A779B8">
        <w:rPr>
          <w:vertAlign w:val="subscript"/>
          <w:lang w:val="fr-FR"/>
        </w:rPr>
        <w:t>2</w:t>
      </w:r>
      <w:r w:rsidRPr="00A779B8">
        <w:rPr>
          <w:lang w:val="fr-FR"/>
        </w:rPr>
        <w:t>O doit être appliquée au système d</w:t>
      </w:r>
      <w:r w:rsidR="00DB4C2D">
        <w:rPr>
          <w:lang w:val="fr-FR"/>
        </w:rPr>
        <w:t>’</w:t>
      </w:r>
      <w:r w:rsidRPr="00A779B8">
        <w:rPr>
          <w:lang w:val="fr-FR"/>
        </w:rPr>
        <w:t>alimentation en carburant.</w:t>
      </w:r>
    </w:p>
    <w:p w:rsidR="00A320B5" w:rsidRPr="00A779B8" w:rsidRDefault="00A320B5" w:rsidP="00A320B5">
      <w:pPr>
        <w:pStyle w:val="SingleTxtG"/>
        <w:spacing w:after="100"/>
        <w:ind w:left="2268" w:hanging="1134"/>
        <w:rPr>
          <w:lang w:val="fr-FR"/>
        </w:rPr>
      </w:pPr>
      <w:r w:rsidRPr="00A779B8">
        <w:rPr>
          <w:lang w:val="fr-FR"/>
        </w:rPr>
        <w:t>7.2.3</w:t>
      </w:r>
      <w:r w:rsidRPr="00A779B8">
        <w:rPr>
          <w:lang w:val="fr-FR"/>
        </w:rPr>
        <w:tab/>
        <w:t>La pression doit être stabilisée avant l</w:t>
      </w:r>
      <w:r w:rsidR="00DB4C2D">
        <w:rPr>
          <w:lang w:val="fr-FR"/>
        </w:rPr>
        <w:t>’</w:t>
      </w:r>
      <w:r w:rsidRPr="00A779B8">
        <w:rPr>
          <w:lang w:val="fr-FR"/>
        </w:rPr>
        <w:t>isolation du système d</w:t>
      </w:r>
      <w:r w:rsidR="00DB4C2D">
        <w:rPr>
          <w:lang w:val="fr-FR"/>
        </w:rPr>
        <w:t>’</w:t>
      </w:r>
      <w:r w:rsidRPr="00A779B8">
        <w:rPr>
          <w:lang w:val="fr-FR"/>
        </w:rPr>
        <w:t>alimentation de carburant de la source de pression.</w:t>
      </w:r>
    </w:p>
    <w:p w:rsidR="00A320B5" w:rsidRPr="00A779B8" w:rsidRDefault="00A320B5" w:rsidP="00A320B5">
      <w:pPr>
        <w:pStyle w:val="SingleTxtG"/>
        <w:spacing w:after="100"/>
        <w:ind w:left="2268" w:hanging="1134"/>
        <w:rPr>
          <w:lang w:val="fr-FR"/>
        </w:rPr>
      </w:pPr>
      <w:r w:rsidRPr="00A779B8">
        <w:rPr>
          <w:lang w:val="fr-FR"/>
        </w:rPr>
        <w:t>7.2.4</w:t>
      </w:r>
      <w:r w:rsidRPr="00A779B8">
        <w:rPr>
          <w:lang w:val="fr-FR"/>
        </w:rPr>
        <w:tab/>
        <w:t>Suite à l</w:t>
      </w:r>
      <w:r w:rsidR="00DB4C2D">
        <w:rPr>
          <w:lang w:val="fr-FR"/>
        </w:rPr>
        <w:t>’</w:t>
      </w:r>
      <w:r w:rsidRPr="00A779B8">
        <w:rPr>
          <w:lang w:val="fr-FR"/>
        </w:rPr>
        <w:t>isolation du système d</w:t>
      </w:r>
      <w:r w:rsidR="00DB4C2D">
        <w:rPr>
          <w:lang w:val="fr-FR"/>
        </w:rPr>
        <w:t>’</w:t>
      </w:r>
      <w:r w:rsidRPr="00A779B8">
        <w:rPr>
          <w:lang w:val="fr-FR"/>
        </w:rPr>
        <w:t>alimentation en carburant, la pression ne doit pas chuter de plus de 50 mm H</w:t>
      </w:r>
      <w:r w:rsidRPr="00A779B8">
        <w:rPr>
          <w:vertAlign w:val="subscript"/>
          <w:lang w:val="fr-FR"/>
        </w:rPr>
        <w:t>2</w:t>
      </w:r>
      <w:r w:rsidRPr="00A779B8">
        <w:rPr>
          <w:lang w:val="fr-FR"/>
        </w:rPr>
        <w:t>O en 5 min.</w:t>
      </w:r>
    </w:p>
    <w:p w:rsidR="00A320B5" w:rsidRPr="00A779B8" w:rsidRDefault="00A320B5" w:rsidP="00A320B5">
      <w:pPr>
        <w:pStyle w:val="SingleTxtG"/>
        <w:keepNext/>
        <w:spacing w:after="100"/>
        <w:ind w:left="2268" w:hanging="1134"/>
        <w:jc w:val="left"/>
        <w:rPr>
          <w:lang w:val="fr-FR"/>
        </w:rPr>
      </w:pPr>
      <w:r w:rsidRPr="00A779B8">
        <w:rPr>
          <w:lang w:val="fr-FR"/>
        </w:rPr>
        <w:t>7.3</w:t>
      </w:r>
      <w:r w:rsidRPr="00A779B8">
        <w:rPr>
          <w:lang w:val="fr-FR"/>
        </w:rPr>
        <w:tab/>
        <w:t>Essais des mises à l</w:t>
      </w:r>
      <w:r w:rsidR="00DB4C2D">
        <w:rPr>
          <w:lang w:val="fr-FR"/>
        </w:rPr>
        <w:t>’</w:t>
      </w:r>
      <w:r w:rsidRPr="00A779B8">
        <w:rPr>
          <w:lang w:val="fr-FR"/>
        </w:rPr>
        <w:t>air libre</w:t>
      </w:r>
    </w:p>
    <w:p w:rsidR="00A320B5" w:rsidRPr="00A779B8" w:rsidRDefault="00A320B5" w:rsidP="00A320B5">
      <w:pPr>
        <w:pStyle w:val="SingleTxtG"/>
        <w:spacing w:after="100"/>
        <w:ind w:left="2268" w:hanging="1134"/>
        <w:rPr>
          <w:lang w:val="fr-FR"/>
        </w:rPr>
      </w:pPr>
      <w:r w:rsidRPr="00A779B8">
        <w:rPr>
          <w:lang w:val="fr-FR"/>
        </w:rPr>
        <w:t>7.3.1</w:t>
      </w:r>
      <w:r w:rsidRPr="00A779B8">
        <w:rPr>
          <w:lang w:val="fr-FR"/>
        </w:rPr>
        <w:tab/>
        <w:t>Les mises à l</w:t>
      </w:r>
      <w:r w:rsidR="00DB4C2D">
        <w:rPr>
          <w:lang w:val="fr-FR"/>
        </w:rPr>
        <w:t>’</w:t>
      </w:r>
      <w:r w:rsidRPr="00A779B8">
        <w:rPr>
          <w:lang w:val="fr-FR"/>
        </w:rPr>
        <w:t>air libre à l</w:t>
      </w:r>
      <w:r w:rsidR="00DB4C2D">
        <w:rPr>
          <w:lang w:val="fr-FR"/>
        </w:rPr>
        <w:t>’</w:t>
      </w:r>
      <w:r w:rsidRPr="00A779B8">
        <w:rPr>
          <w:lang w:val="fr-FR"/>
        </w:rPr>
        <w:t>atmosphère à partir du système de contrôle des émissions doivent être isolées.</w:t>
      </w:r>
    </w:p>
    <w:p w:rsidR="00A320B5" w:rsidRPr="00A779B8" w:rsidRDefault="00A320B5" w:rsidP="00A320B5">
      <w:pPr>
        <w:pStyle w:val="SingleTxtG"/>
        <w:spacing w:after="100"/>
        <w:ind w:left="2268" w:hanging="1134"/>
        <w:rPr>
          <w:lang w:val="fr-FR"/>
        </w:rPr>
      </w:pPr>
      <w:r w:rsidRPr="00A779B8">
        <w:rPr>
          <w:lang w:val="fr-FR"/>
        </w:rPr>
        <w:t>7.3.2</w:t>
      </w:r>
      <w:r w:rsidRPr="00A779B8">
        <w:rPr>
          <w:lang w:val="fr-FR"/>
        </w:rPr>
        <w:tab/>
        <w:t>Une pression de 370 </w:t>
      </w:r>
      <w:r w:rsidRPr="00A779B8">
        <w:rPr>
          <w:lang w:val="fr-FR"/>
        </w:rPr>
        <w:sym w:font="Symbol" w:char="F0B1"/>
      </w:r>
      <w:r w:rsidRPr="00A779B8">
        <w:rPr>
          <w:lang w:val="fr-FR"/>
        </w:rPr>
        <w:t> 10 mm de H</w:t>
      </w:r>
      <w:r w:rsidRPr="00A779B8">
        <w:rPr>
          <w:vertAlign w:val="subscript"/>
          <w:lang w:val="fr-FR"/>
        </w:rPr>
        <w:t>2</w:t>
      </w:r>
      <w:r w:rsidRPr="00A779B8">
        <w:rPr>
          <w:lang w:val="fr-FR"/>
        </w:rPr>
        <w:t>O doit être appliquée au système d</w:t>
      </w:r>
      <w:r w:rsidR="00DB4C2D">
        <w:rPr>
          <w:lang w:val="fr-FR"/>
        </w:rPr>
        <w:t>’</w:t>
      </w:r>
      <w:r w:rsidRPr="00A779B8">
        <w:rPr>
          <w:lang w:val="fr-FR"/>
        </w:rPr>
        <w:t>alimentation en carburant.</w:t>
      </w:r>
    </w:p>
    <w:p w:rsidR="00A320B5" w:rsidRPr="00A779B8" w:rsidRDefault="00A320B5" w:rsidP="00A320B5">
      <w:pPr>
        <w:pStyle w:val="SingleTxtG"/>
        <w:spacing w:after="100"/>
        <w:ind w:left="2268" w:hanging="1134"/>
        <w:rPr>
          <w:lang w:val="fr-FR"/>
        </w:rPr>
      </w:pPr>
      <w:r w:rsidRPr="00A779B8">
        <w:rPr>
          <w:lang w:val="fr-FR"/>
        </w:rPr>
        <w:t>7.3.3</w:t>
      </w:r>
      <w:r w:rsidRPr="00A779B8">
        <w:rPr>
          <w:lang w:val="fr-FR"/>
        </w:rPr>
        <w:tab/>
        <w:t>La pression doit être stabilisée avant l</w:t>
      </w:r>
      <w:r w:rsidR="00DB4C2D">
        <w:rPr>
          <w:lang w:val="fr-FR"/>
        </w:rPr>
        <w:t>’</w:t>
      </w:r>
      <w:r w:rsidRPr="00A779B8">
        <w:rPr>
          <w:lang w:val="fr-FR"/>
        </w:rPr>
        <w:t>isolation du système d</w:t>
      </w:r>
      <w:r w:rsidR="00DB4C2D">
        <w:rPr>
          <w:lang w:val="fr-FR"/>
        </w:rPr>
        <w:t>’</w:t>
      </w:r>
      <w:r w:rsidRPr="00A779B8">
        <w:rPr>
          <w:lang w:val="fr-FR"/>
        </w:rPr>
        <w:t>alimentation de carburant de la source de pression.</w:t>
      </w:r>
    </w:p>
    <w:p w:rsidR="00A320B5" w:rsidRPr="00A779B8" w:rsidRDefault="00A320B5" w:rsidP="00A320B5">
      <w:pPr>
        <w:pStyle w:val="SingleTxtG"/>
        <w:spacing w:after="100"/>
        <w:ind w:left="2268" w:hanging="1134"/>
        <w:rPr>
          <w:lang w:val="fr-FR"/>
        </w:rPr>
      </w:pPr>
      <w:r w:rsidRPr="00A779B8">
        <w:rPr>
          <w:lang w:val="fr-FR"/>
        </w:rPr>
        <w:t>7.3.4</w:t>
      </w:r>
      <w:r w:rsidRPr="00A779B8">
        <w:rPr>
          <w:lang w:val="fr-FR"/>
        </w:rPr>
        <w:tab/>
        <w:t>Les sorties des mises à l</w:t>
      </w:r>
      <w:r w:rsidR="00DB4C2D">
        <w:rPr>
          <w:lang w:val="fr-FR"/>
        </w:rPr>
        <w:t>’</w:t>
      </w:r>
      <w:r w:rsidRPr="00A779B8">
        <w:rPr>
          <w:lang w:val="fr-FR"/>
        </w:rPr>
        <w:t>air libre à l</w:t>
      </w:r>
      <w:r w:rsidR="00DB4C2D">
        <w:rPr>
          <w:lang w:val="fr-FR"/>
        </w:rPr>
        <w:t>’</w:t>
      </w:r>
      <w:r w:rsidRPr="00A779B8">
        <w:rPr>
          <w:lang w:val="fr-FR"/>
        </w:rPr>
        <w:t>atmosphère à partir des systèmes de contrôle des émissions doivent être réintégrées dans les conditions de production.</w:t>
      </w:r>
    </w:p>
    <w:p w:rsidR="00A320B5" w:rsidRPr="00A779B8" w:rsidRDefault="00A320B5" w:rsidP="00A320B5">
      <w:pPr>
        <w:pStyle w:val="SingleTxtG"/>
        <w:spacing w:after="100"/>
        <w:ind w:left="2268" w:hanging="1134"/>
        <w:rPr>
          <w:lang w:val="fr-FR"/>
        </w:rPr>
      </w:pPr>
      <w:r w:rsidRPr="00A779B8">
        <w:rPr>
          <w:lang w:val="fr-FR"/>
        </w:rPr>
        <w:t>7.3.5</w:t>
      </w:r>
      <w:r w:rsidRPr="00A779B8">
        <w:rPr>
          <w:lang w:val="fr-FR"/>
        </w:rPr>
        <w:tab/>
        <w:t>La pression du système d</w:t>
      </w:r>
      <w:r w:rsidR="00DB4C2D">
        <w:rPr>
          <w:lang w:val="fr-FR"/>
        </w:rPr>
        <w:t>’</w:t>
      </w:r>
      <w:r w:rsidRPr="00A779B8">
        <w:rPr>
          <w:lang w:val="fr-FR"/>
        </w:rPr>
        <w:t>alimentation du carburant doit chuter en dessous de 100 mm H</w:t>
      </w:r>
      <w:r w:rsidRPr="00A779B8">
        <w:rPr>
          <w:vertAlign w:val="subscript"/>
          <w:lang w:val="fr-FR"/>
        </w:rPr>
        <w:t>2</w:t>
      </w:r>
      <w:r w:rsidRPr="00A779B8">
        <w:rPr>
          <w:lang w:val="fr-FR"/>
        </w:rPr>
        <w:t>O dans un temps compris entre 30 s et 2 min.</w:t>
      </w:r>
    </w:p>
    <w:p w:rsidR="00A320B5" w:rsidRPr="00A779B8" w:rsidRDefault="00A320B5" w:rsidP="00A320B5">
      <w:pPr>
        <w:pStyle w:val="SingleTxtG"/>
        <w:spacing w:after="100"/>
        <w:ind w:left="2268" w:hanging="1134"/>
        <w:rPr>
          <w:lang w:val="fr-FR"/>
        </w:rPr>
      </w:pPr>
      <w:r w:rsidRPr="00A779B8">
        <w:rPr>
          <w:lang w:val="fr-FR"/>
        </w:rPr>
        <w:t>7.3.6</w:t>
      </w:r>
      <w:r w:rsidRPr="00A779B8">
        <w:rPr>
          <w:lang w:val="fr-FR"/>
        </w:rPr>
        <w:tab/>
        <w:t>À la demande du constructeur, il est possible d</w:t>
      </w:r>
      <w:r w:rsidR="00DB4C2D">
        <w:rPr>
          <w:lang w:val="fr-FR"/>
        </w:rPr>
        <w:t>’</w:t>
      </w:r>
      <w:r w:rsidRPr="00A779B8">
        <w:rPr>
          <w:lang w:val="fr-FR"/>
        </w:rPr>
        <w:t>utiliser une procédure équivalente pour démontrer la capacité fonctionnelle pour les mises à l</w:t>
      </w:r>
      <w:r w:rsidR="00DB4C2D">
        <w:rPr>
          <w:lang w:val="fr-FR"/>
        </w:rPr>
        <w:t>’</w:t>
      </w:r>
      <w:r w:rsidRPr="00A779B8">
        <w:rPr>
          <w:lang w:val="fr-FR"/>
        </w:rPr>
        <w:t>air libre. Le constructeur doit faire une démonstration de cette procédure au service technique lors de la procédure d</w:t>
      </w:r>
      <w:r w:rsidR="00DB4C2D">
        <w:rPr>
          <w:lang w:val="fr-FR"/>
        </w:rPr>
        <w:t>’</w:t>
      </w:r>
      <w:r w:rsidRPr="00A779B8">
        <w:rPr>
          <w:lang w:val="fr-FR"/>
        </w:rPr>
        <w:t>homologation de type.</w:t>
      </w:r>
    </w:p>
    <w:p w:rsidR="00A320B5" w:rsidRPr="00A779B8" w:rsidRDefault="00A320B5" w:rsidP="00A320B5">
      <w:pPr>
        <w:pStyle w:val="SingleTxtG"/>
        <w:keepNext/>
        <w:keepLines/>
        <w:spacing w:after="100"/>
        <w:ind w:left="2268" w:hanging="1134"/>
        <w:jc w:val="left"/>
        <w:rPr>
          <w:lang w:val="fr-FR"/>
        </w:rPr>
      </w:pPr>
      <w:r w:rsidRPr="00A779B8">
        <w:rPr>
          <w:lang w:val="fr-FR"/>
        </w:rPr>
        <w:t>7.4</w:t>
      </w:r>
      <w:r w:rsidRPr="00A779B8">
        <w:rPr>
          <w:lang w:val="fr-FR"/>
        </w:rPr>
        <w:tab/>
        <w:t>Essais de purge</w:t>
      </w:r>
    </w:p>
    <w:p w:rsidR="00A320B5" w:rsidRPr="00A779B8" w:rsidRDefault="00A320B5" w:rsidP="00A320B5">
      <w:pPr>
        <w:pStyle w:val="SingleTxtG"/>
        <w:keepNext/>
        <w:keepLines/>
        <w:spacing w:after="100"/>
        <w:ind w:left="2268" w:hanging="1134"/>
        <w:rPr>
          <w:lang w:val="fr-FR"/>
        </w:rPr>
      </w:pPr>
      <w:r w:rsidRPr="00A779B8">
        <w:rPr>
          <w:lang w:val="fr-FR"/>
        </w:rPr>
        <w:t>7.4.1</w:t>
      </w:r>
      <w:r w:rsidRPr="00A779B8">
        <w:rPr>
          <w:lang w:val="fr-FR"/>
        </w:rPr>
        <w:tab/>
        <w:t>Un système permettant la détection d</w:t>
      </w:r>
      <w:r w:rsidR="00DB4C2D">
        <w:rPr>
          <w:lang w:val="fr-FR"/>
        </w:rPr>
        <w:t>’</w:t>
      </w:r>
      <w:r w:rsidRPr="00A779B8">
        <w:rPr>
          <w:lang w:val="fr-FR"/>
        </w:rPr>
        <w:t>un débit d</w:t>
      </w:r>
      <w:r w:rsidR="00DB4C2D">
        <w:rPr>
          <w:lang w:val="fr-FR"/>
        </w:rPr>
        <w:t>’</w:t>
      </w:r>
      <w:r w:rsidRPr="00A779B8">
        <w:rPr>
          <w:lang w:val="fr-FR"/>
        </w:rPr>
        <w:t>air de 1 l/min doit être installé sur l</w:t>
      </w:r>
      <w:r w:rsidR="00DB4C2D">
        <w:rPr>
          <w:lang w:val="fr-FR"/>
        </w:rPr>
        <w:t>’</w:t>
      </w:r>
      <w:r w:rsidRPr="00A779B8">
        <w:rPr>
          <w:lang w:val="fr-FR"/>
        </w:rPr>
        <w:t>entrée de la purge et/ou un instrument de pression de dimensions suffisantes pour avoir des effets négligeables sur le système de purge doit être connecté au moyen d</w:t>
      </w:r>
      <w:r w:rsidR="00DB4C2D">
        <w:rPr>
          <w:lang w:val="fr-FR"/>
        </w:rPr>
        <w:t>’</w:t>
      </w:r>
      <w:r w:rsidRPr="00A779B8">
        <w:rPr>
          <w:lang w:val="fr-FR"/>
        </w:rPr>
        <w:t>une vanne à l</w:t>
      </w:r>
      <w:r w:rsidR="00DB4C2D">
        <w:rPr>
          <w:lang w:val="fr-FR"/>
        </w:rPr>
        <w:t>’</w:t>
      </w:r>
      <w:r w:rsidRPr="00A779B8">
        <w:rPr>
          <w:lang w:val="fr-FR"/>
        </w:rPr>
        <w:t>entrée de la purge.</w:t>
      </w:r>
    </w:p>
    <w:p w:rsidR="00A320B5" w:rsidRPr="00A779B8" w:rsidRDefault="00A320B5" w:rsidP="00A320B5">
      <w:pPr>
        <w:pStyle w:val="SingleTxtG"/>
        <w:spacing w:after="100"/>
        <w:ind w:left="2268" w:hanging="1134"/>
        <w:rPr>
          <w:lang w:val="fr-FR"/>
        </w:rPr>
      </w:pPr>
      <w:r w:rsidRPr="00A779B8">
        <w:rPr>
          <w:lang w:val="fr-FR"/>
        </w:rPr>
        <w:t>7.4.2</w:t>
      </w:r>
      <w:r w:rsidRPr="00A779B8">
        <w:rPr>
          <w:lang w:val="fr-FR"/>
        </w:rPr>
        <w:tab/>
        <w:t>Le constructeur peut utiliser un débitmètre de son choix, si ce dernier est accepté par l</w:t>
      </w:r>
      <w:r w:rsidR="00DB4C2D">
        <w:rPr>
          <w:lang w:val="fr-FR"/>
        </w:rPr>
        <w:t>’</w:t>
      </w:r>
      <w:r w:rsidRPr="00A779B8">
        <w:rPr>
          <w:lang w:val="fr-FR"/>
        </w:rPr>
        <w:t>autorité d</w:t>
      </w:r>
      <w:r w:rsidR="00DB4C2D">
        <w:rPr>
          <w:lang w:val="fr-FR"/>
        </w:rPr>
        <w:t>’</w:t>
      </w:r>
      <w:r w:rsidRPr="00A779B8">
        <w:rPr>
          <w:lang w:val="fr-FR"/>
        </w:rPr>
        <w:t>homologation de type.</w:t>
      </w:r>
    </w:p>
    <w:p w:rsidR="00A320B5" w:rsidRPr="00A779B8" w:rsidRDefault="00A320B5" w:rsidP="00A320B5">
      <w:pPr>
        <w:pStyle w:val="SingleTxtG"/>
        <w:spacing w:after="100"/>
        <w:ind w:left="2268" w:hanging="1134"/>
        <w:rPr>
          <w:lang w:val="fr-FR"/>
        </w:rPr>
      </w:pPr>
      <w:r w:rsidRPr="00A779B8">
        <w:rPr>
          <w:lang w:val="fr-FR"/>
        </w:rPr>
        <w:t>7.4.3</w:t>
      </w:r>
      <w:r w:rsidRPr="00A779B8">
        <w:rPr>
          <w:lang w:val="fr-FR"/>
        </w:rPr>
        <w:tab/>
        <w:t>Le véhicule doit fonctionner de telle façon que tout défaut de conception du système de purge pouvant gêner la purge soit détecté, et les circonstances doivent être notées.</w:t>
      </w:r>
    </w:p>
    <w:p w:rsidR="00A320B5" w:rsidRPr="00A779B8" w:rsidRDefault="00A320B5" w:rsidP="00A320B5">
      <w:pPr>
        <w:pStyle w:val="SingleTxtG"/>
        <w:keepLines/>
        <w:spacing w:after="100"/>
        <w:ind w:left="2268" w:hanging="1134"/>
        <w:rPr>
          <w:lang w:val="fr-FR"/>
        </w:rPr>
      </w:pPr>
      <w:r w:rsidRPr="00A779B8">
        <w:rPr>
          <w:lang w:val="fr-FR"/>
        </w:rPr>
        <w:t>7.4.4</w:t>
      </w:r>
      <w:r w:rsidRPr="00A779B8">
        <w:rPr>
          <w:lang w:val="fr-FR"/>
        </w:rPr>
        <w:tab/>
        <w:t>Pendant que le moteur fonctionne à l</w:t>
      </w:r>
      <w:r w:rsidR="00DB4C2D">
        <w:rPr>
          <w:lang w:val="fr-FR"/>
        </w:rPr>
        <w:t>’</w:t>
      </w:r>
      <w:r w:rsidRPr="00A779B8">
        <w:rPr>
          <w:lang w:val="fr-FR"/>
        </w:rPr>
        <w:t>intérieur des limites spécifiées au paragraphe 7.4.3 ci-dessus, le débit d</w:t>
      </w:r>
      <w:r w:rsidR="00DB4C2D">
        <w:rPr>
          <w:lang w:val="fr-FR"/>
        </w:rPr>
        <w:t>’</w:t>
      </w:r>
      <w:r w:rsidRPr="00A779B8">
        <w:rPr>
          <w:lang w:val="fr-FR"/>
        </w:rPr>
        <w:t>air doit être déterminé soit par:</w:t>
      </w:r>
    </w:p>
    <w:p w:rsidR="00A320B5" w:rsidRPr="00A779B8" w:rsidRDefault="00A320B5" w:rsidP="00A320B5">
      <w:pPr>
        <w:pStyle w:val="SingleTxtG"/>
        <w:spacing w:after="100"/>
        <w:ind w:left="2268" w:hanging="1134"/>
        <w:rPr>
          <w:lang w:val="fr-FR"/>
        </w:rPr>
      </w:pPr>
      <w:r w:rsidRPr="00A779B8">
        <w:rPr>
          <w:lang w:val="fr-FR"/>
        </w:rPr>
        <w:t>7.4.4.1</w:t>
      </w:r>
      <w:r w:rsidRPr="00A779B8">
        <w:rPr>
          <w:lang w:val="fr-FR"/>
        </w:rPr>
        <w:tab/>
        <w:t>L</w:t>
      </w:r>
      <w:r w:rsidR="00DB4C2D">
        <w:rPr>
          <w:lang w:val="fr-FR"/>
        </w:rPr>
        <w:t>’</w:t>
      </w:r>
      <w:r w:rsidRPr="00A779B8">
        <w:rPr>
          <w:lang w:val="fr-FR"/>
        </w:rPr>
        <w:t>appareillage spécifié au paragraphe 7.4.1 ci-dessus. Cet appareil étant branché, il doit être observé une chute de pression de la pression atmosphérique à un niveau indiquant qu</w:t>
      </w:r>
      <w:r w:rsidR="00DB4C2D">
        <w:rPr>
          <w:lang w:val="fr-FR"/>
        </w:rPr>
        <w:t>’</w:t>
      </w:r>
      <w:r w:rsidRPr="00A779B8">
        <w:rPr>
          <w:lang w:val="fr-FR"/>
        </w:rPr>
        <w:t>un volume de 1</w:t>
      </w:r>
      <w:r w:rsidR="00FE752F">
        <w:rPr>
          <w:lang w:val="fr-FR"/>
        </w:rPr>
        <w:t> </w:t>
      </w:r>
      <w:r w:rsidRPr="00A779B8">
        <w:rPr>
          <w:lang w:val="fr-FR"/>
        </w:rPr>
        <w:t>litre d</w:t>
      </w:r>
      <w:r w:rsidR="00DB4C2D">
        <w:rPr>
          <w:lang w:val="fr-FR"/>
        </w:rPr>
        <w:t>’</w:t>
      </w:r>
      <w:r w:rsidRPr="00A779B8">
        <w:rPr>
          <w:lang w:val="fr-FR"/>
        </w:rPr>
        <w:t xml:space="preserve">air a pénétré </w:t>
      </w:r>
      <w:r w:rsidRPr="00A779B8">
        <w:rPr>
          <w:lang w:val="fr-FR"/>
        </w:rPr>
        <w:lastRenderedPageBreak/>
        <w:t>dans le système de contrôle des émissions par évaporation en moins de 1 min; ou</w:t>
      </w:r>
    </w:p>
    <w:p w:rsidR="00A320B5" w:rsidRPr="00A779B8" w:rsidRDefault="00A320B5" w:rsidP="00A320B5">
      <w:pPr>
        <w:pStyle w:val="SingleTxtG"/>
        <w:ind w:left="2268" w:hanging="1134"/>
        <w:rPr>
          <w:lang w:val="fr-FR"/>
        </w:rPr>
      </w:pPr>
      <w:r w:rsidRPr="00A779B8">
        <w:rPr>
          <w:lang w:val="fr-FR"/>
        </w:rPr>
        <w:t>7.4.4.2</w:t>
      </w:r>
      <w:r w:rsidRPr="00A779B8">
        <w:rPr>
          <w:lang w:val="fr-FR"/>
        </w:rPr>
        <w:tab/>
        <w:t>Si un autre appareillage de mesure de débit est utilisé, une lecture d</w:t>
      </w:r>
      <w:r w:rsidR="00DB4C2D">
        <w:rPr>
          <w:lang w:val="fr-FR"/>
        </w:rPr>
        <w:t>’</w:t>
      </w:r>
      <w:r w:rsidRPr="00A779B8">
        <w:rPr>
          <w:lang w:val="fr-FR"/>
        </w:rPr>
        <w:t>un débit de 1 l/min doit être possible.</w:t>
      </w:r>
    </w:p>
    <w:p w:rsidR="00A320B5" w:rsidRPr="00A779B8" w:rsidRDefault="00A320B5" w:rsidP="00A320B5">
      <w:pPr>
        <w:pStyle w:val="SingleTxtG"/>
        <w:ind w:left="2268" w:hanging="1134"/>
        <w:rPr>
          <w:lang w:val="fr-FR"/>
        </w:rPr>
      </w:pPr>
      <w:r w:rsidRPr="00A779B8">
        <w:rPr>
          <w:lang w:val="fr-FR"/>
        </w:rPr>
        <w:t>7.4.4.3</w:t>
      </w:r>
      <w:r w:rsidRPr="00A779B8">
        <w:rPr>
          <w:lang w:val="fr-FR"/>
        </w:rPr>
        <w:tab/>
        <w:t>À la demande du constructeur, il est possible d</w:t>
      </w:r>
      <w:r w:rsidR="00DB4C2D">
        <w:rPr>
          <w:lang w:val="fr-FR"/>
        </w:rPr>
        <w:t>’</w:t>
      </w:r>
      <w:r w:rsidRPr="00A779B8">
        <w:rPr>
          <w:lang w:val="fr-FR"/>
        </w:rPr>
        <w:t>utiliser une autre procédure pour les essais de purge si elle a été présentée au service technique et acceptée par ce service lors de la procédure d</w:t>
      </w:r>
      <w:r w:rsidR="00DB4C2D">
        <w:rPr>
          <w:lang w:val="fr-FR"/>
        </w:rPr>
        <w:t>’</w:t>
      </w:r>
      <w:r w:rsidRPr="00A779B8">
        <w:rPr>
          <w:lang w:val="fr-FR"/>
        </w:rPr>
        <w:t>homologation de type.</w:t>
      </w:r>
    </w:p>
    <w:p w:rsidR="00A320B5" w:rsidRPr="00A779B8" w:rsidRDefault="00A320B5" w:rsidP="00A320B5">
      <w:pPr>
        <w:pStyle w:val="SingleTxtG"/>
        <w:ind w:left="2268" w:hanging="1134"/>
        <w:rPr>
          <w:lang w:val="fr-FR"/>
        </w:rPr>
      </w:pPr>
      <w:r w:rsidRPr="00A779B8">
        <w:rPr>
          <w:lang w:val="fr-FR"/>
        </w:rPr>
        <w:t>7.5</w:t>
      </w:r>
      <w:r w:rsidRPr="00A779B8">
        <w:rPr>
          <w:lang w:val="fr-FR"/>
        </w:rPr>
        <w:tab/>
        <w:t>L</w:t>
      </w:r>
      <w:r w:rsidR="00DB4C2D">
        <w:rPr>
          <w:lang w:val="fr-FR"/>
        </w:rPr>
        <w:t>’</w:t>
      </w:r>
      <w:r w:rsidRPr="00A779B8">
        <w:rPr>
          <w:lang w:val="fr-FR"/>
        </w:rPr>
        <w:t>autorité d</w:t>
      </w:r>
      <w:r w:rsidR="00DB4C2D">
        <w:rPr>
          <w:lang w:val="fr-FR"/>
        </w:rPr>
        <w:t>’</w:t>
      </w:r>
      <w:r w:rsidRPr="00A779B8">
        <w:rPr>
          <w:lang w:val="fr-FR"/>
        </w:rPr>
        <w:t>homologation de type qui a accordé l</w:t>
      </w:r>
      <w:r w:rsidR="00DB4C2D">
        <w:rPr>
          <w:lang w:val="fr-FR"/>
        </w:rPr>
        <w:t>’</w:t>
      </w:r>
      <w:r w:rsidRPr="00A779B8">
        <w:rPr>
          <w:lang w:val="fr-FR"/>
        </w:rPr>
        <w:t>homologation de type peut, à tout moment, vérifier les méthodes de contrôle de conformité applicables à chaque unité de production.</w:t>
      </w:r>
    </w:p>
    <w:p w:rsidR="00A320B5" w:rsidRPr="00A779B8" w:rsidRDefault="00A320B5" w:rsidP="00A320B5">
      <w:pPr>
        <w:pStyle w:val="SingleTxtG"/>
        <w:ind w:left="2268" w:hanging="1134"/>
        <w:rPr>
          <w:lang w:val="fr-FR"/>
        </w:rPr>
      </w:pPr>
      <w:r w:rsidRPr="00A779B8">
        <w:rPr>
          <w:lang w:val="fr-FR"/>
        </w:rPr>
        <w:t>7.5.1</w:t>
      </w:r>
      <w:r w:rsidRPr="00A779B8">
        <w:rPr>
          <w:lang w:val="fr-FR"/>
        </w:rPr>
        <w:tab/>
        <w:t>L</w:t>
      </w:r>
      <w:r w:rsidR="00DB4C2D">
        <w:rPr>
          <w:lang w:val="fr-FR"/>
        </w:rPr>
        <w:t>’</w:t>
      </w:r>
      <w:r w:rsidRPr="00A779B8">
        <w:rPr>
          <w:lang w:val="fr-FR"/>
        </w:rPr>
        <w:t>inspecteur doit prélever dans la série un nombre suffisant d</w:t>
      </w:r>
      <w:r w:rsidR="00DB4C2D">
        <w:rPr>
          <w:lang w:val="fr-FR"/>
        </w:rPr>
        <w:t>’</w:t>
      </w:r>
      <w:r w:rsidRPr="00A779B8">
        <w:rPr>
          <w:lang w:val="fr-FR"/>
        </w:rPr>
        <w:t>échantillons.</w:t>
      </w:r>
    </w:p>
    <w:p w:rsidR="00A320B5" w:rsidRDefault="00A320B5" w:rsidP="00A320B5">
      <w:pPr>
        <w:pStyle w:val="SingleTxtG"/>
        <w:ind w:left="2268" w:hanging="1134"/>
        <w:rPr>
          <w:lang w:val="fr-FR"/>
        </w:rPr>
      </w:pPr>
      <w:r w:rsidRPr="00A779B8">
        <w:rPr>
          <w:lang w:val="fr-FR"/>
        </w:rPr>
        <w:t>7.5.2</w:t>
      </w:r>
      <w:r w:rsidRPr="00A779B8">
        <w:rPr>
          <w:lang w:val="fr-FR"/>
        </w:rPr>
        <w:tab/>
        <w:t>L</w:t>
      </w:r>
      <w:r w:rsidR="00DB4C2D">
        <w:rPr>
          <w:lang w:val="fr-FR"/>
        </w:rPr>
        <w:t>’</w:t>
      </w:r>
      <w:r w:rsidRPr="00A779B8">
        <w:rPr>
          <w:lang w:val="fr-FR"/>
        </w:rPr>
        <w:t>inspecteur peut essayer les véhicules en appliquant le paragraphe 7.1 de la présente annexe.</w:t>
      </w:r>
    </w:p>
    <w:p w:rsidR="00A320B5" w:rsidRDefault="00A320B5" w:rsidP="00A320B5">
      <w:pPr>
        <w:pStyle w:val="SingleTxtG"/>
        <w:ind w:left="2268" w:hanging="1134"/>
        <w:rPr>
          <w:lang w:val="fr-FR"/>
        </w:rPr>
      </w:pPr>
      <w:r w:rsidRPr="00A779B8">
        <w:rPr>
          <w:lang w:val="fr-FR"/>
        </w:rPr>
        <w:t>7.6</w:t>
      </w:r>
      <w:r w:rsidRPr="00A779B8">
        <w:rPr>
          <w:lang w:val="fr-FR"/>
        </w:rPr>
        <w:tab/>
        <w:t>S</w:t>
      </w:r>
      <w:r w:rsidR="00DB4C2D">
        <w:rPr>
          <w:lang w:val="fr-FR"/>
        </w:rPr>
        <w:t>’</w:t>
      </w:r>
      <w:r w:rsidRPr="00A779B8">
        <w:rPr>
          <w:lang w:val="fr-FR"/>
        </w:rPr>
        <w:t>il n</w:t>
      </w:r>
      <w:r w:rsidR="00DB4C2D">
        <w:rPr>
          <w:lang w:val="fr-FR"/>
        </w:rPr>
        <w:t>’</w:t>
      </w:r>
      <w:r w:rsidRPr="00A779B8">
        <w:rPr>
          <w:lang w:val="fr-FR"/>
        </w:rPr>
        <w:t>est pas satisfait aux prescriptions du paragraphe 7.5 ci-dessus, l</w:t>
      </w:r>
      <w:r w:rsidR="00DB4C2D">
        <w:rPr>
          <w:lang w:val="fr-FR"/>
        </w:rPr>
        <w:t>’</w:t>
      </w:r>
      <w:r w:rsidRPr="00A779B8">
        <w:rPr>
          <w:lang w:val="fr-FR"/>
        </w:rPr>
        <w:t>autorité d</w:t>
      </w:r>
      <w:r w:rsidR="00DB4C2D">
        <w:rPr>
          <w:lang w:val="fr-FR"/>
        </w:rPr>
        <w:t>’</w:t>
      </w:r>
      <w:r w:rsidRPr="00A779B8">
        <w:rPr>
          <w:lang w:val="fr-FR"/>
        </w:rPr>
        <w:t>homologation de type doit s</w:t>
      </w:r>
      <w:r w:rsidR="00DB4C2D">
        <w:rPr>
          <w:lang w:val="fr-FR"/>
        </w:rPr>
        <w:t>’</w:t>
      </w:r>
      <w:r w:rsidRPr="00A779B8">
        <w:rPr>
          <w:lang w:val="fr-FR"/>
        </w:rPr>
        <w:t>assurer que toutes les mesures nécessaires sont prises pour rétablir la conformité de la production dans les plus brefs délais.</w:t>
      </w:r>
    </w:p>
    <w:p w:rsidR="00A320B5" w:rsidRDefault="00A320B5" w:rsidP="00A320B5">
      <w:pPr>
        <w:pStyle w:val="SingleTxtG"/>
        <w:ind w:left="2268" w:hanging="1134"/>
        <w:sectPr w:rsidR="00A320B5" w:rsidSect="00C108AC">
          <w:headerReference w:type="even" r:id="rId226"/>
          <w:headerReference w:type="default" r:id="rId227"/>
          <w:footnotePr>
            <w:numRestart w:val="eachSect"/>
          </w:footnotePr>
          <w:endnotePr>
            <w:numFmt w:val="decimal"/>
          </w:endnotePr>
          <w:pgSz w:w="11907" w:h="16840" w:code="9"/>
          <w:pgMar w:top="1701" w:right="1134" w:bottom="2268" w:left="1134" w:header="794" w:footer="1701" w:gutter="0"/>
          <w:cols w:space="720"/>
          <w:docGrid w:linePitch="272"/>
        </w:sectPr>
      </w:pPr>
    </w:p>
    <w:p w:rsidR="00A320B5" w:rsidRPr="00A779B8" w:rsidRDefault="00A320B5" w:rsidP="00A320B5">
      <w:pPr>
        <w:pStyle w:val="HChG"/>
        <w:rPr>
          <w:lang w:val="fr-FR"/>
        </w:rPr>
      </w:pPr>
      <w:r w:rsidRPr="00A779B8">
        <w:rPr>
          <w:lang w:val="fr-FR"/>
        </w:rPr>
        <w:lastRenderedPageBreak/>
        <w:t>Annexe 7 − Appendice 1</w:t>
      </w:r>
    </w:p>
    <w:p w:rsidR="00A320B5" w:rsidRPr="00A779B8" w:rsidRDefault="00A320B5" w:rsidP="00A320B5">
      <w:pPr>
        <w:pStyle w:val="HChG"/>
        <w:rPr>
          <w:lang w:val="fr-FR"/>
        </w:rPr>
      </w:pPr>
      <w:r w:rsidRPr="00A779B8">
        <w:rPr>
          <w:lang w:val="fr-FR"/>
        </w:rPr>
        <w:tab/>
      </w:r>
      <w:r w:rsidRPr="00A779B8">
        <w:rPr>
          <w:lang w:val="fr-FR"/>
        </w:rPr>
        <w:tab/>
        <w:t>Étalonnage des appareils pour les essais d</w:t>
      </w:r>
      <w:r w:rsidR="00DB4C2D">
        <w:rPr>
          <w:lang w:val="fr-FR"/>
        </w:rPr>
        <w:t>’</w:t>
      </w:r>
      <w:r w:rsidR="0027453B">
        <w:rPr>
          <w:lang w:val="fr-FR"/>
        </w:rPr>
        <w:t>émissions par évaporation</w:t>
      </w:r>
    </w:p>
    <w:p w:rsidR="00A320B5" w:rsidRPr="00A779B8" w:rsidRDefault="00A320B5" w:rsidP="00A320B5">
      <w:pPr>
        <w:pStyle w:val="SingleTxtG"/>
        <w:keepNext/>
        <w:spacing w:after="100"/>
        <w:ind w:left="2268" w:hanging="1134"/>
        <w:jc w:val="left"/>
        <w:rPr>
          <w:lang w:val="fr-FR"/>
        </w:rPr>
      </w:pPr>
      <w:r w:rsidRPr="00A779B8">
        <w:rPr>
          <w:lang w:val="fr-FR"/>
        </w:rPr>
        <w:t>1.</w:t>
      </w:r>
      <w:r w:rsidRPr="00A779B8">
        <w:rPr>
          <w:lang w:val="fr-FR"/>
        </w:rPr>
        <w:tab/>
        <w:t>Fréquence et méthode d</w:t>
      </w:r>
      <w:r w:rsidR="00DB4C2D">
        <w:rPr>
          <w:lang w:val="fr-FR"/>
        </w:rPr>
        <w:t>’</w:t>
      </w:r>
      <w:r w:rsidRPr="00A779B8">
        <w:rPr>
          <w:lang w:val="fr-FR"/>
        </w:rPr>
        <w:t>étalonnage</w:t>
      </w:r>
    </w:p>
    <w:p w:rsidR="00A320B5" w:rsidRPr="00A779B8" w:rsidRDefault="00A320B5" w:rsidP="00A320B5">
      <w:pPr>
        <w:pStyle w:val="SingleTxtG"/>
        <w:spacing w:after="100"/>
        <w:ind w:left="2268" w:hanging="1134"/>
        <w:rPr>
          <w:lang w:val="fr-FR"/>
        </w:rPr>
      </w:pPr>
      <w:r w:rsidRPr="00A779B8">
        <w:rPr>
          <w:lang w:val="fr-FR"/>
        </w:rPr>
        <w:t>1.1</w:t>
      </w:r>
      <w:r w:rsidRPr="00A779B8">
        <w:rPr>
          <w:lang w:val="fr-FR"/>
        </w:rPr>
        <w:tab/>
        <w:t>Tout le matériel doit être étalonné avant la première utilisation et subir ensuite un étalonnage aussi souvent que nécessaire et, en tout cas, au cours du mois qui précède un essai en vue de l</w:t>
      </w:r>
      <w:r w:rsidR="00DB4C2D">
        <w:rPr>
          <w:lang w:val="fr-FR"/>
        </w:rPr>
        <w:t>’</w:t>
      </w:r>
      <w:r w:rsidRPr="00A779B8">
        <w:rPr>
          <w:lang w:val="fr-FR"/>
        </w:rPr>
        <w:t>homologation de type. Les méthodes d</w:t>
      </w:r>
      <w:r w:rsidR="00DB4C2D">
        <w:rPr>
          <w:lang w:val="fr-FR"/>
        </w:rPr>
        <w:t>’</w:t>
      </w:r>
      <w:r w:rsidRPr="00A779B8">
        <w:rPr>
          <w:lang w:val="fr-FR"/>
        </w:rPr>
        <w:t>étalonnage à utiliser sont décrites dans le présent appendice.</w:t>
      </w:r>
    </w:p>
    <w:p w:rsidR="00A320B5" w:rsidRPr="00A779B8" w:rsidRDefault="00A320B5" w:rsidP="00A320B5">
      <w:pPr>
        <w:pStyle w:val="SingleTxtG"/>
        <w:spacing w:after="100"/>
        <w:ind w:left="2268" w:hanging="1134"/>
        <w:rPr>
          <w:lang w:val="fr-FR"/>
        </w:rPr>
      </w:pPr>
      <w:r w:rsidRPr="00A779B8">
        <w:rPr>
          <w:lang w:val="fr-FR"/>
        </w:rPr>
        <w:t>1.2</w:t>
      </w:r>
      <w:r w:rsidRPr="00A779B8">
        <w:rPr>
          <w:lang w:val="fr-FR"/>
        </w:rPr>
        <w:tab/>
        <w:t>Normalement, les plages de températures mentionnées en premier lieu doivent être utilisées. Les températures indiquées entre crochets peuvent être utilisées en remplacement.</w:t>
      </w:r>
    </w:p>
    <w:p w:rsidR="00A320B5" w:rsidRPr="00A779B8" w:rsidRDefault="00A320B5" w:rsidP="00A320B5">
      <w:pPr>
        <w:pStyle w:val="SingleTxtG"/>
        <w:keepNext/>
        <w:spacing w:after="100"/>
        <w:ind w:left="2268" w:hanging="1134"/>
        <w:jc w:val="left"/>
        <w:rPr>
          <w:lang w:val="fr-FR"/>
        </w:rPr>
      </w:pPr>
      <w:r w:rsidRPr="00A779B8">
        <w:rPr>
          <w:lang w:val="fr-FR"/>
        </w:rPr>
        <w:t>2.</w:t>
      </w:r>
      <w:r w:rsidRPr="00A779B8">
        <w:rPr>
          <w:lang w:val="fr-FR"/>
        </w:rPr>
        <w:tab/>
        <w:t>Étalonnage de l</w:t>
      </w:r>
      <w:r w:rsidR="00DB4C2D">
        <w:rPr>
          <w:lang w:val="fr-FR"/>
        </w:rPr>
        <w:t>’</w:t>
      </w:r>
      <w:r w:rsidRPr="00A779B8">
        <w:rPr>
          <w:lang w:val="fr-FR"/>
        </w:rPr>
        <w:t>enceinte</w:t>
      </w:r>
    </w:p>
    <w:p w:rsidR="00A320B5" w:rsidRPr="00A779B8" w:rsidRDefault="00A320B5" w:rsidP="00A320B5">
      <w:pPr>
        <w:pStyle w:val="SingleTxtG"/>
        <w:keepNext/>
        <w:spacing w:after="100"/>
        <w:ind w:left="2268" w:hanging="1134"/>
        <w:jc w:val="left"/>
        <w:rPr>
          <w:lang w:val="fr-FR"/>
        </w:rPr>
      </w:pPr>
      <w:r w:rsidRPr="00A779B8">
        <w:rPr>
          <w:lang w:val="fr-FR"/>
        </w:rPr>
        <w:t>2.1</w:t>
      </w:r>
      <w:r w:rsidRPr="00A779B8">
        <w:rPr>
          <w:lang w:val="fr-FR"/>
        </w:rPr>
        <w:tab/>
        <w:t>Détermination initiale du volume interne de l</w:t>
      </w:r>
      <w:r w:rsidR="00DB4C2D">
        <w:rPr>
          <w:lang w:val="fr-FR"/>
        </w:rPr>
        <w:t>’</w:t>
      </w:r>
      <w:r w:rsidRPr="00A779B8">
        <w:rPr>
          <w:lang w:val="fr-FR"/>
        </w:rPr>
        <w:t>enceinte</w:t>
      </w:r>
    </w:p>
    <w:p w:rsidR="00A320B5" w:rsidRPr="00A779B8" w:rsidRDefault="00A320B5" w:rsidP="00A320B5">
      <w:pPr>
        <w:pStyle w:val="SingleTxtG"/>
        <w:spacing w:after="100"/>
        <w:ind w:left="2268" w:hanging="1134"/>
        <w:rPr>
          <w:lang w:val="fr-FR"/>
        </w:rPr>
      </w:pPr>
      <w:r w:rsidRPr="00A779B8">
        <w:rPr>
          <w:lang w:val="fr-FR"/>
        </w:rPr>
        <w:t>2.1.1</w:t>
      </w:r>
      <w:r w:rsidRPr="00A779B8">
        <w:rPr>
          <w:lang w:val="fr-FR"/>
        </w:rPr>
        <w:tab/>
        <w:t>Avant une première utilisation de l</w:t>
      </w:r>
      <w:r w:rsidR="00DB4C2D">
        <w:rPr>
          <w:lang w:val="fr-FR"/>
        </w:rPr>
        <w:t>’</w:t>
      </w:r>
      <w:r w:rsidRPr="00A779B8">
        <w:rPr>
          <w:lang w:val="fr-FR"/>
        </w:rPr>
        <w:t>enceinte, on doit déterminer son volume interne en opérant comme indiqué ci-après:</w:t>
      </w:r>
    </w:p>
    <w:p w:rsidR="00A320B5" w:rsidRPr="00A779B8" w:rsidRDefault="00A320B5" w:rsidP="00A320B5">
      <w:pPr>
        <w:pStyle w:val="SingleTxtG"/>
        <w:spacing w:after="100"/>
        <w:ind w:left="2268"/>
        <w:rPr>
          <w:lang w:val="fr-FR"/>
        </w:rPr>
      </w:pPr>
      <w:r w:rsidRPr="00A779B8">
        <w:rPr>
          <w:lang w:val="fr-FR"/>
        </w:rPr>
        <w:tab/>
        <w:t>On mesure avec soin les dimensions internes de la chambre, en tenant compte de toute irrégularité, comme par exemple des poutrelles de contreventement. On détermine le volume interne de la chambre d</w:t>
      </w:r>
      <w:r w:rsidR="00DB4C2D">
        <w:rPr>
          <w:lang w:val="fr-FR"/>
        </w:rPr>
        <w:t>’</w:t>
      </w:r>
      <w:r w:rsidRPr="00A779B8">
        <w:rPr>
          <w:lang w:val="fr-FR"/>
        </w:rPr>
        <w:t>après ces mesures.</w:t>
      </w:r>
    </w:p>
    <w:p w:rsidR="00A320B5" w:rsidRPr="00A779B8" w:rsidRDefault="00A320B5" w:rsidP="00A320B5">
      <w:pPr>
        <w:pStyle w:val="SingleTxtG"/>
        <w:spacing w:after="100"/>
        <w:ind w:left="2268"/>
        <w:rPr>
          <w:lang w:val="fr-FR"/>
        </w:rPr>
      </w:pPr>
      <w:r w:rsidRPr="00A779B8">
        <w:rPr>
          <w:lang w:val="fr-FR"/>
        </w:rPr>
        <w:tab/>
        <w:t>Pour une enceinte à volume variable, verrouiller l</w:t>
      </w:r>
      <w:r w:rsidR="00DB4C2D">
        <w:rPr>
          <w:lang w:val="fr-FR"/>
        </w:rPr>
        <w:t>’</w:t>
      </w:r>
      <w:r w:rsidRPr="00A779B8">
        <w:rPr>
          <w:lang w:val="fr-FR"/>
        </w:rPr>
        <w:t>enceinte à un volume déterminé, l</w:t>
      </w:r>
      <w:r w:rsidR="00DB4C2D">
        <w:rPr>
          <w:lang w:val="fr-FR"/>
        </w:rPr>
        <w:t>’</w:t>
      </w:r>
      <w:r w:rsidRPr="00A779B8">
        <w:rPr>
          <w:lang w:val="fr-FR"/>
        </w:rPr>
        <w:t>enceinte étant maintenue à une température ambiante de 303 K (30 °C) [302 K (29 °C)]. Le volume nominal ainsi calculé devra être répétable à 0,5 % près.</w:t>
      </w:r>
    </w:p>
    <w:p w:rsidR="00A320B5" w:rsidRPr="00A779B8" w:rsidRDefault="00A320B5" w:rsidP="00A320B5">
      <w:pPr>
        <w:pStyle w:val="SingleTxtG"/>
        <w:spacing w:after="100"/>
        <w:ind w:left="2268" w:hanging="1134"/>
        <w:rPr>
          <w:lang w:val="fr-FR"/>
        </w:rPr>
      </w:pPr>
      <w:r w:rsidRPr="00A779B8">
        <w:rPr>
          <w:lang w:val="fr-FR"/>
        </w:rPr>
        <w:t>2.1.2</w:t>
      </w:r>
      <w:r w:rsidRPr="00A779B8">
        <w:rPr>
          <w:lang w:val="fr-FR"/>
        </w:rPr>
        <w:tab/>
        <w:t>On obtient le volume interne net en déduisant 1,42 m</w:t>
      </w:r>
      <w:r w:rsidRPr="00A779B8">
        <w:rPr>
          <w:vertAlign w:val="superscript"/>
          <w:lang w:val="fr-FR"/>
        </w:rPr>
        <w:t>3</w:t>
      </w:r>
      <w:r w:rsidRPr="00A779B8">
        <w:rPr>
          <w:lang w:val="fr-FR"/>
        </w:rPr>
        <w:t xml:space="preserve"> du volume interne de l</w:t>
      </w:r>
      <w:r w:rsidR="00DB4C2D">
        <w:rPr>
          <w:lang w:val="fr-FR"/>
        </w:rPr>
        <w:t>’</w:t>
      </w:r>
      <w:r w:rsidRPr="00A779B8">
        <w:rPr>
          <w:lang w:val="fr-FR"/>
        </w:rPr>
        <w:t>enceinte. Au lieu de déduire 1,42 m</w:t>
      </w:r>
      <w:r w:rsidRPr="00A779B8">
        <w:rPr>
          <w:vertAlign w:val="superscript"/>
          <w:lang w:val="fr-FR"/>
        </w:rPr>
        <w:t>3</w:t>
      </w:r>
      <w:r w:rsidRPr="00A779B8">
        <w:rPr>
          <w:lang w:val="fr-FR"/>
        </w:rPr>
        <w:t>, on peut aussi déduire le volume du véhicule d</w:t>
      </w:r>
      <w:r w:rsidR="00DB4C2D">
        <w:rPr>
          <w:lang w:val="fr-FR"/>
        </w:rPr>
        <w:t>’</w:t>
      </w:r>
      <w:r w:rsidRPr="00A779B8">
        <w:rPr>
          <w:lang w:val="fr-FR"/>
        </w:rPr>
        <w:t>essai, le coffre à bagages et les fenêtres du véhicule étant ouverts.</w:t>
      </w:r>
    </w:p>
    <w:p w:rsidR="00A320B5" w:rsidRPr="00A779B8" w:rsidRDefault="00A320B5" w:rsidP="00A320B5">
      <w:pPr>
        <w:pStyle w:val="SingleTxtG"/>
        <w:spacing w:after="100"/>
        <w:ind w:left="2268" w:hanging="1134"/>
        <w:rPr>
          <w:lang w:val="fr-FR"/>
        </w:rPr>
      </w:pPr>
      <w:r w:rsidRPr="00A779B8">
        <w:rPr>
          <w:lang w:val="fr-FR"/>
        </w:rPr>
        <w:t>2.1.3</w:t>
      </w:r>
      <w:r w:rsidRPr="00A779B8">
        <w:rPr>
          <w:lang w:val="fr-FR"/>
        </w:rPr>
        <w:tab/>
        <w:t>On doit alors vérifier l</w:t>
      </w:r>
      <w:r w:rsidR="00DB4C2D">
        <w:rPr>
          <w:lang w:val="fr-FR"/>
        </w:rPr>
        <w:t>’</w:t>
      </w:r>
      <w:r w:rsidRPr="00A779B8">
        <w:rPr>
          <w:lang w:val="fr-FR"/>
        </w:rPr>
        <w:t>étanchéité de la chambre, en procédant comme indiqué au paragraphe 2.3 ci-dessous. Si la valeur trouvée pour la masse de propane ne correspond pas à la masse injectée, à 2 % près, il faut agir en conséquence pour rectifier le défaut.</w:t>
      </w:r>
    </w:p>
    <w:p w:rsidR="00A320B5" w:rsidRPr="00A779B8" w:rsidRDefault="00A320B5" w:rsidP="00A320B5">
      <w:pPr>
        <w:pStyle w:val="SingleTxtG"/>
        <w:keepNext/>
        <w:spacing w:after="100"/>
        <w:ind w:left="2268" w:hanging="1134"/>
        <w:rPr>
          <w:lang w:val="fr-FR"/>
        </w:rPr>
      </w:pPr>
      <w:r w:rsidRPr="00A779B8">
        <w:rPr>
          <w:lang w:val="fr-FR"/>
        </w:rPr>
        <w:t>2.2</w:t>
      </w:r>
      <w:r w:rsidRPr="00A779B8">
        <w:rPr>
          <w:lang w:val="fr-FR"/>
        </w:rPr>
        <w:tab/>
        <w:t>Détermination des émissions résiduelles dans la chambre</w:t>
      </w:r>
    </w:p>
    <w:p w:rsidR="00A320B5" w:rsidRPr="00A779B8" w:rsidRDefault="00A320B5" w:rsidP="00A320B5">
      <w:pPr>
        <w:pStyle w:val="SingleTxtG"/>
        <w:spacing w:after="100"/>
        <w:ind w:left="2268"/>
        <w:rPr>
          <w:lang w:val="fr-FR"/>
        </w:rPr>
      </w:pPr>
      <w:r w:rsidRPr="00A779B8">
        <w:rPr>
          <w:lang w:val="fr-FR"/>
        </w:rPr>
        <w:tab/>
        <w:t>Cette opération permet de déterminer si la chambre ne contient aucune matière susceptible d</w:t>
      </w:r>
      <w:r w:rsidR="00DB4C2D">
        <w:rPr>
          <w:lang w:val="fr-FR"/>
        </w:rPr>
        <w:t>’</w:t>
      </w:r>
      <w:r w:rsidRPr="00A779B8">
        <w:rPr>
          <w:lang w:val="fr-FR"/>
        </w:rPr>
        <w:t>émettre des quantités significatives d</w:t>
      </w:r>
      <w:r w:rsidR="00DB4C2D">
        <w:rPr>
          <w:lang w:val="fr-FR"/>
        </w:rPr>
        <w:t>’</w:t>
      </w:r>
      <w:r w:rsidRPr="00A779B8">
        <w:rPr>
          <w:lang w:val="fr-FR"/>
        </w:rPr>
        <w:t>hydrocarbures. On doit procéder à cette vérification pour la mise en service de la chambre, ainsi qu</w:t>
      </w:r>
      <w:r w:rsidR="00DB4C2D">
        <w:rPr>
          <w:lang w:val="fr-FR"/>
        </w:rPr>
        <w:t>’</w:t>
      </w:r>
      <w:r w:rsidRPr="00A779B8">
        <w:rPr>
          <w:lang w:val="fr-FR"/>
        </w:rPr>
        <w:t>après tout travail effectué dans la chambre pouvant entraîner des émissions résiduelles et à raison d</w:t>
      </w:r>
      <w:r w:rsidR="00DB4C2D">
        <w:rPr>
          <w:lang w:val="fr-FR"/>
        </w:rPr>
        <w:t>’</w:t>
      </w:r>
      <w:r w:rsidRPr="00A779B8">
        <w:rPr>
          <w:lang w:val="fr-FR"/>
        </w:rPr>
        <w:t>au moins une fois par an.</w:t>
      </w:r>
    </w:p>
    <w:p w:rsidR="00A320B5" w:rsidRPr="00A779B8" w:rsidRDefault="00A320B5" w:rsidP="00A320B5">
      <w:pPr>
        <w:pStyle w:val="SingleTxtG"/>
        <w:spacing w:after="100"/>
        <w:ind w:left="2268" w:hanging="1134"/>
        <w:rPr>
          <w:lang w:val="fr-FR"/>
        </w:rPr>
      </w:pPr>
      <w:r w:rsidRPr="00A779B8">
        <w:rPr>
          <w:rStyle w:val="SingleTxtGChar"/>
          <w:lang w:val="fr-FR"/>
        </w:rPr>
        <w:t>2.2.1</w:t>
      </w:r>
      <w:r w:rsidRPr="00A779B8">
        <w:rPr>
          <w:rStyle w:val="SingleTxtGChar"/>
          <w:lang w:val="fr-FR"/>
        </w:rPr>
        <w:tab/>
        <w:t>Comme indiqué au paragraphe 2.1.1 ci-dessus, les enceintes à volume variable peuvent être utilisées en configuration verrouillée ou non verrouillée. La température ambiante doit</w:t>
      </w:r>
      <w:r w:rsidRPr="00A779B8">
        <w:rPr>
          <w:lang w:val="fr-FR"/>
        </w:rPr>
        <w:t xml:space="preserve"> être maintenue à 308 K </w:t>
      </w:r>
      <w:r w:rsidRPr="00A779B8">
        <w:rPr>
          <w:lang w:val="fr-FR"/>
        </w:rPr>
        <w:sym w:font="Symbol" w:char="F0B1"/>
      </w:r>
      <w:r w:rsidRPr="00A779B8">
        <w:rPr>
          <w:lang w:val="fr-FR"/>
        </w:rPr>
        <w:t> 2 K (35 </w:t>
      </w:r>
      <w:r w:rsidRPr="00A779B8">
        <w:rPr>
          <w:lang w:val="fr-FR"/>
        </w:rPr>
        <w:sym w:font="Symbol" w:char="F0B1"/>
      </w:r>
      <w:r w:rsidRPr="00A779B8">
        <w:rPr>
          <w:lang w:val="fr-FR"/>
        </w:rPr>
        <w:t> 2 °C) [309 K </w:t>
      </w:r>
      <w:r w:rsidRPr="00A779B8">
        <w:rPr>
          <w:lang w:val="fr-FR"/>
        </w:rPr>
        <w:sym w:font="Symbol" w:char="F0B1"/>
      </w:r>
      <w:r w:rsidRPr="00A779B8">
        <w:rPr>
          <w:lang w:val="fr-FR"/>
        </w:rPr>
        <w:t> 2 K (36 </w:t>
      </w:r>
      <w:r w:rsidRPr="00A779B8">
        <w:rPr>
          <w:lang w:val="fr-FR"/>
        </w:rPr>
        <w:sym w:font="Symbol" w:char="F0B1"/>
      </w:r>
      <w:r w:rsidRPr="00A779B8">
        <w:rPr>
          <w:lang w:val="fr-FR"/>
        </w:rPr>
        <w:t> 2 °C)] pendant la période de 4 h mentionnée ci-après.</w:t>
      </w:r>
    </w:p>
    <w:p w:rsidR="00A320B5" w:rsidRPr="00A779B8" w:rsidRDefault="00A320B5" w:rsidP="00A320B5">
      <w:pPr>
        <w:pStyle w:val="SingleTxtG"/>
        <w:spacing w:after="100"/>
        <w:ind w:left="2268" w:hanging="1134"/>
        <w:rPr>
          <w:lang w:val="fr-FR"/>
        </w:rPr>
      </w:pPr>
      <w:r w:rsidRPr="00A779B8">
        <w:rPr>
          <w:lang w:val="fr-FR"/>
        </w:rPr>
        <w:t>2.2.2</w:t>
      </w:r>
      <w:r w:rsidRPr="00A779B8">
        <w:rPr>
          <w:lang w:val="fr-FR"/>
        </w:rPr>
        <w:tab/>
        <w:t>Les enceintes à volume fixe doivent être utilisées avec les entrées et les sorties d</w:t>
      </w:r>
      <w:r w:rsidR="00DB4C2D">
        <w:rPr>
          <w:lang w:val="fr-FR"/>
        </w:rPr>
        <w:t>’</w:t>
      </w:r>
      <w:r w:rsidRPr="00A779B8">
        <w:rPr>
          <w:lang w:val="fr-FR"/>
        </w:rPr>
        <w:t>air fermées. La température ambiante doit être maintenue à 308 K </w:t>
      </w:r>
      <w:r w:rsidRPr="00A779B8">
        <w:rPr>
          <w:lang w:val="fr-FR"/>
        </w:rPr>
        <w:sym w:font="Symbol" w:char="F0B1"/>
      </w:r>
      <w:r w:rsidRPr="00A779B8">
        <w:rPr>
          <w:lang w:val="fr-FR"/>
        </w:rPr>
        <w:t> 2 K (35 </w:t>
      </w:r>
      <w:r w:rsidRPr="00A779B8">
        <w:rPr>
          <w:lang w:val="fr-FR"/>
        </w:rPr>
        <w:sym w:font="Symbol" w:char="F0B1"/>
      </w:r>
      <w:r w:rsidRPr="00A779B8">
        <w:rPr>
          <w:lang w:val="fr-FR"/>
        </w:rPr>
        <w:t> 2 °C) [309 K </w:t>
      </w:r>
      <w:r w:rsidRPr="00A779B8">
        <w:rPr>
          <w:lang w:val="fr-FR"/>
        </w:rPr>
        <w:sym w:font="Symbol" w:char="F0B1"/>
      </w:r>
      <w:r w:rsidRPr="00A779B8">
        <w:rPr>
          <w:lang w:val="fr-FR"/>
        </w:rPr>
        <w:t> 2 K (36 </w:t>
      </w:r>
      <w:r w:rsidRPr="00A779B8">
        <w:rPr>
          <w:lang w:val="fr-FR"/>
        </w:rPr>
        <w:sym w:font="Symbol" w:char="F0B1"/>
      </w:r>
      <w:r w:rsidRPr="00A779B8">
        <w:rPr>
          <w:lang w:val="fr-FR"/>
        </w:rPr>
        <w:t> 2 °C)] pendant la période de 4 h mentionnée ci</w:t>
      </w:r>
      <w:r w:rsidRPr="00A779B8">
        <w:rPr>
          <w:lang w:val="fr-FR"/>
        </w:rPr>
        <w:noBreakHyphen/>
        <w:t>après.</w:t>
      </w:r>
    </w:p>
    <w:p w:rsidR="00A320B5" w:rsidRPr="00A779B8" w:rsidRDefault="00A320B5" w:rsidP="00A320B5">
      <w:pPr>
        <w:pStyle w:val="SingleTxtG"/>
        <w:ind w:left="2268" w:hanging="1134"/>
        <w:rPr>
          <w:lang w:val="fr-FR"/>
        </w:rPr>
      </w:pPr>
      <w:r w:rsidRPr="00A779B8">
        <w:rPr>
          <w:lang w:val="fr-FR"/>
        </w:rPr>
        <w:lastRenderedPageBreak/>
        <w:t>2.2.3</w:t>
      </w:r>
      <w:r w:rsidRPr="00A779B8">
        <w:rPr>
          <w:lang w:val="fr-FR"/>
        </w:rPr>
        <w:tab/>
        <w:t>L</w:t>
      </w:r>
      <w:r w:rsidR="00DB4C2D">
        <w:rPr>
          <w:lang w:val="fr-FR"/>
        </w:rPr>
        <w:t>’</w:t>
      </w:r>
      <w:r w:rsidRPr="00A779B8">
        <w:rPr>
          <w:lang w:val="fr-FR"/>
        </w:rPr>
        <w:t>enceinte peut être fermée de manière étanche et le ventilateur de mélange peut fonctionner pendant une durée allant jusqu</w:t>
      </w:r>
      <w:r w:rsidR="00DB4C2D">
        <w:rPr>
          <w:lang w:val="fr-FR"/>
        </w:rPr>
        <w:t>’</w:t>
      </w:r>
      <w:r w:rsidRPr="00A779B8">
        <w:rPr>
          <w:lang w:val="fr-FR"/>
        </w:rPr>
        <w:t>à 12 h avant que ne débute la période de 4 h de mesure de la concentration résiduelle.</w:t>
      </w:r>
    </w:p>
    <w:p w:rsidR="00A320B5" w:rsidRPr="00A779B8" w:rsidRDefault="00A320B5" w:rsidP="00A320B5">
      <w:pPr>
        <w:pStyle w:val="SingleTxtG"/>
        <w:ind w:left="2268" w:hanging="1134"/>
        <w:rPr>
          <w:lang w:val="fr-FR"/>
        </w:rPr>
      </w:pPr>
      <w:r w:rsidRPr="00A779B8">
        <w:rPr>
          <w:lang w:val="fr-FR"/>
        </w:rPr>
        <w:t>2.2.4</w:t>
      </w:r>
      <w:r w:rsidRPr="00A779B8">
        <w:rPr>
          <w:lang w:val="fr-FR"/>
        </w:rPr>
        <w:tab/>
        <w:t>Étalonner l</w:t>
      </w:r>
      <w:r w:rsidR="00DB4C2D">
        <w:rPr>
          <w:lang w:val="fr-FR"/>
        </w:rPr>
        <w:t>’</w:t>
      </w:r>
      <w:r w:rsidRPr="00A779B8">
        <w:rPr>
          <w:lang w:val="fr-FR"/>
        </w:rPr>
        <w:t>analyseur (si nécessaire), le mettre à zéro et en effectuer le réglage d</w:t>
      </w:r>
      <w:r w:rsidR="00DB4C2D">
        <w:rPr>
          <w:lang w:val="fr-FR"/>
        </w:rPr>
        <w:t>’</w:t>
      </w:r>
      <w:r w:rsidRPr="00A779B8">
        <w:rPr>
          <w:lang w:val="fr-FR"/>
        </w:rPr>
        <w:t>échelle.</w:t>
      </w:r>
    </w:p>
    <w:p w:rsidR="00A320B5" w:rsidRPr="00A779B8" w:rsidRDefault="00A320B5" w:rsidP="00A320B5">
      <w:pPr>
        <w:pStyle w:val="SingleTxtG"/>
        <w:ind w:left="2268" w:hanging="1134"/>
        <w:rPr>
          <w:lang w:val="fr-FR"/>
        </w:rPr>
      </w:pPr>
      <w:r w:rsidRPr="00A779B8">
        <w:rPr>
          <w:lang w:val="fr-FR"/>
        </w:rPr>
        <w:t>2.2.5</w:t>
      </w:r>
      <w:r w:rsidRPr="00A779B8">
        <w:rPr>
          <w:lang w:val="fr-FR"/>
        </w:rPr>
        <w:tab/>
        <w:t>Purger l</w:t>
      </w:r>
      <w:r w:rsidR="00DB4C2D">
        <w:rPr>
          <w:lang w:val="fr-FR"/>
        </w:rPr>
        <w:t>’</w:t>
      </w:r>
      <w:r w:rsidRPr="00A779B8">
        <w:rPr>
          <w:lang w:val="fr-FR"/>
        </w:rPr>
        <w:t>enceinte jusqu</w:t>
      </w:r>
      <w:r w:rsidR="00DB4C2D">
        <w:rPr>
          <w:lang w:val="fr-FR"/>
        </w:rPr>
        <w:t>’</w:t>
      </w:r>
      <w:r w:rsidRPr="00A779B8">
        <w:rPr>
          <w:lang w:val="fr-FR"/>
        </w:rPr>
        <w:t>à obtenir une valeur stable pour la mesure de la concentration d</w:t>
      </w:r>
      <w:r w:rsidR="00DB4C2D">
        <w:rPr>
          <w:lang w:val="fr-FR"/>
        </w:rPr>
        <w:t>’</w:t>
      </w:r>
      <w:r w:rsidRPr="00A779B8">
        <w:rPr>
          <w:lang w:val="fr-FR"/>
        </w:rPr>
        <w:t>hydrocarbures. Mettre en marche le ventilateur de mélange si ce n</w:t>
      </w:r>
      <w:r w:rsidR="00DB4C2D">
        <w:rPr>
          <w:lang w:val="fr-FR"/>
        </w:rPr>
        <w:t>’</w:t>
      </w:r>
      <w:r w:rsidRPr="00A779B8">
        <w:rPr>
          <w:lang w:val="fr-FR"/>
        </w:rPr>
        <w:t>est déjà fait.</w:t>
      </w:r>
    </w:p>
    <w:p w:rsidR="00A320B5" w:rsidRPr="00A779B8" w:rsidRDefault="00A320B5" w:rsidP="00A320B5">
      <w:pPr>
        <w:pStyle w:val="SingleTxtG"/>
        <w:ind w:left="2268" w:hanging="1134"/>
        <w:rPr>
          <w:lang w:val="fr-FR"/>
        </w:rPr>
      </w:pPr>
      <w:r w:rsidRPr="00A779B8">
        <w:rPr>
          <w:lang w:val="fr-FR"/>
        </w:rPr>
        <w:t>2.2.6</w:t>
      </w:r>
      <w:r w:rsidRPr="00A779B8">
        <w:rPr>
          <w:lang w:val="fr-FR"/>
        </w:rPr>
        <w:tab/>
        <w:t xml:space="preserve">Fermer la chambre de manière étanche et mesurer la valeur de la concentration résiduelle en hydrocarbures ainsi que la température et la pression barométrique. On obtient ainsi les valeurs initiales </w:t>
      </w:r>
      <w:proofErr w:type="spellStart"/>
      <w:r w:rsidRPr="00A779B8">
        <w:rPr>
          <w:lang w:val="fr-FR"/>
        </w:rPr>
        <w:t>C</w:t>
      </w:r>
      <w:r w:rsidRPr="00A779B8">
        <w:rPr>
          <w:vertAlign w:val="subscript"/>
          <w:lang w:val="fr-FR"/>
        </w:rPr>
        <w:t>HCi</w:t>
      </w:r>
      <w:proofErr w:type="spellEnd"/>
      <w:r w:rsidRPr="00A779B8">
        <w:rPr>
          <w:lang w:val="fr-FR"/>
        </w:rPr>
        <w:t>, P</w:t>
      </w:r>
      <w:r w:rsidRPr="00A779B8">
        <w:rPr>
          <w:vertAlign w:val="subscript"/>
          <w:lang w:val="fr-FR"/>
        </w:rPr>
        <w:t>i</w:t>
      </w:r>
      <w:r w:rsidRPr="00A779B8">
        <w:rPr>
          <w:lang w:val="fr-FR"/>
        </w:rPr>
        <w:t xml:space="preserve"> et T</w:t>
      </w:r>
      <w:r w:rsidRPr="00A779B8">
        <w:rPr>
          <w:vertAlign w:val="subscript"/>
          <w:lang w:val="fr-FR"/>
        </w:rPr>
        <w:t>i</w:t>
      </w:r>
      <w:r w:rsidRPr="00A779B8">
        <w:rPr>
          <w:lang w:val="fr-FR"/>
        </w:rPr>
        <w:t>, à utiliser pour calculer les conditions résiduelles dans l</w:t>
      </w:r>
      <w:r w:rsidR="00DB4C2D">
        <w:rPr>
          <w:lang w:val="fr-FR"/>
        </w:rPr>
        <w:t>’</w:t>
      </w:r>
      <w:r w:rsidRPr="00A779B8">
        <w:rPr>
          <w:lang w:val="fr-FR"/>
        </w:rPr>
        <w:t>enceinte.</w:t>
      </w:r>
    </w:p>
    <w:p w:rsidR="00A320B5" w:rsidRPr="00A779B8" w:rsidRDefault="00A320B5" w:rsidP="00A320B5">
      <w:pPr>
        <w:pStyle w:val="SingleTxtG"/>
        <w:ind w:left="2268" w:hanging="1134"/>
        <w:rPr>
          <w:lang w:val="fr-FR"/>
        </w:rPr>
      </w:pPr>
      <w:r w:rsidRPr="00A779B8">
        <w:rPr>
          <w:lang w:val="fr-FR"/>
        </w:rPr>
        <w:t>2.2.7</w:t>
      </w:r>
      <w:r w:rsidRPr="00A779B8">
        <w:rPr>
          <w:lang w:val="fr-FR"/>
        </w:rPr>
        <w:tab/>
        <w:t>On laisse alors l</w:t>
      </w:r>
      <w:r w:rsidR="00DB4C2D">
        <w:rPr>
          <w:lang w:val="fr-FR"/>
        </w:rPr>
        <w:t>’</w:t>
      </w:r>
      <w:r w:rsidRPr="00A779B8">
        <w:rPr>
          <w:lang w:val="fr-FR"/>
        </w:rPr>
        <w:t>enceinte au repos avec le ventilateur de mélange en marche pendant 4 h.</w:t>
      </w:r>
    </w:p>
    <w:p w:rsidR="00A320B5" w:rsidRPr="00A779B8" w:rsidRDefault="00A320B5" w:rsidP="00A320B5">
      <w:pPr>
        <w:pStyle w:val="SingleTxtG"/>
        <w:ind w:left="2268" w:hanging="1134"/>
        <w:rPr>
          <w:lang w:val="fr-FR"/>
        </w:rPr>
      </w:pPr>
      <w:r w:rsidRPr="00A779B8">
        <w:rPr>
          <w:lang w:val="fr-FR"/>
        </w:rPr>
        <w:t>2.2.8</w:t>
      </w:r>
      <w:r w:rsidRPr="00A779B8">
        <w:rPr>
          <w:lang w:val="fr-FR"/>
        </w:rPr>
        <w:tab/>
        <w:t xml:space="preserve">Après cette période de 4 h, on utilise le même analyseur pour mesurer la concentration en hydrocarbures dans la chambre. On mesure également la température et la pression barométrique. On obtient ainsi les valeurs finales </w:t>
      </w:r>
      <w:proofErr w:type="spellStart"/>
      <w:r w:rsidRPr="00A779B8">
        <w:rPr>
          <w:lang w:val="fr-FR"/>
        </w:rPr>
        <w:t>C</w:t>
      </w:r>
      <w:r w:rsidRPr="00A779B8">
        <w:rPr>
          <w:vertAlign w:val="subscript"/>
          <w:lang w:val="fr-FR"/>
        </w:rPr>
        <w:t>HCf</w:t>
      </w:r>
      <w:proofErr w:type="spellEnd"/>
      <w:r w:rsidRPr="00A779B8">
        <w:rPr>
          <w:lang w:val="fr-FR"/>
        </w:rPr>
        <w:t>, P</w:t>
      </w:r>
      <w:r w:rsidRPr="00A779B8">
        <w:rPr>
          <w:vertAlign w:val="subscript"/>
          <w:lang w:val="fr-FR"/>
        </w:rPr>
        <w:t>f</w:t>
      </w:r>
      <w:r w:rsidRPr="00A779B8">
        <w:rPr>
          <w:lang w:val="fr-FR"/>
        </w:rPr>
        <w:t xml:space="preserve"> et T</w:t>
      </w:r>
      <w:r w:rsidRPr="00A779B8">
        <w:rPr>
          <w:vertAlign w:val="subscript"/>
          <w:lang w:val="fr-FR"/>
        </w:rPr>
        <w:t>f</w:t>
      </w:r>
      <w:r w:rsidRPr="00A779B8">
        <w:rPr>
          <w:lang w:val="fr-FR"/>
        </w:rPr>
        <w:t>.</w:t>
      </w:r>
    </w:p>
    <w:p w:rsidR="00A320B5" w:rsidRPr="00A779B8" w:rsidRDefault="00A320B5" w:rsidP="00A320B5">
      <w:pPr>
        <w:pStyle w:val="SingleTxtG"/>
        <w:ind w:left="2268" w:hanging="1134"/>
        <w:rPr>
          <w:lang w:val="fr-FR"/>
        </w:rPr>
      </w:pPr>
      <w:r w:rsidRPr="00A779B8">
        <w:rPr>
          <w:lang w:val="fr-FR"/>
        </w:rPr>
        <w:t>2.2.9</w:t>
      </w:r>
      <w:r w:rsidRPr="00A779B8">
        <w:rPr>
          <w:lang w:val="fr-FR"/>
        </w:rPr>
        <w:tab/>
        <w:t>On calcule alors la variation de la masse d</w:t>
      </w:r>
      <w:r w:rsidR="00DB4C2D">
        <w:rPr>
          <w:lang w:val="fr-FR"/>
        </w:rPr>
        <w:t>’</w:t>
      </w:r>
      <w:r w:rsidRPr="00A779B8">
        <w:rPr>
          <w:lang w:val="fr-FR"/>
        </w:rPr>
        <w:t>hydrocarbures dans l</w:t>
      </w:r>
      <w:r w:rsidR="00DB4C2D">
        <w:rPr>
          <w:lang w:val="fr-FR"/>
        </w:rPr>
        <w:t>’</w:t>
      </w:r>
      <w:r w:rsidRPr="00A779B8">
        <w:rPr>
          <w:lang w:val="fr-FR"/>
        </w:rPr>
        <w:t>enceinte pendant la durée de l</w:t>
      </w:r>
      <w:r w:rsidR="00DB4C2D">
        <w:rPr>
          <w:lang w:val="fr-FR"/>
        </w:rPr>
        <w:t>’</w:t>
      </w:r>
      <w:r w:rsidRPr="00A779B8">
        <w:rPr>
          <w:lang w:val="fr-FR"/>
        </w:rPr>
        <w:t>essai, comme indiqué au paragraphe 2.4 ci-dessous. Cette variation ne doit pas être supérieure à 0,05 g.</w:t>
      </w:r>
    </w:p>
    <w:p w:rsidR="00A320B5" w:rsidRPr="00A779B8" w:rsidRDefault="00A320B5" w:rsidP="00A320B5">
      <w:pPr>
        <w:pStyle w:val="SingleTxtG"/>
        <w:keepNext/>
        <w:ind w:left="2268" w:hanging="1134"/>
        <w:jc w:val="left"/>
        <w:rPr>
          <w:lang w:val="fr-FR"/>
        </w:rPr>
      </w:pPr>
      <w:r w:rsidRPr="00A779B8">
        <w:rPr>
          <w:lang w:val="fr-FR"/>
        </w:rPr>
        <w:t>2.3</w:t>
      </w:r>
      <w:r w:rsidRPr="00A779B8">
        <w:rPr>
          <w:lang w:val="fr-FR"/>
        </w:rPr>
        <w:tab/>
        <w:t>Étalonnage de la chambre et essai de rétention des hydrocarbures</w:t>
      </w:r>
    </w:p>
    <w:p w:rsidR="00A320B5" w:rsidRPr="00A779B8" w:rsidRDefault="00A320B5" w:rsidP="00A320B5">
      <w:pPr>
        <w:pStyle w:val="SingleTxtG"/>
        <w:ind w:left="2268"/>
        <w:rPr>
          <w:lang w:val="fr-FR"/>
        </w:rPr>
      </w:pPr>
      <w:r w:rsidRPr="00A779B8">
        <w:rPr>
          <w:lang w:val="fr-FR"/>
        </w:rPr>
        <w:tab/>
        <w:t>L</w:t>
      </w:r>
      <w:r w:rsidR="00DB4C2D">
        <w:rPr>
          <w:lang w:val="fr-FR"/>
        </w:rPr>
        <w:t>’</w:t>
      </w:r>
      <w:r w:rsidRPr="00A779B8">
        <w:rPr>
          <w:lang w:val="fr-FR"/>
        </w:rPr>
        <w:t>essai d</w:t>
      </w:r>
      <w:r w:rsidR="00DB4C2D">
        <w:rPr>
          <w:lang w:val="fr-FR"/>
        </w:rPr>
        <w:t>’</w:t>
      </w:r>
      <w:r w:rsidRPr="00A779B8">
        <w:rPr>
          <w:lang w:val="fr-FR"/>
        </w:rPr>
        <w:t>étalonnage et de rétention des hydrocarbures dans la chambre permet de vérifier la valeur calculée du volume (par. 2.1 ci-dessus) et sert aussi à mesurer un taux de fuite éventuelle. Le taux de fuite de l</w:t>
      </w:r>
      <w:r w:rsidR="00DB4C2D">
        <w:rPr>
          <w:lang w:val="fr-FR"/>
        </w:rPr>
        <w:t>’</w:t>
      </w:r>
      <w:r w:rsidRPr="00A779B8">
        <w:rPr>
          <w:lang w:val="fr-FR"/>
        </w:rPr>
        <w:t>enceinte doit être déterminé lors de sa mise en service, après tout travail effectué dans l</w:t>
      </w:r>
      <w:r w:rsidR="00DB4C2D">
        <w:rPr>
          <w:lang w:val="fr-FR"/>
        </w:rPr>
        <w:t>’</w:t>
      </w:r>
      <w:r w:rsidRPr="00A779B8">
        <w:rPr>
          <w:lang w:val="fr-FR"/>
        </w:rPr>
        <w:t>enceinte qui serait susceptible d</w:t>
      </w:r>
      <w:r w:rsidR="00DB4C2D">
        <w:rPr>
          <w:lang w:val="fr-FR"/>
        </w:rPr>
        <w:t>’</w:t>
      </w:r>
      <w:r w:rsidRPr="00A779B8">
        <w:rPr>
          <w:lang w:val="fr-FR"/>
        </w:rPr>
        <w:t>en affecter l</w:t>
      </w:r>
      <w:r w:rsidR="00DB4C2D">
        <w:rPr>
          <w:lang w:val="fr-FR"/>
        </w:rPr>
        <w:t>’</w:t>
      </w:r>
      <w:r w:rsidRPr="00A779B8">
        <w:rPr>
          <w:lang w:val="fr-FR"/>
        </w:rPr>
        <w:t>intégrité, et au moins une fois par mois. Si six essais de rétention mensuels consécutifs sont effectués sans qu</w:t>
      </w:r>
      <w:r w:rsidR="00DB4C2D">
        <w:rPr>
          <w:lang w:val="fr-FR"/>
        </w:rPr>
        <w:t>’</w:t>
      </w:r>
      <w:r w:rsidRPr="00A779B8">
        <w:rPr>
          <w:lang w:val="fr-FR"/>
        </w:rPr>
        <w:t>aucune action corrective n</w:t>
      </w:r>
      <w:r w:rsidR="00DB4C2D">
        <w:rPr>
          <w:lang w:val="fr-FR"/>
        </w:rPr>
        <w:t>’</w:t>
      </w:r>
      <w:r w:rsidRPr="00A779B8">
        <w:rPr>
          <w:lang w:val="fr-FR"/>
        </w:rPr>
        <w:t>apparaisse nécessaire, le taux de fuite de l</w:t>
      </w:r>
      <w:r w:rsidR="00DB4C2D">
        <w:rPr>
          <w:lang w:val="fr-FR"/>
        </w:rPr>
        <w:t>’</w:t>
      </w:r>
      <w:r w:rsidRPr="00A779B8">
        <w:rPr>
          <w:lang w:val="fr-FR"/>
        </w:rPr>
        <w:t>enceinte pourra par la suite être déterminé tous les trimestres, tant qu</w:t>
      </w:r>
      <w:r w:rsidR="00DB4C2D">
        <w:rPr>
          <w:lang w:val="fr-FR"/>
        </w:rPr>
        <w:t>’</w:t>
      </w:r>
      <w:r w:rsidRPr="00A779B8">
        <w:rPr>
          <w:lang w:val="fr-FR"/>
        </w:rPr>
        <w:t>aucune correction n</w:t>
      </w:r>
      <w:r w:rsidR="00DB4C2D">
        <w:rPr>
          <w:lang w:val="fr-FR"/>
        </w:rPr>
        <w:t>’</w:t>
      </w:r>
      <w:r w:rsidRPr="00A779B8">
        <w:rPr>
          <w:lang w:val="fr-FR"/>
        </w:rPr>
        <w:t>est requise.</w:t>
      </w:r>
    </w:p>
    <w:p w:rsidR="00A320B5" w:rsidRPr="00A779B8" w:rsidRDefault="00A320B5" w:rsidP="00A320B5">
      <w:pPr>
        <w:pStyle w:val="SingleTxtG"/>
        <w:ind w:left="2268" w:hanging="1134"/>
        <w:rPr>
          <w:lang w:val="fr-FR"/>
        </w:rPr>
      </w:pPr>
      <w:r w:rsidRPr="00A779B8">
        <w:rPr>
          <w:lang w:val="fr-FR"/>
        </w:rPr>
        <w:t>2.3.1</w:t>
      </w:r>
      <w:r w:rsidRPr="00A779B8">
        <w:rPr>
          <w:lang w:val="fr-FR"/>
        </w:rPr>
        <w:tab/>
        <w:t>Purger l</w:t>
      </w:r>
      <w:r w:rsidR="00DB4C2D">
        <w:rPr>
          <w:lang w:val="fr-FR"/>
        </w:rPr>
        <w:t>’</w:t>
      </w:r>
      <w:r w:rsidRPr="00A779B8">
        <w:rPr>
          <w:lang w:val="fr-FR"/>
        </w:rPr>
        <w:t>enceinte jusqu</w:t>
      </w:r>
      <w:r w:rsidR="00DB4C2D">
        <w:rPr>
          <w:lang w:val="fr-FR"/>
        </w:rPr>
        <w:t>’</w:t>
      </w:r>
      <w:r w:rsidRPr="00A779B8">
        <w:rPr>
          <w:lang w:val="fr-FR"/>
        </w:rPr>
        <w:t>à obtenir une concentration d</w:t>
      </w:r>
      <w:r w:rsidR="00DB4C2D">
        <w:rPr>
          <w:lang w:val="fr-FR"/>
        </w:rPr>
        <w:t>’</w:t>
      </w:r>
      <w:r w:rsidRPr="00A779B8">
        <w:rPr>
          <w:lang w:val="fr-FR"/>
        </w:rPr>
        <w:t>hydrocarbures stable. Mettre en marche le ventilateur de mélange, si ce n</w:t>
      </w:r>
      <w:r w:rsidR="00DB4C2D">
        <w:rPr>
          <w:lang w:val="fr-FR"/>
        </w:rPr>
        <w:t>’</w:t>
      </w:r>
      <w:r w:rsidRPr="00A779B8">
        <w:rPr>
          <w:lang w:val="fr-FR"/>
        </w:rPr>
        <w:t>est déjà fait. Mettre l</w:t>
      </w:r>
      <w:r w:rsidR="00DB4C2D">
        <w:rPr>
          <w:lang w:val="fr-FR"/>
        </w:rPr>
        <w:t>’</w:t>
      </w:r>
      <w:r w:rsidRPr="00A779B8">
        <w:rPr>
          <w:lang w:val="fr-FR"/>
        </w:rPr>
        <w:t>analyseur à zéro, l</w:t>
      </w:r>
      <w:r w:rsidR="00DB4C2D">
        <w:rPr>
          <w:lang w:val="fr-FR"/>
        </w:rPr>
        <w:t>’</w:t>
      </w:r>
      <w:r w:rsidRPr="00A779B8">
        <w:rPr>
          <w:lang w:val="fr-FR"/>
        </w:rPr>
        <w:t>étalonner si nécessaire et en effectuer le réglage d</w:t>
      </w:r>
      <w:r w:rsidR="00DB4C2D">
        <w:rPr>
          <w:lang w:val="fr-FR"/>
        </w:rPr>
        <w:t>’</w:t>
      </w:r>
      <w:r w:rsidRPr="00A779B8">
        <w:rPr>
          <w:lang w:val="fr-FR"/>
        </w:rPr>
        <w:t>échelle.</w:t>
      </w:r>
    </w:p>
    <w:p w:rsidR="00A320B5" w:rsidRPr="00A779B8" w:rsidRDefault="00A320B5" w:rsidP="00A320B5">
      <w:pPr>
        <w:pStyle w:val="SingleTxtG"/>
        <w:ind w:left="2268" w:hanging="1134"/>
        <w:rPr>
          <w:lang w:val="fr-FR"/>
        </w:rPr>
      </w:pPr>
      <w:r w:rsidRPr="00A779B8">
        <w:rPr>
          <w:lang w:val="fr-FR"/>
        </w:rPr>
        <w:t>2.3.2</w:t>
      </w:r>
      <w:r w:rsidRPr="00A779B8">
        <w:rPr>
          <w:lang w:val="fr-FR"/>
        </w:rPr>
        <w:tab/>
        <w:t>Dans le cas d</w:t>
      </w:r>
      <w:r w:rsidR="00DB4C2D">
        <w:rPr>
          <w:lang w:val="fr-FR"/>
        </w:rPr>
        <w:t>’</w:t>
      </w:r>
      <w:r w:rsidRPr="00A779B8">
        <w:rPr>
          <w:lang w:val="fr-FR"/>
        </w:rPr>
        <w:t>une enceinte à volume variable, la verrouiller selon la configuration volumique nominale. Dans le cas d</w:t>
      </w:r>
      <w:r w:rsidR="00DB4C2D">
        <w:rPr>
          <w:lang w:val="fr-FR"/>
        </w:rPr>
        <w:t>’</w:t>
      </w:r>
      <w:r w:rsidRPr="00A779B8">
        <w:rPr>
          <w:lang w:val="fr-FR"/>
        </w:rPr>
        <w:t>une enceinte à volume fixe, fermer les entrées et les sorties d</w:t>
      </w:r>
      <w:r w:rsidR="00DB4C2D">
        <w:rPr>
          <w:lang w:val="fr-FR"/>
        </w:rPr>
        <w:t>’</w:t>
      </w:r>
      <w:r w:rsidRPr="00A779B8">
        <w:rPr>
          <w:lang w:val="fr-FR"/>
        </w:rPr>
        <w:t>air.</w:t>
      </w:r>
    </w:p>
    <w:p w:rsidR="00A320B5" w:rsidRPr="00A779B8" w:rsidRDefault="00A320B5" w:rsidP="00A320B5">
      <w:pPr>
        <w:pStyle w:val="SingleTxtG"/>
        <w:ind w:left="2268" w:hanging="1134"/>
        <w:rPr>
          <w:lang w:val="fr-FR"/>
        </w:rPr>
      </w:pPr>
      <w:r w:rsidRPr="00A779B8">
        <w:rPr>
          <w:lang w:val="fr-FR"/>
        </w:rPr>
        <w:t>2.3.3</w:t>
      </w:r>
      <w:r w:rsidRPr="00A779B8">
        <w:rPr>
          <w:lang w:val="fr-FR"/>
        </w:rPr>
        <w:tab/>
        <w:t>Mettre en marche le système de régulation de la température ambiante (si ce n</w:t>
      </w:r>
      <w:r w:rsidR="00DB4C2D">
        <w:rPr>
          <w:lang w:val="fr-FR"/>
        </w:rPr>
        <w:t>’</w:t>
      </w:r>
      <w:r w:rsidRPr="00A779B8">
        <w:rPr>
          <w:lang w:val="fr-FR"/>
        </w:rPr>
        <w:t>est déjà fait) et le régler à une température initiale de 308 K (35 °C) [309 K (36 °C)].</w:t>
      </w:r>
    </w:p>
    <w:p w:rsidR="00A320B5" w:rsidRPr="00A779B8" w:rsidRDefault="00A320B5" w:rsidP="00A320B5">
      <w:pPr>
        <w:pStyle w:val="SingleTxtG"/>
        <w:ind w:left="2268" w:hanging="1134"/>
        <w:rPr>
          <w:lang w:val="fr-FR"/>
        </w:rPr>
      </w:pPr>
      <w:r w:rsidRPr="00A779B8">
        <w:rPr>
          <w:lang w:val="fr-FR"/>
        </w:rPr>
        <w:t>2.3.4</w:t>
      </w:r>
      <w:r w:rsidRPr="00A779B8">
        <w:rPr>
          <w:lang w:val="fr-FR"/>
        </w:rPr>
        <w:tab/>
        <w:t>Lorsque la température de l</w:t>
      </w:r>
      <w:r w:rsidR="00DB4C2D">
        <w:rPr>
          <w:lang w:val="fr-FR"/>
        </w:rPr>
        <w:t>’</w:t>
      </w:r>
      <w:r w:rsidRPr="00A779B8">
        <w:rPr>
          <w:lang w:val="fr-FR"/>
        </w:rPr>
        <w:t>enceinte se stabilise à 308 </w:t>
      </w:r>
      <w:r w:rsidRPr="00A779B8">
        <w:rPr>
          <w:lang w:val="fr-FR"/>
        </w:rPr>
        <w:sym w:font="Symbol" w:char="F0B1"/>
      </w:r>
      <w:r w:rsidRPr="00A779B8">
        <w:rPr>
          <w:lang w:val="fr-FR"/>
        </w:rPr>
        <w:t>2 K (35 </w:t>
      </w:r>
      <w:r w:rsidRPr="00A779B8">
        <w:rPr>
          <w:lang w:val="fr-FR"/>
        </w:rPr>
        <w:sym w:font="Symbol" w:char="F0B1"/>
      </w:r>
      <w:r w:rsidRPr="00A779B8">
        <w:rPr>
          <w:lang w:val="fr-FR"/>
        </w:rPr>
        <w:t> 2 °C) [309 </w:t>
      </w:r>
      <w:r w:rsidRPr="00A779B8">
        <w:rPr>
          <w:lang w:val="fr-FR"/>
        </w:rPr>
        <w:sym w:font="Symbol" w:char="F0B1"/>
      </w:r>
      <w:r w:rsidRPr="00A779B8">
        <w:rPr>
          <w:lang w:val="fr-FR"/>
        </w:rPr>
        <w:t> 2 K (36 </w:t>
      </w:r>
      <w:r w:rsidRPr="00A779B8">
        <w:rPr>
          <w:lang w:val="fr-FR"/>
        </w:rPr>
        <w:sym w:font="Symbol" w:char="F0B1"/>
      </w:r>
      <w:r w:rsidRPr="00A779B8">
        <w:rPr>
          <w:lang w:val="fr-FR"/>
        </w:rPr>
        <w:t> 2 °C)], fermer l</w:t>
      </w:r>
      <w:r w:rsidR="00DB4C2D">
        <w:rPr>
          <w:lang w:val="fr-FR"/>
        </w:rPr>
        <w:t>’</w:t>
      </w:r>
      <w:r w:rsidRPr="00A779B8">
        <w:rPr>
          <w:lang w:val="fr-FR"/>
        </w:rPr>
        <w:t xml:space="preserve">enceinte de manière étanche et mesurer la concentration résiduelle, la température et la pression barométrique. On obtient ainsi les valeurs initiales </w:t>
      </w:r>
      <w:proofErr w:type="spellStart"/>
      <w:r w:rsidRPr="00A779B8">
        <w:rPr>
          <w:lang w:val="fr-FR"/>
        </w:rPr>
        <w:t>C</w:t>
      </w:r>
      <w:r w:rsidRPr="00A779B8">
        <w:rPr>
          <w:vertAlign w:val="subscript"/>
          <w:lang w:val="fr-FR"/>
        </w:rPr>
        <w:t>HCi</w:t>
      </w:r>
      <w:proofErr w:type="spellEnd"/>
      <w:r w:rsidRPr="00A779B8">
        <w:rPr>
          <w:lang w:val="fr-FR"/>
        </w:rPr>
        <w:t>, P</w:t>
      </w:r>
      <w:r w:rsidRPr="00A779B8">
        <w:rPr>
          <w:vertAlign w:val="subscript"/>
          <w:lang w:val="fr-FR"/>
        </w:rPr>
        <w:t>i</w:t>
      </w:r>
      <w:r w:rsidRPr="00A779B8">
        <w:rPr>
          <w:lang w:val="fr-FR"/>
        </w:rPr>
        <w:t xml:space="preserve"> et T</w:t>
      </w:r>
      <w:r w:rsidRPr="00A779B8">
        <w:rPr>
          <w:vertAlign w:val="subscript"/>
          <w:lang w:val="fr-FR"/>
        </w:rPr>
        <w:t>i</w:t>
      </w:r>
      <w:r w:rsidRPr="00A779B8">
        <w:rPr>
          <w:lang w:val="fr-FR"/>
        </w:rPr>
        <w:t>, à utiliser pour l</w:t>
      </w:r>
      <w:r w:rsidR="00DB4C2D">
        <w:rPr>
          <w:lang w:val="fr-FR"/>
        </w:rPr>
        <w:t>’</w:t>
      </w:r>
      <w:r w:rsidRPr="00A779B8">
        <w:rPr>
          <w:lang w:val="fr-FR"/>
        </w:rPr>
        <w:t>étalonnage de l</w:t>
      </w:r>
      <w:r w:rsidR="00DB4C2D">
        <w:rPr>
          <w:lang w:val="fr-FR"/>
        </w:rPr>
        <w:t>’</w:t>
      </w:r>
      <w:r w:rsidRPr="00A779B8">
        <w:rPr>
          <w:lang w:val="fr-FR"/>
        </w:rPr>
        <w:t>enceinte.</w:t>
      </w:r>
    </w:p>
    <w:p w:rsidR="00A320B5" w:rsidRPr="00A779B8" w:rsidRDefault="00A320B5" w:rsidP="00A320B5">
      <w:pPr>
        <w:pStyle w:val="SingleTxtG"/>
        <w:ind w:left="2268" w:hanging="1134"/>
        <w:rPr>
          <w:lang w:val="fr-FR"/>
        </w:rPr>
      </w:pPr>
      <w:r w:rsidRPr="00A779B8">
        <w:rPr>
          <w:lang w:val="fr-FR"/>
        </w:rPr>
        <w:lastRenderedPageBreak/>
        <w:t>2.3.5</w:t>
      </w:r>
      <w:r w:rsidRPr="00A779B8">
        <w:rPr>
          <w:lang w:val="fr-FR"/>
        </w:rPr>
        <w:tab/>
        <w:t>Injecter dans l</w:t>
      </w:r>
      <w:r w:rsidR="00DB4C2D">
        <w:rPr>
          <w:lang w:val="fr-FR"/>
        </w:rPr>
        <w:t>’</w:t>
      </w:r>
      <w:r w:rsidRPr="00A779B8">
        <w:rPr>
          <w:lang w:val="fr-FR"/>
        </w:rPr>
        <w:t xml:space="preserve">enceinte environ 4 g de propane. Cette masse de propane doit être mesurée avec une précision de </w:t>
      </w:r>
      <w:r w:rsidRPr="00A779B8">
        <w:rPr>
          <w:lang w:val="fr-FR"/>
        </w:rPr>
        <w:sym w:font="Symbol" w:char="F0B1"/>
      </w:r>
      <w:r w:rsidRPr="00A779B8">
        <w:rPr>
          <w:lang w:val="fr-FR"/>
        </w:rPr>
        <w:t>2 % de la valeur mesurée.</w:t>
      </w:r>
    </w:p>
    <w:p w:rsidR="00A320B5" w:rsidRPr="00A779B8" w:rsidRDefault="00A320B5" w:rsidP="00A320B5">
      <w:pPr>
        <w:pStyle w:val="SingleTxtG"/>
        <w:ind w:left="2268" w:hanging="1134"/>
        <w:rPr>
          <w:lang w:val="fr-FR"/>
        </w:rPr>
      </w:pPr>
      <w:r w:rsidRPr="00A779B8">
        <w:rPr>
          <w:lang w:val="fr-FR"/>
        </w:rPr>
        <w:t>2.3.6</w:t>
      </w:r>
      <w:r w:rsidRPr="00A779B8">
        <w:rPr>
          <w:lang w:val="fr-FR"/>
        </w:rPr>
        <w:tab/>
        <w:t>Il faut laisser l</w:t>
      </w:r>
      <w:r w:rsidR="00DB4C2D">
        <w:rPr>
          <w:lang w:val="fr-FR"/>
        </w:rPr>
        <w:t>’</w:t>
      </w:r>
      <w:r w:rsidRPr="00A779B8">
        <w:rPr>
          <w:lang w:val="fr-FR"/>
        </w:rPr>
        <w:t>atmosphère de la chambre se brasser pendant 5 min et mesurer alors la concentration d</w:t>
      </w:r>
      <w:r w:rsidR="00DB4C2D">
        <w:rPr>
          <w:lang w:val="fr-FR"/>
        </w:rPr>
        <w:t>’</w:t>
      </w:r>
      <w:r w:rsidRPr="00A779B8">
        <w:rPr>
          <w:lang w:val="fr-FR"/>
        </w:rPr>
        <w:t xml:space="preserve">hydrocarbures, la température et la pression barométrique. On obtient ainsi les valeurs finales </w:t>
      </w:r>
      <w:proofErr w:type="spellStart"/>
      <w:r w:rsidRPr="00A779B8">
        <w:rPr>
          <w:lang w:val="fr-FR"/>
        </w:rPr>
        <w:t>C</w:t>
      </w:r>
      <w:r w:rsidRPr="00A779B8">
        <w:rPr>
          <w:vertAlign w:val="subscript"/>
          <w:lang w:val="fr-FR"/>
        </w:rPr>
        <w:t>HCf</w:t>
      </w:r>
      <w:proofErr w:type="spellEnd"/>
      <w:r w:rsidRPr="00A779B8">
        <w:rPr>
          <w:lang w:val="fr-FR"/>
        </w:rPr>
        <w:t>, P</w:t>
      </w:r>
      <w:r w:rsidRPr="00A779B8">
        <w:rPr>
          <w:vertAlign w:val="subscript"/>
          <w:lang w:val="fr-FR"/>
        </w:rPr>
        <w:t>f</w:t>
      </w:r>
      <w:r w:rsidRPr="00A779B8">
        <w:rPr>
          <w:lang w:val="fr-FR"/>
        </w:rPr>
        <w:t xml:space="preserve"> et T</w:t>
      </w:r>
      <w:r w:rsidRPr="00A779B8">
        <w:rPr>
          <w:vertAlign w:val="subscript"/>
          <w:lang w:val="fr-FR"/>
        </w:rPr>
        <w:t>f</w:t>
      </w:r>
      <w:r w:rsidRPr="00A779B8">
        <w:rPr>
          <w:lang w:val="fr-FR"/>
        </w:rPr>
        <w:t xml:space="preserve"> pour l</w:t>
      </w:r>
      <w:r w:rsidR="00DB4C2D">
        <w:rPr>
          <w:lang w:val="fr-FR"/>
        </w:rPr>
        <w:t>’</w:t>
      </w:r>
      <w:r w:rsidRPr="00A779B8">
        <w:rPr>
          <w:lang w:val="fr-FR"/>
        </w:rPr>
        <w:t>étalonnage de l</w:t>
      </w:r>
      <w:r w:rsidR="00DB4C2D">
        <w:rPr>
          <w:lang w:val="fr-FR"/>
        </w:rPr>
        <w:t>’</w:t>
      </w:r>
      <w:r w:rsidRPr="00A779B8">
        <w:rPr>
          <w:lang w:val="fr-FR"/>
        </w:rPr>
        <w:t xml:space="preserve">enceinte, ainsi que les valeurs initiales </w:t>
      </w:r>
      <w:proofErr w:type="spellStart"/>
      <w:r w:rsidRPr="00A779B8">
        <w:rPr>
          <w:lang w:val="fr-FR"/>
        </w:rPr>
        <w:t>C</w:t>
      </w:r>
      <w:r w:rsidRPr="00A779B8">
        <w:rPr>
          <w:vertAlign w:val="subscript"/>
          <w:lang w:val="fr-FR"/>
        </w:rPr>
        <w:t>HCi</w:t>
      </w:r>
      <w:proofErr w:type="spellEnd"/>
      <w:r w:rsidRPr="00A779B8">
        <w:rPr>
          <w:lang w:val="fr-FR"/>
        </w:rPr>
        <w:t>, P</w:t>
      </w:r>
      <w:r w:rsidRPr="00A779B8">
        <w:rPr>
          <w:vertAlign w:val="subscript"/>
          <w:lang w:val="fr-FR"/>
        </w:rPr>
        <w:t>i</w:t>
      </w:r>
      <w:r w:rsidRPr="00A779B8">
        <w:rPr>
          <w:lang w:val="fr-FR"/>
        </w:rPr>
        <w:t xml:space="preserve"> et T</w:t>
      </w:r>
      <w:r w:rsidRPr="00A779B8">
        <w:rPr>
          <w:vertAlign w:val="subscript"/>
          <w:lang w:val="fr-FR"/>
        </w:rPr>
        <w:t>i</w:t>
      </w:r>
      <w:r w:rsidRPr="00A779B8">
        <w:rPr>
          <w:lang w:val="fr-FR"/>
        </w:rPr>
        <w:t>, pour l</w:t>
      </w:r>
      <w:r w:rsidR="00DB4C2D">
        <w:rPr>
          <w:lang w:val="fr-FR"/>
        </w:rPr>
        <w:t>’</w:t>
      </w:r>
      <w:r w:rsidRPr="00A779B8">
        <w:rPr>
          <w:lang w:val="fr-FR"/>
        </w:rPr>
        <w:t>essai de rétention.</w:t>
      </w:r>
    </w:p>
    <w:p w:rsidR="00A320B5" w:rsidRPr="00A779B8" w:rsidRDefault="00A320B5" w:rsidP="00A320B5">
      <w:pPr>
        <w:pStyle w:val="SingleTxtG"/>
        <w:ind w:left="2268" w:hanging="1134"/>
        <w:rPr>
          <w:lang w:val="fr-FR"/>
        </w:rPr>
      </w:pPr>
      <w:r w:rsidRPr="00A779B8">
        <w:rPr>
          <w:lang w:val="fr-FR"/>
        </w:rPr>
        <w:t>2.3.7</w:t>
      </w:r>
      <w:r w:rsidRPr="00A779B8">
        <w:rPr>
          <w:lang w:val="fr-FR"/>
        </w:rPr>
        <w:tab/>
        <w:t>À partir des valeurs mesurées aux paragraphes 2.3.4 et 2.3.6 et de la formule indiquée au paragraphe 2.4 ci-dessous, on calcule la masse de propane contenue dans l</w:t>
      </w:r>
      <w:r w:rsidR="00DB4C2D">
        <w:rPr>
          <w:lang w:val="fr-FR"/>
        </w:rPr>
        <w:t>’</w:t>
      </w:r>
      <w:r w:rsidRPr="00A779B8">
        <w:rPr>
          <w:lang w:val="fr-FR"/>
        </w:rPr>
        <w:t>enceinte. Cette valeur doit être celle de la masse de propane mesurée au paragraphe 2.3.5 ci-dessus à 2 % près.</w:t>
      </w:r>
    </w:p>
    <w:p w:rsidR="00A320B5" w:rsidRPr="00A779B8" w:rsidRDefault="00A320B5" w:rsidP="00A320B5">
      <w:pPr>
        <w:pStyle w:val="SingleTxtG"/>
        <w:ind w:left="2268" w:hanging="1134"/>
        <w:rPr>
          <w:lang w:val="fr-FR"/>
        </w:rPr>
      </w:pPr>
      <w:r w:rsidRPr="00A779B8">
        <w:rPr>
          <w:lang w:val="fr-FR"/>
        </w:rPr>
        <w:t>2.3.8</w:t>
      </w:r>
      <w:r w:rsidRPr="00A779B8">
        <w:rPr>
          <w:lang w:val="fr-FR"/>
        </w:rPr>
        <w:tab/>
        <w:t>Dans le cas d</w:t>
      </w:r>
      <w:r w:rsidR="00DB4C2D">
        <w:rPr>
          <w:lang w:val="fr-FR"/>
        </w:rPr>
        <w:t>’</w:t>
      </w:r>
      <w:r w:rsidRPr="00A779B8">
        <w:rPr>
          <w:lang w:val="fr-FR"/>
        </w:rPr>
        <w:t>une enceinte à volume variable il faut la déverrouiller de la configuration volumique nominale. Dans le cas d</w:t>
      </w:r>
      <w:r w:rsidR="00DB4C2D">
        <w:rPr>
          <w:lang w:val="fr-FR"/>
        </w:rPr>
        <w:t>’</w:t>
      </w:r>
      <w:r w:rsidRPr="00A779B8">
        <w:rPr>
          <w:lang w:val="fr-FR"/>
        </w:rPr>
        <w:t>une enceinte à volume fixe, il faut ouvrir les entrées et sorties d</w:t>
      </w:r>
      <w:r w:rsidR="00DB4C2D">
        <w:rPr>
          <w:lang w:val="fr-FR"/>
        </w:rPr>
        <w:t>’</w:t>
      </w:r>
      <w:r w:rsidRPr="00A779B8">
        <w:rPr>
          <w:lang w:val="fr-FR"/>
        </w:rPr>
        <w:t>air.</w:t>
      </w:r>
    </w:p>
    <w:p w:rsidR="00A320B5" w:rsidRPr="00A779B8" w:rsidRDefault="00A320B5" w:rsidP="00A320B5">
      <w:pPr>
        <w:pStyle w:val="SingleTxtG"/>
        <w:ind w:left="2268" w:hanging="1134"/>
        <w:rPr>
          <w:lang w:val="fr-FR"/>
        </w:rPr>
      </w:pPr>
      <w:r w:rsidRPr="00A779B8">
        <w:rPr>
          <w:lang w:val="fr-FR"/>
        </w:rPr>
        <w:t>2.3.9</w:t>
      </w:r>
      <w:r w:rsidRPr="00A779B8">
        <w:rPr>
          <w:lang w:val="fr-FR"/>
        </w:rPr>
        <w:tab/>
        <w:t>On commence le processus en faisant varier de manière cyclique la température ambiante de 308 K (35 °C) à 293 K (20 °C), puis de nouveau à 308 K (35 °C) [308,6 K (35,6 °C), puis à 295,2 K (22,2 °C) et de nouveau à 308,6 K (35,6 °C)] sur une période de 24 h selon le profil [profil de remplacement] spécifié à l</w:t>
      </w:r>
      <w:r w:rsidR="00DB4C2D">
        <w:rPr>
          <w:lang w:val="fr-FR"/>
        </w:rPr>
        <w:t>’</w:t>
      </w:r>
      <w:r w:rsidRPr="00A779B8">
        <w:rPr>
          <w:lang w:val="fr-FR"/>
        </w:rPr>
        <w:t>appendice 2 de la présente annexe, dans les 15 min qui suivent la fermeture de l</w:t>
      </w:r>
      <w:r w:rsidR="00DB4C2D">
        <w:rPr>
          <w:lang w:val="fr-FR"/>
        </w:rPr>
        <w:t>’</w:t>
      </w:r>
      <w:r w:rsidRPr="00A779B8">
        <w:rPr>
          <w:lang w:val="fr-FR"/>
        </w:rPr>
        <w:t>enceinte. (Les tolérances sont celles spécifiées au paragraphe 5.7.1 de la présente annexe.)</w:t>
      </w:r>
    </w:p>
    <w:p w:rsidR="00A320B5" w:rsidRPr="00A779B8" w:rsidRDefault="00A320B5" w:rsidP="00A320B5">
      <w:pPr>
        <w:pStyle w:val="SingleTxtG"/>
        <w:ind w:left="2268" w:hanging="1134"/>
        <w:rPr>
          <w:lang w:val="fr-FR"/>
        </w:rPr>
      </w:pPr>
      <w:r w:rsidRPr="00A779B8">
        <w:rPr>
          <w:lang w:val="fr-FR"/>
        </w:rPr>
        <w:t>2.3.10</w:t>
      </w:r>
      <w:r w:rsidRPr="00A779B8">
        <w:rPr>
          <w:lang w:val="fr-FR"/>
        </w:rPr>
        <w:tab/>
        <w:t>Lorsque la période de 24 h de variation cyclique de la température est écoulée, il faut mesurer et enregistrer la concentration finale d</w:t>
      </w:r>
      <w:r w:rsidR="00DB4C2D">
        <w:rPr>
          <w:lang w:val="fr-FR"/>
        </w:rPr>
        <w:t>’</w:t>
      </w:r>
      <w:r w:rsidRPr="00A779B8">
        <w:rPr>
          <w:lang w:val="fr-FR"/>
        </w:rPr>
        <w:t xml:space="preserve">hydrocarbures, la température et la pression barométrique. On obtient ainsi les valeurs finales </w:t>
      </w:r>
      <w:proofErr w:type="spellStart"/>
      <w:r w:rsidRPr="00A779B8">
        <w:rPr>
          <w:lang w:val="fr-FR"/>
        </w:rPr>
        <w:t>C</w:t>
      </w:r>
      <w:r w:rsidRPr="00A779B8">
        <w:rPr>
          <w:vertAlign w:val="subscript"/>
          <w:lang w:val="fr-FR"/>
        </w:rPr>
        <w:t>HCf</w:t>
      </w:r>
      <w:proofErr w:type="spellEnd"/>
      <w:r w:rsidRPr="00A779B8">
        <w:rPr>
          <w:lang w:val="fr-FR"/>
        </w:rPr>
        <w:t>, P</w:t>
      </w:r>
      <w:r w:rsidRPr="00A779B8">
        <w:rPr>
          <w:vertAlign w:val="subscript"/>
          <w:lang w:val="fr-FR"/>
        </w:rPr>
        <w:t>f</w:t>
      </w:r>
      <w:r w:rsidRPr="00A779B8">
        <w:rPr>
          <w:lang w:val="fr-FR"/>
        </w:rPr>
        <w:t xml:space="preserve"> et T</w:t>
      </w:r>
      <w:r w:rsidRPr="00A779B8">
        <w:rPr>
          <w:vertAlign w:val="subscript"/>
          <w:lang w:val="fr-FR"/>
        </w:rPr>
        <w:t>f</w:t>
      </w:r>
      <w:r w:rsidRPr="00A779B8">
        <w:rPr>
          <w:lang w:val="fr-FR"/>
        </w:rPr>
        <w:t>, pour l</w:t>
      </w:r>
      <w:r w:rsidR="00DB4C2D">
        <w:rPr>
          <w:lang w:val="fr-FR"/>
        </w:rPr>
        <w:t>’</w:t>
      </w:r>
      <w:r w:rsidRPr="00A779B8">
        <w:rPr>
          <w:lang w:val="fr-FR"/>
        </w:rPr>
        <w:t>essai de rétention d</w:t>
      </w:r>
      <w:r w:rsidR="00DB4C2D">
        <w:rPr>
          <w:lang w:val="fr-FR"/>
        </w:rPr>
        <w:t>’</w:t>
      </w:r>
      <w:r w:rsidRPr="00A779B8">
        <w:rPr>
          <w:lang w:val="fr-FR"/>
        </w:rPr>
        <w:t>hydrocarbures.</w:t>
      </w:r>
    </w:p>
    <w:p w:rsidR="00A320B5" w:rsidRPr="00A779B8" w:rsidRDefault="00A320B5" w:rsidP="00A320B5">
      <w:pPr>
        <w:pStyle w:val="SingleTxtG"/>
        <w:ind w:left="2268" w:hanging="1134"/>
        <w:rPr>
          <w:lang w:val="fr-FR"/>
        </w:rPr>
      </w:pPr>
      <w:r w:rsidRPr="00A779B8">
        <w:rPr>
          <w:lang w:val="fr-FR"/>
        </w:rPr>
        <w:t>2.3.11</w:t>
      </w:r>
      <w:r w:rsidRPr="00A779B8">
        <w:rPr>
          <w:lang w:val="fr-FR"/>
        </w:rPr>
        <w:tab/>
        <w:t>Au moyen de la formule indiquée au paragraphe 2.4 ci-dessous, on calcule la masse d</w:t>
      </w:r>
      <w:r w:rsidR="00DB4C2D">
        <w:rPr>
          <w:lang w:val="fr-FR"/>
        </w:rPr>
        <w:t>’</w:t>
      </w:r>
      <w:r w:rsidRPr="00A779B8">
        <w:rPr>
          <w:lang w:val="fr-FR"/>
        </w:rPr>
        <w:t>hydrocarbures d</w:t>
      </w:r>
      <w:r w:rsidR="00DB4C2D">
        <w:rPr>
          <w:lang w:val="fr-FR"/>
        </w:rPr>
        <w:t>’</w:t>
      </w:r>
      <w:r w:rsidRPr="00A779B8">
        <w:rPr>
          <w:lang w:val="fr-FR"/>
        </w:rPr>
        <w:t>après les valeurs mesurées aux paragraphes 2.3.6 et 2.3.10 ci-dessus. Cette masse ne doit pas différer de plus de 3 % de la masse d</w:t>
      </w:r>
      <w:r w:rsidR="00DB4C2D">
        <w:rPr>
          <w:lang w:val="fr-FR"/>
        </w:rPr>
        <w:t>’</w:t>
      </w:r>
      <w:r w:rsidRPr="00A779B8">
        <w:rPr>
          <w:lang w:val="fr-FR"/>
        </w:rPr>
        <w:t>hydrocarbures obtenue au paragraphe 2.3.7 ci-dessus.</w:t>
      </w:r>
    </w:p>
    <w:p w:rsidR="00A320B5" w:rsidRPr="00A779B8" w:rsidRDefault="00A320B5" w:rsidP="00A320B5">
      <w:pPr>
        <w:pStyle w:val="SingleTxtG"/>
        <w:keepNext/>
        <w:ind w:left="2268" w:hanging="1134"/>
        <w:jc w:val="left"/>
        <w:rPr>
          <w:lang w:val="fr-FR"/>
        </w:rPr>
      </w:pPr>
      <w:r w:rsidRPr="00A779B8">
        <w:rPr>
          <w:lang w:val="fr-FR"/>
        </w:rPr>
        <w:t>2.4</w:t>
      </w:r>
      <w:r w:rsidRPr="00A779B8">
        <w:rPr>
          <w:lang w:val="fr-FR"/>
        </w:rPr>
        <w:tab/>
        <w:t>Calculs</w:t>
      </w:r>
    </w:p>
    <w:p w:rsidR="00A320B5" w:rsidRPr="00A779B8" w:rsidRDefault="00A320B5" w:rsidP="00A320B5">
      <w:pPr>
        <w:pStyle w:val="SingleTxtG"/>
        <w:ind w:left="2268"/>
        <w:rPr>
          <w:lang w:val="fr-FR"/>
        </w:rPr>
      </w:pPr>
      <w:r w:rsidRPr="00A779B8">
        <w:rPr>
          <w:lang w:val="fr-FR"/>
        </w:rPr>
        <w:tab/>
        <w:t>Le calcul de la valeur nette de la variation de la masse d</w:t>
      </w:r>
      <w:r w:rsidR="00DB4C2D">
        <w:rPr>
          <w:lang w:val="fr-FR"/>
        </w:rPr>
        <w:t>’</w:t>
      </w:r>
      <w:r w:rsidRPr="00A779B8">
        <w:rPr>
          <w:lang w:val="fr-FR"/>
        </w:rPr>
        <w:t>hydrocarbures contenue dans l</w:t>
      </w:r>
      <w:r w:rsidR="00DB4C2D">
        <w:rPr>
          <w:lang w:val="fr-FR"/>
        </w:rPr>
        <w:t>’</w:t>
      </w:r>
      <w:r w:rsidRPr="00A779B8">
        <w:rPr>
          <w:lang w:val="fr-FR"/>
        </w:rPr>
        <w:t>enceinte sert à déterminer le taux résiduel en hydrocarbures de l</w:t>
      </w:r>
      <w:r w:rsidR="00DB4C2D">
        <w:rPr>
          <w:lang w:val="fr-FR"/>
        </w:rPr>
        <w:t>’</w:t>
      </w:r>
      <w:r w:rsidRPr="00A779B8">
        <w:rPr>
          <w:lang w:val="fr-FR"/>
        </w:rPr>
        <w:t>enceinte et son taux de fuite. Les valeurs initiales et finales de la concentration d</w:t>
      </w:r>
      <w:r w:rsidR="00DB4C2D">
        <w:rPr>
          <w:lang w:val="fr-FR"/>
        </w:rPr>
        <w:t>’</w:t>
      </w:r>
      <w:r w:rsidRPr="00A779B8">
        <w:rPr>
          <w:lang w:val="fr-FR"/>
        </w:rPr>
        <w:t>hydrocarbures, de la température et de la pression barométrique sont utilisées dans la formule ci-après pour calculer la variation de la masse:</w:t>
      </w:r>
    </w:p>
    <w:p w:rsidR="00A320B5" w:rsidRPr="00A779B8" w:rsidRDefault="00A320B5" w:rsidP="00A320B5">
      <w:pPr>
        <w:pStyle w:val="SingleTxtG"/>
        <w:spacing w:after="0" w:line="200" w:lineRule="atLeast"/>
        <w:ind w:left="3402" w:hanging="1134"/>
        <w:jc w:val="left"/>
        <w:rPr>
          <w:lang w:val="fr-FR"/>
        </w:rPr>
      </w:pPr>
      <w:r w:rsidRPr="00A779B8">
        <w:rPr>
          <w:position w:val="-28"/>
          <w:lang w:val="fr-FR"/>
        </w:rPr>
        <w:object w:dxaOrig="4700" w:dyaOrig="660">
          <v:shape id="_x0000_i1119" type="#_x0000_t75" style="width:235pt;height:33.3pt" o:ole="" o:allowoverlap="f">
            <v:imagedata r:id="rId228" o:title=""/>
          </v:shape>
          <o:OLEObject Type="Embed" ProgID="Equation.3" ShapeID="_x0000_i1119" DrawAspect="Content" ObjectID="_1490178464" r:id="rId229"/>
        </w:object>
      </w:r>
    </w:p>
    <w:p w:rsidR="00A320B5" w:rsidRPr="00A779B8" w:rsidRDefault="00A320B5" w:rsidP="00A320B5">
      <w:pPr>
        <w:pStyle w:val="SingleTxtG"/>
        <w:keepNext/>
        <w:ind w:left="2268"/>
        <w:rPr>
          <w:lang w:val="fr-FR"/>
        </w:rPr>
      </w:pPr>
      <w:r w:rsidRPr="00A779B8">
        <w:rPr>
          <w:lang w:val="fr-FR"/>
        </w:rPr>
        <w:tab/>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A320B5" w:rsidRPr="007E29C4" w:rsidTr="00DB4C2D">
        <w:tc>
          <w:tcPr>
            <w:tcW w:w="567" w:type="dxa"/>
            <w:shd w:val="clear" w:color="auto" w:fill="auto"/>
          </w:tcPr>
          <w:p w:rsidR="00A320B5" w:rsidRPr="007E29C4" w:rsidRDefault="00A320B5" w:rsidP="00DB4C2D">
            <w:pPr>
              <w:spacing w:after="120"/>
              <w:rPr>
                <w:lang w:val="fr-FR"/>
              </w:rPr>
            </w:pPr>
            <w:r w:rsidRPr="007E29C4">
              <w:rPr>
                <w:lang w:val="fr-FR"/>
              </w:rPr>
              <w:t>M</w:t>
            </w:r>
            <w:r w:rsidRPr="007E29C4">
              <w:rPr>
                <w:vertAlign w:val="subscript"/>
                <w:lang w:val="fr-FR"/>
              </w:rPr>
              <w:t>HC</w:t>
            </w:r>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3" w:type="dxa"/>
            <w:shd w:val="clear" w:color="auto" w:fill="auto"/>
          </w:tcPr>
          <w:p w:rsidR="00A320B5" w:rsidRPr="007E29C4" w:rsidRDefault="00A320B5" w:rsidP="00DB4C2D">
            <w:pPr>
              <w:spacing w:after="120"/>
              <w:rPr>
                <w:lang w:val="fr-FR"/>
              </w:rPr>
            </w:pPr>
            <w:r w:rsidRPr="007E29C4">
              <w:rPr>
                <w:lang w:val="fr-FR"/>
              </w:rPr>
              <w:t>masse d</w:t>
            </w:r>
            <w:r w:rsidR="00DB4C2D">
              <w:rPr>
                <w:lang w:val="fr-FR"/>
              </w:rPr>
              <w:t>’</w:t>
            </w:r>
            <w:r w:rsidRPr="007E29C4">
              <w:rPr>
                <w:lang w:val="fr-FR"/>
              </w:rPr>
              <w:t>hydrocarbures (g),</w:t>
            </w:r>
          </w:p>
        </w:tc>
      </w:tr>
      <w:tr w:rsidR="00A320B5" w:rsidRPr="007E29C4" w:rsidTr="00DB4C2D">
        <w:tc>
          <w:tcPr>
            <w:tcW w:w="567" w:type="dxa"/>
            <w:shd w:val="clear" w:color="auto" w:fill="auto"/>
          </w:tcPr>
          <w:p w:rsidR="00A320B5" w:rsidRPr="007E29C4" w:rsidRDefault="00A320B5" w:rsidP="00DB4C2D">
            <w:pPr>
              <w:spacing w:after="120"/>
              <w:rPr>
                <w:lang w:val="fr-FR"/>
              </w:rPr>
            </w:pPr>
            <w:proofErr w:type="spellStart"/>
            <w:r w:rsidRPr="007E29C4">
              <w:rPr>
                <w:lang w:val="fr-FR"/>
              </w:rPr>
              <w:t>M</w:t>
            </w:r>
            <w:r w:rsidRPr="007E29C4">
              <w:rPr>
                <w:vertAlign w:val="subscript"/>
                <w:lang w:val="fr-FR"/>
              </w:rPr>
              <w:t>HC,out</w:t>
            </w:r>
            <w:proofErr w:type="spellEnd"/>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3" w:type="dxa"/>
            <w:shd w:val="clear" w:color="auto" w:fill="auto"/>
          </w:tcPr>
          <w:p w:rsidR="00A320B5" w:rsidRPr="007E29C4" w:rsidRDefault="00A320B5" w:rsidP="00DB4C2D">
            <w:pPr>
              <w:spacing w:after="120"/>
              <w:rPr>
                <w:lang w:val="fr-FR"/>
              </w:rPr>
            </w:pPr>
            <w:r w:rsidRPr="007E29C4">
              <w:rPr>
                <w:lang w:val="fr-FR"/>
              </w:rPr>
              <w:t>masse des hydrocarbures quittant l</w:t>
            </w:r>
            <w:r w:rsidR="00DB4C2D">
              <w:rPr>
                <w:lang w:val="fr-FR"/>
              </w:rPr>
              <w:t>’</w:t>
            </w:r>
            <w:r w:rsidRPr="007E29C4">
              <w:rPr>
                <w:lang w:val="fr-FR"/>
              </w:rPr>
              <w:t>enceinte, lorsqu</w:t>
            </w:r>
            <w:r w:rsidR="00DB4C2D">
              <w:rPr>
                <w:lang w:val="fr-FR"/>
              </w:rPr>
              <w:t>’</w:t>
            </w:r>
            <w:r w:rsidRPr="007E29C4">
              <w:rPr>
                <w:lang w:val="fr-FR"/>
              </w:rPr>
              <w:t>une enceinte à volume fixe est utilisée pour les essais d</w:t>
            </w:r>
            <w:r w:rsidR="00DB4C2D">
              <w:rPr>
                <w:lang w:val="fr-FR"/>
              </w:rPr>
              <w:t>’</w:t>
            </w:r>
            <w:r w:rsidRPr="007E29C4">
              <w:rPr>
                <w:lang w:val="fr-FR"/>
              </w:rPr>
              <w:t>émissions diurnes (g),</w:t>
            </w:r>
          </w:p>
        </w:tc>
      </w:tr>
      <w:tr w:rsidR="00A320B5" w:rsidRPr="007E29C4" w:rsidTr="00DB4C2D">
        <w:tc>
          <w:tcPr>
            <w:tcW w:w="567" w:type="dxa"/>
            <w:shd w:val="clear" w:color="auto" w:fill="auto"/>
          </w:tcPr>
          <w:p w:rsidR="00A320B5" w:rsidRPr="007E29C4" w:rsidRDefault="00A320B5" w:rsidP="00DB4C2D">
            <w:pPr>
              <w:spacing w:after="120"/>
              <w:rPr>
                <w:lang w:val="fr-FR"/>
              </w:rPr>
            </w:pPr>
            <w:proofErr w:type="spellStart"/>
            <w:r w:rsidRPr="007E29C4">
              <w:rPr>
                <w:lang w:val="fr-FR"/>
              </w:rPr>
              <w:t>M</w:t>
            </w:r>
            <w:r w:rsidRPr="007E29C4">
              <w:rPr>
                <w:vertAlign w:val="subscript"/>
                <w:lang w:val="fr-FR"/>
              </w:rPr>
              <w:t>HC,i</w:t>
            </w:r>
            <w:proofErr w:type="spellEnd"/>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3" w:type="dxa"/>
            <w:shd w:val="clear" w:color="auto" w:fill="auto"/>
          </w:tcPr>
          <w:p w:rsidR="00A320B5" w:rsidRPr="007E29C4" w:rsidRDefault="00A320B5" w:rsidP="00DB4C2D">
            <w:pPr>
              <w:spacing w:after="120"/>
              <w:rPr>
                <w:lang w:val="fr-FR"/>
              </w:rPr>
            </w:pPr>
            <w:r w:rsidRPr="007E29C4">
              <w:rPr>
                <w:lang w:val="fr-FR"/>
              </w:rPr>
              <w:t>masse des hydrocarbures entrant dans l</w:t>
            </w:r>
            <w:r w:rsidR="00DB4C2D">
              <w:rPr>
                <w:lang w:val="fr-FR"/>
              </w:rPr>
              <w:t>’</w:t>
            </w:r>
            <w:r w:rsidRPr="007E29C4">
              <w:rPr>
                <w:lang w:val="fr-FR"/>
              </w:rPr>
              <w:t>enceinte, lorsqu</w:t>
            </w:r>
            <w:r w:rsidR="00DB4C2D">
              <w:rPr>
                <w:lang w:val="fr-FR"/>
              </w:rPr>
              <w:t>’</w:t>
            </w:r>
            <w:r w:rsidRPr="007E29C4">
              <w:rPr>
                <w:lang w:val="fr-FR"/>
              </w:rPr>
              <w:t>une enceinte à volume fixe est utilisée pour les essais d</w:t>
            </w:r>
            <w:r w:rsidR="00DB4C2D">
              <w:rPr>
                <w:lang w:val="fr-FR"/>
              </w:rPr>
              <w:t>’</w:t>
            </w:r>
            <w:r w:rsidRPr="007E29C4">
              <w:rPr>
                <w:lang w:val="fr-FR"/>
              </w:rPr>
              <w:t>émissions diurnes (g),</w:t>
            </w:r>
          </w:p>
        </w:tc>
      </w:tr>
      <w:tr w:rsidR="00A320B5" w:rsidRPr="007E29C4" w:rsidTr="00DB4C2D">
        <w:tc>
          <w:tcPr>
            <w:tcW w:w="567" w:type="dxa"/>
            <w:shd w:val="clear" w:color="auto" w:fill="auto"/>
          </w:tcPr>
          <w:p w:rsidR="00A320B5" w:rsidRPr="007E29C4" w:rsidRDefault="00A320B5" w:rsidP="00DB4C2D">
            <w:pPr>
              <w:spacing w:after="120"/>
              <w:rPr>
                <w:lang w:val="fr-FR"/>
              </w:rPr>
            </w:pPr>
            <w:r w:rsidRPr="007E29C4">
              <w:rPr>
                <w:lang w:val="fr-FR"/>
              </w:rPr>
              <w:lastRenderedPageBreak/>
              <w:t>C</w:t>
            </w:r>
            <w:r w:rsidRPr="007E29C4">
              <w:rPr>
                <w:vertAlign w:val="subscript"/>
                <w:lang w:val="fr-FR"/>
              </w:rPr>
              <w:t>HC</w:t>
            </w:r>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3" w:type="dxa"/>
            <w:shd w:val="clear" w:color="auto" w:fill="auto"/>
          </w:tcPr>
          <w:p w:rsidR="00A320B5" w:rsidRPr="007E29C4" w:rsidRDefault="00A320B5" w:rsidP="00DB4C2D">
            <w:pPr>
              <w:spacing w:after="120"/>
              <w:rPr>
                <w:lang w:val="fr-FR"/>
              </w:rPr>
            </w:pPr>
            <w:r w:rsidRPr="007E29C4">
              <w:rPr>
                <w:lang w:val="fr-FR"/>
              </w:rPr>
              <w:t>concentration d</w:t>
            </w:r>
            <w:r w:rsidR="00DB4C2D">
              <w:rPr>
                <w:lang w:val="fr-FR"/>
              </w:rPr>
              <w:t>’</w:t>
            </w:r>
            <w:r w:rsidRPr="007E29C4">
              <w:rPr>
                <w:lang w:val="fr-FR"/>
              </w:rPr>
              <w:t>hydrocarbures dans l</w:t>
            </w:r>
            <w:r w:rsidR="00DB4C2D">
              <w:rPr>
                <w:lang w:val="fr-FR"/>
              </w:rPr>
              <w:t>’</w:t>
            </w:r>
            <w:r w:rsidRPr="007E29C4">
              <w:rPr>
                <w:lang w:val="fr-FR"/>
              </w:rPr>
              <w:t>enceinte, en équivalent-carbone (</w:t>
            </w:r>
            <w:r w:rsidRPr="007E29C4">
              <w:rPr>
                <w:i/>
                <w:lang w:val="fr-FR"/>
              </w:rPr>
              <w:t>Note</w:t>
            </w:r>
            <w:r w:rsidRPr="007E29C4">
              <w:rPr>
                <w:lang w:val="fr-FR"/>
              </w:rPr>
              <w:t>: ppm carbone = ppm propane x 3),</w:t>
            </w:r>
          </w:p>
        </w:tc>
      </w:tr>
      <w:tr w:rsidR="00A320B5" w:rsidRPr="007E29C4" w:rsidTr="00DB4C2D">
        <w:tc>
          <w:tcPr>
            <w:tcW w:w="567" w:type="dxa"/>
            <w:shd w:val="clear" w:color="auto" w:fill="auto"/>
          </w:tcPr>
          <w:p w:rsidR="00A320B5" w:rsidRPr="007E29C4" w:rsidRDefault="00A320B5" w:rsidP="00DB4C2D">
            <w:pPr>
              <w:spacing w:after="120"/>
              <w:rPr>
                <w:lang w:val="fr-FR"/>
              </w:rPr>
            </w:pPr>
            <w:r w:rsidRPr="007E29C4">
              <w:rPr>
                <w:lang w:val="fr-FR"/>
              </w:rPr>
              <w:t>V</w:t>
            </w:r>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3" w:type="dxa"/>
            <w:shd w:val="clear" w:color="auto" w:fill="auto"/>
          </w:tcPr>
          <w:p w:rsidR="00A320B5" w:rsidRPr="007E29C4" w:rsidRDefault="00A320B5" w:rsidP="00DB4C2D">
            <w:pPr>
              <w:spacing w:after="120"/>
              <w:rPr>
                <w:lang w:val="fr-FR"/>
              </w:rPr>
            </w:pPr>
            <w:r w:rsidRPr="007E29C4">
              <w:rPr>
                <w:lang w:val="fr-FR"/>
              </w:rPr>
              <w:t>volume de l</w:t>
            </w:r>
            <w:r w:rsidR="00DB4C2D">
              <w:rPr>
                <w:lang w:val="fr-FR"/>
              </w:rPr>
              <w:t>’</w:t>
            </w:r>
            <w:r w:rsidRPr="007E29C4">
              <w:rPr>
                <w:lang w:val="fr-FR"/>
              </w:rPr>
              <w:t>enceinte en m</w:t>
            </w:r>
            <w:r w:rsidRPr="007E29C4">
              <w:rPr>
                <w:vertAlign w:val="superscript"/>
                <w:lang w:val="fr-FR"/>
              </w:rPr>
              <w:t>3</w:t>
            </w:r>
            <w:r w:rsidRPr="007E29C4">
              <w:rPr>
                <w:lang w:val="fr-FR"/>
              </w:rPr>
              <w:t>,</w:t>
            </w:r>
          </w:p>
        </w:tc>
      </w:tr>
      <w:tr w:rsidR="00A320B5" w:rsidRPr="007E29C4" w:rsidTr="00DB4C2D">
        <w:tc>
          <w:tcPr>
            <w:tcW w:w="567" w:type="dxa"/>
            <w:shd w:val="clear" w:color="auto" w:fill="auto"/>
          </w:tcPr>
          <w:p w:rsidR="00A320B5" w:rsidRPr="007E29C4" w:rsidRDefault="00A320B5" w:rsidP="00DB4C2D">
            <w:pPr>
              <w:spacing w:after="120"/>
              <w:rPr>
                <w:lang w:val="fr-FR"/>
              </w:rPr>
            </w:pPr>
            <w:r w:rsidRPr="007E29C4">
              <w:rPr>
                <w:lang w:val="fr-FR"/>
              </w:rPr>
              <w:t>T</w:t>
            </w:r>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3" w:type="dxa"/>
            <w:shd w:val="clear" w:color="auto" w:fill="auto"/>
          </w:tcPr>
          <w:p w:rsidR="00A320B5" w:rsidRPr="007E29C4" w:rsidRDefault="00A320B5" w:rsidP="00DB4C2D">
            <w:pPr>
              <w:spacing w:after="120"/>
              <w:rPr>
                <w:lang w:val="fr-FR"/>
              </w:rPr>
            </w:pPr>
            <w:r w:rsidRPr="007E29C4">
              <w:rPr>
                <w:lang w:val="fr-FR"/>
              </w:rPr>
              <w:t>température ambiante dans l</w:t>
            </w:r>
            <w:r w:rsidR="00DB4C2D">
              <w:rPr>
                <w:lang w:val="fr-FR"/>
              </w:rPr>
              <w:t>’</w:t>
            </w:r>
            <w:r w:rsidRPr="007E29C4">
              <w:rPr>
                <w:lang w:val="fr-FR"/>
              </w:rPr>
              <w:t>enceinte (K),</w:t>
            </w:r>
          </w:p>
        </w:tc>
      </w:tr>
      <w:tr w:rsidR="00A320B5" w:rsidRPr="007E29C4" w:rsidTr="00DB4C2D">
        <w:tc>
          <w:tcPr>
            <w:tcW w:w="567" w:type="dxa"/>
            <w:shd w:val="clear" w:color="auto" w:fill="auto"/>
          </w:tcPr>
          <w:p w:rsidR="00A320B5" w:rsidRPr="007E29C4" w:rsidRDefault="00A320B5" w:rsidP="00DB4C2D">
            <w:pPr>
              <w:spacing w:after="120"/>
              <w:rPr>
                <w:lang w:val="fr-FR"/>
              </w:rPr>
            </w:pPr>
            <w:r w:rsidRPr="007E29C4">
              <w:rPr>
                <w:lang w:val="fr-FR"/>
              </w:rPr>
              <w:t>P</w:t>
            </w:r>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3" w:type="dxa"/>
            <w:shd w:val="clear" w:color="auto" w:fill="auto"/>
          </w:tcPr>
          <w:p w:rsidR="00A320B5" w:rsidRPr="007E29C4" w:rsidRDefault="00A320B5" w:rsidP="00DB4C2D">
            <w:pPr>
              <w:spacing w:after="120"/>
              <w:rPr>
                <w:lang w:val="fr-FR"/>
              </w:rPr>
            </w:pPr>
            <w:r w:rsidRPr="007E29C4">
              <w:rPr>
                <w:lang w:val="fr-FR"/>
              </w:rPr>
              <w:t>pression barométrique (kPa),</w:t>
            </w:r>
          </w:p>
        </w:tc>
      </w:tr>
      <w:tr w:rsidR="00A320B5" w:rsidRPr="007E29C4" w:rsidTr="00DB4C2D">
        <w:tc>
          <w:tcPr>
            <w:tcW w:w="567" w:type="dxa"/>
            <w:shd w:val="clear" w:color="auto" w:fill="auto"/>
          </w:tcPr>
          <w:p w:rsidR="00A320B5" w:rsidRPr="007E29C4" w:rsidRDefault="00A320B5" w:rsidP="00DB4C2D">
            <w:pPr>
              <w:spacing w:after="120"/>
              <w:rPr>
                <w:lang w:val="fr-FR"/>
              </w:rPr>
            </w:pPr>
            <w:r w:rsidRPr="007E29C4">
              <w:rPr>
                <w:lang w:val="fr-FR"/>
              </w:rPr>
              <w:t>K</w:t>
            </w:r>
          </w:p>
        </w:tc>
        <w:tc>
          <w:tcPr>
            <w:tcW w:w="284" w:type="dxa"/>
            <w:shd w:val="clear" w:color="auto" w:fill="auto"/>
          </w:tcPr>
          <w:p w:rsidR="00A320B5" w:rsidRPr="007E29C4" w:rsidRDefault="00A320B5" w:rsidP="00DB4C2D">
            <w:pPr>
              <w:spacing w:after="120"/>
              <w:rPr>
                <w:lang w:val="fr-FR"/>
              </w:rPr>
            </w:pPr>
            <w:r w:rsidRPr="007E29C4">
              <w:rPr>
                <w:lang w:val="fr-FR"/>
              </w:rPr>
              <w:t>=</w:t>
            </w:r>
          </w:p>
        </w:tc>
        <w:tc>
          <w:tcPr>
            <w:tcW w:w="5103" w:type="dxa"/>
            <w:shd w:val="clear" w:color="auto" w:fill="auto"/>
          </w:tcPr>
          <w:p w:rsidR="00A320B5" w:rsidRPr="007E29C4" w:rsidRDefault="00A320B5" w:rsidP="00DB4C2D">
            <w:pPr>
              <w:spacing w:after="120"/>
              <w:rPr>
                <w:lang w:val="fr-FR"/>
              </w:rPr>
            </w:pPr>
            <w:r w:rsidRPr="007E29C4">
              <w:rPr>
                <w:lang w:val="fr-FR"/>
              </w:rPr>
              <w:t>17,6,</w:t>
            </w:r>
          </w:p>
        </w:tc>
      </w:tr>
    </w:tbl>
    <w:p w:rsidR="00A320B5" w:rsidRPr="00A779B8" w:rsidRDefault="00A320B5" w:rsidP="00A320B5">
      <w:pPr>
        <w:pStyle w:val="SingleTxtG"/>
        <w:keepNext/>
        <w:ind w:left="2268"/>
        <w:rPr>
          <w:lang w:val="fr-FR"/>
        </w:rPr>
      </w:pPr>
      <w:r w:rsidRPr="00A779B8">
        <w:rPr>
          <w:lang w:val="fr-FR"/>
        </w:rPr>
        <w:tab/>
        <w:t>où:</w:t>
      </w:r>
    </w:p>
    <w:p w:rsidR="00A320B5" w:rsidRPr="00A779B8" w:rsidRDefault="00A320B5" w:rsidP="00A320B5">
      <w:pPr>
        <w:pStyle w:val="SingleTxtG"/>
        <w:ind w:left="2268"/>
        <w:rPr>
          <w:lang w:val="fr-FR"/>
        </w:rPr>
      </w:pPr>
      <w:r w:rsidRPr="00A779B8">
        <w:rPr>
          <w:lang w:val="fr-FR"/>
        </w:rPr>
        <w:tab/>
        <w:t>i</w:t>
      </w:r>
      <w:r w:rsidRPr="00A779B8">
        <w:rPr>
          <w:lang w:val="fr-FR"/>
        </w:rPr>
        <w:tab/>
        <w:t>est un indice de valeur initiale,</w:t>
      </w:r>
    </w:p>
    <w:p w:rsidR="00A320B5" w:rsidRPr="00A779B8" w:rsidRDefault="00A320B5" w:rsidP="00A320B5">
      <w:pPr>
        <w:pStyle w:val="SingleTxtG"/>
        <w:ind w:left="2268"/>
        <w:rPr>
          <w:lang w:val="fr-FR"/>
        </w:rPr>
      </w:pPr>
      <w:r w:rsidRPr="00A779B8">
        <w:rPr>
          <w:lang w:val="fr-FR"/>
        </w:rPr>
        <w:tab/>
        <w:t>f</w:t>
      </w:r>
      <w:r w:rsidRPr="00A779B8">
        <w:rPr>
          <w:lang w:val="fr-FR"/>
        </w:rPr>
        <w:tab/>
        <w:t>est un indice de valeur finale.</w:t>
      </w:r>
    </w:p>
    <w:p w:rsidR="00A320B5" w:rsidRPr="00A779B8" w:rsidRDefault="00A320B5" w:rsidP="00A320B5">
      <w:pPr>
        <w:pStyle w:val="SingleTxtG"/>
        <w:keepNext/>
        <w:ind w:left="2268" w:hanging="1134"/>
        <w:jc w:val="left"/>
        <w:rPr>
          <w:lang w:val="fr-FR"/>
        </w:rPr>
      </w:pPr>
      <w:r w:rsidRPr="00A779B8">
        <w:rPr>
          <w:lang w:val="fr-FR"/>
        </w:rPr>
        <w:t>3.</w:t>
      </w:r>
      <w:r w:rsidRPr="00A779B8">
        <w:rPr>
          <w:lang w:val="fr-FR"/>
        </w:rPr>
        <w:tab/>
        <w:t>Vérification de l</w:t>
      </w:r>
      <w:r w:rsidR="00DB4C2D">
        <w:rPr>
          <w:lang w:val="fr-FR"/>
        </w:rPr>
        <w:t>’</w:t>
      </w:r>
      <w:r w:rsidRPr="00A779B8">
        <w:rPr>
          <w:lang w:val="fr-FR"/>
        </w:rPr>
        <w:t>analyseur d</w:t>
      </w:r>
      <w:r w:rsidR="00DB4C2D">
        <w:rPr>
          <w:lang w:val="fr-FR"/>
        </w:rPr>
        <w:t>’</w:t>
      </w:r>
      <w:r w:rsidRPr="00A779B8">
        <w:rPr>
          <w:lang w:val="fr-FR"/>
        </w:rPr>
        <w:t>hydrocarbures de type FID</w:t>
      </w:r>
      <w:r w:rsidRPr="00A779B8">
        <w:rPr>
          <w:lang w:val="fr-FR"/>
        </w:rPr>
        <w:br/>
        <w:t>(détecteur à ionisation de flamme)</w:t>
      </w:r>
    </w:p>
    <w:p w:rsidR="00A320B5" w:rsidRPr="00A779B8" w:rsidRDefault="00A320B5" w:rsidP="00A320B5">
      <w:pPr>
        <w:pStyle w:val="SingleTxtG"/>
        <w:keepNext/>
        <w:ind w:left="2268" w:hanging="1134"/>
        <w:jc w:val="left"/>
        <w:rPr>
          <w:lang w:val="fr-FR"/>
        </w:rPr>
      </w:pPr>
      <w:r w:rsidRPr="00A779B8">
        <w:rPr>
          <w:lang w:val="fr-FR"/>
        </w:rPr>
        <w:t>3.1</w:t>
      </w:r>
      <w:r w:rsidRPr="00A779B8">
        <w:rPr>
          <w:lang w:val="fr-FR"/>
        </w:rPr>
        <w:tab/>
        <w:t>Réglage de l</w:t>
      </w:r>
      <w:r w:rsidR="00DB4C2D">
        <w:rPr>
          <w:lang w:val="fr-FR"/>
        </w:rPr>
        <w:t>’</w:t>
      </w:r>
      <w:r w:rsidRPr="00A779B8">
        <w:rPr>
          <w:lang w:val="fr-FR"/>
        </w:rPr>
        <w:t>analyseur pour une réponse optimale</w:t>
      </w:r>
    </w:p>
    <w:p w:rsidR="00A320B5" w:rsidRPr="00A779B8" w:rsidRDefault="00A320B5" w:rsidP="00A320B5">
      <w:pPr>
        <w:pStyle w:val="SingleTxtG"/>
        <w:ind w:left="2268"/>
        <w:rPr>
          <w:lang w:val="fr-FR"/>
        </w:rPr>
      </w:pPr>
      <w:r w:rsidRPr="00A779B8">
        <w:rPr>
          <w:lang w:val="fr-FR"/>
        </w:rPr>
        <w:tab/>
        <w:t>Il faut régler l</w:t>
      </w:r>
      <w:r w:rsidR="00DB4C2D">
        <w:rPr>
          <w:lang w:val="fr-FR"/>
        </w:rPr>
        <w:t>’</w:t>
      </w:r>
      <w:r w:rsidRPr="00A779B8">
        <w:rPr>
          <w:lang w:val="fr-FR"/>
        </w:rPr>
        <w:t>analyseur FID en suivant les indications du constructeur de l</w:t>
      </w:r>
      <w:r w:rsidR="00DB4C2D">
        <w:rPr>
          <w:lang w:val="fr-FR"/>
        </w:rPr>
        <w:t>’</w:t>
      </w:r>
      <w:r w:rsidRPr="00A779B8">
        <w:rPr>
          <w:lang w:val="fr-FR"/>
        </w:rPr>
        <w:t>appareil. On doit utiliser du propane dilué dans l</w:t>
      </w:r>
      <w:r w:rsidR="00DB4C2D">
        <w:rPr>
          <w:lang w:val="fr-FR"/>
        </w:rPr>
        <w:t>’</w:t>
      </w:r>
      <w:r w:rsidRPr="00A779B8">
        <w:rPr>
          <w:lang w:val="fr-FR"/>
        </w:rPr>
        <w:t>air pour régler l</w:t>
      </w:r>
      <w:r w:rsidR="00DB4C2D">
        <w:rPr>
          <w:lang w:val="fr-FR"/>
        </w:rPr>
        <w:t>’</w:t>
      </w:r>
      <w:r w:rsidRPr="00A779B8">
        <w:rPr>
          <w:lang w:val="fr-FR"/>
        </w:rPr>
        <w:t>appareil en vue d</w:t>
      </w:r>
      <w:r w:rsidR="00DB4C2D">
        <w:rPr>
          <w:lang w:val="fr-FR"/>
        </w:rPr>
        <w:t>’</w:t>
      </w:r>
      <w:r w:rsidRPr="00A779B8">
        <w:rPr>
          <w:lang w:val="fr-FR"/>
        </w:rPr>
        <w:t>une réponse optimale dans la plage de mesure la plus courante.</w:t>
      </w:r>
    </w:p>
    <w:p w:rsidR="00A320B5" w:rsidRPr="00A779B8" w:rsidRDefault="00A320B5" w:rsidP="00A320B5">
      <w:pPr>
        <w:pStyle w:val="SingleTxtG"/>
        <w:keepNext/>
        <w:ind w:left="2268" w:hanging="1134"/>
        <w:jc w:val="left"/>
        <w:rPr>
          <w:lang w:val="fr-FR"/>
        </w:rPr>
      </w:pPr>
      <w:r w:rsidRPr="00A779B8">
        <w:rPr>
          <w:lang w:val="fr-FR"/>
        </w:rPr>
        <w:t>3.2</w:t>
      </w:r>
      <w:r w:rsidRPr="00A779B8">
        <w:rPr>
          <w:lang w:val="fr-FR"/>
        </w:rPr>
        <w:tab/>
        <w:t>Étalonnage de l</w:t>
      </w:r>
      <w:r w:rsidR="00DB4C2D">
        <w:rPr>
          <w:lang w:val="fr-FR"/>
        </w:rPr>
        <w:t>’</w:t>
      </w:r>
      <w:r w:rsidRPr="00A779B8">
        <w:rPr>
          <w:lang w:val="fr-FR"/>
        </w:rPr>
        <w:t>analyseur d</w:t>
      </w:r>
      <w:r w:rsidR="00DB4C2D">
        <w:rPr>
          <w:lang w:val="fr-FR"/>
        </w:rPr>
        <w:t>’</w:t>
      </w:r>
      <w:r w:rsidRPr="00A779B8">
        <w:rPr>
          <w:lang w:val="fr-FR"/>
        </w:rPr>
        <w:t>hydrocarbures</w:t>
      </w:r>
    </w:p>
    <w:p w:rsidR="00A320B5" w:rsidRPr="00A779B8" w:rsidRDefault="00A320B5" w:rsidP="00A320B5">
      <w:pPr>
        <w:pStyle w:val="SingleTxtG"/>
        <w:ind w:left="2268"/>
        <w:rPr>
          <w:lang w:val="fr-FR"/>
        </w:rPr>
      </w:pPr>
      <w:r w:rsidRPr="00A779B8">
        <w:rPr>
          <w:lang w:val="fr-FR"/>
        </w:rPr>
        <w:tab/>
        <w:t>Il faut effectuer cet étalonnage en utilisant du propane dilué dans l</w:t>
      </w:r>
      <w:r w:rsidR="00DB4C2D">
        <w:rPr>
          <w:lang w:val="fr-FR"/>
        </w:rPr>
        <w:t>’</w:t>
      </w:r>
      <w:r w:rsidRPr="00A779B8">
        <w:rPr>
          <w:lang w:val="fr-FR"/>
        </w:rPr>
        <w:t>air et dans de l</w:t>
      </w:r>
      <w:r w:rsidR="00DB4C2D">
        <w:rPr>
          <w:lang w:val="fr-FR"/>
        </w:rPr>
        <w:t>’</w:t>
      </w:r>
      <w:r w:rsidRPr="00A779B8">
        <w:rPr>
          <w:lang w:val="fr-FR"/>
        </w:rPr>
        <w:t>air synthétique purifié. Voir le paragraphe 3.2 de l</w:t>
      </w:r>
      <w:r w:rsidR="00DB4C2D">
        <w:rPr>
          <w:lang w:val="fr-FR"/>
        </w:rPr>
        <w:t>’</w:t>
      </w:r>
      <w:r w:rsidRPr="00A779B8">
        <w:rPr>
          <w:lang w:val="fr-FR"/>
        </w:rPr>
        <w:t>appendice 3 de l</w:t>
      </w:r>
      <w:r w:rsidR="00DB4C2D">
        <w:rPr>
          <w:lang w:val="fr-FR"/>
        </w:rPr>
        <w:t>’</w:t>
      </w:r>
      <w:r w:rsidRPr="00A779B8">
        <w:rPr>
          <w:lang w:val="fr-FR"/>
        </w:rPr>
        <w:t>annexe 4a du présent Règlement.</w:t>
      </w:r>
    </w:p>
    <w:p w:rsidR="00A320B5" w:rsidRPr="00A779B8" w:rsidRDefault="00A320B5" w:rsidP="00A320B5">
      <w:pPr>
        <w:pStyle w:val="SingleTxtG"/>
        <w:ind w:left="2268"/>
        <w:rPr>
          <w:lang w:val="fr-FR"/>
        </w:rPr>
      </w:pPr>
      <w:r w:rsidRPr="00A779B8">
        <w:rPr>
          <w:lang w:val="fr-FR"/>
        </w:rPr>
        <w:tab/>
        <w:t>Établir une courbe d</w:t>
      </w:r>
      <w:r w:rsidR="00DB4C2D">
        <w:rPr>
          <w:lang w:val="fr-FR"/>
        </w:rPr>
        <w:t>’</w:t>
      </w:r>
      <w:r w:rsidRPr="00A779B8">
        <w:rPr>
          <w:lang w:val="fr-FR"/>
        </w:rPr>
        <w:t>étalonnage comme indiqué aux paragraphes 4.1 à 4.5 du présent appendice.</w:t>
      </w:r>
    </w:p>
    <w:p w:rsidR="00A320B5" w:rsidRPr="00A779B8" w:rsidRDefault="00A320B5" w:rsidP="00A320B5">
      <w:pPr>
        <w:pStyle w:val="SingleTxtG"/>
        <w:keepNext/>
        <w:ind w:left="2268" w:hanging="1134"/>
        <w:jc w:val="left"/>
        <w:rPr>
          <w:lang w:val="fr-FR"/>
        </w:rPr>
      </w:pPr>
      <w:r w:rsidRPr="00A779B8">
        <w:rPr>
          <w:lang w:val="fr-FR"/>
        </w:rPr>
        <w:t>3.3</w:t>
      </w:r>
      <w:r w:rsidRPr="00A779B8">
        <w:rPr>
          <w:lang w:val="fr-FR"/>
        </w:rPr>
        <w:tab/>
        <w:t>Vérification de l</w:t>
      </w:r>
      <w:r w:rsidR="00DB4C2D">
        <w:rPr>
          <w:lang w:val="fr-FR"/>
        </w:rPr>
        <w:t>’</w:t>
      </w:r>
      <w:r w:rsidRPr="00A779B8">
        <w:rPr>
          <w:lang w:val="fr-FR"/>
        </w:rPr>
        <w:t>interférence à l</w:t>
      </w:r>
      <w:r w:rsidR="00DB4C2D">
        <w:rPr>
          <w:lang w:val="fr-FR"/>
        </w:rPr>
        <w:t>’</w:t>
      </w:r>
      <w:r w:rsidRPr="00A779B8">
        <w:rPr>
          <w:lang w:val="fr-FR"/>
        </w:rPr>
        <w:t>oxygène et limites recommandées</w:t>
      </w:r>
    </w:p>
    <w:p w:rsidR="00A320B5" w:rsidRPr="00A779B8" w:rsidRDefault="00A320B5" w:rsidP="00A320B5">
      <w:pPr>
        <w:pStyle w:val="SingleTxtG"/>
        <w:ind w:left="2268"/>
        <w:rPr>
          <w:lang w:val="fr-FR"/>
        </w:rPr>
      </w:pPr>
      <w:r w:rsidRPr="00A779B8">
        <w:rPr>
          <w:lang w:val="fr-FR"/>
        </w:rPr>
        <w:tab/>
        <w:t>Le facteur de réponse (</w:t>
      </w:r>
      <w:proofErr w:type="spellStart"/>
      <w:r w:rsidRPr="00A779B8">
        <w:rPr>
          <w:lang w:val="fr-FR"/>
        </w:rPr>
        <w:t>Rf</w:t>
      </w:r>
      <w:proofErr w:type="spellEnd"/>
      <w:r w:rsidRPr="00A779B8">
        <w:rPr>
          <w:lang w:val="fr-FR"/>
        </w:rPr>
        <w:t>) pour un hydrocarbure particulier est le rapport entre l</w:t>
      </w:r>
      <w:r w:rsidR="00DB4C2D">
        <w:rPr>
          <w:lang w:val="fr-FR"/>
        </w:rPr>
        <w:t>’</w:t>
      </w:r>
      <w:r w:rsidRPr="00A779B8">
        <w:rPr>
          <w:lang w:val="fr-FR"/>
        </w:rPr>
        <w:t>indication C</w:t>
      </w:r>
      <w:r w:rsidRPr="00A779B8">
        <w:rPr>
          <w:vertAlign w:val="subscript"/>
          <w:lang w:val="fr-FR"/>
        </w:rPr>
        <w:t>1</w:t>
      </w:r>
      <w:r w:rsidRPr="00A779B8">
        <w:rPr>
          <w:lang w:val="fr-FR"/>
        </w:rPr>
        <w:t xml:space="preserve"> donnée par l</w:t>
      </w:r>
      <w:r w:rsidR="00DB4C2D">
        <w:rPr>
          <w:lang w:val="fr-FR"/>
        </w:rPr>
        <w:t>’</w:t>
      </w:r>
      <w:r w:rsidRPr="00A779B8">
        <w:rPr>
          <w:lang w:val="fr-FR"/>
        </w:rPr>
        <w:t>analyseur FID, exprimé en équivalent-carbone (C</w:t>
      </w:r>
      <w:r w:rsidRPr="00A779B8">
        <w:rPr>
          <w:vertAlign w:val="subscript"/>
          <w:lang w:val="fr-FR"/>
        </w:rPr>
        <w:t>1</w:t>
      </w:r>
      <w:r w:rsidRPr="00A779B8">
        <w:rPr>
          <w:lang w:val="fr-FR"/>
        </w:rPr>
        <w:t>) et la concentration du gaz d</w:t>
      </w:r>
      <w:r w:rsidR="00DB4C2D">
        <w:rPr>
          <w:lang w:val="fr-FR"/>
        </w:rPr>
        <w:t>’</w:t>
      </w:r>
      <w:r w:rsidRPr="00A779B8">
        <w:rPr>
          <w:lang w:val="fr-FR"/>
        </w:rPr>
        <w:t>étalonnage dans la bouteille exprimée en ppm de C</w:t>
      </w:r>
      <w:r w:rsidRPr="00A779B8">
        <w:rPr>
          <w:vertAlign w:val="subscript"/>
          <w:lang w:val="fr-FR"/>
        </w:rPr>
        <w:t>1</w:t>
      </w:r>
      <w:r w:rsidRPr="00A779B8">
        <w:rPr>
          <w:lang w:val="fr-FR"/>
        </w:rPr>
        <w:t>. La concentration du gaz d</w:t>
      </w:r>
      <w:r w:rsidR="00DB4C2D">
        <w:rPr>
          <w:lang w:val="fr-FR"/>
        </w:rPr>
        <w:t>’</w:t>
      </w:r>
      <w:r w:rsidRPr="00A779B8">
        <w:rPr>
          <w:lang w:val="fr-FR"/>
        </w:rPr>
        <w:t xml:space="preserve">étalonnage doit être suffisante pour donner une réponse correspondant à environ 80 % de la déviation totale pour les plages de fonctionnement normalement utilisées. La concentration doit être connue à 2 % près par rapport à un étalon gravimétrique exprimé en volume. De plus, la bouteille de gaz doit être </w:t>
      </w:r>
      <w:proofErr w:type="spellStart"/>
      <w:r w:rsidRPr="00A779B8">
        <w:rPr>
          <w:lang w:val="fr-FR"/>
        </w:rPr>
        <w:t>préconditionnée</w:t>
      </w:r>
      <w:proofErr w:type="spellEnd"/>
      <w:r w:rsidRPr="00A779B8">
        <w:rPr>
          <w:lang w:val="fr-FR"/>
        </w:rPr>
        <w:t xml:space="preserve"> pendant 24 h à une température comprise entre 293 et 303 K (20 °C et 30 °C).</w:t>
      </w:r>
    </w:p>
    <w:p w:rsidR="00A320B5" w:rsidRPr="00A779B8" w:rsidRDefault="00A320B5" w:rsidP="00A320B5">
      <w:pPr>
        <w:pStyle w:val="SingleTxtG"/>
        <w:ind w:left="2268"/>
        <w:rPr>
          <w:lang w:val="fr-FR"/>
        </w:rPr>
      </w:pPr>
      <w:r w:rsidRPr="00A779B8">
        <w:rPr>
          <w:lang w:val="fr-FR"/>
        </w:rPr>
        <w:tab/>
        <w:t>Les facteurs de réponse doivent être déterminés lors de la mise en service de l</w:t>
      </w:r>
      <w:r w:rsidR="00DB4C2D">
        <w:rPr>
          <w:lang w:val="fr-FR"/>
        </w:rPr>
        <w:t>’</w:t>
      </w:r>
      <w:r w:rsidRPr="00A779B8">
        <w:rPr>
          <w:lang w:val="fr-FR"/>
        </w:rPr>
        <w:t>analyseur et par la suite lors des interventions principales de maintenance. Le gaz de référence à utiliser est du propane dilué avec de l</w:t>
      </w:r>
      <w:r w:rsidR="00DB4C2D">
        <w:rPr>
          <w:lang w:val="fr-FR"/>
        </w:rPr>
        <w:t>’</w:t>
      </w:r>
      <w:r w:rsidRPr="00A779B8">
        <w:rPr>
          <w:lang w:val="fr-FR"/>
        </w:rPr>
        <w:t>air purifié qui est considéré comme donnant un facteur de réponse égal à 1,00.</w:t>
      </w:r>
    </w:p>
    <w:p w:rsidR="00A320B5" w:rsidRPr="00A779B8" w:rsidRDefault="00A320B5" w:rsidP="00A320B5">
      <w:pPr>
        <w:pStyle w:val="SingleTxtG"/>
        <w:ind w:left="2268"/>
        <w:rPr>
          <w:lang w:val="fr-FR"/>
        </w:rPr>
      </w:pPr>
      <w:r w:rsidRPr="00A779B8">
        <w:rPr>
          <w:lang w:val="fr-FR"/>
        </w:rPr>
        <w:tab/>
        <w:t>Le gaz d</w:t>
      </w:r>
      <w:r w:rsidR="00DB4C2D">
        <w:rPr>
          <w:lang w:val="fr-FR"/>
        </w:rPr>
        <w:t>’</w:t>
      </w:r>
      <w:r w:rsidRPr="00A779B8">
        <w:rPr>
          <w:lang w:val="fr-FR"/>
        </w:rPr>
        <w:t>essai à utiliser pour l</w:t>
      </w:r>
      <w:r w:rsidR="00DB4C2D">
        <w:rPr>
          <w:lang w:val="fr-FR"/>
        </w:rPr>
        <w:t>’</w:t>
      </w:r>
      <w:r w:rsidRPr="00A779B8">
        <w:rPr>
          <w:lang w:val="fr-FR"/>
        </w:rPr>
        <w:t>interférence à l</w:t>
      </w:r>
      <w:r w:rsidR="00DB4C2D">
        <w:rPr>
          <w:lang w:val="fr-FR"/>
        </w:rPr>
        <w:t>’</w:t>
      </w:r>
      <w:r w:rsidRPr="00A779B8">
        <w:rPr>
          <w:lang w:val="fr-FR"/>
        </w:rPr>
        <w:t>oxygène et la fourchette de facteurs de réponse recommandée sont indiqués ci-après:</w:t>
      </w:r>
    </w:p>
    <w:p w:rsidR="00A320B5" w:rsidRPr="00A779B8" w:rsidRDefault="00A320B5" w:rsidP="00A320B5">
      <w:pPr>
        <w:pStyle w:val="SingleTxtG"/>
        <w:ind w:left="2268"/>
        <w:rPr>
          <w:lang w:val="fr-FR"/>
        </w:rPr>
      </w:pPr>
      <w:r w:rsidRPr="00A779B8">
        <w:rPr>
          <w:lang w:val="fr-FR"/>
        </w:rPr>
        <w:tab/>
        <w:t xml:space="preserve">Propane et azote: 0,95 </w:t>
      </w:r>
      <w:r w:rsidRPr="00A779B8">
        <w:rPr>
          <w:lang w:val="fr-FR"/>
        </w:rPr>
        <w:sym w:font="Symbol" w:char="F0A3"/>
      </w:r>
      <w:r w:rsidRPr="00A779B8">
        <w:rPr>
          <w:lang w:val="fr-FR"/>
        </w:rPr>
        <w:t> </w:t>
      </w:r>
      <w:proofErr w:type="spellStart"/>
      <w:r w:rsidRPr="00A779B8">
        <w:rPr>
          <w:lang w:val="fr-FR"/>
        </w:rPr>
        <w:t>Rf</w:t>
      </w:r>
      <w:proofErr w:type="spellEnd"/>
      <w:r w:rsidRPr="00A779B8">
        <w:rPr>
          <w:lang w:val="fr-FR"/>
        </w:rPr>
        <w:t xml:space="preserve"> </w:t>
      </w:r>
      <w:r w:rsidRPr="00A779B8">
        <w:rPr>
          <w:lang w:val="fr-FR"/>
        </w:rPr>
        <w:sym w:font="Symbol" w:char="F0A3"/>
      </w:r>
      <w:r w:rsidRPr="00A779B8">
        <w:rPr>
          <w:lang w:val="fr-FR"/>
        </w:rPr>
        <w:t> 1,05.</w:t>
      </w:r>
    </w:p>
    <w:p w:rsidR="00A320B5" w:rsidRPr="00A779B8" w:rsidRDefault="00A320B5" w:rsidP="00A320B5">
      <w:pPr>
        <w:pStyle w:val="SingleTxtG"/>
        <w:keepNext/>
        <w:ind w:left="2268" w:hanging="1134"/>
        <w:jc w:val="left"/>
        <w:rPr>
          <w:lang w:val="fr-FR"/>
        </w:rPr>
      </w:pPr>
      <w:r w:rsidRPr="00A779B8">
        <w:rPr>
          <w:lang w:val="fr-FR"/>
        </w:rPr>
        <w:lastRenderedPageBreak/>
        <w:t>4.</w:t>
      </w:r>
      <w:r w:rsidRPr="00A779B8">
        <w:rPr>
          <w:lang w:val="fr-FR"/>
        </w:rPr>
        <w:tab/>
        <w:t>Étalonnage de l</w:t>
      </w:r>
      <w:r w:rsidR="00DB4C2D">
        <w:rPr>
          <w:lang w:val="fr-FR"/>
        </w:rPr>
        <w:t>’</w:t>
      </w:r>
      <w:r w:rsidRPr="00A779B8">
        <w:rPr>
          <w:lang w:val="fr-FR"/>
        </w:rPr>
        <w:t>analyseur d</w:t>
      </w:r>
      <w:r w:rsidR="00DB4C2D">
        <w:rPr>
          <w:lang w:val="fr-FR"/>
        </w:rPr>
        <w:t>’</w:t>
      </w:r>
      <w:r w:rsidRPr="00A779B8">
        <w:rPr>
          <w:lang w:val="fr-FR"/>
        </w:rPr>
        <w:t>hydrocarbures</w:t>
      </w:r>
    </w:p>
    <w:p w:rsidR="00A320B5" w:rsidRPr="00A779B8" w:rsidRDefault="00A320B5" w:rsidP="00A320B5">
      <w:pPr>
        <w:pStyle w:val="SingleTxtG"/>
        <w:keepNext/>
        <w:ind w:left="2268"/>
        <w:rPr>
          <w:lang w:val="fr-FR"/>
        </w:rPr>
      </w:pPr>
      <w:r w:rsidRPr="00A779B8">
        <w:rPr>
          <w:lang w:val="fr-FR"/>
        </w:rPr>
        <w:tab/>
        <w:t>Dans chacune des plages de fonctionnement normalement utilisées, on doit effectuer un étalonnage en procédant comme indiqué ci-après:</w:t>
      </w:r>
    </w:p>
    <w:p w:rsidR="00A320B5" w:rsidRPr="00A779B8" w:rsidRDefault="00A320B5" w:rsidP="00A320B5">
      <w:pPr>
        <w:pStyle w:val="SingleTxtG"/>
        <w:ind w:left="2268" w:hanging="1134"/>
        <w:rPr>
          <w:lang w:val="fr-FR"/>
        </w:rPr>
      </w:pPr>
      <w:r w:rsidRPr="00A779B8">
        <w:rPr>
          <w:lang w:val="fr-FR"/>
        </w:rPr>
        <w:t>4.1</w:t>
      </w:r>
      <w:r w:rsidRPr="00A779B8">
        <w:rPr>
          <w:lang w:val="fr-FR"/>
        </w:rPr>
        <w:tab/>
        <w:t>On détermine la courbe d</w:t>
      </w:r>
      <w:r w:rsidR="00DB4C2D">
        <w:rPr>
          <w:lang w:val="fr-FR"/>
        </w:rPr>
        <w:t>’</w:t>
      </w:r>
      <w:r w:rsidRPr="00A779B8">
        <w:rPr>
          <w:lang w:val="fr-FR"/>
        </w:rPr>
        <w:t>étalonnage sur cinq points au moins dont l</w:t>
      </w:r>
      <w:r w:rsidR="00DB4C2D">
        <w:rPr>
          <w:lang w:val="fr-FR"/>
        </w:rPr>
        <w:t>’</w:t>
      </w:r>
      <w:r w:rsidRPr="00A779B8">
        <w:rPr>
          <w:lang w:val="fr-FR"/>
        </w:rPr>
        <w:t>espacement doit être aussi uniforme que possible. La concentration nominale du gaz d</w:t>
      </w:r>
      <w:r w:rsidR="00DB4C2D">
        <w:rPr>
          <w:lang w:val="fr-FR"/>
        </w:rPr>
        <w:t>’</w:t>
      </w:r>
      <w:r w:rsidRPr="00A779B8">
        <w:rPr>
          <w:lang w:val="fr-FR"/>
        </w:rPr>
        <w:t>étalonnage à la plus forte concentration doit être égale à au moins 80 % de la pleine échelle.</w:t>
      </w:r>
    </w:p>
    <w:p w:rsidR="00A320B5" w:rsidRPr="00A779B8" w:rsidRDefault="00A320B5" w:rsidP="00A320B5">
      <w:pPr>
        <w:pStyle w:val="SingleTxtG"/>
        <w:ind w:left="2268" w:hanging="1134"/>
        <w:rPr>
          <w:lang w:val="fr-FR"/>
        </w:rPr>
      </w:pPr>
      <w:r w:rsidRPr="00A779B8">
        <w:rPr>
          <w:lang w:val="fr-FR"/>
        </w:rPr>
        <w:t>4.2</w:t>
      </w:r>
      <w:r w:rsidRPr="00A779B8">
        <w:rPr>
          <w:lang w:val="fr-FR"/>
        </w:rPr>
        <w:tab/>
        <w:t>La courbe d</w:t>
      </w:r>
      <w:r w:rsidR="00DB4C2D">
        <w:rPr>
          <w:lang w:val="fr-FR"/>
        </w:rPr>
        <w:t>’</w:t>
      </w:r>
      <w:r w:rsidRPr="00A779B8">
        <w:rPr>
          <w:lang w:val="fr-FR"/>
        </w:rPr>
        <w:t>étalonnage est calculée par la méthode des moindres carrés. Si le polynôme résultant est d</w:t>
      </w:r>
      <w:r w:rsidR="00DB4C2D">
        <w:rPr>
          <w:lang w:val="fr-FR"/>
        </w:rPr>
        <w:t>’</w:t>
      </w:r>
      <w:r w:rsidRPr="00A779B8">
        <w:rPr>
          <w:lang w:val="fr-FR"/>
        </w:rPr>
        <w:t>un degré supérieur à 3, le nombre de points d</w:t>
      </w:r>
      <w:r w:rsidR="00DB4C2D">
        <w:rPr>
          <w:lang w:val="fr-FR"/>
        </w:rPr>
        <w:t>’</w:t>
      </w:r>
      <w:r w:rsidRPr="00A779B8">
        <w:rPr>
          <w:lang w:val="fr-FR"/>
        </w:rPr>
        <w:t>étalonnage doit au moins être égal au degré du polynôme plus 2.</w:t>
      </w:r>
    </w:p>
    <w:p w:rsidR="00A320B5" w:rsidRPr="00A779B8" w:rsidRDefault="00A320B5" w:rsidP="00A320B5">
      <w:pPr>
        <w:pStyle w:val="SingleTxtG"/>
        <w:ind w:left="2268" w:hanging="1134"/>
        <w:rPr>
          <w:lang w:val="fr-FR"/>
        </w:rPr>
      </w:pPr>
      <w:r w:rsidRPr="00A779B8">
        <w:rPr>
          <w:lang w:val="fr-FR"/>
        </w:rPr>
        <w:t>4.3</w:t>
      </w:r>
      <w:r w:rsidRPr="00A779B8">
        <w:rPr>
          <w:lang w:val="fr-FR"/>
        </w:rPr>
        <w:tab/>
        <w:t>La courbe d</w:t>
      </w:r>
      <w:r w:rsidR="00DB4C2D">
        <w:rPr>
          <w:lang w:val="fr-FR"/>
        </w:rPr>
        <w:t>’</w:t>
      </w:r>
      <w:r w:rsidRPr="00A779B8">
        <w:rPr>
          <w:lang w:val="fr-FR"/>
        </w:rPr>
        <w:t>étalonnage ne doit pas s</w:t>
      </w:r>
      <w:r w:rsidR="00DB4C2D">
        <w:rPr>
          <w:lang w:val="fr-FR"/>
        </w:rPr>
        <w:t>’</w:t>
      </w:r>
      <w:r w:rsidRPr="00A779B8">
        <w:rPr>
          <w:lang w:val="fr-FR"/>
        </w:rPr>
        <w:t>écarter de plus de 2 % de la valeur nominale de chaque gaz d</w:t>
      </w:r>
      <w:r w:rsidR="00DB4C2D">
        <w:rPr>
          <w:lang w:val="fr-FR"/>
        </w:rPr>
        <w:t>’</w:t>
      </w:r>
      <w:r w:rsidRPr="00A779B8">
        <w:rPr>
          <w:lang w:val="fr-FR"/>
        </w:rPr>
        <w:t>étalonnage.</w:t>
      </w:r>
    </w:p>
    <w:p w:rsidR="00A320B5" w:rsidRPr="00A779B8" w:rsidRDefault="00A320B5" w:rsidP="00A320B5">
      <w:pPr>
        <w:pStyle w:val="SingleTxtG"/>
        <w:ind w:left="2268" w:hanging="1134"/>
        <w:rPr>
          <w:lang w:val="fr-FR"/>
        </w:rPr>
      </w:pPr>
      <w:r w:rsidRPr="00A779B8">
        <w:rPr>
          <w:lang w:val="fr-FR"/>
        </w:rPr>
        <w:t>4.4</w:t>
      </w:r>
      <w:r w:rsidRPr="00A779B8">
        <w:rPr>
          <w:lang w:val="fr-FR"/>
        </w:rPr>
        <w:tab/>
        <w:t>En utilisant les coefficients de polynôme obtenu au paragraphe 3.2 du présent appendice, on doit établir un tableau donnant les valeurs vraies de la concentration en regard des valeurs indiquées, avec des intervalles au plus égaux à 1 % de la pleine échelle. On doit établir ce tableau pour chaque échelle de l</w:t>
      </w:r>
      <w:r w:rsidR="00DB4C2D">
        <w:rPr>
          <w:lang w:val="fr-FR"/>
        </w:rPr>
        <w:t>’</w:t>
      </w:r>
      <w:r w:rsidRPr="00A779B8">
        <w:rPr>
          <w:lang w:val="fr-FR"/>
        </w:rPr>
        <w:t>analyseur. Il doit aussi contenir d</w:t>
      </w:r>
      <w:r w:rsidR="00DB4C2D">
        <w:rPr>
          <w:lang w:val="fr-FR"/>
        </w:rPr>
        <w:t>’</w:t>
      </w:r>
      <w:r w:rsidRPr="00A779B8">
        <w:rPr>
          <w:lang w:val="fr-FR"/>
        </w:rPr>
        <w:t>autres indications telles que:</w:t>
      </w:r>
    </w:p>
    <w:p w:rsidR="00A320B5" w:rsidRPr="00A779B8" w:rsidRDefault="00A320B5" w:rsidP="00A320B5">
      <w:pPr>
        <w:pStyle w:val="SingleTxtG"/>
        <w:ind w:left="2835" w:hanging="567"/>
        <w:rPr>
          <w:lang w:val="fr-FR"/>
        </w:rPr>
      </w:pPr>
      <w:r w:rsidRPr="00A779B8">
        <w:rPr>
          <w:lang w:val="fr-FR"/>
        </w:rPr>
        <w:t>a)</w:t>
      </w:r>
      <w:r w:rsidRPr="00A779B8">
        <w:rPr>
          <w:lang w:val="fr-FR"/>
        </w:rPr>
        <w:tab/>
        <w:t>Date de l</w:t>
      </w:r>
      <w:r w:rsidR="00DB4C2D">
        <w:rPr>
          <w:lang w:val="fr-FR"/>
        </w:rPr>
        <w:t>’</w:t>
      </w:r>
      <w:r w:rsidRPr="00A779B8">
        <w:rPr>
          <w:lang w:val="fr-FR"/>
        </w:rPr>
        <w:t>étalonnage, valeurs indiquées par le potentiomètre à zéro et étalonné (le cas échéant);</w:t>
      </w:r>
    </w:p>
    <w:p w:rsidR="00A320B5" w:rsidRPr="00A779B8" w:rsidRDefault="00A320B5" w:rsidP="00A320B5">
      <w:pPr>
        <w:pStyle w:val="SingleTxtG"/>
        <w:ind w:left="2835" w:hanging="567"/>
        <w:rPr>
          <w:lang w:val="fr-FR"/>
        </w:rPr>
      </w:pPr>
      <w:r w:rsidRPr="00A779B8">
        <w:rPr>
          <w:lang w:val="fr-FR"/>
        </w:rPr>
        <w:t>b)</w:t>
      </w:r>
      <w:r w:rsidRPr="00A779B8">
        <w:rPr>
          <w:lang w:val="fr-FR"/>
        </w:rPr>
        <w:tab/>
        <w:t>Échelle nominale;</w:t>
      </w:r>
    </w:p>
    <w:p w:rsidR="00A320B5" w:rsidRPr="00A779B8" w:rsidRDefault="00A320B5" w:rsidP="00A320B5">
      <w:pPr>
        <w:pStyle w:val="SingleTxtG"/>
        <w:ind w:left="2835" w:hanging="567"/>
        <w:rPr>
          <w:lang w:val="fr-FR"/>
        </w:rPr>
      </w:pPr>
      <w:r w:rsidRPr="00A779B8">
        <w:rPr>
          <w:lang w:val="fr-FR"/>
        </w:rPr>
        <w:t>c)</w:t>
      </w:r>
      <w:r w:rsidRPr="00A779B8">
        <w:rPr>
          <w:lang w:val="fr-FR"/>
        </w:rPr>
        <w:tab/>
        <w:t>Données de référence pour chaque gaz d</w:t>
      </w:r>
      <w:r w:rsidR="00DB4C2D">
        <w:rPr>
          <w:lang w:val="fr-FR"/>
        </w:rPr>
        <w:t>’</w:t>
      </w:r>
      <w:r w:rsidRPr="00A779B8">
        <w:rPr>
          <w:lang w:val="fr-FR"/>
        </w:rPr>
        <w:t>étalonnage utilisé;</w:t>
      </w:r>
    </w:p>
    <w:p w:rsidR="00A320B5" w:rsidRPr="00A779B8" w:rsidRDefault="00A320B5" w:rsidP="00A320B5">
      <w:pPr>
        <w:pStyle w:val="SingleTxtG"/>
        <w:ind w:left="2835" w:hanging="567"/>
        <w:rPr>
          <w:lang w:val="fr-FR"/>
        </w:rPr>
      </w:pPr>
      <w:r w:rsidRPr="00A779B8">
        <w:rPr>
          <w:lang w:val="fr-FR"/>
        </w:rPr>
        <w:t>d)</w:t>
      </w:r>
      <w:r w:rsidRPr="00A779B8">
        <w:rPr>
          <w:lang w:val="fr-FR"/>
        </w:rPr>
        <w:tab/>
        <w:t>Valeur réelle et valeur indiquée pour chaque gaz d</w:t>
      </w:r>
      <w:r w:rsidR="00DB4C2D">
        <w:rPr>
          <w:lang w:val="fr-FR"/>
        </w:rPr>
        <w:t>’</w:t>
      </w:r>
      <w:r w:rsidRPr="00A779B8">
        <w:rPr>
          <w:lang w:val="fr-FR"/>
        </w:rPr>
        <w:t>étalonnage utilisé, avec les différences en pourcentage;</w:t>
      </w:r>
    </w:p>
    <w:p w:rsidR="00A320B5" w:rsidRPr="00A779B8" w:rsidRDefault="00A320B5" w:rsidP="00A320B5">
      <w:pPr>
        <w:pStyle w:val="SingleTxtG"/>
        <w:ind w:left="2835" w:hanging="567"/>
        <w:rPr>
          <w:lang w:val="fr-FR"/>
        </w:rPr>
      </w:pPr>
      <w:r w:rsidRPr="00A779B8">
        <w:rPr>
          <w:lang w:val="fr-FR"/>
        </w:rPr>
        <w:t>e)</w:t>
      </w:r>
      <w:r w:rsidRPr="00A779B8">
        <w:rPr>
          <w:lang w:val="fr-FR"/>
        </w:rPr>
        <w:tab/>
        <w:t>Combustible de l</w:t>
      </w:r>
      <w:r w:rsidR="00DB4C2D">
        <w:rPr>
          <w:lang w:val="fr-FR"/>
        </w:rPr>
        <w:t>’</w:t>
      </w:r>
      <w:r w:rsidRPr="00A779B8">
        <w:rPr>
          <w:lang w:val="fr-FR"/>
        </w:rPr>
        <w:t>analyseur FID, et type de celui-ci;</w:t>
      </w:r>
    </w:p>
    <w:p w:rsidR="00A320B5" w:rsidRPr="00A779B8" w:rsidRDefault="00A320B5" w:rsidP="00A320B5">
      <w:pPr>
        <w:pStyle w:val="SingleTxtG"/>
        <w:ind w:left="2835" w:hanging="567"/>
        <w:rPr>
          <w:lang w:val="fr-FR"/>
        </w:rPr>
      </w:pPr>
      <w:r w:rsidRPr="00A779B8">
        <w:rPr>
          <w:lang w:val="fr-FR"/>
        </w:rPr>
        <w:t>f)</w:t>
      </w:r>
      <w:r w:rsidRPr="00A779B8">
        <w:rPr>
          <w:lang w:val="fr-FR"/>
        </w:rPr>
        <w:tab/>
        <w:t>Pression d</w:t>
      </w:r>
      <w:r w:rsidR="00DB4C2D">
        <w:rPr>
          <w:lang w:val="fr-FR"/>
        </w:rPr>
        <w:t>’</w:t>
      </w:r>
      <w:r w:rsidRPr="00A779B8">
        <w:rPr>
          <w:lang w:val="fr-FR"/>
        </w:rPr>
        <w:t>air de l</w:t>
      </w:r>
      <w:r w:rsidR="00DB4C2D">
        <w:rPr>
          <w:lang w:val="fr-FR"/>
        </w:rPr>
        <w:t>’</w:t>
      </w:r>
      <w:r w:rsidRPr="00A779B8">
        <w:rPr>
          <w:lang w:val="fr-FR"/>
        </w:rPr>
        <w:t>analyseur FID.</w:t>
      </w:r>
    </w:p>
    <w:p w:rsidR="00A320B5" w:rsidRDefault="00A320B5" w:rsidP="00A320B5">
      <w:pPr>
        <w:pStyle w:val="SingleTxtG"/>
        <w:ind w:left="2268" w:hanging="1134"/>
        <w:rPr>
          <w:lang w:val="fr-FR"/>
        </w:rPr>
      </w:pPr>
      <w:r w:rsidRPr="00A779B8">
        <w:rPr>
          <w:lang w:val="fr-FR"/>
        </w:rPr>
        <w:t>4.5</w:t>
      </w:r>
      <w:r w:rsidRPr="00A779B8">
        <w:rPr>
          <w:lang w:val="fr-FR"/>
        </w:rPr>
        <w:tab/>
        <w:t>D</w:t>
      </w:r>
      <w:r w:rsidR="00DB4C2D">
        <w:rPr>
          <w:lang w:val="fr-FR"/>
        </w:rPr>
        <w:t>’</w:t>
      </w:r>
      <w:r w:rsidRPr="00A779B8">
        <w:rPr>
          <w:lang w:val="fr-FR"/>
        </w:rPr>
        <w:t>autres techniques (utilisation d</w:t>
      </w:r>
      <w:r w:rsidR="00DB4C2D">
        <w:rPr>
          <w:lang w:val="fr-FR"/>
        </w:rPr>
        <w:t>’</w:t>
      </w:r>
      <w:r w:rsidRPr="00A779B8">
        <w:rPr>
          <w:lang w:val="fr-FR"/>
        </w:rPr>
        <w:t>un calculateur, commutation de gamme électronique, etc.) peuvent être appliquées, s</w:t>
      </w:r>
      <w:r w:rsidR="00DB4C2D">
        <w:rPr>
          <w:lang w:val="fr-FR"/>
        </w:rPr>
        <w:t>’</w:t>
      </w:r>
      <w:r w:rsidRPr="00A779B8">
        <w:rPr>
          <w:lang w:val="fr-FR"/>
        </w:rPr>
        <w:t>il est démontré au service technique qu</w:t>
      </w:r>
      <w:r w:rsidR="00DB4C2D">
        <w:rPr>
          <w:lang w:val="fr-FR"/>
        </w:rPr>
        <w:t>’</w:t>
      </w:r>
      <w:r w:rsidRPr="00A779B8">
        <w:rPr>
          <w:lang w:val="fr-FR"/>
        </w:rPr>
        <w:t>elles offrent une précision équivalente.</w:t>
      </w:r>
    </w:p>
    <w:p w:rsidR="007C3C08" w:rsidRDefault="007C3C08" w:rsidP="00A320B5">
      <w:pPr>
        <w:pStyle w:val="SingleTxtG"/>
        <w:ind w:left="2268" w:hanging="1134"/>
        <w:sectPr w:rsidR="007C3C08" w:rsidSect="00C108AC">
          <w:headerReference w:type="even" r:id="rId230"/>
          <w:headerReference w:type="default" r:id="rId231"/>
          <w:footnotePr>
            <w:numRestart w:val="eachSect"/>
          </w:footnotePr>
          <w:endnotePr>
            <w:numFmt w:val="decimal"/>
          </w:endnotePr>
          <w:pgSz w:w="11907" w:h="16840" w:code="9"/>
          <w:pgMar w:top="1701" w:right="1134" w:bottom="2268" w:left="1134" w:header="794" w:footer="1701" w:gutter="0"/>
          <w:cols w:space="720"/>
          <w:docGrid w:linePitch="272"/>
        </w:sectPr>
      </w:pPr>
    </w:p>
    <w:p w:rsidR="007C3C08" w:rsidRPr="00A779B8" w:rsidRDefault="007C3C08" w:rsidP="007C3C08">
      <w:pPr>
        <w:pStyle w:val="HChG"/>
        <w:rPr>
          <w:lang w:val="fr-FR"/>
        </w:rPr>
      </w:pPr>
      <w:r w:rsidRPr="00A779B8">
        <w:rPr>
          <w:lang w:val="fr-FR"/>
        </w:rPr>
        <w:lastRenderedPageBreak/>
        <w:t>Annexe 7 − Appendice 2</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56"/>
        <w:gridCol w:w="1346"/>
        <w:gridCol w:w="1421"/>
        <w:gridCol w:w="2200"/>
        <w:gridCol w:w="2082"/>
      </w:tblGrid>
      <w:tr w:rsidR="007C3C08" w:rsidRPr="00A779B8" w:rsidTr="00DB4C2D">
        <w:tblPrEx>
          <w:tblCellMar>
            <w:top w:w="0" w:type="dxa"/>
            <w:bottom w:w="0" w:type="dxa"/>
          </w:tblCellMar>
        </w:tblPrEx>
        <w:tc>
          <w:tcPr>
            <w:tcW w:w="4223" w:type="dxa"/>
            <w:gridSpan w:val="3"/>
            <w:vAlign w:val="center"/>
          </w:tcPr>
          <w:p w:rsidR="007C3C08" w:rsidRPr="00A779B8" w:rsidRDefault="007C3C08" w:rsidP="00DB4C2D">
            <w:pPr>
              <w:spacing w:before="60" w:after="60" w:line="200" w:lineRule="exact"/>
              <w:jc w:val="center"/>
              <w:rPr>
                <w:lang w:val="fr-FR"/>
              </w:rPr>
            </w:pPr>
            <w:r w:rsidRPr="00A779B8">
              <w:rPr>
                <w:i/>
                <w:sz w:val="16"/>
                <w:szCs w:val="16"/>
                <w:lang w:val="fr-FR"/>
              </w:rPr>
              <w:t>Profil des températures diurnes ambiantes</w:t>
            </w:r>
            <w:r w:rsidRPr="00A779B8">
              <w:rPr>
                <w:i/>
                <w:sz w:val="16"/>
                <w:szCs w:val="16"/>
                <w:lang w:val="fr-FR"/>
              </w:rPr>
              <w:br/>
              <w:t>pour l</w:t>
            </w:r>
            <w:r w:rsidR="00DB4C2D">
              <w:rPr>
                <w:i/>
                <w:sz w:val="16"/>
                <w:szCs w:val="16"/>
                <w:lang w:val="fr-FR"/>
              </w:rPr>
              <w:t>’</w:t>
            </w:r>
            <w:r w:rsidRPr="00A779B8">
              <w:rPr>
                <w:i/>
                <w:sz w:val="16"/>
                <w:szCs w:val="16"/>
                <w:lang w:val="fr-FR"/>
              </w:rPr>
              <w:t>étalonnage de l</w:t>
            </w:r>
            <w:r w:rsidR="00DB4C2D">
              <w:rPr>
                <w:i/>
                <w:sz w:val="16"/>
                <w:szCs w:val="16"/>
                <w:lang w:val="fr-FR"/>
              </w:rPr>
              <w:t>’</w:t>
            </w:r>
            <w:r w:rsidRPr="00A779B8">
              <w:rPr>
                <w:i/>
                <w:sz w:val="16"/>
                <w:szCs w:val="16"/>
                <w:lang w:val="fr-FR"/>
              </w:rPr>
              <w:t>enceinte et l</w:t>
            </w:r>
            <w:r w:rsidR="00DB4C2D">
              <w:rPr>
                <w:i/>
                <w:sz w:val="16"/>
                <w:szCs w:val="16"/>
                <w:lang w:val="fr-FR"/>
              </w:rPr>
              <w:t>’</w:t>
            </w:r>
            <w:r w:rsidRPr="00A779B8">
              <w:rPr>
                <w:i/>
                <w:sz w:val="16"/>
                <w:szCs w:val="16"/>
                <w:lang w:val="fr-FR"/>
              </w:rPr>
              <w:t>essai</w:t>
            </w:r>
            <w:r w:rsidRPr="00A779B8">
              <w:rPr>
                <w:i/>
                <w:sz w:val="16"/>
                <w:szCs w:val="16"/>
                <w:lang w:val="fr-FR"/>
              </w:rPr>
              <w:br/>
              <w:t>d</w:t>
            </w:r>
            <w:r w:rsidR="00DB4C2D">
              <w:rPr>
                <w:i/>
                <w:sz w:val="16"/>
                <w:szCs w:val="16"/>
                <w:lang w:val="fr-FR"/>
              </w:rPr>
              <w:t>’</w:t>
            </w:r>
            <w:r w:rsidRPr="00A779B8">
              <w:rPr>
                <w:i/>
                <w:sz w:val="16"/>
                <w:szCs w:val="16"/>
                <w:lang w:val="fr-FR"/>
              </w:rPr>
              <w:t>émissions diurne</w:t>
            </w:r>
          </w:p>
        </w:tc>
        <w:tc>
          <w:tcPr>
            <w:tcW w:w="4282" w:type="dxa"/>
            <w:gridSpan w:val="2"/>
            <w:vAlign w:val="center"/>
          </w:tcPr>
          <w:p w:rsidR="007C3C08" w:rsidRPr="00A779B8" w:rsidRDefault="007C3C08" w:rsidP="00DB4C2D">
            <w:pPr>
              <w:spacing w:before="60" w:after="60" w:line="200" w:lineRule="exact"/>
              <w:jc w:val="center"/>
              <w:rPr>
                <w:lang w:val="fr-FR"/>
              </w:rPr>
            </w:pPr>
            <w:r w:rsidRPr="00A779B8">
              <w:rPr>
                <w:i/>
                <w:sz w:val="16"/>
                <w:szCs w:val="16"/>
                <w:lang w:val="fr-FR"/>
              </w:rPr>
              <w:t>Profil de remplacement des températures diurnes ambiantes pour l</w:t>
            </w:r>
            <w:r w:rsidR="00DB4C2D">
              <w:rPr>
                <w:i/>
                <w:sz w:val="16"/>
                <w:szCs w:val="16"/>
                <w:lang w:val="fr-FR"/>
              </w:rPr>
              <w:t>’</w:t>
            </w:r>
            <w:r w:rsidRPr="00A779B8">
              <w:rPr>
                <w:i/>
                <w:sz w:val="16"/>
                <w:szCs w:val="16"/>
                <w:lang w:val="fr-FR"/>
              </w:rPr>
              <w:t>étalonnage de l</w:t>
            </w:r>
            <w:r w:rsidR="00DB4C2D">
              <w:rPr>
                <w:i/>
                <w:sz w:val="16"/>
                <w:szCs w:val="16"/>
                <w:lang w:val="fr-FR"/>
              </w:rPr>
              <w:t>’</w:t>
            </w:r>
            <w:r w:rsidRPr="00A779B8">
              <w:rPr>
                <w:i/>
                <w:sz w:val="16"/>
                <w:szCs w:val="16"/>
                <w:lang w:val="fr-FR"/>
              </w:rPr>
              <w:t>enceinte conformément à l</w:t>
            </w:r>
            <w:r w:rsidR="00DB4C2D">
              <w:rPr>
                <w:i/>
                <w:sz w:val="16"/>
                <w:szCs w:val="16"/>
                <w:lang w:val="fr-FR"/>
              </w:rPr>
              <w:t>’</w:t>
            </w:r>
            <w:r w:rsidRPr="00A779B8">
              <w:rPr>
                <w:i/>
                <w:sz w:val="16"/>
                <w:szCs w:val="16"/>
                <w:lang w:val="fr-FR"/>
              </w:rPr>
              <w:t>annexe 7, appendice 1, paragraphes 1.2 et 2.3.9</w:t>
            </w:r>
          </w:p>
        </w:tc>
      </w:tr>
      <w:tr w:rsidR="007C3C08" w:rsidRPr="00A779B8" w:rsidTr="00DB4C2D">
        <w:tblPrEx>
          <w:tblCellMar>
            <w:top w:w="0" w:type="dxa"/>
            <w:bottom w:w="0" w:type="dxa"/>
          </w:tblCellMar>
        </w:tblPrEx>
        <w:tc>
          <w:tcPr>
            <w:tcW w:w="2802" w:type="dxa"/>
            <w:gridSpan w:val="2"/>
            <w:vAlign w:val="center"/>
          </w:tcPr>
          <w:p w:rsidR="007C3C08" w:rsidRPr="00A779B8" w:rsidRDefault="007C3C08" w:rsidP="00DB4C2D">
            <w:pPr>
              <w:spacing w:before="60" w:after="60" w:line="200" w:lineRule="exact"/>
              <w:jc w:val="center"/>
              <w:rPr>
                <w:i/>
                <w:sz w:val="16"/>
                <w:szCs w:val="16"/>
                <w:lang w:val="fr-FR"/>
              </w:rPr>
            </w:pPr>
            <w:r w:rsidRPr="00A779B8">
              <w:rPr>
                <w:i/>
                <w:sz w:val="16"/>
                <w:szCs w:val="16"/>
                <w:lang w:val="fr-FR"/>
              </w:rPr>
              <w:t>Temps (h)</w:t>
            </w:r>
          </w:p>
        </w:tc>
        <w:tc>
          <w:tcPr>
            <w:tcW w:w="1421" w:type="dxa"/>
            <w:vMerge w:val="restart"/>
            <w:vAlign w:val="center"/>
          </w:tcPr>
          <w:p w:rsidR="007C3C08" w:rsidRPr="00A779B8" w:rsidRDefault="007C3C08" w:rsidP="00DB4C2D">
            <w:pPr>
              <w:spacing w:before="60" w:after="60" w:line="200" w:lineRule="exact"/>
              <w:jc w:val="center"/>
              <w:rPr>
                <w:i/>
                <w:sz w:val="16"/>
                <w:szCs w:val="16"/>
                <w:lang w:val="fr-FR"/>
              </w:rPr>
            </w:pPr>
            <w:r w:rsidRPr="00A779B8">
              <w:rPr>
                <w:i/>
                <w:sz w:val="16"/>
                <w:szCs w:val="16"/>
                <w:lang w:val="fr-FR"/>
              </w:rPr>
              <w:t>Température (°C</w:t>
            </w:r>
            <w:r w:rsidRPr="00A779B8">
              <w:rPr>
                <w:i/>
                <w:sz w:val="16"/>
                <w:szCs w:val="16"/>
                <w:vertAlign w:val="subscript"/>
                <w:lang w:val="fr-FR"/>
              </w:rPr>
              <w:t>i</w:t>
            </w:r>
            <w:r w:rsidRPr="00A779B8">
              <w:rPr>
                <w:i/>
                <w:sz w:val="16"/>
                <w:szCs w:val="16"/>
                <w:lang w:val="fr-FR"/>
              </w:rPr>
              <w:t>)</w:t>
            </w:r>
          </w:p>
        </w:tc>
        <w:tc>
          <w:tcPr>
            <w:tcW w:w="2200" w:type="dxa"/>
            <w:vMerge w:val="restart"/>
            <w:vAlign w:val="center"/>
          </w:tcPr>
          <w:p w:rsidR="007C3C08" w:rsidRPr="00A779B8" w:rsidRDefault="007C3C08" w:rsidP="00DB4C2D">
            <w:pPr>
              <w:spacing w:before="60" w:after="60" w:line="200" w:lineRule="exact"/>
              <w:jc w:val="center"/>
              <w:rPr>
                <w:i/>
                <w:sz w:val="16"/>
                <w:szCs w:val="16"/>
                <w:lang w:val="fr-FR"/>
              </w:rPr>
            </w:pPr>
            <w:r w:rsidRPr="00A779B8">
              <w:rPr>
                <w:i/>
                <w:sz w:val="16"/>
                <w:szCs w:val="16"/>
                <w:lang w:val="fr-FR"/>
              </w:rPr>
              <w:t>Temps (h)</w:t>
            </w:r>
          </w:p>
        </w:tc>
        <w:tc>
          <w:tcPr>
            <w:tcW w:w="2082" w:type="dxa"/>
            <w:vMerge w:val="restart"/>
            <w:vAlign w:val="center"/>
          </w:tcPr>
          <w:p w:rsidR="007C3C08" w:rsidRPr="00A779B8" w:rsidRDefault="007C3C08" w:rsidP="00DB4C2D">
            <w:pPr>
              <w:spacing w:before="60" w:after="60" w:line="200" w:lineRule="exact"/>
              <w:jc w:val="center"/>
              <w:rPr>
                <w:i/>
                <w:sz w:val="16"/>
                <w:szCs w:val="16"/>
                <w:lang w:val="fr-FR"/>
              </w:rPr>
            </w:pPr>
            <w:r w:rsidRPr="00A779B8">
              <w:rPr>
                <w:i/>
                <w:sz w:val="16"/>
                <w:szCs w:val="16"/>
                <w:lang w:val="fr-FR"/>
              </w:rPr>
              <w:t>Température (°C</w:t>
            </w:r>
            <w:r w:rsidRPr="00A779B8">
              <w:rPr>
                <w:i/>
                <w:sz w:val="16"/>
                <w:szCs w:val="16"/>
                <w:vertAlign w:val="subscript"/>
                <w:lang w:val="fr-FR"/>
              </w:rPr>
              <w:t>i</w:t>
            </w:r>
            <w:r w:rsidRPr="00A779B8">
              <w:rPr>
                <w:i/>
                <w:sz w:val="16"/>
                <w:szCs w:val="16"/>
                <w:lang w:val="fr-FR"/>
              </w:rPr>
              <w:t>)</w:t>
            </w:r>
          </w:p>
        </w:tc>
      </w:tr>
      <w:tr w:rsidR="007C3C08" w:rsidRPr="00A779B8" w:rsidTr="00DB4C2D">
        <w:tblPrEx>
          <w:tblCellMar>
            <w:top w:w="0" w:type="dxa"/>
            <w:bottom w:w="0" w:type="dxa"/>
          </w:tblCellMar>
        </w:tblPrEx>
        <w:tc>
          <w:tcPr>
            <w:tcW w:w="1456" w:type="dxa"/>
            <w:vAlign w:val="center"/>
          </w:tcPr>
          <w:p w:rsidR="007C3C08" w:rsidRPr="00A779B8" w:rsidRDefault="007C3C08" w:rsidP="00DB4C2D">
            <w:pPr>
              <w:spacing w:before="60" w:after="60" w:line="200" w:lineRule="exact"/>
              <w:jc w:val="center"/>
              <w:rPr>
                <w:i/>
                <w:sz w:val="16"/>
                <w:szCs w:val="16"/>
                <w:lang w:val="fr-FR"/>
              </w:rPr>
            </w:pPr>
            <w:r w:rsidRPr="00A779B8">
              <w:rPr>
                <w:i/>
                <w:sz w:val="16"/>
                <w:szCs w:val="16"/>
                <w:lang w:val="fr-FR"/>
              </w:rPr>
              <w:t>Étalonnage</w:t>
            </w:r>
          </w:p>
        </w:tc>
        <w:tc>
          <w:tcPr>
            <w:tcW w:w="1346" w:type="dxa"/>
            <w:vAlign w:val="center"/>
          </w:tcPr>
          <w:p w:rsidR="007C3C08" w:rsidRPr="00A779B8" w:rsidRDefault="007C3C08" w:rsidP="00DB4C2D">
            <w:pPr>
              <w:spacing w:before="60" w:after="60" w:line="200" w:lineRule="exact"/>
              <w:jc w:val="center"/>
              <w:rPr>
                <w:i/>
                <w:sz w:val="16"/>
                <w:szCs w:val="16"/>
                <w:lang w:val="fr-FR"/>
              </w:rPr>
            </w:pPr>
            <w:r w:rsidRPr="00A779B8">
              <w:rPr>
                <w:i/>
                <w:sz w:val="16"/>
                <w:szCs w:val="16"/>
                <w:lang w:val="fr-FR"/>
              </w:rPr>
              <w:t>Essai</w:t>
            </w:r>
          </w:p>
        </w:tc>
        <w:tc>
          <w:tcPr>
            <w:tcW w:w="1421" w:type="dxa"/>
            <w:vMerge/>
            <w:vAlign w:val="center"/>
          </w:tcPr>
          <w:p w:rsidR="007C3C08" w:rsidRPr="00A779B8" w:rsidRDefault="007C3C08" w:rsidP="00DB4C2D">
            <w:pPr>
              <w:spacing w:before="60" w:after="60" w:line="200" w:lineRule="exact"/>
              <w:jc w:val="center"/>
              <w:rPr>
                <w:i/>
                <w:sz w:val="16"/>
                <w:szCs w:val="16"/>
                <w:lang w:val="fr-FR"/>
              </w:rPr>
            </w:pPr>
          </w:p>
        </w:tc>
        <w:tc>
          <w:tcPr>
            <w:tcW w:w="2200" w:type="dxa"/>
            <w:vMerge/>
            <w:vAlign w:val="center"/>
          </w:tcPr>
          <w:p w:rsidR="007C3C08" w:rsidRPr="00A779B8" w:rsidRDefault="007C3C08" w:rsidP="00DB4C2D">
            <w:pPr>
              <w:spacing w:before="60" w:after="60" w:line="200" w:lineRule="exact"/>
              <w:jc w:val="center"/>
              <w:rPr>
                <w:i/>
                <w:sz w:val="16"/>
                <w:szCs w:val="16"/>
                <w:lang w:val="fr-FR"/>
              </w:rPr>
            </w:pPr>
          </w:p>
        </w:tc>
        <w:tc>
          <w:tcPr>
            <w:tcW w:w="2082" w:type="dxa"/>
            <w:vMerge/>
            <w:vAlign w:val="center"/>
          </w:tcPr>
          <w:p w:rsidR="007C3C08" w:rsidRPr="00A779B8" w:rsidRDefault="007C3C08" w:rsidP="00DB4C2D">
            <w:pPr>
              <w:spacing w:before="60" w:after="60" w:line="200" w:lineRule="exact"/>
              <w:jc w:val="center"/>
              <w:rPr>
                <w:i/>
                <w:sz w:val="16"/>
                <w:szCs w:val="16"/>
                <w:lang w:val="fr-FR"/>
              </w:rPr>
            </w:pP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13</w:t>
            </w:r>
          </w:p>
        </w:tc>
        <w:tc>
          <w:tcPr>
            <w:tcW w:w="1346" w:type="dxa"/>
            <w:vAlign w:val="bottom"/>
          </w:tcPr>
          <w:p w:rsidR="007C3C08" w:rsidRPr="00A779B8" w:rsidRDefault="007C3C08" w:rsidP="00DB4C2D">
            <w:pPr>
              <w:spacing w:before="60" w:after="60"/>
              <w:jc w:val="center"/>
              <w:rPr>
                <w:lang w:val="fr-FR"/>
              </w:rPr>
            </w:pPr>
            <w:r w:rsidRPr="00A779B8">
              <w:rPr>
                <w:lang w:val="fr-FR"/>
              </w:rPr>
              <w:t>0/24</w:t>
            </w:r>
          </w:p>
        </w:tc>
        <w:tc>
          <w:tcPr>
            <w:tcW w:w="1421" w:type="dxa"/>
            <w:vAlign w:val="bottom"/>
          </w:tcPr>
          <w:p w:rsidR="007C3C08" w:rsidRPr="00A779B8" w:rsidRDefault="007C3C08" w:rsidP="00DB4C2D">
            <w:pPr>
              <w:spacing w:before="60" w:after="60"/>
              <w:jc w:val="center"/>
              <w:rPr>
                <w:lang w:val="fr-FR"/>
              </w:rPr>
            </w:pPr>
            <w:r w:rsidRPr="00A779B8">
              <w:rPr>
                <w:lang w:val="fr-FR"/>
              </w:rPr>
              <w:t>20,0</w:t>
            </w:r>
          </w:p>
        </w:tc>
        <w:tc>
          <w:tcPr>
            <w:tcW w:w="2200" w:type="dxa"/>
            <w:vAlign w:val="bottom"/>
          </w:tcPr>
          <w:p w:rsidR="007C3C08" w:rsidRPr="00A779B8" w:rsidRDefault="007C3C08" w:rsidP="00DB4C2D">
            <w:pPr>
              <w:spacing w:before="60" w:after="60"/>
              <w:jc w:val="center"/>
              <w:rPr>
                <w:lang w:val="fr-FR"/>
              </w:rPr>
            </w:pPr>
            <w:r w:rsidRPr="00A779B8">
              <w:rPr>
                <w:lang w:val="fr-FR"/>
              </w:rPr>
              <w:t>0</w:t>
            </w:r>
          </w:p>
        </w:tc>
        <w:tc>
          <w:tcPr>
            <w:tcW w:w="2082" w:type="dxa"/>
            <w:vAlign w:val="bottom"/>
          </w:tcPr>
          <w:p w:rsidR="007C3C08" w:rsidRPr="00A779B8" w:rsidRDefault="007C3C08" w:rsidP="00DB4C2D">
            <w:pPr>
              <w:spacing w:before="60" w:after="60"/>
              <w:jc w:val="center"/>
              <w:rPr>
                <w:lang w:val="fr-FR"/>
              </w:rPr>
            </w:pPr>
            <w:r w:rsidRPr="00A779B8">
              <w:rPr>
                <w:lang w:val="fr-FR"/>
              </w:rPr>
              <w:t>35,6</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14</w:t>
            </w:r>
          </w:p>
        </w:tc>
        <w:tc>
          <w:tcPr>
            <w:tcW w:w="1346" w:type="dxa"/>
            <w:vAlign w:val="bottom"/>
          </w:tcPr>
          <w:p w:rsidR="007C3C08" w:rsidRPr="00A779B8" w:rsidRDefault="007C3C08" w:rsidP="00DB4C2D">
            <w:pPr>
              <w:spacing w:before="60" w:after="60"/>
              <w:jc w:val="center"/>
              <w:rPr>
                <w:lang w:val="fr-FR"/>
              </w:rPr>
            </w:pPr>
            <w:r w:rsidRPr="00A779B8">
              <w:rPr>
                <w:lang w:val="fr-FR"/>
              </w:rPr>
              <w:t>1</w:t>
            </w:r>
          </w:p>
        </w:tc>
        <w:tc>
          <w:tcPr>
            <w:tcW w:w="1421" w:type="dxa"/>
            <w:vAlign w:val="bottom"/>
          </w:tcPr>
          <w:p w:rsidR="007C3C08" w:rsidRPr="00A779B8" w:rsidRDefault="007C3C08" w:rsidP="00DB4C2D">
            <w:pPr>
              <w:spacing w:before="60" w:after="60"/>
              <w:jc w:val="center"/>
              <w:rPr>
                <w:lang w:val="fr-FR"/>
              </w:rPr>
            </w:pPr>
            <w:r w:rsidRPr="00A779B8">
              <w:rPr>
                <w:lang w:val="fr-FR"/>
              </w:rPr>
              <w:t>20,2</w:t>
            </w:r>
          </w:p>
        </w:tc>
        <w:tc>
          <w:tcPr>
            <w:tcW w:w="2200" w:type="dxa"/>
            <w:vAlign w:val="bottom"/>
          </w:tcPr>
          <w:p w:rsidR="007C3C08" w:rsidRPr="00A779B8" w:rsidRDefault="007C3C08" w:rsidP="00DB4C2D">
            <w:pPr>
              <w:spacing w:before="60" w:after="60"/>
              <w:jc w:val="center"/>
              <w:rPr>
                <w:lang w:val="fr-FR"/>
              </w:rPr>
            </w:pPr>
            <w:r w:rsidRPr="00A779B8">
              <w:rPr>
                <w:lang w:val="fr-FR"/>
              </w:rPr>
              <w:t>1</w:t>
            </w:r>
          </w:p>
        </w:tc>
        <w:tc>
          <w:tcPr>
            <w:tcW w:w="2082" w:type="dxa"/>
            <w:vAlign w:val="bottom"/>
          </w:tcPr>
          <w:p w:rsidR="007C3C08" w:rsidRPr="00A779B8" w:rsidRDefault="007C3C08" w:rsidP="00DB4C2D">
            <w:pPr>
              <w:spacing w:before="60" w:after="60"/>
              <w:jc w:val="center"/>
              <w:rPr>
                <w:lang w:val="fr-FR"/>
              </w:rPr>
            </w:pPr>
            <w:r w:rsidRPr="00A779B8">
              <w:rPr>
                <w:lang w:val="fr-FR"/>
              </w:rPr>
              <w:t>35,3</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15</w:t>
            </w:r>
          </w:p>
        </w:tc>
        <w:tc>
          <w:tcPr>
            <w:tcW w:w="1346" w:type="dxa"/>
            <w:vAlign w:val="bottom"/>
          </w:tcPr>
          <w:p w:rsidR="007C3C08" w:rsidRPr="00A779B8" w:rsidRDefault="007C3C08" w:rsidP="00DB4C2D">
            <w:pPr>
              <w:spacing w:before="60" w:after="60"/>
              <w:jc w:val="center"/>
              <w:rPr>
                <w:lang w:val="fr-FR"/>
              </w:rPr>
            </w:pPr>
            <w:r w:rsidRPr="00A779B8">
              <w:rPr>
                <w:lang w:val="fr-FR"/>
              </w:rPr>
              <w:t>2</w:t>
            </w:r>
          </w:p>
        </w:tc>
        <w:tc>
          <w:tcPr>
            <w:tcW w:w="1421" w:type="dxa"/>
            <w:vAlign w:val="bottom"/>
          </w:tcPr>
          <w:p w:rsidR="007C3C08" w:rsidRPr="00A779B8" w:rsidRDefault="007C3C08" w:rsidP="00DB4C2D">
            <w:pPr>
              <w:spacing w:before="60" w:after="60"/>
              <w:jc w:val="center"/>
              <w:rPr>
                <w:lang w:val="fr-FR"/>
              </w:rPr>
            </w:pPr>
            <w:r w:rsidRPr="00A779B8">
              <w:rPr>
                <w:lang w:val="fr-FR"/>
              </w:rPr>
              <w:t>20,5</w:t>
            </w:r>
          </w:p>
        </w:tc>
        <w:tc>
          <w:tcPr>
            <w:tcW w:w="2200" w:type="dxa"/>
            <w:vAlign w:val="bottom"/>
          </w:tcPr>
          <w:p w:rsidR="007C3C08" w:rsidRPr="00A779B8" w:rsidRDefault="007C3C08" w:rsidP="00DB4C2D">
            <w:pPr>
              <w:spacing w:before="60" w:after="60"/>
              <w:jc w:val="center"/>
              <w:rPr>
                <w:lang w:val="fr-FR"/>
              </w:rPr>
            </w:pPr>
            <w:r w:rsidRPr="00A779B8">
              <w:rPr>
                <w:lang w:val="fr-FR"/>
              </w:rPr>
              <w:t>2</w:t>
            </w:r>
          </w:p>
        </w:tc>
        <w:tc>
          <w:tcPr>
            <w:tcW w:w="2082" w:type="dxa"/>
            <w:vAlign w:val="bottom"/>
          </w:tcPr>
          <w:p w:rsidR="007C3C08" w:rsidRPr="00A779B8" w:rsidRDefault="007C3C08" w:rsidP="00DB4C2D">
            <w:pPr>
              <w:spacing w:before="60" w:after="60"/>
              <w:jc w:val="center"/>
              <w:rPr>
                <w:lang w:val="fr-FR"/>
              </w:rPr>
            </w:pPr>
            <w:r w:rsidRPr="00A779B8">
              <w:rPr>
                <w:lang w:val="fr-FR"/>
              </w:rPr>
              <w:t>34,5</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16</w:t>
            </w:r>
          </w:p>
        </w:tc>
        <w:tc>
          <w:tcPr>
            <w:tcW w:w="1346" w:type="dxa"/>
            <w:vAlign w:val="bottom"/>
          </w:tcPr>
          <w:p w:rsidR="007C3C08" w:rsidRPr="00A779B8" w:rsidRDefault="007C3C08" w:rsidP="00DB4C2D">
            <w:pPr>
              <w:spacing w:before="60" w:after="60"/>
              <w:jc w:val="center"/>
              <w:rPr>
                <w:lang w:val="fr-FR"/>
              </w:rPr>
            </w:pPr>
            <w:r w:rsidRPr="00A779B8">
              <w:rPr>
                <w:lang w:val="fr-FR"/>
              </w:rPr>
              <w:t>3</w:t>
            </w:r>
          </w:p>
        </w:tc>
        <w:tc>
          <w:tcPr>
            <w:tcW w:w="1421" w:type="dxa"/>
            <w:vAlign w:val="bottom"/>
          </w:tcPr>
          <w:p w:rsidR="007C3C08" w:rsidRPr="00A779B8" w:rsidRDefault="007C3C08" w:rsidP="00DB4C2D">
            <w:pPr>
              <w:spacing w:before="60" w:after="60"/>
              <w:jc w:val="center"/>
              <w:rPr>
                <w:lang w:val="fr-FR"/>
              </w:rPr>
            </w:pPr>
            <w:r w:rsidRPr="00A779B8">
              <w:rPr>
                <w:lang w:val="fr-FR"/>
              </w:rPr>
              <w:t>21,2</w:t>
            </w:r>
          </w:p>
        </w:tc>
        <w:tc>
          <w:tcPr>
            <w:tcW w:w="2200" w:type="dxa"/>
            <w:vAlign w:val="bottom"/>
          </w:tcPr>
          <w:p w:rsidR="007C3C08" w:rsidRPr="00A779B8" w:rsidRDefault="007C3C08" w:rsidP="00DB4C2D">
            <w:pPr>
              <w:spacing w:before="60" w:after="60"/>
              <w:jc w:val="center"/>
              <w:rPr>
                <w:lang w:val="fr-FR"/>
              </w:rPr>
            </w:pPr>
            <w:r w:rsidRPr="00A779B8">
              <w:rPr>
                <w:lang w:val="fr-FR"/>
              </w:rPr>
              <w:t>3</w:t>
            </w:r>
          </w:p>
        </w:tc>
        <w:tc>
          <w:tcPr>
            <w:tcW w:w="2082" w:type="dxa"/>
            <w:vAlign w:val="bottom"/>
          </w:tcPr>
          <w:p w:rsidR="007C3C08" w:rsidRPr="00A779B8" w:rsidRDefault="007C3C08" w:rsidP="00DB4C2D">
            <w:pPr>
              <w:spacing w:before="60" w:after="60"/>
              <w:jc w:val="center"/>
              <w:rPr>
                <w:lang w:val="fr-FR"/>
              </w:rPr>
            </w:pPr>
            <w:r w:rsidRPr="00A779B8">
              <w:rPr>
                <w:lang w:val="fr-FR"/>
              </w:rPr>
              <w:t>33,2</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17</w:t>
            </w:r>
          </w:p>
        </w:tc>
        <w:tc>
          <w:tcPr>
            <w:tcW w:w="1346" w:type="dxa"/>
            <w:vAlign w:val="bottom"/>
          </w:tcPr>
          <w:p w:rsidR="007C3C08" w:rsidRPr="00A779B8" w:rsidRDefault="007C3C08" w:rsidP="00DB4C2D">
            <w:pPr>
              <w:spacing w:before="60" w:after="60"/>
              <w:jc w:val="center"/>
              <w:rPr>
                <w:lang w:val="fr-FR"/>
              </w:rPr>
            </w:pPr>
            <w:r w:rsidRPr="00A779B8">
              <w:rPr>
                <w:lang w:val="fr-FR"/>
              </w:rPr>
              <w:t>4</w:t>
            </w:r>
          </w:p>
        </w:tc>
        <w:tc>
          <w:tcPr>
            <w:tcW w:w="1421" w:type="dxa"/>
            <w:vAlign w:val="bottom"/>
          </w:tcPr>
          <w:p w:rsidR="007C3C08" w:rsidRPr="00A779B8" w:rsidRDefault="007C3C08" w:rsidP="00DB4C2D">
            <w:pPr>
              <w:spacing w:before="60" w:after="60"/>
              <w:jc w:val="center"/>
              <w:rPr>
                <w:lang w:val="fr-FR"/>
              </w:rPr>
            </w:pPr>
            <w:r w:rsidRPr="00A779B8">
              <w:rPr>
                <w:lang w:val="fr-FR"/>
              </w:rPr>
              <w:t>23,1</w:t>
            </w:r>
          </w:p>
        </w:tc>
        <w:tc>
          <w:tcPr>
            <w:tcW w:w="2200" w:type="dxa"/>
            <w:vAlign w:val="bottom"/>
          </w:tcPr>
          <w:p w:rsidR="007C3C08" w:rsidRPr="00A779B8" w:rsidRDefault="007C3C08" w:rsidP="00DB4C2D">
            <w:pPr>
              <w:spacing w:before="60" w:after="60"/>
              <w:jc w:val="center"/>
              <w:rPr>
                <w:lang w:val="fr-FR"/>
              </w:rPr>
            </w:pPr>
            <w:r w:rsidRPr="00A779B8">
              <w:rPr>
                <w:lang w:val="fr-FR"/>
              </w:rPr>
              <w:t>4</w:t>
            </w:r>
          </w:p>
        </w:tc>
        <w:tc>
          <w:tcPr>
            <w:tcW w:w="2082" w:type="dxa"/>
            <w:vAlign w:val="bottom"/>
          </w:tcPr>
          <w:p w:rsidR="007C3C08" w:rsidRPr="00A779B8" w:rsidRDefault="007C3C08" w:rsidP="00DB4C2D">
            <w:pPr>
              <w:spacing w:before="60" w:after="60"/>
              <w:jc w:val="center"/>
              <w:rPr>
                <w:lang w:val="fr-FR"/>
              </w:rPr>
            </w:pPr>
            <w:r w:rsidRPr="00A779B8">
              <w:rPr>
                <w:lang w:val="fr-FR"/>
              </w:rPr>
              <w:t>31,4</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18</w:t>
            </w:r>
          </w:p>
        </w:tc>
        <w:tc>
          <w:tcPr>
            <w:tcW w:w="1346" w:type="dxa"/>
            <w:vAlign w:val="bottom"/>
          </w:tcPr>
          <w:p w:rsidR="007C3C08" w:rsidRPr="00A779B8" w:rsidRDefault="007C3C08" w:rsidP="00DB4C2D">
            <w:pPr>
              <w:spacing w:before="60" w:after="60"/>
              <w:jc w:val="center"/>
              <w:rPr>
                <w:lang w:val="fr-FR"/>
              </w:rPr>
            </w:pPr>
            <w:r w:rsidRPr="00A779B8">
              <w:rPr>
                <w:lang w:val="fr-FR"/>
              </w:rPr>
              <w:t>5</w:t>
            </w:r>
          </w:p>
        </w:tc>
        <w:tc>
          <w:tcPr>
            <w:tcW w:w="1421" w:type="dxa"/>
            <w:vAlign w:val="bottom"/>
          </w:tcPr>
          <w:p w:rsidR="007C3C08" w:rsidRPr="00A779B8" w:rsidRDefault="007C3C08" w:rsidP="00DB4C2D">
            <w:pPr>
              <w:spacing w:before="60" w:after="60"/>
              <w:jc w:val="center"/>
              <w:rPr>
                <w:lang w:val="fr-FR"/>
              </w:rPr>
            </w:pPr>
            <w:r w:rsidRPr="00A779B8">
              <w:rPr>
                <w:lang w:val="fr-FR"/>
              </w:rPr>
              <w:t>25,1</w:t>
            </w:r>
          </w:p>
        </w:tc>
        <w:tc>
          <w:tcPr>
            <w:tcW w:w="2200" w:type="dxa"/>
            <w:vAlign w:val="bottom"/>
          </w:tcPr>
          <w:p w:rsidR="007C3C08" w:rsidRPr="00A779B8" w:rsidRDefault="007C3C08" w:rsidP="00DB4C2D">
            <w:pPr>
              <w:spacing w:before="60" w:after="60"/>
              <w:jc w:val="center"/>
              <w:rPr>
                <w:lang w:val="fr-FR"/>
              </w:rPr>
            </w:pPr>
            <w:r w:rsidRPr="00A779B8">
              <w:rPr>
                <w:lang w:val="fr-FR"/>
              </w:rPr>
              <w:t>5</w:t>
            </w:r>
          </w:p>
        </w:tc>
        <w:tc>
          <w:tcPr>
            <w:tcW w:w="2082" w:type="dxa"/>
            <w:vAlign w:val="bottom"/>
          </w:tcPr>
          <w:p w:rsidR="007C3C08" w:rsidRPr="00A779B8" w:rsidRDefault="007C3C08" w:rsidP="00DB4C2D">
            <w:pPr>
              <w:spacing w:before="60" w:after="60"/>
              <w:jc w:val="center"/>
              <w:rPr>
                <w:lang w:val="fr-FR"/>
              </w:rPr>
            </w:pPr>
            <w:r w:rsidRPr="00A779B8">
              <w:rPr>
                <w:lang w:val="fr-FR"/>
              </w:rPr>
              <w:t>29,7</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19</w:t>
            </w:r>
          </w:p>
        </w:tc>
        <w:tc>
          <w:tcPr>
            <w:tcW w:w="1346" w:type="dxa"/>
            <w:vAlign w:val="bottom"/>
          </w:tcPr>
          <w:p w:rsidR="007C3C08" w:rsidRPr="00A779B8" w:rsidRDefault="007C3C08" w:rsidP="00DB4C2D">
            <w:pPr>
              <w:spacing w:before="60" w:after="60"/>
              <w:jc w:val="center"/>
              <w:rPr>
                <w:lang w:val="fr-FR"/>
              </w:rPr>
            </w:pPr>
            <w:r w:rsidRPr="00A779B8">
              <w:rPr>
                <w:lang w:val="fr-FR"/>
              </w:rPr>
              <w:t>6</w:t>
            </w:r>
          </w:p>
        </w:tc>
        <w:tc>
          <w:tcPr>
            <w:tcW w:w="1421" w:type="dxa"/>
            <w:vAlign w:val="bottom"/>
          </w:tcPr>
          <w:p w:rsidR="007C3C08" w:rsidRPr="00A779B8" w:rsidRDefault="007C3C08" w:rsidP="00DB4C2D">
            <w:pPr>
              <w:spacing w:before="60" w:after="60"/>
              <w:jc w:val="center"/>
              <w:rPr>
                <w:lang w:val="fr-FR"/>
              </w:rPr>
            </w:pPr>
            <w:r w:rsidRPr="00A779B8">
              <w:rPr>
                <w:lang w:val="fr-FR"/>
              </w:rPr>
              <w:t>27,2</w:t>
            </w:r>
          </w:p>
        </w:tc>
        <w:tc>
          <w:tcPr>
            <w:tcW w:w="2200" w:type="dxa"/>
            <w:vAlign w:val="bottom"/>
          </w:tcPr>
          <w:p w:rsidR="007C3C08" w:rsidRPr="00A779B8" w:rsidRDefault="007C3C08" w:rsidP="00DB4C2D">
            <w:pPr>
              <w:spacing w:before="60" w:after="60"/>
              <w:jc w:val="center"/>
              <w:rPr>
                <w:lang w:val="fr-FR"/>
              </w:rPr>
            </w:pPr>
            <w:r w:rsidRPr="00A779B8">
              <w:rPr>
                <w:lang w:val="fr-FR"/>
              </w:rPr>
              <w:t>6</w:t>
            </w:r>
          </w:p>
        </w:tc>
        <w:tc>
          <w:tcPr>
            <w:tcW w:w="2082" w:type="dxa"/>
            <w:vAlign w:val="bottom"/>
          </w:tcPr>
          <w:p w:rsidR="007C3C08" w:rsidRPr="00A779B8" w:rsidRDefault="007C3C08" w:rsidP="00DB4C2D">
            <w:pPr>
              <w:spacing w:before="60" w:after="60"/>
              <w:jc w:val="center"/>
              <w:rPr>
                <w:lang w:val="fr-FR"/>
              </w:rPr>
            </w:pPr>
            <w:r w:rsidRPr="00A779B8">
              <w:rPr>
                <w:lang w:val="fr-FR"/>
              </w:rPr>
              <w:t>28,2</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20</w:t>
            </w:r>
          </w:p>
        </w:tc>
        <w:tc>
          <w:tcPr>
            <w:tcW w:w="1346" w:type="dxa"/>
            <w:vAlign w:val="bottom"/>
          </w:tcPr>
          <w:p w:rsidR="007C3C08" w:rsidRPr="00A779B8" w:rsidRDefault="007C3C08" w:rsidP="00DB4C2D">
            <w:pPr>
              <w:spacing w:before="60" w:after="60"/>
              <w:jc w:val="center"/>
              <w:rPr>
                <w:lang w:val="fr-FR"/>
              </w:rPr>
            </w:pPr>
            <w:r w:rsidRPr="00A779B8">
              <w:rPr>
                <w:lang w:val="fr-FR"/>
              </w:rPr>
              <w:t>7</w:t>
            </w:r>
          </w:p>
        </w:tc>
        <w:tc>
          <w:tcPr>
            <w:tcW w:w="1421" w:type="dxa"/>
            <w:vAlign w:val="bottom"/>
          </w:tcPr>
          <w:p w:rsidR="007C3C08" w:rsidRPr="00A779B8" w:rsidRDefault="007C3C08" w:rsidP="00DB4C2D">
            <w:pPr>
              <w:spacing w:before="60" w:after="60"/>
              <w:jc w:val="center"/>
              <w:rPr>
                <w:lang w:val="fr-FR"/>
              </w:rPr>
            </w:pPr>
            <w:r w:rsidRPr="00A779B8">
              <w:rPr>
                <w:lang w:val="fr-FR"/>
              </w:rPr>
              <w:t>29,8</w:t>
            </w:r>
          </w:p>
        </w:tc>
        <w:tc>
          <w:tcPr>
            <w:tcW w:w="2200" w:type="dxa"/>
            <w:vAlign w:val="bottom"/>
          </w:tcPr>
          <w:p w:rsidR="007C3C08" w:rsidRPr="00A779B8" w:rsidRDefault="007C3C08" w:rsidP="00DB4C2D">
            <w:pPr>
              <w:spacing w:before="60" w:after="60"/>
              <w:jc w:val="center"/>
              <w:rPr>
                <w:lang w:val="fr-FR"/>
              </w:rPr>
            </w:pPr>
            <w:r w:rsidRPr="00A779B8">
              <w:rPr>
                <w:lang w:val="fr-FR"/>
              </w:rPr>
              <w:t>7</w:t>
            </w:r>
          </w:p>
        </w:tc>
        <w:tc>
          <w:tcPr>
            <w:tcW w:w="2082" w:type="dxa"/>
            <w:vAlign w:val="bottom"/>
          </w:tcPr>
          <w:p w:rsidR="007C3C08" w:rsidRPr="00A779B8" w:rsidRDefault="007C3C08" w:rsidP="00DB4C2D">
            <w:pPr>
              <w:spacing w:before="60" w:after="60"/>
              <w:jc w:val="center"/>
              <w:rPr>
                <w:lang w:val="fr-FR"/>
              </w:rPr>
            </w:pPr>
            <w:r w:rsidRPr="00A779B8">
              <w:rPr>
                <w:lang w:val="fr-FR"/>
              </w:rPr>
              <w:t>27,2</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21</w:t>
            </w:r>
          </w:p>
        </w:tc>
        <w:tc>
          <w:tcPr>
            <w:tcW w:w="1346" w:type="dxa"/>
            <w:vAlign w:val="bottom"/>
          </w:tcPr>
          <w:p w:rsidR="007C3C08" w:rsidRPr="00A779B8" w:rsidRDefault="007C3C08" w:rsidP="00DB4C2D">
            <w:pPr>
              <w:spacing w:before="60" w:after="60"/>
              <w:jc w:val="center"/>
              <w:rPr>
                <w:lang w:val="fr-FR"/>
              </w:rPr>
            </w:pPr>
            <w:r w:rsidRPr="00A779B8">
              <w:rPr>
                <w:lang w:val="fr-FR"/>
              </w:rPr>
              <w:t>8</w:t>
            </w:r>
          </w:p>
        </w:tc>
        <w:tc>
          <w:tcPr>
            <w:tcW w:w="1421" w:type="dxa"/>
            <w:vAlign w:val="bottom"/>
          </w:tcPr>
          <w:p w:rsidR="007C3C08" w:rsidRPr="00A779B8" w:rsidRDefault="007C3C08" w:rsidP="00DB4C2D">
            <w:pPr>
              <w:spacing w:before="60" w:after="60"/>
              <w:jc w:val="center"/>
              <w:rPr>
                <w:lang w:val="fr-FR"/>
              </w:rPr>
            </w:pPr>
            <w:r w:rsidRPr="00A779B8">
              <w:rPr>
                <w:lang w:val="fr-FR"/>
              </w:rPr>
              <w:t>31,8</w:t>
            </w:r>
          </w:p>
        </w:tc>
        <w:tc>
          <w:tcPr>
            <w:tcW w:w="2200" w:type="dxa"/>
            <w:vAlign w:val="bottom"/>
          </w:tcPr>
          <w:p w:rsidR="007C3C08" w:rsidRPr="00A779B8" w:rsidRDefault="007C3C08" w:rsidP="00DB4C2D">
            <w:pPr>
              <w:spacing w:before="60" w:after="60"/>
              <w:jc w:val="center"/>
              <w:rPr>
                <w:lang w:val="fr-FR"/>
              </w:rPr>
            </w:pPr>
            <w:r w:rsidRPr="00A779B8">
              <w:rPr>
                <w:lang w:val="fr-FR"/>
              </w:rPr>
              <w:t>8</w:t>
            </w:r>
          </w:p>
        </w:tc>
        <w:tc>
          <w:tcPr>
            <w:tcW w:w="2082" w:type="dxa"/>
            <w:vAlign w:val="bottom"/>
          </w:tcPr>
          <w:p w:rsidR="007C3C08" w:rsidRPr="00A779B8" w:rsidRDefault="007C3C08" w:rsidP="00DB4C2D">
            <w:pPr>
              <w:spacing w:before="60" w:after="60"/>
              <w:jc w:val="center"/>
              <w:rPr>
                <w:lang w:val="fr-FR"/>
              </w:rPr>
            </w:pPr>
            <w:r w:rsidRPr="00A779B8">
              <w:rPr>
                <w:lang w:val="fr-FR"/>
              </w:rPr>
              <w:t>26,1</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22</w:t>
            </w:r>
          </w:p>
        </w:tc>
        <w:tc>
          <w:tcPr>
            <w:tcW w:w="1346" w:type="dxa"/>
            <w:vAlign w:val="bottom"/>
          </w:tcPr>
          <w:p w:rsidR="007C3C08" w:rsidRPr="00A779B8" w:rsidRDefault="007C3C08" w:rsidP="00DB4C2D">
            <w:pPr>
              <w:spacing w:before="60" w:after="60"/>
              <w:jc w:val="center"/>
              <w:rPr>
                <w:lang w:val="fr-FR"/>
              </w:rPr>
            </w:pPr>
            <w:r w:rsidRPr="00A779B8">
              <w:rPr>
                <w:lang w:val="fr-FR"/>
              </w:rPr>
              <w:t>9</w:t>
            </w:r>
          </w:p>
        </w:tc>
        <w:tc>
          <w:tcPr>
            <w:tcW w:w="1421" w:type="dxa"/>
            <w:vAlign w:val="bottom"/>
          </w:tcPr>
          <w:p w:rsidR="007C3C08" w:rsidRPr="00A779B8" w:rsidRDefault="007C3C08" w:rsidP="00DB4C2D">
            <w:pPr>
              <w:spacing w:before="60" w:after="60"/>
              <w:jc w:val="center"/>
              <w:rPr>
                <w:lang w:val="fr-FR"/>
              </w:rPr>
            </w:pPr>
            <w:r w:rsidRPr="00A779B8">
              <w:rPr>
                <w:lang w:val="fr-FR"/>
              </w:rPr>
              <w:t>33,3</w:t>
            </w:r>
          </w:p>
        </w:tc>
        <w:tc>
          <w:tcPr>
            <w:tcW w:w="2200" w:type="dxa"/>
            <w:vAlign w:val="bottom"/>
          </w:tcPr>
          <w:p w:rsidR="007C3C08" w:rsidRPr="00A779B8" w:rsidRDefault="007C3C08" w:rsidP="00DB4C2D">
            <w:pPr>
              <w:spacing w:before="60" w:after="60"/>
              <w:jc w:val="center"/>
              <w:rPr>
                <w:lang w:val="fr-FR"/>
              </w:rPr>
            </w:pPr>
            <w:r w:rsidRPr="00A779B8">
              <w:rPr>
                <w:lang w:val="fr-FR"/>
              </w:rPr>
              <w:t>9</w:t>
            </w:r>
          </w:p>
        </w:tc>
        <w:tc>
          <w:tcPr>
            <w:tcW w:w="2082" w:type="dxa"/>
            <w:vAlign w:val="bottom"/>
          </w:tcPr>
          <w:p w:rsidR="007C3C08" w:rsidRPr="00A779B8" w:rsidRDefault="007C3C08" w:rsidP="00DB4C2D">
            <w:pPr>
              <w:spacing w:before="60" w:after="60"/>
              <w:jc w:val="center"/>
              <w:rPr>
                <w:lang w:val="fr-FR"/>
              </w:rPr>
            </w:pPr>
            <w:r w:rsidRPr="00A779B8">
              <w:rPr>
                <w:lang w:val="fr-FR"/>
              </w:rPr>
              <w:t>25,1</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23</w:t>
            </w:r>
          </w:p>
        </w:tc>
        <w:tc>
          <w:tcPr>
            <w:tcW w:w="1346" w:type="dxa"/>
            <w:vAlign w:val="bottom"/>
          </w:tcPr>
          <w:p w:rsidR="007C3C08" w:rsidRPr="00A779B8" w:rsidRDefault="007C3C08" w:rsidP="00DB4C2D">
            <w:pPr>
              <w:spacing w:before="60" w:after="60"/>
              <w:jc w:val="center"/>
              <w:rPr>
                <w:lang w:val="fr-FR"/>
              </w:rPr>
            </w:pPr>
            <w:r w:rsidRPr="00A779B8">
              <w:rPr>
                <w:lang w:val="fr-FR"/>
              </w:rPr>
              <w:t>10</w:t>
            </w:r>
          </w:p>
        </w:tc>
        <w:tc>
          <w:tcPr>
            <w:tcW w:w="1421" w:type="dxa"/>
            <w:vAlign w:val="bottom"/>
          </w:tcPr>
          <w:p w:rsidR="007C3C08" w:rsidRPr="00A779B8" w:rsidRDefault="007C3C08" w:rsidP="00DB4C2D">
            <w:pPr>
              <w:spacing w:before="60" w:after="60"/>
              <w:jc w:val="center"/>
              <w:rPr>
                <w:lang w:val="fr-FR"/>
              </w:rPr>
            </w:pPr>
            <w:r w:rsidRPr="00A779B8">
              <w:rPr>
                <w:lang w:val="fr-FR"/>
              </w:rPr>
              <w:t>34,4</w:t>
            </w:r>
          </w:p>
        </w:tc>
        <w:tc>
          <w:tcPr>
            <w:tcW w:w="2200" w:type="dxa"/>
            <w:vAlign w:val="bottom"/>
          </w:tcPr>
          <w:p w:rsidR="007C3C08" w:rsidRPr="00A779B8" w:rsidRDefault="007C3C08" w:rsidP="00DB4C2D">
            <w:pPr>
              <w:spacing w:before="60" w:after="60"/>
              <w:jc w:val="center"/>
              <w:rPr>
                <w:lang w:val="fr-FR"/>
              </w:rPr>
            </w:pPr>
            <w:r w:rsidRPr="00A779B8">
              <w:rPr>
                <w:lang w:val="fr-FR"/>
              </w:rPr>
              <w:t>10</w:t>
            </w:r>
          </w:p>
        </w:tc>
        <w:tc>
          <w:tcPr>
            <w:tcW w:w="2082" w:type="dxa"/>
            <w:vAlign w:val="bottom"/>
          </w:tcPr>
          <w:p w:rsidR="007C3C08" w:rsidRPr="00A779B8" w:rsidRDefault="007C3C08" w:rsidP="00DB4C2D">
            <w:pPr>
              <w:spacing w:before="60" w:after="60"/>
              <w:jc w:val="center"/>
              <w:rPr>
                <w:lang w:val="fr-FR"/>
              </w:rPr>
            </w:pPr>
            <w:r w:rsidRPr="00A779B8">
              <w:rPr>
                <w:lang w:val="fr-FR"/>
              </w:rPr>
              <w:t>24,3</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24/0</w:t>
            </w:r>
          </w:p>
        </w:tc>
        <w:tc>
          <w:tcPr>
            <w:tcW w:w="1346" w:type="dxa"/>
            <w:vAlign w:val="bottom"/>
          </w:tcPr>
          <w:p w:rsidR="007C3C08" w:rsidRPr="00A779B8" w:rsidRDefault="007C3C08" w:rsidP="00DB4C2D">
            <w:pPr>
              <w:spacing w:before="60" w:after="60"/>
              <w:jc w:val="center"/>
              <w:rPr>
                <w:lang w:val="fr-FR"/>
              </w:rPr>
            </w:pPr>
            <w:r w:rsidRPr="00A779B8">
              <w:rPr>
                <w:lang w:val="fr-FR"/>
              </w:rPr>
              <w:t>11</w:t>
            </w:r>
          </w:p>
        </w:tc>
        <w:tc>
          <w:tcPr>
            <w:tcW w:w="1421" w:type="dxa"/>
            <w:vAlign w:val="bottom"/>
          </w:tcPr>
          <w:p w:rsidR="007C3C08" w:rsidRPr="00A779B8" w:rsidRDefault="007C3C08" w:rsidP="00DB4C2D">
            <w:pPr>
              <w:spacing w:before="60" w:after="60"/>
              <w:jc w:val="center"/>
              <w:rPr>
                <w:lang w:val="fr-FR"/>
              </w:rPr>
            </w:pPr>
            <w:r w:rsidRPr="00A779B8">
              <w:rPr>
                <w:lang w:val="fr-FR"/>
              </w:rPr>
              <w:t>35,0</w:t>
            </w:r>
          </w:p>
        </w:tc>
        <w:tc>
          <w:tcPr>
            <w:tcW w:w="2200" w:type="dxa"/>
            <w:vAlign w:val="bottom"/>
          </w:tcPr>
          <w:p w:rsidR="007C3C08" w:rsidRPr="00A779B8" w:rsidRDefault="007C3C08" w:rsidP="00DB4C2D">
            <w:pPr>
              <w:spacing w:before="60" w:after="60"/>
              <w:jc w:val="center"/>
              <w:rPr>
                <w:lang w:val="fr-FR"/>
              </w:rPr>
            </w:pPr>
            <w:r w:rsidRPr="00A779B8">
              <w:rPr>
                <w:lang w:val="fr-FR"/>
              </w:rPr>
              <w:t>11</w:t>
            </w:r>
          </w:p>
        </w:tc>
        <w:tc>
          <w:tcPr>
            <w:tcW w:w="2082" w:type="dxa"/>
            <w:vAlign w:val="bottom"/>
          </w:tcPr>
          <w:p w:rsidR="007C3C08" w:rsidRPr="00A779B8" w:rsidRDefault="007C3C08" w:rsidP="00DB4C2D">
            <w:pPr>
              <w:spacing w:before="60" w:after="60"/>
              <w:jc w:val="center"/>
              <w:rPr>
                <w:lang w:val="fr-FR"/>
              </w:rPr>
            </w:pPr>
            <w:r w:rsidRPr="00A779B8">
              <w:rPr>
                <w:lang w:val="fr-FR"/>
              </w:rPr>
              <w:t>23,7</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w:t>
            </w:r>
          </w:p>
        </w:tc>
        <w:tc>
          <w:tcPr>
            <w:tcW w:w="1346" w:type="dxa"/>
            <w:vAlign w:val="bottom"/>
          </w:tcPr>
          <w:p w:rsidR="007C3C08" w:rsidRPr="00A779B8" w:rsidRDefault="007C3C08" w:rsidP="00DB4C2D">
            <w:pPr>
              <w:spacing w:before="60" w:after="60"/>
              <w:jc w:val="center"/>
              <w:rPr>
                <w:lang w:val="fr-FR"/>
              </w:rPr>
            </w:pPr>
            <w:r w:rsidRPr="00A779B8">
              <w:rPr>
                <w:lang w:val="fr-FR"/>
              </w:rPr>
              <w:t>12</w:t>
            </w:r>
          </w:p>
        </w:tc>
        <w:tc>
          <w:tcPr>
            <w:tcW w:w="1421" w:type="dxa"/>
            <w:vAlign w:val="bottom"/>
          </w:tcPr>
          <w:p w:rsidR="007C3C08" w:rsidRPr="00A779B8" w:rsidRDefault="007C3C08" w:rsidP="00DB4C2D">
            <w:pPr>
              <w:spacing w:before="60" w:after="60"/>
              <w:jc w:val="center"/>
              <w:rPr>
                <w:lang w:val="fr-FR"/>
              </w:rPr>
            </w:pPr>
            <w:r w:rsidRPr="00A779B8">
              <w:rPr>
                <w:lang w:val="fr-FR"/>
              </w:rPr>
              <w:t>34,7</w:t>
            </w:r>
          </w:p>
        </w:tc>
        <w:tc>
          <w:tcPr>
            <w:tcW w:w="2200" w:type="dxa"/>
            <w:vAlign w:val="bottom"/>
          </w:tcPr>
          <w:p w:rsidR="007C3C08" w:rsidRPr="00A779B8" w:rsidRDefault="007C3C08" w:rsidP="00DB4C2D">
            <w:pPr>
              <w:spacing w:before="60" w:after="60"/>
              <w:jc w:val="center"/>
              <w:rPr>
                <w:lang w:val="fr-FR"/>
              </w:rPr>
            </w:pPr>
            <w:r w:rsidRPr="00A779B8">
              <w:rPr>
                <w:lang w:val="fr-FR"/>
              </w:rPr>
              <w:t>12</w:t>
            </w:r>
          </w:p>
        </w:tc>
        <w:tc>
          <w:tcPr>
            <w:tcW w:w="2082" w:type="dxa"/>
            <w:vAlign w:val="bottom"/>
          </w:tcPr>
          <w:p w:rsidR="007C3C08" w:rsidRPr="00A779B8" w:rsidRDefault="007C3C08" w:rsidP="00DB4C2D">
            <w:pPr>
              <w:spacing w:before="60" w:after="60"/>
              <w:jc w:val="center"/>
              <w:rPr>
                <w:lang w:val="fr-FR"/>
              </w:rPr>
            </w:pPr>
            <w:r w:rsidRPr="00A779B8">
              <w:rPr>
                <w:lang w:val="fr-FR"/>
              </w:rPr>
              <w:t>23,3</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2</w:t>
            </w:r>
          </w:p>
        </w:tc>
        <w:tc>
          <w:tcPr>
            <w:tcW w:w="1346" w:type="dxa"/>
            <w:vAlign w:val="bottom"/>
          </w:tcPr>
          <w:p w:rsidR="007C3C08" w:rsidRPr="00A779B8" w:rsidRDefault="007C3C08" w:rsidP="00DB4C2D">
            <w:pPr>
              <w:spacing w:before="60" w:after="60"/>
              <w:jc w:val="center"/>
              <w:rPr>
                <w:lang w:val="fr-FR"/>
              </w:rPr>
            </w:pPr>
            <w:r w:rsidRPr="00A779B8">
              <w:rPr>
                <w:lang w:val="fr-FR"/>
              </w:rPr>
              <w:t>13</w:t>
            </w:r>
          </w:p>
        </w:tc>
        <w:tc>
          <w:tcPr>
            <w:tcW w:w="1421" w:type="dxa"/>
            <w:vAlign w:val="bottom"/>
          </w:tcPr>
          <w:p w:rsidR="007C3C08" w:rsidRPr="00A779B8" w:rsidRDefault="007C3C08" w:rsidP="00DB4C2D">
            <w:pPr>
              <w:spacing w:before="60" w:after="60"/>
              <w:jc w:val="center"/>
              <w:rPr>
                <w:lang w:val="fr-FR"/>
              </w:rPr>
            </w:pPr>
            <w:r w:rsidRPr="00A779B8">
              <w:rPr>
                <w:lang w:val="fr-FR"/>
              </w:rPr>
              <w:t>33,8</w:t>
            </w:r>
          </w:p>
        </w:tc>
        <w:tc>
          <w:tcPr>
            <w:tcW w:w="2200" w:type="dxa"/>
            <w:vAlign w:val="bottom"/>
          </w:tcPr>
          <w:p w:rsidR="007C3C08" w:rsidRPr="00A779B8" w:rsidRDefault="007C3C08" w:rsidP="00DB4C2D">
            <w:pPr>
              <w:spacing w:before="60" w:after="60"/>
              <w:jc w:val="center"/>
              <w:rPr>
                <w:lang w:val="fr-FR"/>
              </w:rPr>
            </w:pPr>
            <w:r w:rsidRPr="00A779B8">
              <w:rPr>
                <w:lang w:val="fr-FR"/>
              </w:rPr>
              <w:t>13</w:t>
            </w:r>
          </w:p>
        </w:tc>
        <w:tc>
          <w:tcPr>
            <w:tcW w:w="2082" w:type="dxa"/>
            <w:vAlign w:val="bottom"/>
          </w:tcPr>
          <w:p w:rsidR="007C3C08" w:rsidRPr="00A779B8" w:rsidRDefault="007C3C08" w:rsidP="00DB4C2D">
            <w:pPr>
              <w:spacing w:before="60" w:after="60"/>
              <w:jc w:val="center"/>
              <w:rPr>
                <w:lang w:val="fr-FR"/>
              </w:rPr>
            </w:pPr>
            <w:r w:rsidRPr="00A779B8">
              <w:rPr>
                <w:lang w:val="fr-FR"/>
              </w:rPr>
              <w:t>22,9</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3</w:t>
            </w:r>
          </w:p>
        </w:tc>
        <w:tc>
          <w:tcPr>
            <w:tcW w:w="1346" w:type="dxa"/>
            <w:vAlign w:val="bottom"/>
          </w:tcPr>
          <w:p w:rsidR="007C3C08" w:rsidRPr="00A779B8" w:rsidRDefault="007C3C08" w:rsidP="00DB4C2D">
            <w:pPr>
              <w:spacing w:before="60" w:after="60"/>
              <w:jc w:val="center"/>
              <w:rPr>
                <w:lang w:val="fr-FR"/>
              </w:rPr>
            </w:pPr>
            <w:r w:rsidRPr="00A779B8">
              <w:rPr>
                <w:lang w:val="fr-FR"/>
              </w:rPr>
              <w:t>14</w:t>
            </w:r>
          </w:p>
        </w:tc>
        <w:tc>
          <w:tcPr>
            <w:tcW w:w="1421" w:type="dxa"/>
            <w:vAlign w:val="bottom"/>
          </w:tcPr>
          <w:p w:rsidR="007C3C08" w:rsidRPr="00A779B8" w:rsidRDefault="007C3C08" w:rsidP="00DB4C2D">
            <w:pPr>
              <w:spacing w:before="60" w:after="60"/>
              <w:jc w:val="center"/>
              <w:rPr>
                <w:lang w:val="fr-FR"/>
              </w:rPr>
            </w:pPr>
            <w:r w:rsidRPr="00A779B8">
              <w:rPr>
                <w:lang w:val="fr-FR"/>
              </w:rPr>
              <w:t>32,0</w:t>
            </w:r>
          </w:p>
        </w:tc>
        <w:tc>
          <w:tcPr>
            <w:tcW w:w="2200" w:type="dxa"/>
            <w:vAlign w:val="bottom"/>
          </w:tcPr>
          <w:p w:rsidR="007C3C08" w:rsidRPr="00A779B8" w:rsidRDefault="007C3C08" w:rsidP="00DB4C2D">
            <w:pPr>
              <w:spacing w:before="60" w:after="60"/>
              <w:jc w:val="center"/>
              <w:rPr>
                <w:lang w:val="fr-FR"/>
              </w:rPr>
            </w:pPr>
            <w:r w:rsidRPr="00A779B8">
              <w:rPr>
                <w:lang w:val="fr-FR"/>
              </w:rPr>
              <w:t>14</w:t>
            </w:r>
          </w:p>
        </w:tc>
        <w:tc>
          <w:tcPr>
            <w:tcW w:w="2082" w:type="dxa"/>
            <w:vAlign w:val="bottom"/>
          </w:tcPr>
          <w:p w:rsidR="007C3C08" w:rsidRPr="00A779B8" w:rsidRDefault="007C3C08" w:rsidP="00DB4C2D">
            <w:pPr>
              <w:spacing w:before="60" w:after="60"/>
              <w:jc w:val="center"/>
              <w:rPr>
                <w:lang w:val="fr-FR"/>
              </w:rPr>
            </w:pPr>
            <w:r w:rsidRPr="00A779B8">
              <w:rPr>
                <w:lang w:val="fr-FR"/>
              </w:rPr>
              <w:t>22,6</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4</w:t>
            </w:r>
          </w:p>
        </w:tc>
        <w:tc>
          <w:tcPr>
            <w:tcW w:w="1346" w:type="dxa"/>
            <w:vAlign w:val="bottom"/>
          </w:tcPr>
          <w:p w:rsidR="007C3C08" w:rsidRPr="00A779B8" w:rsidRDefault="007C3C08" w:rsidP="00DB4C2D">
            <w:pPr>
              <w:spacing w:before="60" w:after="60"/>
              <w:jc w:val="center"/>
              <w:rPr>
                <w:lang w:val="fr-FR"/>
              </w:rPr>
            </w:pPr>
            <w:r w:rsidRPr="00A779B8">
              <w:rPr>
                <w:lang w:val="fr-FR"/>
              </w:rPr>
              <w:t>15</w:t>
            </w:r>
          </w:p>
        </w:tc>
        <w:tc>
          <w:tcPr>
            <w:tcW w:w="1421" w:type="dxa"/>
            <w:vAlign w:val="bottom"/>
          </w:tcPr>
          <w:p w:rsidR="007C3C08" w:rsidRPr="00A779B8" w:rsidRDefault="007C3C08" w:rsidP="00DB4C2D">
            <w:pPr>
              <w:spacing w:before="60" w:after="60"/>
              <w:jc w:val="center"/>
              <w:rPr>
                <w:lang w:val="fr-FR"/>
              </w:rPr>
            </w:pPr>
            <w:r w:rsidRPr="00A779B8">
              <w:rPr>
                <w:lang w:val="fr-FR"/>
              </w:rPr>
              <w:t>30,0</w:t>
            </w:r>
          </w:p>
        </w:tc>
        <w:tc>
          <w:tcPr>
            <w:tcW w:w="2200" w:type="dxa"/>
            <w:vAlign w:val="bottom"/>
          </w:tcPr>
          <w:p w:rsidR="007C3C08" w:rsidRPr="00A779B8" w:rsidRDefault="007C3C08" w:rsidP="00DB4C2D">
            <w:pPr>
              <w:spacing w:before="60" w:after="60"/>
              <w:jc w:val="center"/>
              <w:rPr>
                <w:lang w:val="fr-FR"/>
              </w:rPr>
            </w:pPr>
            <w:r w:rsidRPr="00A779B8">
              <w:rPr>
                <w:lang w:val="fr-FR"/>
              </w:rPr>
              <w:t>15</w:t>
            </w:r>
          </w:p>
        </w:tc>
        <w:tc>
          <w:tcPr>
            <w:tcW w:w="2082" w:type="dxa"/>
            <w:vAlign w:val="bottom"/>
          </w:tcPr>
          <w:p w:rsidR="007C3C08" w:rsidRPr="00A779B8" w:rsidRDefault="007C3C08" w:rsidP="00DB4C2D">
            <w:pPr>
              <w:spacing w:before="60" w:after="60"/>
              <w:jc w:val="center"/>
              <w:rPr>
                <w:lang w:val="fr-FR"/>
              </w:rPr>
            </w:pPr>
            <w:r w:rsidRPr="00A779B8">
              <w:rPr>
                <w:lang w:val="fr-FR"/>
              </w:rPr>
              <w:t>22,2</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5</w:t>
            </w:r>
          </w:p>
        </w:tc>
        <w:tc>
          <w:tcPr>
            <w:tcW w:w="1346" w:type="dxa"/>
            <w:vAlign w:val="bottom"/>
          </w:tcPr>
          <w:p w:rsidR="007C3C08" w:rsidRPr="00A779B8" w:rsidRDefault="007C3C08" w:rsidP="00DB4C2D">
            <w:pPr>
              <w:spacing w:before="60" w:after="60"/>
              <w:jc w:val="center"/>
              <w:rPr>
                <w:lang w:val="fr-FR"/>
              </w:rPr>
            </w:pPr>
            <w:r w:rsidRPr="00A779B8">
              <w:rPr>
                <w:lang w:val="fr-FR"/>
              </w:rPr>
              <w:t>16</w:t>
            </w:r>
          </w:p>
        </w:tc>
        <w:tc>
          <w:tcPr>
            <w:tcW w:w="1421" w:type="dxa"/>
            <w:vAlign w:val="bottom"/>
          </w:tcPr>
          <w:p w:rsidR="007C3C08" w:rsidRPr="00A779B8" w:rsidRDefault="007C3C08" w:rsidP="00DB4C2D">
            <w:pPr>
              <w:spacing w:before="60" w:after="60"/>
              <w:jc w:val="center"/>
              <w:rPr>
                <w:lang w:val="fr-FR"/>
              </w:rPr>
            </w:pPr>
            <w:r w:rsidRPr="00A779B8">
              <w:rPr>
                <w:lang w:val="fr-FR"/>
              </w:rPr>
              <w:t>28,4</w:t>
            </w:r>
          </w:p>
        </w:tc>
        <w:tc>
          <w:tcPr>
            <w:tcW w:w="2200" w:type="dxa"/>
            <w:vAlign w:val="bottom"/>
          </w:tcPr>
          <w:p w:rsidR="007C3C08" w:rsidRPr="00A779B8" w:rsidRDefault="007C3C08" w:rsidP="00DB4C2D">
            <w:pPr>
              <w:spacing w:before="60" w:after="60"/>
              <w:jc w:val="center"/>
              <w:rPr>
                <w:lang w:val="fr-FR"/>
              </w:rPr>
            </w:pPr>
            <w:r w:rsidRPr="00A779B8">
              <w:rPr>
                <w:lang w:val="fr-FR"/>
              </w:rPr>
              <w:t>16</w:t>
            </w:r>
          </w:p>
        </w:tc>
        <w:tc>
          <w:tcPr>
            <w:tcW w:w="2082" w:type="dxa"/>
            <w:vAlign w:val="bottom"/>
          </w:tcPr>
          <w:p w:rsidR="007C3C08" w:rsidRPr="00A779B8" w:rsidRDefault="007C3C08" w:rsidP="00DB4C2D">
            <w:pPr>
              <w:spacing w:before="60" w:after="60"/>
              <w:jc w:val="center"/>
              <w:rPr>
                <w:lang w:val="fr-FR"/>
              </w:rPr>
            </w:pPr>
            <w:r w:rsidRPr="00A779B8">
              <w:rPr>
                <w:lang w:val="fr-FR"/>
              </w:rPr>
              <w:t>22,5</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6</w:t>
            </w:r>
          </w:p>
        </w:tc>
        <w:tc>
          <w:tcPr>
            <w:tcW w:w="1346" w:type="dxa"/>
            <w:vAlign w:val="bottom"/>
          </w:tcPr>
          <w:p w:rsidR="007C3C08" w:rsidRPr="00A779B8" w:rsidRDefault="007C3C08" w:rsidP="00DB4C2D">
            <w:pPr>
              <w:spacing w:before="60" w:after="60"/>
              <w:jc w:val="center"/>
              <w:rPr>
                <w:lang w:val="fr-FR"/>
              </w:rPr>
            </w:pPr>
            <w:r w:rsidRPr="00A779B8">
              <w:rPr>
                <w:lang w:val="fr-FR"/>
              </w:rPr>
              <w:t>17</w:t>
            </w:r>
          </w:p>
        </w:tc>
        <w:tc>
          <w:tcPr>
            <w:tcW w:w="1421" w:type="dxa"/>
            <w:vAlign w:val="bottom"/>
          </w:tcPr>
          <w:p w:rsidR="007C3C08" w:rsidRPr="00A779B8" w:rsidRDefault="007C3C08" w:rsidP="00DB4C2D">
            <w:pPr>
              <w:spacing w:before="60" w:after="60"/>
              <w:jc w:val="center"/>
              <w:rPr>
                <w:lang w:val="fr-FR"/>
              </w:rPr>
            </w:pPr>
            <w:r w:rsidRPr="00A779B8">
              <w:rPr>
                <w:lang w:val="fr-FR"/>
              </w:rPr>
              <w:t>26,9</w:t>
            </w:r>
          </w:p>
        </w:tc>
        <w:tc>
          <w:tcPr>
            <w:tcW w:w="2200" w:type="dxa"/>
            <w:vAlign w:val="bottom"/>
          </w:tcPr>
          <w:p w:rsidR="007C3C08" w:rsidRPr="00A779B8" w:rsidRDefault="007C3C08" w:rsidP="00DB4C2D">
            <w:pPr>
              <w:spacing w:before="60" w:after="60"/>
              <w:jc w:val="center"/>
              <w:rPr>
                <w:lang w:val="fr-FR"/>
              </w:rPr>
            </w:pPr>
            <w:r w:rsidRPr="00A779B8">
              <w:rPr>
                <w:lang w:val="fr-FR"/>
              </w:rPr>
              <w:t>17</w:t>
            </w:r>
          </w:p>
        </w:tc>
        <w:tc>
          <w:tcPr>
            <w:tcW w:w="2082" w:type="dxa"/>
            <w:vAlign w:val="bottom"/>
          </w:tcPr>
          <w:p w:rsidR="007C3C08" w:rsidRPr="00A779B8" w:rsidRDefault="007C3C08" w:rsidP="00DB4C2D">
            <w:pPr>
              <w:spacing w:before="60" w:after="60"/>
              <w:jc w:val="center"/>
              <w:rPr>
                <w:lang w:val="fr-FR"/>
              </w:rPr>
            </w:pPr>
            <w:r w:rsidRPr="00A779B8">
              <w:rPr>
                <w:lang w:val="fr-FR"/>
              </w:rPr>
              <w:t>24,2</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7</w:t>
            </w:r>
          </w:p>
        </w:tc>
        <w:tc>
          <w:tcPr>
            <w:tcW w:w="1346" w:type="dxa"/>
            <w:vAlign w:val="bottom"/>
          </w:tcPr>
          <w:p w:rsidR="007C3C08" w:rsidRPr="00A779B8" w:rsidRDefault="007C3C08" w:rsidP="00DB4C2D">
            <w:pPr>
              <w:spacing w:before="60" w:after="60"/>
              <w:jc w:val="center"/>
              <w:rPr>
                <w:lang w:val="fr-FR"/>
              </w:rPr>
            </w:pPr>
            <w:r w:rsidRPr="00A779B8">
              <w:rPr>
                <w:lang w:val="fr-FR"/>
              </w:rPr>
              <w:t>18</w:t>
            </w:r>
          </w:p>
        </w:tc>
        <w:tc>
          <w:tcPr>
            <w:tcW w:w="1421" w:type="dxa"/>
            <w:vAlign w:val="bottom"/>
          </w:tcPr>
          <w:p w:rsidR="007C3C08" w:rsidRPr="00A779B8" w:rsidRDefault="007C3C08" w:rsidP="00DB4C2D">
            <w:pPr>
              <w:spacing w:before="60" w:after="60"/>
              <w:jc w:val="center"/>
              <w:rPr>
                <w:lang w:val="fr-FR"/>
              </w:rPr>
            </w:pPr>
            <w:r w:rsidRPr="00A779B8">
              <w:rPr>
                <w:lang w:val="fr-FR"/>
              </w:rPr>
              <w:t>25,2</w:t>
            </w:r>
          </w:p>
        </w:tc>
        <w:tc>
          <w:tcPr>
            <w:tcW w:w="2200" w:type="dxa"/>
            <w:vAlign w:val="bottom"/>
          </w:tcPr>
          <w:p w:rsidR="007C3C08" w:rsidRPr="00A779B8" w:rsidRDefault="007C3C08" w:rsidP="00DB4C2D">
            <w:pPr>
              <w:spacing w:before="60" w:after="60"/>
              <w:jc w:val="center"/>
              <w:rPr>
                <w:lang w:val="fr-FR"/>
              </w:rPr>
            </w:pPr>
            <w:r w:rsidRPr="00A779B8">
              <w:rPr>
                <w:lang w:val="fr-FR"/>
              </w:rPr>
              <w:t>18</w:t>
            </w:r>
          </w:p>
        </w:tc>
        <w:tc>
          <w:tcPr>
            <w:tcW w:w="2082" w:type="dxa"/>
            <w:vAlign w:val="bottom"/>
          </w:tcPr>
          <w:p w:rsidR="007C3C08" w:rsidRPr="00A779B8" w:rsidRDefault="007C3C08" w:rsidP="00DB4C2D">
            <w:pPr>
              <w:spacing w:before="60" w:after="60"/>
              <w:jc w:val="center"/>
              <w:rPr>
                <w:lang w:val="fr-FR"/>
              </w:rPr>
            </w:pPr>
            <w:r w:rsidRPr="00A779B8">
              <w:rPr>
                <w:lang w:val="fr-FR"/>
              </w:rPr>
              <w:t>26,8</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8</w:t>
            </w:r>
          </w:p>
        </w:tc>
        <w:tc>
          <w:tcPr>
            <w:tcW w:w="1346" w:type="dxa"/>
            <w:vAlign w:val="bottom"/>
          </w:tcPr>
          <w:p w:rsidR="007C3C08" w:rsidRPr="00A779B8" w:rsidRDefault="007C3C08" w:rsidP="00DB4C2D">
            <w:pPr>
              <w:spacing w:before="60" w:after="60"/>
              <w:jc w:val="center"/>
              <w:rPr>
                <w:lang w:val="fr-FR"/>
              </w:rPr>
            </w:pPr>
            <w:r w:rsidRPr="00A779B8">
              <w:rPr>
                <w:lang w:val="fr-FR"/>
              </w:rPr>
              <w:t>19</w:t>
            </w:r>
          </w:p>
        </w:tc>
        <w:tc>
          <w:tcPr>
            <w:tcW w:w="1421" w:type="dxa"/>
            <w:vAlign w:val="bottom"/>
          </w:tcPr>
          <w:p w:rsidR="007C3C08" w:rsidRPr="00A779B8" w:rsidRDefault="007C3C08" w:rsidP="00DB4C2D">
            <w:pPr>
              <w:spacing w:before="60" w:after="60"/>
              <w:jc w:val="center"/>
              <w:rPr>
                <w:lang w:val="fr-FR"/>
              </w:rPr>
            </w:pPr>
            <w:r w:rsidRPr="00A779B8">
              <w:rPr>
                <w:lang w:val="fr-FR"/>
              </w:rPr>
              <w:t>24,0</w:t>
            </w:r>
          </w:p>
        </w:tc>
        <w:tc>
          <w:tcPr>
            <w:tcW w:w="2200" w:type="dxa"/>
            <w:vAlign w:val="bottom"/>
          </w:tcPr>
          <w:p w:rsidR="007C3C08" w:rsidRPr="00A779B8" w:rsidRDefault="007C3C08" w:rsidP="00DB4C2D">
            <w:pPr>
              <w:spacing w:before="60" w:after="60"/>
              <w:jc w:val="center"/>
              <w:rPr>
                <w:szCs w:val="24"/>
                <w:lang w:val="fr-FR"/>
              </w:rPr>
            </w:pPr>
            <w:r w:rsidRPr="00A779B8">
              <w:rPr>
                <w:szCs w:val="24"/>
                <w:lang w:val="fr-FR"/>
              </w:rPr>
              <w:t>19</w:t>
            </w:r>
          </w:p>
        </w:tc>
        <w:tc>
          <w:tcPr>
            <w:tcW w:w="2082" w:type="dxa"/>
            <w:vAlign w:val="bottom"/>
          </w:tcPr>
          <w:p w:rsidR="007C3C08" w:rsidRPr="00A779B8" w:rsidRDefault="007C3C08" w:rsidP="00DB4C2D">
            <w:pPr>
              <w:spacing w:before="60" w:after="60"/>
              <w:jc w:val="center"/>
              <w:rPr>
                <w:lang w:val="fr-FR"/>
              </w:rPr>
            </w:pPr>
            <w:r w:rsidRPr="00A779B8">
              <w:rPr>
                <w:lang w:val="fr-FR"/>
              </w:rPr>
              <w:t>29,6</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9</w:t>
            </w:r>
          </w:p>
        </w:tc>
        <w:tc>
          <w:tcPr>
            <w:tcW w:w="1346" w:type="dxa"/>
            <w:vAlign w:val="bottom"/>
          </w:tcPr>
          <w:p w:rsidR="007C3C08" w:rsidRPr="00A779B8" w:rsidRDefault="007C3C08" w:rsidP="00DB4C2D">
            <w:pPr>
              <w:spacing w:before="60" w:after="60"/>
              <w:jc w:val="center"/>
              <w:rPr>
                <w:lang w:val="fr-FR"/>
              </w:rPr>
            </w:pPr>
            <w:r w:rsidRPr="00A779B8">
              <w:rPr>
                <w:lang w:val="fr-FR"/>
              </w:rPr>
              <w:t>20</w:t>
            </w:r>
          </w:p>
        </w:tc>
        <w:tc>
          <w:tcPr>
            <w:tcW w:w="1421" w:type="dxa"/>
            <w:vAlign w:val="bottom"/>
          </w:tcPr>
          <w:p w:rsidR="007C3C08" w:rsidRPr="00A779B8" w:rsidRDefault="007C3C08" w:rsidP="00DB4C2D">
            <w:pPr>
              <w:spacing w:before="60" w:after="60"/>
              <w:jc w:val="center"/>
              <w:rPr>
                <w:lang w:val="fr-FR"/>
              </w:rPr>
            </w:pPr>
            <w:r w:rsidRPr="00A779B8">
              <w:rPr>
                <w:lang w:val="fr-FR"/>
              </w:rPr>
              <w:t>23,0</w:t>
            </w:r>
          </w:p>
        </w:tc>
        <w:tc>
          <w:tcPr>
            <w:tcW w:w="2200" w:type="dxa"/>
            <w:vAlign w:val="bottom"/>
          </w:tcPr>
          <w:p w:rsidR="007C3C08" w:rsidRPr="00A779B8" w:rsidRDefault="007C3C08" w:rsidP="00DB4C2D">
            <w:pPr>
              <w:spacing w:before="60" w:after="60"/>
              <w:jc w:val="center"/>
              <w:rPr>
                <w:lang w:val="fr-FR"/>
              </w:rPr>
            </w:pPr>
            <w:r w:rsidRPr="00A779B8">
              <w:rPr>
                <w:lang w:val="fr-FR"/>
              </w:rPr>
              <w:t>20</w:t>
            </w:r>
          </w:p>
        </w:tc>
        <w:tc>
          <w:tcPr>
            <w:tcW w:w="2082" w:type="dxa"/>
            <w:vAlign w:val="bottom"/>
          </w:tcPr>
          <w:p w:rsidR="007C3C08" w:rsidRPr="00A779B8" w:rsidRDefault="007C3C08" w:rsidP="00DB4C2D">
            <w:pPr>
              <w:spacing w:before="60" w:after="60"/>
              <w:jc w:val="center"/>
              <w:rPr>
                <w:lang w:val="fr-FR"/>
              </w:rPr>
            </w:pPr>
            <w:r w:rsidRPr="00A779B8">
              <w:rPr>
                <w:lang w:val="fr-FR"/>
              </w:rPr>
              <w:t>31,9</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10</w:t>
            </w:r>
          </w:p>
        </w:tc>
        <w:tc>
          <w:tcPr>
            <w:tcW w:w="1346" w:type="dxa"/>
            <w:vAlign w:val="bottom"/>
          </w:tcPr>
          <w:p w:rsidR="007C3C08" w:rsidRPr="00A779B8" w:rsidRDefault="007C3C08" w:rsidP="00DB4C2D">
            <w:pPr>
              <w:spacing w:before="60" w:after="60"/>
              <w:jc w:val="center"/>
              <w:rPr>
                <w:lang w:val="fr-FR"/>
              </w:rPr>
            </w:pPr>
            <w:r w:rsidRPr="00A779B8">
              <w:rPr>
                <w:lang w:val="fr-FR"/>
              </w:rPr>
              <w:t>21</w:t>
            </w:r>
          </w:p>
        </w:tc>
        <w:tc>
          <w:tcPr>
            <w:tcW w:w="1421" w:type="dxa"/>
            <w:vAlign w:val="bottom"/>
          </w:tcPr>
          <w:p w:rsidR="007C3C08" w:rsidRPr="00A779B8" w:rsidRDefault="007C3C08" w:rsidP="00DB4C2D">
            <w:pPr>
              <w:spacing w:before="60" w:after="60"/>
              <w:jc w:val="center"/>
              <w:rPr>
                <w:lang w:val="fr-FR"/>
              </w:rPr>
            </w:pPr>
            <w:r w:rsidRPr="00A779B8">
              <w:rPr>
                <w:lang w:val="fr-FR"/>
              </w:rPr>
              <w:t>22,0</w:t>
            </w:r>
          </w:p>
        </w:tc>
        <w:tc>
          <w:tcPr>
            <w:tcW w:w="2200" w:type="dxa"/>
            <w:vAlign w:val="bottom"/>
          </w:tcPr>
          <w:p w:rsidR="007C3C08" w:rsidRPr="00A779B8" w:rsidRDefault="007C3C08" w:rsidP="00DB4C2D">
            <w:pPr>
              <w:spacing w:before="60" w:after="60"/>
              <w:jc w:val="center"/>
              <w:rPr>
                <w:lang w:val="fr-FR"/>
              </w:rPr>
            </w:pPr>
            <w:r w:rsidRPr="00A779B8">
              <w:rPr>
                <w:lang w:val="fr-FR"/>
              </w:rPr>
              <w:t>21</w:t>
            </w:r>
          </w:p>
        </w:tc>
        <w:tc>
          <w:tcPr>
            <w:tcW w:w="2082" w:type="dxa"/>
            <w:vAlign w:val="bottom"/>
          </w:tcPr>
          <w:p w:rsidR="007C3C08" w:rsidRPr="00A779B8" w:rsidRDefault="007C3C08" w:rsidP="00DB4C2D">
            <w:pPr>
              <w:spacing w:before="60" w:after="60"/>
              <w:jc w:val="center"/>
              <w:rPr>
                <w:lang w:val="fr-FR"/>
              </w:rPr>
            </w:pPr>
            <w:r w:rsidRPr="00A779B8">
              <w:rPr>
                <w:lang w:val="fr-FR"/>
              </w:rPr>
              <w:t>33,9</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11</w:t>
            </w:r>
          </w:p>
        </w:tc>
        <w:tc>
          <w:tcPr>
            <w:tcW w:w="1346" w:type="dxa"/>
            <w:vAlign w:val="bottom"/>
          </w:tcPr>
          <w:p w:rsidR="007C3C08" w:rsidRPr="00A779B8" w:rsidRDefault="007C3C08" w:rsidP="00DB4C2D">
            <w:pPr>
              <w:spacing w:before="60" w:after="60"/>
              <w:jc w:val="center"/>
              <w:rPr>
                <w:lang w:val="fr-FR"/>
              </w:rPr>
            </w:pPr>
            <w:r w:rsidRPr="00A779B8">
              <w:rPr>
                <w:lang w:val="fr-FR"/>
              </w:rPr>
              <w:t>22</w:t>
            </w:r>
          </w:p>
        </w:tc>
        <w:tc>
          <w:tcPr>
            <w:tcW w:w="1421" w:type="dxa"/>
            <w:vAlign w:val="bottom"/>
          </w:tcPr>
          <w:p w:rsidR="007C3C08" w:rsidRPr="00A779B8" w:rsidRDefault="007C3C08" w:rsidP="00DB4C2D">
            <w:pPr>
              <w:spacing w:before="60" w:after="60"/>
              <w:jc w:val="center"/>
              <w:rPr>
                <w:lang w:val="fr-FR"/>
              </w:rPr>
            </w:pPr>
            <w:r w:rsidRPr="00A779B8">
              <w:rPr>
                <w:lang w:val="fr-FR"/>
              </w:rPr>
              <w:t>20,8</w:t>
            </w:r>
          </w:p>
        </w:tc>
        <w:tc>
          <w:tcPr>
            <w:tcW w:w="2200" w:type="dxa"/>
            <w:vAlign w:val="bottom"/>
          </w:tcPr>
          <w:p w:rsidR="007C3C08" w:rsidRPr="00A779B8" w:rsidRDefault="007C3C08" w:rsidP="00DB4C2D">
            <w:pPr>
              <w:spacing w:before="60" w:after="60"/>
              <w:jc w:val="center"/>
              <w:rPr>
                <w:lang w:val="fr-FR"/>
              </w:rPr>
            </w:pPr>
            <w:r w:rsidRPr="00A779B8">
              <w:rPr>
                <w:lang w:val="fr-FR"/>
              </w:rPr>
              <w:t>22</w:t>
            </w:r>
          </w:p>
        </w:tc>
        <w:tc>
          <w:tcPr>
            <w:tcW w:w="2082" w:type="dxa"/>
            <w:vAlign w:val="bottom"/>
          </w:tcPr>
          <w:p w:rsidR="007C3C08" w:rsidRPr="00A779B8" w:rsidRDefault="007C3C08" w:rsidP="00DB4C2D">
            <w:pPr>
              <w:spacing w:before="60" w:after="60"/>
              <w:jc w:val="center"/>
              <w:rPr>
                <w:lang w:val="fr-FR"/>
              </w:rPr>
            </w:pPr>
            <w:r w:rsidRPr="00A779B8">
              <w:rPr>
                <w:lang w:val="fr-FR"/>
              </w:rPr>
              <w:t>35,1</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r w:rsidRPr="00A779B8">
              <w:rPr>
                <w:lang w:val="fr-FR"/>
              </w:rPr>
              <w:t>12</w:t>
            </w:r>
          </w:p>
        </w:tc>
        <w:tc>
          <w:tcPr>
            <w:tcW w:w="1346" w:type="dxa"/>
            <w:vAlign w:val="bottom"/>
          </w:tcPr>
          <w:p w:rsidR="007C3C08" w:rsidRPr="00A779B8" w:rsidRDefault="007C3C08" w:rsidP="00DB4C2D">
            <w:pPr>
              <w:spacing w:before="60" w:after="60"/>
              <w:jc w:val="center"/>
              <w:rPr>
                <w:lang w:val="fr-FR"/>
              </w:rPr>
            </w:pPr>
            <w:r w:rsidRPr="00A779B8">
              <w:rPr>
                <w:lang w:val="fr-FR"/>
              </w:rPr>
              <w:t>23</w:t>
            </w:r>
          </w:p>
        </w:tc>
        <w:tc>
          <w:tcPr>
            <w:tcW w:w="1421" w:type="dxa"/>
            <w:vAlign w:val="bottom"/>
          </w:tcPr>
          <w:p w:rsidR="007C3C08" w:rsidRPr="00A779B8" w:rsidRDefault="007C3C08" w:rsidP="00DB4C2D">
            <w:pPr>
              <w:spacing w:before="60" w:after="60"/>
              <w:jc w:val="center"/>
              <w:rPr>
                <w:lang w:val="fr-FR"/>
              </w:rPr>
            </w:pPr>
            <w:r w:rsidRPr="00A779B8">
              <w:rPr>
                <w:lang w:val="fr-FR"/>
              </w:rPr>
              <w:t>20,2</w:t>
            </w:r>
          </w:p>
        </w:tc>
        <w:tc>
          <w:tcPr>
            <w:tcW w:w="2200" w:type="dxa"/>
            <w:vAlign w:val="bottom"/>
          </w:tcPr>
          <w:p w:rsidR="007C3C08" w:rsidRPr="00A779B8" w:rsidRDefault="007C3C08" w:rsidP="00DB4C2D">
            <w:pPr>
              <w:spacing w:before="60" w:after="60"/>
              <w:jc w:val="center"/>
              <w:rPr>
                <w:lang w:val="fr-FR"/>
              </w:rPr>
            </w:pPr>
            <w:r w:rsidRPr="00A779B8">
              <w:rPr>
                <w:lang w:val="fr-FR"/>
              </w:rPr>
              <w:t>23</w:t>
            </w:r>
          </w:p>
        </w:tc>
        <w:tc>
          <w:tcPr>
            <w:tcW w:w="2082" w:type="dxa"/>
            <w:vAlign w:val="bottom"/>
          </w:tcPr>
          <w:p w:rsidR="007C3C08" w:rsidRPr="00A779B8" w:rsidRDefault="007C3C08" w:rsidP="00DB4C2D">
            <w:pPr>
              <w:spacing w:before="60" w:after="60"/>
              <w:jc w:val="center"/>
              <w:rPr>
                <w:lang w:val="fr-FR"/>
              </w:rPr>
            </w:pPr>
            <w:r w:rsidRPr="00A779B8">
              <w:rPr>
                <w:lang w:val="fr-FR"/>
              </w:rPr>
              <w:t>35,4</w:t>
            </w:r>
          </w:p>
        </w:tc>
      </w:tr>
      <w:tr w:rsidR="007C3C08" w:rsidRPr="00A779B8" w:rsidTr="00DB4C2D">
        <w:tblPrEx>
          <w:tblCellMar>
            <w:top w:w="0" w:type="dxa"/>
            <w:bottom w:w="0" w:type="dxa"/>
          </w:tblCellMar>
        </w:tblPrEx>
        <w:tc>
          <w:tcPr>
            <w:tcW w:w="1456" w:type="dxa"/>
            <w:vAlign w:val="bottom"/>
          </w:tcPr>
          <w:p w:rsidR="007C3C08" w:rsidRPr="00A779B8" w:rsidRDefault="007C3C08" w:rsidP="00DB4C2D">
            <w:pPr>
              <w:spacing w:before="60" w:after="60"/>
              <w:jc w:val="center"/>
              <w:rPr>
                <w:lang w:val="fr-FR"/>
              </w:rPr>
            </w:pPr>
          </w:p>
        </w:tc>
        <w:tc>
          <w:tcPr>
            <w:tcW w:w="1346" w:type="dxa"/>
            <w:vAlign w:val="bottom"/>
          </w:tcPr>
          <w:p w:rsidR="007C3C08" w:rsidRPr="00A779B8" w:rsidRDefault="007C3C08" w:rsidP="00DB4C2D">
            <w:pPr>
              <w:spacing w:before="60" w:after="60"/>
              <w:jc w:val="center"/>
              <w:rPr>
                <w:lang w:val="fr-FR"/>
              </w:rPr>
            </w:pPr>
          </w:p>
        </w:tc>
        <w:tc>
          <w:tcPr>
            <w:tcW w:w="1421" w:type="dxa"/>
            <w:vAlign w:val="bottom"/>
          </w:tcPr>
          <w:p w:rsidR="007C3C08" w:rsidRPr="00A779B8" w:rsidRDefault="007C3C08" w:rsidP="00DB4C2D">
            <w:pPr>
              <w:spacing w:before="60" w:after="60"/>
              <w:jc w:val="center"/>
              <w:rPr>
                <w:lang w:val="fr-FR"/>
              </w:rPr>
            </w:pPr>
          </w:p>
        </w:tc>
        <w:tc>
          <w:tcPr>
            <w:tcW w:w="2200" w:type="dxa"/>
            <w:vAlign w:val="bottom"/>
          </w:tcPr>
          <w:p w:rsidR="007C3C08" w:rsidRPr="00A779B8" w:rsidRDefault="007C3C08" w:rsidP="00DB4C2D">
            <w:pPr>
              <w:spacing w:before="60" w:after="60"/>
              <w:jc w:val="center"/>
              <w:rPr>
                <w:lang w:val="fr-FR"/>
              </w:rPr>
            </w:pPr>
            <w:r w:rsidRPr="00A779B8">
              <w:rPr>
                <w:lang w:val="fr-FR"/>
              </w:rPr>
              <w:t>24</w:t>
            </w:r>
          </w:p>
        </w:tc>
        <w:tc>
          <w:tcPr>
            <w:tcW w:w="2082" w:type="dxa"/>
            <w:vAlign w:val="bottom"/>
          </w:tcPr>
          <w:p w:rsidR="007C3C08" w:rsidRPr="00A779B8" w:rsidRDefault="007C3C08" w:rsidP="00DB4C2D">
            <w:pPr>
              <w:spacing w:before="60" w:after="60"/>
              <w:jc w:val="center"/>
              <w:rPr>
                <w:lang w:val="fr-FR"/>
              </w:rPr>
            </w:pPr>
            <w:r w:rsidRPr="00A779B8">
              <w:rPr>
                <w:lang w:val="fr-FR"/>
              </w:rPr>
              <w:t>35,6</w:t>
            </w:r>
          </w:p>
        </w:tc>
      </w:tr>
    </w:tbl>
    <w:p w:rsidR="007C3C08" w:rsidRDefault="007C3C08" w:rsidP="00A320B5">
      <w:pPr>
        <w:pStyle w:val="SingleTxtG"/>
        <w:ind w:left="2268" w:hanging="1134"/>
        <w:sectPr w:rsidR="007C3C08" w:rsidSect="00C108AC">
          <w:headerReference w:type="even" r:id="rId232"/>
          <w:headerReference w:type="default" r:id="rId233"/>
          <w:footnotePr>
            <w:numRestart w:val="eachSect"/>
          </w:footnotePr>
          <w:endnotePr>
            <w:numFmt w:val="decimal"/>
          </w:endnotePr>
          <w:pgSz w:w="11907" w:h="16840" w:code="9"/>
          <w:pgMar w:top="1701" w:right="1134" w:bottom="2268" w:left="1134" w:header="794" w:footer="1701" w:gutter="0"/>
          <w:cols w:space="720"/>
          <w:docGrid w:linePitch="272"/>
        </w:sectPr>
      </w:pPr>
    </w:p>
    <w:p w:rsidR="007C3C08" w:rsidRPr="00A779B8" w:rsidRDefault="007C3C08" w:rsidP="007C3C08">
      <w:pPr>
        <w:pStyle w:val="HChG"/>
        <w:rPr>
          <w:lang w:val="fr-FR"/>
        </w:rPr>
      </w:pPr>
      <w:r w:rsidRPr="00A779B8">
        <w:rPr>
          <w:lang w:val="fr-FR"/>
        </w:rPr>
        <w:lastRenderedPageBreak/>
        <w:t>Annexe 8</w:t>
      </w:r>
    </w:p>
    <w:p w:rsidR="007C3C08" w:rsidRPr="00A779B8" w:rsidRDefault="007C3C08" w:rsidP="007C3C08">
      <w:pPr>
        <w:pStyle w:val="HChG"/>
        <w:rPr>
          <w:lang w:val="fr-FR"/>
        </w:rPr>
      </w:pPr>
      <w:r w:rsidRPr="00A779B8">
        <w:rPr>
          <w:lang w:val="fr-FR"/>
        </w:rPr>
        <w:tab/>
      </w:r>
      <w:r w:rsidRPr="00A779B8">
        <w:rPr>
          <w:lang w:val="fr-FR"/>
        </w:rPr>
        <w:tab/>
        <w:t>Essai du type VI</w:t>
      </w:r>
    </w:p>
    <w:p w:rsidR="007C3C08" w:rsidRPr="00A779B8" w:rsidRDefault="007C3C08" w:rsidP="007C3C08">
      <w:pPr>
        <w:pStyle w:val="SingleTxtG"/>
        <w:jc w:val="left"/>
        <w:rPr>
          <w:lang w:val="fr-FR"/>
        </w:rPr>
      </w:pPr>
      <w:r w:rsidRPr="00A779B8">
        <w:rPr>
          <w:lang w:val="fr-FR"/>
        </w:rPr>
        <w:t>(Vérification des émissions moyennes à l</w:t>
      </w:r>
      <w:r w:rsidR="00DB4C2D">
        <w:rPr>
          <w:lang w:val="fr-FR"/>
        </w:rPr>
        <w:t>’</w:t>
      </w:r>
      <w:r w:rsidRPr="00A779B8">
        <w:rPr>
          <w:lang w:val="fr-FR"/>
        </w:rPr>
        <w:t>échappement, à basse température ambiante, de monoxyde de carbone et d</w:t>
      </w:r>
      <w:r w:rsidR="00DB4C2D">
        <w:rPr>
          <w:lang w:val="fr-FR"/>
        </w:rPr>
        <w:t>’</w:t>
      </w:r>
      <w:r w:rsidRPr="00A779B8">
        <w:rPr>
          <w:lang w:val="fr-FR"/>
        </w:rPr>
        <w:t>hydrocarbure après démarrage à froid)</w:t>
      </w:r>
    </w:p>
    <w:p w:rsidR="007C3C08" w:rsidRPr="00A779B8" w:rsidRDefault="007C3C08" w:rsidP="007C3C08">
      <w:pPr>
        <w:pStyle w:val="SingleTxtG"/>
        <w:keepNext/>
        <w:ind w:left="2268" w:hanging="1134"/>
        <w:jc w:val="left"/>
        <w:rPr>
          <w:lang w:val="fr-FR"/>
        </w:rPr>
      </w:pPr>
      <w:r w:rsidRPr="00A779B8">
        <w:rPr>
          <w:lang w:val="fr-FR"/>
        </w:rPr>
        <w:t>1.</w:t>
      </w:r>
      <w:r w:rsidRPr="00A779B8">
        <w:rPr>
          <w:lang w:val="fr-FR"/>
        </w:rPr>
        <w:tab/>
        <w:t>Introduction</w:t>
      </w:r>
    </w:p>
    <w:p w:rsidR="007C3C08" w:rsidRPr="00A779B8" w:rsidRDefault="007C3C08" w:rsidP="007C3C08">
      <w:pPr>
        <w:pStyle w:val="SingleTxtG"/>
        <w:keepNext/>
        <w:ind w:left="2268"/>
        <w:rPr>
          <w:lang w:val="fr-FR"/>
        </w:rPr>
      </w:pPr>
      <w:r w:rsidRPr="00A779B8">
        <w:rPr>
          <w:lang w:val="fr-FR"/>
        </w:rPr>
        <w:tab/>
        <w:t>La présente annexe n</w:t>
      </w:r>
      <w:r w:rsidR="00DB4C2D">
        <w:rPr>
          <w:lang w:val="fr-FR"/>
        </w:rPr>
        <w:t>’</w:t>
      </w:r>
      <w:r w:rsidRPr="00A779B8">
        <w:rPr>
          <w:lang w:val="fr-FR"/>
        </w:rPr>
        <w:t>est applicable qu</w:t>
      </w:r>
      <w:r w:rsidR="00DB4C2D">
        <w:rPr>
          <w:lang w:val="fr-FR"/>
        </w:rPr>
        <w:t>’</w:t>
      </w:r>
      <w:r w:rsidRPr="00A779B8">
        <w:rPr>
          <w:lang w:val="fr-FR"/>
        </w:rPr>
        <w:t>aux véhicules équipés d</w:t>
      </w:r>
      <w:r w:rsidR="00DB4C2D">
        <w:rPr>
          <w:lang w:val="fr-FR"/>
        </w:rPr>
        <w:t>’</w:t>
      </w:r>
      <w:r w:rsidRPr="00A779B8">
        <w:rPr>
          <w:lang w:val="fr-FR"/>
        </w:rPr>
        <w:t>un moteur à allumage commandé. Elle décrit l</w:t>
      </w:r>
      <w:r w:rsidR="00DB4C2D">
        <w:rPr>
          <w:lang w:val="fr-FR"/>
        </w:rPr>
        <w:t>’</w:t>
      </w:r>
      <w:r w:rsidRPr="00A779B8">
        <w:rPr>
          <w:lang w:val="fr-FR"/>
        </w:rPr>
        <w:t>appareillage nécessaire et la méthode à suivre pour réaliser l</w:t>
      </w:r>
      <w:r w:rsidR="00DB4C2D">
        <w:rPr>
          <w:lang w:val="fr-FR"/>
        </w:rPr>
        <w:t>’</w:t>
      </w:r>
      <w:r w:rsidRPr="00A779B8">
        <w:rPr>
          <w:lang w:val="fr-FR"/>
        </w:rPr>
        <w:t>essai du type VI défini au paragraphe 5.3.5 du présent Règlement pour vérifier les émissions de monoxyde de carbone et d</w:t>
      </w:r>
      <w:r w:rsidR="00DB4C2D">
        <w:rPr>
          <w:lang w:val="fr-FR"/>
        </w:rPr>
        <w:t>’</w:t>
      </w:r>
      <w:r w:rsidRPr="00A779B8">
        <w:rPr>
          <w:lang w:val="fr-FR"/>
        </w:rPr>
        <w:t>hydrocarbures à basse température ambiante. Les points abordés dans la présente annexe sont les suivants:</w:t>
      </w:r>
    </w:p>
    <w:p w:rsidR="007C3C08" w:rsidRPr="00A779B8" w:rsidRDefault="007C3C08" w:rsidP="007C3C08">
      <w:pPr>
        <w:pStyle w:val="SingleTxtG"/>
        <w:ind w:left="2835" w:hanging="567"/>
        <w:rPr>
          <w:lang w:val="fr-FR"/>
        </w:rPr>
      </w:pPr>
      <w:r w:rsidRPr="00A779B8">
        <w:rPr>
          <w:lang w:val="fr-FR"/>
        </w:rPr>
        <w:t>a)</w:t>
      </w:r>
      <w:r w:rsidRPr="00A779B8">
        <w:rPr>
          <w:lang w:val="fr-FR"/>
        </w:rPr>
        <w:tab/>
        <w:t>Matériel nécessaire;</w:t>
      </w:r>
    </w:p>
    <w:p w:rsidR="007C3C08" w:rsidRPr="00A779B8" w:rsidRDefault="007C3C08" w:rsidP="007C3C08">
      <w:pPr>
        <w:pStyle w:val="SingleTxtG"/>
        <w:ind w:left="2835" w:hanging="567"/>
        <w:rPr>
          <w:lang w:val="fr-FR"/>
        </w:rPr>
      </w:pPr>
      <w:r w:rsidRPr="00A779B8">
        <w:rPr>
          <w:lang w:val="fr-FR"/>
        </w:rPr>
        <w:t>b)</w:t>
      </w:r>
      <w:r w:rsidRPr="00A779B8">
        <w:rPr>
          <w:lang w:val="fr-FR"/>
        </w:rPr>
        <w:tab/>
        <w:t>Conditions d</w:t>
      </w:r>
      <w:r w:rsidR="00DB4C2D">
        <w:rPr>
          <w:lang w:val="fr-FR"/>
        </w:rPr>
        <w:t>’</w:t>
      </w:r>
      <w:r w:rsidRPr="00A779B8">
        <w:rPr>
          <w:lang w:val="fr-FR"/>
        </w:rPr>
        <w:t>essai;</w:t>
      </w:r>
    </w:p>
    <w:p w:rsidR="007C3C08" w:rsidRPr="00A779B8" w:rsidRDefault="007C3C08" w:rsidP="007C3C08">
      <w:pPr>
        <w:pStyle w:val="SingleTxtG"/>
        <w:ind w:left="2835" w:hanging="567"/>
        <w:rPr>
          <w:lang w:val="fr-FR"/>
        </w:rPr>
      </w:pPr>
      <w:r w:rsidRPr="00A779B8">
        <w:rPr>
          <w:lang w:val="fr-FR"/>
        </w:rPr>
        <w:t>c)</w:t>
      </w:r>
      <w:r w:rsidRPr="00A779B8">
        <w:rPr>
          <w:lang w:val="fr-FR"/>
        </w:rPr>
        <w:tab/>
        <w:t>Procédures d</w:t>
      </w:r>
      <w:r w:rsidR="00DB4C2D">
        <w:rPr>
          <w:lang w:val="fr-FR"/>
        </w:rPr>
        <w:t>’</w:t>
      </w:r>
      <w:r w:rsidRPr="00A779B8">
        <w:rPr>
          <w:lang w:val="fr-FR"/>
        </w:rPr>
        <w:t>essai et prescriptions relatives aux données.</w:t>
      </w:r>
    </w:p>
    <w:p w:rsidR="007C3C08" w:rsidRPr="00A779B8" w:rsidRDefault="007C3C08" w:rsidP="007C3C08">
      <w:pPr>
        <w:pStyle w:val="SingleTxtG"/>
        <w:keepNext/>
        <w:ind w:left="2268" w:hanging="1134"/>
        <w:jc w:val="left"/>
        <w:rPr>
          <w:lang w:val="fr-FR"/>
        </w:rPr>
      </w:pPr>
      <w:r w:rsidRPr="00A779B8">
        <w:rPr>
          <w:lang w:val="fr-FR"/>
        </w:rPr>
        <w:t>2.</w:t>
      </w:r>
      <w:r w:rsidRPr="00A779B8">
        <w:rPr>
          <w:lang w:val="fr-FR"/>
        </w:rPr>
        <w:tab/>
        <w:t>Matériel d</w:t>
      </w:r>
      <w:r w:rsidR="00DB4C2D">
        <w:rPr>
          <w:lang w:val="fr-FR"/>
        </w:rPr>
        <w:t>’</w:t>
      </w:r>
      <w:r w:rsidRPr="00A779B8">
        <w:rPr>
          <w:lang w:val="fr-FR"/>
        </w:rPr>
        <w:t>essai</w:t>
      </w:r>
    </w:p>
    <w:p w:rsidR="007C3C08" w:rsidRPr="00A779B8" w:rsidRDefault="007C3C08" w:rsidP="007C3C08">
      <w:pPr>
        <w:pStyle w:val="SingleTxtG"/>
        <w:keepNext/>
        <w:ind w:left="2268" w:hanging="1134"/>
        <w:jc w:val="left"/>
        <w:rPr>
          <w:lang w:val="fr-FR"/>
        </w:rPr>
      </w:pPr>
      <w:r w:rsidRPr="00A779B8">
        <w:rPr>
          <w:lang w:val="fr-FR"/>
        </w:rPr>
        <w:t>2.1</w:t>
      </w:r>
      <w:r w:rsidRPr="00A779B8">
        <w:rPr>
          <w:lang w:val="fr-FR"/>
        </w:rPr>
        <w:tab/>
        <w:t>Résumé</w:t>
      </w:r>
    </w:p>
    <w:p w:rsidR="007C3C08" w:rsidRPr="00A779B8" w:rsidRDefault="007C3C08" w:rsidP="007C3C08">
      <w:pPr>
        <w:pStyle w:val="SingleTxtG"/>
        <w:ind w:left="2268" w:hanging="1134"/>
        <w:rPr>
          <w:lang w:val="fr-FR"/>
        </w:rPr>
      </w:pPr>
      <w:r w:rsidRPr="00A779B8">
        <w:rPr>
          <w:lang w:val="fr-FR"/>
        </w:rPr>
        <w:t>2.1.1</w:t>
      </w:r>
      <w:r w:rsidRPr="00A779B8">
        <w:rPr>
          <w:lang w:val="fr-FR"/>
        </w:rPr>
        <w:tab/>
        <w:t>Le présent chapitre concerne le matériel nécessaire pour les essais d</w:t>
      </w:r>
      <w:r w:rsidR="00DB4C2D">
        <w:rPr>
          <w:lang w:val="fr-FR"/>
        </w:rPr>
        <w:t>’</w:t>
      </w:r>
      <w:r w:rsidRPr="00A779B8">
        <w:rPr>
          <w:lang w:val="fr-FR"/>
        </w:rPr>
        <w:t>émissions de gaz d</w:t>
      </w:r>
      <w:r w:rsidR="00DB4C2D">
        <w:rPr>
          <w:lang w:val="fr-FR"/>
        </w:rPr>
        <w:t>’</w:t>
      </w:r>
      <w:r w:rsidRPr="00A779B8">
        <w:rPr>
          <w:lang w:val="fr-FR"/>
        </w:rPr>
        <w:t>échappement à basse température ambiante effectués sur les véhicules équipés d</w:t>
      </w:r>
      <w:r w:rsidR="00DB4C2D">
        <w:rPr>
          <w:lang w:val="fr-FR"/>
        </w:rPr>
        <w:t>’</w:t>
      </w:r>
      <w:r w:rsidRPr="00A779B8">
        <w:rPr>
          <w:lang w:val="fr-FR"/>
        </w:rPr>
        <w:t>un moteur à allumage commandé. Le matériel nécessaire et les spécifications correspondent aux exigences applicables à l</w:t>
      </w:r>
      <w:r w:rsidR="00DB4C2D">
        <w:rPr>
          <w:lang w:val="fr-FR"/>
        </w:rPr>
        <w:t>’</w:t>
      </w:r>
      <w:r w:rsidRPr="00A779B8">
        <w:rPr>
          <w:lang w:val="fr-FR"/>
        </w:rPr>
        <w:t>essai de type I décrit à l</w:t>
      </w:r>
      <w:r w:rsidR="00DB4C2D">
        <w:rPr>
          <w:lang w:val="fr-FR"/>
        </w:rPr>
        <w:t>’</w:t>
      </w:r>
      <w:r w:rsidRPr="00A779B8">
        <w:rPr>
          <w:lang w:val="fr-FR"/>
        </w:rPr>
        <w:t>annexe 4a du présent Règlement et dans ses appendices, lorsque des exigences spécifiques à l</w:t>
      </w:r>
      <w:r w:rsidR="00DB4C2D">
        <w:rPr>
          <w:lang w:val="fr-FR"/>
        </w:rPr>
        <w:t>’</w:t>
      </w:r>
      <w:r w:rsidRPr="00A779B8">
        <w:rPr>
          <w:lang w:val="fr-FR"/>
        </w:rPr>
        <w:t>essai de type VI ne sont pas prévues. Les tolérances applicables aux essais de type VI à basse température ambiante sont celles définies aux paragraphes 2.2 à 2.6 ci-dessous.</w:t>
      </w:r>
    </w:p>
    <w:p w:rsidR="007C3C08" w:rsidRPr="00A779B8" w:rsidRDefault="007C3C08" w:rsidP="007C3C08">
      <w:pPr>
        <w:pStyle w:val="SingleTxtG"/>
        <w:keepNext/>
        <w:ind w:left="2268" w:hanging="1134"/>
        <w:jc w:val="left"/>
        <w:rPr>
          <w:lang w:val="fr-FR"/>
        </w:rPr>
      </w:pPr>
      <w:r w:rsidRPr="00A779B8">
        <w:rPr>
          <w:lang w:val="fr-FR"/>
        </w:rPr>
        <w:t>2.2</w:t>
      </w:r>
      <w:r w:rsidRPr="00A779B8">
        <w:rPr>
          <w:lang w:val="fr-FR"/>
        </w:rPr>
        <w:tab/>
        <w:t>Banc à rouleaux</w:t>
      </w:r>
    </w:p>
    <w:p w:rsidR="007C3C08" w:rsidRPr="00A779B8" w:rsidRDefault="007C3C08" w:rsidP="007C3C08">
      <w:pPr>
        <w:pStyle w:val="SingleTxtG"/>
        <w:ind w:left="2268" w:hanging="1134"/>
        <w:rPr>
          <w:lang w:val="fr-FR"/>
        </w:rPr>
      </w:pPr>
      <w:r w:rsidRPr="00A779B8">
        <w:rPr>
          <w:lang w:val="fr-FR"/>
        </w:rPr>
        <w:t>2.2.1</w:t>
      </w:r>
      <w:r w:rsidRPr="00A779B8">
        <w:rPr>
          <w:lang w:val="fr-FR"/>
        </w:rPr>
        <w:tab/>
        <w:t>Les exigences décrites à l</w:t>
      </w:r>
      <w:r w:rsidR="00DB4C2D">
        <w:rPr>
          <w:lang w:val="fr-FR"/>
        </w:rPr>
        <w:t>’</w:t>
      </w:r>
      <w:r w:rsidRPr="00A779B8">
        <w:rPr>
          <w:lang w:val="fr-FR"/>
        </w:rPr>
        <w:t>appendice 1 de l</w:t>
      </w:r>
      <w:r w:rsidR="00DB4C2D">
        <w:rPr>
          <w:lang w:val="fr-FR"/>
        </w:rPr>
        <w:t>’</w:t>
      </w:r>
      <w:r w:rsidRPr="00A779B8">
        <w:rPr>
          <w:lang w:val="fr-FR"/>
        </w:rPr>
        <w:t>annexe 4a du présent Règlement sont applicables. Le banc à rouleaux doit être réglé pour simuler le fonctionnement d</w:t>
      </w:r>
      <w:r w:rsidR="00DB4C2D">
        <w:rPr>
          <w:lang w:val="fr-FR"/>
        </w:rPr>
        <w:t>’</w:t>
      </w:r>
      <w:r w:rsidRPr="00A779B8">
        <w:rPr>
          <w:lang w:val="fr-FR"/>
        </w:rPr>
        <w:t>un véhicule sur route à 266 K (-7 °C). Ce réglage peut être basé sur une détermination de la courbe de résistance à l</w:t>
      </w:r>
      <w:r w:rsidR="00DB4C2D">
        <w:rPr>
          <w:lang w:val="fr-FR"/>
        </w:rPr>
        <w:t>’</w:t>
      </w:r>
      <w:r w:rsidRPr="00A779B8">
        <w:rPr>
          <w:lang w:val="fr-FR"/>
        </w:rPr>
        <w:t>avancement sur route à 266 K (</w:t>
      </w:r>
      <w:r w:rsidRPr="00A779B8">
        <w:rPr>
          <w:lang w:val="fr-FR"/>
        </w:rPr>
        <w:noBreakHyphen/>
        <w:t>7 °C). À défaut, la résistance à l</w:t>
      </w:r>
      <w:r w:rsidR="00DB4C2D">
        <w:rPr>
          <w:lang w:val="fr-FR"/>
        </w:rPr>
        <w:t>’</w:t>
      </w:r>
      <w:r w:rsidRPr="00A779B8">
        <w:rPr>
          <w:lang w:val="fr-FR"/>
        </w:rPr>
        <w:t>avancement déterminée conformément à l</w:t>
      </w:r>
      <w:r w:rsidR="00DB4C2D">
        <w:rPr>
          <w:lang w:val="fr-FR"/>
        </w:rPr>
        <w:t>’</w:t>
      </w:r>
      <w:r w:rsidRPr="00A779B8">
        <w:rPr>
          <w:lang w:val="fr-FR"/>
        </w:rPr>
        <w:t>appendice 7 de l</w:t>
      </w:r>
      <w:r w:rsidR="00DB4C2D">
        <w:rPr>
          <w:lang w:val="fr-FR"/>
        </w:rPr>
        <w:t>’</w:t>
      </w:r>
      <w:r w:rsidRPr="00A779B8">
        <w:rPr>
          <w:lang w:val="fr-FR"/>
        </w:rPr>
        <w:t>annexe 4a du présent Règlement peut être ajustée pour une diminution de 10 % de la décélération en roue libre. Le service technique peut approuver l</w:t>
      </w:r>
      <w:r w:rsidR="00DB4C2D">
        <w:rPr>
          <w:lang w:val="fr-FR"/>
        </w:rPr>
        <w:t>’</w:t>
      </w:r>
      <w:r w:rsidRPr="00A779B8">
        <w:rPr>
          <w:lang w:val="fr-FR"/>
        </w:rPr>
        <w:t>utilisation d</w:t>
      </w:r>
      <w:r w:rsidR="00DB4C2D">
        <w:rPr>
          <w:lang w:val="fr-FR"/>
        </w:rPr>
        <w:t>’</w:t>
      </w:r>
      <w:r w:rsidRPr="00A779B8">
        <w:rPr>
          <w:lang w:val="fr-FR"/>
        </w:rPr>
        <w:t>autres méthodes de détermination de la résistance à l</w:t>
      </w:r>
      <w:r w:rsidR="00DB4C2D">
        <w:rPr>
          <w:lang w:val="fr-FR"/>
        </w:rPr>
        <w:t>’</w:t>
      </w:r>
      <w:r w:rsidRPr="00A779B8">
        <w:rPr>
          <w:lang w:val="fr-FR"/>
        </w:rPr>
        <w:t>avancement.</w:t>
      </w:r>
    </w:p>
    <w:p w:rsidR="007C3C08" w:rsidRPr="00A779B8" w:rsidRDefault="007C3C08" w:rsidP="007C3C08">
      <w:pPr>
        <w:pStyle w:val="SingleTxtG"/>
        <w:ind w:left="2268" w:hanging="1134"/>
        <w:rPr>
          <w:lang w:val="fr-FR"/>
        </w:rPr>
      </w:pPr>
      <w:r w:rsidRPr="00A779B8">
        <w:rPr>
          <w:lang w:val="fr-FR"/>
        </w:rPr>
        <w:t>2.2.2</w:t>
      </w:r>
      <w:r w:rsidRPr="00A779B8">
        <w:rPr>
          <w:lang w:val="fr-FR"/>
        </w:rPr>
        <w:tab/>
        <w:t>L</w:t>
      </w:r>
      <w:r w:rsidR="00DB4C2D">
        <w:rPr>
          <w:lang w:val="fr-FR"/>
        </w:rPr>
        <w:t>’</w:t>
      </w:r>
      <w:r w:rsidRPr="00A779B8">
        <w:rPr>
          <w:lang w:val="fr-FR"/>
        </w:rPr>
        <w:t>étalonnage du banc doit être effectué en appliquant les dispositions de l</w:t>
      </w:r>
      <w:r w:rsidR="00DB4C2D">
        <w:rPr>
          <w:lang w:val="fr-FR"/>
        </w:rPr>
        <w:t>’</w:t>
      </w:r>
      <w:r w:rsidRPr="00A779B8">
        <w:rPr>
          <w:lang w:val="fr-FR"/>
        </w:rPr>
        <w:t>appendice 1 de l</w:t>
      </w:r>
      <w:r w:rsidR="00DB4C2D">
        <w:rPr>
          <w:lang w:val="fr-FR"/>
        </w:rPr>
        <w:t>’</w:t>
      </w:r>
      <w:r w:rsidRPr="00A779B8">
        <w:rPr>
          <w:lang w:val="fr-FR"/>
        </w:rPr>
        <w:t>annexe 4a du présent Règlement.</w:t>
      </w:r>
    </w:p>
    <w:p w:rsidR="007C3C08" w:rsidRPr="00A779B8" w:rsidRDefault="007C3C08" w:rsidP="007C3C08">
      <w:pPr>
        <w:pStyle w:val="SingleTxtG"/>
        <w:keepNext/>
        <w:ind w:left="2268" w:hanging="1134"/>
        <w:jc w:val="left"/>
        <w:rPr>
          <w:lang w:val="fr-FR"/>
        </w:rPr>
      </w:pPr>
      <w:r w:rsidRPr="00A779B8">
        <w:rPr>
          <w:lang w:val="fr-FR"/>
        </w:rPr>
        <w:t>2.3</w:t>
      </w:r>
      <w:r w:rsidRPr="00A779B8">
        <w:rPr>
          <w:lang w:val="fr-FR"/>
        </w:rPr>
        <w:tab/>
        <w:t>Système d</w:t>
      </w:r>
      <w:r w:rsidR="00DB4C2D">
        <w:rPr>
          <w:lang w:val="fr-FR"/>
        </w:rPr>
        <w:t>’</w:t>
      </w:r>
      <w:r w:rsidRPr="00A779B8">
        <w:rPr>
          <w:lang w:val="fr-FR"/>
        </w:rPr>
        <w:t>échantillonnage</w:t>
      </w:r>
    </w:p>
    <w:p w:rsidR="007C3C08" w:rsidRPr="00A779B8" w:rsidRDefault="007C3C08" w:rsidP="007C3C08">
      <w:pPr>
        <w:pStyle w:val="SingleTxtG"/>
        <w:ind w:left="2268" w:hanging="1134"/>
        <w:rPr>
          <w:lang w:val="fr-FR"/>
        </w:rPr>
      </w:pPr>
      <w:r w:rsidRPr="00A779B8">
        <w:rPr>
          <w:lang w:val="fr-FR"/>
        </w:rPr>
        <w:t>2.3.1</w:t>
      </w:r>
      <w:r w:rsidRPr="00A779B8">
        <w:rPr>
          <w:lang w:val="fr-FR"/>
        </w:rPr>
        <w:tab/>
        <w:t>Les dispositions de l</w:t>
      </w:r>
      <w:r w:rsidR="00DB4C2D">
        <w:rPr>
          <w:lang w:val="fr-FR"/>
        </w:rPr>
        <w:t>’</w:t>
      </w:r>
      <w:r w:rsidRPr="00A779B8">
        <w:rPr>
          <w:lang w:val="fr-FR"/>
        </w:rPr>
        <w:t>appendice 2 et de l</w:t>
      </w:r>
      <w:r w:rsidR="00DB4C2D">
        <w:rPr>
          <w:lang w:val="fr-FR"/>
        </w:rPr>
        <w:t>’</w:t>
      </w:r>
      <w:r w:rsidRPr="00A779B8">
        <w:rPr>
          <w:lang w:val="fr-FR"/>
        </w:rPr>
        <w:t>appendice 3 de l</w:t>
      </w:r>
      <w:r w:rsidR="00DB4C2D">
        <w:rPr>
          <w:lang w:val="fr-FR"/>
        </w:rPr>
        <w:t>’</w:t>
      </w:r>
      <w:r w:rsidRPr="00A779B8">
        <w:rPr>
          <w:lang w:val="fr-FR"/>
        </w:rPr>
        <w:t>annexe 4a du présent Règlement sont applicables.</w:t>
      </w:r>
    </w:p>
    <w:p w:rsidR="007C3C08" w:rsidRPr="00A779B8" w:rsidRDefault="007C3C08" w:rsidP="007C3C08">
      <w:pPr>
        <w:pStyle w:val="SingleTxtG"/>
        <w:keepNext/>
        <w:ind w:left="2268" w:hanging="1134"/>
        <w:jc w:val="left"/>
        <w:rPr>
          <w:lang w:val="fr-FR"/>
        </w:rPr>
      </w:pPr>
      <w:r w:rsidRPr="00A779B8">
        <w:rPr>
          <w:lang w:val="fr-FR"/>
        </w:rPr>
        <w:lastRenderedPageBreak/>
        <w:t>2.4</w:t>
      </w:r>
      <w:r w:rsidRPr="00A779B8">
        <w:rPr>
          <w:lang w:val="fr-FR"/>
        </w:rPr>
        <w:tab/>
        <w:t>Appareillage d</w:t>
      </w:r>
      <w:r w:rsidR="00DB4C2D">
        <w:rPr>
          <w:lang w:val="fr-FR"/>
        </w:rPr>
        <w:t>’</w:t>
      </w:r>
      <w:r w:rsidRPr="00A779B8">
        <w:rPr>
          <w:lang w:val="fr-FR"/>
        </w:rPr>
        <w:t>analyse</w:t>
      </w:r>
    </w:p>
    <w:p w:rsidR="007C3C08" w:rsidRPr="00A779B8" w:rsidRDefault="007C3C08" w:rsidP="007C3C08">
      <w:pPr>
        <w:pStyle w:val="SingleTxtG"/>
        <w:ind w:left="2268" w:hanging="1134"/>
        <w:rPr>
          <w:lang w:val="fr-FR"/>
        </w:rPr>
      </w:pPr>
      <w:r w:rsidRPr="00A779B8">
        <w:rPr>
          <w:lang w:val="fr-FR"/>
        </w:rPr>
        <w:t>2.4.1</w:t>
      </w:r>
      <w:r w:rsidRPr="00A779B8">
        <w:rPr>
          <w:lang w:val="fr-FR"/>
        </w:rPr>
        <w:tab/>
        <w:t>Les dispositions de l</w:t>
      </w:r>
      <w:r w:rsidR="00DB4C2D">
        <w:rPr>
          <w:lang w:val="fr-FR"/>
        </w:rPr>
        <w:t>’</w:t>
      </w:r>
      <w:r w:rsidRPr="00A779B8">
        <w:rPr>
          <w:lang w:val="fr-FR"/>
        </w:rPr>
        <w:t>appendice 3 de l</w:t>
      </w:r>
      <w:r w:rsidR="00DB4C2D">
        <w:rPr>
          <w:lang w:val="fr-FR"/>
        </w:rPr>
        <w:t>’</w:t>
      </w:r>
      <w:r w:rsidRPr="00A779B8">
        <w:rPr>
          <w:lang w:val="fr-FR"/>
        </w:rPr>
        <w:t>annexe 4a du présent Règlement s</w:t>
      </w:r>
      <w:r w:rsidR="00DB4C2D">
        <w:rPr>
          <w:lang w:val="fr-FR"/>
        </w:rPr>
        <w:t>’</w:t>
      </w:r>
      <w:r w:rsidRPr="00A779B8">
        <w:rPr>
          <w:lang w:val="fr-FR"/>
        </w:rPr>
        <w:t>appliquent, mais seulement pour les essais concernant le monoxyde et le dioxyde de carbone et les hydrocarbures totaux.</w:t>
      </w:r>
    </w:p>
    <w:p w:rsidR="007C3C08" w:rsidRPr="00A779B8" w:rsidRDefault="007C3C08" w:rsidP="007C3C08">
      <w:pPr>
        <w:pStyle w:val="SingleTxtG"/>
        <w:ind w:left="2268" w:hanging="1134"/>
        <w:rPr>
          <w:lang w:val="fr-FR"/>
        </w:rPr>
      </w:pPr>
      <w:r w:rsidRPr="00A779B8">
        <w:rPr>
          <w:lang w:val="fr-FR"/>
        </w:rPr>
        <w:t>2.4.2</w:t>
      </w:r>
      <w:r w:rsidRPr="00A779B8">
        <w:rPr>
          <w:lang w:val="fr-FR"/>
        </w:rPr>
        <w:tab/>
        <w:t>L</w:t>
      </w:r>
      <w:r w:rsidR="00DB4C2D">
        <w:rPr>
          <w:lang w:val="fr-FR"/>
        </w:rPr>
        <w:t>’</w:t>
      </w:r>
      <w:r w:rsidRPr="00A779B8">
        <w:rPr>
          <w:lang w:val="fr-FR"/>
        </w:rPr>
        <w:t>étalonnage de l</w:t>
      </w:r>
      <w:r w:rsidR="00DB4C2D">
        <w:rPr>
          <w:lang w:val="fr-FR"/>
        </w:rPr>
        <w:t>’</w:t>
      </w:r>
      <w:r w:rsidRPr="00A779B8">
        <w:rPr>
          <w:lang w:val="fr-FR"/>
        </w:rPr>
        <w:t>appareillage d</w:t>
      </w:r>
      <w:r w:rsidR="00DB4C2D">
        <w:rPr>
          <w:lang w:val="fr-FR"/>
        </w:rPr>
        <w:t>’</w:t>
      </w:r>
      <w:r w:rsidRPr="00A779B8">
        <w:rPr>
          <w:lang w:val="fr-FR"/>
        </w:rPr>
        <w:t>analyse doit se faire selon les dispositions de l</w:t>
      </w:r>
      <w:r w:rsidR="00DB4C2D">
        <w:rPr>
          <w:lang w:val="fr-FR"/>
        </w:rPr>
        <w:t>’</w:t>
      </w:r>
      <w:r w:rsidRPr="00A779B8">
        <w:rPr>
          <w:lang w:val="fr-FR"/>
        </w:rPr>
        <w:t>annexe 4a du présent Règlement.</w:t>
      </w:r>
    </w:p>
    <w:p w:rsidR="007C3C08" w:rsidRPr="00A779B8" w:rsidRDefault="007C3C08" w:rsidP="007C3C08">
      <w:pPr>
        <w:pStyle w:val="SingleTxtG"/>
        <w:keepNext/>
        <w:ind w:left="2268" w:hanging="1134"/>
        <w:jc w:val="left"/>
        <w:rPr>
          <w:lang w:val="fr-FR"/>
        </w:rPr>
      </w:pPr>
      <w:r w:rsidRPr="00A779B8">
        <w:rPr>
          <w:lang w:val="fr-FR"/>
        </w:rPr>
        <w:t>2.5</w:t>
      </w:r>
      <w:r w:rsidRPr="00A779B8">
        <w:rPr>
          <w:lang w:val="fr-FR"/>
        </w:rPr>
        <w:tab/>
        <w:t>Gaz</w:t>
      </w:r>
    </w:p>
    <w:p w:rsidR="007C3C08" w:rsidRPr="00A779B8" w:rsidRDefault="007C3C08" w:rsidP="007C3C08">
      <w:pPr>
        <w:pStyle w:val="SingleTxtG"/>
        <w:ind w:left="2268" w:hanging="1134"/>
        <w:rPr>
          <w:lang w:val="fr-FR"/>
        </w:rPr>
      </w:pPr>
      <w:r w:rsidRPr="00A779B8">
        <w:rPr>
          <w:lang w:val="fr-FR"/>
        </w:rPr>
        <w:t>2.5.1</w:t>
      </w:r>
      <w:r w:rsidRPr="00A779B8">
        <w:rPr>
          <w:lang w:val="fr-FR"/>
        </w:rPr>
        <w:tab/>
        <w:t>Les dispositions du paragraphe 3 de l</w:t>
      </w:r>
      <w:r w:rsidR="00DB4C2D">
        <w:rPr>
          <w:lang w:val="fr-FR"/>
        </w:rPr>
        <w:t>’</w:t>
      </w:r>
      <w:r w:rsidRPr="00A779B8">
        <w:rPr>
          <w:lang w:val="fr-FR"/>
        </w:rPr>
        <w:t>appendice 3 de l</w:t>
      </w:r>
      <w:r w:rsidR="00DB4C2D">
        <w:rPr>
          <w:lang w:val="fr-FR"/>
        </w:rPr>
        <w:t>’</w:t>
      </w:r>
      <w:r w:rsidRPr="00A779B8">
        <w:rPr>
          <w:lang w:val="fr-FR"/>
        </w:rPr>
        <w:t>annexe 4a du présent Règlement s</w:t>
      </w:r>
      <w:r w:rsidR="00DB4C2D">
        <w:rPr>
          <w:lang w:val="fr-FR"/>
        </w:rPr>
        <w:t>’</w:t>
      </w:r>
      <w:r w:rsidRPr="00A779B8">
        <w:rPr>
          <w:lang w:val="fr-FR"/>
        </w:rPr>
        <w:t>appliquent lorsqu</w:t>
      </w:r>
      <w:r w:rsidR="00DB4C2D">
        <w:rPr>
          <w:lang w:val="fr-FR"/>
        </w:rPr>
        <w:t>’</w:t>
      </w:r>
      <w:r w:rsidRPr="00A779B8">
        <w:rPr>
          <w:lang w:val="fr-FR"/>
        </w:rPr>
        <w:t>elles sont pertinentes.</w:t>
      </w:r>
    </w:p>
    <w:p w:rsidR="007C3C08" w:rsidRPr="00A779B8" w:rsidRDefault="007C3C08" w:rsidP="007C3C08">
      <w:pPr>
        <w:pStyle w:val="SingleTxtG"/>
        <w:keepNext/>
        <w:ind w:left="2268" w:hanging="1134"/>
        <w:jc w:val="left"/>
        <w:rPr>
          <w:lang w:val="fr-FR"/>
        </w:rPr>
      </w:pPr>
      <w:r w:rsidRPr="00A779B8">
        <w:rPr>
          <w:lang w:val="fr-FR"/>
        </w:rPr>
        <w:t>2.6</w:t>
      </w:r>
      <w:r w:rsidRPr="00A779B8">
        <w:rPr>
          <w:lang w:val="fr-FR"/>
        </w:rPr>
        <w:tab/>
        <w:t>Appareillage supplémentaire</w:t>
      </w:r>
    </w:p>
    <w:p w:rsidR="007C3C08" w:rsidRPr="00A779B8" w:rsidRDefault="007C3C08" w:rsidP="007C3C08">
      <w:pPr>
        <w:pStyle w:val="SingleTxtG"/>
        <w:ind w:left="2268" w:hanging="1134"/>
        <w:rPr>
          <w:lang w:val="fr-FR"/>
        </w:rPr>
      </w:pPr>
      <w:r w:rsidRPr="00A779B8">
        <w:rPr>
          <w:lang w:val="fr-FR"/>
        </w:rPr>
        <w:t>2.6.1</w:t>
      </w:r>
      <w:r w:rsidRPr="00A779B8">
        <w:rPr>
          <w:lang w:val="fr-FR"/>
        </w:rPr>
        <w:tab/>
        <w:t>Les dispositions énoncées au paragraphe 4.6 de l</w:t>
      </w:r>
      <w:r w:rsidR="00DB4C2D">
        <w:rPr>
          <w:lang w:val="fr-FR"/>
        </w:rPr>
        <w:t>’</w:t>
      </w:r>
      <w:r w:rsidRPr="00A779B8">
        <w:rPr>
          <w:lang w:val="fr-FR"/>
        </w:rPr>
        <w:t>annexe 4a du présent Règlement sont applicables aux appareils utilisés pour mesurer le volume, la température, la pression et l</w:t>
      </w:r>
      <w:r w:rsidR="00DB4C2D">
        <w:rPr>
          <w:lang w:val="fr-FR"/>
        </w:rPr>
        <w:t>’</w:t>
      </w:r>
      <w:r w:rsidRPr="00A779B8">
        <w:rPr>
          <w:lang w:val="fr-FR"/>
        </w:rPr>
        <w:t>humidité.</w:t>
      </w:r>
    </w:p>
    <w:p w:rsidR="007C3C08" w:rsidRPr="00A779B8" w:rsidRDefault="007C3C08" w:rsidP="007C3C08">
      <w:pPr>
        <w:pStyle w:val="SingleTxtG"/>
        <w:keepNext/>
        <w:ind w:left="2268" w:hanging="1134"/>
        <w:jc w:val="left"/>
        <w:rPr>
          <w:lang w:val="fr-FR"/>
        </w:rPr>
      </w:pPr>
      <w:r w:rsidRPr="00A779B8">
        <w:rPr>
          <w:lang w:val="fr-FR"/>
        </w:rPr>
        <w:t>3.</w:t>
      </w:r>
      <w:r w:rsidRPr="00A779B8">
        <w:rPr>
          <w:lang w:val="fr-FR"/>
        </w:rPr>
        <w:tab/>
        <w:t>Déroulement de l</w:t>
      </w:r>
      <w:r w:rsidR="00DB4C2D">
        <w:rPr>
          <w:lang w:val="fr-FR"/>
        </w:rPr>
        <w:t>’</w:t>
      </w:r>
      <w:r w:rsidRPr="00A779B8">
        <w:rPr>
          <w:lang w:val="fr-FR"/>
        </w:rPr>
        <w:t>essai et carburant</w:t>
      </w:r>
    </w:p>
    <w:p w:rsidR="007C3C08" w:rsidRPr="00A779B8" w:rsidRDefault="007C3C08" w:rsidP="007C3C08">
      <w:pPr>
        <w:pStyle w:val="SingleTxtG"/>
        <w:keepNext/>
        <w:ind w:left="2268" w:hanging="1134"/>
        <w:rPr>
          <w:lang w:val="fr-FR"/>
        </w:rPr>
      </w:pPr>
      <w:r w:rsidRPr="00A779B8">
        <w:rPr>
          <w:lang w:val="fr-FR"/>
        </w:rPr>
        <w:t>3.1</w:t>
      </w:r>
      <w:r w:rsidRPr="00A779B8">
        <w:rPr>
          <w:lang w:val="fr-FR"/>
        </w:rPr>
        <w:tab/>
        <w:t>Conditions générales</w:t>
      </w:r>
    </w:p>
    <w:p w:rsidR="007C3C08" w:rsidRPr="00A779B8" w:rsidRDefault="007C3C08" w:rsidP="007C3C08">
      <w:pPr>
        <w:pStyle w:val="SingleTxtG"/>
        <w:ind w:left="2268" w:hanging="1134"/>
        <w:rPr>
          <w:lang w:val="fr-FR"/>
        </w:rPr>
      </w:pPr>
      <w:r w:rsidRPr="00A779B8">
        <w:rPr>
          <w:lang w:val="fr-FR"/>
        </w:rPr>
        <w:t>3.1.1</w:t>
      </w:r>
      <w:r w:rsidRPr="00A779B8">
        <w:rPr>
          <w:lang w:val="fr-FR"/>
        </w:rPr>
        <w:tab/>
        <w:t>Le déroulement de l</w:t>
      </w:r>
      <w:r w:rsidR="00DB4C2D">
        <w:rPr>
          <w:lang w:val="fr-FR"/>
        </w:rPr>
        <w:t>’</w:t>
      </w:r>
      <w:r w:rsidRPr="00A779B8">
        <w:rPr>
          <w:lang w:val="fr-FR"/>
        </w:rPr>
        <w:t>essai illustré par la figure A8/1 montre les étapes des procédures de l</w:t>
      </w:r>
      <w:r w:rsidR="00DB4C2D">
        <w:rPr>
          <w:lang w:val="fr-FR"/>
        </w:rPr>
        <w:t>’</w:t>
      </w:r>
      <w:r w:rsidRPr="00A779B8">
        <w:rPr>
          <w:lang w:val="fr-FR"/>
        </w:rPr>
        <w:t xml:space="preserve">essai de type VI. Le véhicule est soumis à des niveaux de température ambiante dont la moyenne est de 266 K (-7 °C) </w:t>
      </w:r>
      <w:r w:rsidRPr="00A779B8">
        <w:rPr>
          <w:lang w:val="fr-FR"/>
        </w:rPr>
        <w:sym w:font="Symbol" w:char="F0B1"/>
      </w:r>
      <w:r w:rsidRPr="00A779B8">
        <w:rPr>
          <w:lang w:val="fr-FR"/>
        </w:rPr>
        <w:t xml:space="preserve"> 3 K et qui ne sont ni inférieurs à 260 K (-13 °C) ni supérieurs à 272 K (-1 °C).</w:t>
      </w:r>
    </w:p>
    <w:p w:rsidR="007C3C08" w:rsidRPr="00A779B8" w:rsidRDefault="007C3C08" w:rsidP="007C3C08">
      <w:pPr>
        <w:pStyle w:val="SingleTxtG"/>
        <w:ind w:left="2268"/>
        <w:rPr>
          <w:lang w:val="fr-FR"/>
        </w:rPr>
      </w:pPr>
      <w:r w:rsidRPr="00A779B8">
        <w:rPr>
          <w:lang w:val="fr-FR"/>
        </w:rPr>
        <w:tab/>
        <w:t>La température ne peut descendre au-dessous de 263 K (-10 °C), ni dépasser 269 K (-4 °C) pendant plus de 3 min consécutives.</w:t>
      </w:r>
    </w:p>
    <w:p w:rsidR="007C3C08" w:rsidRPr="00A779B8" w:rsidRDefault="007C3C08" w:rsidP="007C3C08">
      <w:pPr>
        <w:pStyle w:val="SingleTxtG"/>
        <w:ind w:left="2268" w:hanging="1134"/>
        <w:rPr>
          <w:lang w:val="fr-FR"/>
        </w:rPr>
      </w:pPr>
      <w:r w:rsidRPr="00A779B8">
        <w:rPr>
          <w:lang w:val="fr-FR"/>
        </w:rPr>
        <w:t>3.1.2</w:t>
      </w:r>
      <w:r w:rsidRPr="00A779B8">
        <w:rPr>
          <w:lang w:val="fr-FR"/>
        </w:rPr>
        <w:tab/>
        <w:t>La température de la chambre d</w:t>
      </w:r>
      <w:r w:rsidR="00DB4C2D">
        <w:rPr>
          <w:lang w:val="fr-FR"/>
        </w:rPr>
        <w:t>’</w:t>
      </w:r>
      <w:r w:rsidRPr="00A779B8">
        <w:rPr>
          <w:lang w:val="fr-FR"/>
        </w:rPr>
        <w:t>essai, contrôlée durant l</w:t>
      </w:r>
      <w:r w:rsidR="00DB4C2D">
        <w:rPr>
          <w:lang w:val="fr-FR"/>
        </w:rPr>
        <w:t>’</w:t>
      </w:r>
      <w:r w:rsidRPr="00A779B8">
        <w:rPr>
          <w:lang w:val="fr-FR"/>
        </w:rPr>
        <w:t>essai, est mesurée à la sortie du ventilateur de refroidissement (par. 5.2.1 de la présente annexe). La température ambiante notée est la moyenne arithmétique des températures de la chambre d</w:t>
      </w:r>
      <w:r w:rsidR="00DB4C2D">
        <w:rPr>
          <w:lang w:val="fr-FR"/>
        </w:rPr>
        <w:t>’</w:t>
      </w:r>
      <w:r w:rsidRPr="00A779B8">
        <w:rPr>
          <w:lang w:val="fr-FR"/>
        </w:rPr>
        <w:t>essai mesurées à intervalles constants de 1 min au maximum.</w:t>
      </w:r>
    </w:p>
    <w:p w:rsidR="007C3C08" w:rsidRPr="00A779B8" w:rsidRDefault="007C3C08" w:rsidP="007C3C08">
      <w:pPr>
        <w:pStyle w:val="SingleTxtG"/>
        <w:keepNext/>
        <w:ind w:left="2268" w:hanging="1134"/>
        <w:jc w:val="left"/>
        <w:rPr>
          <w:lang w:val="fr-FR"/>
        </w:rPr>
      </w:pPr>
      <w:r w:rsidRPr="00A779B8">
        <w:rPr>
          <w:lang w:val="fr-FR"/>
        </w:rPr>
        <w:t>3.2</w:t>
      </w:r>
      <w:r w:rsidRPr="00A779B8">
        <w:rPr>
          <w:lang w:val="fr-FR"/>
        </w:rPr>
        <w:tab/>
        <w:t>Méthode d</w:t>
      </w:r>
      <w:r w:rsidR="00DB4C2D">
        <w:rPr>
          <w:lang w:val="fr-FR"/>
        </w:rPr>
        <w:t>’</w:t>
      </w:r>
      <w:r w:rsidRPr="00A779B8">
        <w:rPr>
          <w:lang w:val="fr-FR"/>
        </w:rPr>
        <w:t>essai</w:t>
      </w:r>
    </w:p>
    <w:p w:rsidR="007C3C08" w:rsidRPr="00A779B8" w:rsidRDefault="007C3C08" w:rsidP="007C3C08">
      <w:pPr>
        <w:pStyle w:val="SingleTxtG"/>
        <w:ind w:left="2268"/>
        <w:rPr>
          <w:lang w:val="fr-FR"/>
        </w:rPr>
      </w:pPr>
      <w:r w:rsidRPr="00A779B8">
        <w:rPr>
          <w:lang w:val="fr-FR"/>
        </w:rPr>
        <w:tab/>
        <w:t>Le cycle de conduite urbain (première partie), selon la figure A4a/1 de l</w:t>
      </w:r>
      <w:r w:rsidR="00DB4C2D">
        <w:rPr>
          <w:lang w:val="fr-FR"/>
        </w:rPr>
        <w:t>’</w:t>
      </w:r>
      <w:r w:rsidRPr="00A779B8">
        <w:rPr>
          <w:lang w:val="fr-FR"/>
        </w:rPr>
        <w:t>annexe 4a du présent Règlement se compose de quatre cycles élémentaires urbains formant ensemble un cycle complet de première partie.</w:t>
      </w:r>
    </w:p>
    <w:p w:rsidR="007C3C08" w:rsidRPr="00A779B8" w:rsidRDefault="007C3C08" w:rsidP="007C3C08">
      <w:pPr>
        <w:pStyle w:val="SingleTxtG"/>
        <w:ind w:left="2268" w:hanging="1134"/>
        <w:rPr>
          <w:lang w:val="fr-FR"/>
        </w:rPr>
      </w:pPr>
      <w:r w:rsidRPr="00A779B8">
        <w:rPr>
          <w:lang w:val="fr-FR"/>
        </w:rPr>
        <w:t>3.2.1</w:t>
      </w:r>
      <w:r w:rsidRPr="00A779B8">
        <w:rPr>
          <w:lang w:val="fr-FR"/>
        </w:rPr>
        <w:tab/>
        <w:t>Le démarrage du moteur, le commencement des prélèvements et l</w:t>
      </w:r>
      <w:r w:rsidR="00DB4C2D">
        <w:rPr>
          <w:lang w:val="fr-FR"/>
        </w:rPr>
        <w:t>’</w:t>
      </w:r>
      <w:r w:rsidRPr="00A779B8">
        <w:rPr>
          <w:lang w:val="fr-FR"/>
        </w:rPr>
        <w:t>exécution du premier cycle sont effectués conformément au tableau 1 et à la figure A4a/1 de l</w:t>
      </w:r>
      <w:r w:rsidR="00DB4C2D">
        <w:rPr>
          <w:lang w:val="fr-FR"/>
        </w:rPr>
        <w:t>’</w:t>
      </w:r>
      <w:r w:rsidRPr="00A779B8">
        <w:rPr>
          <w:lang w:val="fr-FR"/>
        </w:rPr>
        <w:t>annexe 4a du présent Règlement.</w:t>
      </w:r>
    </w:p>
    <w:p w:rsidR="007C3C08" w:rsidRPr="00A779B8" w:rsidRDefault="007C3C08" w:rsidP="007C3C08">
      <w:pPr>
        <w:pStyle w:val="SingleTxtG"/>
        <w:keepNext/>
        <w:ind w:left="2268" w:hanging="1134"/>
        <w:jc w:val="left"/>
        <w:rPr>
          <w:lang w:val="fr-FR"/>
        </w:rPr>
      </w:pPr>
      <w:r w:rsidRPr="00A779B8">
        <w:rPr>
          <w:lang w:val="fr-FR"/>
        </w:rPr>
        <w:t>3.3</w:t>
      </w:r>
      <w:r w:rsidRPr="00A779B8">
        <w:rPr>
          <w:lang w:val="fr-FR"/>
        </w:rPr>
        <w:tab/>
        <w:t>Préparation de l</w:t>
      </w:r>
      <w:r w:rsidR="00DB4C2D">
        <w:rPr>
          <w:lang w:val="fr-FR"/>
        </w:rPr>
        <w:t>’</w:t>
      </w:r>
      <w:r w:rsidRPr="00A779B8">
        <w:rPr>
          <w:lang w:val="fr-FR"/>
        </w:rPr>
        <w:t>essai</w:t>
      </w:r>
    </w:p>
    <w:p w:rsidR="007C3C08" w:rsidRPr="00A779B8" w:rsidRDefault="007C3C08" w:rsidP="007C3C08">
      <w:pPr>
        <w:pStyle w:val="SingleTxtG"/>
        <w:ind w:left="2268" w:hanging="1134"/>
        <w:rPr>
          <w:u w:val="single"/>
          <w:lang w:val="fr-FR"/>
        </w:rPr>
      </w:pPr>
      <w:r w:rsidRPr="00A779B8">
        <w:rPr>
          <w:lang w:val="fr-FR"/>
        </w:rPr>
        <w:t>3.3.1</w:t>
      </w:r>
      <w:r w:rsidRPr="00A779B8">
        <w:rPr>
          <w:lang w:val="fr-FR"/>
        </w:rPr>
        <w:tab/>
        <w:t>Les dispositions prévues au paragraphe 3.2 de l</w:t>
      </w:r>
      <w:r w:rsidR="00DB4C2D">
        <w:rPr>
          <w:lang w:val="fr-FR"/>
        </w:rPr>
        <w:t>’</w:t>
      </w:r>
      <w:r w:rsidRPr="00A779B8">
        <w:rPr>
          <w:lang w:val="fr-FR"/>
        </w:rPr>
        <w:t>annexe 4a du présent Règlement sont applicables en ce qui concerne le véhicule d</w:t>
      </w:r>
      <w:r w:rsidR="00DB4C2D">
        <w:rPr>
          <w:lang w:val="fr-FR"/>
        </w:rPr>
        <w:t>’</w:t>
      </w:r>
      <w:r w:rsidRPr="00A779B8">
        <w:rPr>
          <w:lang w:val="fr-FR"/>
        </w:rPr>
        <w:t>essai. Le réglage de l</w:t>
      </w:r>
      <w:r w:rsidR="00DB4C2D">
        <w:rPr>
          <w:lang w:val="fr-FR"/>
        </w:rPr>
        <w:t>’</w:t>
      </w:r>
      <w:r w:rsidRPr="00A779B8">
        <w:rPr>
          <w:lang w:val="fr-FR"/>
        </w:rPr>
        <w:t>inertie équivalente sur le banc à rouleaux doit être effectué conformément aux dispositions du paragraphe 6.2.1 de l</w:t>
      </w:r>
      <w:r w:rsidR="00DB4C2D">
        <w:rPr>
          <w:lang w:val="fr-FR"/>
        </w:rPr>
        <w:t>’</w:t>
      </w:r>
      <w:r w:rsidRPr="00A779B8">
        <w:rPr>
          <w:lang w:val="fr-FR"/>
        </w:rPr>
        <w:t>annexe 4a du présent Règlement.</w:t>
      </w:r>
    </w:p>
    <w:p w:rsidR="007C3C08" w:rsidRPr="00A779B8" w:rsidRDefault="007C3C08" w:rsidP="007C3C08">
      <w:pPr>
        <w:pStyle w:val="Titre1"/>
        <w:rPr>
          <w:lang w:val="fr-FR"/>
        </w:rPr>
      </w:pPr>
      <w:r w:rsidRPr="00A779B8">
        <w:rPr>
          <w:lang w:val="fr-FR"/>
        </w:rPr>
        <w:lastRenderedPageBreak/>
        <w:t>Figure A8/1</w:t>
      </w:r>
    </w:p>
    <w:p w:rsidR="007C3C08" w:rsidRPr="00A779B8" w:rsidRDefault="007C3C08" w:rsidP="007C3C08">
      <w:pPr>
        <w:pStyle w:val="Titre1"/>
        <w:spacing w:after="120"/>
        <w:rPr>
          <w:b/>
          <w:lang w:val="fr-FR"/>
        </w:rPr>
      </w:pPr>
      <w:r w:rsidRPr="00A779B8">
        <w:rPr>
          <w:b/>
          <w:lang w:val="fr-FR"/>
        </w:rPr>
        <w:t>Procédure d</w:t>
      </w:r>
      <w:r w:rsidR="00DB4C2D">
        <w:rPr>
          <w:b/>
          <w:lang w:val="fr-FR"/>
        </w:rPr>
        <w:t>’</w:t>
      </w:r>
      <w:r w:rsidRPr="00A779B8">
        <w:rPr>
          <w:b/>
          <w:lang w:val="fr-FR"/>
        </w:rPr>
        <w:t>essai à basse température ambiante</w:t>
      </w:r>
    </w:p>
    <w:bookmarkStart w:id="261" w:name="_MON_1448343422"/>
    <w:bookmarkStart w:id="262" w:name="_MON_1448961284"/>
    <w:bookmarkStart w:id="263" w:name="_MON_1448968349"/>
    <w:bookmarkEnd w:id="261"/>
    <w:bookmarkEnd w:id="262"/>
    <w:bookmarkEnd w:id="263"/>
    <w:p w:rsidR="007C3C08" w:rsidRPr="00A779B8" w:rsidRDefault="007C3C08" w:rsidP="007C3C08">
      <w:pPr>
        <w:pStyle w:val="SingleTxtG"/>
        <w:spacing w:after="0"/>
        <w:rPr>
          <w:lang w:val="fr-FR"/>
        </w:rPr>
      </w:pPr>
      <w:r w:rsidRPr="00A779B8">
        <w:rPr>
          <w:lang w:val="fr-FR"/>
        </w:rPr>
        <w:object w:dxaOrig="6869" w:dyaOrig="7425">
          <v:shape id="_x0000_i1120" type="#_x0000_t75" style="width:366.1pt;height:361.35pt" o:ole="">
            <v:imagedata r:id="rId234" o:title="" croptop="500f" cropbottom="500f" cropleft="-2163f" cropright="-2163f"/>
            <w10:bordertop type="single" width="4"/>
            <w10:borderleft type="single" width="4"/>
            <w10:borderbottom type="single" width="4"/>
            <w10:borderright type="single" width="4"/>
          </v:shape>
          <o:OLEObject Type="Embed" ProgID="Word.Picture.8" ShapeID="_x0000_i1120" DrawAspect="Content" ObjectID="_1490178465" r:id="rId235"/>
        </w:object>
      </w:r>
    </w:p>
    <w:p w:rsidR="007C3C08" w:rsidRPr="00A779B8" w:rsidRDefault="007C3C08" w:rsidP="007C3C08">
      <w:pPr>
        <w:pStyle w:val="SingleTxtG"/>
        <w:keepNext/>
        <w:spacing w:before="180" w:after="100" w:line="236" w:lineRule="atLeast"/>
        <w:ind w:left="2268" w:hanging="1134"/>
        <w:jc w:val="left"/>
        <w:rPr>
          <w:lang w:val="fr-FR"/>
        </w:rPr>
      </w:pPr>
      <w:r w:rsidRPr="00A779B8">
        <w:rPr>
          <w:lang w:val="fr-FR"/>
        </w:rPr>
        <w:t>3.4</w:t>
      </w:r>
      <w:r w:rsidRPr="00A779B8">
        <w:rPr>
          <w:lang w:val="fr-FR"/>
        </w:rPr>
        <w:tab/>
        <w:t>Carburant d</w:t>
      </w:r>
      <w:r w:rsidR="00DB4C2D">
        <w:rPr>
          <w:lang w:val="fr-FR"/>
        </w:rPr>
        <w:t>’</w:t>
      </w:r>
      <w:r w:rsidRPr="00A779B8">
        <w:rPr>
          <w:lang w:val="fr-FR"/>
        </w:rPr>
        <w:t>essai</w:t>
      </w:r>
    </w:p>
    <w:p w:rsidR="007C3C08" w:rsidRPr="00A779B8" w:rsidRDefault="007C3C08" w:rsidP="007C3C08">
      <w:pPr>
        <w:pStyle w:val="SingleTxtG"/>
        <w:spacing w:after="100" w:line="236" w:lineRule="atLeast"/>
        <w:ind w:left="2268" w:hanging="1134"/>
        <w:rPr>
          <w:lang w:val="fr-FR"/>
        </w:rPr>
      </w:pPr>
      <w:r w:rsidRPr="00A779B8">
        <w:rPr>
          <w:lang w:val="fr-FR"/>
        </w:rPr>
        <w:t>3.4.1</w:t>
      </w:r>
      <w:r w:rsidRPr="00A779B8">
        <w:rPr>
          <w:lang w:val="fr-FR"/>
        </w:rPr>
        <w:tab/>
        <w:t>Le carburant d</w:t>
      </w:r>
      <w:r w:rsidR="00DB4C2D">
        <w:rPr>
          <w:lang w:val="fr-FR"/>
        </w:rPr>
        <w:t>’</w:t>
      </w:r>
      <w:r w:rsidRPr="00A779B8">
        <w:rPr>
          <w:lang w:val="fr-FR"/>
        </w:rPr>
        <w:t>essai doit satisfaire aux prescriptions figurant au paragraphe 2 de l</w:t>
      </w:r>
      <w:r w:rsidR="00DB4C2D">
        <w:rPr>
          <w:lang w:val="fr-FR"/>
        </w:rPr>
        <w:t>’</w:t>
      </w:r>
      <w:r w:rsidRPr="00A779B8">
        <w:rPr>
          <w:lang w:val="fr-FR"/>
        </w:rPr>
        <w:t>annexe 10 du présent Règlement.</w:t>
      </w:r>
    </w:p>
    <w:p w:rsidR="007C3C08" w:rsidRPr="00A779B8" w:rsidRDefault="007C3C08" w:rsidP="007C3C08">
      <w:pPr>
        <w:pStyle w:val="SingleTxtG"/>
        <w:keepNext/>
        <w:spacing w:after="100" w:line="236" w:lineRule="atLeast"/>
        <w:ind w:left="2268" w:hanging="1134"/>
        <w:jc w:val="left"/>
        <w:rPr>
          <w:lang w:val="fr-FR"/>
        </w:rPr>
      </w:pPr>
      <w:r w:rsidRPr="00A779B8">
        <w:rPr>
          <w:lang w:val="fr-FR"/>
        </w:rPr>
        <w:t>4.</w:t>
      </w:r>
      <w:r w:rsidRPr="00A779B8">
        <w:rPr>
          <w:lang w:val="fr-FR"/>
        </w:rPr>
        <w:tab/>
      </w:r>
      <w:proofErr w:type="spellStart"/>
      <w:r w:rsidRPr="00A779B8">
        <w:rPr>
          <w:lang w:val="fr-FR"/>
        </w:rPr>
        <w:t>Préconditionnement</w:t>
      </w:r>
      <w:proofErr w:type="spellEnd"/>
      <w:r w:rsidRPr="00A779B8">
        <w:rPr>
          <w:lang w:val="fr-FR"/>
        </w:rPr>
        <w:t xml:space="preserve"> du véhicule</w:t>
      </w:r>
    </w:p>
    <w:p w:rsidR="007C3C08" w:rsidRPr="00A779B8" w:rsidRDefault="007C3C08" w:rsidP="007C3C08">
      <w:pPr>
        <w:pStyle w:val="SingleTxtG"/>
        <w:keepNext/>
        <w:spacing w:after="100" w:line="236" w:lineRule="atLeast"/>
        <w:ind w:left="2268" w:hanging="1134"/>
        <w:jc w:val="left"/>
        <w:rPr>
          <w:lang w:val="fr-FR"/>
        </w:rPr>
      </w:pPr>
      <w:r w:rsidRPr="00A779B8">
        <w:rPr>
          <w:lang w:val="fr-FR"/>
        </w:rPr>
        <w:t>4.1</w:t>
      </w:r>
      <w:r w:rsidRPr="00A779B8">
        <w:rPr>
          <w:lang w:val="fr-FR"/>
        </w:rPr>
        <w:tab/>
        <w:t>Résumé</w:t>
      </w:r>
    </w:p>
    <w:p w:rsidR="007C3C08" w:rsidRPr="00A779B8" w:rsidRDefault="007C3C08" w:rsidP="007C3C08">
      <w:pPr>
        <w:pStyle w:val="SingleTxtG"/>
        <w:spacing w:after="100" w:line="236" w:lineRule="atLeast"/>
        <w:ind w:left="2268" w:hanging="1134"/>
        <w:rPr>
          <w:lang w:val="fr-FR"/>
        </w:rPr>
      </w:pPr>
      <w:r w:rsidRPr="00A779B8">
        <w:rPr>
          <w:lang w:val="fr-FR"/>
        </w:rPr>
        <w:t>4.1.1</w:t>
      </w:r>
      <w:r w:rsidRPr="00A779B8">
        <w:rPr>
          <w:lang w:val="fr-FR"/>
        </w:rPr>
        <w:tab/>
        <w:t>Pour que la reproductibilité des essais d</w:t>
      </w:r>
      <w:r w:rsidR="00DB4C2D">
        <w:rPr>
          <w:lang w:val="fr-FR"/>
        </w:rPr>
        <w:t>’</w:t>
      </w:r>
      <w:r w:rsidRPr="00A779B8">
        <w:rPr>
          <w:lang w:val="fr-FR"/>
        </w:rPr>
        <w:t>émissions soit assurée, le véhicule d</w:t>
      </w:r>
      <w:r w:rsidR="00DB4C2D">
        <w:rPr>
          <w:lang w:val="fr-FR"/>
        </w:rPr>
        <w:t>’</w:t>
      </w:r>
      <w:r w:rsidRPr="00A779B8">
        <w:rPr>
          <w:lang w:val="fr-FR"/>
        </w:rPr>
        <w:t>essai doit être conditionné de manière uniforme. Le conditionnement consiste en un cycle de conduite préparatoire sur le banc à rouleaux, suivi par un temps d</w:t>
      </w:r>
      <w:r w:rsidR="00DB4C2D">
        <w:rPr>
          <w:lang w:val="fr-FR"/>
        </w:rPr>
        <w:t>’</w:t>
      </w:r>
      <w:r w:rsidRPr="00A779B8">
        <w:rPr>
          <w:lang w:val="fr-FR"/>
        </w:rPr>
        <w:t>imprégnation avant l</w:t>
      </w:r>
      <w:r w:rsidR="00DB4C2D">
        <w:rPr>
          <w:lang w:val="fr-FR"/>
        </w:rPr>
        <w:t>’</w:t>
      </w:r>
      <w:r w:rsidRPr="00A779B8">
        <w:rPr>
          <w:lang w:val="fr-FR"/>
        </w:rPr>
        <w:t>essai d</w:t>
      </w:r>
      <w:r w:rsidR="00DB4C2D">
        <w:rPr>
          <w:lang w:val="fr-FR"/>
        </w:rPr>
        <w:t>’</w:t>
      </w:r>
      <w:r w:rsidRPr="00A779B8">
        <w:rPr>
          <w:lang w:val="fr-FR"/>
        </w:rPr>
        <w:t>émissions décrit au paragraphe 4.3 de la présente annexe.</w:t>
      </w:r>
    </w:p>
    <w:p w:rsidR="007C3C08" w:rsidRPr="00A779B8" w:rsidRDefault="007C3C08" w:rsidP="007C3C08">
      <w:pPr>
        <w:pStyle w:val="SingleTxtG"/>
        <w:keepNext/>
        <w:spacing w:after="100" w:line="236" w:lineRule="atLeast"/>
        <w:ind w:left="2268" w:hanging="1134"/>
        <w:jc w:val="left"/>
        <w:rPr>
          <w:lang w:val="fr-FR"/>
        </w:rPr>
      </w:pPr>
      <w:r w:rsidRPr="00A779B8">
        <w:rPr>
          <w:lang w:val="fr-FR"/>
        </w:rPr>
        <w:t>4.2</w:t>
      </w:r>
      <w:r w:rsidRPr="00A779B8">
        <w:rPr>
          <w:lang w:val="fr-FR"/>
        </w:rPr>
        <w:tab/>
      </w:r>
      <w:proofErr w:type="spellStart"/>
      <w:r w:rsidRPr="00A779B8">
        <w:rPr>
          <w:lang w:val="fr-FR"/>
        </w:rPr>
        <w:t>Préconditionnement</w:t>
      </w:r>
      <w:proofErr w:type="spellEnd"/>
    </w:p>
    <w:p w:rsidR="007C3C08" w:rsidRPr="00A779B8" w:rsidRDefault="007C3C08" w:rsidP="007C3C08">
      <w:pPr>
        <w:pStyle w:val="SingleTxtG"/>
        <w:spacing w:after="100" w:line="236" w:lineRule="atLeast"/>
        <w:ind w:left="2268" w:hanging="1134"/>
        <w:rPr>
          <w:lang w:val="fr-FR"/>
        </w:rPr>
      </w:pPr>
      <w:r w:rsidRPr="00A779B8">
        <w:rPr>
          <w:lang w:val="fr-FR"/>
        </w:rPr>
        <w:t>4.2.1</w:t>
      </w:r>
      <w:r w:rsidRPr="00A779B8">
        <w:rPr>
          <w:lang w:val="fr-FR"/>
        </w:rPr>
        <w:tab/>
        <w:t>Le ou les réservoirs de carburant doivent être remplis avec le carburant d</w:t>
      </w:r>
      <w:r w:rsidR="00DB4C2D">
        <w:rPr>
          <w:lang w:val="fr-FR"/>
        </w:rPr>
        <w:t>’</w:t>
      </w:r>
      <w:r w:rsidRPr="00A779B8">
        <w:rPr>
          <w:lang w:val="fr-FR"/>
        </w:rPr>
        <w:t>essai indiqué. Si le carburant présent dans le ou les réservoirs ne répond pas aux spécifications énoncées au paragraphe 3.4.1 de la présente annexe, il convient de vidanger le réservoir avant le remplissage. Le carburant d</w:t>
      </w:r>
      <w:r w:rsidR="00DB4C2D">
        <w:rPr>
          <w:lang w:val="fr-FR"/>
        </w:rPr>
        <w:t>’</w:t>
      </w:r>
      <w:r w:rsidRPr="00A779B8">
        <w:rPr>
          <w:lang w:val="fr-FR"/>
        </w:rPr>
        <w:t>essai doit être à une température inférieure ou égale à 289 K (+16 °C). Pour les opérations décrites ci-dessus, le système de contrôle des émissions par évaporation ne doit être ni anormalement purgé ni anormalement chargé.</w:t>
      </w:r>
    </w:p>
    <w:p w:rsidR="007C3C08" w:rsidRPr="00A779B8" w:rsidRDefault="007C3C08" w:rsidP="007C3C08">
      <w:pPr>
        <w:pStyle w:val="SingleTxtG"/>
        <w:ind w:left="2268" w:hanging="1134"/>
        <w:rPr>
          <w:lang w:val="fr-FR"/>
        </w:rPr>
      </w:pPr>
      <w:r w:rsidRPr="00A779B8">
        <w:rPr>
          <w:lang w:val="fr-FR"/>
        </w:rPr>
        <w:lastRenderedPageBreak/>
        <w:t>4.2.2</w:t>
      </w:r>
      <w:r w:rsidRPr="00A779B8">
        <w:rPr>
          <w:lang w:val="fr-FR"/>
        </w:rPr>
        <w:tab/>
        <w:t>Le véhicule doit être amené à la chambre d</w:t>
      </w:r>
      <w:r w:rsidR="00DB4C2D">
        <w:rPr>
          <w:lang w:val="fr-FR"/>
        </w:rPr>
        <w:t>’</w:t>
      </w:r>
      <w:r w:rsidRPr="00A779B8">
        <w:rPr>
          <w:lang w:val="fr-FR"/>
        </w:rPr>
        <w:t>essai et placé sur le banc à rouleaux.</w:t>
      </w:r>
    </w:p>
    <w:p w:rsidR="007C3C08" w:rsidRPr="00A779B8" w:rsidRDefault="007C3C08" w:rsidP="007C3C08">
      <w:pPr>
        <w:pStyle w:val="SingleTxtG"/>
        <w:ind w:left="2268" w:hanging="1134"/>
        <w:rPr>
          <w:lang w:val="fr-FR"/>
        </w:rPr>
      </w:pPr>
      <w:r w:rsidRPr="00A779B8">
        <w:rPr>
          <w:lang w:val="fr-FR"/>
        </w:rPr>
        <w:t>4.2.3</w:t>
      </w:r>
      <w:r w:rsidRPr="00A779B8">
        <w:rPr>
          <w:lang w:val="fr-FR"/>
        </w:rPr>
        <w:tab/>
        <w:t xml:space="preserve">Le </w:t>
      </w:r>
      <w:proofErr w:type="spellStart"/>
      <w:r w:rsidRPr="00A779B8">
        <w:rPr>
          <w:lang w:val="fr-FR"/>
        </w:rPr>
        <w:t>préconditionnement</w:t>
      </w:r>
      <w:proofErr w:type="spellEnd"/>
      <w:r w:rsidRPr="00A779B8">
        <w:rPr>
          <w:lang w:val="fr-FR"/>
        </w:rPr>
        <w:t xml:space="preserve"> se compose d</w:t>
      </w:r>
      <w:r w:rsidR="00DB4C2D">
        <w:rPr>
          <w:lang w:val="fr-FR"/>
        </w:rPr>
        <w:t>’</w:t>
      </w:r>
      <w:r w:rsidRPr="00A779B8">
        <w:rPr>
          <w:lang w:val="fr-FR"/>
        </w:rPr>
        <w:t>un cycle de conduite complet, première partie et seconde partie, conformément aux tableaux A4a/1 et A4a/2 et à la figure A4a/1 de l</w:t>
      </w:r>
      <w:r w:rsidR="00DB4C2D">
        <w:rPr>
          <w:lang w:val="fr-FR"/>
        </w:rPr>
        <w:t>’</w:t>
      </w:r>
      <w:r w:rsidRPr="00A779B8">
        <w:rPr>
          <w:lang w:val="fr-FR"/>
        </w:rPr>
        <w:t>annexe 4a du présent Règlement. À la demande du fabricant, les véhicules équipés d</w:t>
      </w:r>
      <w:r w:rsidR="00DB4C2D">
        <w:rPr>
          <w:lang w:val="fr-FR"/>
        </w:rPr>
        <w:t>’</w:t>
      </w:r>
      <w:r w:rsidRPr="00A779B8">
        <w:rPr>
          <w:lang w:val="fr-FR"/>
        </w:rPr>
        <w:t xml:space="preserve">un moteur à allumage commandé peuvent être </w:t>
      </w:r>
      <w:proofErr w:type="spellStart"/>
      <w:r w:rsidRPr="00A779B8">
        <w:rPr>
          <w:lang w:val="fr-FR"/>
        </w:rPr>
        <w:t>préconditionnés</w:t>
      </w:r>
      <w:proofErr w:type="spellEnd"/>
      <w:r w:rsidRPr="00A779B8">
        <w:rPr>
          <w:lang w:val="fr-FR"/>
        </w:rPr>
        <w:t xml:space="preserve"> par un cycle de conduite de première partie et deux cycles de conduite de seconde partie.</w:t>
      </w:r>
    </w:p>
    <w:p w:rsidR="007C3C08" w:rsidRPr="00A779B8" w:rsidRDefault="007C3C08" w:rsidP="007C3C08">
      <w:pPr>
        <w:pStyle w:val="SingleTxtG"/>
        <w:ind w:left="2268" w:hanging="1134"/>
        <w:rPr>
          <w:lang w:val="fr-FR"/>
        </w:rPr>
      </w:pPr>
      <w:r w:rsidRPr="00A779B8">
        <w:rPr>
          <w:lang w:val="fr-FR"/>
        </w:rPr>
        <w:t>4.2.4</w:t>
      </w:r>
      <w:r w:rsidRPr="00A779B8">
        <w:rPr>
          <w:lang w:val="fr-FR"/>
        </w:rPr>
        <w:tab/>
        <w:t xml:space="preserve">Pendant le </w:t>
      </w:r>
      <w:proofErr w:type="spellStart"/>
      <w:r w:rsidRPr="00A779B8">
        <w:rPr>
          <w:lang w:val="fr-FR"/>
        </w:rPr>
        <w:t>préconditionnement</w:t>
      </w:r>
      <w:proofErr w:type="spellEnd"/>
      <w:r w:rsidRPr="00A779B8">
        <w:rPr>
          <w:lang w:val="fr-FR"/>
        </w:rPr>
        <w:t>, la température de la chambre d</w:t>
      </w:r>
      <w:r w:rsidR="00DB4C2D">
        <w:rPr>
          <w:lang w:val="fr-FR"/>
        </w:rPr>
        <w:t>’</w:t>
      </w:r>
      <w:r w:rsidRPr="00A779B8">
        <w:rPr>
          <w:lang w:val="fr-FR"/>
        </w:rPr>
        <w:t>essai doit rester assez constante et ne doit pas être supérieure à 303 K (30 °C).</w:t>
      </w:r>
    </w:p>
    <w:p w:rsidR="007C3C08" w:rsidRPr="00A779B8" w:rsidRDefault="007C3C08" w:rsidP="007C3C08">
      <w:pPr>
        <w:pStyle w:val="SingleTxtG"/>
        <w:ind w:left="2268" w:hanging="1134"/>
        <w:rPr>
          <w:lang w:val="fr-FR"/>
        </w:rPr>
      </w:pPr>
      <w:r w:rsidRPr="00A779B8">
        <w:rPr>
          <w:lang w:val="fr-FR"/>
        </w:rPr>
        <w:t>4.2.5</w:t>
      </w:r>
      <w:r w:rsidRPr="00A779B8">
        <w:rPr>
          <w:lang w:val="fr-FR"/>
        </w:rPr>
        <w:tab/>
        <w:t>La pression des pneus des roues motrices doit être réglée conformément aux dispositions du paragraphe 6.2.3 de l</w:t>
      </w:r>
      <w:r w:rsidR="00DB4C2D">
        <w:rPr>
          <w:lang w:val="fr-FR"/>
        </w:rPr>
        <w:t>’</w:t>
      </w:r>
      <w:r w:rsidRPr="00A779B8">
        <w:rPr>
          <w:lang w:val="fr-FR"/>
        </w:rPr>
        <w:t>annexe 4a du présent Règlement.</w:t>
      </w:r>
    </w:p>
    <w:p w:rsidR="007C3C08" w:rsidRPr="00A779B8" w:rsidRDefault="007C3C08" w:rsidP="007C3C08">
      <w:pPr>
        <w:pStyle w:val="SingleTxtG"/>
        <w:ind w:left="2268" w:hanging="1134"/>
        <w:rPr>
          <w:lang w:val="fr-FR"/>
        </w:rPr>
      </w:pPr>
      <w:r w:rsidRPr="00A779B8">
        <w:rPr>
          <w:lang w:val="fr-FR"/>
        </w:rPr>
        <w:t>4.2.6</w:t>
      </w:r>
      <w:r w:rsidRPr="00A779B8">
        <w:rPr>
          <w:lang w:val="fr-FR"/>
        </w:rPr>
        <w:tab/>
        <w:t xml:space="preserve">Dans les 10 min suivant la fin du </w:t>
      </w:r>
      <w:proofErr w:type="spellStart"/>
      <w:r w:rsidRPr="00A779B8">
        <w:rPr>
          <w:lang w:val="fr-FR"/>
        </w:rPr>
        <w:t>préconditionnement</w:t>
      </w:r>
      <w:proofErr w:type="spellEnd"/>
      <w:r w:rsidRPr="00A779B8">
        <w:rPr>
          <w:lang w:val="fr-FR"/>
        </w:rPr>
        <w:t>, le moteur du véhicule doit être éteint.</w:t>
      </w:r>
    </w:p>
    <w:p w:rsidR="007C3C08" w:rsidRPr="00A779B8" w:rsidRDefault="007C3C08" w:rsidP="007C3C08">
      <w:pPr>
        <w:pStyle w:val="SingleTxtG"/>
        <w:ind w:left="2268" w:hanging="1134"/>
        <w:rPr>
          <w:lang w:val="fr-FR"/>
        </w:rPr>
      </w:pPr>
      <w:r w:rsidRPr="00A779B8">
        <w:rPr>
          <w:lang w:val="fr-FR"/>
        </w:rPr>
        <w:t>4.2.7</w:t>
      </w:r>
      <w:r w:rsidRPr="00A779B8">
        <w:rPr>
          <w:lang w:val="fr-FR"/>
        </w:rPr>
        <w:tab/>
        <w:t>Si le fabricant le demande et avec l</w:t>
      </w:r>
      <w:r w:rsidR="00DB4C2D">
        <w:rPr>
          <w:lang w:val="fr-FR"/>
        </w:rPr>
        <w:t>’</w:t>
      </w:r>
      <w:r w:rsidRPr="00A779B8">
        <w:rPr>
          <w:lang w:val="fr-FR"/>
        </w:rPr>
        <w:t xml:space="preserve">accord du service technique, un </w:t>
      </w:r>
      <w:proofErr w:type="spellStart"/>
      <w:r w:rsidRPr="00A779B8">
        <w:rPr>
          <w:lang w:val="fr-FR"/>
        </w:rPr>
        <w:t>préconditionnement</w:t>
      </w:r>
      <w:proofErr w:type="spellEnd"/>
      <w:r w:rsidRPr="00A779B8">
        <w:rPr>
          <w:lang w:val="fr-FR"/>
        </w:rPr>
        <w:t xml:space="preserve"> supplémentaire peut être autorisé à titre exceptionnel. Le service technique peut aussi décider de procéder à d</w:t>
      </w:r>
      <w:r w:rsidR="00DB4C2D">
        <w:rPr>
          <w:lang w:val="fr-FR"/>
        </w:rPr>
        <w:t>’</w:t>
      </w:r>
      <w:r w:rsidRPr="00A779B8">
        <w:rPr>
          <w:lang w:val="fr-FR"/>
        </w:rPr>
        <w:t xml:space="preserve">autres opérations de </w:t>
      </w:r>
      <w:proofErr w:type="spellStart"/>
      <w:r w:rsidRPr="00A779B8">
        <w:rPr>
          <w:lang w:val="fr-FR"/>
        </w:rPr>
        <w:t>préconditionnement</w:t>
      </w:r>
      <w:proofErr w:type="spellEnd"/>
      <w:r w:rsidRPr="00A779B8">
        <w:rPr>
          <w:lang w:val="fr-FR"/>
        </w:rPr>
        <w:t xml:space="preserve"> du véhicule, consistant en un ou plusieurs modules supplémentaires de conduite du cycle urbain (première partie) décrit au tableau A4a/1 et à la figure A4a/1 de l</w:t>
      </w:r>
      <w:r w:rsidR="00DB4C2D">
        <w:rPr>
          <w:lang w:val="fr-FR"/>
        </w:rPr>
        <w:t>’</w:t>
      </w:r>
      <w:r w:rsidRPr="00A779B8">
        <w:rPr>
          <w:lang w:val="fr-FR"/>
        </w:rPr>
        <w:t>annexe 4a du présent Règlement. Le procès-verbal d</w:t>
      </w:r>
      <w:r w:rsidR="00DB4C2D">
        <w:rPr>
          <w:lang w:val="fr-FR"/>
        </w:rPr>
        <w:t>’</w:t>
      </w:r>
      <w:r w:rsidRPr="00A779B8">
        <w:rPr>
          <w:lang w:val="fr-FR"/>
        </w:rPr>
        <w:t xml:space="preserve">essai doit indiquer quelles opérations supplémentaires de </w:t>
      </w:r>
      <w:proofErr w:type="spellStart"/>
      <w:r w:rsidRPr="00A779B8">
        <w:rPr>
          <w:lang w:val="fr-FR"/>
        </w:rPr>
        <w:t>préconditionnement</w:t>
      </w:r>
      <w:proofErr w:type="spellEnd"/>
      <w:r w:rsidRPr="00A779B8">
        <w:rPr>
          <w:lang w:val="fr-FR"/>
        </w:rPr>
        <w:t xml:space="preserve"> ont été utilisées.</w:t>
      </w:r>
    </w:p>
    <w:p w:rsidR="007C3C08" w:rsidRPr="00A779B8" w:rsidRDefault="007C3C08" w:rsidP="007C3C08">
      <w:pPr>
        <w:pStyle w:val="SingleTxtG"/>
        <w:keepNext/>
        <w:ind w:left="2268" w:hanging="1134"/>
        <w:jc w:val="left"/>
        <w:rPr>
          <w:lang w:val="fr-FR"/>
        </w:rPr>
      </w:pPr>
      <w:r w:rsidRPr="00A779B8">
        <w:rPr>
          <w:lang w:val="fr-FR"/>
        </w:rPr>
        <w:t>4.3</w:t>
      </w:r>
      <w:r w:rsidRPr="00A779B8">
        <w:rPr>
          <w:lang w:val="fr-FR"/>
        </w:rPr>
        <w:tab/>
        <w:t>Méthodes d</w:t>
      </w:r>
      <w:r w:rsidR="00DB4C2D">
        <w:rPr>
          <w:lang w:val="fr-FR"/>
        </w:rPr>
        <w:t>’</w:t>
      </w:r>
      <w:r w:rsidRPr="00A779B8">
        <w:rPr>
          <w:lang w:val="fr-FR"/>
        </w:rPr>
        <w:t>imprégnation</w:t>
      </w:r>
    </w:p>
    <w:p w:rsidR="007C3C08" w:rsidRPr="00A779B8" w:rsidRDefault="007C3C08" w:rsidP="007C3C08">
      <w:pPr>
        <w:pStyle w:val="SingleTxtG"/>
        <w:ind w:left="2268" w:hanging="1134"/>
        <w:rPr>
          <w:lang w:val="fr-FR"/>
        </w:rPr>
      </w:pPr>
      <w:r w:rsidRPr="00A779B8">
        <w:rPr>
          <w:lang w:val="fr-FR"/>
        </w:rPr>
        <w:t>4.3.1</w:t>
      </w:r>
      <w:r w:rsidRPr="00A779B8">
        <w:rPr>
          <w:lang w:val="fr-FR"/>
        </w:rPr>
        <w:tab/>
        <w:t>L</w:t>
      </w:r>
      <w:r w:rsidR="00DB4C2D">
        <w:rPr>
          <w:lang w:val="fr-FR"/>
        </w:rPr>
        <w:t>’</w:t>
      </w:r>
      <w:r w:rsidRPr="00A779B8">
        <w:rPr>
          <w:lang w:val="fr-FR"/>
        </w:rPr>
        <w:t>une des deux méthodes décrites ci-après, au choix du constructeur, doit être utilisée pour stabiliser le véhicule avant l</w:t>
      </w:r>
      <w:r w:rsidR="00DB4C2D">
        <w:rPr>
          <w:lang w:val="fr-FR"/>
        </w:rPr>
        <w:t>’</w:t>
      </w:r>
      <w:r w:rsidRPr="00A779B8">
        <w:rPr>
          <w:lang w:val="fr-FR"/>
        </w:rPr>
        <w:t>essai d</w:t>
      </w:r>
      <w:r w:rsidR="00DB4C2D">
        <w:rPr>
          <w:lang w:val="fr-FR"/>
        </w:rPr>
        <w:t>’</w:t>
      </w:r>
      <w:r w:rsidRPr="00A779B8">
        <w:rPr>
          <w:lang w:val="fr-FR"/>
        </w:rPr>
        <w:t>émissions.</w:t>
      </w:r>
    </w:p>
    <w:p w:rsidR="007C3C08" w:rsidRPr="00A779B8" w:rsidRDefault="007C3C08" w:rsidP="007C3C08">
      <w:pPr>
        <w:pStyle w:val="SingleTxtG"/>
        <w:keepNext/>
        <w:ind w:left="2268" w:hanging="1134"/>
        <w:jc w:val="left"/>
        <w:rPr>
          <w:lang w:val="fr-FR"/>
        </w:rPr>
      </w:pPr>
      <w:r w:rsidRPr="00A779B8">
        <w:rPr>
          <w:lang w:val="fr-FR"/>
        </w:rPr>
        <w:t>4.3.2</w:t>
      </w:r>
      <w:r w:rsidRPr="00A779B8">
        <w:rPr>
          <w:lang w:val="fr-FR"/>
        </w:rPr>
        <w:tab/>
        <w:t>Méthode standard</w:t>
      </w:r>
    </w:p>
    <w:p w:rsidR="007C3C08" w:rsidRPr="00A779B8" w:rsidRDefault="007C3C08" w:rsidP="007C3C08">
      <w:pPr>
        <w:pStyle w:val="SingleTxtG"/>
        <w:ind w:left="2268"/>
        <w:rPr>
          <w:lang w:val="fr-FR"/>
        </w:rPr>
      </w:pPr>
      <w:r w:rsidRPr="00A779B8">
        <w:rPr>
          <w:lang w:val="fr-FR"/>
        </w:rPr>
        <w:tab/>
        <w:t>Le véhicule doit être entreposé pendant une durée de 12 h au moins et de 36 h au plus avant l</w:t>
      </w:r>
      <w:r w:rsidR="00DB4C2D">
        <w:rPr>
          <w:lang w:val="fr-FR"/>
        </w:rPr>
        <w:t>’</w:t>
      </w:r>
      <w:r w:rsidRPr="00A779B8">
        <w:rPr>
          <w:lang w:val="fr-FR"/>
        </w:rPr>
        <w:t>essai des émissions à l</w:t>
      </w:r>
      <w:r w:rsidR="00DB4C2D">
        <w:rPr>
          <w:lang w:val="fr-FR"/>
        </w:rPr>
        <w:t>’</w:t>
      </w:r>
      <w:r w:rsidRPr="00A779B8">
        <w:rPr>
          <w:lang w:val="fr-FR"/>
        </w:rPr>
        <w:t>échappement à basse température ambiante. La température ambiante (thermomètre sec) pendant cette durée est maintenue à une moyenne de:</w:t>
      </w:r>
    </w:p>
    <w:p w:rsidR="007C3C08" w:rsidRPr="00A779B8" w:rsidRDefault="007C3C08" w:rsidP="007C3C08">
      <w:pPr>
        <w:pStyle w:val="SingleTxtG"/>
        <w:ind w:left="2268"/>
        <w:rPr>
          <w:lang w:val="fr-FR"/>
        </w:rPr>
      </w:pPr>
      <w:r w:rsidRPr="00A779B8">
        <w:rPr>
          <w:lang w:val="fr-FR"/>
        </w:rPr>
        <w:tab/>
        <w:t xml:space="preserve">266 K (-7 °C) </w:t>
      </w:r>
      <w:r w:rsidRPr="00A779B8">
        <w:rPr>
          <w:lang w:val="fr-FR"/>
        </w:rPr>
        <w:sym w:font="Symbol" w:char="F0B1"/>
      </w:r>
      <w:r w:rsidRPr="00A779B8">
        <w:rPr>
          <w:lang w:val="fr-FR"/>
        </w:rPr>
        <w:t xml:space="preserve"> 3 K calculée sur chaque heure de cette durée, et elle ne peut être inférieure à 260 K (-13 °C) ni supérieure à 272 K (-1 °C). En outre, la température ne peut descendre au-dessous de 263 K (-10 °C) ni dépasser 269 K (-4 °C) pendant plus de 3 min consécutives.</w:t>
      </w:r>
    </w:p>
    <w:p w:rsidR="007C3C08" w:rsidRPr="00A779B8" w:rsidRDefault="007C3C08" w:rsidP="007C3C08">
      <w:pPr>
        <w:pStyle w:val="SingleTxtG"/>
        <w:keepNext/>
        <w:ind w:left="2268" w:hanging="1134"/>
        <w:jc w:val="left"/>
        <w:rPr>
          <w:lang w:val="fr-FR"/>
        </w:rPr>
      </w:pPr>
      <w:r w:rsidRPr="00A779B8">
        <w:rPr>
          <w:lang w:val="fr-FR"/>
        </w:rPr>
        <w:t>4.3.3</w:t>
      </w:r>
      <w:r w:rsidRPr="00A779B8">
        <w:rPr>
          <w:lang w:val="fr-FR"/>
        </w:rPr>
        <w:tab/>
        <w:t>Méthode forcée</w:t>
      </w:r>
    </w:p>
    <w:p w:rsidR="007C3C08" w:rsidRPr="00A779B8" w:rsidRDefault="007C3C08" w:rsidP="007C3C08">
      <w:pPr>
        <w:pStyle w:val="SingleTxtG"/>
        <w:ind w:left="2268"/>
        <w:rPr>
          <w:lang w:val="fr-FR"/>
        </w:rPr>
      </w:pPr>
      <w:r w:rsidRPr="00A779B8">
        <w:rPr>
          <w:lang w:val="fr-FR"/>
        </w:rPr>
        <w:tab/>
        <w:t>Le véhicule doit être entreposé pendant 36 h au maximum avant l</w:t>
      </w:r>
      <w:r w:rsidR="00DB4C2D">
        <w:rPr>
          <w:lang w:val="fr-FR"/>
        </w:rPr>
        <w:t>’</w:t>
      </w:r>
      <w:r w:rsidRPr="00A779B8">
        <w:rPr>
          <w:lang w:val="fr-FR"/>
        </w:rPr>
        <w:t>essai des émissions à l</w:t>
      </w:r>
      <w:r w:rsidR="00DB4C2D">
        <w:rPr>
          <w:lang w:val="fr-FR"/>
        </w:rPr>
        <w:t>’</w:t>
      </w:r>
      <w:r w:rsidRPr="00A779B8">
        <w:rPr>
          <w:lang w:val="fr-FR"/>
        </w:rPr>
        <w:t>échappement à basse température ambiante.</w:t>
      </w:r>
    </w:p>
    <w:p w:rsidR="007C3C08" w:rsidRPr="00A779B8" w:rsidRDefault="007C3C08" w:rsidP="007C3C08">
      <w:pPr>
        <w:pStyle w:val="SingleTxtG"/>
        <w:ind w:left="2268" w:hanging="1134"/>
        <w:rPr>
          <w:lang w:val="fr-FR"/>
        </w:rPr>
      </w:pPr>
      <w:r w:rsidRPr="00A779B8">
        <w:rPr>
          <w:lang w:val="fr-FR"/>
        </w:rPr>
        <w:t>4.3.3.1</w:t>
      </w:r>
      <w:r w:rsidRPr="00A779B8">
        <w:rPr>
          <w:lang w:val="fr-FR"/>
        </w:rPr>
        <w:tab/>
        <w:t>Le véhicule ne peut être entreposé à une température ambiante supérieure à 303 K (30 °C) pendant cette période.</w:t>
      </w:r>
    </w:p>
    <w:p w:rsidR="007C3C08" w:rsidRPr="00A779B8" w:rsidRDefault="007C3C08" w:rsidP="007C3C08">
      <w:pPr>
        <w:pStyle w:val="SingleTxtG"/>
        <w:ind w:left="2268" w:hanging="1134"/>
        <w:rPr>
          <w:lang w:val="fr-FR"/>
        </w:rPr>
      </w:pPr>
      <w:r w:rsidRPr="00A779B8">
        <w:rPr>
          <w:lang w:val="fr-FR"/>
        </w:rPr>
        <w:t>4.3.3.2</w:t>
      </w:r>
      <w:r w:rsidRPr="00A779B8">
        <w:rPr>
          <w:lang w:val="fr-FR"/>
        </w:rPr>
        <w:tab/>
        <w:t>Le refroidissement du véhicule peut être effectué par refroidissement forcé du véhicule jusqu</w:t>
      </w:r>
      <w:r w:rsidR="00DB4C2D">
        <w:rPr>
          <w:lang w:val="fr-FR"/>
        </w:rPr>
        <w:t>’</w:t>
      </w:r>
      <w:r w:rsidRPr="00A779B8">
        <w:rPr>
          <w:lang w:val="fr-FR"/>
        </w:rPr>
        <w:t>à la température de l</w:t>
      </w:r>
      <w:r w:rsidR="00DB4C2D">
        <w:rPr>
          <w:lang w:val="fr-FR"/>
        </w:rPr>
        <w:t>’</w:t>
      </w:r>
      <w:r w:rsidRPr="00A779B8">
        <w:rPr>
          <w:lang w:val="fr-FR"/>
        </w:rPr>
        <w:t>essai. Si le refroidissement est accéléré par des ventilateurs, ils doivent être placés en position verticale de manière à diriger le refroidissement maximal sur le train et le moteur et non sur le carter. Aucun ventilateur ne doit être placé au-dessous du véhicule.</w:t>
      </w:r>
    </w:p>
    <w:p w:rsidR="007C3C08" w:rsidRPr="00A779B8" w:rsidRDefault="007C3C08" w:rsidP="007C3C08">
      <w:pPr>
        <w:pStyle w:val="SingleTxtG"/>
        <w:keepNext/>
        <w:ind w:left="2268" w:hanging="1134"/>
        <w:rPr>
          <w:lang w:val="fr-FR"/>
        </w:rPr>
      </w:pPr>
      <w:r w:rsidRPr="00A779B8">
        <w:rPr>
          <w:lang w:val="fr-FR"/>
        </w:rPr>
        <w:lastRenderedPageBreak/>
        <w:t>4.3.3.3</w:t>
      </w:r>
      <w:r w:rsidRPr="00A779B8">
        <w:rPr>
          <w:lang w:val="fr-FR"/>
        </w:rPr>
        <w:tab/>
      </w:r>
      <w:r w:rsidRPr="00A779B8">
        <w:rPr>
          <w:spacing w:val="-1"/>
          <w:lang w:val="fr-FR"/>
        </w:rPr>
        <w:t>La température ambiante ne doit être vérifiée de manière rigoureuse qu</w:t>
      </w:r>
      <w:r w:rsidR="00DB4C2D">
        <w:rPr>
          <w:spacing w:val="-1"/>
          <w:lang w:val="fr-FR"/>
        </w:rPr>
        <w:t>’</w:t>
      </w:r>
      <w:r w:rsidRPr="00A779B8">
        <w:rPr>
          <w:spacing w:val="-1"/>
          <w:lang w:val="fr-FR"/>
        </w:rPr>
        <w:t xml:space="preserve">après le refroidissement du véhicule à une température de 266 K (-7 °C) </w:t>
      </w:r>
      <w:r w:rsidRPr="00A779B8">
        <w:rPr>
          <w:spacing w:val="-1"/>
          <w:lang w:val="fr-FR"/>
        </w:rPr>
        <w:sym w:font="Symbol" w:char="F0B1"/>
      </w:r>
      <w:r w:rsidRPr="00A779B8">
        <w:rPr>
          <w:spacing w:val="-1"/>
          <w:lang w:val="fr-FR"/>
        </w:rPr>
        <w:t xml:space="preserve"> 2 K, telle que définie par la mesure de la température représentative de l</w:t>
      </w:r>
      <w:r w:rsidR="00DB4C2D">
        <w:rPr>
          <w:spacing w:val="-1"/>
          <w:lang w:val="fr-FR"/>
        </w:rPr>
        <w:t>’</w:t>
      </w:r>
      <w:r w:rsidRPr="00A779B8">
        <w:rPr>
          <w:spacing w:val="-1"/>
          <w:lang w:val="fr-FR"/>
        </w:rPr>
        <w:t>huile moteur.</w:t>
      </w:r>
    </w:p>
    <w:p w:rsidR="007C3C08" w:rsidRPr="00A779B8" w:rsidRDefault="007C3C08" w:rsidP="007C3C08">
      <w:pPr>
        <w:pStyle w:val="SingleTxtG"/>
        <w:ind w:left="2268"/>
        <w:rPr>
          <w:lang w:val="fr-FR"/>
        </w:rPr>
      </w:pPr>
      <w:r w:rsidRPr="00A779B8">
        <w:rPr>
          <w:lang w:val="fr-FR"/>
        </w:rPr>
        <w:tab/>
        <w:t>La température représentative de l</w:t>
      </w:r>
      <w:r w:rsidR="00DB4C2D">
        <w:rPr>
          <w:lang w:val="fr-FR"/>
        </w:rPr>
        <w:t>’</w:t>
      </w:r>
      <w:r w:rsidRPr="00A779B8">
        <w:rPr>
          <w:lang w:val="fr-FR"/>
        </w:rPr>
        <w:t>huile moteur est la température de l</w:t>
      </w:r>
      <w:r w:rsidR="00DB4C2D">
        <w:rPr>
          <w:lang w:val="fr-FR"/>
        </w:rPr>
        <w:t>’</w:t>
      </w:r>
      <w:r w:rsidRPr="00A779B8">
        <w:rPr>
          <w:lang w:val="fr-FR"/>
        </w:rPr>
        <w:t>huile mesurée près du centre du carter et non en surface ou au fond du carter. Si la mesure est réalisée en plusieurs endroits différents dans l</w:t>
      </w:r>
      <w:r w:rsidR="00DB4C2D">
        <w:rPr>
          <w:lang w:val="fr-FR"/>
        </w:rPr>
        <w:t>’</w:t>
      </w:r>
      <w:r w:rsidRPr="00A779B8">
        <w:rPr>
          <w:lang w:val="fr-FR"/>
        </w:rPr>
        <w:t>huile, toutes les mesures doivent satisfaire aux prescriptions relatives à la température.</w:t>
      </w:r>
    </w:p>
    <w:p w:rsidR="007C3C08" w:rsidRPr="00A779B8" w:rsidRDefault="007C3C08" w:rsidP="007C3C08">
      <w:pPr>
        <w:pStyle w:val="SingleTxtG"/>
        <w:ind w:left="2268" w:hanging="1134"/>
        <w:rPr>
          <w:lang w:val="fr-FR"/>
        </w:rPr>
      </w:pPr>
      <w:r w:rsidRPr="00A779B8">
        <w:rPr>
          <w:lang w:val="fr-FR"/>
        </w:rPr>
        <w:t>4.3.3.4</w:t>
      </w:r>
      <w:r w:rsidRPr="00A779B8">
        <w:rPr>
          <w:lang w:val="fr-FR"/>
        </w:rPr>
        <w:tab/>
        <w:t xml:space="preserve">Le véhicule doit être entreposé pendant 1 h au moins après avoir été refroidi à une température de 266 K (-7 °C) </w:t>
      </w:r>
      <w:r w:rsidRPr="00A779B8">
        <w:rPr>
          <w:lang w:val="fr-FR"/>
        </w:rPr>
        <w:sym w:font="Symbol" w:char="F0B1"/>
      </w:r>
      <w:r w:rsidRPr="00A779B8">
        <w:rPr>
          <w:lang w:val="fr-FR"/>
        </w:rPr>
        <w:t xml:space="preserve"> 2 K, avant le contrôle des émissions à l</w:t>
      </w:r>
      <w:r w:rsidR="00DB4C2D">
        <w:rPr>
          <w:lang w:val="fr-FR"/>
        </w:rPr>
        <w:t>’</w:t>
      </w:r>
      <w:r w:rsidRPr="00A779B8">
        <w:rPr>
          <w:lang w:val="fr-FR"/>
        </w:rPr>
        <w:t>échappement à basse température ambiante. Au cours de cette période, la température ambiante (thermomètre sec) doit être en moyenne de 266 K (</w:t>
      </w:r>
      <w:r w:rsidRPr="00A779B8">
        <w:rPr>
          <w:lang w:val="fr-FR"/>
        </w:rPr>
        <w:noBreakHyphen/>
        <w:t>7 °C) </w:t>
      </w:r>
      <w:r w:rsidRPr="00A779B8">
        <w:rPr>
          <w:lang w:val="fr-FR"/>
        </w:rPr>
        <w:sym w:font="Symbol" w:char="F0B1"/>
      </w:r>
      <w:r w:rsidRPr="00A779B8">
        <w:rPr>
          <w:lang w:val="fr-FR"/>
        </w:rPr>
        <w:t> 3 K et ne doit être ni inférieure à 260 K (-13 °C) ni supérieure à 272 K -1 °C).</w:t>
      </w:r>
    </w:p>
    <w:p w:rsidR="007C3C08" w:rsidRPr="00A779B8" w:rsidRDefault="007C3C08" w:rsidP="007C3C08">
      <w:pPr>
        <w:pStyle w:val="SingleTxtG"/>
        <w:ind w:left="2268"/>
        <w:rPr>
          <w:lang w:val="fr-FR"/>
        </w:rPr>
      </w:pPr>
      <w:r w:rsidRPr="00A779B8">
        <w:rPr>
          <w:lang w:val="fr-FR"/>
        </w:rPr>
        <w:tab/>
        <w:t>En outre, la température ne doit être ni supérieure à 269 K (-4 °C) ni inférieure à 263 K (-10 °C) pendant plus de 3 min consécutives.</w:t>
      </w:r>
    </w:p>
    <w:p w:rsidR="007C3C08" w:rsidRPr="00A779B8" w:rsidRDefault="007C3C08" w:rsidP="007C3C08">
      <w:pPr>
        <w:pStyle w:val="SingleTxtG"/>
        <w:ind w:left="2268" w:hanging="1134"/>
        <w:rPr>
          <w:lang w:val="fr-FR"/>
        </w:rPr>
      </w:pPr>
      <w:r w:rsidRPr="00A779B8">
        <w:rPr>
          <w:lang w:val="fr-FR"/>
        </w:rPr>
        <w:t>4.3.4</w:t>
      </w:r>
      <w:r w:rsidRPr="00A779B8">
        <w:rPr>
          <w:lang w:val="fr-FR"/>
        </w:rPr>
        <w:tab/>
        <w:t>Si le véhicule est stabilisé à 266 K (-7 °C), dans un environnement différent puis transite dans un environnement plus chaud pour entrer dans la chambre d</w:t>
      </w:r>
      <w:r w:rsidR="00DB4C2D">
        <w:rPr>
          <w:lang w:val="fr-FR"/>
        </w:rPr>
        <w:t>’</w:t>
      </w:r>
      <w:r w:rsidRPr="00A779B8">
        <w:rPr>
          <w:lang w:val="fr-FR"/>
        </w:rPr>
        <w:t xml:space="preserve">essai, il doit être </w:t>
      </w:r>
      <w:proofErr w:type="spellStart"/>
      <w:r w:rsidRPr="00A779B8">
        <w:rPr>
          <w:lang w:val="fr-FR"/>
        </w:rPr>
        <w:t>restabilisé</w:t>
      </w:r>
      <w:proofErr w:type="spellEnd"/>
      <w:r w:rsidRPr="00A779B8">
        <w:rPr>
          <w:lang w:val="fr-FR"/>
        </w:rPr>
        <w:t xml:space="preserve"> en chambre d</w:t>
      </w:r>
      <w:r w:rsidR="00DB4C2D">
        <w:rPr>
          <w:lang w:val="fr-FR"/>
        </w:rPr>
        <w:t>’</w:t>
      </w:r>
      <w:r w:rsidRPr="00A779B8">
        <w:rPr>
          <w:lang w:val="fr-FR"/>
        </w:rPr>
        <w:t>essai pendant une période au moins égale à six fois la période au cours de laquelle il a été exposé à une température supérieure. La température ambiante (thermomètre sec) au cours de cette période doit être en moyenne de 266 K (-7 °C) </w:t>
      </w:r>
      <w:r w:rsidRPr="00A779B8">
        <w:rPr>
          <w:lang w:val="fr-FR"/>
        </w:rPr>
        <w:sym w:font="Symbol" w:char="F0B1"/>
      </w:r>
      <w:r w:rsidRPr="00A779B8">
        <w:rPr>
          <w:lang w:val="fr-FR"/>
        </w:rPr>
        <w:t> 3 K et ne doit être ni inférieure à 260 K (-13 °C) ni supérieure à 272 K (-1 °C).</w:t>
      </w:r>
    </w:p>
    <w:p w:rsidR="007C3C08" w:rsidRPr="00A779B8" w:rsidRDefault="007C3C08" w:rsidP="007C3C08">
      <w:pPr>
        <w:pStyle w:val="SingleTxtG"/>
        <w:ind w:left="2268"/>
        <w:rPr>
          <w:lang w:val="fr-FR"/>
        </w:rPr>
      </w:pPr>
      <w:r w:rsidRPr="00A779B8">
        <w:rPr>
          <w:lang w:val="fr-FR"/>
        </w:rPr>
        <w:tab/>
        <w:t>En outre, la température ne doit pas être supérieure à 269 K (-4 °C) ou inférieure à 263 K (-10 °C) pendant plus de 3 min consécutives.</w:t>
      </w:r>
    </w:p>
    <w:p w:rsidR="007C3C08" w:rsidRPr="00A779B8" w:rsidRDefault="007C3C08" w:rsidP="007C3C08">
      <w:pPr>
        <w:pStyle w:val="SingleTxtG"/>
        <w:keepNext/>
        <w:ind w:left="2268" w:hanging="1134"/>
        <w:jc w:val="left"/>
        <w:rPr>
          <w:lang w:val="fr-FR"/>
        </w:rPr>
      </w:pPr>
      <w:r w:rsidRPr="00A779B8">
        <w:rPr>
          <w:lang w:val="fr-FR"/>
        </w:rPr>
        <w:t>5.</w:t>
      </w:r>
      <w:r w:rsidRPr="00A779B8">
        <w:rPr>
          <w:lang w:val="fr-FR"/>
        </w:rPr>
        <w:tab/>
        <w:t>Mode opératoire pour l</w:t>
      </w:r>
      <w:r w:rsidR="00DB4C2D">
        <w:rPr>
          <w:lang w:val="fr-FR"/>
        </w:rPr>
        <w:t>’</w:t>
      </w:r>
      <w:r w:rsidRPr="00A779B8">
        <w:rPr>
          <w:lang w:val="fr-FR"/>
        </w:rPr>
        <w:t>essai au banc</w:t>
      </w:r>
    </w:p>
    <w:p w:rsidR="007C3C08" w:rsidRPr="00A779B8" w:rsidRDefault="007C3C08" w:rsidP="007C3C08">
      <w:pPr>
        <w:pStyle w:val="SingleTxtG"/>
        <w:keepNext/>
        <w:ind w:left="2268" w:hanging="1134"/>
        <w:jc w:val="left"/>
        <w:rPr>
          <w:lang w:val="fr-FR"/>
        </w:rPr>
      </w:pPr>
      <w:r w:rsidRPr="00A779B8">
        <w:rPr>
          <w:lang w:val="fr-FR"/>
        </w:rPr>
        <w:t>5.1</w:t>
      </w:r>
      <w:r w:rsidRPr="00A779B8">
        <w:rPr>
          <w:lang w:val="fr-FR"/>
        </w:rPr>
        <w:tab/>
        <w:t>Résumé</w:t>
      </w:r>
    </w:p>
    <w:p w:rsidR="007C3C08" w:rsidRPr="00A779B8" w:rsidRDefault="007C3C08" w:rsidP="007C3C08">
      <w:pPr>
        <w:pStyle w:val="SingleTxtG"/>
        <w:ind w:left="2268" w:hanging="1134"/>
        <w:rPr>
          <w:lang w:val="fr-FR"/>
        </w:rPr>
      </w:pPr>
      <w:r w:rsidRPr="00A779B8">
        <w:rPr>
          <w:lang w:val="fr-FR"/>
        </w:rPr>
        <w:t>5.1.1</w:t>
      </w:r>
      <w:r w:rsidRPr="00A779B8">
        <w:rPr>
          <w:lang w:val="fr-FR"/>
        </w:rPr>
        <w:tab/>
        <w:t>La mesure des émissions est réalisée pendant un essai consistant en un cycle (première partie) (tableau A4a/1 et fig. A4a/1 de l</w:t>
      </w:r>
      <w:r w:rsidR="00DB4C2D">
        <w:rPr>
          <w:lang w:val="fr-FR"/>
        </w:rPr>
        <w:t>’</w:t>
      </w:r>
      <w:r w:rsidRPr="00A779B8">
        <w:rPr>
          <w:lang w:val="fr-FR"/>
        </w:rPr>
        <w:t>annexe 4a du présent Règlement). Démarrage du moteur, prélèvement immédiat des gaz, fonctionnement pendant la première partie du cycle et arrêt du moteur constituent un essai complet à basse température, d</w:t>
      </w:r>
      <w:r w:rsidR="00DB4C2D">
        <w:rPr>
          <w:lang w:val="fr-FR"/>
        </w:rPr>
        <w:t>’</w:t>
      </w:r>
      <w:r w:rsidRPr="00A779B8">
        <w:rPr>
          <w:lang w:val="fr-FR"/>
        </w:rPr>
        <w:t>une durée totale de 780 s. Les gaz d</w:t>
      </w:r>
      <w:r w:rsidR="00DB4C2D">
        <w:rPr>
          <w:lang w:val="fr-FR"/>
        </w:rPr>
        <w:t>’</w:t>
      </w:r>
      <w:r w:rsidRPr="00A779B8">
        <w:rPr>
          <w:lang w:val="fr-FR"/>
        </w:rPr>
        <w:t>échappement sont dilués avec de l</w:t>
      </w:r>
      <w:r w:rsidR="00DB4C2D">
        <w:rPr>
          <w:lang w:val="fr-FR"/>
        </w:rPr>
        <w:t>’</w:t>
      </w:r>
      <w:r w:rsidRPr="00A779B8">
        <w:rPr>
          <w:lang w:val="fr-FR"/>
        </w:rPr>
        <w:t>air ambiant et un échantillon proportionnel continu est prélevé pour analyse. Les gaz prélevés dans les sacs sont analysés pour déterminer la quantité de monoxyde de carbone, de dioxyde de carbone et d</w:t>
      </w:r>
      <w:r w:rsidR="00DB4C2D">
        <w:rPr>
          <w:lang w:val="fr-FR"/>
        </w:rPr>
        <w:t>’</w:t>
      </w:r>
      <w:r w:rsidRPr="00A779B8">
        <w:rPr>
          <w:lang w:val="fr-FR"/>
        </w:rPr>
        <w:t>hydrocarbures. Un échantillon parallèle de l</w:t>
      </w:r>
      <w:r w:rsidR="00DB4C2D">
        <w:rPr>
          <w:lang w:val="fr-FR"/>
        </w:rPr>
        <w:t>’</w:t>
      </w:r>
      <w:r w:rsidRPr="00A779B8">
        <w:rPr>
          <w:lang w:val="fr-FR"/>
        </w:rPr>
        <w:t>air dilué est analysé pour mesurer le monoxyde de carbone, les hydrocarbures totaux et le dioxyde de carbone.</w:t>
      </w:r>
    </w:p>
    <w:p w:rsidR="007C3C08" w:rsidRPr="00A779B8" w:rsidRDefault="007C3C08" w:rsidP="007C3C08">
      <w:pPr>
        <w:pStyle w:val="SingleTxtG"/>
        <w:keepNext/>
        <w:ind w:left="2268" w:hanging="1134"/>
        <w:jc w:val="left"/>
        <w:rPr>
          <w:lang w:val="fr-FR"/>
        </w:rPr>
      </w:pPr>
      <w:r w:rsidRPr="00A779B8">
        <w:rPr>
          <w:lang w:val="fr-FR"/>
        </w:rPr>
        <w:t>5.2</w:t>
      </w:r>
      <w:r w:rsidRPr="00A779B8">
        <w:rPr>
          <w:lang w:val="fr-FR"/>
        </w:rPr>
        <w:tab/>
        <w:t>Fonctionnement du banc à rouleaux</w:t>
      </w:r>
    </w:p>
    <w:p w:rsidR="007C3C08" w:rsidRPr="00A779B8" w:rsidRDefault="007C3C08" w:rsidP="007C3C08">
      <w:pPr>
        <w:pStyle w:val="SingleTxtG"/>
        <w:keepNext/>
        <w:ind w:left="2268" w:hanging="1134"/>
        <w:jc w:val="left"/>
        <w:rPr>
          <w:lang w:val="fr-FR"/>
        </w:rPr>
      </w:pPr>
      <w:r w:rsidRPr="00A779B8">
        <w:rPr>
          <w:lang w:val="fr-FR"/>
        </w:rPr>
        <w:t>5.2.1</w:t>
      </w:r>
      <w:r w:rsidRPr="00A779B8">
        <w:rPr>
          <w:lang w:val="fr-FR"/>
        </w:rPr>
        <w:tab/>
        <w:t>Ventilateur de refroidissement</w:t>
      </w:r>
    </w:p>
    <w:p w:rsidR="007C3C08" w:rsidRPr="00A779B8" w:rsidRDefault="007C3C08" w:rsidP="007C3C08">
      <w:pPr>
        <w:pStyle w:val="SingleTxtG"/>
        <w:ind w:left="2268" w:hanging="1134"/>
        <w:rPr>
          <w:lang w:val="fr-FR"/>
        </w:rPr>
      </w:pPr>
      <w:r w:rsidRPr="00A779B8">
        <w:rPr>
          <w:lang w:val="fr-FR"/>
        </w:rPr>
        <w:t>5.2.1.1</w:t>
      </w:r>
      <w:r w:rsidRPr="00A779B8">
        <w:rPr>
          <w:lang w:val="fr-FR"/>
        </w:rPr>
        <w:tab/>
        <w:t>Un ventilateur de refroidissement est installé de façon à diriger l</w:t>
      </w:r>
      <w:r w:rsidR="00DB4C2D">
        <w:rPr>
          <w:lang w:val="fr-FR"/>
        </w:rPr>
        <w:t>’</w:t>
      </w:r>
      <w:r w:rsidRPr="00A779B8">
        <w:rPr>
          <w:lang w:val="fr-FR"/>
        </w:rPr>
        <w:t>air de refroidissement vers le radiateur (refroidissement de l</w:t>
      </w:r>
      <w:r w:rsidR="00DB4C2D">
        <w:rPr>
          <w:lang w:val="fr-FR"/>
        </w:rPr>
        <w:t>’</w:t>
      </w:r>
      <w:r w:rsidRPr="00A779B8">
        <w:rPr>
          <w:lang w:val="fr-FR"/>
        </w:rPr>
        <w:t>eau) ou vers la prise d</w:t>
      </w:r>
      <w:r w:rsidR="00DB4C2D">
        <w:rPr>
          <w:lang w:val="fr-FR"/>
        </w:rPr>
        <w:t>’</w:t>
      </w:r>
      <w:r w:rsidRPr="00A779B8">
        <w:rPr>
          <w:lang w:val="fr-FR"/>
        </w:rPr>
        <w:t>air (refroidissement de l</w:t>
      </w:r>
      <w:r w:rsidR="00DB4C2D">
        <w:rPr>
          <w:lang w:val="fr-FR"/>
        </w:rPr>
        <w:t>’</w:t>
      </w:r>
      <w:r w:rsidRPr="00A779B8">
        <w:rPr>
          <w:lang w:val="fr-FR"/>
        </w:rPr>
        <w:t>air) et vers le véhicule.</w:t>
      </w:r>
    </w:p>
    <w:p w:rsidR="007C3C08" w:rsidRPr="00A779B8" w:rsidRDefault="007C3C08" w:rsidP="007C3C08">
      <w:pPr>
        <w:pStyle w:val="SingleTxtG"/>
        <w:ind w:left="2268" w:hanging="1134"/>
        <w:rPr>
          <w:lang w:val="fr-FR"/>
        </w:rPr>
      </w:pPr>
      <w:r w:rsidRPr="00A779B8">
        <w:rPr>
          <w:lang w:val="fr-FR"/>
        </w:rPr>
        <w:t>5.2.1.2</w:t>
      </w:r>
      <w:r w:rsidRPr="00A779B8">
        <w:rPr>
          <w:lang w:val="fr-FR"/>
        </w:rPr>
        <w:tab/>
        <w:t>Dans le cas de véhicules équipés d</w:t>
      </w:r>
      <w:r w:rsidR="00DB4C2D">
        <w:rPr>
          <w:lang w:val="fr-FR"/>
        </w:rPr>
        <w:t>’</w:t>
      </w:r>
      <w:r w:rsidRPr="00A779B8">
        <w:rPr>
          <w:lang w:val="fr-FR"/>
        </w:rPr>
        <w:t>un moteur à l</w:t>
      </w:r>
      <w:r w:rsidR="00DB4C2D">
        <w:rPr>
          <w:lang w:val="fr-FR"/>
        </w:rPr>
        <w:t>’</w:t>
      </w:r>
      <w:r w:rsidRPr="00A779B8">
        <w:rPr>
          <w:lang w:val="fr-FR"/>
        </w:rPr>
        <w:t>avant, le ventilateur est installé devant le véhicule à moins de 300 </w:t>
      </w:r>
      <w:proofErr w:type="spellStart"/>
      <w:r w:rsidRPr="00A779B8">
        <w:rPr>
          <w:lang w:val="fr-FR"/>
        </w:rPr>
        <w:t>mm.</w:t>
      </w:r>
      <w:proofErr w:type="spellEnd"/>
      <w:r w:rsidRPr="00A779B8">
        <w:rPr>
          <w:lang w:val="fr-FR"/>
        </w:rPr>
        <w:t xml:space="preserve"> Dans le cas de véhicules équipés d</w:t>
      </w:r>
      <w:r w:rsidR="00DB4C2D">
        <w:rPr>
          <w:lang w:val="fr-FR"/>
        </w:rPr>
        <w:t>’</w:t>
      </w:r>
      <w:r w:rsidRPr="00A779B8">
        <w:rPr>
          <w:lang w:val="fr-FR"/>
        </w:rPr>
        <w:t>un moteur à l</w:t>
      </w:r>
      <w:r w:rsidR="00DB4C2D">
        <w:rPr>
          <w:lang w:val="fr-FR"/>
        </w:rPr>
        <w:t>’</w:t>
      </w:r>
      <w:r w:rsidRPr="00A779B8">
        <w:rPr>
          <w:lang w:val="fr-FR"/>
        </w:rPr>
        <w:t>arrière ou si la prescription susmentionnée est impossible à appliquer, le ventilateur est placé dans une position permettant d</w:t>
      </w:r>
      <w:r w:rsidR="00DB4C2D">
        <w:rPr>
          <w:lang w:val="fr-FR"/>
        </w:rPr>
        <w:t>’</w:t>
      </w:r>
      <w:r w:rsidRPr="00A779B8">
        <w:rPr>
          <w:lang w:val="fr-FR"/>
        </w:rPr>
        <w:t>envoyer suffisamment d</w:t>
      </w:r>
      <w:r w:rsidR="00DB4C2D">
        <w:rPr>
          <w:lang w:val="fr-FR"/>
        </w:rPr>
        <w:t>’</w:t>
      </w:r>
      <w:r w:rsidRPr="00A779B8">
        <w:rPr>
          <w:lang w:val="fr-FR"/>
        </w:rPr>
        <w:t>air pour refroidir le véhicule.</w:t>
      </w:r>
    </w:p>
    <w:p w:rsidR="007C3C08" w:rsidRPr="00A779B8" w:rsidRDefault="007C3C08" w:rsidP="007C3C08">
      <w:pPr>
        <w:pStyle w:val="SingleTxtG"/>
        <w:keepNext/>
        <w:spacing w:after="100"/>
        <w:ind w:left="2268" w:hanging="1134"/>
        <w:rPr>
          <w:lang w:val="fr-FR"/>
        </w:rPr>
      </w:pPr>
      <w:r w:rsidRPr="00A779B8">
        <w:rPr>
          <w:lang w:val="fr-FR"/>
        </w:rPr>
        <w:lastRenderedPageBreak/>
        <w:t>5.2.1.3</w:t>
      </w:r>
      <w:r w:rsidRPr="00A779B8">
        <w:rPr>
          <w:lang w:val="fr-FR"/>
        </w:rPr>
        <w:tab/>
        <w:t>La vitesse du ventilateur doit être telle que, dans la fourchette de fonctionnement de 10 km/h à au moins 50 km/h, la vitesse linéaire de l</w:t>
      </w:r>
      <w:r w:rsidR="00DB4C2D">
        <w:rPr>
          <w:lang w:val="fr-FR"/>
        </w:rPr>
        <w:t>’</w:t>
      </w:r>
      <w:r w:rsidRPr="00A779B8">
        <w:rPr>
          <w:lang w:val="fr-FR"/>
        </w:rPr>
        <w:t>air à la sortie soufflante soit, à 5 km/h près, égale à la vitesse correspondante des rouleaux. Pour le choix final de la soufflerie, on retiendra les caractéristiques suivantes:</w:t>
      </w:r>
    </w:p>
    <w:p w:rsidR="007C3C08" w:rsidRPr="00A779B8" w:rsidRDefault="007C3C08" w:rsidP="007C3C08">
      <w:pPr>
        <w:pStyle w:val="SingleTxtG"/>
        <w:spacing w:after="100"/>
        <w:ind w:left="2268"/>
        <w:rPr>
          <w:lang w:val="fr-FR"/>
        </w:rPr>
      </w:pPr>
      <w:r w:rsidRPr="00A779B8">
        <w:rPr>
          <w:lang w:val="fr-FR"/>
        </w:rPr>
        <w:tab/>
        <w:t>a)</w:t>
      </w:r>
      <w:r w:rsidRPr="00A779B8">
        <w:rPr>
          <w:lang w:val="fr-FR"/>
        </w:rPr>
        <w:tab/>
        <w:t>Surface: au moins 0,2 m</w:t>
      </w:r>
      <w:r w:rsidRPr="00A779B8">
        <w:rPr>
          <w:vertAlign w:val="superscript"/>
          <w:lang w:val="fr-FR"/>
        </w:rPr>
        <w:t>2</w:t>
      </w:r>
      <w:r w:rsidRPr="00A779B8">
        <w:rPr>
          <w:lang w:val="fr-FR"/>
        </w:rPr>
        <w:t>;</w:t>
      </w:r>
    </w:p>
    <w:p w:rsidR="007C3C08" w:rsidRPr="00A779B8" w:rsidRDefault="007C3C08" w:rsidP="007C3C08">
      <w:pPr>
        <w:pStyle w:val="SingleTxtG"/>
        <w:spacing w:after="100"/>
        <w:ind w:left="2268"/>
        <w:rPr>
          <w:lang w:val="fr-FR"/>
        </w:rPr>
      </w:pPr>
      <w:r w:rsidRPr="00A779B8">
        <w:rPr>
          <w:lang w:val="fr-FR"/>
        </w:rPr>
        <w:tab/>
        <w:t>b)</w:t>
      </w:r>
      <w:r w:rsidRPr="00A779B8">
        <w:rPr>
          <w:lang w:val="fr-FR"/>
        </w:rPr>
        <w:tab/>
        <w:t>Hauteur du bord inférieur par rapport au sol: environ 20 cm.</w:t>
      </w:r>
    </w:p>
    <w:p w:rsidR="007C3C08" w:rsidRPr="00A779B8" w:rsidRDefault="007C3C08" w:rsidP="007C3C08">
      <w:pPr>
        <w:pStyle w:val="SingleTxtG"/>
        <w:spacing w:after="100"/>
        <w:ind w:left="2268"/>
        <w:rPr>
          <w:lang w:val="fr-FR"/>
        </w:rPr>
      </w:pPr>
      <w:r w:rsidRPr="00A779B8">
        <w:rPr>
          <w:lang w:val="fr-FR"/>
        </w:rPr>
        <w:tab/>
        <w:t>Une autre possibilité consiste à fixer une vitesse du ventilateur d</w:t>
      </w:r>
      <w:r w:rsidR="00DB4C2D">
        <w:rPr>
          <w:lang w:val="fr-FR"/>
        </w:rPr>
        <w:t>’</w:t>
      </w:r>
      <w:r w:rsidRPr="00A779B8">
        <w:rPr>
          <w:lang w:val="fr-FR"/>
        </w:rPr>
        <w:t>au moins 6 m/s (21,6 km/h). À la demande du fabricant, la hauteur du ventilateur de refroidissement peut être modifiée pour des véhicules spéciaux (par exemple fourgons, véhicules tout-terrain).</w:t>
      </w:r>
    </w:p>
    <w:p w:rsidR="007C3C08" w:rsidRPr="00A779B8" w:rsidRDefault="007C3C08" w:rsidP="007C3C08">
      <w:pPr>
        <w:pStyle w:val="SingleTxtG"/>
        <w:spacing w:after="100"/>
        <w:ind w:left="2268" w:hanging="1134"/>
        <w:rPr>
          <w:lang w:val="fr-FR"/>
        </w:rPr>
      </w:pPr>
      <w:r w:rsidRPr="00A779B8">
        <w:rPr>
          <w:lang w:val="fr-FR"/>
        </w:rPr>
        <w:t>5.2.1.4</w:t>
      </w:r>
      <w:r w:rsidRPr="00A779B8">
        <w:rPr>
          <w:lang w:val="fr-FR"/>
        </w:rPr>
        <w:tab/>
        <w:t>La vitesse du véhicule doit être mesurée d</w:t>
      </w:r>
      <w:r w:rsidR="00DB4C2D">
        <w:rPr>
          <w:lang w:val="fr-FR"/>
        </w:rPr>
        <w:t>’</w:t>
      </w:r>
      <w:r w:rsidRPr="00A779B8">
        <w:rPr>
          <w:lang w:val="fr-FR"/>
        </w:rPr>
        <w:t>après la vitesse de rotation du ou des rouleaux du banc d</w:t>
      </w:r>
      <w:r w:rsidR="00DB4C2D">
        <w:rPr>
          <w:lang w:val="fr-FR"/>
        </w:rPr>
        <w:t>’</w:t>
      </w:r>
      <w:r w:rsidRPr="00A779B8">
        <w:rPr>
          <w:lang w:val="fr-FR"/>
        </w:rPr>
        <w:t>essai (par. 1.2.6 de l</w:t>
      </w:r>
      <w:r w:rsidR="00DB4C2D">
        <w:rPr>
          <w:lang w:val="fr-FR"/>
        </w:rPr>
        <w:t>’</w:t>
      </w:r>
      <w:r w:rsidRPr="00A779B8">
        <w:rPr>
          <w:lang w:val="fr-FR"/>
        </w:rPr>
        <w:t>appendice 1 de l</w:t>
      </w:r>
      <w:r w:rsidR="00DB4C2D">
        <w:rPr>
          <w:lang w:val="fr-FR"/>
        </w:rPr>
        <w:t>’</w:t>
      </w:r>
      <w:r w:rsidRPr="00A779B8">
        <w:rPr>
          <w:lang w:val="fr-FR"/>
        </w:rPr>
        <w:t>annexe 4a du présent Règlement).</w:t>
      </w:r>
    </w:p>
    <w:p w:rsidR="007C3C08" w:rsidRPr="00A779B8" w:rsidRDefault="007C3C08" w:rsidP="007C3C08">
      <w:pPr>
        <w:pStyle w:val="SingleTxtG"/>
        <w:spacing w:after="100"/>
        <w:ind w:left="2268" w:hanging="1134"/>
        <w:rPr>
          <w:lang w:val="fr-FR"/>
        </w:rPr>
      </w:pPr>
      <w:r w:rsidRPr="00A779B8">
        <w:rPr>
          <w:lang w:val="fr-FR"/>
        </w:rPr>
        <w:t>5.2.2</w:t>
      </w:r>
      <w:r w:rsidRPr="00A779B8">
        <w:rPr>
          <w:lang w:val="fr-FR"/>
        </w:rPr>
        <w:tab/>
      </w:r>
      <w:r w:rsidRPr="00657C94">
        <w:rPr>
          <w:lang w:val="fr-FR"/>
        </w:rPr>
        <w:t>Réservé</w:t>
      </w:r>
    </w:p>
    <w:p w:rsidR="007C3C08" w:rsidRPr="00A779B8" w:rsidRDefault="007C3C08" w:rsidP="007C3C08">
      <w:pPr>
        <w:pStyle w:val="SingleTxtG"/>
        <w:spacing w:after="100"/>
        <w:ind w:left="2268" w:hanging="1134"/>
        <w:rPr>
          <w:lang w:val="fr-FR"/>
        </w:rPr>
      </w:pPr>
      <w:r w:rsidRPr="00A779B8">
        <w:rPr>
          <w:lang w:val="fr-FR"/>
        </w:rPr>
        <w:t>5.2.3</w:t>
      </w:r>
      <w:r w:rsidRPr="00A779B8">
        <w:rPr>
          <w:lang w:val="fr-FR"/>
        </w:rPr>
        <w:tab/>
        <w:t>Des cycles d</w:t>
      </w:r>
      <w:r w:rsidR="00DB4C2D">
        <w:rPr>
          <w:lang w:val="fr-FR"/>
        </w:rPr>
        <w:t>’</w:t>
      </w:r>
      <w:r w:rsidRPr="00A779B8">
        <w:rPr>
          <w:lang w:val="fr-FR"/>
        </w:rPr>
        <w:t>essai préliminaires peuvent, au besoin, être réalisés pour déterminer la meilleure manière d</w:t>
      </w:r>
      <w:r w:rsidR="00DB4C2D">
        <w:rPr>
          <w:lang w:val="fr-FR"/>
        </w:rPr>
        <w:t>’</w:t>
      </w:r>
      <w:r w:rsidRPr="00A779B8">
        <w:rPr>
          <w:lang w:val="fr-FR"/>
        </w:rPr>
        <w:t>agir sur les commandes d</w:t>
      </w:r>
      <w:r w:rsidR="00DB4C2D">
        <w:rPr>
          <w:lang w:val="fr-FR"/>
        </w:rPr>
        <w:t>’</w:t>
      </w:r>
      <w:r w:rsidRPr="00A779B8">
        <w:rPr>
          <w:lang w:val="fr-FR"/>
        </w:rPr>
        <w:t>accélération et de freinage pour obtenir un cycle proche du cycle théorique dans les limites prescrites, ou pour permettre le réglage du système de prélèvement. Ce type de conduite doit être réalisé avant la phase «DÉBUT» indiquée à la figure A8/1.</w:t>
      </w:r>
    </w:p>
    <w:p w:rsidR="007C3C08" w:rsidRPr="00A779B8" w:rsidRDefault="007C3C08" w:rsidP="007C3C08">
      <w:pPr>
        <w:pStyle w:val="SingleTxtG"/>
        <w:spacing w:after="100"/>
        <w:ind w:left="2268" w:hanging="1134"/>
        <w:rPr>
          <w:lang w:val="fr-FR"/>
        </w:rPr>
      </w:pPr>
      <w:r w:rsidRPr="00A779B8">
        <w:rPr>
          <w:lang w:val="fr-FR"/>
        </w:rPr>
        <w:t>5.2.4</w:t>
      </w:r>
      <w:r w:rsidRPr="00A779B8">
        <w:rPr>
          <w:lang w:val="fr-FR"/>
        </w:rPr>
        <w:tab/>
        <w:t>L</w:t>
      </w:r>
      <w:r w:rsidR="00DB4C2D">
        <w:rPr>
          <w:lang w:val="fr-FR"/>
        </w:rPr>
        <w:t>’</w:t>
      </w:r>
      <w:r w:rsidRPr="00A779B8">
        <w:rPr>
          <w:lang w:val="fr-FR"/>
        </w:rPr>
        <w:t>humidité de l</w:t>
      </w:r>
      <w:r w:rsidR="00DB4C2D">
        <w:rPr>
          <w:lang w:val="fr-FR"/>
        </w:rPr>
        <w:t>’</w:t>
      </w:r>
      <w:r w:rsidRPr="00A779B8">
        <w:rPr>
          <w:lang w:val="fr-FR"/>
        </w:rPr>
        <w:t>air doit être maintenue à un niveau suffisamment faible pour éviter toute condensation sur les rouleaux du banc d</w:t>
      </w:r>
      <w:r w:rsidR="00DB4C2D">
        <w:rPr>
          <w:lang w:val="fr-FR"/>
        </w:rPr>
        <w:t>’</w:t>
      </w:r>
      <w:r w:rsidRPr="00A779B8">
        <w:rPr>
          <w:lang w:val="fr-FR"/>
        </w:rPr>
        <w:t>essai.</w:t>
      </w:r>
    </w:p>
    <w:p w:rsidR="007C3C08" w:rsidRPr="00A779B8" w:rsidRDefault="007C3C08" w:rsidP="007C3C08">
      <w:pPr>
        <w:pStyle w:val="SingleTxtG"/>
        <w:spacing w:after="100"/>
        <w:ind w:left="2268" w:hanging="1134"/>
        <w:rPr>
          <w:lang w:val="fr-FR"/>
        </w:rPr>
      </w:pPr>
      <w:r w:rsidRPr="00A779B8">
        <w:rPr>
          <w:lang w:val="fr-FR"/>
        </w:rPr>
        <w:t>5.2.5</w:t>
      </w:r>
      <w:r w:rsidRPr="00A779B8">
        <w:rPr>
          <w:lang w:val="fr-FR"/>
        </w:rPr>
        <w:tab/>
        <w:t xml:space="preserve">Le banc à rouleaux doit être </w:t>
      </w:r>
      <w:proofErr w:type="spellStart"/>
      <w:r w:rsidRPr="00A779B8">
        <w:rPr>
          <w:lang w:val="fr-FR"/>
        </w:rPr>
        <w:t>complètement</w:t>
      </w:r>
      <w:proofErr w:type="spellEnd"/>
      <w:r w:rsidRPr="00A779B8">
        <w:rPr>
          <w:lang w:val="fr-FR"/>
        </w:rPr>
        <w:t xml:space="preserve"> chauffé, conformément aux instructions du constructeur du banc d</w:t>
      </w:r>
      <w:r w:rsidR="00DB4C2D">
        <w:rPr>
          <w:lang w:val="fr-FR"/>
        </w:rPr>
        <w:t>’</w:t>
      </w:r>
      <w:r w:rsidRPr="00A779B8">
        <w:rPr>
          <w:lang w:val="fr-FR"/>
        </w:rPr>
        <w:t>essai, et des procédures et méthodes de contrôle doivent être utilisées pour garantir la stabilité de l</w:t>
      </w:r>
      <w:r w:rsidR="00DB4C2D">
        <w:rPr>
          <w:lang w:val="fr-FR"/>
        </w:rPr>
        <w:t>’</w:t>
      </w:r>
      <w:r w:rsidRPr="00A779B8">
        <w:rPr>
          <w:lang w:val="fr-FR"/>
        </w:rPr>
        <w:t>adhérence résiduelle.</w:t>
      </w:r>
    </w:p>
    <w:p w:rsidR="007C3C08" w:rsidRPr="00A779B8" w:rsidRDefault="007C3C08" w:rsidP="007C3C08">
      <w:pPr>
        <w:pStyle w:val="SingleTxtG"/>
        <w:spacing w:after="100"/>
        <w:ind w:left="2268" w:hanging="1134"/>
        <w:rPr>
          <w:lang w:val="fr-FR"/>
        </w:rPr>
      </w:pPr>
      <w:r w:rsidRPr="00A779B8">
        <w:rPr>
          <w:lang w:val="fr-FR"/>
        </w:rPr>
        <w:t>5.2.6</w:t>
      </w:r>
      <w:r w:rsidRPr="00A779B8">
        <w:rPr>
          <w:lang w:val="fr-FR"/>
        </w:rPr>
        <w:tab/>
        <w:t>L</w:t>
      </w:r>
      <w:r w:rsidR="00DB4C2D">
        <w:rPr>
          <w:lang w:val="fr-FR"/>
        </w:rPr>
        <w:t>’</w:t>
      </w:r>
      <w:r w:rsidRPr="00A779B8">
        <w:rPr>
          <w:lang w:val="fr-FR"/>
        </w:rPr>
        <w:t>intervalle de temps entre l</w:t>
      </w:r>
      <w:r w:rsidR="00DB4C2D">
        <w:rPr>
          <w:lang w:val="fr-FR"/>
        </w:rPr>
        <w:t>’</w:t>
      </w:r>
      <w:r w:rsidRPr="00A779B8">
        <w:rPr>
          <w:lang w:val="fr-FR"/>
        </w:rPr>
        <w:t>échauffement du banc à rouleaux et le commencement du contrôle des gaz d</w:t>
      </w:r>
      <w:r w:rsidR="00DB4C2D">
        <w:rPr>
          <w:lang w:val="fr-FR"/>
        </w:rPr>
        <w:t>’</w:t>
      </w:r>
      <w:r w:rsidRPr="00A779B8">
        <w:rPr>
          <w:lang w:val="fr-FR"/>
        </w:rPr>
        <w:t>échappement ne doit pas être supérieur à 10 min si le banc d</w:t>
      </w:r>
      <w:r w:rsidR="00DB4C2D">
        <w:rPr>
          <w:lang w:val="fr-FR"/>
        </w:rPr>
        <w:t>’</w:t>
      </w:r>
      <w:r w:rsidRPr="00A779B8">
        <w:rPr>
          <w:lang w:val="fr-FR"/>
        </w:rPr>
        <w:t>essai n</w:t>
      </w:r>
      <w:r w:rsidR="00DB4C2D">
        <w:rPr>
          <w:lang w:val="fr-FR"/>
        </w:rPr>
        <w:t>’</w:t>
      </w:r>
      <w:r w:rsidRPr="00A779B8">
        <w:rPr>
          <w:lang w:val="fr-FR"/>
        </w:rPr>
        <w:t>est pas doté d</w:t>
      </w:r>
      <w:r w:rsidR="00DB4C2D">
        <w:rPr>
          <w:lang w:val="fr-FR"/>
        </w:rPr>
        <w:t>’</w:t>
      </w:r>
      <w:r w:rsidRPr="00A779B8">
        <w:rPr>
          <w:lang w:val="fr-FR"/>
        </w:rPr>
        <w:t>un dispositif de chauffage indépendant. Si le banc d</w:t>
      </w:r>
      <w:r w:rsidR="00DB4C2D">
        <w:rPr>
          <w:lang w:val="fr-FR"/>
        </w:rPr>
        <w:t>’</w:t>
      </w:r>
      <w:r w:rsidRPr="00A779B8">
        <w:rPr>
          <w:lang w:val="fr-FR"/>
        </w:rPr>
        <w:t>essai est doté d</w:t>
      </w:r>
      <w:r w:rsidR="00DB4C2D">
        <w:rPr>
          <w:lang w:val="fr-FR"/>
        </w:rPr>
        <w:t>’</w:t>
      </w:r>
      <w:r w:rsidRPr="00A779B8">
        <w:rPr>
          <w:lang w:val="fr-FR"/>
        </w:rPr>
        <w:t>un dispositif de chauffage indépendant, le contrôle des émissions ne doit pas commencer plus de 20 min après 1</w:t>
      </w:r>
      <w:r w:rsidR="00DB4C2D">
        <w:rPr>
          <w:lang w:val="fr-FR"/>
        </w:rPr>
        <w:t>’</w:t>
      </w:r>
      <w:r w:rsidRPr="00A779B8">
        <w:rPr>
          <w:lang w:val="fr-FR"/>
        </w:rPr>
        <w:t>échauffement du banc d</w:t>
      </w:r>
      <w:r w:rsidR="00DB4C2D">
        <w:rPr>
          <w:lang w:val="fr-FR"/>
        </w:rPr>
        <w:t>’</w:t>
      </w:r>
      <w:r w:rsidRPr="00A779B8">
        <w:rPr>
          <w:lang w:val="fr-FR"/>
        </w:rPr>
        <w:t>essai.</w:t>
      </w:r>
    </w:p>
    <w:p w:rsidR="007C3C08" w:rsidRPr="00A779B8" w:rsidRDefault="007C3C08" w:rsidP="007C3C08">
      <w:pPr>
        <w:pStyle w:val="SingleTxtG"/>
        <w:spacing w:after="100"/>
        <w:ind w:left="2268" w:hanging="1134"/>
        <w:rPr>
          <w:lang w:val="fr-FR"/>
        </w:rPr>
      </w:pPr>
      <w:r w:rsidRPr="00A779B8">
        <w:rPr>
          <w:lang w:val="fr-FR"/>
        </w:rPr>
        <w:t>5.2.7</w:t>
      </w:r>
      <w:r w:rsidRPr="00A779B8">
        <w:rPr>
          <w:lang w:val="fr-FR"/>
        </w:rPr>
        <w:tab/>
        <w:t>Si la puissance du banc à rouleaux doit faire l</w:t>
      </w:r>
      <w:r w:rsidR="00DB4C2D">
        <w:rPr>
          <w:lang w:val="fr-FR"/>
        </w:rPr>
        <w:t>’</w:t>
      </w:r>
      <w:r w:rsidRPr="00A779B8">
        <w:rPr>
          <w:lang w:val="fr-FR"/>
        </w:rPr>
        <w:t>objet d</w:t>
      </w:r>
      <w:r w:rsidR="00DB4C2D">
        <w:rPr>
          <w:lang w:val="fr-FR"/>
        </w:rPr>
        <w:t>’</w:t>
      </w:r>
      <w:r w:rsidRPr="00A779B8">
        <w:rPr>
          <w:lang w:val="fr-FR"/>
        </w:rPr>
        <w:t>un réglage manuel, celui-ci doit intervenir dans l</w:t>
      </w:r>
      <w:r w:rsidR="00DB4C2D">
        <w:rPr>
          <w:lang w:val="fr-FR"/>
        </w:rPr>
        <w:t>’</w:t>
      </w:r>
      <w:r w:rsidRPr="00A779B8">
        <w:rPr>
          <w:lang w:val="fr-FR"/>
        </w:rPr>
        <w:t>heure qui précède le contrôle des gaz d</w:t>
      </w:r>
      <w:r w:rsidR="00DB4C2D">
        <w:rPr>
          <w:lang w:val="fr-FR"/>
        </w:rPr>
        <w:t>’</w:t>
      </w:r>
      <w:r w:rsidRPr="00A779B8">
        <w:rPr>
          <w:lang w:val="fr-FR"/>
        </w:rPr>
        <w:t>échappement. Le véhicule d</w:t>
      </w:r>
      <w:r w:rsidR="00DB4C2D">
        <w:rPr>
          <w:lang w:val="fr-FR"/>
        </w:rPr>
        <w:t>’</w:t>
      </w:r>
      <w:r w:rsidRPr="00A779B8">
        <w:rPr>
          <w:lang w:val="fr-FR"/>
        </w:rPr>
        <w:t>essai ne doit pas être utilisé pour effectuer ce réglage. Les bancs à rouleaux dotés d</w:t>
      </w:r>
      <w:r w:rsidR="00DB4C2D">
        <w:rPr>
          <w:lang w:val="fr-FR"/>
        </w:rPr>
        <w:t>’</w:t>
      </w:r>
      <w:r w:rsidRPr="00A779B8">
        <w:rPr>
          <w:lang w:val="fr-FR"/>
        </w:rPr>
        <w:t>un contrôle automatique des réglages présélectionnés peuvent être réglés à tout moment avant le début de l</w:t>
      </w:r>
      <w:r w:rsidR="00DB4C2D">
        <w:rPr>
          <w:lang w:val="fr-FR"/>
        </w:rPr>
        <w:t>’</w:t>
      </w:r>
      <w:r w:rsidRPr="00A779B8">
        <w:rPr>
          <w:lang w:val="fr-FR"/>
        </w:rPr>
        <w:t>essai.</w:t>
      </w:r>
    </w:p>
    <w:p w:rsidR="007C3C08" w:rsidRPr="00A779B8" w:rsidRDefault="007C3C08" w:rsidP="007C3C08">
      <w:pPr>
        <w:pStyle w:val="SingleTxtG"/>
        <w:spacing w:after="100"/>
        <w:ind w:left="2268" w:hanging="1134"/>
        <w:rPr>
          <w:lang w:val="fr-FR"/>
        </w:rPr>
      </w:pPr>
      <w:r w:rsidRPr="00A779B8">
        <w:rPr>
          <w:lang w:val="fr-FR"/>
        </w:rPr>
        <w:t>5.2.8</w:t>
      </w:r>
      <w:r w:rsidRPr="00A779B8">
        <w:rPr>
          <w:lang w:val="fr-FR"/>
        </w:rPr>
        <w:tab/>
        <w:t>Avant le commencement du cycle de conduite pour le contrôle des émissions à l</w:t>
      </w:r>
      <w:r w:rsidR="00DB4C2D">
        <w:rPr>
          <w:lang w:val="fr-FR"/>
        </w:rPr>
        <w:t>’</w:t>
      </w:r>
      <w:r w:rsidRPr="00A779B8">
        <w:rPr>
          <w:lang w:val="fr-FR"/>
        </w:rPr>
        <w:t>échappement, la température de la chambre d</w:t>
      </w:r>
      <w:r w:rsidR="00DB4C2D">
        <w:rPr>
          <w:lang w:val="fr-FR"/>
        </w:rPr>
        <w:t>’</w:t>
      </w:r>
      <w:r w:rsidRPr="00A779B8">
        <w:rPr>
          <w:lang w:val="fr-FR"/>
        </w:rPr>
        <w:t>essai doit être de 266 K (</w:t>
      </w:r>
      <w:r w:rsidRPr="00A779B8">
        <w:rPr>
          <w:lang w:val="fr-FR"/>
        </w:rPr>
        <w:noBreakHyphen/>
        <w:t xml:space="preserve">7 °C) </w:t>
      </w:r>
      <w:r w:rsidRPr="00A779B8">
        <w:rPr>
          <w:lang w:val="fr-FR"/>
        </w:rPr>
        <w:sym w:font="Symbol" w:char="F0B1"/>
      </w:r>
      <w:r w:rsidRPr="00A779B8">
        <w:rPr>
          <w:lang w:val="fr-FR"/>
        </w:rPr>
        <w:t> 2 K, mesurée dans le courant d</w:t>
      </w:r>
      <w:r w:rsidR="00DB4C2D">
        <w:rPr>
          <w:lang w:val="fr-FR"/>
        </w:rPr>
        <w:t>’</w:t>
      </w:r>
      <w:r w:rsidRPr="00A779B8">
        <w:rPr>
          <w:lang w:val="fr-FR"/>
        </w:rPr>
        <w:t>air produit par le ventilateur à une distance maximale de 1,5 m du véhicule.</w:t>
      </w:r>
    </w:p>
    <w:p w:rsidR="007C3C08" w:rsidRPr="00A779B8" w:rsidRDefault="007C3C08" w:rsidP="007C3C08">
      <w:pPr>
        <w:pStyle w:val="SingleTxtG"/>
        <w:spacing w:after="100"/>
        <w:ind w:left="2268" w:hanging="1134"/>
        <w:rPr>
          <w:lang w:val="fr-FR"/>
        </w:rPr>
      </w:pPr>
      <w:r w:rsidRPr="00A779B8">
        <w:rPr>
          <w:lang w:val="fr-FR"/>
        </w:rPr>
        <w:t>5.2.9</w:t>
      </w:r>
      <w:r w:rsidRPr="00A779B8">
        <w:rPr>
          <w:lang w:val="fr-FR"/>
        </w:rPr>
        <w:tab/>
        <w:t>Au cours du fonctionnement du véhicule, le chauffage et le dégivrage doivent être coupés.</w:t>
      </w:r>
    </w:p>
    <w:p w:rsidR="007C3C08" w:rsidRPr="00A779B8" w:rsidRDefault="007C3C08" w:rsidP="007C3C08">
      <w:pPr>
        <w:pStyle w:val="SingleTxtG"/>
        <w:spacing w:after="100"/>
        <w:ind w:left="2268" w:hanging="1134"/>
        <w:rPr>
          <w:lang w:val="fr-FR"/>
        </w:rPr>
      </w:pPr>
      <w:r w:rsidRPr="00A779B8">
        <w:rPr>
          <w:lang w:val="fr-FR"/>
        </w:rPr>
        <w:t>5.2.10</w:t>
      </w:r>
      <w:r w:rsidRPr="00A779B8">
        <w:rPr>
          <w:lang w:val="fr-FR"/>
        </w:rPr>
        <w:tab/>
        <w:t>La distance totale parcourue ou le nombre de tours de rouleaux mesurés doivent être notés.</w:t>
      </w:r>
    </w:p>
    <w:p w:rsidR="007C3C08" w:rsidRPr="00A779B8" w:rsidRDefault="007C3C08" w:rsidP="007C3C08">
      <w:pPr>
        <w:pStyle w:val="SingleTxtG"/>
        <w:spacing w:after="100"/>
        <w:ind w:left="2268" w:hanging="1134"/>
        <w:rPr>
          <w:lang w:val="fr-FR"/>
        </w:rPr>
      </w:pPr>
      <w:r w:rsidRPr="00A779B8">
        <w:rPr>
          <w:lang w:val="fr-FR"/>
        </w:rPr>
        <w:lastRenderedPageBreak/>
        <w:t>5.2.11</w:t>
      </w:r>
      <w:r w:rsidRPr="00A779B8">
        <w:rPr>
          <w:lang w:val="fr-FR"/>
        </w:rPr>
        <w:tab/>
        <w:t>Les véhicules à quatre roues motrices doivent être soumis à l</w:t>
      </w:r>
      <w:r w:rsidR="00DB4C2D">
        <w:rPr>
          <w:lang w:val="fr-FR"/>
        </w:rPr>
        <w:t>’</w:t>
      </w:r>
      <w:r w:rsidRPr="00A779B8">
        <w:rPr>
          <w:lang w:val="fr-FR"/>
        </w:rPr>
        <w:t>essai avec deux roues motrices. La résistance totale pour le réglage du banc d</w:t>
      </w:r>
      <w:r w:rsidR="00DB4C2D">
        <w:rPr>
          <w:lang w:val="fr-FR"/>
        </w:rPr>
        <w:t>’</w:t>
      </w:r>
      <w:r w:rsidRPr="00A779B8">
        <w:rPr>
          <w:lang w:val="fr-FR"/>
        </w:rPr>
        <w:t>essai est déterminée lorsque le véhicule se trouve dans son état de fonctionnement initialement prévu.</w:t>
      </w:r>
    </w:p>
    <w:p w:rsidR="007C3C08" w:rsidRPr="00A779B8" w:rsidRDefault="007C3C08" w:rsidP="007C3C08">
      <w:pPr>
        <w:pStyle w:val="SingleTxtG"/>
        <w:keepNext/>
        <w:ind w:left="2268" w:hanging="1134"/>
        <w:jc w:val="left"/>
        <w:rPr>
          <w:lang w:val="fr-FR"/>
        </w:rPr>
      </w:pPr>
      <w:r w:rsidRPr="00A779B8">
        <w:rPr>
          <w:lang w:val="fr-FR"/>
        </w:rPr>
        <w:t>5.3</w:t>
      </w:r>
      <w:r w:rsidRPr="00A779B8">
        <w:rPr>
          <w:lang w:val="fr-FR"/>
        </w:rPr>
        <w:tab/>
        <w:t>Conduite de l</w:t>
      </w:r>
      <w:r w:rsidR="00DB4C2D">
        <w:rPr>
          <w:lang w:val="fr-FR"/>
        </w:rPr>
        <w:t>’</w:t>
      </w:r>
      <w:r w:rsidRPr="00A779B8">
        <w:rPr>
          <w:lang w:val="fr-FR"/>
        </w:rPr>
        <w:t>essai</w:t>
      </w:r>
    </w:p>
    <w:p w:rsidR="007C3C08" w:rsidRPr="00A779B8" w:rsidRDefault="007C3C08" w:rsidP="007C3C08">
      <w:pPr>
        <w:pStyle w:val="SingleTxtG"/>
        <w:ind w:left="2268" w:hanging="1134"/>
        <w:rPr>
          <w:lang w:val="fr-FR"/>
        </w:rPr>
      </w:pPr>
      <w:r w:rsidRPr="00A779B8">
        <w:rPr>
          <w:lang w:val="fr-FR"/>
        </w:rPr>
        <w:t>5.3.1</w:t>
      </w:r>
      <w:r w:rsidRPr="00A779B8">
        <w:rPr>
          <w:lang w:val="fr-FR"/>
        </w:rPr>
        <w:tab/>
        <w:t>Les dispositions du paragraphe 6.4 de l</w:t>
      </w:r>
      <w:r w:rsidR="00DB4C2D">
        <w:rPr>
          <w:lang w:val="fr-FR"/>
        </w:rPr>
        <w:t>’</w:t>
      </w:r>
      <w:r w:rsidRPr="00A779B8">
        <w:rPr>
          <w:lang w:val="fr-FR"/>
        </w:rPr>
        <w:t>annexe 4a du présent Règlement, à l</w:t>
      </w:r>
      <w:r w:rsidR="00DB4C2D">
        <w:rPr>
          <w:lang w:val="fr-FR"/>
        </w:rPr>
        <w:t>’</w:t>
      </w:r>
      <w:r w:rsidRPr="00A779B8">
        <w:rPr>
          <w:lang w:val="fr-FR"/>
        </w:rPr>
        <w:t>exclusion du paragraphe 6.4.1.2, sont applicables au démarrage du moteur, à la conduite de l</w:t>
      </w:r>
      <w:r w:rsidR="00DB4C2D">
        <w:rPr>
          <w:lang w:val="fr-FR"/>
        </w:rPr>
        <w:t>’</w:t>
      </w:r>
      <w:r w:rsidRPr="00A779B8">
        <w:rPr>
          <w:lang w:val="fr-FR"/>
        </w:rPr>
        <w:t>essai et au prélèvement des gaz. Le prélèvement des gaz commence avant ou au début de la phase de démarrage du moteur et s</w:t>
      </w:r>
      <w:r w:rsidR="00DB4C2D">
        <w:rPr>
          <w:lang w:val="fr-FR"/>
        </w:rPr>
        <w:t>’</w:t>
      </w:r>
      <w:r w:rsidRPr="00A779B8">
        <w:rPr>
          <w:lang w:val="fr-FR"/>
        </w:rPr>
        <w:t>achève à la fin de la dernière période de ralenti du dernier cycle élémentaire de la première partie (cycle urbain) après 780 s.</w:t>
      </w:r>
    </w:p>
    <w:p w:rsidR="007C3C08" w:rsidRPr="00A779B8" w:rsidRDefault="007C3C08" w:rsidP="007C3C08">
      <w:pPr>
        <w:pStyle w:val="SingleTxtG"/>
        <w:ind w:left="2268"/>
        <w:rPr>
          <w:lang w:val="fr-FR"/>
        </w:rPr>
      </w:pPr>
      <w:r w:rsidRPr="00A779B8">
        <w:rPr>
          <w:lang w:val="fr-FR"/>
        </w:rPr>
        <w:tab/>
        <w:t>Le premier cycle de conduite commence par une période de 11 s de ralenti suivant immédiatement le démarrage du moteur.</w:t>
      </w:r>
    </w:p>
    <w:p w:rsidR="007C3C08" w:rsidRPr="00A779B8" w:rsidRDefault="007C3C08" w:rsidP="007C3C08">
      <w:pPr>
        <w:pStyle w:val="SingleTxtG"/>
        <w:ind w:left="2268" w:hanging="1134"/>
        <w:rPr>
          <w:lang w:val="fr-FR"/>
        </w:rPr>
      </w:pPr>
      <w:r w:rsidRPr="00A779B8">
        <w:rPr>
          <w:lang w:val="fr-FR"/>
        </w:rPr>
        <w:t>5.3.2</w:t>
      </w:r>
      <w:r w:rsidRPr="00A779B8">
        <w:rPr>
          <w:lang w:val="fr-FR"/>
        </w:rPr>
        <w:tab/>
        <w:t>Les dispositions du paragraphe 6.5 de l</w:t>
      </w:r>
      <w:r w:rsidR="00DB4C2D">
        <w:rPr>
          <w:lang w:val="fr-FR"/>
        </w:rPr>
        <w:t>’</w:t>
      </w:r>
      <w:r w:rsidRPr="00A779B8">
        <w:rPr>
          <w:lang w:val="fr-FR"/>
        </w:rPr>
        <w:t>annexe 4a du présent Règlement, à l</w:t>
      </w:r>
      <w:r w:rsidR="00DB4C2D">
        <w:rPr>
          <w:lang w:val="fr-FR"/>
        </w:rPr>
        <w:t>’</w:t>
      </w:r>
      <w:r w:rsidRPr="00A779B8">
        <w:rPr>
          <w:lang w:val="fr-FR"/>
        </w:rPr>
        <w:t>exclusion du paragraphe 6.5.2, sont applicables à 1</w:t>
      </w:r>
      <w:r w:rsidR="00DB4C2D">
        <w:rPr>
          <w:lang w:val="fr-FR"/>
        </w:rPr>
        <w:t>’</w:t>
      </w:r>
      <w:r w:rsidRPr="00A779B8">
        <w:rPr>
          <w:lang w:val="fr-FR"/>
        </w:rPr>
        <w:t>analyse des échantillons de gaz. Au cours de l</w:t>
      </w:r>
      <w:r w:rsidR="00DB4C2D">
        <w:rPr>
          <w:lang w:val="fr-FR"/>
        </w:rPr>
        <w:t>’</w:t>
      </w:r>
      <w:r w:rsidRPr="00A779B8">
        <w:rPr>
          <w:lang w:val="fr-FR"/>
        </w:rPr>
        <w:t>analyse des gaz, le service technique doit veiller à empêcher la condensation de vapeur d</w:t>
      </w:r>
      <w:r w:rsidR="00DB4C2D">
        <w:rPr>
          <w:lang w:val="fr-FR"/>
        </w:rPr>
        <w:t>’</w:t>
      </w:r>
      <w:r w:rsidRPr="00A779B8">
        <w:rPr>
          <w:lang w:val="fr-FR"/>
        </w:rPr>
        <w:t>eau dans les sacs d</w:t>
      </w:r>
      <w:r w:rsidR="00DB4C2D">
        <w:rPr>
          <w:lang w:val="fr-FR"/>
        </w:rPr>
        <w:t>’</w:t>
      </w:r>
      <w:r w:rsidRPr="00A779B8">
        <w:rPr>
          <w:lang w:val="fr-FR"/>
        </w:rPr>
        <w:t>échantillon de gaz.</w:t>
      </w:r>
    </w:p>
    <w:p w:rsidR="007C3C08" w:rsidRPr="00A779B8" w:rsidRDefault="007C3C08" w:rsidP="007C3C08">
      <w:pPr>
        <w:pStyle w:val="SingleTxtG"/>
        <w:ind w:left="2268" w:hanging="1134"/>
        <w:rPr>
          <w:lang w:val="fr-FR"/>
        </w:rPr>
      </w:pPr>
      <w:r w:rsidRPr="00A779B8">
        <w:rPr>
          <w:lang w:val="fr-FR"/>
        </w:rPr>
        <w:t>5.3.3</w:t>
      </w:r>
      <w:r w:rsidRPr="00A779B8">
        <w:rPr>
          <w:lang w:val="fr-FR"/>
        </w:rPr>
        <w:tab/>
        <w:t>Les dispositions du paragraphe 6.6 de l</w:t>
      </w:r>
      <w:r w:rsidR="00DB4C2D">
        <w:rPr>
          <w:lang w:val="fr-FR"/>
        </w:rPr>
        <w:t>’</w:t>
      </w:r>
      <w:r w:rsidRPr="00A779B8">
        <w:rPr>
          <w:lang w:val="fr-FR"/>
        </w:rPr>
        <w:t>annexe 4a du présent Règlement s</w:t>
      </w:r>
      <w:r w:rsidR="00DB4C2D">
        <w:rPr>
          <w:lang w:val="fr-FR"/>
        </w:rPr>
        <w:t>’</w:t>
      </w:r>
      <w:r w:rsidRPr="00A779B8">
        <w:rPr>
          <w:lang w:val="fr-FR"/>
        </w:rPr>
        <w:t>appliquent au calcul de la masse des émissions.</w:t>
      </w:r>
    </w:p>
    <w:p w:rsidR="007C3C08" w:rsidRPr="00A779B8" w:rsidRDefault="007C3C08" w:rsidP="007C3C08">
      <w:pPr>
        <w:pStyle w:val="SingleTxtG"/>
        <w:keepNext/>
        <w:ind w:left="2268" w:hanging="1134"/>
        <w:jc w:val="left"/>
        <w:rPr>
          <w:lang w:val="fr-FR"/>
        </w:rPr>
      </w:pPr>
      <w:r w:rsidRPr="00A779B8">
        <w:rPr>
          <w:lang w:val="fr-FR"/>
        </w:rPr>
        <w:t>6.</w:t>
      </w:r>
      <w:r w:rsidRPr="00A779B8">
        <w:rPr>
          <w:lang w:val="fr-FR"/>
        </w:rPr>
        <w:tab/>
        <w:t>Autres prescriptions</w:t>
      </w:r>
    </w:p>
    <w:p w:rsidR="007C3C08" w:rsidRDefault="007C3C08" w:rsidP="007C3C08">
      <w:pPr>
        <w:pStyle w:val="SingleTxtG"/>
        <w:keepNext/>
        <w:ind w:left="2268" w:hanging="1134"/>
        <w:jc w:val="left"/>
        <w:rPr>
          <w:lang w:val="fr-FR"/>
        </w:rPr>
      </w:pPr>
      <w:r w:rsidRPr="00A779B8">
        <w:rPr>
          <w:lang w:val="fr-FR"/>
        </w:rPr>
        <w:t>6.1</w:t>
      </w:r>
      <w:r w:rsidRPr="00A779B8">
        <w:rPr>
          <w:lang w:val="fr-FR"/>
        </w:rPr>
        <w:tab/>
        <w:t>Stratégie irrationnelle de réduction des émissions</w:t>
      </w:r>
    </w:p>
    <w:p w:rsidR="007C3C08" w:rsidRDefault="007C3C08" w:rsidP="007C3C08">
      <w:pPr>
        <w:pStyle w:val="SingleTxtG"/>
        <w:ind w:left="2268" w:hanging="1134"/>
        <w:rPr>
          <w:lang w:val="fr-FR"/>
        </w:rPr>
      </w:pPr>
      <w:r w:rsidRPr="00A779B8">
        <w:rPr>
          <w:lang w:val="fr-FR"/>
        </w:rPr>
        <w:t>6.1.1</w:t>
      </w:r>
      <w:r w:rsidRPr="00A779B8">
        <w:rPr>
          <w:lang w:val="fr-FR"/>
        </w:rPr>
        <w:tab/>
        <w:t>Toute stratégie irrationnelle de réduction des émissions qui entraîne une diminution de l</w:t>
      </w:r>
      <w:r w:rsidR="00DB4C2D">
        <w:rPr>
          <w:lang w:val="fr-FR"/>
        </w:rPr>
        <w:t>’</w:t>
      </w:r>
      <w:r w:rsidRPr="00A779B8">
        <w:rPr>
          <w:lang w:val="fr-FR"/>
        </w:rPr>
        <w:t>efficacité du système de contrôle des émissions dans des conditions normales d</w:t>
      </w:r>
      <w:r w:rsidR="00DB4C2D">
        <w:rPr>
          <w:lang w:val="fr-FR"/>
        </w:rPr>
        <w:t>’</w:t>
      </w:r>
      <w:r w:rsidRPr="00A779B8">
        <w:rPr>
          <w:lang w:val="fr-FR"/>
        </w:rPr>
        <w:t>utilisation à basses températures et qui n</w:t>
      </w:r>
      <w:r w:rsidR="00DB4C2D">
        <w:rPr>
          <w:lang w:val="fr-FR"/>
        </w:rPr>
        <w:t>’</w:t>
      </w:r>
      <w:r w:rsidRPr="00A779B8">
        <w:rPr>
          <w:lang w:val="fr-FR"/>
        </w:rPr>
        <w:t>est pas couverte par l</w:t>
      </w:r>
      <w:r w:rsidR="00DB4C2D">
        <w:rPr>
          <w:lang w:val="fr-FR"/>
        </w:rPr>
        <w:t>’</w:t>
      </w:r>
      <w:r w:rsidRPr="00A779B8">
        <w:rPr>
          <w:lang w:val="fr-FR"/>
        </w:rPr>
        <w:t>essai normalisé de contrôle des émissions, peut être considérée comme un dispositif de manipulation (</w:t>
      </w:r>
      <w:proofErr w:type="spellStart"/>
      <w:r w:rsidRPr="00A779B8">
        <w:rPr>
          <w:i/>
          <w:lang w:val="fr-FR"/>
        </w:rPr>
        <w:t>defeat</w:t>
      </w:r>
      <w:proofErr w:type="spellEnd"/>
      <w:r w:rsidRPr="00A779B8">
        <w:rPr>
          <w:i/>
          <w:lang w:val="fr-FR"/>
        </w:rPr>
        <w:t xml:space="preserve"> </w:t>
      </w:r>
      <w:proofErr w:type="spellStart"/>
      <w:r w:rsidRPr="00A779B8">
        <w:rPr>
          <w:i/>
          <w:lang w:val="fr-FR"/>
        </w:rPr>
        <w:t>device</w:t>
      </w:r>
      <w:proofErr w:type="spellEnd"/>
      <w:r w:rsidRPr="00A779B8">
        <w:rPr>
          <w:lang w:val="fr-FR"/>
        </w:rPr>
        <w:t>).</w:t>
      </w:r>
    </w:p>
    <w:p w:rsidR="00A34FDC" w:rsidRDefault="00A34FDC" w:rsidP="007C3C08">
      <w:pPr>
        <w:pStyle w:val="SingleTxtG"/>
        <w:ind w:left="2268" w:hanging="1134"/>
        <w:sectPr w:rsidR="00A34FDC" w:rsidSect="00C108AC">
          <w:headerReference w:type="even" r:id="rId236"/>
          <w:headerReference w:type="default" r:id="rId237"/>
          <w:footnotePr>
            <w:numRestart w:val="eachSect"/>
          </w:footnotePr>
          <w:endnotePr>
            <w:numFmt w:val="decimal"/>
          </w:endnotePr>
          <w:pgSz w:w="11907" w:h="16840" w:code="9"/>
          <w:pgMar w:top="1701" w:right="1134" w:bottom="2268" w:left="1134" w:header="794" w:footer="1701" w:gutter="0"/>
          <w:cols w:space="720"/>
          <w:docGrid w:linePitch="272"/>
        </w:sectPr>
      </w:pPr>
    </w:p>
    <w:p w:rsidR="00A34FDC" w:rsidRPr="00A779B8" w:rsidRDefault="00A34FDC" w:rsidP="00A34FDC">
      <w:pPr>
        <w:pStyle w:val="HChG"/>
        <w:rPr>
          <w:lang w:val="fr-FR"/>
        </w:rPr>
      </w:pPr>
      <w:r w:rsidRPr="00A779B8">
        <w:rPr>
          <w:lang w:val="fr-FR"/>
        </w:rPr>
        <w:lastRenderedPageBreak/>
        <w:t>Annexe 9</w:t>
      </w:r>
    </w:p>
    <w:p w:rsidR="00A34FDC" w:rsidRPr="00A779B8" w:rsidRDefault="00A34FDC" w:rsidP="00A34FDC">
      <w:pPr>
        <w:pStyle w:val="HChG"/>
        <w:rPr>
          <w:lang w:val="fr-FR"/>
        </w:rPr>
      </w:pPr>
      <w:r w:rsidRPr="00A779B8">
        <w:rPr>
          <w:lang w:val="fr-FR"/>
        </w:rPr>
        <w:tab/>
      </w:r>
      <w:r w:rsidRPr="00A779B8">
        <w:rPr>
          <w:lang w:val="fr-FR"/>
        </w:rPr>
        <w:tab/>
        <w:t>Essai du type V</w:t>
      </w:r>
    </w:p>
    <w:p w:rsidR="00A34FDC" w:rsidRPr="00A779B8" w:rsidRDefault="00A34FDC" w:rsidP="00A34FDC">
      <w:pPr>
        <w:pStyle w:val="SingleTxtG"/>
        <w:jc w:val="left"/>
        <w:rPr>
          <w:lang w:val="fr-FR"/>
        </w:rPr>
      </w:pPr>
      <w:r w:rsidRPr="00A779B8">
        <w:rPr>
          <w:lang w:val="fr-FR"/>
        </w:rPr>
        <w:t>(Description de l</w:t>
      </w:r>
      <w:r w:rsidR="00DB4C2D">
        <w:rPr>
          <w:lang w:val="fr-FR"/>
        </w:rPr>
        <w:t>’</w:t>
      </w:r>
      <w:r w:rsidRPr="00A779B8">
        <w:rPr>
          <w:lang w:val="fr-FR"/>
        </w:rPr>
        <w:t>essai d</w:t>
      </w:r>
      <w:r w:rsidR="00DB4C2D">
        <w:rPr>
          <w:lang w:val="fr-FR"/>
        </w:rPr>
        <w:t>’</w:t>
      </w:r>
      <w:r w:rsidRPr="00A779B8">
        <w:rPr>
          <w:lang w:val="fr-FR"/>
        </w:rPr>
        <w:t>endurance permettant de vérifier la durabilité</w:t>
      </w:r>
      <w:r w:rsidRPr="00A779B8">
        <w:rPr>
          <w:lang w:val="fr-FR"/>
        </w:rPr>
        <w:br/>
        <w:t>des dispositifs antipollution)</w:t>
      </w:r>
    </w:p>
    <w:p w:rsidR="00A34FDC" w:rsidRPr="00A779B8" w:rsidRDefault="00A34FDC" w:rsidP="00A34FDC">
      <w:pPr>
        <w:pStyle w:val="SingleTxtG"/>
        <w:ind w:left="2268" w:hanging="1134"/>
        <w:jc w:val="left"/>
        <w:rPr>
          <w:lang w:val="fr-FR"/>
        </w:rPr>
      </w:pPr>
      <w:r w:rsidRPr="00A779B8">
        <w:rPr>
          <w:lang w:val="fr-FR"/>
        </w:rPr>
        <w:t>1.</w:t>
      </w:r>
      <w:r w:rsidRPr="00A779B8">
        <w:rPr>
          <w:lang w:val="fr-FR"/>
        </w:rPr>
        <w:tab/>
        <w:t>Introduction</w:t>
      </w:r>
    </w:p>
    <w:p w:rsidR="00A34FDC" w:rsidRPr="00A779B8" w:rsidRDefault="00A34FDC" w:rsidP="00A34FDC">
      <w:pPr>
        <w:pStyle w:val="SingleTxtG"/>
        <w:ind w:left="2268" w:hanging="1134"/>
        <w:rPr>
          <w:lang w:val="fr-FR"/>
        </w:rPr>
      </w:pPr>
      <w:r w:rsidRPr="00A779B8">
        <w:rPr>
          <w:lang w:val="fr-FR"/>
        </w:rPr>
        <w:t>1.1</w:t>
      </w:r>
      <w:r w:rsidRPr="00A779B8">
        <w:rPr>
          <w:lang w:val="fr-FR"/>
        </w:rPr>
        <w:tab/>
        <w:t>La présente annexe décrit l</w:t>
      </w:r>
      <w:r w:rsidR="00DB4C2D">
        <w:rPr>
          <w:lang w:val="fr-FR"/>
        </w:rPr>
        <w:t>’</w:t>
      </w:r>
      <w:r w:rsidRPr="00A779B8">
        <w:rPr>
          <w:lang w:val="fr-FR"/>
        </w:rPr>
        <w:t>essai permettant de vérifier la durabilité des dispositifs antipollution équipant les véhicules à allumage commandé ou à allumage par compression. Les exigences de durabilité sont démontrées sur la base d</w:t>
      </w:r>
      <w:r w:rsidR="00DB4C2D">
        <w:rPr>
          <w:lang w:val="fr-FR"/>
        </w:rPr>
        <w:t>’</w:t>
      </w:r>
      <w:r w:rsidRPr="00A779B8">
        <w:rPr>
          <w:lang w:val="fr-FR"/>
        </w:rPr>
        <w:t>une des trois options présentées aux paragraphes 1.2, 1.3 et 1.4</w:t>
      </w:r>
      <w:r>
        <w:rPr>
          <w:lang w:val="fr-FR"/>
        </w:rPr>
        <w:t xml:space="preserve"> ci</w:t>
      </w:r>
      <w:r>
        <w:rPr>
          <w:lang w:val="fr-FR"/>
        </w:rPr>
        <w:noBreakHyphen/>
      </w:r>
      <w:r w:rsidRPr="00A779B8">
        <w:rPr>
          <w:lang w:val="fr-FR"/>
        </w:rPr>
        <w:t>dessous.</w:t>
      </w:r>
    </w:p>
    <w:p w:rsidR="00A34FDC" w:rsidRPr="00A779B8" w:rsidRDefault="00A34FDC" w:rsidP="00A34FDC">
      <w:pPr>
        <w:pStyle w:val="SingleTxtG"/>
        <w:ind w:left="2268" w:hanging="1134"/>
        <w:rPr>
          <w:lang w:val="fr-FR"/>
        </w:rPr>
      </w:pPr>
      <w:r w:rsidRPr="00A779B8">
        <w:rPr>
          <w:lang w:val="fr-FR"/>
        </w:rPr>
        <w:t>1.2</w:t>
      </w:r>
      <w:r w:rsidRPr="00A779B8">
        <w:rPr>
          <w:lang w:val="fr-FR"/>
        </w:rPr>
        <w:tab/>
        <w:t>L</w:t>
      </w:r>
      <w:r w:rsidR="00DB4C2D">
        <w:rPr>
          <w:lang w:val="fr-FR"/>
        </w:rPr>
        <w:t>’</w:t>
      </w:r>
      <w:r w:rsidRPr="00A779B8">
        <w:rPr>
          <w:lang w:val="fr-FR"/>
        </w:rPr>
        <w:t>essai de durabilité du véhicule complet est un essai de vieillissement de 160 000 km. Cet essai est effectué sur piste, sur route ou sur banc à rouleaux.</w:t>
      </w:r>
    </w:p>
    <w:p w:rsidR="00A34FDC" w:rsidRPr="00A779B8" w:rsidRDefault="00A34FDC" w:rsidP="00A34FDC">
      <w:pPr>
        <w:pStyle w:val="SingleTxtG"/>
        <w:ind w:left="2268" w:hanging="1134"/>
        <w:rPr>
          <w:lang w:val="fr-FR"/>
        </w:rPr>
      </w:pPr>
      <w:r w:rsidRPr="00A779B8">
        <w:rPr>
          <w:lang w:val="fr-FR"/>
        </w:rPr>
        <w:t>1.3</w:t>
      </w:r>
      <w:r w:rsidRPr="00A779B8">
        <w:rPr>
          <w:lang w:val="fr-FR"/>
        </w:rPr>
        <w:tab/>
        <w:t>Le constructeur peut opter pour un essai de durabilité sur banc de vieillissement. Les prescriptions techniques relatives à cet essai sont énoncées au paragraphe 2.2 de la présente annexe.</w:t>
      </w:r>
    </w:p>
    <w:p w:rsidR="00A34FDC" w:rsidRPr="00A779B8" w:rsidRDefault="00A34FDC" w:rsidP="00A34FDC">
      <w:pPr>
        <w:pStyle w:val="SingleTxtG"/>
        <w:ind w:left="2268" w:hanging="1134"/>
        <w:rPr>
          <w:lang w:val="fr-FR"/>
        </w:rPr>
      </w:pPr>
      <w:r w:rsidRPr="00A779B8">
        <w:rPr>
          <w:lang w:val="fr-FR"/>
        </w:rPr>
        <w:t>1.4</w:t>
      </w:r>
      <w:r w:rsidRPr="00A779B8">
        <w:rPr>
          <w:lang w:val="fr-FR"/>
        </w:rPr>
        <w:tab/>
        <w:t>Au lieu de l</w:t>
      </w:r>
      <w:r w:rsidR="00DB4C2D">
        <w:rPr>
          <w:lang w:val="fr-FR"/>
        </w:rPr>
        <w:t>’</w:t>
      </w:r>
      <w:r w:rsidRPr="00A779B8">
        <w:rPr>
          <w:lang w:val="fr-FR"/>
        </w:rPr>
        <w:t>essai de durabilité, le constructeur peut choisir d</w:t>
      </w:r>
      <w:r w:rsidR="00DB4C2D">
        <w:rPr>
          <w:lang w:val="fr-FR"/>
        </w:rPr>
        <w:t>’</w:t>
      </w:r>
      <w:r w:rsidRPr="00A779B8">
        <w:rPr>
          <w:lang w:val="fr-FR"/>
        </w:rPr>
        <w:t>appliquer les facteurs de détérioration attribués sur la base du tableau 3 figurant au paragraphe 5.3.6.2 du présent Règlement.</w:t>
      </w:r>
    </w:p>
    <w:p w:rsidR="00A34FDC" w:rsidRPr="00A779B8" w:rsidRDefault="00A34FDC" w:rsidP="00A34FDC">
      <w:pPr>
        <w:pStyle w:val="SingleTxtG"/>
        <w:ind w:left="2268" w:hanging="1134"/>
        <w:rPr>
          <w:lang w:val="fr-FR"/>
        </w:rPr>
      </w:pPr>
      <w:r w:rsidRPr="00A779B8">
        <w:rPr>
          <w:lang w:val="fr-FR"/>
        </w:rPr>
        <w:t>1.5</w:t>
      </w:r>
      <w:r w:rsidRPr="00A779B8">
        <w:rPr>
          <w:lang w:val="fr-FR"/>
        </w:rPr>
        <w:tab/>
        <w:t>À la demande du constructeur, le service technique peut réaliser l</w:t>
      </w:r>
      <w:r w:rsidR="00DB4C2D">
        <w:rPr>
          <w:lang w:val="fr-FR"/>
        </w:rPr>
        <w:t>’</w:t>
      </w:r>
      <w:r w:rsidRPr="00A779B8">
        <w:rPr>
          <w:lang w:val="fr-FR"/>
        </w:rPr>
        <w:t>essai du type I avant l</w:t>
      </w:r>
      <w:r w:rsidR="00DB4C2D">
        <w:rPr>
          <w:lang w:val="fr-FR"/>
        </w:rPr>
        <w:t>’</w:t>
      </w:r>
      <w:r w:rsidRPr="00A779B8">
        <w:rPr>
          <w:lang w:val="fr-FR"/>
        </w:rPr>
        <w:t>achèvement de l</w:t>
      </w:r>
      <w:r w:rsidR="00DB4C2D">
        <w:rPr>
          <w:lang w:val="fr-FR"/>
        </w:rPr>
        <w:t>’</w:t>
      </w:r>
      <w:r w:rsidRPr="00A779B8">
        <w:rPr>
          <w:lang w:val="fr-FR"/>
        </w:rPr>
        <w:t>essai de durabilité du véhicule complet ou sur banc de vieillissement en utilisant les facteurs de détérioration prévus au tableau 3 figurant au paragraphe 5.3.6.2 du présent Règlement. À l</w:t>
      </w:r>
      <w:r w:rsidR="00DB4C2D">
        <w:rPr>
          <w:lang w:val="fr-FR"/>
        </w:rPr>
        <w:t>’</w:t>
      </w:r>
      <w:r w:rsidRPr="00A779B8">
        <w:rPr>
          <w:lang w:val="fr-FR"/>
        </w:rPr>
        <w:t>achèvement de l</w:t>
      </w:r>
      <w:r w:rsidR="00DB4C2D">
        <w:rPr>
          <w:lang w:val="fr-FR"/>
        </w:rPr>
        <w:t>’</w:t>
      </w:r>
      <w:r w:rsidRPr="00A779B8">
        <w:rPr>
          <w:lang w:val="fr-FR"/>
        </w:rPr>
        <w:t>essai de durabilité du véhicule complet ou sur banc de vieillissement, le service technique peut modifier les résultats d</w:t>
      </w:r>
      <w:r w:rsidR="00DB4C2D">
        <w:rPr>
          <w:lang w:val="fr-FR"/>
        </w:rPr>
        <w:t>’</w:t>
      </w:r>
      <w:r w:rsidRPr="00A779B8">
        <w:rPr>
          <w:lang w:val="fr-FR"/>
        </w:rPr>
        <w:t>homologation de type enregistrés à l</w:t>
      </w:r>
      <w:r w:rsidR="00DB4C2D">
        <w:rPr>
          <w:lang w:val="fr-FR"/>
        </w:rPr>
        <w:t>’</w:t>
      </w:r>
      <w:r w:rsidRPr="00A779B8">
        <w:rPr>
          <w:lang w:val="fr-FR"/>
        </w:rPr>
        <w:t>annexe 2 du présent Règlement en remplaçant les facteurs de détérioration attribués prévus au tableau susmentionné par ceux mesurés au cours de l</w:t>
      </w:r>
      <w:r w:rsidR="00DB4C2D">
        <w:rPr>
          <w:lang w:val="fr-FR"/>
        </w:rPr>
        <w:t>’</w:t>
      </w:r>
      <w:r w:rsidRPr="00A779B8">
        <w:rPr>
          <w:lang w:val="fr-FR"/>
        </w:rPr>
        <w:t>essai de durabilité du véhicule complet ou sur banc de vieillissement.</w:t>
      </w:r>
    </w:p>
    <w:p w:rsidR="00A34FDC" w:rsidRPr="00A779B8" w:rsidRDefault="00A34FDC" w:rsidP="00A34FDC">
      <w:pPr>
        <w:pStyle w:val="SingleTxtG"/>
        <w:ind w:left="2268" w:hanging="1134"/>
        <w:rPr>
          <w:lang w:val="fr-FR"/>
        </w:rPr>
      </w:pPr>
      <w:r w:rsidRPr="00A779B8">
        <w:rPr>
          <w:lang w:val="fr-FR"/>
        </w:rPr>
        <w:t>1.6</w:t>
      </w:r>
      <w:r w:rsidRPr="00A779B8">
        <w:rPr>
          <w:lang w:val="fr-FR"/>
        </w:rPr>
        <w:tab/>
        <w:t>Les facteurs de détérioration sont déterminés sur la base des procédures définies aux paragraphes 1.2 et 1.3 ci-dessus ou des valeurs attribuées prévues au tableau mentionné au paragraphe 1.4 ci-dessus. Les facteurs de détérioration sont utilisés pour établir la conformité avec les exigences des limites d</w:t>
      </w:r>
      <w:r w:rsidR="00DB4C2D">
        <w:rPr>
          <w:lang w:val="fr-FR"/>
        </w:rPr>
        <w:t>’</w:t>
      </w:r>
      <w:r w:rsidRPr="00A779B8">
        <w:rPr>
          <w:lang w:val="fr-FR"/>
        </w:rPr>
        <w:t>émission appropriées établies au tableau 1 du paragraphe 5.3.1.4 du présent Règlement au cours de la durée de vie utile du véhicule.</w:t>
      </w:r>
    </w:p>
    <w:p w:rsidR="00A34FDC" w:rsidRPr="00A779B8" w:rsidRDefault="00A34FDC" w:rsidP="00A34FDC">
      <w:pPr>
        <w:pStyle w:val="SingleTxtG"/>
        <w:ind w:left="2268" w:hanging="1134"/>
        <w:jc w:val="left"/>
        <w:rPr>
          <w:lang w:val="fr-FR"/>
        </w:rPr>
      </w:pPr>
      <w:r w:rsidRPr="00A779B8">
        <w:rPr>
          <w:lang w:val="fr-FR"/>
        </w:rPr>
        <w:t>2.</w:t>
      </w:r>
      <w:r w:rsidRPr="00A779B8">
        <w:rPr>
          <w:lang w:val="fr-FR"/>
        </w:rPr>
        <w:tab/>
        <w:t>Prescriptions techniques</w:t>
      </w:r>
    </w:p>
    <w:p w:rsidR="00A34FDC" w:rsidRPr="00A779B8" w:rsidRDefault="00A34FDC" w:rsidP="00A34FDC">
      <w:pPr>
        <w:pStyle w:val="SingleTxtG"/>
        <w:ind w:left="2268" w:hanging="1134"/>
        <w:rPr>
          <w:lang w:val="fr-FR"/>
        </w:rPr>
      </w:pPr>
      <w:r w:rsidRPr="00A779B8">
        <w:rPr>
          <w:lang w:val="fr-FR"/>
        </w:rPr>
        <w:t>2.1</w:t>
      </w:r>
      <w:r w:rsidRPr="00A779B8">
        <w:rPr>
          <w:lang w:val="fr-FR"/>
        </w:rPr>
        <w:tab/>
        <w:t>Au lieu du cycle de fonc</w:t>
      </w:r>
      <w:r w:rsidR="00BE49B4">
        <w:rPr>
          <w:lang w:val="fr-FR"/>
        </w:rPr>
        <w:t>tionnement décrit au paragraphe </w:t>
      </w:r>
      <w:r w:rsidRPr="00A779B8">
        <w:rPr>
          <w:lang w:val="fr-FR"/>
        </w:rPr>
        <w:t>6.1 pour l</w:t>
      </w:r>
      <w:r w:rsidR="00DB4C2D">
        <w:rPr>
          <w:lang w:val="fr-FR"/>
        </w:rPr>
        <w:t>’</w:t>
      </w:r>
      <w:r w:rsidRPr="00A779B8">
        <w:rPr>
          <w:lang w:val="fr-FR"/>
        </w:rPr>
        <w:t>essai de durabilité du véhicule complet, le constructeur du véhicule peut utiliser le cycle normalisé sur route (SRC) décrit à l</w:t>
      </w:r>
      <w:r w:rsidR="00DB4C2D">
        <w:rPr>
          <w:lang w:val="fr-FR"/>
        </w:rPr>
        <w:t>’</w:t>
      </w:r>
      <w:r w:rsidRPr="00A779B8">
        <w:rPr>
          <w:lang w:val="fr-FR"/>
        </w:rPr>
        <w:t>appendice</w:t>
      </w:r>
      <w:r w:rsidR="00BE49B4">
        <w:rPr>
          <w:lang w:val="fr-FR"/>
        </w:rPr>
        <w:t> </w:t>
      </w:r>
      <w:r w:rsidRPr="00A779B8">
        <w:rPr>
          <w:lang w:val="fr-FR"/>
        </w:rPr>
        <w:t>3 de la présente annexe. Ce cycle d</w:t>
      </w:r>
      <w:r w:rsidR="00DB4C2D">
        <w:rPr>
          <w:lang w:val="fr-FR"/>
        </w:rPr>
        <w:t>’</w:t>
      </w:r>
      <w:r w:rsidRPr="00A779B8">
        <w:rPr>
          <w:lang w:val="fr-FR"/>
        </w:rPr>
        <w:t>essai porte sur un parcours du véhicule d</w:t>
      </w:r>
      <w:r w:rsidR="00DB4C2D">
        <w:rPr>
          <w:lang w:val="fr-FR"/>
        </w:rPr>
        <w:t>’</w:t>
      </w:r>
      <w:r w:rsidRPr="00A779B8">
        <w:rPr>
          <w:lang w:val="fr-FR"/>
        </w:rPr>
        <w:t>au moins 160 000 km.</w:t>
      </w:r>
    </w:p>
    <w:p w:rsidR="00A34FDC" w:rsidRPr="00A779B8" w:rsidRDefault="00A34FDC" w:rsidP="00A34FDC">
      <w:pPr>
        <w:pStyle w:val="SingleTxtG"/>
        <w:ind w:left="2268" w:hanging="1134"/>
        <w:jc w:val="left"/>
        <w:rPr>
          <w:lang w:val="fr-FR"/>
        </w:rPr>
      </w:pPr>
      <w:r w:rsidRPr="00A779B8">
        <w:rPr>
          <w:lang w:val="fr-FR"/>
        </w:rPr>
        <w:t>2.2</w:t>
      </w:r>
      <w:r w:rsidRPr="00A779B8">
        <w:rPr>
          <w:lang w:val="fr-FR"/>
        </w:rPr>
        <w:tab/>
        <w:t>Essai de durabilité sur banc de vieillissement</w:t>
      </w:r>
    </w:p>
    <w:p w:rsidR="00A34FDC" w:rsidRPr="00A779B8" w:rsidRDefault="00A34FDC" w:rsidP="00A34FDC">
      <w:pPr>
        <w:pStyle w:val="SingleTxtG"/>
        <w:ind w:left="2268" w:hanging="1134"/>
        <w:rPr>
          <w:lang w:val="fr-FR"/>
        </w:rPr>
      </w:pPr>
      <w:r w:rsidRPr="00A779B8">
        <w:rPr>
          <w:lang w:val="fr-FR"/>
        </w:rPr>
        <w:t>2.2.1</w:t>
      </w:r>
      <w:r w:rsidRPr="00A779B8">
        <w:rPr>
          <w:lang w:val="fr-FR"/>
        </w:rPr>
        <w:tab/>
        <w:t>Outre les prescriptions techniques relatives à l</w:t>
      </w:r>
      <w:r w:rsidR="00DB4C2D">
        <w:rPr>
          <w:lang w:val="fr-FR"/>
        </w:rPr>
        <w:t>’</w:t>
      </w:r>
      <w:r w:rsidRPr="00A779B8">
        <w:rPr>
          <w:lang w:val="fr-FR"/>
        </w:rPr>
        <w:t>essai sur banc de vieillissement définies au paragraphe 1.3 ci-dessus, les prescriptions techniques définies dans la présente section 2 s</w:t>
      </w:r>
      <w:r w:rsidR="00DB4C2D">
        <w:rPr>
          <w:lang w:val="fr-FR"/>
        </w:rPr>
        <w:t>’</w:t>
      </w:r>
      <w:r w:rsidRPr="00A779B8">
        <w:rPr>
          <w:lang w:val="fr-FR"/>
        </w:rPr>
        <w:t>appliquent.</w:t>
      </w:r>
    </w:p>
    <w:p w:rsidR="00A34FDC" w:rsidRPr="00A779B8" w:rsidRDefault="00A34FDC" w:rsidP="00A34FDC">
      <w:pPr>
        <w:pStyle w:val="SingleTxtG"/>
        <w:spacing w:after="100"/>
        <w:ind w:left="2268"/>
        <w:rPr>
          <w:lang w:val="fr-FR"/>
        </w:rPr>
      </w:pPr>
      <w:r w:rsidRPr="00A779B8">
        <w:rPr>
          <w:lang w:val="fr-FR"/>
        </w:rPr>
        <w:lastRenderedPageBreak/>
        <w:tab/>
        <w:t>Le carburant à utiliser lors de l</w:t>
      </w:r>
      <w:r w:rsidR="00DB4C2D">
        <w:rPr>
          <w:lang w:val="fr-FR"/>
        </w:rPr>
        <w:t>’</w:t>
      </w:r>
      <w:r w:rsidRPr="00A779B8">
        <w:rPr>
          <w:lang w:val="fr-FR"/>
        </w:rPr>
        <w:t>essai est celui qui est spécifié au paragraphe 4</w:t>
      </w:r>
      <w:r>
        <w:rPr>
          <w:lang w:val="fr-FR"/>
        </w:rPr>
        <w:t xml:space="preserve"> de la présente annexe</w:t>
      </w:r>
      <w:r w:rsidRPr="00A779B8">
        <w:rPr>
          <w:lang w:val="fr-FR"/>
        </w:rPr>
        <w:t>.</w:t>
      </w:r>
    </w:p>
    <w:p w:rsidR="00A34FDC" w:rsidRPr="00A779B8" w:rsidRDefault="00A34FDC" w:rsidP="00A34FDC">
      <w:pPr>
        <w:pStyle w:val="SingleTxtG"/>
        <w:spacing w:after="100"/>
        <w:ind w:left="2268" w:hanging="1134"/>
        <w:rPr>
          <w:lang w:val="fr-FR"/>
        </w:rPr>
      </w:pPr>
      <w:r w:rsidRPr="00A779B8">
        <w:rPr>
          <w:lang w:val="fr-FR"/>
        </w:rPr>
        <w:t>2.3</w:t>
      </w:r>
      <w:r w:rsidRPr="00A779B8">
        <w:rPr>
          <w:lang w:val="fr-FR"/>
        </w:rPr>
        <w:tab/>
        <w:t>L</w:t>
      </w:r>
      <w:r w:rsidR="00DB4C2D">
        <w:rPr>
          <w:lang w:val="fr-FR"/>
        </w:rPr>
        <w:t>’</w:t>
      </w:r>
      <w:r w:rsidRPr="00A779B8">
        <w:rPr>
          <w:lang w:val="fr-FR"/>
        </w:rPr>
        <w:t>essai de durabilité sur banc de vieillissement à effectuer doit être celui qui convient pour le type de moteur, ainsi qu</w:t>
      </w:r>
      <w:r w:rsidR="00DB4C2D">
        <w:rPr>
          <w:lang w:val="fr-FR"/>
        </w:rPr>
        <w:t>’</w:t>
      </w:r>
      <w:r w:rsidRPr="00A779B8">
        <w:rPr>
          <w:lang w:val="fr-FR"/>
        </w:rPr>
        <w:t>indiqué aux paragraphes 2.3.1 et 2.3.2 ci-dessous.</w:t>
      </w:r>
    </w:p>
    <w:p w:rsidR="00A34FDC" w:rsidRPr="00A779B8" w:rsidRDefault="00A34FDC" w:rsidP="00A34FDC">
      <w:pPr>
        <w:pStyle w:val="SingleTxtG"/>
        <w:spacing w:after="100"/>
        <w:ind w:left="2268" w:hanging="1134"/>
        <w:jc w:val="left"/>
        <w:rPr>
          <w:iCs/>
          <w:lang w:val="fr-FR"/>
        </w:rPr>
      </w:pPr>
      <w:r w:rsidRPr="00A779B8">
        <w:rPr>
          <w:lang w:val="fr-FR"/>
        </w:rPr>
        <w:t>2.3.1</w:t>
      </w:r>
      <w:r w:rsidRPr="00A779B8">
        <w:rPr>
          <w:lang w:val="fr-FR"/>
        </w:rPr>
        <w:tab/>
      </w:r>
      <w:r w:rsidRPr="00A779B8">
        <w:rPr>
          <w:iCs/>
          <w:lang w:val="fr-FR"/>
        </w:rPr>
        <w:t>Véhicules équipés d</w:t>
      </w:r>
      <w:r w:rsidR="00DB4C2D">
        <w:rPr>
          <w:iCs/>
          <w:lang w:val="fr-FR"/>
        </w:rPr>
        <w:t>’</w:t>
      </w:r>
      <w:r w:rsidRPr="00A779B8">
        <w:rPr>
          <w:iCs/>
          <w:lang w:val="fr-FR"/>
        </w:rPr>
        <w:t>un moteur à allumage commandé</w:t>
      </w:r>
    </w:p>
    <w:p w:rsidR="00A34FDC" w:rsidRPr="00A779B8" w:rsidRDefault="00A34FDC" w:rsidP="00A34FDC">
      <w:pPr>
        <w:pStyle w:val="SingleTxtG"/>
        <w:spacing w:after="100"/>
        <w:ind w:left="2268" w:hanging="1134"/>
        <w:rPr>
          <w:lang w:val="fr-FR"/>
        </w:rPr>
      </w:pPr>
      <w:r w:rsidRPr="00A779B8">
        <w:rPr>
          <w:lang w:val="fr-FR"/>
        </w:rPr>
        <w:t>2.3.1.1</w:t>
      </w:r>
      <w:r w:rsidRPr="00A779B8">
        <w:rPr>
          <w:lang w:val="fr-FR"/>
        </w:rPr>
        <w:tab/>
        <w:t>La procédure suivante de vieillissement sur banc s</w:t>
      </w:r>
      <w:r w:rsidR="00DB4C2D">
        <w:rPr>
          <w:lang w:val="fr-FR"/>
        </w:rPr>
        <w:t>’</w:t>
      </w:r>
      <w:r w:rsidRPr="00A779B8">
        <w:rPr>
          <w:lang w:val="fr-FR"/>
        </w:rPr>
        <w:t>applique aux véhicules équipés d</w:t>
      </w:r>
      <w:r w:rsidR="00DB4C2D">
        <w:rPr>
          <w:lang w:val="fr-FR"/>
        </w:rPr>
        <w:t>’</w:t>
      </w:r>
      <w:r w:rsidRPr="00A779B8">
        <w:rPr>
          <w:lang w:val="fr-FR"/>
        </w:rPr>
        <w:t>un moteur à allumage commandé, y compris les véhicules hybrides, qui nécessitent l</w:t>
      </w:r>
      <w:r w:rsidR="00DB4C2D">
        <w:rPr>
          <w:lang w:val="fr-FR"/>
        </w:rPr>
        <w:t>’</w:t>
      </w:r>
      <w:r w:rsidRPr="00A779B8">
        <w:rPr>
          <w:lang w:val="fr-FR"/>
        </w:rPr>
        <w:t>usage d</w:t>
      </w:r>
      <w:r w:rsidR="00DB4C2D">
        <w:rPr>
          <w:lang w:val="fr-FR"/>
        </w:rPr>
        <w:t>’</w:t>
      </w:r>
      <w:r w:rsidRPr="00A779B8">
        <w:rPr>
          <w:lang w:val="fr-FR"/>
        </w:rPr>
        <w:t>un catalyseur comme principal système d</w:t>
      </w:r>
      <w:r w:rsidR="00DB4C2D">
        <w:rPr>
          <w:lang w:val="fr-FR"/>
        </w:rPr>
        <w:t>’</w:t>
      </w:r>
      <w:r w:rsidRPr="00A779B8">
        <w:rPr>
          <w:lang w:val="fr-FR"/>
        </w:rPr>
        <w:t>épuration aval des gaz.</w:t>
      </w:r>
    </w:p>
    <w:p w:rsidR="00A34FDC" w:rsidRPr="00A779B8" w:rsidRDefault="00A34FDC" w:rsidP="00A34FDC">
      <w:pPr>
        <w:pStyle w:val="SingleTxtG"/>
        <w:spacing w:after="100"/>
        <w:ind w:left="2268"/>
        <w:rPr>
          <w:spacing w:val="-3"/>
          <w:lang w:val="fr-FR"/>
        </w:rPr>
      </w:pPr>
      <w:r w:rsidRPr="00A779B8">
        <w:rPr>
          <w:lang w:val="fr-FR"/>
        </w:rPr>
        <w:tab/>
      </w:r>
      <w:r w:rsidRPr="00A779B8">
        <w:rPr>
          <w:spacing w:val="-3"/>
          <w:lang w:val="fr-FR"/>
        </w:rPr>
        <w:t>La procédure de vieillissement sur banc nécessite l</w:t>
      </w:r>
      <w:r w:rsidR="00DB4C2D">
        <w:rPr>
          <w:spacing w:val="-3"/>
          <w:lang w:val="fr-FR"/>
        </w:rPr>
        <w:t>’</w:t>
      </w:r>
      <w:r w:rsidRPr="00A779B8">
        <w:rPr>
          <w:spacing w:val="-3"/>
          <w:lang w:val="fr-FR"/>
        </w:rPr>
        <w:t>installation d</w:t>
      </w:r>
      <w:r w:rsidR="00DB4C2D">
        <w:rPr>
          <w:spacing w:val="-3"/>
          <w:lang w:val="fr-FR"/>
        </w:rPr>
        <w:t>’</w:t>
      </w:r>
      <w:r w:rsidRPr="00A779B8">
        <w:rPr>
          <w:spacing w:val="-3"/>
          <w:lang w:val="fr-FR"/>
        </w:rPr>
        <w:t>un système de catalyseur et de capteur d</w:t>
      </w:r>
      <w:r w:rsidR="00DB4C2D">
        <w:rPr>
          <w:spacing w:val="-3"/>
          <w:lang w:val="fr-FR"/>
        </w:rPr>
        <w:t>’</w:t>
      </w:r>
      <w:r w:rsidRPr="00A779B8">
        <w:rPr>
          <w:spacing w:val="-3"/>
          <w:lang w:val="fr-FR"/>
        </w:rPr>
        <w:t>oxygène sur un banc de vieillissement du catalyseur.</w:t>
      </w:r>
    </w:p>
    <w:p w:rsidR="00A34FDC" w:rsidRPr="00A779B8" w:rsidRDefault="00A34FDC" w:rsidP="00A34FDC">
      <w:pPr>
        <w:pStyle w:val="SingleTxtG"/>
        <w:spacing w:after="100"/>
        <w:ind w:left="2268"/>
        <w:rPr>
          <w:lang w:val="fr-FR"/>
        </w:rPr>
      </w:pPr>
      <w:r w:rsidRPr="00A779B8">
        <w:rPr>
          <w:lang w:val="fr-FR"/>
        </w:rPr>
        <w:tab/>
        <w:t>Le vieillissement sur banc est conduit suivant le SBC pour la période calculée à partir de l</w:t>
      </w:r>
      <w:r w:rsidR="00DB4C2D">
        <w:rPr>
          <w:lang w:val="fr-FR"/>
        </w:rPr>
        <w:t>’</w:t>
      </w:r>
      <w:r w:rsidRPr="00A779B8">
        <w:rPr>
          <w:lang w:val="fr-FR"/>
        </w:rPr>
        <w:t>équation du temps de vieillissement sur banc (BAT). L</w:t>
      </w:r>
      <w:r w:rsidR="00DB4C2D">
        <w:rPr>
          <w:lang w:val="fr-FR"/>
        </w:rPr>
        <w:t>’</w:t>
      </w:r>
      <w:r w:rsidRPr="00A779B8">
        <w:rPr>
          <w:lang w:val="fr-FR"/>
        </w:rPr>
        <w:t>équation BAT impose, à l</w:t>
      </w:r>
      <w:r w:rsidR="00DB4C2D">
        <w:rPr>
          <w:lang w:val="fr-FR"/>
        </w:rPr>
        <w:t>’</w:t>
      </w:r>
      <w:r w:rsidRPr="00A779B8">
        <w:rPr>
          <w:lang w:val="fr-FR"/>
        </w:rPr>
        <w:t>entrée, les données du temps de maintien en température du catalyseur mesurées lors du SRC, décrit à l</w:t>
      </w:r>
      <w:r w:rsidR="00DB4C2D">
        <w:rPr>
          <w:lang w:val="fr-FR"/>
        </w:rPr>
        <w:t>’</w:t>
      </w:r>
      <w:r w:rsidRPr="00A779B8">
        <w:rPr>
          <w:lang w:val="fr-FR"/>
        </w:rPr>
        <w:t>appendice 3 de la présente annexe.</w:t>
      </w:r>
    </w:p>
    <w:p w:rsidR="00A34FDC" w:rsidRPr="00A779B8" w:rsidRDefault="00A34FDC" w:rsidP="00A34FDC">
      <w:pPr>
        <w:pStyle w:val="SingleTxtG"/>
        <w:spacing w:after="100"/>
        <w:ind w:left="2268" w:hanging="1134"/>
        <w:rPr>
          <w:lang w:val="fr-FR"/>
        </w:rPr>
      </w:pPr>
      <w:r w:rsidRPr="00A779B8">
        <w:rPr>
          <w:lang w:val="fr-FR"/>
        </w:rPr>
        <w:t>2.3.1.2</w:t>
      </w:r>
      <w:r w:rsidRPr="00A779B8">
        <w:rPr>
          <w:lang w:val="fr-FR"/>
        </w:rPr>
        <w:tab/>
        <w:t>SBC. Le vieillissement normalisé sur banc du catalyseur est conduit suivant le SBC. Le SBC est réalisé pendant la période calculée à partir de l</w:t>
      </w:r>
      <w:r w:rsidR="00DB4C2D">
        <w:rPr>
          <w:lang w:val="fr-FR"/>
        </w:rPr>
        <w:t>’</w:t>
      </w:r>
      <w:r w:rsidRPr="00A779B8">
        <w:rPr>
          <w:lang w:val="fr-FR"/>
        </w:rPr>
        <w:t>équation BAT. Le SBC est décrit à l</w:t>
      </w:r>
      <w:r w:rsidR="00DB4C2D">
        <w:rPr>
          <w:lang w:val="fr-FR"/>
        </w:rPr>
        <w:t>’</w:t>
      </w:r>
      <w:r w:rsidRPr="00A779B8">
        <w:rPr>
          <w:lang w:val="fr-FR"/>
        </w:rPr>
        <w:t>appendice 1 de la présente annexe.</w:t>
      </w:r>
    </w:p>
    <w:p w:rsidR="00A34FDC" w:rsidRPr="00A779B8" w:rsidRDefault="00A34FDC" w:rsidP="00A34FDC">
      <w:pPr>
        <w:pStyle w:val="SingleTxtG"/>
        <w:spacing w:after="100"/>
        <w:ind w:left="2268" w:hanging="1134"/>
        <w:rPr>
          <w:lang w:val="fr-FR"/>
        </w:rPr>
      </w:pPr>
      <w:r w:rsidRPr="00A779B8">
        <w:rPr>
          <w:lang w:val="fr-FR"/>
        </w:rPr>
        <w:t>2.3.1.3</w:t>
      </w:r>
      <w:r w:rsidRPr="00A779B8">
        <w:rPr>
          <w:lang w:val="fr-FR"/>
        </w:rPr>
        <w:tab/>
        <w:t>Données du temps de maintien en température du catalyseur. La température du catalyseur est mesurée pendant au moins deux cycles complets du cycle SRC comme décrit à l</w:t>
      </w:r>
      <w:r w:rsidR="00DB4C2D">
        <w:rPr>
          <w:lang w:val="fr-FR"/>
        </w:rPr>
        <w:t>’</w:t>
      </w:r>
      <w:r w:rsidRPr="00A779B8">
        <w:rPr>
          <w:lang w:val="fr-FR"/>
        </w:rPr>
        <w:t>appendice 3 de la présente annexe.</w:t>
      </w:r>
    </w:p>
    <w:p w:rsidR="00A34FDC" w:rsidRPr="00A779B8" w:rsidRDefault="00A34FDC" w:rsidP="00A34FDC">
      <w:pPr>
        <w:pStyle w:val="SingleTxtG"/>
        <w:spacing w:after="100"/>
        <w:ind w:left="2268"/>
        <w:rPr>
          <w:lang w:val="fr-FR"/>
        </w:rPr>
      </w:pPr>
      <w:r w:rsidRPr="00A779B8">
        <w:rPr>
          <w:lang w:val="fr-FR"/>
        </w:rPr>
        <w:tab/>
        <w:t>La température du catalyseur doit être mesurée au point de la température la plus élevée du catalyseur le plus chaud du véhicule d</w:t>
      </w:r>
      <w:r w:rsidR="00DB4C2D">
        <w:rPr>
          <w:lang w:val="fr-FR"/>
        </w:rPr>
        <w:t>’</w:t>
      </w:r>
      <w:r w:rsidRPr="00A779B8">
        <w:rPr>
          <w:lang w:val="fr-FR"/>
        </w:rPr>
        <w:t>essai. La température peut aussi être mesurée à un autre point à condition d</w:t>
      </w:r>
      <w:r w:rsidR="00DB4C2D">
        <w:rPr>
          <w:lang w:val="fr-FR"/>
        </w:rPr>
        <w:t>’</w:t>
      </w:r>
      <w:r w:rsidRPr="00A779B8">
        <w:rPr>
          <w:lang w:val="fr-FR"/>
        </w:rPr>
        <w:t>être ajustée pour représenter la température mesurée au point le plus chaud sur la base de jugements techniques valables.</w:t>
      </w:r>
    </w:p>
    <w:p w:rsidR="00A34FDC" w:rsidRPr="00A779B8" w:rsidRDefault="00A34FDC" w:rsidP="00A34FDC">
      <w:pPr>
        <w:pStyle w:val="SingleTxtG"/>
        <w:spacing w:after="100"/>
        <w:ind w:left="2268"/>
        <w:rPr>
          <w:lang w:val="fr-FR"/>
        </w:rPr>
      </w:pPr>
      <w:r w:rsidRPr="00A779B8">
        <w:rPr>
          <w:lang w:val="fr-FR"/>
        </w:rPr>
        <w:tab/>
        <w:t>La température du catalyseur doit être mesurée à une fréquence minimale de 1 hertz (une mesure par seconde).</w:t>
      </w:r>
    </w:p>
    <w:p w:rsidR="00A34FDC" w:rsidRPr="00A779B8" w:rsidRDefault="00A34FDC" w:rsidP="00A34FDC">
      <w:pPr>
        <w:pStyle w:val="SingleTxtG"/>
        <w:spacing w:after="100"/>
        <w:ind w:left="2268"/>
        <w:rPr>
          <w:lang w:val="fr-FR"/>
        </w:rPr>
      </w:pPr>
      <w:r w:rsidRPr="00A779B8">
        <w:rPr>
          <w:lang w:val="fr-FR"/>
        </w:rPr>
        <w:tab/>
        <w:t>Les résultats de la température mesurée du catalyseur doivent être consignés dans un histogramme comprenant des plages de température ne dépassant pas 25 °C.</w:t>
      </w:r>
    </w:p>
    <w:p w:rsidR="00A34FDC" w:rsidRPr="00A779B8" w:rsidRDefault="00A34FDC" w:rsidP="00A34FDC">
      <w:pPr>
        <w:pStyle w:val="SingleTxtG"/>
        <w:spacing w:after="100"/>
        <w:ind w:left="2268" w:hanging="1134"/>
        <w:rPr>
          <w:lang w:val="fr-FR"/>
        </w:rPr>
      </w:pPr>
      <w:r w:rsidRPr="00A779B8">
        <w:rPr>
          <w:lang w:val="fr-FR"/>
        </w:rPr>
        <w:t>2.3.1.4</w:t>
      </w:r>
      <w:r w:rsidRPr="00A779B8">
        <w:rPr>
          <w:lang w:val="fr-FR"/>
        </w:rPr>
        <w:tab/>
        <w:t>Temps de vieillissement sur banc</w:t>
      </w:r>
      <w:r>
        <w:rPr>
          <w:lang w:val="fr-FR"/>
        </w:rPr>
        <w:t xml:space="preserve"> (BAT)</w:t>
      </w:r>
      <w:r w:rsidRPr="00A779B8">
        <w:rPr>
          <w:lang w:val="fr-FR"/>
        </w:rPr>
        <w:t>. Le temps de vieillissement sur banc doit être calculé sur la base de l</w:t>
      </w:r>
      <w:r w:rsidR="00DB4C2D">
        <w:rPr>
          <w:lang w:val="fr-FR"/>
        </w:rPr>
        <w:t>’</w:t>
      </w:r>
      <w:r w:rsidRPr="00A779B8">
        <w:rPr>
          <w:lang w:val="fr-FR"/>
        </w:rPr>
        <w:t>équation du BAT comme suit:</w:t>
      </w:r>
    </w:p>
    <w:p w:rsidR="00A34FDC" w:rsidRPr="00A779B8" w:rsidRDefault="00A34FDC" w:rsidP="00A34FDC">
      <w:pPr>
        <w:pStyle w:val="SingleTxtG"/>
        <w:spacing w:after="100"/>
        <w:ind w:left="5245" w:hanging="2977"/>
        <w:rPr>
          <w:lang w:val="fr-FR"/>
        </w:rPr>
      </w:pPr>
      <w:r w:rsidRPr="00A779B8">
        <w:rPr>
          <w:lang w:val="fr-FR"/>
        </w:rPr>
        <w:t>te pour un écart de température = th e((R/Tr) - (R/Tv))</w:t>
      </w:r>
    </w:p>
    <w:p w:rsidR="00A34FDC" w:rsidRPr="00A779B8" w:rsidRDefault="00A34FDC" w:rsidP="00A34FDC">
      <w:pPr>
        <w:pStyle w:val="SingleTxtG"/>
        <w:spacing w:after="100"/>
        <w:ind w:left="5245" w:hanging="2977"/>
        <w:rPr>
          <w:lang w:val="fr-FR"/>
        </w:rPr>
      </w:pPr>
      <w:r w:rsidRPr="00A779B8">
        <w:rPr>
          <w:lang w:val="fr-FR"/>
        </w:rPr>
        <w:t>te total = la somme de te sur toutes les plages de température</w:t>
      </w:r>
    </w:p>
    <w:p w:rsidR="00A34FDC" w:rsidRPr="00A779B8" w:rsidRDefault="00A34FDC" w:rsidP="00A34FDC">
      <w:pPr>
        <w:pStyle w:val="SingleTxtG"/>
        <w:spacing w:after="100"/>
        <w:ind w:left="5245" w:hanging="2977"/>
        <w:rPr>
          <w:lang w:val="fr-FR"/>
        </w:rPr>
      </w:pPr>
      <w:r w:rsidRPr="00A779B8">
        <w:rPr>
          <w:lang w:val="fr-FR"/>
        </w:rPr>
        <w:t>temps de vieillissement sur banc = A (total te)</w:t>
      </w:r>
    </w:p>
    <w:p w:rsidR="00A34FDC" w:rsidRPr="00A779B8" w:rsidRDefault="00A34FDC" w:rsidP="00A34FDC">
      <w:pPr>
        <w:pStyle w:val="SingleTxtG"/>
        <w:keepNext/>
        <w:spacing w:after="100"/>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57"/>
        <w:gridCol w:w="588"/>
        <w:gridCol w:w="5092"/>
      </w:tblGrid>
      <w:tr w:rsidR="00A34FDC" w:rsidRPr="007E29C4" w:rsidTr="00DB4C2D">
        <w:tc>
          <w:tcPr>
            <w:tcW w:w="567" w:type="dxa"/>
            <w:shd w:val="clear" w:color="auto" w:fill="auto"/>
          </w:tcPr>
          <w:p w:rsidR="00A34FDC" w:rsidRPr="007E29C4" w:rsidRDefault="00A34FDC" w:rsidP="00DB4C2D">
            <w:pPr>
              <w:spacing w:after="100"/>
              <w:rPr>
                <w:lang w:val="fr-FR"/>
              </w:rPr>
            </w:pPr>
            <w:r w:rsidRPr="007E29C4">
              <w:rPr>
                <w:lang w:val="fr-FR"/>
              </w:rPr>
              <w:t>A</w:t>
            </w:r>
          </w:p>
        </w:tc>
        <w:tc>
          <w:tcPr>
            <w:tcW w:w="600" w:type="dxa"/>
            <w:shd w:val="clear" w:color="auto" w:fill="auto"/>
          </w:tcPr>
          <w:p w:rsidR="00A34FDC" w:rsidRPr="007E29C4" w:rsidRDefault="00A34FDC" w:rsidP="00DB4C2D">
            <w:pPr>
              <w:spacing w:after="100"/>
              <w:rPr>
                <w:lang w:val="fr-FR"/>
              </w:rPr>
            </w:pPr>
            <w:r w:rsidRPr="007E29C4">
              <w:rPr>
                <w:lang w:val="fr-FR"/>
              </w:rPr>
              <w:t>= 1,1</w:t>
            </w:r>
          </w:p>
        </w:tc>
        <w:tc>
          <w:tcPr>
            <w:tcW w:w="5195" w:type="dxa"/>
            <w:shd w:val="clear" w:color="auto" w:fill="auto"/>
          </w:tcPr>
          <w:p w:rsidR="00A34FDC" w:rsidRPr="007E29C4" w:rsidRDefault="00A34FDC" w:rsidP="00DB4C2D">
            <w:pPr>
              <w:spacing w:after="100"/>
              <w:rPr>
                <w:lang w:val="fr-FR"/>
              </w:rPr>
            </w:pPr>
            <w:r w:rsidRPr="007E29C4">
              <w:rPr>
                <w:lang w:val="fr-FR"/>
              </w:rPr>
              <w:t>cette valeur sert à ajuster le temps de vieillissement du catalyseur pour tenir compte de la détérioration due à des sources autres que le vieillissement thermique du catalyseur,</w:t>
            </w:r>
          </w:p>
        </w:tc>
      </w:tr>
      <w:tr w:rsidR="00A34FDC" w:rsidRPr="007E29C4" w:rsidTr="00DB4C2D">
        <w:tc>
          <w:tcPr>
            <w:tcW w:w="567" w:type="dxa"/>
            <w:shd w:val="clear" w:color="auto" w:fill="auto"/>
          </w:tcPr>
          <w:p w:rsidR="00A34FDC" w:rsidRPr="007E29C4" w:rsidRDefault="00A34FDC" w:rsidP="00DB4C2D">
            <w:pPr>
              <w:spacing w:after="100"/>
              <w:rPr>
                <w:lang w:val="fr-FR"/>
              </w:rPr>
            </w:pPr>
            <w:r w:rsidRPr="007E29C4">
              <w:rPr>
                <w:lang w:val="fr-FR"/>
              </w:rPr>
              <w:t>R</w:t>
            </w:r>
          </w:p>
        </w:tc>
        <w:tc>
          <w:tcPr>
            <w:tcW w:w="600" w:type="dxa"/>
            <w:shd w:val="clear" w:color="auto" w:fill="auto"/>
          </w:tcPr>
          <w:p w:rsidR="00A34FDC" w:rsidRPr="007E29C4" w:rsidRDefault="00A34FDC" w:rsidP="00DB4C2D">
            <w:pPr>
              <w:spacing w:after="100"/>
              <w:rPr>
                <w:lang w:val="fr-FR"/>
              </w:rPr>
            </w:pPr>
            <w:r w:rsidRPr="007E29C4">
              <w:rPr>
                <w:lang w:val="fr-FR"/>
              </w:rPr>
              <w:t>=</w:t>
            </w:r>
          </w:p>
        </w:tc>
        <w:tc>
          <w:tcPr>
            <w:tcW w:w="5195" w:type="dxa"/>
            <w:shd w:val="clear" w:color="auto" w:fill="auto"/>
          </w:tcPr>
          <w:p w:rsidR="00A34FDC" w:rsidRPr="007E29C4" w:rsidRDefault="00A34FDC" w:rsidP="00DB4C2D">
            <w:pPr>
              <w:spacing w:after="100"/>
              <w:rPr>
                <w:lang w:val="fr-FR"/>
              </w:rPr>
            </w:pPr>
            <w:r w:rsidRPr="007E29C4">
              <w:rPr>
                <w:lang w:val="fr-FR"/>
              </w:rPr>
              <w:t>la réactivité thermique du catalyseur = 17 500,</w:t>
            </w:r>
          </w:p>
        </w:tc>
      </w:tr>
      <w:tr w:rsidR="00A34FDC" w:rsidRPr="007E29C4" w:rsidTr="00DB4C2D">
        <w:tc>
          <w:tcPr>
            <w:tcW w:w="567" w:type="dxa"/>
            <w:shd w:val="clear" w:color="auto" w:fill="auto"/>
          </w:tcPr>
          <w:p w:rsidR="00A34FDC" w:rsidRPr="007E29C4" w:rsidRDefault="00A34FDC" w:rsidP="00DB4C2D">
            <w:pPr>
              <w:keepNext/>
              <w:spacing w:after="100" w:line="236" w:lineRule="atLeast"/>
              <w:rPr>
                <w:lang w:val="fr-FR"/>
              </w:rPr>
            </w:pPr>
            <w:r w:rsidRPr="007E29C4">
              <w:rPr>
                <w:lang w:val="fr-FR"/>
              </w:rPr>
              <w:lastRenderedPageBreak/>
              <w:t>th</w:t>
            </w:r>
          </w:p>
        </w:tc>
        <w:tc>
          <w:tcPr>
            <w:tcW w:w="600" w:type="dxa"/>
            <w:shd w:val="clear" w:color="auto" w:fill="auto"/>
          </w:tcPr>
          <w:p w:rsidR="00A34FDC" w:rsidRPr="007E29C4" w:rsidRDefault="00A34FDC" w:rsidP="00DB4C2D">
            <w:pPr>
              <w:keepNext/>
              <w:spacing w:after="100" w:line="236" w:lineRule="atLeast"/>
              <w:rPr>
                <w:lang w:val="fr-FR"/>
              </w:rPr>
            </w:pPr>
            <w:r w:rsidRPr="007E29C4">
              <w:rPr>
                <w:lang w:val="fr-FR"/>
              </w:rPr>
              <w:t>=</w:t>
            </w:r>
          </w:p>
        </w:tc>
        <w:tc>
          <w:tcPr>
            <w:tcW w:w="5195" w:type="dxa"/>
            <w:shd w:val="clear" w:color="auto" w:fill="auto"/>
          </w:tcPr>
          <w:p w:rsidR="00A34FDC" w:rsidRPr="007E29C4" w:rsidRDefault="00A34FDC" w:rsidP="00DB4C2D">
            <w:pPr>
              <w:keepNext/>
              <w:spacing w:after="100" w:line="236" w:lineRule="atLeast"/>
              <w:rPr>
                <w:lang w:val="fr-FR"/>
              </w:rPr>
            </w:pPr>
            <w:r w:rsidRPr="007E29C4">
              <w:rPr>
                <w:lang w:val="fr-FR"/>
              </w:rPr>
              <w:t>le temps (en heures) mesuré pour l</w:t>
            </w:r>
            <w:r w:rsidR="00DB4C2D">
              <w:rPr>
                <w:lang w:val="fr-FR"/>
              </w:rPr>
              <w:t>’</w:t>
            </w:r>
            <w:r w:rsidRPr="007E29C4">
              <w:rPr>
                <w:lang w:val="fr-FR"/>
              </w:rPr>
              <w:t>écart de température prescrit de l</w:t>
            </w:r>
            <w:r w:rsidR="00DB4C2D">
              <w:rPr>
                <w:lang w:val="fr-FR"/>
              </w:rPr>
              <w:t>’</w:t>
            </w:r>
            <w:r w:rsidRPr="007E29C4">
              <w:rPr>
                <w:lang w:val="fr-FR"/>
              </w:rPr>
              <w:t>histogramme de la température du catalyseur du véhicule ajusté sur la base de la durée de vie utile totale: par exemple, si l</w:t>
            </w:r>
            <w:r w:rsidR="00DB4C2D">
              <w:rPr>
                <w:lang w:val="fr-FR"/>
              </w:rPr>
              <w:t>’</w:t>
            </w:r>
            <w:r w:rsidRPr="007E29C4">
              <w:rPr>
                <w:lang w:val="fr-FR"/>
              </w:rPr>
              <w:t>histogramme représente 400 km et si la durée de vie utile est de 160 000 km, toutes les entrées de temps dans l</w:t>
            </w:r>
            <w:r w:rsidR="00DB4C2D">
              <w:rPr>
                <w:lang w:val="fr-FR"/>
              </w:rPr>
              <w:t>’</w:t>
            </w:r>
            <w:r w:rsidRPr="007E29C4">
              <w:rPr>
                <w:lang w:val="fr-FR"/>
              </w:rPr>
              <w:t>histogramme sont multipliées par 400 (160 000/400),</w:t>
            </w:r>
          </w:p>
        </w:tc>
      </w:tr>
      <w:tr w:rsidR="00A34FDC" w:rsidRPr="007E29C4" w:rsidTr="00DB4C2D">
        <w:tc>
          <w:tcPr>
            <w:tcW w:w="567" w:type="dxa"/>
            <w:shd w:val="clear" w:color="auto" w:fill="auto"/>
          </w:tcPr>
          <w:p w:rsidR="00A34FDC" w:rsidRPr="007E29C4" w:rsidRDefault="00A34FDC" w:rsidP="00DB4C2D">
            <w:pPr>
              <w:spacing w:after="100" w:line="236" w:lineRule="atLeast"/>
              <w:rPr>
                <w:lang w:val="fr-FR"/>
              </w:rPr>
            </w:pPr>
            <w:r w:rsidRPr="007E29C4">
              <w:rPr>
                <w:lang w:val="fr-FR"/>
              </w:rPr>
              <w:t>te total</w:t>
            </w:r>
          </w:p>
        </w:tc>
        <w:tc>
          <w:tcPr>
            <w:tcW w:w="600" w:type="dxa"/>
            <w:shd w:val="clear" w:color="auto" w:fill="auto"/>
          </w:tcPr>
          <w:p w:rsidR="00A34FDC" w:rsidRPr="007E29C4" w:rsidRDefault="00A34FDC" w:rsidP="00DB4C2D">
            <w:pPr>
              <w:spacing w:after="100" w:line="236" w:lineRule="atLeast"/>
              <w:rPr>
                <w:lang w:val="fr-FR"/>
              </w:rPr>
            </w:pPr>
            <w:r w:rsidRPr="007E29C4">
              <w:rPr>
                <w:lang w:val="fr-FR"/>
              </w:rPr>
              <w:t>=</w:t>
            </w:r>
          </w:p>
        </w:tc>
        <w:tc>
          <w:tcPr>
            <w:tcW w:w="5195" w:type="dxa"/>
            <w:shd w:val="clear" w:color="auto" w:fill="auto"/>
          </w:tcPr>
          <w:p w:rsidR="00A34FDC" w:rsidRPr="007E29C4" w:rsidRDefault="00A34FDC" w:rsidP="00DB4C2D">
            <w:pPr>
              <w:spacing w:after="100" w:line="236" w:lineRule="atLeast"/>
              <w:rPr>
                <w:lang w:val="fr-FR"/>
              </w:rPr>
            </w:pPr>
            <w:r w:rsidRPr="007E29C4">
              <w:rPr>
                <w:lang w:val="fr-FR"/>
              </w:rPr>
              <w:t>le temps équivalent (en heures) nécessaire pour vieillir le catalyseur à la température Tr sur le banc de vieillissement du catalyseur en utilisant le cycle de vieillissement du catalyseur pour produire le même niveau de détérioration subi par le catalyseur par suite de la désactivation thermique sur les 160 000 km,</w:t>
            </w:r>
          </w:p>
        </w:tc>
      </w:tr>
      <w:tr w:rsidR="00A34FDC" w:rsidRPr="007E29C4" w:rsidTr="00DB4C2D">
        <w:tc>
          <w:tcPr>
            <w:tcW w:w="567" w:type="dxa"/>
            <w:shd w:val="clear" w:color="auto" w:fill="auto"/>
          </w:tcPr>
          <w:p w:rsidR="00A34FDC" w:rsidRPr="007E29C4" w:rsidRDefault="00A34FDC" w:rsidP="00DB4C2D">
            <w:pPr>
              <w:spacing w:after="100" w:line="236" w:lineRule="atLeast"/>
              <w:rPr>
                <w:lang w:val="fr-FR"/>
              </w:rPr>
            </w:pPr>
            <w:r w:rsidRPr="007E29C4">
              <w:rPr>
                <w:lang w:val="fr-FR"/>
              </w:rPr>
              <w:t>te pour un écart</w:t>
            </w:r>
          </w:p>
        </w:tc>
        <w:tc>
          <w:tcPr>
            <w:tcW w:w="600" w:type="dxa"/>
            <w:shd w:val="clear" w:color="auto" w:fill="auto"/>
          </w:tcPr>
          <w:p w:rsidR="00A34FDC" w:rsidRPr="007E29C4" w:rsidRDefault="00A34FDC" w:rsidP="00DB4C2D">
            <w:pPr>
              <w:spacing w:after="100" w:line="236" w:lineRule="atLeast"/>
              <w:rPr>
                <w:lang w:val="fr-FR"/>
              </w:rPr>
            </w:pPr>
            <w:r w:rsidRPr="007E29C4">
              <w:rPr>
                <w:lang w:val="fr-FR"/>
              </w:rPr>
              <w:t>=</w:t>
            </w:r>
          </w:p>
        </w:tc>
        <w:tc>
          <w:tcPr>
            <w:tcW w:w="5195" w:type="dxa"/>
            <w:shd w:val="clear" w:color="auto" w:fill="auto"/>
          </w:tcPr>
          <w:p w:rsidR="00A34FDC" w:rsidRPr="007E29C4" w:rsidRDefault="00A34FDC" w:rsidP="00DB4C2D">
            <w:pPr>
              <w:spacing w:after="100" w:line="236" w:lineRule="atLeast"/>
              <w:rPr>
                <w:lang w:val="fr-FR"/>
              </w:rPr>
            </w:pPr>
            <w:r w:rsidRPr="007E29C4">
              <w:rPr>
                <w:lang w:val="fr-FR"/>
              </w:rPr>
              <w:t>le temps équivalent (en heures) nécessaire pour vieillir le catalyseur à la température Tr sur le banc de vieillissement du catalyseur en utilisant le cycle de vieillissement du catalyseur pour produire le même niveau de détérioration subi par le catalyseur par suite de la désactivation thermique pour l</w:t>
            </w:r>
            <w:r w:rsidR="00DB4C2D">
              <w:rPr>
                <w:lang w:val="fr-FR"/>
              </w:rPr>
              <w:t>’</w:t>
            </w:r>
            <w:r w:rsidRPr="007E29C4">
              <w:rPr>
                <w:lang w:val="fr-FR"/>
              </w:rPr>
              <w:t>écart de température Tv sur 160 000 km,</w:t>
            </w:r>
          </w:p>
        </w:tc>
      </w:tr>
      <w:tr w:rsidR="00A34FDC" w:rsidRPr="007E29C4" w:rsidTr="00DB4C2D">
        <w:tc>
          <w:tcPr>
            <w:tcW w:w="567" w:type="dxa"/>
            <w:shd w:val="clear" w:color="auto" w:fill="auto"/>
          </w:tcPr>
          <w:p w:rsidR="00A34FDC" w:rsidRPr="007E29C4" w:rsidRDefault="00A34FDC" w:rsidP="00DB4C2D">
            <w:pPr>
              <w:spacing w:after="100" w:line="236" w:lineRule="atLeast"/>
              <w:rPr>
                <w:lang w:val="fr-FR"/>
              </w:rPr>
            </w:pPr>
            <w:r w:rsidRPr="007E29C4">
              <w:rPr>
                <w:lang w:val="fr-FR"/>
              </w:rPr>
              <w:t>Tr</w:t>
            </w:r>
          </w:p>
        </w:tc>
        <w:tc>
          <w:tcPr>
            <w:tcW w:w="600" w:type="dxa"/>
            <w:shd w:val="clear" w:color="auto" w:fill="auto"/>
          </w:tcPr>
          <w:p w:rsidR="00A34FDC" w:rsidRPr="007E29C4" w:rsidRDefault="00A34FDC" w:rsidP="00DB4C2D">
            <w:pPr>
              <w:spacing w:after="100" w:line="236" w:lineRule="atLeast"/>
              <w:rPr>
                <w:lang w:val="fr-FR"/>
              </w:rPr>
            </w:pPr>
            <w:r w:rsidRPr="007E29C4">
              <w:rPr>
                <w:lang w:val="fr-FR"/>
              </w:rPr>
              <w:t>=</w:t>
            </w:r>
          </w:p>
        </w:tc>
        <w:tc>
          <w:tcPr>
            <w:tcW w:w="5195" w:type="dxa"/>
            <w:shd w:val="clear" w:color="auto" w:fill="auto"/>
          </w:tcPr>
          <w:p w:rsidR="00A34FDC" w:rsidRPr="007E29C4" w:rsidRDefault="00A34FDC" w:rsidP="00DB4C2D">
            <w:pPr>
              <w:spacing w:after="100" w:line="236" w:lineRule="atLeast"/>
              <w:rPr>
                <w:lang w:val="fr-FR"/>
              </w:rPr>
            </w:pPr>
            <w:r w:rsidRPr="007E29C4">
              <w:rPr>
                <w:lang w:val="fr-FR"/>
              </w:rPr>
              <w:t>la température de référence effective (en K) du catalyseur sur le parcours sur banc du catalyseur au cours du cycle de vieillissement sur banc. La température effective est la température constante qui résulterait du même niveau de vieillissement que les diverses températures enregistrées au cours du cycle de vieillissement sur banc,</w:t>
            </w:r>
          </w:p>
        </w:tc>
      </w:tr>
      <w:tr w:rsidR="00A34FDC" w:rsidRPr="007E29C4" w:rsidTr="00DB4C2D">
        <w:tc>
          <w:tcPr>
            <w:tcW w:w="567" w:type="dxa"/>
            <w:shd w:val="clear" w:color="auto" w:fill="auto"/>
          </w:tcPr>
          <w:p w:rsidR="00A34FDC" w:rsidRPr="007E29C4" w:rsidRDefault="00A34FDC" w:rsidP="00DB4C2D">
            <w:pPr>
              <w:spacing w:after="100"/>
              <w:rPr>
                <w:lang w:val="fr-FR"/>
              </w:rPr>
            </w:pPr>
            <w:r w:rsidRPr="007E29C4">
              <w:rPr>
                <w:lang w:val="fr-FR"/>
              </w:rPr>
              <w:t>Tv</w:t>
            </w:r>
          </w:p>
        </w:tc>
        <w:tc>
          <w:tcPr>
            <w:tcW w:w="600" w:type="dxa"/>
            <w:shd w:val="clear" w:color="auto" w:fill="auto"/>
          </w:tcPr>
          <w:p w:rsidR="00A34FDC" w:rsidRPr="007E29C4" w:rsidRDefault="00A34FDC" w:rsidP="00DB4C2D">
            <w:pPr>
              <w:spacing w:after="100"/>
              <w:rPr>
                <w:lang w:val="fr-FR"/>
              </w:rPr>
            </w:pPr>
            <w:r w:rsidRPr="007E29C4">
              <w:rPr>
                <w:lang w:val="fr-FR"/>
              </w:rPr>
              <w:t>=</w:t>
            </w:r>
          </w:p>
        </w:tc>
        <w:tc>
          <w:tcPr>
            <w:tcW w:w="5195" w:type="dxa"/>
            <w:shd w:val="clear" w:color="auto" w:fill="auto"/>
          </w:tcPr>
          <w:p w:rsidR="00A34FDC" w:rsidRPr="007E29C4" w:rsidRDefault="00A34FDC" w:rsidP="00DB4C2D">
            <w:pPr>
              <w:spacing w:after="100"/>
              <w:rPr>
                <w:lang w:val="fr-FR"/>
              </w:rPr>
            </w:pPr>
            <w:r w:rsidRPr="007E29C4">
              <w:rPr>
                <w:lang w:val="fr-FR"/>
              </w:rPr>
              <w:t>la température au point moyen (en K) de l</w:t>
            </w:r>
            <w:r w:rsidR="00DB4C2D">
              <w:rPr>
                <w:lang w:val="fr-FR"/>
              </w:rPr>
              <w:t>’</w:t>
            </w:r>
            <w:r w:rsidRPr="007E29C4">
              <w:rPr>
                <w:lang w:val="fr-FR"/>
              </w:rPr>
              <w:t>écart de température de l</w:t>
            </w:r>
            <w:r w:rsidR="00DB4C2D">
              <w:rPr>
                <w:lang w:val="fr-FR"/>
              </w:rPr>
              <w:t>’</w:t>
            </w:r>
            <w:r w:rsidRPr="007E29C4">
              <w:rPr>
                <w:lang w:val="fr-FR"/>
              </w:rPr>
              <w:t>histogramme de température du catalyseur du véhicule sur route.</w:t>
            </w:r>
          </w:p>
        </w:tc>
      </w:tr>
    </w:tbl>
    <w:p w:rsidR="00A34FDC" w:rsidRPr="00A779B8" w:rsidRDefault="00A34FDC" w:rsidP="00A34FDC">
      <w:pPr>
        <w:pStyle w:val="SingleTxtG"/>
        <w:spacing w:after="100" w:line="236" w:lineRule="atLeast"/>
        <w:ind w:left="2268" w:hanging="1134"/>
        <w:rPr>
          <w:lang w:val="fr-FR"/>
        </w:rPr>
      </w:pPr>
      <w:r w:rsidRPr="00A779B8">
        <w:rPr>
          <w:lang w:val="fr-FR"/>
        </w:rPr>
        <w:t>2.3.1.5</w:t>
      </w:r>
      <w:r w:rsidRPr="00A779B8">
        <w:rPr>
          <w:lang w:val="fr-FR"/>
        </w:rPr>
        <w:tab/>
        <w:t>Température de référence effective du SBC. La température de référence effective du SBC</w:t>
      </w:r>
      <w:r>
        <w:rPr>
          <w:lang w:val="fr-FR"/>
        </w:rPr>
        <w:t xml:space="preserve"> </w:t>
      </w:r>
      <w:r w:rsidRPr="00A779B8">
        <w:rPr>
          <w:lang w:val="fr-FR"/>
        </w:rPr>
        <w:t>doit être déterminée en fonction de la conception du système de catalyseur réel et du banc de vieillissement réel qui seront utilisés sur la base des procédures suivantes:</w:t>
      </w:r>
    </w:p>
    <w:p w:rsidR="00A34FDC" w:rsidRPr="00A779B8" w:rsidRDefault="00A34FDC" w:rsidP="00A34FDC">
      <w:pPr>
        <w:pStyle w:val="SingleTxtG"/>
        <w:spacing w:after="100" w:line="236" w:lineRule="atLeast"/>
        <w:ind w:left="2835" w:hanging="567"/>
        <w:rPr>
          <w:lang w:val="fr-FR"/>
        </w:rPr>
      </w:pPr>
      <w:r w:rsidRPr="00A779B8">
        <w:rPr>
          <w:lang w:val="fr-FR"/>
        </w:rPr>
        <w:t>a)</w:t>
      </w:r>
      <w:r w:rsidRPr="00A779B8">
        <w:rPr>
          <w:lang w:val="fr-FR"/>
        </w:rPr>
        <w:tab/>
        <w:t>Mesure des données du temps de maintien en température dans le système catalyseur sur le banc de vieillissement du catalyseur suivant le SBC. La température du catalyseur doit être mesurée au point de la température la plus élevée du catalyseur le plus chaud du système. La température peut aussi être mesurée à un autre point à condition d</w:t>
      </w:r>
      <w:r w:rsidR="00DB4C2D">
        <w:rPr>
          <w:lang w:val="fr-FR"/>
        </w:rPr>
        <w:t>’</w:t>
      </w:r>
      <w:r w:rsidRPr="00A779B8">
        <w:rPr>
          <w:lang w:val="fr-FR"/>
        </w:rPr>
        <w:t>être ajustée pour représenter la température mesurée au point le plus chaud;</w:t>
      </w:r>
    </w:p>
    <w:p w:rsidR="00A34FDC" w:rsidRPr="00A779B8" w:rsidRDefault="00A34FDC" w:rsidP="00A34FDC">
      <w:pPr>
        <w:pStyle w:val="SingleTxtG"/>
        <w:spacing w:after="100" w:line="236" w:lineRule="atLeast"/>
        <w:ind w:left="2835"/>
        <w:rPr>
          <w:lang w:val="fr-FR"/>
        </w:rPr>
      </w:pPr>
      <w:r w:rsidRPr="00A779B8">
        <w:rPr>
          <w:lang w:val="fr-FR"/>
        </w:rPr>
        <w:tab/>
        <w:t>La température du catalyseur doit être mesurée à une fréquence minimale de 1 hertz (une mesure par seconde) pendant au moins 20 min de vieillissement sur banc. La température mesurée du catalyseur qui en résulte doit être consignée dans un histogramme comprenant des plages de température dont la largeur ne dépasse pas 10 °C;</w:t>
      </w:r>
    </w:p>
    <w:p w:rsidR="00A34FDC" w:rsidRPr="00A779B8" w:rsidRDefault="00A34FDC" w:rsidP="00A34FDC">
      <w:pPr>
        <w:pStyle w:val="SingleTxtG"/>
        <w:spacing w:after="100" w:line="236" w:lineRule="atLeast"/>
        <w:ind w:left="2835" w:hanging="567"/>
        <w:rPr>
          <w:lang w:val="fr-FR"/>
        </w:rPr>
      </w:pPr>
      <w:r w:rsidRPr="00A779B8">
        <w:rPr>
          <w:lang w:val="fr-FR"/>
        </w:rPr>
        <w:t>b)</w:t>
      </w:r>
      <w:r w:rsidRPr="00A779B8">
        <w:rPr>
          <w:lang w:val="fr-FR"/>
        </w:rPr>
        <w:tab/>
        <w:t>L</w:t>
      </w:r>
      <w:r w:rsidR="00DB4C2D">
        <w:rPr>
          <w:lang w:val="fr-FR"/>
        </w:rPr>
        <w:t>’</w:t>
      </w:r>
      <w:r w:rsidRPr="00A779B8">
        <w:rPr>
          <w:lang w:val="fr-FR"/>
        </w:rPr>
        <w:t>équation BAT doit être utilisée pour calculer la température de référence effective par des changements itératifs de la température de référence (Tr) jusqu</w:t>
      </w:r>
      <w:r w:rsidR="00DB4C2D">
        <w:rPr>
          <w:lang w:val="fr-FR"/>
        </w:rPr>
        <w:t>’</w:t>
      </w:r>
      <w:r w:rsidRPr="00A779B8">
        <w:rPr>
          <w:lang w:val="fr-FR"/>
        </w:rPr>
        <w:t>à ce que le temps de vieillissement calculé soit au moins égal au temps effectif représenté par l</w:t>
      </w:r>
      <w:r w:rsidR="00DB4C2D">
        <w:rPr>
          <w:lang w:val="fr-FR"/>
        </w:rPr>
        <w:t>’</w:t>
      </w:r>
      <w:r w:rsidRPr="00A779B8">
        <w:rPr>
          <w:lang w:val="fr-FR"/>
        </w:rPr>
        <w:t>histogramme de température du catalyseur. La température qui en résulte est la température de référence effective du SBC pour ce système de catalyseur et le banc de vieillissement.</w:t>
      </w:r>
    </w:p>
    <w:p w:rsidR="00A34FDC" w:rsidRPr="00A779B8" w:rsidRDefault="00A34FDC" w:rsidP="00A34FDC">
      <w:pPr>
        <w:pStyle w:val="SingleTxtG"/>
        <w:ind w:left="2268" w:hanging="1134"/>
        <w:rPr>
          <w:lang w:val="fr-FR"/>
        </w:rPr>
      </w:pPr>
      <w:r w:rsidRPr="00A779B8">
        <w:rPr>
          <w:lang w:val="fr-FR"/>
        </w:rPr>
        <w:lastRenderedPageBreak/>
        <w:t>2.3.1.6</w:t>
      </w:r>
      <w:r w:rsidRPr="00A779B8">
        <w:rPr>
          <w:lang w:val="fr-FR"/>
        </w:rPr>
        <w:tab/>
        <w:t>Banc de vieillissement du catalyseur. Le banc de vieillissement du catalyseur doit suivre le SBC et produire le débit, la composition et la température requis des gaz d</w:t>
      </w:r>
      <w:r w:rsidR="00DB4C2D">
        <w:rPr>
          <w:lang w:val="fr-FR"/>
        </w:rPr>
        <w:t>’</w:t>
      </w:r>
      <w:r w:rsidRPr="00A779B8">
        <w:rPr>
          <w:lang w:val="fr-FR"/>
        </w:rPr>
        <w:t>échappement à l</w:t>
      </w:r>
      <w:r w:rsidR="00DB4C2D">
        <w:rPr>
          <w:lang w:val="fr-FR"/>
        </w:rPr>
        <w:t>’</w:t>
      </w:r>
      <w:r w:rsidRPr="00A779B8">
        <w:rPr>
          <w:lang w:val="fr-FR"/>
        </w:rPr>
        <w:t>entrée du catalyseur.</w:t>
      </w:r>
    </w:p>
    <w:p w:rsidR="00A34FDC" w:rsidRPr="00A779B8" w:rsidRDefault="00A34FDC" w:rsidP="00A34FDC">
      <w:pPr>
        <w:pStyle w:val="SingleTxtG"/>
        <w:ind w:left="2268"/>
        <w:rPr>
          <w:lang w:val="fr-FR"/>
        </w:rPr>
      </w:pPr>
      <w:r w:rsidRPr="00A779B8">
        <w:rPr>
          <w:lang w:val="fr-FR"/>
        </w:rPr>
        <w:tab/>
        <w:t>L</w:t>
      </w:r>
      <w:r w:rsidR="00DB4C2D">
        <w:rPr>
          <w:lang w:val="fr-FR"/>
        </w:rPr>
        <w:t>’</w:t>
      </w:r>
      <w:r w:rsidRPr="00A779B8">
        <w:rPr>
          <w:lang w:val="fr-FR"/>
        </w:rPr>
        <w:t>ensemble de l</w:t>
      </w:r>
      <w:r w:rsidR="00DB4C2D">
        <w:rPr>
          <w:lang w:val="fr-FR"/>
        </w:rPr>
        <w:t>’</w:t>
      </w:r>
      <w:r w:rsidRPr="00A779B8">
        <w:rPr>
          <w:lang w:val="fr-FR"/>
        </w:rPr>
        <w:t>équipement et des procédures du vieillissement sur banc sert à enregistrer l</w:t>
      </w:r>
      <w:r w:rsidR="00DB4C2D">
        <w:rPr>
          <w:lang w:val="fr-FR"/>
        </w:rPr>
        <w:t>’</w:t>
      </w:r>
      <w:r w:rsidRPr="00A779B8">
        <w:rPr>
          <w:lang w:val="fr-FR"/>
        </w:rPr>
        <w:t>information appropriée (telle que les rapports A/F mesurés et le temps de maintien en température du catalyseur) pour garantir un vieillissement suffisant.</w:t>
      </w:r>
    </w:p>
    <w:p w:rsidR="00A34FDC" w:rsidRPr="00A779B8" w:rsidRDefault="00A34FDC" w:rsidP="00A34FDC">
      <w:pPr>
        <w:pStyle w:val="SingleTxtG"/>
        <w:ind w:left="2268" w:hanging="1134"/>
        <w:rPr>
          <w:lang w:val="fr-FR"/>
        </w:rPr>
      </w:pPr>
      <w:r w:rsidRPr="00A779B8">
        <w:rPr>
          <w:lang w:val="fr-FR"/>
        </w:rPr>
        <w:t>2.3.1.7</w:t>
      </w:r>
      <w:r w:rsidRPr="00A779B8">
        <w:rPr>
          <w:lang w:val="fr-FR"/>
        </w:rPr>
        <w:tab/>
        <w:t>Essais requis. Pour calculer les facteurs de détérioration, il convient de conduire sur le véhicule d</w:t>
      </w:r>
      <w:r w:rsidR="00DB4C2D">
        <w:rPr>
          <w:lang w:val="fr-FR"/>
        </w:rPr>
        <w:t>’</w:t>
      </w:r>
      <w:r w:rsidRPr="00A779B8">
        <w:rPr>
          <w:lang w:val="fr-FR"/>
        </w:rPr>
        <w:t>essai au moins deux essais du type I avant le vieillissement sur banc du système de contrôle des émissions et au moins deux essais du type I après la réinstallation du système de contrôle des émissions vieilli sur banc.</w:t>
      </w:r>
    </w:p>
    <w:p w:rsidR="00A34FDC" w:rsidRPr="00A779B8" w:rsidRDefault="00A34FDC" w:rsidP="00A34FDC">
      <w:pPr>
        <w:pStyle w:val="SingleTxtG"/>
        <w:ind w:left="2268"/>
        <w:rPr>
          <w:lang w:val="fr-FR"/>
        </w:rPr>
      </w:pPr>
      <w:r w:rsidRPr="00A779B8">
        <w:rPr>
          <w:lang w:val="fr-FR"/>
        </w:rPr>
        <w:tab/>
        <w:t>Des essais supplémentaires peuvent être menés par le constructeur. Le calcul des facteurs de détérioration doit être fait selon la méthode de calcul spécifiée au paragraphe 7 de la présente annexe.</w:t>
      </w:r>
    </w:p>
    <w:p w:rsidR="00A34FDC" w:rsidRPr="00A779B8" w:rsidRDefault="00A34FDC" w:rsidP="00A34FDC">
      <w:pPr>
        <w:pStyle w:val="SingleTxtG"/>
        <w:keepNext/>
        <w:ind w:left="2268" w:hanging="1134"/>
        <w:jc w:val="left"/>
        <w:rPr>
          <w:iCs/>
          <w:lang w:val="fr-FR"/>
        </w:rPr>
      </w:pPr>
      <w:r w:rsidRPr="00A779B8">
        <w:rPr>
          <w:lang w:val="fr-FR"/>
        </w:rPr>
        <w:t>2.3.2</w:t>
      </w:r>
      <w:r w:rsidRPr="00A779B8">
        <w:rPr>
          <w:lang w:val="fr-FR"/>
        </w:rPr>
        <w:tab/>
      </w:r>
      <w:r w:rsidRPr="00A779B8">
        <w:rPr>
          <w:iCs/>
          <w:lang w:val="fr-FR"/>
        </w:rPr>
        <w:t>Véhicules équipés de moteurs à allumage par compression</w:t>
      </w:r>
    </w:p>
    <w:p w:rsidR="00A34FDC" w:rsidRPr="00A779B8" w:rsidRDefault="00A34FDC" w:rsidP="00A34FDC">
      <w:pPr>
        <w:pStyle w:val="SingleTxtG"/>
        <w:ind w:left="2268" w:hanging="1134"/>
        <w:rPr>
          <w:lang w:val="fr-FR"/>
        </w:rPr>
      </w:pPr>
      <w:r w:rsidRPr="00A779B8">
        <w:rPr>
          <w:lang w:val="fr-FR"/>
        </w:rPr>
        <w:t>2.3.2.1</w:t>
      </w:r>
      <w:r w:rsidRPr="00A779B8">
        <w:rPr>
          <w:lang w:val="fr-FR"/>
        </w:rPr>
        <w:tab/>
        <w:t>La procédure ci-dessous de vieillissement sur banc s</w:t>
      </w:r>
      <w:r w:rsidR="00DB4C2D">
        <w:rPr>
          <w:lang w:val="fr-FR"/>
        </w:rPr>
        <w:t>’</w:t>
      </w:r>
      <w:r w:rsidRPr="00A779B8">
        <w:rPr>
          <w:lang w:val="fr-FR"/>
        </w:rPr>
        <w:t>applique aux véhicules à allumage par compression, y compris les véhicules hybrides.</w:t>
      </w:r>
    </w:p>
    <w:p w:rsidR="00A34FDC" w:rsidRPr="00A779B8" w:rsidRDefault="00A34FDC" w:rsidP="00A34FDC">
      <w:pPr>
        <w:pStyle w:val="SingleTxtG"/>
        <w:ind w:left="2268"/>
        <w:rPr>
          <w:lang w:val="fr-FR"/>
        </w:rPr>
      </w:pPr>
      <w:r w:rsidRPr="00A779B8">
        <w:rPr>
          <w:lang w:val="fr-FR"/>
        </w:rPr>
        <w:tab/>
        <w:t>La procédure de vieillissement sur banc impose l</w:t>
      </w:r>
      <w:r w:rsidR="00DB4C2D">
        <w:rPr>
          <w:lang w:val="fr-FR"/>
        </w:rPr>
        <w:t>’</w:t>
      </w:r>
      <w:r w:rsidRPr="00A779B8">
        <w:rPr>
          <w:lang w:val="fr-FR"/>
        </w:rPr>
        <w:t>installation d</w:t>
      </w:r>
      <w:r w:rsidR="00DB4C2D">
        <w:rPr>
          <w:lang w:val="fr-FR"/>
        </w:rPr>
        <w:t>’</w:t>
      </w:r>
      <w:r w:rsidRPr="00A779B8">
        <w:rPr>
          <w:lang w:val="fr-FR"/>
        </w:rPr>
        <w:t>un système d</w:t>
      </w:r>
      <w:r w:rsidR="00DB4C2D">
        <w:rPr>
          <w:lang w:val="fr-FR"/>
        </w:rPr>
        <w:t>’</w:t>
      </w:r>
      <w:r w:rsidRPr="00A779B8">
        <w:rPr>
          <w:lang w:val="fr-FR"/>
        </w:rPr>
        <w:t>épuration aval sur banc de vieillissement.</w:t>
      </w:r>
    </w:p>
    <w:p w:rsidR="00A34FDC" w:rsidRPr="00A779B8" w:rsidRDefault="00A34FDC" w:rsidP="00A34FDC">
      <w:pPr>
        <w:pStyle w:val="SingleTxtG"/>
        <w:ind w:left="2268"/>
        <w:rPr>
          <w:lang w:val="fr-FR"/>
        </w:rPr>
      </w:pPr>
      <w:r w:rsidRPr="00A779B8">
        <w:rPr>
          <w:lang w:val="fr-FR"/>
        </w:rPr>
        <w:tab/>
        <w:t>Le vieillissement sur banc est conduit suivant le cycle normalisé sur banc diesel (SDBC) pour le nombre de régénérations/désulfurations calculé sur la base de l</w:t>
      </w:r>
      <w:r w:rsidR="00DB4C2D">
        <w:rPr>
          <w:lang w:val="fr-FR"/>
        </w:rPr>
        <w:t>’</w:t>
      </w:r>
      <w:r w:rsidRPr="00A779B8">
        <w:rPr>
          <w:lang w:val="fr-FR"/>
        </w:rPr>
        <w:t>équation de la durée du vieillissement sur banc (BAD).</w:t>
      </w:r>
    </w:p>
    <w:p w:rsidR="00A34FDC" w:rsidRPr="00A779B8" w:rsidRDefault="00A34FDC" w:rsidP="00A34FDC">
      <w:pPr>
        <w:pStyle w:val="SingleTxtG"/>
        <w:ind w:left="2268" w:hanging="1134"/>
        <w:rPr>
          <w:lang w:val="fr-FR"/>
        </w:rPr>
      </w:pPr>
      <w:r w:rsidRPr="00A779B8">
        <w:rPr>
          <w:lang w:val="fr-FR"/>
        </w:rPr>
        <w:t>2.3.2.2</w:t>
      </w:r>
      <w:r w:rsidRPr="00A779B8">
        <w:rPr>
          <w:lang w:val="fr-FR"/>
        </w:rPr>
        <w:tab/>
        <w:t>SDBC. Le vieillissement normalisé sur banc est conduit en suivant le SDBC. Le SDBC est conduit pour la période calculée sur la base de l</w:t>
      </w:r>
      <w:r w:rsidR="00DB4C2D">
        <w:rPr>
          <w:lang w:val="fr-FR"/>
        </w:rPr>
        <w:t>’</w:t>
      </w:r>
      <w:r w:rsidRPr="00A779B8">
        <w:rPr>
          <w:lang w:val="fr-FR"/>
        </w:rPr>
        <w:t>équation de la BAD. Le SDBC est décrit à l</w:t>
      </w:r>
      <w:r w:rsidR="00DB4C2D">
        <w:rPr>
          <w:lang w:val="fr-FR"/>
        </w:rPr>
        <w:t>’</w:t>
      </w:r>
      <w:r w:rsidRPr="00A779B8">
        <w:rPr>
          <w:lang w:val="fr-FR"/>
        </w:rPr>
        <w:t>appendice 2 de la présente annexe.</w:t>
      </w:r>
    </w:p>
    <w:p w:rsidR="00A34FDC" w:rsidRPr="00A779B8" w:rsidRDefault="00A34FDC" w:rsidP="00A34FDC">
      <w:pPr>
        <w:pStyle w:val="SingleTxtG"/>
        <w:ind w:left="2268" w:hanging="1134"/>
        <w:rPr>
          <w:lang w:val="fr-FR"/>
        </w:rPr>
      </w:pPr>
      <w:r w:rsidRPr="00A779B8">
        <w:rPr>
          <w:lang w:val="fr-FR"/>
        </w:rPr>
        <w:t>2.3.2.3</w:t>
      </w:r>
      <w:r w:rsidRPr="00A779B8">
        <w:rPr>
          <w:lang w:val="fr-FR"/>
        </w:rPr>
        <w:tab/>
        <w:t>Données de régénération. Les intervalles de régénération doivent être mesurés pendant au moins 10 cycles complets du SRC tel que décrit à l</w:t>
      </w:r>
      <w:r w:rsidR="00DB4C2D">
        <w:rPr>
          <w:lang w:val="fr-FR"/>
        </w:rPr>
        <w:t>’</w:t>
      </w:r>
      <w:r w:rsidRPr="00A779B8">
        <w:rPr>
          <w:lang w:val="fr-FR"/>
        </w:rPr>
        <w:t>appendice 3 de la présente annexe. Une solution de rechange consiste à utiliser les intervalles de la détermination du coefficient K</w:t>
      </w:r>
      <w:r w:rsidRPr="00A779B8">
        <w:rPr>
          <w:vertAlign w:val="subscript"/>
          <w:lang w:val="fr-FR"/>
        </w:rPr>
        <w:t>i</w:t>
      </w:r>
      <w:r w:rsidRPr="00A779B8">
        <w:rPr>
          <w:lang w:val="fr-FR"/>
        </w:rPr>
        <w:t>.</w:t>
      </w:r>
    </w:p>
    <w:p w:rsidR="00A34FDC" w:rsidRPr="00A779B8" w:rsidRDefault="00A34FDC" w:rsidP="00A34FDC">
      <w:pPr>
        <w:pStyle w:val="SingleTxtG"/>
        <w:ind w:left="2268"/>
        <w:rPr>
          <w:lang w:val="fr-FR"/>
        </w:rPr>
      </w:pPr>
      <w:r w:rsidRPr="00A779B8">
        <w:rPr>
          <w:lang w:val="fr-FR"/>
        </w:rPr>
        <w:tab/>
        <w:t>Le cas échéant, les intervalles de désulfuration doivent également être examinés sur la base des données fournies par le constructeur.</w:t>
      </w:r>
    </w:p>
    <w:p w:rsidR="00A34FDC" w:rsidRPr="00A779B8" w:rsidRDefault="00A34FDC" w:rsidP="00A34FDC">
      <w:pPr>
        <w:pStyle w:val="SingleTxtG"/>
        <w:ind w:left="2268" w:hanging="1134"/>
        <w:rPr>
          <w:lang w:val="fr-FR"/>
        </w:rPr>
      </w:pPr>
      <w:r w:rsidRPr="00A779B8">
        <w:rPr>
          <w:lang w:val="fr-FR"/>
        </w:rPr>
        <w:t>2.3.2.4</w:t>
      </w:r>
      <w:r w:rsidRPr="00A779B8">
        <w:rPr>
          <w:lang w:val="fr-FR"/>
        </w:rPr>
        <w:tab/>
        <w:t>Durée du vieillissement sur banc diesel. La durée du vieillissement sur banc est calculée sur la base de l</w:t>
      </w:r>
      <w:r w:rsidR="00DB4C2D">
        <w:rPr>
          <w:lang w:val="fr-FR"/>
        </w:rPr>
        <w:t>’</w:t>
      </w:r>
      <w:r w:rsidRPr="00A779B8">
        <w:rPr>
          <w:lang w:val="fr-FR"/>
        </w:rPr>
        <w:t>équation BAD comme suit:</w:t>
      </w:r>
    </w:p>
    <w:p w:rsidR="00A34FDC" w:rsidRPr="00A779B8" w:rsidRDefault="00A34FDC" w:rsidP="00A34FDC">
      <w:pPr>
        <w:pStyle w:val="SingleTxtG"/>
        <w:ind w:left="2268"/>
        <w:rPr>
          <w:spacing w:val="-3"/>
          <w:lang w:val="fr-FR"/>
        </w:rPr>
      </w:pPr>
      <w:r w:rsidRPr="00A779B8">
        <w:rPr>
          <w:spacing w:val="-3"/>
          <w:lang w:val="fr-FR"/>
        </w:rPr>
        <w:tab/>
        <w:t>Durée du vieillissement sur banc = nombre de cycles de régénération et/ou de désulfuration (le nombre le plus élevé) équivalent à 160 000 km de conduite.</w:t>
      </w:r>
    </w:p>
    <w:p w:rsidR="00A34FDC" w:rsidRPr="00A779B8" w:rsidRDefault="00A34FDC" w:rsidP="00A34FDC">
      <w:pPr>
        <w:pStyle w:val="SingleTxtG"/>
        <w:ind w:left="2268" w:hanging="1134"/>
        <w:rPr>
          <w:lang w:val="fr-FR"/>
        </w:rPr>
      </w:pPr>
      <w:r w:rsidRPr="00A779B8">
        <w:rPr>
          <w:lang w:val="fr-FR"/>
        </w:rPr>
        <w:t>2.3.2.5</w:t>
      </w:r>
      <w:r w:rsidRPr="00A779B8">
        <w:rPr>
          <w:lang w:val="fr-FR"/>
        </w:rPr>
        <w:tab/>
        <w:t>Banc de vieillissement. Le banc de vieillissement suit le SDBC et produit le débit, la composition et la température requis des gaz d</w:t>
      </w:r>
      <w:r w:rsidR="00DB4C2D">
        <w:rPr>
          <w:lang w:val="fr-FR"/>
        </w:rPr>
        <w:t>’</w:t>
      </w:r>
      <w:r w:rsidRPr="00A779B8">
        <w:rPr>
          <w:lang w:val="fr-FR"/>
        </w:rPr>
        <w:t>échappement à l</w:t>
      </w:r>
      <w:r w:rsidR="00DB4C2D">
        <w:rPr>
          <w:lang w:val="fr-FR"/>
        </w:rPr>
        <w:t>’</w:t>
      </w:r>
      <w:r w:rsidRPr="00A779B8">
        <w:rPr>
          <w:lang w:val="fr-FR"/>
        </w:rPr>
        <w:t>entrée du système d</w:t>
      </w:r>
      <w:r w:rsidR="00DB4C2D">
        <w:rPr>
          <w:lang w:val="fr-FR"/>
        </w:rPr>
        <w:t>’</w:t>
      </w:r>
      <w:r w:rsidRPr="00A779B8">
        <w:rPr>
          <w:lang w:val="fr-FR"/>
        </w:rPr>
        <w:t>épuration aval.</w:t>
      </w:r>
    </w:p>
    <w:p w:rsidR="00A34FDC" w:rsidRPr="00A779B8" w:rsidRDefault="00A34FDC" w:rsidP="00A34FDC">
      <w:pPr>
        <w:pStyle w:val="SingleTxtG"/>
        <w:ind w:left="2268"/>
        <w:rPr>
          <w:lang w:val="fr-FR"/>
        </w:rPr>
      </w:pPr>
      <w:r w:rsidRPr="00A779B8">
        <w:rPr>
          <w:lang w:val="fr-FR"/>
        </w:rPr>
        <w:tab/>
        <w:t>Le constructeur doit enregistrer le nombre de régénérations/désulfurations (s</w:t>
      </w:r>
      <w:r w:rsidR="00DB4C2D">
        <w:rPr>
          <w:lang w:val="fr-FR"/>
        </w:rPr>
        <w:t>’</w:t>
      </w:r>
      <w:r w:rsidRPr="00A779B8">
        <w:rPr>
          <w:lang w:val="fr-FR"/>
        </w:rPr>
        <w:t>il y a lieu) pour garantir un vieillissement suffisant.</w:t>
      </w:r>
    </w:p>
    <w:p w:rsidR="00A34FDC" w:rsidRPr="00A779B8" w:rsidRDefault="00A34FDC" w:rsidP="00A34FDC">
      <w:pPr>
        <w:pStyle w:val="SingleTxtG"/>
        <w:ind w:left="2268" w:hanging="1134"/>
        <w:rPr>
          <w:lang w:val="fr-FR"/>
        </w:rPr>
      </w:pPr>
      <w:r w:rsidRPr="00A779B8">
        <w:rPr>
          <w:lang w:val="fr-FR"/>
        </w:rPr>
        <w:t>2.3.2.6</w:t>
      </w:r>
      <w:r w:rsidRPr="00A779B8">
        <w:rPr>
          <w:lang w:val="fr-FR"/>
        </w:rPr>
        <w:tab/>
        <w:t>Essais requis. Pour calculer les facteurs de détérioration, il convient de conduire au moins deux essais du type I avant le vieillissement sur banc du système de contrôle des émissions et au moins deux essais du type I après la réinstallation du système de contrôle des émissions vieilli sur banc. Des</w:t>
      </w:r>
      <w:r>
        <w:rPr>
          <w:lang w:val="fr-FR"/>
        </w:rPr>
        <w:t> </w:t>
      </w:r>
      <w:r w:rsidRPr="00A779B8">
        <w:rPr>
          <w:lang w:val="fr-FR"/>
        </w:rPr>
        <w:t xml:space="preserve">essais supplémentaires peuvent être menés par le constructeur. Le calcul </w:t>
      </w:r>
      <w:r w:rsidRPr="00A779B8">
        <w:rPr>
          <w:lang w:val="fr-FR"/>
        </w:rPr>
        <w:lastRenderedPageBreak/>
        <w:t>des facteurs de détérioration peut être fait selon la méthode définie au paragraphe 7 de la présente annexe et les prescriptions supplémentaires énoncées dans le présent Règlement.</w:t>
      </w:r>
    </w:p>
    <w:p w:rsidR="00A34FDC" w:rsidRPr="00A779B8" w:rsidRDefault="00A34FDC" w:rsidP="00A34FDC">
      <w:pPr>
        <w:pStyle w:val="SingleTxtG"/>
        <w:keepNext/>
        <w:ind w:left="2268" w:hanging="1134"/>
        <w:jc w:val="left"/>
        <w:rPr>
          <w:lang w:val="fr-FR"/>
        </w:rPr>
      </w:pPr>
      <w:r w:rsidRPr="00A779B8">
        <w:rPr>
          <w:lang w:val="fr-FR"/>
        </w:rPr>
        <w:t>3.</w:t>
      </w:r>
      <w:r w:rsidRPr="00A779B8">
        <w:rPr>
          <w:lang w:val="fr-FR"/>
        </w:rPr>
        <w:tab/>
        <w:t>Véhicule d</w:t>
      </w:r>
      <w:r w:rsidR="00DB4C2D">
        <w:rPr>
          <w:lang w:val="fr-FR"/>
        </w:rPr>
        <w:t>’</w:t>
      </w:r>
      <w:r w:rsidRPr="00A779B8">
        <w:rPr>
          <w:lang w:val="fr-FR"/>
        </w:rPr>
        <w:t>essai</w:t>
      </w:r>
    </w:p>
    <w:p w:rsidR="00A34FDC" w:rsidRPr="00A779B8" w:rsidRDefault="00A34FDC" w:rsidP="00A34FDC">
      <w:pPr>
        <w:pStyle w:val="SingleTxtG"/>
        <w:ind w:left="2268" w:hanging="1134"/>
        <w:rPr>
          <w:lang w:val="fr-FR"/>
        </w:rPr>
      </w:pPr>
      <w:r w:rsidRPr="00A779B8">
        <w:rPr>
          <w:lang w:val="fr-FR"/>
        </w:rPr>
        <w:t>3.1</w:t>
      </w:r>
      <w:r w:rsidRPr="00A779B8">
        <w:rPr>
          <w:lang w:val="fr-FR"/>
        </w:rPr>
        <w:tab/>
        <w:t>Le véhicule doit être en bon état mécanique, le moteur et les dispositifs antipollution à l</w:t>
      </w:r>
      <w:r w:rsidR="00DB4C2D">
        <w:rPr>
          <w:lang w:val="fr-FR"/>
        </w:rPr>
        <w:t>’</w:t>
      </w:r>
      <w:r w:rsidRPr="00A779B8">
        <w:rPr>
          <w:lang w:val="fr-FR"/>
        </w:rPr>
        <w:t>état neuf. Ce véhicule pourra être le même que celui présenté pour réaliser l</w:t>
      </w:r>
      <w:r w:rsidR="00DB4C2D">
        <w:rPr>
          <w:lang w:val="fr-FR"/>
        </w:rPr>
        <w:t>’</w:t>
      </w:r>
      <w:r w:rsidRPr="00A779B8">
        <w:rPr>
          <w:lang w:val="fr-FR"/>
        </w:rPr>
        <w:t>essai du type I; cet essai devant être effectué après un minimum de 3 000 km de vieillissement suivant le paragraphe 6.1 de la présente annexe.</w:t>
      </w:r>
    </w:p>
    <w:p w:rsidR="00A34FDC" w:rsidRPr="00A779B8" w:rsidRDefault="00A34FDC" w:rsidP="00A34FDC">
      <w:pPr>
        <w:pStyle w:val="SingleTxtG"/>
        <w:keepNext/>
        <w:ind w:left="2268" w:hanging="1134"/>
        <w:jc w:val="left"/>
        <w:rPr>
          <w:lang w:val="fr-FR"/>
        </w:rPr>
      </w:pPr>
      <w:r w:rsidRPr="00A779B8">
        <w:rPr>
          <w:lang w:val="fr-FR"/>
        </w:rPr>
        <w:t>4.</w:t>
      </w:r>
      <w:r w:rsidRPr="00A779B8">
        <w:rPr>
          <w:lang w:val="fr-FR"/>
        </w:rPr>
        <w:tab/>
        <w:t>Carburant</w:t>
      </w:r>
    </w:p>
    <w:p w:rsidR="00A34FDC" w:rsidRPr="00A779B8" w:rsidRDefault="00A34FDC" w:rsidP="00A34FDC">
      <w:pPr>
        <w:pStyle w:val="SingleTxtG"/>
        <w:ind w:left="2268"/>
        <w:rPr>
          <w:lang w:val="fr-FR"/>
        </w:rPr>
      </w:pPr>
      <w:r w:rsidRPr="00A779B8">
        <w:rPr>
          <w:lang w:val="fr-FR"/>
        </w:rPr>
        <w:tab/>
        <w:t>L</w:t>
      </w:r>
      <w:r w:rsidR="00DB4C2D">
        <w:rPr>
          <w:lang w:val="fr-FR"/>
        </w:rPr>
        <w:t>’</w:t>
      </w:r>
      <w:r w:rsidRPr="00A779B8">
        <w:rPr>
          <w:lang w:val="fr-FR"/>
        </w:rPr>
        <w:t>essai de durabilité est réalisé avec un carburant approprié disponible dans le commerce.</w:t>
      </w:r>
    </w:p>
    <w:p w:rsidR="00A34FDC" w:rsidRPr="00A779B8" w:rsidRDefault="00A34FDC" w:rsidP="00A34FDC">
      <w:pPr>
        <w:pStyle w:val="SingleTxtG"/>
        <w:keepNext/>
        <w:ind w:left="2268" w:hanging="1134"/>
        <w:jc w:val="left"/>
        <w:rPr>
          <w:lang w:val="fr-FR"/>
        </w:rPr>
      </w:pPr>
      <w:r w:rsidRPr="00A779B8">
        <w:rPr>
          <w:lang w:val="fr-FR"/>
        </w:rPr>
        <w:t>5.</w:t>
      </w:r>
      <w:r w:rsidRPr="00A779B8">
        <w:rPr>
          <w:lang w:val="fr-FR"/>
        </w:rPr>
        <w:tab/>
        <w:t>Entretien et réglages des véhicules</w:t>
      </w:r>
    </w:p>
    <w:p w:rsidR="00A34FDC" w:rsidRPr="00A779B8" w:rsidRDefault="00A34FDC" w:rsidP="00A34FDC">
      <w:pPr>
        <w:pStyle w:val="SingleTxtG"/>
        <w:ind w:left="2268"/>
        <w:rPr>
          <w:lang w:val="fr-FR"/>
        </w:rPr>
      </w:pPr>
      <w:r w:rsidRPr="00A779B8">
        <w:rPr>
          <w:lang w:val="fr-FR"/>
        </w:rPr>
        <w:tab/>
        <w:t>L</w:t>
      </w:r>
      <w:r w:rsidR="00DB4C2D">
        <w:rPr>
          <w:lang w:val="fr-FR"/>
        </w:rPr>
        <w:t>’</w:t>
      </w:r>
      <w:r w:rsidRPr="00A779B8">
        <w:rPr>
          <w:lang w:val="fr-FR"/>
        </w:rPr>
        <w:t>entretien, les réglages ainsi que l</w:t>
      </w:r>
      <w:r w:rsidR="00DB4C2D">
        <w:rPr>
          <w:lang w:val="fr-FR"/>
        </w:rPr>
        <w:t>’</w:t>
      </w:r>
      <w:r w:rsidRPr="00A779B8">
        <w:rPr>
          <w:lang w:val="fr-FR"/>
        </w:rPr>
        <w:t>utilisation des commandes du véhicule d</w:t>
      </w:r>
      <w:r w:rsidR="00DB4C2D">
        <w:rPr>
          <w:lang w:val="fr-FR"/>
        </w:rPr>
        <w:t>’</w:t>
      </w:r>
      <w:r w:rsidRPr="00A779B8">
        <w:rPr>
          <w:lang w:val="fr-FR"/>
        </w:rPr>
        <w:t>essai doivent être ceux que préconise le constructeur.</w:t>
      </w:r>
    </w:p>
    <w:p w:rsidR="00A34FDC" w:rsidRPr="00A779B8" w:rsidRDefault="00A34FDC" w:rsidP="00A34FDC">
      <w:pPr>
        <w:pStyle w:val="SingleTxtG"/>
        <w:keepNext/>
        <w:ind w:left="2268" w:hanging="1134"/>
        <w:jc w:val="left"/>
        <w:rPr>
          <w:lang w:val="fr-FR"/>
        </w:rPr>
      </w:pPr>
      <w:r w:rsidRPr="00A779B8">
        <w:rPr>
          <w:lang w:val="fr-FR"/>
        </w:rPr>
        <w:t>6.</w:t>
      </w:r>
      <w:r w:rsidRPr="00A779B8">
        <w:rPr>
          <w:lang w:val="fr-FR"/>
        </w:rPr>
        <w:tab/>
        <w:t xml:space="preserve">Fonctionnement du véhicule sur piste, sur route ou sur banc à rouleaux </w:t>
      </w:r>
    </w:p>
    <w:p w:rsidR="00A34FDC" w:rsidRPr="00A779B8" w:rsidRDefault="00A34FDC" w:rsidP="00A34FDC">
      <w:pPr>
        <w:pStyle w:val="SingleTxtG"/>
        <w:keepNext/>
        <w:ind w:left="2268" w:hanging="1134"/>
        <w:jc w:val="left"/>
        <w:rPr>
          <w:lang w:val="fr-FR"/>
        </w:rPr>
      </w:pPr>
      <w:r w:rsidRPr="00A779B8">
        <w:rPr>
          <w:lang w:val="fr-FR"/>
        </w:rPr>
        <w:t>6.1</w:t>
      </w:r>
      <w:r w:rsidRPr="00A779B8">
        <w:rPr>
          <w:lang w:val="fr-FR"/>
        </w:rPr>
        <w:tab/>
        <w:t>Cycle de fonctionnement</w:t>
      </w:r>
    </w:p>
    <w:p w:rsidR="00A34FDC" w:rsidRPr="00A779B8" w:rsidRDefault="00A34FDC" w:rsidP="00A34FDC">
      <w:pPr>
        <w:pStyle w:val="SingleTxtG"/>
        <w:ind w:left="2268"/>
        <w:rPr>
          <w:lang w:val="fr-FR"/>
        </w:rPr>
      </w:pPr>
      <w:r w:rsidRPr="00A779B8">
        <w:rPr>
          <w:lang w:val="fr-FR"/>
        </w:rPr>
        <w:tab/>
        <w:t>Lors d</w:t>
      </w:r>
      <w:r w:rsidR="00DB4C2D">
        <w:rPr>
          <w:lang w:val="fr-FR"/>
        </w:rPr>
        <w:t>’</w:t>
      </w:r>
      <w:r w:rsidRPr="00A779B8">
        <w:rPr>
          <w:lang w:val="fr-FR"/>
        </w:rPr>
        <w:t>un fonctionnement sur circuit ou sur banc à rouleaux, le parcours doit être réalisé conformément au programme de conduite (fig. A9/1) décrit ci</w:t>
      </w:r>
      <w:r w:rsidRPr="00A779B8">
        <w:rPr>
          <w:lang w:val="fr-FR"/>
        </w:rPr>
        <w:noBreakHyphen/>
        <w:t>après:</w:t>
      </w:r>
    </w:p>
    <w:p w:rsidR="00A34FDC" w:rsidRPr="00A779B8" w:rsidRDefault="00A34FDC" w:rsidP="00A34FDC">
      <w:pPr>
        <w:pStyle w:val="SingleTxtG"/>
        <w:ind w:left="2268" w:hanging="1134"/>
        <w:rPr>
          <w:lang w:val="fr-FR"/>
        </w:rPr>
      </w:pPr>
      <w:r w:rsidRPr="00A779B8">
        <w:rPr>
          <w:lang w:val="fr-FR"/>
        </w:rPr>
        <w:t>6.1.1</w:t>
      </w:r>
      <w:r w:rsidRPr="00A779B8">
        <w:rPr>
          <w:lang w:val="fr-FR"/>
        </w:rPr>
        <w:tab/>
        <w:t>Le programme d</w:t>
      </w:r>
      <w:r w:rsidR="00DB4C2D">
        <w:rPr>
          <w:lang w:val="fr-FR"/>
        </w:rPr>
        <w:t>’</w:t>
      </w:r>
      <w:r w:rsidRPr="00A779B8">
        <w:rPr>
          <w:lang w:val="fr-FR"/>
        </w:rPr>
        <w:t>endurance se compose de 11 cycles de 6 km chacun;</w:t>
      </w:r>
    </w:p>
    <w:p w:rsidR="00A34FDC" w:rsidRPr="00A779B8" w:rsidRDefault="00A34FDC" w:rsidP="00A34FDC">
      <w:pPr>
        <w:pStyle w:val="SingleTxtG"/>
        <w:ind w:left="2268" w:hanging="1134"/>
        <w:rPr>
          <w:lang w:val="fr-FR"/>
        </w:rPr>
      </w:pPr>
      <w:r w:rsidRPr="00A779B8">
        <w:rPr>
          <w:lang w:val="fr-FR"/>
        </w:rPr>
        <w:t>6.1.2</w:t>
      </w:r>
      <w:r w:rsidRPr="00A779B8">
        <w:rPr>
          <w:lang w:val="fr-FR"/>
        </w:rPr>
        <w:tab/>
        <w:t>Pendant les 9 premiers cycles, on arrête le véhicule quatre fois en milieu de cycle, en faisant tourner le moteur au ralenti à chaque fois pendant 15 s;</w:t>
      </w:r>
    </w:p>
    <w:p w:rsidR="00A34FDC" w:rsidRPr="00A779B8" w:rsidRDefault="00A34FDC" w:rsidP="00A34FDC">
      <w:pPr>
        <w:pStyle w:val="SingleTxtG"/>
        <w:ind w:left="2268" w:hanging="1134"/>
        <w:rPr>
          <w:lang w:val="fr-FR"/>
        </w:rPr>
      </w:pPr>
      <w:r w:rsidRPr="00A779B8">
        <w:rPr>
          <w:lang w:val="fr-FR"/>
        </w:rPr>
        <w:t>6.1.3</w:t>
      </w:r>
      <w:r w:rsidRPr="00A779B8">
        <w:rPr>
          <w:lang w:val="fr-FR"/>
        </w:rPr>
        <w:tab/>
        <w:t>Accélération et décélération normales;</w:t>
      </w:r>
    </w:p>
    <w:p w:rsidR="00A34FDC" w:rsidRPr="00A779B8" w:rsidRDefault="00A34FDC" w:rsidP="00A34FDC">
      <w:pPr>
        <w:pStyle w:val="SingleTxtG"/>
        <w:ind w:left="2268" w:hanging="1134"/>
        <w:rPr>
          <w:lang w:val="fr-FR"/>
        </w:rPr>
      </w:pPr>
      <w:r w:rsidRPr="00A779B8">
        <w:rPr>
          <w:lang w:val="fr-FR"/>
        </w:rPr>
        <w:t>6.1.4</w:t>
      </w:r>
      <w:r w:rsidRPr="00A779B8">
        <w:rPr>
          <w:lang w:val="fr-FR"/>
        </w:rPr>
        <w:tab/>
        <w:t>Cinq décélérations au milieu de chaque cycle en passant de la vitesse du cycle à 32 km/h et nouvelle accélération progressive jusqu</w:t>
      </w:r>
      <w:r w:rsidR="00DB4C2D">
        <w:rPr>
          <w:lang w:val="fr-FR"/>
        </w:rPr>
        <w:t>’</w:t>
      </w:r>
      <w:r w:rsidRPr="00A779B8">
        <w:rPr>
          <w:lang w:val="fr-FR"/>
        </w:rPr>
        <w:t>à la vitesse du cycle;</w:t>
      </w:r>
    </w:p>
    <w:p w:rsidR="00A34FDC" w:rsidRPr="00A779B8" w:rsidRDefault="00A34FDC" w:rsidP="00A34FDC">
      <w:pPr>
        <w:pStyle w:val="SingleTxtG"/>
        <w:ind w:left="2268" w:hanging="1134"/>
        <w:rPr>
          <w:lang w:val="fr-FR"/>
        </w:rPr>
      </w:pPr>
      <w:r w:rsidRPr="00A779B8">
        <w:rPr>
          <w:lang w:val="fr-FR"/>
        </w:rPr>
        <w:t>6.1.5</w:t>
      </w:r>
      <w:r w:rsidRPr="00A779B8">
        <w:rPr>
          <w:lang w:val="fr-FR"/>
        </w:rPr>
        <w:tab/>
        <w:t>Le dixième cycle s</w:t>
      </w:r>
      <w:r w:rsidR="00DB4C2D">
        <w:rPr>
          <w:lang w:val="fr-FR"/>
        </w:rPr>
        <w:t>’</w:t>
      </w:r>
      <w:r w:rsidRPr="00A779B8">
        <w:rPr>
          <w:lang w:val="fr-FR"/>
        </w:rPr>
        <w:t>effectue à une vitesse constante de 89 km/h;</w:t>
      </w:r>
    </w:p>
    <w:p w:rsidR="00A34FDC" w:rsidRPr="00A779B8" w:rsidRDefault="00A34FDC" w:rsidP="00A34FDC">
      <w:pPr>
        <w:pStyle w:val="SingleTxtG"/>
        <w:ind w:left="2268" w:hanging="1134"/>
        <w:rPr>
          <w:lang w:val="fr-FR"/>
        </w:rPr>
      </w:pPr>
      <w:r w:rsidRPr="00A779B8">
        <w:rPr>
          <w:lang w:val="fr-FR"/>
        </w:rPr>
        <w:t>6.1.6</w:t>
      </w:r>
      <w:r w:rsidRPr="00A779B8">
        <w:rPr>
          <w:lang w:val="fr-FR"/>
        </w:rPr>
        <w:tab/>
        <w:t>Le onzième cycle commence par une accélération maximale depuis l</w:t>
      </w:r>
      <w:r w:rsidR="00DB4C2D">
        <w:rPr>
          <w:lang w:val="fr-FR"/>
        </w:rPr>
        <w:t>’</w:t>
      </w:r>
      <w:r w:rsidRPr="00A779B8">
        <w:rPr>
          <w:lang w:val="fr-FR"/>
        </w:rPr>
        <w:t>arrêt jusqu</w:t>
      </w:r>
      <w:r w:rsidR="00DB4C2D">
        <w:rPr>
          <w:lang w:val="fr-FR"/>
        </w:rPr>
        <w:t>’</w:t>
      </w:r>
      <w:r w:rsidRPr="00A779B8">
        <w:rPr>
          <w:lang w:val="fr-FR"/>
        </w:rPr>
        <w:t>à 113 km/h. À mi-chemin, on effectue un freinage normal jusqu</w:t>
      </w:r>
      <w:r w:rsidR="00DB4C2D">
        <w:rPr>
          <w:lang w:val="fr-FR"/>
        </w:rPr>
        <w:t>’</w:t>
      </w:r>
      <w:r w:rsidRPr="00A779B8">
        <w:rPr>
          <w:lang w:val="fr-FR"/>
        </w:rPr>
        <w:t>à l</w:t>
      </w:r>
      <w:r w:rsidR="00DB4C2D">
        <w:rPr>
          <w:lang w:val="fr-FR"/>
        </w:rPr>
        <w:t>’</w:t>
      </w:r>
      <w:r w:rsidRPr="00A779B8">
        <w:rPr>
          <w:lang w:val="fr-FR"/>
        </w:rPr>
        <w:t>arrêt, suivi d</w:t>
      </w:r>
      <w:r w:rsidR="00DB4C2D">
        <w:rPr>
          <w:lang w:val="fr-FR"/>
        </w:rPr>
        <w:t>’</w:t>
      </w:r>
      <w:r w:rsidRPr="00A779B8">
        <w:rPr>
          <w:lang w:val="fr-FR"/>
        </w:rPr>
        <w:t>une phase de ralenti de 15 s et d</w:t>
      </w:r>
      <w:r w:rsidR="00DB4C2D">
        <w:rPr>
          <w:lang w:val="fr-FR"/>
        </w:rPr>
        <w:t>’</w:t>
      </w:r>
      <w:r w:rsidRPr="00A779B8">
        <w:rPr>
          <w:lang w:val="fr-FR"/>
        </w:rPr>
        <w:t>une deuxième accélération maximale.</w:t>
      </w:r>
    </w:p>
    <w:p w:rsidR="00A34FDC" w:rsidRPr="00A779B8" w:rsidRDefault="00A34FDC" w:rsidP="00A34FDC">
      <w:pPr>
        <w:pStyle w:val="SingleTxtG"/>
        <w:ind w:left="2268"/>
        <w:rPr>
          <w:lang w:val="fr-FR"/>
        </w:rPr>
      </w:pPr>
      <w:r w:rsidRPr="00A779B8">
        <w:rPr>
          <w:lang w:val="fr-FR"/>
        </w:rPr>
        <w:tab/>
        <w:t>Ce programme est ensuite repris à son début.</w:t>
      </w:r>
    </w:p>
    <w:p w:rsidR="00A34FDC" w:rsidRPr="00A779B8" w:rsidRDefault="00A34FDC" w:rsidP="00A34FDC">
      <w:pPr>
        <w:pStyle w:val="SingleTxtG"/>
        <w:ind w:left="2268"/>
        <w:rPr>
          <w:spacing w:val="-3"/>
          <w:lang w:val="fr-FR"/>
        </w:rPr>
      </w:pPr>
      <w:r w:rsidRPr="00A779B8">
        <w:rPr>
          <w:spacing w:val="-3"/>
          <w:lang w:val="fr-FR"/>
        </w:rPr>
        <w:tab/>
        <w:t>La vitesse maximale de chacun des cycles est indiquée dans le tableau A9/1.</w:t>
      </w:r>
    </w:p>
    <w:p w:rsidR="00A34FDC" w:rsidRPr="00A779B8" w:rsidRDefault="00A34FDC" w:rsidP="00A34FDC">
      <w:pPr>
        <w:pStyle w:val="Titre1"/>
        <w:spacing w:after="120"/>
        <w:rPr>
          <w:lang w:val="fr-FR"/>
        </w:rPr>
      </w:pPr>
      <w:r w:rsidRPr="00A779B8">
        <w:rPr>
          <w:lang w:val="fr-FR"/>
        </w:rPr>
        <w:lastRenderedPageBreak/>
        <w:t>Tableau A9/1</w:t>
      </w:r>
      <w:r w:rsidRPr="00A779B8">
        <w:rPr>
          <w:lang w:val="fr-FR"/>
        </w:rPr>
        <w:br/>
      </w:r>
      <w:r w:rsidRPr="00A779B8">
        <w:rPr>
          <w:b/>
          <w:lang w:val="fr-FR"/>
        </w:rPr>
        <w:t>Vitesse maximale des cycles</w:t>
      </w:r>
    </w:p>
    <w:tbl>
      <w:tblPr>
        <w:tblW w:w="0" w:type="auto"/>
        <w:tblInd w:w="1199" w:type="dxa"/>
        <w:tblLayout w:type="fixed"/>
        <w:tblCellMar>
          <w:left w:w="57" w:type="dxa"/>
          <w:right w:w="57" w:type="dxa"/>
        </w:tblCellMar>
        <w:tblLook w:val="0000" w:firstRow="0" w:lastRow="0" w:firstColumn="0" w:lastColumn="0" w:noHBand="0" w:noVBand="0"/>
      </w:tblPr>
      <w:tblGrid>
        <w:gridCol w:w="3686"/>
        <w:gridCol w:w="3685"/>
      </w:tblGrid>
      <w:tr w:rsidR="00A34FDC" w:rsidRPr="00A779B8" w:rsidTr="00DB4C2D">
        <w:tblPrEx>
          <w:tblCellMar>
            <w:top w:w="0" w:type="dxa"/>
            <w:bottom w:w="0" w:type="dxa"/>
          </w:tblCellMar>
        </w:tblPrEx>
        <w:trPr>
          <w:tblHeader/>
        </w:trPr>
        <w:tc>
          <w:tcPr>
            <w:tcW w:w="3686" w:type="dxa"/>
            <w:tcBorders>
              <w:top w:val="single" w:sz="8" w:space="0" w:color="auto"/>
              <w:left w:val="single" w:sz="8" w:space="0" w:color="auto"/>
              <w:bottom w:val="single" w:sz="4" w:space="0" w:color="auto"/>
              <w:right w:val="single" w:sz="8" w:space="0" w:color="auto"/>
            </w:tcBorders>
            <w:vAlign w:val="center"/>
          </w:tcPr>
          <w:p w:rsidR="00A34FDC" w:rsidRPr="00A779B8" w:rsidRDefault="00A34FDC" w:rsidP="00DB4C2D">
            <w:pPr>
              <w:keepNext/>
              <w:spacing w:before="40" w:after="40" w:line="200" w:lineRule="exact"/>
              <w:jc w:val="center"/>
              <w:rPr>
                <w:i/>
                <w:sz w:val="16"/>
                <w:szCs w:val="16"/>
                <w:lang w:val="fr-FR"/>
              </w:rPr>
            </w:pPr>
            <w:r w:rsidRPr="00A779B8">
              <w:rPr>
                <w:i/>
                <w:sz w:val="16"/>
                <w:szCs w:val="16"/>
                <w:lang w:val="fr-FR"/>
              </w:rPr>
              <w:t>Cycle</w:t>
            </w:r>
          </w:p>
        </w:tc>
        <w:tc>
          <w:tcPr>
            <w:tcW w:w="3685" w:type="dxa"/>
            <w:tcBorders>
              <w:top w:val="single" w:sz="8" w:space="0" w:color="auto"/>
              <w:left w:val="single" w:sz="8" w:space="0" w:color="auto"/>
              <w:bottom w:val="single" w:sz="4" w:space="0" w:color="auto"/>
              <w:right w:val="single" w:sz="8" w:space="0" w:color="auto"/>
            </w:tcBorders>
            <w:vAlign w:val="center"/>
          </w:tcPr>
          <w:p w:rsidR="00A34FDC" w:rsidRPr="00A779B8" w:rsidRDefault="00A34FDC" w:rsidP="00DB4C2D">
            <w:pPr>
              <w:keepNext/>
              <w:spacing w:before="40" w:after="40" w:line="200" w:lineRule="exact"/>
              <w:jc w:val="center"/>
              <w:rPr>
                <w:i/>
                <w:sz w:val="16"/>
                <w:szCs w:val="16"/>
                <w:lang w:val="fr-FR"/>
              </w:rPr>
            </w:pPr>
            <w:r w:rsidRPr="00A779B8">
              <w:rPr>
                <w:i/>
                <w:sz w:val="16"/>
                <w:szCs w:val="16"/>
                <w:lang w:val="fr-FR"/>
              </w:rPr>
              <w:t>Vitesse du cycle en km/h</w:t>
            </w:r>
          </w:p>
        </w:tc>
      </w:tr>
      <w:tr w:rsidR="00A34FDC" w:rsidRPr="00A779B8" w:rsidTr="00DB4C2D">
        <w:tblPrEx>
          <w:tblCellMar>
            <w:top w:w="0" w:type="dxa"/>
            <w:bottom w:w="0" w:type="dxa"/>
          </w:tblCellMar>
        </w:tblPrEx>
        <w:tc>
          <w:tcPr>
            <w:tcW w:w="3686" w:type="dxa"/>
            <w:tcBorders>
              <w:top w:val="single" w:sz="4" w:space="0" w:color="auto"/>
              <w:left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1</w:t>
            </w:r>
          </w:p>
        </w:tc>
        <w:tc>
          <w:tcPr>
            <w:tcW w:w="3685" w:type="dxa"/>
            <w:tcBorders>
              <w:top w:val="single" w:sz="4"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64</w:t>
            </w:r>
          </w:p>
        </w:tc>
      </w:tr>
      <w:tr w:rsidR="00A34FDC" w:rsidRPr="00A779B8" w:rsidTr="00DB4C2D">
        <w:tblPrEx>
          <w:tblCellMar>
            <w:top w:w="0" w:type="dxa"/>
            <w:bottom w:w="0" w:type="dxa"/>
          </w:tblCellMar>
        </w:tblPrEx>
        <w:tc>
          <w:tcPr>
            <w:tcW w:w="3686" w:type="dxa"/>
            <w:tcBorders>
              <w:left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2</w:t>
            </w:r>
          </w:p>
        </w:tc>
        <w:tc>
          <w:tcPr>
            <w:tcW w:w="3685" w:type="dxa"/>
            <w:tcBorders>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48</w:t>
            </w:r>
          </w:p>
        </w:tc>
      </w:tr>
      <w:tr w:rsidR="00A34FDC" w:rsidRPr="00A779B8" w:rsidTr="00DB4C2D">
        <w:tblPrEx>
          <w:tblCellMar>
            <w:top w:w="0" w:type="dxa"/>
            <w:bottom w:w="0" w:type="dxa"/>
          </w:tblCellMar>
        </w:tblPrEx>
        <w:tc>
          <w:tcPr>
            <w:tcW w:w="3686" w:type="dxa"/>
            <w:tcBorders>
              <w:left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3</w:t>
            </w:r>
          </w:p>
        </w:tc>
        <w:tc>
          <w:tcPr>
            <w:tcW w:w="3685" w:type="dxa"/>
            <w:tcBorders>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64</w:t>
            </w:r>
          </w:p>
        </w:tc>
      </w:tr>
      <w:tr w:rsidR="00A34FDC" w:rsidRPr="00A779B8" w:rsidTr="00DB4C2D">
        <w:tblPrEx>
          <w:tblCellMar>
            <w:top w:w="0" w:type="dxa"/>
            <w:bottom w:w="0" w:type="dxa"/>
          </w:tblCellMar>
        </w:tblPrEx>
        <w:tc>
          <w:tcPr>
            <w:tcW w:w="3686" w:type="dxa"/>
            <w:tcBorders>
              <w:left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4</w:t>
            </w:r>
          </w:p>
        </w:tc>
        <w:tc>
          <w:tcPr>
            <w:tcW w:w="3685" w:type="dxa"/>
            <w:tcBorders>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64</w:t>
            </w:r>
          </w:p>
        </w:tc>
      </w:tr>
      <w:tr w:rsidR="00A34FDC" w:rsidRPr="00A779B8" w:rsidTr="00DB4C2D">
        <w:tblPrEx>
          <w:tblCellMar>
            <w:top w:w="0" w:type="dxa"/>
            <w:bottom w:w="0" w:type="dxa"/>
          </w:tblCellMar>
        </w:tblPrEx>
        <w:tc>
          <w:tcPr>
            <w:tcW w:w="3686" w:type="dxa"/>
            <w:tcBorders>
              <w:left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5</w:t>
            </w:r>
          </w:p>
        </w:tc>
        <w:tc>
          <w:tcPr>
            <w:tcW w:w="3685" w:type="dxa"/>
            <w:tcBorders>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56</w:t>
            </w:r>
          </w:p>
        </w:tc>
      </w:tr>
      <w:tr w:rsidR="00A34FDC" w:rsidRPr="00A779B8" w:rsidTr="00DB4C2D">
        <w:tblPrEx>
          <w:tblCellMar>
            <w:top w:w="0" w:type="dxa"/>
            <w:bottom w:w="0" w:type="dxa"/>
          </w:tblCellMar>
        </w:tblPrEx>
        <w:tc>
          <w:tcPr>
            <w:tcW w:w="3686" w:type="dxa"/>
            <w:tcBorders>
              <w:left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6</w:t>
            </w:r>
          </w:p>
        </w:tc>
        <w:tc>
          <w:tcPr>
            <w:tcW w:w="3685" w:type="dxa"/>
            <w:tcBorders>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48</w:t>
            </w:r>
          </w:p>
        </w:tc>
      </w:tr>
      <w:tr w:rsidR="00A34FDC" w:rsidRPr="00A779B8" w:rsidTr="00DB4C2D">
        <w:tblPrEx>
          <w:tblCellMar>
            <w:top w:w="0" w:type="dxa"/>
            <w:bottom w:w="0" w:type="dxa"/>
          </w:tblCellMar>
        </w:tblPrEx>
        <w:tc>
          <w:tcPr>
            <w:tcW w:w="3686" w:type="dxa"/>
            <w:tcBorders>
              <w:left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7</w:t>
            </w:r>
          </w:p>
        </w:tc>
        <w:tc>
          <w:tcPr>
            <w:tcW w:w="3685" w:type="dxa"/>
            <w:tcBorders>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56</w:t>
            </w:r>
          </w:p>
        </w:tc>
      </w:tr>
      <w:tr w:rsidR="00A34FDC" w:rsidRPr="00A779B8" w:rsidTr="00DB4C2D">
        <w:tblPrEx>
          <w:tblCellMar>
            <w:top w:w="0" w:type="dxa"/>
            <w:bottom w:w="0" w:type="dxa"/>
          </w:tblCellMar>
        </w:tblPrEx>
        <w:tc>
          <w:tcPr>
            <w:tcW w:w="3686" w:type="dxa"/>
            <w:tcBorders>
              <w:left w:val="single" w:sz="4" w:space="0" w:color="auto"/>
              <w:right w:val="single" w:sz="4"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8</w:t>
            </w:r>
          </w:p>
        </w:tc>
        <w:tc>
          <w:tcPr>
            <w:tcW w:w="3685" w:type="dxa"/>
            <w:tcBorders>
              <w:left w:val="single" w:sz="4" w:space="0" w:color="auto"/>
              <w:right w:val="single" w:sz="4"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72</w:t>
            </w:r>
          </w:p>
        </w:tc>
      </w:tr>
      <w:tr w:rsidR="00A34FDC" w:rsidRPr="00A779B8" w:rsidTr="00DB4C2D">
        <w:tblPrEx>
          <w:tblCellMar>
            <w:top w:w="0" w:type="dxa"/>
            <w:bottom w:w="0" w:type="dxa"/>
          </w:tblCellMar>
        </w:tblPrEx>
        <w:tc>
          <w:tcPr>
            <w:tcW w:w="3686" w:type="dxa"/>
            <w:tcBorders>
              <w:left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9</w:t>
            </w:r>
          </w:p>
        </w:tc>
        <w:tc>
          <w:tcPr>
            <w:tcW w:w="3685" w:type="dxa"/>
            <w:tcBorders>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56</w:t>
            </w:r>
          </w:p>
        </w:tc>
      </w:tr>
      <w:tr w:rsidR="00A34FDC" w:rsidRPr="00A779B8" w:rsidTr="00DB4C2D">
        <w:tblPrEx>
          <w:tblCellMar>
            <w:top w:w="0" w:type="dxa"/>
            <w:bottom w:w="0" w:type="dxa"/>
          </w:tblCellMar>
        </w:tblPrEx>
        <w:tc>
          <w:tcPr>
            <w:tcW w:w="3686" w:type="dxa"/>
            <w:tcBorders>
              <w:left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10</w:t>
            </w:r>
          </w:p>
        </w:tc>
        <w:tc>
          <w:tcPr>
            <w:tcW w:w="3685" w:type="dxa"/>
            <w:tcBorders>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89</w:t>
            </w:r>
          </w:p>
        </w:tc>
      </w:tr>
      <w:tr w:rsidR="00A34FDC" w:rsidRPr="00A779B8" w:rsidTr="00DB4C2D">
        <w:tblPrEx>
          <w:tblCellMar>
            <w:top w:w="0" w:type="dxa"/>
            <w:bottom w:w="0" w:type="dxa"/>
          </w:tblCellMar>
        </w:tblPrEx>
        <w:tc>
          <w:tcPr>
            <w:tcW w:w="3686" w:type="dxa"/>
            <w:tcBorders>
              <w:left w:val="single" w:sz="7" w:space="0" w:color="auto"/>
              <w:bottom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11</w:t>
            </w:r>
          </w:p>
        </w:tc>
        <w:tc>
          <w:tcPr>
            <w:tcW w:w="3685" w:type="dxa"/>
            <w:tcBorders>
              <w:bottom w:val="single" w:sz="7" w:space="0" w:color="auto"/>
              <w:right w:val="single" w:sz="7" w:space="0" w:color="auto"/>
            </w:tcBorders>
            <w:vAlign w:val="bottom"/>
          </w:tcPr>
          <w:p w:rsidR="00A34FDC" w:rsidRPr="00A779B8" w:rsidRDefault="00A34FDC" w:rsidP="00DB4C2D">
            <w:pPr>
              <w:keepNext/>
              <w:spacing w:before="40" w:after="40" w:line="200" w:lineRule="exact"/>
              <w:jc w:val="center"/>
              <w:rPr>
                <w:lang w:val="fr-FR"/>
              </w:rPr>
            </w:pPr>
            <w:r w:rsidRPr="00A779B8">
              <w:rPr>
                <w:lang w:val="fr-FR"/>
              </w:rPr>
              <w:t>113</w:t>
            </w:r>
          </w:p>
        </w:tc>
      </w:tr>
    </w:tbl>
    <w:p w:rsidR="00A34FDC" w:rsidRPr="00A779B8" w:rsidRDefault="00A34FDC" w:rsidP="00A34FDC">
      <w:pPr>
        <w:pStyle w:val="Titre1"/>
        <w:spacing w:before="240" w:after="120"/>
        <w:ind w:left="0"/>
        <w:rPr>
          <w:b/>
          <w:lang w:val="fr-FR"/>
        </w:rPr>
      </w:pPr>
      <w:r w:rsidRPr="00A779B8">
        <w:rPr>
          <w:lang w:val="fr-FR"/>
        </w:rPr>
        <w:t>Figure A9/1</w:t>
      </w:r>
      <w:r w:rsidRPr="00A779B8">
        <w:rPr>
          <w:lang w:val="fr-FR"/>
        </w:rPr>
        <w:br/>
      </w:r>
      <w:r w:rsidRPr="00A779B8">
        <w:rPr>
          <w:b/>
          <w:lang w:val="fr-FR"/>
        </w:rPr>
        <w:t>Programme de conduite</w:t>
      </w:r>
    </w:p>
    <w:bookmarkStart w:id="264" w:name="_MON_1448344739"/>
    <w:bookmarkStart w:id="265" w:name="_MON_1448961516"/>
    <w:bookmarkStart w:id="266" w:name="_MON_1448961585"/>
    <w:bookmarkStart w:id="267" w:name="_MON_1448961639"/>
    <w:bookmarkStart w:id="268" w:name="_MON_1448961654"/>
    <w:bookmarkStart w:id="269" w:name="_MON_1448961670"/>
    <w:bookmarkStart w:id="270" w:name="_MON_1448968350"/>
    <w:bookmarkStart w:id="271" w:name="_MON_1462100911"/>
    <w:bookmarkEnd w:id="264"/>
    <w:bookmarkEnd w:id="265"/>
    <w:bookmarkEnd w:id="266"/>
    <w:bookmarkEnd w:id="267"/>
    <w:bookmarkEnd w:id="268"/>
    <w:bookmarkEnd w:id="269"/>
    <w:bookmarkEnd w:id="270"/>
    <w:bookmarkEnd w:id="271"/>
    <w:p w:rsidR="00A34FDC" w:rsidRPr="00A779B8" w:rsidRDefault="00A34FDC" w:rsidP="00A34FDC">
      <w:pPr>
        <w:pStyle w:val="SingleTxtG"/>
        <w:spacing w:after="0"/>
        <w:ind w:left="0" w:right="0"/>
        <w:rPr>
          <w:lang w:val="fr-FR"/>
        </w:rPr>
      </w:pPr>
      <w:r w:rsidRPr="00A779B8">
        <w:rPr>
          <w:lang w:val="fr-FR"/>
        </w:rPr>
        <w:object w:dxaOrig="9734" w:dyaOrig="8669">
          <v:shape id="_x0000_i1121" type="#_x0000_t75" style="width:479.55pt;height:399.4pt" o:ole="">
            <v:imagedata r:id="rId238" o:title="" croptop="2143f" cropbottom="2143f"/>
            <w10:bordertop type="single" width="4"/>
            <w10:borderleft type="single" width="4"/>
            <w10:borderbottom type="single" width="4"/>
            <w10:borderright type="single" width="4"/>
          </v:shape>
          <o:OLEObject Type="Embed" ProgID="Word.Picture.8" ShapeID="_x0000_i1121" DrawAspect="Content" ObjectID="_1490178466" r:id="rId239"/>
        </w:object>
      </w:r>
    </w:p>
    <w:p w:rsidR="00A34FDC" w:rsidRPr="00A779B8" w:rsidRDefault="00A34FDC" w:rsidP="00A34FDC">
      <w:pPr>
        <w:pStyle w:val="SingleTxtG"/>
        <w:spacing w:before="240"/>
        <w:ind w:left="2268" w:hanging="1134"/>
        <w:rPr>
          <w:lang w:val="fr-FR"/>
        </w:rPr>
      </w:pPr>
      <w:r w:rsidRPr="00A779B8">
        <w:rPr>
          <w:lang w:val="fr-FR"/>
        </w:rPr>
        <w:lastRenderedPageBreak/>
        <w:t>6.2</w:t>
      </w:r>
      <w:r w:rsidRPr="00A779B8">
        <w:rPr>
          <w:lang w:val="fr-FR"/>
        </w:rPr>
        <w:tab/>
        <w:t>L</w:t>
      </w:r>
      <w:r w:rsidR="00DB4C2D">
        <w:rPr>
          <w:lang w:val="fr-FR"/>
        </w:rPr>
        <w:t>’</w:t>
      </w:r>
      <w:r w:rsidRPr="00A779B8">
        <w:rPr>
          <w:lang w:val="fr-FR"/>
        </w:rPr>
        <w:t>essai de durabilité, ou si le constructeur l</w:t>
      </w:r>
      <w:r w:rsidR="00DB4C2D">
        <w:rPr>
          <w:lang w:val="fr-FR"/>
        </w:rPr>
        <w:t>’</w:t>
      </w:r>
      <w:r w:rsidRPr="00A779B8">
        <w:rPr>
          <w:lang w:val="fr-FR"/>
        </w:rPr>
        <w:t>a choisi, l</w:t>
      </w:r>
      <w:r w:rsidR="00DB4C2D">
        <w:rPr>
          <w:lang w:val="fr-FR"/>
        </w:rPr>
        <w:t>’</w:t>
      </w:r>
      <w:r w:rsidRPr="00A779B8">
        <w:rPr>
          <w:lang w:val="fr-FR"/>
        </w:rPr>
        <w:t>essai de durabilité modifié, doit être réalisé jusqu</w:t>
      </w:r>
      <w:r w:rsidR="00DB4C2D">
        <w:rPr>
          <w:lang w:val="fr-FR"/>
        </w:rPr>
        <w:t>’</w:t>
      </w:r>
      <w:r w:rsidRPr="00A779B8">
        <w:rPr>
          <w:lang w:val="fr-FR"/>
        </w:rPr>
        <w:t>à ce que le véhicule ait parcouru au moins 160 000 km.</w:t>
      </w:r>
    </w:p>
    <w:p w:rsidR="00A34FDC" w:rsidRPr="00A779B8" w:rsidRDefault="00A34FDC" w:rsidP="00A34FDC">
      <w:pPr>
        <w:pStyle w:val="SingleTxtG"/>
        <w:keepNext/>
        <w:spacing w:after="100" w:line="236" w:lineRule="atLeast"/>
        <w:ind w:left="2268" w:hanging="1134"/>
        <w:jc w:val="left"/>
        <w:rPr>
          <w:lang w:val="fr-FR"/>
        </w:rPr>
      </w:pPr>
      <w:r w:rsidRPr="00A779B8">
        <w:rPr>
          <w:lang w:val="fr-FR"/>
        </w:rPr>
        <w:t>6.3</w:t>
      </w:r>
      <w:r w:rsidRPr="00A779B8">
        <w:rPr>
          <w:lang w:val="fr-FR"/>
        </w:rPr>
        <w:tab/>
        <w:t>Appareillage d</w:t>
      </w:r>
      <w:r w:rsidR="00DB4C2D">
        <w:rPr>
          <w:lang w:val="fr-FR"/>
        </w:rPr>
        <w:t>’</w:t>
      </w:r>
      <w:r w:rsidRPr="00A779B8">
        <w:rPr>
          <w:lang w:val="fr-FR"/>
        </w:rPr>
        <w:t>essai</w:t>
      </w:r>
    </w:p>
    <w:p w:rsidR="00A34FDC" w:rsidRPr="00A779B8" w:rsidRDefault="00A34FDC" w:rsidP="00A34FDC">
      <w:pPr>
        <w:pStyle w:val="SingleTxtG"/>
        <w:keepNext/>
        <w:spacing w:after="100" w:line="236" w:lineRule="atLeast"/>
        <w:ind w:left="2268" w:hanging="1134"/>
        <w:jc w:val="left"/>
        <w:rPr>
          <w:lang w:val="fr-FR"/>
        </w:rPr>
      </w:pPr>
      <w:r w:rsidRPr="00A779B8">
        <w:rPr>
          <w:lang w:val="fr-FR"/>
        </w:rPr>
        <w:t>6.3.1</w:t>
      </w:r>
      <w:r w:rsidRPr="00A779B8">
        <w:rPr>
          <w:lang w:val="fr-FR"/>
        </w:rPr>
        <w:tab/>
        <w:t>Banc à rouleaux</w:t>
      </w:r>
    </w:p>
    <w:p w:rsidR="00A34FDC" w:rsidRPr="00A779B8" w:rsidRDefault="00A34FDC" w:rsidP="00A34FDC">
      <w:pPr>
        <w:pStyle w:val="SingleTxtG"/>
        <w:spacing w:after="100" w:line="236" w:lineRule="atLeast"/>
        <w:ind w:left="2268" w:hanging="1134"/>
        <w:rPr>
          <w:lang w:val="fr-FR"/>
        </w:rPr>
      </w:pPr>
      <w:r w:rsidRPr="00A779B8">
        <w:rPr>
          <w:lang w:val="fr-FR"/>
        </w:rPr>
        <w:t>6.3.1.1</w:t>
      </w:r>
      <w:r w:rsidRPr="00A779B8">
        <w:rPr>
          <w:lang w:val="fr-FR"/>
        </w:rPr>
        <w:tab/>
        <w:t>Lorsque l</w:t>
      </w:r>
      <w:r w:rsidR="00DB4C2D">
        <w:rPr>
          <w:lang w:val="fr-FR"/>
        </w:rPr>
        <w:t>’</w:t>
      </w:r>
      <w:r w:rsidRPr="00A779B8">
        <w:rPr>
          <w:lang w:val="fr-FR"/>
        </w:rPr>
        <w:t>essai de longévité est réalisé sur banc à rouleaux, le banc doit permettre la réalisation du cycle décrit pr</w:t>
      </w:r>
      <w:r w:rsidR="00657C94">
        <w:rPr>
          <w:lang w:val="fr-FR"/>
        </w:rPr>
        <w:t>écédemment au paragraphe 6.1 ci</w:t>
      </w:r>
      <w:r w:rsidR="00657C94">
        <w:rPr>
          <w:lang w:val="fr-FR"/>
        </w:rPr>
        <w:noBreakHyphen/>
      </w:r>
      <w:r w:rsidRPr="00A779B8">
        <w:rPr>
          <w:lang w:val="fr-FR"/>
        </w:rPr>
        <w:t>dessus. Il doit en particulier être muni de systèmes simulant l</w:t>
      </w:r>
      <w:r w:rsidR="00DB4C2D">
        <w:rPr>
          <w:lang w:val="fr-FR"/>
        </w:rPr>
        <w:t>’</w:t>
      </w:r>
      <w:r w:rsidRPr="00A779B8">
        <w:rPr>
          <w:lang w:val="fr-FR"/>
        </w:rPr>
        <w:t>inertie et les résistances à l</w:t>
      </w:r>
      <w:r w:rsidR="00DB4C2D">
        <w:rPr>
          <w:lang w:val="fr-FR"/>
        </w:rPr>
        <w:t>’</w:t>
      </w:r>
      <w:r w:rsidRPr="00A779B8">
        <w:rPr>
          <w:lang w:val="fr-FR"/>
        </w:rPr>
        <w:t>avancement.</w:t>
      </w:r>
    </w:p>
    <w:p w:rsidR="00A34FDC" w:rsidRPr="00A779B8" w:rsidRDefault="00A34FDC" w:rsidP="00A34FDC">
      <w:pPr>
        <w:pStyle w:val="SingleTxtG"/>
        <w:spacing w:after="100" w:line="236" w:lineRule="atLeast"/>
        <w:ind w:left="2268" w:hanging="1134"/>
        <w:rPr>
          <w:lang w:val="fr-FR"/>
        </w:rPr>
      </w:pPr>
      <w:r w:rsidRPr="00A779B8">
        <w:rPr>
          <w:lang w:val="fr-FR"/>
        </w:rPr>
        <w:t>6.3.1.2</w:t>
      </w:r>
      <w:r w:rsidRPr="00A779B8">
        <w:rPr>
          <w:lang w:val="fr-FR"/>
        </w:rPr>
        <w:tab/>
        <w:t>Le frein doit être réglé pour absorber la puissance exercée sur les roues motrices du véhicule à la vitesse stabilisée de 80 km/h. Les méthodes à appliquer pour déterminer cette puissance et pour régler le frein sont identiques à celles décrites à l</w:t>
      </w:r>
      <w:r w:rsidR="00DB4C2D">
        <w:rPr>
          <w:lang w:val="fr-FR"/>
        </w:rPr>
        <w:t>’</w:t>
      </w:r>
      <w:r w:rsidRPr="00A779B8">
        <w:rPr>
          <w:lang w:val="fr-FR"/>
        </w:rPr>
        <w:t>appendice 7 de l</w:t>
      </w:r>
      <w:r w:rsidR="00DB4C2D">
        <w:rPr>
          <w:lang w:val="fr-FR"/>
        </w:rPr>
        <w:t>’</w:t>
      </w:r>
      <w:r w:rsidRPr="00A779B8">
        <w:rPr>
          <w:lang w:val="fr-FR"/>
        </w:rPr>
        <w:t>annexe 4a du présent Règlement.</w:t>
      </w:r>
    </w:p>
    <w:p w:rsidR="00A34FDC" w:rsidRPr="00A779B8" w:rsidRDefault="00A34FDC" w:rsidP="00A34FDC">
      <w:pPr>
        <w:pStyle w:val="SingleTxtG"/>
        <w:spacing w:after="100" w:line="236" w:lineRule="atLeast"/>
        <w:ind w:left="2268" w:hanging="1134"/>
        <w:rPr>
          <w:lang w:val="fr-FR"/>
        </w:rPr>
      </w:pPr>
      <w:r w:rsidRPr="00A779B8">
        <w:rPr>
          <w:lang w:val="fr-FR"/>
        </w:rPr>
        <w:t>6.3.1.3</w:t>
      </w:r>
      <w:r w:rsidRPr="00A779B8">
        <w:rPr>
          <w:lang w:val="fr-FR"/>
        </w:rPr>
        <w:tab/>
        <w:t>Le système de refroidissement du véhicule doit permettre le fonctionnement de l</w:t>
      </w:r>
      <w:r w:rsidR="00DB4C2D">
        <w:rPr>
          <w:lang w:val="fr-FR"/>
        </w:rPr>
        <w:t>’</w:t>
      </w:r>
      <w:r w:rsidRPr="00A779B8">
        <w:rPr>
          <w:lang w:val="fr-FR"/>
        </w:rPr>
        <w:t>ensemble à des températures semblables à celles obtenues sur route (huile, eau, ligne d</w:t>
      </w:r>
      <w:r w:rsidR="00DB4C2D">
        <w:rPr>
          <w:lang w:val="fr-FR"/>
        </w:rPr>
        <w:t>’</w:t>
      </w:r>
      <w:r w:rsidRPr="00A779B8">
        <w:rPr>
          <w:lang w:val="fr-FR"/>
        </w:rPr>
        <w:t>échappement, etc.).</w:t>
      </w:r>
    </w:p>
    <w:p w:rsidR="00A34FDC" w:rsidRPr="00A779B8" w:rsidRDefault="00A34FDC" w:rsidP="00A34FDC">
      <w:pPr>
        <w:pStyle w:val="SingleTxtG"/>
        <w:spacing w:after="100" w:line="236" w:lineRule="atLeast"/>
        <w:ind w:left="2268" w:hanging="1134"/>
        <w:rPr>
          <w:lang w:val="fr-FR"/>
        </w:rPr>
      </w:pPr>
      <w:r w:rsidRPr="00A779B8">
        <w:rPr>
          <w:lang w:val="fr-FR"/>
        </w:rPr>
        <w:t>6.3.1.4</w:t>
      </w:r>
      <w:r w:rsidRPr="00A779B8">
        <w:rPr>
          <w:lang w:val="fr-FR"/>
        </w:rPr>
        <w:tab/>
        <w:t>Certains autres réglages et caractéristiques du banc d</w:t>
      </w:r>
      <w:r w:rsidR="00DB4C2D">
        <w:rPr>
          <w:lang w:val="fr-FR"/>
        </w:rPr>
        <w:t>’</w:t>
      </w:r>
      <w:r w:rsidRPr="00A779B8">
        <w:rPr>
          <w:lang w:val="fr-FR"/>
        </w:rPr>
        <w:t>essai seront, en cas de besoin, réputés identiques à ceux décrits dans l</w:t>
      </w:r>
      <w:r w:rsidR="00DB4C2D">
        <w:rPr>
          <w:lang w:val="fr-FR"/>
        </w:rPr>
        <w:t>’</w:t>
      </w:r>
      <w:r w:rsidRPr="00A779B8">
        <w:rPr>
          <w:lang w:val="fr-FR"/>
        </w:rPr>
        <w:t>annexe 4a du présent Règlement (inerties par exemple qui pourront être mécaniques ou électriques).</w:t>
      </w:r>
    </w:p>
    <w:p w:rsidR="00A34FDC" w:rsidRPr="00A779B8" w:rsidRDefault="00A34FDC" w:rsidP="00A34FDC">
      <w:pPr>
        <w:pStyle w:val="SingleTxtG"/>
        <w:spacing w:after="100" w:line="236" w:lineRule="atLeast"/>
        <w:ind w:left="2268" w:hanging="1134"/>
        <w:rPr>
          <w:lang w:val="fr-FR"/>
        </w:rPr>
      </w:pPr>
      <w:r w:rsidRPr="00A779B8">
        <w:rPr>
          <w:lang w:val="fr-FR"/>
        </w:rPr>
        <w:t>6.3.1.5</w:t>
      </w:r>
      <w:r w:rsidRPr="00A779B8">
        <w:rPr>
          <w:lang w:val="fr-FR"/>
        </w:rPr>
        <w:tab/>
        <w:t>Au cours de l</w:t>
      </w:r>
      <w:r w:rsidR="00DB4C2D">
        <w:rPr>
          <w:lang w:val="fr-FR"/>
        </w:rPr>
        <w:t>’</w:t>
      </w:r>
      <w:r w:rsidRPr="00A779B8">
        <w:rPr>
          <w:lang w:val="fr-FR"/>
        </w:rPr>
        <w:t>essai, on peut en cas de besoin déplacer le véhicule sur un autre banc afin de réaliser les essais de mesure des émissions.</w:t>
      </w:r>
    </w:p>
    <w:p w:rsidR="00A34FDC" w:rsidRPr="00A779B8" w:rsidRDefault="00A34FDC" w:rsidP="00A34FDC">
      <w:pPr>
        <w:pStyle w:val="SingleTxtG"/>
        <w:keepNext/>
        <w:spacing w:after="100" w:line="236" w:lineRule="atLeast"/>
        <w:ind w:left="2268" w:hanging="1134"/>
        <w:jc w:val="left"/>
        <w:rPr>
          <w:lang w:val="fr-FR"/>
        </w:rPr>
      </w:pPr>
      <w:r w:rsidRPr="00A779B8">
        <w:rPr>
          <w:lang w:val="fr-FR"/>
        </w:rPr>
        <w:t>6.3.2</w:t>
      </w:r>
      <w:r w:rsidRPr="00A779B8">
        <w:rPr>
          <w:lang w:val="fr-FR"/>
        </w:rPr>
        <w:tab/>
        <w:t>Essai sur piste ou route</w:t>
      </w:r>
    </w:p>
    <w:p w:rsidR="00A34FDC" w:rsidRPr="00A779B8" w:rsidRDefault="00A34FDC" w:rsidP="00A34FDC">
      <w:pPr>
        <w:pStyle w:val="SingleTxtG"/>
        <w:spacing w:after="100" w:line="236" w:lineRule="atLeast"/>
        <w:ind w:left="2268"/>
        <w:rPr>
          <w:lang w:val="fr-FR"/>
        </w:rPr>
      </w:pPr>
      <w:r w:rsidRPr="00A779B8">
        <w:rPr>
          <w:lang w:val="fr-FR"/>
        </w:rPr>
        <w:tab/>
        <w:t>Lorsque l</w:t>
      </w:r>
      <w:r w:rsidR="00DB4C2D">
        <w:rPr>
          <w:lang w:val="fr-FR"/>
        </w:rPr>
        <w:t>’</w:t>
      </w:r>
      <w:r w:rsidRPr="00A779B8">
        <w:rPr>
          <w:lang w:val="fr-FR"/>
        </w:rPr>
        <w:t>essai de longévité est réalisé sur piste ou sur route, la masse de référence du véhicule doit être au moins égale à celle retenue pour les essais réalisés sur banc à rouleaux.</w:t>
      </w:r>
    </w:p>
    <w:p w:rsidR="00A34FDC" w:rsidRPr="00A779B8" w:rsidRDefault="00A34FDC" w:rsidP="00A34FDC">
      <w:pPr>
        <w:pStyle w:val="SingleTxtG"/>
        <w:keepNext/>
        <w:spacing w:after="100" w:line="236" w:lineRule="atLeast"/>
        <w:ind w:left="2268" w:hanging="1134"/>
        <w:jc w:val="left"/>
        <w:rPr>
          <w:lang w:val="fr-FR"/>
        </w:rPr>
      </w:pPr>
      <w:r w:rsidRPr="00A779B8">
        <w:rPr>
          <w:lang w:val="fr-FR"/>
        </w:rPr>
        <w:t>7.</w:t>
      </w:r>
      <w:r w:rsidRPr="00A779B8">
        <w:rPr>
          <w:lang w:val="fr-FR"/>
        </w:rPr>
        <w:tab/>
        <w:t>Mesure des émissions de polluants</w:t>
      </w:r>
    </w:p>
    <w:p w:rsidR="00A34FDC" w:rsidRPr="00A779B8" w:rsidRDefault="00A34FDC" w:rsidP="00A34FDC">
      <w:pPr>
        <w:pStyle w:val="SingleTxtG"/>
        <w:spacing w:after="100" w:line="236" w:lineRule="atLeast"/>
        <w:ind w:left="2268"/>
        <w:rPr>
          <w:lang w:val="fr-FR"/>
        </w:rPr>
      </w:pPr>
      <w:r w:rsidRPr="00A779B8">
        <w:rPr>
          <w:lang w:val="fr-FR"/>
        </w:rPr>
        <w:tab/>
        <w:t>Au début de l</w:t>
      </w:r>
      <w:r w:rsidR="00DB4C2D">
        <w:rPr>
          <w:lang w:val="fr-FR"/>
        </w:rPr>
        <w:t>’</w:t>
      </w:r>
      <w:r w:rsidRPr="00A779B8">
        <w:rPr>
          <w:lang w:val="fr-FR"/>
        </w:rPr>
        <w:t xml:space="preserve">essai (0 km) et, à intervalles réguliers de 10 000 km </w:t>
      </w:r>
      <w:r w:rsidRPr="00A779B8">
        <w:rPr>
          <w:lang w:val="fr-FR"/>
        </w:rPr>
        <w:sym w:font="Symbol" w:char="F0B1"/>
      </w:r>
      <w:r w:rsidRPr="00A779B8">
        <w:rPr>
          <w:lang w:val="fr-FR"/>
        </w:rPr>
        <w:t> 400 km ou plus fréquemment, jusqu</w:t>
      </w:r>
      <w:r w:rsidR="00DB4C2D">
        <w:rPr>
          <w:lang w:val="fr-FR"/>
        </w:rPr>
        <w:t>’</w:t>
      </w:r>
      <w:r w:rsidRPr="00A779B8">
        <w:rPr>
          <w:lang w:val="fr-FR"/>
        </w:rPr>
        <w:t>à 160 000 km, les émissions d</w:t>
      </w:r>
      <w:r w:rsidR="00DB4C2D">
        <w:rPr>
          <w:lang w:val="fr-FR"/>
        </w:rPr>
        <w:t>’</w:t>
      </w:r>
      <w:r w:rsidRPr="00A779B8">
        <w:rPr>
          <w:lang w:val="fr-FR"/>
        </w:rPr>
        <w:t>échappement sont mesurées conformément à l</w:t>
      </w:r>
      <w:r w:rsidR="00DB4C2D">
        <w:rPr>
          <w:lang w:val="fr-FR"/>
        </w:rPr>
        <w:t>’</w:t>
      </w:r>
      <w:r w:rsidRPr="00A779B8">
        <w:rPr>
          <w:lang w:val="fr-FR"/>
        </w:rPr>
        <w:t>essai du type I décrit au paragraphe 5.3.1 du présent Règlement. Les valeurs limites à respecter sont celles fixées au paragraphe 5.3.1.4 du présent Règlement.</w:t>
      </w:r>
    </w:p>
    <w:p w:rsidR="00A34FDC" w:rsidRPr="00A779B8" w:rsidRDefault="00A34FDC" w:rsidP="00A34FDC">
      <w:pPr>
        <w:pStyle w:val="SingleTxtG"/>
        <w:spacing w:after="100" w:line="236" w:lineRule="atLeast"/>
        <w:ind w:left="2268"/>
        <w:rPr>
          <w:lang w:val="fr-FR"/>
        </w:rPr>
      </w:pPr>
      <w:r w:rsidRPr="00A779B8">
        <w:rPr>
          <w:lang w:val="fr-FR"/>
        </w:rPr>
        <w:tab/>
        <w:t>Dans le cas de véhicules équipés d</w:t>
      </w:r>
      <w:r w:rsidR="00DB4C2D">
        <w:rPr>
          <w:lang w:val="fr-FR"/>
        </w:rPr>
        <w:t>’</w:t>
      </w:r>
      <w:r w:rsidRPr="00A779B8">
        <w:rPr>
          <w:lang w:val="fr-FR"/>
        </w:rPr>
        <w:t>un dispositif à régénération discontinue tel qu</w:t>
      </w:r>
      <w:r w:rsidR="00DB4C2D">
        <w:rPr>
          <w:lang w:val="fr-FR"/>
        </w:rPr>
        <w:t>’</w:t>
      </w:r>
      <w:r w:rsidRPr="00A779B8">
        <w:rPr>
          <w:lang w:val="fr-FR"/>
        </w:rPr>
        <w:t>il est défini au paragraphe 2.20 du présent Règlement, on doit vérifier que le véhicule n</w:t>
      </w:r>
      <w:r w:rsidR="00DB4C2D">
        <w:rPr>
          <w:lang w:val="fr-FR"/>
        </w:rPr>
        <w:t>’</w:t>
      </w:r>
      <w:r w:rsidRPr="00A779B8">
        <w:rPr>
          <w:lang w:val="fr-FR"/>
        </w:rPr>
        <w:t>est pas proche d</w:t>
      </w:r>
      <w:r w:rsidR="00DB4C2D">
        <w:rPr>
          <w:lang w:val="fr-FR"/>
        </w:rPr>
        <w:t>’</w:t>
      </w:r>
      <w:r w:rsidRPr="00A779B8">
        <w:rPr>
          <w:lang w:val="fr-FR"/>
        </w:rPr>
        <w:t>une phase de régénération. Si tel est le cas, il faut faire fonctionner le véhicule jusqu</w:t>
      </w:r>
      <w:r w:rsidR="00DB4C2D">
        <w:rPr>
          <w:lang w:val="fr-FR"/>
        </w:rPr>
        <w:t>’</w:t>
      </w:r>
      <w:r w:rsidRPr="00A779B8">
        <w:rPr>
          <w:lang w:val="fr-FR"/>
        </w:rPr>
        <w:t xml:space="preserve">à la fin de la régénération. Si une phase de régénération survient lors de la mesure des émissions, on doit exécuter un nouvel essai (avec </w:t>
      </w:r>
      <w:proofErr w:type="spellStart"/>
      <w:r w:rsidRPr="00A779B8">
        <w:rPr>
          <w:lang w:val="fr-FR"/>
        </w:rPr>
        <w:t>préconditionnement</w:t>
      </w:r>
      <w:proofErr w:type="spellEnd"/>
      <w:r w:rsidRPr="00A779B8">
        <w:rPr>
          <w:lang w:val="fr-FR"/>
        </w:rPr>
        <w:t>) et ne pas tenir compte des résultats du premier essai.</w:t>
      </w:r>
    </w:p>
    <w:p w:rsidR="00A34FDC" w:rsidRPr="00A779B8" w:rsidRDefault="00A34FDC" w:rsidP="00A34FDC">
      <w:pPr>
        <w:pStyle w:val="SingleTxtG"/>
        <w:spacing w:after="100" w:line="236" w:lineRule="atLeast"/>
        <w:ind w:left="2268"/>
        <w:rPr>
          <w:lang w:val="fr-FR"/>
        </w:rPr>
      </w:pPr>
      <w:r w:rsidRPr="00A779B8">
        <w:rPr>
          <w:lang w:val="fr-FR"/>
        </w:rPr>
        <w:tab/>
        <w:t>Le diagramme de tous les résultats des émissions d</w:t>
      </w:r>
      <w:r w:rsidR="00DB4C2D">
        <w:rPr>
          <w:lang w:val="fr-FR"/>
        </w:rPr>
        <w:t>’</w:t>
      </w:r>
      <w:r w:rsidRPr="00A779B8">
        <w:rPr>
          <w:lang w:val="fr-FR"/>
        </w:rPr>
        <w:t>échappement en fonction de la distance parcourue arrondie au kilomètre le plus proche doit être tracé ainsi que la droite de régression correspondante calculée par la méthode des moindres carrés. Dans le calcul de la droite de régression, on ne doit pas tenir compte des résultats des essais à «0 km».</w:t>
      </w:r>
    </w:p>
    <w:p w:rsidR="00A34FDC" w:rsidRPr="00A779B8" w:rsidRDefault="00A34FDC" w:rsidP="00A34FDC">
      <w:pPr>
        <w:pStyle w:val="SingleTxtG"/>
        <w:spacing w:after="100" w:line="236" w:lineRule="atLeast"/>
        <w:ind w:left="2268"/>
        <w:rPr>
          <w:lang w:val="fr-FR"/>
        </w:rPr>
      </w:pPr>
      <w:r w:rsidRPr="00A779B8">
        <w:rPr>
          <w:lang w:val="fr-FR"/>
        </w:rPr>
        <w:tab/>
        <w:t>Les données ne sont à prendre en considération pour le calcul du facteur de détérioration que si les points d</w:t>
      </w:r>
      <w:r w:rsidR="00DB4C2D">
        <w:rPr>
          <w:lang w:val="fr-FR"/>
        </w:rPr>
        <w:t>’</w:t>
      </w:r>
      <w:r w:rsidRPr="00A779B8">
        <w:rPr>
          <w:lang w:val="fr-FR"/>
        </w:rPr>
        <w:t>interpolation à 6 400 km et à 160 000 km sur cette droite sont dans les limites mentionnées précédemment.</w:t>
      </w:r>
    </w:p>
    <w:p w:rsidR="00A34FDC" w:rsidRPr="00A779B8" w:rsidRDefault="00A34FDC" w:rsidP="00A34FDC">
      <w:pPr>
        <w:pStyle w:val="SingleTxtG"/>
        <w:spacing w:after="100" w:line="236" w:lineRule="atLeast"/>
        <w:ind w:left="2268"/>
        <w:rPr>
          <w:lang w:val="fr-FR"/>
        </w:rPr>
      </w:pPr>
      <w:r w:rsidRPr="00A779B8">
        <w:rPr>
          <w:lang w:val="fr-FR"/>
        </w:rPr>
        <w:lastRenderedPageBreak/>
        <w:tab/>
        <w:t>Les données restent valables quand la droite de régression croise une limite avec une pente négative (le point d</w:t>
      </w:r>
      <w:r w:rsidR="00DB4C2D">
        <w:rPr>
          <w:lang w:val="fr-FR"/>
        </w:rPr>
        <w:t>’</w:t>
      </w:r>
      <w:r w:rsidRPr="00A779B8">
        <w:rPr>
          <w:lang w:val="fr-FR"/>
        </w:rPr>
        <w:t>interpolation à 6 400 km est plus élevé que le point d</w:t>
      </w:r>
      <w:r w:rsidR="00DB4C2D">
        <w:rPr>
          <w:lang w:val="fr-FR"/>
        </w:rPr>
        <w:t>’</w:t>
      </w:r>
      <w:r w:rsidRPr="00A779B8">
        <w:rPr>
          <w:lang w:val="fr-FR"/>
        </w:rPr>
        <w:t>interpolation à 160 000 km) mais que le point exact à 160 000 km reste inférieur aux limites.</w:t>
      </w:r>
    </w:p>
    <w:p w:rsidR="00A34FDC" w:rsidRPr="00A779B8" w:rsidRDefault="00A34FDC" w:rsidP="00A34FDC">
      <w:pPr>
        <w:pStyle w:val="SingleTxtG"/>
        <w:keepNext/>
        <w:ind w:left="2268"/>
        <w:rPr>
          <w:lang w:val="fr-FR"/>
        </w:rPr>
      </w:pPr>
      <w:r w:rsidRPr="00A779B8">
        <w:rPr>
          <w:lang w:val="fr-FR"/>
        </w:rPr>
        <w:tab/>
        <w:t>Le facteur multiplicatif de détérioration pour les émissions à l</w:t>
      </w:r>
      <w:r w:rsidR="00DB4C2D">
        <w:rPr>
          <w:lang w:val="fr-FR"/>
        </w:rPr>
        <w:t>’</w:t>
      </w:r>
      <w:r w:rsidRPr="00A779B8">
        <w:rPr>
          <w:lang w:val="fr-FR"/>
        </w:rPr>
        <w:t>échappement doit être calculé comme suit:</w:t>
      </w:r>
    </w:p>
    <w:p w:rsidR="00A34FDC" w:rsidRPr="00A779B8" w:rsidRDefault="00A34FDC" w:rsidP="00A34FDC">
      <w:pPr>
        <w:pStyle w:val="SingleTxtG"/>
        <w:ind w:left="2268"/>
        <w:jc w:val="left"/>
        <w:rPr>
          <w:lang w:val="fr-FR"/>
        </w:rPr>
      </w:pPr>
      <w:r w:rsidRPr="00A779B8">
        <w:rPr>
          <w:b/>
          <w:position w:val="-26"/>
          <w:sz w:val="28"/>
          <w:szCs w:val="28"/>
          <w:lang w:val="fr-FR"/>
        </w:rPr>
        <w:object w:dxaOrig="1160" w:dyaOrig="600">
          <v:shape id="_x0000_i1122" type="#_x0000_t75" style="width:57.75pt;height:29.9pt" o:ole="" o:allowoverlap="f">
            <v:imagedata r:id="rId240" o:title=""/>
          </v:shape>
          <o:OLEObject Type="Embed" ProgID="Equation.3" ShapeID="_x0000_i1122" DrawAspect="Content" ObjectID="_1490178467" r:id="rId241"/>
        </w:object>
      </w:r>
    </w:p>
    <w:p w:rsidR="00A34FDC" w:rsidRPr="00A779B8" w:rsidRDefault="00A34FDC" w:rsidP="00A34FDC">
      <w:pPr>
        <w:pStyle w:val="SingleTxtG"/>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A34FDC" w:rsidRPr="007E29C4" w:rsidTr="00DB4C2D">
        <w:tc>
          <w:tcPr>
            <w:tcW w:w="567" w:type="dxa"/>
            <w:shd w:val="clear" w:color="auto" w:fill="auto"/>
          </w:tcPr>
          <w:p w:rsidR="00A34FDC" w:rsidRPr="007E29C4" w:rsidRDefault="00A34FDC" w:rsidP="00DB4C2D">
            <w:pPr>
              <w:spacing w:after="120"/>
              <w:rPr>
                <w:lang w:val="fr-FR"/>
              </w:rPr>
            </w:pPr>
            <w:r w:rsidRPr="007E29C4">
              <w:rPr>
                <w:lang w:val="fr-FR"/>
              </w:rPr>
              <w:t>Mi</w:t>
            </w:r>
            <w:r w:rsidRPr="007E29C4">
              <w:rPr>
                <w:vertAlign w:val="subscript"/>
                <w:lang w:val="fr-FR"/>
              </w:rPr>
              <w:t>1</w:t>
            </w:r>
          </w:p>
        </w:tc>
        <w:tc>
          <w:tcPr>
            <w:tcW w:w="284" w:type="dxa"/>
            <w:shd w:val="clear" w:color="auto" w:fill="auto"/>
          </w:tcPr>
          <w:p w:rsidR="00A34FDC" w:rsidRPr="007E29C4" w:rsidRDefault="00A34FDC" w:rsidP="00DB4C2D">
            <w:pPr>
              <w:spacing w:after="120"/>
              <w:rPr>
                <w:lang w:val="fr-FR"/>
              </w:rPr>
            </w:pPr>
            <w:r w:rsidRPr="007E29C4">
              <w:rPr>
                <w:lang w:val="fr-FR"/>
              </w:rPr>
              <w:t>=</w:t>
            </w:r>
          </w:p>
        </w:tc>
        <w:tc>
          <w:tcPr>
            <w:tcW w:w="5106" w:type="dxa"/>
            <w:shd w:val="clear" w:color="auto" w:fill="auto"/>
          </w:tcPr>
          <w:p w:rsidR="00A34FDC" w:rsidRPr="007E29C4" w:rsidRDefault="00A34FDC" w:rsidP="00DB4C2D">
            <w:pPr>
              <w:spacing w:after="120"/>
              <w:rPr>
                <w:lang w:val="fr-FR"/>
              </w:rPr>
            </w:pPr>
            <w:r w:rsidRPr="007E29C4">
              <w:rPr>
                <w:lang w:val="fr-FR"/>
              </w:rPr>
              <w:t>masse du polluant i en g par km, interpolée à 6 400 km,</w:t>
            </w:r>
          </w:p>
        </w:tc>
      </w:tr>
      <w:tr w:rsidR="00A34FDC" w:rsidRPr="007E29C4" w:rsidTr="00DB4C2D">
        <w:tc>
          <w:tcPr>
            <w:tcW w:w="567" w:type="dxa"/>
            <w:shd w:val="clear" w:color="auto" w:fill="auto"/>
          </w:tcPr>
          <w:p w:rsidR="00A34FDC" w:rsidRPr="007E29C4" w:rsidRDefault="00A34FDC" w:rsidP="00DB4C2D">
            <w:pPr>
              <w:spacing w:after="120"/>
              <w:rPr>
                <w:lang w:val="fr-FR"/>
              </w:rPr>
            </w:pPr>
            <w:r w:rsidRPr="007E29C4">
              <w:rPr>
                <w:lang w:val="fr-FR"/>
              </w:rPr>
              <w:t>Mi</w:t>
            </w:r>
            <w:r w:rsidRPr="007E29C4">
              <w:rPr>
                <w:vertAlign w:val="subscript"/>
                <w:lang w:val="fr-FR"/>
              </w:rPr>
              <w:t>2</w:t>
            </w:r>
          </w:p>
        </w:tc>
        <w:tc>
          <w:tcPr>
            <w:tcW w:w="284" w:type="dxa"/>
            <w:shd w:val="clear" w:color="auto" w:fill="auto"/>
          </w:tcPr>
          <w:p w:rsidR="00A34FDC" w:rsidRPr="007E29C4" w:rsidRDefault="00A34FDC" w:rsidP="00DB4C2D">
            <w:pPr>
              <w:spacing w:after="120"/>
              <w:rPr>
                <w:lang w:val="fr-FR"/>
              </w:rPr>
            </w:pPr>
            <w:r w:rsidRPr="007E29C4">
              <w:rPr>
                <w:lang w:val="fr-FR"/>
              </w:rPr>
              <w:t>=</w:t>
            </w:r>
          </w:p>
        </w:tc>
        <w:tc>
          <w:tcPr>
            <w:tcW w:w="5106" w:type="dxa"/>
            <w:shd w:val="clear" w:color="auto" w:fill="auto"/>
          </w:tcPr>
          <w:p w:rsidR="00A34FDC" w:rsidRPr="007E29C4" w:rsidRDefault="00A34FDC" w:rsidP="00DB4C2D">
            <w:pPr>
              <w:spacing w:after="120"/>
              <w:rPr>
                <w:lang w:val="fr-FR"/>
              </w:rPr>
            </w:pPr>
            <w:r w:rsidRPr="007E29C4">
              <w:rPr>
                <w:lang w:val="fr-FR"/>
              </w:rPr>
              <w:t>masse du polluant i en g par km, interpolée à 160 000 km.</w:t>
            </w:r>
          </w:p>
        </w:tc>
      </w:tr>
    </w:tbl>
    <w:p w:rsidR="00A34FDC" w:rsidRPr="00A779B8" w:rsidRDefault="00A34FDC" w:rsidP="00A34FDC">
      <w:pPr>
        <w:pStyle w:val="SingleTxtG"/>
        <w:ind w:left="2268"/>
        <w:rPr>
          <w:lang w:val="fr-FR"/>
        </w:rPr>
      </w:pPr>
      <w:r w:rsidRPr="00A779B8">
        <w:rPr>
          <w:lang w:val="fr-FR"/>
        </w:rPr>
        <w:tab/>
        <w:t>Les valeurs interpolées doivent être données avec un minimum de quatre chiffres après la virgule avant d</w:t>
      </w:r>
      <w:r w:rsidR="00DB4C2D">
        <w:rPr>
          <w:lang w:val="fr-FR"/>
        </w:rPr>
        <w:t>’</w:t>
      </w:r>
      <w:r w:rsidRPr="00A779B8">
        <w:rPr>
          <w:lang w:val="fr-FR"/>
        </w:rPr>
        <w:t>être divisées l</w:t>
      </w:r>
      <w:r w:rsidR="00DB4C2D">
        <w:rPr>
          <w:lang w:val="fr-FR"/>
        </w:rPr>
        <w:t>’</w:t>
      </w:r>
      <w:r w:rsidRPr="00A779B8">
        <w:rPr>
          <w:lang w:val="fr-FR"/>
        </w:rPr>
        <w:t>une par l</w:t>
      </w:r>
      <w:r w:rsidR="00DB4C2D">
        <w:rPr>
          <w:lang w:val="fr-FR"/>
        </w:rPr>
        <w:t>’</w:t>
      </w:r>
      <w:r w:rsidRPr="00A779B8">
        <w:rPr>
          <w:lang w:val="fr-FR"/>
        </w:rPr>
        <w:t xml:space="preserve">autre pour déterminer le facteur de détérioration. Le résultat doit être arrondi à trois chiffres après la virgule. </w:t>
      </w:r>
    </w:p>
    <w:p w:rsidR="00A34FDC" w:rsidRPr="00A779B8" w:rsidRDefault="00A34FDC" w:rsidP="00A34FDC">
      <w:pPr>
        <w:pStyle w:val="SingleTxtG"/>
        <w:ind w:left="2268"/>
        <w:rPr>
          <w:lang w:val="fr-FR"/>
        </w:rPr>
      </w:pPr>
      <w:r w:rsidRPr="00A779B8">
        <w:rPr>
          <w:lang w:val="fr-FR"/>
        </w:rPr>
        <w:tab/>
        <w:t>Si un facteur de détérioration est inférieur à 1, il doit être pris égal à 1.</w:t>
      </w:r>
    </w:p>
    <w:p w:rsidR="00A34FDC" w:rsidRPr="00A779B8" w:rsidRDefault="00A34FDC" w:rsidP="00A34FDC">
      <w:pPr>
        <w:pStyle w:val="SingleTxtG"/>
        <w:ind w:left="2268"/>
        <w:rPr>
          <w:lang w:val="fr-FR"/>
        </w:rPr>
      </w:pPr>
      <w:r w:rsidRPr="00A779B8">
        <w:rPr>
          <w:lang w:val="fr-FR"/>
        </w:rPr>
        <w:tab/>
        <w:t>À la demande du constructeur, un facteur supplémentaire de détérioration des émissions d</w:t>
      </w:r>
      <w:r w:rsidR="00DB4C2D">
        <w:rPr>
          <w:lang w:val="fr-FR"/>
        </w:rPr>
        <w:t>’</w:t>
      </w:r>
      <w:r w:rsidRPr="00A779B8">
        <w:rPr>
          <w:lang w:val="fr-FR"/>
        </w:rPr>
        <w:t>échappement est calculé pour chaque polluant, comme suit:</w:t>
      </w:r>
    </w:p>
    <w:p w:rsidR="00A34FDC" w:rsidRDefault="00A34FDC" w:rsidP="00A34FDC">
      <w:pPr>
        <w:pStyle w:val="SingleTxtG"/>
        <w:ind w:left="2268"/>
        <w:rPr>
          <w:lang w:val="es-BO"/>
        </w:rPr>
      </w:pPr>
      <w:r w:rsidRPr="00DF3820">
        <w:rPr>
          <w:lang w:val="es-BO"/>
        </w:rPr>
        <w:t>D. E. F. = Mi</w:t>
      </w:r>
      <w:r w:rsidRPr="00DF3820">
        <w:rPr>
          <w:vertAlign w:val="subscript"/>
          <w:lang w:val="es-BO"/>
        </w:rPr>
        <w:t>2</w:t>
      </w:r>
      <w:r w:rsidRPr="00DF3820">
        <w:rPr>
          <w:lang w:val="es-BO"/>
        </w:rPr>
        <w:t xml:space="preserve"> - Mi</w:t>
      </w:r>
      <w:r w:rsidRPr="00DF3820">
        <w:rPr>
          <w:vertAlign w:val="subscript"/>
          <w:lang w:val="es-BO"/>
        </w:rPr>
        <w:t>1</w:t>
      </w:r>
      <w:r w:rsidRPr="00DF3820">
        <w:rPr>
          <w:lang w:val="es-BO"/>
        </w:rPr>
        <w:t>.</w:t>
      </w:r>
    </w:p>
    <w:p w:rsidR="007B3C94" w:rsidRDefault="007B3C94" w:rsidP="007B3C94">
      <w:pPr>
        <w:pStyle w:val="SingleTxtG"/>
        <w:sectPr w:rsidR="007B3C94" w:rsidSect="00C108AC">
          <w:headerReference w:type="even" r:id="rId242"/>
          <w:headerReference w:type="default" r:id="rId243"/>
          <w:footnotePr>
            <w:numRestart w:val="eachSect"/>
          </w:footnotePr>
          <w:endnotePr>
            <w:numFmt w:val="decimal"/>
          </w:endnotePr>
          <w:pgSz w:w="11907" w:h="16840" w:code="9"/>
          <w:pgMar w:top="1701" w:right="1134" w:bottom="2268" w:left="1134" w:header="794" w:footer="1701" w:gutter="0"/>
          <w:cols w:space="720"/>
          <w:docGrid w:linePitch="272"/>
        </w:sectPr>
      </w:pPr>
    </w:p>
    <w:p w:rsidR="007B3C94" w:rsidRPr="003E7BF8" w:rsidRDefault="007B3C94" w:rsidP="007B3C94">
      <w:pPr>
        <w:pStyle w:val="HChG"/>
      </w:pPr>
      <w:r w:rsidRPr="003E7BF8">
        <w:lastRenderedPageBreak/>
        <w:t>Annexe 9 − Appendice 1</w:t>
      </w:r>
    </w:p>
    <w:p w:rsidR="007B3C94" w:rsidRPr="00A779B8" w:rsidRDefault="007B3C94" w:rsidP="007B3C94">
      <w:pPr>
        <w:pStyle w:val="HChG"/>
        <w:rPr>
          <w:lang w:val="fr-FR"/>
        </w:rPr>
      </w:pPr>
      <w:r w:rsidRPr="00DF3820">
        <w:rPr>
          <w:lang w:val="es-BO"/>
        </w:rPr>
        <w:tab/>
      </w:r>
      <w:r w:rsidRPr="00DF3820">
        <w:rPr>
          <w:lang w:val="es-BO"/>
        </w:rPr>
        <w:tab/>
      </w:r>
      <w:r w:rsidRPr="00A779B8">
        <w:rPr>
          <w:lang w:val="fr-FR"/>
        </w:rPr>
        <w:t>Cycle normalisé au banc (SBC)</w:t>
      </w:r>
    </w:p>
    <w:p w:rsidR="007B3C94" w:rsidRPr="00A779B8" w:rsidRDefault="007B3C94" w:rsidP="007B3C94">
      <w:pPr>
        <w:pStyle w:val="SingleTxtG"/>
        <w:keepNext/>
        <w:ind w:left="2268" w:hanging="1134"/>
        <w:jc w:val="left"/>
        <w:rPr>
          <w:lang w:val="fr-FR"/>
        </w:rPr>
      </w:pPr>
      <w:r w:rsidRPr="00A779B8">
        <w:rPr>
          <w:lang w:val="fr-FR"/>
        </w:rPr>
        <w:t>1.</w:t>
      </w:r>
      <w:r w:rsidRPr="00A779B8">
        <w:rPr>
          <w:lang w:val="fr-FR"/>
        </w:rPr>
        <w:tab/>
        <w:t>Introduction</w:t>
      </w:r>
    </w:p>
    <w:p w:rsidR="007B3C94" w:rsidRPr="00A779B8" w:rsidRDefault="007B3C94" w:rsidP="007B3C94">
      <w:pPr>
        <w:pStyle w:val="SingleTxtG"/>
        <w:ind w:left="2268"/>
        <w:rPr>
          <w:lang w:val="fr-FR"/>
        </w:rPr>
      </w:pPr>
      <w:r w:rsidRPr="00A779B8">
        <w:rPr>
          <w:lang w:val="fr-FR"/>
        </w:rPr>
        <w:tab/>
        <w:t>L</w:t>
      </w:r>
      <w:r w:rsidR="00DB4C2D">
        <w:rPr>
          <w:lang w:val="fr-FR"/>
        </w:rPr>
        <w:t>’</w:t>
      </w:r>
      <w:r w:rsidRPr="00A779B8">
        <w:rPr>
          <w:lang w:val="fr-FR"/>
        </w:rPr>
        <w:t>essai normalisé de résistance au vieillissement consiste à soumettre un catalyseur et une sonde Lambda au cycle normalisé de vieillissement au banc (SBC) qui est expliqué dans le présent appendice. Ce cycle nécessite l</w:t>
      </w:r>
      <w:r w:rsidR="00DB4C2D">
        <w:rPr>
          <w:lang w:val="fr-FR"/>
        </w:rPr>
        <w:t>’</w:t>
      </w:r>
      <w:r w:rsidRPr="00A779B8">
        <w:rPr>
          <w:lang w:val="fr-FR"/>
        </w:rPr>
        <w:t>utilisation d</w:t>
      </w:r>
      <w:r w:rsidR="00DB4C2D">
        <w:rPr>
          <w:lang w:val="fr-FR"/>
        </w:rPr>
        <w:t>’</w:t>
      </w:r>
      <w:r w:rsidRPr="00A779B8">
        <w:rPr>
          <w:lang w:val="fr-FR"/>
        </w:rPr>
        <w:t>un banc de vieillissement sur lequel les gaz alimentant le catalyseur sont fournis par un moteur. Le cycle, d</w:t>
      </w:r>
      <w:r w:rsidR="00DB4C2D">
        <w:rPr>
          <w:lang w:val="fr-FR"/>
        </w:rPr>
        <w:t>’</w:t>
      </w:r>
      <w:r w:rsidRPr="00A779B8">
        <w:rPr>
          <w:lang w:val="fr-FR"/>
        </w:rPr>
        <w:t>une durée de 60 s, est répété autant de fois qu</w:t>
      </w:r>
      <w:r w:rsidR="00DB4C2D">
        <w:rPr>
          <w:lang w:val="fr-FR"/>
        </w:rPr>
        <w:t>’</w:t>
      </w:r>
      <w:r w:rsidRPr="00A779B8">
        <w:rPr>
          <w:lang w:val="fr-FR"/>
        </w:rPr>
        <w:t>il faut pour que le vieillissement dure le temps prescrit. Le cycle est défini en fonction de la température du catalyseur, du rapport air/carburant et de la quantité d</w:t>
      </w:r>
      <w:r w:rsidR="00DB4C2D">
        <w:rPr>
          <w:lang w:val="fr-FR"/>
        </w:rPr>
        <w:t>’</w:t>
      </w:r>
      <w:r w:rsidRPr="00A779B8">
        <w:rPr>
          <w:lang w:val="fr-FR"/>
        </w:rPr>
        <w:t>air secondaire injecté en amont du premier catalyseur.</w:t>
      </w:r>
    </w:p>
    <w:p w:rsidR="007B3C94" w:rsidRPr="00A779B8" w:rsidRDefault="007B3C94" w:rsidP="007B3C94">
      <w:pPr>
        <w:pStyle w:val="SingleTxtG"/>
        <w:keepNext/>
        <w:ind w:left="2268" w:hanging="1134"/>
        <w:jc w:val="left"/>
        <w:rPr>
          <w:lang w:val="fr-FR"/>
        </w:rPr>
      </w:pPr>
      <w:r w:rsidRPr="00A779B8">
        <w:rPr>
          <w:lang w:val="fr-FR"/>
        </w:rPr>
        <w:t>2.</w:t>
      </w:r>
      <w:r w:rsidRPr="00A779B8">
        <w:rPr>
          <w:lang w:val="fr-FR"/>
        </w:rPr>
        <w:tab/>
        <w:t>Régulation de la température du catalyseur</w:t>
      </w:r>
    </w:p>
    <w:p w:rsidR="007B3C94" w:rsidRPr="00A779B8" w:rsidRDefault="007B3C94" w:rsidP="007B3C94">
      <w:pPr>
        <w:pStyle w:val="SingleTxtG"/>
        <w:ind w:left="2268" w:hanging="1134"/>
        <w:rPr>
          <w:lang w:val="fr-FR"/>
        </w:rPr>
      </w:pPr>
      <w:r w:rsidRPr="00A779B8">
        <w:rPr>
          <w:lang w:val="fr-FR"/>
        </w:rPr>
        <w:t>2.1</w:t>
      </w:r>
      <w:r w:rsidRPr="00A779B8">
        <w:rPr>
          <w:lang w:val="fr-FR"/>
        </w:rPr>
        <w:tab/>
        <w:t>La température du catalyseur doit être mesurée dans son lit à l</w:t>
      </w:r>
      <w:r w:rsidR="00DB4C2D">
        <w:rPr>
          <w:lang w:val="fr-FR"/>
        </w:rPr>
        <w:t>’</w:t>
      </w:r>
      <w:r w:rsidRPr="00A779B8">
        <w:rPr>
          <w:lang w:val="fr-FR"/>
        </w:rPr>
        <w:t>endroit où le catalyseur le plus chaud atteint la température la plus haute. On peut aussi mesurer la température du gaz d</w:t>
      </w:r>
      <w:r w:rsidR="00DB4C2D">
        <w:rPr>
          <w:lang w:val="fr-FR"/>
        </w:rPr>
        <w:t>’</w:t>
      </w:r>
      <w:r w:rsidRPr="00A779B8">
        <w:rPr>
          <w:lang w:val="fr-FR"/>
        </w:rPr>
        <w:t>alimentation et obtenir la température du lit du catalyseur au moyen d</w:t>
      </w:r>
      <w:r w:rsidR="00DB4C2D">
        <w:rPr>
          <w:lang w:val="fr-FR"/>
        </w:rPr>
        <w:t>’</w:t>
      </w:r>
      <w:r w:rsidRPr="00A779B8">
        <w:rPr>
          <w:lang w:val="fr-FR"/>
        </w:rPr>
        <w:t>une transformation linéaire à partir des données de corrélation recueillies sur la conception du catalyseur et le banc utilisé pour l</w:t>
      </w:r>
      <w:r w:rsidR="00DB4C2D">
        <w:rPr>
          <w:lang w:val="fr-FR"/>
        </w:rPr>
        <w:t>’</w:t>
      </w:r>
      <w:r w:rsidRPr="00A779B8">
        <w:rPr>
          <w:lang w:val="fr-FR"/>
        </w:rPr>
        <w:t>essai de vieillissement.</w:t>
      </w:r>
    </w:p>
    <w:p w:rsidR="007B3C94" w:rsidRPr="00A779B8" w:rsidRDefault="007B3C94" w:rsidP="007B3C94">
      <w:pPr>
        <w:pStyle w:val="SingleTxtG"/>
        <w:ind w:left="2268" w:hanging="1134"/>
        <w:rPr>
          <w:lang w:val="fr-FR"/>
        </w:rPr>
      </w:pPr>
      <w:r w:rsidRPr="00A779B8">
        <w:rPr>
          <w:lang w:val="fr-FR"/>
        </w:rPr>
        <w:t>2.2</w:t>
      </w:r>
      <w:r w:rsidRPr="00A779B8">
        <w:rPr>
          <w:lang w:val="fr-FR"/>
        </w:rPr>
        <w:tab/>
        <w:t>Maintenir la température du catalyseur dans des conditions stœchiométriques (pendant les 40 premières secondes du cycle) à un minimum de 800 °C </w:t>
      </w:r>
      <w:r w:rsidRPr="00A779B8">
        <w:rPr>
          <w:lang w:val="fr-FR"/>
        </w:rPr>
        <w:sym w:font="Symbol" w:char="F0B1"/>
      </w:r>
      <w:r w:rsidRPr="00A779B8">
        <w:rPr>
          <w:lang w:val="fr-FR"/>
        </w:rPr>
        <w:t> 10 °C en sélectionnant le régime du moteur, sa charge et l</w:t>
      </w:r>
      <w:r w:rsidR="00DB4C2D">
        <w:rPr>
          <w:lang w:val="fr-FR"/>
        </w:rPr>
        <w:t>’</w:t>
      </w:r>
      <w:r w:rsidRPr="00A779B8">
        <w:rPr>
          <w:lang w:val="fr-FR"/>
        </w:rPr>
        <w:t>avance à l</w:t>
      </w:r>
      <w:r w:rsidR="00DB4C2D">
        <w:rPr>
          <w:lang w:val="fr-FR"/>
        </w:rPr>
        <w:t>’</w:t>
      </w:r>
      <w:r w:rsidRPr="00A779B8">
        <w:rPr>
          <w:lang w:val="fr-FR"/>
        </w:rPr>
        <w:t>allumage appropriés. Maintenir la température du catalyseur pendant le cycle à un maximum de 890 °C </w:t>
      </w:r>
      <w:r w:rsidRPr="00A779B8">
        <w:rPr>
          <w:lang w:val="fr-FR"/>
        </w:rPr>
        <w:sym w:font="Symbol" w:char="F0B1"/>
      </w:r>
      <w:r w:rsidRPr="00A779B8">
        <w:rPr>
          <w:lang w:val="fr-FR"/>
        </w:rPr>
        <w:t> 10 °C en sélectionnant le rapport air/carburant du moteur pendant la phase «riche» définie dans le tableau A9.App1/2.</w:t>
      </w:r>
    </w:p>
    <w:p w:rsidR="007B3C94" w:rsidRPr="00A779B8" w:rsidRDefault="007B3C94" w:rsidP="007B3C94">
      <w:pPr>
        <w:pStyle w:val="SingleTxtG"/>
        <w:ind w:left="2268" w:hanging="1134"/>
        <w:rPr>
          <w:lang w:val="fr-FR"/>
        </w:rPr>
      </w:pPr>
      <w:r w:rsidRPr="00A779B8">
        <w:rPr>
          <w:lang w:val="fr-FR"/>
        </w:rPr>
        <w:t>2.3</w:t>
      </w:r>
      <w:r w:rsidRPr="00A779B8">
        <w:rPr>
          <w:lang w:val="fr-FR"/>
        </w:rPr>
        <w:tab/>
        <w:t>Si la température minimale choisie n</w:t>
      </w:r>
      <w:r w:rsidR="00DB4C2D">
        <w:rPr>
          <w:lang w:val="fr-FR"/>
        </w:rPr>
        <w:t>’</w:t>
      </w:r>
      <w:r w:rsidRPr="00A779B8">
        <w:rPr>
          <w:lang w:val="fr-FR"/>
        </w:rPr>
        <w:t>est pas de 800 °C, elle doit dans tous les cas être inférieure de 90 °C à la température maximale choisie.</w:t>
      </w:r>
    </w:p>
    <w:p w:rsidR="007B3C94" w:rsidRPr="00A779B8" w:rsidRDefault="007B3C94" w:rsidP="007B3C94">
      <w:pPr>
        <w:pStyle w:val="Titre1"/>
        <w:spacing w:before="120" w:after="120"/>
        <w:ind w:left="0"/>
        <w:rPr>
          <w:b/>
          <w:lang w:val="fr-FR"/>
        </w:rPr>
      </w:pPr>
      <w:r w:rsidRPr="00A779B8">
        <w:rPr>
          <w:lang w:val="fr-FR"/>
        </w:rPr>
        <w:t>Tableau A9.App1/2</w:t>
      </w:r>
      <w:r w:rsidRPr="00A779B8">
        <w:rPr>
          <w:lang w:val="fr-FR"/>
        </w:rPr>
        <w:br/>
      </w:r>
      <w:r w:rsidRPr="00A779B8">
        <w:rPr>
          <w:b/>
          <w:lang w:val="fr-FR"/>
        </w:rPr>
        <w:t>Cycle normalisé au banc (SBC)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24"/>
        <w:gridCol w:w="7230"/>
        <w:gridCol w:w="1285"/>
      </w:tblGrid>
      <w:tr w:rsidR="007B3C94" w:rsidRPr="007E29C4" w:rsidTr="00DB4C2D">
        <w:trPr>
          <w:jc w:val="center"/>
        </w:trPr>
        <w:tc>
          <w:tcPr>
            <w:tcW w:w="992" w:type="dxa"/>
            <w:shd w:val="clear" w:color="auto" w:fill="auto"/>
            <w:vAlign w:val="center"/>
          </w:tcPr>
          <w:p w:rsidR="007B3C94" w:rsidRPr="007E29C4" w:rsidRDefault="007B3C94" w:rsidP="00DB4C2D">
            <w:pPr>
              <w:spacing w:before="60" w:after="60" w:line="200" w:lineRule="exact"/>
              <w:jc w:val="center"/>
              <w:rPr>
                <w:i/>
                <w:sz w:val="16"/>
                <w:szCs w:val="16"/>
                <w:lang w:val="fr-FR"/>
              </w:rPr>
            </w:pPr>
            <w:r w:rsidRPr="007E29C4">
              <w:rPr>
                <w:i/>
                <w:sz w:val="16"/>
                <w:szCs w:val="16"/>
                <w:lang w:val="fr-FR"/>
              </w:rPr>
              <w:t xml:space="preserve">Temps </w:t>
            </w:r>
            <w:r w:rsidRPr="007E29C4">
              <w:rPr>
                <w:i/>
                <w:sz w:val="16"/>
                <w:szCs w:val="16"/>
                <w:lang w:val="fr-FR"/>
              </w:rPr>
              <w:br/>
              <w:t>(en secondes)</w:t>
            </w:r>
          </w:p>
        </w:tc>
        <w:tc>
          <w:tcPr>
            <w:tcW w:w="6379" w:type="dxa"/>
            <w:shd w:val="clear" w:color="auto" w:fill="auto"/>
            <w:vAlign w:val="center"/>
          </w:tcPr>
          <w:p w:rsidR="007B3C94" w:rsidRPr="007E29C4" w:rsidRDefault="007B3C94" w:rsidP="00DB4C2D">
            <w:pPr>
              <w:spacing w:before="60" w:after="60" w:line="200" w:lineRule="exact"/>
              <w:jc w:val="center"/>
              <w:rPr>
                <w:i/>
                <w:sz w:val="16"/>
                <w:szCs w:val="16"/>
                <w:lang w:val="fr-FR"/>
              </w:rPr>
            </w:pPr>
            <w:r w:rsidRPr="007E29C4">
              <w:rPr>
                <w:i/>
                <w:sz w:val="16"/>
                <w:szCs w:val="16"/>
                <w:lang w:val="fr-FR"/>
              </w:rPr>
              <w:t>Rapport air/carburant</w:t>
            </w:r>
          </w:p>
        </w:tc>
        <w:tc>
          <w:tcPr>
            <w:tcW w:w="1134" w:type="dxa"/>
            <w:shd w:val="clear" w:color="auto" w:fill="auto"/>
            <w:vAlign w:val="center"/>
          </w:tcPr>
          <w:p w:rsidR="007B3C94" w:rsidRPr="007E29C4" w:rsidRDefault="007B3C94" w:rsidP="00DB4C2D">
            <w:pPr>
              <w:spacing w:before="60" w:after="60" w:line="200" w:lineRule="exact"/>
              <w:jc w:val="center"/>
              <w:rPr>
                <w:i/>
                <w:sz w:val="16"/>
                <w:szCs w:val="16"/>
                <w:lang w:val="fr-FR"/>
              </w:rPr>
            </w:pPr>
            <w:r w:rsidRPr="007E29C4">
              <w:rPr>
                <w:i/>
                <w:sz w:val="16"/>
                <w:szCs w:val="16"/>
                <w:lang w:val="fr-FR"/>
              </w:rPr>
              <w:t>Injection d</w:t>
            </w:r>
            <w:r w:rsidR="00DB4C2D">
              <w:rPr>
                <w:i/>
                <w:sz w:val="16"/>
                <w:szCs w:val="16"/>
                <w:lang w:val="fr-FR"/>
              </w:rPr>
              <w:t>’</w:t>
            </w:r>
            <w:r w:rsidRPr="007E29C4">
              <w:rPr>
                <w:i/>
                <w:sz w:val="16"/>
                <w:szCs w:val="16"/>
                <w:lang w:val="fr-FR"/>
              </w:rPr>
              <w:t>air secondaire</w:t>
            </w:r>
          </w:p>
        </w:tc>
      </w:tr>
      <w:tr w:rsidR="007B3C94" w:rsidRPr="007E29C4" w:rsidTr="00DB4C2D">
        <w:trPr>
          <w:jc w:val="center"/>
        </w:trPr>
        <w:tc>
          <w:tcPr>
            <w:tcW w:w="992"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1-40</w:t>
            </w:r>
          </w:p>
        </w:tc>
        <w:tc>
          <w:tcPr>
            <w:tcW w:w="6379"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Mélange stœchiométrique, la charge du moteur, le régime du moteur et l</w:t>
            </w:r>
            <w:r w:rsidR="00DB4C2D">
              <w:rPr>
                <w:szCs w:val="24"/>
                <w:lang w:val="fr-FR"/>
              </w:rPr>
              <w:t>’</w:t>
            </w:r>
            <w:r w:rsidRPr="007E29C4">
              <w:rPr>
                <w:szCs w:val="24"/>
                <w:lang w:val="fr-FR"/>
              </w:rPr>
              <w:t>avance à l</w:t>
            </w:r>
            <w:r w:rsidR="00DB4C2D">
              <w:rPr>
                <w:szCs w:val="24"/>
                <w:lang w:val="fr-FR"/>
              </w:rPr>
              <w:t>’</w:t>
            </w:r>
            <w:r w:rsidRPr="007E29C4">
              <w:rPr>
                <w:szCs w:val="24"/>
                <w:lang w:val="fr-FR"/>
              </w:rPr>
              <w:t>allumage étant réglés pour atteindre une température minimale du catalyseur de 800 °C</w:t>
            </w:r>
          </w:p>
        </w:tc>
        <w:tc>
          <w:tcPr>
            <w:tcW w:w="1134"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Néant</w:t>
            </w:r>
          </w:p>
        </w:tc>
      </w:tr>
      <w:tr w:rsidR="007B3C94" w:rsidRPr="007E29C4" w:rsidTr="00DB4C2D">
        <w:trPr>
          <w:jc w:val="center"/>
        </w:trPr>
        <w:tc>
          <w:tcPr>
            <w:tcW w:w="992"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41-45</w:t>
            </w:r>
          </w:p>
        </w:tc>
        <w:tc>
          <w:tcPr>
            <w:tcW w:w="6379"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Mélange riche (rapport air/carburant réglé pour obtenir une température maximale du catalyseur pendant la totalité du cycle de 890 °C, mais dans tous les cas une température supérieure de 90 °C à la température minimale)</w:t>
            </w:r>
          </w:p>
        </w:tc>
        <w:tc>
          <w:tcPr>
            <w:tcW w:w="1134"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Néant</w:t>
            </w:r>
          </w:p>
        </w:tc>
      </w:tr>
      <w:tr w:rsidR="007B3C94" w:rsidRPr="007E29C4" w:rsidTr="00DB4C2D">
        <w:trPr>
          <w:jc w:val="center"/>
        </w:trPr>
        <w:tc>
          <w:tcPr>
            <w:tcW w:w="992"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46-55</w:t>
            </w:r>
          </w:p>
        </w:tc>
        <w:tc>
          <w:tcPr>
            <w:tcW w:w="6379"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Mélange riche (rapport air/carburant réglé pour atteindre une température maximale du catalyseur pendant la totalité du cycle de 890 °C, mais dans tous les cas une température supérieure de 90 °C à la température minimale)</w:t>
            </w:r>
          </w:p>
        </w:tc>
        <w:tc>
          <w:tcPr>
            <w:tcW w:w="1134"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3 </w:t>
            </w:r>
            <w:r w:rsidRPr="007E29C4">
              <w:rPr>
                <w:szCs w:val="24"/>
                <w:lang w:val="fr-FR"/>
              </w:rPr>
              <w:sym w:font="Symbol" w:char="F0B1"/>
            </w:r>
            <w:r w:rsidRPr="007E29C4">
              <w:rPr>
                <w:szCs w:val="24"/>
                <w:lang w:val="fr-FR"/>
              </w:rPr>
              <w:t> 1 %</w:t>
            </w:r>
          </w:p>
        </w:tc>
      </w:tr>
      <w:tr w:rsidR="007B3C94" w:rsidRPr="007E29C4" w:rsidTr="00DB4C2D">
        <w:trPr>
          <w:jc w:val="center"/>
        </w:trPr>
        <w:tc>
          <w:tcPr>
            <w:tcW w:w="992"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56-60</w:t>
            </w:r>
          </w:p>
        </w:tc>
        <w:tc>
          <w:tcPr>
            <w:tcW w:w="6379"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Mélange stœchiométrique, la charge du moteur, le régime du moteur et l</w:t>
            </w:r>
            <w:r w:rsidR="00DB4C2D">
              <w:rPr>
                <w:szCs w:val="24"/>
                <w:lang w:val="fr-FR"/>
              </w:rPr>
              <w:t>’</w:t>
            </w:r>
            <w:r w:rsidRPr="007E29C4">
              <w:rPr>
                <w:szCs w:val="24"/>
                <w:lang w:val="fr-FR"/>
              </w:rPr>
              <w:t>avance à l</w:t>
            </w:r>
            <w:r w:rsidR="00DB4C2D">
              <w:rPr>
                <w:szCs w:val="24"/>
                <w:lang w:val="fr-FR"/>
              </w:rPr>
              <w:t>’</w:t>
            </w:r>
            <w:r w:rsidRPr="007E29C4">
              <w:rPr>
                <w:szCs w:val="24"/>
                <w:lang w:val="fr-FR"/>
              </w:rPr>
              <w:t>allumage étant réglés pour atteindre une température minimale du catalyseur de 800 °C</w:t>
            </w:r>
          </w:p>
        </w:tc>
        <w:tc>
          <w:tcPr>
            <w:tcW w:w="1134" w:type="dxa"/>
            <w:shd w:val="clear" w:color="auto" w:fill="auto"/>
          </w:tcPr>
          <w:p w:rsidR="007B3C94" w:rsidRPr="007E29C4" w:rsidRDefault="007B3C94" w:rsidP="00DB4C2D">
            <w:pPr>
              <w:spacing w:before="60" w:after="60" w:line="220" w:lineRule="atLeast"/>
              <w:rPr>
                <w:szCs w:val="24"/>
                <w:lang w:val="fr-FR"/>
              </w:rPr>
            </w:pPr>
            <w:r w:rsidRPr="007E29C4">
              <w:rPr>
                <w:szCs w:val="24"/>
                <w:lang w:val="fr-FR"/>
              </w:rPr>
              <w:t>3 </w:t>
            </w:r>
            <w:r w:rsidRPr="007E29C4">
              <w:rPr>
                <w:szCs w:val="24"/>
                <w:lang w:val="fr-FR"/>
              </w:rPr>
              <w:sym w:font="Symbol" w:char="F0B1"/>
            </w:r>
            <w:r w:rsidRPr="007E29C4">
              <w:rPr>
                <w:szCs w:val="24"/>
                <w:lang w:val="fr-FR"/>
              </w:rPr>
              <w:t> 1 %</w:t>
            </w:r>
          </w:p>
        </w:tc>
      </w:tr>
    </w:tbl>
    <w:p w:rsidR="007B3C94" w:rsidRPr="00A779B8" w:rsidRDefault="007B3C94" w:rsidP="007B3C94">
      <w:pPr>
        <w:pStyle w:val="Titre1"/>
        <w:spacing w:after="120"/>
        <w:rPr>
          <w:b/>
          <w:lang w:val="fr-FR"/>
        </w:rPr>
      </w:pPr>
      <w:r w:rsidRPr="00A779B8">
        <w:rPr>
          <w:lang w:val="fr-FR"/>
        </w:rPr>
        <w:lastRenderedPageBreak/>
        <w:t>Figure A9.App1/2</w:t>
      </w:r>
      <w:r w:rsidRPr="00A779B8">
        <w:rPr>
          <w:lang w:val="fr-FR"/>
        </w:rPr>
        <w:br/>
      </w:r>
      <w:r w:rsidRPr="00A779B8">
        <w:rPr>
          <w:b/>
          <w:lang w:val="fr-FR"/>
        </w:rPr>
        <w:t>Cycle normalisé au banc</w:t>
      </w:r>
    </w:p>
    <w:bookmarkStart w:id="272" w:name="_MON_1448346277"/>
    <w:bookmarkStart w:id="273" w:name="_MON_1448346513"/>
    <w:bookmarkStart w:id="274" w:name="_MON_1448961758"/>
    <w:bookmarkStart w:id="275" w:name="_MON_1448968351"/>
    <w:bookmarkEnd w:id="272"/>
    <w:bookmarkEnd w:id="273"/>
    <w:bookmarkEnd w:id="274"/>
    <w:bookmarkEnd w:id="275"/>
    <w:p w:rsidR="007B3C94" w:rsidRPr="00A779B8" w:rsidRDefault="007B3C94" w:rsidP="007B3C94">
      <w:pPr>
        <w:spacing w:line="240" w:lineRule="auto"/>
        <w:ind w:left="1134"/>
        <w:rPr>
          <w:sz w:val="10"/>
          <w:szCs w:val="10"/>
          <w:lang w:val="fr-FR"/>
        </w:rPr>
      </w:pPr>
      <w:r w:rsidRPr="00A779B8">
        <w:rPr>
          <w:lang w:val="fr-FR"/>
        </w:rPr>
        <w:object w:dxaOrig="8378" w:dyaOrig="5707">
          <v:shape id="_x0000_i1123" type="#_x0000_t75" style="width:424.55pt;height:289.35pt" o:ole="">
            <v:imagedata r:id="rId244" o:title=""/>
            <w10:bordertop type="single" width="4"/>
            <w10:borderleft type="single" width="4"/>
            <w10:borderbottom type="single" width="4"/>
            <w10:borderright type="single" width="4"/>
          </v:shape>
          <o:OLEObject Type="Embed" ProgID="Word.Picture.8" ShapeID="_x0000_i1123" DrawAspect="Content" ObjectID="_1490178468" r:id="rId245"/>
        </w:object>
      </w:r>
    </w:p>
    <w:p w:rsidR="007B3C94" w:rsidRPr="00A779B8" w:rsidRDefault="007B3C94" w:rsidP="007B3C94">
      <w:pPr>
        <w:pStyle w:val="SingleTxtG"/>
        <w:keepNext/>
        <w:spacing w:before="120"/>
        <w:ind w:left="2268" w:hanging="1134"/>
        <w:jc w:val="left"/>
        <w:rPr>
          <w:lang w:val="fr-FR"/>
        </w:rPr>
      </w:pPr>
      <w:r w:rsidRPr="00A779B8">
        <w:rPr>
          <w:lang w:val="fr-FR"/>
        </w:rPr>
        <w:t>3.</w:t>
      </w:r>
      <w:r w:rsidRPr="00A779B8">
        <w:rPr>
          <w:lang w:val="fr-FR"/>
        </w:rPr>
        <w:tab/>
        <w:t>Banc de vieillissement: équipement et procédures</w:t>
      </w:r>
    </w:p>
    <w:p w:rsidR="007B3C94" w:rsidRPr="00A779B8" w:rsidRDefault="007B3C94" w:rsidP="007B3C94">
      <w:pPr>
        <w:pStyle w:val="SingleTxtG"/>
        <w:ind w:left="2268" w:hanging="1134"/>
        <w:rPr>
          <w:lang w:val="fr-FR"/>
        </w:rPr>
      </w:pPr>
      <w:r w:rsidRPr="00A779B8">
        <w:rPr>
          <w:lang w:val="fr-FR"/>
        </w:rPr>
        <w:t>3.1</w:t>
      </w:r>
      <w:r w:rsidRPr="00A779B8">
        <w:rPr>
          <w:lang w:val="fr-FR"/>
        </w:rPr>
        <w:tab/>
        <w:t>Configuration du banc de vieillissement. Le banc de vieillissement doit assurer le flux d</w:t>
      </w:r>
      <w:r w:rsidR="00DB4C2D">
        <w:rPr>
          <w:lang w:val="fr-FR"/>
        </w:rPr>
        <w:t>’</w:t>
      </w:r>
      <w:r w:rsidRPr="00A779B8">
        <w:rPr>
          <w:lang w:val="fr-FR"/>
        </w:rPr>
        <w:t>échappement, la température, le rapport air/carburant, les composants de l</w:t>
      </w:r>
      <w:r w:rsidR="00DB4C2D">
        <w:rPr>
          <w:lang w:val="fr-FR"/>
        </w:rPr>
        <w:t>’</w:t>
      </w:r>
      <w:r w:rsidRPr="00A779B8">
        <w:rPr>
          <w:lang w:val="fr-FR"/>
        </w:rPr>
        <w:t>échappement et l</w:t>
      </w:r>
      <w:r w:rsidR="00DB4C2D">
        <w:rPr>
          <w:lang w:val="fr-FR"/>
        </w:rPr>
        <w:t>’</w:t>
      </w:r>
      <w:r w:rsidRPr="00A779B8">
        <w:rPr>
          <w:lang w:val="fr-FR"/>
        </w:rPr>
        <w:t>injection d</w:t>
      </w:r>
      <w:r w:rsidR="00DB4C2D">
        <w:rPr>
          <w:lang w:val="fr-FR"/>
        </w:rPr>
        <w:t>’</w:t>
      </w:r>
      <w:r w:rsidRPr="00A779B8">
        <w:rPr>
          <w:lang w:val="fr-FR"/>
        </w:rPr>
        <w:t>air secondaire appropriés à l</w:t>
      </w:r>
      <w:r w:rsidR="00DB4C2D">
        <w:rPr>
          <w:lang w:val="fr-FR"/>
        </w:rPr>
        <w:t>’</w:t>
      </w:r>
      <w:r w:rsidRPr="00A779B8">
        <w:rPr>
          <w:lang w:val="fr-FR"/>
        </w:rPr>
        <w:t>entrée du catalyseur.</w:t>
      </w:r>
    </w:p>
    <w:p w:rsidR="007B3C94" w:rsidRPr="00A779B8" w:rsidRDefault="007B3C94" w:rsidP="007B3C94">
      <w:pPr>
        <w:pStyle w:val="SingleTxtG"/>
        <w:ind w:left="2268"/>
        <w:rPr>
          <w:lang w:val="fr-FR"/>
        </w:rPr>
      </w:pPr>
      <w:r w:rsidRPr="00A779B8">
        <w:rPr>
          <w:lang w:val="fr-FR"/>
        </w:rPr>
        <w:tab/>
        <w:t>Le banc normalisé de vieillissement se compose d</w:t>
      </w:r>
      <w:r w:rsidR="00DB4C2D">
        <w:rPr>
          <w:lang w:val="fr-FR"/>
        </w:rPr>
        <w:t>’</w:t>
      </w:r>
      <w:r w:rsidRPr="00A779B8">
        <w:rPr>
          <w:lang w:val="fr-FR"/>
        </w:rPr>
        <w:t>un moteur, d</w:t>
      </w:r>
      <w:r w:rsidR="00DB4C2D">
        <w:rPr>
          <w:lang w:val="fr-FR"/>
        </w:rPr>
        <w:t>’</w:t>
      </w:r>
      <w:r w:rsidRPr="00A779B8">
        <w:rPr>
          <w:lang w:val="fr-FR"/>
        </w:rPr>
        <w:t>un calculateur et d</w:t>
      </w:r>
      <w:r w:rsidR="00DB4C2D">
        <w:rPr>
          <w:lang w:val="fr-FR"/>
        </w:rPr>
        <w:t>’</w:t>
      </w:r>
      <w:r w:rsidRPr="00A779B8">
        <w:rPr>
          <w:lang w:val="fr-FR"/>
        </w:rPr>
        <w:t>un dynamomètre. D</w:t>
      </w:r>
      <w:r w:rsidR="00DB4C2D">
        <w:rPr>
          <w:lang w:val="fr-FR"/>
        </w:rPr>
        <w:t>’</w:t>
      </w:r>
      <w:r w:rsidRPr="00A779B8">
        <w:rPr>
          <w:lang w:val="fr-FR"/>
        </w:rPr>
        <w:t>autres configurations sont possibles (par exemple, placer le véhicule sur un banc à rouleaux ou utiliser un brûleur qui reproduit exactement les émissions à l</w:t>
      </w:r>
      <w:r w:rsidR="00DB4C2D">
        <w:rPr>
          <w:lang w:val="fr-FR"/>
        </w:rPr>
        <w:t>’</w:t>
      </w:r>
      <w:r w:rsidRPr="00A779B8">
        <w:rPr>
          <w:lang w:val="fr-FR"/>
        </w:rPr>
        <w:t>échappement) pour autant que les prescriptions relatives aux conditions à l</w:t>
      </w:r>
      <w:r w:rsidR="00DB4C2D">
        <w:rPr>
          <w:lang w:val="fr-FR"/>
        </w:rPr>
        <w:t>’</w:t>
      </w:r>
      <w:r w:rsidRPr="00A779B8">
        <w:rPr>
          <w:lang w:val="fr-FR"/>
        </w:rPr>
        <w:t>entrée du catalyseur et au maintien de la température énoncées dans le présent appendice soient respectées.</w:t>
      </w:r>
    </w:p>
    <w:p w:rsidR="007B3C94" w:rsidRPr="00A779B8" w:rsidRDefault="007B3C94" w:rsidP="007B3C94">
      <w:pPr>
        <w:pStyle w:val="SingleTxtG"/>
        <w:ind w:left="2268"/>
        <w:rPr>
          <w:lang w:val="fr-FR"/>
        </w:rPr>
      </w:pPr>
      <w:r w:rsidRPr="00A779B8">
        <w:rPr>
          <w:lang w:val="fr-FR"/>
        </w:rPr>
        <w:tab/>
        <w:t>Il peut arriver, sur un même banc de vieillissement, que le flux des gaz d</w:t>
      </w:r>
      <w:r w:rsidR="00DB4C2D">
        <w:rPr>
          <w:lang w:val="fr-FR"/>
        </w:rPr>
        <w:t>’</w:t>
      </w:r>
      <w:r w:rsidRPr="00A779B8">
        <w:rPr>
          <w:lang w:val="fr-FR"/>
        </w:rPr>
        <w:t>échappement soit scindé en plusieurs flux, mais il faut alors que chacun d</w:t>
      </w:r>
      <w:r w:rsidR="00DB4C2D">
        <w:rPr>
          <w:lang w:val="fr-FR"/>
        </w:rPr>
        <w:t>’</w:t>
      </w:r>
      <w:r w:rsidRPr="00A779B8">
        <w:rPr>
          <w:lang w:val="fr-FR"/>
        </w:rPr>
        <w:t>eux satisfasse aux prescriptions du présent appendice. Si tel est le cas, plusieurs catalyseurs peuvent être soumis simultanément à la procédure de vieillissement.</w:t>
      </w:r>
    </w:p>
    <w:p w:rsidR="007B3C94" w:rsidRPr="00A779B8" w:rsidRDefault="007B3C94" w:rsidP="007B3C94">
      <w:pPr>
        <w:pStyle w:val="SingleTxtG"/>
        <w:ind w:left="2268" w:hanging="1134"/>
        <w:rPr>
          <w:lang w:val="fr-FR"/>
        </w:rPr>
      </w:pPr>
      <w:r w:rsidRPr="00A779B8">
        <w:rPr>
          <w:lang w:val="fr-FR"/>
        </w:rPr>
        <w:t>3.2</w:t>
      </w:r>
      <w:r w:rsidRPr="00A779B8">
        <w:rPr>
          <w:lang w:val="fr-FR"/>
        </w:rPr>
        <w:tab/>
        <w:t>Installation du système d</w:t>
      </w:r>
      <w:r w:rsidR="00DB4C2D">
        <w:rPr>
          <w:lang w:val="fr-FR"/>
        </w:rPr>
        <w:t>’</w:t>
      </w:r>
      <w:r w:rsidRPr="00A779B8">
        <w:rPr>
          <w:lang w:val="fr-FR"/>
        </w:rPr>
        <w:t>échappement. Le ou les catalyseurs et le ou les sonde(s) lambda, ainsi que toute la tuyauterie d</w:t>
      </w:r>
      <w:r w:rsidR="00DB4C2D">
        <w:rPr>
          <w:lang w:val="fr-FR"/>
        </w:rPr>
        <w:t>’</w:t>
      </w:r>
      <w:r w:rsidRPr="00A779B8">
        <w:rPr>
          <w:lang w:val="fr-FR"/>
        </w:rPr>
        <w:t>échappement reliant ces éléments sont installés sur le banc. Dans le cas des moteurs à échappements multiples (comme certains moteurs V6 ou V8), chaque échappement doit être installé en parallèle sur un banc distinct.</w:t>
      </w:r>
    </w:p>
    <w:p w:rsidR="007B3C94" w:rsidRPr="00A779B8" w:rsidRDefault="007B3C94" w:rsidP="007B3C94">
      <w:pPr>
        <w:pStyle w:val="SingleTxtG"/>
        <w:keepNext/>
        <w:keepLines/>
        <w:ind w:left="2268"/>
        <w:rPr>
          <w:lang w:val="fr-FR"/>
        </w:rPr>
      </w:pPr>
      <w:r w:rsidRPr="00A779B8">
        <w:rPr>
          <w:lang w:val="fr-FR"/>
        </w:rPr>
        <w:lastRenderedPageBreak/>
        <w:tab/>
        <w:t>Dans le cas des systèmes d</w:t>
      </w:r>
      <w:r w:rsidR="00DB4C2D">
        <w:rPr>
          <w:lang w:val="fr-FR"/>
        </w:rPr>
        <w:t>’</w:t>
      </w:r>
      <w:r w:rsidRPr="00A779B8">
        <w:rPr>
          <w:lang w:val="fr-FR"/>
        </w:rPr>
        <w:t>échappement comprenant plusieurs catalyseurs, l</w:t>
      </w:r>
      <w:r w:rsidR="00DB4C2D">
        <w:rPr>
          <w:lang w:val="fr-FR"/>
        </w:rPr>
        <w:t>’</w:t>
      </w:r>
      <w:r w:rsidRPr="00A779B8">
        <w:rPr>
          <w:lang w:val="fr-FR"/>
        </w:rPr>
        <w:t>ensemble des catalyseurs, des sondes Lambda et de la tuyauterie connexe sont installés en tant qu</w:t>
      </w:r>
      <w:r w:rsidR="00DB4C2D">
        <w:rPr>
          <w:lang w:val="fr-FR"/>
        </w:rPr>
        <w:t>’</w:t>
      </w:r>
      <w:r w:rsidRPr="00A779B8">
        <w:rPr>
          <w:lang w:val="fr-FR"/>
        </w:rPr>
        <w:t>entités sur le banc de vieillissement. On peut aussi installer séparément chacun des catalyseurs pour lui faire subir le vieillissement pendant la période appropriée.</w:t>
      </w:r>
    </w:p>
    <w:p w:rsidR="007B3C94" w:rsidRPr="00A779B8" w:rsidRDefault="007B3C94" w:rsidP="007B3C94">
      <w:pPr>
        <w:pStyle w:val="SingleTxtG"/>
        <w:ind w:left="2268" w:hanging="1134"/>
        <w:rPr>
          <w:lang w:val="fr-FR"/>
        </w:rPr>
      </w:pPr>
      <w:r w:rsidRPr="00A779B8">
        <w:rPr>
          <w:lang w:val="fr-FR"/>
        </w:rPr>
        <w:t>3.3</w:t>
      </w:r>
      <w:r w:rsidRPr="00A779B8">
        <w:rPr>
          <w:lang w:val="fr-FR"/>
        </w:rPr>
        <w:tab/>
        <w:t>Mesure de la température. La température du catalyseur doit être mesurée au moyen d</w:t>
      </w:r>
      <w:r w:rsidR="00DB4C2D">
        <w:rPr>
          <w:lang w:val="fr-FR"/>
        </w:rPr>
        <w:t>’</w:t>
      </w:r>
      <w:r w:rsidRPr="00A779B8">
        <w:rPr>
          <w:lang w:val="fr-FR"/>
        </w:rPr>
        <w:t>un thermocouple placé dans le lit à l</w:t>
      </w:r>
      <w:r w:rsidR="00DB4C2D">
        <w:rPr>
          <w:lang w:val="fr-FR"/>
        </w:rPr>
        <w:t>’</w:t>
      </w:r>
      <w:r w:rsidRPr="00A779B8">
        <w:rPr>
          <w:lang w:val="fr-FR"/>
        </w:rPr>
        <w:t>endroit où le catalyseur le plus chaud atteint la température la plus élevée. On peut aussi mesurer la température du gaz d</w:t>
      </w:r>
      <w:r w:rsidR="00DB4C2D">
        <w:rPr>
          <w:lang w:val="fr-FR"/>
        </w:rPr>
        <w:t>’</w:t>
      </w:r>
      <w:r w:rsidRPr="00A779B8">
        <w:rPr>
          <w:lang w:val="fr-FR"/>
        </w:rPr>
        <w:t>alimentation juste en amont de l</w:t>
      </w:r>
      <w:r w:rsidR="00DB4C2D">
        <w:rPr>
          <w:lang w:val="fr-FR"/>
        </w:rPr>
        <w:t>’</w:t>
      </w:r>
      <w:r w:rsidRPr="00A779B8">
        <w:rPr>
          <w:lang w:val="fr-FR"/>
        </w:rPr>
        <w:t>entrée du catalyseur pour obtenir ensuite la température du lit du catalyseur au moyen d</w:t>
      </w:r>
      <w:r w:rsidR="00DB4C2D">
        <w:rPr>
          <w:lang w:val="fr-FR"/>
        </w:rPr>
        <w:t>’</w:t>
      </w:r>
      <w:r w:rsidRPr="00A779B8">
        <w:rPr>
          <w:lang w:val="fr-FR"/>
        </w:rPr>
        <w:t>une transformation linéaire à partir des données de corrélation recueillies sur la conception du catalyseur et du banc utilisé pour le vieillissement. La température du catalyseur doit être enregistrée de façon numérique avec une fréquence de 1 hertz (soit une mesure par seconde).</w:t>
      </w:r>
    </w:p>
    <w:p w:rsidR="007B3C94" w:rsidRPr="00A779B8" w:rsidRDefault="007B3C94" w:rsidP="007B3C94">
      <w:pPr>
        <w:pStyle w:val="SingleTxtG"/>
        <w:ind w:left="2268" w:hanging="1134"/>
        <w:rPr>
          <w:lang w:val="fr-FR"/>
        </w:rPr>
      </w:pPr>
      <w:r w:rsidRPr="00A779B8">
        <w:rPr>
          <w:lang w:val="fr-FR"/>
        </w:rPr>
        <w:t>3.4</w:t>
      </w:r>
      <w:r w:rsidRPr="00A779B8">
        <w:rPr>
          <w:lang w:val="fr-FR"/>
        </w:rPr>
        <w:tab/>
        <w:t>Mesure du rapport air/carburant. La mesure du rapport air/carburant (par exemple au moyen d</w:t>
      </w:r>
      <w:r w:rsidR="00DB4C2D">
        <w:rPr>
          <w:lang w:val="fr-FR"/>
        </w:rPr>
        <w:t>’</w:t>
      </w:r>
      <w:r w:rsidRPr="00A779B8">
        <w:rPr>
          <w:lang w:val="fr-FR"/>
        </w:rPr>
        <w:t>une sonde Lambda à grande portée) doit être effectuée aussi près que possible de l</w:t>
      </w:r>
      <w:r w:rsidR="00DB4C2D">
        <w:rPr>
          <w:lang w:val="fr-FR"/>
        </w:rPr>
        <w:t>’</w:t>
      </w:r>
      <w:r w:rsidRPr="00A779B8">
        <w:rPr>
          <w:lang w:val="fr-FR"/>
        </w:rPr>
        <w:t>entrée du catalyseur et de sa sortie. Les informations provenant de ces sondes doivent être enregistrées par voie numérique à la fréquence de 1 hertz (c</w:t>
      </w:r>
      <w:r w:rsidR="00DB4C2D">
        <w:rPr>
          <w:lang w:val="fr-FR"/>
        </w:rPr>
        <w:t>’</w:t>
      </w:r>
      <w:r w:rsidRPr="00A779B8">
        <w:rPr>
          <w:lang w:val="fr-FR"/>
        </w:rPr>
        <w:t xml:space="preserve">est-à-dire une mesure par seconde). </w:t>
      </w:r>
    </w:p>
    <w:p w:rsidR="007B3C94" w:rsidRPr="00A779B8" w:rsidRDefault="007B3C94" w:rsidP="007B3C94">
      <w:pPr>
        <w:pStyle w:val="SingleTxtG"/>
        <w:ind w:left="2268" w:hanging="1134"/>
        <w:rPr>
          <w:lang w:val="fr-FR"/>
        </w:rPr>
      </w:pPr>
      <w:r w:rsidRPr="00A779B8">
        <w:rPr>
          <w:lang w:val="fr-FR"/>
        </w:rPr>
        <w:t>3.5</w:t>
      </w:r>
      <w:r w:rsidRPr="00A779B8">
        <w:rPr>
          <w:lang w:val="fr-FR"/>
        </w:rPr>
        <w:tab/>
        <w:t>Équilibrage du flux d</w:t>
      </w:r>
      <w:r w:rsidR="00DB4C2D">
        <w:rPr>
          <w:lang w:val="fr-FR"/>
        </w:rPr>
        <w:t>’</w:t>
      </w:r>
      <w:r w:rsidRPr="00A779B8">
        <w:rPr>
          <w:lang w:val="fr-FR"/>
        </w:rPr>
        <w:t>échappement. Il faut veiller à ce que la quantité appropriée de gaz d</w:t>
      </w:r>
      <w:r w:rsidR="00DB4C2D">
        <w:rPr>
          <w:lang w:val="fr-FR"/>
        </w:rPr>
        <w:t>’</w:t>
      </w:r>
      <w:r w:rsidRPr="00A779B8">
        <w:rPr>
          <w:lang w:val="fr-FR"/>
        </w:rPr>
        <w:t xml:space="preserve">échappement (mesurée en grammes par seconde dans des conditions stœchiométriques, avec une tolérance de </w:t>
      </w:r>
      <w:r w:rsidRPr="00A779B8">
        <w:rPr>
          <w:lang w:val="fr-FR"/>
        </w:rPr>
        <w:sym w:font="Symbol" w:char="F0B1"/>
      </w:r>
      <w:r w:rsidRPr="00A779B8">
        <w:rPr>
          <w:lang w:val="fr-FR"/>
        </w:rPr>
        <w:t>5 g par seconde) s</w:t>
      </w:r>
      <w:r w:rsidR="00DB4C2D">
        <w:rPr>
          <w:lang w:val="fr-FR"/>
        </w:rPr>
        <w:t>’</w:t>
      </w:r>
      <w:r w:rsidRPr="00A779B8">
        <w:rPr>
          <w:lang w:val="fr-FR"/>
        </w:rPr>
        <w:t>écoule par chaque catalyseur soumis au vieillissement sur le banc.</w:t>
      </w:r>
    </w:p>
    <w:p w:rsidR="007B3C94" w:rsidRPr="00A779B8" w:rsidRDefault="007B3C94" w:rsidP="007B3C94">
      <w:pPr>
        <w:pStyle w:val="SingleTxtG"/>
        <w:ind w:left="2268"/>
        <w:rPr>
          <w:lang w:val="fr-FR"/>
        </w:rPr>
      </w:pPr>
      <w:r w:rsidRPr="00A779B8">
        <w:rPr>
          <w:lang w:val="fr-FR"/>
        </w:rPr>
        <w:tab/>
        <w:t>Le flux approprié est déterminé d</w:t>
      </w:r>
      <w:r w:rsidR="00DB4C2D">
        <w:rPr>
          <w:lang w:val="fr-FR"/>
        </w:rPr>
        <w:t>’</w:t>
      </w:r>
      <w:r w:rsidRPr="00A779B8">
        <w:rPr>
          <w:lang w:val="fr-FR"/>
        </w:rPr>
        <w:t>après le flux d</w:t>
      </w:r>
      <w:r w:rsidR="00DB4C2D">
        <w:rPr>
          <w:lang w:val="fr-FR"/>
        </w:rPr>
        <w:t>’</w:t>
      </w:r>
      <w:r w:rsidRPr="00A779B8">
        <w:rPr>
          <w:lang w:val="fr-FR"/>
        </w:rPr>
        <w:t>échappement qui s</w:t>
      </w:r>
      <w:r w:rsidR="00DB4C2D">
        <w:rPr>
          <w:lang w:val="fr-FR"/>
        </w:rPr>
        <w:t>’</w:t>
      </w:r>
      <w:r w:rsidRPr="00A779B8">
        <w:rPr>
          <w:lang w:val="fr-FR"/>
        </w:rPr>
        <w:t>échappe du moteur d</w:t>
      </w:r>
      <w:r w:rsidR="00DB4C2D">
        <w:rPr>
          <w:lang w:val="fr-FR"/>
        </w:rPr>
        <w:t>’</w:t>
      </w:r>
      <w:r w:rsidRPr="00A779B8">
        <w:rPr>
          <w:lang w:val="fr-FR"/>
        </w:rPr>
        <w:t>origine du véhicule dans les conditions stabilisées de régime et de charge sélectionnées pour le vieillissement au banc décrit au paragraphe 3.6.</w:t>
      </w:r>
    </w:p>
    <w:p w:rsidR="007B3C94" w:rsidRPr="00A779B8" w:rsidRDefault="007B3C94" w:rsidP="007B3C94">
      <w:pPr>
        <w:pStyle w:val="SingleTxtG"/>
        <w:ind w:left="2268" w:hanging="1134"/>
        <w:rPr>
          <w:lang w:val="fr-FR"/>
        </w:rPr>
      </w:pPr>
      <w:r w:rsidRPr="00A779B8">
        <w:rPr>
          <w:lang w:val="fr-FR"/>
        </w:rPr>
        <w:t>3.6</w:t>
      </w:r>
      <w:r w:rsidRPr="00A779B8">
        <w:rPr>
          <w:lang w:val="fr-FR"/>
        </w:rPr>
        <w:tab/>
        <w:t>Montage d</w:t>
      </w:r>
      <w:r w:rsidR="00DB4C2D">
        <w:rPr>
          <w:lang w:val="fr-FR"/>
        </w:rPr>
        <w:t>’</w:t>
      </w:r>
      <w:r w:rsidRPr="00A779B8">
        <w:rPr>
          <w:lang w:val="fr-FR"/>
        </w:rPr>
        <w:t>essai. Le régime du moteur, sa charge et l</w:t>
      </w:r>
      <w:r w:rsidR="00DB4C2D">
        <w:rPr>
          <w:lang w:val="fr-FR"/>
        </w:rPr>
        <w:t>’</w:t>
      </w:r>
      <w:r w:rsidRPr="00A779B8">
        <w:rPr>
          <w:lang w:val="fr-FR"/>
        </w:rPr>
        <w:t>avance à l</w:t>
      </w:r>
      <w:r w:rsidR="00DB4C2D">
        <w:rPr>
          <w:lang w:val="fr-FR"/>
        </w:rPr>
        <w:t>’</w:t>
      </w:r>
      <w:r w:rsidRPr="00A779B8">
        <w:rPr>
          <w:lang w:val="fr-FR"/>
        </w:rPr>
        <w:t>allumage sont sélectionnés de façon à obtenir une température dans le lit du catalyseur de 800 °C </w:t>
      </w:r>
      <w:r w:rsidRPr="00A779B8">
        <w:rPr>
          <w:lang w:val="fr-FR"/>
        </w:rPr>
        <w:sym w:font="Symbol" w:char="F0B1"/>
      </w:r>
      <w:r w:rsidRPr="00A779B8">
        <w:rPr>
          <w:lang w:val="fr-FR"/>
        </w:rPr>
        <w:t> 10 °C, dans des conditions stœchiométriques stabilisées.</w:t>
      </w:r>
    </w:p>
    <w:p w:rsidR="007B3C94" w:rsidRPr="00A779B8" w:rsidRDefault="007B3C94" w:rsidP="007B3C94">
      <w:pPr>
        <w:pStyle w:val="SingleTxtG"/>
        <w:ind w:left="2268"/>
        <w:rPr>
          <w:lang w:val="fr-FR"/>
        </w:rPr>
      </w:pPr>
      <w:r w:rsidRPr="00A779B8">
        <w:rPr>
          <w:lang w:val="fr-FR"/>
        </w:rPr>
        <w:tab/>
        <w:t>Le système d</w:t>
      </w:r>
      <w:r w:rsidR="00DB4C2D">
        <w:rPr>
          <w:lang w:val="fr-FR"/>
        </w:rPr>
        <w:t>’</w:t>
      </w:r>
      <w:r w:rsidRPr="00A779B8">
        <w:rPr>
          <w:lang w:val="fr-FR"/>
        </w:rPr>
        <w:t>injection de l</w:t>
      </w:r>
      <w:r w:rsidR="00DB4C2D">
        <w:rPr>
          <w:lang w:val="fr-FR"/>
        </w:rPr>
        <w:t>’</w:t>
      </w:r>
      <w:r w:rsidRPr="00A779B8">
        <w:rPr>
          <w:lang w:val="fr-FR"/>
        </w:rPr>
        <w:t>air est réglé de façon à produire 3,0 </w:t>
      </w:r>
      <w:r w:rsidRPr="00A779B8">
        <w:rPr>
          <w:lang w:val="fr-FR"/>
        </w:rPr>
        <w:sym w:font="Symbol" w:char="F0B1"/>
      </w:r>
      <w:r w:rsidRPr="00A779B8">
        <w:rPr>
          <w:lang w:val="fr-FR"/>
        </w:rPr>
        <w:t> 0,1 % d</w:t>
      </w:r>
      <w:r w:rsidR="00DB4C2D">
        <w:rPr>
          <w:lang w:val="fr-FR"/>
        </w:rPr>
        <w:t>’</w:t>
      </w:r>
      <w:r w:rsidRPr="00A779B8">
        <w:rPr>
          <w:lang w:val="fr-FR"/>
        </w:rPr>
        <w:t>oxygène dans le flux d</w:t>
      </w:r>
      <w:r w:rsidR="00DB4C2D">
        <w:rPr>
          <w:lang w:val="fr-FR"/>
        </w:rPr>
        <w:t>’</w:t>
      </w:r>
      <w:r w:rsidRPr="00A779B8">
        <w:rPr>
          <w:lang w:val="fr-FR"/>
        </w:rPr>
        <w:t>échappement en conditions stœchiométriques stabilisées juste en amont du premier catalyseur. Au point de mesure du mélange air/carburant situé en amont (prescrit au paragraphe 3.4 du présent appendice), Lambda a une valeur courante de 1,16 (ce qui correspond à peu près à 3 % d</w:t>
      </w:r>
      <w:r w:rsidR="00DB4C2D">
        <w:rPr>
          <w:lang w:val="fr-FR"/>
        </w:rPr>
        <w:t>’</w:t>
      </w:r>
      <w:r w:rsidRPr="00A779B8">
        <w:rPr>
          <w:lang w:val="fr-FR"/>
        </w:rPr>
        <w:t>oxygène).</w:t>
      </w:r>
    </w:p>
    <w:p w:rsidR="007B3C94" w:rsidRPr="00A779B8" w:rsidRDefault="007B3C94" w:rsidP="007B3C94">
      <w:pPr>
        <w:pStyle w:val="SingleTxtG"/>
        <w:ind w:left="2268"/>
        <w:rPr>
          <w:lang w:val="fr-FR"/>
        </w:rPr>
      </w:pPr>
      <w:r w:rsidRPr="00A779B8">
        <w:rPr>
          <w:lang w:val="fr-FR"/>
        </w:rPr>
        <w:tab/>
        <w:t>Une fois l</w:t>
      </w:r>
      <w:r w:rsidR="00DB4C2D">
        <w:rPr>
          <w:lang w:val="fr-FR"/>
        </w:rPr>
        <w:t>’</w:t>
      </w:r>
      <w:r w:rsidRPr="00A779B8">
        <w:rPr>
          <w:lang w:val="fr-FR"/>
        </w:rPr>
        <w:t>injection d</w:t>
      </w:r>
      <w:r w:rsidR="00DB4C2D">
        <w:rPr>
          <w:lang w:val="fr-FR"/>
        </w:rPr>
        <w:t>’</w:t>
      </w:r>
      <w:r w:rsidRPr="00A779B8">
        <w:rPr>
          <w:lang w:val="fr-FR"/>
        </w:rPr>
        <w:t>air enclenchée, régler le mélange air/carburant sur la position riche de façon à obtenir dans le lit du catalyseur une température de 890 °C </w:t>
      </w:r>
      <w:r w:rsidRPr="00A779B8">
        <w:rPr>
          <w:lang w:val="fr-FR"/>
        </w:rPr>
        <w:sym w:font="Symbol" w:char="F0B1"/>
      </w:r>
      <w:r w:rsidRPr="00A779B8">
        <w:rPr>
          <w:lang w:val="fr-FR"/>
        </w:rPr>
        <w:t> 10 °C. Avec ce réglage du rapport air/carburant, la valeur courante de Lambda est de 0,94 (soit à peu près 2 % de CO).</w:t>
      </w:r>
    </w:p>
    <w:p w:rsidR="007B3C94" w:rsidRPr="00A779B8" w:rsidRDefault="007B3C94" w:rsidP="007B3C94">
      <w:pPr>
        <w:pStyle w:val="SingleTxtG"/>
        <w:ind w:left="2268" w:hanging="1134"/>
        <w:rPr>
          <w:lang w:val="fr-FR"/>
        </w:rPr>
      </w:pPr>
      <w:r w:rsidRPr="00A779B8">
        <w:rPr>
          <w:lang w:val="fr-FR"/>
        </w:rPr>
        <w:t>3.7</w:t>
      </w:r>
      <w:r w:rsidRPr="00A779B8">
        <w:rPr>
          <w:lang w:val="fr-FR"/>
        </w:rPr>
        <w:tab/>
        <w:t>Cycle de vieillissement. Pour l</w:t>
      </w:r>
      <w:r w:rsidR="00DB4C2D">
        <w:rPr>
          <w:lang w:val="fr-FR"/>
        </w:rPr>
        <w:t>’</w:t>
      </w:r>
      <w:r w:rsidRPr="00A779B8">
        <w:rPr>
          <w:lang w:val="fr-FR"/>
        </w:rPr>
        <w:t>essai de vieillissement, on utilise le SBC, qui est répété jusqu</w:t>
      </w:r>
      <w:r w:rsidR="00DB4C2D">
        <w:rPr>
          <w:lang w:val="fr-FR"/>
        </w:rPr>
        <w:t>’</w:t>
      </w:r>
      <w:r w:rsidRPr="00A779B8">
        <w:rPr>
          <w:lang w:val="fr-FR"/>
        </w:rPr>
        <w:t>à atteindre le vieillissement calculé au moyen de l</w:t>
      </w:r>
      <w:r w:rsidR="00DB4C2D">
        <w:rPr>
          <w:lang w:val="fr-FR"/>
        </w:rPr>
        <w:t>’</w:t>
      </w:r>
      <w:r w:rsidRPr="00A779B8">
        <w:rPr>
          <w:lang w:val="fr-FR"/>
        </w:rPr>
        <w:t>équation BAT, laquelle sert à déterminer le temps nécessaire pour obtenir ce vieillissement.</w:t>
      </w:r>
    </w:p>
    <w:p w:rsidR="007B3C94" w:rsidRPr="00A779B8" w:rsidRDefault="007B3C94" w:rsidP="007B3C94">
      <w:pPr>
        <w:pStyle w:val="SingleTxtG"/>
        <w:ind w:left="2268" w:hanging="1134"/>
        <w:rPr>
          <w:lang w:val="fr-FR"/>
        </w:rPr>
      </w:pPr>
      <w:r w:rsidRPr="00A779B8">
        <w:rPr>
          <w:lang w:val="fr-FR"/>
        </w:rPr>
        <w:t>3.8</w:t>
      </w:r>
      <w:r w:rsidRPr="00A779B8">
        <w:rPr>
          <w:lang w:val="fr-FR"/>
        </w:rPr>
        <w:tab/>
        <w:t>Assurance de la qualité. Les températures et le rapport air/carburant définis aux paragraphes 3.3 et 3.4 du présent appendice doivent être vérifiés périodiquement (au moins toutes les 50 h) pendant le vieillissement. Des ajustements devront être effectués pour s</w:t>
      </w:r>
      <w:r w:rsidR="00DB4C2D">
        <w:rPr>
          <w:lang w:val="fr-FR"/>
        </w:rPr>
        <w:t>’</w:t>
      </w:r>
      <w:r w:rsidRPr="00A779B8">
        <w:rPr>
          <w:lang w:val="fr-FR"/>
        </w:rPr>
        <w:t>assurer que le SBC est suivi scrupuleusement tout au long du processus de vieillissement.</w:t>
      </w:r>
    </w:p>
    <w:p w:rsidR="007B3C94" w:rsidRPr="00A779B8" w:rsidRDefault="007B3C94" w:rsidP="007B3C94">
      <w:pPr>
        <w:pStyle w:val="SingleTxtG"/>
        <w:ind w:left="2268"/>
        <w:rPr>
          <w:lang w:val="fr-FR"/>
        </w:rPr>
      </w:pPr>
      <w:r w:rsidRPr="00A779B8">
        <w:rPr>
          <w:lang w:val="fr-FR"/>
        </w:rPr>
        <w:lastRenderedPageBreak/>
        <w:tab/>
        <w:t>Une fois le vieillissement achevé, les températures relevées en fonction du temps tout au long de l</w:t>
      </w:r>
      <w:r w:rsidR="00DB4C2D">
        <w:rPr>
          <w:lang w:val="fr-FR"/>
        </w:rPr>
        <w:t>’</w:t>
      </w:r>
      <w:r w:rsidRPr="00A779B8">
        <w:rPr>
          <w:lang w:val="fr-FR"/>
        </w:rPr>
        <w:t>essai de vieillissement doivent être disposées sous la forme d</w:t>
      </w:r>
      <w:r w:rsidR="00DB4C2D">
        <w:rPr>
          <w:lang w:val="fr-FR"/>
        </w:rPr>
        <w:t>’</w:t>
      </w:r>
      <w:r w:rsidRPr="00A779B8">
        <w:rPr>
          <w:lang w:val="fr-FR"/>
        </w:rPr>
        <w:t>un histogramme, avec des tranches dont la largeur ne dépasse pas 10 °C. L</w:t>
      </w:r>
      <w:r w:rsidR="00DB4C2D">
        <w:rPr>
          <w:lang w:val="fr-FR"/>
        </w:rPr>
        <w:t>’</w:t>
      </w:r>
      <w:r w:rsidRPr="00A779B8">
        <w:rPr>
          <w:lang w:val="fr-FR"/>
        </w:rPr>
        <w:t>équation BAT et la température de référence effective obtenue par calcul pour le cycle de vieillissement conformément au paragraphe 2.3.1.4 de la présente annexe servent à déterminer si le catalyseur a effectivement subi le vieillissement thermique prescrit. Le vieillissement au banc peut être prolongé si l</w:t>
      </w:r>
      <w:r w:rsidR="00DB4C2D">
        <w:rPr>
          <w:lang w:val="fr-FR"/>
        </w:rPr>
        <w:t>’</w:t>
      </w:r>
      <w:r w:rsidRPr="00A779B8">
        <w:rPr>
          <w:lang w:val="fr-FR"/>
        </w:rPr>
        <w:t>effet thermique produit par le temps de vieillissement calculé ne représente pas au moins 95 % du vieillissement thermique recherché.</w:t>
      </w:r>
    </w:p>
    <w:p w:rsidR="007B3C94" w:rsidRPr="00A779B8" w:rsidRDefault="007B3C94" w:rsidP="007B3C94">
      <w:pPr>
        <w:pStyle w:val="SingleTxtG"/>
        <w:ind w:left="2268" w:hanging="1134"/>
        <w:rPr>
          <w:lang w:val="fr-FR"/>
        </w:rPr>
      </w:pPr>
      <w:r w:rsidRPr="00A779B8">
        <w:rPr>
          <w:lang w:val="fr-FR"/>
        </w:rPr>
        <w:t>3.9</w:t>
      </w:r>
      <w:r w:rsidRPr="00A779B8">
        <w:rPr>
          <w:lang w:val="fr-FR"/>
        </w:rPr>
        <w:tab/>
        <w:t>Démarrage et arrêt. Il faut s</w:t>
      </w:r>
      <w:r w:rsidR="00DB4C2D">
        <w:rPr>
          <w:lang w:val="fr-FR"/>
        </w:rPr>
        <w:t>’</w:t>
      </w:r>
      <w:r w:rsidRPr="00A779B8">
        <w:rPr>
          <w:lang w:val="fr-FR"/>
        </w:rPr>
        <w:t>assurer que la température maximum que doit atteindre le catalyseur pour une détérioration rapide (par exemple, 1 050 °C) n</w:t>
      </w:r>
      <w:r w:rsidR="00DB4C2D">
        <w:rPr>
          <w:lang w:val="fr-FR"/>
        </w:rPr>
        <w:t>’</w:t>
      </w:r>
      <w:r w:rsidRPr="00A779B8">
        <w:rPr>
          <w:lang w:val="fr-FR"/>
        </w:rPr>
        <w:t>est atteinte ni pendant le démarrage ni pendant l</w:t>
      </w:r>
      <w:r w:rsidR="00DB4C2D">
        <w:rPr>
          <w:lang w:val="fr-FR"/>
        </w:rPr>
        <w:t>’</w:t>
      </w:r>
      <w:r w:rsidRPr="00A779B8">
        <w:rPr>
          <w:lang w:val="fr-FR"/>
        </w:rPr>
        <w:t>arrêt. Il est possible de recourir à des méthodes spéciales de démarrage et d</w:t>
      </w:r>
      <w:r w:rsidR="00DB4C2D">
        <w:rPr>
          <w:lang w:val="fr-FR"/>
        </w:rPr>
        <w:t>’</w:t>
      </w:r>
      <w:r w:rsidRPr="00A779B8">
        <w:rPr>
          <w:lang w:val="fr-FR"/>
        </w:rPr>
        <w:t>arrêt à basse température pour éviter cet inconvénient.</w:t>
      </w:r>
    </w:p>
    <w:p w:rsidR="007B3C94" w:rsidRPr="00A779B8" w:rsidRDefault="007B3C94" w:rsidP="007B3C94">
      <w:pPr>
        <w:pStyle w:val="SingleTxtG"/>
        <w:keepNext/>
        <w:ind w:left="2268" w:hanging="1134"/>
        <w:jc w:val="left"/>
        <w:rPr>
          <w:lang w:val="fr-FR"/>
        </w:rPr>
      </w:pPr>
      <w:r w:rsidRPr="00A779B8">
        <w:rPr>
          <w:lang w:val="fr-FR"/>
        </w:rPr>
        <w:t>4.</w:t>
      </w:r>
      <w:r w:rsidRPr="00A779B8">
        <w:rPr>
          <w:lang w:val="fr-FR"/>
        </w:rPr>
        <w:tab/>
        <w:t>Détermination par voie expérimentale du facteur R pour les essais de résistance au vieillissement au banc</w:t>
      </w:r>
    </w:p>
    <w:p w:rsidR="007B3C94" w:rsidRPr="00A779B8" w:rsidRDefault="007B3C94" w:rsidP="007B3C94">
      <w:pPr>
        <w:pStyle w:val="SingleTxtG"/>
        <w:ind w:left="2268" w:hanging="1134"/>
        <w:rPr>
          <w:lang w:val="fr-FR"/>
        </w:rPr>
      </w:pPr>
      <w:r w:rsidRPr="00A779B8">
        <w:rPr>
          <w:lang w:val="fr-FR"/>
        </w:rPr>
        <w:t>4.1</w:t>
      </w:r>
      <w:r w:rsidRPr="00A779B8">
        <w:rPr>
          <w:lang w:val="fr-FR"/>
        </w:rPr>
        <w:tab/>
        <w:t>Le facteur R est le coefficient de réactivité thermique du catalyseur utilisé dans l</w:t>
      </w:r>
      <w:r w:rsidR="00DB4C2D">
        <w:rPr>
          <w:lang w:val="fr-FR"/>
        </w:rPr>
        <w:t>’</w:t>
      </w:r>
      <w:r w:rsidRPr="00A779B8">
        <w:rPr>
          <w:lang w:val="fr-FR"/>
        </w:rPr>
        <w:t>équation BAT. Les constructeurs peuvent déterminer la valeur de R par voie expérimentale en procédant comme indiqué ci-dessous.</w:t>
      </w:r>
    </w:p>
    <w:p w:rsidR="007B3C94" w:rsidRPr="00A779B8" w:rsidRDefault="007B3C94" w:rsidP="007B3C94">
      <w:pPr>
        <w:pStyle w:val="SingleTxtG"/>
        <w:ind w:left="2268" w:hanging="1134"/>
        <w:rPr>
          <w:lang w:val="fr-FR"/>
        </w:rPr>
      </w:pPr>
      <w:r w:rsidRPr="00A779B8">
        <w:rPr>
          <w:lang w:val="fr-FR"/>
        </w:rPr>
        <w:t>4.1.1</w:t>
      </w:r>
      <w:r w:rsidRPr="00A779B8">
        <w:rPr>
          <w:lang w:val="fr-FR"/>
        </w:rPr>
        <w:tab/>
        <w:t>À l</w:t>
      </w:r>
      <w:r w:rsidR="00DB4C2D">
        <w:rPr>
          <w:lang w:val="fr-FR"/>
        </w:rPr>
        <w:t>’</w:t>
      </w:r>
      <w:r w:rsidRPr="00A779B8">
        <w:rPr>
          <w:lang w:val="fr-FR"/>
        </w:rPr>
        <w:t>aide du cycle au banc applicable et d</w:t>
      </w:r>
      <w:r w:rsidR="00DB4C2D">
        <w:rPr>
          <w:lang w:val="fr-FR"/>
        </w:rPr>
        <w:t>’</w:t>
      </w:r>
      <w:r w:rsidRPr="00A779B8">
        <w:rPr>
          <w:lang w:val="fr-FR"/>
        </w:rPr>
        <w:t>un équipement de vieillissement au banc, faire subir un vieillissement à plusieurs catalyseurs (au moins trois du même modèle), à plusieurs températures d</w:t>
      </w:r>
      <w:r w:rsidR="00DB4C2D">
        <w:rPr>
          <w:lang w:val="fr-FR"/>
        </w:rPr>
        <w:t>’</w:t>
      </w:r>
      <w:r w:rsidRPr="00A779B8">
        <w:rPr>
          <w:lang w:val="fr-FR"/>
        </w:rPr>
        <w:t>essai, comprises entre la température normale de fonctionnement et la température limite à partir de laquelle il peut y avoir détérioration. Mesurer les émissions (c</w:t>
      </w:r>
      <w:r w:rsidR="00DB4C2D">
        <w:rPr>
          <w:lang w:val="fr-FR"/>
        </w:rPr>
        <w:t>’</w:t>
      </w:r>
      <w:r w:rsidRPr="00A779B8">
        <w:rPr>
          <w:lang w:val="fr-FR"/>
        </w:rPr>
        <w:t>est-à-dire l</w:t>
      </w:r>
      <w:r w:rsidR="00DB4C2D">
        <w:rPr>
          <w:lang w:val="fr-FR"/>
        </w:rPr>
        <w:t>’</w:t>
      </w:r>
      <w:r w:rsidRPr="00A779B8">
        <w:rPr>
          <w:lang w:val="fr-FR"/>
        </w:rPr>
        <w:t>inefficacité du catalyseur (efficacité d</w:t>
      </w:r>
      <w:r w:rsidR="00DB4C2D">
        <w:rPr>
          <w:lang w:val="fr-FR"/>
        </w:rPr>
        <w:t>’</w:t>
      </w:r>
      <w:r w:rsidRPr="00A779B8">
        <w:rPr>
          <w:lang w:val="fr-FR"/>
        </w:rPr>
        <w:t>un catalyseur)) pour chacun des constituants des gaz d</w:t>
      </w:r>
      <w:r w:rsidR="00DB4C2D">
        <w:rPr>
          <w:lang w:val="fr-FR"/>
        </w:rPr>
        <w:t>’</w:t>
      </w:r>
      <w:r w:rsidRPr="00A779B8">
        <w:rPr>
          <w:lang w:val="fr-FR"/>
        </w:rPr>
        <w:t>échappement. S</w:t>
      </w:r>
      <w:r w:rsidR="00DB4C2D">
        <w:rPr>
          <w:lang w:val="fr-FR"/>
        </w:rPr>
        <w:t>’</w:t>
      </w:r>
      <w:r w:rsidRPr="00A779B8">
        <w:rPr>
          <w:lang w:val="fr-FR"/>
        </w:rPr>
        <w:t>assurer que les données finales représentent entre une et deux fois les normes d</w:t>
      </w:r>
      <w:r w:rsidR="00DB4C2D">
        <w:rPr>
          <w:lang w:val="fr-FR"/>
        </w:rPr>
        <w:t>’</w:t>
      </w:r>
      <w:r w:rsidRPr="00A779B8">
        <w:rPr>
          <w:lang w:val="fr-FR"/>
        </w:rPr>
        <w:t>émissions.</w:t>
      </w:r>
    </w:p>
    <w:p w:rsidR="007B3C94" w:rsidRPr="00A779B8" w:rsidRDefault="007B3C94" w:rsidP="007B3C94">
      <w:pPr>
        <w:pStyle w:val="SingleTxtG"/>
        <w:ind w:left="2268" w:hanging="1134"/>
        <w:rPr>
          <w:lang w:val="fr-FR"/>
        </w:rPr>
      </w:pPr>
      <w:r w:rsidRPr="00A779B8">
        <w:rPr>
          <w:lang w:val="fr-FR"/>
        </w:rPr>
        <w:t>4.1.2</w:t>
      </w:r>
      <w:r w:rsidRPr="00A779B8">
        <w:rPr>
          <w:lang w:val="fr-FR"/>
        </w:rPr>
        <w:tab/>
        <w:t>Estimer la valeur de R et calculer la température de référence réelle (Tr) correspondant au cycle de vieillissement au banc, pour chaque température d</w:t>
      </w:r>
      <w:r w:rsidR="00DB4C2D">
        <w:rPr>
          <w:lang w:val="fr-FR"/>
        </w:rPr>
        <w:t>’</w:t>
      </w:r>
      <w:r w:rsidRPr="00A779B8">
        <w:rPr>
          <w:lang w:val="fr-FR"/>
        </w:rPr>
        <w:t>essai conformément au paragraphe 2.3.1.4 de la présente annexe.</w:t>
      </w:r>
    </w:p>
    <w:p w:rsidR="007B3C94" w:rsidRPr="00A779B8" w:rsidRDefault="007B3C94" w:rsidP="007B3C94">
      <w:pPr>
        <w:pStyle w:val="SingleTxtG"/>
        <w:ind w:left="2268" w:hanging="1134"/>
        <w:rPr>
          <w:lang w:val="fr-FR"/>
        </w:rPr>
      </w:pPr>
      <w:r w:rsidRPr="00A779B8">
        <w:rPr>
          <w:lang w:val="fr-FR"/>
        </w:rPr>
        <w:t>4.1.3</w:t>
      </w:r>
      <w:r w:rsidRPr="00A779B8">
        <w:rPr>
          <w:lang w:val="fr-FR"/>
        </w:rPr>
        <w:tab/>
        <w:t>Sur un graphique, représenter l</w:t>
      </w:r>
      <w:r w:rsidR="00DB4C2D">
        <w:rPr>
          <w:lang w:val="fr-FR"/>
        </w:rPr>
        <w:t>’</w:t>
      </w:r>
      <w:r w:rsidRPr="00A779B8">
        <w:rPr>
          <w:lang w:val="fr-FR"/>
        </w:rPr>
        <w:t>évolution des émissions (c</w:t>
      </w:r>
      <w:r w:rsidR="00DB4C2D">
        <w:rPr>
          <w:lang w:val="fr-FR"/>
        </w:rPr>
        <w:t>’</w:t>
      </w:r>
      <w:r w:rsidRPr="00A779B8">
        <w:rPr>
          <w:lang w:val="fr-FR"/>
        </w:rPr>
        <w:t>est-à-dire celle de l</w:t>
      </w:r>
      <w:r w:rsidR="00DB4C2D">
        <w:rPr>
          <w:lang w:val="fr-FR"/>
        </w:rPr>
        <w:t>’</w:t>
      </w:r>
      <w:r w:rsidRPr="00A779B8">
        <w:rPr>
          <w:lang w:val="fr-FR"/>
        </w:rPr>
        <w:t xml:space="preserve">inefficacité du catalyseur) en fonction du temps de vieillissement pour chacun des catalyseurs. Calculer, par la méthode des moindres carrés, la droite de meilleur ajustement aux données. Pour que les données soient utiles à cette fin, elles devraient comprendre un </w:t>
      </w:r>
      <w:proofErr w:type="spellStart"/>
      <w:r w:rsidRPr="00A779B8">
        <w:rPr>
          <w:lang w:val="fr-FR"/>
        </w:rPr>
        <w:t>intercept</w:t>
      </w:r>
      <w:proofErr w:type="spellEnd"/>
      <w:r w:rsidRPr="00A779B8">
        <w:rPr>
          <w:lang w:val="fr-FR"/>
        </w:rPr>
        <w:t xml:space="preserve"> commun, compris entre 0 et 6 400 km. Voir l</w:t>
      </w:r>
      <w:r w:rsidR="00DB4C2D">
        <w:rPr>
          <w:lang w:val="fr-FR"/>
        </w:rPr>
        <w:t>’</w:t>
      </w:r>
      <w:r w:rsidRPr="00A779B8">
        <w:rPr>
          <w:lang w:val="fr-FR"/>
        </w:rPr>
        <w:t>exemple montré dans la figure A9.App.1/3.</w:t>
      </w:r>
    </w:p>
    <w:p w:rsidR="007B3C94" w:rsidRPr="00A779B8" w:rsidRDefault="007B3C94" w:rsidP="007B3C94">
      <w:pPr>
        <w:pStyle w:val="SingleTxtG"/>
        <w:ind w:left="2268" w:hanging="1134"/>
        <w:rPr>
          <w:lang w:val="fr-FR"/>
        </w:rPr>
      </w:pPr>
      <w:r w:rsidRPr="00A779B8">
        <w:rPr>
          <w:lang w:val="fr-FR"/>
        </w:rPr>
        <w:t>4.1.4</w:t>
      </w:r>
      <w:r w:rsidRPr="00A779B8">
        <w:rPr>
          <w:lang w:val="fr-FR"/>
        </w:rPr>
        <w:tab/>
        <w:t>Calculer la pente de la droite de meilleur ajustement pour chaque température de vieillissement.</w:t>
      </w:r>
    </w:p>
    <w:p w:rsidR="007B3C94" w:rsidRPr="00A779B8" w:rsidRDefault="007B3C94" w:rsidP="007B3C94">
      <w:pPr>
        <w:pStyle w:val="Titre1"/>
        <w:spacing w:after="120"/>
        <w:ind w:left="2268"/>
        <w:rPr>
          <w:b/>
          <w:lang w:val="fr-FR"/>
        </w:rPr>
      </w:pPr>
      <w:r w:rsidRPr="00A779B8">
        <w:rPr>
          <w:lang w:val="fr-FR"/>
        </w:rPr>
        <w:lastRenderedPageBreak/>
        <w:t>Figure A9.App1/3</w:t>
      </w:r>
      <w:r w:rsidRPr="00A779B8">
        <w:rPr>
          <w:lang w:val="fr-FR"/>
        </w:rPr>
        <w:br/>
      </w:r>
      <w:r w:rsidRPr="00A779B8">
        <w:rPr>
          <w:b/>
          <w:lang w:val="fr-FR"/>
        </w:rPr>
        <w:t>Exemple de vieillissement du catalyseur</w:t>
      </w:r>
    </w:p>
    <w:bookmarkStart w:id="276" w:name="_MON_1335952244"/>
    <w:bookmarkStart w:id="277" w:name="_MON_1335952269"/>
    <w:bookmarkStart w:id="278" w:name="_MON_1335952514"/>
    <w:bookmarkStart w:id="279" w:name="_MON_1336371029"/>
    <w:bookmarkStart w:id="280" w:name="_MON_1336371087"/>
    <w:bookmarkStart w:id="281" w:name="_MON_1336372109"/>
    <w:bookmarkStart w:id="282" w:name="_MON_1336378995"/>
    <w:bookmarkStart w:id="283" w:name="_MON_1336379041"/>
    <w:bookmarkStart w:id="284" w:name="_MON_1336379134"/>
    <w:bookmarkStart w:id="285" w:name="_MON_1336386902"/>
    <w:bookmarkStart w:id="286" w:name="_MON_1336387087"/>
    <w:bookmarkStart w:id="287" w:name="_MON_1336387159"/>
    <w:bookmarkStart w:id="288" w:name="_MON_1363009585"/>
    <w:bookmarkStart w:id="289" w:name="_MON_1363009620"/>
    <w:bookmarkStart w:id="290" w:name="_MON_1363009631"/>
    <w:bookmarkStart w:id="291" w:name="_MON_1433315686"/>
    <w:bookmarkStart w:id="292" w:name="_MON_1433315737"/>
    <w:bookmarkStart w:id="293" w:name="_MON_1433315752"/>
    <w:bookmarkStart w:id="294" w:name="_MON_1433317112"/>
    <w:bookmarkStart w:id="295" w:name="_MON_1433846079"/>
    <w:bookmarkStart w:id="296" w:name="_MON_1448347160"/>
    <w:bookmarkStart w:id="297" w:name="_MON_1448347198"/>
    <w:bookmarkStart w:id="298" w:name="_MON_1448347221"/>
    <w:bookmarkStart w:id="299" w:name="_MON_1448347243"/>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rsidR="007B3C94" w:rsidRPr="00A779B8" w:rsidRDefault="007B3C94" w:rsidP="007B3C94">
      <w:pPr>
        <w:spacing w:after="120"/>
        <w:ind w:left="2268"/>
        <w:rPr>
          <w:lang w:val="fr-FR"/>
        </w:rPr>
      </w:pPr>
      <w:r w:rsidRPr="00A779B8">
        <w:rPr>
          <w:lang w:val="fr-FR"/>
        </w:rPr>
        <w:object w:dxaOrig="8093" w:dyaOrig="4999">
          <v:shape id="_x0000_i1124" type="#_x0000_t75" style="width:366.1pt;height:224.85pt" o:ole="">
            <v:imagedata r:id="rId246" o:title=""/>
            <w10:bordertop type="single" width="4"/>
            <w10:borderleft type="single" width="4"/>
            <w10:borderbottom type="single" width="4"/>
            <w10:borderright type="single" width="4"/>
          </v:shape>
          <o:OLEObject Type="Embed" ProgID="Word.Picture.8" ShapeID="_x0000_i1124" DrawAspect="Content" ObjectID="_1490178469" r:id="rId247"/>
        </w:object>
      </w:r>
    </w:p>
    <w:p w:rsidR="007B3C94" w:rsidRPr="00A779B8" w:rsidRDefault="007B3C94" w:rsidP="007B3C94">
      <w:pPr>
        <w:pStyle w:val="SingleTxtG"/>
        <w:spacing w:before="240"/>
        <w:ind w:left="2268" w:hanging="1134"/>
        <w:rPr>
          <w:lang w:val="fr-FR"/>
        </w:rPr>
      </w:pPr>
      <w:r w:rsidRPr="00A779B8">
        <w:rPr>
          <w:lang w:val="fr-FR"/>
        </w:rPr>
        <w:t>4.1.5</w:t>
      </w:r>
      <w:r w:rsidRPr="00A779B8">
        <w:rPr>
          <w:lang w:val="fr-FR"/>
        </w:rPr>
        <w:tab/>
        <w:t>Sur un graphique, représenter le logarithme naturel (ln) de la pente de chaque droite de meilleur ajustement (définie au paragraphe 4.1.4 ci-dessus) sur l</w:t>
      </w:r>
      <w:r w:rsidR="00DB4C2D">
        <w:rPr>
          <w:lang w:val="fr-FR"/>
        </w:rPr>
        <w:t>’</w:t>
      </w:r>
      <w:r w:rsidRPr="00A779B8">
        <w:rPr>
          <w:lang w:val="fr-FR"/>
        </w:rPr>
        <w:t>axe vertical et l</w:t>
      </w:r>
      <w:r w:rsidR="00DB4C2D">
        <w:rPr>
          <w:lang w:val="fr-FR"/>
        </w:rPr>
        <w:t>’</w:t>
      </w:r>
      <w:r w:rsidRPr="00A779B8">
        <w:rPr>
          <w:lang w:val="fr-FR"/>
        </w:rPr>
        <w:t>inverse de la température de vieillissement (en degrés K) sur l</w:t>
      </w:r>
      <w:r w:rsidR="00DB4C2D">
        <w:rPr>
          <w:lang w:val="fr-FR"/>
        </w:rPr>
        <w:t>’</w:t>
      </w:r>
      <w:r w:rsidRPr="00A779B8">
        <w:rPr>
          <w:lang w:val="fr-FR"/>
        </w:rPr>
        <w:t>axe horizontal. Calculer, au moyen de la méthode des moindres carrés, la droite de meilleur ajustement aux données. La pente de la droite représente le facteur R. Voir l</w:t>
      </w:r>
      <w:r w:rsidR="00DB4C2D">
        <w:rPr>
          <w:lang w:val="fr-FR"/>
        </w:rPr>
        <w:t>’</w:t>
      </w:r>
      <w:r w:rsidRPr="00A779B8">
        <w:rPr>
          <w:lang w:val="fr-FR"/>
        </w:rPr>
        <w:t>exemple montré dans la figure A9.App.1/4.</w:t>
      </w:r>
    </w:p>
    <w:p w:rsidR="007B3C94" w:rsidRPr="00A779B8" w:rsidRDefault="007B3C94" w:rsidP="007B3C94">
      <w:pPr>
        <w:pStyle w:val="SingleTxtG"/>
        <w:ind w:left="2268" w:hanging="1134"/>
        <w:rPr>
          <w:lang w:val="fr-FR"/>
        </w:rPr>
      </w:pPr>
      <w:r w:rsidRPr="00A779B8">
        <w:rPr>
          <w:lang w:val="fr-FR"/>
        </w:rPr>
        <w:t>4.1.6</w:t>
      </w:r>
      <w:r w:rsidRPr="00A779B8">
        <w:rPr>
          <w:lang w:val="fr-FR"/>
        </w:rPr>
        <w:tab/>
        <w:t>Comparer le facteur R et la valeur initiale utilisée au paragraphe 4.1.2 c</w:t>
      </w:r>
      <w:r>
        <w:rPr>
          <w:lang w:val="fr-FR"/>
        </w:rPr>
        <w:t>i</w:t>
      </w:r>
      <w:r>
        <w:rPr>
          <w:lang w:val="fr-FR"/>
        </w:rPr>
        <w:noBreakHyphen/>
      </w:r>
      <w:r w:rsidRPr="00A779B8">
        <w:rPr>
          <w:lang w:val="fr-FR"/>
        </w:rPr>
        <w:t>dessus; si la différence entre les deux dépasse 5 %, choisir un nouveau facteur R situé entre la valeur initiale et la valeur obtenue par calcul puis répéter les étapes décrites aux paragraphes 4.1.2 à 4.1.6 du présent appendice pour obtenir un nouveau facteur R. Recommencer jusqu</w:t>
      </w:r>
      <w:r w:rsidR="00DB4C2D">
        <w:rPr>
          <w:lang w:val="fr-FR"/>
        </w:rPr>
        <w:t>’</w:t>
      </w:r>
      <w:r w:rsidRPr="00A779B8">
        <w:rPr>
          <w:lang w:val="fr-FR"/>
        </w:rPr>
        <w:t>à ce que le facteur R obtenu par calcul ne diffère pas de plus de 5 % du facteur R initialement utilisé.</w:t>
      </w:r>
    </w:p>
    <w:p w:rsidR="007B3C94" w:rsidRPr="00A779B8" w:rsidRDefault="007B3C94" w:rsidP="007B3C94">
      <w:pPr>
        <w:pStyle w:val="SingleTxtG"/>
        <w:ind w:left="2268" w:hanging="1134"/>
        <w:rPr>
          <w:lang w:val="fr-FR"/>
        </w:rPr>
      </w:pPr>
      <w:r w:rsidRPr="00A779B8">
        <w:rPr>
          <w:lang w:val="fr-FR"/>
        </w:rPr>
        <w:t>4.1.7</w:t>
      </w:r>
      <w:r w:rsidRPr="00A779B8">
        <w:rPr>
          <w:lang w:val="fr-FR"/>
        </w:rPr>
        <w:tab/>
        <w:t>Comparer le facteur R obtenu séparément pour chaque composant des gaz d</w:t>
      </w:r>
      <w:r w:rsidR="00DB4C2D">
        <w:rPr>
          <w:lang w:val="fr-FR"/>
        </w:rPr>
        <w:t>’</w:t>
      </w:r>
      <w:r w:rsidRPr="00A779B8">
        <w:rPr>
          <w:lang w:val="fr-FR"/>
        </w:rPr>
        <w:t>échappement, et utiliser le facteur R le plus bas (cas le plus mauvais) pour l</w:t>
      </w:r>
      <w:r w:rsidR="00DB4C2D">
        <w:rPr>
          <w:lang w:val="fr-FR"/>
        </w:rPr>
        <w:t>’</w:t>
      </w:r>
      <w:r w:rsidRPr="00A779B8">
        <w:rPr>
          <w:lang w:val="fr-FR"/>
        </w:rPr>
        <w:t>équation BAT.</w:t>
      </w:r>
    </w:p>
    <w:p w:rsidR="007B3C94" w:rsidRPr="00A779B8" w:rsidRDefault="007B3C94" w:rsidP="007B3C94">
      <w:pPr>
        <w:pStyle w:val="Titre1"/>
        <w:rPr>
          <w:lang w:val="fr-FR"/>
        </w:rPr>
      </w:pPr>
      <w:r w:rsidRPr="00A779B8">
        <w:rPr>
          <w:lang w:val="fr-FR"/>
        </w:rPr>
        <w:lastRenderedPageBreak/>
        <w:t>Figure A9.App1/4</w:t>
      </w:r>
    </w:p>
    <w:p w:rsidR="007B3C94" w:rsidRPr="00A779B8" w:rsidRDefault="007B3C94" w:rsidP="007B3C94">
      <w:pPr>
        <w:pStyle w:val="Titre1"/>
        <w:spacing w:after="120"/>
        <w:rPr>
          <w:b/>
          <w:lang w:val="fr-FR"/>
        </w:rPr>
      </w:pPr>
      <w:r w:rsidRPr="00A779B8">
        <w:rPr>
          <w:b/>
          <w:lang w:val="fr-FR"/>
        </w:rPr>
        <w:t>Détermination du facteur R</w:t>
      </w:r>
    </w:p>
    <w:bookmarkStart w:id="300" w:name="_MON_1448347377"/>
    <w:bookmarkStart w:id="301" w:name="_MON_1448347446"/>
    <w:bookmarkEnd w:id="300"/>
    <w:bookmarkEnd w:id="301"/>
    <w:p w:rsidR="00BA6F69" w:rsidRDefault="007B3C94" w:rsidP="007B3C94">
      <w:pPr>
        <w:pStyle w:val="SingleTxtG"/>
        <w:rPr>
          <w:lang w:val="fr-FR"/>
        </w:rPr>
        <w:sectPr w:rsidR="00BA6F69" w:rsidSect="00C108AC">
          <w:headerReference w:type="even" r:id="rId248"/>
          <w:headerReference w:type="default" r:id="rId249"/>
          <w:footnotePr>
            <w:numRestart w:val="eachSect"/>
          </w:footnotePr>
          <w:endnotePr>
            <w:numFmt w:val="decimal"/>
          </w:endnotePr>
          <w:pgSz w:w="11907" w:h="16840" w:code="9"/>
          <w:pgMar w:top="1701" w:right="1134" w:bottom="2268" w:left="1134" w:header="794" w:footer="1701" w:gutter="0"/>
          <w:cols w:space="720"/>
          <w:docGrid w:linePitch="272"/>
        </w:sectPr>
      </w:pPr>
      <w:r w:rsidRPr="00A779B8">
        <w:rPr>
          <w:lang w:val="fr-FR"/>
        </w:rPr>
        <w:object w:dxaOrig="8660" w:dyaOrig="5566">
          <v:shape id="_x0000_i1125" type="#_x0000_t75" style="width:424.55pt;height:273.05pt" o:ole="" o:bordertopcolor="this" o:borderleftcolor="this" o:borderbottomcolor="this" o:borderrightcolor="this">
            <v:imagedata r:id="rId250" o:title=""/>
            <w10:bordertop type="single" width="4"/>
            <w10:borderleft type="single" width="4"/>
            <w10:borderbottom type="single" width="4"/>
            <w10:borderright type="single" width="4"/>
          </v:shape>
          <o:OLEObject Type="Embed" ProgID="Word.Picture.8" ShapeID="_x0000_i1125" DrawAspect="Content" ObjectID="_1490178470" r:id="rId251"/>
        </w:object>
      </w:r>
    </w:p>
    <w:p w:rsidR="00BA6F69" w:rsidRPr="00A779B8" w:rsidRDefault="00BA6F69" w:rsidP="00BA6F69">
      <w:pPr>
        <w:pStyle w:val="HChG"/>
        <w:rPr>
          <w:lang w:val="fr-FR"/>
        </w:rPr>
      </w:pPr>
      <w:r w:rsidRPr="00A779B8">
        <w:rPr>
          <w:lang w:val="fr-FR"/>
        </w:rPr>
        <w:lastRenderedPageBreak/>
        <w:t>Annexe 9 − Appendice 2</w:t>
      </w:r>
    </w:p>
    <w:p w:rsidR="00BA6F69" w:rsidRPr="00A779B8" w:rsidRDefault="00BA6F69" w:rsidP="00BA6F69">
      <w:pPr>
        <w:pStyle w:val="HChG"/>
        <w:rPr>
          <w:lang w:val="fr-FR"/>
        </w:rPr>
      </w:pPr>
      <w:r w:rsidRPr="00A779B8">
        <w:rPr>
          <w:lang w:val="fr-FR"/>
        </w:rPr>
        <w:tab/>
      </w:r>
      <w:r w:rsidRPr="00A779B8">
        <w:rPr>
          <w:lang w:val="fr-FR"/>
        </w:rPr>
        <w:tab/>
        <w:t>Cycle normalisé au banc pour moteurs diesel (SDBC)</w:t>
      </w:r>
    </w:p>
    <w:p w:rsidR="00BA6F69" w:rsidRPr="00A779B8" w:rsidRDefault="00BA6F69" w:rsidP="00BA6F69">
      <w:pPr>
        <w:pStyle w:val="SingleTxtG"/>
        <w:ind w:left="2268" w:hanging="1134"/>
        <w:jc w:val="left"/>
        <w:rPr>
          <w:lang w:val="fr-FR"/>
        </w:rPr>
      </w:pPr>
      <w:r w:rsidRPr="00A779B8">
        <w:rPr>
          <w:lang w:val="fr-FR"/>
        </w:rPr>
        <w:t>1.</w:t>
      </w:r>
      <w:r w:rsidRPr="00A779B8">
        <w:rPr>
          <w:lang w:val="fr-FR"/>
        </w:rPr>
        <w:tab/>
        <w:t>Introduction</w:t>
      </w:r>
    </w:p>
    <w:p w:rsidR="00BA6F69" w:rsidRPr="00A779B8" w:rsidRDefault="00BA6F69" w:rsidP="00BA6F69">
      <w:pPr>
        <w:pStyle w:val="SingleTxtG"/>
        <w:ind w:left="2268"/>
        <w:rPr>
          <w:lang w:val="fr-FR"/>
        </w:rPr>
      </w:pPr>
      <w:r w:rsidRPr="00A779B8">
        <w:rPr>
          <w:lang w:val="fr-FR"/>
        </w:rPr>
        <w:tab/>
        <w:t xml:space="preserve">Pour les filtres à particules, le nombre de régénérations est critique dans le processus de vieillissement. Pour les systèmes nécessitant des cycles de désulfuration (par exemple les catalyseurs de stockage des </w:t>
      </w:r>
      <w:proofErr w:type="spellStart"/>
      <w:r w:rsidRPr="00A779B8">
        <w:rPr>
          <w:lang w:val="fr-FR"/>
        </w:rPr>
        <w:t>NO</w:t>
      </w:r>
      <w:r w:rsidRPr="00A779B8">
        <w:rPr>
          <w:vertAlign w:val="subscript"/>
          <w:lang w:val="fr-FR"/>
        </w:rPr>
        <w:t>x</w:t>
      </w:r>
      <w:proofErr w:type="spellEnd"/>
      <w:r w:rsidRPr="00A779B8">
        <w:rPr>
          <w:lang w:val="fr-FR"/>
        </w:rPr>
        <w:t>), le nombre de régénérations est aussi important.</w:t>
      </w:r>
    </w:p>
    <w:p w:rsidR="00BA6F69" w:rsidRPr="00A779B8" w:rsidRDefault="00BA6F69" w:rsidP="00BA6F69">
      <w:pPr>
        <w:pStyle w:val="SingleTxtG"/>
        <w:ind w:left="2268"/>
        <w:rPr>
          <w:lang w:val="fr-FR"/>
        </w:rPr>
      </w:pPr>
      <w:r w:rsidRPr="00A779B8">
        <w:rPr>
          <w:lang w:val="fr-FR"/>
        </w:rPr>
        <w:tab/>
        <w:t>L</w:t>
      </w:r>
      <w:r w:rsidR="00DB4C2D">
        <w:rPr>
          <w:lang w:val="fr-FR"/>
        </w:rPr>
        <w:t>’</w:t>
      </w:r>
      <w:r w:rsidRPr="00A779B8">
        <w:rPr>
          <w:lang w:val="fr-FR"/>
        </w:rPr>
        <w:t>essai normalisé au banc de résistance des moteurs diesel au vieillissement consiste à soumettre un système d</w:t>
      </w:r>
      <w:r w:rsidR="00DB4C2D">
        <w:rPr>
          <w:lang w:val="fr-FR"/>
        </w:rPr>
        <w:t>’</w:t>
      </w:r>
      <w:r w:rsidRPr="00A779B8">
        <w:rPr>
          <w:lang w:val="fr-FR"/>
        </w:rPr>
        <w:t>épuration aval à un vieillissement sur un banc selon le principe du cycle normalisé (SDBC) décrit dans le présent appendice. Ce cycle nécessite l</w:t>
      </w:r>
      <w:r w:rsidR="00DB4C2D">
        <w:rPr>
          <w:lang w:val="fr-FR"/>
        </w:rPr>
        <w:t>’</w:t>
      </w:r>
      <w:r w:rsidRPr="00A779B8">
        <w:rPr>
          <w:lang w:val="fr-FR"/>
        </w:rPr>
        <w:t>utilisation d</w:t>
      </w:r>
      <w:r w:rsidR="00DB4C2D">
        <w:rPr>
          <w:lang w:val="fr-FR"/>
        </w:rPr>
        <w:t>’</w:t>
      </w:r>
      <w:r w:rsidRPr="00A779B8">
        <w:rPr>
          <w:lang w:val="fr-FR"/>
        </w:rPr>
        <w:t>un banc de vieillissement sur lequel le gaz d</w:t>
      </w:r>
      <w:r w:rsidR="00DB4C2D">
        <w:rPr>
          <w:lang w:val="fr-FR"/>
        </w:rPr>
        <w:t>’</w:t>
      </w:r>
      <w:r w:rsidRPr="00A779B8">
        <w:rPr>
          <w:lang w:val="fr-FR"/>
        </w:rPr>
        <w:t>alimentation est fourni par un moteur.</w:t>
      </w:r>
    </w:p>
    <w:p w:rsidR="00BA6F69" w:rsidRPr="00A779B8" w:rsidRDefault="00BA6F69" w:rsidP="00BA6F69">
      <w:pPr>
        <w:pStyle w:val="SingleTxtG"/>
        <w:ind w:left="2268"/>
        <w:rPr>
          <w:lang w:val="fr-FR"/>
        </w:rPr>
      </w:pPr>
      <w:r w:rsidRPr="00A779B8">
        <w:rPr>
          <w:lang w:val="fr-FR"/>
        </w:rPr>
        <w:tab/>
        <w:t>Pendant le cycle, les phases de régénération et/ou de désulfuration doivent se poursuivre normalement.</w:t>
      </w:r>
    </w:p>
    <w:p w:rsidR="00BA6F69" w:rsidRPr="00A779B8" w:rsidRDefault="00BA6F69" w:rsidP="00BA6F69">
      <w:pPr>
        <w:pStyle w:val="SingleTxtG"/>
        <w:ind w:left="2268" w:hanging="1134"/>
        <w:rPr>
          <w:lang w:val="fr-FR"/>
        </w:rPr>
      </w:pPr>
      <w:r w:rsidRPr="00A779B8">
        <w:rPr>
          <w:lang w:val="fr-FR"/>
        </w:rPr>
        <w:t>2.</w:t>
      </w:r>
      <w:r w:rsidRPr="00A779B8">
        <w:rPr>
          <w:lang w:val="fr-FR"/>
        </w:rPr>
        <w:tab/>
        <w:t xml:space="preserve">Le </w:t>
      </w:r>
      <w:r>
        <w:rPr>
          <w:lang w:val="fr-FR"/>
        </w:rPr>
        <w:t>SDBC</w:t>
      </w:r>
      <w:r w:rsidRPr="00A779B8">
        <w:rPr>
          <w:lang w:val="fr-FR"/>
        </w:rPr>
        <w:t xml:space="preserve"> reproduit le régime du moteur et la charge du moteur constatés pendant le cycle SRC, pendant la durée nécessaire pour évaluer la résistance au vieillissement. Afin d</w:t>
      </w:r>
      <w:r w:rsidR="00DB4C2D">
        <w:rPr>
          <w:lang w:val="fr-FR"/>
        </w:rPr>
        <w:t>’</w:t>
      </w:r>
      <w:r w:rsidRPr="00A779B8">
        <w:rPr>
          <w:lang w:val="fr-FR"/>
        </w:rPr>
        <w:t>accélérer le vieillissement, les réglages du moteur placé sur le banc peuvent être modifiés afin de réduire les temps de charge du système; par exemple, le calage de l</w:t>
      </w:r>
      <w:r w:rsidR="00DB4C2D">
        <w:rPr>
          <w:lang w:val="fr-FR"/>
        </w:rPr>
        <w:t>’</w:t>
      </w:r>
      <w:r w:rsidRPr="00A779B8">
        <w:rPr>
          <w:lang w:val="fr-FR"/>
        </w:rPr>
        <w:t>injection ou le recyclage des gaz d</w:t>
      </w:r>
      <w:r w:rsidR="00DB4C2D">
        <w:rPr>
          <w:lang w:val="fr-FR"/>
        </w:rPr>
        <w:t>’</w:t>
      </w:r>
      <w:r w:rsidRPr="00A779B8">
        <w:rPr>
          <w:lang w:val="fr-FR"/>
        </w:rPr>
        <w:t>échappement peuvent être modifiés.</w:t>
      </w:r>
    </w:p>
    <w:p w:rsidR="00BA6F69" w:rsidRPr="00A779B8" w:rsidRDefault="00BA6F69" w:rsidP="00BA6F69">
      <w:pPr>
        <w:pStyle w:val="SingleTxtG"/>
        <w:keepNext/>
        <w:ind w:left="2268" w:hanging="1134"/>
        <w:jc w:val="left"/>
        <w:rPr>
          <w:lang w:val="fr-FR"/>
        </w:rPr>
      </w:pPr>
      <w:r w:rsidRPr="00A779B8">
        <w:rPr>
          <w:lang w:val="fr-FR"/>
        </w:rPr>
        <w:t>3.</w:t>
      </w:r>
      <w:r w:rsidRPr="00A779B8">
        <w:rPr>
          <w:lang w:val="fr-FR"/>
        </w:rPr>
        <w:tab/>
        <w:t>Banc de vieillissement et méthodes d</w:t>
      </w:r>
      <w:r w:rsidR="00DB4C2D">
        <w:rPr>
          <w:lang w:val="fr-FR"/>
        </w:rPr>
        <w:t>’</w:t>
      </w:r>
      <w:r w:rsidRPr="00A779B8">
        <w:rPr>
          <w:lang w:val="fr-FR"/>
        </w:rPr>
        <w:t>essai</w:t>
      </w:r>
    </w:p>
    <w:p w:rsidR="00BA6F69" w:rsidRPr="00A779B8" w:rsidRDefault="00BA6F69" w:rsidP="00BA6F69">
      <w:pPr>
        <w:pStyle w:val="SingleTxtG"/>
        <w:ind w:left="2268" w:hanging="1134"/>
        <w:rPr>
          <w:lang w:val="fr-FR"/>
        </w:rPr>
      </w:pPr>
      <w:r w:rsidRPr="00A779B8">
        <w:rPr>
          <w:lang w:val="fr-FR"/>
        </w:rPr>
        <w:t>3.1</w:t>
      </w:r>
      <w:r w:rsidRPr="00A779B8">
        <w:rPr>
          <w:lang w:val="fr-FR"/>
        </w:rPr>
        <w:tab/>
        <w:t>Le banc normalisé de vieillissement se compose d</w:t>
      </w:r>
      <w:r w:rsidR="00DB4C2D">
        <w:rPr>
          <w:lang w:val="fr-FR"/>
        </w:rPr>
        <w:t>’</w:t>
      </w:r>
      <w:r w:rsidRPr="00A779B8">
        <w:rPr>
          <w:lang w:val="fr-FR"/>
        </w:rPr>
        <w:t>un moteur, d</w:t>
      </w:r>
      <w:r w:rsidR="00DB4C2D">
        <w:rPr>
          <w:lang w:val="fr-FR"/>
        </w:rPr>
        <w:t>’</w:t>
      </w:r>
      <w:r w:rsidRPr="00A779B8">
        <w:rPr>
          <w:lang w:val="fr-FR"/>
        </w:rPr>
        <w:t>un calculateur et d</w:t>
      </w:r>
      <w:r w:rsidR="00DB4C2D">
        <w:rPr>
          <w:lang w:val="fr-FR"/>
        </w:rPr>
        <w:t>’</w:t>
      </w:r>
      <w:r w:rsidRPr="00A779B8">
        <w:rPr>
          <w:lang w:val="fr-FR"/>
        </w:rPr>
        <w:t>un dynamomètre. D</w:t>
      </w:r>
      <w:r w:rsidR="00DB4C2D">
        <w:rPr>
          <w:lang w:val="fr-FR"/>
        </w:rPr>
        <w:t>’</w:t>
      </w:r>
      <w:r w:rsidRPr="00A779B8">
        <w:rPr>
          <w:lang w:val="fr-FR"/>
        </w:rPr>
        <w:t>autres configurations sont possibles (par exemple, placer le véhicule sur un banc à rouleaux ou utiliser un brûleur qui reproduit exactement les émissions à l</w:t>
      </w:r>
      <w:r w:rsidR="00DB4C2D">
        <w:rPr>
          <w:lang w:val="fr-FR"/>
        </w:rPr>
        <w:t>’</w:t>
      </w:r>
      <w:r w:rsidRPr="00A779B8">
        <w:rPr>
          <w:lang w:val="fr-FR"/>
        </w:rPr>
        <w:t>échappement) pour autant que les prescriptions relatives aux conditions à l</w:t>
      </w:r>
      <w:r w:rsidR="00DB4C2D">
        <w:rPr>
          <w:lang w:val="fr-FR"/>
        </w:rPr>
        <w:t>’</w:t>
      </w:r>
      <w:r w:rsidRPr="00A779B8">
        <w:rPr>
          <w:lang w:val="fr-FR"/>
        </w:rPr>
        <w:t>entrée du catalyseur et au maintien de la température énoncées dans le présent appendice soient respectées.</w:t>
      </w:r>
    </w:p>
    <w:p w:rsidR="00BA6F69" w:rsidRPr="00A779B8" w:rsidRDefault="00BA6F69" w:rsidP="00BA6F69">
      <w:pPr>
        <w:pStyle w:val="SingleTxtG"/>
        <w:ind w:left="2268"/>
        <w:rPr>
          <w:lang w:val="fr-FR"/>
        </w:rPr>
      </w:pPr>
      <w:r w:rsidRPr="00A779B8">
        <w:rPr>
          <w:lang w:val="fr-FR"/>
        </w:rPr>
        <w:tab/>
        <w:t>Il peut arriver que, sur un même banc de vieillissement, le flux des gaz d</w:t>
      </w:r>
      <w:r w:rsidR="00DB4C2D">
        <w:rPr>
          <w:lang w:val="fr-FR"/>
        </w:rPr>
        <w:t>’</w:t>
      </w:r>
      <w:r w:rsidRPr="00A779B8">
        <w:rPr>
          <w:lang w:val="fr-FR"/>
        </w:rPr>
        <w:t>échappement soit scindé en plusieurs flux, mais il faut alors que chacun d</w:t>
      </w:r>
      <w:r w:rsidR="00DB4C2D">
        <w:rPr>
          <w:lang w:val="fr-FR"/>
        </w:rPr>
        <w:t>’</w:t>
      </w:r>
      <w:r w:rsidRPr="00A779B8">
        <w:rPr>
          <w:lang w:val="fr-FR"/>
        </w:rPr>
        <w:t>eux satisfasse aux prescriptions du présent appendice. Si tel est le cas, plusieurs catalyseurs peuvent être soumis simultanément à la procédure de vieillissement.</w:t>
      </w:r>
    </w:p>
    <w:p w:rsidR="00BA6F69" w:rsidRPr="00A779B8" w:rsidRDefault="00BA6F69" w:rsidP="00BA6F69">
      <w:pPr>
        <w:pStyle w:val="SingleTxtG"/>
        <w:ind w:left="2268" w:hanging="1134"/>
        <w:rPr>
          <w:lang w:val="fr-FR"/>
        </w:rPr>
      </w:pPr>
      <w:r w:rsidRPr="00A779B8">
        <w:rPr>
          <w:lang w:val="fr-FR"/>
        </w:rPr>
        <w:t>3.2</w:t>
      </w:r>
      <w:r w:rsidRPr="00A779B8">
        <w:rPr>
          <w:lang w:val="fr-FR"/>
        </w:rPr>
        <w:tab/>
        <w:t>Installation du système d</w:t>
      </w:r>
      <w:r w:rsidR="00DB4C2D">
        <w:rPr>
          <w:lang w:val="fr-FR"/>
        </w:rPr>
        <w:t>’</w:t>
      </w:r>
      <w:r w:rsidRPr="00A779B8">
        <w:rPr>
          <w:lang w:val="fr-FR"/>
        </w:rPr>
        <w:t>échappement. L</w:t>
      </w:r>
      <w:r w:rsidR="00DB4C2D">
        <w:rPr>
          <w:lang w:val="fr-FR"/>
        </w:rPr>
        <w:t>’</w:t>
      </w:r>
      <w:r w:rsidRPr="00A779B8">
        <w:rPr>
          <w:lang w:val="fr-FR"/>
        </w:rPr>
        <w:t>ensemble du système de traitement aval, ainsi que toute la tuyauterie</w:t>
      </w:r>
      <w:r w:rsidRPr="00A779B8">
        <w:rPr>
          <w:b/>
          <w:lang w:val="fr-FR"/>
        </w:rPr>
        <w:t xml:space="preserve"> </w:t>
      </w:r>
      <w:r w:rsidRPr="00A779B8">
        <w:rPr>
          <w:lang w:val="fr-FR"/>
        </w:rPr>
        <w:t>d</w:t>
      </w:r>
      <w:r w:rsidR="00DB4C2D">
        <w:rPr>
          <w:lang w:val="fr-FR"/>
        </w:rPr>
        <w:t>’</w:t>
      </w:r>
      <w:r w:rsidRPr="00A779B8">
        <w:rPr>
          <w:lang w:val="fr-FR"/>
        </w:rPr>
        <w:t xml:space="preserve">échappement reliant ces éléments, est installé sur le banc. Dans le cas des moteurs à échappements multiples (comme certains moteurs V6 ou V8), chaque échappement doit être installé en parallèle sur un banc distinct. </w:t>
      </w:r>
    </w:p>
    <w:p w:rsidR="00DB4C2D" w:rsidRDefault="00BA6F69" w:rsidP="00BA6F69">
      <w:pPr>
        <w:pStyle w:val="SingleTxtG"/>
        <w:ind w:left="2268"/>
        <w:rPr>
          <w:lang w:val="fr-FR"/>
        </w:rPr>
      </w:pPr>
      <w:r w:rsidRPr="00A779B8">
        <w:rPr>
          <w:lang w:val="fr-FR"/>
        </w:rPr>
        <w:tab/>
        <w:t>L</w:t>
      </w:r>
      <w:r w:rsidR="00DB4C2D">
        <w:rPr>
          <w:lang w:val="fr-FR"/>
        </w:rPr>
        <w:t>’</w:t>
      </w:r>
      <w:r w:rsidRPr="00A779B8">
        <w:rPr>
          <w:lang w:val="fr-FR"/>
        </w:rPr>
        <w:t xml:space="preserve">ensemble du système de </w:t>
      </w:r>
      <w:r w:rsidRPr="00BA6F69">
        <w:t>traitement</w:t>
      </w:r>
      <w:r w:rsidRPr="00A779B8">
        <w:rPr>
          <w:lang w:val="fr-FR"/>
        </w:rPr>
        <w:t xml:space="preserve"> aval est placée sur le banc comme un tout aux fins du vieillissement. Il est aussi possible de soumettre séparément chaque élément aux essais de vieillissement pendant la durée</w:t>
      </w:r>
      <w:r>
        <w:rPr>
          <w:lang w:val="fr-FR"/>
        </w:rPr>
        <w:t xml:space="preserve"> appropriée.</w:t>
      </w:r>
    </w:p>
    <w:p w:rsidR="001A76F7" w:rsidRDefault="001A76F7" w:rsidP="00BA6F69">
      <w:pPr>
        <w:pStyle w:val="SingleTxtG"/>
        <w:ind w:left="2268"/>
        <w:sectPr w:rsidR="001A76F7" w:rsidSect="00C108AC">
          <w:headerReference w:type="even" r:id="rId252"/>
          <w:headerReference w:type="default" r:id="rId253"/>
          <w:footnotePr>
            <w:numRestart w:val="eachSect"/>
          </w:footnotePr>
          <w:endnotePr>
            <w:numFmt w:val="decimal"/>
          </w:endnotePr>
          <w:pgSz w:w="11907" w:h="16840" w:code="9"/>
          <w:pgMar w:top="1701" w:right="1134" w:bottom="2268" w:left="1134" w:header="794" w:footer="1701" w:gutter="0"/>
          <w:cols w:space="720"/>
          <w:docGrid w:linePitch="272"/>
        </w:sectPr>
      </w:pPr>
    </w:p>
    <w:p w:rsidR="001A76F7" w:rsidRPr="00A779B8" w:rsidRDefault="001A76F7" w:rsidP="001A76F7">
      <w:pPr>
        <w:pStyle w:val="HChG"/>
        <w:rPr>
          <w:lang w:val="fr-FR"/>
        </w:rPr>
      </w:pPr>
      <w:r w:rsidRPr="00A779B8">
        <w:rPr>
          <w:lang w:val="fr-FR"/>
        </w:rPr>
        <w:lastRenderedPageBreak/>
        <w:t>Annexe 9 − Appendice 3</w:t>
      </w:r>
    </w:p>
    <w:p w:rsidR="001A76F7" w:rsidRPr="00A779B8" w:rsidRDefault="001A76F7" w:rsidP="001A76F7">
      <w:pPr>
        <w:pStyle w:val="HChG"/>
        <w:rPr>
          <w:lang w:val="fr-FR"/>
        </w:rPr>
      </w:pPr>
      <w:r w:rsidRPr="00A779B8">
        <w:rPr>
          <w:lang w:val="fr-FR"/>
        </w:rPr>
        <w:tab/>
      </w:r>
      <w:r w:rsidRPr="00A779B8">
        <w:rPr>
          <w:lang w:val="fr-FR"/>
        </w:rPr>
        <w:tab/>
        <w:t>Cycle normalisé sur route (SRC)</w:t>
      </w:r>
    </w:p>
    <w:p w:rsidR="001A76F7" w:rsidRPr="00A779B8" w:rsidRDefault="001A76F7" w:rsidP="001A76F7">
      <w:pPr>
        <w:pStyle w:val="SingleTxtG"/>
        <w:keepNext/>
        <w:ind w:left="2268" w:hanging="1134"/>
        <w:jc w:val="left"/>
        <w:rPr>
          <w:lang w:val="fr-FR"/>
        </w:rPr>
      </w:pPr>
      <w:r w:rsidRPr="00A779B8">
        <w:rPr>
          <w:lang w:val="fr-FR"/>
        </w:rPr>
        <w:t>1.</w:t>
      </w:r>
      <w:r w:rsidRPr="00A779B8">
        <w:rPr>
          <w:lang w:val="fr-FR"/>
        </w:rPr>
        <w:tab/>
        <w:t>Introduction</w:t>
      </w:r>
    </w:p>
    <w:p w:rsidR="001A76F7" w:rsidRPr="00A779B8" w:rsidRDefault="001A76F7" w:rsidP="001A76F7">
      <w:pPr>
        <w:pStyle w:val="SingleTxtG"/>
        <w:ind w:left="2268"/>
        <w:rPr>
          <w:lang w:val="fr-FR"/>
        </w:rPr>
      </w:pPr>
      <w:r w:rsidRPr="00A779B8">
        <w:rPr>
          <w:lang w:val="fr-FR"/>
        </w:rPr>
        <w:tab/>
        <w:t>Le cycle normalisé sur route (SRC) fonctionne par accumulation de kilomètres. Le véhicule peut soit être conduit sur une piste d</w:t>
      </w:r>
      <w:r w:rsidR="00DB4C2D">
        <w:rPr>
          <w:lang w:val="fr-FR"/>
        </w:rPr>
        <w:t>’</w:t>
      </w:r>
      <w:r w:rsidRPr="00A779B8">
        <w:rPr>
          <w:lang w:val="fr-FR"/>
        </w:rPr>
        <w:t>essai soit être placé sur un banc à rouleaux.</w:t>
      </w:r>
    </w:p>
    <w:p w:rsidR="001A76F7" w:rsidRPr="00A779B8" w:rsidRDefault="001A76F7" w:rsidP="001A76F7">
      <w:pPr>
        <w:pStyle w:val="SingleTxtG"/>
        <w:ind w:left="2268"/>
        <w:rPr>
          <w:lang w:val="fr-FR"/>
        </w:rPr>
      </w:pPr>
      <w:r w:rsidRPr="00A779B8">
        <w:rPr>
          <w:lang w:val="fr-FR"/>
        </w:rPr>
        <w:tab/>
        <w:t>Le cycle consiste à effectuer sept tours d</w:t>
      </w:r>
      <w:r w:rsidR="00DB4C2D">
        <w:rPr>
          <w:lang w:val="fr-FR"/>
        </w:rPr>
        <w:t>’</w:t>
      </w:r>
      <w:r w:rsidRPr="00A779B8">
        <w:rPr>
          <w:lang w:val="fr-FR"/>
        </w:rPr>
        <w:t>un circuit de 6 km. La longueur du tour peut être modifiée pour être adaptée à la distance à parcourir pendant l</w:t>
      </w:r>
      <w:r w:rsidR="00DB4C2D">
        <w:rPr>
          <w:lang w:val="fr-FR"/>
        </w:rPr>
        <w:t>’</w:t>
      </w:r>
      <w:r w:rsidRPr="00A779B8">
        <w:rPr>
          <w:lang w:val="fr-FR"/>
        </w:rPr>
        <w:t>essai.</w:t>
      </w:r>
    </w:p>
    <w:p w:rsidR="001A76F7" w:rsidRPr="00A779B8" w:rsidRDefault="001A76F7" w:rsidP="001A76F7">
      <w:pPr>
        <w:pStyle w:val="H23G"/>
        <w:rPr>
          <w:lang w:val="fr-FR"/>
        </w:rPr>
      </w:pPr>
      <w:r w:rsidRPr="00A779B8">
        <w:rPr>
          <w:lang w:val="fr-FR"/>
        </w:rPr>
        <w:tab/>
      </w:r>
      <w:r w:rsidRPr="00A779B8">
        <w:rPr>
          <w:lang w:val="fr-FR"/>
        </w:rPr>
        <w:tab/>
        <w:t>Cycle normalisé sur route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5103"/>
        <w:gridCol w:w="1701"/>
      </w:tblGrid>
      <w:tr w:rsidR="001A76F7" w:rsidRPr="007E29C4" w:rsidTr="00DB4C2D">
        <w:trPr>
          <w:tblHeader/>
        </w:trPr>
        <w:tc>
          <w:tcPr>
            <w:tcW w:w="567" w:type="dxa"/>
            <w:shd w:val="clear" w:color="auto" w:fill="auto"/>
            <w:vAlign w:val="center"/>
          </w:tcPr>
          <w:p w:rsidR="001A76F7" w:rsidRPr="007E29C4" w:rsidRDefault="001A76F7" w:rsidP="00DB4C2D">
            <w:pPr>
              <w:spacing w:before="60" w:after="60" w:line="200" w:lineRule="exact"/>
              <w:ind w:left="57" w:right="57"/>
              <w:jc w:val="center"/>
              <w:rPr>
                <w:i/>
                <w:sz w:val="16"/>
                <w:szCs w:val="16"/>
                <w:lang w:val="fr-FR"/>
              </w:rPr>
            </w:pPr>
          </w:p>
        </w:tc>
        <w:tc>
          <w:tcPr>
            <w:tcW w:w="5103" w:type="dxa"/>
            <w:shd w:val="clear" w:color="auto" w:fill="auto"/>
            <w:vAlign w:val="center"/>
          </w:tcPr>
          <w:p w:rsidR="001A76F7" w:rsidRPr="007E29C4" w:rsidRDefault="001A76F7" w:rsidP="00DB4C2D">
            <w:pPr>
              <w:spacing w:before="60" w:after="60" w:line="200" w:lineRule="exact"/>
              <w:ind w:left="57" w:right="57"/>
              <w:jc w:val="center"/>
              <w:rPr>
                <w:i/>
                <w:sz w:val="16"/>
                <w:szCs w:val="16"/>
                <w:lang w:val="fr-FR"/>
              </w:rPr>
            </w:pPr>
            <w:r w:rsidRPr="007E29C4">
              <w:rPr>
                <w:i/>
                <w:sz w:val="16"/>
                <w:szCs w:val="16"/>
                <w:lang w:val="fr-FR"/>
              </w:rPr>
              <w:t>Description</w:t>
            </w:r>
          </w:p>
        </w:tc>
        <w:tc>
          <w:tcPr>
            <w:tcW w:w="1701" w:type="dxa"/>
            <w:shd w:val="clear" w:color="auto" w:fill="auto"/>
            <w:vAlign w:val="center"/>
          </w:tcPr>
          <w:p w:rsidR="001A76F7" w:rsidRPr="007E29C4" w:rsidRDefault="001A76F7" w:rsidP="00DB4C2D">
            <w:pPr>
              <w:spacing w:before="60" w:after="60" w:line="200" w:lineRule="exact"/>
              <w:ind w:left="57" w:right="57"/>
              <w:jc w:val="center"/>
              <w:rPr>
                <w:i/>
                <w:sz w:val="16"/>
                <w:szCs w:val="16"/>
                <w:lang w:val="fr-FR"/>
              </w:rPr>
            </w:pPr>
            <w:r w:rsidRPr="007E29C4">
              <w:rPr>
                <w:i/>
                <w:sz w:val="16"/>
                <w:szCs w:val="16"/>
                <w:lang w:val="fr-FR"/>
              </w:rPr>
              <w:t>Accélération en m/s</w:t>
            </w:r>
            <w:r w:rsidRPr="007E29C4">
              <w:rPr>
                <w:i/>
                <w:sz w:val="16"/>
                <w:szCs w:val="16"/>
                <w:vertAlign w:val="superscript"/>
                <w:lang w:val="fr-FR"/>
              </w:rPr>
              <w:t>2</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(Démarrage du moteur) moteur au ralenti pendant 10 s</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48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1,79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une vitesse de 48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32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48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1,79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48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l</w:t>
            </w:r>
            <w:r w:rsidR="00DB4C2D">
              <w:rPr>
                <w:sz w:val="18"/>
                <w:szCs w:val="18"/>
                <w:lang w:val="fr-FR"/>
              </w:rPr>
              <w:t>’</w:t>
            </w:r>
            <w:r w:rsidRPr="007E29C4">
              <w:rPr>
                <w:sz w:val="18"/>
                <w:szCs w:val="18"/>
                <w:lang w:val="fr-FR"/>
              </w:rPr>
              <w:t>arrêt</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Moteur au ralenti pendant 5 s</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56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1,79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56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40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56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1,79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56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1</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l</w:t>
            </w:r>
            <w:r w:rsidR="00DB4C2D">
              <w:rPr>
                <w:sz w:val="18"/>
                <w:szCs w:val="18"/>
                <w:lang w:val="fr-FR"/>
              </w:rPr>
              <w:t>’</w:t>
            </w:r>
            <w:r w:rsidRPr="007E29C4">
              <w:rPr>
                <w:sz w:val="18"/>
                <w:szCs w:val="18"/>
                <w:lang w:val="fr-FR"/>
              </w:rPr>
              <w:t>arrêt</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Moteur au ralenti pendant 10 s</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64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1,34</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64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48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64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1,34</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64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l</w:t>
            </w:r>
            <w:r w:rsidR="00DB4C2D">
              <w:rPr>
                <w:sz w:val="18"/>
                <w:szCs w:val="18"/>
                <w:lang w:val="fr-FR"/>
              </w:rPr>
              <w:t>’</w:t>
            </w:r>
            <w:r w:rsidRPr="007E29C4">
              <w:rPr>
                <w:sz w:val="18"/>
                <w:szCs w:val="18"/>
                <w:lang w:val="fr-FR"/>
              </w:rPr>
              <w:t>arrêt</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Moteur au ralenti pendant 5 s</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72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1,34</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72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lastRenderedPageBreak/>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56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72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1,34</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72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2</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l</w:t>
            </w:r>
            <w:r w:rsidR="00DB4C2D">
              <w:rPr>
                <w:sz w:val="18"/>
                <w:szCs w:val="18"/>
                <w:lang w:val="fr-FR"/>
              </w:rPr>
              <w:t>’</w:t>
            </w:r>
            <w:r w:rsidRPr="007E29C4">
              <w:rPr>
                <w:sz w:val="18"/>
                <w:szCs w:val="18"/>
                <w:lang w:val="fr-FR"/>
              </w:rPr>
              <w:t>arrêt</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Moteur au ralenti pendant 10 s</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brutale jusqu</w:t>
            </w:r>
            <w:r w:rsidR="00DB4C2D">
              <w:rPr>
                <w:sz w:val="18"/>
                <w:szCs w:val="18"/>
                <w:lang w:val="fr-FR"/>
              </w:rPr>
              <w:t>’</w:t>
            </w:r>
            <w:r w:rsidRPr="007E29C4">
              <w:rPr>
                <w:sz w:val="18"/>
                <w:szCs w:val="18"/>
                <w:lang w:val="fr-FR"/>
              </w:rPr>
              <w:t>à 88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1,79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88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72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88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0,89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88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72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97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0,89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97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80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97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0,89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97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3</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l</w:t>
            </w:r>
            <w:r w:rsidR="00DB4C2D">
              <w:rPr>
                <w:sz w:val="18"/>
                <w:szCs w:val="18"/>
                <w:lang w:val="fr-FR"/>
              </w:rPr>
              <w:t>’</w:t>
            </w:r>
            <w:r w:rsidRPr="007E29C4">
              <w:rPr>
                <w:sz w:val="18"/>
                <w:szCs w:val="18"/>
                <w:lang w:val="fr-FR"/>
              </w:rPr>
              <w:t>arrêt</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-1,79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4</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Moteur au ralenti pendant 10 s</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4</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brutale jusqu</w:t>
            </w:r>
            <w:r w:rsidR="00DB4C2D">
              <w:rPr>
                <w:sz w:val="18"/>
                <w:szCs w:val="18"/>
                <w:lang w:val="fr-FR"/>
              </w:rPr>
              <w:t>’</w:t>
            </w:r>
            <w:r w:rsidRPr="007E29C4">
              <w:rPr>
                <w:sz w:val="18"/>
                <w:szCs w:val="18"/>
                <w:lang w:val="fr-FR"/>
              </w:rPr>
              <w:t xml:space="preserve">à 129 km/h </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1,34</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4</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En roue libre jusqu</w:t>
            </w:r>
            <w:r w:rsidR="00DB4C2D">
              <w:rPr>
                <w:sz w:val="18"/>
                <w:szCs w:val="18"/>
                <w:lang w:val="fr-FR"/>
              </w:rPr>
              <w:t>’</w:t>
            </w:r>
            <w:r w:rsidRPr="007E29C4">
              <w:rPr>
                <w:sz w:val="18"/>
                <w:szCs w:val="18"/>
                <w:lang w:val="fr-FR"/>
              </w:rPr>
              <w:t>à 113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-0,45</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4</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113 km/h pendant un demi-tour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4</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80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-1,34</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4</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105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0,89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4</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105 km/h pendant un demi-tour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4</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80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-1,34</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5</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121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0,45</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5</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121 km/h pendant un demi-tour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5</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80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-1,34</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5</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légère jusqu</w:t>
            </w:r>
            <w:r w:rsidR="00DB4C2D">
              <w:rPr>
                <w:sz w:val="18"/>
                <w:szCs w:val="18"/>
                <w:lang w:val="fr-FR"/>
              </w:rPr>
              <w:t>’</w:t>
            </w:r>
            <w:r w:rsidRPr="007E29C4">
              <w:rPr>
                <w:sz w:val="18"/>
                <w:szCs w:val="18"/>
                <w:lang w:val="fr-FR"/>
              </w:rPr>
              <w:t>à 113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0,45</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5</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113 km/h pendant un demi-tour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5</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80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-1,34</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6</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113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0,89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6</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En roue libre jusqu</w:t>
            </w:r>
            <w:r w:rsidR="00DB4C2D">
              <w:rPr>
                <w:sz w:val="18"/>
                <w:szCs w:val="18"/>
                <w:lang w:val="fr-FR"/>
              </w:rPr>
              <w:t>’</w:t>
            </w:r>
            <w:r w:rsidRPr="007E29C4">
              <w:rPr>
                <w:sz w:val="18"/>
                <w:szCs w:val="18"/>
                <w:lang w:val="fr-FR"/>
              </w:rPr>
              <w:t>à 97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-0,45</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6</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97 km/h pendant un demi-tour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6</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80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-1,79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lastRenderedPageBreak/>
              <w:t>6</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104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0,45</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6</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104 km/h pendant un demi-tour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6</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l</w:t>
            </w:r>
            <w:r w:rsidR="00DB4C2D">
              <w:rPr>
                <w:sz w:val="18"/>
                <w:szCs w:val="18"/>
                <w:lang w:val="fr-FR"/>
              </w:rPr>
              <w:t>’</w:t>
            </w:r>
            <w:r w:rsidRPr="007E29C4">
              <w:rPr>
                <w:sz w:val="18"/>
                <w:szCs w:val="18"/>
                <w:lang w:val="fr-FR"/>
              </w:rPr>
              <w:t>arrêt</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-1,79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Moteur au ralenti pendant 45 s</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brutale jusqu</w:t>
            </w:r>
            <w:r w:rsidR="00DB4C2D">
              <w:rPr>
                <w:sz w:val="18"/>
                <w:szCs w:val="18"/>
                <w:lang w:val="fr-FR"/>
              </w:rPr>
              <w:t>’</w:t>
            </w:r>
            <w:r w:rsidRPr="007E29C4">
              <w:rPr>
                <w:sz w:val="18"/>
                <w:szCs w:val="18"/>
                <w:lang w:val="fr-FR"/>
              </w:rPr>
              <w:t xml:space="preserve">à 88 km/h </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1,79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88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64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88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0,89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88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64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80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0,89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80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64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Accélération modérée jusqu</w:t>
            </w:r>
            <w:r w:rsidR="00DB4C2D">
              <w:rPr>
                <w:sz w:val="18"/>
                <w:szCs w:val="18"/>
                <w:lang w:val="fr-FR"/>
              </w:rPr>
              <w:t>’</w:t>
            </w:r>
            <w:r w:rsidRPr="007E29C4">
              <w:rPr>
                <w:sz w:val="18"/>
                <w:szCs w:val="18"/>
                <w:lang w:val="fr-FR"/>
              </w:rPr>
              <w:t>à 80 km/h</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0,89</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Rouler à 80 km/h pendant un quart de tour</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0</w:t>
            </w:r>
          </w:p>
        </w:tc>
      </w:tr>
      <w:tr w:rsidR="001A76F7" w:rsidRPr="007E29C4" w:rsidTr="00DB4C2D">
        <w:tc>
          <w:tcPr>
            <w:tcW w:w="567"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7</w:t>
            </w:r>
          </w:p>
        </w:tc>
        <w:tc>
          <w:tcPr>
            <w:tcW w:w="5103" w:type="dxa"/>
            <w:shd w:val="clear" w:color="auto" w:fill="auto"/>
          </w:tcPr>
          <w:p w:rsidR="001A76F7" w:rsidRPr="007E29C4" w:rsidRDefault="001A76F7" w:rsidP="00DB4C2D">
            <w:pPr>
              <w:spacing w:before="60" w:after="60" w:line="220" w:lineRule="atLeast"/>
              <w:ind w:left="57" w:right="57"/>
              <w:rPr>
                <w:sz w:val="18"/>
                <w:szCs w:val="18"/>
                <w:lang w:val="fr-FR"/>
              </w:rPr>
            </w:pPr>
            <w:r w:rsidRPr="007E29C4">
              <w:rPr>
                <w:sz w:val="18"/>
                <w:szCs w:val="18"/>
                <w:lang w:val="fr-FR"/>
              </w:rPr>
              <w:t>Décélération modérée jusqu</w:t>
            </w:r>
            <w:r w:rsidR="00DB4C2D">
              <w:rPr>
                <w:sz w:val="18"/>
                <w:szCs w:val="18"/>
                <w:lang w:val="fr-FR"/>
              </w:rPr>
              <w:t>’</w:t>
            </w:r>
            <w:r w:rsidRPr="007E29C4">
              <w:rPr>
                <w:sz w:val="18"/>
                <w:szCs w:val="18"/>
                <w:lang w:val="fr-FR"/>
              </w:rPr>
              <w:t>à l</w:t>
            </w:r>
            <w:r w:rsidR="00DB4C2D">
              <w:rPr>
                <w:sz w:val="18"/>
                <w:szCs w:val="18"/>
                <w:lang w:val="fr-FR"/>
              </w:rPr>
              <w:t>’</w:t>
            </w:r>
            <w:r w:rsidRPr="007E29C4">
              <w:rPr>
                <w:sz w:val="18"/>
                <w:szCs w:val="18"/>
                <w:lang w:val="fr-FR"/>
              </w:rPr>
              <w:t>arrêt</w:t>
            </w:r>
          </w:p>
        </w:tc>
        <w:tc>
          <w:tcPr>
            <w:tcW w:w="1701" w:type="dxa"/>
            <w:shd w:val="clear" w:color="auto" w:fill="auto"/>
          </w:tcPr>
          <w:p w:rsidR="001A76F7" w:rsidRPr="007E29C4" w:rsidRDefault="001A76F7" w:rsidP="00DB4C2D">
            <w:pPr>
              <w:spacing w:before="60" w:after="60" w:line="220" w:lineRule="atLeast"/>
              <w:ind w:left="57" w:right="57"/>
              <w:jc w:val="right"/>
              <w:rPr>
                <w:sz w:val="18"/>
                <w:szCs w:val="18"/>
                <w:lang w:val="fr-FR"/>
              </w:rPr>
            </w:pPr>
            <w:r w:rsidRPr="007E29C4">
              <w:rPr>
                <w:sz w:val="18"/>
                <w:szCs w:val="18"/>
                <w:lang w:val="fr-FR"/>
              </w:rPr>
              <w:t>-2,23</w:t>
            </w:r>
          </w:p>
        </w:tc>
      </w:tr>
    </w:tbl>
    <w:p w:rsidR="001A76F7" w:rsidRPr="00A779B8" w:rsidRDefault="001A76F7" w:rsidP="001A76F7">
      <w:pPr>
        <w:pStyle w:val="SingleTxtG"/>
        <w:keepNext/>
        <w:spacing w:before="240"/>
        <w:ind w:left="2268" w:hanging="1134"/>
        <w:jc w:val="left"/>
        <w:rPr>
          <w:lang w:val="fr-FR"/>
        </w:rPr>
      </w:pPr>
      <w:r w:rsidRPr="00A779B8">
        <w:rPr>
          <w:lang w:val="fr-FR"/>
        </w:rPr>
        <w:t>Le cycle normalisé sur route est représenté par le graphique ci-dessous:</w:t>
      </w:r>
    </w:p>
    <w:bookmarkStart w:id="302" w:name="_MON_1336386686"/>
    <w:bookmarkStart w:id="303" w:name="_MON_1336386725"/>
    <w:bookmarkStart w:id="304" w:name="_MON_1336394640"/>
    <w:bookmarkStart w:id="305" w:name="_MON_1363010212"/>
    <w:bookmarkStart w:id="306" w:name="_MON_1363010251"/>
    <w:bookmarkStart w:id="307" w:name="_MON_1363010255"/>
    <w:bookmarkStart w:id="308" w:name="_MON_1363010303"/>
    <w:bookmarkStart w:id="309" w:name="_MON_1363011157"/>
    <w:bookmarkStart w:id="310" w:name="_MON_1448347977"/>
    <w:bookmarkStart w:id="311" w:name="_MON_1448348017"/>
    <w:bookmarkStart w:id="312" w:name="_MON_1448348068"/>
    <w:bookmarkStart w:id="313" w:name="_MON_1448348263"/>
    <w:bookmarkEnd w:id="302"/>
    <w:bookmarkEnd w:id="303"/>
    <w:bookmarkEnd w:id="304"/>
    <w:bookmarkEnd w:id="305"/>
    <w:bookmarkEnd w:id="306"/>
    <w:bookmarkEnd w:id="307"/>
    <w:bookmarkEnd w:id="308"/>
    <w:bookmarkEnd w:id="309"/>
    <w:bookmarkEnd w:id="310"/>
    <w:bookmarkEnd w:id="311"/>
    <w:bookmarkEnd w:id="312"/>
    <w:bookmarkEnd w:id="313"/>
    <w:p w:rsidR="005A0132" w:rsidRDefault="001A76F7" w:rsidP="001A76F7">
      <w:pPr>
        <w:pStyle w:val="SingleTxtG"/>
        <w:rPr>
          <w:lang w:val="fr-FR"/>
        </w:rPr>
        <w:sectPr w:rsidR="005A0132" w:rsidSect="00C108AC">
          <w:headerReference w:type="even" r:id="rId254"/>
          <w:headerReference w:type="default" r:id="rId255"/>
          <w:footnotePr>
            <w:numRestart w:val="eachSect"/>
          </w:footnotePr>
          <w:endnotePr>
            <w:numFmt w:val="decimal"/>
          </w:endnotePr>
          <w:pgSz w:w="11907" w:h="16840" w:code="9"/>
          <w:pgMar w:top="1701" w:right="1134" w:bottom="2268" w:left="1134" w:header="794" w:footer="1701" w:gutter="0"/>
          <w:cols w:space="720"/>
          <w:docGrid w:linePitch="272"/>
        </w:sectPr>
      </w:pPr>
      <w:r w:rsidRPr="00A779B8">
        <w:rPr>
          <w:lang w:val="fr-FR"/>
        </w:rPr>
        <w:object w:dxaOrig="9086" w:dyaOrig="5707">
          <v:shape id="_x0000_i1126" type="#_x0000_t75" style="width:368.15pt;height:230.95pt" o:ole="">
            <v:imagedata r:id="rId256" o:title=""/>
            <w10:bordertop type="single" width="4"/>
            <w10:borderleft type="single" width="4"/>
            <w10:borderbottom type="single" width="4"/>
            <w10:borderright type="single" width="4"/>
          </v:shape>
          <o:OLEObject Type="Embed" ProgID="Word.Picture.8" ShapeID="_x0000_i1126" DrawAspect="Content" ObjectID="_1490178471" r:id="rId257"/>
        </w:object>
      </w:r>
    </w:p>
    <w:p w:rsidR="002B4B8E" w:rsidRPr="00A779B8" w:rsidRDefault="002B4B8E" w:rsidP="002B4B8E">
      <w:pPr>
        <w:pStyle w:val="HChG"/>
        <w:rPr>
          <w:lang w:val="fr-FR"/>
        </w:rPr>
      </w:pPr>
      <w:r w:rsidRPr="00A779B8">
        <w:rPr>
          <w:lang w:val="fr-FR"/>
        </w:rPr>
        <w:lastRenderedPageBreak/>
        <w:t>Annexe 10</w:t>
      </w:r>
    </w:p>
    <w:p w:rsidR="002B4B8E" w:rsidRPr="00A779B8" w:rsidRDefault="002B4B8E" w:rsidP="002B4B8E">
      <w:pPr>
        <w:pStyle w:val="HChG"/>
        <w:rPr>
          <w:lang w:val="fr-FR"/>
        </w:rPr>
      </w:pPr>
      <w:r w:rsidRPr="00A779B8">
        <w:rPr>
          <w:lang w:val="fr-FR"/>
        </w:rPr>
        <w:tab/>
      </w:r>
      <w:r w:rsidRPr="00A779B8">
        <w:rPr>
          <w:lang w:val="fr-FR"/>
        </w:rPr>
        <w:tab/>
        <w:t>Spécifications des carburants de référence</w:t>
      </w:r>
    </w:p>
    <w:p w:rsidR="002B4B8E" w:rsidRPr="00A779B8" w:rsidRDefault="002B4B8E" w:rsidP="002B4B8E">
      <w:pPr>
        <w:pStyle w:val="SingleTxtG"/>
        <w:keepNext/>
        <w:ind w:left="2268" w:hanging="1134"/>
        <w:jc w:val="left"/>
        <w:rPr>
          <w:lang w:val="fr-FR"/>
        </w:rPr>
      </w:pPr>
      <w:r w:rsidRPr="00A779B8">
        <w:rPr>
          <w:lang w:val="fr-FR"/>
        </w:rPr>
        <w:t>1.</w:t>
      </w:r>
      <w:r w:rsidRPr="00A779B8">
        <w:rPr>
          <w:lang w:val="fr-FR"/>
        </w:rPr>
        <w:tab/>
        <w:t>Spécifications des carburants de référence à utiliser pour l</w:t>
      </w:r>
      <w:r w:rsidR="00DB4C2D">
        <w:rPr>
          <w:lang w:val="fr-FR"/>
        </w:rPr>
        <w:t>’</w:t>
      </w:r>
      <w:r w:rsidRPr="00A779B8">
        <w:rPr>
          <w:lang w:val="fr-FR"/>
        </w:rPr>
        <w:t>essai de véhicules en fonction des valeurs limites d</w:t>
      </w:r>
      <w:r w:rsidR="00DB4C2D">
        <w:rPr>
          <w:lang w:val="fr-FR"/>
        </w:rPr>
        <w:t>’</w:t>
      </w:r>
      <w:r w:rsidRPr="00A779B8">
        <w:rPr>
          <w:lang w:val="fr-FR"/>
        </w:rPr>
        <w:t xml:space="preserve">émission </w:t>
      </w:r>
    </w:p>
    <w:p w:rsidR="002B4B8E" w:rsidRPr="00A779B8" w:rsidRDefault="002B4B8E" w:rsidP="002B4B8E">
      <w:pPr>
        <w:pStyle w:val="SingleTxtG"/>
        <w:keepNext/>
        <w:ind w:left="2268" w:hanging="1134"/>
        <w:jc w:val="left"/>
        <w:rPr>
          <w:lang w:val="fr-FR"/>
        </w:rPr>
      </w:pPr>
      <w:r w:rsidRPr="00A779B8">
        <w:rPr>
          <w:lang w:val="fr-FR"/>
        </w:rPr>
        <w:t>1.1</w:t>
      </w:r>
      <w:r w:rsidRPr="00A779B8">
        <w:rPr>
          <w:lang w:val="fr-FR"/>
        </w:rPr>
        <w:tab/>
        <w:t>Caractéristiques techniques du carburant de référence à utiliser pour l</w:t>
      </w:r>
      <w:r w:rsidR="00DB4C2D">
        <w:rPr>
          <w:lang w:val="fr-FR"/>
        </w:rPr>
        <w:t>’</w:t>
      </w:r>
      <w:r w:rsidRPr="00A779B8">
        <w:rPr>
          <w:lang w:val="fr-FR"/>
        </w:rPr>
        <w:t>essai des véhicules équipés d</w:t>
      </w:r>
      <w:r w:rsidR="00DB4C2D">
        <w:rPr>
          <w:lang w:val="fr-FR"/>
        </w:rPr>
        <w:t>’</w:t>
      </w:r>
      <w:r w:rsidRPr="00A779B8">
        <w:rPr>
          <w:lang w:val="fr-FR"/>
        </w:rPr>
        <w:t xml:space="preserve">un moteur à allumage commandé </w:t>
      </w:r>
    </w:p>
    <w:p w:rsidR="002B4B8E" w:rsidRPr="00A779B8" w:rsidRDefault="002B4B8E" w:rsidP="002B4B8E">
      <w:pPr>
        <w:pStyle w:val="Titre1"/>
        <w:spacing w:after="120"/>
        <w:ind w:left="0"/>
        <w:rPr>
          <w:b/>
          <w:lang w:val="fr-FR"/>
        </w:rPr>
      </w:pPr>
      <w:r w:rsidRPr="00A779B8">
        <w:rPr>
          <w:b/>
          <w:lang w:val="fr-FR"/>
        </w:rPr>
        <w:t>Type: Essence (E5)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43"/>
        <w:gridCol w:w="1122"/>
        <w:gridCol w:w="1318"/>
        <w:gridCol w:w="1318"/>
        <w:gridCol w:w="2238"/>
      </w:tblGrid>
      <w:tr w:rsidR="002B4B8E" w:rsidRPr="00A779B8" w:rsidTr="00DB4C2D">
        <w:tblPrEx>
          <w:tblCellMar>
            <w:top w:w="0" w:type="dxa"/>
            <w:bottom w:w="0" w:type="dxa"/>
          </w:tblCellMar>
        </w:tblPrEx>
        <w:trPr>
          <w:tblHeader/>
          <w:jc w:val="center"/>
        </w:trPr>
        <w:tc>
          <w:tcPr>
            <w:tcW w:w="3643"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Paramètre</w:t>
            </w:r>
          </w:p>
        </w:tc>
        <w:tc>
          <w:tcPr>
            <w:tcW w:w="1122"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Unité</w:t>
            </w:r>
          </w:p>
        </w:tc>
        <w:tc>
          <w:tcPr>
            <w:tcW w:w="2636" w:type="dxa"/>
            <w:gridSpan w:val="2"/>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Limites</w:t>
            </w:r>
            <w:r w:rsidRPr="00A779B8">
              <w:rPr>
                <w:bCs/>
                <w:iCs/>
                <w:sz w:val="16"/>
                <w:szCs w:val="16"/>
                <w:vertAlign w:val="superscript"/>
                <w:lang w:val="fr-FR"/>
              </w:rPr>
              <w:t>1</w:t>
            </w:r>
          </w:p>
        </w:tc>
        <w:tc>
          <w:tcPr>
            <w:tcW w:w="2238"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p>
        </w:tc>
      </w:tr>
      <w:tr w:rsidR="002B4B8E" w:rsidRPr="00A779B8" w:rsidTr="00DB4C2D">
        <w:tblPrEx>
          <w:tblCellMar>
            <w:top w:w="0" w:type="dxa"/>
            <w:bottom w:w="0" w:type="dxa"/>
          </w:tblCellMar>
        </w:tblPrEx>
        <w:trPr>
          <w:tblHeader/>
          <w:jc w:val="center"/>
        </w:trPr>
        <w:tc>
          <w:tcPr>
            <w:tcW w:w="3643" w:type="dxa"/>
            <w:vMerge/>
            <w:vAlign w:val="center"/>
          </w:tcPr>
          <w:p w:rsidR="002B4B8E" w:rsidRPr="00A779B8" w:rsidRDefault="002B4B8E" w:rsidP="00DB4C2D">
            <w:pPr>
              <w:spacing w:before="60" w:after="60" w:line="200" w:lineRule="exact"/>
              <w:jc w:val="center"/>
              <w:rPr>
                <w:bCs/>
                <w:sz w:val="16"/>
                <w:szCs w:val="16"/>
                <w:lang w:val="fr-FR"/>
              </w:rPr>
            </w:pPr>
          </w:p>
        </w:tc>
        <w:tc>
          <w:tcPr>
            <w:tcW w:w="1122" w:type="dxa"/>
            <w:vMerge/>
            <w:vAlign w:val="center"/>
          </w:tcPr>
          <w:p w:rsidR="002B4B8E" w:rsidRPr="00A779B8" w:rsidRDefault="002B4B8E" w:rsidP="00DB4C2D">
            <w:pPr>
              <w:spacing w:before="60" w:after="60" w:line="200" w:lineRule="exact"/>
              <w:jc w:val="center"/>
              <w:rPr>
                <w:bCs/>
                <w:sz w:val="16"/>
                <w:szCs w:val="16"/>
                <w:lang w:val="fr-FR"/>
              </w:rPr>
            </w:pPr>
          </w:p>
        </w:tc>
        <w:tc>
          <w:tcPr>
            <w:tcW w:w="1318" w:type="dxa"/>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Minimale</w:t>
            </w:r>
          </w:p>
        </w:tc>
        <w:tc>
          <w:tcPr>
            <w:tcW w:w="1318" w:type="dxa"/>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Maximale</w:t>
            </w:r>
          </w:p>
        </w:tc>
        <w:tc>
          <w:tcPr>
            <w:tcW w:w="2238" w:type="dxa"/>
            <w:vMerge/>
            <w:vAlign w:val="center"/>
          </w:tcPr>
          <w:p w:rsidR="002B4B8E" w:rsidRPr="00A779B8" w:rsidRDefault="002B4B8E" w:rsidP="00DB4C2D">
            <w:pPr>
              <w:spacing w:before="60" w:after="60" w:line="200" w:lineRule="exact"/>
              <w:jc w:val="center"/>
              <w:rPr>
                <w:bCs/>
                <w:sz w:val="16"/>
                <w:szCs w:val="16"/>
                <w:lang w:val="fr-FR"/>
              </w:rPr>
            </w:pP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recherche (IOR)</w:t>
            </w:r>
          </w:p>
        </w:tc>
        <w:tc>
          <w:tcPr>
            <w:tcW w:w="1122" w:type="dxa"/>
            <w:vAlign w:val="bottom"/>
          </w:tcPr>
          <w:p w:rsidR="002B4B8E" w:rsidRPr="00A779B8" w:rsidRDefault="002B4B8E" w:rsidP="00DB4C2D">
            <w:pPr>
              <w:spacing w:before="60" w:after="60" w:line="220" w:lineRule="atLeast"/>
              <w:jc w:val="center"/>
              <w:rPr>
                <w:sz w:val="18"/>
                <w:szCs w:val="18"/>
                <w:lang w:val="fr-FR"/>
              </w:rPr>
            </w:pP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95,0</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EN 25164</w:t>
            </w:r>
            <w:r w:rsidRPr="00A779B8">
              <w:rPr>
                <w:sz w:val="18"/>
                <w:szCs w:val="18"/>
                <w:lang w:val="fr-FR"/>
              </w:rPr>
              <w:br/>
            </w:r>
            <w:proofErr w:type="spellStart"/>
            <w:r w:rsidRPr="00A779B8">
              <w:rPr>
                <w:sz w:val="18"/>
                <w:szCs w:val="18"/>
                <w:lang w:val="fr-FR"/>
              </w:rPr>
              <w:t>prEN</w:t>
            </w:r>
            <w:proofErr w:type="spellEnd"/>
            <w:r w:rsidRPr="00A779B8">
              <w:rPr>
                <w:sz w:val="18"/>
                <w:szCs w:val="18"/>
                <w:lang w:val="fr-FR"/>
              </w:rPr>
              <w:t xml:space="preserve"> ISO 5164</w:t>
            </w: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moteur (IOM)</w:t>
            </w:r>
          </w:p>
        </w:tc>
        <w:tc>
          <w:tcPr>
            <w:tcW w:w="1122" w:type="dxa"/>
            <w:vAlign w:val="bottom"/>
          </w:tcPr>
          <w:p w:rsidR="002B4B8E" w:rsidRPr="00A779B8" w:rsidRDefault="002B4B8E" w:rsidP="00DB4C2D">
            <w:pPr>
              <w:spacing w:before="60" w:after="60" w:line="220" w:lineRule="atLeast"/>
              <w:jc w:val="center"/>
              <w:rPr>
                <w:sz w:val="18"/>
                <w:szCs w:val="18"/>
                <w:lang w:val="fr-FR"/>
              </w:rPr>
            </w:pP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85,0</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EN 25163</w:t>
            </w:r>
            <w:r w:rsidRPr="00A779B8">
              <w:rPr>
                <w:sz w:val="18"/>
                <w:szCs w:val="18"/>
                <w:lang w:val="fr-FR"/>
              </w:rPr>
              <w:br/>
            </w:r>
            <w:proofErr w:type="spellStart"/>
            <w:r w:rsidRPr="00A779B8">
              <w:rPr>
                <w:sz w:val="18"/>
                <w:szCs w:val="18"/>
                <w:lang w:val="fr-FR"/>
              </w:rPr>
              <w:t>prEN</w:t>
            </w:r>
            <w:proofErr w:type="spellEnd"/>
            <w:r w:rsidRPr="00A779B8">
              <w:rPr>
                <w:sz w:val="18"/>
                <w:szCs w:val="18"/>
                <w:lang w:val="fr-FR"/>
              </w:rPr>
              <w:t xml:space="preserve"> ISO 5163</w:t>
            </w: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Densité à 15 °C</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kg/m</w:t>
            </w:r>
            <w:r w:rsidRPr="00A779B8">
              <w:rPr>
                <w:sz w:val="18"/>
                <w:szCs w:val="18"/>
                <w:vertAlign w:val="superscript"/>
                <w:lang w:val="fr-FR"/>
              </w:rPr>
              <w:t>3</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743</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756</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EN ISO 3675</w:t>
            </w:r>
            <w:r w:rsidRPr="00A779B8">
              <w:rPr>
                <w:sz w:val="18"/>
                <w:szCs w:val="18"/>
                <w:lang w:val="fr-FR"/>
              </w:rPr>
              <w:br/>
              <w:t>EN ISO 12185</w:t>
            </w:r>
          </w:p>
        </w:tc>
      </w:tr>
      <w:tr w:rsidR="002B4B8E" w:rsidRPr="00A779B8" w:rsidTr="00DB4C2D">
        <w:tblPrEx>
          <w:tblCellMar>
            <w:top w:w="0" w:type="dxa"/>
            <w:bottom w:w="0" w:type="dxa"/>
          </w:tblCellMar>
        </w:tblPrEx>
        <w:trPr>
          <w:jc w:val="center"/>
        </w:trPr>
        <w:tc>
          <w:tcPr>
            <w:tcW w:w="3643"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Pression de vapeur Reid</w:t>
            </w:r>
          </w:p>
        </w:tc>
        <w:tc>
          <w:tcPr>
            <w:tcW w:w="1122"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kPa</w:t>
            </w:r>
          </w:p>
        </w:tc>
        <w:tc>
          <w:tcPr>
            <w:tcW w:w="1318"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56,0</w:t>
            </w:r>
          </w:p>
        </w:tc>
        <w:tc>
          <w:tcPr>
            <w:tcW w:w="1318"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60,0</w:t>
            </w:r>
          </w:p>
        </w:tc>
        <w:tc>
          <w:tcPr>
            <w:tcW w:w="2238"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13016-1 (DVPE)</w:t>
            </w:r>
          </w:p>
        </w:tc>
      </w:tr>
      <w:tr w:rsidR="002B4B8E" w:rsidRPr="00A779B8" w:rsidTr="00DB4C2D">
        <w:tblPrEx>
          <w:tblCellMar>
            <w:top w:w="0" w:type="dxa"/>
            <w:bottom w:w="0" w:type="dxa"/>
          </w:tblCellMar>
        </w:tblPrEx>
        <w:trPr>
          <w:jc w:val="center"/>
        </w:trPr>
        <w:tc>
          <w:tcPr>
            <w:tcW w:w="3643" w:type="dxa"/>
            <w:tcBorders>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Teneur en eau</w:t>
            </w:r>
          </w:p>
        </w:tc>
        <w:tc>
          <w:tcPr>
            <w:tcW w:w="1122" w:type="dxa"/>
            <w:tcBorders>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8"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8" w:type="dxa"/>
            <w:tcBorders>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0,015</w:t>
            </w:r>
          </w:p>
        </w:tc>
        <w:tc>
          <w:tcPr>
            <w:tcW w:w="2238" w:type="dxa"/>
            <w:tcBorders>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ASTM E 1064</w:t>
            </w:r>
          </w:p>
        </w:tc>
      </w:tr>
      <w:tr w:rsidR="002B4B8E" w:rsidRPr="00A779B8" w:rsidTr="00DB4C2D">
        <w:tblPrEx>
          <w:tblCellMar>
            <w:top w:w="0" w:type="dxa"/>
            <w:bottom w:w="0" w:type="dxa"/>
          </w:tblCellMar>
        </w:tblPrEx>
        <w:trPr>
          <w:jc w:val="center"/>
        </w:trPr>
        <w:tc>
          <w:tcPr>
            <w:tcW w:w="3643" w:type="dxa"/>
            <w:tcBorders>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Distillation:</w:t>
            </w:r>
          </w:p>
        </w:tc>
        <w:tc>
          <w:tcPr>
            <w:tcW w:w="1122"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8"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8" w:type="dxa"/>
            <w:tcBorders>
              <w:bottom w:val="nil"/>
            </w:tcBorders>
          </w:tcPr>
          <w:p w:rsidR="002B4B8E" w:rsidRPr="00A779B8" w:rsidRDefault="002B4B8E" w:rsidP="00DB4C2D">
            <w:pPr>
              <w:spacing w:before="60" w:after="60" w:line="220" w:lineRule="atLeast"/>
              <w:jc w:val="center"/>
              <w:rPr>
                <w:sz w:val="18"/>
                <w:szCs w:val="18"/>
                <w:lang w:val="fr-FR"/>
              </w:rPr>
            </w:pPr>
          </w:p>
        </w:tc>
        <w:tc>
          <w:tcPr>
            <w:tcW w:w="2238" w:type="dxa"/>
            <w:tcBorders>
              <w:bottom w:val="nil"/>
            </w:tcBorders>
          </w:tcPr>
          <w:p w:rsidR="002B4B8E" w:rsidRPr="00A779B8" w:rsidRDefault="002B4B8E" w:rsidP="00DB4C2D">
            <w:pPr>
              <w:spacing w:before="60" w:after="60" w:line="220" w:lineRule="atLeast"/>
              <w:rPr>
                <w:sz w:val="18"/>
                <w:szCs w:val="18"/>
                <w:lang w:val="fr-FR"/>
              </w:rPr>
            </w:pPr>
          </w:p>
        </w:tc>
      </w:tr>
      <w:tr w:rsidR="002B4B8E" w:rsidRPr="00A779B8" w:rsidTr="00DB4C2D">
        <w:tblPrEx>
          <w:tblCellMar>
            <w:top w:w="0" w:type="dxa"/>
            <w:bottom w:w="0" w:type="dxa"/>
          </w:tblCellMar>
        </w:tblPrEx>
        <w:trPr>
          <w:jc w:val="center"/>
        </w:trPr>
        <w:tc>
          <w:tcPr>
            <w:tcW w:w="3643"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Évaporé à 70 °C</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24,0</w:t>
            </w:r>
          </w:p>
        </w:tc>
        <w:tc>
          <w:tcPr>
            <w:tcW w:w="131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44,0</w:t>
            </w:r>
          </w:p>
        </w:tc>
        <w:tc>
          <w:tcPr>
            <w:tcW w:w="2238"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jc w:val="center"/>
        </w:trPr>
        <w:tc>
          <w:tcPr>
            <w:tcW w:w="3643"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Évaporé à 100 °C</w:t>
            </w:r>
          </w:p>
        </w:tc>
        <w:tc>
          <w:tcPr>
            <w:tcW w:w="1122" w:type="dxa"/>
            <w:tcBorders>
              <w:top w:val="nil"/>
              <w:bottom w:val="nil"/>
            </w:tcBorders>
          </w:tcPr>
          <w:p w:rsidR="002B4B8E" w:rsidRPr="00A779B8" w:rsidRDefault="002B4B8E" w:rsidP="00DB4C2D">
            <w:pPr>
              <w:spacing w:before="60" w:after="60" w:line="220" w:lineRule="atLeast"/>
              <w:jc w:val="center"/>
              <w:rPr>
                <w:sz w:val="18"/>
                <w:szCs w:val="18"/>
                <w:vertAlign w:val="superscript"/>
                <w:lang w:val="fr-FR"/>
              </w:rPr>
            </w:pPr>
            <w:r w:rsidRPr="00A779B8">
              <w:rPr>
                <w:sz w:val="18"/>
                <w:szCs w:val="18"/>
                <w:lang w:val="fr-FR"/>
              </w:rPr>
              <w:t>% v/v</w:t>
            </w:r>
          </w:p>
        </w:tc>
        <w:tc>
          <w:tcPr>
            <w:tcW w:w="131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48,0</w:t>
            </w:r>
          </w:p>
        </w:tc>
        <w:tc>
          <w:tcPr>
            <w:tcW w:w="131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60,0</w:t>
            </w:r>
          </w:p>
        </w:tc>
        <w:tc>
          <w:tcPr>
            <w:tcW w:w="2238"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jc w:val="center"/>
        </w:trPr>
        <w:tc>
          <w:tcPr>
            <w:tcW w:w="3643"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Évaporé à 150 °C</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82,0</w:t>
            </w:r>
          </w:p>
        </w:tc>
        <w:tc>
          <w:tcPr>
            <w:tcW w:w="131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90,0</w:t>
            </w:r>
          </w:p>
        </w:tc>
        <w:tc>
          <w:tcPr>
            <w:tcW w:w="2238"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jc w:val="center"/>
        </w:trPr>
        <w:tc>
          <w:tcPr>
            <w:tcW w:w="3643" w:type="dxa"/>
            <w:tcBorders>
              <w:top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Point d</w:t>
            </w:r>
            <w:r w:rsidR="00DB4C2D">
              <w:rPr>
                <w:sz w:val="18"/>
                <w:szCs w:val="18"/>
                <w:lang w:val="fr-FR"/>
              </w:rPr>
              <w:t>’</w:t>
            </w:r>
            <w:r w:rsidRPr="00A779B8">
              <w:rPr>
                <w:sz w:val="18"/>
                <w:szCs w:val="18"/>
                <w:lang w:val="fr-FR"/>
              </w:rPr>
              <w:t>ébullition final</w:t>
            </w:r>
          </w:p>
        </w:tc>
        <w:tc>
          <w:tcPr>
            <w:tcW w:w="1122"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°C</w:t>
            </w:r>
          </w:p>
        </w:tc>
        <w:tc>
          <w:tcPr>
            <w:tcW w:w="1318"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190</w:t>
            </w:r>
          </w:p>
        </w:tc>
        <w:tc>
          <w:tcPr>
            <w:tcW w:w="1318"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210</w:t>
            </w:r>
          </w:p>
        </w:tc>
        <w:tc>
          <w:tcPr>
            <w:tcW w:w="2238" w:type="dxa"/>
            <w:tcBorders>
              <w:top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jc w:val="center"/>
        </w:trPr>
        <w:tc>
          <w:tcPr>
            <w:tcW w:w="3643"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Résidus</w:t>
            </w:r>
          </w:p>
        </w:tc>
        <w:tc>
          <w:tcPr>
            <w:tcW w:w="1122"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8"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8"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2,0</w:t>
            </w:r>
          </w:p>
        </w:tc>
        <w:tc>
          <w:tcPr>
            <w:tcW w:w="2238"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jc w:val="center"/>
        </w:trPr>
        <w:tc>
          <w:tcPr>
            <w:tcW w:w="3643" w:type="dxa"/>
            <w:tcBorders>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Analyse des hydrocarbures:</w:t>
            </w:r>
          </w:p>
        </w:tc>
        <w:tc>
          <w:tcPr>
            <w:tcW w:w="1122"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8"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8" w:type="dxa"/>
            <w:tcBorders>
              <w:bottom w:val="nil"/>
            </w:tcBorders>
          </w:tcPr>
          <w:p w:rsidR="002B4B8E" w:rsidRPr="00A779B8" w:rsidRDefault="002B4B8E" w:rsidP="00DB4C2D">
            <w:pPr>
              <w:spacing w:before="60" w:after="60" w:line="220" w:lineRule="atLeast"/>
              <w:jc w:val="center"/>
              <w:rPr>
                <w:sz w:val="18"/>
                <w:szCs w:val="18"/>
                <w:lang w:val="fr-FR"/>
              </w:rPr>
            </w:pPr>
          </w:p>
        </w:tc>
        <w:tc>
          <w:tcPr>
            <w:tcW w:w="2238" w:type="dxa"/>
            <w:tcBorders>
              <w:bottom w:val="nil"/>
            </w:tcBorders>
          </w:tcPr>
          <w:p w:rsidR="002B4B8E" w:rsidRPr="00A779B8" w:rsidRDefault="002B4B8E" w:rsidP="00DB4C2D">
            <w:pPr>
              <w:spacing w:before="60" w:after="60" w:line="220" w:lineRule="atLeast"/>
              <w:rPr>
                <w:sz w:val="18"/>
                <w:szCs w:val="18"/>
                <w:lang w:val="fr-FR"/>
              </w:rPr>
            </w:pPr>
          </w:p>
        </w:tc>
      </w:tr>
      <w:tr w:rsidR="002B4B8E" w:rsidRPr="00A779B8" w:rsidTr="00DB4C2D">
        <w:tblPrEx>
          <w:tblCellMar>
            <w:top w:w="0" w:type="dxa"/>
            <w:bottom w:w="0" w:type="dxa"/>
          </w:tblCellMar>
        </w:tblPrEx>
        <w:trPr>
          <w:jc w:val="center"/>
        </w:trPr>
        <w:tc>
          <w:tcPr>
            <w:tcW w:w="3643"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Oléfines</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3,0</w:t>
            </w:r>
          </w:p>
        </w:tc>
        <w:tc>
          <w:tcPr>
            <w:tcW w:w="131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13,0</w:t>
            </w:r>
          </w:p>
        </w:tc>
        <w:tc>
          <w:tcPr>
            <w:tcW w:w="2238"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ASTM D 1319</w:t>
            </w:r>
          </w:p>
        </w:tc>
      </w:tr>
      <w:tr w:rsidR="002B4B8E" w:rsidRPr="00A779B8" w:rsidTr="00DB4C2D">
        <w:tblPrEx>
          <w:tblCellMar>
            <w:top w:w="0" w:type="dxa"/>
            <w:bottom w:w="0" w:type="dxa"/>
          </w:tblCellMar>
        </w:tblPrEx>
        <w:trPr>
          <w:jc w:val="center"/>
        </w:trPr>
        <w:tc>
          <w:tcPr>
            <w:tcW w:w="3643"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Aromatiques</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29,0</w:t>
            </w:r>
          </w:p>
        </w:tc>
        <w:tc>
          <w:tcPr>
            <w:tcW w:w="131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35,0</w:t>
            </w:r>
          </w:p>
        </w:tc>
        <w:tc>
          <w:tcPr>
            <w:tcW w:w="2238"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ASTM D 1319</w:t>
            </w:r>
          </w:p>
        </w:tc>
      </w:tr>
      <w:tr w:rsidR="002B4B8E" w:rsidRPr="00A779B8" w:rsidTr="00DB4C2D">
        <w:tblPrEx>
          <w:tblCellMar>
            <w:top w:w="0" w:type="dxa"/>
            <w:bottom w:w="0" w:type="dxa"/>
          </w:tblCellMar>
        </w:tblPrEx>
        <w:trPr>
          <w:jc w:val="center"/>
        </w:trPr>
        <w:tc>
          <w:tcPr>
            <w:tcW w:w="3643"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Benzène</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8" w:type="dxa"/>
            <w:tcBorders>
              <w:top w:val="nil"/>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8" w:type="dxa"/>
            <w:tcBorders>
              <w:top w:val="nil"/>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1,0</w:t>
            </w:r>
          </w:p>
        </w:tc>
        <w:tc>
          <w:tcPr>
            <w:tcW w:w="2238"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12177</w:t>
            </w:r>
          </w:p>
        </w:tc>
      </w:tr>
      <w:tr w:rsidR="002B4B8E" w:rsidRPr="00A779B8" w:rsidTr="00DB4C2D">
        <w:tblPrEx>
          <w:tblCellMar>
            <w:top w:w="0" w:type="dxa"/>
            <w:bottom w:w="0" w:type="dxa"/>
          </w:tblCellMar>
        </w:tblPrEx>
        <w:trPr>
          <w:jc w:val="center"/>
        </w:trPr>
        <w:tc>
          <w:tcPr>
            <w:tcW w:w="3643" w:type="dxa"/>
            <w:tcBorders>
              <w:top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Saturés</w:t>
            </w:r>
          </w:p>
        </w:tc>
        <w:tc>
          <w:tcPr>
            <w:tcW w:w="1122"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2636" w:type="dxa"/>
            <w:gridSpan w:val="2"/>
            <w:tcBorders>
              <w:top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Valeur déclarée</w:t>
            </w:r>
          </w:p>
        </w:tc>
        <w:tc>
          <w:tcPr>
            <w:tcW w:w="2238" w:type="dxa"/>
            <w:tcBorders>
              <w:top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ASTM D 1319</w:t>
            </w: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Rapport carbone/hydrogène</w:t>
            </w:r>
          </w:p>
        </w:tc>
        <w:tc>
          <w:tcPr>
            <w:tcW w:w="1122" w:type="dxa"/>
          </w:tcPr>
          <w:p w:rsidR="002B4B8E" w:rsidRPr="00A779B8" w:rsidRDefault="002B4B8E" w:rsidP="00DB4C2D">
            <w:pPr>
              <w:spacing w:before="60" w:after="60" w:line="220" w:lineRule="atLeast"/>
              <w:jc w:val="center"/>
              <w:rPr>
                <w:sz w:val="18"/>
                <w:szCs w:val="18"/>
                <w:lang w:val="fr-FR"/>
              </w:rPr>
            </w:pPr>
          </w:p>
        </w:tc>
        <w:tc>
          <w:tcPr>
            <w:tcW w:w="2636" w:type="dxa"/>
            <w:gridSpan w:val="2"/>
          </w:tcPr>
          <w:p w:rsidR="002B4B8E" w:rsidRPr="00A779B8" w:rsidRDefault="002B4B8E" w:rsidP="00DB4C2D">
            <w:pPr>
              <w:spacing w:before="60" w:after="60" w:line="220" w:lineRule="atLeast"/>
              <w:jc w:val="center"/>
              <w:rPr>
                <w:sz w:val="18"/>
                <w:szCs w:val="18"/>
                <w:lang w:val="fr-FR"/>
              </w:rPr>
            </w:pPr>
            <w:r w:rsidRPr="00A779B8">
              <w:rPr>
                <w:sz w:val="18"/>
                <w:szCs w:val="18"/>
                <w:lang w:val="fr-FR"/>
              </w:rPr>
              <w:t>Valeur déclarée</w:t>
            </w:r>
          </w:p>
        </w:tc>
        <w:tc>
          <w:tcPr>
            <w:tcW w:w="2238" w:type="dxa"/>
          </w:tcPr>
          <w:p w:rsidR="002B4B8E" w:rsidRPr="00A779B8" w:rsidRDefault="002B4B8E" w:rsidP="00DB4C2D">
            <w:pPr>
              <w:spacing w:before="60" w:after="60" w:line="220" w:lineRule="atLeast"/>
              <w:rPr>
                <w:sz w:val="18"/>
                <w:szCs w:val="18"/>
                <w:lang w:val="fr-FR"/>
              </w:rPr>
            </w:pP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Rapport carbone/oxygène</w:t>
            </w:r>
          </w:p>
        </w:tc>
        <w:tc>
          <w:tcPr>
            <w:tcW w:w="1122" w:type="dxa"/>
          </w:tcPr>
          <w:p w:rsidR="002B4B8E" w:rsidRPr="00A779B8" w:rsidRDefault="002B4B8E" w:rsidP="00DB4C2D">
            <w:pPr>
              <w:spacing w:before="60" w:after="60" w:line="220" w:lineRule="atLeast"/>
              <w:jc w:val="center"/>
              <w:rPr>
                <w:sz w:val="18"/>
                <w:szCs w:val="18"/>
                <w:lang w:val="fr-FR"/>
              </w:rPr>
            </w:pPr>
          </w:p>
        </w:tc>
        <w:tc>
          <w:tcPr>
            <w:tcW w:w="2636" w:type="dxa"/>
            <w:gridSpan w:val="2"/>
          </w:tcPr>
          <w:p w:rsidR="002B4B8E" w:rsidRPr="00A779B8" w:rsidRDefault="002B4B8E" w:rsidP="00DB4C2D">
            <w:pPr>
              <w:spacing w:before="60" w:after="60" w:line="220" w:lineRule="atLeast"/>
              <w:jc w:val="center"/>
              <w:rPr>
                <w:sz w:val="18"/>
                <w:szCs w:val="18"/>
                <w:lang w:val="fr-FR"/>
              </w:rPr>
            </w:pPr>
            <w:r w:rsidRPr="00A779B8">
              <w:rPr>
                <w:sz w:val="18"/>
                <w:szCs w:val="18"/>
                <w:lang w:val="fr-FR"/>
              </w:rPr>
              <w:t>Valeur déclarée</w:t>
            </w:r>
          </w:p>
        </w:tc>
        <w:tc>
          <w:tcPr>
            <w:tcW w:w="2238" w:type="dxa"/>
          </w:tcPr>
          <w:p w:rsidR="002B4B8E" w:rsidRPr="00A779B8" w:rsidRDefault="002B4B8E" w:rsidP="00DB4C2D">
            <w:pPr>
              <w:spacing w:before="60" w:after="60" w:line="220" w:lineRule="atLeast"/>
              <w:rPr>
                <w:sz w:val="18"/>
                <w:szCs w:val="18"/>
                <w:lang w:val="fr-FR"/>
              </w:rPr>
            </w:pP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Période d</w:t>
            </w:r>
            <w:r w:rsidR="00DB4C2D">
              <w:rPr>
                <w:sz w:val="18"/>
                <w:szCs w:val="18"/>
                <w:lang w:val="fr-FR"/>
              </w:rPr>
              <w:t>’</w:t>
            </w:r>
            <w:r w:rsidRPr="00A779B8">
              <w:rPr>
                <w:sz w:val="18"/>
                <w:szCs w:val="18"/>
                <w:lang w:val="fr-FR"/>
              </w:rPr>
              <w:t>induction</w:t>
            </w:r>
            <w:r w:rsidRPr="00A779B8">
              <w:rPr>
                <w:bCs/>
                <w:i/>
                <w:iCs/>
                <w:sz w:val="18"/>
                <w:szCs w:val="18"/>
                <w:vertAlign w:val="superscript"/>
                <w:lang w:val="fr-FR"/>
              </w:rPr>
              <w:t>2</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min</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480</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EN ISO 7536</w:t>
            </w: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oxygène</w:t>
            </w:r>
            <w:r w:rsidRPr="00A779B8">
              <w:rPr>
                <w:i/>
                <w:sz w:val="18"/>
                <w:szCs w:val="18"/>
                <w:vertAlign w:val="superscript"/>
                <w:lang w:val="fr-FR"/>
              </w:rPr>
              <w:t>3</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m/m</w:t>
            </w:r>
          </w:p>
        </w:tc>
        <w:tc>
          <w:tcPr>
            <w:tcW w:w="2636" w:type="dxa"/>
            <w:gridSpan w:val="2"/>
          </w:tcPr>
          <w:p w:rsidR="002B4B8E" w:rsidRPr="00A779B8" w:rsidRDefault="002B4B8E" w:rsidP="00DB4C2D">
            <w:pPr>
              <w:spacing w:before="60" w:after="60" w:line="220" w:lineRule="atLeast"/>
              <w:jc w:val="center"/>
              <w:rPr>
                <w:sz w:val="18"/>
                <w:szCs w:val="18"/>
                <w:lang w:val="fr-FR"/>
              </w:rPr>
            </w:pPr>
            <w:r w:rsidRPr="00A779B8">
              <w:rPr>
                <w:sz w:val="18"/>
                <w:szCs w:val="18"/>
                <w:lang w:val="fr-FR"/>
              </w:rPr>
              <w:t>Valeur déclarée</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EN 1601</w:t>
            </w: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Gomme actuelle</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mg/ml</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0,04</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EN ISO 6246</w:t>
            </w: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soufre</w:t>
            </w:r>
            <w:r w:rsidRPr="00A779B8">
              <w:rPr>
                <w:bCs/>
                <w:i/>
                <w:iCs/>
                <w:sz w:val="18"/>
                <w:szCs w:val="18"/>
                <w:vertAlign w:val="superscript"/>
                <w:lang w:val="fr-FR"/>
              </w:rPr>
              <w:t>4</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mg/kg</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10</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EN ISO 20846</w:t>
            </w:r>
            <w:r w:rsidRPr="00A779B8">
              <w:rPr>
                <w:sz w:val="18"/>
                <w:szCs w:val="18"/>
                <w:lang w:val="fr-FR"/>
              </w:rPr>
              <w:br/>
              <w:t>EN ISO 20884</w:t>
            </w: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Corrosion du cuivre</w:t>
            </w:r>
          </w:p>
        </w:tc>
        <w:tc>
          <w:tcPr>
            <w:tcW w:w="1122" w:type="dxa"/>
          </w:tcPr>
          <w:p w:rsidR="002B4B8E" w:rsidRPr="00A779B8" w:rsidRDefault="002B4B8E" w:rsidP="00DB4C2D">
            <w:pPr>
              <w:spacing w:before="60" w:after="60" w:line="220" w:lineRule="atLeast"/>
              <w:jc w:val="center"/>
              <w:rPr>
                <w:sz w:val="18"/>
                <w:szCs w:val="18"/>
                <w:lang w:val="fr-FR"/>
              </w:rPr>
            </w:pP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Classe I</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EN ISO 2160</w:t>
            </w: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plomb</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mg/l</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5</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EN 237</w:t>
            </w: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lastRenderedPageBreak/>
              <w:t>Teneur en phosphore</w:t>
            </w:r>
            <w:r w:rsidRPr="00A779B8">
              <w:rPr>
                <w:i/>
                <w:sz w:val="18"/>
                <w:szCs w:val="18"/>
                <w:vertAlign w:val="superscript"/>
                <w:lang w:val="fr-FR"/>
              </w:rPr>
              <w:t>5</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mg/l</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1,3</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ASTM D 3231</w:t>
            </w:r>
          </w:p>
        </w:tc>
      </w:tr>
      <w:tr w:rsidR="002B4B8E" w:rsidRPr="00A779B8" w:rsidTr="00DB4C2D">
        <w:tblPrEx>
          <w:tblCellMar>
            <w:top w:w="0" w:type="dxa"/>
            <w:bottom w:w="0" w:type="dxa"/>
          </w:tblCellMar>
        </w:tblPrEx>
        <w:trPr>
          <w:jc w:val="center"/>
        </w:trPr>
        <w:tc>
          <w:tcPr>
            <w:tcW w:w="3643" w:type="dxa"/>
          </w:tcPr>
          <w:p w:rsidR="002B4B8E" w:rsidRPr="00A779B8" w:rsidRDefault="002B4B8E" w:rsidP="00DB4C2D">
            <w:pPr>
              <w:spacing w:before="60" w:after="60" w:line="220" w:lineRule="atLeast"/>
              <w:rPr>
                <w:sz w:val="18"/>
                <w:szCs w:val="18"/>
                <w:lang w:val="fr-FR"/>
              </w:rPr>
            </w:pPr>
            <w:r w:rsidRPr="00A779B8">
              <w:rPr>
                <w:sz w:val="18"/>
                <w:szCs w:val="18"/>
                <w:lang w:val="fr-FR"/>
              </w:rPr>
              <w:t>Éthanol</w:t>
            </w:r>
            <w:r w:rsidRPr="00A779B8">
              <w:rPr>
                <w:i/>
                <w:sz w:val="18"/>
                <w:szCs w:val="18"/>
                <w:vertAlign w:val="superscript"/>
                <w:lang w:val="fr-FR"/>
              </w:rPr>
              <w:t>3</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4,7</w:t>
            </w:r>
          </w:p>
        </w:tc>
        <w:tc>
          <w:tcPr>
            <w:tcW w:w="131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5,3</w:t>
            </w:r>
          </w:p>
        </w:tc>
        <w:tc>
          <w:tcPr>
            <w:tcW w:w="2238" w:type="dxa"/>
          </w:tcPr>
          <w:p w:rsidR="002B4B8E" w:rsidRPr="00A779B8" w:rsidRDefault="002B4B8E" w:rsidP="00DB4C2D">
            <w:pPr>
              <w:spacing w:before="60" w:after="60" w:line="220" w:lineRule="atLeast"/>
              <w:rPr>
                <w:sz w:val="18"/>
                <w:szCs w:val="18"/>
                <w:lang w:val="fr-FR"/>
              </w:rPr>
            </w:pPr>
            <w:r w:rsidRPr="00A779B8">
              <w:rPr>
                <w:sz w:val="18"/>
                <w:szCs w:val="18"/>
                <w:lang w:val="fr-FR"/>
              </w:rPr>
              <w:t>EN 1601</w:t>
            </w:r>
            <w:r w:rsidRPr="00A779B8">
              <w:rPr>
                <w:sz w:val="18"/>
                <w:szCs w:val="18"/>
                <w:lang w:val="fr-FR"/>
              </w:rPr>
              <w:br/>
              <w:t>EN 13132</w:t>
            </w:r>
          </w:p>
        </w:tc>
      </w:tr>
    </w:tbl>
    <w:p w:rsidR="002B4B8E" w:rsidRPr="00A779B8" w:rsidRDefault="002B4B8E" w:rsidP="002B4B8E">
      <w:pPr>
        <w:spacing w:before="120"/>
        <w:ind w:left="454" w:hanging="284"/>
        <w:rPr>
          <w:sz w:val="18"/>
          <w:szCs w:val="18"/>
          <w:lang w:val="fr-FR"/>
        </w:rPr>
      </w:pPr>
      <w:r w:rsidRPr="00A779B8">
        <w:rPr>
          <w:bCs/>
          <w:i/>
          <w:iCs/>
          <w:sz w:val="18"/>
          <w:szCs w:val="18"/>
          <w:vertAlign w:val="superscript"/>
          <w:lang w:val="fr-FR"/>
        </w:rPr>
        <w:t>1</w:t>
      </w:r>
      <w:r w:rsidRPr="00A779B8">
        <w:rPr>
          <w:bCs/>
          <w:i/>
          <w:iCs/>
          <w:sz w:val="18"/>
          <w:szCs w:val="18"/>
          <w:vertAlign w:val="superscript"/>
          <w:lang w:val="fr-FR"/>
        </w:rPr>
        <w:tab/>
      </w:r>
      <w:r w:rsidRPr="00A779B8">
        <w:rPr>
          <w:sz w:val="18"/>
          <w:szCs w:val="18"/>
          <w:lang w:val="fr-FR"/>
        </w:rPr>
        <w:t>Les valeurs mentionnées dans les spécifications sont des «valeurs vraies». Les valeurs limites ont été déterminées conformément à la norme ISO 4259 intitulée «Produits pétroliers − Détermination et application des valeurs de fidélité relatives aux méthodes d</w:t>
      </w:r>
      <w:r w:rsidR="00DB4C2D">
        <w:rPr>
          <w:sz w:val="18"/>
          <w:szCs w:val="18"/>
          <w:lang w:val="fr-FR"/>
        </w:rPr>
        <w:t>’</w:t>
      </w:r>
      <w:r w:rsidRPr="00A779B8">
        <w:rPr>
          <w:sz w:val="18"/>
          <w:szCs w:val="18"/>
          <w:lang w:val="fr-FR"/>
        </w:rPr>
        <w:t>essai». Pour la fixation d</w:t>
      </w:r>
      <w:r w:rsidR="00DB4C2D">
        <w:rPr>
          <w:sz w:val="18"/>
          <w:szCs w:val="18"/>
          <w:lang w:val="fr-FR"/>
        </w:rPr>
        <w:t>’</w:t>
      </w:r>
      <w:r w:rsidRPr="00A779B8">
        <w:rPr>
          <w:sz w:val="18"/>
          <w:szCs w:val="18"/>
          <w:lang w:val="fr-FR"/>
        </w:rPr>
        <w:t>un minimum, une différence minimale de 2R par rapport à la valeur zéro a été prise en compte; pour la fixation d</w:t>
      </w:r>
      <w:r w:rsidR="00DB4C2D">
        <w:rPr>
          <w:sz w:val="18"/>
          <w:szCs w:val="18"/>
          <w:lang w:val="fr-FR"/>
        </w:rPr>
        <w:t>’</w:t>
      </w:r>
      <w:r w:rsidRPr="00A779B8">
        <w:rPr>
          <w:sz w:val="18"/>
          <w:szCs w:val="18"/>
          <w:lang w:val="fr-FR"/>
        </w:rPr>
        <w:t>un maximum et d</w:t>
      </w:r>
      <w:r w:rsidR="00DB4C2D">
        <w:rPr>
          <w:sz w:val="18"/>
          <w:szCs w:val="18"/>
          <w:lang w:val="fr-FR"/>
        </w:rPr>
        <w:t>’</w:t>
      </w:r>
      <w:r w:rsidRPr="00A779B8">
        <w:rPr>
          <w:sz w:val="18"/>
          <w:szCs w:val="18"/>
          <w:lang w:val="fr-FR"/>
        </w:rPr>
        <w:t>un minimum, la différence minimale entre ces valeurs est de 4R (R = reproductibilité).</w:t>
      </w:r>
      <w:r w:rsidRPr="00A779B8">
        <w:rPr>
          <w:sz w:val="18"/>
          <w:szCs w:val="18"/>
          <w:lang w:val="fr-FR"/>
        </w:rPr>
        <w:br/>
        <w:t>Malgré cette mesure, qui est nécessaire pour des raisons techniques, le fabricant de carburant doit viser la valeur zéro lorsque la valeur maximale indiquée est de 2R ou la valeur moyenne lorsqu</w:t>
      </w:r>
      <w:r w:rsidR="00DB4C2D">
        <w:rPr>
          <w:sz w:val="18"/>
          <w:szCs w:val="18"/>
          <w:lang w:val="fr-FR"/>
        </w:rPr>
        <w:t>’</w:t>
      </w:r>
      <w:r w:rsidRPr="00A779B8">
        <w:rPr>
          <w:sz w:val="18"/>
          <w:szCs w:val="18"/>
          <w:lang w:val="fr-FR"/>
        </w:rPr>
        <w:t>il existe un minimum et un maximum. Au cas où il serait nécessaire de vérifier le respect des spécifications pour un carburant, les dispositions de la norme ISO 4259 devraient être appliquées.</w:t>
      </w:r>
    </w:p>
    <w:p w:rsidR="002B4B8E" w:rsidRPr="00A779B8" w:rsidRDefault="002B4B8E" w:rsidP="002B4B8E">
      <w:pPr>
        <w:ind w:left="454" w:hanging="284"/>
        <w:rPr>
          <w:sz w:val="18"/>
          <w:szCs w:val="18"/>
          <w:lang w:val="fr-FR"/>
        </w:rPr>
      </w:pPr>
      <w:r w:rsidRPr="00A779B8">
        <w:rPr>
          <w:i/>
          <w:sz w:val="18"/>
          <w:szCs w:val="18"/>
          <w:vertAlign w:val="superscript"/>
          <w:lang w:val="fr-FR"/>
        </w:rPr>
        <w:t>2</w:t>
      </w:r>
      <w:r w:rsidRPr="00A779B8">
        <w:rPr>
          <w:i/>
          <w:sz w:val="18"/>
          <w:szCs w:val="18"/>
          <w:vertAlign w:val="superscript"/>
          <w:lang w:val="fr-FR"/>
        </w:rPr>
        <w:tab/>
      </w:r>
      <w:r w:rsidRPr="00A779B8">
        <w:rPr>
          <w:sz w:val="18"/>
          <w:szCs w:val="18"/>
          <w:lang w:val="fr-FR"/>
        </w:rPr>
        <w:t>Le carburant peut contenir des additifs antioxydants et des inhibiteurs de catalyse métallique normalement utilisés pour stabiliser les flux d</w:t>
      </w:r>
      <w:r w:rsidR="00DB4C2D">
        <w:rPr>
          <w:sz w:val="18"/>
          <w:szCs w:val="18"/>
          <w:lang w:val="fr-FR"/>
        </w:rPr>
        <w:t>’</w:t>
      </w:r>
      <w:r w:rsidRPr="00A779B8">
        <w:rPr>
          <w:sz w:val="18"/>
          <w:szCs w:val="18"/>
          <w:lang w:val="fr-FR"/>
        </w:rPr>
        <w:t>essence en raffinerie; il ne faut cependant pas y ajouter d</w:t>
      </w:r>
      <w:r w:rsidR="00DB4C2D">
        <w:rPr>
          <w:sz w:val="18"/>
          <w:szCs w:val="18"/>
          <w:lang w:val="fr-FR"/>
        </w:rPr>
        <w:t>’</w:t>
      </w:r>
      <w:r w:rsidRPr="00A779B8">
        <w:rPr>
          <w:sz w:val="18"/>
          <w:szCs w:val="18"/>
          <w:lang w:val="fr-FR"/>
        </w:rPr>
        <w:t>additifs détergents ou dispersants ni d</w:t>
      </w:r>
      <w:r w:rsidR="00DB4C2D">
        <w:rPr>
          <w:sz w:val="18"/>
          <w:szCs w:val="18"/>
          <w:lang w:val="fr-FR"/>
        </w:rPr>
        <w:t>’</w:t>
      </w:r>
      <w:r w:rsidRPr="00A779B8">
        <w:rPr>
          <w:sz w:val="18"/>
          <w:szCs w:val="18"/>
          <w:lang w:val="fr-FR"/>
        </w:rPr>
        <w:t xml:space="preserve">huiles </w:t>
      </w:r>
      <w:proofErr w:type="spellStart"/>
      <w:r w:rsidRPr="00A779B8">
        <w:rPr>
          <w:sz w:val="18"/>
          <w:szCs w:val="18"/>
          <w:lang w:val="fr-FR"/>
        </w:rPr>
        <w:t>solvantes</w:t>
      </w:r>
      <w:proofErr w:type="spellEnd"/>
      <w:r w:rsidRPr="00A779B8">
        <w:rPr>
          <w:sz w:val="18"/>
          <w:szCs w:val="18"/>
          <w:lang w:val="fr-FR"/>
        </w:rPr>
        <w:t>.</w:t>
      </w:r>
    </w:p>
    <w:p w:rsidR="002B4B8E" w:rsidRPr="00A779B8" w:rsidRDefault="002B4B8E" w:rsidP="002B4B8E">
      <w:pPr>
        <w:ind w:left="454" w:hanging="284"/>
        <w:rPr>
          <w:sz w:val="18"/>
          <w:szCs w:val="18"/>
          <w:lang w:val="fr-FR"/>
        </w:rPr>
      </w:pPr>
      <w:r w:rsidRPr="00A779B8">
        <w:rPr>
          <w:i/>
          <w:sz w:val="18"/>
          <w:szCs w:val="18"/>
          <w:vertAlign w:val="superscript"/>
          <w:lang w:val="fr-FR"/>
        </w:rPr>
        <w:t>3</w:t>
      </w:r>
      <w:r w:rsidRPr="00A779B8">
        <w:rPr>
          <w:i/>
          <w:sz w:val="18"/>
          <w:szCs w:val="18"/>
          <w:vertAlign w:val="superscript"/>
          <w:lang w:val="fr-FR"/>
        </w:rPr>
        <w:tab/>
      </w:r>
      <w:r w:rsidRPr="00A779B8">
        <w:rPr>
          <w:sz w:val="18"/>
          <w:szCs w:val="18"/>
          <w:lang w:val="fr-FR"/>
        </w:rPr>
        <w:t>Le seul oxygénant pouvant être ajouté délibérément au carburant de référence est l</w:t>
      </w:r>
      <w:r w:rsidR="00DB4C2D">
        <w:rPr>
          <w:sz w:val="18"/>
          <w:szCs w:val="18"/>
          <w:lang w:val="fr-FR"/>
        </w:rPr>
        <w:t>’</w:t>
      </w:r>
      <w:r w:rsidRPr="00A779B8">
        <w:rPr>
          <w:sz w:val="18"/>
          <w:szCs w:val="18"/>
          <w:lang w:val="fr-FR"/>
        </w:rPr>
        <w:t xml:space="preserve">éthanol conforme à la spécification EN 15376. </w:t>
      </w:r>
    </w:p>
    <w:p w:rsidR="002B4B8E" w:rsidRDefault="002B4B8E" w:rsidP="002B4B8E">
      <w:pPr>
        <w:ind w:left="454" w:hanging="284"/>
        <w:rPr>
          <w:lang w:val="fr-FR"/>
        </w:rPr>
      </w:pPr>
      <w:r w:rsidRPr="00A779B8">
        <w:rPr>
          <w:bCs/>
          <w:i/>
          <w:iCs/>
          <w:vertAlign w:val="superscript"/>
          <w:lang w:val="fr-FR"/>
        </w:rPr>
        <w:t>4</w:t>
      </w:r>
      <w:r w:rsidRPr="00A779B8">
        <w:rPr>
          <w:bCs/>
          <w:i/>
          <w:iCs/>
          <w:vertAlign w:val="superscript"/>
          <w:lang w:val="fr-FR"/>
        </w:rPr>
        <w:tab/>
      </w:r>
      <w:r w:rsidRPr="00A779B8">
        <w:rPr>
          <w:lang w:val="fr-FR"/>
        </w:rPr>
        <w:t xml:space="preserve">Il convient de communiquer la teneur en soufre effective du carburant utilisé pour les essais du type I. </w:t>
      </w:r>
    </w:p>
    <w:p w:rsidR="002B4B8E" w:rsidRPr="009121CE" w:rsidRDefault="002B4B8E" w:rsidP="002B4B8E">
      <w:pPr>
        <w:ind w:left="454" w:hanging="284"/>
        <w:rPr>
          <w:sz w:val="18"/>
          <w:szCs w:val="18"/>
          <w:lang w:val="fr-FR"/>
        </w:rPr>
      </w:pPr>
      <w:r w:rsidRPr="00A779B8">
        <w:rPr>
          <w:i/>
          <w:vertAlign w:val="superscript"/>
          <w:lang w:val="fr-FR"/>
        </w:rPr>
        <w:t>5</w:t>
      </w:r>
      <w:r w:rsidRPr="00A779B8">
        <w:rPr>
          <w:i/>
          <w:vertAlign w:val="superscript"/>
          <w:lang w:val="fr-FR"/>
        </w:rPr>
        <w:tab/>
      </w:r>
      <w:r w:rsidRPr="00A779B8">
        <w:rPr>
          <w:lang w:val="fr-FR"/>
        </w:rPr>
        <w:t>Aucun composant contenant du phosphore, du fer, du manganèse ou du plomb ne d</w:t>
      </w:r>
      <w:r>
        <w:rPr>
          <w:lang w:val="fr-FR"/>
        </w:rPr>
        <w:t>oit être ajouté délibérément au </w:t>
      </w:r>
      <w:r w:rsidRPr="00A779B8">
        <w:rPr>
          <w:lang w:val="fr-FR"/>
        </w:rPr>
        <w:t>carburant de référence.</w:t>
      </w:r>
    </w:p>
    <w:p w:rsidR="002B4B8E" w:rsidRPr="00A779B8" w:rsidRDefault="002B4B8E" w:rsidP="002B4B8E">
      <w:pPr>
        <w:pStyle w:val="Titre1"/>
        <w:spacing w:before="240" w:after="120"/>
        <w:ind w:left="0"/>
        <w:rPr>
          <w:b/>
          <w:lang w:val="fr-FR"/>
        </w:rPr>
      </w:pPr>
      <w:r w:rsidRPr="00A779B8">
        <w:rPr>
          <w:b/>
          <w:lang w:val="fr-FR"/>
        </w:rPr>
        <w:t>Type: Essence (E10)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38"/>
        <w:gridCol w:w="1128"/>
        <w:gridCol w:w="1319"/>
        <w:gridCol w:w="1320"/>
        <w:gridCol w:w="2234"/>
        <w:tblGridChange w:id="314">
          <w:tblGrid>
            <w:gridCol w:w="3638"/>
            <w:gridCol w:w="1128"/>
            <w:gridCol w:w="1319"/>
            <w:gridCol w:w="1320"/>
            <w:gridCol w:w="2234"/>
          </w:tblGrid>
        </w:tblGridChange>
      </w:tblGrid>
      <w:tr w:rsidR="002B4B8E" w:rsidRPr="00A779B8" w:rsidTr="00DB4C2D">
        <w:trPr>
          <w:trHeight w:val="280"/>
          <w:tblHeader/>
          <w:jc w:val="center"/>
        </w:trPr>
        <w:tc>
          <w:tcPr>
            <w:tcW w:w="3638" w:type="dxa"/>
            <w:vMerge w:val="restart"/>
            <w:vAlign w:val="center"/>
          </w:tcPr>
          <w:p w:rsidR="002B4B8E" w:rsidRPr="00A779B8" w:rsidRDefault="002B4B8E" w:rsidP="00DB4C2D">
            <w:pPr>
              <w:spacing w:before="40" w:after="40" w:line="200" w:lineRule="atLeast"/>
              <w:jc w:val="center"/>
              <w:rPr>
                <w:i/>
                <w:sz w:val="16"/>
                <w:szCs w:val="16"/>
                <w:lang w:val="fr-FR"/>
              </w:rPr>
            </w:pPr>
            <w:r w:rsidRPr="00A779B8">
              <w:rPr>
                <w:i/>
                <w:sz w:val="16"/>
                <w:szCs w:val="16"/>
                <w:lang w:val="fr-FR"/>
              </w:rPr>
              <w:t>Paramètre</w:t>
            </w:r>
          </w:p>
        </w:tc>
        <w:tc>
          <w:tcPr>
            <w:tcW w:w="1128" w:type="dxa"/>
            <w:vMerge w:val="restart"/>
            <w:vAlign w:val="center"/>
          </w:tcPr>
          <w:p w:rsidR="002B4B8E" w:rsidRPr="00A779B8" w:rsidRDefault="002B4B8E" w:rsidP="00DB4C2D">
            <w:pPr>
              <w:spacing w:before="40" w:after="40" w:line="200" w:lineRule="atLeast"/>
              <w:jc w:val="center"/>
              <w:rPr>
                <w:i/>
                <w:sz w:val="16"/>
                <w:szCs w:val="16"/>
                <w:lang w:val="fr-FR"/>
              </w:rPr>
            </w:pPr>
            <w:r w:rsidRPr="00A779B8">
              <w:rPr>
                <w:i/>
                <w:sz w:val="16"/>
                <w:szCs w:val="16"/>
                <w:lang w:val="fr-FR"/>
              </w:rPr>
              <w:t>Unité</w:t>
            </w:r>
          </w:p>
        </w:tc>
        <w:tc>
          <w:tcPr>
            <w:tcW w:w="2639" w:type="dxa"/>
            <w:gridSpan w:val="2"/>
            <w:vAlign w:val="center"/>
          </w:tcPr>
          <w:p w:rsidR="002B4B8E" w:rsidRPr="00A779B8" w:rsidRDefault="002B4B8E" w:rsidP="00DB4C2D">
            <w:pPr>
              <w:spacing w:before="40" w:after="40" w:line="200" w:lineRule="atLeast"/>
              <w:jc w:val="center"/>
              <w:rPr>
                <w:bCs/>
                <w:i/>
                <w:sz w:val="16"/>
                <w:szCs w:val="16"/>
                <w:lang w:val="fr-FR"/>
              </w:rPr>
            </w:pPr>
            <w:r w:rsidRPr="00A779B8">
              <w:rPr>
                <w:bCs/>
                <w:i/>
                <w:sz w:val="16"/>
                <w:szCs w:val="16"/>
                <w:lang w:val="fr-FR"/>
              </w:rPr>
              <w:t xml:space="preserve">Limites </w:t>
            </w:r>
            <w:r w:rsidRPr="00A779B8">
              <w:rPr>
                <w:bCs/>
                <w:sz w:val="16"/>
                <w:szCs w:val="16"/>
                <w:vertAlign w:val="superscript"/>
                <w:lang w:val="fr-FR"/>
              </w:rPr>
              <w:t>1</w:t>
            </w:r>
          </w:p>
        </w:tc>
        <w:tc>
          <w:tcPr>
            <w:tcW w:w="2234" w:type="dxa"/>
            <w:vMerge w:val="restart"/>
            <w:vAlign w:val="center"/>
          </w:tcPr>
          <w:p w:rsidR="002B4B8E" w:rsidRPr="00A779B8" w:rsidRDefault="002B4B8E" w:rsidP="00DB4C2D">
            <w:pPr>
              <w:spacing w:before="40" w:after="40" w:line="200" w:lineRule="atLeast"/>
              <w:jc w:val="center"/>
              <w:rPr>
                <w:bCs/>
                <w:i/>
                <w:iCs/>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p>
        </w:tc>
      </w:tr>
      <w:tr w:rsidR="002B4B8E" w:rsidRPr="00A779B8" w:rsidTr="00DB4C2D">
        <w:trPr>
          <w:trHeight w:val="280"/>
          <w:tblHeader/>
          <w:jc w:val="center"/>
        </w:trPr>
        <w:tc>
          <w:tcPr>
            <w:tcW w:w="3638" w:type="dxa"/>
            <w:vMerge/>
            <w:vAlign w:val="center"/>
          </w:tcPr>
          <w:p w:rsidR="002B4B8E" w:rsidRPr="00A779B8" w:rsidRDefault="002B4B8E" w:rsidP="00DB4C2D">
            <w:pPr>
              <w:spacing w:before="40" w:after="40" w:line="200" w:lineRule="atLeast"/>
              <w:jc w:val="center"/>
              <w:rPr>
                <w:i/>
                <w:sz w:val="16"/>
                <w:szCs w:val="16"/>
                <w:lang w:val="fr-FR"/>
              </w:rPr>
            </w:pPr>
          </w:p>
        </w:tc>
        <w:tc>
          <w:tcPr>
            <w:tcW w:w="1128" w:type="dxa"/>
            <w:vMerge/>
            <w:vAlign w:val="center"/>
          </w:tcPr>
          <w:p w:rsidR="002B4B8E" w:rsidRPr="00A779B8" w:rsidRDefault="002B4B8E" w:rsidP="00DB4C2D">
            <w:pPr>
              <w:spacing w:before="40" w:after="40" w:line="200" w:lineRule="atLeast"/>
              <w:jc w:val="center"/>
              <w:rPr>
                <w:i/>
                <w:sz w:val="16"/>
                <w:szCs w:val="16"/>
                <w:lang w:val="fr-FR"/>
              </w:rPr>
            </w:pPr>
          </w:p>
        </w:tc>
        <w:tc>
          <w:tcPr>
            <w:tcW w:w="1319" w:type="dxa"/>
            <w:vAlign w:val="center"/>
          </w:tcPr>
          <w:p w:rsidR="002B4B8E" w:rsidRPr="00A779B8" w:rsidRDefault="002B4B8E" w:rsidP="00DB4C2D">
            <w:pPr>
              <w:spacing w:before="40" w:after="40" w:line="200" w:lineRule="atLeast"/>
              <w:jc w:val="center"/>
              <w:rPr>
                <w:bCs/>
                <w:i/>
                <w:sz w:val="16"/>
                <w:szCs w:val="16"/>
                <w:lang w:val="fr-FR"/>
              </w:rPr>
            </w:pPr>
            <w:r w:rsidRPr="00A779B8">
              <w:rPr>
                <w:bCs/>
                <w:i/>
                <w:sz w:val="16"/>
                <w:szCs w:val="16"/>
                <w:lang w:val="fr-FR"/>
              </w:rPr>
              <w:t>Minimale</w:t>
            </w:r>
          </w:p>
        </w:tc>
        <w:tc>
          <w:tcPr>
            <w:tcW w:w="1320" w:type="dxa"/>
            <w:vAlign w:val="center"/>
          </w:tcPr>
          <w:p w:rsidR="002B4B8E" w:rsidRPr="00A779B8" w:rsidRDefault="002B4B8E" w:rsidP="00DB4C2D">
            <w:pPr>
              <w:spacing w:before="40" w:after="40" w:line="200" w:lineRule="atLeast"/>
              <w:jc w:val="center"/>
              <w:rPr>
                <w:bCs/>
                <w:i/>
                <w:sz w:val="16"/>
                <w:szCs w:val="16"/>
                <w:lang w:val="fr-FR"/>
              </w:rPr>
            </w:pPr>
            <w:r w:rsidRPr="00A779B8">
              <w:rPr>
                <w:bCs/>
                <w:i/>
                <w:sz w:val="16"/>
                <w:szCs w:val="16"/>
                <w:lang w:val="fr-FR"/>
              </w:rPr>
              <w:t>Maximale</w:t>
            </w:r>
          </w:p>
        </w:tc>
        <w:tc>
          <w:tcPr>
            <w:tcW w:w="2234" w:type="dxa"/>
            <w:vMerge/>
            <w:vAlign w:val="center"/>
          </w:tcPr>
          <w:p w:rsidR="002B4B8E" w:rsidRPr="00A779B8" w:rsidRDefault="002B4B8E" w:rsidP="00DB4C2D">
            <w:pPr>
              <w:spacing w:before="40" w:after="40" w:line="200" w:lineRule="atLeast"/>
              <w:jc w:val="center"/>
              <w:rPr>
                <w:b/>
                <w:bCs/>
                <w:i/>
                <w:iCs/>
                <w:sz w:val="16"/>
                <w:szCs w:val="16"/>
                <w:lang w:val="fr-FR"/>
              </w:rPr>
            </w:pPr>
          </w:p>
        </w:tc>
      </w:tr>
      <w:tr w:rsidR="002B4B8E" w:rsidRPr="00A779B8" w:rsidTr="00DB4C2D">
        <w:trPr>
          <w:trHeight w:val="163"/>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recherche (IOR)</w:t>
            </w:r>
            <w:r w:rsidRPr="00A779B8">
              <w:rPr>
                <w:sz w:val="18"/>
                <w:szCs w:val="18"/>
                <w:vertAlign w:val="superscript"/>
                <w:lang w:val="fr-FR"/>
              </w:rPr>
              <w:t>2</w:t>
            </w:r>
          </w:p>
        </w:tc>
        <w:tc>
          <w:tcPr>
            <w:tcW w:w="1128" w:type="dxa"/>
          </w:tcPr>
          <w:p w:rsidR="002B4B8E" w:rsidRPr="00A779B8" w:rsidRDefault="002B4B8E" w:rsidP="00DB4C2D">
            <w:pPr>
              <w:spacing w:before="60" w:after="60" w:line="220" w:lineRule="atLeast"/>
              <w:jc w:val="center"/>
              <w:rPr>
                <w:sz w:val="18"/>
                <w:szCs w:val="18"/>
                <w:lang w:val="fr-FR"/>
              </w:rPr>
            </w:pPr>
          </w:p>
        </w:tc>
        <w:tc>
          <w:tcPr>
            <w:tcW w:w="1319"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95,0</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98,0</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5164</w:t>
            </w:r>
          </w:p>
        </w:tc>
      </w:tr>
      <w:tr w:rsidR="002B4B8E" w:rsidRPr="00A779B8" w:rsidTr="00DB4C2D">
        <w:trPr>
          <w:trHeight w:val="85"/>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moteur (IOM)</w:t>
            </w:r>
            <w:r w:rsidRPr="00A779B8">
              <w:rPr>
                <w:sz w:val="18"/>
                <w:szCs w:val="18"/>
                <w:vertAlign w:val="superscript"/>
                <w:lang w:val="fr-FR"/>
              </w:rPr>
              <w:t>2</w:t>
            </w:r>
          </w:p>
        </w:tc>
        <w:tc>
          <w:tcPr>
            <w:tcW w:w="1128" w:type="dxa"/>
          </w:tcPr>
          <w:p w:rsidR="002B4B8E" w:rsidRPr="00A779B8" w:rsidRDefault="002B4B8E" w:rsidP="00DB4C2D">
            <w:pPr>
              <w:spacing w:before="60" w:after="60" w:line="220" w:lineRule="atLeast"/>
              <w:jc w:val="center"/>
              <w:rPr>
                <w:sz w:val="18"/>
                <w:szCs w:val="18"/>
                <w:lang w:val="fr-FR"/>
              </w:rPr>
            </w:pPr>
          </w:p>
        </w:tc>
        <w:tc>
          <w:tcPr>
            <w:tcW w:w="1319"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85,0</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89,0</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5163</w:t>
            </w:r>
          </w:p>
        </w:tc>
      </w:tr>
      <w:tr w:rsidR="002B4B8E" w:rsidRPr="00A779B8" w:rsidTr="00DB4C2D">
        <w:trPr>
          <w:trHeight w:val="141"/>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Densité à 15 °C</w:t>
            </w:r>
          </w:p>
        </w:tc>
        <w:tc>
          <w:tcPr>
            <w:tcW w:w="112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kg/m</w:t>
            </w:r>
            <w:r w:rsidRPr="00A779B8">
              <w:rPr>
                <w:sz w:val="18"/>
                <w:szCs w:val="18"/>
                <w:vertAlign w:val="superscript"/>
                <w:lang w:val="fr-FR"/>
              </w:rPr>
              <w:t>3</w:t>
            </w:r>
          </w:p>
        </w:tc>
        <w:tc>
          <w:tcPr>
            <w:tcW w:w="1319"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743,0</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756,0</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12185</w:t>
            </w:r>
          </w:p>
        </w:tc>
      </w:tr>
      <w:tr w:rsidR="002B4B8E" w:rsidRPr="00A779B8" w:rsidTr="00DB4C2D">
        <w:trPr>
          <w:trHeight w:val="85"/>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Pression de vapeur (DVPE)</w:t>
            </w:r>
          </w:p>
        </w:tc>
        <w:tc>
          <w:tcPr>
            <w:tcW w:w="112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kPa</w:t>
            </w:r>
          </w:p>
        </w:tc>
        <w:tc>
          <w:tcPr>
            <w:tcW w:w="1319"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56,0</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60,0</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 xml:space="preserve">EN 13016-1 </w:t>
            </w:r>
          </w:p>
        </w:tc>
      </w:tr>
      <w:tr w:rsidR="002B4B8E" w:rsidRPr="00A779B8" w:rsidTr="00DB4C2D">
        <w:trPr>
          <w:trHeight w:val="416"/>
          <w:jc w:val="center"/>
        </w:trPr>
        <w:tc>
          <w:tcPr>
            <w:tcW w:w="3638"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Teneur en eau</w:t>
            </w:r>
          </w:p>
        </w:tc>
        <w:tc>
          <w:tcPr>
            <w:tcW w:w="1128"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m/m</w:t>
            </w:r>
          </w:p>
        </w:tc>
        <w:tc>
          <w:tcPr>
            <w:tcW w:w="2639" w:type="dxa"/>
            <w:gridSpan w:val="2"/>
            <w:tcBorders>
              <w:bottom w:val="single" w:sz="4" w:space="0" w:color="auto"/>
            </w:tcBorders>
            <w:tcMar>
              <w:left w:w="28" w:type="dxa"/>
              <w:right w:w="28" w:type="dxa"/>
            </w:tcMar>
            <w:vAlign w:val="center"/>
          </w:tcPr>
          <w:p w:rsidR="002B4B8E" w:rsidRPr="00A779B8" w:rsidRDefault="002B4B8E" w:rsidP="00DB4C2D">
            <w:pPr>
              <w:spacing w:before="60" w:after="60" w:line="220" w:lineRule="atLeast"/>
              <w:jc w:val="center"/>
              <w:rPr>
                <w:bCs/>
                <w:spacing w:val="-2"/>
                <w:sz w:val="18"/>
                <w:szCs w:val="18"/>
                <w:lang w:val="fr-FR"/>
              </w:rPr>
            </w:pPr>
            <w:r w:rsidRPr="00A779B8">
              <w:rPr>
                <w:bCs/>
                <w:spacing w:val="-2"/>
                <w:sz w:val="18"/>
                <w:szCs w:val="18"/>
                <w:lang w:val="fr-FR"/>
              </w:rPr>
              <w:t>Max 0,05</w:t>
            </w:r>
            <w:r w:rsidRPr="00A779B8">
              <w:rPr>
                <w:bCs/>
                <w:spacing w:val="-2"/>
                <w:sz w:val="18"/>
                <w:szCs w:val="18"/>
                <w:lang w:val="fr-FR"/>
              </w:rPr>
              <w:br/>
              <w:t>Aspect à -7 °C: claire et brillante</w:t>
            </w:r>
          </w:p>
        </w:tc>
        <w:tc>
          <w:tcPr>
            <w:tcW w:w="2234" w:type="dxa"/>
            <w:tcBorders>
              <w:bottom w:val="single" w:sz="4" w:space="0" w:color="auto"/>
            </w:tcBorders>
            <w:vAlign w:val="center"/>
          </w:tcPr>
          <w:p w:rsidR="002B4B8E" w:rsidRPr="00A779B8" w:rsidRDefault="002B4B8E" w:rsidP="00DB4C2D">
            <w:pPr>
              <w:spacing w:before="60" w:after="60" w:line="220" w:lineRule="atLeast"/>
              <w:rPr>
                <w:bCs/>
                <w:sz w:val="18"/>
                <w:szCs w:val="18"/>
                <w:lang w:val="fr-FR"/>
              </w:rPr>
            </w:pPr>
            <w:r w:rsidRPr="00A779B8">
              <w:rPr>
                <w:bCs/>
                <w:sz w:val="18"/>
                <w:szCs w:val="18"/>
                <w:lang w:val="fr-FR"/>
              </w:rPr>
              <w:t>EN 12937</w:t>
            </w:r>
          </w:p>
        </w:tc>
      </w:tr>
      <w:tr w:rsidR="002B4B8E" w:rsidRPr="00A779B8" w:rsidTr="00DB4C2D">
        <w:trPr>
          <w:trHeight w:val="123"/>
          <w:jc w:val="center"/>
        </w:trPr>
        <w:tc>
          <w:tcPr>
            <w:tcW w:w="3638" w:type="dxa"/>
            <w:tcBorders>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Distillation:</w:t>
            </w:r>
          </w:p>
        </w:tc>
        <w:tc>
          <w:tcPr>
            <w:tcW w:w="1128"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9" w:type="dxa"/>
            <w:tcBorders>
              <w:bottom w:val="nil"/>
            </w:tcBorders>
          </w:tcPr>
          <w:p w:rsidR="002B4B8E" w:rsidRPr="00A779B8" w:rsidRDefault="002B4B8E" w:rsidP="00DB4C2D">
            <w:pPr>
              <w:spacing w:before="60" w:after="60" w:line="220" w:lineRule="atLeast"/>
              <w:jc w:val="center"/>
              <w:rPr>
                <w:bCs/>
                <w:sz w:val="18"/>
                <w:szCs w:val="18"/>
                <w:lang w:val="fr-FR"/>
              </w:rPr>
            </w:pPr>
          </w:p>
        </w:tc>
        <w:tc>
          <w:tcPr>
            <w:tcW w:w="1320" w:type="dxa"/>
            <w:tcBorders>
              <w:bottom w:val="nil"/>
            </w:tcBorders>
          </w:tcPr>
          <w:p w:rsidR="002B4B8E" w:rsidRPr="00A779B8" w:rsidRDefault="002B4B8E" w:rsidP="00DB4C2D">
            <w:pPr>
              <w:spacing w:before="60" w:after="60" w:line="220" w:lineRule="atLeast"/>
              <w:jc w:val="center"/>
              <w:rPr>
                <w:bCs/>
                <w:sz w:val="18"/>
                <w:szCs w:val="18"/>
                <w:lang w:val="fr-FR"/>
              </w:rPr>
            </w:pPr>
          </w:p>
        </w:tc>
        <w:tc>
          <w:tcPr>
            <w:tcW w:w="2234" w:type="dxa"/>
            <w:tcBorders>
              <w:bottom w:val="nil"/>
            </w:tcBorders>
          </w:tcPr>
          <w:p w:rsidR="002B4B8E" w:rsidRPr="00A779B8" w:rsidRDefault="002B4B8E" w:rsidP="00DB4C2D">
            <w:pPr>
              <w:spacing w:before="60" w:after="60" w:line="220" w:lineRule="atLeast"/>
              <w:rPr>
                <w:bCs/>
                <w:sz w:val="18"/>
                <w:szCs w:val="18"/>
                <w:lang w:val="fr-FR"/>
              </w:rPr>
            </w:pPr>
          </w:p>
        </w:tc>
      </w:tr>
      <w:tr w:rsidR="002B4B8E" w:rsidRPr="00A779B8" w:rsidTr="00DB4C2D">
        <w:trPr>
          <w:trHeight w:val="95"/>
          <w:jc w:val="center"/>
        </w:trPr>
        <w:tc>
          <w:tcPr>
            <w:tcW w:w="3638"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Évaporé à 70 °C</w:t>
            </w:r>
          </w:p>
        </w:tc>
        <w:tc>
          <w:tcPr>
            <w:tcW w:w="112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9" w:type="dxa"/>
            <w:tcBorders>
              <w:top w:val="nil"/>
              <w:bottom w:val="nil"/>
            </w:tcBorders>
          </w:tcPr>
          <w:p w:rsidR="002B4B8E" w:rsidRPr="00A779B8" w:rsidRDefault="002B4B8E" w:rsidP="00DB4C2D">
            <w:pPr>
              <w:spacing w:before="60" w:after="60" w:line="220" w:lineRule="atLeast"/>
              <w:jc w:val="center"/>
              <w:rPr>
                <w:bCs/>
                <w:strike/>
                <w:sz w:val="18"/>
                <w:szCs w:val="18"/>
                <w:lang w:val="fr-FR"/>
              </w:rPr>
            </w:pPr>
            <w:r w:rsidRPr="00A779B8">
              <w:rPr>
                <w:bCs/>
                <w:sz w:val="18"/>
                <w:szCs w:val="18"/>
                <w:lang w:val="fr-FR"/>
              </w:rPr>
              <w:t>34,0</w:t>
            </w:r>
          </w:p>
        </w:tc>
        <w:tc>
          <w:tcPr>
            <w:tcW w:w="1320" w:type="dxa"/>
            <w:tcBorders>
              <w:top w:val="nil"/>
              <w:bottom w:val="nil"/>
            </w:tcBorders>
          </w:tcPr>
          <w:p w:rsidR="002B4B8E" w:rsidRPr="00A779B8" w:rsidRDefault="002B4B8E" w:rsidP="00DB4C2D">
            <w:pPr>
              <w:spacing w:before="60" w:after="60" w:line="220" w:lineRule="atLeast"/>
              <w:jc w:val="center"/>
              <w:rPr>
                <w:bCs/>
                <w:strike/>
                <w:sz w:val="18"/>
                <w:szCs w:val="18"/>
                <w:lang w:val="fr-FR"/>
              </w:rPr>
            </w:pPr>
            <w:r w:rsidRPr="00A779B8">
              <w:rPr>
                <w:bCs/>
                <w:sz w:val="18"/>
                <w:szCs w:val="18"/>
                <w:lang w:val="fr-FR"/>
              </w:rPr>
              <w:t>46,0</w:t>
            </w:r>
          </w:p>
        </w:tc>
        <w:tc>
          <w:tcPr>
            <w:tcW w:w="2234" w:type="dxa"/>
            <w:tcBorders>
              <w:top w:val="nil"/>
              <w:bottom w:val="nil"/>
            </w:tcBorders>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3405</w:t>
            </w:r>
          </w:p>
        </w:tc>
      </w:tr>
      <w:tr w:rsidR="002B4B8E" w:rsidRPr="00A779B8" w:rsidTr="00DB4C2D">
        <w:trPr>
          <w:trHeight w:val="85"/>
          <w:jc w:val="center"/>
        </w:trPr>
        <w:tc>
          <w:tcPr>
            <w:tcW w:w="3638"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Évaporé à 100 °C</w:t>
            </w:r>
          </w:p>
        </w:tc>
        <w:tc>
          <w:tcPr>
            <w:tcW w:w="112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9" w:type="dxa"/>
            <w:tcBorders>
              <w:top w:val="nil"/>
              <w:bottom w:val="nil"/>
            </w:tcBorders>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54,0</w:t>
            </w:r>
          </w:p>
        </w:tc>
        <w:tc>
          <w:tcPr>
            <w:tcW w:w="1320" w:type="dxa"/>
            <w:tcBorders>
              <w:top w:val="nil"/>
              <w:bottom w:val="nil"/>
            </w:tcBorders>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62,0</w:t>
            </w:r>
          </w:p>
        </w:tc>
        <w:tc>
          <w:tcPr>
            <w:tcW w:w="2234" w:type="dxa"/>
            <w:tcBorders>
              <w:top w:val="nil"/>
              <w:bottom w:val="nil"/>
            </w:tcBorders>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3405</w:t>
            </w:r>
          </w:p>
        </w:tc>
      </w:tr>
      <w:tr w:rsidR="002B4B8E" w:rsidRPr="00A779B8" w:rsidTr="00DB4C2D">
        <w:trPr>
          <w:trHeight w:val="85"/>
          <w:jc w:val="center"/>
        </w:trPr>
        <w:tc>
          <w:tcPr>
            <w:tcW w:w="3638"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Évaporé à 150 °C</w:t>
            </w:r>
          </w:p>
        </w:tc>
        <w:tc>
          <w:tcPr>
            <w:tcW w:w="112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9" w:type="dxa"/>
            <w:tcBorders>
              <w:top w:val="nil"/>
              <w:bottom w:val="nil"/>
            </w:tcBorders>
          </w:tcPr>
          <w:p w:rsidR="002B4B8E" w:rsidRPr="00A779B8" w:rsidRDefault="002B4B8E" w:rsidP="00DB4C2D">
            <w:pPr>
              <w:spacing w:before="60" w:after="60" w:line="220" w:lineRule="atLeast"/>
              <w:jc w:val="center"/>
              <w:rPr>
                <w:bCs/>
                <w:strike/>
                <w:sz w:val="18"/>
                <w:szCs w:val="18"/>
                <w:lang w:val="fr-FR"/>
              </w:rPr>
            </w:pPr>
            <w:r w:rsidRPr="00A779B8">
              <w:rPr>
                <w:bCs/>
                <w:sz w:val="18"/>
                <w:szCs w:val="18"/>
                <w:lang w:val="fr-FR"/>
              </w:rPr>
              <w:t>86,0</w:t>
            </w:r>
          </w:p>
        </w:tc>
        <w:tc>
          <w:tcPr>
            <w:tcW w:w="1320" w:type="dxa"/>
            <w:tcBorders>
              <w:top w:val="nil"/>
              <w:bottom w:val="nil"/>
            </w:tcBorders>
          </w:tcPr>
          <w:p w:rsidR="002B4B8E" w:rsidRPr="00A779B8" w:rsidRDefault="002B4B8E" w:rsidP="00DB4C2D">
            <w:pPr>
              <w:spacing w:before="60" w:after="60" w:line="220" w:lineRule="atLeast"/>
              <w:jc w:val="center"/>
              <w:rPr>
                <w:bCs/>
                <w:strike/>
                <w:sz w:val="18"/>
                <w:szCs w:val="18"/>
                <w:lang w:val="fr-FR"/>
              </w:rPr>
            </w:pPr>
            <w:r w:rsidRPr="00A779B8">
              <w:rPr>
                <w:bCs/>
                <w:sz w:val="18"/>
                <w:szCs w:val="18"/>
                <w:lang w:val="fr-FR"/>
              </w:rPr>
              <w:t>94,0</w:t>
            </w:r>
          </w:p>
        </w:tc>
        <w:tc>
          <w:tcPr>
            <w:tcW w:w="2234" w:type="dxa"/>
            <w:tcBorders>
              <w:top w:val="nil"/>
              <w:bottom w:val="nil"/>
            </w:tcBorders>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3405</w:t>
            </w:r>
          </w:p>
        </w:tc>
      </w:tr>
      <w:tr w:rsidR="002B4B8E" w:rsidRPr="00A779B8" w:rsidTr="00DB4C2D">
        <w:trPr>
          <w:trHeight w:val="85"/>
          <w:jc w:val="center"/>
        </w:trPr>
        <w:tc>
          <w:tcPr>
            <w:tcW w:w="3638" w:type="dxa"/>
            <w:tcBorders>
              <w:top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Point d</w:t>
            </w:r>
            <w:r w:rsidR="00DB4C2D">
              <w:rPr>
                <w:sz w:val="18"/>
                <w:szCs w:val="18"/>
                <w:lang w:val="fr-FR"/>
              </w:rPr>
              <w:t>’</w:t>
            </w:r>
            <w:r w:rsidRPr="00A779B8">
              <w:rPr>
                <w:sz w:val="18"/>
                <w:szCs w:val="18"/>
                <w:lang w:val="fr-FR"/>
              </w:rPr>
              <w:t>ébullition final</w:t>
            </w:r>
          </w:p>
        </w:tc>
        <w:tc>
          <w:tcPr>
            <w:tcW w:w="1128"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°C</w:t>
            </w:r>
          </w:p>
        </w:tc>
        <w:tc>
          <w:tcPr>
            <w:tcW w:w="1319" w:type="dxa"/>
            <w:tcBorders>
              <w:top w:val="nil"/>
            </w:tcBorders>
          </w:tcPr>
          <w:p w:rsidR="002B4B8E" w:rsidRPr="00A779B8" w:rsidRDefault="002B4B8E" w:rsidP="00DB4C2D">
            <w:pPr>
              <w:spacing w:before="60" w:after="60" w:line="220" w:lineRule="atLeast"/>
              <w:jc w:val="center"/>
              <w:rPr>
                <w:bCs/>
                <w:strike/>
                <w:sz w:val="18"/>
                <w:szCs w:val="18"/>
                <w:lang w:val="fr-FR"/>
              </w:rPr>
            </w:pPr>
            <w:r w:rsidRPr="00A779B8">
              <w:rPr>
                <w:bCs/>
                <w:sz w:val="18"/>
                <w:szCs w:val="18"/>
                <w:lang w:val="fr-FR"/>
              </w:rPr>
              <w:t>170</w:t>
            </w:r>
          </w:p>
        </w:tc>
        <w:tc>
          <w:tcPr>
            <w:tcW w:w="1320" w:type="dxa"/>
            <w:tcBorders>
              <w:top w:val="nil"/>
            </w:tcBorders>
          </w:tcPr>
          <w:p w:rsidR="002B4B8E" w:rsidRPr="00A779B8" w:rsidRDefault="002B4B8E" w:rsidP="00DB4C2D">
            <w:pPr>
              <w:spacing w:before="60" w:after="60" w:line="220" w:lineRule="atLeast"/>
              <w:jc w:val="center"/>
              <w:rPr>
                <w:bCs/>
                <w:strike/>
                <w:sz w:val="18"/>
                <w:szCs w:val="18"/>
                <w:lang w:val="fr-FR"/>
              </w:rPr>
            </w:pPr>
            <w:r w:rsidRPr="00A779B8">
              <w:rPr>
                <w:bCs/>
                <w:sz w:val="18"/>
                <w:szCs w:val="18"/>
                <w:lang w:val="fr-FR"/>
              </w:rPr>
              <w:t>195</w:t>
            </w:r>
          </w:p>
        </w:tc>
        <w:tc>
          <w:tcPr>
            <w:tcW w:w="2234" w:type="dxa"/>
            <w:tcBorders>
              <w:top w:val="nil"/>
            </w:tcBorders>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3405</w:t>
            </w:r>
          </w:p>
        </w:tc>
      </w:tr>
      <w:tr w:rsidR="002B4B8E" w:rsidRPr="00A779B8" w:rsidTr="00DB4C2D">
        <w:trPr>
          <w:trHeight w:val="85"/>
          <w:jc w:val="center"/>
        </w:trPr>
        <w:tc>
          <w:tcPr>
            <w:tcW w:w="3638"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Résidus</w:t>
            </w:r>
          </w:p>
        </w:tc>
        <w:tc>
          <w:tcPr>
            <w:tcW w:w="1128"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9" w:type="dxa"/>
            <w:tcBorders>
              <w:bottom w:val="single" w:sz="4" w:space="0" w:color="auto"/>
            </w:tcBorders>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w:t>
            </w:r>
          </w:p>
        </w:tc>
        <w:tc>
          <w:tcPr>
            <w:tcW w:w="1320" w:type="dxa"/>
            <w:tcBorders>
              <w:bottom w:val="single" w:sz="4" w:space="0" w:color="auto"/>
            </w:tcBorders>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2,0</w:t>
            </w:r>
          </w:p>
        </w:tc>
        <w:tc>
          <w:tcPr>
            <w:tcW w:w="2234" w:type="dxa"/>
            <w:tcBorders>
              <w:bottom w:val="single" w:sz="4" w:space="0" w:color="auto"/>
            </w:tcBorders>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3405</w:t>
            </w:r>
          </w:p>
        </w:tc>
      </w:tr>
      <w:tr w:rsidR="002B4B8E" w:rsidRPr="00A779B8" w:rsidTr="00DB4C2D">
        <w:trPr>
          <w:trHeight w:val="114"/>
          <w:jc w:val="center"/>
        </w:trPr>
        <w:tc>
          <w:tcPr>
            <w:tcW w:w="3638" w:type="dxa"/>
            <w:tcBorders>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Analyse des hydrocarbures:</w:t>
            </w:r>
          </w:p>
        </w:tc>
        <w:tc>
          <w:tcPr>
            <w:tcW w:w="1128"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9" w:type="dxa"/>
            <w:tcBorders>
              <w:bottom w:val="nil"/>
            </w:tcBorders>
          </w:tcPr>
          <w:p w:rsidR="002B4B8E" w:rsidRPr="00A779B8" w:rsidRDefault="002B4B8E" w:rsidP="00DB4C2D">
            <w:pPr>
              <w:spacing w:before="60" w:after="60" w:line="220" w:lineRule="atLeast"/>
              <w:jc w:val="center"/>
              <w:rPr>
                <w:bCs/>
                <w:sz w:val="18"/>
                <w:szCs w:val="18"/>
                <w:lang w:val="fr-FR"/>
              </w:rPr>
            </w:pPr>
          </w:p>
        </w:tc>
        <w:tc>
          <w:tcPr>
            <w:tcW w:w="1320" w:type="dxa"/>
            <w:tcBorders>
              <w:bottom w:val="nil"/>
            </w:tcBorders>
          </w:tcPr>
          <w:p w:rsidR="002B4B8E" w:rsidRPr="00A779B8" w:rsidRDefault="002B4B8E" w:rsidP="00DB4C2D">
            <w:pPr>
              <w:spacing w:before="60" w:after="60" w:line="220" w:lineRule="atLeast"/>
              <w:jc w:val="center"/>
              <w:rPr>
                <w:bCs/>
                <w:sz w:val="18"/>
                <w:szCs w:val="18"/>
                <w:lang w:val="fr-FR"/>
              </w:rPr>
            </w:pPr>
          </w:p>
        </w:tc>
        <w:tc>
          <w:tcPr>
            <w:tcW w:w="2234" w:type="dxa"/>
            <w:tcBorders>
              <w:bottom w:val="nil"/>
            </w:tcBorders>
          </w:tcPr>
          <w:p w:rsidR="002B4B8E" w:rsidRPr="00A779B8" w:rsidRDefault="002B4B8E" w:rsidP="00DB4C2D">
            <w:pPr>
              <w:spacing w:before="60" w:after="60" w:line="220" w:lineRule="atLeast"/>
              <w:rPr>
                <w:bCs/>
                <w:sz w:val="18"/>
                <w:szCs w:val="18"/>
                <w:lang w:val="fr-FR"/>
              </w:rPr>
            </w:pPr>
          </w:p>
        </w:tc>
      </w:tr>
      <w:tr w:rsidR="002B4B8E" w:rsidRPr="00A779B8" w:rsidTr="00DB4C2D">
        <w:trPr>
          <w:trHeight w:val="95"/>
          <w:jc w:val="center"/>
        </w:trPr>
        <w:tc>
          <w:tcPr>
            <w:tcW w:w="3638"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Oléfines</w:t>
            </w:r>
          </w:p>
        </w:tc>
        <w:tc>
          <w:tcPr>
            <w:tcW w:w="1128"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9" w:type="dxa"/>
            <w:tcBorders>
              <w:top w:val="nil"/>
              <w:bottom w:val="nil"/>
            </w:tcBorders>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6,0</w:t>
            </w:r>
          </w:p>
        </w:tc>
        <w:tc>
          <w:tcPr>
            <w:tcW w:w="1320" w:type="dxa"/>
            <w:tcBorders>
              <w:top w:val="nil"/>
              <w:bottom w:val="nil"/>
            </w:tcBorders>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 xml:space="preserve">13,0 </w:t>
            </w:r>
          </w:p>
        </w:tc>
        <w:tc>
          <w:tcPr>
            <w:tcW w:w="2234" w:type="dxa"/>
            <w:tcBorders>
              <w:top w:val="nil"/>
              <w:bottom w:val="nil"/>
            </w:tcBorders>
          </w:tcPr>
          <w:p w:rsidR="002B4B8E" w:rsidRPr="00A779B8" w:rsidRDefault="002B4B8E" w:rsidP="00DB4C2D">
            <w:pPr>
              <w:spacing w:before="60" w:after="60" w:line="220" w:lineRule="atLeast"/>
              <w:rPr>
                <w:bCs/>
                <w:sz w:val="18"/>
                <w:szCs w:val="18"/>
                <w:lang w:val="fr-FR"/>
              </w:rPr>
            </w:pPr>
            <w:r w:rsidRPr="00A779B8">
              <w:rPr>
                <w:bCs/>
                <w:sz w:val="18"/>
                <w:szCs w:val="18"/>
                <w:lang w:val="fr-FR"/>
              </w:rPr>
              <w:t>EN 22854</w:t>
            </w:r>
          </w:p>
        </w:tc>
      </w:tr>
      <w:tr w:rsidR="002B4B8E" w:rsidRPr="00A779B8" w:rsidTr="00DB4C2D">
        <w:trPr>
          <w:trHeight w:val="85"/>
          <w:jc w:val="center"/>
        </w:trPr>
        <w:tc>
          <w:tcPr>
            <w:tcW w:w="3638" w:type="dxa"/>
            <w:tcBorders>
              <w:top w:val="nil"/>
              <w:bottom w:val="single" w:sz="4" w:space="0" w:color="auto"/>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Aromatiques</w:t>
            </w:r>
          </w:p>
        </w:tc>
        <w:tc>
          <w:tcPr>
            <w:tcW w:w="1128" w:type="dxa"/>
            <w:tcBorders>
              <w:top w:val="nil"/>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9" w:type="dxa"/>
            <w:tcBorders>
              <w:top w:val="nil"/>
              <w:bottom w:val="single" w:sz="4" w:space="0" w:color="auto"/>
            </w:tcBorders>
          </w:tcPr>
          <w:p w:rsidR="002B4B8E" w:rsidRPr="00A779B8" w:rsidRDefault="002B4B8E" w:rsidP="00DB4C2D">
            <w:pPr>
              <w:spacing w:before="60" w:after="60" w:line="220" w:lineRule="atLeast"/>
              <w:jc w:val="center"/>
              <w:rPr>
                <w:bCs/>
                <w:strike/>
                <w:sz w:val="18"/>
                <w:szCs w:val="18"/>
                <w:lang w:val="fr-FR"/>
              </w:rPr>
            </w:pPr>
            <w:r w:rsidRPr="00A779B8">
              <w:rPr>
                <w:bCs/>
                <w:sz w:val="18"/>
                <w:szCs w:val="18"/>
                <w:lang w:val="fr-FR"/>
              </w:rPr>
              <w:t>25,0</w:t>
            </w:r>
          </w:p>
        </w:tc>
        <w:tc>
          <w:tcPr>
            <w:tcW w:w="1320" w:type="dxa"/>
            <w:tcBorders>
              <w:top w:val="nil"/>
              <w:bottom w:val="single" w:sz="4" w:space="0" w:color="auto"/>
            </w:tcBorders>
          </w:tcPr>
          <w:p w:rsidR="002B4B8E" w:rsidRPr="00A779B8" w:rsidRDefault="002B4B8E" w:rsidP="00DB4C2D">
            <w:pPr>
              <w:spacing w:before="60" w:after="60" w:line="220" w:lineRule="atLeast"/>
              <w:jc w:val="center"/>
              <w:rPr>
                <w:bCs/>
                <w:strike/>
                <w:sz w:val="18"/>
                <w:szCs w:val="18"/>
                <w:lang w:val="fr-FR"/>
              </w:rPr>
            </w:pPr>
            <w:r w:rsidRPr="00A779B8">
              <w:rPr>
                <w:bCs/>
                <w:sz w:val="18"/>
                <w:szCs w:val="18"/>
                <w:lang w:val="fr-FR"/>
              </w:rPr>
              <w:t>32,0</w:t>
            </w:r>
          </w:p>
        </w:tc>
        <w:tc>
          <w:tcPr>
            <w:tcW w:w="2234" w:type="dxa"/>
            <w:tcBorders>
              <w:top w:val="nil"/>
              <w:bottom w:val="single" w:sz="4" w:space="0" w:color="auto"/>
            </w:tcBorders>
          </w:tcPr>
          <w:p w:rsidR="002B4B8E" w:rsidRPr="00A779B8" w:rsidRDefault="002B4B8E" w:rsidP="00DB4C2D">
            <w:pPr>
              <w:spacing w:before="60" w:after="60" w:line="220" w:lineRule="atLeast"/>
              <w:rPr>
                <w:bCs/>
                <w:sz w:val="18"/>
                <w:szCs w:val="18"/>
                <w:lang w:val="fr-FR"/>
              </w:rPr>
            </w:pPr>
            <w:r w:rsidRPr="00A779B8">
              <w:rPr>
                <w:bCs/>
                <w:sz w:val="18"/>
                <w:szCs w:val="18"/>
                <w:lang w:val="fr-FR"/>
              </w:rPr>
              <w:t>EN 22854</w:t>
            </w:r>
          </w:p>
        </w:tc>
      </w:tr>
      <w:tr w:rsidR="002B4B8E" w:rsidRPr="00A779B8" w:rsidTr="00DB4C2D">
        <w:trPr>
          <w:trHeight w:val="85"/>
          <w:jc w:val="center"/>
        </w:trPr>
        <w:tc>
          <w:tcPr>
            <w:tcW w:w="3638" w:type="dxa"/>
            <w:tcBorders>
              <w:top w:val="single" w:sz="4" w:space="0" w:color="auto"/>
              <w:bottom w:val="nil"/>
            </w:tcBorders>
          </w:tcPr>
          <w:p w:rsidR="002B4B8E" w:rsidRPr="00A779B8" w:rsidRDefault="002B4B8E" w:rsidP="002B4B8E">
            <w:pPr>
              <w:keepNext/>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lastRenderedPageBreak/>
              <w:t>Benzène</w:t>
            </w:r>
          </w:p>
        </w:tc>
        <w:tc>
          <w:tcPr>
            <w:tcW w:w="1128" w:type="dxa"/>
            <w:tcBorders>
              <w:top w:val="single" w:sz="4" w:space="0" w:color="auto"/>
              <w:bottom w:val="nil"/>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 v/v</w:t>
            </w:r>
          </w:p>
        </w:tc>
        <w:tc>
          <w:tcPr>
            <w:tcW w:w="1319" w:type="dxa"/>
            <w:tcBorders>
              <w:top w:val="single" w:sz="4" w:space="0" w:color="auto"/>
              <w:bottom w:val="single" w:sz="4" w:space="0" w:color="auto"/>
            </w:tcBorders>
          </w:tcPr>
          <w:p w:rsidR="002B4B8E" w:rsidRPr="00A779B8" w:rsidRDefault="002B4B8E" w:rsidP="00DB4C2D">
            <w:pPr>
              <w:keepNext/>
              <w:spacing w:before="60" w:after="60" w:line="220" w:lineRule="atLeast"/>
              <w:jc w:val="center"/>
              <w:rPr>
                <w:bCs/>
                <w:iCs/>
                <w:strike/>
                <w:sz w:val="18"/>
                <w:szCs w:val="18"/>
                <w:lang w:val="fr-FR"/>
              </w:rPr>
            </w:pPr>
            <w:r w:rsidRPr="00A779B8">
              <w:rPr>
                <w:bCs/>
                <w:iCs/>
                <w:sz w:val="18"/>
                <w:szCs w:val="18"/>
                <w:lang w:val="fr-FR"/>
              </w:rPr>
              <w:t>−</w:t>
            </w:r>
          </w:p>
        </w:tc>
        <w:tc>
          <w:tcPr>
            <w:tcW w:w="1320" w:type="dxa"/>
            <w:tcBorders>
              <w:top w:val="single" w:sz="4" w:space="0" w:color="auto"/>
              <w:bottom w:val="single" w:sz="4" w:space="0" w:color="auto"/>
            </w:tcBorders>
          </w:tcPr>
          <w:p w:rsidR="002B4B8E" w:rsidRPr="00A779B8" w:rsidRDefault="002B4B8E" w:rsidP="00DB4C2D">
            <w:pPr>
              <w:keepNext/>
              <w:spacing w:before="60" w:after="60" w:line="220" w:lineRule="atLeast"/>
              <w:jc w:val="center"/>
              <w:rPr>
                <w:bCs/>
                <w:strike/>
                <w:sz w:val="18"/>
                <w:szCs w:val="18"/>
                <w:lang w:val="fr-FR"/>
              </w:rPr>
            </w:pPr>
            <w:r w:rsidRPr="00A779B8">
              <w:rPr>
                <w:bCs/>
                <w:sz w:val="18"/>
                <w:szCs w:val="18"/>
                <w:lang w:val="fr-FR"/>
              </w:rPr>
              <w:t>1,00</w:t>
            </w:r>
          </w:p>
        </w:tc>
        <w:tc>
          <w:tcPr>
            <w:tcW w:w="2234" w:type="dxa"/>
            <w:tcBorders>
              <w:top w:val="single" w:sz="4" w:space="0" w:color="auto"/>
              <w:bottom w:val="nil"/>
            </w:tcBorders>
          </w:tcPr>
          <w:p w:rsidR="002B4B8E" w:rsidRPr="00A779B8" w:rsidRDefault="002B4B8E" w:rsidP="00DB4C2D">
            <w:pPr>
              <w:keepNext/>
              <w:spacing w:before="60" w:after="60" w:line="220" w:lineRule="atLeast"/>
              <w:rPr>
                <w:bCs/>
                <w:sz w:val="18"/>
                <w:szCs w:val="18"/>
                <w:lang w:val="fr-FR"/>
              </w:rPr>
            </w:pPr>
            <w:r w:rsidRPr="00A779B8">
              <w:rPr>
                <w:bCs/>
                <w:sz w:val="18"/>
                <w:szCs w:val="18"/>
                <w:lang w:val="fr-FR"/>
              </w:rPr>
              <w:t>EN 22854</w:t>
            </w:r>
            <w:r w:rsidRPr="00A779B8">
              <w:rPr>
                <w:bCs/>
                <w:sz w:val="18"/>
                <w:szCs w:val="18"/>
                <w:lang w:val="fr-FR"/>
              </w:rPr>
              <w:br/>
              <w:t>EN 238</w:t>
            </w:r>
          </w:p>
        </w:tc>
      </w:tr>
      <w:tr w:rsidR="002B4B8E" w:rsidRPr="00A779B8" w:rsidTr="00DB4C2D">
        <w:trPr>
          <w:trHeight w:val="85"/>
          <w:jc w:val="center"/>
        </w:trPr>
        <w:tc>
          <w:tcPr>
            <w:tcW w:w="3638" w:type="dxa"/>
            <w:tcBorders>
              <w:top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Saturés</w:t>
            </w:r>
          </w:p>
        </w:tc>
        <w:tc>
          <w:tcPr>
            <w:tcW w:w="1128"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2639" w:type="dxa"/>
            <w:gridSpan w:val="2"/>
            <w:tcBorders>
              <w:top w:val="single" w:sz="4" w:space="0" w:color="auto"/>
            </w:tcBorders>
          </w:tcPr>
          <w:p w:rsidR="002B4B8E" w:rsidRPr="00A779B8" w:rsidRDefault="002B4B8E" w:rsidP="00DB4C2D">
            <w:pPr>
              <w:spacing w:before="60" w:after="60" w:line="220" w:lineRule="atLeast"/>
              <w:jc w:val="center"/>
              <w:rPr>
                <w:bCs/>
                <w:sz w:val="18"/>
                <w:szCs w:val="18"/>
                <w:lang w:val="fr-FR"/>
              </w:rPr>
            </w:pPr>
            <w:r w:rsidRPr="00A779B8">
              <w:rPr>
                <w:sz w:val="18"/>
                <w:szCs w:val="18"/>
                <w:lang w:val="fr-FR"/>
              </w:rPr>
              <w:t>Valeur déclarée</w:t>
            </w:r>
          </w:p>
        </w:tc>
        <w:tc>
          <w:tcPr>
            <w:tcW w:w="2234" w:type="dxa"/>
            <w:tcBorders>
              <w:top w:val="nil"/>
            </w:tcBorders>
          </w:tcPr>
          <w:p w:rsidR="002B4B8E" w:rsidRPr="00A779B8" w:rsidRDefault="002B4B8E" w:rsidP="00DB4C2D">
            <w:pPr>
              <w:spacing w:before="60" w:after="60" w:line="220" w:lineRule="atLeast"/>
              <w:rPr>
                <w:bCs/>
                <w:sz w:val="18"/>
                <w:szCs w:val="18"/>
                <w:lang w:val="fr-FR"/>
              </w:rPr>
            </w:pPr>
            <w:r w:rsidRPr="00A779B8">
              <w:rPr>
                <w:bCs/>
                <w:sz w:val="18"/>
                <w:szCs w:val="18"/>
                <w:lang w:val="fr-FR"/>
              </w:rPr>
              <w:t>EN 22854</w:t>
            </w:r>
          </w:p>
        </w:tc>
      </w:tr>
      <w:tr w:rsidR="002B4B8E" w:rsidRPr="00A779B8" w:rsidTr="00DB4C2D">
        <w:trPr>
          <w:trHeight w:val="106"/>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Rapport carbone/hydrogène</w:t>
            </w:r>
          </w:p>
        </w:tc>
        <w:tc>
          <w:tcPr>
            <w:tcW w:w="1128" w:type="dxa"/>
          </w:tcPr>
          <w:p w:rsidR="002B4B8E" w:rsidRPr="00A779B8" w:rsidRDefault="002B4B8E" w:rsidP="00DB4C2D">
            <w:pPr>
              <w:spacing w:before="60" w:after="60" w:line="220" w:lineRule="atLeast"/>
              <w:jc w:val="center"/>
              <w:rPr>
                <w:sz w:val="18"/>
                <w:szCs w:val="18"/>
                <w:lang w:val="fr-FR"/>
              </w:rPr>
            </w:pPr>
          </w:p>
        </w:tc>
        <w:tc>
          <w:tcPr>
            <w:tcW w:w="2639" w:type="dxa"/>
            <w:gridSpan w:val="2"/>
          </w:tcPr>
          <w:p w:rsidR="002B4B8E" w:rsidRPr="00A779B8" w:rsidRDefault="002B4B8E" w:rsidP="00DB4C2D">
            <w:pPr>
              <w:spacing w:before="60" w:after="60" w:line="220" w:lineRule="atLeast"/>
              <w:jc w:val="center"/>
              <w:rPr>
                <w:bCs/>
                <w:sz w:val="18"/>
                <w:szCs w:val="18"/>
                <w:lang w:val="fr-FR"/>
              </w:rPr>
            </w:pPr>
            <w:r w:rsidRPr="00A779B8">
              <w:rPr>
                <w:sz w:val="18"/>
                <w:szCs w:val="18"/>
                <w:lang w:val="fr-FR"/>
              </w:rPr>
              <w:t>Valeur déclarée</w:t>
            </w:r>
          </w:p>
        </w:tc>
        <w:tc>
          <w:tcPr>
            <w:tcW w:w="2234" w:type="dxa"/>
          </w:tcPr>
          <w:p w:rsidR="002B4B8E" w:rsidRPr="00A779B8" w:rsidRDefault="002B4B8E" w:rsidP="00DB4C2D">
            <w:pPr>
              <w:spacing w:before="60" w:after="60" w:line="220" w:lineRule="atLeast"/>
              <w:rPr>
                <w:bCs/>
                <w:sz w:val="18"/>
                <w:szCs w:val="18"/>
                <w:lang w:val="fr-FR"/>
              </w:rPr>
            </w:pPr>
          </w:p>
        </w:tc>
      </w:tr>
      <w:tr w:rsidR="002B4B8E" w:rsidRPr="00A779B8" w:rsidTr="00DB4C2D">
        <w:trPr>
          <w:trHeight w:val="85"/>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Rapport carbone/oxygène</w:t>
            </w:r>
          </w:p>
        </w:tc>
        <w:tc>
          <w:tcPr>
            <w:tcW w:w="1128" w:type="dxa"/>
          </w:tcPr>
          <w:p w:rsidR="002B4B8E" w:rsidRPr="00A779B8" w:rsidRDefault="002B4B8E" w:rsidP="00DB4C2D">
            <w:pPr>
              <w:spacing w:before="60" w:after="60" w:line="220" w:lineRule="atLeast"/>
              <w:jc w:val="center"/>
              <w:rPr>
                <w:sz w:val="18"/>
                <w:szCs w:val="18"/>
                <w:lang w:val="fr-FR"/>
              </w:rPr>
            </w:pPr>
          </w:p>
        </w:tc>
        <w:tc>
          <w:tcPr>
            <w:tcW w:w="2639" w:type="dxa"/>
            <w:gridSpan w:val="2"/>
          </w:tcPr>
          <w:p w:rsidR="002B4B8E" w:rsidRPr="00A779B8" w:rsidRDefault="002B4B8E" w:rsidP="00DB4C2D">
            <w:pPr>
              <w:spacing w:before="60" w:after="60" w:line="220" w:lineRule="atLeast"/>
              <w:jc w:val="center"/>
              <w:rPr>
                <w:bCs/>
                <w:sz w:val="18"/>
                <w:szCs w:val="18"/>
                <w:lang w:val="fr-FR"/>
              </w:rPr>
            </w:pPr>
            <w:r w:rsidRPr="00A779B8">
              <w:rPr>
                <w:sz w:val="18"/>
                <w:szCs w:val="18"/>
                <w:lang w:val="fr-FR"/>
              </w:rPr>
              <w:t>Valeur déclarée</w:t>
            </w:r>
          </w:p>
        </w:tc>
        <w:tc>
          <w:tcPr>
            <w:tcW w:w="2234" w:type="dxa"/>
          </w:tcPr>
          <w:p w:rsidR="002B4B8E" w:rsidRPr="00A779B8" w:rsidRDefault="002B4B8E" w:rsidP="00DB4C2D">
            <w:pPr>
              <w:spacing w:before="60" w:after="60" w:line="220" w:lineRule="atLeast"/>
              <w:rPr>
                <w:bCs/>
                <w:sz w:val="18"/>
                <w:szCs w:val="18"/>
                <w:lang w:val="fr-FR"/>
              </w:rPr>
            </w:pPr>
          </w:p>
        </w:tc>
      </w:tr>
      <w:tr w:rsidR="002B4B8E" w:rsidRPr="00A779B8" w:rsidTr="00DB4C2D">
        <w:trPr>
          <w:trHeight w:val="98"/>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Période d</w:t>
            </w:r>
            <w:r w:rsidR="00DB4C2D">
              <w:rPr>
                <w:sz w:val="18"/>
                <w:szCs w:val="18"/>
                <w:lang w:val="fr-FR"/>
              </w:rPr>
              <w:t>’</w:t>
            </w:r>
            <w:r w:rsidRPr="00A779B8">
              <w:rPr>
                <w:sz w:val="18"/>
                <w:szCs w:val="18"/>
                <w:lang w:val="fr-FR"/>
              </w:rPr>
              <w:t>induction</w:t>
            </w:r>
            <w:r w:rsidRPr="00A779B8">
              <w:rPr>
                <w:i/>
                <w:sz w:val="18"/>
                <w:szCs w:val="18"/>
                <w:vertAlign w:val="superscript"/>
                <w:lang w:val="fr-FR"/>
              </w:rPr>
              <w:t>3</w:t>
            </w:r>
          </w:p>
        </w:tc>
        <w:tc>
          <w:tcPr>
            <w:tcW w:w="112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minutes</w:t>
            </w:r>
          </w:p>
        </w:tc>
        <w:tc>
          <w:tcPr>
            <w:tcW w:w="1319"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480</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7536</w:t>
            </w:r>
          </w:p>
        </w:tc>
      </w:tr>
      <w:tr w:rsidR="002B4B8E" w:rsidRPr="00A779B8" w:rsidTr="00DB4C2D">
        <w:trPr>
          <w:trHeight w:val="85"/>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oxygène</w:t>
            </w:r>
            <w:r w:rsidRPr="00A779B8">
              <w:rPr>
                <w:i/>
                <w:sz w:val="18"/>
                <w:szCs w:val="18"/>
                <w:vertAlign w:val="superscript"/>
                <w:lang w:val="fr-FR"/>
              </w:rPr>
              <w:t>4</w:t>
            </w:r>
          </w:p>
        </w:tc>
        <w:tc>
          <w:tcPr>
            <w:tcW w:w="112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m/m</w:t>
            </w:r>
          </w:p>
        </w:tc>
        <w:tc>
          <w:tcPr>
            <w:tcW w:w="1319"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3,3</w:t>
            </w:r>
          </w:p>
        </w:tc>
        <w:tc>
          <w:tcPr>
            <w:tcW w:w="1320"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3,7</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EN 22854</w:t>
            </w:r>
          </w:p>
        </w:tc>
      </w:tr>
      <w:tr w:rsidR="002B4B8E" w:rsidRPr="00A779B8" w:rsidTr="00DB4C2D">
        <w:trPr>
          <w:trHeight w:val="218"/>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 xml:space="preserve">Gomme lavée avec un solvant </w:t>
            </w:r>
            <w:r w:rsidRPr="00A779B8">
              <w:rPr>
                <w:sz w:val="18"/>
                <w:szCs w:val="18"/>
                <w:lang w:val="fr-FR"/>
              </w:rPr>
              <w:br/>
              <w:t>(teneur en gomme actuelle)</w:t>
            </w:r>
          </w:p>
        </w:tc>
        <w:tc>
          <w:tcPr>
            <w:tcW w:w="112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mg/100ml</w:t>
            </w:r>
          </w:p>
        </w:tc>
        <w:tc>
          <w:tcPr>
            <w:tcW w:w="1319"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4</w:t>
            </w:r>
          </w:p>
          <w:p w:rsidR="002B4B8E" w:rsidRPr="00A779B8" w:rsidRDefault="002B4B8E" w:rsidP="00DB4C2D">
            <w:pPr>
              <w:spacing w:before="60" w:after="60" w:line="220" w:lineRule="atLeast"/>
              <w:jc w:val="center"/>
              <w:rPr>
                <w:bCs/>
                <w:sz w:val="18"/>
                <w:szCs w:val="18"/>
                <w:lang w:val="fr-FR"/>
              </w:rPr>
            </w:pP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6246</w:t>
            </w:r>
          </w:p>
        </w:tc>
      </w:tr>
      <w:tr w:rsidR="002B4B8E" w:rsidRPr="00A779B8" w:rsidTr="00DB4C2D">
        <w:trPr>
          <w:trHeight w:val="96"/>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soufre</w:t>
            </w:r>
            <w:r w:rsidRPr="00A779B8">
              <w:rPr>
                <w:i/>
                <w:sz w:val="18"/>
                <w:szCs w:val="18"/>
                <w:vertAlign w:val="superscript"/>
                <w:lang w:val="fr-FR"/>
              </w:rPr>
              <w:t>5</w:t>
            </w:r>
          </w:p>
        </w:tc>
        <w:tc>
          <w:tcPr>
            <w:tcW w:w="112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mg/kg</w:t>
            </w:r>
          </w:p>
        </w:tc>
        <w:tc>
          <w:tcPr>
            <w:tcW w:w="1319"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10</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20846</w:t>
            </w:r>
          </w:p>
          <w:p w:rsidR="002B4B8E" w:rsidRPr="00A779B8" w:rsidRDefault="002B4B8E" w:rsidP="00DB4C2D">
            <w:pPr>
              <w:spacing w:before="60" w:after="60" w:line="220" w:lineRule="atLeast"/>
              <w:rPr>
                <w:bCs/>
                <w:sz w:val="18"/>
                <w:szCs w:val="18"/>
                <w:lang w:val="fr-FR"/>
              </w:rPr>
            </w:pPr>
            <w:r w:rsidRPr="00A779B8">
              <w:rPr>
                <w:bCs/>
                <w:sz w:val="18"/>
                <w:szCs w:val="18"/>
                <w:lang w:val="fr-FR"/>
              </w:rPr>
              <w:t>EN ISO 20884</w:t>
            </w:r>
          </w:p>
        </w:tc>
      </w:tr>
      <w:tr w:rsidR="002B4B8E" w:rsidRPr="00A779B8" w:rsidTr="00DB4C2D">
        <w:trPr>
          <w:trHeight w:val="85"/>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Corrosion du cuivre 3 h, 50 °C</w:t>
            </w:r>
          </w:p>
        </w:tc>
        <w:tc>
          <w:tcPr>
            <w:tcW w:w="1128" w:type="dxa"/>
          </w:tcPr>
          <w:p w:rsidR="002B4B8E" w:rsidRPr="00A779B8" w:rsidRDefault="002B4B8E" w:rsidP="00DB4C2D">
            <w:pPr>
              <w:spacing w:before="60" w:after="60" w:line="220" w:lineRule="atLeast"/>
              <w:jc w:val="center"/>
              <w:rPr>
                <w:sz w:val="18"/>
                <w:szCs w:val="18"/>
                <w:lang w:val="fr-FR"/>
              </w:rPr>
            </w:pPr>
          </w:p>
        </w:tc>
        <w:tc>
          <w:tcPr>
            <w:tcW w:w="1319"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Classe 1</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EN ISO 2160</w:t>
            </w:r>
          </w:p>
        </w:tc>
      </w:tr>
      <w:tr w:rsidR="002B4B8E" w:rsidRPr="00A779B8" w:rsidTr="00DB4C2D">
        <w:trPr>
          <w:trHeight w:val="85"/>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plomb</w:t>
            </w:r>
          </w:p>
        </w:tc>
        <w:tc>
          <w:tcPr>
            <w:tcW w:w="112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mg/l</w:t>
            </w:r>
          </w:p>
        </w:tc>
        <w:tc>
          <w:tcPr>
            <w:tcW w:w="1319"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5</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EN 237</w:t>
            </w:r>
          </w:p>
        </w:tc>
      </w:tr>
      <w:tr w:rsidR="002B4B8E" w:rsidRPr="00A779B8" w:rsidTr="00DB4C2D">
        <w:trPr>
          <w:trHeight w:val="85"/>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phosphore</w:t>
            </w:r>
            <w:r w:rsidRPr="00A779B8">
              <w:rPr>
                <w:i/>
                <w:sz w:val="18"/>
                <w:szCs w:val="18"/>
                <w:vertAlign w:val="superscript"/>
                <w:lang w:val="fr-FR"/>
              </w:rPr>
              <w:t>6</w:t>
            </w:r>
          </w:p>
        </w:tc>
        <w:tc>
          <w:tcPr>
            <w:tcW w:w="112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mg/l</w:t>
            </w:r>
          </w:p>
        </w:tc>
        <w:tc>
          <w:tcPr>
            <w:tcW w:w="1319"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1,3</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ASTM D 3231</w:t>
            </w:r>
          </w:p>
        </w:tc>
      </w:tr>
      <w:tr w:rsidR="002B4B8E" w:rsidRPr="00A779B8" w:rsidTr="00DB4C2D">
        <w:trPr>
          <w:trHeight w:val="85"/>
          <w:jc w:val="center"/>
        </w:trPr>
        <w:tc>
          <w:tcPr>
            <w:tcW w:w="3638" w:type="dxa"/>
          </w:tcPr>
          <w:p w:rsidR="002B4B8E" w:rsidRPr="00A779B8" w:rsidRDefault="002B4B8E" w:rsidP="00DB4C2D">
            <w:pPr>
              <w:spacing w:before="60" w:after="60" w:line="220" w:lineRule="atLeast"/>
              <w:rPr>
                <w:sz w:val="18"/>
                <w:szCs w:val="18"/>
                <w:lang w:val="fr-FR"/>
              </w:rPr>
            </w:pPr>
            <w:r w:rsidRPr="00A779B8">
              <w:rPr>
                <w:sz w:val="18"/>
                <w:szCs w:val="18"/>
                <w:lang w:val="fr-FR"/>
              </w:rPr>
              <w:t>Éthanol</w:t>
            </w:r>
            <w:r w:rsidRPr="00A779B8">
              <w:rPr>
                <w:i/>
                <w:sz w:val="18"/>
                <w:szCs w:val="18"/>
                <w:vertAlign w:val="superscript"/>
                <w:lang w:val="fr-FR"/>
              </w:rPr>
              <w:t>4</w:t>
            </w:r>
          </w:p>
        </w:tc>
        <w:tc>
          <w:tcPr>
            <w:tcW w:w="1128"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9" w:type="dxa"/>
          </w:tcPr>
          <w:p w:rsidR="002B4B8E" w:rsidRPr="00A779B8" w:rsidRDefault="002B4B8E" w:rsidP="00DB4C2D">
            <w:pPr>
              <w:spacing w:before="60" w:after="60" w:line="220" w:lineRule="atLeast"/>
              <w:jc w:val="center"/>
              <w:rPr>
                <w:bCs/>
                <w:strike/>
                <w:sz w:val="18"/>
                <w:szCs w:val="18"/>
                <w:lang w:val="fr-FR"/>
              </w:rPr>
            </w:pPr>
            <w:r w:rsidRPr="00A779B8">
              <w:rPr>
                <w:bCs/>
                <w:sz w:val="18"/>
                <w:szCs w:val="18"/>
                <w:lang w:val="fr-FR"/>
              </w:rPr>
              <w:t>9,0</w:t>
            </w:r>
          </w:p>
        </w:tc>
        <w:tc>
          <w:tcPr>
            <w:tcW w:w="1320" w:type="dxa"/>
          </w:tcPr>
          <w:p w:rsidR="002B4B8E" w:rsidRPr="00A779B8" w:rsidRDefault="002B4B8E" w:rsidP="00DB4C2D">
            <w:pPr>
              <w:spacing w:before="60" w:after="60" w:line="220" w:lineRule="atLeast"/>
              <w:jc w:val="center"/>
              <w:rPr>
                <w:bCs/>
                <w:sz w:val="18"/>
                <w:szCs w:val="18"/>
                <w:lang w:val="fr-FR"/>
              </w:rPr>
            </w:pPr>
            <w:r w:rsidRPr="00A779B8">
              <w:rPr>
                <w:bCs/>
                <w:sz w:val="18"/>
                <w:szCs w:val="18"/>
                <w:lang w:val="fr-FR"/>
              </w:rPr>
              <w:t>10,0</w:t>
            </w:r>
          </w:p>
        </w:tc>
        <w:tc>
          <w:tcPr>
            <w:tcW w:w="2234" w:type="dxa"/>
          </w:tcPr>
          <w:p w:rsidR="002B4B8E" w:rsidRPr="00A779B8" w:rsidRDefault="002B4B8E" w:rsidP="00DB4C2D">
            <w:pPr>
              <w:spacing w:before="60" w:after="60" w:line="220" w:lineRule="atLeast"/>
              <w:rPr>
                <w:bCs/>
                <w:sz w:val="18"/>
                <w:szCs w:val="18"/>
                <w:lang w:val="fr-FR"/>
              </w:rPr>
            </w:pPr>
            <w:r w:rsidRPr="00A779B8">
              <w:rPr>
                <w:bCs/>
                <w:sz w:val="18"/>
                <w:szCs w:val="18"/>
                <w:lang w:val="fr-FR"/>
              </w:rPr>
              <w:t>EN 22854</w:t>
            </w:r>
          </w:p>
        </w:tc>
      </w:tr>
    </w:tbl>
    <w:p w:rsidR="002B4B8E" w:rsidRPr="00A779B8" w:rsidRDefault="002B4B8E" w:rsidP="002B4B8E">
      <w:pPr>
        <w:spacing w:before="120"/>
        <w:ind w:left="454" w:hanging="284"/>
        <w:rPr>
          <w:sz w:val="18"/>
          <w:szCs w:val="18"/>
          <w:lang w:val="fr-FR"/>
        </w:rPr>
      </w:pPr>
      <w:r w:rsidRPr="00A779B8">
        <w:rPr>
          <w:i/>
          <w:sz w:val="18"/>
          <w:szCs w:val="18"/>
          <w:vertAlign w:val="superscript"/>
          <w:lang w:val="fr-FR"/>
        </w:rPr>
        <w:t>1</w:t>
      </w:r>
      <w:r w:rsidRPr="00A779B8">
        <w:rPr>
          <w:sz w:val="18"/>
          <w:szCs w:val="18"/>
          <w:lang w:val="fr-FR"/>
        </w:rPr>
        <w:tab/>
        <w:t>Les valeurs mentionnées dans les spécifications sont des «valeurs vraies». Les valeurs limites ont été déterminées conformément à la norme ISO 4259 intitulée «Produits pétroliers − Détermination et application des valeurs de fidélité relatives aux méthodes d</w:t>
      </w:r>
      <w:r w:rsidR="00DB4C2D">
        <w:rPr>
          <w:sz w:val="18"/>
          <w:szCs w:val="18"/>
          <w:lang w:val="fr-FR"/>
        </w:rPr>
        <w:t>’</w:t>
      </w:r>
      <w:r w:rsidRPr="00A779B8">
        <w:rPr>
          <w:sz w:val="18"/>
          <w:szCs w:val="18"/>
          <w:lang w:val="fr-FR"/>
        </w:rPr>
        <w:t>essai». Pour la fixation d</w:t>
      </w:r>
      <w:r w:rsidR="00DB4C2D">
        <w:rPr>
          <w:sz w:val="18"/>
          <w:szCs w:val="18"/>
          <w:lang w:val="fr-FR"/>
        </w:rPr>
        <w:t>’</w:t>
      </w:r>
      <w:r w:rsidRPr="00A779B8">
        <w:rPr>
          <w:sz w:val="18"/>
          <w:szCs w:val="18"/>
          <w:lang w:val="fr-FR"/>
        </w:rPr>
        <w:t>un minimum, une différence minimale de 2R par rapport à la valeur zéro a été prise en compte; pour la fixation d</w:t>
      </w:r>
      <w:r w:rsidR="00DB4C2D">
        <w:rPr>
          <w:sz w:val="18"/>
          <w:szCs w:val="18"/>
          <w:lang w:val="fr-FR"/>
        </w:rPr>
        <w:t>’</w:t>
      </w:r>
      <w:r w:rsidRPr="00A779B8">
        <w:rPr>
          <w:sz w:val="18"/>
          <w:szCs w:val="18"/>
          <w:lang w:val="fr-FR"/>
        </w:rPr>
        <w:t>un maximum et d</w:t>
      </w:r>
      <w:r w:rsidR="00DB4C2D">
        <w:rPr>
          <w:sz w:val="18"/>
          <w:szCs w:val="18"/>
          <w:lang w:val="fr-FR"/>
        </w:rPr>
        <w:t>’</w:t>
      </w:r>
      <w:r w:rsidRPr="00A779B8">
        <w:rPr>
          <w:sz w:val="18"/>
          <w:szCs w:val="18"/>
          <w:lang w:val="fr-FR"/>
        </w:rPr>
        <w:t>un minimum, la différence minimale entre ces valeurs est de 4R (R = reproductibilité).</w:t>
      </w:r>
      <w:r>
        <w:rPr>
          <w:i/>
          <w:sz w:val="18"/>
          <w:szCs w:val="18"/>
          <w:vertAlign w:val="superscript"/>
          <w:lang w:val="fr-FR"/>
        </w:rPr>
        <w:t xml:space="preserve"> </w:t>
      </w:r>
      <w:r w:rsidRPr="00A779B8">
        <w:rPr>
          <w:sz w:val="18"/>
          <w:szCs w:val="18"/>
          <w:lang w:val="fr-FR"/>
        </w:rPr>
        <w:t>Malgré cette mesure, qui est nécessaire pour des raisons techniques, le fabricant de carburant doit viser la valeur zéro lorsque la valeur maximale indiquée est de 2R ou la valeur moyenne lorsqu</w:t>
      </w:r>
      <w:r w:rsidR="00DB4C2D">
        <w:rPr>
          <w:sz w:val="18"/>
          <w:szCs w:val="18"/>
          <w:lang w:val="fr-FR"/>
        </w:rPr>
        <w:t>’</w:t>
      </w:r>
      <w:r w:rsidRPr="00A779B8">
        <w:rPr>
          <w:sz w:val="18"/>
          <w:szCs w:val="18"/>
          <w:lang w:val="fr-FR"/>
        </w:rPr>
        <w:t>il existe un minimum et un maximum. Au cas où il est nécessaire de vérifier le respect des spécifications pour un carburant, les dispositions de la norme ISO 4259 doivent être appliquées.</w:t>
      </w:r>
    </w:p>
    <w:p w:rsidR="002B4B8E" w:rsidRPr="00A779B8" w:rsidRDefault="002B4B8E" w:rsidP="002B4B8E">
      <w:pPr>
        <w:ind w:left="454" w:hanging="284"/>
        <w:rPr>
          <w:sz w:val="18"/>
          <w:szCs w:val="18"/>
          <w:lang w:val="fr-FR"/>
        </w:rPr>
      </w:pPr>
      <w:r>
        <w:rPr>
          <w:i/>
          <w:sz w:val="18"/>
          <w:szCs w:val="18"/>
          <w:vertAlign w:val="superscript"/>
          <w:lang w:val="fr-FR"/>
        </w:rPr>
        <w:t>2</w:t>
      </w:r>
      <w:r w:rsidRPr="00A779B8">
        <w:rPr>
          <w:sz w:val="18"/>
          <w:szCs w:val="18"/>
          <w:lang w:val="fr-FR"/>
        </w:rPr>
        <w:tab/>
        <w:t>Un facteur de correction de 0,2 pour IOR et IOM doit être soustrait pour le calcul du résultat final conformément à la spécification EN 228:2008.</w:t>
      </w:r>
    </w:p>
    <w:p w:rsidR="002B4B8E" w:rsidRPr="00A779B8" w:rsidRDefault="002B4B8E" w:rsidP="002B4B8E">
      <w:pPr>
        <w:ind w:left="454" w:hanging="284"/>
        <w:rPr>
          <w:b/>
          <w:bCs/>
          <w:strike/>
          <w:sz w:val="18"/>
          <w:szCs w:val="18"/>
          <w:lang w:val="fr-FR"/>
        </w:rPr>
      </w:pPr>
      <w:r>
        <w:rPr>
          <w:i/>
          <w:sz w:val="18"/>
          <w:szCs w:val="18"/>
          <w:vertAlign w:val="superscript"/>
          <w:lang w:val="fr-FR"/>
        </w:rPr>
        <w:t>3</w:t>
      </w:r>
      <w:r w:rsidRPr="00A779B8">
        <w:rPr>
          <w:sz w:val="18"/>
          <w:szCs w:val="18"/>
          <w:lang w:val="fr-FR"/>
        </w:rPr>
        <w:tab/>
        <w:t>Le carburant peut contenir des additifs antioxydants et des inhibiteurs de catalyse métallique normalement utilisés pour stabiliser les flux d</w:t>
      </w:r>
      <w:r w:rsidR="00DB4C2D">
        <w:rPr>
          <w:sz w:val="18"/>
          <w:szCs w:val="18"/>
          <w:lang w:val="fr-FR"/>
        </w:rPr>
        <w:t>’</w:t>
      </w:r>
      <w:r w:rsidRPr="00A779B8">
        <w:rPr>
          <w:sz w:val="18"/>
          <w:szCs w:val="18"/>
          <w:lang w:val="fr-FR"/>
        </w:rPr>
        <w:t>essence en raffinerie; il ne faut cependant pas y ajouter d</w:t>
      </w:r>
      <w:r w:rsidR="00DB4C2D">
        <w:rPr>
          <w:sz w:val="18"/>
          <w:szCs w:val="18"/>
          <w:lang w:val="fr-FR"/>
        </w:rPr>
        <w:t>’</w:t>
      </w:r>
      <w:r w:rsidRPr="00A779B8">
        <w:rPr>
          <w:sz w:val="18"/>
          <w:szCs w:val="18"/>
          <w:lang w:val="fr-FR"/>
        </w:rPr>
        <w:t>additifs détergents ou dispersants ni d</w:t>
      </w:r>
      <w:r w:rsidR="00DB4C2D">
        <w:rPr>
          <w:sz w:val="18"/>
          <w:szCs w:val="18"/>
          <w:lang w:val="fr-FR"/>
        </w:rPr>
        <w:t>’</w:t>
      </w:r>
      <w:r w:rsidRPr="00A779B8">
        <w:rPr>
          <w:sz w:val="18"/>
          <w:szCs w:val="18"/>
          <w:lang w:val="fr-FR"/>
        </w:rPr>
        <w:t xml:space="preserve">huiles </w:t>
      </w:r>
      <w:proofErr w:type="spellStart"/>
      <w:r w:rsidRPr="00A779B8">
        <w:rPr>
          <w:sz w:val="18"/>
          <w:szCs w:val="18"/>
          <w:lang w:val="fr-FR"/>
        </w:rPr>
        <w:t>solvantes</w:t>
      </w:r>
      <w:proofErr w:type="spellEnd"/>
      <w:r w:rsidRPr="00A779B8">
        <w:rPr>
          <w:sz w:val="18"/>
          <w:szCs w:val="18"/>
          <w:lang w:val="fr-FR"/>
        </w:rPr>
        <w:t>.</w:t>
      </w:r>
    </w:p>
    <w:p w:rsidR="002B4B8E" w:rsidRPr="00A779B8" w:rsidRDefault="002B4B8E" w:rsidP="002B4B8E">
      <w:pPr>
        <w:ind w:left="454" w:hanging="284"/>
        <w:rPr>
          <w:bCs/>
          <w:sz w:val="18"/>
          <w:szCs w:val="18"/>
          <w:lang w:val="fr-FR"/>
        </w:rPr>
      </w:pPr>
      <w:r>
        <w:rPr>
          <w:bCs/>
          <w:i/>
          <w:sz w:val="18"/>
          <w:szCs w:val="18"/>
          <w:vertAlign w:val="superscript"/>
          <w:lang w:val="fr-FR"/>
        </w:rPr>
        <w:t>4</w:t>
      </w:r>
      <w:r w:rsidRPr="00A779B8">
        <w:rPr>
          <w:bCs/>
          <w:sz w:val="18"/>
          <w:szCs w:val="18"/>
          <w:lang w:val="fr-FR"/>
        </w:rPr>
        <w:tab/>
      </w:r>
      <w:r w:rsidRPr="00A779B8">
        <w:rPr>
          <w:sz w:val="18"/>
          <w:szCs w:val="18"/>
          <w:lang w:val="fr-FR"/>
        </w:rPr>
        <w:t>Le seul oxygénant pouvant être ajouté délibérément au carburant de référence est l</w:t>
      </w:r>
      <w:r w:rsidR="00DB4C2D">
        <w:rPr>
          <w:sz w:val="18"/>
          <w:szCs w:val="18"/>
          <w:lang w:val="fr-FR"/>
        </w:rPr>
        <w:t>’</w:t>
      </w:r>
      <w:r w:rsidRPr="00A779B8">
        <w:rPr>
          <w:sz w:val="18"/>
          <w:szCs w:val="18"/>
          <w:lang w:val="fr-FR"/>
        </w:rPr>
        <w:t>éthanol conforme à la spécification EN 15376</w:t>
      </w:r>
      <w:r w:rsidRPr="00A779B8">
        <w:rPr>
          <w:bCs/>
          <w:sz w:val="18"/>
          <w:szCs w:val="18"/>
          <w:lang w:val="fr-FR"/>
        </w:rPr>
        <w:t>.</w:t>
      </w:r>
    </w:p>
    <w:p w:rsidR="002B4B8E" w:rsidRPr="002B4B8E" w:rsidRDefault="002B4B8E" w:rsidP="002B4B8E">
      <w:pPr>
        <w:ind w:left="454" w:hanging="284"/>
        <w:rPr>
          <w:sz w:val="18"/>
          <w:szCs w:val="18"/>
          <w:lang w:val="fr-FR"/>
        </w:rPr>
      </w:pPr>
      <w:r>
        <w:rPr>
          <w:i/>
          <w:vertAlign w:val="superscript"/>
          <w:lang w:val="fr-FR"/>
        </w:rPr>
        <w:t>5</w:t>
      </w:r>
      <w:r w:rsidRPr="00A779B8">
        <w:rPr>
          <w:lang w:val="fr-FR"/>
        </w:rPr>
        <w:tab/>
      </w:r>
      <w:r w:rsidRPr="002B4B8E">
        <w:rPr>
          <w:sz w:val="18"/>
          <w:szCs w:val="18"/>
          <w:lang w:val="fr-FR"/>
        </w:rPr>
        <w:t xml:space="preserve">Il convient de communiquer la teneur en soufre effective du carburant utilisé pour les essais du type I. </w:t>
      </w:r>
    </w:p>
    <w:p w:rsidR="005A0132" w:rsidRDefault="002B4B8E" w:rsidP="002B4B8E">
      <w:pPr>
        <w:ind w:left="454" w:hanging="284"/>
        <w:rPr>
          <w:lang w:val="fr-FR"/>
        </w:rPr>
      </w:pPr>
      <w:r w:rsidRPr="002B4B8E">
        <w:rPr>
          <w:i/>
          <w:sz w:val="18"/>
          <w:szCs w:val="18"/>
          <w:vertAlign w:val="superscript"/>
          <w:lang w:val="fr-FR"/>
        </w:rPr>
        <w:t>6</w:t>
      </w:r>
      <w:r w:rsidRPr="002B4B8E">
        <w:rPr>
          <w:sz w:val="18"/>
          <w:szCs w:val="18"/>
          <w:lang w:val="fr-FR"/>
        </w:rPr>
        <w:tab/>
        <w:t>Aucun composant contenant du phosphore, du fer, du manganèse ou du plomb ne doit être ajouté délibérément au carburant de référence.</w:t>
      </w:r>
    </w:p>
    <w:p w:rsidR="002B4B8E" w:rsidRPr="00A779B8" w:rsidRDefault="002B4B8E" w:rsidP="002B4B8E">
      <w:pPr>
        <w:pStyle w:val="Titre1"/>
        <w:spacing w:before="240" w:after="120"/>
        <w:ind w:left="0"/>
        <w:rPr>
          <w:b/>
          <w:lang w:val="fr-FR"/>
        </w:rPr>
      </w:pPr>
      <w:r w:rsidRPr="00A779B8">
        <w:rPr>
          <w:b/>
          <w:lang w:val="fr-FR"/>
        </w:rPr>
        <w:lastRenderedPageBreak/>
        <w:t>Type: Éthanol (E85)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42"/>
        <w:gridCol w:w="1122"/>
        <w:gridCol w:w="1317"/>
        <w:gridCol w:w="1317"/>
        <w:gridCol w:w="2241"/>
      </w:tblGrid>
      <w:tr w:rsidR="002B4B8E" w:rsidRPr="00A779B8" w:rsidTr="00DB4C2D">
        <w:tblPrEx>
          <w:tblCellMar>
            <w:top w:w="0" w:type="dxa"/>
            <w:bottom w:w="0" w:type="dxa"/>
          </w:tblCellMar>
        </w:tblPrEx>
        <w:trPr>
          <w:jc w:val="center"/>
        </w:trPr>
        <w:tc>
          <w:tcPr>
            <w:tcW w:w="3642" w:type="dxa"/>
            <w:vMerge w:val="restart"/>
            <w:vAlign w:val="center"/>
          </w:tcPr>
          <w:p w:rsidR="002B4B8E" w:rsidRPr="00A779B8" w:rsidRDefault="002B4B8E" w:rsidP="002B4B8E">
            <w:pPr>
              <w:keepNext/>
              <w:spacing w:before="40" w:after="40" w:line="200" w:lineRule="exact"/>
              <w:jc w:val="center"/>
              <w:rPr>
                <w:bCs/>
                <w:i/>
                <w:sz w:val="16"/>
                <w:szCs w:val="16"/>
                <w:lang w:val="fr-FR"/>
              </w:rPr>
            </w:pPr>
            <w:r w:rsidRPr="00A779B8">
              <w:rPr>
                <w:bCs/>
                <w:i/>
                <w:sz w:val="16"/>
                <w:szCs w:val="16"/>
                <w:lang w:val="fr-FR"/>
              </w:rPr>
              <w:t>Paramètre</w:t>
            </w:r>
          </w:p>
        </w:tc>
        <w:tc>
          <w:tcPr>
            <w:tcW w:w="1122" w:type="dxa"/>
            <w:vMerge w:val="restart"/>
            <w:vAlign w:val="center"/>
          </w:tcPr>
          <w:p w:rsidR="002B4B8E" w:rsidRPr="00A779B8" w:rsidRDefault="002B4B8E" w:rsidP="002B4B8E">
            <w:pPr>
              <w:keepNext/>
              <w:spacing w:before="40" w:after="40" w:line="200" w:lineRule="exact"/>
              <w:jc w:val="center"/>
              <w:rPr>
                <w:bCs/>
                <w:i/>
                <w:sz w:val="16"/>
                <w:szCs w:val="16"/>
                <w:lang w:val="fr-FR"/>
              </w:rPr>
            </w:pPr>
            <w:r w:rsidRPr="00A779B8">
              <w:rPr>
                <w:bCs/>
                <w:i/>
                <w:sz w:val="16"/>
                <w:szCs w:val="16"/>
                <w:lang w:val="fr-FR"/>
              </w:rPr>
              <w:t>Unité</w:t>
            </w:r>
          </w:p>
        </w:tc>
        <w:tc>
          <w:tcPr>
            <w:tcW w:w="2634" w:type="dxa"/>
            <w:gridSpan w:val="2"/>
            <w:vAlign w:val="center"/>
          </w:tcPr>
          <w:p w:rsidR="002B4B8E" w:rsidRPr="00A779B8" w:rsidRDefault="002B4B8E" w:rsidP="002B4B8E">
            <w:pPr>
              <w:keepNext/>
              <w:spacing w:before="40" w:after="40" w:line="200" w:lineRule="exact"/>
              <w:jc w:val="center"/>
              <w:rPr>
                <w:bCs/>
                <w:sz w:val="16"/>
                <w:szCs w:val="16"/>
                <w:lang w:val="fr-FR"/>
              </w:rPr>
            </w:pPr>
            <w:r w:rsidRPr="00A779B8">
              <w:rPr>
                <w:bCs/>
                <w:i/>
                <w:sz w:val="16"/>
                <w:szCs w:val="16"/>
                <w:lang w:val="fr-FR"/>
              </w:rPr>
              <w:t>Limites</w:t>
            </w:r>
            <w:r w:rsidRPr="00A779B8">
              <w:rPr>
                <w:bCs/>
                <w:iCs/>
                <w:sz w:val="16"/>
                <w:szCs w:val="16"/>
                <w:vertAlign w:val="superscript"/>
                <w:lang w:val="fr-FR"/>
              </w:rPr>
              <w:t>1</w:t>
            </w:r>
          </w:p>
        </w:tc>
        <w:tc>
          <w:tcPr>
            <w:tcW w:w="2241" w:type="dxa"/>
            <w:vMerge w:val="restart"/>
            <w:vAlign w:val="center"/>
          </w:tcPr>
          <w:p w:rsidR="002B4B8E" w:rsidRPr="00A779B8" w:rsidRDefault="002B4B8E" w:rsidP="002B4B8E">
            <w:pPr>
              <w:keepNext/>
              <w:spacing w:before="40" w:after="40" w:line="200" w:lineRule="exact"/>
              <w:jc w:val="center"/>
              <w:rPr>
                <w:bCs/>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r w:rsidRPr="00A779B8">
              <w:rPr>
                <w:bCs/>
                <w:iCs/>
                <w:sz w:val="16"/>
                <w:szCs w:val="16"/>
                <w:vertAlign w:val="superscript"/>
                <w:lang w:val="fr-FR"/>
              </w:rPr>
              <w:t>2</w:t>
            </w:r>
          </w:p>
        </w:tc>
      </w:tr>
      <w:tr w:rsidR="002B4B8E" w:rsidRPr="00A779B8" w:rsidTr="00DB4C2D">
        <w:tblPrEx>
          <w:tblCellMar>
            <w:top w:w="0" w:type="dxa"/>
            <w:bottom w:w="0" w:type="dxa"/>
          </w:tblCellMar>
        </w:tblPrEx>
        <w:trPr>
          <w:jc w:val="center"/>
        </w:trPr>
        <w:tc>
          <w:tcPr>
            <w:tcW w:w="3642" w:type="dxa"/>
            <w:vMerge/>
            <w:vAlign w:val="center"/>
          </w:tcPr>
          <w:p w:rsidR="002B4B8E" w:rsidRPr="00A779B8" w:rsidRDefault="002B4B8E" w:rsidP="002B4B8E">
            <w:pPr>
              <w:keepNext/>
              <w:spacing w:before="40" w:after="40" w:line="200" w:lineRule="exact"/>
              <w:jc w:val="center"/>
              <w:rPr>
                <w:bCs/>
                <w:sz w:val="16"/>
                <w:szCs w:val="16"/>
                <w:lang w:val="fr-FR"/>
              </w:rPr>
            </w:pPr>
          </w:p>
        </w:tc>
        <w:tc>
          <w:tcPr>
            <w:tcW w:w="1122" w:type="dxa"/>
            <w:vMerge/>
            <w:vAlign w:val="center"/>
          </w:tcPr>
          <w:p w:rsidR="002B4B8E" w:rsidRPr="00A779B8" w:rsidRDefault="002B4B8E" w:rsidP="002B4B8E">
            <w:pPr>
              <w:keepNext/>
              <w:spacing w:before="40" w:after="40" w:line="200" w:lineRule="exact"/>
              <w:jc w:val="center"/>
              <w:rPr>
                <w:bCs/>
                <w:sz w:val="16"/>
                <w:szCs w:val="16"/>
                <w:lang w:val="fr-FR"/>
              </w:rPr>
            </w:pPr>
          </w:p>
        </w:tc>
        <w:tc>
          <w:tcPr>
            <w:tcW w:w="1317" w:type="dxa"/>
            <w:vAlign w:val="center"/>
          </w:tcPr>
          <w:p w:rsidR="002B4B8E" w:rsidRPr="00A779B8" w:rsidRDefault="002B4B8E" w:rsidP="002B4B8E">
            <w:pPr>
              <w:keepNext/>
              <w:spacing w:before="40" w:after="40" w:line="200" w:lineRule="exact"/>
              <w:jc w:val="center"/>
              <w:rPr>
                <w:bCs/>
                <w:i/>
                <w:sz w:val="16"/>
                <w:szCs w:val="16"/>
                <w:lang w:val="fr-FR"/>
              </w:rPr>
            </w:pPr>
            <w:r w:rsidRPr="00A779B8">
              <w:rPr>
                <w:bCs/>
                <w:i/>
                <w:sz w:val="16"/>
                <w:szCs w:val="16"/>
                <w:lang w:val="fr-FR"/>
              </w:rPr>
              <w:t>Minimale</w:t>
            </w:r>
          </w:p>
        </w:tc>
        <w:tc>
          <w:tcPr>
            <w:tcW w:w="1317" w:type="dxa"/>
            <w:vAlign w:val="center"/>
          </w:tcPr>
          <w:p w:rsidR="002B4B8E" w:rsidRPr="00A779B8" w:rsidRDefault="002B4B8E" w:rsidP="002B4B8E">
            <w:pPr>
              <w:keepNext/>
              <w:spacing w:before="40" w:after="40" w:line="200" w:lineRule="exact"/>
              <w:jc w:val="center"/>
              <w:rPr>
                <w:bCs/>
                <w:i/>
                <w:sz w:val="16"/>
                <w:szCs w:val="16"/>
                <w:lang w:val="fr-FR"/>
              </w:rPr>
            </w:pPr>
            <w:r w:rsidRPr="00A779B8">
              <w:rPr>
                <w:bCs/>
                <w:i/>
                <w:sz w:val="16"/>
                <w:szCs w:val="16"/>
                <w:lang w:val="fr-FR"/>
              </w:rPr>
              <w:t>Maximale</w:t>
            </w:r>
          </w:p>
        </w:tc>
        <w:tc>
          <w:tcPr>
            <w:tcW w:w="2241" w:type="dxa"/>
            <w:vMerge/>
            <w:vAlign w:val="center"/>
          </w:tcPr>
          <w:p w:rsidR="002B4B8E" w:rsidRPr="00A779B8" w:rsidRDefault="002B4B8E" w:rsidP="002B4B8E">
            <w:pPr>
              <w:keepNext/>
              <w:spacing w:before="40" w:after="40" w:line="200" w:lineRule="exact"/>
              <w:jc w:val="center"/>
              <w:rPr>
                <w:bCs/>
                <w:sz w:val="16"/>
                <w:szCs w:val="16"/>
                <w:lang w:val="fr-FR"/>
              </w:rPr>
            </w:pP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recherche (IOR)</w:t>
            </w:r>
          </w:p>
        </w:tc>
        <w:tc>
          <w:tcPr>
            <w:tcW w:w="1122" w:type="dxa"/>
            <w:vAlign w:val="bottom"/>
          </w:tcPr>
          <w:p w:rsidR="002B4B8E" w:rsidRPr="00A779B8" w:rsidRDefault="002B4B8E" w:rsidP="002B4B8E">
            <w:pPr>
              <w:keepNext/>
              <w:spacing w:before="54" w:after="54" w:line="220" w:lineRule="atLeast"/>
              <w:jc w:val="center"/>
              <w:rPr>
                <w:sz w:val="18"/>
                <w:szCs w:val="18"/>
                <w:lang w:val="fr-FR"/>
              </w:rPr>
            </w:pP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95,0</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EN ISO 5164</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moteur (IOM)</w:t>
            </w:r>
          </w:p>
        </w:tc>
        <w:tc>
          <w:tcPr>
            <w:tcW w:w="1122" w:type="dxa"/>
            <w:vAlign w:val="bottom"/>
          </w:tcPr>
          <w:p w:rsidR="002B4B8E" w:rsidRPr="00A779B8" w:rsidRDefault="002B4B8E" w:rsidP="002B4B8E">
            <w:pPr>
              <w:keepNext/>
              <w:spacing w:before="54" w:after="54" w:line="220" w:lineRule="atLeast"/>
              <w:jc w:val="center"/>
              <w:rPr>
                <w:sz w:val="18"/>
                <w:szCs w:val="18"/>
                <w:lang w:val="fr-FR"/>
              </w:rPr>
            </w:pP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85,0</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EN ISO 5163</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Densité à 15 °C</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kg/m</w:t>
            </w:r>
            <w:r w:rsidRPr="00A779B8">
              <w:rPr>
                <w:sz w:val="18"/>
                <w:szCs w:val="18"/>
                <w:vertAlign w:val="superscript"/>
                <w:lang w:val="fr-FR"/>
              </w:rPr>
              <w:t>3</w:t>
            </w:r>
          </w:p>
        </w:tc>
        <w:tc>
          <w:tcPr>
            <w:tcW w:w="2634" w:type="dxa"/>
            <w:gridSpan w:val="2"/>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Valeur déclarée</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ISO 3675</w:t>
            </w:r>
          </w:p>
        </w:tc>
      </w:tr>
      <w:tr w:rsidR="002B4B8E" w:rsidRPr="00A779B8" w:rsidTr="00DB4C2D">
        <w:tblPrEx>
          <w:tblCellMar>
            <w:top w:w="0" w:type="dxa"/>
            <w:bottom w:w="0" w:type="dxa"/>
          </w:tblCellMar>
        </w:tblPrEx>
        <w:trPr>
          <w:jc w:val="center"/>
        </w:trPr>
        <w:tc>
          <w:tcPr>
            <w:tcW w:w="3642" w:type="dxa"/>
            <w:tcBorders>
              <w:bottom w:val="single" w:sz="4" w:space="0" w:color="auto"/>
            </w:tcBorders>
          </w:tcPr>
          <w:p w:rsidR="002B4B8E" w:rsidRPr="00A779B8" w:rsidRDefault="002B4B8E" w:rsidP="002B4B8E">
            <w:pPr>
              <w:keepNext/>
              <w:spacing w:before="54" w:after="54" w:line="220" w:lineRule="atLeast"/>
              <w:rPr>
                <w:sz w:val="18"/>
                <w:szCs w:val="18"/>
                <w:lang w:val="fr-FR"/>
              </w:rPr>
            </w:pPr>
            <w:r w:rsidRPr="00A779B8">
              <w:rPr>
                <w:sz w:val="18"/>
                <w:szCs w:val="18"/>
                <w:lang w:val="fr-FR"/>
              </w:rPr>
              <w:t>Pression de vapeur</w:t>
            </w:r>
          </w:p>
        </w:tc>
        <w:tc>
          <w:tcPr>
            <w:tcW w:w="1122" w:type="dxa"/>
            <w:tcBorders>
              <w:bottom w:val="single" w:sz="4" w:space="0" w:color="auto"/>
            </w:tcBorders>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kPa</w:t>
            </w:r>
          </w:p>
        </w:tc>
        <w:tc>
          <w:tcPr>
            <w:tcW w:w="1317" w:type="dxa"/>
            <w:tcBorders>
              <w:bottom w:val="single" w:sz="4" w:space="0" w:color="auto"/>
            </w:tcBorders>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40,0</w:t>
            </w:r>
          </w:p>
        </w:tc>
        <w:tc>
          <w:tcPr>
            <w:tcW w:w="1317" w:type="dxa"/>
            <w:tcBorders>
              <w:bottom w:val="single" w:sz="4" w:space="0" w:color="auto"/>
            </w:tcBorders>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60,0</w:t>
            </w:r>
          </w:p>
        </w:tc>
        <w:tc>
          <w:tcPr>
            <w:tcW w:w="2241" w:type="dxa"/>
            <w:tcBorders>
              <w:bottom w:val="single" w:sz="4" w:space="0" w:color="auto"/>
            </w:tcBorders>
          </w:tcPr>
          <w:p w:rsidR="002B4B8E" w:rsidRPr="00A779B8" w:rsidRDefault="002B4B8E" w:rsidP="002B4B8E">
            <w:pPr>
              <w:keepNext/>
              <w:spacing w:before="54" w:after="54" w:line="220" w:lineRule="atLeast"/>
              <w:rPr>
                <w:sz w:val="18"/>
                <w:szCs w:val="18"/>
                <w:lang w:val="fr-FR"/>
              </w:rPr>
            </w:pPr>
            <w:r w:rsidRPr="00A779B8">
              <w:rPr>
                <w:sz w:val="18"/>
                <w:szCs w:val="18"/>
                <w:lang w:val="fr-FR"/>
              </w:rPr>
              <w:t>EN ISO 13016-1 (DVPE)</w:t>
            </w:r>
          </w:p>
        </w:tc>
      </w:tr>
      <w:tr w:rsidR="002B4B8E" w:rsidRPr="00A779B8" w:rsidTr="00DB4C2D">
        <w:tblPrEx>
          <w:tblCellMar>
            <w:top w:w="0" w:type="dxa"/>
            <w:bottom w:w="0" w:type="dxa"/>
          </w:tblCellMar>
        </w:tblPrEx>
        <w:trPr>
          <w:jc w:val="center"/>
        </w:trPr>
        <w:tc>
          <w:tcPr>
            <w:tcW w:w="3642" w:type="dxa"/>
            <w:tcBorders>
              <w:bottom w:val="nil"/>
            </w:tcBorders>
          </w:tcPr>
          <w:p w:rsidR="002B4B8E" w:rsidRPr="00A779B8" w:rsidRDefault="002B4B8E" w:rsidP="002B4B8E">
            <w:pPr>
              <w:keepNext/>
              <w:spacing w:before="54" w:after="54" w:line="220" w:lineRule="atLeast"/>
              <w:rPr>
                <w:sz w:val="18"/>
                <w:szCs w:val="18"/>
                <w:lang w:val="fr-FR"/>
              </w:rPr>
            </w:pPr>
            <w:r w:rsidRPr="00A779B8">
              <w:rPr>
                <w:sz w:val="18"/>
                <w:szCs w:val="18"/>
                <w:lang w:val="fr-FR"/>
              </w:rPr>
              <w:t>Teneur en soufre</w:t>
            </w:r>
            <w:r w:rsidRPr="00A779B8">
              <w:rPr>
                <w:bCs/>
                <w:i/>
                <w:iCs/>
                <w:sz w:val="18"/>
                <w:szCs w:val="18"/>
                <w:vertAlign w:val="superscript"/>
                <w:lang w:val="fr-FR"/>
              </w:rPr>
              <w:t>3</w:t>
            </w:r>
            <w:r w:rsidRPr="00A779B8">
              <w:rPr>
                <w:bCs/>
                <w:iCs/>
                <w:sz w:val="18"/>
                <w:szCs w:val="18"/>
                <w:vertAlign w:val="superscript"/>
                <w:lang w:val="fr-FR"/>
              </w:rPr>
              <w:t>,</w:t>
            </w:r>
            <w:r w:rsidRPr="00A779B8">
              <w:rPr>
                <w:bCs/>
                <w:i/>
                <w:iCs/>
                <w:sz w:val="18"/>
                <w:szCs w:val="18"/>
                <w:vertAlign w:val="superscript"/>
                <w:lang w:val="fr-FR"/>
              </w:rPr>
              <w:t xml:space="preserve"> 4</w:t>
            </w:r>
          </w:p>
        </w:tc>
        <w:tc>
          <w:tcPr>
            <w:tcW w:w="1122" w:type="dxa"/>
            <w:tcBorders>
              <w:bottom w:val="nil"/>
            </w:tcBorders>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mg/kg</w:t>
            </w:r>
          </w:p>
        </w:tc>
        <w:tc>
          <w:tcPr>
            <w:tcW w:w="1317" w:type="dxa"/>
            <w:tcBorders>
              <w:bottom w:val="nil"/>
            </w:tcBorders>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w:t>
            </w:r>
          </w:p>
        </w:tc>
        <w:tc>
          <w:tcPr>
            <w:tcW w:w="1317" w:type="dxa"/>
            <w:tcBorders>
              <w:bottom w:val="nil"/>
            </w:tcBorders>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10</w:t>
            </w:r>
          </w:p>
        </w:tc>
        <w:tc>
          <w:tcPr>
            <w:tcW w:w="2241" w:type="dxa"/>
            <w:tcBorders>
              <w:bottom w:val="nil"/>
            </w:tcBorders>
          </w:tcPr>
          <w:p w:rsidR="002B4B8E" w:rsidRPr="00A779B8" w:rsidRDefault="002B4B8E" w:rsidP="002B4B8E">
            <w:pPr>
              <w:keepNext/>
              <w:spacing w:before="54" w:after="54" w:line="220" w:lineRule="atLeast"/>
              <w:rPr>
                <w:sz w:val="18"/>
                <w:szCs w:val="18"/>
                <w:lang w:val="fr-FR"/>
              </w:rPr>
            </w:pPr>
            <w:r w:rsidRPr="00A779B8">
              <w:rPr>
                <w:sz w:val="18"/>
                <w:szCs w:val="18"/>
                <w:lang w:val="fr-FR"/>
              </w:rPr>
              <w:t>EN ISO 20846</w:t>
            </w:r>
            <w:r w:rsidRPr="00A779B8">
              <w:rPr>
                <w:sz w:val="18"/>
                <w:szCs w:val="18"/>
                <w:lang w:val="fr-FR"/>
              </w:rPr>
              <w:br/>
              <w:t>EN ISO 20884</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Stabilité à l</w:t>
            </w:r>
            <w:r w:rsidR="00DB4C2D">
              <w:rPr>
                <w:sz w:val="18"/>
                <w:szCs w:val="18"/>
                <w:lang w:val="fr-FR"/>
              </w:rPr>
              <w:t>’</w:t>
            </w:r>
            <w:r w:rsidRPr="00A779B8">
              <w:rPr>
                <w:sz w:val="18"/>
                <w:szCs w:val="18"/>
                <w:lang w:val="fr-FR"/>
              </w:rPr>
              <w:t>oxydation</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min</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360</w:t>
            </w:r>
          </w:p>
        </w:tc>
        <w:tc>
          <w:tcPr>
            <w:tcW w:w="1317" w:type="dxa"/>
          </w:tcPr>
          <w:p w:rsidR="002B4B8E" w:rsidRPr="00A779B8" w:rsidRDefault="002B4B8E" w:rsidP="002B4B8E">
            <w:pPr>
              <w:keepNext/>
              <w:spacing w:before="54" w:after="54" w:line="220" w:lineRule="atLeast"/>
              <w:jc w:val="center"/>
              <w:rPr>
                <w:sz w:val="18"/>
                <w:szCs w:val="18"/>
                <w:lang w:val="fr-FR"/>
              </w:rPr>
            </w:pP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EN ISO 7536</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Gomme actuelle (nettoyage avec un solvant)</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mg/(100 ml)</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5</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EN ISO 6246</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Apparence</w:t>
            </w:r>
            <w:r w:rsidRPr="00A779B8">
              <w:rPr>
                <w:sz w:val="18"/>
                <w:szCs w:val="18"/>
                <w:lang w:val="fr-FR"/>
              </w:rPr>
              <w:br/>
              <w:t>Elle est déterminée à température ambiante ou à la température de 15 °C si celle-ci est supérieure</w:t>
            </w:r>
          </w:p>
        </w:tc>
        <w:tc>
          <w:tcPr>
            <w:tcW w:w="1122" w:type="dxa"/>
          </w:tcPr>
          <w:p w:rsidR="002B4B8E" w:rsidRPr="00A779B8" w:rsidRDefault="002B4B8E" w:rsidP="002B4B8E">
            <w:pPr>
              <w:keepNext/>
              <w:spacing w:before="54" w:after="54" w:line="220" w:lineRule="atLeast"/>
              <w:jc w:val="center"/>
              <w:rPr>
                <w:sz w:val="18"/>
                <w:szCs w:val="18"/>
                <w:lang w:val="fr-FR"/>
              </w:rPr>
            </w:pPr>
          </w:p>
        </w:tc>
        <w:tc>
          <w:tcPr>
            <w:tcW w:w="2634" w:type="dxa"/>
            <w:gridSpan w:val="2"/>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Limpide et brillant, visiblement non contaminé par des matières en suspension ou des précipitations</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Inspection visuelle</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Éthanol et alcool supérieurs</w:t>
            </w:r>
            <w:r w:rsidRPr="00A779B8">
              <w:rPr>
                <w:bCs/>
                <w:i/>
                <w:iCs/>
                <w:sz w:val="18"/>
                <w:szCs w:val="18"/>
                <w:vertAlign w:val="superscript"/>
                <w:lang w:val="fr-FR"/>
              </w:rPr>
              <w:t>7</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 v/v</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83</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85</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EN 1601</w:t>
            </w:r>
            <w:r w:rsidRPr="00A779B8">
              <w:rPr>
                <w:sz w:val="18"/>
                <w:szCs w:val="18"/>
                <w:lang w:val="fr-FR"/>
              </w:rPr>
              <w:br/>
              <w:t>EN 13132</w:t>
            </w:r>
            <w:r w:rsidRPr="00A779B8">
              <w:rPr>
                <w:sz w:val="18"/>
                <w:szCs w:val="18"/>
                <w:lang w:val="fr-FR"/>
              </w:rPr>
              <w:br/>
              <w:t>EN 14517</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Alcools supérieurs (C3-C8)</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 v/v</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2,0</w:t>
            </w:r>
          </w:p>
        </w:tc>
        <w:tc>
          <w:tcPr>
            <w:tcW w:w="2241" w:type="dxa"/>
          </w:tcPr>
          <w:p w:rsidR="002B4B8E" w:rsidRPr="00A779B8" w:rsidRDefault="002B4B8E" w:rsidP="002B4B8E">
            <w:pPr>
              <w:keepNext/>
              <w:spacing w:before="54" w:after="54" w:line="220" w:lineRule="atLeast"/>
              <w:rPr>
                <w:sz w:val="18"/>
                <w:szCs w:val="18"/>
                <w:lang w:val="fr-FR"/>
              </w:rPr>
            </w:pP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Méthanol</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 v/v</w:t>
            </w:r>
          </w:p>
        </w:tc>
        <w:tc>
          <w:tcPr>
            <w:tcW w:w="1317" w:type="dxa"/>
          </w:tcPr>
          <w:p w:rsidR="002B4B8E" w:rsidRPr="00A779B8" w:rsidRDefault="002B4B8E" w:rsidP="002B4B8E">
            <w:pPr>
              <w:keepNext/>
              <w:spacing w:before="54" w:after="54" w:line="220" w:lineRule="atLeast"/>
              <w:jc w:val="center"/>
              <w:rPr>
                <w:sz w:val="18"/>
                <w:szCs w:val="18"/>
                <w:lang w:val="fr-FR"/>
              </w:rPr>
            </w:pP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0,5</w:t>
            </w:r>
          </w:p>
        </w:tc>
        <w:tc>
          <w:tcPr>
            <w:tcW w:w="2241" w:type="dxa"/>
          </w:tcPr>
          <w:p w:rsidR="002B4B8E" w:rsidRPr="00A779B8" w:rsidRDefault="002B4B8E" w:rsidP="002B4B8E">
            <w:pPr>
              <w:keepNext/>
              <w:spacing w:before="54" w:after="54" w:line="220" w:lineRule="atLeast"/>
              <w:rPr>
                <w:sz w:val="18"/>
                <w:szCs w:val="18"/>
                <w:lang w:val="fr-FR"/>
              </w:rPr>
            </w:pP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Essence</w:t>
            </w:r>
            <w:r w:rsidRPr="00A779B8">
              <w:rPr>
                <w:i/>
                <w:sz w:val="18"/>
                <w:szCs w:val="18"/>
                <w:vertAlign w:val="superscript"/>
                <w:lang w:val="fr-FR"/>
              </w:rPr>
              <w:t>5</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 v/v</w:t>
            </w:r>
          </w:p>
        </w:tc>
        <w:tc>
          <w:tcPr>
            <w:tcW w:w="2634" w:type="dxa"/>
            <w:gridSpan w:val="2"/>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Reste</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EN 228</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Phosphore</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mg/l</w:t>
            </w:r>
          </w:p>
        </w:tc>
        <w:tc>
          <w:tcPr>
            <w:tcW w:w="2634" w:type="dxa"/>
            <w:gridSpan w:val="2"/>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0,3</w:t>
            </w:r>
            <w:r w:rsidRPr="00A779B8">
              <w:rPr>
                <w:i/>
                <w:sz w:val="18"/>
                <w:szCs w:val="18"/>
                <w:vertAlign w:val="superscript"/>
                <w:lang w:val="fr-FR"/>
              </w:rPr>
              <w:t>6</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ASTM D 3231</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Teneur en eau</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 v/v</w:t>
            </w:r>
          </w:p>
        </w:tc>
        <w:tc>
          <w:tcPr>
            <w:tcW w:w="1317" w:type="dxa"/>
          </w:tcPr>
          <w:p w:rsidR="002B4B8E" w:rsidRPr="00A779B8" w:rsidRDefault="002B4B8E" w:rsidP="002B4B8E">
            <w:pPr>
              <w:keepNext/>
              <w:spacing w:before="54" w:after="54" w:line="220" w:lineRule="atLeast"/>
              <w:jc w:val="center"/>
              <w:rPr>
                <w:sz w:val="18"/>
                <w:szCs w:val="18"/>
                <w:lang w:val="fr-FR"/>
              </w:rPr>
            </w:pP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0,3</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ASTM E 1064</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Teneur en chlorures inorganiques</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mg/l</w:t>
            </w:r>
          </w:p>
        </w:tc>
        <w:tc>
          <w:tcPr>
            <w:tcW w:w="1317" w:type="dxa"/>
          </w:tcPr>
          <w:p w:rsidR="002B4B8E" w:rsidRPr="00A779B8" w:rsidRDefault="002B4B8E" w:rsidP="002B4B8E">
            <w:pPr>
              <w:keepNext/>
              <w:spacing w:before="54" w:after="54" w:line="220" w:lineRule="atLeast"/>
              <w:jc w:val="center"/>
              <w:rPr>
                <w:sz w:val="18"/>
                <w:szCs w:val="18"/>
                <w:lang w:val="fr-FR"/>
              </w:rPr>
            </w:pP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1</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ISO 6227</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proofErr w:type="spellStart"/>
            <w:r w:rsidRPr="00A779B8">
              <w:rPr>
                <w:sz w:val="18"/>
                <w:szCs w:val="18"/>
                <w:lang w:val="fr-FR"/>
              </w:rPr>
              <w:t>pHe</w:t>
            </w:r>
            <w:proofErr w:type="spellEnd"/>
          </w:p>
        </w:tc>
        <w:tc>
          <w:tcPr>
            <w:tcW w:w="1122" w:type="dxa"/>
          </w:tcPr>
          <w:p w:rsidR="002B4B8E" w:rsidRPr="00A779B8" w:rsidRDefault="002B4B8E" w:rsidP="002B4B8E">
            <w:pPr>
              <w:keepNext/>
              <w:spacing w:before="54" w:after="54" w:line="220" w:lineRule="atLeast"/>
              <w:jc w:val="center"/>
              <w:rPr>
                <w:sz w:val="18"/>
                <w:szCs w:val="18"/>
                <w:lang w:val="fr-FR"/>
              </w:rPr>
            </w:pP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6,5</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9,0</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ASTM D 6423</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Corrosion sur lame de cuivre (3 h à 50 °C)</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Évaluation</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Classe 1</w:t>
            </w:r>
          </w:p>
        </w:tc>
        <w:tc>
          <w:tcPr>
            <w:tcW w:w="1317" w:type="dxa"/>
          </w:tcPr>
          <w:p w:rsidR="002B4B8E" w:rsidRPr="00A779B8" w:rsidRDefault="002B4B8E" w:rsidP="002B4B8E">
            <w:pPr>
              <w:keepNext/>
              <w:spacing w:before="54" w:after="54" w:line="220" w:lineRule="atLeast"/>
              <w:jc w:val="center"/>
              <w:rPr>
                <w:sz w:val="18"/>
                <w:szCs w:val="18"/>
                <w:lang w:val="fr-FR"/>
              </w:rPr>
            </w:pP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EN ISO 2160</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Acidité (acide acétique CH</w:t>
            </w:r>
            <w:r w:rsidRPr="00A779B8">
              <w:rPr>
                <w:sz w:val="18"/>
                <w:szCs w:val="18"/>
                <w:vertAlign w:val="subscript"/>
                <w:lang w:val="fr-FR"/>
              </w:rPr>
              <w:t>3</w:t>
            </w:r>
            <w:r w:rsidRPr="00A779B8">
              <w:rPr>
                <w:sz w:val="18"/>
                <w:szCs w:val="18"/>
                <w:lang w:val="fr-FR"/>
              </w:rPr>
              <w:t>COOH)</w:t>
            </w:r>
          </w:p>
        </w:tc>
        <w:tc>
          <w:tcPr>
            <w:tcW w:w="1122"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 (m/m)</w:t>
            </w:r>
            <w:r w:rsidRPr="00A779B8">
              <w:rPr>
                <w:sz w:val="18"/>
                <w:szCs w:val="18"/>
                <w:lang w:val="fr-FR"/>
              </w:rPr>
              <w:br/>
              <w:t>(mg/l)</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0,005</w:t>
            </w:r>
            <w:r w:rsidRPr="00A779B8">
              <w:rPr>
                <w:sz w:val="18"/>
                <w:szCs w:val="18"/>
                <w:lang w:val="fr-FR"/>
              </w:rPr>
              <w:br/>
              <w:t>(40)</w:t>
            </w:r>
          </w:p>
        </w:tc>
        <w:tc>
          <w:tcPr>
            <w:tcW w:w="2241"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ASTM D 1613</w:t>
            </w:r>
          </w:p>
        </w:tc>
      </w:tr>
      <w:tr w:rsidR="002B4B8E" w:rsidRPr="00A779B8" w:rsidTr="00DB4C2D">
        <w:tblPrEx>
          <w:tblCellMar>
            <w:top w:w="0" w:type="dxa"/>
            <w:bottom w:w="0" w:type="dxa"/>
          </w:tblCellMar>
        </w:tblPrEx>
        <w:trPr>
          <w:jc w:val="center"/>
        </w:trPr>
        <w:tc>
          <w:tcPr>
            <w:tcW w:w="3642" w:type="dxa"/>
          </w:tcPr>
          <w:p w:rsidR="002B4B8E" w:rsidRPr="00A779B8" w:rsidRDefault="002B4B8E" w:rsidP="002B4B8E">
            <w:pPr>
              <w:keepNext/>
              <w:spacing w:before="54" w:after="54" w:line="220" w:lineRule="atLeast"/>
              <w:rPr>
                <w:sz w:val="18"/>
                <w:szCs w:val="18"/>
                <w:lang w:val="fr-FR"/>
              </w:rPr>
            </w:pPr>
            <w:r w:rsidRPr="00A779B8">
              <w:rPr>
                <w:sz w:val="18"/>
                <w:szCs w:val="18"/>
                <w:lang w:val="fr-FR"/>
              </w:rPr>
              <w:t>Rapport carbone/hydrogène</w:t>
            </w:r>
          </w:p>
        </w:tc>
        <w:tc>
          <w:tcPr>
            <w:tcW w:w="1122" w:type="dxa"/>
          </w:tcPr>
          <w:p w:rsidR="002B4B8E" w:rsidRPr="00A779B8" w:rsidRDefault="002B4B8E" w:rsidP="002B4B8E">
            <w:pPr>
              <w:keepNext/>
              <w:spacing w:before="54" w:after="54" w:line="220" w:lineRule="atLeast"/>
              <w:jc w:val="center"/>
              <w:rPr>
                <w:sz w:val="18"/>
                <w:szCs w:val="18"/>
                <w:lang w:val="fr-FR"/>
              </w:rPr>
            </w:pPr>
          </w:p>
        </w:tc>
        <w:tc>
          <w:tcPr>
            <w:tcW w:w="2634" w:type="dxa"/>
            <w:gridSpan w:val="2"/>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Valeur déclarée</w:t>
            </w:r>
          </w:p>
        </w:tc>
        <w:tc>
          <w:tcPr>
            <w:tcW w:w="2241" w:type="dxa"/>
          </w:tcPr>
          <w:p w:rsidR="002B4B8E" w:rsidRPr="00A779B8" w:rsidRDefault="002B4B8E" w:rsidP="002B4B8E">
            <w:pPr>
              <w:keepNext/>
              <w:spacing w:before="54" w:after="54" w:line="220" w:lineRule="atLeast"/>
              <w:rPr>
                <w:sz w:val="18"/>
                <w:szCs w:val="18"/>
                <w:lang w:val="fr-FR"/>
              </w:rPr>
            </w:pPr>
          </w:p>
        </w:tc>
      </w:tr>
      <w:tr w:rsidR="002B4B8E" w:rsidRPr="00A779B8" w:rsidTr="00DB4C2D">
        <w:tblPrEx>
          <w:tblCellMar>
            <w:top w:w="0" w:type="dxa"/>
            <w:bottom w:w="0" w:type="dxa"/>
          </w:tblCellMar>
        </w:tblPrEx>
        <w:trPr>
          <w:jc w:val="center"/>
        </w:trPr>
        <w:tc>
          <w:tcPr>
            <w:tcW w:w="3642" w:type="dxa"/>
            <w:tcBorders>
              <w:bottom w:val="single" w:sz="4" w:space="0" w:color="auto"/>
            </w:tcBorders>
          </w:tcPr>
          <w:p w:rsidR="002B4B8E" w:rsidRPr="00A779B8" w:rsidRDefault="002B4B8E" w:rsidP="002B4B8E">
            <w:pPr>
              <w:keepNext/>
              <w:spacing w:before="54" w:after="54" w:line="220" w:lineRule="atLeast"/>
              <w:rPr>
                <w:sz w:val="18"/>
                <w:szCs w:val="18"/>
                <w:lang w:val="fr-FR"/>
              </w:rPr>
            </w:pPr>
            <w:r w:rsidRPr="00A779B8">
              <w:rPr>
                <w:sz w:val="18"/>
                <w:szCs w:val="18"/>
                <w:lang w:val="fr-FR"/>
              </w:rPr>
              <w:t>Rapport carbone/oxygène</w:t>
            </w:r>
          </w:p>
        </w:tc>
        <w:tc>
          <w:tcPr>
            <w:tcW w:w="1122" w:type="dxa"/>
            <w:tcBorders>
              <w:bottom w:val="single" w:sz="4" w:space="0" w:color="auto"/>
            </w:tcBorders>
          </w:tcPr>
          <w:p w:rsidR="002B4B8E" w:rsidRPr="00A779B8" w:rsidRDefault="002B4B8E" w:rsidP="002B4B8E">
            <w:pPr>
              <w:keepNext/>
              <w:spacing w:before="54" w:after="54" w:line="220" w:lineRule="atLeast"/>
              <w:jc w:val="center"/>
              <w:rPr>
                <w:sz w:val="18"/>
                <w:szCs w:val="18"/>
                <w:lang w:val="fr-FR"/>
              </w:rPr>
            </w:pPr>
          </w:p>
        </w:tc>
        <w:tc>
          <w:tcPr>
            <w:tcW w:w="2634" w:type="dxa"/>
            <w:gridSpan w:val="2"/>
            <w:tcBorders>
              <w:bottom w:val="single" w:sz="4" w:space="0" w:color="auto"/>
            </w:tcBorders>
          </w:tcPr>
          <w:p w:rsidR="002B4B8E" w:rsidRPr="00A779B8" w:rsidRDefault="002B4B8E" w:rsidP="002B4B8E">
            <w:pPr>
              <w:keepNext/>
              <w:spacing w:before="54" w:after="54" w:line="220" w:lineRule="atLeast"/>
              <w:jc w:val="center"/>
              <w:rPr>
                <w:sz w:val="18"/>
                <w:szCs w:val="18"/>
                <w:lang w:val="fr-FR"/>
              </w:rPr>
            </w:pPr>
            <w:r w:rsidRPr="00A779B8">
              <w:rPr>
                <w:sz w:val="18"/>
                <w:szCs w:val="18"/>
                <w:lang w:val="fr-FR"/>
              </w:rPr>
              <w:t>Valeur déclarée</w:t>
            </w:r>
          </w:p>
        </w:tc>
        <w:tc>
          <w:tcPr>
            <w:tcW w:w="2241" w:type="dxa"/>
            <w:tcBorders>
              <w:bottom w:val="single" w:sz="4" w:space="0" w:color="auto"/>
            </w:tcBorders>
          </w:tcPr>
          <w:p w:rsidR="002B4B8E" w:rsidRPr="00A779B8" w:rsidRDefault="002B4B8E" w:rsidP="002B4B8E">
            <w:pPr>
              <w:keepNext/>
              <w:spacing w:before="54" w:after="54" w:line="220" w:lineRule="atLeast"/>
              <w:rPr>
                <w:sz w:val="18"/>
                <w:szCs w:val="18"/>
                <w:lang w:val="fr-FR"/>
              </w:rPr>
            </w:pPr>
          </w:p>
        </w:tc>
      </w:tr>
    </w:tbl>
    <w:p w:rsidR="002B4B8E" w:rsidRPr="00A779B8" w:rsidRDefault="002B4B8E" w:rsidP="002B4B8E">
      <w:pPr>
        <w:spacing w:before="120"/>
        <w:ind w:left="454" w:hanging="284"/>
        <w:rPr>
          <w:sz w:val="18"/>
          <w:szCs w:val="18"/>
          <w:lang w:val="fr-FR"/>
        </w:rPr>
      </w:pPr>
      <w:r w:rsidRPr="00A779B8">
        <w:rPr>
          <w:bCs/>
          <w:i/>
          <w:iCs/>
          <w:sz w:val="18"/>
          <w:szCs w:val="18"/>
          <w:vertAlign w:val="superscript"/>
          <w:lang w:val="fr-FR"/>
        </w:rPr>
        <w:t>1</w:t>
      </w:r>
      <w:r w:rsidRPr="00A779B8">
        <w:rPr>
          <w:sz w:val="18"/>
          <w:szCs w:val="18"/>
          <w:lang w:val="fr-FR"/>
        </w:rPr>
        <w:tab/>
        <w:t>Les valeurs mentionnées dans les spécifications sont des «valeurs vraies». Les valeurs limites ont été déterminées conformément à la norme ISO 4259 intitulée «Produits pétroliers − Détermination et application des valeurs de fidélité relatives aux méthodes d</w:t>
      </w:r>
      <w:r w:rsidR="00DB4C2D">
        <w:rPr>
          <w:sz w:val="18"/>
          <w:szCs w:val="18"/>
          <w:lang w:val="fr-FR"/>
        </w:rPr>
        <w:t>’</w:t>
      </w:r>
      <w:r w:rsidRPr="00A779B8">
        <w:rPr>
          <w:sz w:val="18"/>
          <w:szCs w:val="18"/>
          <w:lang w:val="fr-FR"/>
        </w:rPr>
        <w:t>essai». Pour la fixation d</w:t>
      </w:r>
      <w:r w:rsidR="00DB4C2D">
        <w:rPr>
          <w:sz w:val="18"/>
          <w:szCs w:val="18"/>
          <w:lang w:val="fr-FR"/>
        </w:rPr>
        <w:t>’</w:t>
      </w:r>
      <w:r w:rsidRPr="00A779B8">
        <w:rPr>
          <w:sz w:val="18"/>
          <w:szCs w:val="18"/>
          <w:lang w:val="fr-FR"/>
        </w:rPr>
        <w:t>un minimum, une différence minimale de 2R par rapport à la valeur zéro a été prise en compte; pour la fixation d</w:t>
      </w:r>
      <w:r w:rsidR="00DB4C2D">
        <w:rPr>
          <w:sz w:val="18"/>
          <w:szCs w:val="18"/>
          <w:lang w:val="fr-FR"/>
        </w:rPr>
        <w:t>’</w:t>
      </w:r>
      <w:r w:rsidRPr="00A779B8">
        <w:rPr>
          <w:sz w:val="18"/>
          <w:szCs w:val="18"/>
          <w:lang w:val="fr-FR"/>
        </w:rPr>
        <w:t>un maximum et d</w:t>
      </w:r>
      <w:r w:rsidR="00DB4C2D">
        <w:rPr>
          <w:sz w:val="18"/>
          <w:szCs w:val="18"/>
          <w:lang w:val="fr-FR"/>
        </w:rPr>
        <w:t>’</w:t>
      </w:r>
      <w:r w:rsidRPr="00A779B8">
        <w:rPr>
          <w:sz w:val="18"/>
          <w:szCs w:val="18"/>
          <w:lang w:val="fr-FR"/>
        </w:rPr>
        <w:t>un minimum, la différence minimale entre ces valeurs est de 4R (R = reproductibilité).</w:t>
      </w:r>
      <w:r w:rsidRPr="00A779B8">
        <w:rPr>
          <w:sz w:val="18"/>
          <w:szCs w:val="18"/>
          <w:lang w:val="fr-FR"/>
        </w:rPr>
        <w:br/>
        <w:t>Malgré cette mesure, qui est nécessaire pour des raisons techniques, le fabricant de carburant doit viser la valeur zéro lorsque la valeur maximale indiquée est de 2R ou la valeur moyenne lorsqu</w:t>
      </w:r>
      <w:r w:rsidR="00DB4C2D">
        <w:rPr>
          <w:sz w:val="18"/>
          <w:szCs w:val="18"/>
          <w:lang w:val="fr-FR"/>
        </w:rPr>
        <w:t>’</w:t>
      </w:r>
      <w:r w:rsidRPr="00A779B8">
        <w:rPr>
          <w:sz w:val="18"/>
          <w:szCs w:val="18"/>
          <w:lang w:val="fr-FR"/>
        </w:rPr>
        <w:t>il existe un minimum et un maximum. Au cas où il est nécessaire de vérifier le respect des spécifications pour un carburant, les dispositions de la norme ISO 4259 doivent être appliquées.</w:t>
      </w:r>
    </w:p>
    <w:p w:rsidR="002B4B8E" w:rsidRDefault="002B4B8E" w:rsidP="002B4B8E">
      <w:pPr>
        <w:ind w:left="454" w:hanging="284"/>
        <w:rPr>
          <w:sz w:val="18"/>
          <w:szCs w:val="18"/>
          <w:lang w:val="fr-FR"/>
        </w:rPr>
      </w:pPr>
      <w:r w:rsidRPr="00A779B8">
        <w:rPr>
          <w:i/>
          <w:sz w:val="18"/>
          <w:szCs w:val="18"/>
          <w:vertAlign w:val="superscript"/>
          <w:lang w:val="fr-FR"/>
        </w:rPr>
        <w:t>2</w:t>
      </w:r>
      <w:r w:rsidRPr="00A779B8">
        <w:rPr>
          <w:iCs/>
          <w:sz w:val="18"/>
          <w:szCs w:val="18"/>
          <w:lang w:val="fr-FR"/>
        </w:rPr>
        <w:tab/>
      </w:r>
      <w:r w:rsidRPr="00A779B8">
        <w:rPr>
          <w:sz w:val="18"/>
          <w:szCs w:val="18"/>
          <w:lang w:val="fr-FR"/>
        </w:rPr>
        <w:t>En cas de différend, il convient de recourir aux procédures de règlement des différends et d</w:t>
      </w:r>
      <w:r w:rsidR="00DB4C2D">
        <w:rPr>
          <w:sz w:val="18"/>
          <w:szCs w:val="18"/>
          <w:lang w:val="fr-FR"/>
        </w:rPr>
        <w:t>’</w:t>
      </w:r>
      <w:r w:rsidRPr="00A779B8">
        <w:rPr>
          <w:sz w:val="18"/>
          <w:szCs w:val="18"/>
          <w:lang w:val="fr-FR"/>
        </w:rPr>
        <w:t>interprétation des résultats basées sur la précision de la méthode d</w:t>
      </w:r>
      <w:r w:rsidR="00DB4C2D">
        <w:rPr>
          <w:sz w:val="18"/>
          <w:szCs w:val="18"/>
          <w:lang w:val="fr-FR"/>
        </w:rPr>
        <w:t>’</w:t>
      </w:r>
      <w:r w:rsidRPr="00A779B8">
        <w:rPr>
          <w:sz w:val="18"/>
          <w:szCs w:val="18"/>
          <w:lang w:val="fr-FR"/>
        </w:rPr>
        <w:t>essai, décrites dans EN ISO 4259.</w:t>
      </w:r>
    </w:p>
    <w:p w:rsidR="002B4B8E" w:rsidRPr="00A779B8" w:rsidRDefault="002B4B8E" w:rsidP="002B4B8E">
      <w:pPr>
        <w:ind w:left="454" w:hanging="284"/>
        <w:rPr>
          <w:sz w:val="18"/>
          <w:szCs w:val="18"/>
          <w:lang w:val="fr-FR"/>
        </w:rPr>
      </w:pPr>
      <w:r w:rsidRPr="00A779B8">
        <w:rPr>
          <w:i/>
          <w:sz w:val="18"/>
          <w:szCs w:val="18"/>
          <w:vertAlign w:val="superscript"/>
          <w:lang w:val="fr-FR"/>
        </w:rPr>
        <w:t>3</w:t>
      </w:r>
      <w:r w:rsidRPr="00A779B8">
        <w:rPr>
          <w:sz w:val="18"/>
          <w:szCs w:val="18"/>
          <w:lang w:val="fr-FR"/>
        </w:rPr>
        <w:tab/>
        <w:t>En cas de différend national concernant la teneur en soufre, les normes EN ISO 20846 ou EN ISO 20884 sont invoquées de manière similaire à la référence figurant dans l</w:t>
      </w:r>
      <w:r w:rsidR="00DB4C2D">
        <w:rPr>
          <w:sz w:val="18"/>
          <w:szCs w:val="18"/>
          <w:lang w:val="fr-FR"/>
        </w:rPr>
        <w:t>’</w:t>
      </w:r>
      <w:r w:rsidRPr="00A779B8">
        <w:rPr>
          <w:sz w:val="18"/>
          <w:szCs w:val="18"/>
          <w:lang w:val="fr-FR"/>
        </w:rPr>
        <w:t>annexe de la norme EN 228.</w:t>
      </w:r>
    </w:p>
    <w:p w:rsidR="002B4B8E" w:rsidRPr="00A779B8" w:rsidRDefault="002B4B8E" w:rsidP="002B4B8E">
      <w:pPr>
        <w:ind w:left="454" w:hanging="284"/>
        <w:rPr>
          <w:sz w:val="18"/>
          <w:szCs w:val="18"/>
          <w:lang w:val="fr-FR"/>
        </w:rPr>
      </w:pPr>
      <w:r w:rsidRPr="00A779B8">
        <w:rPr>
          <w:bCs/>
          <w:i/>
          <w:iCs/>
          <w:sz w:val="18"/>
          <w:szCs w:val="18"/>
          <w:vertAlign w:val="superscript"/>
          <w:lang w:val="fr-FR"/>
        </w:rPr>
        <w:t>4</w:t>
      </w:r>
      <w:r w:rsidRPr="00A779B8">
        <w:rPr>
          <w:sz w:val="18"/>
          <w:szCs w:val="18"/>
          <w:lang w:val="fr-FR"/>
        </w:rPr>
        <w:tab/>
        <w:t xml:space="preserve">Il convient de communiquer la teneur en soufre effective du carburant utilisé pour les essais du type I. </w:t>
      </w:r>
    </w:p>
    <w:p w:rsidR="002B4B8E" w:rsidRPr="00A779B8" w:rsidRDefault="002B4B8E" w:rsidP="002B4B8E">
      <w:pPr>
        <w:ind w:left="454" w:hanging="284"/>
        <w:rPr>
          <w:sz w:val="18"/>
          <w:szCs w:val="18"/>
          <w:lang w:val="fr-FR"/>
        </w:rPr>
      </w:pPr>
      <w:r w:rsidRPr="00A779B8">
        <w:rPr>
          <w:i/>
          <w:sz w:val="18"/>
          <w:szCs w:val="18"/>
          <w:vertAlign w:val="superscript"/>
          <w:lang w:val="fr-FR"/>
        </w:rPr>
        <w:lastRenderedPageBreak/>
        <w:t>5</w:t>
      </w:r>
      <w:r w:rsidRPr="00A779B8">
        <w:rPr>
          <w:sz w:val="18"/>
          <w:szCs w:val="18"/>
          <w:lang w:val="fr-FR"/>
        </w:rPr>
        <w:tab/>
        <w:t>La teneur en essence sans plomb peut être déterminée en soustrayant de 100 la somme des pourcentages en eau et en alcools.</w:t>
      </w:r>
    </w:p>
    <w:p w:rsidR="002B4B8E" w:rsidRPr="00A779B8" w:rsidRDefault="002B4B8E" w:rsidP="002B4B8E">
      <w:pPr>
        <w:ind w:left="454" w:hanging="284"/>
        <w:rPr>
          <w:sz w:val="18"/>
          <w:szCs w:val="18"/>
          <w:lang w:val="fr-FR"/>
        </w:rPr>
      </w:pPr>
      <w:r w:rsidRPr="00A779B8">
        <w:rPr>
          <w:i/>
          <w:sz w:val="18"/>
          <w:szCs w:val="18"/>
          <w:vertAlign w:val="superscript"/>
          <w:lang w:val="fr-FR"/>
        </w:rPr>
        <w:t>6</w:t>
      </w:r>
      <w:r w:rsidRPr="00A779B8">
        <w:rPr>
          <w:sz w:val="18"/>
          <w:szCs w:val="18"/>
          <w:lang w:val="fr-FR"/>
        </w:rPr>
        <w:tab/>
        <w:t>Aucun composant contenant du phosphore, du fer, du manganèse ou du plomb ne doit être ajouté délibérément au carburant de référence.</w:t>
      </w:r>
    </w:p>
    <w:p w:rsidR="002B4B8E" w:rsidRDefault="002B4B8E" w:rsidP="002B4B8E">
      <w:pPr>
        <w:ind w:left="454" w:hanging="284"/>
        <w:rPr>
          <w:lang w:val="fr-FR"/>
        </w:rPr>
      </w:pPr>
      <w:r w:rsidRPr="00A779B8">
        <w:rPr>
          <w:i/>
          <w:sz w:val="18"/>
          <w:szCs w:val="18"/>
          <w:vertAlign w:val="superscript"/>
          <w:lang w:val="fr-FR"/>
        </w:rPr>
        <w:t>7</w:t>
      </w:r>
      <w:r w:rsidRPr="00A779B8">
        <w:rPr>
          <w:sz w:val="18"/>
          <w:szCs w:val="18"/>
          <w:lang w:val="fr-FR"/>
        </w:rPr>
        <w:tab/>
        <w:t>Le seul oxygénant pouvant être ajouté délibérément au carburant de référence est l</w:t>
      </w:r>
      <w:r w:rsidR="00DB4C2D">
        <w:rPr>
          <w:sz w:val="18"/>
          <w:szCs w:val="18"/>
          <w:lang w:val="fr-FR"/>
        </w:rPr>
        <w:t>’</w:t>
      </w:r>
      <w:r w:rsidRPr="00A779B8">
        <w:rPr>
          <w:sz w:val="18"/>
          <w:szCs w:val="18"/>
          <w:lang w:val="fr-FR"/>
        </w:rPr>
        <w:t>éthanol conforme à la spécification EN 15376.</w:t>
      </w:r>
    </w:p>
    <w:p w:rsidR="002B4B8E" w:rsidRPr="00A779B8" w:rsidRDefault="002B4B8E" w:rsidP="002B4B8E">
      <w:pPr>
        <w:pStyle w:val="SingleTxtG"/>
        <w:keepNext/>
        <w:spacing w:before="240"/>
        <w:ind w:left="2268" w:hanging="1134"/>
        <w:jc w:val="left"/>
        <w:rPr>
          <w:lang w:val="fr-FR"/>
        </w:rPr>
      </w:pPr>
      <w:r w:rsidRPr="00A779B8">
        <w:rPr>
          <w:lang w:val="fr-FR"/>
        </w:rPr>
        <w:t>1.2</w:t>
      </w:r>
      <w:r w:rsidRPr="00A779B8">
        <w:rPr>
          <w:lang w:val="fr-FR"/>
        </w:rPr>
        <w:tab/>
        <w:t>Caractéristiques techniques du carburant de référence à utiliser pour l</w:t>
      </w:r>
      <w:r w:rsidR="00DB4C2D">
        <w:rPr>
          <w:lang w:val="fr-FR"/>
        </w:rPr>
        <w:t>’</w:t>
      </w:r>
      <w:r w:rsidRPr="00A779B8">
        <w:rPr>
          <w:lang w:val="fr-FR"/>
        </w:rPr>
        <w:t>essai des véhicules équipés d</w:t>
      </w:r>
      <w:r w:rsidR="00DB4C2D">
        <w:rPr>
          <w:lang w:val="fr-FR"/>
        </w:rPr>
        <w:t>’</w:t>
      </w:r>
      <w:r w:rsidRPr="00A779B8">
        <w:rPr>
          <w:lang w:val="fr-FR"/>
        </w:rPr>
        <w:t>un moteur à allumage par compression</w:t>
      </w:r>
    </w:p>
    <w:p w:rsidR="002B4B8E" w:rsidRPr="00A779B8" w:rsidRDefault="002B4B8E" w:rsidP="002B4B8E">
      <w:pPr>
        <w:pStyle w:val="Titre1"/>
        <w:spacing w:after="120"/>
        <w:ind w:left="0"/>
        <w:rPr>
          <w:b/>
          <w:lang w:val="fr-FR"/>
        </w:rPr>
      </w:pPr>
      <w:r w:rsidRPr="00A779B8">
        <w:rPr>
          <w:b/>
          <w:lang w:val="fr-FR"/>
        </w:rPr>
        <w:t>Type: Gazole (B5)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42"/>
        <w:gridCol w:w="1122"/>
        <w:gridCol w:w="1317"/>
        <w:gridCol w:w="1317"/>
        <w:gridCol w:w="2241"/>
      </w:tblGrid>
      <w:tr w:rsidR="002B4B8E" w:rsidRPr="00A779B8" w:rsidTr="00DB4C2D">
        <w:tblPrEx>
          <w:tblCellMar>
            <w:top w:w="0" w:type="dxa"/>
            <w:bottom w:w="0" w:type="dxa"/>
          </w:tblCellMar>
        </w:tblPrEx>
        <w:trPr>
          <w:tblHeader/>
          <w:jc w:val="center"/>
        </w:trPr>
        <w:tc>
          <w:tcPr>
            <w:tcW w:w="3642"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Paramètre</w:t>
            </w:r>
          </w:p>
        </w:tc>
        <w:tc>
          <w:tcPr>
            <w:tcW w:w="1122"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Unité</w:t>
            </w:r>
          </w:p>
        </w:tc>
        <w:tc>
          <w:tcPr>
            <w:tcW w:w="2634" w:type="dxa"/>
            <w:gridSpan w:val="2"/>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Limites</w:t>
            </w:r>
            <w:r w:rsidRPr="00A779B8">
              <w:rPr>
                <w:sz w:val="16"/>
                <w:szCs w:val="16"/>
                <w:vertAlign w:val="superscript"/>
                <w:lang w:val="fr-FR"/>
              </w:rPr>
              <w:t>1</w:t>
            </w:r>
          </w:p>
        </w:tc>
        <w:tc>
          <w:tcPr>
            <w:tcW w:w="2241"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p>
        </w:tc>
      </w:tr>
      <w:tr w:rsidR="002B4B8E" w:rsidRPr="00A779B8" w:rsidTr="00DB4C2D">
        <w:tblPrEx>
          <w:tblCellMar>
            <w:top w:w="0" w:type="dxa"/>
            <w:bottom w:w="0" w:type="dxa"/>
          </w:tblCellMar>
        </w:tblPrEx>
        <w:trPr>
          <w:tblHeader/>
          <w:jc w:val="center"/>
        </w:trPr>
        <w:tc>
          <w:tcPr>
            <w:tcW w:w="3642" w:type="dxa"/>
            <w:vMerge/>
            <w:vAlign w:val="center"/>
          </w:tcPr>
          <w:p w:rsidR="002B4B8E" w:rsidRPr="00A779B8" w:rsidRDefault="002B4B8E" w:rsidP="00DB4C2D">
            <w:pPr>
              <w:spacing w:before="60" w:after="60" w:line="200" w:lineRule="exact"/>
              <w:jc w:val="center"/>
              <w:rPr>
                <w:bCs/>
                <w:i/>
                <w:sz w:val="16"/>
                <w:szCs w:val="16"/>
                <w:lang w:val="fr-FR"/>
              </w:rPr>
            </w:pPr>
          </w:p>
        </w:tc>
        <w:tc>
          <w:tcPr>
            <w:tcW w:w="1122" w:type="dxa"/>
            <w:vMerge/>
            <w:vAlign w:val="center"/>
          </w:tcPr>
          <w:p w:rsidR="002B4B8E" w:rsidRPr="00A779B8" w:rsidRDefault="002B4B8E" w:rsidP="00DB4C2D">
            <w:pPr>
              <w:spacing w:before="60" w:after="60" w:line="200" w:lineRule="exact"/>
              <w:jc w:val="center"/>
              <w:rPr>
                <w:bCs/>
                <w:i/>
                <w:sz w:val="16"/>
                <w:szCs w:val="16"/>
                <w:lang w:val="fr-FR"/>
              </w:rPr>
            </w:pPr>
          </w:p>
        </w:tc>
        <w:tc>
          <w:tcPr>
            <w:tcW w:w="1317" w:type="dxa"/>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Minimale</w:t>
            </w:r>
          </w:p>
        </w:tc>
        <w:tc>
          <w:tcPr>
            <w:tcW w:w="1317" w:type="dxa"/>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Maximale</w:t>
            </w:r>
          </w:p>
        </w:tc>
        <w:tc>
          <w:tcPr>
            <w:tcW w:w="2241" w:type="dxa"/>
            <w:vMerge/>
            <w:vAlign w:val="center"/>
          </w:tcPr>
          <w:p w:rsidR="002B4B8E" w:rsidRPr="00A779B8" w:rsidRDefault="002B4B8E" w:rsidP="00DB4C2D">
            <w:pPr>
              <w:spacing w:before="60" w:after="60" w:line="200" w:lineRule="exact"/>
              <w:jc w:val="center"/>
              <w:rPr>
                <w:bCs/>
                <w:i/>
                <w:sz w:val="16"/>
                <w:szCs w:val="16"/>
                <w:lang w:val="fr-FR"/>
              </w:rPr>
            </w:pP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Cétane mesuré</w:t>
            </w:r>
            <w:r w:rsidRPr="00A779B8">
              <w:rPr>
                <w:i/>
                <w:sz w:val="18"/>
                <w:szCs w:val="18"/>
                <w:vertAlign w:val="superscript"/>
                <w:lang w:val="fr-FR"/>
              </w:rPr>
              <w:t>2</w:t>
            </w:r>
          </w:p>
        </w:tc>
        <w:tc>
          <w:tcPr>
            <w:tcW w:w="1122" w:type="dxa"/>
          </w:tcPr>
          <w:p w:rsidR="002B4B8E" w:rsidRPr="00A779B8" w:rsidRDefault="002B4B8E" w:rsidP="00DB4C2D">
            <w:pPr>
              <w:spacing w:before="60" w:after="60" w:line="220" w:lineRule="atLeast"/>
              <w:jc w:val="center"/>
              <w:rPr>
                <w:sz w:val="18"/>
                <w:szCs w:val="18"/>
                <w:lang w:val="fr-FR"/>
              </w:rPr>
            </w:pP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52,0</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54,0</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5165</w:t>
            </w:r>
          </w:p>
        </w:tc>
      </w:tr>
      <w:tr w:rsidR="002B4B8E" w:rsidRPr="00A779B8" w:rsidTr="00DB4C2D">
        <w:tblPrEx>
          <w:tblCellMar>
            <w:top w:w="0" w:type="dxa"/>
            <w:bottom w:w="0" w:type="dxa"/>
          </w:tblCellMar>
        </w:tblPrEx>
        <w:trPr>
          <w:jc w:val="center"/>
        </w:trPr>
        <w:tc>
          <w:tcPr>
            <w:tcW w:w="3642"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Densité à 15 °C</w:t>
            </w:r>
          </w:p>
        </w:tc>
        <w:tc>
          <w:tcPr>
            <w:tcW w:w="1122"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kg/m</w:t>
            </w:r>
            <w:r w:rsidRPr="00A779B8">
              <w:rPr>
                <w:sz w:val="18"/>
                <w:szCs w:val="18"/>
                <w:vertAlign w:val="superscript"/>
                <w:lang w:val="fr-FR"/>
              </w:rPr>
              <w:t>3</w:t>
            </w:r>
          </w:p>
        </w:tc>
        <w:tc>
          <w:tcPr>
            <w:tcW w:w="1317"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833</w:t>
            </w:r>
          </w:p>
        </w:tc>
        <w:tc>
          <w:tcPr>
            <w:tcW w:w="1317"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837</w:t>
            </w:r>
          </w:p>
        </w:tc>
        <w:tc>
          <w:tcPr>
            <w:tcW w:w="2241"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3675</w:t>
            </w:r>
          </w:p>
        </w:tc>
      </w:tr>
      <w:tr w:rsidR="002B4B8E" w:rsidRPr="00A779B8" w:rsidTr="00DB4C2D">
        <w:tblPrEx>
          <w:tblCellMar>
            <w:top w:w="0" w:type="dxa"/>
            <w:bottom w:w="0" w:type="dxa"/>
          </w:tblCellMar>
        </w:tblPrEx>
        <w:trPr>
          <w:jc w:val="center"/>
        </w:trPr>
        <w:tc>
          <w:tcPr>
            <w:tcW w:w="3642" w:type="dxa"/>
            <w:tcBorders>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Distillation:</w:t>
            </w:r>
          </w:p>
        </w:tc>
        <w:tc>
          <w:tcPr>
            <w:tcW w:w="1122"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7"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7" w:type="dxa"/>
            <w:tcBorders>
              <w:bottom w:val="nil"/>
            </w:tcBorders>
          </w:tcPr>
          <w:p w:rsidR="002B4B8E" w:rsidRPr="00A779B8" w:rsidRDefault="002B4B8E" w:rsidP="00DB4C2D">
            <w:pPr>
              <w:spacing w:before="60" w:after="60" w:line="220" w:lineRule="atLeast"/>
              <w:jc w:val="center"/>
              <w:rPr>
                <w:sz w:val="18"/>
                <w:szCs w:val="18"/>
                <w:lang w:val="fr-FR"/>
              </w:rPr>
            </w:pPr>
          </w:p>
        </w:tc>
        <w:tc>
          <w:tcPr>
            <w:tcW w:w="2241" w:type="dxa"/>
            <w:tcBorders>
              <w:bottom w:val="nil"/>
            </w:tcBorders>
          </w:tcPr>
          <w:p w:rsidR="002B4B8E" w:rsidRPr="00A779B8" w:rsidRDefault="002B4B8E" w:rsidP="00DB4C2D">
            <w:pPr>
              <w:spacing w:before="60" w:after="60" w:line="220" w:lineRule="atLeast"/>
              <w:rPr>
                <w:sz w:val="18"/>
                <w:szCs w:val="18"/>
                <w:lang w:val="fr-FR"/>
              </w:rPr>
            </w:pPr>
          </w:p>
        </w:tc>
      </w:tr>
      <w:tr w:rsidR="002B4B8E" w:rsidRPr="00A779B8" w:rsidTr="00DB4C2D">
        <w:tblPrEx>
          <w:tblCellMar>
            <w:top w:w="0" w:type="dxa"/>
            <w:bottom w:w="0" w:type="dxa"/>
          </w:tblCellMar>
        </w:tblPrEx>
        <w:trPr>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Point 50 %</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°C</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245</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2241"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Point 95 %</w:t>
            </w:r>
          </w:p>
        </w:tc>
        <w:tc>
          <w:tcPr>
            <w:tcW w:w="1122" w:type="dxa"/>
            <w:tcBorders>
              <w:top w:val="nil"/>
              <w:bottom w:val="nil"/>
            </w:tcBorders>
          </w:tcPr>
          <w:p w:rsidR="002B4B8E" w:rsidRPr="00A779B8" w:rsidRDefault="002B4B8E" w:rsidP="00DB4C2D">
            <w:pPr>
              <w:spacing w:before="60" w:after="60" w:line="220" w:lineRule="atLeast"/>
              <w:jc w:val="center"/>
              <w:rPr>
                <w:sz w:val="18"/>
                <w:szCs w:val="18"/>
                <w:vertAlign w:val="superscript"/>
                <w:lang w:val="fr-FR"/>
              </w:rPr>
            </w:pPr>
            <w:r w:rsidRPr="00A779B8">
              <w:rPr>
                <w:sz w:val="18"/>
                <w:szCs w:val="18"/>
                <w:lang w:val="fr-FR"/>
              </w:rPr>
              <w:t>°C</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345</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350</w:t>
            </w:r>
          </w:p>
        </w:tc>
        <w:tc>
          <w:tcPr>
            <w:tcW w:w="2241"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jc w:val="center"/>
        </w:trPr>
        <w:tc>
          <w:tcPr>
            <w:tcW w:w="3642" w:type="dxa"/>
            <w:tcBorders>
              <w:top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Point d</w:t>
            </w:r>
            <w:r w:rsidR="00DB4C2D">
              <w:rPr>
                <w:sz w:val="18"/>
                <w:szCs w:val="18"/>
                <w:lang w:val="fr-FR"/>
              </w:rPr>
              <w:t>’</w:t>
            </w:r>
            <w:r w:rsidRPr="00A779B8">
              <w:rPr>
                <w:sz w:val="18"/>
                <w:szCs w:val="18"/>
                <w:lang w:val="fr-FR"/>
              </w:rPr>
              <w:t>ébullition final</w:t>
            </w:r>
          </w:p>
        </w:tc>
        <w:tc>
          <w:tcPr>
            <w:tcW w:w="1122" w:type="dxa"/>
            <w:tcBorders>
              <w:top w:val="nil"/>
            </w:tcBorders>
          </w:tcPr>
          <w:p w:rsidR="002B4B8E" w:rsidRPr="00A779B8" w:rsidRDefault="002B4B8E" w:rsidP="00DB4C2D">
            <w:pPr>
              <w:spacing w:before="60" w:after="60" w:line="220" w:lineRule="atLeast"/>
              <w:jc w:val="center"/>
              <w:rPr>
                <w:sz w:val="18"/>
                <w:szCs w:val="18"/>
                <w:vertAlign w:val="superscript"/>
                <w:lang w:val="fr-FR"/>
              </w:rPr>
            </w:pPr>
            <w:r w:rsidRPr="00A779B8">
              <w:rPr>
                <w:sz w:val="18"/>
                <w:szCs w:val="18"/>
                <w:lang w:val="fr-FR"/>
              </w:rPr>
              <w:t>°C</w:t>
            </w:r>
          </w:p>
        </w:tc>
        <w:tc>
          <w:tcPr>
            <w:tcW w:w="1317"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370</w:t>
            </w:r>
          </w:p>
        </w:tc>
        <w:tc>
          <w:tcPr>
            <w:tcW w:w="2241" w:type="dxa"/>
            <w:tcBorders>
              <w:top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Point d</w:t>
            </w:r>
            <w:r w:rsidR="00DB4C2D">
              <w:rPr>
                <w:sz w:val="18"/>
                <w:szCs w:val="18"/>
                <w:lang w:val="fr-FR"/>
              </w:rPr>
              <w:t>’</w:t>
            </w:r>
            <w:r w:rsidRPr="00A779B8">
              <w:rPr>
                <w:sz w:val="18"/>
                <w:szCs w:val="18"/>
                <w:lang w:val="fr-FR"/>
              </w:rPr>
              <w:t>éclair</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°C</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55</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22719</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tabs>
                <w:tab w:val="left" w:pos="426"/>
              </w:tabs>
              <w:spacing w:before="60" w:after="60" w:line="220" w:lineRule="atLeast"/>
              <w:rPr>
                <w:sz w:val="18"/>
                <w:szCs w:val="18"/>
                <w:lang w:val="fr-FR"/>
              </w:rPr>
            </w:pPr>
            <w:r w:rsidRPr="00A779B8">
              <w:rPr>
                <w:sz w:val="18"/>
                <w:szCs w:val="18"/>
                <w:lang w:val="fr-FR"/>
              </w:rPr>
              <w:t>CFPP</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°C</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-5</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116</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Viscosité à 40 °C</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mm</w:t>
            </w:r>
            <w:r w:rsidRPr="00A779B8">
              <w:rPr>
                <w:sz w:val="18"/>
                <w:szCs w:val="18"/>
                <w:vertAlign w:val="superscript"/>
                <w:lang w:val="fr-FR"/>
              </w:rPr>
              <w:t>2</w:t>
            </w:r>
            <w:r w:rsidRPr="00A779B8">
              <w:rPr>
                <w:sz w:val="18"/>
                <w:szCs w:val="18"/>
                <w:lang w:val="fr-FR"/>
              </w:rPr>
              <w:t>/s</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2,3</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3,3</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3104</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Hydrocarbures aromatiques polycycliques</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m/m</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2,0</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6,0</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12916</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soufre</w:t>
            </w:r>
            <w:r w:rsidRPr="00A779B8">
              <w:rPr>
                <w:i/>
                <w:sz w:val="18"/>
                <w:szCs w:val="18"/>
                <w:vertAlign w:val="superscript"/>
                <w:lang w:val="fr-FR"/>
              </w:rPr>
              <w:t>3</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mg/kg</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10</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20846</w:t>
            </w:r>
            <w:r w:rsidRPr="00A779B8">
              <w:rPr>
                <w:sz w:val="18"/>
                <w:szCs w:val="18"/>
                <w:lang w:val="fr-FR"/>
              </w:rPr>
              <w:br/>
              <w:t>/EN ISO 20884</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Corrosion du cuivre</w:t>
            </w:r>
          </w:p>
        </w:tc>
        <w:tc>
          <w:tcPr>
            <w:tcW w:w="1122" w:type="dxa"/>
          </w:tcPr>
          <w:p w:rsidR="002B4B8E" w:rsidRPr="00A779B8" w:rsidRDefault="002B4B8E" w:rsidP="00DB4C2D">
            <w:pPr>
              <w:spacing w:before="60" w:after="60" w:line="220" w:lineRule="atLeast"/>
              <w:jc w:val="center"/>
              <w:rPr>
                <w:sz w:val="18"/>
                <w:szCs w:val="18"/>
                <w:lang w:val="fr-FR"/>
              </w:rPr>
            </w:pP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Classe 1</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2160</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Résidu de carbone Conradson (10 % DR)</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m/m</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0,2</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10370</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cendres</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m/m</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0,01</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6245</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eau</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m/m</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0,02</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12937</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Indice de neutralisation (acide fort)</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 KOH/g</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0,02</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ASTM D 974</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Stabilité à l</w:t>
            </w:r>
            <w:r w:rsidR="00DB4C2D">
              <w:rPr>
                <w:sz w:val="18"/>
                <w:szCs w:val="18"/>
                <w:lang w:val="fr-FR"/>
              </w:rPr>
              <w:t>’</w:t>
            </w:r>
            <w:r w:rsidRPr="00A779B8">
              <w:rPr>
                <w:sz w:val="18"/>
                <w:szCs w:val="18"/>
                <w:lang w:val="fr-FR"/>
              </w:rPr>
              <w:t>oxydation</w:t>
            </w:r>
            <w:r w:rsidRPr="00A779B8">
              <w:rPr>
                <w:i/>
                <w:sz w:val="18"/>
                <w:szCs w:val="18"/>
                <w:vertAlign w:val="superscript"/>
                <w:lang w:val="fr-FR"/>
              </w:rPr>
              <w:t>4</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mg/ml</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0,025</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12205</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Lubricité (diamètre de la marque d</w:t>
            </w:r>
            <w:r w:rsidR="00DB4C2D">
              <w:rPr>
                <w:sz w:val="18"/>
                <w:szCs w:val="18"/>
                <w:lang w:val="fr-FR"/>
              </w:rPr>
              <w:t>’</w:t>
            </w:r>
            <w:r w:rsidRPr="00A779B8">
              <w:rPr>
                <w:sz w:val="18"/>
                <w:szCs w:val="18"/>
                <w:lang w:val="fr-FR"/>
              </w:rPr>
              <w:t>usure à l</w:t>
            </w:r>
            <w:r w:rsidR="00DB4C2D">
              <w:rPr>
                <w:sz w:val="18"/>
                <w:szCs w:val="18"/>
                <w:lang w:val="fr-FR"/>
              </w:rPr>
              <w:t>’</w:t>
            </w:r>
            <w:r w:rsidRPr="00A779B8">
              <w:rPr>
                <w:sz w:val="18"/>
                <w:szCs w:val="18"/>
                <w:lang w:val="fr-FR"/>
              </w:rPr>
              <w:t>issue du test HFRR à 60 °C)</w:t>
            </w:r>
          </w:p>
        </w:tc>
        <w:tc>
          <w:tcPr>
            <w:tcW w:w="1122" w:type="dxa"/>
          </w:tcPr>
          <w:p w:rsidR="002B4B8E" w:rsidRPr="00A779B8" w:rsidRDefault="002B4B8E" w:rsidP="00DB4C2D">
            <w:pPr>
              <w:spacing w:before="60" w:after="60" w:line="220" w:lineRule="atLeast"/>
              <w:jc w:val="center"/>
              <w:rPr>
                <w:sz w:val="18"/>
                <w:szCs w:val="18"/>
                <w:lang w:val="fr-FR"/>
              </w:rPr>
            </w:pPr>
            <w:proofErr w:type="spellStart"/>
            <w:r w:rsidRPr="00A779B8">
              <w:rPr>
                <w:sz w:val="18"/>
                <w:szCs w:val="18"/>
                <w:lang w:val="fr-FR"/>
              </w:rPr>
              <w:t>μm</w:t>
            </w:r>
            <w:proofErr w:type="spellEnd"/>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400</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12156</w:t>
            </w:r>
          </w:p>
        </w:tc>
      </w:tr>
      <w:tr w:rsidR="002B4B8E" w:rsidRPr="00A779B8" w:rsidTr="00DB4C2D">
        <w:tblPrEx>
          <w:tblCellMar>
            <w:top w:w="0" w:type="dxa"/>
            <w:bottom w:w="0" w:type="dxa"/>
          </w:tblCellMar>
        </w:tblPrEx>
        <w:trPr>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Stabilité à l</w:t>
            </w:r>
            <w:r w:rsidR="00DB4C2D">
              <w:rPr>
                <w:sz w:val="18"/>
                <w:szCs w:val="18"/>
                <w:lang w:val="fr-FR"/>
              </w:rPr>
              <w:t>’</w:t>
            </w:r>
            <w:r w:rsidRPr="00A779B8">
              <w:rPr>
                <w:sz w:val="18"/>
                <w:szCs w:val="18"/>
                <w:lang w:val="fr-FR"/>
              </w:rPr>
              <w:t>oxydation à 110 °C</w:t>
            </w:r>
            <w:r w:rsidRPr="00A779B8">
              <w:rPr>
                <w:i/>
                <w:sz w:val="18"/>
                <w:szCs w:val="18"/>
                <w:vertAlign w:val="superscript"/>
                <w:lang w:val="fr-FR"/>
              </w:rPr>
              <w:t>4</w:t>
            </w:r>
            <w:r w:rsidRPr="00A779B8">
              <w:rPr>
                <w:sz w:val="18"/>
                <w:szCs w:val="18"/>
                <w:vertAlign w:val="superscript"/>
                <w:lang w:val="fr-FR"/>
              </w:rPr>
              <w:t xml:space="preserve">, </w:t>
            </w:r>
            <w:r w:rsidRPr="00A779B8">
              <w:rPr>
                <w:i/>
                <w:sz w:val="18"/>
                <w:szCs w:val="18"/>
                <w:vertAlign w:val="superscript"/>
                <w:lang w:val="fr-FR"/>
              </w:rPr>
              <w:t>6</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h</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20,0</w:t>
            </w:r>
          </w:p>
        </w:tc>
        <w:tc>
          <w:tcPr>
            <w:tcW w:w="1317" w:type="dxa"/>
          </w:tcPr>
          <w:p w:rsidR="002B4B8E" w:rsidRPr="00A779B8" w:rsidRDefault="002B4B8E" w:rsidP="00DB4C2D">
            <w:pPr>
              <w:spacing w:before="60" w:after="60" w:line="220" w:lineRule="atLeast"/>
              <w:jc w:val="center"/>
              <w:rPr>
                <w:sz w:val="18"/>
                <w:szCs w:val="18"/>
                <w:lang w:val="fr-FR"/>
              </w:rPr>
            </w:pP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14112</w:t>
            </w:r>
          </w:p>
        </w:tc>
      </w:tr>
      <w:tr w:rsidR="002B4B8E" w:rsidRPr="00A779B8" w:rsidTr="00DB4C2D">
        <w:tblPrEx>
          <w:tblCellMar>
            <w:top w:w="0" w:type="dxa"/>
            <w:bottom w:w="0" w:type="dxa"/>
          </w:tblCellMar>
        </w:tblPrEx>
        <w:trPr>
          <w:jc w:val="center"/>
        </w:trPr>
        <w:tc>
          <w:tcPr>
            <w:tcW w:w="3642"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FAME (biodiesel)</w:t>
            </w:r>
            <w:r w:rsidRPr="00A779B8">
              <w:rPr>
                <w:i/>
                <w:sz w:val="18"/>
                <w:szCs w:val="18"/>
                <w:vertAlign w:val="superscript"/>
                <w:lang w:val="fr-FR"/>
              </w:rPr>
              <w:t>5</w:t>
            </w:r>
          </w:p>
        </w:tc>
        <w:tc>
          <w:tcPr>
            <w:tcW w:w="1122"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7"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4,5</w:t>
            </w:r>
          </w:p>
        </w:tc>
        <w:tc>
          <w:tcPr>
            <w:tcW w:w="1317"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5,5</w:t>
            </w:r>
          </w:p>
        </w:tc>
        <w:tc>
          <w:tcPr>
            <w:tcW w:w="2241"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EN 14078</w:t>
            </w:r>
          </w:p>
        </w:tc>
      </w:tr>
    </w:tbl>
    <w:p w:rsidR="002B4B8E" w:rsidRPr="00A779B8" w:rsidRDefault="002B4B8E" w:rsidP="002B4B8E">
      <w:pPr>
        <w:spacing w:before="120"/>
        <w:ind w:left="454" w:hanging="284"/>
        <w:rPr>
          <w:sz w:val="18"/>
          <w:szCs w:val="18"/>
          <w:lang w:val="fr-FR"/>
        </w:rPr>
      </w:pPr>
      <w:r w:rsidRPr="00A779B8">
        <w:rPr>
          <w:bCs/>
          <w:i/>
          <w:iCs/>
          <w:sz w:val="18"/>
          <w:szCs w:val="18"/>
          <w:vertAlign w:val="superscript"/>
          <w:lang w:val="fr-FR"/>
        </w:rPr>
        <w:t>1</w:t>
      </w:r>
      <w:r w:rsidRPr="00A779B8">
        <w:rPr>
          <w:sz w:val="18"/>
          <w:szCs w:val="18"/>
          <w:lang w:val="fr-FR"/>
        </w:rPr>
        <w:tab/>
        <w:t>Les valeurs mentionnées dans les spécifications sont des «valeurs vraies». Les valeurs limites ont été déterminées conformément à la norme ISO 4259 intitulée «Produits pétroliers − Détermination et application des valeurs de fidélité relatives aux méthodes d</w:t>
      </w:r>
      <w:r w:rsidR="00DB4C2D">
        <w:rPr>
          <w:sz w:val="18"/>
          <w:szCs w:val="18"/>
          <w:lang w:val="fr-FR"/>
        </w:rPr>
        <w:t>’</w:t>
      </w:r>
      <w:r w:rsidRPr="00A779B8">
        <w:rPr>
          <w:sz w:val="18"/>
          <w:szCs w:val="18"/>
          <w:lang w:val="fr-FR"/>
        </w:rPr>
        <w:t>essai». Pour la fixation d</w:t>
      </w:r>
      <w:r w:rsidR="00DB4C2D">
        <w:rPr>
          <w:sz w:val="18"/>
          <w:szCs w:val="18"/>
          <w:lang w:val="fr-FR"/>
        </w:rPr>
        <w:t>’</w:t>
      </w:r>
      <w:r w:rsidRPr="00A779B8">
        <w:rPr>
          <w:sz w:val="18"/>
          <w:szCs w:val="18"/>
          <w:lang w:val="fr-FR"/>
        </w:rPr>
        <w:t>un minimum, une différence minimale de 2R par rapport à la valeur zéro a été prise en compte; pour la fixation d</w:t>
      </w:r>
      <w:r w:rsidR="00DB4C2D">
        <w:rPr>
          <w:sz w:val="18"/>
          <w:szCs w:val="18"/>
          <w:lang w:val="fr-FR"/>
        </w:rPr>
        <w:t>’</w:t>
      </w:r>
      <w:r w:rsidRPr="00A779B8">
        <w:rPr>
          <w:sz w:val="18"/>
          <w:szCs w:val="18"/>
          <w:lang w:val="fr-FR"/>
        </w:rPr>
        <w:t>un maximum et d</w:t>
      </w:r>
      <w:r w:rsidR="00DB4C2D">
        <w:rPr>
          <w:sz w:val="18"/>
          <w:szCs w:val="18"/>
          <w:lang w:val="fr-FR"/>
        </w:rPr>
        <w:t>’</w:t>
      </w:r>
      <w:r w:rsidRPr="00A779B8">
        <w:rPr>
          <w:sz w:val="18"/>
          <w:szCs w:val="18"/>
          <w:lang w:val="fr-FR"/>
        </w:rPr>
        <w:t>un minimum, la différence minimale entre ces valeurs est de 4R (R = reproductibilité).Malgré cette mesure, qui est nécessaire pour des raisons techniques, le fabri</w:t>
      </w:r>
      <w:r>
        <w:rPr>
          <w:sz w:val="18"/>
          <w:szCs w:val="18"/>
          <w:lang w:val="fr-FR"/>
        </w:rPr>
        <w:t>cant de carburant doit viser la </w:t>
      </w:r>
      <w:r w:rsidRPr="00A779B8">
        <w:rPr>
          <w:sz w:val="18"/>
          <w:szCs w:val="18"/>
          <w:lang w:val="fr-FR"/>
        </w:rPr>
        <w:t>valeur zéro lorsque la valeur maximale indiquée est de 2R ou la valeur moyenne lorsqu</w:t>
      </w:r>
      <w:r w:rsidR="00DB4C2D">
        <w:rPr>
          <w:sz w:val="18"/>
          <w:szCs w:val="18"/>
          <w:lang w:val="fr-FR"/>
        </w:rPr>
        <w:t>’</w:t>
      </w:r>
      <w:r w:rsidRPr="00A779B8">
        <w:rPr>
          <w:sz w:val="18"/>
          <w:szCs w:val="18"/>
          <w:lang w:val="fr-FR"/>
        </w:rPr>
        <w:t>il existe un minimum et un</w:t>
      </w:r>
      <w:r>
        <w:rPr>
          <w:sz w:val="18"/>
          <w:szCs w:val="18"/>
          <w:lang w:val="fr-FR"/>
        </w:rPr>
        <w:t> </w:t>
      </w:r>
      <w:r w:rsidRPr="00A779B8">
        <w:rPr>
          <w:sz w:val="18"/>
          <w:szCs w:val="18"/>
          <w:lang w:val="fr-FR"/>
        </w:rPr>
        <w:t>maximum. Au cas où il est nécessaire de vérifier le respect des spécifications pour un carburant, les dispositions de la norme ISO 4259 doivent être appliquées.</w:t>
      </w:r>
    </w:p>
    <w:p w:rsidR="002B4B8E" w:rsidRPr="00A779B8" w:rsidRDefault="002B4B8E" w:rsidP="002B4B8E">
      <w:pPr>
        <w:ind w:left="454" w:hanging="284"/>
        <w:rPr>
          <w:sz w:val="18"/>
          <w:szCs w:val="18"/>
          <w:lang w:val="fr-FR"/>
        </w:rPr>
      </w:pPr>
      <w:r w:rsidRPr="00A779B8">
        <w:rPr>
          <w:i/>
          <w:sz w:val="18"/>
          <w:szCs w:val="18"/>
          <w:vertAlign w:val="superscript"/>
          <w:lang w:val="fr-FR"/>
        </w:rPr>
        <w:lastRenderedPageBreak/>
        <w:t>2</w:t>
      </w:r>
      <w:r w:rsidRPr="00A779B8">
        <w:rPr>
          <w:sz w:val="18"/>
          <w:szCs w:val="18"/>
          <w:lang w:val="fr-FR"/>
        </w:rPr>
        <w:tab/>
        <w:t>L</w:t>
      </w:r>
      <w:r w:rsidR="00DB4C2D">
        <w:rPr>
          <w:sz w:val="18"/>
          <w:szCs w:val="18"/>
          <w:lang w:val="fr-FR"/>
        </w:rPr>
        <w:t>’</w:t>
      </w:r>
      <w:r w:rsidRPr="00A779B8">
        <w:rPr>
          <w:sz w:val="18"/>
          <w:szCs w:val="18"/>
          <w:lang w:val="fr-FR"/>
        </w:rPr>
        <w:t>intervalle indiqué pour le cétane n</w:t>
      </w:r>
      <w:r w:rsidR="00DB4C2D">
        <w:rPr>
          <w:sz w:val="18"/>
          <w:szCs w:val="18"/>
          <w:lang w:val="fr-FR"/>
        </w:rPr>
        <w:t>’</w:t>
      </w:r>
      <w:r w:rsidRPr="00A779B8">
        <w:rPr>
          <w:sz w:val="18"/>
          <w:szCs w:val="18"/>
          <w:lang w:val="fr-FR"/>
        </w:rPr>
        <w:t>est pas conforme à l</w:t>
      </w:r>
      <w:r w:rsidR="00DB4C2D">
        <w:rPr>
          <w:sz w:val="18"/>
          <w:szCs w:val="18"/>
          <w:lang w:val="fr-FR"/>
        </w:rPr>
        <w:t>’</w:t>
      </w:r>
      <w:r w:rsidRPr="00A779B8">
        <w:rPr>
          <w:sz w:val="18"/>
          <w:szCs w:val="18"/>
          <w:lang w:val="fr-FR"/>
        </w:rPr>
        <w:t>exigence d</w:t>
      </w:r>
      <w:r w:rsidR="00DB4C2D">
        <w:rPr>
          <w:sz w:val="18"/>
          <w:szCs w:val="18"/>
          <w:lang w:val="fr-FR"/>
        </w:rPr>
        <w:t>’</w:t>
      </w:r>
      <w:r w:rsidRPr="00A779B8">
        <w:rPr>
          <w:sz w:val="18"/>
          <w:szCs w:val="18"/>
          <w:lang w:val="fr-FR"/>
        </w:rPr>
        <w:t>un minimum de 4R. Cependant, en cas de différend entre le fournisseur et l</w:t>
      </w:r>
      <w:r w:rsidR="00DB4C2D">
        <w:rPr>
          <w:sz w:val="18"/>
          <w:szCs w:val="18"/>
          <w:lang w:val="fr-FR"/>
        </w:rPr>
        <w:t>’</w:t>
      </w:r>
      <w:r w:rsidRPr="00A779B8">
        <w:rPr>
          <w:sz w:val="18"/>
          <w:szCs w:val="18"/>
          <w:lang w:val="fr-FR"/>
        </w:rPr>
        <w:t>utilisateur du carburant, la norme ISO 4259 peut être appliquée, à condition qu</w:t>
      </w:r>
      <w:r w:rsidR="00DB4C2D">
        <w:rPr>
          <w:sz w:val="18"/>
          <w:szCs w:val="18"/>
          <w:lang w:val="fr-FR"/>
        </w:rPr>
        <w:t>’</w:t>
      </w:r>
      <w:r w:rsidRPr="00A779B8">
        <w:rPr>
          <w:sz w:val="18"/>
          <w:szCs w:val="18"/>
          <w:lang w:val="fr-FR"/>
        </w:rPr>
        <w:t>un nombre suffisant de mesures soient effectuées à nouveau pour atteindre la précision nécessaire, ceci étant préférable à des mesures uniques.</w:t>
      </w:r>
    </w:p>
    <w:p w:rsidR="002B4B8E" w:rsidRPr="00A779B8" w:rsidRDefault="002B4B8E" w:rsidP="002B4B8E">
      <w:pPr>
        <w:ind w:left="454" w:hanging="284"/>
        <w:rPr>
          <w:sz w:val="18"/>
          <w:szCs w:val="18"/>
          <w:lang w:val="fr-FR"/>
        </w:rPr>
      </w:pPr>
      <w:r w:rsidRPr="00A779B8">
        <w:rPr>
          <w:i/>
          <w:sz w:val="18"/>
          <w:szCs w:val="18"/>
          <w:vertAlign w:val="superscript"/>
          <w:lang w:val="fr-FR"/>
        </w:rPr>
        <w:t>3</w:t>
      </w:r>
      <w:r w:rsidRPr="00A779B8">
        <w:rPr>
          <w:sz w:val="18"/>
          <w:szCs w:val="18"/>
          <w:lang w:val="fr-FR"/>
        </w:rPr>
        <w:tab/>
        <w:t xml:space="preserve"> Il convient de communiquer la teneur en soufre effective du carburant utilisé pour les essais du type I.</w:t>
      </w:r>
    </w:p>
    <w:p w:rsidR="002B4B8E" w:rsidRPr="00A779B8" w:rsidRDefault="002B4B8E" w:rsidP="002B4B8E">
      <w:pPr>
        <w:ind w:left="454" w:hanging="284"/>
        <w:rPr>
          <w:sz w:val="18"/>
          <w:szCs w:val="18"/>
          <w:lang w:val="fr-FR"/>
        </w:rPr>
      </w:pPr>
      <w:r w:rsidRPr="00A779B8">
        <w:rPr>
          <w:i/>
          <w:sz w:val="18"/>
          <w:szCs w:val="18"/>
          <w:vertAlign w:val="superscript"/>
          <w:lang w:val="fr-FR"/>
        </w:rPr>
        <w:t>4</w:t>
      </w:r>
      <w:r w:rsidRPr="00A779B8">
        <w:rPr>
          <w:sz w:val="18"/>
          <w:szCs w:val="18"/>
          <w:lang w:val="fr-FR"/>
        </w:rPr>
        <w:tab/>
        <w:t xml:space="preserve"> Même si des mesures sont prises pour assurer la stabilité à l</w:t>
      </w:r>
      <w:r w:rsidR="00DB4C2D">
        <w:rPr>
          <w:sz w:val="18"/>
          <w:szCs w:val="18"/>
          <w:lang w:val="fr-FR"/>
        </w:rPr>
        <w:t>’</w:t>
      </w:r>
      <w:r w:rsidRPr="00A779B8">
        <w:rPr>
          <w:sz w:val="18"/>
          <w:szCs w:val="18"/>
          <w:lang w:val="fr-FR"/>
        </w:rPr>
        <w:t>oxydation, il est probable que la durée de stockage du produit sera limitée. Il est recommandé de demander conseil au fournisseur quant aux conditions et à la durée de stockage.</w:t>
      </w:r>
    </w:p>
    <w:p w:rsidR="002B4B8E" w:rsidRPr="00A779B8" w:rsidRDefault="002B4B8E" w:rsidP="002B4B8E">
      <w:pPr>
        <w:ind w:left="454" w:hanging="284"/>
        <w:rPr>
          <w:sz w:val="18"/>
          <w:szCs w:val="18"/>
          <w:lang w:val="fr-FR"/>
        </w:rPr>
      </w:pPr>
      <w:r w:rsidRPr="00A779B8">
        <w:rPr>
          <w:i/>
          <w:sz w:val="18"/>
          <w:szCs w:val="18"/>
          <w:vertAlign w:val="superscript"/>
          <w:lang w:val="fr-FR"/>
        </w:rPr>
        <w:t>5</w:t>
      </w:r>
      <w:r w:rsidRPr="00A779B8">
        <w:rPr>
          <w:sz w:val="18"/>
          <w:szCs w:val="18"/>
          <w:lang w:val="fr-FR"/>
        </w:rPr>
        <w:tab/>
        <w:t>La teneur en FAME doit satisfaire aux spécifications de la norme EN 14214.</w:t>
      </w:r>
    </w:p>
    <w:p w:rsidR="002B4B8E" w:rsidRDefault="002B4B8E" w:rsidP="002B4B8E">
      <w:pPr>
        <w:ind w:left="454" w:hanging="284"/>
        <w:rPr>
          <w:b/>
          <w:lang w:val="fr-FR"/>
        </w:rPr>
      </w:pPr>
      <w:r w:rsidRPr="00A779B8">
        <w:rPr>
          <w:i/>
          <w:sz w:val="18"/>
          <w:szCs w:val="18"/>
          <w:vertAlign w:val="superscript"/>
          <w:lang w:val="fr-FR"/>
        </w:rPr>
        <w:t>6</w:t>
      </w:r>
      <w:r w:rsidRPr="00A779B8">
        <w:rPr>
          <w:sz w:val="18"/>
          <w:szCs w:val="18"/>
          <w:lang w:val="fr-FR"/>
        </w:rPr>
        <w:tab/>
        <w:t>La stabilité à l</w:t>
      </w:r>
      <w:r w:rsidR="00DB4C2D">
        <w:rPr>
          <w:sz w:val="18"/>
          <w:szCs w:val="18"/>
          <w:lang w:val="fr-FR"/>
        </w:rPr>
        <w:t>’</w:t>
      </w:r>
      <w:r w:rsidRPr="00A779B8">
        <w:rPr>
          <w:sz w:val="18"/>
          <w:szCs w:val="18"/>
          <w:lang w:val="fr-FR"/>
        </w:rPr>
        <w:t>oxydation peut être démontrée conformément à la norme EN ISO 12205 ou EN 14112. Cette prescription sera réexaminée sur la base d</w:t>
      </w:r>
      <w:r w:rsidR="00DB4C2D">
        <w:rPr>
          <w:sz w:val="18"/>
          <w:szCs w:val="18"/>
          <w:lang w:val="fr-FR"/>
        </w:rPr>
        <w:t>’</w:t>
      </w:r>
      <w:r w:rsidRPr="00A779B8">
        <w:rPr>
          <w:sz w:val="18"/>
          <w:szCs w:val="18"/>
          <w:lang w:val="fr-FR"/>
        </w:rPr>
        <w:t>évaluations effectuées par le CEN/TC19 sur les performances de stabilité à l</w:t>
      </w:r>
      <w:r w:rsidR="00DB4C2D">
        <w:rPr>
          <w:sz w:val="18"/>
          <w:szCs w:val="18"/>
          <w:lang w:val="fr-FR"/>
        </w:rPr>
        <w:t>’</w:t>
      </w:r>
      <w:r w:rsidRPr="00A779B8">
        <w:rPr>
          <w:sz w:val="18"/>
          <w:szCs w:val="18"/>
          <w:lang w:val="fr-FR"/>
        </w:rPr>
        <w:t>oxydation et les limites d</w:t>
      </w:r>
      <w:r w:rsidR="00DB4C2D">
        <w:rPr>
          <w:sz w:val="18"/>
          <w:szCs w:val="18"/>
          <w:lang w:val="fr-FR"/>
        </w:rPr>
        <w:t>’</w:t>
      </w:r>
      <w:r w:rsidRPr="00A779B8">
        <w:rPr>
          <w:sz w:val="18"/>
          <w:szCs w:val="18"/>
          <w:lang w:val="fr-FR"/>
        </w:rPr>
        <w:t>essai.</w:t>
      </w:r>
    </w:p>
    <w:p w:rsidR="002B4B8E" w:rsidRPr="00A779B8" w:rsidRDefault="002B4B8E" w:rsidP="002B4B8E">
      <w:pPr>
        <w:pStyle w:val="Titre1"/>
        <w:spacing w:before="240" w:after="120" w:line="240" w:lineRule="atLeast"/>
        <w:ind w:left="0"/>
        <w:rPr>
          <w:b/>
          <w:lang w:val="fr-FR"/>
        </w:rPr>
      </w:pPr>
      <w:r w:rsidRPr="00A779B8">
        <w:rPr>
          <w:b/>
          <w:lang w:val="fr-FR"/>
        </w:rPr>
        <w:t>Type: Gazole (B7)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686"/>
        <w:gridCol w:w="1134"/>
        <w:gridCol w:w="1332"/>
        <w:gridCol w:w="1219"/>
        <w:gridCol w:w="2268"/>
      </w:tblGrid>
      <w:tr w:rsidR="002B4B8E" w:rsidRPr="00A779B8" w:rsidTr="00DB4C2D">
        <w:trPr>
          <w:trHeight w:val="280"/>
          <w:tblHeader/>
          <w:jc w:val="center"/>
        </w:trPr>
        <w:tc>
          <w:tcPr>
            <w:tcW w:w="3686"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Paramètre</w:t>
            </w:r>
          </w:p>
        </w:tc>
        <w:tc>
          <w:tcPr>
            <w:tcW w:w="1134"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Unité</w:t>
            </w:r>
          </w:p>
        </w:tc>
        <w:tc>
          <w:tcPr>
            <w:tcW w:w="2551" w:type="dxa"/>
            <w:gridSpan w:val="2"/>
            <w:vAlign w:val="center"/>
          </w:tcPr>
          <w:p w:rsidR="002B4B8E" w:rsidRPr="00A779B8" w:rsidRDefault="002B4B8E" w:rsidP="00DB4C2D">
            <w:pPr>
              <w:keepNext/>
              <w:spacing w:before="60" w:after="60" w:line="200" w:lineRule="exact"/>
              <w:jc w:val="center"/>
              <w:rPr>
                <w:i/>
                <w:sz w:val="16"/>
                <w:szCs w:val="16"/>
                <w:lang w:val="fr-FR"/>
              </w:rPr>
            </w:pPr>
            <w:r w:rsidRPr="00A779B8">
              <w:rPr>
                <w:i/>
                <w:sz w:val="16"/>
                <w:szCs w:val="16"/>
                <w:lang w:val="fr-FR"/>
              </w:rPr>
              <w:t>Limites</w:t>
            </w:r>
            <w:r w:rsidRPr="00A779B8">
              <w:rPr>
                <w:sz w:val="16"/>
                <w:szCs w:val="16"/>
                <w:vertAlign w:val="superscript"/>
                <w:lang w:val="fr-FR"/>
              </w:rPr>
              <w:t>1</w:t>
            </w:r>
          </w:p>
        </w:tc>
        <w:tc>
          <w:tcPr>
            <w:tcW w:w="2268" w:type="dxa"/>
            <w:vMerge w:val="restart"/>
            <w:vAlign w:val="center"/>
          </w:tcPr>
          <w:p w:rsidR="002B4B8E" w:rsidRPr="00A779B8" w:rsidRDefault="002B4B8E" w:rsidP="00DB4C2D">
            <w:pPr>
              <w:keepNext/>
              <w:spacing w:before="60" w:after="60" w:line="200" w:lineRule="exact"/>
              <w:jc w:val="center"/>
              <w:rPr>
                <w:i/>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p>
        </w:tc>
      </w:tr>
      <w:tr w:rsidR="002B4B8E" w:rsidRPr="00A779B8" w:rsidTr="00DB4C2D">
        <w:trPr>
          <w:trHeight w:val="280"/>
          <w:tblHeader/>
          <w:jc w:val="center"/>
        </w:trPr>
        <w:tc>
          <w:tcPr>
            <w:tcW w:w="3686" w:type="dxa"/>
            <w:vMerge/>
            <w:vAlign w:val="center"/>
          </w:tcPr>
          <w:p w:rsidR="002B4B8E" w:rsidRPr="00A779B8" w:rsidRDefault="002B4B8E" w:rsidP="00DB4C2D">
            <w:pPr>
              <w:keepNext/>
              <w:spacing w:before="60" w:after="60" w:line="200" w:lineRule="exact"/>
              <w:jc w:val="center"/>
              <w:rPr>
                <w:i/>
                <w:sz w:val="16"/>
                <w:szCs w:val="16"/>
                <w:lang w:val="fr-FR"/>
              </w:rPr>
            </w:pPr>
          </w:p>
        </w:tc>
        <w:tc>
          <w:tcPr>
            <w:tcW w:w="1134" w:type="dxa"/>
            <w:vMerge/>
            <w:vAlign w:val="center"/>
          </w:tcPr>
          <w:p w:rsidR="002B4B8E" w:rsidRPr="00A779B8" w:rsidRDefault="002B4B8E" w:rsidP="00DB4C2D">
            <w:pPr>
              <w:keepNext/>
              <w:spacing w:before="60" w:after="60" w:line="200" w:lineRule="exact"/>
              <w:jc w:val="center"/>
              <w:rPr>
                <w:i/>
                <w:sz w:val="16"/>
                <w:szCs w:val="16"/>
                <w:lang w:val="fr-FR"/>
              </w:rPr>
            </w:pPr>
          </w:p>
        </w:tc>
        <w:tc>
          <w:tcPr>
            <w:tcW w:w="1332" w:type="dxa"/>
            <w:vAlign w:val="center"/>
          </w:tcPr>
          <w:p w:rsidR="002B4B8E" w:rsidRPr="00A779B8" w:rsidRDefault="002B4B8E" w:rsidP="00DB4C2D">
            <w:pPr>
              <w:keepNext/>
              <w:spacing w:before="60" w:after="60" w:line="200" w:lineRule="exact"/>
              <w:jc w:val="center"/>
              <w:rPr>
                <w:i/>
                <w:sz w:val="16"/>
                <w:szCs w:val="16"/>
                <w:lang w:val="fr-FR"/>
              </w:rPr>
            </w:pPr>
            <w:r w:rsidRPr="00A779B8">
              <w:rPr>
                <w:i/>
                <w:sz w:val="16"/>
                <w:szCs w:val="16"/>
                <w:lang w:val="fr-FR"/>
              </w:rPr>
              <w:t>Minimale</w:t>
            </w:r>
          </w:p>
        </w:tc>
        <w:tc>
          <w:tcPr>
            <w:tcW w:w="0" w:type="auto"/>
            <w:vAlign w:val="center"/>
          </w:tcPr>
          <w:p w:rsidR="002B4B8E" w:rsidRPr="00A779B8" w:rsidRDefault="002B4B8E" w:rsidP="00DB4C2D">
            <w:pPr>
              <w:keepNext/>
              <w:spacing w:before="60" w:after="60" w:line="200" w:lineRule="exact"/>
              <w:jc w:val="center"/>
              <w:rPr>
                <w:i/>
                <w:sz w:val="16"/>
                <w:szCs w:val="16"/>
                <w:lang w:val="fr-FR"/>
              </w:rPr>
            </w:pPr>
            <w:r w:rsidRPr="00A779B8">
              <w:rPr>
                <w:i/>
                <w:sz w:val="16"/>
                <w:szCs w:val="16"/>
                <w:lang w:val="fr-FR"/>
              </w:rPr>
              <w:t>Maximale</w:t>
            </w:r>
          </w:p>
        </w:tc>
        <w:tc>
          <w:tcPr>
            <w:tcW w:w="2268" w:type="dxa"/>
            <w:vMerge/>
            <w:vAlign w:val="center"/>
          </w:tcPr>
          <w:p w:rsidR="002B4B8E" w:rsidRPr="00A779B8" w:rsidRDefault="002B4B8E" w:rsidP="00DB4C2D">
            <w:pPr>
              <w:keepNext/>
              <w:spacing w:before="60" w:after="60" w:line="200" w:lineRule="exact"/>
              <w:jc w:val="center"/>
              <w:rPr>
                <w:sz w:val="16"/>
                <w:szCs w:val="16"/>
                <w:lang w:val="fr-FR"/>
              </w:rPr>
            </w:pPr>
          </w:p>
        </w:tc>
      </w:tr>
      <w:tr w:rsidR="002B4B8E" w:rsidRPr="00A779B8" w:rsidTr="00DB4C2D">
        <w:trPr>
          <w:trHeight w:val="163"/>
          <w:jc w:val="center"/>
        </w:trPr>
        <w:tc>
          <w:tcPr>
            <w:tcW w:w="3686"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Cétane calculé</w:t>
            </w:r>
          </w:p>
        </w:tc>
        <w:tc>
          <w:tcPr>
            <w:tcW w:w="1134" w:type="dxa"/>
          </w:tcPr>
          <w:p w:rsidR="002B4B8E" w:rsidRPr="00A779B8" w:rsidRDefault="002B4B8E" w:rsidP="00DB4C2D">
            <w:pPr>
              <w:keepNext/>
              <w:spacing w:before="60" w:after="60" w:line="220" w:lineRule="atLeast"/>
              <w:jc w:val="center"/>
              <w:rPr>
                <w:sz w:val="18"/>
                <w:szCs w:val="18"/>
                <w:lang w:val="fr-FR"/>
              </w:rPr>
            </w:pPr>
          </w:p>
        </w:tc>
        <w:tc>
          <w:tcPr>
            <w:tcW w:w="1332"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46,0</w:t>
            </w:r>
          </w:p>
        </w:tc>
        <w:tc>
          <w:tcPr>
            <w:tcW w:w="0" w:type="auto"/>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 </w:t>
            </w:r>
          </w:p>
        </w:tc>
        <w:tc>
          <w:tcPr>
            <w:tcW w:w="2268"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4264</w:t>
            </w:r>
          </w:p>
        </w:tc>
      </w:tr>
      <w:tr w:rsidR="002B4B8E" w:rsidRPr="00A779B8" w:rsidTr="00DB4C2D">
        <w:trPr>
          <w:trHeight w:val="222"/>
          <w:jc w:val="center"/>
        </w:trPr>
        <w:tc>
          <w:tcPr>
            <w:tcW w:w="3686"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Cétane mesuré</w:t>
            </w:r>
            <w:r w:rsidRPr="00A779B8">
              <w:rPr>
                <w:i/>
                <w:sz w:val="18"/>
                <w:szCs w:val="18"/>
                <w:vertAlign w:val="superscript"/>
                <w:lang w:val="fr-FR"/>
              </w:rPr>
              <w:t>2</w:t>
            </w:r>
          </w:p>
        </w:tc>
        <w:tc>
          <w:tcPr>
            <w:tcW w:w="1134" w:type="dxa"/>
          </w:tcPr>
          <w:p w:rsidR="002B4B8E" w:rsidRPr="00A779B8" w:rsidRDefault="002B4B8E" w:rsidP="00DB4C2D">
            <w:pPr>
              <w:keepNext/>
              <w:spacing w:before="60" w:after="60" w:line="220" w:lineRule="atLeast"/>
              <w:jc w:val="center"/>
              <w:rPr>
                <w:sz w:val="18"/>
                <w:szCs w:val="18"/>
                <w:lang w:val="fr-FR"/>
              </w:rPr>
            </w:pPr>
          </w:p>
        </w:tc>
        <w:tc>
          <w:tcPr>
            <w:tcW w:w="1332"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52,0</w:t>
            </w:r>
          </w:p>
        </w:tc>
        <w:tc>
          <w:tcPr>
            <w:tcW w:w="0" w:type="auto"/>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56,0</w:t>
            </w:r>
          </w:p>
        </w:tc>
        <w:tc>
          <w:tcPr>
            <w:tcW w:w="2268"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5165</w:t>
            </w:r>
          </w:p>
        </w:tc>
      </w:tr>
      <w:tr w:rsidR="002B4B8E" w:rsidRPr="00A779B8" w:rsidTr="00DB4C2D">
        <w:trPr>
          <w:trHeight w:val="141"/>
          <w:jc w:val="center"/>
        </w:trPr>
        <w:tc>
          <w:tcPr>
            <w:tcW w:w="3686" w:type="dxa"/>
            <w:tcBorders>
              <w:bottom w:val="single" w:sz="4" w:space="0" w:color="auto"/>
            </w:tcBorders>
          </w:tcPr>
          <w:p w:rsidR="002B4B8E" w:rsidRPr="00A779B8" w:rsidRDefault="002B4B8E" w:rsidP="00DB4C2D">
            <w:pPr>
              <w:keepNext/>
              <w:spacing w:before="60" w:after="60" w:line="220" w:lineRule="atLeast"/>
              <w:rPr>
                <w:sz w:val="18"/>
                <w:szCs w:val="18"/>
                <w:lang w:val="fr-FR"/>
              </w:rPr>
            </w:pPr>
            <w:r w:rsidRPr="00A779B8">
              <w:rPr>
                <w:sz w:val="18"/>
                <w:szCs w:val="18"/>
                <w:lang w:val="fr-FR"/>
              </w:rPr>
              <w:t>Densité à 15 °C</w:t>
            </w:r>
          </w:p>
        </w:tc>
        <w:tc>
          <w:tcPr>
            <w:tcW w:w="1134" w:type="dxa"/>
            <w:tcBorders>
              <w:bottom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kg/m</w:t>
            </w:r>
            <w:r w:rsidRPr="00A779B8">
              <w:rPr>
                <w:sz w:val="18"/>
                <w:szCs w:val="18"/>
                <w:vertAlign w:val="superscript"/>
                <w:lang w:val="fr-FR"/>
              </w:rPr>
              <w:t>3</w:t>
            </w:r>
          </w:p>
        </w:tc>
        <w:tc>
          <w:tcPr>
            <w:tcW w:w="1332" w:type="dxa"/>
            <w:tcBorders>
              <w:bottom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833,0</w:t>
            </w:r>
          </w:p>
        </w:tc>
        <w:tc>
          <w:tcPr>
            <w:tcW w:w="0" w:type="auto"/>
            <w:tcBorders>
              <w:bottom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837,0</w:t>
            </w:r>
          </w:p>
        </w:tc>
        <w:tc>
          <w:tcPr>
            <w:tcW w:w="2268" w:type="dxa"/>
            <w:tcBorders>
              <w:bottom w:val="single" w:sz="4" w:space="0" w:color="auto"/>
            </w:tcBorders>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12185</w:t>
            </w:r>
          </w:p>
        </w:tc>
      </w:tr>
      <w:tr w:rsidR="002B4B8E" w:rsidRPr="00A779B8" w:rsidTr="00DB4C2D">
        <w:trPr>
          <w:trHeight w:val="201"/>
          <w:jc w:val="center"/>
        </w:trPr>
        <w:tc>
          <w:tcPr>
            <w:tcW w:w="3686" w:type="dxa"/>
            <w:tcBorders>
              <w:bottom w:val="nil"/>
              <w:right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Distillation:</w:t>
            </w:r>
          </w:p>
        </w:tc>
        <w:tc>
          <w:tcPr>
            <w:tcW w:w="1134" w:type="dxa"/>
            <w:tcBorders>
              <w:left w:val="single" w:sz="4" w:space="0" w:color="auto"/>
              <w:bottom w:val="nil"/>
              <w:right w:val="single" w:sz="4" w:space="0" w:color="auto"/>
            </w:tcBorders>
          </w:tcPr>
          <w:p w:rsidR="002B4B8E" w:rsidRPr="00A779B8" w:rsidRDefault="002B4B8E" w:rsidP="00DB4C2D">
            <w:pPr>
              <w:keepNext/>
              <w:spacing w:before="60" w:after="60" w:line="220" w:lineRule="atLeast"/>
              <w:jc w:val="center"/>
              <w:rPr>
                <w:sz w:val="18"/>
                <w:szCs w:val="18"/>
                <w:lang w:val="fr-FR"/>
              </w:rPr>
            </w:pPr>
          </w:p>
        </w:tc>
        <w:tc>
          <w:tcPr>
            <w:tcW w:w="1332" w:type="dxa"/>
            <w:tcBorders>
              <w:left w:val="single" w:sz="4" w:space="0" w:color="auto"/>
              <w:bottom w:val="nil"/>
              <w:right w:val="single" w:sz="4" w:space="0" w:color="auto"/>
            </w:tcBorders>
          </w:tcPr>
          <w:p w:rsidR="002B4B8E" w:rsidRPr="00A779B8" w:rsidRDefault="002B4B8E" w:rsidP="00DB4C2D">
            <w:pPr>
              <w:keepNext/>
              <w:spacing w:before="60" w:after="60" w:line="220" w:lineRule="atLeast"/>
              <w:jc w:val="center"/>
              <w:rPr>
                <w:sz w:val="18"/>
                <w:szCs w:val="18"/>
                <w:lang w:val="fr-FR"/>
              </w:rPr>
            </w:pPr>
          </w:p>
        </w:tc>
        <w:tc>
          <w:tcPr>
            <w:tcW w:w="0" w:type="auto"/>
            <w:tcBorders>
              <w:left w:val="single" w:sz="4" w:space="0" w:color="auto"/>
              <w:bottom w:val="nil"/>
              <w:right w:val="single" w:sz="4" w:space="0" w:color="auto"/>
            </w:tcBorders>
          </w:tcPr>
          <w:p w:rsidR="002B4B8E" w:rsidRPr="00A779B8" w:rsidRDefault="002B4B8E" w:rsidP="00DB4C2D">
            <w:pPr>
              <w:keepNext/>
              <w:spacing w:before="60" w:after="60" w:line="220" w:lineRule="atLeast"/>
              <w:jc w:val="center"/>
              <w:rPr>
                <w:sz w:val="18"/>
                <w:szCs w:val="18"/>
                <w:lang w:val="fr-FR"/>
              </w:rPr>
            </w:pPr>
          </w:p>
        </w:tc>
        <w:tc>
          <w:tcPr>
            <w:tcW w:w="2268" w:type="dxa"/>
            <w:tcBorders>
              <w:left w:val="single" w:sz="4" w:space="0" w:color="auto"/>
              <w:bottom w:val="nil"/>
            </w:tcBorders>
          </w:tcPr>
          <w:p w:rsidR="002B4B8E" w:rsidRPr="00A779B8" w:rsidRDefault="002B4B8E" w:rsidP="00DB4C2D">
            <w:pPr>
              <w:keepNext/>
              <w:spacing w:before="60" w:after="60" w:line="220" w:lineRule="atLeast"/>
              <w:rPr>
                <w:sz w:val="18"/>
                <w:szCs w:val="18"/>
                <w:lang w:val="fr-FR"/>
              </w:rPr>
            </w:pPr>
          </w:p>
        </w:tc>
      </w:tr>
      <w:tr w:rsidR="002B4B8E" w:rsidRPr="00A779B8" w:rsidTr="00DB4C2D">
        <w:trPr>
          <w:trHeight w:val="74"/>
          <w:jc w:val="center"/>
        </w:trPr>
        <w:tc>
          <w:tcPr>
            <w:tcW w:w="3686" w:type="dxa"/>
            <w:tcBorders>
              <w:top w:val="nil"/>
              <w:bottom w:val="nil"/>
              <w:right w:val="single" w:sz="4" w:space="0" w:color="auto"/>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Point 50 %</w:t>
            </w:r>
          </w:p>
        </w:tc>
        <w:tc>
          <w:tcPr>
            <w:tcW w:w="1134" w:type="dxa"/>
            <w:tcBorders>
              <w:top w:val="nil"/>
              <w:left w:val="single" w:sz="4" w:space="0" w:color="auto"/>
              <w:bottom w:val="nil"/>
              <w:right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°C</w:t>
            </w:r>
          </w:p>
        </w:tc>
        <w:tc>
          <w:tcPr>
            <w:tcW w:w="1332" w:type="dxa"/>
            <w:tcBorders>
              <w:top w:val="nil"/>
              <w:left w:val="single" w:sz="4" w:space="0" w:color="auto"/>
              <w:bottom w:val="nil"/>
              <w:right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245,0</w:t>
            </w:r>
          </w:p>
        </w:tc>
        <w:tc>
          <w:tcPr>
            <w:tcW w:w="0" w:type="auto"/>
            <w:tcBorders>
              <w:top w:val="nil"/>
              <w:left w:val="single" w:sz="4" w:space="0" w:color="auto"/>
              <w:bottom w:val="nil"/>
              <w:right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w:t>
            </w:r>
          </w:p>
        </w:tc>
        <w:tc>
          <w:tcPr>
            <w:tcW w:w="2268" w:type="dxa"/>
            <w:tcBorders>
              <w:top w:val="nil"/>
              <w:left w:val="single" w:sz="4" w:space="0" w:color="auto"/>
              <w:bottom w:val="nil"/>
            </w:tcBorders>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3405</w:t>
            </w:r>
          </w:p>
        </w:tc>
      </w:tr>
      <w:tr w:rsidR="002B4B8E" w:rsidRPr="00A779B8" w:rsidTr="00DB4C2D">
        <w:trPr>
          <w:trHeight w:val="122"/>
          <w:jc w:val="center"/>
        </w:trPr>
        <w:tc>
          <w:tcPr>
            <w:tcW w:w="3686" w:type="dxa"/>
            <w:tcBorders>
              <w:top w:val="nil"/>
              <w:bottom w:val="nil"/>
              <w:right w:val="single" w:sz="4" w:space="0" w:color="auto"/>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Point 95 %</w:t>
            </w:r>
          </w:p>
        </w:tc>
        <w:tc>
          <w:tcPr>
            <w:tcW w:w="1134" w:type="dxa"/>
            <w:tcBorders>
              <w:top w:val="nil"/>
              <w:left w:val="single" w:sz="4" w:space="0" w:color="auto"/>
              <w:bottom w:val="nil"/>
              <w:right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°C</w:t>
            </w:r>
          </w:p>
        </w:tc>
        <w:tc>
          <w:tcPr>
            <w:tcW w:w="1332" w:type="dxa"/>
            <w:tcBorders>
              <w:top w:val="nil"/>
              <w:left w:val="single" w:sz="4" w:space="0" w:color="auto"/>
              <w:bottom w:val="nil"/>
              <w:right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345,0</w:t>
            </w:r>
          </w:p>
        </w:tc>
        <w:tc>
          <w:tcPr>
            <w:tcW w:w="0" w:type="auto"/>
            <w:tcBorders>
              <w:top w:val="nil"/>
              <w:left w:val="single" w:sz="4" w:space="0" w:color="auto"/>
              <w:bottom w:val="nil"/>
              <w:right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360,0</w:t>
            </w:r>
          </w:p>
        </w:tc>
        <w:tc>
          <w:tcPr>
            <w:tcW w:w="2268" w:type="dxa"/>
            <w:tcBorders>
              <w:top w:val="nil"/>
              <w:left w:val="single" w:sz="4" w:space="0" w:color="auto"/>
              <w:bottom w:val="nil"/>
            </w:tcBorders>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3405</w:t>
            </w:r>
          </w:p>
        </w:tc>
      </w:tr>
      <w:tr w:rsidR="002B4B8E" w:rsidRPr="00A779B8" w:rsidTr="00DB4C2D">
        <w:trPr>
          <w:trHeight w:val="64"/>
          <w:jc w:val="center"/>
        </w:trPr>
        <w:tc>
          <w:tcPr>
            <w:tcW w:w="3686" w:type="dxa"/>
            <w:tcBorders>
              <w:top w:val="nil"/>
              <w:right w:val="single" w:sz="4" w:space="0" w:color="auto"/>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Point d</w:t>
            </w:r>
            <w:r w:rsidR="00DB4C2D">
              <w:rPr>
                <w:sz w:val="18"/>
                <w:szCs w:val="18"/>
                <w:lang w:val="fr-FR"/>
              </w:rPr>
              <w:t>’</w:t>
            </w:r>
            <w:r w:rsidRPr="00A779B8">
              <w:rPr>
                <w:sz w:val="18"/>
                <w:szCs w:val="18"/>
                <w:lang w:val="fr-FR"/>
              </w:rPr>
              <w:t>ébullition final</w:t>
            </w:r>
          </w:p>
        </w:tc>
        <w:tc>
          <w:tcPr>
            <w:tcW w:w="1134" w:type="dxa"/>
            <w:tcBorders>
              <w:top w:val="nil"/>
              <w:left w:val="single" w:sz="4" w:space="0" w:color="auto"/>
              <w:right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°C</w:t>
            </w:r>
          </w:p>
        </w:tc>
        <w:tc>
          <w:tcPr>
            <w:tcW w:w="1332" w:type="dxa"/>
            <w:tcBorders>
              <w:top w:val="nil"/>
              <w:left w:val="single" w:sz="4" w:space="0" w:color="auto"/>
              <w:right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w:t>
            </w:r>
          </w:p>
        </w:tc>
        <w:tc>
          <w:tcPr>
            <w:tcW w:w="0" w:type="auto"/>
            <w:tcBorders>
              <w:top w:val="nil"/>
              <w:left w:val="single" w:sz="4" w:space="0" w:color="auto"/>
              <w:right w:val="single" w:sz="4" w:space="0" w:color="auto"/>
            </w:tcBorders>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370,0</w:t>
            </w:r>
          </w:p>
        </w:tc>
        <w:tc>
          <w:tcPr>
            <w:tcW w:w="2268" w:type="dxa"/>
            <w:tcBorders>
              <w:top w:val="nil"/>
              <w:left w:val="single" w:sz="4" w:space="0" w:color="auto"/>
            </w:tcBorders>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3405</w:t>
            </w:r>
          </w:p>
        </w:tc>
      </w:tr>
      <w:tr w:rsidR="002B4B8E" w:rsidRPr="00A779B8" w:rsidTr="00DB4C2D">
        <w:trPr>
          <w:trHeight w:val="198"/>
          <w:jc w:val="center"/>
        </w:trPr>
        <w:tc>
          <w:tcPr>
            <w:tcW w:w="3686"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Point d</w:t>
            </w:r>
            <w:r w:rsidR="00DB4C2D">
              <w:rPr>
                <w:sz w:val="18"/>
                <w:szCs w:val="18"/>
                <w:lang w:val="fr-FR"/>
              </w:rPr>
              <w:t>’</w:t>
            </w:r>
            <w:r w:rsidRPr="00A779B8">
              <w:rPr>
                <w:sz w:val="18"/>
                <w:szCs w:val="18"/>
                <w:lang w:val="fr-FR"/>
              </w:rPr>
              <w:t>éclair</w:t>
            </w:r>
          </w:p>
        </w:tc>
        <w:tc>
          <w:tcPr>
            <w:tcW w:w="1134"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°C</w:t>
            </w:r>
          </w:p>
        </w:tc>
        <w:tc>
          <w:tcPr>
            <w:tcW w:w="1332"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55</w:t>
            </w:r>
          </w:p>
        </w:tc>
        <w:tc>
          <w:tcPr>
            <w:tcW w:w="0" w:type="auto"/>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w:t>
            </w:r>
          </w:p>
        </w:tc>
        <w:tc>
          <w:tcPr>
            <w:tcW w:w="2268"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2719</w:t>
            </w:r>
          </w:p>
        </w:tc>
      </w:tr>
      <w:tr w:rsidR="002B4B8E" w:rsidRPr="00A779B8" w:rsidTr="00DB4C2D">
        <w:trPr>
          <w:trHeight w:val="116"/>
          <w:jc w:val="center"/>
        </w:trPr>
        <w:tc>
          <w:tcPr>
            <w:tcW w:w="3686"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Point de trouble</w:t>
            </w:r>
          </w:p>
        </w:tc>
        <w:tc>
          <w:tcPr>
            <w:tcW w:w="1134"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°C</w:t>
            </w:r>
          </w:p>
        </w:tc>
        <w:tc>
          <w:tcPr>
            <w:tcW w:w="1332"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w:t>
            </w:r>
          </w:p>
        </w:tc>
        <w:tc>
          <w:tcPr>
            <w:tcW w:w="0" w:type="auto"/>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-10</w:t>
            </w:r>
          </w:p>
        </w:tc>
        <w:tc>
          <w:tcPr>
            <w:tcW w:w="2268"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EN 23015</w:t>
            </w:r>
          </w:p>
        </w:tc>
      </w:tr>
      <w:tr w:rsidR="002B4B8E" w:rsidRPr="00A779B8" w:rsidTr="00DB4C2D">
        <w:trPr>
          <w:trHeight w:val="189"/>
          <w:jc w:val="center"/>
        </w:trPr>
        <w:tc>
          <w:tcPr>
            <w:tcW w:w="3686" w:type="dxa"/>
          </w:tcPr>
          <w:p w:rsidR="002B4B8E" w:rsidRPr="00A779B8" w:rsidRDefault="002B4B8E" w:rsidP="00DB4C2D">
            <w:pPr>
              <w:spacing w:before="60" w:after="60" w:line="220" w:lineRule="atLeast"/>
              <w:rPr>
                <w:sz w:val="18"/>
                <w:szCs w:val="18"/>
                <w:lang w:val="fr-FR"/>
              </w:rPr>
            </w:pPr>
            <w:r w:rsidRPr="00A779B8">
              <w:rPr>
                <w:sz w:val="18"/>
                <w:szCs w:val="18"/>
                <w:lang w:val="fr-FR"/>
              </w:rPr>
              <w:t>Viscosité à 40 °C</w:t>
            </w:r>
          </w:p>
        </w:tc>
        <w:tc>
          <w:tcPr>
            <w:tcW w:w="1134"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mm</w:t>
            </w:r>
            <w:r w:rsidRPr="00A779B8">
              <w:rPr>
                <w:sz w:val="18"/>
                <w:szCs w:val="18"/>
                <w:vertAlign w:val="superscript"/>
                <w:lang w:val="fr-FR"/>
              </w:rPr>
              <w:t>2</w:t>
            </w:r>
            <w:r w:rsidRPr="00A779B8">
              <w:rPr>
                <w:sz w:val="18"/>
                <w:szCs w:val="18"/>
                <w:lang w:val="fr-FR"/>
              </w:rPr>
              <w:t>/s</w:t>
            </w:r>
          </w:p>
        </w:tc>
        <w:tc>
          <w:tcPr>
            <w:tcW w:w="1332"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2,30</w:t>
            </w:r>
          </w:p>
        </w:tc>
        <w:tc>
          <w:tcPr>
            <w:tcW w:w="0" w:type="auto"/>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3,30</w:t>
            </w:r>
          </w:p>
        </w:tc>
        <w:tc>
          <w:tcPr>
            <w:tcW w:w="2268"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3104</w:t>
            </w:r>
          </w:p>
        </w:tc>
      </w:tr>
      <w:tr w:rsidR="002B4B8E" w:rsidRPr="00A779B8" w:rsidTr="00DB4C2D">
        <w:trPr>
          <w:trHeight w:val="108"/>
          <w:jc w:val="center"/>
        </w:trPr>
        <w:tc>
          <w:tcPr>
            <w:tcW w:w="3686" w:type="dxa"/>
          </w:tcPr>
          <w:p w:rsidR="002B4B8E" w:rsidRPr="00A779B8" w:rsidRDefault="002B4B8E" w:rsidP="00DB4C2D">
            <w:pPr>
              <w:spacing w:before="60" w:after="60" w:line="220" w:lineRule="atLeast"/>
              <w:rPr>
                <w:sz w:val="18"/>
                <w:szCs w:val="18"/>
                <w:lang w:val="fr-FR"/>
              </w:rPr>
            </w:pPr>
            <w:r w:rsidRPr="00A779B8">
              <w:rPr>
                <w:sz w:val="18"/>
                <w:szCs w:val="18"/>
                <w:lang w:val="fr-FR"/>
              </w:rPr>
              <w:t>Hydrocarbures aromatiques polycycliques</w:t>
            </w:r>
          </w:p>
        </w:tc>
        <w:tc>
          <w:tcPr>
            <w:tcW w:w="1134"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 m/m</w:t>
            </w:r>
          </w:p>
        </w:tc>
        <w:tc>
          <w:tcPr>
            <w:tcW w:w="1332"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2,0</w:t>
            </w:r>
          </w:p>
        </w:tc>
        <w:tc>
          <w:tcPr>
            <w:tcW w:w="0" w:type="auto"/>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4,0</w:t>
            </w:r>
          </w:p>
        </w:tc>
        <w:tc>
          <w:tcPr>
            <w:tcW w:w="2268"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EN 12916</w:t>
            </w:r>
          </w:p>
        </w:tc>
      </w:tr>
      <w:tr w:rsidR="002B4B8E" w:rsidRPr="00A779B8" w:rsidTr="00DB4C2D">
        <w:trPr>
          <w:trHeight w:val="323"/>
          <w:jc w:val="center"/>
        </w:trPr>
        <w:tc>
          <w:tcPr>
            <w:tcW w:w="3686"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Teneur en soufre</w:t>
            </w:r>
          </w:p>
        </w:tc>
        <w:tc>
          <w:tcPr>
            <w:tcW w:w="1134"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mg/kg</w:t>
            </w:r>
          </w:p>
        </w:tc>
        <w:tc>
          <w:tcPr>
            <w:tcW w:w="1332"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w:t>
            </w:r>
          </w:p>
        </w:tc>
        <w:tc>
          <w:tcPr>
            <w:tcW w:w="0" w:type="auto"/>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10,0</w:t>
            </w:r>
          </w:p>
        </w:tc>
        <w:tc>
          <w:tcPr>
            <w:tcW w:w="2268"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20846</w:t>
            </w:r>
          </w:p>
          <w:p w:rsidR="002B4B8E" w:rsidRPr="00A779B8" w:rsidRDefault="002B4B8E" w:rsidP="00DB4C2D">
            <w:pPr>
              <w:keepNext/>
              <w:spacing w:before="60" w:after="60" w:line="220" w:lineRule="atLeast"/>
              <w:rPr>
                <w:sz w:val="18"/>
                <w:szCs w:val="18"/>
                <w:lang w:val="fr-FR"/>
              </w:rPr>
            </w:pPr>
            <w:r w:rsidRPr="00A779B8">
              <w:rPr>
                <w:sz w:val="18"/>
                <w:szCs w:val="18"/>
                <w:lang w:val="fr-FR"/>
              </w:rPr>
              <w:t>EN ISO 20884</w:t>
            </w:r>
          </w:p>
        </w:tc>
      </w:tr>
      <w:tr w:rsidR="002B4B8E" w:rsidRPr="00A779B8" w:rsidTr="00DB4C2D">
        <w:trPr>
          <w:trHeight w:val="64"/>
          <w:jc w:val="center"/>
        </w:trPr>
        <w:tc>
          <w:tcPr>
            <w:tcW w:w="3686"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Corrosion du cuivre 3 h, 50 °C</w:t>
            </w:r>
          </w:p>
        </w:tc>
        <w:tc>
          <w:tcPr>
            <w:tcW w:w="1134" w:type="dxa"/>
          </w:tcPr>
          <w:p w:rsidR="002B4B8E" w:rsidRPr="00A779B8" w:rsidRDefault="002B4B8E" w:rsidP="00DB4C2D">
            <w:pPr>
              <w:keepNext/>
              <w:spacing w:before="60" w:after="60" w:line="220" w:lineRule="atLeast"/>
              <w:jc w:val="center"/>
              <w:rPr>
                <w:sz w:val="18"/>
                <w:szCs w:val="18"/>
                <w:lang w:val="fr-FR"/>
              </w:rPr>
            </w:pPr>
          </w:p>
        </w:tc>
        <w:tc>
          <w:tcPr>
            <w:tcW w:w="1332"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w:t>
            </w:r>
          </w:p>
        </w:tc>
        <w:tc>
          <w:tcPr>
            <w:tcW w:w="0" w:type="auto"/>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Classe 1</w:t>
            </w:r>
          </w:p>
        </w:tc>
        <w:tc>
          <w:tcPr>
            <w:tcW w:w="2268"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2160</w:t>
            </w:r>
          </w:p>
        </w:tc>
      </w:tr>
      <w:tr w:rsidR="002B4B8E" w:rsidRPr="00A779B8" w:rsidTr="00DB4C2D">
        <w:trPr>
          <w:trHeight w:val="91"/>
          <w:jc w:val="center"/>
        </w:trPr>
        <w:tc>
          <w:tcPr>
            <w:tcW w:w="3686" w:type="dxa"/>
          </w:tcPr>
          <w:p w:rsidR="002B4B8E" w:rsidRPr="00A779B8" w:rsidRDefault="002B4B8E" w:rsidP="00DB4C2D">
            <w:pPr>
              <w:spacing w:before="60" w:after="60" w:line="220" w:lineRule="atLeast"/>
              <w:rPr>
                <w:sz w:val="18"/>
                <w:szCs w:val="18"/>
                <w:lang w:val="fr-FR"/>
              </w:rPr>
            </w:pPr>
            <w:r w:rsidRPr="00A779B8">
              <w:rPr>
                <w:sz w:val="18"/>
                <w:szCs w:val="18"/>
                <w:lang w:val="fr-FR"/>
              </w:rPr>
              <w:t>Résidu de carbone Conradson (10 % DR)</w:t>
            </w:r>
          </w:p>
        </w:tc>
        <w:tc>
          <w:tcPr>
            <w:tcW w:w="1134"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 m/m</w:t>
            </w:r>
          </w:p>
        </w:tc>
        <w:tc>
          <w:tcPr>
            <w:tcW w:w="1332"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w:t>
            </w:r>
          </w:p>
        </w:tc>
        <w:tc>
          <w:tcPr>
            <w:tcW w:w="0" w:type="auto"/>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0,20</w:t>
            </w:r>
          </w:p>
        </w:tc>
        <w:tc>
          <w:tcPr>
            <w:tcW w:w="2268"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10370</w:t>
            </w:r>
          </w:p>
        </w:tc>
      </w:tr>
      <w:tr w:rsidR="002B4B8E" w:rsidRPr="00A779B8" w:rsidTr="00DB4C2D">
        <w:trPr>
          <w:trHeight w:val="64"/>
          <w:jc w:val="center"/>
        </w:trPr>
        <w:tc>
          <w:tcPr>
            <w:tcW w:w="3686"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cendres</w:t>
            </w:r>
          </w:p>
        </w:tc>
        <w:tc>
          <w:tcPr>
            <w:tcW w:w="1134"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 m/m</w:t>
            </w:r>
          </w:p>
        </w:tc>
        <w:tc>
          <w:tcPr>
            <w:tcW w:w="1332" w:type="dxa"/>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w:t>
            </w:r>
          </w:p>
        </w:tc>
        <w:tc>
          <w:tcPr>
            <w:tcW w:w="0" w:type="auto"/>
          </w:tcPr>
          <w:p w:rsidR="002B4B8E" w:rsidRPr="00A779B8" w:rsidRDefault="002B4B8E" w:rsidP="00DB4C2D">
            <w:pPr>
              <w:keepNext/>
              <w:spacing w:before="60" w:after="60" w:line="220" w:lineRule="atLeast"/>
              <w:jc w:val="center"/>
              <w:rPr>
                <w:sz w:val="18"/>
                <w:szCs w:val="18"/>
                <w:lang w:val="fr-FR"/>
              </w:rPr>
            </w:pPr>
            <w:r w:rsidRPr="00A779B8">
              <w:rPr>
                <w:sz w:val="18"/>
                <w:szCs w:val="18"/>
                <w:lang w:val="fr-FR"/>
              </w:rPr>
              <w:t>0,010</w:t>
            </w:r>
          </w:p>
        </w:tc>
        <w:tc>
          <w:tcPr>
            <w:tcW w:w="2268" w:type="dxa"/>
          </w:tcPr>
          <w:p w:rsidR="002B4B8E" w:rsidRPr="00A779B8" w:rsidRDefault="002B4B8E" w:rsidP="00DB4C2D">
            <w:pPr>
              <w:keepNext/>
              <w:spacing w:before="60" w:after="60" w:line="220" w:lineRule="atLeast"/>
              <w:rPr>
                <w:sz w:val="18"/>
                <w:szCs w:val="18"/>
                <w:lang w:val="fr-FR"/>
              </w:rPr>
            </w:pPr>
            <w:r w:rsidRPr="00A779B8">
              <w:rPr>
                <w:sz w:val="18"/>
                <w:szCs w:val="18"/>
                <w:lang w:val="fr-FR"/>
              </w:rPr>
              <w:t>EN ISO 6245</w:t>
            </w:r>
          </w:p>
        </w:tc>
      </w:tr>
      <w:tr w:rsidR="002B4B8E" w:rsidRPr="00A779B8" w:rsidTr="00DB4C2D">
        <w:trPr>
          <w:trHeight w:val="98"/>
          <w:jc w:val="center"/>
        </w:trPr>
        <w:tc>
          <w:tcPr>
            <w:tcW w:w="3686" w:type="dxa"/>
          </w:tcPr>
          <w:p w:rsidR="002B4B8E" w:rsidRPr="00A779B8" w:rsidRDefault="002B4B8E" w:rsidP="00DB4C2D">
            <w:pPr>
              <w:spacing w:before="60" w:after="60" w:line="220" w:lineRule="atLeast"/>
              <w:rPr>
                <w:sz w:val="18"/>
                <w:szCs w:val="18"/>
                <w:lang w:val="fr-FR"/>
              </w:rPr>
            </w:pPr>
            <w:r w:rsidRPr="00A779B8">
              <w:rPr>
                <w:sz w:val="18"/>
                <w:szCs w:val="18"/>
                <w:lang w:val="fr-FR"/>
              </w:rPr>
              <w:t>Contamination totale</w:t>
            </w:r>
          </w:p>
        </w:tc>
        <w:tc>
          <w:tcPr>
            <w:tcW w:w="1134"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mg/kg</w:t>
            </w:r>
          </w:p>
        </w:tc>
        <w:tc>
          <w:tcPr>
            <w:tcW w:w="133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0" w:type="auto"/>
          </w:tcPr>
          <w:p w:rsidR="002B4B8E" w:rsidRPr="00A779B8" w:rsidRDefault="002B4B8E" w:rsidP="00DB4C2D">
            <w:pPr>
              <w:spacing w:before="60" w:after="60" w:line="220" w:lineRule="atLeast"/>
              <w:jc w:val="center"/>
              <w:rPr>
                <w:sz w:val="18"/>
                <w:szCs w:val="18"/>
                <w:lang w:val="fr-FR"/>
              </w:rPr>
            </w:pPr>
            <w:r w:rsidRPr="00A779B8">
              <w:rPr>
                <w:sz w:val="18"/>
                <w:szCs w:val="18"/>
                <w:lang w:val="fr-FR"/>
              </w:rPr>
              <w:t>24</w:t>
            </w:r>
          </w:p>
        </w:tc>
        <w:tc>
          <w:tcPr>
            <w:tcW w:w="2268" w:type="dxa"/>
          </w:tcPr>
          <w:p w:rsidR="002B4B8E" w:rsidRPr="00A779B8" w:rsidRDefault="002B4B8E" w:rsidP="00DB4C2D">
            <w:pPr>
              <w:spacing w:before="60" w:after="60" w:line="220" w:lineRule="atLeast"/>
              <w:rPr>
                <w:sz w:val="18"/>
                <w:szCs w:val="18"/>
                <w:lang w:val="fr-FR"/>
              </w:rPr>
            </w:pPr>
            <w:r w:rsidRPr="00A779B8">
              <w:rPr>
                <w:sz w:val="18"/>
                <w:szCs w:val="18"/>
                <w:lang w:val="fr-FR"/>
              </w:rPr>
              <w:t>EN 12662</w:t>
            </w:r>
          </w:p>
        </w:tc>
      </w:tr>
      <w:tr w:rsidR="002B4B8E" w:rsidRPr="00A779B8" w:rsidTr="00DB4C2D">
        <w:trPr>
          <w:trHeight w:val="157"/>
          <w:jc w:val="center"/>
        </w:trPr>
        <w:tc>
          <w:tcPr>
            <w:tcW w:w="3686"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eau</w:t>
            </w:r>
          </w:p>
        </w:tc>
        <w:tc>
          <w:tcPr>
            <w:tcW w:w="1134"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mg/kg</w:t>
            </w:r>
          </w:p>
        </w:tc>
        <w:tc>
          <w:tcPr>
            <w:tcW w:w="133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0" w:type="auto"/>
          </w:tcPr>
          <w:p w:rsidR="002B4B8E" w:rsidRPr="00A779B8" w:rsidRDefault="002B4B8E" w:rsidP="00DB4C2D">
            <w:pPr>
              <w:spacing w:before="60" w:after="60" w:line="220" w:lineRule="atLeast"/>
              <w:jc w:val="center"/>
              <w:rPr>
                <w:sz w:val="18"/>
                <w:szCs w:val="18"/>
                <w:lang w:val="fr-FR"/>
              </w:rPr>
            </w:pPr>
            <w:r w:rsidRPr="00A779B8">
              <w:rPr>
                <w:sz w:val="18"/>
                <w:szCs w:val="18"/>
                <w:lang w:val="fr-FR"/>
              </w:rPr>
              <w:t>200</w:t>
            </w:r>
          </w:p>
        </w:tc>
        <w:tc>
          <w:tcPr>
            <w:tcW w:w="2268" w:type="dxa"/>
          </w:tcPr>
          <w:p w:rsidR="002B4B8E" w:rsidRPr="00A779B8" w:rsidRDefault="002B4B8E" w:rsidP="00DB4C2D">
            <w:pPr>
              <w:spacing w:before="60" w:after="60" w:line="220" w:lineRule="atLeast"/>
              <w:rPr>
                <w:sz w:val="18"/>
                <w:szCs w:val="18"/>
                <w:lang w:val="fr-FR"/>
              </w:rPr>
            </w:pPr>
            <w:r w:rsidRPr="00A779B8">
              <w:rPr>
                <w:sz w:val="18"/>
                <w:szCs w:val="18"/>
                <w:lang w:val="fr-FR"/>
              </w:rPr>
              <w:t>EN ISO 12937</w:t>
            </w:r>
          </w:p>
        </w:tc>
      </w:tr>
      <w:tr w:rsidR="002B4B8E" w:rsidRPr="00A779B8" w:rsidTr="00DB4C2D">
        <w:trPr>
          <w:trHeight w:val="232"/>
          <w:jc w:val="center"/>
        </w:trPr>
        <w:tc>
          <w:tcPr>
            <w:tcW w:w="3686" w:type="dxa"/>
          </w:tcPr>
          <w:p w:rsidR="002B4B8E" w:rsidRPr="00A779B8" w:rsidRDefault="002B4B8E" w:rsidP="00DB4C2D">
            <w:pPr>
              <w:spacing w:before="60" w:after="6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acide</w:t>
            </w:r>
          </w:p>
        </w:tc>
        <w:tc>
          <w:tcPr>
            <w:tcW w:w="1134"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 KOH/g</w:t>
            </w:r>
          </w:p>
        </w:tc>
        <w:tc>
          <w:tcPr>
            <w:tcW w:w="133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0" w:type="auto"/>
          </w:tcPr>
          <w:p w:rsidR="002B4B8E" w:rsidRPr="00A779B8" w:rsidRDefault="002B4B8E" w:rsidP="00DB4C2D">
            <w:pPr>
              <w:spacing w:before="60" w:after="60" w:line="220" w:lineRule="atLeast"/>
              <w:jc w:val="center"/>
              <w:rPr>
                <w:sz w:val="18"/>
                <w:szCs w:val="18"/>
                <w:lang w:val="fr-FR"/>
              </w:rPr>
            </w:pPr>
            <w:r w:rsidRPr="00A779B8">
              <w:rPr>
                <w:sz w:val="18"/>
                <w:szCs w:val="18"/>
                <w:lang w:val="fr-FR"/>
              </w:rPr>
              <w:t>0,10</w:t>
            </w:r>
          </w:p>
        </w:tc>
        <w:tc>
          <w:tcPr>
            <w:tcW w:w="2268" w:type="dxa"/>
          </w:tcPr>
          <w:p w:rsidR="002B4B8E" w:rsidRPr="00A779B8" w:rsidRDefault="002B4B8E" w:rsidP="00DB4C2D">
            <w:pPr>
              <w:spacing w:before="60" w:after="60" w:line="220" w:lineRule="atLeast"/>
              <w:rPr>
                <w:sz w:val="18"/>
                <w:szCs w:val="18"/>
                <w:lang w:val="fr-FR"/>
              </w:rPr>
            </w:pPr>
            <w:r w:rsidRPr="00A779B8">
              <w:rPr>
                <w:sz w:val="18"/>
                <w:szCs w:val="18"/>
                <w:lang w:val="fr-FR"/>
              </w:rPr>
              <w:t>EN ISO 6618</w:t>
            </w:r>
          </w:p>
        </w:tc>
      </w:tr>
      <w:tr w:rsidR="002B4B8E" w:rsidRPr="00A779B8" w:rsidTr="00DB4C2D">
        <w:trPr>
          <w:trHeight w:val="121"/>
          <w:jc w:val="center"/>
        </w:trPr>
        <w:tc>
          <w:tcPr>
            <w:tcW w:w="3686" w:type="dxa"/>
          </w:tcPr>
          <w:p w:rsidR="002B4B8E" w:rsidRPr="00A779B8" w:rsidRDefault="002B4B8E" w:rsidP="00DB4C2D">
            <w:pPr>
              <w:spacing w:before="60" w:after="60" w:line="220" w:lineRule="atLeast"/>
              <w:rPr>
                <w:sz w:val="18"/>
                <w:szCs w:val="18"/>
                <w:lang w:val="fr-FR"/>
              </w:rPr>
            </w:pPr>
            <w:r w:rsidRPr="00A779B8">
              <w:rPr>
                <w:sz w:val="18"/>
                <w:szCs w:val="18"/>
                <w:lang w:val="fr-FR"/>
              </w:rPr>
              <w:t>Lubricité (diamètre de la marque d</w:t>
            </w:r>
            <w:r w:rsidR="00DB4C2D">
              <w:rPr>
                <w:sz w:val="18"/>
                <w:szCs w:val="18"/>
                <w:lang w:val="fr-FR"/>
              </w:rPr>
              <w:t>’</w:t>
            </w:r>
            <w:r w:rsidRPr="00A779B8">
              <w:rPr>
                <w:sz w:val="18"/>
                <w:szCs w:val="18"/>
                <w:lang w:val="fr-FR"/>
              </w:rPr>
              <w:t>usure à l</w:t>
            </w:r>
            <w:r w:rsidR="00DB4C2D">
              <w:rPr>
                <w:sz w:val="18"/>
                <w:szCs w:val="18"/>
                <w:lang w:val="fr-FR"/>
              </w:rPr>
              <w:t>’</w:t>
            </w:r>
            <w:r w:rsidRPr="00A779B8">
              <w:rPr>
                <w:sz w:val="18"/>
                <w:szCs w:val="18"/>
                <w:lang w:val="fr-FR"/>
              </w:rPr>
              <w:t>issue du test HFRR à 60 °C)</w:t>
            </w:r>
          </w:p>
        </w:tc>
        <w:tc>
          <w:tcPr>
            <w:tcW w:w="1134" w:type="dxa"/>
          </w:tcPr>
          <w:p w:rsidR="002B4B8E" w:rsidRPr="00A779B8" w:rsidRDefault="002B4B8E" w:rsidP="00DB4C2D">
            <w:pPr>
              <w:spacing w:before="60" w:after="60" w:line="220" w:lineRule="atLeast"/>
              <w:jc w:val="center"/>
              <w:rPr>
                <w:sz w:val="18"/>
                <w:szCs w:val="18"/>
                <w:lang w:val="fr-FR"/>
              </w:rPr>
            </w:pPr>
            <w:proofErr w:type="spellStart"/>
            <w:r w:rsidRPr="00A779B8">
              <w:rPr>
                <w:sz w:val="18"/>
                <w:szCs w:val="18"/>
                <w:lang w:val="fr-FR"/>
              </w:rPr>
              <w:t>μm</w:t>
            </w:r>
            <w:proofErr w:type="spellEnd"/>
          </w:p>
        </w:tc>
        <w:tc>
          <w:tcPr>
            <w:tcW w:w="133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0" w:type="auto"/>
          </w:tcPr>
          <w:p w:rsidR="002B4B8E" w:rsidRPr="00A779B8" w:rsidRDefault="002B4B8E" w:rsidP="00DB4C2D">
            <w:pPr>
              <w:spacing w:before="60" w:after="60" w:line="220" w:lineRule="atLeast"/>
              <w:jc w:val="center"/>
              <w:rPr>
                <w:sz w:val="18"/>
                <w:szCs w:val="18"/>
                <w:lang w:val="fr-FR"/>
              </w:rPr>
            </w:pPr>
            <w:r w:rsidRPr="00A779B8">
              <w:rPr>
                <w:sz w:val="18"/>
                <w:szCs w:val="18"/>
                <w:lang w:val="fr-FR"/>
              </w:rPr>
              <w:t>400</w:t>
            </w:r>
          </w:p>
        </w:tc>
        <w:tc>
          <w:tcPr>
            <w:tcW w:w="2268" w:type="dxa"/>
          </w:tcPr>
          <w:p w:rsidR="002B4B8E" w:rsidRPr="00A779B8" w:rsidRDefault="002B4B8E" w:rsidP="00DB4C2D">
            <w:pPr>
              <w:spacing w:before="60" w:after="60" w:line="220" w:lineRule="atLeast"/>
              <w:rPr>
                <w:sz w:val="18"/>
                <w:szCs w:val="18"/>
                <w:lang w:val="fr-FR"/>
              </w:rPr>
            </w:pPr>
            <w:r w:rsidRPr="00A779B8">
              <w:rPr>
                <w:sz w:val="18"/>
                <w:szCs w:val="18"/>
                <w:lang w:val="fr-FR"/>
              </w:rPr>
              <w:t>EN ISO 12156</w:t>
            </w:r>
          </w:p>
        </w:tc>
      </w:tr>
      <w:tr w:rsidR="002B4B8E" w:rsidRPr="00A779B8" w:rsidTr="00DB4C2D">
        <w:trPr>
          <w:trHeight w:val="64"/>
          <w:jc w:val="center"/>
        </w:trPr>
        <w:tc>
          <w:tcPr>
            <w:tcW w:w="3686" w:type="dxa"/>
          </w:tcPr>
          <w:p w:rsidR="002B4B8E" w:rsidRPr="00A779B8" w:rsidRDefault="002B4B8E" w:rsidP="00DB4C2D">
            <w:pPr>
              <w:spacing w:before="60" w:after="60" w:line="220" w:lineRule="atLeast"/>
              <w:rPr>
                <w:sz w:val="18"/>
                <w:szCs w:val="18"/>
                <w:lang w:val="fr-FR"/>
              </w:rPr>
            </w:pPr>
            <w:r w:rsidRPr="00A779B8">
              <w:rPr>
                <w:sz w:val="18"/>
                <w:szCs w:val="18"/>
                <w:lang w:val="fr-FR"/>
              </w:rPr>
              <w:t>Stabilité à l</w:t>
            </w:r>
            <w:r w:rsidR="00DB4C2D">
              <w:rPr>
                <w:sz w:val="18"/>
                <w:szCs w:val="18"/>
                <w:lang w:val="fr-FR"/>
              </w:rPr>
              <w:t>’</w:t>
            </w:r>
            <w:r w:rsidRPr="00A779B8">
              <w:rPr>
                <w:sz w:val="18"/>
                <w:szCs w:val="18"/>
                <w:lang w:val="fr-FR"/>
              </w:rPr>
              <w:t>oxydation à 110 °C</w:t>
            </w:r>
            <w:r w:rsidRPr="00A779B8">
              <w:rPr>
                <w:i/>
                <w:sz w:val="18"/>
                <w:szCs w:val="18"/>
                <w:vertAlign w:val="superscript"/>
                <w:lang w:val="fr-FR"/>
              </w:rPr>
              <w:t>3</w:t>
            </w:r>
          </w:p>
        </w:tc>
        <w:tc>
          <w:tcPr>
            <w:tcW w:w="1134"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h</w:t>
            </w:r>
          </w:p>
        </w:tc>
        <w:tc>
          <w:tcPr>
            <w:tcW w:w="133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20,0</w:t>
            </w:r>
          </w:p>
        </w:tc>
        <w:tc>
          <w:tcPr>
            <w:tcW w:w="0" w:type="auto"/>
          </w:tcPr>
          <w:p w:rsidR="002B4B8E" w:rsidRPr="00A779B8" w:rsidRDefault="002B4B8E" w:rsidP="00DB4C2D">
            <w:pPr>
              <w:spacing w:before="60" w:after="60" w:line="220" w:lineRule="atLeast"/>
              <w:jc w:val="center"/>
              <w:rPr>
                <w:sz w:val="18"/>
                <w:szCs w:val="18"/>
                <w:lang w:val="fr-FR"/>
              </w:rPr>
            </w:pPr>
            <w:r w:rsidRPr="00A779B8">
              <w:rPr>
                <w:sz w:val="18"/>
                <w:szCs w:val="18"/>
                <w:lang w:val="fr-FR"/>
              </w:rPr>
              <w:t> </w:t>
            </w:r>
          </w:p>
        </w:tc>
        <w:tc>
          <w:tcPr>
            <w:tcW w:w="2268" w:type="dxa"/>
          </w:tcPr>
          <w:p w:rsidR="002B4B8E" w:rsidRPr="00A779B8" w:rsidRDefault="002B4B8E" w:rsidP="00DB4C2D">
            <w:pPr>
              <w:spacing w:before="60" w:after="60" w:line="220" w:lineRule="atLeast"/>
              <w:rPr>
                <w:sz w:val="18"/>
                <w:szCs w:val="18"/>
                <w:lang w:val="fr-FR"/>
              </w:rPr>
            </w:pPr>
            <w:r w:rsidRPr="00A779B8">
              <w:rPr>
                <w:sz w:val="18"/>
                <w:szCs w:val="18"/>
                <w:lang w:val="fr-FR"/>
              </w:rPr>
              <w:t>EN 15751</w:t>
            </w:r>
          </w:p>
        </w:tc>
      </w:tr>
      <w:tr w:rsidR="002B4B8E" w:rsidRPr="00A779B8" w:rsidTr="00DB4C2D">
        <w:trPr>
          <w:trHeight w:val="114"/>
          <w:jc w:val="center"/>
        </w:trPr>
        <w:tc>
          <w:tcPr>
            <w:tcW w:w="3686" w:type="dxa"/>
          </w:tcPr>
          <w:p w:rsidR="002B4B8E" w:rsidRPr="00A779B8" w:rsidRDefault="002B4B8E" w:rsidP="00DB4C2D">
            <w:pPr>
              <w:spacing w:before="60" w:after="60" w:line="220" w:lineRule="atLeast"/>
              <w:rPr>
                <w:sz w:val="18"/>
                <w:szCs w:val="18"/>
                <w:lang w:val="fr-FR"/>
              </w:rPr>
            </w:pPr>
            <w:r w:rsidRPr="00A779B8">
              <w:rPr>
                <w:sz w:val="18"/>
                <w:szCs w:val="18"/>
                <w:lang w:val="fr-FR"/>
              </w:rPr>
              <w:t>FAME</w:t>
            </w:r>
            <w:r w:rsidRPr="00A779B8">
              <w:rPr>
                <w:i/>
                <w:sz w:val="18"/>
                <w:szCs w:val="18"/>
                <w:vertAlign w:val="superscript"/>
                <w:lang w:val="fr-FR"/>
              </w:rPr>
              <w:t>4</w:t>
            </w:r>
          </w:p>
        </w:tc>
        <w:tc>
          <w:tcPr>
            <w:tcW w:w="1134"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3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6,0</w:t>
            </w:r>
          </w:p>
        </w:tc>
        <w:tc>
          <w:tcPr>
            <w:tcW w:w="0" w:type="auto"/>
          </w:tcPr>
          <w:p w:rsidR="002B4B8E" w:rsidRPr="00A779B8" w:rsidRDefault="002B4B8E" w:rsidP="00DB4C2D">
            <w:pPr>
              <w:spacing w:before="60" w:after="60" w:line="220" w:lineRule="atLeast"/>
              <w:jc w:val="center"/>
              <w:rPr>
                <w:sz w:val="18"/>
                <w:szCs w:val="18"/>
                <w:lang w:val="fr-FR"/>
              </w:rPr>
            </w:pPr>
            <w:r w:rsidRPr="00A779B8">
              <w:rPr>
                <w:sz w:val="18"/>
                <w:szCs w:val="18"/>
                <w:lang w:val="fr-FR"/>
              </w:rPr>
              <w:t>7,0</w:t>
            </w:r>
          </w:p>
        </w:tc>
        <w:tc>
          <w:tcPr>
            <w:tcW w:w="2268" w:type="dxa"/>
          </w:tcPr>
          <w:p w:rsidR="002B4B8E" w:rsidRPr="00A779B8" w:rsidRDefault="002B4B8E" w:rsidP="00DB4C2D">
            <w:pPr>
              <w:spacing w:before="60" w:after="60" w:line="220" w:lineRule="atLeast"/>
              <w:rPr>
                <w:sz w:val="18"/>
                <w:szCs w:val="18"/>
                <w:lang w:val="fr-FR"/>
              </w:rPr>
            </w:pPr>
            <w:r w:rsidRPr="00A779B8">
              <w:rPr>
                <w:sz w:val="18"/>
                <w:szCs w:val="18"/>
                <w:lang w:val="fr-FR"/>
              </w:rPr>
              <w:t>EN 14078</w:t>
            </w:r>
          </w:p>
        </w:tc>
      </w:tr>
    </w:tbl>
    <w:p w:rsidR="002B4B8E" w:rsidRPr="00A779B8" w:rsidRDefault="002B4B8E" w:rsidP="002B4B8E">
      <w:pPr>
        <w:spacing w:before="120"/>
        <w:ind w:left="454" w:hanging="284"/>
        <w:rPr>
          <w:sz w:val="18"/>
          <w:szCs w:val="18"/>
          <w:lang w:val="fr-FR"/>
        </w:rPr>
      </w:pPr>
      <w:r w:rsidRPr="007E1CE0">
        <w:rPr>
          <w:i/>
          <w:vertAlign w:val="superscript"/>
          <w:lang w:val="fr-FR"/>
        </w:rPr>
        <w:t>1</w:t>
      </w:r>
      <w:r w:rsidRPr="00A779B8">
        <w:rPr>
          <w:lang w:val="fr-FR"/>
        </w:rPr>
        <w:tab/>
      </w:r>
      <w:r w:rsidRPr="00A779B8">
        <w:rPr>
          <w:sz w:val="18"/>
          <w:szCs w:val="18"/>
          <w:lang w:val="fr-FR"/>
        </w:rPr>
        <w:t>Les valeurs mentionnées dans les spécifications sont des «valeurs vraies». Les valeurs limites ont été déterminées conformément à la norme ISO 4259 intitulée «Produits pétroliers − Détermination et application des valeurs de fidélité relatives aux méthodes d</w:t>
      </w:r>
      <w:r w:rsidR="00DB4C2D">
        <w:rPr>
          <w:sz w:val="18"/>
          <w:szCs w:val="18"/>
          <w:lang w:val="fr-FR"/>
        </w:rPr>
        <w:t>’</w:t>
      </w:r>
      <w:r w:rsidRPr="00A779B8">
        <w:rPr>
          <w:sz w:val="18"/>
          <w:szCs w:val="18"/>
          <w:lang w:val="fr-FR"/>
        </w:rPr>
        <w:t>essai». Pour la fixation d</w:t>
      </w:r>
      <w:r w:rsidR="00DB4C2D">
        <w:rPr>
          <w:sz w:val="18"/>
          <w:szCs w:val="18"/>
          <w:lang w:val="fr-FR"/>
        </w:rPr>
        <w:t>’</w:t>
      </w:r>
      <w:r w:rsidRPr="00A779B8">
        <w:rPr>
          <w:sz w:val="18"/>
          <w:szCs w:val="18"/>
          <w:lang w:val="fr-FR"/>
        </w:rPr>
        <w:t>un minimum, une différence minimale de 2R par rapport à la valeur zéro a été prise en compte; pour la fixation d</w:t>
      </w:r>
      <w:r w:rsidR="00DB4C2D">
        <w:rPr>
          <w:sz w:val="18"/>
          <w:szCs w:val="18"/>
          <w:lang w:val="fr-FR"/>
        </w:rPr>
        <w:t>’</w:t>
      </w:r>
      <w:r w:rsidRPr="00A779B8">
        <w:rPr>
          <w:sz w:val="18"/>
          <w:szCs w:val="18"/>
          <w:lang w:val="fr-FR"/>
        </w:rPr>
        <w:t>un maximum et d</w:t>
      </w:r>
      <w:r w:rsidR="00DB4C2D">
        <w:rPr>
          <w:sz w:val="18"/>
          <w:szCs w:val="18"/>
          <w:lang w:val="fr-FR"/>
        </w:rPr>
        <w:t>’</w:t>
      </w:r>
      <w:r w:rsidRPr="00A779B8">
        <w:rPr>
          <w:sz w:val="18"/>
          <w:szCs w:val="18"/>
          <w:lang w:val="fr-FR"/>
        </w:rPr>
        <w:t>un minimum, la différence minimale entre ces valeurs est de 4R (R = reproductibilité).</w:t>
      </w:r>
      <w:r w:rsidRPr="00A779B8">
        <w:rPr>
          <w:sz w:val="18"/>
          <w:szCs w:val="18"/>
          <w:lang w:val="fr-FR"/>
        </w:rPr>
        <w:br/>
      </w:r>
      <w:r w:rsidRPr="00A779B8">
        <w:rPr>
          <w:sz w:val="18"/>
          <w:szCs w:val="18"/>
          <w:lang w:val="fr-FR"/>
        </w:rPr>
        <w:lastRenderedPageBreak/>
        <w:t>Malgré cette mesure, qui est nécessaire pour des raisons techniques, le fabricant de carburant doit viser la valeur zéro lorsque la valeur maximale indiquée est de 2R ou la valeur moyenne lorsqu</w:t>
      </w:r>
      <w:r w:rsidR="00DB4C2D">
        <w:rPr>
          <w:sz w:val="18"/>
          <w:szCs w:val="18"/>
          <w:lang w:val="fr-FR"/>
        </w:rPr>
        <w:t>’</w:t>
      </w:r>
      <w:r w:rsidRPr="00A779B8">
        <w:rPr>
          <w:sz w:val="18"/>
          <w:szCs w:val="18"/>
          <w:lang w:val="fr-FR"/>
        </w:rPr>
        <w:t>il existe un minimum et un maximum. Au cas où il est nécessaire de vérifier le respect des spécifications pour un carburant, les dispositions de la norme ISO 4259 doivent être appliquées.</w:t>
      </w:r>
    </w:p>
    <w:p w:rsidR="002B4B8E" w:rsidRPr="00A779B8" w:rsidRDefault="002B4B8E" w:rsidP="002B4B8E">
      <w:pPr>
        <w:ind w:left="454" w:hanging="284"/>
        <w:rPr>
          <w:sz w:val="18"/>
          <w:szCs w:val="18"/>
          <w:lang w:val="fr-FR"/>
        </w:rPr>
      </w:pPr>
      <w:r w:rsidRPr="007E1CE0">
        <w:rPr>
          <w:i/>
          <w:sz w:val="18"/>
          <w:szCs w:val="18"/>
          <w:vertAlign w:val="superscript"/>
          <w:lang w:val="fr-FR"/>
        </w:rPr>
        <w:t>2</w:t>
      </w:r>
      <w:r w:rsidRPr="00A779B8">
        <w:rPr>
          <w:sz w:val="18"/>
          <w:szCs w:val="18"/>
          <w:lang w:val="fr-FR"/>
        </w:rPr>
        <w:tab/>
        <w:t>L</w:t>
      </w:r>
      <w:r w:rsidR="00DB4C2D">
        <w:rPr>
          <w:sz w:val="18"/>
          <w:szCs w:val="18"/>
          <w:lang w:val="fr-FR"/>
        </w:rPr>
        <w:t>’</w:t>
      </w:r>
      <w:r w:rsidRPr="00A779B8">
        <w:rPr>
          <w:sz w:val="18"/>
          <w:szCs w:val="18"/>
          <w:lang w:val="fr-FR"/>
        </w:rPr>
        <w:t>intervalle indiqué pour l</w:t>
      </w:r>
      <w:r w:rsidR="00DB4C2D">
        <w:rPr>
          <w:sz w:val="18"/>
          <w:szCs w:val="18"/>
          <w:lang w:val="fr-FR"/>
        </w:rPr>
        <w:t>’</w:t>
      </w:r>
      <w:r w:rsidRPr="00A779B8">
        <w:rPr>
          <w:sz w:val="18"/>
          <w:szCs w:val="18"/>
          <w:lang w:val="fr-FR"/>
        </w:rPr>
        <w:t>indice de cétane n</w:t>
      </w:r>
      <w:r w:rsidR="00DB4C2D">
        <w:rPr>
          <w:sz w:val="18"/>
          <w:szCs w:val="18"/>
          <w:lang w:val="fr-FR"/>
        </w:rPr>
        <w:t>’</w:t>
      </w:r>
      <w:r w:rsidRPr="00A779B8">
        <w:rPr>
          <w:sz w:val="18"/>
          <w:szCs w:val="18"/>
          <w:lang w:val="fr-FR"/>
        </w:rPr>
        <w:t>est pas conforme au minimum de 4R Cependant, en cas de différend entre le fournisseur et l</w:t>
      </w:r>
      <w:r w:rsidR="00DB4C2D">
        <w:rPr>
          <w:sz w:val="18"/>
          <w:szCs w:val="18"/>
          <w:lang w:val="fr-FR"/>
        </w:rPr>
        <w:t>’</w:t>
      </w:r>
      <w:r w:rsidRPr="00A779B8">
        <w:rPr>
          <w:sz w:val="18"/>
          <w:szCs w:val="18"/>
          <w:lang w:val="fr-FR"/>
        </w:rPr>
        <w:t>utilisateur de carburant c</w:t>
      </w:r>
      <w:r w:rsidR="00DB4C2D">
        <w:rPr>
          <w:sz w:val="18"/>
          <w:szCs w:val="18"/>
          <w:lang w:val="fr-FR"/>
        </w:rPr>
        <w:t>’</w:t>
      </w:r>
      <w:r w:rsidRPr="00A779B8">
        <w:rPr>
          <w:sz w:val="18"/>
          <w:szCs w:val="18"/>
          <w:lang w:val="fr-FR"/>
        </w:rPr>
        <w:t>est la norme ISO 4259 qui doit s</w:t>
      </w:r>
      <w:r w:rsidR="00DB4C2D">
        <w:rPr>
          <w:sz w:val="18"/>
          <w:szCs w:val="18"/>
          <w:lang w:val="fr-FR"/>
        </w:rPr>
        <w:t>’</w:t>
      </w:r>
      <w:r w:rsidRPr="00A779B8">
        <w:rPr>
          <w:sz w:val="18"/>
          <w:szCs w:val="18"/>
          <w:lang w:val="fr-FR"/>
        </w:rPr>
        <w:t>appliquer, à condition qu</w:t>
      </w:r>
      <w:r w:rsidR="00DB4C2D">
        <w:rPr>
          <w:sz w:val="18"/>
          <w:szCs w:val="18"/>
          <w:lang w:val="fr-FR"/>
        </w:rPr>
        <w:t>’</w:t>
      </w:r>
      <w:r w:rsidRPr="00A779B8">
        <w:rPr>
          <w:sz w:val="18"/>
          <w:szCs w:val="18"/>
          <w:lang w:val="fr-FR"/>
        </w:rPr>
        <w:t>un nombre suffisant de mesures soit effectué pour parvenir à la précision nécessaire.</w:t>
      </w:r>
    </w:p>
    <w:p w:rsidR="002B4B8E" w:rsidRPr="00774320" w:rsidRDefault="002B4B8E" w:rsidP="002B4B8E">
      <w:pPr>
        <w:ind w:left="454" w:hanging="284"/>
        <w:rPr>
          <w:sz w:val="18"/>
          <w:szCs w:val="18"/>
          <w:lang w:val="fr-FR"/>
        </w:rPr>
      </w:pPr>
      <w:r w:rsidRPr="007E1CE0">
        <w:rPr>
          <w:i/>
          <w:sz w:val="18"/>
          <w:szCs w:val="18"/>
          <w:vertAlign w:val="superscript"/>
          <w:lang w:val="fr-FR"/>
        </w:rPr>
        <w:t>3</w:t>
      </w:r>
      <w:r w:rsidRPr="00774320">
        <w:rPr>
          <w:sz w:val="18"/>
          <w:szCs w:val="18"/>
          <w:lang w:val="fr-FR"/>
        </w:rPr>
        <w:tab/>
        <w:t>Bien que la stabilité à l</w:t>
      </w:r>
      <w:r w:rsidR="00DB4C2D">
        <w:rPr>
          <w:sz w:val="18"/>
          <w:szCs w:val="18"/>
          <w:lang w:val="fr-FR"/>
        </w:rPr>
        <w:t>’</w:t>
      </w:r>
      <w:r w:rsidRPr="00774320">
        <w:rPr>
          <w:sz w:val="18"/>
          <w:szCs w:val="18"/>
          <w:lang w:val="fr-FR"/>
        </w:rPr>
        <w:t>oxydation soit contrôlée, il est probable que la durée de vie du produit sera limitée. Il est recommandé de demander conseil au fournisseur quant aux conditions de stockage et à la durée de vie.</w:t>
      </w:r>
    </w:p>
    <w:p w:rsidR="002B4B8E" w:rsidRPr="00774320" w:rsidRDefault="002B4B8E" w:rsidP="002B4B8E">
      <w:pPr>
        <w:ind w:left="454" w:hanging="284"/>
        <w:rPr>
          <w:sz w:val="18"/>
          <w:szCs w:val="18"/>
          <w:lang w:val="fr-FR"/>
        </w:rPr>
      </w:pPr>
      <w:r w:rsidRPr="007E1CE0">
        <w:rPr>
          <w:i/>
          <w:sz w:val="18"/>
          <w:szCs w:val="18"/>
          <w:vertAlign w:val="superscript"/>
          <w:lang w:val="fr-FR"/>
        </w:rPr>
        <w:t>4</w:t>
      </w:r>
      <w:r w:rsidRPr="00774320">
        <w:rPr>
          <w:sz w:val="18"/>
          <w:szCs w:val="18"/>
          <w:lang w:val="fr-FR"/>
        </w:rPr>
        <w:tab/>
        <w:t>La teneur en FAME doit satisfaire aux spécifications de la norme EN 14214.</w:t>
      </w:r>
    </w:p>
    <w:p w:rsidR="002B4B8E" w:rsidRPr="00A779B8" w:rsidRDefault="002B4B8E" w:rsidP="002B4B8E">
      <w:pPr>
        <w:pStyle w:val="SingleTxtG"/>
        <w:spacing w:before="240"/>
        <w:ind w:left="2268" w:hanging="1134"/>
        <w:jc w:val="left"/>
        <w:rPr>
          <w:lang w:val="fr-FR"/>
        </w:rPr>
      </w:pPr>
      <w:r w:rsidRPr="00A779B8">
        <w:rPr>
          <w:lang w:val="fr-FR"/>
        </w:rPr>
        <w:t>2.</w:t>
      </w:r>
      <w:r w:rsidRPr="00A779B8">
        <w:rPr>
          <w:lang w:val="fr-FR"/>
        </w:rPr>
        <w:tab/>
      </w:r>
      <w:r w:rsidRPr="00A779B8">
        <w:rPr>
          <w:lang w:val="fr-FR"/>
        </w:rPr>
        <w:tab/>
        <w:t>Caractéristiques techniques du carburant de référence à utiliser pour l</w:t>
      </w:r>
      <w:r w:rsidR="00DB4C2D">
        <w:rPr>
          <w:lang w:val="fr-FR"/>
        </w:rPr>
        <w:t>’</w:t>
      </w:r>
      <w:r w:rsidRPr="00A779B8">
        <w:rPr>
          <w:lang w:val="fr-FR"/>
        </w:rPr>
        <w:t>essai à faible température ambiante des véhicules équipés d</w:t>
      </w:r>
      <w:r w:rsidR="00DB4C2D">
        <w:rPr>
          <w:lang w:val="fr-FR"/>
        </w:rPr>
        <w:t>’</w:t>
      </w:r>
      <w:r w:rsidRPr="00A779B8">
        <w:rPr>
          <w:lang w:val="fr-FR"/>
        </w:rPr>
        <w:t>un moteur à allumage commandé − Essai du type VI</w:t>
      </w:r>
    </w:p>
    <w:p w:rsidR="002B4B8E" w:rsidRPr="00A779B8" w:rsidRDefault="002B4B8E" w:rsidP="002B4B8E">
      <w:pPr>
        <w:pStyle w:val="Titre1"/>
        <w:spacing w:after="120"/>
        <w:ind w:left="0"/>
        <w:rPr>
          <w:b/>
          <w:lang w:val="fr-FR"/>
        </w:rPr>
      </w:pPr>
      <w:r w:rsidRPr="00A779B8">
        <w:rPr>
          <w:b/>
          <w:lang w:val="fr-FR"/>
        </w:rPr>
        <w:t>Type: Essence (E5)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42"/>
        <w:gridCol w:w="1122"/>
        <w:gridCol w:w="1317"/>
        <w:gridCol w:w="1317"/>
        <w:gridCol w:w="2241"/>
      </w:tblGrid>
      <w:tr w:rsidR="002B4B8E" w:rsidRPr="00A779B8" w:rsidTr="00DB4C2D">
        <w:tblPrEx>
          <w:tblCellMar>
            <w:top w:w="0" w:type="dxa"/>
            <w:bottom w:w="0" w:type="dxa"/>
          </w:tblCellMar>
        </w:tblPrEx>
        <w:trPr>
          <w:cantSplit/>
          <w:tblHeader/>
          <w:jc w:val="center"/>
        </w:trPr>
        <w:tc>
          <w:tcPr>
            <w:tcW w:w="3642"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Paramètre</w:t>
            </w:r>
          </w:p>
        </w:tc>
        <w:tc>
          <w:tcPr>
            <w:tcW w:w="1122"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Unité</w:t>
            </w:r>
          </w:p>
        </w:tc>
        <w:tc>
          <w:tcPr>
            <w:tcW w:w="2634" w:type="dxa"/>
            <w:gridSpan w:val="2"/>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Limites</w:t>
            </w:r>
            <w:r w:rsidRPr="00A779B8">
              <w:rPr>
                <w:sz w:val="16"/>
                <w:szCs w:val="16"/>
                <w:vertAlign w:val="superscript"/>
                <w:lang w:val="fr-FR"/>
              </w:rPr>
              <w:t>1</w:t>
            </w:r>
          </w:p>
        </w:tc>
        <w:tc>
          <w:tcPr>
            <w:tcW w:w="2241" w:type="dxa"/>
            <w:vMerge w:val="restart"/>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p>
        </w:tc>
      </w:tr>
      <w:tr w:rsidR="002B4B8E" w:rsidRPr="00A779B8" w:rsidTr="00DB4C2D">
        <w:tblPrEx>
          <w:tblCellMar>
            <w:top w:w="0" w:type="dxa"/>
            <w:bottom w:w="0" w:type="dxa"/>
          </w:tblCellMar>
        </w:tblPrEx>
        <w:trPr>
          <w:cantSplit/>
          <w:tblHeader/>
          <w:jc w:val="center"/>
        </w:trPr>
        <w:tc>
          <w:tcPr>
            <w:tcW w:w="3642" w:type="dxa"/>
            <w:vMerge/>
            <w:vAlign w:val="center"/>
          </w:tcPr>
          <w:p w:rsidR="002B4B8E" w:rsidRPr="00A779B8" w:rsidRDefault="002B4B8E" w:rsidP="00DB4C2D">
            <w:pPr>
              <w:spacing w:before="60" w:after="60" w:line="200" w:lineRule="exact"/>
              <w:jc w:val="center"/>
              <w:rPr>
                <w:bCs/>
                <w:i/>
                <w:sz w:val="16"/>
                <w:szCs w:val="16"/>
                <w:lang w:val="fr-FR"/>
              </w:rPr>
            </w:pPr>
          </w:p>
        </w:tc>
        <w:tc>
          <w:tcPr>
            <w:tcW w:w="1122" w:type="dxa"/>
            <w:vMerge/>
            <w:vAlign w:val="center"/>
          </w:tcPr>
          <w:p w:rsidR="002B4B8E" w:rsidRPr="00A779B8" w:rsidRDefault="002B4B8E" w:rsidP="00DB4C2D">
            <w:pPr>
              <w:spacing w:before="60" w:after="60" w:line="200" w:lineRule="exact"/>
              <w:jc w:val="center"/>
              <w:rPr>
                <w:bCs/>
                <w:i/>
                <w:sz w:val="16"/>
                <w:szCs w:val="16"/>
                <w:lang w:val="fr-FR"/>
              </w:rPr>
            </w:pPr>
          </w:p>
        </w:tc>
        <w:tc>
          <w:tcPr>
            <w:tcW w:w="1317" w:type="dxa"/>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Minimale</w:t>
            </w:r>
          </w:p>
        </w:tc>
        <w:tc>
          <w:tcPr>
            <w:tcW w:w="1317" w:type="dxa"/>
            <w:vAlign w:val="center"/>
          </w:tcPr>
          <w:p w:rsidR="002B4B8E" w:rsidRPr="00A779B8" w:rsidRDefault="002B4B8E" w:rsidP="00DB4C2D">
            <w:pPr>
              <w:spacing w:before="60" w:after="60" w:line="200" w:lineRule="exact"/>
              <w:jc w:val="center"/>
              <w:rPr>
                <w:bCs/>
                <w:i/>
                <w:sz w:val="16"/>
                <w:szCs w:val="16"/>
                <w:lang w:val="fr-FR"/>
              </w:rPr>
            </w:pPr>
            <w:r w:rsidRPr="00A779B8">
              <w:rPr>
                <w:bCs/>
                <w:i/>
                <w:sz w:val="16"/>
                <w:szCs w:val="16"/>
                <w:lang w:val="fr-FR"/>
              </w:rPr>
              <w:t>Maximale</w:t>
            </w:r>
          </w:p>
        </w:tc>
        <w:tc>
          <w:tcPr>
            <w:tcW w:w="2241" w:type="dxa"/>
            <w:vMerge/>
            <w:vAlign w:val="center"/>
          </w:tcPr>
          <w:p w:rsidR="002B4B8E" w:rsidRPr="00A779B8" w:rsidRDefault="002B4B8E" w:rsidP="00DB4C2D">
            <w:pPr>
              <w:spacing w:before="60" w:after="60" w:line="200" w:lineRule="exact"/>
              <w:jc w:val="center"/>
              <w:rPr>
                <w:bCs/>
                <w:i/>
                <w:sz w:val="16"/>
                <w:szCs w:val="16"/>
                <w:lang w:val="fr-FR"/>
              </w:rPr>
            </w:pP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recherche (IOR)</w:t>
            </w:r>
          </w:p>
        </w:tc>
        <w:tc>
          <w:tcPr>
            <w:tcW w:w="1122" w:type="dxa"/>
          </w:tcPr>
          <w:p w:rsidR="002B4B8E" w:rsidRPr="00A779B8" w:rsidRDefault="002B4B8E" w:rsidP="00DB4C2D">
            <w:pPr>
              <w:spacing w:before="60" w:after="60" w:line="220" w:lineRule="atLeast"/>
              <w:jc w:val="center"/>
              <w:rPr>
                <w:sz w:val="18"/>
                <w:szCs w:val="18"/>
                <w:lang w:val="fr-FR"/>
              </w:rPr>
            </w:pP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95,0</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25164</w:t>
            </w:r>
            <w:r w:rsidRPr="00A779B8">
              <w:rPr>
                <w:sz w:val="18"/>
                <w:szCs w:val="18"/>
                <w:lang w:val="fr-FR"/>
              </w:rPr>
              <w:br/>
            </w:r>
            <w:proofErr w:type="spellStart"/>
            <w:r w:rsidRPr="00A779B8">
              <w:rPr>
                <w:sz w:val="18"/>
                <w:szCs w:val="18"/>
                <w:lang w:val="fr-FR"/>
              </w:rPr>
              <w:t>pr</w:t>
            </w:r>
            <w:proofErr w:type="spellEnd"/>
            <w:r w:rsidRPr="00A779B8">
              <w:rPr>
                <w:sz w:val="18"/>
                <w:szCs w:val="18"/>
                <w:lang w:val="fr-FR"/>
              </w:rPr>
              <w:t xml:space="preserve"> EN ISO 5164</w:t>
            </w: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moteur (IOM)</w:t>
            </w:r>
          </w:p>
        </w:tc>
        <w:tc>
          <w:tcPr>
            <w:tcW w:w="1122" w:type="dxa"/>
          </w:tcPr>
          <w:p w:rsidR="002B4B8E" w:rsidRPr="00A779B8" w:rsidRDefault="002B4B8E" w:rsidP="00DB4C2D">
            <w:pPr>
              <w:spacing w:before="60" w:after="60" w:line="220" w:lineRule="atLeast"/>
              <w:jc w:val="center"/>
              <w:rPr>
                <w:sz w:val="18"/>
                <w:szCs w:val="18"/>
                <w:lang w:val="fr-FR"/>
              </w:rPr>
            </w:pP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85,0</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25163</w:t>
            </w:r>
            <w:r w:rsidRPr="00A779B8">
              <w:rPr>
                <w:sz w:val="18"/>
                <w:szCs w:val="18"/>
                <w:lang w:val="fr-FR"/>
              </w:rPr>
              <w:br/>
            </w:r>
            <w:proofErr w:type="spellStart"/>
            <w:r w:rsidRPr="00A779B8">
              <w:rPr>
                <w:sz w:val="18"/>
                <w:szCs w:val="18"/>
                <w:lang w:val="fr-FR"/>
              </w:rPr>
              <w:t>pr</w:t>
            </w:r>
            <w:proofErr w:type="spellEnd"/>
            <w:r w:rsidRPr="00A779B8">
              <w:rPr>
                <w:sz w:val="18"/>
                <w:szCs w:val="18"/>
                <w:lang w:val="fr-FR"/>
              </w:rPr>
              <w:t xml:space="preserve"> EN ISO 5163</w:t>
            </w: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Densité à 15 °C</w:t>
            </w:r>
          </w:p>
        </w:tc>
        <w:tc>
          <w:tcPr>
            <w:tcW w:w="1122" w:type="dxa"/>
          </w:tcPr>
          <w:p w:rsidR="002B4B8E" w:rsidRPr="00A779B8" w:rsidRDefault="002B4B8E" w:rsidP="00DB4C2D">
            <w:pPr>
              <w:spacing w:before="60" w:after="60" w:line="220" w:lineRule="atLeast"/>
              <w:jc w:val="center"/>
              <w:rPr>
                <w:sz w:val="18"/>
                <w:szCs w:val="18"/>
                <w:vertAlign w:val="superscript"/>
                <w:lang w:val="fr-FR"/>
              </w:rPr>
            </w:pPr>
            <w:r w:rsidRPr="00A779B8">
              <w:rPr>
                <w:sz w:val="18"/>
                <w:szCs w:val="18"/>
                <w:lang w:val="fr-FR"/>
              </w:rPr>
              <w:t>kg/m</w:t>
            </w:r>
            <w:r w:rsidRPr="00A779B8">
              <w:rPr>
                <w:sz w:val="18"/>
                <w:szCs w:val="18"/>
                <w:vertAlign w:val="superscript"/>
                <w:lang w:val="fr-FR"/>
              </w:rPr>
              <w:t>3</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743</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756</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3675</w:t>
            </w:r>
            <w:r w:rsidRPr="00A779B8">
              <w:rPr>
                <w:sz w:val="18"/>
                <w:szCs w:val="18"/>
                <w:lang w:val="fr-FR"/>
              </w:rPr>
              <w:br/>
              <w:t>EN ISO 12185</w:t>
            </w:r>
          </w:p>
        </w:tc>
      </w:tr>
      <w:tr w:rsidR="002B4B8E" w:rsidRPr="00A779B8" w:rsidTr="00DB4C2D">
        <w:tblPrEx>
          <w:tblCellMar>
            <w:top w:w="0" w:type="dxa"/>
            <w:bottom w:w="0" w:type="dxa"/>
          </w:tblCellMar>
        </w:tblPrEx>
        <w:trPr>
          <w:cantSplit/>
          <w:jc w:val="center"/>
        </w:trPr>
        <w:tc>
          <w:tcPr>
            <w:tcW w:w="3642"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Pression de vapeur Reid</w:t>
            </w:r>
          </w:p>
        </w:tc>
        <w:tc>
          <w:tcPr>
            <w:tcW w:w="1122"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kPa</w:t>
            </w:r>
          </w:p>
        </w:tc>
        <w:tc>
          <w:tcPr>
            <w:tcW w:w="1317"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56,0</w:t>
            </w:r>
          </w:p>
        </w:tc>
        <w:tc>
          <w:tcPr>
            <w:tcW w:w="1317"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95,0</w:t>
            </w:r>
          </w:p>
        </w:tc>
        <w:tc>
          <w:tcPr>
            <w:tcW w:w="2241"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13016-1 (DVPE)</w:t>
            </w:r>
          </w:p>
        </w:tc>
      </w:tr>
      <w:tr w:rsidR="002B4B8E" w:rsidRPr="00A779B8" w:rsidTr="00DB4C2D">
        <w:tblPrEx>
          <w:tblCellMar>
            <w:top w:w="0" w:type="dxa"/>
            <w:bottom w:w="0" w:type="dxa"/>
          </w:tblCellMar>
        </w:tblPrEx>
        <w:trPr>
          <w:cantSplit/>
          <w:jc w:val="center"/>
        </w:trPr>
        <w:tc>
          <w:tcPr>
            <w:tcW w:w="3642" w:type="dxa"/>
            <w:tcBorders>
              <w:bottom w:val="nil"/>
            </w:tcBorders>
          </w:tcPr>
          <w:p w:rsidR="002B4B8E" w:rsidRPr="00A779B8" w:rsidRDefault="002B4B8E" w:rsidP="00DB4C2D">
            <w:pPr>
              <w:keepNext/>
              <w:spacing w:before="60" w:after="60" w:line="220" w:lineRule="atLeast"/>
              <w:rPr>
                <w:sz w:val="18"/>
                <w:szCs w:val="18"/>
                <w:lang w:val="fr-FR"/>
              </w:rPr>
            </w:pPr>
            <w:r w:rsidRPr="00A779B8">
              <w:rPr>
                <w:sz w:val="18"/>
                <w:szCs w:val="18"/>
                <w:lang w:val="fr-FR"/>
              </w:rPr>
              <w:t>Teneur en eau</w:t>
            </w:r>
          </w:p>
        </w:tc>
        <w:tc>
          <w:tcPr>
            <w:tcW w:w="1122" w:type="dxa"/>
            <w:tcBorders>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7"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7" w:type="dxa"/>
            <w:tcBorders>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0,015</w:t>
            </w:r>
          </w:p>
        </w:tc>
        <w:tc>
          <w:tcPr>
            <w:tcW w:w="2241" w:type="dxa"/>
            <w:tcBorders>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ASTM E 1064</w:t>
            </w:r>
          </w:p>
        </w:tc>
      </w:tr>
      <w:tr w:rsidR="002B4B8E" w:rsidRPr="00A779B8" w:rsidTr="00DB4C2D">
        <w:tblPrEx>
          <w:tblCellMar>
            <w:top w:w="0" w:type="dxa"/>
            <w:bottom w:w="0" w:type="dxa"/>
          </w:tblCellMar>
        </w:tblPrEx>
        <w:trPr>
          <w:cantSplit/>
          <w:jc w:val="center"/>
        </w:trPr>
        <w:tc>
          <w:tcPr>
            <w:tcW w:w="3642" w:type="dxa"/>
            <w:tcBorders>
              <w:bottom w:val="nil"/>
            </w:tcBorders>
          </w:tcPr>
          <w:p w:rsidR="002B4B8E" w:rsidRPr="00A779B8" w:rsidRDefault="002B4B8E" w:rsidP="00DB4C2D">
            <w:pPr>
              <w:keepNext/>
              <w:spacing w:before="60" w:after="60" w:line="220" w:lineRule="atLeast"/>
              <w:rPr>
                <w:sz w:val="18"/>
                <w:szCs w:val="18"/>
                <w:lang w:val="fr-FR"/>
              </w:rPr>
            </w:pPr>
            <w:r w:rsidRPr="00A779B8">
              <w:rPr>
                <w:sz w:val="18"/>
                <w:szCs w:val="18"/>
                <w:lang w:val="fr-FR"/>
              </w:rPr>
              <w:t>Distillation:</w:t>
            </w:r>
          </w:p>
        </w:tc>
        <w:tc>
          <w:tcPr>
            <w:tcW w:w="1122"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7"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7" w:type="dxa"/>
            <w:tcBorders>
              <w:bottom w:val="nil"/>
            </w:tcBorders>
          </w:tcPr>
          <w:p w:rsidR="002B4B8E" w:rsidRPr="00A779B8" w:rsidRDefault="002B4B8E" w:rsidP="00DB4C2D">
            <w:pPr>
              <w:spacing w:before="60" w:after="60" w:line="220" w:lineRule="atLeast"/>
              <w:jc w:val="center"/>
              <w:rPr>
                <w:sz w:val="18"/>
                <w:szCs w:val="18"/>
                <w:lang w:val="fr-FR"/>
              </w:rPr>
            </w:pPr>
          </w:p>
        </w:tc>
        <w:tc>
          <w:tcPr>
            <w:tcW w:w="2241" w:type="dxa"/>
            <w:tcBorders>
              <w:bottom w:val="nil"/>
            </w:tcBorders>
          </w:tcPr>
          <w:p w:rsidR="002B4B8E" w:rsidRPr="00A779B8" w:rsidRDefault="002B4B8E" w:rsidP="00DB4C2D">
            <w:pPr>
              <w:spacing w:before="60" w:after="60" w:line="220" w:lineRule="atLeast"/>
              <w:rPr>
                <w:sz w:val="18"/>
                <w:szCs w:val="18"/>
                <w:lang w:val="fr-FR"/>
              </w:rPr>
            </w:pPr>
          </w:p>
        </w:tc>
      </w:tr>
      <w:tr w:rsidR="002B4B8E" w:rsidRPr="00A779B8" w:rsidTr="00DB4C2D">
        <w:tblPrEx>
          <w:tblCellMar>
            <w:top w:w="0" w:type="dxa"/>
            <w:bottom w:w="0" w:type="dxa"/>
          </w:tblCellMar>
        </w:tblPrEx>
        <w:trPr>
          <w:cantSplit/>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Évaporé à 70 °C</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24,0</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44,0</w:t>
            </w:r>
          </w:p>
        </w:tc>
        <w:tc>
          <w:tcPr>
            <w:tcW w:w="2241"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cantSplit/>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Évaporé à 100 °C</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50,0</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60,0</w:t>
            </w:r>
          </w:p>
        </w:tc>
        <w:tc>
          <w:tcPr>
            <w:tcW w:w="2241"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cantSplit/>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Évaporé à 150 °C</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82,0</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90,0</w:t>
            </w:r>
          </w:p>
        </w:tc>
        <w:tc>
          <w:tcPr>
            <w:tcW w:w="2241"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cantSplit/>
          <w:jc w:val="center"/>
        </w:trPr>
        <w:tc>
          <w:tcPr>
            <w:tcW w:w="3642" w:type="dxa"/>
            <w:tcBorders>
              <w:top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Point d</w:t>
            </w:r>
            <w:r w:rsidR="00DB4C2D">
              <w:rPr>
                <w:sz w:val="18"/>
                <w:szCs w:val="18"/>
                <w:lang w:val="fr-FR"/>
              </w:rPr>
              <w:t>’</w:t>
            </w:r>
            <w:r w:rsidRPr="00A779B8">
              <w:rPr>
                <w:sz w:val="18"/>
                <w:szCs w:val="18"/>
                <w:lang w:val="fr-FR"/>
              </w:rPr>
              <w:t>ébullition final</w:t>
            </w:r>
          </w:p>
        </w:tc>
        <w:tc>
          <w:tcPr>
            <w:tcW w:w="1122"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°C</w:t>
            </w:r>
          </w:p>
        </w:tc>
        <w:tc>
          <w:tcPr>
            <w:tcW w:w="1317"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190</w:t>
            </w:r>
          </w:p>
        </w:tc>
        <w:tc>
          <w:tcPr>
            <w:tcW w:w="1317" w:type="dxa"/>
            <w:tcBorders>
              <w:top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210</w:t>
            </w:r>
          </w:p>
        </w:tc>
        <w:tc>
          <w:tcPr>
            <w:tcW w:w="2241" w:type="dxa"/>
            <w:tcBorders>
              <w:top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cantSplit/>
          <w:jc w:val="center"/>
        </w:trPr>
        <w:tc>
          <w:tcPr>
            <w:tcW w:w="3642"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Résidus</w:t>
            </w:r>
          </w:p>
        </w:tc>
        <w:tc>
          <w:tcPr>
            <w:tcW w:w="1122"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7"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Borders>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2,0</w:t>
            </w:r>
          </w:p>
        </w:tc>
        <w:tc>
          <w:tcPr>
            <w:tcW w:w="2241" w:type="dxa"/>
            <w:tcBorders>
              <w:bottom w:val="single" w:sz="4" w:space="0" w:color="auto"/>
            </w:tcBorders>
          </w:tcPr>
          <w:p w:rsidR="002B4B8E" w:rsidRPr="00A779B8" w:rsidRDefault="002B4B8E" w:rsidP="00DB4C2D">
            <w:pPr>
              <w:spacing w:before="60" w:after="60" w:line="220" w:lineRule="atLeast"/>
              <w:rPr>
                <w:sz w:val="18"/>
                <w:szCs w:val="18"/>
                <w:lang w:val="fr-FR"/>
              </w:rPr>
            </w:pPr>
            <w:r w:rsidRPr="00A779B8">
              <w:rPr>
                <w:sz w:val="18"/>
                <w:szCs w:val="18"/>
                <w:lang w:val="fr-FR"/>
              </w:rPr>
              <w:t>EN ISO 3405</w:t>
            </w:r>
          </w:p>
        </w:tc>
      </w:tr>
      <w:tr w:rsidR="002B4B8E" w:rsidRPr="00A779B8" w:rsidTr="00DB4C2D">
        <w:tblPrEx>
          <w:tblCellMar>
            <w:top w:w="0" w:type="dxa"/>
            <w:bottom w:w="0" w:type="dxa"/>
          </w:tblCellMar>
        </w:tblPrEx>
        <w:trPr>
          <w:cantSplit/>
          <w:jc w:val="center"/>
        </w:trPr>
        <w:tc>
          <w:tcPr>
            <w:tcW w:w="3642" w:type="dxa"/>
            <w:tcBorders>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Analyse des hydrocarbures:</w:t>
            </w:r>
          </w:p>
        </w:tc>
        <w:tc>
          <w:tcPr>
            <w:tcW w:w="1122"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7" w:type="dxa"/>
            <w:tcBorders>
              <w:bottom w:val="nil"/>
            </w:tcBorders>
          </w:tcPr>
          <w:p w:rsidR="002B4B8E" w:rsidRPr="00A779B8" w:rsidRDefault="002B4B8E" w:rsidP="00DB4C2D">
            <w:pPr>
              <w:spacing w:before="60" w:after="60" w:line="220" w:lineRule="atLeast"/>
              <w:jc w:val="center"/>
              <w:rPr>
                <w:sz w:val="18"/>
                <w:szCs w:val="18"/>
                <w:lang w:val="fr-FR"/>
              </w:rPr>
            </w:pPr>
          </w:p>
        </w:tc>
        <w:tc>
          <w:tcPr>
            <w:tcW w:w="1317" w:type="dxa"/>
            <w:tcBorders>
              <w:bottom w:val="nil"/>
            </w:tcBorders>
          </w:tcPr>
          <w:p w:rsidR="002B4B8E" w:rsidRPr="00A779B8" w:rsidRDefault="002B4B8E" w:rsidP="00DB4C2D">
            <w:pPr>
              <w:spacing w:before="60" w:after="60" w:line="220" w:lineRule="atLeast"/>
              <w:jc w:val="center"/>
              <w:rPr>
                <w:sz w:val="18"/>
                <w:szCs w:val="18"/>
                <w:lang w:val="fr-FR"/>
              </w:rPr>
            </w:pPr>
          </w:p>
        </w:tc>
        <w:tc>
          <w:tcPr>
            <w:tcW w:w="2241" w:type="dxa"/>
            <w:tcBorders>
              <w:bottom w:val="nil"/>
            </w:tcBorders>
          </w:tcPr>
          <w:p w:rsidR="002B4B8E" w:rsidRPr="00A779B8" w:rsidRDefault="002B4B8E" w:rsidP="00DB4C2D">
            <w:pPr>
              <w:spacing w:before="60" w:after="60" w:line="220" w:lineRule="atLeast"/>
              <w:rPr>
                <w:sz w:val="18"/>
                <w:szCs w:val="18"/>
                <w:lang w:val="fr-FR"/>
              </w:rPr>
            </w:pPr>
          </w:p>
        </w:tc>
      </w:tr>
      <w:tr w:rsidR="002B4B8E" w:rsidRPr="00A779B8" w:rsidTr="00DB4C2D">
        <w:tblPrEx>
          <w:tblCellMar>
            <w:top w:w="0" w:type="dxa"/>
            <w:bottom w:w="0" w:type="dxa"/>
          </w:tblCellMar>
        </w:tblPrEx>
        <w:trPr>
          <w:cantSplit/>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Oléfines</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3,0</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13,0</w:t>
            </w:r>
          </w:p>
        </w:tc>
        <w:tc>
          <w:tcPr>
            <w:tcW w:w="2241"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ASTM D 1319</w:t>
            </w:r>
          </w:p>
        </w:tc>
      </w:tr>
      <w:tr w:rsidR="002B4B8E" w:rsidRPr="00A779B8" w:rsidTr="00DB4C2D">
        <w:tblPrEx>
          <w:tblCellMar>
            <w:top w:w="0" w:type="dxa"/>
            <w:bottom w:w="0" w:type="dxa"/>
          </w:tblCellMar>
        </w:tblPrEx>
        <w:trPr>
          <w:cantSplit/>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Aromatiques</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29,0</w:t>
            </w:r>
          </w:p>
        </w:tc>
        <w:tc>
          <w:tcPr>
            <w:tcW w:w="1317"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35,0</w:t>
            </w:r>
          </w:p>
        </w:tc>
        <w:tc>
          <w:tcPr>
            <w:tcW w:w="2241"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ASTM D 1319</w:t>
            </w:r>
          </w:p>
        </w:tc>
      </w:tr>
      <w:tr w:rsidR="002B4B8E" w:rsidRPr="00A779B8" w:rsidTr="00DB4C2D">
        <w:tblPrEx>
          <w:tblCellMar>
            <w:top w:w="0" w:type="dxa"/>
            <w:bottom w:w="0" w:type="dxa"/>
          </w:tblCellMar>
        </w:tblPrEx>
        <w:trPr>
          <w:cantSplit/>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Benzène</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7" w:type="dxa"/>
            <w:tcBorders>
              <w:top w:val="nil"/>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Borders>
              <w:top w:val="nil"/>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1,0</w:t>
            </w:r>
          </w:p>
        </w:tc>
        <w:tc>
          <w:tcPr>
            <w:tcW w:w="2241"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EN 12177</w:t>
            </w:r>
          </w:p>
        </w:tc>
      </w:tr>
      <w:tr w:rsidR="002B4B8E" w:rsidRPr="00A779B8" w:rsidTr="00DB4C2D">
        <w:tblPrEx>
          <w:tblCellMar>
            <w:top w:w="0" w:type="dxa"/>
            <w:bottom w:w="0" w:type="dxa"/>
          </w:tblCellMar>
        </w:tblPrEx>
        <w:trPr>
          <w:cantSplit/>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60" w:after="60" w:line="220" w:lineRule="atLeast"/>
              <w:rPr>
                <w:sz w:val="18"/>
                <w:szCs w:val="18"/>
                <w:lang w:val="fr-FR"/>
              </w:rPr>
            </w:pPr>
            <w:r w:rsidRPr="00A779B8">
              <w:rPr>
                <w:sz w:val="18"/>
                <w:szCs w:val="18"/>
                <w:lang w:val="fr-FR"/>
              </w:rPr>
              <w:t>Saturés</w:t>
            </w:r>
          </w:p>
        </w:tc>
        <w:tc>
          <w:tcPr>
            <w:tcW w:w="1122" w:type="dxa"/>
            <w:tcBorders>
              <w:top w:val="nil"/>
              <w:bottom w:val="nil"/>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2634" w:type="dxa"/>
            <w:gridSpan w:val="2"/>
            <w:tcBorders>
              <w:top w:val="single" w:sz="4" w:space="0" w:color="auto"/>
              <w:bottom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Valeur déclarée</w:t>
            </w:r>
          </w:p>
        </w:tc>
        <w:tc>
          <w:tcPr>
            <w:tcW w:w="2241" w:type="dxa"/>
            <w:tcBorders>
              <w:top w:val="nil"/>
              <w:bottom w:val="nil"/>
            </w:tcBorders>
          </w:tcPr>
          <w:p w:rsidR="002B4B8E" w:rsidRPr="00A779B8" w:rsidRDefault="002B4B8E" w:rsidP="00DB4C2D">
            <w:pPr>
              <w:spacing w:before="60" w:after="60" w:line="220" w:lineRule="atLeast"/>
              <w:rPr>
                <w:sz w:val="18"/>
                <w:szCs w:val="18"/>
                <w:lang w:val="fr-FR"/>
              </w:rPr>
            </w:pPr>
            <w:r w:rsidRPr="00A779B8">
              <w:rPr>
                <w:sz w:val="18"/>
                <w:szCs w:val="18"/>
                <w:lang w:val="fr-FR"/>
              </w:rPr>
              <w:t>ASTM 1319</w:t>
            </w: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Rapport carbone/hydrogène</w:t>
            </w:r>
          </w:p>
        </w:tc>
        <w:tc>
          <w:tcPr>
            <w:tcW w:w="1122" w:type="dxa"/>
          </w:tcPr>
          <w:p w:rsidR="002B4B8E" w:rsidRPr="00A779B8" w:rsidRDefault="002B4B8E" w:rsidP="00DB4C2D">
            <w:pPr>
              <w:spacing w:before="60" w:after="60" w:line="220" w:lineRule="atLeast"/>
              <w:jc w:val="center"/>
              <w:rPr>
                <w:sz w:val="18"/>
                <w:szCs w:val="18"/>
                <w:lang w:val="fr-FR"/>
              </w:rPr>
            </w:pPr>
          </w:p>
        </w:tc>
        <w:tc>
          <w:tcPr>
            <w:tcW w:w="2634" w:type="dxa"/>
            <w:gridSpan w:val="2"/>
            <w:tcBorders>
              <w:top w:val="single" w:sz="4" w:space="0" w:color="auto"/>
            </w:tcBorders>
          </w:tcPr>
          <w:p w:rsidR="002B4B8E" w:rsidRPr="00A779B8" w:rsidRDefault="002B4B8E" w:rsidP="00DB4C2D">
            <w:pPr>
              <w:spacing w:before="60" w:after="60" w:line="220" w:lineRule="atLeast"/>
              <w:jc w:val="center"/>
              <w:rPr>
                <w:sz w:val="18"/>
                <w:szCs w:val="18"/>
                <w:lang w:val="fr-FR"/>
              </w:rPr>
            </w:pPr>
            <w:r w:rsidRPr="00A779B8">
              <w:rPr>
                <w:sz w:val="18"/>
                <w:szCs w:val="18"/>
                <w:lang w:val="fr-FR"/>
              </w:rPr>
              <w:t>Valeur déclarée</w:t>
            </w:r>
          </w:p>
        </w:tc>
        <w:tc>
          <w:tcPr>
            <w:tcW w:w="2241" w:type="dxa"/>
          </w:tcPr>
          <w:p w:rsidR="002B4B8E" w:rsidRPr="00A779B8" w:rsidRDefault="002B4B8E" w:rsidP="00DB4C2D">
            <w:pPr>
              <w:spacing w:before="60" w:after="60" w:line="220" w:lineRule="atLeast"/>
              <w:rPr>
                <w:sz w:val="18"/>
                <w:szCs w:val="18"/>
                <w:lang w:val="fr-FR"/>
              </w:rPr>
            </w:pP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Rapport carbone/oxygène</w:t>
            </w:r>
          </w:p>
        </w:tc>
        <w:tc>
          <w:tcPr>
            <w:tcW w:w="1122" w:type="dxa"/>
          </w:tcPr>
          <w:p w:rsidR="002B4B8E" w:rsidRPr="00A779B8" w:rsidRDefault="002B4B8E" w:rsidP="00DB4C2D">
            <w:pPr>
              <w:spacing w:before="60" w:after="60" w:line="220" w:lineRule="atLeast"/>
              <w:jc w:val="center"/>
              <w:rPr>
                <w:sz w:val="18"/>
                <w:szCs w:val="18"/>
                <w:lang w:val="fr-FR"/>
              </w:rPr>
            </w:pPr>
          </w:p>
        </w:tc>
        <w:tc>
          <w:tcPr>
            <w:tcW w:w="2634" w:type="dxa"/>
            <w:gridSpan w:val="2"/>
          </w:tcPr>
          <w:p w:rsidR="002B4B8E" w:rsidRPr="00A779B8" w:rsidRDefault="002B4B8E" w:rsidP="00DB4C2D">
            <w:pPr>
              <w:spacing w:before="60" w:after="60" w:line="220" w:lineRule="atLeast"/>
              <w:jc w:val="center"/>
              <w:rPr>
                <w:sz w:val="18"/>
                <w:szCs w:val="18"/>
                <w:lang w:val="fr-FR"/>
              </w:rPr>
            </w:pPr>
            <w:r w:rsidRPr="00A779B8">
              <w:rPr>
                <w:sz w:val="18"/>
                <w:szCs w:val="18"/>
                <w:lang w:val="fr-FR"/>
              </w:rPr>
              <w:t>Valeur déclarée</w:t>
            </w:r>
          </w:p>
        </w:tc>
        <w:tc>
          <w:tcPr>
            <w:tcW w:w="2241" w:type="dxa"/>
          </w:tcPr>
          <w:p w:rsidR="002B4B8E" w:rsidRPr="00A779B8" w:rsidRDefault="002B4B8E" w:rsidP="00DB4C2D">
            <w:pPr>
              <w:spacing w:before="60" w:after="60" w:line="220" w:lineRule="atLeast"/>
              <w:rPr>
                <w:sz w:val="18"/>
                <w:szCs w:val="18"/>
                <w:lang w:val="fr-FR"/>
              </w:rPr>
            </w:pP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Période d</w:t>
            </w:r>
            <w:r w:rsidR="00DB4C2D">
              <w:rPr>
                <w:sz w:val="18"/>
                <w:szCs w:val="18"/>
                <w:lang w:val="fr-FR"/>
              </w:rPr>
              <w:t>’</w:t>
            </w:r>
            <w:r w:rsidRPr="00A779B8">
              <w:rPr>
                <w:sz w:val="18"/>
                <w:szCs w:val="18"/>
                <w:lang w:val="fr-FR"/>
              </w:rPr>
              <w:t>induction</w:t>
            </w:r>
            <w:r w:rsidRPr="00A779B8">
              <w:rPr>
                <w:i/>
                <w:sz w:val="18"/>
                <w:szCs w:val="18"/>
                <w:vertAlign w:val="superscript"/>
                <w:lang w:val="fr-FR"/>
              </w:rPr>
              <w:t>2</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min</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480</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7536</w:t>
            </w: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oxygène</w:t>
            </w:r>
            <w:r w:rsidRPr="00A779B8">
              <w:rPr>
                <w:i/>
                <w:sz w:val="18"/>
                <w:szCs w:val="18"/>
                <w:vertAlign w:val="superscript"/>
                <w:lang w:val="fr-FR"/>
              </w:rPr>
              <w:t>3</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m/m</w:t>
            </w:r>
          </w:p>
        </w:tc>
        <w:tc>
          <w:tcPr>
            <w:tcW w:w="2634" w:type="dxa"/>
            <w:gridSpan w:val="2"/>
          </w:tcPr>
          <w:p w:rsidR="002B4B8E" w:rsidRPr="00A779B8" w:rsidRDefault="002B4B8E" w:rsidP="00DB4C2D">
            <w:pPr>
              <w:spacing w:before="60" w:after="60" w:line="220" w:lineRule="atLeast"/>
              <w:jc w:val="center"/>
              <w:rPr>
                <w:sz w:val="18"/>
                <w:szCs w:val="18"/>
                <w:lang w:val="fr-FR"/>
              </w:rPr>
            </w:pPr>
            <w:r w:rsidRPr="00A779B8">
              <w:rPr>
                <w:sz w:val="18"/>
                <w:szCs w:val="18"/>
                <w:lang w:val="fr-FR"/>
              </w:rPr>
              <w:t>Valeur déclarée</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1601</w:t>
            </w: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Gomme actuelle</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mg/ml</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0,04</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6246</w:t>
            </w: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lastRenderedPageBreak/>
              <w:t>Teneur en soufre</w:t>
            </w:r>
            <w:r w:rsidRPr="00A779B8">
              <w:rPr>
                <w:i/>
                <w:sz w:val="18"/>
                <w:szCs w:val="18"/>
                <w:vertAlign w:val="superscript"/>
                <w:lang w:val="fr-FR"/>
              </w:rPr>
              <w:t>4</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mg/kg</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10</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20846</w:t>
            </w:r>
            <w:r w:rsidRPr="00A779B8">
              <w:rPr>
                <w:sz w:val="18"/>
                <w:szCs w:val="18"/>
                <w:lang w:val="fr-FR"/>
              </w:rPr>
              <w:br/>
              <w:t>EN ISO 20884</w:t>
            </w: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Corrosion du cuivre</w:t>
            </w:r>
          </w:p>
        </w:tc>
        <w:tc>
          <w:tcPr>
            <w:tcW w:w="1122" w:type="dxa"/>
          </w:tcPr>
          <w:p w:rsidR="002B4B8E" w:rsidRPr="00A779B8" w:rsidRDefault="002B4B8E" w:rsidP="00DB4C2D">
            <w:pPr>
              <w:spacing w:before="60" w:after="60" w:line="220" w:lineRule="atLeast"/>
              <w:jc w:val="center"/>
              <w:rPr>
                <w:sz w:val="18"/>
                <w:szCs w:val="18"/>
                <w:lang w:val="fr-FR"/>
              </w:rPr>
            </w:pP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Classe 1</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ISO 2160</w:t>
            </w: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plomb</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mg/l</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5</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237</w:t>
            </w: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Teneur en phosphore</w:t>
            </w:r>
            <w:r w:rsidRPr="00A779B8">
              <w:rPr>
                <w:i/>
                <w:sz w:val="18"/>
                <w:szCs w:val="18"/>
                <w:vertAlign w:val="superscript"/>
                <w:lang w:val="fr-FR"/>
              </w:rPr>
              <w:t>5</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mg/l</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1,3</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ASTM D 3231</w:t>
            </w:r>
          </w:p>
        </w:tc>
      </w:tr>
      <w:tr w:rsidR="002B4B8E" w:rsidRPr="00A779B8" w:rsidTr="00DB4C2D">
        <w:tblPrEx>
          <w:tblCellMar>
            <w:top w:w="0" w:type="dxa"/>
            <w:bottom w:w="0" w:type="dxa"/>
          </w:tblCellMar>
        </w:tblPrEx>
        <w:trPr>
          <w:cantSplit/>
          <w:jc w:val="center"/>
        </w:trPr>
        <w:tc>
          <w:tcPr>
            <w:tcW w:w="3642" w:type="dxa"/>
          </w:tcPr>
          <w:p w:rsidR="002B4B8E" w:rsidRPr="00A779B8" w:rsidRDefault="002B4B8E" w:rsidP="00DB4C2D">
            <w:pPr>
              <w:spacing w:before="60" w:after="60" w:line="220" w:lineRule="atLeast"/>
              <w:rPr>
                <w:sz w:val="18"/>
                <w:szCs w:val="18"/>
                <w:lang w:val="fr-FR"/>
              </w:rPr>
            </w:pPr>
            <w:r w:rsidRPr="00A779B8">
              <w:rPr>
                <w:sz w:val="18"/>
                <w:szCs w:val="18"/>
                <w:lang w:val="fr-FR"/>
              </w:rPr>
              <w:t>Éthanol</w:t>
            </w:r>
            <w:r w:rsidRPr="00A779B8">
              <w:rPr>
                <w:i/>
                <w:sz w:val="18"/>
                <w:szCs w:val="18"/>
                <w:vertAlign w:val="superscript"/>
                <w:lang w:val="fr-FR"/>
              </w:rPr>
              <w:t>3</w:t>
            </w:r>
          </w:p>
        </w:tc>
        <w:tc>
          <w:tcPr>
            <w:tcW w:w="1122"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 v/v</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4,7</w:t>
            </w:r>
          </w:p>
        </w:tc>
        <w:tc>
          <w:tcPr>
            <w:tcW w:w="1317" w:type="dxa"/>
          </w:tcPr>
          <w:p w:rsidR="002B4B8E" w:rsidRPr="00A779B8" w:rsidRDefault="002B4B8E" w:rsidP="00DB4C2D">
            <w:pPr>
              <w:spacing w:before="60" w:after="60" w:line="220" w:lineRule="atLeast"/>
              <w:jc w:val="center"/>
              <w:rPr>
                <w:sz w:val="18"/>
                <w:szCs w:val="18"/>
                <w:lang w:val="fr-FR"/>
              </w:rPr>
            </w:pPr>
            <w:r w:rsidRPr="00A779B8">
              <w:rPr>
                <w:sz w:val="18"/>
                <w:szCs w:val="18"/>
                <w:lang w:val="fr-FR"/>
              </w:rPr>
              <w:t>5,3</w:t>
            </w:r>
          </w:p>
        </w:tc>
        <w:tc>
          <w:tcPr>
            <w:tcW w:w="2241" w:type="dxa"/>
          </w:tcPr>
          <w:p w:rsidR="002B4B8E" w:rsidRPr="00A779B8" w:rsidRDefault="002B4B8E" w:rsidP="00DB4C2D">
            <w:pPr>
              <w:spacing w:before="60" w:after="60" w:line="220" w:lineRule="atLeast"/>
              <w:rPr>
                <w:sz w:val="18"/>
                <w:szCs w:val="18"/>
                <w:lang w:val="fr-FR"/>
              </w:rPr>
            </w:pPr>
            <w:r w:rsidRPr="00A779B8">
              <w:rPr>
                <w:sz w:val="18"/>
                <w:szCs w:val="18"/>
                <w:lang w:val="fr-FR"/>
              </w:rPr>
              <w:t>EN 1601</w:t>
            </w:r>
            <w:r w:rsidRPr="00A779B8">
              <w:rPr>
                <w:sz w:val="18"/>
                <w:szCs w:val="18"/>
                <w:lang w:val="fr-FR"/>
              </w:rPr>
              <w:br/>
              <w:t>EN 13132</w:t>
            </w:r>
          </w:p>
        </w:tc>
      </w:tr>
    </w:tbl>
    <w:p w:rsidR="002B4B8E" w:rsidRPr="00A779B8" w:rsidRDefault="002B4B8E" w:rsidP="002B4B8E">
      <w:pPr>
        <w:spacing w:before="120"/>
        <w:ind w:left="454" w:hanging="284"/>
        <w:rPr>
          <w:sz w:val="18"/>
          <w:szCs w:val="18"/>
          <w:lang w:val="fr-FR"/>
        </w:rPr>
      </w:pPr>
      <w:r w:rsidRPr="00A779B8">
        <w:rPr>
          <w:i/>
          <w:sz w:val="18"/>
          <w:szCs w:val="18"/>
          <w:vertAlign w:val="superscript"/>
          <w:lang w:val="fr-FR"/>
        </w:rPr>
        <w:t>1</w:t>
      </w:r>
      <w:r w:rsidRPr="00A779B8">
        <w:rPr>
          <w:sz w:val="18"/>
          <w:szCs w:val="18"/>
          <w:lang w:val="fr-FR"/>
        </w:rPr>
        <w:tab/>
        <w:t>Les valeurs mentionnées dans les spécifications sont des «valeurs vraies». Les valeurs limites ont été déterminées conformément à la norme ISO 4259 intitulée «Produits pétroliers − Détermination et application des valeurs de fidélité relatives aux méthodes d</w:t>
      </w:r>
      <w:r w:rsidR="00DB4C2D">
        <w:rPr>
          <w:sz w:val="18"/>
          <w:szCs w:val="18"/>
          <w:lang w:val="fr-FR"/>
        </w:rPr>
        <w:t>’</w:t>
      </w:r>
      <w:r w:rsidRPr="00A779B8">
        <w:rPr>
          <w:sz w:val="18"/>
          <w:szCs w:val="18"/>
          <w:lang w:val="fr-FR"/>
        </w:rPr>
        <w:t>essai». Pour la fixation d</w:t>
      </w:r>
      <w:r w:rsidR="00DB4C2D">
        <w:rPr>
          <w:sz w:val="18"/>
          <w:szCs w:val="18"/>
          <w:lang w:val="fr-FR"/>
        </w:rPr>
        <w:t>’</w:t>
      </w:r>
      <w:r w:rsidRPr="00A779B8">
        <w:rPr>
          <w:sz w:val="18"/>
          <w:szCs w:val="18"/>
          <w:lang w:val="fr-FR"/>
        </w:rPr>
        <w:t>un minimum, une différence minimale de 2R par rapport à la valeur zéro a été prise en compte; pour la fixation d</w:t>
      </w:r>
      <w:r w:rsidR="00DB4C2D">
        <w:rPr>
          <w:sz w:val="18"/>
          <w:szCs w:val="18"/>
          <w:lang w:val="fr-FR"/>
        </w:rPr>
        <w:t>’</w:t>
      </w:r>
      <w:r w:rsidRPr="00A779B8">
        <w:rPr>
          <w:sz w:val="18"/>
          <w:szCs w:val="18"/>
          <w:lang w:val="fr-FR"/>
        </w:rPr>
        <w:t>un maximum et d</w:t>
      </w:r>
      <w:r w:rsidR="00DB4C2D">
        <w:rPr>
          <w:sz w:val="18"/>
          <w:szCs w:val="18"/>
          <w:lang w:val="fr-FR"/>
        </w:rPr>
        <w:t>’</w:t>
      </w:r>
      <w:r w:rsidRPr="00A779B8">
        <w:rPr>
          <w:sz w:val="18"/>
          <w:szCs w:val="18"/>
          <w:lang w:val="fr-FR"/>
        </w:rPr>
        <w:t>un minimum, la différence minimale entre ces valeurs est de 4R (R = reproductibilité).</w:t>
      </w:r>
      <w:r w:rsidRPr="00A779B8">
        <w:rPr>
          <w:sz w:val="18"/>
          <w:szCs w:val="18"/>
          <w:lang w:val="fr-FR"/>
        </w:rPr>
        <w:br/>
        <w:t>Malgré cette mesure, qui est nécessaire pour des raisons techniques, le fabricant de carburant doit viser la valeur zéro lorsque la valeur maximale indiquée est de 2R ou la valeur moyenne lorsqu</w:t>
      </w:r>
      <w:r w:rsidR="00DB4C2D">
        <w:rPr>
          <w:sz w:val="18"/>
          <w:szCs w:val="18"/>
          <w:lang w:val="fr-FR"/>
        </w:rPr>
        <w:t>’</w:t>
      </w:r>
      <w:r w:rsidRPr="00A779B8">
        <w:rPr>
          <w:sz w:val="18"/>
          <w:szCs w:val="18"/>
          <w:lang w:val="fr-FR"/>
        </w:rPr>
        <w:t>il existe un minimum et un maximum. Au cas où il est nécessaire de vérifier le respect des spécifications par un carburant, les dispositions de la norme ISO 4259 doivent être appliquées.</w:t>
      </w:r>
    </w:p>
    <w:p w:rsidR="002B4B8E" w:rsidRPr="00A779B8" w:rsidRDefault="002B4B8E" w:rsidP="002B4B8E">
      <w:pPr>
        <w:ind w:left="454" w:hanging="284"/>
        <w:rPr>
          <w:sz w:val="18"/>
          <w:szCs w:val="18"/>
          <w:lang w:val="fr-FR"/>
        </w:rPr>
      </w:pPr>
      <w:r w:rsidRPr="00A779B8">
        <w:rPr>
          <w:i/>
          <w:sz w:val="18"/>
          <w:szCs w:val="18"/>
          <w:vertAlign w:val="superscript"/>
          <w:lang w:val="fr-FR"/>
        </w:rPr>
        <w:t>2</w:t>
      </w:r>
      <w:r w:rsidRPr="00A779B8">
        <w:rPr>
          <w:sz w:val="18"/>
          <w:szCs w:val="18"/>
          <w:lang w:val="fr-FR"/>
        </w:rPr>
        <w:tab/>
        <w:t>Le carburant peut contenir des additifs antioxydants et des inhibiteurs de catalyse métallique normalement utilisés pour stabiliser les flux d</w:t>
      </w:r>
      <w:r w:rsidR="00DB4C2D">
        <w:rPr>
          <w:sz w:val="18"/>
          <w:szCs w:val="18"/>
          <w:lang w:val="fr-FR"/>
        </w:rPr>
        <w:t>’</w:t>
      </w:r>
      <w:r w:rsidRPr="00A779B8">
        <w:rPr>
          <w:sz w:val="18"/>
          <w:szCs w:val="18"/>
          <w:lang w:val="fr-FR"/>
        </w:rPr>
        <w:t>essence en raffinerie; il ne faut cependant pas y ajouter d</w:t>
      </w:r>
      <w:r w:rsidR="00DB4C2D">
        <w:rPr>
          <w:sz w:val="18"/>
          <w:szCs w:val="18"/>
          <w:lang w:val="fr-FR"/>
        </w:rPr>
        <w:t>’</w:t>
      </w:r>
      <w:r w:rsidRPr="00A779B8">
        <w:rPr>
          <w:sz w:val="18"/>
          <w:szCs w:val="18"/>
          <w:lang w:val="fr-FR"/>
        </w:rPr>
        <w:t>additifs détergents ou dispersants ni d</w:t>
      </w:r>
      <w:r w:rsidR="00DB4C2D">
        <w:rPr>
          <w:sz w:val="18"/>
          <w:szCs w:val="18"/>
          <w:lang w:val="fr-FR"/>
        </w:rPr>
        <w:t>’</w:t>
      </w:r>
      <w:r w:rsidRPr="00A779B8">
        <w:rPr>
          <w:sz w:val="18"/>
          <w:szCs w:val="18"/>
          <w:lang w:val="fr-FR"/>
        </w:rPr>
        <w:t xml:space="preserve">huiles </w:t>
      </w:r>
      <w:proofErr w:type="spellStart"/>
      <w:r w:rsidRPr="00A779B8">
        <w:rPr>
          <w:sz w:val="18"/>
          <w:szCs w:val="18"/>
          <w:lang w:val="fr-FR"/>
        </w:rPr>
        <w:t>solvantes</w:t>
      </w:r>
      <w:proofErr w:type="spellEnd"/>
      <w:r w:rsidRPr="00A779B8">
        <w:rPr>
          <w:sz w:val="18"/>
          <w:szCs w:val="18"/>
          <w:lang w:val="fr-FR"/>
        </w:rPr>
        <w:t>.</w:t>
      </w:r>
    </w:p>
    <w:p w:rsidR="002B4B8E" w:rsidRPr="00A779B8" w:rsidRDefault="002B4B8E" w:rsidP="002B4B8E">
      <w:pPr>
        <w:ind w:left="454" w:hanging="284"/>
        <w:rPr>
          <w:sz w:val="18"/>
          <w:szCs w:val="18"/>
          <w:lang w:val="fr-FR"/>
        </w:rPr>
      </w:pPr>
      <w:r w:rsidRPr="00A779B8">
        <w:rPr>
          <w:i/>
          <w:sz w:val="18"/>
          <w:szCs w:val="18"/>
          <w:vertAlign w:val="superscript"/>
          <w:lang w:val="fr-FR"/>
        </w:rPr>
        <w:t>3</w:t>
      </w:r>
      <w:r w:rsidRPr="00A779B8">
        <w:rPr>
          <w:sz w:val="18"/>
          <w:szCs w:val="18"/>
          <w:lang w:val="fr-FR"/>
        </w:rPr>
        <w:tab/>
        <w:t>Le seul oxygénant pouvant être ajouté délibérément au carburant de référence est l</w:t>
      </w:r>
      <w:r w:rsidR="00DB4C2D">
        <w:rPr>
          <w:sz w:val="18"/>
          <w:szCs w:val="18"/>
          <w:lang w:val="fr-FR"/>
        </w:rPr>
        <w:t>’</w:t>
      </w:r>
      <w:r w:rsidRPr="00A779B8">
        <w:rPr>
          <w:sz w:val="18"/>
          <w:szCs w:val="18"/>
          <w:lang w:val="fr-FR"/>
        </w:rPr>
        <w:t>éthanol conforme à la spécification EN 15376.</w:t>
      </w:r>
    </w:p>
    <w:p w:rsidR="002B4B8E" w:rsidRPr="00A779B8" w:rsidRDefault="002B4B8E" w:rsidP="002B4B8E">
      <w:pPr>
        <w:ind w:left="454" w:hanging="284"/>
        <w:rPr>
          <w:sz w:val="18"/>
          <w:szCs w:val="18"/>
          <w:lang w:val="fr-FR"/>
        </w:rPr>
      </w:pPr>
      <w:r w:rsidRPr="00A779B8">
        <w:rPr>
          <w:i/>
          <w:sz w:val="18"/>
          <w:szCs w:val="18"/>
          <w:vertAlign w:val="superscript"/>
          <w:lang w:val="fr-FR"/>
        </w:rPr>
        <w:t>4</w:t>
      </w:r>
      <w:r w:rsidRPr="00A779B8">
        <w:rPr>
          <w:sz w:val="18"/>
          <w:szCs w:val="18"/>
          <w:lang w:val="fr-FR"/>
        </w:rPr>
        <w:tab/>
        <w:t>Il convient de communiquer la teneur en soufre effective du carburant utilisé pour les essais du type VI.</w:t>
      </w:r>
    </w:p>
    <w:p w:rsidR="002B4B8E" w:rsidRDefault="002B4B8E" w:rsidP="002B4B8E">
      <w:pPr>
        <w:pStyle w:val="Titre1"/>
        <w:keepNext w:val="0"/>
        <w:spacing w:after="120"/>
        <w:ind w:left="454" w:hanging="284"/>
        <w:rPr>
          <w:b/>
          <w:lang w:val="fr-FR"/>
        </w:rPr>
      </w:pPr>
      <w:r w:rsidRPr="00A779B8">
        <w:rPr>
          <w:i/>
          <w:sz w:val="18"/>
          <w:szCs w:val="18"/>
          <w:vertAlign w:val="superscript"/>
          <w:lang w:val="fr-FR"/>
        </w:rPr>
        <w:t>5</w:t>
      </w:r>
      <w:r w:rsidRPr="00A779B8">
        <w:rPr>
          <w:sz w:val="18"/>
          <w:szCs w:val="18"/>
          <w:lang w:val="fr-FR"/>
        </w:rPr>
        <w:tab/>
        <w:t>Aucun composant contenant du phosphore, du fer, du manganèse ou du plomb ne doit être ajouté délibérément au carburant de référence.</w:t>
      </w:r>
    </w:p>
    <w:p w:rsidR="002B4B8E" w:rsidRPr="00A779B8" w:rsidRDefault="002B4B8E" w:rsidP="002B4B8E">
      <w:pPr>
        <w:pStyle w:val="Titre1"/>
        <w:keepNext w:val="0"/>
        <w:spacing w:after="120"/>
        <w:ind w:left="0"/>
        <w:rPr>
          <w:b/>
          <w:lang w:val="fr-FR"/>
        </w:rPr>
      </w:pPr>
      <w:r w:rsidRPr="00A779B8">
        <w:rPr>
          <w:b/>
          <w:lang w:val="fr-FR"/>
        </w:rPr>
        <w:t>Type: Essence (E10)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42"/>
        <w:gridCol w:w="1122"/>
        <w:gridCol w:w="1317"/>
        <w:gridCol w:w="1317"/>
        <w:gridCol w:w="2241"/>
        <w:tblGridChange w:id="315">
          <w:tblGrid>
            <w:gridCol w:w="3642"/>
            <w:gridCol w:w="1122"/>
            <w:gridCol w:w="1317"/>
            <w:gridCol w:w="1317"/>
            <w:gridCol w:w="2241"/>
          </w:tblGrid>
        </w:tblGridChange>
      </w:tblGrid>
      <w:tr w:rsidR="002B4B8E" w:rsidRPr="00A779B8" w:rsidTr="00DB4C2D">
        <w:trPr>
          <w:trHeight w:val="280"/>
          <w:tblHeader/>
          <w:jc w:val="center"/>
        </w:trPr>
        <w:tc>
          <w:tcPr>
            <w:tcW w:w="3642" w:type="dxa"/>
            <w:vMerge w:val="restart"/>
            <w:vAlign w:val="center"/>
          </w:tcPr>
          <w:p w:rsidR="002B4B8E" w:rsidRPr="00A779B8" w:rsidRDefault="002B4B8E" w:rsidP="00DB4C2D">
            <w:pPr>
              <w:spacing w:before="40" w:after="40" w:line="200" w:lineRule="exact"/>
              <w:rPr>
                <w:bCs/>
                <w:i/>
                <w:sz w:val="16"/>
                <w:szCs w:val="16"/>
                <w:lang w:val="fr-FR"/>
              </w:rPr>
            </w:pPr>
            <w:r w:rsidRPr="00A779B8">
              <w:rPr>
                <w:bCs/>
                <w:i/>
                <w:sz w:val="16"/>
                <w:szCs w:val="16"/>
                <w:lang w:val="fr-FR"/>
              </w:rPr>
              <w:t>Paramètre</w:t>
            </w:r>
          </w:p>
        </w:tc>
        <w:tc>
          <w:tcPr>
            <w:tcW w:w="1122" w:type="dxa"/>
            <w:vMerge w:val="restart"/>
            <w:vAlign w:val="center"/>
          </w:tcPr>
          <w:p w:rsidR="002B4B8E" w:rsidRPr="00A779B8" w:rsidRDefault="002B4B8E" w:rsidP="00DB4C2D">
            <w:pPr>
              <w:spacing w:before="40" w:after="40" w:line="200" w:lineRule="exact"/>
              <w:jc w:val="center"/>
              <w:rPr>
                <w:bCs/>
                <w:i/>
                <w:sz w:val="16"/>
                <w:szCs w:val="16"/>
                <w:lang w:val="fr-FR"/>
              </w:rPr>
            </w:pPr>
            <w:r w:rsidRPr="00A779B8">
              <w:rPr>
                <w:bCs/>
                <w:i/>
                <w:sz w:val="16"/>
                <w:szCs w:val="16"/>
                <w:lang w:val="fr-FR"/>
              </w:rPr>
              <w:t>Unité</w:t>
            </w:r>
          </w:p>
        </w:tc>
        <w:tc>
          <w:tcPr>
            <w:tcW w:w="2634" w:type="dxa"/>
            <w:gridSpan w:val="2"/>
            <w:vAlign w:val="center"/>
          </w:tcPr>
          <w:p w:rsidR="002B4B8E" w:rsidRPr="00A779B8" w:rsidRDefault="002B4B8E" w:rsidP="00DB4C2D">
            <w:pPr>
              <w:spacing w:before="40" w:after="40" w:line="200" w:lineRule="exact"/>
              <w:jc w:val="center"/>
              <w:rPr>
                <w:bCs/>
                <w:i/>
                <w:sz w:val="16"/>
                <w:szCs w:val="16"/>
                <w:lang w:val="fr-FR"/>
              </w:rPr>
            </w:pPr>
            <w:r w:rsidRPr="00A779B8">
              <w:rPr>
                <w:bCs/>
                <w:i/>
                <w:sz w:val="16"/>
                <w:szCs w:val="16"/>
                <w:lang w:val="fr-FR"/>
              </w:rPr>
              <w:t>Limites</w:t>
            </w:r>
            <w:r w:rsidRPr="00A779B8">
              <w:rPr>
                <w:sz w:val="16"/>
                <w:szCs w:val="16"/>
                <w:vertAlign w:val="superscript"/>
                <w:lang w:val="fr-FR"/>
              </w:rPr>
              <w:t>1</w:t>
            </w:r>
          </w:p>
        </w:tc>
        <w:tc>
          <w:tcPr>
            <w:tcW w:w="2241" w:type="dxa"/>
            <w:vMerge w:val="restart"/>
            <w:vAlign w:val="center"/>
          </w:tcPr>
          <w:p w:rsidR="002B4B8E" w:rsidRPr="00A779B8" w:rsidRDefault="002B4B8E" w:rsidP="00DB4C2D">
            <w:pPr>
              <w:spacing w:before="40" w:after="40" w:line="200" w:lineRule="exact"/>
              <w:jc w:val="center"/>
              <w:rPr>
                <w:bCs/>
                <w:i/>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p>
        </w:tc>
      </w:tr>
      <w:tr w:rsidR="002B4B8E" w:rsidRPr="00A779B8" w:rsidTr="00DB4C2D">
        <w:trPr>
          <w:trHeight w:val="280"/>
          <w:tblHeader/>
          <w:jc w:val="center"/>
        </w:trPr>
        <w:tc>
          <w:tcPr>
            <w:tcW w:w="3642" w:type="dxa"/>
            <w:vMerge/>
            <w:vAlign w:val="center"/>
          </w:tcPr>
          <w:p w:rsidR="002B4B8E" w:rsidRPr="00A779B8" w:rsidRDefault="002B4B8E" w:rsidP="00DB4C2D">
            <w:pPr>
              <w:spacing w:before="40" w:after="40" w:line="200" w:lineRule="exact"/>
              <w:jc w:val="center"/>
              <w:rPr>
                <w:i/>
                <w:sz w:val="16"/>
                <w:szCs w:val="16"/>
                <w:lang w:val="fr-FR"/>
              </w:rPr>
            </w:pPr>
          </w:p>
        </w:tc>
        <w:tc>
          <w:tcPr>
            <w:tcW w:w="1122" w:type="dxa"/>
            <w:vMerge/>
            <w:vAlign w:val="center"/>
          </w:tcPr>
          <w:p w:rsidR="002B4B8E" w:rsidRPr="00A779B8" w:rsidRDefault="002B4B8E" w:rsidP="00DB4C2D">
            <w:pPr>
              <w:spacing w:before="40" w:after="40" w:line="200" w:lineRule="exact"/>
              <w:jc w:val="center"/>
              <w:rPr>
                <w:i/>
                <w:sz w:val="16"/>
                <w:szCs w:val="16"/>
                <w:lang w:val="fr-FR"/>
              </w:rPr>
            </w:pPr>
          </w:p>
        </w:tc>
        <w:tc>
          <w:tcPr>
            <w:tcW w:w="1317" w:type="dxa"/>
            <w:vAlign w:val="center"/>
          </w:tcPr>
          <w:p w:rsidR="002B4B8E" w:rsidRPr="00A779B8" w:rsidRDefault="002B4B8E" w:rsidP="00DB4C2D">
            <w:pPr>
              <w:spacing w:before="40" w:after="40" w:line="200" w:lineRule="exact"/>
              <w:jc w:val="center"/>
              <w:rPr>
                <w:bCs/>
                <w:i/>
                <w:sz w:val="16"/>
                <w:szCs w:val="16"/>
                <w:lang w:val="fr-FR"/>
              </w:rPr>
            </w:pPr>
            <w:r w:rsidRPr="00A779B8">
              <w:rPr>
                <w:bCs/>
                <w:i/>
                <w:sz w:val="16"/>
                <w:szCs w:val="16"/>
                <w:lang w:val="fr-FR"/>
              </w:rPr>
              <w:t>Minimale</w:t>
            </w:r>
          </w:p>
        </w:tc>
        <w:tc>
          <w:tcPr>
            <w:tcW w:w="1317" w:type="dxa"/>
            <w:vAlign w:val="center"/>
          </w:tcPr>
          <w:p w:rsidR="002B4B8E" w:rsidRPr="00A779B8" w:rsidRDefault="002B4B8E" w:rsidP="00DB4C2D">
            <w:pPr>
              <w:spacing w:before="40" w:after="40" w:line="200" w:lineRule="exact"/>
              <w:jc w:val="center"/>
              <w:rPr>
                <w:bCs/>
                <w:i/>
                <w:sz w:val="16"/>
                <w:szCs w:val="16"/>
                <w:lang w:val="fr-FR"/>
              </w:rPr>
            </w:pPr>
            <w:r w:rsidRPr="00A779B8">
              <w:rPr>
                <w:bCs/>
                <w:i/>
                <w:sz w:val="16"/>
                <w:szCs w:val="16"/>
                <w:lang w:val="fr-FR"/>
              </w:rPr>
              <w:t>Maximale</w:t>
            </w:r>
          </w:p>
        </w:tc>
        <w:tc>
          <w:tcPr>
            <w:tcW w:w="2241" w:type="dxa"/>
            <w:vMerge/>
            <w:vAlign w:val="center"/>
          </w:tcPr>
          <w:p w:rsidR="002B4B8E" w:rsidRPr="00A779B8" w:rsidRDefault="002B4B8E" w:rsidP="00DB4C2D">
            <w:pPr>
              <w:spacing w:before="40" w:after="40" w:line="200" w:lineRule="exact"/>
              <w:jc w:val="center"/>
              <w:rPr>
                <w:b/>
                <w:bCs/>
                <w:i/>
                <w:iCs/>
                <w:sz w:val="16"/>
                <w:szCs w:val="16"/>
                <w:lang w:val="fr-FR"/>
              </w:rPr>
            </w:pPr>
          </w:p>
        </w:tc>
      </w:tr>
      <w:tr w:rsidR="002B4B8E" w:rsidRPr="00A779B8" w:rsidTr="00DB4C2D">
        <w:trPr>
          <w:trHeight w:val="163"/>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recherche (IOR)</w:t>
            </w:r>
            <w:r w:rsidRPr="00A779B8">
              <w:rPr>
                <w:sz w:val="18"/>
                <w:szCs w:val="18"/>
                <w:vertAlign w:val="superscript"/>
                <w:lang w:val="fr-FR"/>
              </w:rPr>
              <w:t>2</w:t>
            </w:r>
          </w:p>
        </w:tc>
        <w:tc>
          <w:tcPr>
            <w:tcW w:w="1122" w:type="dxa"/>
          </w:tcPr>
          <w:p w:rsidR="002B4B8E" w:rsidRPr="00A779B8" w:rsidRDefault="002B4B8E" w:rsidP="00DB4C2D">
            <w:pPr>
              <w:spacing w:before="40" w:after="40" w:line="220" w:lineRule="atLeast"/>
              <w:jc w:val="center"/>
              <w:rPr>
                <w:sz w:val="18"/>
                <w:szCs w:val="18"/>
                <w:lang w:val="fr-FR"/>
              </w:rPr>
            </w:pP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95,0</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98,0</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5164</w:t>
            </w:r>
          </w:p>
        </w:tc>
      </w:tr>
      <w:tr w:rsidR="002B4B8E" w:rsidRPr="00A779B8" w:rsidTr="00DB4C2D">
        <w:trPr>
          <w:trHeight w:val="85"/>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moteur (IOM)</w:t>
            </w:r>
            <w:r w:rsidRPr="00A779B8">
              <w:rPr>
                <w:i/>
                <w:sz w:val="18"/>
                <w:szCs w:val="18"/>
                <w:vertAlign w:val="superscript"/>
                <w:lang w:val="fr-FR"/>
              </w:rPr>
              <w:t>2</w:t>
            </w:r>
          </w:p>
        </w:tc>
        <w:tc>
          <w:tcPr>
            <w:tcW w:w="1122" w:type="dxa"/>
          </w:tcPr>
          <w:p w:rsidR="002B4B8E" w:rsidRPr="00A779B8" w:rsidRDefault="002B4B8E" w:rsidP="00DB4C2D">
            <w:pPr>
              <w:spacing w:before="40" w:after="40" w:line="220" w:lineRule="atLeast"/>
              <w:jc w:val="center"/>
              <w:rPr>
                <w:sz w:val="18"/>
                <w:szCs w:val="18"/>
                <w:lang w:val="fr-FR"/>
              </w:rPr>
            </w:pP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85,0</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89,0</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5163</w:t>
            </w:r>
          </w:p>
        </w:tc>
      </w:tr>
      <w:tr w:rsidR="002B4B8E" w:rsidRPr="00A779B8" w:rsidTr="00DB4C2D">
        <w:trPr>
          <w:trHeight w:val="141"/>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Densité à 15 °C</w:t>
            </w:r>
          </w:p>
        </w:tc>
        <w:tc>
          <w:tcPr>
            <w:tcW w:w="1122"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kg/m</w:t>
            </w:r>
            <w:r w:rsidRPr="00A779B8">
              <w:rPr>
                <w:sz w:val="18"/>
                <w:szCs w:val="18"/>
                <w:vertAlign w:val="superscript"/>
                <w:lang w:val="fr-FR"/>
              </w:rPr>
              <w:t>3</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743,0</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756,0</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12185</w:t>
            </w:r>
          </w:p>
        </w:tc>
      </w:tr>
      <w:tr w:rsidR="002B4B8E" w:rsidRPr="00A779B8" w:rsidTr="00DB4C2D">
        <w:trPr>
          <w:trHeight w:val="85"/>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Pression de vapeur (DVPE)</w:t>
            </w:r>
          </w:p>
        </w:tc>
        <w:tc>
          <w:tcPr>
            <w:tcW w:w="1122"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kPa</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56,0</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95,0</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 xml:space="preserve">EN 13016-1 </w:t>
            </w:r>
          </w:p>
        </w:tc>
      </w:tr>
      <w:tr w:rsidR="002B4B8E" w:rsidRPr="00A779B8" w:rsidTr="00DB4C2D">
        <w:trPr>
          <w:trHeight w:val="416"/>
          <w:jc w:val="center"/>
        </w:trPr>
        <w:tc>
          <w:tcPr>
            <w:tcW w:w="3642" w:type="dxa"/>
            <w:tcBorders>
              <w:bottom w:val="single" w:sz="4" w:space="0" w:color="auto"/>
            </w:tcBorders>
          </w:tcPr>
          <w:p w:rsidR="002B4B8E" w:rsidRPr="00A779B8" w:rsidRDefault="002B4B8E" w:rsidP="00DB4C2D">
            <w:pPr>
              <w:spacing w:before="40" w:after="40" w:line="220" w:lineRule="atLeast"/>
              <w:rPr>
                <w:sz w:val="18"/>
                <w:szCs w:val="18"/>
                <w:lang w:val="fr-FR"/>
              </w:rPr>
            </w:pPr>
            <w:r w:rsidRPr="00A779B8">
              <w:rPr>
                <w:sz w:val="18"/>
                <w:szCs w:val="18"/>
                <w:lang w:val="fr-FR"/>
              </w:rPr>
              <w:t>Teneur en eau</w:t>
            </w:r>
          </w:p>
        </w:tc>
        <w:tc>
          <w:tcPr>
            <w:tcW w:w="1122" w:type="dxa"/>
            <w:tcBorders>
              <w:bottom w:val="single" w:sz="4" w:space="0" w:color="auto"/>
            </w:tcBorders>
          </w:tcPr>
          <w:p w:rsidR="002B4B8E" w:rsidRPr="00A779B8" w:rsidRDefault="002B4B8E" w:rsidP="00DB4C2D">
            <w:pPr>
              <w:spacing w:before="40" w:after="40" w:line="220" w:lineRule="atLeast"/>
              <w:jc w:val="center"/>
              <w:rPr>
                <w:sz w:val="18"/>
                <w:szCs w:val="18"/>
                <w:lang w:val="fr-FR"/>
              </w:rPr>
            </w:pPr>
          </w:p>
        </w:tc>
        <w:tc>
          <w:tcPr>
            <w:tcW w:w="2634" w:type="dxa"/>
            <w:gridSpan w:val="2"/>
            <w:tcBorders>
              <w:bottom w:val="single" w:sz="4" w:space="0" w:color="auto"/>
            </w:tcBorders>
            <w:tcMar>
              <w:left w:w="28" w:type="dxa"/>
              <w:right w:w="28" w:type="dxa"/>
            </w:tcMar>
            <w:vAlign w:val="center"/>
          </w:tcPr>
          <w:p w:rsidR="002B4B8E" w:rsidRPr="00A779B8" w:rsidRDefault="002B4B8E" w:rsidP="00DB4C2D">
            <w:pPr>
              <w:spacing w:before="40" w:after="40" w:line="220" w:lineRule="atLeast"/>
              <w:jc w:val="center"/>
              <w:rPr>
                <w:bCs/>
                <w:spacing w:val="-2"/>
                <w:sz w:val="18"/>
                <w:szCs w:val="18"/>
                <w:lang w:val="fr-FR"/>
              </w:rPr>
            </w:pPr>
            <w:r w:rsidRPr="00A779B8">
              <w:rPr>
                <w:bCs/>
                <w:spacing w:val="-2"/>
                <w:sz w:val="18"/>
                <w:szCs w:val="18"/>
                <w:lang w:val="fr-FR"/>
              </w:rPr>
              <w:t>Max 0,05</w:t>
            </w:r>
          </w:p>
          <w:p w:rsidR="002B4B8E" w:rsidRPr="00A779B8" w:rsidRDefault="002B4B8E" w:rsidP="00DB4C2D">
            <w:pPr>
              <w:spacing w:before="40" w:after="40" w:line="220" w:lineRule="atLeast"/>
              <w:jc w:val="center"/>
              <w:rPr>
                <w:bCs/>
                <w:sz w:val="18"/>
                <w:szCs w:val="18"/>
                <w:lang w:val="fr-FR"/>
              </w:rPr>
            </w:pPr>
            <w:r w:rsidRPr="00A779B8">
              <w:rPr>
                <w:bCs/>
                <w:spacing w:val="-2"/>
                <w:sz w:val="18"/>
                <w:szCs w:val="18"/>
                <w:lang w:val="fr-FR"/>
              </w:rPr>
              <w:t>Aspect à -7 °C: claire et brillante</w:t>
            </w:r>
          </w:p>
        </w:tc>
        <w:tc>
          <w:tcPr>
            <w:tcW w:w="2241" w:type="dxa"/>
            <w:tcBorders>
              <w:bottom w:val="single" w:sz="4" w:space="0" w:color="auto"/>
            </w:tcBorders>
            <w:vAlign w:val="center"/>
          </w:tcPr>
          <w:p w:rsidR="002B4B8E" w:rsidRPr="00A779B8" w:rsidRDefault="002B4B8E" w:rsidP="00DB4C2D">
            <w:pPr>
              <w:spacing w:before="40" w:after="40" w:line="220" w:lineRule="atLeast"/>
              <w:rPr>
                <w:bCs/>
                <w:sz w:val="18"/>
                <w:szCs w:val="18"/>
                <w:lang w:val="fr-FR"/>
              </w:rPr>
            </w:pPr>
            <w:r w:rsidRPr="00A779B8">
              <w:rPr>
                <w:bCs/>
                <w:sz w:val="18"/>
                <w:szCs w:val="18"/>
                <w:lang w:val="fr-FR"/>
              </w:rPr>
              <w:t>EN 12937</w:t>
            </w:r>
          </w:p>
        </w:tc>
      </w:tr>
      <w:tr w:rsidR="002B4B8E" w:rsidRPr="00A779B8" w:rsidTr="00DB4C2D">
        <w:trPr>
          <w:trHeight w:val="123"/>
          <w:jc w:val="center"/>
        </w:trPr>
        <w:tc>
          <w:tcPr>
            <w:tcW w:w="3642" w:type="dxa"/>
            <w:tcBorders>
              <w:bottom w:val="nil"/>
            </w:tcBorders>
          </w:tcPr>
          <w:p w:rsidR="002B4B8E" w:rsidRPr="00A779B8" w:rsidRDefault="002B4B8E" w:rsidP="00DB4C2D">
            <w:pPr>
              <w:spacing w:before="40" w:after="40" w:line="220" w:lineRule="atLeast"/>
              <w:rPr>
                <w:sz w:val="18"/>
                <w:szCs w:val="18"/>
                <w:lang w:val="fr-FR"/>
              </w:rPr>
            </w:pPr>
            <w:r w:rsidRPr="00A779B8">
              <w:rPr>
                <w:sz w:val="18"/>
                <w:szCs w:val="18"/>
                <w:lang w:val="fr-FR"/>
              </w:rPr>
              <w:t>Distillation:</w:t>
            </w:r>
          </w:p>
        </w:tc>
        <w:tc>
          <w:tcPr>
            <w:tcW w:w="1122" w:type="dxa"/>
            <w:tcBorders>
              <w:bottom w:val="nil"/>
            </w:tcBorders>
          </w:tcPr>
          <w:p w:rsidR="002B4B8E" w:rsidRPr="00A779B8" w:rsidRDefault="002B4B8E" w:rsidP="00DB4C2D">
            <w:pPr>
              <w:spacing w:before="40" w:after="40" w:line="220" w:lineRule="atLeast"/>
              <w:jc w:val="center"/>
              <w:rPr>
                <w:sz w:val="18"/>
                <w:szCs w:val="18"/>
                <w:lang w:val="fr-FR"/>
              </w:rPr>
            </w:pPr>
          </w:p>
        </w:tc>
        <w:tc>
          <w:tcPr>
            <w:tcW w:w="1317" w:type="dxa"/>
            <w:tcBorders>
              <w:bottom w:val="nil"/>
            </w:tcBorders>
          </w:tcPr>
          <w:p w:rsidR="002B4B8E" w:rsidRPr="00A779B8" w:rsidRDefault="002B4B8E" w:rsidP="00DB4C2D">
            <w:pPr>
              <w:spacing w:before="40" w:after="40" w:line="220" w:lineRule="atLeast"/>
              <w:jc w:val="center"/>
              <w:rPr>
                <w:bCs/>
                <w:sz w:val="18"/>
                <w:szCs w:val="18"/>
                <w:lang w:val="fr-FR"/>
              </w:rPr>
            </w:pPr>
          </w:p>
        </w:tc>
        <w:tc>
          <w:tcPr>
            <w:tcW w:w="1317" w:type="dxa"/>
            <w:tcBorders>
              <w:bottom w:val="nil"/>
            </w:tcBorders>
          </w:tcPr>
          <w:p w:rsidR="002B4B8E" w:rsidRPr="00A779B8" w:rsidRDefault="002B4B8E" w:rsidP="00DB4C2D">
            <w:pPr>
              <w:spacing w:before="40" w:after="40" w:line="220" w:lineRule="atLeast"/>
              <w:jc w:val="center"/>
              <w:rPr>
                <w:bCs/>
                <w:sz w:val="18"/>
                <w:szCs w:val="18"/>
                <w:lang w:val="fr-FR"/>
              </w:rPr>
            </w:pPr>
          </w:p>
        </w:tc>
        <w:tc>
          <w:tcPr>
            <w:tcW w:w="2241" w:type="dxa"/>
            <w:tcBorders>
              <w:bottom w:val="nil"/>
            </w:tcBorders>
          </w:tcPr>
          <w:p w:rsidR="002B4B8E" w:rsidRPr="00A779B8" w:rsidRDefault="002B4B8E" w:rsidP="00DB4C2D">
            <w:pPr>
              <w:spacing w:before="40" w:after="40" w:line="220" w:lineRule="atLeast"/>
              <w:rPr>
                <w:bCs/>
                <w:sz w:val="18"/>
                <w:szCs w:val="18"/>
                <w:lang w:val="fr-FR"/>
              </w:rPr>
            </w:pPr>
          </w:p>
        </w:tc>
      </w:tr>
      <w:tr w:rsidR="002B4B8E" w:rsidRPr="00A779B8" w:rsidTr="00DB4C2D">
        <w:trPr>
          <w:trHeight w:val="95"/>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40" w:after="40" w:line="220" w:lineRule="atLeast"/>
              <w:rPr>
                <w:sz w:val="18"/>
                <w:szCs w:val="18"/>
                <w:lang w:val="fr-FR"/>
              </w:rPr>
            </w:pPr>
            <w:r w:rsidRPr="00A779B8">
              <w:rPr>
                <w:sz w:val="18"/>
                <w:szCs w:val="18"/>
                <w:lang w:val="fr-FR"/>
              </w:rPr>
              <w:t>Évaporé à 70 </w:t>
            </w:r>
            <w:r w:rsidRPr="00A779B8">
              <w:rPr>
                <w:bCs/>
                <w:sz w:val="18"/>
                <w:szCs w:val="18"/>
                <w:lang w:val="fr-FR"/>
              </w:rPr>
              <w:t>°C</w:t>
            </w:r>
          </w:p>
        </w:tc>
        <w:tc>
          <w:tcPr>
            <w:tcW w:w="1122" w:type="dxa"/>
            <w:tcBorders>
              <w:top w:val="nil"/>
              <w:bottom w:val="nil"/>
            </w:tcBorders>
          </w:tcPr>
          <w:p w:rsidR="002B4B8E" w:rsidRPr="00A779B8" w:rsidRDefault="002B4B8E" w:rsidP="00DB4C2D">
            <w:pPr>
              <w:spacing w:before="40" w:after="40" w:line="220" w:lineRule="atLeast"/>
              <w:jc w:val="center"/>
              <w:rPr>
                <w:sz w:val="18"/>
                <w:szCs w:val="18"/>
                <w:lang w:val="fr-FR"/>
              </w:rPr>
            </w:pPr>
            <w:r w:rsidRPr="00A779B8">
              <w:rPr>
                <w:sz w:val="18"/>
                <w:szCs w:val="18"/>
                <w:lang w:val="fr-FR"/>
              </w:rPr>
              <w:t>% v/v</w:t>
            </w:r>
          </w:p>
        </w:tc>
        <w:tc>
          <w:tcPr>
            <w:tcW w:w="1317" w:type="dxa"/>
            <w:tcBorders>
              <w:top w:val="nil"/>
              <w:bottom w:val="nil"/>
            </w:tcBorders>
          </w:tcPr>
          <w:p w:rsidR="002B4B8E" w:rsidRPr="00A779B8" w:rsidRDefault="002B4B8E" w:rsidP="00DB4C2D">
            <w:pPr>
              <w:spacing w:before="40" w:after="40" w:line="220" w:lineRule="atLeast"/>
              <w:jc w:val="center"/>
              <w:rPr>
                <w:bCs/>
                <w:strike/>
                <w:sz w:val="18"/>
                <w:szCs w:val="18"/>
                <w:lang w:val="fr-FR"/>
              </w:rPr>
            </w:pPr>
            <w:r w:rsidRPr="00A779B8">
              <w:rPr>
                <w:bCs/>
                <w:sz w:val="18"/>
                <w:szCs w:val="18"/>
                <w:lang w:val="fr-FR"/>
              </w:rPr>
              <w:t>34,0</w:t>
            </w:r>
          </w:p>
        </w:tc>
        <w:tc>
          <w:tcPr>
            <w:tcW w:w="1317" w:type="dxa"/>
            <w:tcBorders>
              <w:top w:val="nil"/>
              <w:bottom w:val="nil"/>
            </w:tcBorders>
          </w:tcPr>
          <w:p w:rsidR="002B4B8E" w:rsidRPr="00A779B8" w:rsidRDefault="002B4B8E" w:rsidP="00DB4C2D">
            <w:pPr>
              <w:spacing w:before="40" w:after="40" w:line="220" w:lineRule="atLeast"/>
              <w:jc w:val="center"/>
              <w:rPr>
                <w:bCs/>
                <w:strike/>
                <w:sz w:val="18"/>
                <w:szCs w:val="18"/>
                <w:lang w:val="fr-FR"/>
              </w:rPr>
            </w:pPr>
            <w:r w:rsidRPr="00A779B8">
              <w:rPr>
                <w:bCs/>
                <w:sz w:val="18"/>
                <w:szCs w:val="18"/>
                <w:lang w:val="fr-FR"/>
              </w:rPr>
              <w:t>46,0</w:t>
            </w:r>
          </w:p>
        </w:tc>
        <w:tc>
          <w:tcPr>
            <w:tcW w:w="2241" w:type="dxa"/>
            <w:tcBorders>
              <w:top w:val="nil"/>
              <w:bottom w:val="nil"/>
            </w:tcBorders>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3405</w:t>
            </w:r>
          </w:p>
        </w:tc>
      </w:tr>
      <w:tr w:rsidR="002B4B8E" w:rsidRPr="00A779B8" w:rsidTr="00DB4C2D">
        <w:trPr>
          <w:trHeight w:val="85"/>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40" w:after="40" w:line="220" w:lineRule="atLeast"/>
              <w:rPr>
                <w:sz w:val="18"/>
                <w:szCs w:val="18"/>
                <w:lang w:val="fr-FR"/>
              </w:rPr>
            </w:pPr>
            <w:r w:rsidRPr="00A779B8">
              <w:rPr>
                <w:sz w:val="18"/>
                <w:szCs w:val="18"/>
                <w:lang w:val="fr-FR"/>
              </w:rPr>
              <w:t>Évaporé à 100 </w:t>
            </w:r>
            <w:r w:rsidRPr="00A779B8">
              <w:rPr>
                <w:bCs/>
                <w:sz w:val="18"/>
                <w:szCs w:val="18"/>
                <w:lang w:val="fr-FR"/>
              </w:rPr>
              <w:t>°C</w:t>
            </w:r>
          </w:p>
        </w:tc>
        <w:tc>
          <w:tcPr>
            <w:tcW w:w="1122" w:type="dxa"/>
            <w:tcBorders>
              <w:top w:val="nil"/>
              <w:bottom w:val="nil"/>
            </w:tcBorders>
          </w:tcPr>
          <w:p w:rsidR="002B4B8E" w:rsidRPr="00A779B8" w:rsidRDefault="002B4B8E" w:rsidP="00DB4C2D">
            <w:pPr>
              <w:spacing w:before="40" w:after="40" w:line="220" w:lineRule="atLeast"/>
              <w:jc w:val="center"/>
              <w:rPr>
                <w:sz w:val="18"/>
                <w:szCs w:val="18"/>
                <w:lang w:val="fr-FR"/>
              </w:rPr>
            </w:pPr>
            <w:r w:rsidRPr="00A779B8">
              <w:rPr>
                <w:sz w:val="18"/>
                <w:szCs w:val="18"/>
                <w:lang w:val="fr-FR"/>
              </w:rPr>
              <w:t>% v/v</w:t>
            </w:r>
          </w:p>
        </w:tc>
        <w:tc>
          <w:tcPr>
            <w:tcW w:w="1317" w:type="dxa"/>
            <w:tcBorders>
              <w:top w:val="nil"/>
              <w:bottom w:val="nil"/>
            </w:tcBorders>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54,0</w:t>
            </w:r>
          </w:p>
        </w:tc>
        <w:tc>
          <w:tcPr>
            <w:tcW w:w="1317" w:type="dxa"/>
            <w:tcBorders>
              <w:top w:val="nil"/>
              <w:bottom w:val="nil"/>
            </w:tcBorders>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62,0</w:t>
            </w:r>
          </w:p>
        </w:tc>
        <w:tc>
          <w:tcPr>
            <w:tcW w:w="2241" w:type="dxa"/>
            <w:tcBorders>
              <w:top w:val="nil"/>
              <w:bottom w:val="nil"/>
            </w:tcBorders>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3405</w:t>
            </w:r>
          </w:p>
        </w:tc>
      </w:tr>
      <w:tr w:rsidR="002B4B8E" w:rsidRPr="00A779B8" w:rsidTr="00DB4C2D">
        <w:trPr>
          <w:trHeight w:val="85"/>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40" w:after="40" w:line="220" w:lineRule="atLeast"/>
              <w:rPr>
                <w:sz w:val="18"/>
                <w:szCs w:val="18"/>
                <w:lang w:val="fr-FR"/>
              </w:rPr>
            </w:pPr>
            <w:r w:rsidRPr="00A779B8">
              <w:rPr>
                <w:sz w:val="18"/>
                <w:szCs w:val="18"/>
                <w:lang w:val="fr-FR"/>
              </w:rPr>
              <w:t>Évaporé à 150 </w:t>
            </w:r>
            <w:r w:rsidRPr="00A779B8">
              <w:rPr>
                <w:bCs/>
                <w:sz w:val="18"/>
                <w:szCs w:val="18"/>
                <w:lang w:val="fr-FR"/>
              </w:rPr>
              <w:t>°C</w:t>
            </w:r>
          </w:p>
        </w:tc>
        <w:tc>
          <w:tcPr>
            <w:tcW w:w="1122" w:type="dxa"/>
            <w:tcBorders>
              <w:top w:val="nil"/>
              <w:bottom w:val="nil"/>
            </w:tcBorders>
          </w:tcPr>
          <w:p w:rsidR="002B4B8E" w:rsidRPr="00A779B8" w:rsidRDefault="002B4B8E" w:rsidP="00DB4C2D">
            <w:pPr>
              <w:spacing w:before="40" w:after="40" w:line="220" w:lineRule="atLeast"/>
              <w:jc w:val="center"/>
              <w:rPr>
                <w:sz w:val="18"/>
                <w:szCs w:val="18"/>
                <w:lang w:val="fr-FR"/>
              </w:rPr>
            </w:pPr>
            <w:r w:rsidRPr="00A779B8">
              <w:rPr>
                <w:sz w:val="18"/>
                <w:szCs w:val="18"/>
                <w:lang w:val="fr-FR"/>
              </w:rPr>
              <w:t>% v/v</w:t>
            </w:r>
          </w:p>
        </w:tc>
        <w:tc>
          <w:tcPr>
            <w:tcW w:w="1317" w:type="dxa"/>
            <w:tcBorders>
              <w:top w:val="nil"/>
              <w:bottom w:val="nil"/>
            </w:tcBorders>
          </w:tcPr>
          <w:p w:rsidR="002B4B8E" w:rsidRPr="00A779B8" w:rsidRDefault="002B4B8E" w:rsidP="00DB4C2D">
            <w:pPr>
              <w:spacing w:before="40" w:after="40" w:line="220" w:lineRule="atLeast"/>
              <w:jc w:val="center"/>
              <w:rPr>
                <w:bCs/>
                <w:strike/>
                <w:sz w:val="18"/>
                <w:szCs w:val="18"/>
                <w:lang w:val="fr-FR"/>
              </w:rPr>
            </w:pPr>
            <w:r w:rsidRPr="00A779B8">
              <w:rPr>
                <w:bCs/>
                <w:sz w:val="18"/>
                <w:szCs w:val="18"/>
                <w:lang w:val="fr-FR"/>
              </w:rPr>
              <w:t>86,0</w:t>
            </w:r>
          </w:p>
        </w:tc>
        <w:tc>
          <w:tcPr>
            <w:tcW w:w="1317" w:type="dxa"/>
            <w:tcBorders>
              <w:top w:val="nil"/>
              <w:bottom w:val="nil"/>
            </w:tcBorders>
          </w:tcPr>
          <w:p w:rsidR="002B4B8E" w:rsidRPr="00A779B8" w:rsidRDefault="002B4B8E" w:rsidP="00DB4C2D">
            <w:pPr>
              <w:spacing w:before="40" w:after="40" w:line="220" w:lineRule="atLeast"/>
              <w:jc w:val="center"/>
              <w:rPr>
                <w:bCs/>
                <w:strike/>
                <w:sz w:val="18"/>
                <w:szCs w:val="18"/>
                <w:lang w:val="fr-FR"/>
              </w:rPr>
            </w:pPr>
            <w:r w:rsidRPr="00A779B8">
              <w:rPr>
                <w:bCs/>
                <w:sz w:val="18"/>
                <w:szCs w:val="18"/>
                <w:lang w:val="fr-FR"/>
              </w:rPr>
              <w:t>94,0</w:t>
            </w:r>
          </w:p>
        </w:tc>
        <w:tc>
          <w:tcPr>
            <w:tcW w:w="2241" w:type="dxa"/>
            <w:tcBorders>
              <w:top w:val="nil"/>
              <w:bottom w:val="nil"/>
            </w:tcBorders>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3405</w:t>
            </w:r>
          </w:p>
        </w:tc>
      </w:tr>
      <w:tr w:rsidR="002B4B8E" w:rsidRPr="00A779B8" w:rsidTr="00DB4C2D">
        <w:trPr>
          <w:trHeight w:val="85"/>
          <w:jc w:val="center"/>
        </w:trPr>
        <w:tc>
          <w:tcPr>
            <w:tcW w:w="3642" w:type="dxa"/>
            <w:tcBorders>
              <w:top w:val="nil"/>
            </w:tcBorders>
          </w:tcPr>
          <w:p w:rsidR="002B4B8E" w:rsidRPr="00A779B8" w:rsidRDefault="002B4B8E" w:rsidP="002B4B8E">
            <w:pPr>
              <w:numPr>
                <w:ilvl w:val="0"/>
                <w:numId w:val="9"/>
              </w:numPr>
              <w:kinsoku/>
              <w:overflowPunct/>
              <w:autoSpaceDE/>
              <w:autoSpaceDN/>
              <w:adjustRightInd/>
              <w:snapToGrid/>
              <w:spacing w:before="40" w:after="40" w:line="220" w:lineRule="atLeast"/>
              <w:rPr>
                <w:sz w:val="18"/>
                <w:szCs w:val="18"/>
                <w:lang w:val="fr-FR"/>
              </w:rPr>
            </w:pPr>
            <w:r w:rsidRPr="00A779B8">
              <w:rPr>
                <w:sz w:val="18"/>
                <w:szCs w:val="18"/>
                <w:lang w:val="fr-FR"/>
              </w:rPr>
              <w:t>Point d</w:t>
            </w:r>
            <w:r w:rsidR="00DB4C2D">
              <w:rPr>
                <w:sz w:val="18"/>
                <w:szCs w:val="18"/>
                <w:lang w:val="fr-FR"/>
              </w:rPr>
              <w:t>’</w:t>
            </w:r>
            <w:r w:rsidRPr="00A779B8">
              <w:rPr>
                <w:sz w:val="18"/>
                <w:szCs w:val="18"/>
                <w:lang w:val="fr-FR"/>
              </w:rPr>
              <w:t>ébullition final</w:t>
            </w:r>
          </w:p>
        </w:tc>
        <w:tc>
          <w:tcPr>
            <w:tcW w:w="1122" w:type="dxa"/>
            <w:tcBorders>
              <w:top w:val="nil"/>
            </w:tcBorders>
          </w:tcPr>
          <w:p w:rsidR="002B4B8E" w:rsidRPr="00A779B8" w:rsidRDefault="002B4B8E" w:rsidP="00DB4C2D">
            <w:pPr>
              <w:spacing w:before="40" w:after="40" w:line="220" w:lineRule="atLeast"/>
              <w:jc w:val="center"/>
              <w:rPr>
                <w:sz w:val="18"/>
                <w:szCs w:val="18"/>
                <w:lang w:val="fr-FR"/>
              </w:rPr>
            </w:pPr>
            <w:r w:rsidRPr="00A779B8">
              <w:rPr>
                <w:sz w:val="18"/>
                <w:szCs w:val="18"/>
                <w:lang w:val="fr-FR"/>
              </w:rPr>
              <w:t>°C</w:t>
            </w:r>
          </w:p>
        </w:tc>
        <w:tc>
          <w:tcPr>
            <w:tcW w:w="1317" w:type="dxa"/>
            <w:tcBorders>
              <w:top w:val="nil"/>
            </w:tcBorders>
          </w:tcPr>
          <w:p w:rsidR="002B4B8E" w:rsidRPr="00A779B8" w:rsidRDefault="002B4B8E" w:rsidP="00DB4C2D">
            <w:pPr>
              <w:spacing w:before="40" w:after="40" w:line="220" w:lineRule="atLeast"/>
              <w:jc w:val="center"/>
              <w:rPr>
                <w:bCs/>
                <w:strike/>
                <w:sz w:val="18"/>
                <w:szCs w:val="18"/>
                <w:lang w:val="fr-FR"/>
              </w:rPr>
            </w:pPr>
            <w:r w:rsidRPr="00A779B8">
              <w:rPr>
                <w:bCs/>
                <w:sz w:val="18"/>
                <w:szCs w:val="18"/>
                <w:lang w:val="fr-FR"/>
              </w:rPr>
              <w:t>170</w:t>
            </w:r>
          </w:p>
        </w:tc>
        <w:tc>
          <w:tcPr>
            <w:tcW w:w="1317" w:type="dxa"/>
            <w:tcBorders>
              <w:top w:val="nil"/>
            </w:tcBorders>
          </w:tcPr>
          <w:p w:rsidR="002B4B8E" w:rsidRPr="00A779B8" w:rsidRDefault="002B4B8E" w:rsidP="00DB4C2D">
            <w:pPr>
              <w:spacing w:before="40" w:after="40" w:line="220" w:lineRule="atLeast"/>
              <w:jc w:val="center"/>
              <w:rPr>
                <w:bCs/>
                <w:strike/>
                <w:sz w:val="18"/>
                <w:szCs w:val="18"/>
                <w:lang w:val="fr-FR"/>
              </w:rPr>
            </w:pPr>
            <w:r w:rsidRPr="00A779B8">
              <w:rPr>
                <w:bCs/>
                <w:sz w:val="18"/>
                <w:szCs w:val="18"/>
                <w:lang w:val="fr-FR"/>
              </w:rPr>
              <w:t>195</w:t>
            </w:r>
          </w:p>
        </w:tc>
        <w:tc>
          <w:tcPr>
            <w:tcW w:w="2241" w:type="dxa"/>
            <w:tcBorders>
              <w:top w:val="nil"/>
            </w:tcBorders>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3405</w:t>
            </w:r>
          </w:p>
        </w:tc>
      </w:tr>
      <w:tr w:rsidR="002B4B8E" w:rsidRPr="00A779B8" w:rsidTr="00DB4C2D">
        <w:trPr>
          <w:trHeight w:val="85"/>
          <w:jc w:val="center"/>
        </w:trPr>
        <w:tc>
          <w:tcPr>
            <w:tcW w:w="3642" w:type="dxa"/>
            <w:tcBorders>
              <w:bottom w:val="single" w:sz="4" w:space="0" w:color="auto"/>
            </w:tcBorders>
          </w:tcPr>
          <w:p w:rsidR="002B4B8E" w:rsidRPr="00A779B8" w:rsidRDefault="002B4B8E" w:rsidP="00DB4C2D">
            <w:pPr>
              <w:spacing w:before="40" w:after="40" w:line="220" w:lineRule="atLeast"/>
              <w:rPr>
                <w:sz w:val="18"/>
                <w:szCs w:val="18"/>
                <w:lang w:val="fr-FR"/>
              </w:rPr>
            </w:pPr>
            <w:r w:rsidRPr="00A779B8">
              <w:rPr>
                <w:sz w:val="18"/>
                <w:szCs w:val="18"/>
                <w:lang w:val="fr-FR"/>
              </w:rPr>
              <w:t>Résidus</w:t>
            </w:r>
          </w:p>
        </w:tc>
        <w:tc>
          <w:tcPr>
            <w:tcW w:w="1122" w:type="dxa"/>
            <w:tcBorders>
              <w:bottom w:val="single" w:sz="4" w:space="0" w:color="auto"/>
            </w:tcBorders>
          </w:tcPr>
          <w:p w:rsidR="002B4B8E" w:rsidRPr="00A779B8" w:rsidRDefault="002B4B8E" w:rsidP="00DB4C2D">
            <w:pPr>
              <w:spacing w:before="40" w:after="40" w:line="220" w:lineRule="atLeast"/>
              <w:jc w:val="center"/>
              <w:rPr>
                <w:sz w:val="18"/>
                <w:szCs w:val="18"/>
                <w:lang w:val="fr-FR"/>
              </w:rPr>
            </w:pPr>
            <w:r w:rsidRPr="00A779B8">
              <w:rPr>
                <w:sz w:val="18"/>
                <w:szCs w:val="18"/>
                <w:lang w:val="fr-FR"/>
              </w:rPr>
              <w:t>% v/v</w:t>
            </w:r>
          </w:p>
        </w:tc>
        <w:tc>
          <w:tcPr>
            <w:tcW w:w="1317" w:type="dxa"/>
            <w:tcBorders>
              <w:bottom w:val="single" w:sz="4" w:space="0" w:color="auto"/>
            </w:tcBorders>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w:t>
            </w:r>
          </w:p>
        </w:tc>
        <w:tc>
          <w:tcPr>
            <w:tcW w:w="1317" w:type="dxa"/>
            <w:tcBorders>
              <w:bottom w:val="single" w:sz="4" w:space="0" w:color="auto"/>
            </w:tcBorders>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2,0</w:t>
            </w:r>
          </w:p>
        </w:tc>
        <w:tc>
          <w:tcPr>
            <w:tcW w:w="2241" w:type="dxa"/>
            <w:tcBorders>
              <w:bottom w:val="single" w:sz="4" w:space="0" w:color="auto"/>
            </w:tcBorders>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3405</w:t>
            </w:r>
          </w:p>
        </w:tc>
      </w:tr>
      <w:tr w:rsidR="002B4B8E" w:rsidRPr="00A779B8" w:rsidTr="00DB4C2D">
        <w:trPr>
          <w:trHeight w:val="114"/>
          <w:jc w:val="center"/>
        </w:trPr>
        <w:tc>
          <w:tcPr>
            <w:tcW w:w="3642" w:type="dxa"/>
            <w:tcBorders>
              <w:bottom w:val="nil"/>
            </w:tcBorders>
          </w:tcPr>
          <w:p w:rsidR="002B4B8E" w:rsidRPr="00A779B8" w:rsidRDefault="002B4B8E" w:rsidP="00DB4C2D">
            <w:pPr>
              <w:spacing w:before="40" w:after="40" w:line="220" w:lineRule="atLeast"/>
              <w:rPr>
                <w:sz w:val="18"/>
                <w:szCs w:val="18"/>
                <w:lang w:val="fr-FR"/>
              </w:rPr>
            </w:pPr>
            <w:r w:rsidRPr="00A779B8">
              <w:rPr>
                <w:sz w:val="18"/>
                <w:szCs w:val="18"/>
                <w:lang w:val="fr-FR"/>
              </w:rPr>
              <w:t>Analyse des hydrocarbures:</w:t>
            </w:r>
          </w:p>
        </w:tc>
        <w:tc>
          <w:tcPr>
            <w:tcW w:w="1122" w:type="dxa"/>
            <w:tcBorders>
              <w:bottom w:val="nil"/>
            </w:tcBorders>
          </w:tcPr>
          <w:p w:rsidR="002B4B8E" w:rsidRPr="00A779B8" w:rsidRDefault="002B4B8E" w:rsidP="00DB4C2D">
            <w:pPr>
              <w:spacing w:before="40" w:after="40" w:line="220" w:lineRule="atLeast"/>
              <w:jc w:val="center"/>
              <w:rPr>
                <w:sz w:val="18"/>
                <w:szCs w:val="18"/>
                <w:lang w:val="fr-FR"/>
              </w:rPr>
            </w:pPr>
          </w:p>
        </w:tc>
        <w:tc>
          <w:tcPr>
            <w:tcW w:w="1317" w:type="dxa"/>
            <w:tcBorders>
              <w:bottom w:val="nil"/>
            </w:tcBorders>
          </w:tcPr>
          <w:p w:rsidR="002B4B8E" w:rsidRPr="00A779B8" w:rsidRDefault="002B4B8E" w:rsidP="00DB4C2D">
            <w:pPr>
              <w:spacing w:before="40" w:after="40" w:line="220" w:lineRule="atLeast"/>
              <w:jc w:val="center"/>
              <w:rPr>
                <w:bCs/>
                <w:sz w:val="18"/>
                <w:szCs w:val="18"/>
                <w:lang w:val="fr-FR"/>
              </w:rPr>
            </w:pPr>
          </w:p>
        </w:tc>
        <w:tc>
          <w:tcPr>
            <w:tcW w:w="1317" w:type="dxa"/>
            <w:tcBorders>
              <w:bottom w:val="nil"/>
            </w:tcBorders>
          </w:tcPr>
          <w:p w:rsidR="002B4B8E" w:rsidRPr="00A779B8" w:rsidRDefault="002B4B8E" w:rsidP="00DB4C2D">
            <w:pPr>
              <w:spacing w:before="40" w:after="40" w:line="220" w:lineRule="atLeast"/>
              <w:jc w:val="center"/>
              <w:rPr>
                <w:bCs/>
                <w:sz w:val="18"/>
                <w:szCs w:val="18"/>
                <w:lang w:val="fr-FR"/>
              </w:rPr>
            </w:pPr>
          </w:p>
        </w:tc>
        <w:tc>
          <w:tcPr>
            <w:tcW w:w="2241" w:type="dxa"/>
            <w:tcBorders>
              <w:bottom w:val="nil"/>
            </w:tcBorders>
          </w:tcPr>
          <w:p w:rsidR="002B4B8E" w:rsidRPr="00A779B8" w:rsidRDefault="002B4B8E" w:rsidP="00DB4C2D">
            <w:pPr>
              <w:spacing w:before="40" w:after="40" w:line="220" w:lineRule="atLeast"/>
              <w:rPr>
                <w:bCs/>
                <w:sz w:val="18"/>
                <w:szCs w:val="18"/>
                <w:lang w:val="fr-FR"/>
              </w:rPr>
            </w:pPr>
          </w:p>
        </w:tc>
      </w:tr>
      <w:tr w:rsidR="002B4B8E" w:rsidRPr="00A779B8" w:rsidTr="00DB4C2D">
        <w:trPr>
          <w:trHeight w:val="95"/>
          <w:jc w:val="center"/>
        </w:trPr>
        <w:tc>
          <w:tcPr>
            <w:tcW w:w="3642" w:type="dxa"/>
            <w:tcBorders>
              <w:top w:val="nil"/>
              <w:bottom w:val="nil"/>
            </w:tcBorders>
          </w:tcPr>
          <w:p w:rsidR="002B4B8E" w:rsidRPr="00A779B8" w:rsidRDefault="002B4B8E" w:rsidP="002B4B8E">
            <w:pPr>
              <w:numPr>
                <w:ilvl w:val="0"/>
                <w:numId w:val="9"/>
              </w:numPr>
              <w:kinsoku/>
              <w:overflowPunct/>
              <w:autoSpaceDE/>
              <w:autoSpaceDN/>
              <w:adjustRightInd/>
              <w:snapToGrid/>
              <w:spacing w:before="40" w:after="40" w:line="220" w:lineRule="atLeast"/>
              <w:rPr>
                <w:sz w:val="18"/>
                <w:szCs w:val="18"/>
                <w:lang w:val="fr-FR"/>
              </w:rPr>
            </w:pPr>
            <w:r w:rsidRPr="00A779B8">
              <w:rPr>
                <w:sz w:val="18"/>
                <w:szCs w:val="18"/>
                <w:lang w:val="fr-FR"/>
              </w:rPr>
              <w:t>Oléfines</w:t>
            </w:r>
          </w:p>
        </w:tc>
        <w:tc>
          <w:tcPr>
            <w:tcW w:w="1122" w:type="dxa"/>
            <w:tcBorders>
              <w:top w:val="nil"/>
              <w:bottom w:val="nil"/>
            </w:tcBorders>
          </w:tcPr>
          <w:p w:rsidR="002B4B8E" w:rsidRPr="00A779B8" w:rsidRDefault="002B4B8E" w:rsidP="00DB4C2D">
            <w:pPr>
              <w:spacing w:before="40" w:after="40" w:line="220" w:lineRule="atLeast"/>
              <w:jc w:val="center"/>
              <w:rPr>
                <w:sz w:val="18"/>
                <w:szCs w:val="18"/>
                <w:lang w:val="fr-FR"/>
              </w:rPr>
            </w:pPr>
            <w:r w:rsidRPr="00A779B8">
              <w:rPr>
                <w:sz w:val="18"/>
                <w:szCs w:val="18"/>
                <w:lang w:val="fr-FR"/>
              </w:rPr>
              <w:t>% v/v</w:t>
            </w:r>
          </w:p>
        </w:tc>
        <w:tc>
          <w:tcPr>
            <w:tcW w:w="1317" w:type="dxa"/>
            <w:tcBorders>
              <w:top w:val="nil"/>
              <w:bottom w:val="nil"/>
            </w:tcBorders>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6,0</w:t>
            </w:r>
          </w:p>
        </w:tc>
        <w:tc>
          <w:tcPr>
            <w:tcW w:w="1317" w:type="dxa"/>
            <w:tcBorders>
              <w:top w:val="nil"/>
              <w:bottom w:val="nil"/>
            </w:tcBorders>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 xml:space="preserve">13,0 </w:t>
            </w:r>
          </w:p>
        </w:tc>
        <w:tc>
          <w:tcPr>
            <w:tcW w:w="2241" w:type="dxa"/>
            <w:tcBorders>
              <w:top w:val="nil"/>
              <w:bottom w:val="nil"/>
            </w:tcBorders>
          </w:tcPr>
          <w:p w:rsidR="002B4B8E" w:rsidRPr="00A779B8" w:rsidRDefault="002B4B8E" w:rsidP="00DB4C2D">
            <w:pPr>
              <w:spacing w:before="40" w:after="40" w:line="220" w:lineRule="atLeast"/>
              <w:rPr>
                <w:bCs/>
                <w:sz w:val="18"/>
                <w:szCs w:val="18"/>
                <w:lang w:val="fr-FR"/>
              </w:rPr>
            </w:pPr>
            <w:r w:rsidRPr="00A779B8">
              <w:rPr>
                <w:bCs/>
                <w:sz w:val="18"/>
                <w:szCs w:val="18"/>
                <w:lang w:val="fr-FR"/>
              </w:rPr>
              <w:t>EN 22854</w:t>
            </w:r>
          </w:p>
        </w:tc>
      </w:tr>
      <w:tr w:rsidR="002B4B8E" w:rsidRPr="00A779B8" w:rsidTr="00DB4C2D">
        <w:trPr>
          <w:trHeight w:val="85"/>
          <w:jc w:val="center"/>
        </w:trPr>
        <w:tc>
          <w:tcPr>
            <w:tcW w:w="3642" w:type="dxa"/>
            <w:tcBorders>
              <w:top w:val="nil"/>
              <w:bottom w:val="single" w:sz="4" w:space="0" w:color="auto"/>
            </w:tcBorders>
          </w:tcPr>
          <w:p w:rsidR="002B4B8E" w:rsidRPr="00A779B8" w:rsidRDefault="002B4B8E" w:rsidP="002B4B8E">
            <w:pPr>
              <w:numPr>
                <w:ilvl w:val="0"/>
                <w:numId w:val="9"/>
              </w:numPr>
              <w:kinsoku/>
              <w:overflowPunct/>
              <w:autoSpaceDE/>
              <w:autoSpaceDN/>
              <w:adjustRightInd/>
              <w:snapToGrid/>
              <w:spacing w:before="40" w:after="40" w:line="220" w:lineRule="atLeast"/>
              <w:rPr>
                <w:sz w:val="18"/>
                <w:szCs w:val="18"/>
                <w:lang w:val="fr-FR"/>
              </w:rPr>
            </w:pPr>
            <w:r w:rsidRPr="00A779B8">
              <w:rPr>
                <w:sz w:val="18"/>
                <w:szCs w:val="18"/>
                <w:lang w:val="fr-FR"/>
              </w:rPr>
              <w:t>Aromatiques</w:t>
            </w:r>
          </w:p>
        </w:tc>
        <w:tc>
          <w:tcPr>
            <w:tcW w:w="1122" w:type="dxa"/>
            <w:tcBorders>
              <w:top w:val="nil"/>
              <w:bottom w:val="single" w:sz="4" w:space="0" w:color="auto"/>
            </w:tcBorders>
          </w:tcPr>
          <w:p w:rsidR="002B4B8E" w:rsidRPr="00A779B8" w:rsidRDefault="002B4B8E" w:rsidP="00DB4C2D">
            <w:pPr>
              <w:spacing w:before="40" w:after="40" w:line="220" w:lineRule="atLeast"/>
              <w:jc w:val="center"/>
              <w:rPr>
                <w:sz w:val="18"/>
                <w:szCs w:val="18"/>
                <w:lang w:val="fr-FR"/>
              </w:rPr>
            </w:pPr>
            <w:r w:rsidRPr="00A779B8">
              <w:rPr>
                <w:sz w:val="18"/>
                <w:szCs w:val="18"/>
                <w:lang w:val="fr-FR"/>
              </w:rPr>
              <w:t>% v/v</w:t>
            </w:r>
          </w:p>
        </w:tc>
        <w:tc>
          <w:tcPr>
            <w:tcW w:w="1317" w:type="dxa"/>
            <w:tcBorders>
              <w:top w:val="nil"/>
              <w:bottom w:val="single" w:sz="4" w:space="0" w:color="auto"/>
            </w:tcBorders>
          </w:tcPr>
          <w:p w:rsidR="002B4B8E" w:rsidRPr="00A779B8" w:rsidRDefault="002B4B8E" w:rsidP="00DB4C2D">
            <w:pPr>
              <w:spacing w:before="40" w:after="40" w:line="220" w:lineRule="atLeast"/>
              <w:jc w:val="center"/>
              <w:rPr>
                <w:bCs/>
                <w:strike/>
                <w:sz w:val="18"/>
                <w:szCs w:val="18"/>
                <w:lang w:val="fr-FR"/>
              </w:rPr>
            </w:pPr>
            <w:r w:rsidRPr="00A779B8">
              <w:rPr>
                <w:bCs/>
                <w:sz w:val="18"/>
                <w:szCs w:val="18"/>
                <w:lang w:val="fr-FR"/>
              </w:rPr>
              <w:t>25,0</w:t>
            </w:r>
          </w:p>
        </w:tc>
        <w:tc>
          <w:tcPr>
            <w:tcW w:w="1317" w:type="dxa"/>
            <w:tcBorders>
              <w:top w:val="nil"/>
              <w:bottom w:val="single" w:sz="4" w:space="0" w:color="auto"/>
            </w:tcBorders>
          </w:tcPr>
          <w:p w:rsidR="002B4B8E" w:rsidRPr="00A779B8" w:rsidRDefault="002B4B8E" w:rsidP="00DB4C2D">
            <w:pPr>
              <w:spacing w:before="40" w:after="40" w:line="220" w:lineRule="atLeast"/>
              <w:jc w:val="center"/>
              <w:rPr>
                <w:bCs/>
                <w:strike/>
                <w:sz w:val="18"/>
                <w:szCs w:val="18"/>
                <w:lang w:val="fr-FR"/>
              </w:rPr>
            </w:pPr>
            <w:r w:rsidRPr="00A779B8">
              <w:rPr>
                <w:bCs/>
                <w:sz w:val="18"/>
                <w:szCs w:val="18"/>
                <w:lang w:val="fr-FR"/>
              </w:rPr>
              <w:t>32,0</w:t>
            </w:r>
          </w:p>
        </w:tc>
        <w:tc>
          <w:tcPr>
            <w:tcW w:w="2241" w:type="dxa"/>
            <w:tcBorders>
              <w:top w:val="nil"/>
              <w:bottom w:val="single" w:sz="4" w:space="0" w:color="auto"/>
            </w:tcBorders>
          </w:tcPr>
          <w:p w:rsidR="002B4B8E" w:rsidRPr="00A779B8" w:rsidRDefault="002B4B8E" w:rsidP="00DB4C2D">
            <w:pPr>
              <w:spacing w:before="40" w:after="40" w:line="220" w:lineRule="atLeast"/>
              <w:rPr>
                <w:bCs/>
                <w:sz w:val="18"/>
                <w:szCs w:val="18"/>
                <w:lang w:val="fr-FR"/>
              </w:rPr>
            </w:pPr>
            <w:r w:rsidRPr="00A779B8">
              <w:rPr>
                <w:bCs/>
                <w:sz w:val="18"/>
                <w:szCs w:val="18"/>
                <w:lang w:val="fr-FR"/>
              </w:rPr>
              <w:t>EN 22854</w:t>
            </w:r>
          </w:p>
        </w:tc>
      </w:tr>
      <w:tr w:rsidR="002B4B8E" w:rsidRPr="00A779B8" w:rsidTr="00DB4C2D">
        <w:trPr>
          <w:trHeight w:val="85"/>
          <w:jc w:val="center"/>
        </w:trPr>
        <w:tc>
          <w:tcPr>
            <w:tcW w:w="3642" w:type="dxa"/>
            <w:tcBorders>
              <w:top w:val="single" w:sz="4" w:space="0" w:color="auto"/>
              <w:bottom w:val="nil"/>
            </w:tcBorders>
          </w:tcPr>
          <w:p w:rsidR="002B4B8E" w:rsidRPr="00A779B8" w:rsidRDefault="002B4B8E" w:rsidP="002B4B8E">
            <w:pPr>
              <w:numPr>
                <w:ilvl w:val="0"/>
                <w:numId w:val="9"/>
              </w:numPr>
              <w:kinsoku/>
              <w:overflowPunct/>
              <w:autoSpaceDE/>
              <w:autoSpaceDN/>
              <w:adjustRightInd/>
              <w:snapToGrid/>
              <w:spacing w:before="40" w:after="40" w:line="220" w:lineRule="atLeast"/>
              <w:rPr>
                <w:sz w:val="18"/>
                <w:szCs w:val="18"/>
                <w:lang w:val="fr-FR"/>
              </w:rPr>
            </w:pPr>
            <w:r w:rsidRPr="00A779B8">
              <w:rPr>
                <w:sz w:val="18"/>
                <w:szCs w:val="18"/>
                <w:lang w:val="fr-FR"/>
              </w:rPr>
              <w:lastRenderedPageBreak/>
              <w:t>Benzène</w:t>
            </w:r>
          </w:p>
        </w:tc>
        <w:tc>
          <w:tcPr>
            <w:tcW w:w="1122" w:type="dxa"/>
            <w:tcBorders>
              <w:top w:val="single" w:sz="4" w:space="0" w:color="auto"/>
              <w:bottom w:val="nil"/>
            </w:tcBorders>
          </w:tcPr>
          <w:p w:rsidR="002B4B8E" w:rsidRPr="00A779B8" w:rsidRDefault="002B4B8E" w:rsidP="00DB4C2D">
            <w:pPr>
              <w:spacing w:before="40" w:after="40" w:line="220" w:lineRule="atLeast"/>
              <w:jc w:val="center"/>
              <w:rPr>
                <w:sz w:val="18"/>
                <w:szCs w:val="18"/>
                <w:lang w:val="fr-FR"/>
              </w:rPr>
            </w:pPr>
            <w:r w:rsidRPr="00A779B8">
              <w:rPr>
                <w:sz w:val="18"/>
                <w:szCs w:val="18"/>
                <w:lang w:val="fr-FR"/>
              </w:rPr>
              <w:t>% v/v</w:t>
            </w:r>
          </w:p>
        </w:tc>
        <w:tc>
          <w:tcPr>
            <w:tcW w:w="1317" w:type="dxa"/>
            <w:tcBorders>
              <w:top w:val="single" w:sz="4" w:space="0" w:color="auto"/>
              <w:bottom w:val="nil"/>
            </w:tcBorders>
          </w:tcPr>
          <w:p w:rsidR="002B4B8E" w:rsidRPr="00A779B8" w:rsidRDefault="002B4B8E" w:rsidP="00DB4C2D">
            <w:pPr>
              <w:spacing w:before="40" w:after="40" w:line="220" w:lineRule="atLeast"/>
              <w:jc w:val="center"/>
              <w:rPr>
                <w:bCs/>
                <w:iCs/>
                <w:strike/>
                <w:sz w:val="18"/>
                <w:szCs w:val="18"/>
                <w:lang w:val="fr-FR"/>
              </w:rPr>
            </w:pPr>
            <w:r w:rsidRPr="00A779B8">
              <w:rPr>
                <w:bCs/>
                <w:iCs/>
                <w:sz w:val="18"/>
                <w:szCs w:val="18"/>
                <w:lang w:val="fr-FR"/>
              </w:rPr>
              <w:t>−</w:t>
            </w:r>
          </w:p>
        </w:tc>
        <w:tc>
          <w:tcPr>
            <w:tcW w:w="1317" w:type="dxa"/>
            <w:tcBorders>
              <w:top w:val="single" w:sz="4" w:space="0" w:color="auto"/>
              <w:bottom w:val="nil"/>
            </w:tcBorders>
          </w:tcPr>
          <w:p w:rsidR="002B4B8E" w:rsidRPr="00A779B8" w:rsidRDefault="002B4B8E" w:rsidP="00DB4C2D">
            <w:pPr>
              <w:spacing w:before="40" w:after="40" w:line="220" w:lineRule="atLeast"/>
              <w:jc w:val="center"/>
              <w:rPr>
                <w:bCs/>
                <w:strike/>
                <w:sz w:val="18"/>
                <w:szCs w:val="18"/>
                <w:lang w:val="fr-FR"/>
              </w:rPr>
            </w:pPr>
            <w:r w:rsidRPr="00A779B8">
              <w:rPr>
                <w:bCs/>
                <w:sz w:val="18"/>
                <w:szCs w:val="18"/>
                <w:lang w:val="fr-FR"/>
              </w:rPr>
              <w:t>1,00</w:t>
            </w:r>
          </w:p>
        </w:tc>
        <w:tc>
          <w:tcPr>
            <w:tcW w:w="2241" w:type="dxa"/>
            <w:tcBorders>
              <w:top w:val="single" w:sz="4" w:space="0" w:color="auto"/>
              <w:bottom w:val="nil"/>
            </w:tcBorders>
          </w:tcPr>
          <w:p w:rsidR="002B4B8E" w:rsidRPr="00A779B8" w:rsidRDefault="002B4B8E" w:rsidP="00DB4C2D">
            <w:pPr>
              <w:spacing w:before="40" w:after="40" w:line="220" w:lineRule="atLeast"/>
              <w:rPr>
                <w:bCs/>
                <w:sz w:val="18"/>
                <w:szCs w:val="18"/>
                <w:lang w:val="fr-FR"/>
              </w:rPr>
            </w:pPr>
            <w:r w:rsidRPr="00A779B8">
              <w:rPr>
                <w:bCs/>
                <w:sz w:val="18"/>
                <w:szCs w:val="18"/>
                <w:lang w:val="fr-FR"/>
              </w:rPr>
              <w:t>EN 22854</w:t>
            </w:r>
            <w:r w:rsidRPr="00A779B8">
              <w:rPr>
                <w:bCs/>
                <w:sz w:val="18"/>
                <w:szCs w:val="18"/>
                <w:lang w:val="fr-FR"/>
              </w:rPr>
              <w:br/>
              <w:t>EN 238</w:t>
            </w:r>
          </w:p>
        </w:tc>
      </w:tr>
      <w:tr w:rsidR="002B4B8E" w:rsidRPr="00A779B8" w:rsidTr="00DB4C2D">
        <w:trPr>
          <w:trHeight w:val="85"/>
          <w:jc w:val="center"/>
        </w:trPr>
        <w:tc>
          <w:tcPr>
            <w:tcW w:w="3642" w:type="dxa"/>
            <w:tcBorders>
              <w:top w:val="nil"/>
            </w:tcBorders>
          </w:tcPr>
          <w:p w:rsidR="002B4B8E" w:rsidRPr="00A779B8" w:rsidRDefault="002B4B8E" w:rsidP="002B4B8E">
            <w:pPr>
              <w:numPr>
                <w:ilvl w:val="0"/>
                <w:numId w:val="9"/>
              </w:numPr>
              <w:kinsoku/>
              <w:overflowPunct/>
              <w:autoSpaceDE/>
              <w:autoSpaceDN/>
              <w:adjustRightInd/>
              <w:snapToGrid/>
              <w:spacing w:before="40" w:after="40" w:line="220" w:lineRule="atLeast"/>
              <w:rPr>
                <w:sz w:val="18"/>
                <w:szCs w:val="18"/>
                <w:lang w:val="fr-FR"/>
              </w:rPr>
            </w:pPr>
            <w:r w:rsidRPr="00A779B8">
              <w:rPr>
                <w:sz w:val="18"/>
                <w:szCs w:val="18"/>
                <w:lang w:val="fr-FR"/>
              </w:rPr>
              <w:t>Saturés</w:t>
            </w:r>
          </w:p>
        </w:tc>
        <w:tc>
          <w:tcPr>
            <w:tcW w:w="1122" w:type="dxa"/>
            <w:tcBorders>
              <w:top w:val="nil"/>
            </w:tcBorders>
          </w:tcPr>
          <w:p w:rsidR="002B4B8E" w:rsidRPr="00A779B8" w:rsidRDefault="002B4B8E" w:rsidP="00DB4C2D">
            <w:pPr>
              <w:spacing w:before="40" w:after="40" w:line="220" w:lineRule="atLeast"/>
              <w:jc w:val="center"/>
              <w:rPr>
                <w:sz w:val="18"/>
                <w:szCs w:val="18"/>
                <w:lang w:val="fr-FR"/>
              </w:rPr>
            </w:pPr>
            <w:r w:rsidRPr="00A779B8">
              <w:rPr>
                <w:sz w:val="18"/>
                <w:szCs w:val="18"/>
                <w:lang w:val="fr-FR"/>
              </w:rPr>
              <w:t>% v/v</w:t>
            </w:r>
          </w:p>
        </w:tc>
        <w:tc>
          <w:tcPr>
            <w:tcW w:w="2634" w:type="dxa"/>
            <w:gridSpan w:val="2"/>
            <w:tcBorders>
              <w:top w:val="nil"/>
            </w:tcBorders>
          </w:tcPr>
          <w:p w:rsidR="002B4B8E" w:rsidRPr="00A779B8" w:rsidRDefault="002B4B8E" w:rsidP="00DB4C2D">
            <w:pPr>
              <w:spacing w:before="40" w:after="40" w:line="220" w:lineRule="atLeast"/>
              <w:jc w:val="center"/>
              <w:rPr>
                <w:bCs/>
                <w:sz w:val="18"/>
                <w:szCs w:val="18"/>
                <w:lang w:val="fr-FR"/>
              </w:rPr>
            </w:pPr>
            <w:r w:rsidRPr="00A779B8">
              <w:rPr>
                <w:sz w:val="18"/>
                <w:szCs w:val="18"/>
                <w:lang w:val="fr-FR"/>
              </w:rPr>
              <w:t>Valeur déclarée</w:t>
            </w:r>
          </w:p>
        </w:tc>
        <w:tc>
          <w:tcPr>
            <w:tcW w:w="2241" w:type="dxa"/>
            <w:tcBorders>
              <w:top w:val="nil"/>
            </w:tcBorders>
          </w:tcPr>
          <w:p w:rsidR="002B4B8E" w:rsidRPr="00A779B8" w:rsidRDefault="002B4B8E" w:rsidP="00DB4C2D">
            <w:pPr>
              <w:spacing w:before="40" w:after="40" w:line="220" w:lineRule="atLeast"/>
              <w:rPr>
                <w:bCs/>
                <w:sz w:val="18"/>
                <w:szCs w:val="18"/>
                <w:lang w:val="fr-FR"/>
              </w:rPr>
            </w:pPr>
            <w:r w:rsidRPr="00A779B8">
              <w:rPr>
                <w:bCs/>
                <w:sz w:val="18"/>
                <w:szCs w:val="18"/>
                <w:lang w:val="fr-FR"/>
              </w:rPr>
              <w:t>EN 22854</w:t>
            </w:r>
          </w:p>
        </w:tc>
      </w:tr>
      <w:tr w:rsidR="002B4B8E" w:rsidRPr="00A779B8" w:rsidTr="00DB4C2D">
        <w:trPr>
          <w:trHeight w:val="106"/>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Rapport carbone/hydrogène</w:t>
            </w:r>
          </w:p>
        </w:tc>
        <w:tc>
          <w:tcPr>
            <w:tcW w:w="1122" w:type="dxa"/>
          </w:tcPr>
          <w:p w:rsidR="002B4B8E" w:rsidRPr="00A779B8" w:rsidRDefault="002B4B8E" w:rsidP="00DB4C2D">
            <w:pPr>
              <w:spacing w:before="40" w:after="40" w:line="220" w:lineRule="atLeast"/>
              <w:jc w:val="center"/>
              <w:rPr>
                <w:sz w:val="18"/>
                <w:szCs w:val="18"/>
                <w:lang w:val="fr-FR"/>
              </w:rPr>
            </w:pPr>
          </w:p>
        </w:tc>
        <w:tc>
          <w:tcPr>
            <w:tcW w:w="2634" w:type="dxa"/>
            <w:gridSpan w:val="2"/>
          </w:tcPr>
          <w:p w:rsidR="002B4B8E" w:rsidRPr="00A779B8" w:rsidRDefault="002B4B8E" w:rsidP="00DB4C2D">
            <w:pPr>
              <w:spacing w:before="40" w:after="40" w:line="220" w:lineRule="atLeast"/>
              <w:jc w:val="center"/>
              <w:rPr>
                <w:bCs/>
                <w:sz w:val="18"/>
                <w:szCs w:val="18"/>
                <w:lang w:val="fr-FR"/>
              </w:rPr>
            </w:pPr>
            <w:r w:rsidRPr="00A779B8">
              <w:rPr>
                <w:sz w:val="18"/>
                <w:szCs w:val="18"/>
                <w:lang w:val="fr-FR"/>
              </w:rPr>
              <w:t>Valeur déclarée</w:t>
            </w:r>
          </w:p>
        </w:tc>
        <w:tc>
          <w:tcPr>
            <w:tcW w:w="2241" w:type="dxa"/>
          </w:tcPr>
          <w:p w:rsidR="002B4B8E" w:rsidRPr="00A779B8" w:rsidRDefault="002B4B8E" w:rsidP="00DB4C2D">
            <w:pPr>
              <w:spacing w:before="40" w:after="40" w:line="220" w:lineRule="atLeast"/>
              <w:rPr>
                <w:bCs/>
                <w:sz w:val="18"/>
                <w:szCs w:val="18"/>
                <w:lang w:val="fr-FR"/>
              </w:rPr>
            </w:pPr>
          </w:p>
        </w:tc>
      </w:tr>
      <w:tr w:rsidR="002B4B8E" w:rsidRPr="00A779B8" w:rsidTr="00DB4C2D">
        <w:trPr>
          <w:trHeight w:val="85"/>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Rapport carbone/oxygène</w:t>
            </w:r>
          </w:p>
        </w:tc>
        <w:tc>
          <w:tcPr>
            <w:tcW w:w="1122" w:type="dxa"/>
          </w:tcPr>
          <w:p w:rsidR="002B4B8E" w:rsidRPr="00A779B8" w:rsidRDefault="002B4B8E" w:rsidP="00DB4C2D">
            <w:pPr>
              <w:spacing w:before="40" w:after="40" w:line="220" w:lineRule="atLeast"/>
              <w:jc w:val="center"/>
              <w:rPr>
                <w:sz w:val="18"/>
                <w:szCs w:val="18"/>
                <w:lang w:val="fr-FR"/>
              </w:rPr>
            </w:pPr>
          </w:p>
        </w:tc>
        <w:tc>
          <w:tcPr>
            <w:tcW w:w="2634" w:type="dxa"/>
            <w:gridSpan w:val="2"/>
          </w:tcPr>
          <w:p w:rsidR="002B4B8E" w:rsidRPr="00A779B8" w:rsidRDefault="002B4B8E" w:rsidP="00DB4C2D">
            <w:pPr>
              <w:spacing w:before="40" w:after="40" w:line="220" w:lineRule="atLeast"/>
              <w:jc w:val="center"/>
              <w:rPr>
                <w:bCs/>
                <w:sz w:val="18"/>
                <w:szCs w:val="18"/>
                <w:lang w:val="fr-FR"/>
              </w:rPr>
            </w:pPr>
            <w:r w:rsidRPr="00A779B8">
              <w:rPr>
                <w:sz w:val="18"/>
                <w:szCs w:val="18"/>
                <w:lang w:val="fr-FR"/>
              </w:rPr>
              <w:t>Valeur déclarée</w:t>
            </w:r>
          </w:p>
        </w:tc>
        <w:tc>
          <w:tcPr>
            <w:tcW w:w="2241" w:type="dxa"/>
          </w:tcPr>
          <w:p w:rsidR="002B4B8E" w:rsidRPr="00A779B8" w:rsidRDefault="002B4B8E" w:rsidP="00DB4C2D">
            <w:pPr>
              <w:spacing w:before="40" w:after="40" w:line="220" w:lineRule="atLeast"/>
              <w:rPr>
                <w:bCs/>
                <w:sz w:val="18"/>
                <w:szCs w:val="18"/>
                <w:lang w:val="fr-FR"/>
              </w:rPr>
            </w:pPr>
          </w:p>
        </w:tc>
      </w:tr>
      <w:tr w:rsidR="002B4B8E" w:rsidRPr="00A779B8" w:rsidTr="00DB4C2D">
        <w:trPr>
          <w:trHeight w:val="98"/>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Période d</w:t>
            </w:r>
            <w:r w:rsidR="00DB4C2D">
              <w:rPr>
                <w:sz w:val="18"/>
                <w:szCs w:val="18"/>
                <w:lang w:val="fr-FR"/>
              </w:rPr>
              <w:t>’</w:t>
            </w:r>
            <w:r w:rsidRPr="00A779B8">
              <w:rPr>
                <w:sz w:val="18"/>
                <w:szCs w:val="18"/>
                <w:lang w:val="fr-FR"/>
              </w:rPr>
              <w:t>induction</w:t>
            </w:r>
            <w:r w:rsidRPr="00A779B8">
              <w:rPr>
                <w:i/>
                <w:sz w:val="18"/>
                <w:szCs w:val="18"/>
                <w:vertAlign w:val="superscript"/>
                <w:lang w:val="fr-FR"/>
              </w:rPr>
              <w:t>3</w:t>
            </w:r>
          </w:p>
        </w:tc>
        <w:tc>
          <w:tcPr>
            <w:tcW w:w="1122"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min</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480</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7536</w:t>
            </w:r>
          </w:p>
        </w:tc>
      </w:tr>
      <w:tr w:rsidR="002B4B8E" w:rsidRPr="00A779B8" w:rsidTr="00DB4C2D">
        <w:trPr>
          <w:trHeight w:val="85"/>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Teneur en oxygène</w:t>
            </w:r>
            <w:r w:rsidRPr="00A779B8">
              <w:rPr>
                <w:i/>
                <w:sz w:val="18"/>
                <w:szCs w:val="18"/>
                <w:vertAlign w:val="superscript"/>
                <w:lang w:val="fr-FR"/>
              </w:rPr>
              <w:t>4</w:t>
            </w:r>
          </w:p>
        </w:tc>
        <w:tc>
          <w:tcPr>
            <w:tcW w:w="1122"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 m/m</w:t>
            </w:r>
          </w:p>
        </w:tc>
        <w:tc>
          <w:tcPr>
            <w:tcW w:w="1317"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3,3</w:t>
            </w:r>
          </w:p>
        </w:tc>
        <w:tc>
          <w:tcPr>
            <w:tcW w:w="1317"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3,7</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EN 22854</w:t>
            </w:r>
          </w:p>
        </w:tc>
      </w:tr>
      <w:tr w:rsidR="002B4B8E" w:rsidRPr="00A779B8" w:rsidTr="00DB4C2D">
        <w:trPr>
          <w:trHeight w:val="218"/>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 xml:space="preserve">Gomme lavée avec un solvant </w:t>
            </w:r>
            <w:r w:rsidRPr="00A779B8">
              <w:rPr>
                <w:sz w:val="18"/>
                <w:szCs w:val="18"/>
                <w:lang w:val="fr-FR"/>
              </w:rPr>
              <w:br/>
              <w:t>(teneur en gomme actuelle)</w:t>
            </w:r>
          </w:p>
        </w:tc>
        <w:tc>
          <w:tcPr>
            <w:tcW w:w="1122"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mg/100ml</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4</w:t>
            </w:r>
          </w:p>
          <w:p w:rsidR="002B4B8E" w:rsidRPr="00A779B8" w:rsidRDefault="002B4B8E" w:rsidP="00DB4C2D">
            <w:pPr>
              <w:spacing w:before="40" w:after="40" w:line="220" w:lineRule="atLeast"/>
              <w:jc w:val="center"/>
              <w:rPr>
                <w:bCs/>
                <w:sz w:val="18"/>
                <w:szCs w:val="18"/>
                <w:lang w:val="fr-FR"/>
              </w:rPr>
            </w:pP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6246</w:t>
            </w:r>
          </w:p>
        </w:tc>
      </w:tr>
      <w:tr w:rsidR="002B4B8E" w:rsidRPr="00A779B8" w:rsidTr="00DB4C2D">
        <w:trPr>
          <w:trHeight w:val="96"/>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Teneur en soufre</w:t>
            </w:r>
            <w:r w:rsidRPr="00A779B8">
              <w:rPr>
                <w:i/>
                <w:sz w:val="18"/>
                <w:szCs w:val="18"/>
                <w:vertAlign w:val="superscript"/>
                <w:lang w:val="fr-FR"/>
              </w:rPr>
              <w:t>5</w:t>
            </w:r>
          </w:p>
        </w:tc>
        <w:tc>
          <w:tcPr>
            <w:tcW w:w="1122"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mg/kg</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10</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20846</w:t>
            </w:r>
          </w:p>
          <w:p w:rsidR="002B4B8E" w:rsidRPr="00A779B8" w:rsidRDefault="002B4B8E" w:rsidP="00DB4C2D">
            <w:pPr>
              <w:spacing w:before="40" w:after="40" w:line="220" w:lineRule="atLeast"/>
              <w:rPr>
                <w:bCs/>
                <w:sz w:val="18"/>
                <w:szCs w:val="18"/>
                <w:lang w:val="fr-FR"/>
              </w:rPr>
            </w:pPr>
            <w:r w:rsidRPr="00A779B8">
              <w:rPr>
                <w:bCs/>
                <w:sz w:val="18"/>
                <w:szCs w:val="18"/>
                <w:lang w:val="fr-FR"/>
              </w:rPr>
              <w:t>EN ISO 20884</w:t>
            </w:r>
          </w:p>
        </w:tc>
      </w:tr>
      <w:tr w:rsidR="002B4B8E" w:rsidRPr="00A779B8" w:rsidTr="00DB4C2D">
        <w:trPr>
          <w:trHeight w:val="85"/>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Corrosion du cuivre 3 h, 50 °C</w:t>
            </w:r>
          </w:p>
        </w:tc>
        <w:tc>
          <w:tcPr>
            <w:tcW w:w="1122" w:type="dxa"/>
          </w:tcPr>
          <w:p w:rsidR="002B4B8E" w:rsidRPr="00A779B8" w:rsidRDefault="002B4B8E" w:rsidP="00DB4C2D">
            <w:pPr>
              <w:spacing w:before="40" w:after="40" w:line="220" w:lineRule="atLeast"/>
              <w:jc w:val="center"/>
              <w:rPr>
                <w:sz w:val="18"/>
                <w:szCs w:val="18"/>
                <w:lang w:val="fr-FR"/>
              </w:rPr>
            </w:pP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Classe 1</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EN ISO 2160</w:t>
            </w:r>
          </w:p>
        </w:tc>
      </w:tr>
      <w:tr w:rsidR="002B4B8E" w:rsidRPr="00A779B8" w:rsidTr="00DB4C2D">
        <w:trPr>
          <w:trHeight w:val="85"/>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Teneur en plomb</w:t>
            </w:r>
          </w:p>
        </w:tc>
        <w:tc>
          <w:tcPr>
            <w:tcW w:w="1122"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mg/l</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5</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EN 237</w:t>
            </w:r>
          </w:p>
        </w:tc>
      </w:tr>
      <w:tr w:rsidR="002B4B8E" w:rsidRPr="00A779B8" w:rsidTr="00DB4C2D">
        <w:trPr>
          <w:trHeight w:val="85"/>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Teneur en phosphore</w:t>
            </w:r>
            <w:r w:rsidRPr="00A779B8">
              <w:rPr>
                <w:i/>
                <w:sz w:val="18"/>
                <w:szCs w:val="18"/>
                <w:vertAlign w:val="superscript"/>
                <w:lang w:val="fr-FR"/>
              </w:rPr>
              <w:t>6</w:t>
            </w:r>
          </w:p>
        </w:tc>
        <w:tc>
          <w:tcPr>
            <w:tcW w:w="1122"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mg/l</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1,3</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ASTM D 3231</w:t>
            </w:r>
          </w:p>
        </w:tc>
      </w:tr>
      <w:tr w:rsidR="002B4B8E" w:rsidRPr="00A779B8" w:rsidTr="00DB4C2D">
        <w:trPr>
          <w:trHeight w:val="85"/>
          <w:jc w:val="center"/>
        </w:trPr>
        <w:tc>
          <w:tcPr>
            <w:tcW w:w="3642" w:type="dxa"/>
          </w:tcPr>
          <w:p w:rsidR="002B4B8E" w:rsidRPr="00A779B8" w:rsidRDefault="002B4B8E" w:rsidP="00DB4C2D">
            <w:pPr>
              <w:spacing w:before="40" w:after="40" w:line="220" w:lineRule="atLeast"/>
              <w:rPr>
                <w:sz w:val="18"/>
                <w:szCs w:val="18"/>
                <w:lang w:val="fr-FR"/>
              </w:rPr>
            </w:pPr>
            <w:r w:rsidRPr="00A779B8">
              <w:rPr>
                <w:sz w:val="18"/>
                <w:szCs w:val="18"/>
                <w:lang w:val="fr-FR"/>
              </w:rPr>
              <w:t>Éthanol</w:t>
            </w:r>
            <w:r w:rsidRPr="00A779B8">
              <w:rPr>
                <w:i/>
                <w:sz w:val="18"/>
                <w:szCs w:val="18"/>
                <w:vertAlign w:val="superscript"/>
                <w:lang w:val="fr-FR"/>
              </w:rPr>
              <w:t>4</w:t>
            </w:r>
          </w:p>
        </w:tc>
        <w:tc>
          <w:tcPr>
            <w:tcW w:w="1122" w:type="dxa"/>
          </w:tcPr>
          <w:p w:rsidR="002B4B8E" w:rsidRPr="00A779B8" w:rsidRDefault="002B4B8E" w:rsidP="00DB4C2D">
            <w:pPr>
              <w:spacing w:before="40" w:after="40" w:line="220" w:lineRule="atLeast"/>
              <w:jc w:val="center"/>
              <w:rPr>
                <w:sz w:val="18"/>
                <w:szCs w:val="18"/>
                <w:lang w:val="fr-FR"/>
              </w:rPr>
            </w:pPr>
            <w:r w:rsidRPr="00A779B8">
              <w:rPr>
                <w:sz w:val="18"/>
                <w:szCs w:val="18"/>
                <w:lang w:val="fr-FR"/>
              </w:rPr>
              <w:t>% v/v</w:t>
            </w:r>
          </w:p>
        </w:tc>
        <w:tc>
          <w:tcPr>
            <w:tcW w:w="1317" w:type="dxa"/>
          </w:tcPr>
          <w:p w:rsidR="002B4B8E" w:rsidRPr="00A779B8" w:rsidRDefault="002B4B8E" w:rsidP="00DB4C2D">
            <w:pPr>
              <w:spacing w:before="40" w:after="40" w:line="220" w:lineRule="atLeast"/>
              <w:jc w:val="center"/>
              <w:rPr>
                <w:bCs/>
                <w:strike/>
                <w:sz w:val="18"/>
                <w:szCs w:val="18"/>
                <w:lang w:val="fr-FR"/>
              </w:rPr>
            </w:pPr>
            <w:r w:rsidRPr="00A779B8">
              <w:rPr>
                <w:bCs/>
                <w:sz w:val="18"/>
                <w:szCs w:val="18"/>
                <w:lang w:val="fr-FR"/>
              </w:rPr>
              <w:t>9,0</w:t>
            </w:r>
          </w:p>
        </w:tc>
        <w:tc>
          <w:tcPr>
            <w:tcW w:w="1317" w:type="dxa"/>
          </w:tcPr>
          <w:p w:rsidR="002B4B8E" w:rsidRPr="00A779B8" w:rsidRDefault="002B4B8E" w:rsidP="00DB4C2D">
            <w:pPr>
              <w:spacing w:before="40" w:after="40" w:line="220" w:lineRule="atLeast"/>
              <w:jc w:val="center"/>
              <w:rPr>
                <w:bCs/>
                <w:sz w:val="18"/>
                <w:szCs w:val="18"/>
                <w:lang w:val="fr-FR"/>
              </w:rPr>
            </w:pPr>
            <w:r w:rsidRPr="00A779B8">
              <w:rPr>
                <w:bCs/>
                <w:sz w:val="18"/>
                <w:szCs w:val="18"/>
                <w:lang w:val="fr-FR"/>
              </w:rPr>
              <w:t>10,0</w:t>
            </w:r>
          </w:p>
        </w:tc>
        <w:tc>
          <w:tcPr>
            <w:tcW w:w="2241" w:type="dxa"/>
          </w:tcPr>
          <w:p w:rsidR="002B4B8E" w:rsidRPr="00A779B8" w:rsidRDefault="002B4B8E" w:rsidP="00DB4C2D">
            <w:pPr>
              <w:spacing w:before="40" w:after="40" w:line="220" w:lineRule="atLeast"/>
              <w:rPr>
                <w:bCs/>
                <w:sz w:val="18"/>
                <w:szCs w:val="18"/>
                <w:lang w:val="fr-FR"/>
              </w:rPr>
            </w:pPr>
            <w:r w:rsidRPr="00A779B8">
              <w:rPr>
                <w:bCs/>
                <w:sz w:val="18"/>
                <w:szCs w:val="18"/>
                <w:lang w:val="fr-FR"/>
              </w:rPr>
              <w:t>EN 22854</w:t>
            </w:r>
          </w:p>
        </w:tc>
      </w:tr>
    </w:tbl>
    <w:p w:rsidR="002B4B8E" w:rsidRDefault="002B4B8E" w:rsidP="002B4B8E">
      <w:pPr>
        <w:spacing w:before="120"/>
        <w:ind w:left="454" w:hanging="284"/>
        <w:rPr>
          <w:sz w:val="18"/>
          <w:szCs w:val="18"/>
          <w:lang w:val="fr-FR"/>
        </w:rPr>
      </w:pPr>
      <w:r w:rsidRPr="00A779B8">
        <w:rPr>
          <w:i/>
          <w:sz w:val="18"/>
          <w:szCs w:val="18"/>
          <w:vertAlign w:val="superscript"/>
          <w:lang w:val="fr-FR"/>
        </w:rPr>
        <w:t>1</w:t>
      </w:r>
      <w:r w:rsidRPr="00A779B8">
        <w:rPr>
          <w:sz w:val="18"/>
          <w:szCs w:val="18"/>
          <w:lang w:val="fr-FR"/>
        </w:rPr>
        <w:tab/>
        <w:t>Les valeurs mentionnées dans les spécifications sont des «valeurs vraies». Les valeurs limites ont été déterminées conformément à la norme ISO 4259 intitulée «Produits pétroliers − Détermination et application des valeurs de fidélité relatives aux méthodes d</w:t>
      </w:r>
      <w:r w:rsidR="00DB4C2D">
        <w:rPr>
          <w:sz w:val="18"/>
          <w:szCs w:val="18"/>
          <w:lang w:val="fr-FR"/>
        </w:rPr>
        <w:t>’</w:t>
      </w:r>
      <w:r w:rsidRPr="00A779B8">
        <w:rPr>
          <w:sz w:val="18"/>
          <w:szCs w:val="18"/>
          <w:lang w:val="fr-FR"/>
        </w:rPr>
        <w:t>essai». Pour la fixation d</w:t>
      </w:r>
      <w:r w:rsidR="00DB4C2D">
        <w:rPr>
          <w:sz w:val="18"/>
          <w:szCs w:val="18"/>
          <w:lang w:val="fr-FR"/>
        </w:rPr>
        <w:t>’</w:t>
      </w:r>
      <w:r w:rsidRPr="00A779B8">
        <w:rPr>
          <w:sz w:val="18"/>
          <w:szCs w:val="18"/>
          <w:lang w:val="fr-FR"/>
        </w:rPr>
        <w:t>un minimum, une différence minimale de 2R par rapport à la valeur zéro a été prise en compte; pour la fixation d</w:t>
      </w:r>
      <w:r w:rsidR="00DB4C2D">
        <w:rPr>
          <w:sz w:val="18"/>
          <w:szCs w:val="18"/>
          <w:lang w:val="fr-FR"/>
        </w:rPr>
        <w:t>’</w:t>
      </w:r>
      <w:r w:rsidRPr="00A779B8">
        <w:rPr>
          <w:sz w:val="18"/>
          <w:szCs w:val="18"/>
          <w:lang w:val="fr-FR"/>
        </w:rPr>
        <w:t>un maximum et d</w:t>
      </w:r>
      <w:r w:rsidR="00DB4C2D">
        <w:rPr>
          <w:sz w:val="18"/>
          <w:szCs w:val="18"/>
          <w:lang w:val="fr-FR"/>
        </w:rPr>
        <w:t>’</w:t>
      </w:r>
      <w:r w:rsidRPr="00A779B8">
        <w:rPr>
          <w:sz w:val="18"/>
          <w:szCs w:val="18"/>
          <w:lang w:val="fr-FR"/>
        </w:rPr>
        <w:t>un minimum, la différence minimale entre ces valeurs est de 4R (R = reproductibilité).</w:t>
      </w:r>
      <w:r w:rsidRPr="00A779B8">
        <w:rPr>
          <w:sz w:val="18"/>
          <w:szCs w:val="18"/>
          <w:lang w:val="fr-FR"/>
        </w:rPr>
        <w:br/>
        <w:t>Malgré cette mesure, qui est nécessaire pour des raisons techniques, le fabricant de carburant doit viser la valeur zéro lorsque la valeur maximale indiquée est de 2R ou la valeur moyenne lorsqu</w:t>
      </w:r>
      <w:r w:rsidR="00DB4C2D">
        <w:rPr>
          <w:sz w:val="18"/>
          <w:szCs w:val="18"/>
          <w:lang w:val="fr-FR"/>
        </w:rPr>
        <w:t>’</w:t>
      </w:r>
      <w:r w:rsidRPr="00A779B8">
        <w:rPr>
          <w:sz w:val="18"/>
          <w:szCs w:val="18"/>
          <w:lang w:val="fr-FR"/>
        </w:rPr>
        <w:t>il existe un minimum et un maximum. Au cas où il est nécessaire de vérifier le respect des spécifications pour un carburant, les dispositions de la norme ISO 4259 doivent être appliquées</w:t>
      </w:r>
      <w:r>
        <w:rPr>
          <w:sz w:val="18"/>
          <w:szCs w:val="18"/>
          <w:lang w:val="fr-FR"/>
        </w:rPr>
        <w:t>.</w:t>
      </w:r>
    </w:p>
    <w:p w:rsidR="002B4B8E" w:rsidRDefault="002B4B8E" w:rsidP="002B4B8E">
      <w:pPr>
        <w:ind w:left="454" w:hanging="284"/>
        <w:rPr>
          <w:sz w:val="18"/>
          <w:szCs w:val="18"/>
          <w:lang w:val="fr-FR"/>
        </w:rPr>
      </w:pPr>
      <w:r w:rsidRPr="00A779B8">
        <w:rPr>
          <w:i/>
          <w:sz w:val="18"/>
          <w:szCs w:val="18"/>
          <w:vertAlign w:val="superscript"/>
          <w:lang w:val="fr-FR"/>
        </w:rPr>
        <w:t>2</w:t>
      </w:r>
      <w:r w:rsidRPr="00A779B8">
        <w:rPr>
          <w:sz w:val="18"/>
          <w:szCs w:val="18"/>
          <w:lang w:val="fr-FR"/>
        </w:rPr>
        <w:tab/>
        <w:t>Un facteur de correction de 0,2 pour IOR et IOM doit être soustrait pour le calcul du résultat final conformément à la spécification EN 228:2008.</w:t>
      </w:r>
    </w:p>
    <w:p w:rsidR="002B4B8E" w:rsidRPr="00BA3EA9" w:rsidRDefault="002B4B8E" w:rsidP="002B4B8E">
      <w:pPr>
        <w:ind w:left="454" w:hanging="284"/>
        <w:rPr>
          <w:sz w:val="18"/>
          <w:szCs w:val="18"/>
          <w:lang w:val="fr-FR"/>
        </w:rPr>
      </w:pPr>
      <w:r w:rsidRPr="00A779B8">
        <w:rPr>
          <w:i/>
          <w:sz w:val="18"/>
          <w:szCs w:val="18"/>
          <w:vertAlign w:val="superscript"/>
          <w:lang w:val="fr-FR"/>
        </w:rPr>
        <w:t>3</w:t>
      </w:r>
      <w:r w:rsidRPr="00A779B8">
        <w:rPr>
          <w:sz w:val="18"/>
          <w:szCs w:val="18"/>
          <w:lang w:val="fr-FR"/>
        </w:rPr>
        <w:tab/>
        <w:t>Le carburant peut contenir des additifs antioxydants et des inhibiteurs de catalyse métallique normalement utilisés pour stabiliser les flux d</w:t>
      </w:r>
      <w:r w:rsidR="00DB4C2D">
        <w:rPr>
          <w:sz w:val="18"/>
          <w:szCs w:val="18"/>
          <w:lang w:val="fr-FR"/>
        </w:rPr>
        <w:t>’</w:t>
      </w:r>
      <w:r w:rsidRPr="00A779B8">
        <w:rPr>
          <w:sz w:val="18"/>
          <w:szCs w:val="18"/>
          <w:lang w:val="fr-FR"/>
        </w:rPr>
        <w:t>essence en raffinerie; il ne faut cependant pas y ajouter d</w:t>
      </w:r>
      <w:r w:rsidR="00DB4C2D">
        <w:rPr>
          <w:sz w:val="18"/>
          <w:szCs w:val="18"/>
          <w:lang w:val="fr-FR"/>
        </w:rPr>
        <w:t>’</w:t>
      </w:r>
      <w:r w:rsidRPr="00A779B8">
        <w:rPr>
          <w:sz w:val="18"/>
          <w:szCs w:val="18"/>
          <w:lang w:val="fr-FR"/>
        </w:rPr>
        <w:t>additifs détergents ou dispersants ni d</w:t>
      </w:r>
      <w:r w:rsidR="00DB4C2D">
        <w:rPr>
          <w:sz w:val="18"/>
          <w:szCs w:val="18"/>
          <w:lang w:val="fr-FR"/>
        </w:rPr>
        <w:t>’</w:t>
      </w:r>
      <w:r w:rsidRPr="00A779B8">
        <w:rPr>
          <w:sz w:val="18"/>
          <w:szCs w:val="18"/>
          <w:lang w:val="fr-FR"/>
        </w:rPr>
        <w:t xml:space="preserve">huiles </w:t>
      </w:r>
      <w:proofErr w:type="spellStart"/>
      <w:r w:rsidRPr="00A779B8">
        <w:rPr>
          <w:sz w:val="18"/>
          <w:szCs w:val="18"/>
          <w:lang w:val="fr-FR"/>
        </w:rPr>
        <w:t>solvantes</w:t>
      </w:r>
      <w:proofErr w:type="spellEnd"/>
      <w:r w:rsidRPr="00A779B8">
        <w:rPr>
          <w:sz w:val="18"/>
          <w:szCs w:val="18"/>
          <w:lang w:val="fr-FR"/>
        </w:rPr>
        <w:t>.</w:t>
      </w:r>
    </w:p>
    <w:p w:rsidR="002B4B8E" w:rsidRPr="00A779B8" w:rsidRDefault="002B4B8E" w:rsidP="002B4B8E">
      <w:pPr>
        <w:ind w:left="454" w:hanging="284"/>
        <w:rPr>
          <w:bCs/>
          <w:sz w:val="18"/>
          <w:szCs w:val="18"/>
          <w:lang w:val="fr-FR"/>
        </w:rPr>
      </w:pPr>
      <w:r w:rsidRPr="00A779B8">
        <w:rPr>
          <w:bCs/>
          <w:i/>
          <w:sz w:val="18"/>
          <w:szCs w:val="18"/>
          <w:vertAlign w:val="superscript"/>
          <w:lang w:val="fr-FR"/>
        </w:rPr>
        <w:t>4</w:t>
      </w:r>
      <w:r w:rsidRPr="00A779B8">
        <w:rPr>
          <w:bCs/>
          <w:sz w:val="18"/>
          <w:szCs w:val="18"/>
          <w:lang w:val="fr-FR"/>
        </w:rPr>
        <w:tab/>
      </w:r>
      <w:r w:rsidRPr="00A779B8">
        <w:rPr>
          <w:sz w:val="18"/>
          <w:szCs w:val="18"/>
          <w:lang w:val="fr-FR"/>
        </w:rPr>
        <w:t>Le seul oxygénant pouvant être ajouté délibérément au carburant de référence est l</w:t>
      </w:r>
      <w:r w:rsidR="00DB4C2D">
        <w:rPr>
          <w:sz w:val="18"/>
          <w:szCs w:val="18"/>
          <w:lang w:val="fr-FR"/>
        </w:rPr>
        <w:t>’</w:t>
      </w:r>
      <w:r w:rsidRPr="00A779B8">
        <w:rPr>
          <w:sz w:val="18"/>
          <w:szCs w:val="18"/>
          <w:lang w:val="fr-FR"/>
        </w:rPr>
        <w:t>éthanol conforme à la spécification EN 15376</w:t>
      </w:r>
      <w:r w:rsidRPr="00A779B8">
        <w:rPr>
          <w:bCs/>
          <w:sz w:val="18"/>
          <w:szCs w:val="18"/>
          <w:lang w:val="fr-FR"/>
        </w:rPr>
        <w:t>.</w:t>
      </w:r>
    </w:p>
    <w:p w:rsidR="002B4B8E" w:rsidRPr="00A779B8" w:rsidRDefault="002B4B8E" w:rsidP="002B4B8E">
      <w:pPr>
        <w:ind w:left="454" w:hanging="284"/>
        <w:rPr>
          <w:sz w:val="18"/>
          <w:szCs w:val="18"/>
          <w:lang w:val="fr-FR"/>
        </w:rPr>
      </w:pPr>
      <w:r w:rsidRPr="00A779B8">
        <w:rPr>
          <w:i/>
          <w:sz w:val="18"/>
          <w:szCs w:val="18"/>
          <w:vertAlign w:val="superscript"/>
          <w:lang w:val="fr-FR"/>
        </w:rPr>
        <w:t>5</w:t>
      </w:r>
      <w:r w:rsidRPr="00A779B8">
        <w:rPr>
          <w:sz w:val="18"/>
          <w:szCs w:val="18"/>
          <w:lang w:val="fr-FR"/>
        </w:rPr>
        <w:tab/>
        <w:t xml:space="preserve">Il convient de communiquer la teneur en soufre effective du carburant utilisé pour les essais du type I. </w:t>
      </w:r>
    </w:p>
    <w:p w:rsidR="002B4B8E" w:rsidRDefault="002B4B8E" w:rsidP="002B4B8E">
      <w:pPr>
        <w:ind w:left="454" w:hanging="284"/>
        <w:rPr>
          <w:lang w:val="fr-FR"/>
        </w:rPr>
      </w:pPr>
      <w:r w:rsidRPr="00A779B8">
        <w:rPr>
          <w:i/>
          <w:sz w:val="18"/>
          <w:szCs w:val="18"/>
          <w:vertAlign w:val="superscript"/>
          <w:lang w:val="fr-FR"/>
        </w:rPr>
        <w:t>6</w:t>
      </w:r>
      <w:r w:rsidRPr="00A779B8">
        <w:rPr>
          <w:sz w:val="18"/>
          <w:szCs w:val="18"/>
          <w:lang w:val="fr-FR"/>
        </w:rPr>
        <w:tab/>
        <w:t>Aucun composant contenant du phosphore, du fer, du manganèse ou du plomb ne doit être ajouté délibérément au carburant de référence.</w:t>
      </w:r>
    </w:p>
    <w:p w:rsidR="002B4B8E" w:rsidRPr="00E721A7" w:rsidRDefault="002B4B8E" w:rsidP="002B4B8E">
      <w:pPr>
        <w:pStyle w:val="Titre1"/>
        <w:spacing w:after="120"/>
        <w:ind w:left="0"/>
        <w:rPr>
          <w:b/>
          <w:lang w:val="fr-FR"/>
        </w:rPr>
      </w:pPr>
      <w:r w:rsidRPr="00E721A7">
        <w:rPr>
          <w:b/>
          <w:lang w:val="fr-FR"/>
        </w:rPr>
        <w:lastRenderedPageBreak/>
        <w:t>Type: Éthanol (E75)</w:t>
      </w:r>
    </w:p>
    <w:tbl>
      <w:tblPr>
        <w:tblW w:w="963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642"/>
        <w:gridCol w:w="1122"/>
        <w:gridCol w:w="1317"/>
        <w:gridCol w:w="1317"/>
        <w:gridCol w:w="2241"/>
      </w:tblGrid>
      <w:tr w:rsidR="002B4B8E" w:rsidRPr="00A779B8" w:rsidTr="00DB4C2D">
        <w:trPr>
          <w:tblHeader/>
          <w:jc w:val="center"/>
        </w:trPr>
        <w:tc>
          <w:tcPr>
            <w:tcW w:w="3642" w:type="dxa"/>
            <w:vMerge w:val="restart"/>
            <w:vAlign w:val="center"/>
          </w:tcPr>
          <w:p w:rsidR="002B4B8E" w:rsidRPr="00A779B8" w:rsidRDefault="002B4B8E" w:rsidP="002B4B8E">
            <w:pPr>
              <w:keepNext/>
              <w:spacing w:before="60" w:after="60" w:line="200" w:lineRule="exact"/>
              <w:jc w:val="center"/>
              <w:rPr>
                <w:i/>
                <w:sz w:val="16"/>
                <w:szCs w:val="16"/>
                <w:lang w:val="fr-FR"/>
              </w:rPr>
            </w:pPr>
            <w:r w:rsidRPr="00A779B8">
              <w:rPr>
                <w:bCs/>
                <w:i/>
                <w:sz w:val="16"/>
                <w:szCs w:val="16"/>
                <w:lang w:val="fr-FR"/>
              </w:rPr>
              <w:t>Paramètre</w:t>
            </w:r>
          </w:p>
        </w:tc>
        <w:tc>
          <w:tcPr>
            <w:tcW w:w="1122" w:type="dxa"/>
            <w:vMerge w:val="restart"/>
            <w:shd w:val="clear" w:color="auto" w:fill="FFFFFF"/>
            <w:vAlign w:val="center"/>
          </w:tcPr>
          <w:p w:rsidR="002B4B8E" w:rsidRPr="00A779B8" w:rsidRDefault="002B4B8E" w:rsidP="002B4B8E">
            <w:pPr>
              <w:keepNext/>
              <w:spacing w:before="60" w:after="60" w:line="200" w:lineRule="exact"/>
              <w:ind w:left="1134" w:hanging="1134"/>
              <w:jc w:val="center"/>
              <w:rPr>
                <w:bCs/>
                <w:i/>
                <w:sz w:val="16"/>
                <w:szCs w:val="16"/>
                <w:lang w:val="fr-FR"/>
              </w:rPr>
            </w:pPr>
            <w:r w:rsidRPr="00A779B8">
              <w:rPr>
                <w:bCs/>
                <w:i/>
                <w:sz w:val="16"/>
                <w:szCs w:val="16"/>
                <w:lang w:val="fr-FR"/>
              </w:rPr>
              <w:t>Unité</w:t>
            </w:r>
          </w:p>
        </w:tc>
        <w:tc>
          <w:tcPr>
            <w:tcW w:w="2634" w:type="dxa"/>
            <w:gridSpan w:val="2"/>
            <w:shd w:val="clear" w:color="auto" w:fill="FFFFFF"/>
            <w:vAlign w:val="center"/>
          </w:tcPr>
          <w:p w:rsidR="002B4B8E" w:rsidRPr="00A779B8" w:rsidRDefault="002B4B8E" w:rsidP="002B4B8E">
            <w:pPr>
              <w:keepNext/>
              <w:spacing w:before="60" w:after="60" w:line="200" w:lineRule="exact"/>
              <w:ind w:left="1134" w:hanging="1134"/>
              <w:jc w:val="center"/>
              <w:rPr>
                <w:i/>
                <w:sz w:val="16"/>
                <w:szCs w:val="16"/>
                <w:lang w:val="fr-FR"/>
              </w:rPr>
            </w:pPr>
            <w:r w:rsidRPr="00A779B8">
              <w:rPr>
                <w:i/>
                <w:sz w:val="16"/>
                <w:szCs w:val="16"/>
                <w:lang w:val="fr-FR"/>
              </w:rPr>
              <w:t>Limites</w:t>
            </w:r>
            <w:r w:rsidRPr="00A779B8">
              <w:rPr>
                <w:sz w:val="16"/>
                <w:szCs w:val="16"/>
                <w:vertAlign w:val="superscript"/>
                <w:lang w:val="fr-FR"/>
              </w:rPr>
              <w:t>1</w:t>
            </w:r>
          </w:p>
        </w:tc>
        <w:tc>
          <w:tcPr>
            <w:tcW w:w="2241" w:type="dxa"/>
            <w:vMerge w:val="restart"/>
            <w:shd w:val="clear" w:color="auto" w:fill="FFFFFF"/>
            <w:vAlign w:val="center"/>
          </w:tcPr>
          <w:p w:rsidR="002B4B8E" w:rsidRPr="00A779B8" w:rsidRDefault="002B4B8E" w:rsidP="002B4B8E">
            <w:pPr>
              <w:keepNext/>
              <w:spacing w:before="60" w:after="60" w:line="200" w:lineRule="exact"/>
              <w:ind w:left="1134" w:hanging="1134"/>
              <w:jc w:val="center"/>
              <w:rPr>
                <w:i/>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p>
        </w:tc>
      </w:tr>
      <w:tr w:rsidR="002B4B8E" w:rsidRPr="00A779B8" w:rsidTr="00DB4C2D">
        <w:trPr>
          <w:tblHeader/>
          <w:jc w:val="center"/>
        </w:trPr>
        <w:tc>
          <w:tcPr>
            <w:tcW w:w="3642" w:type="dxa"/>
            <w:vMerge/>
            <w:shd w:val="clear" w:color="auto" w:fill="FFFFFF"/>
            <w:vAlign w:val="center"/>
          </w:tcPr>
          <w:p w:rsidR="002B4B8E" w:rsidRPr="00A779B8" w:rsidRDefault="002B4B8E" w:rsidP="002B4B8E">
            <w:pPr>
              <w:keepNext/>
              <w:spacing w:before="60" w:after="60" w:line="200" w:lineRule="exact"/>
              <w:jc w:val="center"/>
              <w:rPr>
                <w:i/>
                <w:sz w:val="16"/>
                <w:szCs w:val="16"/>
                <w:lang w:val="fr-FR"/>
              </w:rPr>
            </w:pPr>
          </w:p>
        </w:tc>
        <w:tc>
          <w:tcPr>
            <w:tcW w:w="1122" w:type="dxa"/>
            <w:vMerge/>
            <w:shd w:val="clear" w:color="auto" w:fill="FFFFFF"/>
            <w:vAlign w:val="center"/>
          </w:tcPr>
          <w:p w:rsidR="002B4B8E" w:rsidRPr="00A779B8" w:rsidRDefault="002B4B8E" w:rsidP="002B4B8E">
            <w:pPr>
              <w:keepNext/>
              <w:spacing w:before="60" w:after="60" w:line="200" w:lineRule="exact"/>
              <w:ind w:left="1134" w:hanging="1134"/>
              <w:jc w:val="center"/>
              <w:rPr>
                <w:bCs/>
                <w:i/>
                <w:sz w:val="16"/>
                <w:szCs w:val="16"/>
                <w:lang w:val="fr-FR"/>
              </w:rPr>
            </w:pPr>
          </w:p>
        </w:tc>
        <w:tc>
          <w:tcPr>
            <w:tcW w:w="1317" w:type="dxa"/>
            <w:shd w:val="clear" w:color="auto" w:fill="FFFFFF"/>
            <w:vAlign w:val="center"/>
          </w:tcPr>
          <w:p w:rsidR="002B4B8E" w:rsidRPr="00A779B8" w:rsidRDefault="002B4B8E" w:rsidP="002B4B8E">
            <w:pPr>
              <w:keepNext/>
              <w:spacing w:before="60" w:after="60" w:line="200" w:lineRule="exact"/>
              <w:ind w:left="1134" w:hanging="1134"/>
              <w:jc w:val="center"/>
              <w:rPr>
                <w:bCs/>
                <w:i/>
                <w:sz w:val="16"/>
                <w:szCs w:val="16"/>
                <w:lang w:val="fr-FR"/>
              </w:rPr>
            </w:pPr>
            <w:r w:rsidRPr="00A779B8">
              <w:rPr>
                <w:bCs/>
                <w:i/>
                <w:sz w:val="16"/>
                <w:szCs w:val="16"/>
                <w:lang w:val="fr-FR"/>
              </w:rPr>
              <w:t>Minimale</w:t>
            </w:r>
          </w:p>
        </w:tc>
        <w:tc>
          <w:tcPr>
            <w:tcW w:w="1317" w:type="dxa"/>
            <w:shd w:val="clear" w:color="auto" w:fill="FFFFFF"/>
            <w:vAlign w:val="center"/>
          </w:tcPr>
          <w:p w:rsidR="002B4B8E" w:rsidRPr="00A779B8" w:rsidRDefault="002B4B8E" w:rsidP="002B4B8E">
            <w:pPr>
              <w:keepNext/>
              <w:spacing w:before="60" w:after="60" w:line="200" w:lineRule="exact"/>
              <w:ind w:left="1134" w:hanging="1134"/>
              <w:jc w:val="center"/>
              <w:rPr>
                <w:i/>
                <w:sz w:val="16"/>
                <w:szCs w:val="16"/>
                <w:lang w:val="fr-FR"/>
              </w:rPr>
            </w:pPr>
            <w:r w:rsidRPr="00A779B8">
              <w:rPr>
                <w:bCs/>
                <w:i/>
                <w:sz w:val="16"/>
                <w:szCs w:val="16"/>
                <w:lang w:val="fr-FR"/>
              </w:rPr>
              <w:t>Maximale</w:t>
            </w:r>
          </w:p>
        </w:tc>
        <w:tc>
          <w:tcPr>
            <w:tcW w:w="2241" w:type="dxa"/>
            <w:vMerge/>
            <w:shd w:val="clear" w:color="auto" w:fill="FFFFFF"/>
            <w:vAlign w:val="center"/>
          </w:tcPr>
          <w:p w:rsidR="002B4B8E" w:rsidRPr="00A779B8" w:rsidRDefault="002B4B8E" w:rsidP="002B4B8E">
            <w:pPr>
              <w:keepNext/>
              <w:spacing w:before="60" w:after="60" w:line="200" w:lineRule="exact"/>
              <w:ind w:left="1134" w:hanging="1134"/>
              <w:jc w:val="center"/>
              <w:rPr>
                <w:sz w:val="16"/>
                <w:szCs w:val="16"/>
                <w:lang w:val="fr-FR"/>
              </w:rPr>
            </w:pP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recherche (IOR)</w:t>
            </w:r>
          </w:p>
        </w:tc>
        <w:tc>
          <w:tcPr>
            <w:tcW w:w="1122" w:type="dxa"/>
            <w:shd w:val="clear" w:color="auto" w:fill="FFFFFF"/>
          </w:tcPr>
          <w:p w:rsidR="002B4B8E" w:rsidRPr="00A779B8" w:rsidRDefault="002B4B8E" w:rsidP="002B4B8E">
            <w:pPr>
              <w:keepNext/>
              <w:spacing w:before="60" w:after="60" w:line="220" w:lineRule="atLeast"/>
              <w:ind w:left="1134" w:hanging="1134"/>
              <w:jc w:val="center"/>
              <w:rPr>
                <w:bCs/>
                <w:sz w:val="18"/>
                <w:szCs w:val="18"/>
                <w:lang w:val="fr-FR"/>
              </w:rPr>
            </w:pPr>
          </w:p>
        </w:tc>
        <w:tc>
          <w:tcPr>
            <w:tcW w:w="1317" w:type="dxa"/>
            <w:shd w:val="clear" w:color="auto" w:fill="FFFFFF"/>
          </w:tcPr>
          <w:p w:rsidR="002B4B8E" w:rsidRPr="00A779B8" w:rsidRDefault="002B4B8E" w:rsidP="002B4B8E">
            <w:pPr>
              <w:keepNext/>
              <w:spacing w:before="60" w:after="60" w:line="220" w:lineRule="atLeast"/>
              <w:ind w:left="1134" w:hanging="1134"/>
              <w:jc w:val="center"/>
              <w:rPr>
                <w:bCs/>
                <w:sz w:val="18"/>
                <w:szCs w:val="18"/>
                <w:lang w:val="fr-FR"/>
              </w:rPr>
            </w:pPr>
            <w:r w:rsidRPr="00A779B8">
              <w:rPr>
                <w:sz w:val="18"/>
                <w:szCs w:val="18"/>
                <w:lang w:val="fr-FR"/>
              </w:rPr>
              <w:t>95</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EN ISO 5164</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moteur (IOM)</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p>
        </w:tc>
        <w:tc>
          <w:tcPr>
            <w:tcW w:w="1317" w:type="dxa"/>
            <w:shd w:val="clear" w:color="auto" w:fill="FFFFFF"/>
          </w:tcPr>
          <w:p w:rsidR="002B4B8E" w:rsidRPr="00A779B8" w:rsidRDefault="002B4B8E" w:rsidP="002B4B8E">
            <w:pPr>
              <w:keepNext/>
              <w:spacing w:before="60" w:after="60" w:line="220" w:lineRule="atLeast"/>
              <w:ind w:left="1134" w:hanging="1134"/>
              <w:jc w:val="center"/>
              <w:rPr>
                <w:bCs/>
                <w:sz w:val="18"/>
                <w:szCs w:val="18"/>
                <w:lang w:val="fr-FR"/>
              </w:rPr>
            </w:pPr>
            <w:r w:rsidRPr="00A779B8">
              <w:rPr>
                <w:sz w:val="18"/>
                <w:szCs w:val="18"/>
                <w:lang w:val="fr-FR"/>
              </w:rPr>
              <w:t>85</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EN ISO 5163</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Densité à 15 °C</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kg/m</w:t>
            </w:r>
            <w:r w:rsidRPr="00A779B8">
              <w:rPr>
                <w:sz w:val="18"/>
                <w:szCs w:val="18"/>
                <w:vertAlign w:val="superscript"/>
                <w:lang w:val="fr-FR"/>
              </w:rPr>
              <w:t>3</w:t>
            </w:r>
          </w:p>
        </w:tc>
        <w:tc>
          <w:tcPr>
            <w:tcW w:w="2634" w:type="dxa"/>
            <w:gridSpan w:val="2"/>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Valeur déclarée</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EN ISO 12185</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Pression de vapeur Reid</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kPa</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50</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60</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EN ISO 1 30 16-1 (DVPE)</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Teneur en soufre</w:t>
            </w:r>
            <w:r w:rsidRPr="00A779B8">
              <w:rPr>
                <w:i/>
                <w:sz w:val="18"/>
                <w:szCs w:val="18"/>
                <w:vertAlign w:val="superscript"/>
                <w:lang w:val="fr-FR"/>
              </w:rPr>
              <w:t>3,</w:t>
            </w:r>
            <w:r w:rsidRPr="00A779B8">
              <w:rPr>
                <w:i/>
                <w:sz w:val="18"/>
                <w:szCs w:val="18"/>
                <w:lang w:val="fr-FR"/>
              </w:rPr>
              <w:t xml:space="preserve"> </w:t>
            </w:r>
            <w:r w:rsidRPr="00A779B8">
              <w:rPr>
                <w:i/>
                <w:sz w:val="18"/>
                <w:szCs w:val="18"/>
                <w:vertAlign w:val="superscript"/>
                <w:lang w:val="fr-FR"/>
              </w:rPr>
              <w:t>4</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mg/kg</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10</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EN ISO 20846</w:t>
            </w:r>
            <w:r w:rsidRPr="00A779B8">
              <w:rPr>
                <w:sz w:val="18"/>
                <w:szCs w:val="18"/>
                <w:lang w:val="fr-FR"/>
              </w:rPr>
              <w:br/>
              <w:t>EN ISO 20884</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Stabilité à l</w:t>
            </w:r>
            <w:r w:rsidR="00DB4C2D">
              <w:rPr>
                <w:sz w:val="18"/>
                <w:szCs w:val="18"/>
                <w:lang w:val="fr-FR"/>
              </w:rPr>
              <w:t>’</w:t>
            </w:r>
            <w:r w:rsidRPr="00A779B8">
              <w:rPr>
                <w:sz w:val="18"/>
                <w:szCs w:val="18"/>
                <w:lang w:val="fr-FR"/>
              </w:rPr>
              <w:t>oxydation</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min</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360</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EN ISO 7536</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Gomme actuelle (nettoyage avec un solvant)</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mg/100 ml</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4</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EN ISO 6246</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Apparence</w:t>
            </w:r>
            <w:r w:rsidRPr="00A779B8">
              <w:rPr>
                <w:sz w:val="18"/>
                <w:szCs w:val="18"/>
                <w:lang w:val="fr-FR"/>
              </w:rPr>
              <w:br/>
              <w:t>Elle est déterminée à température ambiante ou à la température de 15 °C si celle-ci est supérieure</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p>
        </w:tc>
        <w:tc>
          <w:tcPr>
            <w:tcW w:w="2634" w:type="dxa"/>
            <w:gridSpan w:val="2"/>
            <w:shd w:val="clear" w:color="auto" w:fill="FFFFFF"/>
            <w:tcMar>
              <w:left w:w="28" w:type="dxa"/>
              <w:right w:w="28" w:type="dxa"/>
            </w:tcMar>
          </w:tcPr>
          <w:p w:rsidR="002B4B8E" w:rsidRPr="00A779B8" w:rsidRDefault="002B4B8E" w:rsidP="002B4B8E">
            <w:pPr>
              <w:keepNext/>
              <w:spacing w:before="60" w:after="60" w:line="220" w:lineRule="atLeast"/>
              <w:jc w:val="center"/>
              <w:rPr>
                <w:sz w:val="18"/>
                <w:szCs w:val="18"/>
                <w:lang w:val="fr-FR"/>
              </w:rPr>
            </w:pPr>
            <w:r w:rsidRPr="00A779B8">
              <w:rPr>
                <w:sz w:val="18"/>
                <w:szCs w:val="18"/>
                <w:lang w:val="fr-FR"/>
              </w:rPr>
              <w:t>Limpide et brillant, visiblement non contaminé par des matières en suspension ou des précipitations</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Inspection visuelle</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vertAlign w:val="superscript"/>
                <w:lang w:val="fr-FR"/>
              </w:rPr>
            </w:pPr>
            <w:r w:rsidRPr="00A779B8">
              <w:rPr>
                <w:sz w:val="18"/>
                <w:szCs w:val="18"/>
                <w:lang w:val="fr-FR"/>
              </w:rPr>
              <w:t>Éthanol et alcool supérieurs</w:t>
            </w:r>
            <w:r w:rsidRPr="00A779B8">
              <w:rPr>
                <w:i/>
                <w:sz w:val="18"/>
                <w:szCs w:val="18"/>
                <w:vertAlign w:val="superscript"/>
                <w:lang w:val="fr-FR"/>
              </w:rPr>
              <w:t>7</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 (v/v)</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70</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80</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EN 1601</w:t>
            </w:r>
            <w:r w:rsidRPr="00A779B8">
              <w:rPr>
                <w:sz w:val="18"/>
                <w:szCs w:val="18"/>
                <w:lang w:val="fr-FR"/>
              </w:rPr>
              <w:br/>
              <w:t>EN 13132</w:t>
            </w:r>
            <w:r w:rsidRPr="00A779B8">
              <w:rPr>
                <w:sz w:val="18"/>
                <w:szCs w:val="18"/>
                <w:lang w:val="fr-FR"/>
              </w:rPr>
              <w:br/>
              <w:t>EN 1451 7</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Alcools supérieurs (C3-C8)</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 (v/v)</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2</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Méthanol</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w:t>
            </w:r>
          </w:p>
        </w:tc>
        <w:tc>
          <w:tcPr>
            <w:tcW w:w="1317" w:type="dxa"/>
            <w:shd w:val="clear" w:color="auto" w:fill="auto"/>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0,5</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Essence</w:t>
            </w:r>
            <w:r w:rsidRPr="00A779B8">
              <w:rPr>
                <w:i/>
                <w:sz w:val="18"/>
                <w:szCs w:val="18"/>
                <w:vertAlign w:val="superscript"/>
                <w:lang w:val="fr-FR"/>
              </w:rPr>
              <w:t>5</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 (v/v)</w:t>
            </w:r>
          </w:p>
        </w:tc>
        <w:tc>
          <w:tcPr>
            <w:tcW w:w="2634" w:type="dxa"/>
            <w:gridSpan w:val="2"/>
            <w:shd w:val="clear" w:color="auto" w:fill="auto"/>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Reste</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EN 228</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Phosphore</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mg/l</w:t>
            </w:r>
          </w:p>
        </w:tc>
        <w:tc>
          <w:tcPr>
            <w:tcW w:w="2634" w:type="dxa"/>
            <w:gridSpan w:val="2"/>
            <w:shd w:val="clear" w:color="auto" w:fill="auto"/>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0,3</w:t>
            </w:r>
            <w:r w:rsidRPr="00A779B8">
              <w:rPr>
                <w:i/>
                <w:sz w:val="18"/>
                <w:szCs w:val="18"/>
                <w:vertAlign w:val="superscript"/>
                <w:lang w:val="fr-FR"/>
              </w:rPr>
              <w:t>6</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 xml:space="preserve">EN 15487 </w:t>
            </w:r>
            <w:r w:rsidRPr="00A779B8">
              <w:rPr>
                <w:sz w:val="18"/>
                <w:szCs w:val="18"/>
                <w:lang w:val="fr-FR"/>
              </w:rPr>
              <w:br/>
              <w:t>ASTM D 3231</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Teneur en eau</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 (v/v)</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w:t>
            </w:r>
          </w:p>
        </w:tc>
        <w:tc>
          <w:tcPr>
            <w:tcW w:w="1317" w:type="dxa"/>
            <w:shd w:val="clear" w:color="auto" w:fill="auto"/>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0,3</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ASTM E 1064</w:t>
            </w:r>
            <w:r w:rsidRPr="00A779B8">
              <w:rPr>
                <w:sz w:val="18"/>
                <w:szCs w:val="18"/>
                <w:lang w:val="fr-FR"/>
              </w:rPr>
              <w:br/>
              <w:t>EN 15 489</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Teneur en chlorures inorganiques</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mg/1</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w:t>
            </w:r>
          </w:p>
        </w:tc>
        <w:tc>
          <w:tcPr>
            <w:tcW w:w="1317" w:type="dxa"/>
            <w:shd w:val="clear" w:color="auto" w:fill="auto"/>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1</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ISO 6227 − EN 15492</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proofErr w:type="spellStart"/>
            <w:r w:rsidRPr="00A779B8">
              <w:rPr>
                <w:sz w:val="18"/>
                <w:szCs w:val="18"/>
                <w:lang w:val="fr-FR"/>
              </w:rPr>
              <w:t>pHe</w:t>
            </w:r>
            <w:proofErr w:type="spellEnd"/>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6,5</w:t>
            </w:r>
          </w:p>
        </w:tc>
        <w:tc>
          <w:tcPr>
            <w:tcW w:w="1317" w:type="dxa"/>
            <w:shd w:val="clear" w:color="auto" w:fill="auto"/>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9</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ASTM D 6423</w:t>
            </w:r>
            <w:r w:rsidRPr="00A779B8">
              <w:rPr>
                <w:sz w:val="18"/>
                <w:szCs w:val="18"/>
                <w:lang w:val="fr-FR"/>
              </w:rPr>
              <w:br/>
              <w:t>EN 15490</w:t>
            </w: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Corrosion sur lame de cuivre</w:t>
            </w:r>
            <w:r w:rsidRPr="00A779B8">
              <w:rPr>
                <w:sz w:val="18"/>
                <w:szCs w:val="18"/>
                <w:lang w:val="fr-FR"/>
              </w:rPr>
              <w:br/>
              <w:t>(3 h à 50 °C)</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Évaluation</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Classe I</w:t>
            </w:r>
          </w:p>
        </w:tc>
        <w:tc>
          <w:tcPr>
            <w:tcW w:w="1317" w:type="dxa"/>
            <w:shd w:val="clear" w:color="auto" w:fill="auto"/>
          </w:tcPr>
          <w:p w:rsidR="002B4B8E" w:rsidRPr="00A779B8" w:rsidRDefault="002B4B8E" w:rsidP="002B4B8E">
            <w:pPr>
              <w:keepNext/>
              <w:spacing w:before="60" w:after="60" w:line="220" w:lineRule="atLeast"/>
              <w:ind w:left="1134" w:hanging="1134"/>
              <w:jc w:val="center"/>
              <w:rPr>
                <w:sz w:val="18"/>
                <w:szCs w:val="18"/>
                <w:lang w:val="fr-FR"/>
              </w:rPr>
            </w:pP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EN ISO 2160</w:t>
            </w:r>
          </w:p>
        </w:tc>
      </w:tr>
      <w:tr w:rsidR="002B4B8E" w:rsidRPr="00A779B8" w:rsidTr="00DB4C2D">
        <w:trPr>
          <w:jc w:val="center"/>
        </w:trPr>
        <w:tc>
          <w:tcPr>
            <w:tcW w:w="3642" w:type="dxa"/>
            <w:vMerge w:val="restart"/>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Acidité (acide acétique CH</w:t>
            </w:r>
            <w:r w:rsidRPr="00A779B8">
              <w:rPr>
                <w:sz w:val="18"/>
                <w:szCs w:val="18"/>
                <w:vertAlign w:val="subscript"/>
                <w:lang w:val="fr-FR"/>
              </w:rPr>
              <w:t>3</w:t>
            </w:r>
            <w:r w:rsidRPr="00A779B8">
              <w:rPr>
                <w:sz w:val="18"/>
                <w:szCs w:val="18"/>
                <w:lang w:val="fr-FR"/>
              </w:rPr>
              <w:t>COOH)</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 (m/m)</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p>
        </w:tc>
        <w:tc>
          <w:tcPr>
            <w:tcW w:w="1317" w:type="dxa"/>
            <w:shd w:val="clear" w:color="auto" w:fill="auto"/>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0,005</w:t>
            </w:r>
          </w:p>
        </w:tc>
        <w:tc>
          <w:tcPr>
            <w:tcW w:w="2241" w:type="dxa"/>
            <w:vMerge w:val="restart"/>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ASTM 0161 3</w:t>
            </w:r>
            <w:r w:rsidRPr="00A779B8">
              <w:rPr>
                <w:sz w:val="18"/>
                <w:szCs w:val="18"/>
                <w:lang w:val="fr-FR"/>
              </w:rPr>
              <w:br/>
              <w:t>EN 15491</w:t>
            </w:r>
          </w:p>
        </w:tc>
      </w:tr>
      <w:tr w:rsidR="002B4B8E" w:rsidRPr="00A779B8" w:rsidTr="00DB4C2D">
        <w:trPr>
          <w:jc w:val="center"/>
        </w:trPr>
        <w:tc>
          <w:tcPr>
            <w:tcW w:w="3642" w:type="dxa"/>
            <w:vMerge/>
            <w:shd w:val="clear" w:color="auto" w:fill="FFFFFF"/>
          </w:tcPr>
          <w:p w:rsidR="002B4B8E" w:rsidRPr="00A779B8" w:rsidRDefault="002B4B8E" w:rsidP="002B4B8E">
            <w:pPr>
              <w:keepNext/>
              <w:spacing w:before="60" w:after="60" w:line="220" w:lineRule="atLeast"/>
              <w:rPr>
                <w:sz w:val="18"/>
                <w:szCs w:val="18"/>
                <w:lang w:val="fr-FR"/>
              </w:rPr>
            </w:pP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mg/1</w:t>
            </w: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p>
        </w:tc>
        <w:tc>
          <w:tcPr>
            <w:tcW w:w="1317"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40</w:t>
            </w:r>
          </w:p>
        </w:tc>
        <w:tc>
          <w:tcPr>
            <w:tcW w:w="2241" w:type="dxa"/>
            <w:vMerge/>
            <w:shd w:val="clear" w:color="auto" w:fill="FFFFFF"/>
          </w:tcPr>
          <w:p w:rsidR="002B4B8E" w:rsidRPr="00A779B8" w:rsidRDefault="002B4B8E" w:rsidP="002B4B8E">
            <w:pPr>
              <w:keepNext/>
              <w:spacing w:before="60" w:after="60" w:line="220" w:lineRule="atLeast"/>
              <w:rPr>
                <w:sz w:val="18"/>
                <w:szCs w:val="18"/>
                <w:lang w:val="fr-FR"/>
              </w:rPr>
            </w:pP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Rapport carbone/hydrogène</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p>
        </w:tc>
        <w:tc>
          <w:tcPr>
            <w:tcW w:w="2634" w:type="dxa"/>
            <w:gridSpan w:val="2"/>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Valeur déclarée</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p>
        </w:tc>
      </w:tr>
      <w:tr w:rsidR="002B4B8E" w:rsidRPr="00A779B8" w:rsidTr="00DB4C2D">
        <w:trPr>
          <w:jc w:val="center"/>
        </w:trPr>
        <w:tc>
          <w:tcPr>
            <w:tcW w:w="3642" w:type="dxa"/>
            <w:shd w:val="clear" w:color="auto" w:fill="FFFFFF"/>
          </w:tcPr>
          <w:p w:rsidR="002B4B8E" w:rsidRPr="00A779B8" w:rsidRDefault="002B4B8E" w:rsidP="002B4B8E">
            <w:pPr>
              <w:keepNext/>
              <w:spacing w:before="60" w:after="60" w:line="220" w:lineRule="atLeast"/>
              <w:rPr>
                <w:sz w:val="18"/>
                <w:szCs w:val="18"/>
                <w:lang w:val="fr-FR"/>
              </w:rPr>
            </w:pPr>
            <w:r w:rsidRPr="00A779B8">
              <w:rPr>
                <w:sz w:val="18"/>
                <w:szCs w:val="18"/>
                <w:lang w:val="fr-FR"/>
              </w:rPr>
              <w:t>Rapport carbone/oxygène</w:t>
            </w:r>
          </w:p>
        </w:tc>
        <w:tc>
          <w:tcPr>
            <w:tcW w:w="1122" w:type="dxa"/>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p>
        </w:tc>
        <w:tc>
          <w:tcPr>
            <w:tcW w:w="2634" w:type="dxa"/>
            <w:gridSpan w:val="2"/>
            <w:shd w:val="clear" w:color="auto" w:fill="FFFFFF"/>
          </w:tcPr>
          <w:p w:rsidR="002B4B8E" w:rsidRPr="00A779B8" w:rsidRDefault="002B4B8E" w:rsidP="002B4B8E">
            <w:pPr>
              <w:keepNext/>
              <w:spacing w:before="60" w:after="60" w:line="220" w:lineRule="atLeast"/>
              <w:ind w:left="1134" w:hanging="1134"/>
              <w:jc w:val="center"/>
              <w:rPr>
                <w:sz w:val="18"/>
                <w:szCs w:val="18"/>
                <w:lang w:val="fr-FR"/>
              </w:rPr>
            </w:pPr>
            <w:r w:rsidRPr="00A779B8">
              <w:rPr>
                <w:sz w:val="18"/>
                <w:szCs w:val="18"/>
                <w:lang w:val="fr-FR"/>
              </w:rPr>
              <w:t>Valeur déclarée</w:t>
            </w:r>
          </w:p>
        </w:tc>
        <w:tc>
          <w:tcPr>
            <w:tcW w:w="2241" w:type="dxa"/>
            <w:shd w:val="clear" w:color="auto" w:fill="FFFFFF"/>
          </w:tcPr>
          <w:p w:rsidR="002B4B8E" w:rsidRPr="00A779B8" w:rsidRDefault="002B4B8E" w:rsidP="002B4B8E">
            <w:pPr>
              <w:keepNext/>
              <w:spacing w:before="60" w:after="60" w:line="220" w:lineRule="atLeast"/>
              <w:rPr>
                <w:sz w:val="18"/>
                <w:szCs w:val="18"/>
                <w:lang w:val="fr-FR"/>
              </w:rPr>
            </w:pPr>
          </w:p>
        </w:tc>
      </w:tr>
    </w:tbl>
    <w:p w:rsidR="002B4B8E" w:rsidRDefault="002B4B8E" w:rsidP="002B4B8E">
      <w:pPr>
        <w:spacing w:before="120"/>
        <w:ind w:left="454" w:hanging="284"/>
        <w:rPr>
          <w:sz w:val="18"/>
          <w:szCs w:val="18"/>
          <w:lang w:val="fr-FR"/>
        </w:rPr>
      </w:pPr>
      <w:r w:rsidRPr="00A779B8">
        <w:rPr>
          <w:i/>
          <w:sz w:val="18"/>
          <w:szCs w:val="18"/>
          <w:vertAlign w:val="superscript"/>
          <w:lang w:val="fr-FR"/>
        </w:rPr>
        <w:t>1</w:t>
      </w:r>
      <w:r w:rsidRPr="00A779B8">
        <w:rPr>
          <w:i/>
          <w:sz w:val="18"/>
          <w:szCs w:val="18"/>
          <w:vertAlign w:val="superscript"/>
          <w:lang w:val="fr-FR"/>
        </w:rPr>
        <w:tab/>
      </w:r>
      <w:r w:rsidRPr="00A779B8">
        <w:rPr>
          <w:sz w:val="18"/>
          <w:szCs w:val="18"/>
          <w:lang w:val="fr-FR"/>
        </w:rPr>
        <w:t>Les valeurs mentionnées dans les spécifications sont des «valeurs vraies». Les valeurs limites ont été déterminées conformément à la norme ISO 4259 intitulée «Produits pétroliers − Détermination et application des valeurs de fidélité relatives aux méthodes d</w:t>
      </w:r>
      <w:r w:rsidR="00DB4C2D">
        <w:rPr>
          <w:sz w:val="18"/>
          <w:szCs w:val="18"/>
          <w:lang w:val="fr-FR"/>
        </w:rPr>
        <w:t>’</w:t>
      </w:r>
      <w:r w:rsidRPr="00A779B8">
        <w:rPr>
          <w:sz w:val="18"/>
          <w:szCs w:val="18"/>
          <w:lang w:val="fr-FR"/>
        </w:rPr>
        <w:t>essai». Pour la fixation d</w:t>
      </w:r>
      <w:r w:rsidR="00DB4C2D">
        <w:rPr>
          <w:sz w:val="18"/>
          <w:szCs w:val="18"/>
          <w:lang w:val="fr-FR"/>
        </w:rPr>
        <w:t>’</w:t>
      </w:r>
      <w:r w:rsidRPr="00A779B8">
        <w:rPr>
          <w:sz w:val="18"/>
          <w:szCs w:val="18"/>
          <w:lang w:val="fr-FR"/>
        </w:rPr>
        <w:t>un minimum, une différence minimale de 2R par rapport à la valeur zéro a été prise en compte; pour la fixation d</w:t>
      </w:r>
      <w:r w:rsidR="00DB4C2D">
        <w:rPr>
          <w:sz w:val="18"/>
          <w:szCs w:val="18"/>
          <w:lang w:val="fr-FR"/>
        </w:rPr>
        <w:t>’</w:t>
      </w:r>
      <w:r w:rsidRPr="00A779B8">
        <w:rPr>
          <w:sz w:val="18"/>
          <w:szCs w:val="18"/>
          <w:lang w:val="fr-FR"/>
        </w:rPr>
        <w:t>un maximum et d</w:t>
      </w:r>
      <w:r w:rsidR="00DB4C2D">
        <w:rPr>
          <w:sz w:val="18"/>
          <w:szCs w:val="18"/>
          <w:lang w:val="fr-FR"/>
        </w:rPr>
        <w:t>’</w:t>
      </w:r>
      <w:r w:rsidRPr="00A779B8">
        <w:rPr>
          <w:sz w:val="18"/>
          <w:szCs w:val="18"/>
          <w:lang w:val="fr-FR"/>
        </w:rPr>
        <w:t>un minimum, la différence minimale entre ces valeurs a été de 4R (R = reproductibilité).</w:t>
      </w:r>
      <w:r w:rsidRPr="00A779B8">
        <w:rPr>
          <w:sz w:val="18"/>
          <w:szCs w:val="18"/>
          <w:lang w:val="fr-FR"/>
        </w:rPr>
        <w:br/>
        <w:t>Malgré cette mesure, qui est nécessaire pour des raisons techniques, le fabricant de carburant doit viser la valeur zéro lorsque la valeur maximale indiquée est de 2R ou la valeur moyenne lorsqu</w:t>
      </w:r>
      <w:r w:rsidR="00DB4C2D">
        <w:rPr>
          <w:sz w:val="18"/>
          <w:szCs w:val="18"/>
          <w:lang w:val="fr-FR"/>
        </w:rPr>
        <w:t>’</w:t>
      </w:r>
      <w:r w:rsidRPr="00A779B8">
        <w:rPr>
          <w:sz w:val="18"/>
          <w:szCs w:val="18"/>
          <w:lang w:val="fr-FR"/>
        </w:rPr>
        <w:t>il existe un minimum et un maximum. Au cas où il serait nécessaire de vérifier le respect des spécifications pour un carburant, les dispositions de la norme ISO 4259 devraient être appliquées.</w:t>
      </w:r>
    </w:p>
    <w:p w:rsidR="002B4B8E" w:rsidRPr="00A779B8" w:rsidRDefault="002B4B8E" w:rsidP="002B4B8E">
      <w:pPr>
        <w:ind w:left="454" w:hanging="284"/>
        <w:rPr>
          <w:sz w:val="18"/>
          <w:szCs w:val="18"/>
          <w:lang w:val="fr-FR"/>
        </w:rPr>
      </w:pPr>
      <w:r w:rsidRPr="00A779B8">
        <w:rPr>
          <w:i/>
          <w:sz w:val="18"/>
          <w:szCs w:val="18"/>
          <w:vertAlign w:val="superscript"/>
          <w:lang w:val="fr-FR"/>
        </w:rPr>
        <w:lastRenderedPageBreak/>
        <w:t>2</w:t>
      </w:r>
      <w:r w:rsidRPr="00A779B8">
        <w:rPr>
          <w:sz w:val="18"/>
          <w:szCs w:val="18"/>
          <w:lang w:val="fr-FR"/>
        </w:rPr>
        <w:tab/>
        <w:t>En cas de différend, il convient de recourir aux procédures de règlement des différends et d</w:t>
      </w:r>
      <w:r w:rsidR="00DB4C2D">
        <w:rPr>
          <w:sz w:val="18"/>
          <w:szCs w:val="18"/>
          <w:lang w:val="fr-FR"/>
        </w:rPr>
        <w:t>’</w:t>
      </w:r>
      <w:r w:rsidRPr="00A779B8">
        <w:rPr>
          <w:sz w:val="18"/>
          <w:szCs w:val="18"/>
          <w:lang w:val="fr-FR"/>
        </w:rPr>
        <w:t>interprétation des résultats basées sur la précision de la méthode d</w:t>
      </w:r>
      <w:r w:rsidR="00DB4C2D">
        <w:rPr>
          <w:sz w:val="18"/>
          <w:szCs w:val="18"/>
          <w:lang w:val="fr-FR"/>
        </w:rPr>
        <w:t>’</w:t>
      </w:r>
      <w:r w:rsidRPr="00A779B8">
        <w:rPr>
          <w:sz w:val="18"/>
          <w:szCs w:val="18"/>
          <w:lang w:val="fr-FR"/>
        </w:rPr>
        <w:t>essai, décrites dans EN ISO 4259.</w:t>
      </w:r>
    </w:p>
    <w:p w:rsidR="002B4B8E" w:rsidRPr="00A779B8" w:rsidRDefault="002B4B8E" w:rsidP="002B4B8E">
      <w:pPr>
        <w:ind w:left="454" w:hanging="284"/>
        <w:rPr>
          <w:sz w:val="18"/>
          <w:szCs w:val="18"/>
          <w:lang w:val="fr-FR"/>
        </w:rPr>
      </w:pPr>
      <w:r w:rsidRPr="00A779B8">
        <w:rPr>
          <w:i/>
          <w:sz w:val="18"/>
          <w:szCs w:val="18"/>
          <w:vertAlign w:val="superscript"/>
          <w:lang w:val="fr-FR"/>
        </w:rPr>
        <w:t>3</w:t>
      </w:r>
      <w:r w:rsidRPr="00A779B8">
        <w:rPr>
          <w:sz w:val="18"/>
          <w:szCs w:val="18"/>
          <w:lang w:val="fr-FR"/>
        </w:rPr>
        <w:tab/>
        <w:t>En cas de différend national concernant la teneur en soufre, les normes EN ISO 20846 ou EN ISO 20884 sont invoquées de manière similaire à la référence figurant dans l</w:t>
      </w:r>
      <w:r w:rsidR="00DB4C2D">
        <w:rPr>
          <w:sz w:val="18"/>
          <w:szCs w:val="18"/>
          <w:lang w:val="fr-FR"/>
        </w:rPr>
        <w:t>’</w:t>
      </w:r>
      <w:r w:rsidRPr="00A779B8">
        <w:rPr>
          <w:sz w:val="18"/>
          <w:szCs w:val="18"/>
          <w:lang w:val="fr-FR"/>
        </w:rPr>
        <w:t>annexe de la norme EN 228.</w:t>
      </w:r>
    </w:p>
    <w:p w:rsidR="002B4B8E" w:rsidRPr="00A779B8" w:rsidRDefault="002B4B8E" w:rsidP="002B4B8E">
      <w:pPr>
        <w:ind w:left="454" w:hanging="284"/>
        <w:rPr>
          <w:sz w:val="18"/>
          <w:szCs w:val="18"/>
          <w:lang w:val="fr-FR"/>
        </w:rPr>
      </w:pPr>
      <w:r w:rsidRPr="00A779B8">
        <w:rPr>
          <w:i/>
          <w:sz w:val="18"/>
          <w:szCs w:val="18"/>
          <w:vertAlign w:val="superscript"/>
          <w:lang w:val="fr-FR"/>
        </w:rPr>
        <w:t>4</w:t>
      </w:r>
      <w:r w:rsidRPr="00A779B8">
        <w:rPr>
          <w:sz w:val="18"/>
          <w:szCs w:val="18"/>
          <w:lang w:val="fr-FR"/>
        </w:rPr>
        <w:tab/>
        <w:t>Il convient de communiquer la teneur en soufre effective du carburant utilisé pour les essais du type VI.</w:t>
      </w:r>
    </w:p>
    <w:p w:rsidR="002B4B8E" w:rsidRPr="00A779B8" w:rsidRDefault="002B4B8E" w:rsidP="002B4B8E">
      <w:pPr>
        <w:ind w:left="454" w:hanging="284"/>
        <w:rPr>
          <w:sz w:val="18"/>
          <w:szCs w:val="18"/>
          <w:lang w:val="fr-FR"/>
        </w:rPr>
      </w:pPr>
      <w:r w:rsidRPr="00A779B8">
        <w:rPr>
          <w:i/>
          <w:sz w:val="18"/>
          <w:szCs w:val="18"/>
          <w:vertAlign w:val="superscript"/>
          <w:lang w:val="fr-FR"/>
        </w:rPr>
        <w:t>5</w:t>
      </w:r>
      <w:r w:rsidRPr="00A779B8">
        <w:rPr>
          <w:sz w:val="18"/>
          <w:szCs w:val="18"/>
          <w:lang w:val="fr-FR"/>
        </w:rPr>
        <w:tab/>
        <w:t>La teneur en essence sans plomb peut être déterminée comme égale à 100 moins la somme des teneurs en pourcentage d</w:t>
      </w:r>
      <w:r w:rsidR="00DB4C2D">
        <w:rPr>
          <w:sz w:val="18"/>
          <w:szCs w:val="18"/>
          <w:lang w:val="fr-FR"/>
        </w:rPr>
        <w:t>’</w:t>
      </w:r>
      <w:r w:rsidRPr="00A779B8">
        <w:rPr>
          <w:sz w:val="18"/>
          <w:szCs w:val="18"/>
          <w:lang w:val="fr-FR"/>
        </w:rPr>
        <w:t>eau et d</w:t>
      </w:r>
      <w:r w:rsidR="00DB4C2D">
        <w:rPr>
          <w:sz w:val="18"/>
          <w:szCs w:val="18"/>
          <w:lang w:val="fr-FR"/>
        </w:rPr>
        <w:t>’</w:t>
      </w:r>
      <w:r w:rsidRPr="00A779B8">
        <w:rPr>
          <w:sz w:val="18"/>
          <w:szCs w:val="18"/>
          <w:lang w:val="fr-FR"/>
        </w:rPr>
        <w:t>alcools.</w:t>
      </w:r>
    </w:p>
    <w:p w:rsidR="002B4B8E" w:rsidRPr="00A779B8" w:rsidRDefault="002B4B8E" w:rsidP="002B4B8E">
      <w:pPr>
        <w:ind w:left="454" w:hanging="284"/>
        <w:rPr>
          <w:sz w:val="18"/>
          <w:szCs w:val="18"/>
          <w:lang w:val="fr-FR"/>
        </w:rPr>
      </w:pPr>
      <w:r w:rsidRPr="00A779B8">
        <w:rPr>
          <w:i/>
          <w:sz w:val="18"/>
          <w:szCs w:val="18"/>
          <w:vertAlign w:val="superscript"/>
          <w:lang w:val="fr-FR"/>
        </w:rPr>
        <w:t>6</w:t>
      </w:r>
      <w:r w:rsidRPr="00A779B8">
        <w:rPr>
          <w:sz w:val="18"/>
          <w:szCs w:val="18"/>
          <w:lang w:val="fr-FR"/>
        </w:rPr>
        <w:tab/>
        <w:t>Aucun composant contenant du phosphore, du fer, du manganèse ou du plomb ne doit être ajouté délibérément au carburant de référence.</w:t>
      </w:r>
    </w:p>
    <w:p w:rsidR="002B4B8E" w:rsidRDefault="002B4B8E" w:rsidP="002B4B8E">
      <w:pPr>
        <w:ind w:left="454" w:hanging="284"/>
        <w:rPr>
          <w:sz w:val="18"/>
          <w:szCs w:val="18"/>
          <w:lang w:val="fr-FR"/>
        </w:rPr>
      </w:pPr>
      <w:r w:rsidRPr="00A779B8">
        <w:rPr>
          <w:i/>
          <w:sz w:val="18"/>
          <w:szCs w:val="18"/>
          <w:vertAlign w:val="superscript"/>
          <w:lang w:val="fr-FR"/>
        </w:rPr>
        <w:t>7</w:t>
      </w:r>
      <w:r w:rsidRPr="00A779B8">
        <w:rPr>
          <w:sz w:val="18"/>
          <w:szCs w:val="18"/>
          <w:lang w:val="fr-FR"/>
        </w:rPr>
        <w:tab/>
        <w:t>Le seul oxygénant pouvant être ajouté délibérément au carburant de référence est l</w:t>
      </w:r>
      <w:r w:rsidR="00DB4C2D">
        <w:rPr>
          <w:sz w:val="18"/>
          <w:szCs w:val="18"/>
          <w:lang w:val="fr-FR"/>
        </w:rPr>
        <w:t>’</w:t>
      </w:r>
      <w:r w:rsidRPr="00A779B8">
        <w:rPr>
          <w:sz w:val="18"/>
          <w:szCs w:val="18"/>
          <w:lang w:val="fr-FR"/>
        </w:rPr>
        <w:t>éthanol conforme à la spécification EN 15376.</w:t>
      </w:r>
    </w:p>
    <w:p w:rsidR="00585508" w:rsidRDefault="00585508" w:rsidP="002B4B8E">
      <w:pPr>
        <w:ind w:left="454" w:hanging="284"/>
        <w:sectPr w:rsidR="00585508" w:rsidSect="00C108AC">
          <w:headerReference w:type="even" r:id="rId258"/>
          <w:headerReference w:type="default" r:id="rId259"/>
          <w:footnotePr>
            <w:numRestart w:val="eachSect"/>
          </w:footnotePr>
          <w:endnotePr>
            <w:numFmt w:val="decimal"/>
          </w:endnotePr>
          <w:pgSz w:w="11907" w:h="16840" w:code="9"/>
          <w:pgMar w:top="1701" w:right="1134" w:bottom="2268" w:left="1134" w:header="794" w:footer="1701" w:gutter="0"/>
          <w:cols w:space="720"/>
          <w:docGrid w:linePitch="272"/>
        </w:sectPr>
      </w:pPr>
    </w:p>
    <w:p w:rsidR="00585508" w:rsidRPr="00A779B8" w:rsidRDefault="00585508" w:rsidP="00585508">
      <w:pPr>
        <w:pStyle w:val="HChG"/>
        <w:rPr>
          <w:lang w:val="fr-FR"/>
        </w:rPr>
      </w:pPr>
      <w:r w:rsidRPr="00A779B8">
        <w:rPr>
          <w:lang w:val="fr-FR"/>
        </w:rPr>
        <w:lastRenderedPageBreak/>
        <w:t>Annexe 10a</w:t>
      </w:r>
    </w:p>
    <w:p w:rsidR="00585508" w:rsidRPr="00A779B8" w:rsidRDefault="00585508" w:rsidP="00585508">
      <w:pPr>
        <w:pStyle w:val="HChG"/>
        <w:rPr>
          <w:lang w:val="fr-FR"/>
        </w:rPr>
      </w:pPr>
      <w:r w:rsidRPr="00A779B8">
        <w:rPr>
          <w:lang w:val="fr-FR"/>
        </w:rPr>
        <w:tab/>
      </w:r>
      <w:r w:rsidRPr="00A779B8">
        <w:rPr>
          <w:lang w:val="fr-FR"/>
        </w:rPr>
        <w:tab/>
        <w:t>Spécifications des</w:t>
      </w:r>
      <w:r w:rsidR="003E7BF8">
        <w:rPr>
          <w:lang w:val="fr-FR"/>
        </w:rPr>
        <w:t xml:space="preserve"> carburants gazeux de référence</w:t>
      </w:r>
    </w:p>
    <w:p w:rsidR="00585508" w:rsidRPr="00A779B8" w:rsidRDefault="00585508" w:rsidP="00585508">
      <w:pPr>
        <w:pStyle w:val="SingleTxtG"/>
        <w:keepNext/>
        <w:ind w:left="2268" w:hanging="1134"/>
        <w:jc w:val="left"/>
        <w:rPr>
          <w:lang w:val="fr-FR"/>
        </w:rPr>
      </w:pPr>
      <w:r w:rsidRPr="00A779B8">
        <w:rPr>
          <w:lang w:val="fr-FR"/>
        </w:rPr>
        <w:t>1.</w:t>
      </w:r>
      <w:r w:rsidRPr="00A779B8">
        <w:rPr>
          <w:lang w:val="fr-FR"/>
        </w:rPr>
        <w:tab/>
        <w:t xml:space="preserve">Spécifications des carburants gazeux de référence </w:t>
      </w:r>
    </w:p>
    <w:p w:rsidR="00585508" w:rsidRPr="00A779B8" w:rsidRDefault="00585508" w:rsidP="00585508">
      <w:pPr>
        <w:pStyle w:val="SingleTxtG"/>
        <w:keepNext/>
        <w:ind w:left="2268" w:hanging="1134"/>
        <w:jc w:val="left"/>
        <w:rPr>
          <w:lang w:val="fr-FR"/>
        </w:rPr>
      </w:pPr>
      <w:r w:rsidRPr="00A779B8">
        <w:rPr>
          <w:lang w:val="fr-FR"/>
        </w:rPr>
        <w:t>1.1</w:t>
      </w:r>
      <w:r w:rsidRPr="00A779B8">
        <w:rPr>
          <w:lang w:val="fr-FR"/>
        </w:rPr>
        <w:tab/>
      </w:r>
      <w:r w:rsidRPr="00A779B8">
        <w:rPr>
          <w:spacing w:val="-2"/>
          <w:lang w:val="fr-FR"/>
        </w:rPr>
        <w:t>Caractéristiques techniques des carburants GPL de référence à utiliser pour l</w:t>
      </w:r>
      <w:r w:rsidR="00DB4C2D">
        <w:rPr>
          <w:spacing w:val="-2"/>
          <w:lang w:val="fr-FR"/>
        </w:rPr>
        <w:t>’</w:t>
      </w:r>
      <w:r w:rsidRPr="00A779B8">
        <w:rPr>
          <w:spacing w:val="-2"/>
          <w:lang w:val="fr-FR"/>
        </w:rPr>
        <w:t>essai de véhicules en fonction des valeurs limites d</w:t>
      </w:r>
      <w:r w:rsidR="00DB4C2D">
        <w:rPr>
          <w:spacing w:val="-2"/>
          <w:lang w:val="fr-FR"/>
        </w:rPr>
        <w:t>’</w:t>
      </w:r>
      <w:r w:rsidRPr="00A779B8">
        <w:rPr>
          <w:spacing w:val="-2"/>
          <w:lang w:val="fr-FR"/>
        </w:rPr>
        <w:t>émission indiquées dans le tableau 1 du paragraphe 5.3.1.4 du présent Règlement − Essai du type I</w:t>
      </w:r>
    </w:p>
    <w:p w:rsidR="00585508" w:rsidRPr="00A779B8" w:rsidRDefault="00585508" w:rsidP="00585508">
      <w:pPr>
        <w:pStyle w:val="Titre1"/>
        <w:spacing w:after="120"/>
        <w:rPr>
          <w:b/>
          <w:lang w:val="fr-FR"/>
        </w:rPr>
      </w:pPr>
      <w:r w:rsidRPr="00A779B8">
        <w:rPr>
          <w:b/>
          <w:lang w:val="fr-FR"/>
        </w:rPr>
        <w:t>Type: GPL</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964"/>
        <w:gridCol w:w="1474"/>
        <w:gridCol w:w="1474"/>
        <w:gridCol w:w="2041"/>
      </w:tblGrid>
      <w:tr w:rsidR="00585508" w:rsidRPr="00A779B8" w:rsidTr="00DB4C2D">
        <w:tblPrEx>
          <w:tblCellMar>
            <w:top w:w="0" w:type="dxa"/>
            <w:bottom w:w="0" w:type="dxa"/>
          </w:tblCellMar>
        </w:tblPrEx>
        <w:trPr>
          <w:tblHeader/>
        </w:trPr>
        <w:tc>
          <w:tcPr>
            <w:tcW w:w="2552" w:type="dxa"/>
            <w:tcBorders>
              <w:bottom w:val="single" w:sz="4" w:space="0" w:color="auto"/>
            </w:tcBorders>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Paramètre</w:t>
            </w:r>
          </w:p>
        </w:tc>
        <w:tc>
          <w:tcPr>
            <w:tcW w:w="964" w:type="dxa"/>
            <w:tcBorders>
              <w:bottom w:val="single" w:sz="4" w:space="0" w:color="auto"/>
            </w:tcBorders>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Unité</w:t>
            </w:r>
          </w:p>
        </w:tc>
        <w:tc>
          <w:tcPr>
            <w:tcW w:w="1474" w:type="dxa"/>
            <w:tcBorders>
              <w:bottom w:val="single" w:sz="4" w:space="0" w:color="auto"/>
            </w:tcBorders>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Carburant A</w:t>
            </w:r>
          </w:p>
        </w:tc>
        <w:tc>
          <w:tcPr>
            <w:tcW w:w="1474" w:type="dxa"/>
            <w:tcBorders>
              <w:bottom w:val="single" w:sz="4" w:space="0" w:color="auto"/>
            </w:tcBorders>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Carburant B</w:t>
            </w:r>
          </w:p>
        </w:tc>
        <w:tc>
          <w:tcPr>
            <w:tcW w:w="2041" w:type="dxa"/>
            <w:tcBorders>
              <w:bottom w:val="single" w:sz="4" w:space="0" w:color="auto"/>
            </w:tcBorders>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p>
        </w:tc>
      </w:tr>
      <w:tr w:rsidR="00585508" w:rsidRPr="00A779B8" w:rsidTr="00DB4C2D">
        <w:tblPrEx>
          <w:tblCellMar>
            <w:top w:w="0" w:type="dxa"/>
            <w:bottom w:w="0" w:type="dxa"/>
          </w:tblCellMar>
        </w:tblPrEx>
        <w:tc>
          <w:tcPr>
            <w:tcW w:w="2552" w:type="dxa"/>
            <w:tcBorders>
              <w:bottom w:val="nil"/>
            </w:tcBorders>
          </w:tcPr>
          <w:p w:rsidR="00585508" w:rsidRPr="00A779B8" w:rsidRDefault="00585508" w:rsidP="00DB4C2D">
            <w:pPr>
              <w:spacing w:before="60" w:after="60" w:line="220" w:lineRule="atLeast"/>
              <w:rPr>
                <w:i/>
                <w:sz w:val="18"/>
                <w:szCs w:val="18"/>
                <w:lang w:val="fr-FR"/>
              </w:rPr>
            </w:pPr>
            <w:r w:rsidRPr="00A779B8">
              <w:rPr>
                <w:i/>
                <w:sz w:val="18"/>
                <w:szCs w:val="18"/>
                <w:lang w:val="fr-FR"/>
              </w:rPr>
              <w:t>Composition</w:t>
            </w:r>
            <w:r w:rsidRPr="00A779B8">
              <w:rPr>
                <w:sz w:val="18"/>
                <w:szCs w:val="18"/>
                <w:lang w:val="fr-FR"/>
              </w:rPr>
              <w:t>:</w:t>
            </w:r>
          </w:p>
        </w:tc>
        <w:tc>
          <w:tcPr>
            <w:tcW w:w="964" w:type="dxa"/>
            <w:tcBorders>
              <w:bottom w:val="nil"/>
            </w:tcBorders>
          </w:tcPr>
          <w:p w:rsidR="00585508" w:rsidRPr="00A779B8" w:rsidRDefault="00585508" w:rsidP="00DB4C2D">
            <w:pPr>
              <w:spacing w:before="60" w:after="60" w:line="220" w:lineRule="atLeast"/>
              <w:rPr>
                <w:sz w:val="18"/>
                <w:szCs w:val="18"/>
                <w:lang w:val="fr-FR"/>
              </w:rPr>
            </w:pPr>
          </w:p>
        </w:tc>
        <w:tc>
          <w:tcPr>
            <w:tcW w:w="1474" w:type="dxa"/>
            <w:tcBorders>
              <w:bottom w:val="nil"/>
            </w:tcBorders>
          </w:tcPr>
          <w:p w:rsidR="00585508" w:rsidRPr="00A779B8" w:rsidRDefault="00585508" w:rsidP="00DB4C2D">
            <w:pPr>
              <w:spacing w:before="60" w:after="60" w:line="220" w:lineRule="atLeast"/>
              <w:rPr>
                <w:sz w:val="18"/>
                <w:szCs w:val="18"/>
                <w:lang w:val="fr-FR"/>
              </w:rPr>
            </w:pPr>
          </w:p>
        </w:tc>
        <w:tc>
          <w:tcPr>
            <w:tcW w:w="1474" w:type="dxa"/>
            <w:tcBorders>
              <w:bottom w:val="nil"/>
            </w:tcBorders>
          </w:tcPr>
          <w:p w:rsidR="00585508" w:rsidRPr="00A779B8" w:rsidRDefault="00585508" w:rsidP="00DB4C2D">
            <w:pPr>
              <w:spacing w:before="60" w:after="60" w:line="220" w:lineRule="atLeast"/>
              <w:rPr>
                <w:sz w:val="18"/>
                <w:szCs w:val="18"/>
                <w:lang w:val="fr-FR"/>
              </w:rPr>
            </w:pPr>
          </w:p>
        </w:tc>
        <w:tc>
          <w:tcPr>
            <w:tcW w:w="2041" w:type="dxa"/>
            <w:tcBorders>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ISO 7941</w:t>
            </w:r>
          </w:p>
        </w:tc>
      </w:tr>
      <w:tr w:rsidR="00585508" w:rsidRPr="00A779B8" w:rsidTr="00DB4C2D">
        <w:tblPrEx>
          <w:tblCellMar>
            <w:top w:w="0" w:type="dxa"/>
            <w:bottom w:w="0" w:type="dxa"/>
          </w:tblCellMar>
        </w:tblPrEx>
        <w:tc>
          <w:tcPr>
            <w:tcW w:w="2552" w:type="dxa"/>
            <w:tcBorders>
              <w:top w:val="nil"/>
              <w:bottom w:val="nil"/>
            </w:tcBorders>
          </w:tcPr>
          <w:p w:rsidR="00585508" w:rsidRPr="00A779B8" w:rsidRDefault="00585508" w:rsidP="00DB4C2D">
            <w:pPr>
              <w:spacing w:before="60" w:after="60" w:line="220" w:lineRule="atLeast"/>
              <w:ind w:firstLine="170"/>
              <w:rPr>
                <w:sz w:val="18"/>
                <w:szCs w:val="18"/>
                <w:lang w:val="fr-FR"/>
              </w:rPr>
            </w:pPr>
            <w:r w:rsidRPr="00A779B8">
              <w:rPr>
                <w:sz w:val="18"/>
                <w:szCs w:val="18"/>
                <w:lang w:val="fr-FR"/>
              </w:rPr>
              <w:t>Teneur en C</w:t>
            </w:r>
            <w:r w:rsidRPr="00A779B8">
              <w:rPr>
                <w:sz w:val="18"/>
                <w:szCs w:val="18"/>
                <w:vertAlign w:val="subscript"/>
                <w:lang w:val="fr-FR"/>
              </w:rPr>
              <w:t>3</w:t>
            </w:r>
          </w:p>
        </w:tc>
        <w:tc>
          <w:tcPr>
            <w:tcW w:w="964"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vol</w:t>
            </w:r>
          </w:p>
        </w:tc>
        <w:tc>
          <w:tcPr>
            <w:tcW w:w="1474"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xml:space="preserve">30 </w:t>
            </w:r>
            <w:r w:rsidRPr="00A779B8">
              <w:rPr>
                <w:sz w:val="18"/>
                <w:szCs w:val="18"/>
                <w:lang w:val="fr-FR"/>
              </w:rPr>
              <w:sym w:font="Symbol" w:char="F0B1"/>
            </w:r>
            <w:r w:rsidRPr="00A779B8">
              <w:rPr>
                <w:sz w:val="18"/>
                <w:szCs w:val="18"/>
                <w:lang w:val="fr-FR"/>
              </w:rPr>
              <w:t xml:space="preserve"> 2</w:t>
            </w:r>
          </w:p>
        </w:tc>
        <w:tc>
          <w:tcPr>
            <w:tcW w:w="1474"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xml:space="preserve">85 </w:t>
            </w:r>
            <w:r w:rsidRPr="00A779B8">
              <w:rPr>
                <w:sz w:val="18"/>
                <w:szCs w:val="18"/>
                <w:lang w:val="fr-FR"/>
              </w:rPr>
              <w:sym w:font="Symbol" w:char="F0B1"/>
            </w:r>
            <w:r w:rsidRPr="00A779B8">
              <w:rPr>
                <w:sz w:val="18"/>
                <w:szCs w:val="18"/>
                <w:lang w:val="fr-FR"/>
              </w:rPr>
              <w:t xml:space="preserve"> 2</w:t>
            </w:r>
          </w:p>
        </w:tc>
        <w:tc>
          <w:tcPr>
            <w:tcW w:w="2041" w:type="dxa"/>
            <w:tcBorders>
              <w:top w:val="nil"/>
              <w:bottom w:val="nil"/>
            </w:tcBorders>
          </w:tcPr>
          <w:p w:rsidR="00585508" w:rsidRPr="00A779B8" w:rsidRDefault="00585508" w:rsidP="00DB4C2D">
            <w:pPr>
              <w:spacing w:before="60" w:after="60" w:line="220" w:lineRule="atLeast"/>
              <w:rPr>
                <w:sz w:val="18"/>
                <w:szCs w:val="18"/>
                <w:lang w:val="fr-FR"/>
              </w:rPr>
            </w:pPr>
          </w:p>
        </w:tc>
      </w:tr>
      <w:tr w:rsidR="00585508" w:rsidRPr="00A779B8" w:rsidTr="00DB4C2D">
        <w:tblPrEx>
          <w:tblCellMar>
            <w:top w:w="0" w:type="dxa"/>
            <w:bottom w:w="0" w:type="dxa"/>
          </w:tblCellMar>
        </w:tblPrEx>
        <w:tc>
          <w:tcPr>
            <w:tcW w:w="2552" w:type="dxa"/>
            <w:tcBorders>
              <w:top w:val="nil"/>
              <w:bottom w:val="nil"/>
            </w:tcBorders>
          </w:tcPr>
          <w:p w:rsidR="00585508" w:rsidRPr="00A779B8" w:rsidRDefault="00585508" w:rsidP="00DB4C2D">
            <w:pPr>
              <w:spacing w:before="60" w:after="60" w:line="220" w:lineRule="atLeast"/>
              <w:ind w:firstLine="170"/>
              <w:rPr>
                <w:sz w:val="18"/>
                <w:szCs w:val="18"/>
                <w:vertAlign w:val="subscript"/>
                <w:lang w:val="fr-FR"/>
              </w:rPr>
            </w:pPr>
            <w:r w:rsidRPr="00A779B8">
              <w:rPr>
                <w:sz w:val="18"/>
                <w:szCs w:val="18"/>
                <w:lang w:val="fr-FR"/>
              </w:rPr>
              <w:t>Teneur en C</w:t>
            </w:r>
            <w:r w:rsidRPr="00A779B8">
              <w:rPr>
                <w:sz w:val="18"/>
                <w:szCs w:val="18"/>
                <w:vertAlign w:val="subscript"/>
                <w:lang w:val="fr-FR"/>
              </w:rPr>
              <w:t>4</w:t>
            </w:r>
          </w:p>
        </w:tc>
        <w:tc>
          <w:tcPr>
            <w:tcW w:w="964"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vol</w:t>
            </w:r>
          </w:p>
        </w:tc>
        <w:tc>
          <w:tcPr>
            <w:tcW w:w="1474"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Reste</w:t>
            </w:r>
            <w:r w:rsidRPr="00A779B8">
              <w:rPr>
                <w:i/>
                <w:sz w:val="18"/>
                <w:szCs w:val="18"/>
                <w:vertAlign w:val="superscript"/>
                <w:lang w:val="fr-FR"/>
              </w:rPr>
              <w:t>1</w:t>
            </w:r>
          </w:p>
        </w:tc>
        <w:tc>
          <w:tcPr>
            <w:tcW w:w="1474"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Reste</w:t>
            </w:r>
            <w:r w:rsidRPr="00A779B8">
              <w:rPr>
                <w:i/>
                <w:sz w:val="18"/>
                <w:szCs w:val="18"/>
                <w:vertAlign w:val="superscript"/>
                <w:lang w:val="fr-FR"/>
              </w:rPr>
              <w:t>1</w:t>
            </w:r>
          </w:p>
        </w:tc>
        <w:tc>
          <w:tcPr>
            <w:tcW w:w="2041" w:type="dxa"/>
            <w:tcBorders>
              <w:top w:val="nil"/>
              <w:bottom w:val="nil"/>
            </w:tcBorders>
          </w:tcPr>
          <w:p w:rsidR="00585508" w:rsidRPr="00A779B8" w:rsidRDefault="00585508" w:rsidP="00DB4C2D">
            <w:pPr>
              <w:spacing w:before="60" w:after="60" w:line="220" w:lineRule="atLeast"/>
              <w:rPr>
                <w:sz w:val="18"/>
                <w:szCs w:val="18"/>
                <w:lang w:val="fr-FR"/>
              </w:rPr>
            </w:pPr>
          </w:p>
        </w:tc>
      </w:tr>
      <w:tr w:rsidR="00585508" w:rsidRPr="00A779B8" w:rsidTr="00DB4C2D">
        <w:tblPrEx>
          <w:tblCellMar>
            <w:top w:w="0" w:type="dxa"/>
            <w:bottom w:w="0" w:type="dxa"/>
          </w:tblCellMar>
        </w:tblPrEx>
        <w:tc>
          <w:tcPr>
            <w:tcW w:w="2552" w:type="dxa"/>
            <w:tcBorders>
              <w:top w:val="nil"/>
            </w:tcBorders>
          </w:tcPr>
          <w:p w:rsidR="00585508" w:rsidRPr="00A779B8" w:rsidRDefault="00585508" w:rsidP="00DB4C2D">
            <w:pPr>
              <w:spacing w:before="60" w:after="60" w:line="220" w:lineRule="atLeast"/>
              <w:ind w:firstLine="170"/>
              <w:rPr>
                <w:sz w:val="18"/>
                <w:szCs w:val="18"/>
                <w:vertAlign w:val="subscript"/>
                <w:lang w:val="fr-FR"/>
              </w:rPr>
            </w:pPr>
            <w:r w:rsidRPr="00A779B8">
              <w:rPr>
                <w:sz w:val="18"/>
                <w:szCs w:val="18"/>
                <w:lang w:val="fr-FR"/>
              </w:rPr>
              <w:t>&lt; C</w:t>
            </w:r>
            <w:r w:rsidRPr="00A779B8">
              <w:rPr>
                <w:sz w:val="18"/>
                <w:szCs w:val="18"/>
                <w:vertAlign w:val="subscript"/>
                <w:lang w:val="fr-FR"/>
              </w:rPr>
              <w:t>3</w:t>
            </w:r>
            <w:r w:rsidRPr="00A779B8">
              <w:rPr>
                <w:sz w:val="18"/>
                <w:szCs w:val="18"/>
                <w:lang w:val="fr-FR"/>
              </w:rPr>
              <w:t>, &gt; C</w:t>
            </w:r>
            <w:r w:rsidRPr="00A779B8">
              <w:rPr>
                <w:sz w:val="18"/>
                <w:szCs w:val="18"/>
                <w:vertAlign w:val="subscript"/>
                <w:lang w:val="fr-FR"/>
              </w:rPr>
              <w:t>4</w:t>
            </w:r>
          </w:p>
        </w:tc>
        <w:tc>
          <w:tcPr>
            <w:tcW w:w="964" w:type="dxa"/>
            <w:tcBorders>
              <w:top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vol</w:t>
            </w:r>
          </w:p>
        </w:tc>
        <w:tc>
          <w:tcPr>
            <w:tcW w:w="1474" w:type="dxa"/>
            <w:tcBorders>
              <w:top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Maximum 2</w:t>
            </w:r>
          </w:p>
        </w:tc>
        <w:tc>
          <w:tcPr>
            <w:tcW w:w="1474" w:type="dxa"/>
            <w:tcBorders>
              <w:top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Maximum 2</w:t>
            </w:r>
          </w:p>
        </w:tc>
        <w:tc>
          <w:tcPr>
            <w:tcW w:w="2041" w:type="dxa"/>
            <w:tcBorders>
              <w:top w:val="nil"/>
            </w:tcBorders>
          </w:tcPr>
          <w:p w:rsidR="00585508" w:rsidRPr="00A779B8" w:rsidRDefault="00585508" w:rsidP="00DB4C2D">
            <w:pPr>
              <w:spacing w:before="60" w:after="60" w:line="220" w:lineRule="atLeast"/>
              <w:rPr>
                <w:sz w:val="18"/>
                <w:szCs w:val="18"/>
                <w:lang w:val="fr-FR"/>
              </w:rPr>
            </w:pPr>
          </w:p>
        </w:tc>
      </w:tr>
      <w:tr w:rsidR="00585508" w:rsidRPr="00A779B8" w:rsidTr="00DB4C2D">
        <w:tblPrEx>
          <w:tblCellMar>
            <w:top w:w="0" w:type="dxa"/>
            <w:bottom w:w="0" w:type="dxa"/>
          </w:tblCellMar>
        </w:tblPrEx>
        <w:tc>
          <w:tcPr>
            <w:tcW w:w="2552" w:type="dxa"/>
          </w:tcPr>
          <w:p w:rsidR="00585508" w:rsidRPr="00A779B8" w:rsidRDefault="00585508" w:rsidP="00DB4C2D">
            <w:pPr>
              <w:spacing w:before="60" w:after="60" w:line="220" w:lineRule="atLeast"/>
              <w:rPr>
                <w:sz w:val="18"/>
                <w:szCs w:val="18"/>
                <w:lang w:val="fr-FR"/>
              </w:rPr>
            </w:pPr>
            <w:r w:rsidRPr="00A779B8">
              <w:rPr>
                <w:sz w:val="18"/>
                <w:szCs w:val="18"/>
                <w:lang w:val="fr-FR"/>
              </w:rPr>
              <w:t>Oléfines</w:t>
            </w:r>
          </w:p>
        </w:tc>
        <w:tc>
          <w:tcPr>
            <w:tcW w:w="964" w:type="dxa"/>
          </w:tcPr>
          <w:p w:rsidR="00585508" w:rsidRPr="00A779B8" w:rsidRDefault="00585508" w:rsidP="00DB4C2D">
            <w:pPr>
              <w:spacing w:before="60" w:after="60" w:line="220" w:lineRule="atLeast"/>
              <w:rPr>
                <w:sz w:val="18"/>
                <w:szCs w:val="18"/>
                <w:lang w:val="fr-FR"/>
              </w:rPr>
            </w:pPr>
            <w:r w:rsidRPr="00A779B8">
              <w:rPr>
                <w:sz w:val="18"/>
                <w:szCs w:val="18"/>
                <w:lang w:val="fr-FR"/>
              </w:rPr>
              <w:t>% vol</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Maximum 12</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Maximum 15</w:t>
            </w:r>
          </w:p>
        </w:tc>
        <w:tc>
          <w:tcPr>
            <w:tcW w:w="2041" w:type="dxa"/>
          </w:tcPr>
          <w:p w:rsidR="00585508" w:rsidRPr="00A779B8" w:rsidRDefault="00585508" w:rsidP="00DB4C2D">
            <w:pPr>
              <w:spacing w:before="60" w:after="60" w:line="220" w:lineRule="atLeast"/>
              <w:rPr>
                <w:sz w:val="18"/>
                <w:szCs w:val="18"/>
                <w:lang w:val="fr-FR"/>
              </w:rPr>
            </w:pPr>
          </w:p>
        </w:tc>
      </w:tr>
      <w:tr w:rsidR="00585508" w:rsidRPr="00A779B8" w:rsidTr="00DB4C2D">
        <w:tblPrEx>
          <w:tblCellMar>
            <w:top w:w="0" w:type="dxa"/>
            <w:bottom w:w="0" w:type="dxa"/>
          </w:tblCellMar>
        </w:tblPrEx>
        <w:tc>
          <w:tcPr>
            <w:tcW w:w="2552" w:type="dxa"/>
          </w:tcPr>
          <w:p w:rsidR="00585508" w:rsidRPr="00A779B8" w:rsidRDefault="00585508" w:rsidP="00DB4C2D">
            <w:pPr>
              <w:spacing w:before="60" w:after="60" w:line="220" w:lineRule="atLeast"/>
              <w:rPr>
                <w:sz w:val="18"/>
                <w:szCs w:val="18"/>
                <w:lang w:val="fr-FR"/>
              </w:rPr>
            </w:pPr>
            <w:r w:rsidRPr="00A779B8">
              <w:rPr>
                <w:sz w:val="18"/>
                <w:szCs w:val="18"/>
                <w:lang w:val="fr-FR"/>
              </w:rPr>
              <w:t>Résidu d</w:t>
            </w:r>
            <w:r w:rsidR="00DB4C2D">
              <w:rPr>
                <w:sz w:val="18"/>
                <w:szCs w:val="18"/>
                <w:lang w:val="fr-FR"/>
              </w:rPr>
              <w:t>’</w:t>
            </w:r>
            <w:r w:rsidRPr="00A779B8">
              <w:rPr>
                <w:sz w:val="18"/>
                <w:szCs w:val="18"/>
                <w:lang w:val="fr-FR"/>
              </w:rPr>
              <w:t>évaporation</w:t>
            </w:r>
          </w:p>
        </w:tc>
        <w:tc>
          <w:tcPr>
            <w:tcW w:w="964" w:type="dxa"/>
          </w:tcPr>
          <w:p w:rsidR="00585508" w:rsidRPr="00A779B8" w:rsidRDefault="00585508" w:rsidP="00DB4C2D">
            <w:pPr>
              <w:spacing w:before="60" w:after="60" w:line="220" w:lineRule="atLeast"/>
              <w:rPr>
                <w:sz w:val="18"/>
                <w:szCs w:val="18"/>
                <w:lang w:val="fr-FR"/>
              </w:rPr>
            </w:pPr>
            <w:r w:rsidRPr="00A779B8">
              <w:rPr>
                <w:sz w:val="18"/>
                <w:szCs w:val="18"/>
                <w:lang w:val="fr-FR"/>
              </w:rPr>
              <w:t>mg/kg</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Maximum 50</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Maximum 50</w:t>
            </w:r>
          </w:p>
        </w:tc>
        <w:tc>
          <w:tcPr>
            <w:tcW w:w="2041" w:type="dxa"/>
          </w:tcPr>
          <w:p w:rsidR="00585508" w:rsidRPr="00A779B8" w:rsidRDefault="00585508" w:rsidP="00DB4C2D">
            <w:pPr>
              <w:spacing w:before="60" w:after="60" w:line="220" w:lineRule="atLeast"/>
              <w:rPr>
                <w:sz w:val="18"/>
                <w:szCs w:val="18"/>
                <w:lang w:val="fr-FR"/>
              </w:rPr>
            </w:pPr>
            <w:r w:rsidRPr="00A779B8">
              <w:rPr>
                <w:sz w:val="18"/>
                <w:szCs w:val="18"/>
                <w:lang w:val="fr-FR"/>
              </w:rPr>
              <w:t>ISO 13757 ou EN 15470</w:t>
            </w:r>
          </w:p>
        </w:tc>
      </w:tr>
      <w:tr w:rsidR="00585508" w:rsidRPr="00A779B8" w:rsidTr="00DB4C2D">
        <w:tblPrEx>
          <w:tblCellMar>
            <w:top w:w="0" w:type="dxa"/>
            <w:bottom w:w="0" w:type="dxa"/>
          </w:tblCellMar>
        </w:tblPrEx>
        <w:tc>
          <w:tcPr>
            <w:tcW w:w="2552" w:type="dxa"/>
          </w:tcPr>
          <w:p w:rsidR="00585508" w:rsidRPr="00A779B8" w:rsidRDefault="00585508" w:rsidP="00DB4C2D">
            <w:pPr>
              <w:spacing w:before="60" w:after="60" w:line="220" w:lineRule="atLeast"/>
              <w:rPr>
                <w:sz w:val="18"/>
                <w:szCs w:val="18"/>
                <w:lang w:val="fr-FR"/>
              </w:rPr>
            </w:pPr>
            <w:r w:rsidRPr="00A779B8">
              <w:rPr>
                <w:sz w:val="18"/>
                <w:szCs w:val="18"/>
                <w:lang w:val="fr-FR"/>
              </w:rPr>
              <w:t>Eau à 0 °C</w:t>
            </w:r>
          </w:p>
        </w:tc>
        <w:tc>
          <w:tcPr>
            <w:tcW w:w="964" w:type="dxa"/>
          </w:tcPr>
          <w:p w:rsidR="00585508" w:rsidRPr="00A779B8" w:rsidRDefault="00585508" w:rsidP="00DB4C2D">
            <w:pPr>
              <w:spacing w:before="60" w:after="60" w:line="220" w:lineRule="atLeast"/>
              <w:rPr>
                <w:sz w:val="18"/>
                <w:szCs w:val="18"/>
                <w:lang w:val="fr-FR"/>
              </w:rPr>
            </w:pP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Néant</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Néant</w:t>
            </w:r>
          </w:p>
        </w:tc>
        <w:tc>
          <w:tcPr>
            <w:tcW w:w="2041" w:type="dxa"/>
          </w:tcPr>
          <w:p w:rsidR="00585508" w:rsidRPr="00A779B8" w:rsidRDefault="00585508" w:rsidP="00DB4C2D">
            <w:pPr>
              <w:spacing w:before="60" w:after="60" w:line="220" w:lineRule="atLeast"/>
              <w:rPr>
                <w:sz w:val="18"/>
                <w:szCs w:val="18"/>
                <w:lang w:val="fr-FR"/>
              </w:rPr>
            </w:pPr>
            <w:r w:rsidRPr="00A779B8">
              <w:rPr>
                <w:sz w:val="18"/>
                <w:szCs w:val="18"/>
                <w:lang w:val="fr-FR"/>
              </w:rPr>
              <w:t>EN 15469</w:t>
            </w:r>
          </w:p>
        </w:tc>
      </w:tr>
      <w:tr w:rsidR="00585508" w:rsidRPr="00A779B8" w:rsidTr="00DB4C2D">
        <w:tblPrEx>
          <w:tblCellMar>
            <w:top w:w="0" w:type="dxa"/>
            <w:bottom w:w="0" w:type="dxa"/>
          </w:tblCellMar>
        </w:tblPrEx>
        <w:tc>
          <w:tcPr>
            <w:tcW w:w="2552" w:type="dxa"/>
          </w:tcPr>
          <w:p w:rsidR="00585508" w:rsidRPr="00A779B8" w:rsidRDefault="00585508" w:rsidP="00DB4C2D">
            <w:pPr>
              <w:spacing w:before="60" w:after="60" w:line="220" w:lineRule="atLeast"/>
              <w:rPr>
                <w:sz w:val="18"/>
                <w:szCs w:val="18"/>
                <w:lang w:val="fr-FR"/>
              </w:rPr>
            </w:pPr>
            <w:r w:rsidRPr="00A779B8">
              <w:rPr>
                <w:sz w:val="18"/>
                <w:szCs w:val="18"/>
                <w:lang w:val="fr-FR"/>
              </w:rPr>
              <w:t>Teneur totale en soufre</w:t>
            </w:r>
          </w:p>
        </w:tc>
        <w:tc>
          <w:tcPr>
            <w:tcW w:w="964" w:type="dxa"/>
          </w:tcPr>
          <w:p w:rsidR="00585508" w:rsidRPr="00A779B8" w:rsidRDefault="00585508" w:rsidP="00DB4C2D">
            <w:pPr>
              <w:spacing w:before="60" w:after="60" w:line="220" w:lineRule="atLeast"/>
              <w:rPr>
                <w:sz w:val="18"/>
                <w:szCs w:val="18"/>
                <w:lang w:val="fr-FR"/>
              </w:rPr>
            </w:pPr>
            <w:r w:rsidRPr="00A779B8">
              <w:rPr>
                <w:sz w:val="18"/>
                <w:szCs w:val="18"/>
                <w:lang w:val="fr-FR"/>
              </w:rPr>
              <w:t>mg/kg</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Maximum 50</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Maximum 50</w:t>
            </w:r>
          </w:p>
        </w:tc>
        <w:tc>
          <w:tcPr>
            <w:tcW w:w="2041" w:type="dxa"/>
            <w:tcMar>
              <w:right w:w="28" w:type="dxa"/>
            </w:tcMar>
          </w:tcPr>
          <w:p w:rsidR="00585508" w:rsidRPr="00A779B8" w:rsidRDefault="00585508" w:rsidP="00DB4C2D">
            <w:pPr>
              <w:spacing w:before="60" w:after="60" w:line="220" w:lineRule="atLeast"/>
              <w:rPr>
                <w:sz w:val="18"/>
                <w:szCs w:val="18"/>
                <w:lang w:val="fr-FR"/>
              </w:rPr>
            </w:pPr>
            <w:r w:rsidRPr="00A779B8">
              <w:rPr>
                <w:sz w:val="18"/>
                <w:szCs w:val="18"/>
                <w:lang w:val="fr-FR"/>
              </w:rPr>
              <w:t>EN 24260 ou ASTM 6667</w:t>
            </w:r>
          </w:p>
        </w:tc>
      </w:tr>
      <w:tr w:rsidR="00585508" w:rsidRPr="00A779B8" w:rsidTr="00DB4C2D">
        <w:tblPrEx>
          <w:tblCellMar>
            <w:top w:w="0" w:type="dxa"/>
            <w:bottom w:w="0" w:type="dxa"/>
          </w:tblCellMar>
        </w:tblPrEx>
        <w:tc>
          <w:tcPr>
            <w:tcW w:w="2552" w:type="dxa"/>
          </w:tcPr>
          <w:p w:rsidR="00585508" w:rsidRPr="00A779B8" w:rsidRDefault="00585508" w:rsidP="00DB4C2D">
            <w:pPr>
              <w:spacing w:before="60" w:after="60" w:line="220" w:lineRule="atLeast"/>
              <w:rPr>
                <w:sz w:val="18"/>
                <w:szCs w:val="18"/>
                <w:lang w:val="fr-FR"/>
              </w:rPr>
            </w:pPr>
            <w:r w:rsidRPr="00A779B8">
              <w:rPr>
                <w:sz w:val="18"/>
                <w:szCs w:val="18"/>
                <w:lang w:val="fr-FR"/>
              </w:rPr>
              <w:t>Hydrogène sulfuré</w:t>
            </w:r>
          </w:p>
        </w:tc>
        <w:tc>
          <w:tcPr>
            <w:tcW w:w="964" w:type="dxa"/>
          </w:tcPr>
          <w:p w:rsidR="00585508" w:rsidRPr="00A779B8" w:rsidRDefault="00585508" w:rsidP="00DB4C2D">
            <w:pPr>
              <w:spacing w:before="60" w:after="60" w:line="220" w:lineRule="atLeast"/>
              <w:rPr>
                <w:sz w:val="18"/>
                <w:szCs w:val="18"/>
                <w:lang w:val="fr-FR"/>
              </w:rPr>
            </w:pP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Néant</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Néant</w:t>
            </w:r>
          </w:p>
        </w:tc>
        <w:tc>
          <w:tcPr>
            <w:tcW w:w="2041" w:type="dxa"/>
          </w:tcPr>
          <w:p w:rsidR="00585508" w:rsidRPr="00A779B8" w:rsidRDefault="00585508" w:rsidP="00DB4C2D">
            <w:pPr>
              <w:spacing w:before="60" w:after="60" w:line="220" w:lineRule="atLeast"/>
              <w:rPr>
                <w:sz w:val="18"/>
                <w:szCs w:val="18"/>
                <w:lang w:val="fr-FR"/>
              </w:rPr>
            </w:pPr>
            <w:r w:rsidRPr="00A779B8">
              <w:rPr>
                <w:sz w:val="18"/>
                <w:szCs w:val="18"/>
                <w:lang w:val="fr-FR"/>
              </w:rPr>
              <w:t>ISO 8819</w:t>
            </w:r>
          </w:p>
        </w:tc>
      </w:tr>
      <w:tr w:rsidR="00585508" w:rsidRPr="00A779B8" w:rsidTr="00DB4C2D">
        <w:tblPrEx>
          <w:tblCellMar>
            <w:top w:w="0" w:type="dxa"/>
            <w:bottom w:w="0" w:type="dxa"/>
          </w:tblCellMar>
        </w:tblPrEx>
        <w:tc>
          <w:tcPr>
            <w:tcW w:w="2552" w:type="dxa"/>
          </w:tcPr>
          <w:p w:rsidR="00585508" w:rsidRPr="00A779B8" w:rsidRDefault="00585508" w:rsidP="00DB4C2D">
            <w:pPr>
              <w:spacing w:before="60" w:after="60" w:line="220" w:lineRule="atLeast"/>
              <w:rPr>
                <w:sz w:val="18"/>
                <w:szCs w:val="18"/>
                <w:lang w:val="fr-FR"/>
              </w:rPr>
            </w:pPr>
            <w:r w:rsidRPr="00A779B8">
              <w:rPr>
                <w:sz w:val="18"/>
                <w:szCs w:val="18"/>
                <w:lang w:val="fr-FR"/>
              </w:rPr>
              <w:t>Corrosion sur lame de cuivre</w:t>
            </w:r>
          </w:p>
        </w:tc>
        <w:tc>
          <w:tcPr>
            <w:tcW w:w="964" w:type="dxa"/>
          </w:tcPr>
          <w:p w:rsidR="00585508" w:rsidRPr="00A779B8" w:rsidRDefault="00585508" w:rsidP="00DB4C2D">
            <w:pPr>
              <w:spacing w:before="60" w:after="60" w:line="220" w:lineRule="atLeast"/>
              <w:rPr>
                <w:sz w:val="18"/>
                <w:szCs w:val="18"/>
                <w:lang w:val="fr-FR"/>
              </w:rPr>
            </w:pPr>
            <w:r w:rsidRPr="00A779B8">
              <w:rPr>
                <w:sz w:val="18"/>
                <w:szCs w:val="18"/>
                <w:lang w:val="fr-FR"/>
              </w:rPr>
              <w:t>Évaluation</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Classe 1</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Classe 1</w:t>
            </w:r>
          </w:p>
        </w:tc>
        <w:tc>
          <w:tcPr>
            <w:tcW w:w="2041" w:type="dxa"/>
          </w:tcPr>
          <w:p w:rsidR="00585508" w:rsidRPr="00A779B8" w:rsidRDefault="00585508" w:rsidP="00DB4C2D">
            <w:pPr>
              <w:spacing w:before="60" w:after="60" w:line="220" w:lineRule="atLeast"/>
              <w:rPr>
                <w:sz w:val="18"/>
                <w:szCs w:val="18"/>
                <w:lang w:val="fr-FR"/>
              </w:rPr>
            </w:pPr>
            <w:r w:rsidRPr="00A779B8">
              <w:rPr>
                <w:sz w:val="18"/>
                <w:szCs w:val="18"/>
                <w:lang w:val="fr-FR"/>
              </w:rPr>
              <w:t>ISO 6251</w:t>
            </w:r>
            <w:r w:rsidRPr="00A779B8">
              <w:rPr>
                <w:i/>
                <w:sz w:val="18"/>
                <w:szCs w:val="18"/>
                <w:vertAlign w:val="superscript"/>
                <w:lang w:val="fr-FR"/>
              </w:rPr>
              <w:t>2</w:t>
            </w:r>
          </w:p>
        </w:tc>
      </w:tr>
      <w:tr w:rsidR="00585508" w:rsidRPr="00A779B8" w:rsidTr="00DB4C2D">
        <w:tblPrEx>
          <w:tblCellMar>
            <w:top w:w="0" w:type="dxa"/>
            <w:bottom w:w="0" w:type="dxa"/>
          </w:tblCellMar>
        </w:tblPrEx>
        <w:tc>
          <w:tcPr>
            <w:tcW w:w="2552" w:type="dxa"/>
          </w:tcPr>
          <w:p w:rsidR="00585508" w:rsidRPr="00A779B8" w:rsidRDefault="00585508" w:rsidP="00DB4C2D">
            <w:pPr>
              <w:spacing w:before="60" w:after="60" w:line="220" w:lineRule="atLeast"/>
              <w:rPr>
                <w:sz w:val="18"/>
                <w:szCs w:val="18"/>
                <w:lang w:val="fr-FR"/>
              </w:rPr>
            </w:pPr>
            <w:r w:rsidRPr="00A779B8">
              <w:rPr>
                <w:sz w:val="18"/>
                <w:szCs w:val="18"/>
                <w:lang w:val="fr-FR"/>
              </w:rPr>
              <w:t>Odeur</w:t>
            </w:r>
          </w:p>
        </w:tc>
        <w:tc>
          <w:tcPr>
            <w:tcW w:w="964" w:type="dxa"/>
          </w:tcPr>
          <w:p w:rsidR="00585508" w:rsidRPr="00A779B8" w:rsidRDefault="00585508" w:rsidP="00DB4C2D">
            <w:pPr>
              <w:spacing w:before="60" w:after="60" w:line="220" w:lineRule="atLeast"/>
              <w:rPr>
                <w:sz w:val="18"/>
                <w:szCs w:val="18"/>
                <w:lang w:val="fr-FR"/>
              </w:rPr>
            </w:pP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Caractéristique</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Caractéristique</w:t>
            </w:r>
          </w:p>
        </w:tc>
        <w:tc>
          <w:tcPr>
            <w:tcW w:w="2041" w:type="dxa"/>
          </w:tcPr>
          <w:p w:rsidR="00585508" w:rsidRPr="00A779B8" w:rsidRDefault="00585508" w:rsidP="00DB4C2D">
            <w:pPr>
              <w:spacing w:before="60" w:after="60" w:line="220" w:lineRule="atLeast"/>
              <w:rPr>
                <w:sz w:val="18"/>
                <w:szCs w:val="18"/>
                <w:lang w:val="fr-FR"/>
              </w:rPr>
            </w:pPr>
          </w:p>
        </w:tc>
      </w:tr>
      <w:tr w:rsidR="00585508" w:rsidRPr="00A779B8" w:rsidTr="00DB4C2D">
        <w:tblPrEx>
          <w:tblCellMar>
            <w:top w:w="0" w:type="dxa"/>
            <w:bottom w:w="0" w:type="dxa"/>
          </w:tblCellMar>
        </w:tblPrEx>
        <w:tc>
          <w:tcPr>
            <w:tcW w:w="2552" w:type="dxa"/>
          </w:tcPr>
          <w:p w:rsidR="00585508" w:rsidRPr="00A779B8" w:rsidRDefault="00585508" w:rsidP="00DB4C2D">
            <w:pPr>
              <w:spacing w:before="60" w:after="60" w:line="220" w:lineRule="atLeast"/>
              <w:rPr>
                <w:sz w:val="18"/>
                <w:szCs w:val="18"/>
                <w:lang w:val="fr-FR"/>
              </w:rPr>
            </w:pPr>
            <w:r w:rsidRPr="00A779B8">
              <w:rPr>
                <w:sz w:val="18"/>
                <w:szCs w:val="18"/>
                <w:lang w:val="fr-FR"/>
              </w:rPr>
              <w:t>Indice d</w:t>
            </w:r>
            <w:r w:rsidR="00DB4C2D">
              <w:rPr>
                <w:sz w:val="18"/>
                <w:szCs w:val="18"/>
                <w:lang w:val="fr-FR"/>
              </w:rPr>
              <w:t>’</w:t>
            </w:r>
            <w:r w:rsidRPr="00A779B8">
              <w:rPr>
                <w:sz w:val="18"/>
                <w:szCs w:val="18"/>
                <w:lang w:val="fr-FR"/>
              </w:rPr>
              <w:t>octane moteur</w:t>
            </w:r>
          </w:p>
        </w:tc>
        <w:tc>
          <w:tcPr>
            <w:tcW w:w="964" w:type="dxa"/>
          </w:tcPr>
          <w:p w:rsidR="00585508" w:rsidRPr="00A779B8" w:rsidRDefault="00585508" w:rsidP="00DB4C2D">
            <w:pPr>
              <w:spacing w:before="60" w:after="60" w:line="220" w:lineRule="atLeast"/>
              <w:rPr>
                <w:sz w:val="18"/>
                <w:szCs w:val="18"/>
                <w:lang w:val="fr-FR"/>
              </w:rPr>
            </w:pP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Minimum 89</w:t>
            </w:r>
          </w:p>
        </w:tc>
        <w:tc>
          <w:tcPr>
            <w:tcW w:w="1474" w:type="dxa"/>
          </w:tcPr>
          <w:p w:rsidR="00585508" w:rsidRPr="00A779B8" w:rsidRDefault="00585508" w:rsidP="00DB4C2D">
            <w:pPr>
              <w:spacing w:before="60" w:after="60" w:line="220" w:lineRule="atLeast"/>
              <w:rPr>
                <w:sz w:val="18"/>
                <w:szCs w:val="18"/>
                <w:lang w:val="fr-FR"/>
              </w:rPr>
            </w:pPr>
            <w:r w:rsidRPr="00A779B8">
              <w:rPr>
                <w:sz w:val="18"/>
                <w:szCs w:val="18"/>
                <w:lang w:val="fr-FR"/>
              </w:rPr>
              <w:t>Minimum 89</w:t>
            </w:r>
          </w:p>
        </w:tc>
        <w:tc>
          <w:tcPr>
            <w:tcW w:w="2041" w:type="dxa"/>
          </w:tcPr>
          <w:p w:rsidR="00585508" w:rsidRPr="00A779B8" w:rsidRDefault="00585508" w:rsidP="00DB4C2D">
            <w:pPr>
              <w:spacing w:before="60" w:after="60" w:line="220" w:lineRule="atLeast"/>
              <w:rPr>
                <w:sz w:val="18"/>
                <w:szCs w:val="18"/>
                <w:lang w:val="fr-FR"/>
              </w:rPr>
            </w:pPr>
            <w:r w:rsidRPr="00A779B8">
              <w:rPr>
                <w:sz w:val="18"/>
                <w:szCs w:val="18"/>
                <w:lang w:val="fr-FR"/>
              </w:rPr>
              <w:t>EN 589, annexe B</w:t>
            </w:r>
          </w:p>
        </w:tc>
      </w:tr>
    </w:tbl>
    <w:p w:rsidR="00585508" w:rsidRPr="00A779B8" w:rsidRDefault="00585508" w:rsidP="00585508">
      <w:pPr>
        <w:pStyle w:val="SingleTxtG"/>
        <w:keepNext/>
        <w:spacing w:before="120" w:after="0"/>
        <w:ind w:left="1588" w:right="0" w:hanging="284"/>
        <w:jc w:val="left"/>
        <w:rPr>
          <w:sz w:val="18"/>
          <w:szCs w:val="18"/>
          <w:lang w:val="fr-FR"/>
        </w:rPr>
      </w:pPr>
      <w:r w:rsidRPr="00A779B8">
        <w:rPr>
          <w:i/>
          <w:sz w:val="18"/>
          <w:szCs w:val="18"/>
          <w:vertAlign w:val="superscript"/>
          <w:lang w:val="fr-FR"/>
        </w:rPr>
        <w:t>1</w:t>
      </w:r>
      <w:r w:rsidRPr="00A779B8">
        <w:rPr>
          <w:sz w:val="18"/>
          <w:szCs w:val="18"/>
          <w:lang w:val="fr-FR"/>
        </w:rPr>
        <w:tab/>
        <w:t>Le reste se lit comme suit: reste 100 − C3 ≤ C3 ≥ C4.</w:t>
      </w:r>
    </w:p>
    <w:p w:rsidR="00585508" w:rsidRDefault="00585508" w:rsidP="00585508">
      <w:pPr>
        <w:pStyle w:val="SingleTxtG"/>
        <w:keepNext/>
        <w:ind w:left="1588" w:right="0" w:hanging="284"/>
        <w:jc w:val="left"/>
        <w:rPr>
          <w:lang w:val="fr-FR"/>
        </w:rPr>
      </w:pPr>
      <w:r w:rsidRPr="00A779B8">
        <w:rPr>
          <w:i/>
          <w:sz w:val="18"/>
          <w:szCs w:val="18"/>
          <w:vertAlign w:val="superscript"/>
          <w:lang w:val="fr-FR"/>
        </w:rPr>
        <w:t>2</w:t>
      </w:r>
      <w:r w:rsidRPr="00A779B8">
        <w:rPr>
          <w:sz w:val="18"/>
          <w:szCs w:val="18"/>
          <w:lang w:val="fr-FR"/>
        </w:rPr>
        <w:tab/>
        <w:t>Si l</w:t>
      </w:r>
      <w:r w:rsidR="00DB4C2D">
        <w:rPr>
          <w:sz w:val="18"/>
          <w:szCs w:val="18"/>
          <w:lang w:val="fr-FR"/>
        </w:rPr>
        <w:t>’</w:t>
      </w:r>
      <w:r w:rsidRPr="00A779B8">
        <w:rPr>
          <w:sz w:val="18"/>
          <w:szCs w:val="18"/>
          <w:lang w:val="fr-FR"/>
        </w:rPr>
        <w:t>échantillon contient des inhibiteurs de corrosion ou d</w:t>
      </w:r>
      <w:r w:rsidR="00DB4C2D">
        <w:rPr>
          <w:sz w:val="18"/>
          <w:szCs w:val="18"/>
          <w:lang w:val="fr-FR"/>
        </w:rPr>
        <w:t>’</w:t>
      </w:r>
      <w:r w:rsidRPr="00A779B8">
        <w:rPr>
          <w:sz w:val="18"/>
          <w:szCs w:val="18"/>
          <w:lang w:val="fr-FR"/>
        </w:rPr>
        <w:t>autres produits chimiques qui diminuent l</w:t>
      </w:r>
      <w:r w:rsidR="00DB4C2D">
        <w:rPr>
          <w:sz w:val="18"/>
          <w:szCs w:val="18"/>
          <w:lang w:val="fr-FR"/>
        </w:rPr>
        <w:t>’</w:t>
      </w:r>
      <w:r w:rsidRPr="00A779B8">
        <w:rPr>
          <w:sz w:val="18"/>
          <w:szCs w:val="18"/>
          <w:lang w:val="fr-FR"/>
        </w:rPr>
        <w:t>action corrosive de l</w:t>
      </w:r>
      <w:r w:rsidR="00DB4C2D">
        <w:rPr>
          <w:sz w:val="18"/>
          <w:szCs w:val="18"/>
          <w:lang w:val="fr-FR"/>
        </w:rPr>
        <w:t>’</w:t>
      </w:r>
      <w:r w:rsidRPr="00A779B8">
        <w:rPr>
          <w:sz w:val="18"/>
          <w:szCs w:val="18"/>
          <w:lang w:val="fr-FR"/>
        </w:rPr>
        <w:t>échantillon sur la lame de cuivre, cette méthode perd sa précision. L</w:t>
      </w:r>
      <w:r w:rsidR="00DB4C2D">
        <w:rPr>
          <w:sz w:val="18"/>
          <w:szCs w:val="18"/>
          <w:lang w:val="fr-FR"/>
        </w:rPr>
        <w:t>’</w:t>
      </w:r>
      <w:r w:rsidRPr="00A779B8">
        <w:rPr>
          <w:sz w:val="18"/>
          <w:szCs w:val="18"/>
          <w:lang w:val="fr-FR"/>
        </w:rPr>
        <w:t>ajout de tels composés à la seule fin de fausser les résultats de l</w:t>
      </w:r>
      <w:r w:rsidR="00DB4C2D">
        <w:rPr>
          <w:sz w:val="18"/>
          <w:szCs w:val="18"/>
          <w:lang w:val="fr-FR"/>
        </w:rPr>
        <w:t>’</w:t>
      </w:r>
      <w:r w:rsidRPr="00A779B8">
        <w:rPr>
          <w:sz w:val="18"/>
          <w:szCs w:val="18"/>
          <w:lang w:val="fr-FR"/>
        </w:rPr>
        <w:t>essai est donc interdit.</w:t>
      </w:r>
    </w:p>
    <w:p w:rsidR="00585508" w:rsidRPr="00A779B8" w:rsidRDefault="00585508" w:rsidP="00585508">
      <w:pPr>
        <w:pStyle w:val="SingleTxtG"/>
        <w:keepNext/>
        <w:spacing w:before="240"/>
        <w:ind w:left="2268" w:hanging="1134"/>
        <w:jc w:val="left"/>
        <w:rPr>
          <w:lang w:val="fr-FR"/>
        </w:rPr>
      </w:pPr>
      <w:r w:rsidRPr="00A779B8">
        <w:rPr>
          <w:lang w:val="fr-FR"/>
        </w:rPr>
        <w:t>1.2</w:t>
      </w:r>
      <w:r w:rsidRPr="00A779B8">
        <w:rPr>
          <w:lang w:val="fr-FR"/>
        </w:rPr>
        <w:tab/>
        <w:t xml:space="preserve">Caractéristiques techniques des carburants GN ou </w:t>
      </w:r>
      <w:proofErr w:type="spellStart"/>
      <w:r w:rsidRPr="00A779B8">
        <w:rPr>
          <w:lang w:val="fr-FR"/>
        </w:rPr>
        <w:t>biométhane</w:t>
      </w:r>
      <w:proofErr w:type="spellEnd"/>
      <w:r w:rsidRPr="00A779B8">
        <w:rPr>
          <w:lang w:val="fr-FR"/>
        </w:rPr>
        <w:t xml:space="preserve"> de référence</w:t>
      </w:r>
    </w:p>
    <w:p w:rsidR="00585508" w:rsidRPr="00A779B8" w:rsidRDefault="00585508" w:rsidP="00585508">
      <w:pPr>
        <w:pStyle w:val="Titre1"/>
        <w:spacing w:after="120"/>
        <w:rPr>
          <w:b/>
          <w:lang w:val="fr-FR"/>
        </w:rPr>
      </w:pPr>
      <w:r w:rsidRPr="00A779B8">
        <w:rPr>
          <w:b/>
          <w:lang w:val="fr-FR"/>
        </w:rPr>
        <w:t>Type: GN/</w:t>
      </w:r>
      <w:proofErr w:type="spellStart"/>
      <w:r w:rsidRPr="00A779B8">
        <w:rPr>
          <w:b/>
          <w:lang w:val="fr-FR"/>
        </w:rPr>
        <w:t>biométhane</w:t>
      </w:r>
      <w:proofErr w:type="spellEnd"/>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6"/>
        <w:gridCol w:w="1079"/>
        <w:gridCol w:w="938"/>
        <w:gridCol w:w="1110"/>
        <w:gridCol w:w="1125"/>
        <w:gridCol w:w="1987"/>
      </w:tblGrid>
      <w:tr w:rsidR="00585508" w:rsidRPr="00A779B8" w:rsidTr="00DB4C2D">
        <w:tblPrEx>
          <w:tblCellMar>
            <w:top w:w="0" w:type="dxa"/>
            <w:bottom w:w="0" w:type="dxa"/>
          </w:tblCellMar>
        </w:tblPrEx>
        <w:trPr>
          <w:cantSplit/>
          <w:tblHeader/>
        </w:trPr>
        <w:tc>
          <w:tcPr>
            <w:tcW w:w="2266" w:type="dxa"/>
            <w:vMerge w:val="restart"/>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Caractéristiques</w:t>
            </w:r>
          </w:p>
        </w:tc>
        <w:tc>
          <w:tcPr>
            <w:tcW w:w="1079" w:type="dxa"/>
            <w:vMerge w:val="restart"/>
            <w:vAlign w:val="center"/>
          </w:tcPr>
          <w:p w:rsidR="00585508" w:rsidRPr="00A779B8" w:rsidRDefault="00585508" w:rsidP="00DB4C2D">
            <w:pPr>
              <w:spacing w:before="60" w:after="60" w:line="200" w:lineRule="exact"/>
              <w:jc w:val="center"/>
              <w:rPr>
                <w:i/>
                <w:sz w:val="16"/>
                <w:szCs w:val="16"/>
                <w:lang w:val="fr-FR"/>
              </w:rPr>
            </w:pPr>
            <w:r w:rsidRPr="00A779B8">
              <w:rPr>
                <w:bCs/>
                <w:i/>
                <w:sz w:val="16"/>
                <w:szCs w:val="16"/>
                <w:lang w:val="fr-FR"/>
              </w:rPr>
              <w:t>Unités</w:t>
            </w:r>
          </w:p>
        </w:tc>
        <w:tc>
          <w:tcPr>
            <w:tcW w:w="938" w:type="dxa"/>
            <w:vMerge w:val="restart"/>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Base</w:t>
            </w:r>
          </w:p>
        </w:tc>
        <w:tc>
          <w:tcPr>
            <w:tcW w:w="2235" w:type="dxa"/>
            <w:gridSpan w:val="2"/>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Limites</w:t>
            </w:r>
          </w:p>
        </w:tc>
        <w:tc>
          <w:tcPr>
            <w:tcW w:w="1987" w:type="dxa"/>
            <w:vMerge w:val="restart"/>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p>
        </w:tc>
      </w:tr>
      <w:tr w:rsidR="00585508" w:rsidRPr="00A779B8" w:rsidTr="00DB4C2D">
        <w:tblPrEx>
          <w:tblCellMar>
            <w:top w:w="0" w:type="dxa"/>
            <w:bottom w:w="0" w:type="dxa"/>
          </w:tblCellMar>
        </w:tblPrEx>
        <w:trPr>
          <w:cantSplit/>
          <w:tblHeader/>
        </w:trPr>
        <w:tc>
          <w:tcPr>
            <w:tcW w:w="2266" w:type="dxa"/>
            <w:vMerge/>
            <w:vAlign w:val="center"/>
          </w:tcPr>
          <w:p w:rsidR="00585508" w:rsidRPr="00A779B8" w:rsidRDefault="00585508" w:rsidP="00DB4C2D">
            <w:pPr>
              <w:spacing w:before="60" w:after="60" w:line="200" w:lineRule="exact"/>
              <w:jc w:val="center"/>
              <w:rPr>
                <w:bCs/>
                <w:i/>
                <w:sz w:val="16"/>
                <w:szCs w:val="16"/>
                <w:lang w:val="fr-FR"/>
              </w:rPr>
            </w:pPr>
          </w:p>
        </w:tc>
        <w:tc>
          <w:tcPr>
            <w:tcW w:w="1079" w:type="dxa"/>
            <w:vMerge/>
            <w:vAlign w:val="center"/>
          </w:tcPr>
          <w:p w:rsidR="00585508" w:rsidRPr="00A779B8" w:rsidRDefault="00585508" w:rsidP="00DB4C2D">
            <w:pPr>
              <w:spacing w:before="60" w:after="60" w:line="200" w:lineRule="exact"/>
              <w:jc w:val="center"/>
              <w:rPr>
                <w:bCs/>
                <w:i/>
                <w:sz w:val="16"/>
                <w:szCs w:val="16"/>
                <w:lang w:val="fr-FR"/>
              </w:rPr>
            </w:pPr>
          </w:p>
        </w:tc>
        <w:tc>
          <w:tcPr>
            <w:tcW w:w="938" w:type="dxa"/>
            <w:vMerge/>
            <w:vAlign w:val="center"/>
          </w:tcPr>
          <w:p w:rsidR="00585508" w:rsidRPr="00A779B8" w:rsidRDefault="00585508" w:rsidP="00DB4C2D">
            <w:pPr>
              <w:spacing w:before="60" w:after="60" w:line="200" w:lineRule="exact"/>
              <w:jc w:val="center"/>
              <w:rPr>
                <w:bCs/>
                <w:i/>
                <w:sz w:val="16"/>
                <w:szCs w:val="16"/>
                <w:lang w:val="fr-FR"/>
              </w:rPr>
            </w:pPr>
          </w:p>
        </w:tc>
        <w:tc>
          <w:tcPr>
            <w:tcW w:w="1110" w:type="dxa"/>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Minimale</w:t>
            </w:r>
          </w:p>
        </w:tc>
        <w:tc>
          <w:tcPr>
            <w:tcW w:w="1125" w:type="dxa"/>
            <w:vAlign w:val="center"/>
          </w:tcPr>
          <w:p w:rsidR="00585508" w:rsidRPr="00A779B8" w:rsidRDefault="00585508" w:rsidP="00DB4C2D">
            <w:pPr>
              <w:spacing w:before="60" w:after="60" w:line="200" w:lineRule="exact"/>
              <w:jc w:val="center"/>
              <w:rPr>
                <w:bCs/>
                <w:i/>
                <w:sz w:val="16"/>
                <w:szCs w:val="16"/>
                <w:lang w:val="fr-FR"/>
              </w:rPr>
            </w:pPr>
            <w:r w:rsidRPr="00A779B8">
              <w:rPr>
                <w:bCs/>
                <w:i/>
                <w:sz w:val="16"/>
                <w:szCs w:val="16"/>
                <w:lang w:val="fr-FR"/>
              </w:rPr>
              <w:t>Maximale</w:t>
            </w:r>
          </w:p>
        </w:tc>
        <w:tc>
          <w:tcPr>
            <w:tcW w:w="1987" w:type="dxa"/>
            <w:vMerge/>
            <w:vAlign w:val="center"/>
          </w:tcPr>
          <w:p w:rsidR="00585508" w:rsidRPr="00A779B8" w:rsidRDefault="00585508" w:rsidP="00DB4C2D">
            <w:pPr>
              <w:spacing w:before="60" w:after="60" w:line="200" w:lineRule="exact"/>
              <w:jc w:val="center"/>
              <w:rPr>
                <w:bCs/>
                <w:i/>
                <w:sz w:val="16"/>
                <w:szCs w:val="16"/>
                <w:lang w:val="fr-FR"/>
              </w:rPr>
            </w:pPr>
          </w:p>
        </w:tc>
      </w:tr>
      <w:tr w:rsidR="00585508" w:rsidRPr="00A779B8" w:rsidTr="00DB4C2D">
        <w:tblPrEx>
          <w:tblCellMar>
            <w:top w:w="0" w:type="dxa"/>
            <w:bottom w:w="0" w:type="dxa"/>
          </w:tblCellMar>
        </w:tblPrEx>
        <w:trPr>
          <w:cantSplit/>
        </w:trPr>
        <w:tc>
          <w:tcPr>
            <w:tcW w:w="8505" w:type="dxa"/>
            <w:gridSpan w:val="6"/>
            <w:tcBorders>
              <w:bottom w:val="single" w:sz="4" w:space="0" w:color="auto"/>
            </w:tcBorders>
          </w:tcPr>
          <w:p w:rsidR="00585508" w:rsidRPr="00A779B8" w:rsidRDefault="00585508" w:rsidP="00DB4C2D">
            <w:pPr>
              <w:spacing w:before="60" w:after="60" w:line="220" w:lineRule="atLeast"/>
              <w:rPr>
                <w:bCs/>
                <w:sz w:val="18"/>
                <w:szCs w:val="18"/>
                <w:vertAlign w:val="subscript"/>
                <w:lang w:val="fr-FR"/>
              </w:rPr>
            </w:pPr>
            <w:r w:rsidRPr="00A779B8">
              <w:rPr>
                <w:bCs/>
                <w:sz w:val="18"/>
                <w:szCs w:val="18"/>
                <w:lang w:val="fr-FR"/>
              </w:rPr>
              <w:t>Carburant de référence G</w:t>
            </w:r>
            <w:r w:rsidRPr="00A779B8">
              <w:rPr>
                <w:bCs/>
                <w:sz w:val="18"/>
                <w:szCs w:val="18"/>
                <w:vertAlign w:val="subscript"/>
                <w:lang w:val="fr-FR"/>
              </w:rPr>
              <w:t>20</w:t>
            </w:r>
          </w:p>
        </w:tc>
      </w:tr>
      <w:tr w:rsidR="00585508" w:rsidRPr="00A779B8" w:rsidTr="00DB4C2D">
        <w:tblPrEx>
          <w:tblCellMar>
            <w:top w:w="0" w:type="dxa"/>
            <w:bottom w:w="0" w:type="dxa"/>
          </w:tblCellMar>
        </w:tblPrEx>
        <w:trPr>
          <w:cantSplit/>
        </w:trPr>
        <w:tc>
          <w:tcPr>
            <w:tcW w:w="2266" w:type="dxa"/>
            <w:tcBorders>
              <w:bottom w:val="nil"/>
            </w:tcBorders>
          </w:tcPr>
          <w:p w:rsidR="00585508" w:rsidRPr="00A779B8" w:rsidRDefault="00585508" w:rsidP="00DB4C2D">
            <w:pPr>
              <w:spacing w:before="60" w:after="60" w:line="220" w:lineRule="atLeast"/>
              <w:rPr>
                <w:sz w:val="18"/>
                <w:szCs w:val="18"/>
                <w:lang w:val="fr-FR"/>
              </w:rPr>
            </w:pPr>
            <w:r w:rsidRPr="00A779B8">
              <w:rPr>
                <w:i/>
                <w:sz w:val="18"/>
                <w:szCs w:val="18"/>
                <w:lang w:val="fr-FR"/>
              </w:rPr>
              <w:t>Composition</w:t>
            </w:r>
            <w:r w:rsidRPr="00A779B8">
              <w:rPr>
                <w:sz w:val="18"/>
                <w:szCs w:val="18"/>
                <w:lang w:val="fr-FR"/>
              </w:rPr>
              <w:t>:</w:t>
            </w:r>
          </w:p>
        </w:tc>
        <w:tc>
          <w:tcPr>
            <w:tcW w:w="1079" w:type="dxa"/>
            <w:tcBorders>
              <w:bottom w:val="nil"/>
            </w:tcBorders>
          </w:tcPr>
          <w:p w:rsidR="00585508" w:rsidRPr="00A779B8" w:rsidRDefault="00585508" w:rsidP="00DB4C2D">
            <w:pPr>
              <w:spacing w:before="60" w:after="60" w:line="220" w:lineRule="atLeast"/>
              <w:rPr>
                <w:sz w:val="18"/>
                <w:szCs w:val="18"/>
                <w:lang w:val="fr-FR"/>
              </w:rPr>
            </w:pPr>
          </w:p>
        </w:tc>
        <w:tc>
          <w:tcPr>
            <w:tcW w:w="938" w:type="dxa"/>
            <w:tcBorders>
              <w:bottom w:val="nil"/>
            </w:tcBorders>
          </w:tcPr>
          <w:p w:rsidR="00585508" w:rsidRPr="00A779B8" w:rsidRDefault="00585508" w:rsidP="00DB4C2D">
            <w:pPr>
              <w:spacing w:before="60" w:after="60" w:line="220" w:lineRule="atLeast"/>
              <w:rPr>
                <w:sz w:val="18"/>
                <w:szCs w:val="18"/>
                <w:lang w:val="fr-FR"/>
              </w:rPr>
            </w:pPr>
          </w:p>
        </w:tc>
        <w:tc>
          <w:tcPr>
            <w:tcW w:w="1110" w:type="dxa"/>
            <w:tcBorders>
              <w:bottom w:val="nil"/>
            </w:tcBorders>
          </w:tcPr>
          <w:p w:rsidR="00585508" w:rsidRPr="00A779B8" w:rsidRDefault="00585508" w:rsidP="00DB4C2D">
            <w:pPr>
              <w:spacing w:before="60" w:after="60" w:line="220" w:lineRule="atLeast"/>
              <w:rPr>
                <w:sz w:val="18"/>
                <w:szCs w:val="18"/>
                <w:lang w:val="fr-FR"/>
              </w:rPr>
            </w:pPr>
          </w:p>
        </w:tc>
        <w:tc>
          <w:tcPr>
            <w:tcW w:w="1125" w:type="dxa"/>
            <w:tcBorders>
              <w:bottom w:val="nil"/>
            </w:tcBorders>
          </w:tcPr>
          <w:p w:rsidR="00585508" w:rsidRPr="00A779B8" w:rsidRDefault="00585508" w:rsidP="00DB4C2D">
            <w:pPr>
              <w:spacing w:before="60" w:after="60" w:line="220" w:lineRule="atLeast"/>
              <w:rPr>
                <w:sz w:val="18"/>
                <w:szCs w:val="18"/>
                <w:lang w:val="fr-FR"/>
              </w:rPr>
            </w:pPr>
          </w:p>
        </w:tc>
        <w:tc>
          <w:tcPr>
            <w:tcW w:w="1987" w:type="dxa"/>
            <w:tcBorders>
              <w:bottom w:val="nil"/>
            </w:tcBorders>
          </w:tcPr>
          <w:p w:rsidR="00585508" w:rsidRPr="00A779B8" w:rsidRDefault="00585508" w:rsidP="00DB4C2D">
            <w:pPr>
              <w:spacing w:before="60" w:after="60" w:line="220" w:lineRule="atLeast"/>
              <w:rPr>
                <w:sz w:val="18"/>
                <w:szCs w:val="18"/>
                <w:lang w:val="fr-FR"/>
              </w:rPr>
            </w:pPr>
          </w:p>
        </w:tc>
      </w:tr>
      <w:tr w:rsidR="00585508" w:rsidRPr="00A779B8" w:rsidTr="00DB4C2D">
        <w:tblPrEx>
          <w:tblCellMar>
            <w:top w:w="0" w:type="dxa"/>
            <w:bottom w:w="0" w:type="dxa"/>
          </w:tblCellMar>
        </w:tblPrEx>
        <w:trPr>
          <w:cantSplit/>
        </w:trPr>
        <w:tc>
          <w:tcPr>
            <w:tcW w:w="2266" w:type="dxa"/>
            <w:tcBorders>
              <w:top w:val="nil"/>
              <w:bottom w:val="nil"/>
            </w:tcBorders>
          </w:tcPr>
          <w:p w:rsidR="00585508" w:rsidRPr="00A779B8" w:rsidRDefault="00585508" w:rsidP="00DB4C2D">
            <w:pPr>
              <w:spacing w:before="60" w:after="60" w:line="220" w:lineRule="atLeast"/>
              <w:ind w:left="170"/>
              <w:rPr>
                <w:sz w:val="18"/>
                <w:szCs w:val="18"/>
                <w:lang w:val="fr-FR"/>
              </w:rPr>
            </w:pPr>
            <w:r w:rsidRPr="00A779B8">
              <w:rPr>
                <w:sz w:val="18"/>
                <w:szCs w:val="18"/>
                <w:lang w:val="fr-FR"/>
              </w:rPr>
              <w:t>Méthane</w:t>
            </w:r>
          </w:p>
        </w:tc>
        <w:tc>
          <w:tcPr>
            <w:tcW w:w="1079"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mole</w:t>
            </w:r>
          </w:p>
        </w:tc>
        <w:tc>
          <w:tcPr>
            <w:tcW w:w="938"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100</w:t>
            </w:r>
          </w:p>
        </w:tc>
        <w:tc>
          <w:tcPr>
            <w:tcW w:w="1110"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99</w:t>
            </w:r>
          </w:p>
        </w:tc>
        <w:tc>
          <w:tcPr>
            <w:tcW w:w="1125"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100</w:t>
            </w:r>
          </w:p>
        </w:tc>
        <w:tc>
          <w:tcPr>
            <w:tcW w:w="1987"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ISO 6974</w:t>
            </w:r>
          </w:p>
        </w:tc>
      </w:tr>
      <w:tr w:rsidR="00585508" w:rsidRPr="00A779B8" w:rsidTr="00DB4C2D">
        <w:tblPrEx>
          <w:tblCellMar>
            <w:top w:w="0" w:type="dxa"/>
            <w:bottom w:w="0" w:type="dxa"/>
          </w:tblCellMar>
        </w:tblPrEx>
        <w:trPr>
          <w:cantSplit/>
        </w:trPr>
        <w:tc>
          <w:tcPr>
            <w:tcW w:w="2266" w:type="dxa"/>
            <w:tcBorders>
              <w:top w:val="nil"/>
              <w:bottom w:val="nil"/>
            </w:tcBorders>
          </w:tcPr>
          <w:p w:rsidR="00585508" w:rsidRPr="00A779B8" w:rsidRDefault="00585508" w:rsidP="00DB4C2D">
            <w:pPr>
              <w:spacing w:before="60" w:after="60" w:line="220" w:lineRule="atLeast"/>
              <w:ind w:left="170"/>
              <w:rPr>
                <w:sz w:val="18"/>
                <w:szCs w:val="18"/>
                <w:lang w:val="fr-FR"/>
              </w:rPr>
            </w:pPr>
            <w:r w:rsidRPr="00A779B8">
              <w:rPr>
                <w:sz w:val="18"/>
                <w:szCs w:val="18"/>
                <w:lang w:val="fr-FR"/>
              </w:rPr>
              <w:t>Autres</w:t>
            </w:r>
            <w:r w:rsidRPr="00A779B8">
              <w:rPr>
                <w:i/>
                <w:sz w:val="18"/>
                <w:szCs w:val="18"/>
                <w:vertAlign w:val="superscript"/>
                <w:lang w:val="fr-FR"/>
              </w:rPr>
              <w:t>1</w:t>
            </w:r>
          </w:p>
        </w:tc>
        <w:tc>
          <w:tcPr>
            <w:tcW w:w="1079"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mole</w:t>
            </w:r>
          </w:p>
        </w:tc>
        <w:tc>
          <w:tcPr>
            <w:tcW w:w="938"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w:t>
            </w:r>
          </w:p>
        </w:tc>
        <w:tc>
          <w:tcPr>
            <w:tcW w:w="1110"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w:t>
            </w:r>
          </w:p>
        </w:tc>
        <w:tc>
          <w:tcPr>
            <w:tcW w:w="1125"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1</w:t>
            </w:r>
          </w:p>
        </w:tc>
        <w:tc>
          <w:tcPr>
            <w:tcW w:w="1987"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ISO 6974</w:t>
            </w:r>
          </w:p>
        </w:tc>
      </w:tr>
      <w:tr w:rsidR="00585508" w:rsidRPr="00A779B8" w:rsidTr="00DB4C2D">
        <w:tblPrEx>
          <w:tblCellMar>
            <w:top w:w="0" w:type="dxa"/>
            <w:bottom w:w="0" w:type="dxa"/>
          </w:tblCellMar>
        </w:tblPrEx>
        <w:trPr>
          <w:cantSplit/>
        </w:trPr>
        <w:tc>
          <w:tcPr>
            <w:tcW w:w="2266" w:type="dxa"/>
            <w:tcBorders>
              <w:top w:val="nil"/>
            </w:tcBorders>
          </w:tcPr>
          <w:p w:rsidR="00585508" w:rsidRPr="00A779B8" w:rsidRDefault="00585508" w:rsidP="00DB4C2D">
            <w:pPr>
              <w:spacing w:before="60" w:after="60" w:line="220" w:lineRule="atLeast"/>
              <w:ind w:left="170"/>
              <w:rPr>
                <w:sz w:val="18"/>
                <w:szCs w:val="18"/>
                <w:vertAlign w:val="subscript"/>
                <w:lang w:val="fr-FR"/>
              </w:rPr>
            </w:pPr>
            <w:r w:rsidRPr="00A779B8">
              <w:rPr>
                <w:sz w:val="18"/>
                <w:szCs w:val="18"/>
                <w:lang w:val="fr-FR"/>
              </w:rPr>
              <w:t>N</w:t>
            </w:r>
            <w:r w:rsidRPr="00A779B8">
              <w:rPr>
                <w:sz w:val="18"/>
                <w:szCs w:val="18"/>
                <w:vertAlign w:val="subscript"/>
                <w:lang w:val="fr-FR"/>
              </w:rPr>
              <w:t>2</w:t>
            </w:r>
          </w:p>
        </w:tc>
        <w:tc>
          <w:tcPr>
            <w:tcW w:w="1079" w:type="dxa"/>
            <w:tcBorders>
              <w:top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mole</w:t>
            </w:r>
          </w:p>
        </w:tc>
        <w:tc>
          <w:tcPr>
            <w:tcW w:w="938" w:type="dxa"/>
            <w:tcBorders>
              <w:top w:val="nil"/>
            </w:tcBorders>
          </w:tcPr>
          <w:p w:rsidR="00585508" w:rsidRPr="00A779B8" w:rsidRDefault="00585508" w:rsidP="00DB4C2D">
            <w:pPr>
              <w:spacing w:before="60" w:after="60" w:line="220" w:lineRule="atLeast"/>
              <w:jc w:val="right"/>
              <w:rPr>
                <w:sz w:val="18"/>
                <w:szCs w:val="18"/>
                <w:lang w:val="fr-FR"/>
              </w:rPr>
            </w:pPr>
          </w:p>
        </w:tc>
        <w:tc>
          <w:tcPr>
            <w:tcW w:w="1110" w:type="dxa"/>
            <w:tcBorders>
              <w:top w:val="nil"/>
            </w:tcBorders>
          </w:tcPr>
          <w:p w:rsidR="00585508" w:rsidRPr="00A779B8" w:rsidRDefault="00585508" w:rsidP="00DB4C2D">
            <w:pPr>
              <w:spacing w:before="60" w:after="60" w:line="220" w:lineRule="atLeast"/>
              <w:jc w:val="right"/>
              <w:rPr>
                <w:sz w:val="18"/>
                <w:szCs w:val="18"/>
                <w:lang w:val="fr-FR"/>
              </w:rPr>
            </w:pPr>
          </w:p>
        </w:tc>
        <w:tc>
          <w:tcPr>
            <w:tcW w:w="1125" w:type="dxa"/>
            <w:tcBorders>
              <w:top w:val="nil"/>
            </w:tcBorders>
          </w:tcPr>
          <w:p w:rsidR="00585508" w:rsidRPr="00A779B8" w:rsidRDefault="00585508" w:rsidP="00DB4C2D">
            <w:pPr>
              <w:spacing w:before="60" w:after="60" w:line="220" w:lineRule="atLeast"/>
              <w:jc w:val="right"/>
              <w:rPr>
                <w:sz w:val="18"/>
                <w:szCs w:val="18"/>
                <w:lang w:val="fr-FR"/>
              </w:rPr>
            </w:pPr>
          </w:p>
        </w:tc>
        <w:tc>
          <w:tcPr>
            <w:tcW w:w="1987" w:type="dxa"/>
            <w:tcBorders>
              <w:top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ISO 6974</w:t>
            </w:r>
          </w:p>
        </w:tc>
      </w:tr>
      <w:tr w:rsidR="00585508" w:rsidRPr="00A779B8" w:rsidTr="00DB4C2D">
        <w:tblPrEx>
          <w:tblCellMar>
            <w:top w:w="0" w:type="dxa"/>
            <w:bottom w:w="0" w:type="dxa"/>
          </w:tblCellMar>
        </w:tblPrEx>
        <w:trPr>
          <w:cantSplit/>
        </w:trPr>
        <w:tc>
          <w:tcPr>
            <w:tcW w:w="2266" w:type="dxa"/>
          </w:tcPr>
          <w:p w:rsidR="00585508" w:rsidRPr="00A779B8" w:rsidRDefault="00585508" w:rsidP="00DB4C2D">
            <w:pPr>
              <w:spacing w:before="60" w:after="60" w:line="220" w:lineRule="atLeast"/>
              <w:rPr>
                <w:sz w:val="18"/>
                <w:szCs w:val="18"/>
                <w:lang w:val="fr-FR"/>
              </w:rPr>
            </w:pPr>
            <w:r w:rsidRPr="00A779B8">
              <w:rPr>
                <w:sz w:val="18"/>
                <w:szCs w:val="18"/>
                <w:lang w:val="fr-FR"/>
              </w:rPr>
              <w:t>Teneur en soufre</w:t>
            </w:r>
          </w:p>
        </w:tc>
        <w:tc>
          <w:tcPr>
            <w:tcW w:w="1079" w:type="dxa"/>
          </w:tcPr>
          <w:p w:rsidR="00585508" w:rsidRPr="00A779B8" w:rsidRDefault="00585508" w:rsidP="00DB4C2D">
            <w:pPr>
              <w:spacing w:before="60" w:after="60" w:line="220" w:lineRule="atLeast"/>
              <w:rPr>
                <w:sz w:val="18"/>
                <w:szCs w:val="18"/>
                <w:vertAlign w:val="superscript"/>
                <w:lang w:val="fr-FR"/>
              </w:rPr>
            </w:pPr>
            <w:r w:rsidRPr="00A779B8">
              <w:rPr>
                <w:sz w:val="18"/>
                <w:szCs w:val="18"/>
                <w:lang w:val="fr-FR"/>
              </w:rPr>
              <w:t>mg/m</w:t>
            </w:r>
            <w:r w:rsidRPr="00A779B8">
              <w:rPr>
                <w:sz w:val="18"/>
                <w:szCs w:val="18"/>
                <w:vertAlign w:val="superscript"/>
                <w:lang w:val="fr-FR"/>
              </w:rPr>
              <w:t>3 </w:t>
            </w:r>
            <w:r w:rsidRPr="00A779B8">
              <w:rPr>
                <w:i/>
                <w:sz w:val="18"/>
                <w:szCs w:val="18"/>
                <w:vertAlign w:val="superscript"/>
                <w:lang w:val="fr-FR"/>
              </w:rPr>
              <w:t>2</w:t>
            </w:r>
          </w:p>
        </w:tc>
        <w:tc>
          <w:tcPr>
            <w:tcW w:w="938"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w:t>
            </w:r>
          </w:p>
        </w:tc>
        <w:tc>
          <w:tcPr>
            <w:tcW w:w="1110"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w:t>
            </w:r>
          </w:p>
        </w:tc>
        <w:tc>
          <w:tcPr>
            <w:tcW w:w="1125"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10</w:t>
            </w:r>
          </w:p>
        </w:tc>
        <w:tc>
          <w:tcPr>
            <w:tcW w:w="1987" w:type="dxa"/>
          </w:tcPr>
          <w:p w:rsidR="00585508" w:rsidRPr="00A779B8" w:rsidRDefault="00585508" w:rsidP="00DB4C2D">
            <w:pPr>
              <w:spacing w:before="60" w:after="60" w:line="220" w:lineRule="atLeast"/>
              <w:rPr>
                <w:sz w:val="18"/>
                <w:szCs w:val="18"/>
                <w:lang w:val="fr-FR"/>
              </w:rPr>
            </w:pPr>
            <w:r w:rsidRPr="00A779B8">
              <w:rPr>
                <w:sz w:val="18"/>
                <w:szCs w:val="18"/>
                <w:lang w:val="fr-FR"/>
              </w:rPr>
              <w:t>ISO 6326-5</w:t>
            </w:r>
          </w:p>
        </w:tc>
      </w:tr>
      <w:tr w:rsidR="00585508" w:rsidRPr="00A779B8" w:rsidTr="00DB4C2D">
        <w:tblPrEx>
          <w:tblCellMar>
            <w:top w:w="0" w:type="dxa"/>
            <w:bottom w:w="0" w:type="dxa"/>
          </w:tblCellMar>
        </w:tblPrEx>
        <w:trPr>
          <w:cantSplit/>
        </w:trPr>
        <w:tc>
          <w:tcPr>
            <w:tcW w:w="2266" w:type="dxa"/>
          </w:tcPr>
          <w:p w:rsidR="00585508" w:rsidRPr="00A779B8" w:rsidRDefault="00585508" w:rsidP="00DB4C2D">
            <w:pPr>
              <w:spacing w:before="60" w:after="60" w:line="220" w:lineRule="atLeast"/>
              <w:rPr>
                <w:sz w:val="18"/>
                <w:szCs w:val="18"/>
                <w:lang w:val="fr-FR"/>
              </w:rPr>
            </w:pPr>
            <w:r w:rsidRPr="00A779B8">
              <w:rPr>
                <w:sz w:val="18"/>
                <w:szCs w:val="18"/>
                <w:lang w:val="fr-FR"/>
              </w:rPr>
              <w:t xml:space="preserve">Indice de </w:t>
            </w:r>
            <w:proofErr w:type="spellStart"/>
            <w:r w:rsidRPr="00A779B8">
              <w:rPr>
                <w:sz w:val="18"/>
                <w:szCs w:val="18"/>
                <w:lang w:val="fr-FR"/>
              </w:rPr>
              <w:t>Wobbe</w:t>
            </w:r>
            <w:proofErr w:type="spellEnd"/>
            <w:r w:rsidRPr="00A779B8">
              <w:rPr>
                <w:sz w:val="18"/>
                <w:szCs w:val="18"/>
                <w:lang w:val="fr-FR"/>
              </w:rPr>
              <w:t xml:space="preserve"> (net)</w:t>
            </w:r>
          </w:p>
        </w:tc>
        <w:tc>
          <w:tcPr>
            <w:tcW w:w="1079" w:type="dxa"/>
          </w:tcPr>
          <w:p w:rsidR="00585508" w:rsidRPr="00A779B8" w:rsidRDefault="00585508" w:rsidP="00DB4C2D">
            <w:pPr>
              <w:spacing w:before="60" w:after="60" w:line="220" w:lineRule="atLeast"/>
              <w:rPr>
                <w:sz w:val="18"/>
                <w:szCs w:val="18"/>
                <w:vertAlign w:val="superscript"/>
                <w:lang w:val="fr-FR"/>
              </w:rPr>
            </w:pPr>
            <w:r w:rsidRPr="00A779B8">
              <w:rPr>
                <w:sz w:val="18"/>
                <w:szCs w:val="18"/>
                <w:lang w:val="fr-FR"/>
              </w:rPr>
              <w:t>MJ/m</w:t>
            </w:r>
            <w:r w:rsidRPr="00A779B8">
              <w:rPr>
                <w:sz w:val="18"/>
                <w:szCs w:val="18"/>
                <w:vertAlign w:val="superscript"/>
                <w:lang w:val="fr-FR"/>
              </w:rPr>
              <w:t>3 </w:t>
            </w:r>
            <w:r w:rsidRPr="00A779B8">
              <w:rPr>
                <w:i/>
                <w:sz w:val="18"/>
                <w:szCs w:val="18"/>
                <w:vertAlign w:val="superscript"/>
                <w:lang w:val="fr-FR"/>
              </w:rPr>
              <w:t>3</w:t>
            </w:r>
          </w:p>
        </w:tc>
        <w:tc>
          <w:tcPr>
            <w:tcW w:w="938"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48,2</w:t>
            </w:r>
          </w:p>
        </w:tc>
        <w:tc>
          <w:tcPr>
            <w:tcW w:w="1110"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47,2</w:t>
            </w:r>
          </w:p>
        </w:tc>
        <w:tc>
          <w:tcPr>
            <w:tcW w:w="1125"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49,2</w:t>
            </w:r>
          </w:p>
        </w:tc>
        <w:tc>
          <w:tcPr>
            <w:tcW w:w="1987" w:type="dxa"/>
          </w:tcPr>
          <w:p w:rsidR="00585508" w:rsidRPr="00A779B8" w:rsidRDefault="00585508" w:rsidP="00DB4C2D">
            <w:pPr>
              <w:spacing w:before="60" w:after="60" w:line="220" w:lineRule="atLeast"/>
              <w:rPr>
                <w:sz w:val="18"/>
                <w:szCs w:val="18"/>
                <w:lang w:val="fr-FR"/>
              </w:rPr>
            </w:pPr>
          </w:p>
        </w:tc>
      </w:tr>
      <w:tr w:rsidR="00585508" w:rsidRPr="00A779B8" w:rsidTr="00DB4C2D">
        <w:tblPrEx>
          <w:tblCellMar>
            <w:top w:w="0" w:type="dxa"/>
            <w:bottom w:w="0" w:type="dxa"/>
          </w:tblCellMar>
        </w:tblPrEx>
        <w:trPr>
          <w:cantSplit/>
        </w:trPr>
        <w:tc>
          <w:tcPr>
            <w:tcW w:w="8505" w:type="dxa"/>
            <w:gridSpan w:val="6"/>
            <w:tcBorders>
              <w:bottom w:val="single" w:sz="4" w:space="0" w:color="auto"/>
            </w:tcBorders>
          </w:tcPr>
          <w:p w:rsidR="00585508" w:rsidRPr="00A779B8" w:rsidRDefault="00585508" w:rsidP="00DB4C2D">
            <w:pPr>
              <w:spacing w:before="60" w:after="60" w:line="220" w:lineRule="atLeast"/>
              <w:rPr>
                <w:bCs/>
                <w:sz w:val="18"/>
                <w:szCs w:val="18"/>
                <w:vertAlign w:val="subscript"/>
                <w:lang w:val="fr-FR"/>
              </w:rPr>
            </w:pPr>
            <w:r w:rsidRPr="00A779B8">
              <w:rPr>
                <w:bCs/>
                <w:sz w:val="18"/>
                <w:szCs w:val="18"/>
                <w:lang w:val="fr-FR"/>
              </w:rPr>
              <w:lastRenderedPageBreak/>
              <w:t>Carburant de référence G</w:t>
            </w:r>
            <w:r w:rsidRPr="00A779B8">
              <w:rPr>
                <w:bCs/>
                <w:sz w:val="18"/>
                <w:szCs w:val="18"/>
                <w:vertAlign w:val="subscript"/>
                <w:lang w:val="fr-FR"/>
              </w:rPr>
              <w:t>25</w:t>
            </w:r>
          </w:p>
        </w:tc>
      </w:tr>
      <w:tr w:rsidR="00585508" w:rsidRPr="00A779B8" w:rsidTr="00DB4C2D">
        <w:tblPrEx>
          <w:tblCellMar>
            <w:top w:w="0" w:type="dxa"/>
            <w:bottom w:w="0" w:type="dxa"/>
          </w:tblCellMar>
        </w:tblPrEx>
        <w:trPr>
          <w:cantSplit/>
        </w:trPr>
        <w:tc>
          <w:tcPr>
            <w:tcW w:w="2266" w:type="dxa"/>
            <w:tcBorders>
              <w:bottom w:val="nil"/>
            </w:tcBorders>
          </w:tcPr>
          <w:p w:rsidR="00585508" w:rsidRPr="00A779B8" w:rsidRDefault="00585508" w:rsidP="00DB4C2D">
            <w:pPr>
              <w:spacing w:before="60" w:after="60" w:line="220" w:lineRule="atLeast"/>
              <w:rPr>
                <w:sz w:val="18"/>
                <w:szCs w:val="18"/>
                <w:lang w:val="fr-FR"/>
              </w:rPr>
            </w:pPr>
            <w:r w:rsidRPr="00A779B8">
              <w:rPr>
                <w:i/>
                <w:sz w:val="18"/>
                <w:szCs w:val="18"/>
                <w:lang w:val="fr-FR"/>
              </w:rPr>
              <w:t>Composition</w:t>
            </w:r>
            <w:r w:rsidRPr="00A779B8">
              <w:rPr>
                <w:sz w:val="18"/>
                <w:szCs w:val="18"/>
                <w:lang w:val="fr-FR"/>
              </w:rPr>
              <w:t>:</w:t>
            </w:r>
          </w:p>
        </w:tc>
        <w:tc>
          <w:tcPr>
            <w:tcW w:w="1079" w:type="dxa"/>
            <w:tcBorders>
              <w:bottom w:val="nil"/>
            </w:tcBorders>
          </w:tcPr>
          <w:p w:rsidR="00585508" w:rsidRPr="00A779B8" w:rsidRDefault="00585508" w:rsidP="00DB4C2D">
            <w:pPr>
              <w:spacing w:before="60" w:after="60" w:line="220" w:lineRule="atLeast"/>
              <w:rPr>
                <w:sz w:val="18"/>
                <w:szCs w:val="18"/>
                <w:lang w:val="fr-FR"/>
              </w:rPr>
            </w:pPr>
          </w:p>
        </w:tc>
        <w:tc>
          <w:tcPr>
            <w:tcW w:w="938" w:type="dxa"/>
            <w:tcBorders>
              <w:bottom w:val="nil"/>
            </w:tcBorders>
          </w:tcPr>
          <w:p w:rsidR="00585508" w:rsidRPr="00A779B8" w:rsidRDefault="00585508" w:rsidP="00DB4C2D">
            <w:pPr>
              <w:spacing w:before="60" w:after="60" w:line="220" w:lineRule="atLeast"/>
              <w:rPr>
                <w:sz w:val="18"/>
                <w:szCs w:val="18"/>
                <w:lang w:val="fr-FR"/>
              </w:rPr>
            </w:pPr>
          </w:p>
        </w:tc>
        <w:tc>
          <w:tcPr>
            <w:tcW w:w="1110" w:type="dxa"/>
            <w:tcBorders>
              <w:bottom w:val="nil"/>
            </w:tcBorders>
          </w:tcPr>
          <w:p w:rsidR="00585508" w:rsidRPr="00A779B8" w:rsidRDefault="00585508" w:rsidP="00DB4C2D">
            <w:pPr>
              <w:spacing w:before="60" w:after="60" w:line="220" w:lineRule="atLeast"/>
              <w:rPr>
                <w:sz w:val="18"/>
                <w:szCs w:val="18"/>
                <w:lang w:val="fr-FR"/>
              </w:rPr>
            </w:pPr>
          </w:p>
        </w:tc>
        <w:tc>
          <w:tcPr>
            <w:tcW w:w="1125" w:type="dxa"/>
            <w:tcBorders>
              <w:bottom w:val="nil"/>
            </w:tcBorders>
          </w:tcPr>
          <w:p w:rsidR="00585508" w:rsidRPr="00A779B8" w:rsidRDefault="00585508" w:rsidP="00DB4C2D">
            <w:pPr>
              <w:spacing w:before="60" w:after="60" w:line="220" w:lineRule="atLeast"/>
              <w:rPr>
                <w:sz w:val="18"/>
                <w:szCs w:val="18"/>
                <w:lang w:val="fr-FR"/>
              </w:rPr>
            </w:pPr>
          </w:p>
        </w:tc>
        <w:tc>
          <w:tcPr>
            <w:tcW w:w="1987" w:type="dxa"/>
            <w:tcBorders>
              <w:bottom w:val="nil"/>
            </w:tcBorders>
          </w:tcPr>
          <w:p w:rsidR="00585508" w:rsidRPr="00A779B8" w:rsidRDefault="00585508" w:rsidP="00DB4C2D">
            <w:pPr>
              <w:spacing w:before="60" w:after="60" w:line="220" w:lineRule="atLeast"/>
              <w:rPr>
                <w:sz w:val="18"/>
                <w:szCs w:val="18"/>
                <w:lang w:val="fr-FR"/>
              </w:rPr>
            </w:pPr>
          </w:p>
        </w:tc>
      </w:tr>
      <w:tr w:rsidR="00585508" w:rsidRPr="00A779B8" w:rsidTr="00DB4C2D">
        <w:tblPrEx>
          <w:tblCellMar>
            <w:top w:w="0" w:type="dxa"/>
            <w:bottom w:w="0" w:type="dxa"/>
          </w:tblCellMar>
        </w:tblPrEx>
        <w:trPr>
          <w:cantSplit/>
        </w:trPr>
        <w:tc>
          <w:tcPr>
            <w:tcW w:w="2266" w:type="dxa"/>
            <w:tcBorders>
              <w:top w:val="nil"/>
              <w:bottom w:val="nil"/>
            </w:tcBorders>
          </w:tcPr>
          <w:p w:rsidR="00585508" w:rsidRPr="00A779B8" w:rsidRDefault="00585508" w:rsidP="00DB4C2D">
            <w:pPr>
              <w:spacing w:before="60" w:after="60" w:line="220" w:lineRule="atLeast"/>
              <w:ind w:left="170"/>
              <w:rPr>
                <w:sz w:val="18"/>
                <w:szCs w:val="18"/>
                <w:lang w:val="fr-FR"/>
              </w:rPr>
            </w:pPr>
            <w:r w:rsidRPr="00A779B8">
              <w:rPr>
                <w:sz w:val="18"/>
                <w:szCs w:val="18"/>
                <w:lang w:val="fr-FR"/>
              </w:rPr>
              <w:t>Méthane</w:t>
            </w:r>
          </w:p>
        </w:tc>
        <w:tc>
          <w:tcPr>
            <w:tcW w:w="1079"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mole</w:t>
            </w:r>
          </w:p>
        </w:tc>
        <w:tc>
          <w:tcPr>
            <w:tcW w:w="938"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86</w:t>
            </w:r>
          </w:p>
        </w:tc>
        <w:tc>
          <w:tcPr>
            <w:tcW w:w="1110"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84</w:t>
            </w:r>
          </w:p>
        </w:tc>
        <w:tc>
          <w:tcPr>
            <w:tcW w:w="1125"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88</w:t>
            </w:r>
          </w:p>
        </w:tc>
        <w:tc>
          <w:tcPr>
            <w:tcW w:w="1987"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ISO 6974</w:t>
            </w:r>
          </w:p>
        </w:tc>
      </w:tr>
      <w:tr w:rsidR="00585508" w:rsidRPr="00A779B8" w:rsidTr="00DB4C2D">
        <w:tblPrEx>
          <w:tblCellMar>
            <w:top w:w="0" w:type="dxa"/>
            <w:bottom w:w="0" w:type="dxa"/>
          </w:tblCellMar>
        </w:tblPrEx>
        <w:trPr>
          <w:cantSplit/>
        </w:trPr>
        <w:tc>
          <w:tcPr>
            <w:tcW w:w="2266" w:type="dxa"/>
            <w:tcBorders>
              <w:top w:val="nil"/>
              <w:bottom w:val="nil"/>
            </w:tcBorders>
          </w:tcPr>
          <w:p w:rsidR="00585508" w:rsidRPr="00A779B8" w:rsidRDefault="00585508" w:rsidP="00DB4C2D">
            <w:pPr>
              <w:spacing w:before="60" w:after="60" w:line="220" w:lineRule="atLeast"/>
              <w:ind w:left="170"/>
              <w:rPr>
                <w:sz w:val="18"/>
                <w:szCs w:val="18"/>
                <w:lang w:val="fr-FR"/>
              </w:rPr>
            </w:pPr>
            <w:r w:rsidRPr="00A779B8">
              <w:rPr>
                <w:sz w:val="18"/>
                <w:szCs w:val="18"/>
                <w:lang w:val="fr-FR"/>
              </w:rPr>
              <w:t>Autres</w:t>
            </w:r>
            <w:r w:rsidRPr="00A779B8">
              <w:rPr>
                <w:i/>
                <w:sz w:val="18"/>
                <w:szCs w:val="18"/>
                <w:vertAlign w:val="superscript"/>
                <w:lang w:val="fr-FR"/>
              </w:rPr>
              <w:t>1</w:t>
            </w:r>
          </w:p>
        </w:tc>
        <w:tc>
          <w:tcPr>
            <w:tcW w:w="1079"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mole</w:t>
            </w:r>
          </w:p>
        </w:tc>
        <w:tc>
          <w:tcPr>
            <w:tcW w:w="938"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w:t>
            </w:r>
          </w:p>
        </w:tc>
        <w:tc>
          <w:tcPr>
            <w:tcW w:w="1110"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w:t>
            </w:r>
          </w:p>
        </w:tc>
        <w:tc>
          <w:tcPr>
            <w:tcW w:w="1125" w:type="dxa"/>
            <w:tcBorders>
              <w:top w:val="nil"/>
              <w:bottom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1</w:t>
            </w:r>
          </w:p>
        </w:tc>
        <w:tc>
          <w:tcPr>
            <w:tcW w:w="1987" w:type="dxa"/>
            <w:tcBorders>
              <w:top w:val="nil"/>
              <w:bottom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ISO 6974</w:t>
            </w:r>
          </w:p>
        </w:tc>
      </w:tr>
      <w:tr w:rsidR="00585508" w:rsidRPr="00A779B8" w:rsidTr="00DB4C2D">
        <w:tblPrEx>
          <w:tblCellMar>
            <w:top w:w="0" w:type="dxa"/>
            <w:bottom w:w="0" w:type="dxa"/>
          </w:tblCellMar>
        </w:tblPrEx>
        <w:trPr>
          <w:cantSplit/>
        </w:trPr>
        <w:tc>
          <w:tcPr>
            <w:tcW w:w="2266" w:type="dxa"/>
            <w:tcBorders>
              <w:top w:val="nil"/>
            </w:tcBorders>
          </w:tcPr>
          <w:p w:rsidR="00585508" w:rsidRPr="00A779B8" w:rsidRDefault="00585508" w:rsidP="00DB4C2D">
            <w:pPr>
              <w:spacing w:before="60" w:after="60" w:line="220" w:lineRule="atLeast"/>
              <w:ind w:left="170"/>
              <w:rPr>
                <w:sz w:val="18"/>
                <w:szCs w:val="18"/>
                <w:vertAlign w:val="subscript"/>
                <w:lang w:val="fr-FR"/>
              </w:rPr>
            </w:pPr>
            <w:r w:rsidRPr="00A779B8">
              <w:rPr>
                <w:sz w:val="18"/>
                <w:szCs w:val="18"/>
                <w:lang w:val="fr-FR"/>
              </w:rPr>
              <w:t>N</w:t>
            </w:r>
            <w:r w:rsidRPr="00A779B8">
              <w:rPr>
                <w:sz w:val="18"/>
                <w:szCs w:val="18"/>
                <w:vertAlign w:val="subscript"/>
                <w:lang w:val="fr-FR"/>
              </w:rPr>
              <w:t>2</w:t>
            </w:r>
          </w:p>
        </w:tc>
        <w:tc>
          <w:tcPr>
            <w:tcW w:w="1079" w:type="dxa"/>
            <w:tcBorders>
              <w:top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 mole</w:t>
            </w:r>
          </w:p>
        </w:tc>
        <w:tc>
          <w:tcPr>
            <w:tcW w:w="938" w:type="dxa"/>
            <w:tcBorders>
              <w:top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14</w:t>
            </w:r>
          </w:p>
        </w:tc>
        <w:tc>
          <w:tcPr>
            <w:tcW w:w="1110" w:type="dxa"/>
            <w:tcBorders>
              <w:top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12</w:t>
            </w:r>
          </w:p>
        </w:tc>
        <w:tc>
          <w:tcPr>
            <w:tcW w:w="1125" w:type="dxa"/>
            <w:tcBorders>
              <w:top w:val="nil"/>
            </w:tcBorders>
          </w:tcPr>
          <w:p w:rsidR="00585508" w:rsidRPr="00A779B8" w:rsidRDefault="00585508" w:rsidP="00DB4C2D">
            <w:pPr>
              <w:spacing w:before="60" w:after="60" w:line="220" w:lineRule="atLeast"/>
              <w:jc w:val="right"/>
              <w:rPr>
                <w:sz w:val="18"/>
                <w:szCs w:val="18"/>
                <w:lang w:val="fr-FR"/>
              </w:rPr>
            </w:pPr>
            <w:r w:rsidRPr="00A779B8">
              <w:rPr>
                <w:sz w:val="18"/>
                <w:szCs w:val="18"/>
                <w:lang w:val="fr-FR"/>
              </w:rPr>
              <w:t>16</w:t>
            </w:r>
          </w:p>
        </w:tc>
        <w:tc>
          <w:tcPr>
            <w:tcW w:w="1987" w:type="dxa"/>
            <w:tcBorders>
              <w:top w:val="nil"/>
            </w:tcBorders>
          </w:tcPr>
          <w:p w:rsidR="00585508" w:rsidRPr="00A779B8" w:rsidRDefault="00585508" w:rsidP="00DB4C2D">
            <w:pPr>
              <w:spacing w:before="60" w:after="60" w:line="220" w:lineRule="atLeast"/>
              <w:rPr>
                <w:sz w:val="18"/>
                <w:szCs w:val="18"/>
                <w:lang w:val="fr-FR"/>
              </w:rPr>
            </w:pPr>
            <w:r w:rsidRPr="00A779B8">
              <w:rPr>
                <w:sz w:val="18"/>
                <w:szCs w:val="18"/>
                <w:lang w:val="fr-FR"/>
              </w:rPr>
              <w:t>ISO 6974</w:t>
            </w:r>
          </w:p>
        </w:tc>
      </w:tr>
      <w:tr w:rsidR="00585508" w:rsidRPr="00A779B8" w:rsidTr="00DB4C2D">
        <w:tblPrEx>
          <w:tblCellMar>
            <w:top w:w="0" w:type="dxa"/>
            <w:bottom w:w="0" w:type="dxa"/>
          </w:tblCellMar>
        </w:tblPrEx>
        <w:trPr>
          <w:cantSplit/>
        </w:trPr>
        <w:tc>
          <w:tcPr>
            <w:tcW w:w="2266" w:type="dxa"/>
          </w:tcPr>
          <w:p w:rsidR="00585508" w:rsidRPr="00A779B8" w:rsidRDefault="00585508" w:rsidP="00DB4C2D">
            <w:pPr>
              <w:spacing w:before="60" w:after="60" w:line="220" w:lineRule="atLeast"/>
              <w:rPr>
                <w:sz w:val="18"/>
                <w:szCs w:val="18"/>
                <w:lang w:val="fr-FR"/>
              </w:rPr>
            </w:pPr>
            <w:r w:rsidRPr="00A779B8">
              <w:rPr>
                <w:sz w:val="18"/>
                <w:szCs w:val="18"/>
                <w:lang w:val="fr-FR"/>
              </w:rPr>
              <w:t>Teneur en soufre</w:t>
            </w:r>
          </w:p>
        </w:tc>
        <w:tc>
          <w:tcPr>
            <w:tcW w:w="1079" w:type="dxa"/>
          </w:tcPr>
          <w:p w:rsidR="00585508" w:rsidRPr="00A779B8" w:rsidRDefault="00585508" w:rsidP="00DB4C2D">
            <w:pPr>
              <w:spacing w:before="60" w:after="60" w:line="220" w:lineRule="atLeast"/>
              <w:rPr>
                <w:sz w:val="18"/>
                <w:szCs w:val="18"/>
                <w:vertAlign w:val="superscript"/>
                <w:lang w:val="fr-FR"/>
              </w:rPr>
            </w:pPr>
            <w:r w:rsidRPr="00A779B8">
              <w:rPr>
                <w:sz w:val="18"/>
                <w:szCs w:val="18"/>
                <w:lang w:val="fr-FR"/>
              </w:rPr>
              <w:t>mg/m</w:t>
            </w:r>
            <w:r w:rsidRPr="00A779B8">
              <w:rPr>
                <w:sz w:val="18"/>
                <w:szCs w:val="18"/>
                <w:vertAlign w:val="superscript"/>
                <w:lang w:val="fr-FR"/>
              </w:rPr>
              <w:t>3 </w:t>
            </w:r>
            <w:r w:rsidRPr="00A779B8">
              <w:rPr>
                <w:i/>
                <w:sz w:val="18"/>
                <w:szCs w:val="18"/>
                <w:vertAlign w:val="superscript"/>
                <w:lang w:val="fr-FR"/>
              </w:rPr>
              <w:t>2</w:t>
            </w:r>
          </w:p>
        </w:tc>
        <w:tc>
          <w:tcPr>
            <w:tcW w:w="938"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w:t>
            </w:r>
          </w:p>
        </w:tc>
        <w:tc>
          <w:tcPr>
            <w:tcW w:w="1110"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w:t>
            </w:r>
          </w:p>
        </w:tc>
        <w:tc>
          <w:tcPr>
            <w:tcW w:w="1125"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10</w:t>
            </w:r>
          </w:p>
        </w:tc>
        <w:tc>
          <w:tcPr>
            <w:tcW w:w="1987" w:type="dxa"/>
          </w:tcPr>
          <w:p w:rsidR="00585508" w:rsidRPr="00A779B8" w:rsidRDefault="00585508" w:rsidP="00DB4C2D">
            <w:pPr>
              <w:spacing w:before="60" w:after="60" w:line="220" w:lineRule="atLeast"/>
              <w:rPr>
                <w:sz w:val="18"/>
                <w:szCs w:val="18"/>
                <w:lang w:val="fr-FR"/>
              </w:rPr>
            </w:pPr>
            <w:r w:rsidRPr="00A779B8">
              <w:rPr>
                <w:sz w:val="18"/>
                <w:szCs w:val="18"/>
                <w:lang w:val="fr-FR"/>
              </w:rPr>
              <w:t>ISO 6326-5</w:t>
            </w:r>
          </w:p>
        </w:tc>
      </w:tr>
      <w:tr w:rsidR="00585508" w:rsidRPr="00A779B8" w:rsidTr="00DB4C2D">
        <w:tblPrEx>
          <w:tblCellMar>
            <w:top w:w="0" w:type="dxa"/>
            <w:bottom w:w="0" w:type="dxa"/>
          </w:tblCellMar>
        </w:tblPrEx>
        <w:trPr>
          <w:cantSplit/>
        </w:trPr>
        <w:tc>
          <w:tcPr>
            <w:tcW w:w="2266" w:type="dxa"/>
          </w:tcPr>
          <w:p w:rsidR="00585508" w:rsidRPr="00A779B8" w:rsidRDefault="00585508" w:rsidP="00DB4C2D">
            <w:pPr>
              <w:spacing w:before="60" w:after="60" w:line="220" w:lineRule="atLeast"/>
              <w:rPr>
                <w:sz w:val="18"/>
                <w:szCs w:val="18"/>
                <w:lang w:val="fr-FR"/>
              </w:rPr>
            </w:pPr>
            <w:r w:rsidRPr="00A779B8">
              <w:rPr>
                <w:sz w:val="18"/>
                <w:szCs w:val="18"/>
                <w:lang w:val="fr-FR"/>
              </w:rPr>
              <w:t xml:space="preserve">Indice de </w:t>
            </w:r>
            <w:proofErr w:type="spellStart"/>
            <w:r w:rsidRPr="00A779B8">
              <w:rPr>
                <w:sz w:val="18"/>
                <w:szCs w:val="18"/>
                <w:lang w:val="fr-FR"/>
              </w:rPr>
              <w:t>Wobbe</w:t>
            </w:r>
            <w:proofErr w:type="spellEnd"/>
            <w:r w:rsidRPr="00A779B8">
              <w:rPr>
                <w:sz w:val="18"/>
                <w:szCs w:val="18"/>
                <w:lang w:val="fr-FR"/>
              </w:rPr>
              <w:t xml:space="preserve"> (net)</w:t>
            </w:r>
          </w:p>
        </w:tc>
        <w:tc>
          <w:tcPr>
            <w:tcW w:w="1079" w:type="dxa"/>
          </w:tcPr>
          <w:p w:rsidR="00585508" w:rsidRPr="00A779B8" w:rsidRDefault="00585508" w:rsidP="00DB4C2D">
            <w:pPr>
              <w:spacing w:before="60" w:after="60" w:line="220" w:lineRule="atLeast"/>
              <w:rPr>
                <w:sz w:val="18"/>
                <w:szCs w:val="18"/>
                <w:vertAlign w:val="superscript"/>
                <w:lang w:val="fr-FR"/>
              </w:rPr>
            </w:pPr>
            <w:r w:rsidRPr="00A779B8">
              <w:rPr>
                <w:sz w:val="18"/>
                <w:szCs w:val="18"/>
                <w:lang w:val="fr-FR"/>
              </w:rPr>
              <w:t>MJ/m</w:t>
            </w:r>
            <w:r w:rsidRPr="00A779B8">
              <w:rPr>
                <w:sz w:val="18"/>
                <w:szCs w:val="18"/>
                <w:vertAlign w:val="superscript"/>
                <w:lang w:val="fr-FR"/>
              </w:rPr>
              <w:t>3 </w:t>
            </w:r>
            <w:r w:rsidRPr="00A779B8">
              <w:rPr>
                <w:i/>
                <w:sz w:val="18"/>
                <w:szCs w:val="18"/>
                <w:vertAlign w:val="superscript"/>
                <w:lang w:val="fr-FR"/>
              </w:rPr>
              <w:t>3</w:t>
            </w:r>
          </w:p>
        </w:tc>
        <w:tc>
          <w:tcPr>
            <w:tcW w:w="938"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39,4</w:t>
            </w:r>
          </w:p>
        </w:tc>
        <w:tc>
          <w:tcPr>
            <w:tcW w:w="1110"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38,2</w:t>
            </w:r>
          </w:p>
        </w:tc>
        <w:tc>
          <w:tcPr>
            <w:tcW w:w="1125" w:type="dxa"/>
          </w:tcPr>
          <w:p w:rsidR="00585508" w:rsidRPr="00A779B8" w:rsidRDefault="00585508" w:rsidP="00DB4C2D">
            <w:pPr>
              <w:spacing w:before="60" w:after="60" w:line="220" w:lineRule="atLeast"/>
              <w:jc w:val="right"/>
              <w:rPr>
                <w:sz w:val="18"/>
                <w:szCs w:val="18"/>
                <w:lang w:val="fr-FR"/>
              </w:rPr>
            </w:pPr>
            <w:r w:rsidRPr="00A779B8">
              <w:rPr>
                <w:sz w:val="18"/>
                <w:szCs w:val="18"/>
                <w:lang w:val="fr-FR"/>
              </w:rPr>
              <w:t>40,6</w:t>
            </w:r>
          </w:p>
        </w:tc>
        <w:tc>
          <w:tcPr>
            <w:tcW w:w="1987" w:type="dxa"/>
          </w:tcPr>
          <w:p w:rsidR="00585508" w:rsidRPr="00A779B8" w:rsidRDefault="00585508" w:rsidP="00DB4C2D">
            <w:pPr>
              <w:spacing w:before="60" w:after="60" w:line="220" w:lineRule="atLeast"/>
              <w:rPr>
                <w:sz w:val="18"/>
                <w:szCs w:val="18"/>
                <w:lang w:val="fr-FR"/>
              </w:rPr>
            </w:pPr>
          </w:p>
        </w:tc>
      </w:tr>
    </w:tbl>
    <w:p w:rsidR="00585508" w:rsidRPr="00D17DAF" w:rsidRDefault="00585508" w:rsidP="00585508">
      <w:pPr>
        <w:pStyle w:val="SingleTxtG"/>
        <w:keepNext/>
        <w:spacing w:before="120" w:after="0"/>
        <w:ind w:left="1588" w:right="0" w:hanging="284"/>
        <w:jc w:val="left"/>
        <w:rPr>
          <w:sz w:val="18"/>
          <w:szCs w:val="18"/>
          <w:lang w:val="fr-FR"/>
        </w:rPr>
      </w:pPr>
      <w:r w:rsidRPr="005D4EFD">
        <w:rPr>
          <w:i/>
          <w:sz w:val="18"/>
          <w:szCs w:val="18"/>
          <w:vertAlign w:val="superscript"/>
          <w:lang w:val="fr-FR"/>
        </w:rPr>
        <w:t>1</w:t>
      </w:r>
      <w:r w:rsidRPr="001938D3">
        <w:rPr>
          <w:lang w:val="fr-FR"/>
        </w:rPr>
        <w:tab/>
      </w:r>
      <w:r w:rsidRPr="00D17DAF">
        <w:rPr>
          <w:sz w:val="18"/>
          <w:szCs w:val="18"/>
          <w:lang w:val="fr-FR"/>
        </w:rPr>
        <w:t>Inertes (autres que N</w:t>
      </w:r>
      <w:r w:rsidRPr="009B6811">
        <w:rPr>
          <w:sz w:val="18"/>
          <w:szCs w:val="18"/>
          <w:vertAlign w:val="subscript"/>
          <w:lang w:val="fr-FR"/>
        </w:rPr>
        <w:t>2</w:t>
      </w:r>
      <w:r w:rsidRPr="00D17DAF">
        <w:rPr>
          <w:sz w:val="18"/>
          <w:szCs w:val="18"/>
          <w:lang w:val="fr-FR"/>
        </w:rPr>
        <w:t>) + C</w:t>
      </w:r>
      <w:r w:rsidRPr="009B6811">
        <w:rPr>
          <w:sz w:val="18"/>
          <w:szCs w:val="18"/>
          <w:vertAlign w:val="subscript"/>
          <w:lang w:val="fr-FR"/>
        </w:rPr>
        <w:t>2</w:t>
      </w:r>
      <w:r w:rsidRPr="00D17DAF">
        <w:rPr>
          <w:sz w:val="18"/>
          <w:szCs w:val="18"/>
          <w:lang w:val="fr-FR"/>
        </w:rPr>
        <w:t xml:space="preserve"> + C</w:t>
      </w:r>
      <w:r w:rsidRPr="009B6811">
        <w:rPr>
          <w:sz w:val="18"/>
          <w:szCs w:val="18"/>
          <w:vertAlign w:val="subscript"/>
          <w:lang w:val="fr-FR"/>
        </w:rPr>
        <w:t>2</w:t>
      </w:r>
      <w:r w:rsidRPr="00D17DAF">
        <w:rPr>
          <w:sz w:val="18"/>
          <w:szCs w:val="18"/>
          <w:lang w:val="fr-FR"/>
        </w:rPr>
        <w:t>+.</w:t>
      </w:r>
    </w:p>
    <w:p w:rsidR="00585508" w:rsidRPr="00D17DAF" w:rsidRDefault="00585508" w:rsidP="00585508">
      <w:pPr>
        <w:pStyle w:val="SingleTxtG"/>
        <w:keepNext/>
        <w:spacing w:after="0"/>
        <w:ind w:left="1588" w:right="0" w:hanging="284"/>
        <w:jc w:val="left"/>
        <w:rPr>
          <w:sz w:val="18"/>
          <w:szCs w:val="18"/>
          <w:lang w:val="fr-FR"/>
        </w:rPr>
      </w:pPr>
      <w:r w:rsidRPr="005D4EFD">
        <w:rPr>
          <w:i/>
          <w:sz w:val="18"/>
          <w:szCs w:val="18"/>
          <w:vertAlign w:val="superscript"/>
          <w:lang w:val="fr-FR"/>
        </w:rPr>
        <w:t>2</w:t>
      </w:r>
      <w:r w:rsidRPr="001938D3">
        <w:rPr>
          <w:lang w:val="fr-FR"/>
        </w:rPr>
        <w:tab/>
      </w:r>
      <w:r w:rsidRPr="00D17DAF">
        <w:rPr>
          <w:sz w:val="18"/>
          <w:szCs w:val="18"/>
          <w:lang w:val="fr-FR"/>
        </w:rPr>
        <w:t>Valeur à déterminer dans les conditions normalisées 293,2 K (20 °C) et 101,3 kPa.</w:t>
      </w:r>
    </w:p>
    <w:p w:rsidR="00585508" w:rsidRPr="00D17DAF" w:rsidRDefault="00585508" w:rsidP="00585508">
      <w:pPr>
        <w:pStyle w:val="SingleTxtG"/>
        <w:keepNext/>
        <w:ind w:left="1588" w:right="0" w:hanging="284"/>
        <w:jc w:val="left"/>
        <w:rPr>
          <w:sz w:val="18"/>
          <w:szCs w:val="18"/>
          <w:lang w:val="fr-FR"/>
        </w:rPr>
      </w:pPr>
      <w:r w:rsidRPr="005D4EFD">
        <w:rPr>
          <w:i/>
          <w:sz w:val="18"/>
          <w:szCs w:val="18"/>
          <w:vertAlign w:val="superscript"/>
          <w:lang w:val="fr-FR"/>
        </w:rPr>
        <w:t>3</w:t>
      </w:r>
      <w:r w:rsidRPr="001938D3">
        <w:rPr>
          <w:lang w:val="fr-FR"/>
        </w:rPr>
        <w:tab/>
      </w:r>
      <w:r w:rsidRPr="00D17DAF">
        <w:rPr>
          <w:sz w:val="18"/>
          <w:szCs w:val="18"/>
          <w:lang w:val="fr-FR"/>
        </w:rPr>
        <w:t>Valeur à déterminer dans les conditions normalisées 273,2 K (0 °C) et 101,3 kPa.</w:t>
      </w:r>
    </w:p>
    <w:p w:rsidR="00585508" w:rsidRPr="00A779B8" w:rsidRDefault="00585508" w:rsidP="00585508">
      <w:pPr>
        <w:pStyle w:val="SingleTxtG"/>
        <w:keepNext/>
        <w:spacing w:before="240"/>
        <w:ind w:left="2268" w:hanging="1134"/>
        <w:jc w:val="left"/>
        <w:rPr>
          <w:szCs w:val="24"/>
          <w:lang w:val="fr-FR"/>
        </w:rPr>
      </w:pPr>
      <w:r w:rsidRPr="00A779B8">
        <w:rPr>
          <w:szCs w:val="24"/>
          <w:lang w:val="fr-FR"/>
        </w:rPr>
        <w:t>1.3</w:t>
      </w:r>
      <w:r w:rsidRPr="00A779B8">
        <w:rPr>
          <w:szCs w:val="24"/>
          <w:lang w:val="fr-FR"/>
        </w:rPr>
        <w:tab/>
        <w:t>Caractéristiques techniques de l</w:t>
      </w:r>
      <w:r w:rsidR="00DB4C2D">
        <w:rPr>
          <w:szCs w:val="24"/>
          <w:lang w:val="fr-FR"/>
        </w:rPr>
        <w:t>’</w:t>
      </w:r>
      <w:r w:rsidRPr="00A779B8">
        <w:rPr>
          <w:szCs w:val="24"/>
          <w:lang w:val="fr-FR"/>
        </w:rPr>
        <w:t>hydrogène pour moteurs</w:t>
      </w:r>
      <w:r w:rsidRPr="00A779B8">
        <w:rPr>
          <w:szCs w:val="24"/>
          <w:lang w:val="fr-FR"/>
        </w:rPr>
        <w:br/>
        <w:t>à combustion interne</w:t>
      </w:r>
    </w:p>
    <w:p w:rsidR="00585508" w:rsidRPr="00A779B8" w:rsidRDefault="00585508" w:rsidP="00585508">
      <w:pPr>
        <w:pStyle w:val="Titre1"/>
        <w:spacing w:after="120"/>
        <w:ind w:right="1139"/>
        <w:rPr>
          <w:b/>
          <w:lang w:val="fr-FR"/>
        </w:rPr>
      </w:pPr>
      <w:r w:rsidRPr="00A779B8">
        <w:rPr>
          <w:b/>
          <w:lang w:val="fr-FR"/>
        </w:rPr>
        <w:t>Type: Hydrogène pour moteurs à combustion interne</w:t>
      </w:r>
    </w:p>
    <w:tbl>
      <w:tblPr>
        <w:tblW w:w="8505" w:type="dxa"/>
        <w:tblInd w:w="1134" w:type="dxa"/>
        <w:tblLayout w:type="fixed"/>
        <w:tblCellMar>
          <w:left w:w="57" w:type="dxa"/>
          <w:right w:w="57" w:type="dxa"/>
        </w:tblCellMar>
        <w:tblLook w:val="0000" w:firstRow="0" w:lastRow="0" w:firstColumn="0" w:lastColumn="0" w:noHBand="0" w:noVBand="0"/>
      </w:tblPr>
      <w:tblGrid>
        <w:gridCol w:w="2835"/>
        <w:gridCol w:w="1134"/>
        <w:gridCol w:w="1134"/>
        <w:gridCol w:w="1134"/>
        <w:gridCol w:w="2268"/>
      </w:tblGrid>
      <w:tr w:rsidR="00585508" w:rsidRPr="00A779B8" w:rsidTr="00DB4C2D">
        <w:tc>
          <w:tcPr>
            <w:tcW w:w="2835" w:type="dxa"/>
            <w:vMerge w:val="restart"/>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tabs>
                <w:tab w:val="left" w:pos="426"/>
              </w:tabs>
              <w:spacing w:before="60" w:after="60" w:line="200" w:lineRule="exact"/>
              <w:jc w:val="center"/>
              <w:rPr>
                <w:i/>
                <w:sz w:val="16"/>
                <w:szCs w:val="16"/>
                <w:lang w:val="fr-FR"/>
              </w:rPr>
            </w:pPr>
            <w:r w:rsidRPr="00A779B8">
              <w:rPr>
                <w:i/>
                <w:sz w:val="16"/>
                <w:szCs w:val="16"/>
                <w:lang w:val="fr-FR"/>
              </w:rPr>
              <w:t>Caractéristiques</w:t>
            </w:r>
          </w:p>
        </w:tc>
        <w:tc>
          <w:tcPr>
            <w:tcW w:w="1134" w:type="dxa"/>
            <w:vMerge w:val="restart"/>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tabs>
                <w:tab w:val="left" w:pos="426"/>
              </w:tabs>
              <w:spacing w:before="60" w:after="60" w:line="200" w:lineRule="exact"/>
              <w:jc w:val="center"/>
              <w:rPr>
                <w:i/>
                <w:sz w:val="16"/>
                <w:szCs w:val="16"/>
                <w:lang w:val="fr-FR"/>
              </w:rPr>
            </w:pPr>
            <w:r w:rsidRPr="00A779B8">
              <w:rPr>
                <w:i/>
                <w:sz w:val="16"/>
                <w:szCs w:val="16"/>
                <w:lang w:val="fr-FR"/>
              </w:rPr>
              <w:t>Unités</w:t>
            </w:r>
          </w:p>
        </w:tc>
        <w:tc>
          <w:tcPr>
            <w:tcW w:w="2268" w:type="dxa"/>
            <w:gridSpan w:val="2"/>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tabs>
                <w:tab w:val="left" w:pos="426"/>
              </w:tabs>
              <w:spacing w:before="60" w:after="60" w:line="200" w:lineRule="exact"/>
              <w:jc w:val="center"/>
              <w:rPr>
                <w:i/>
                <w:sz w:val="16"/>
                <w:szCs w:val="16"/>
                <w:lang w:val="fr-FR"/>
              </w:rPr>
            </w:pPr>
            <w:r w:rsidRPr="00A779B8">
              <w:rPr>
                <w:i/>
                <w:sz w:val="16"/>
                <w:szCs w:val="16"/>
                <w:lang w:val="fr-FR"/>
              </w:rPr>
              <w:t>Limites</w:t>
            </w:r>
          </w:p>
        </w:tc>
        <w:tc>
          <w:tcPr>
            <w:tcW w:w="2268" w:type="dxa"/>
            <w:vMerge w:val="restart"/>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tabs>
                <w:tab w:val="left" w:pos="426"/>
              </w:tabs>
              <w:spacing w:before="60" w:after="60" w:line="200" w:lineRule="exact"/>
              <w:jc w:val="center"/>
              <w:rPr>
                <w:i/>
                <w:sz w:val="16"/>
                <w:szCs w:val="16"/>
                <w:lang w:val="fr-FR"/>
              </w:rPr>
            </w:pPr>
            <w:r w:rsidRPr="00A779B8">
              <w:rPr>
                <w:bCs/>
                <w:i/>
                <w:sz w:val="16"/>
                <w:szCs w:val="16"/>
                <w:lang w:val="fr-FR"/>
              </w:rPr>
              <w:t>Méthode d</w:t>
            </w:r>
            <w:r w:rsidR="00DB4C2D">
              <w:rPr>
                <w:bCs/>
                <w:i/>
                <w:sz w:val="16"/>
                <w:szCs w:val="16"/>
                <w:lang w:val="fr-FR"/>
              </w:rPr>
              <w:t>’</w:t>
            </w:r>
            <w:r w:rsidRPr="00A779B8">
              <w:rPr>
                <w:bCs/>
                <w:i/>
                <w:sz w:val="16"/>
                <w:szCs w:val="16"/>
                <w:lang w:val="fr-FR"/>
              </w:rPr>
              <w:t>essai</w:t>
            </w:r>
          </w:p>
        </w:tc>
      </w:tr>
      <w:tr w:rsidR="00585508" w:rsidRPr="00A779B8" w:rsidTr="00DB4C2D">
        <w:tc>
          <w:tcPr>
            <w:tcW w:w="2835" w:type="dxa"/>
            <w:vMerge/>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tabs>
                <w:tab w:val="left" w:pos="426"/>
              </w:tabs>
              <w:spacing w:before="60" w:after="60" w:line="200" w:lineRule="exact"/>
              <w:jc w:val="center"/>
              <w:rPr>
                <w:i/>
                <w:sz w:val="16"/>
                <w:szCs w:val="16"/>
                <w:lang w:val="fr-FR"/>
              </w:rPr>
            </w:pPr>
          </w:p>
        </w:tc>
        <w:tc>
          <w:tcPr>
            <w:tcW w:w="1134" w:type="dxa"/>
            <w:vMerge/>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tabs>
                <w:tab w:val="left" w:pos="426"/>
              </w:tabs>
              <w:spacing w:before="60" w:after="60" w:line="200" w:lineRule="exact"/>
              <w:jc w:val="center"/>
              <w:rPr>
                <w:i/>
                <w:sz w:val="16"/>
                <w:szCs w:val="16"/>
                <w:lang w:val="fr-FR"/>
              </w:rPr>
            </w:pPr>
          </w:p>
        </w:tc>
        <w:tc>
          <w:tcPr>
            <w:tcW w:w="1134" w:type="dxa"/>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tabs>
                <w:tab w:val="left" w:pos="426"/>
              </w:tabs>
              <w:spacing w:before="60" w:after="60" w:line="200" w:lineRule="exact"/>
              <w:jc w:val="center"/>
              <w:rPr>
                <w:i/>
                <w:sz w:val="16"/>
                <w:szCs w:val="16"/>
                <w:lang w:val="fr-FR"/>
              </w:rPr>
            </w:pPr>
            <w:r w:rsidRPr="00A779B8">
              <w:rPr>
                <w:i/>
                <w:sz w:val="16"/>
                <w:szCs w:val="16"/>
                <w:lang w:val="fr-FR"/>
              </w:rPr>
              <w:t>Minimale</w:t>
            </w:r>
          </w:p>
        </w:tc>
        <w:tc>
          <w:tcPr>
            <w:tcW w:w="1134" w:type="dxa"/>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tabs>
                <w:tab w:val="left" w:pos="426"/>
              </w:tabs>
              <w:spacing w:before="60" w:after="60" w:line="200" w:lineRule="exact"/>
              <w:jc w:val="center"/>
              <w:rPr>
                <w:i/>
                <w:sz w:val="16"/>
                <w:szCs w:val="16"/>
                <w:lang w:val="fr-FR"/>
              </w:rPr>
            </w:pPr>
            <w:r w:rsidRPr="00A779B8">
              <w:rPr>
                <w:i/>
                <w:sz w:val="16"/>
                <w:szCs w:val="16"/>
                <w:lang w:val="fr-FR"/>
              </w:rPr>
              <w:t>Maximale</w:t>
            </w:r>
          </w:p>
        </w:tc>
        <w:tc>
          <w:tcPr>
            <w:tcW w:w="2268" w:type="dxa"/>
            <w:vMerge/>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tabs>
                <w:tab w:val="left" w:pos="426"/>
              </w:tabs>
              <w:spacing w:before="60" w:after="60" w:line="200" w:lineRule="exact"/>
              <w:jc w:val="center"/>
              <w:rPr>
                <w:i/>
                <w:sz w:val="16"/>
                <w:szCs w:val="16"/>
                <w:lang w:val="fr-FR"/>
              </w:rPr>
            </w:pP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both"/>
              <w:rPr>
                <w:sz w:val="18"/>
                <w:szCs w:val="18"/>
                <w:lang w:val="fr-FR"/>
              </w:rPr>
            </w:pPr>
            <w:r w:rsidRPr="00A779B8">
              <w:rPr>
                <w:sz w:val="18"/>
                <w:szCs w:val="18"/>
                <w:lang w:val="fr-FR"/>
              </w:rPr>
              <w:t>Pureté de l</w:t>
            </w:r>
            <w:r w:rsidR="00DB4C2D">
              <w:rPr>
                <w:sz w:val="18"/>
                <w:szCs w:val="18"/>
                <w:lang w:val="fr-FR"/>
              </w:rPr>
              <w:t>’</w:t>
            </w:r>
            <w:r w:rsidRPr="00A779B8">
              <w:rPr>
                <w:sz w:val="18"/>
                <w:szCs w:val="18"/>
                <w:lang w:val="fr-FR"/>
              </w:rPr>
              <w:t xml:space="preserve">hydrogène </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r w:rsidRPr="00A779B8">
              <w:rPr>
                <w:sz w:val="18"/>
                <w:szCs w:val="18"/>
                <w:lang w:val="fr-FR"/>
              </w:rPr>
              <w:t>% mole</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98</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100</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r w:rsidRPr="00A779B8">
              <w:rPr>
                <w:sz w:val="18"/>
                <w:szCs w:val="18"/>
                <w:lang w:val="fr-FR"/>
              </w:rPr>
              <w:t>ISO 14687-1</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both"/>
              <w:rPr>
                <w:sz w:val="18"/>
                <w:szCs w:val="18"/>
                <w:lang w:val="fr-FR"/>
              </w:rPr>
            </w:pPr>
            <w:r w:rsidRPr="00A779B8">
              <w:rPr>
                <w:sz w:val="18"/>
                <w:szCs w:val="18"/>
                <w:lang w:val="fr-FR"/>
              </w:rPr>
              <w:t>Hydrocarbures totaux</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100</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r w:rsidRPr="00A779B8">
              <w:rPr>
                <w:sz w:val="18"/>
                <w:szCs w:val="18"/>
                <w:lang w:val="fr-FR"/>
              </w:rPr>
              <w:t>ISO 14687-1</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both"/>
              <w:rPr>
                <w:sz w:val="18"/>
                <w:szCs w:val="18"/>
                <w:lang w:val="fr-FR"/>
              </w:rPr>
            </w:pPr>
            <w:r w:rsidRPr="00A779B8">
              <w:rPr>
                <w:sz w:val="18"/>
                <w:szCs w:val="18"/>
                <w:lang w:val="fr-FR"/>
              </w:rPr>
              <w:t>Eau</w:t>
            </w:r>
            <w:r w:rsidRPr="00A779B8">
              <w:rPr>
                <w:i/>
                <w:sz w:val="18"/>
                <w:szCs w:val="18"/>
                <w:vertAlign w:val="superscript"/>
                <w:lang w:val="fr-FR"/>
              </w:rPr>
              <w:t>1</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vertAlign w:val="superscript"/>
                <w:lang w:val="fr-FR"/>
              </w:rPr>
            </w:pPr>
            <w:r w:rsidRPr="00A779B8">
              <w:rPr>
                <w:i/>
                <w:sz w:val="18"/>
                <w:szCs w:val="18"/>
                <w:vertAlign w:val="superscript"/>
                <w:lang w:val="fr-FR"/>
              </w:rPr>
              <w:t>2</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r w:rsidRPr="00A779B8">
              <w:rPr>
                <w:sz w:val="18"/>
                <w:szCs w:val="18"/>
                <w:lang w:val="fr-FR"/>
              </w:rPr>
              <w:t>ISO 14687-1</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both"/>
              <w:rPr>
                <w:sz w:val="18"/>
                <w:szCs w:val="18"/>
                <w:lang w:val="fr-FR"/>
              </w:rPr>
            </w:pPr>
            <w:r w:rsidRPr="00A779B8">
              <w:rPr>
                <w:sz w:val="18"/>
                <w:szCs w:val="18"/>
                <w:lang w:val="fr-FR"/>
              </w:rPr>
              <w:t>Oxygène</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i/>
                <w:sz w:val="18"/>
                <w:szCs w:val="18"/>
                <w:vertAlign w:val="superscript"/>
                <w:lang w:val="fr-FR"/>
              </w:rPr>
              <w:t>2</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r w:rsidRPr="00A779B8">
              <w:rPr>
                <w:sz w:val="18"/>
                <w:szCs w:val="18"/>
                <w:lang w:val="fr-FR"/>
              </w:rPr>
              <w:t>ISO 14687-1</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both"/>
              <w:rPr>
                <w:sz w:val="18"/>
                <w:szCs w:val="18"/>
                <w:lang w:val="fr-FR"/>
              </w:rPr>
            </w:pPr>
            <w:r w:rsidRPr="00A779B8">
              <w:rPr>
                <w:sz w:val="18"/>
                <w:szCs w:val="18"/>
                <w:lang w:val="fr-FR"/>
              </w:rPr>
              <w:t>Argon</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i/>
                <w:sz w:val="18"/>
                <w:szCs w:val="18"/>
                <w:vertAlign w:val="superscript"/>
                <w:lang w:val="fr-FR"/>
              </w:rPr>
              <w:t>2</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r w:rsidRPr="00A779B8">
              <w:rPr>
                <w:sz w:val="18"/>
                <w:szCs w:val="18"/>
                <w:lang w:val="fr-FR"/>
              </w:rPr>
              <w:t>ISO 14687-1</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both"/>
              <w:rPr>
                <w:sz w:val="18"/>
                <w:szCs w:val="18"/>
                <w:lang w:val="fr-FR"/>
              </w:rPr>
            </w:pPr>
            <w:r w:rsidRPr="00A779B8">
              <w:rPr>
                <w:sz w:val="18"/>
                <w:szCs w:val="18"/>
                <w:lang w:val="fr-FR"/>
              </w:rPr>
              <w:t>Azote</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i/>
                <w:sz w:val="18"/>
                <w:szCs w:val="18"/>
                <w:vertAlign w:val="superscript"/>
                <w:lang w:val="fr-FR"/>
              </w:rPr>
              <w:t>2</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r w:rsidRPr="00A779B8">
              <w:rPr>
                <w:sz w:val="18"/>
                <w:szCs w:val="18"/>
                <w:lang w:val="fr-FR"/>
              </w:rPr>
              <w:t>ISO 14687-1</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both"/>
              <w:rPr>
                <w:sz w:val="18"/>
                <w:szCs w:val="18"/>
                <w:lang w:val="fr-FR"/>
              </w:rPr>
            </w:pPr>
            <w:r w:rsidRPr="00A779B8">
              <w:rPr>
                <w:sz w:val="18"/>
                <w:szCs w:val="18"/>
                <w:lang w:val="fr-FR"/>
              </w:rPr>
              <w:t>CO</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1</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r w:rsidRPr="00A779B8">
              <w:rPr>
                <w:sz w:val="18"/>
                <w:szCs w:val="18"/>
                <w:lang w:val="fr-FR"/>
              </w:rPr>
              <w:t>ISO 14687-1</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both"/>
              <w:rPr>
                <w:sz w:val="18"/>
                <w:szCs w:val="18"/>
                <w:lang w:val="fr-FR"/>
              </w:rPr>
            </w:pPr>
            <w:r w:rsidRPr="00A779B8">
              <w:rPr>
                <w:sz w:val="18"/>
                <w:szCs w:val="18"/>
                <w:lang w:val="fr-FR"/>
              </w:rPr>
              <w:t>Soufre</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r w:rsidRPr="00A779B8">
              <w:rPr>
                <w:sz w:val="18"/>
                <w:szCs w:val="18"/>
                <w:lang w:val="fr-FR"/>
              </w:rPr>
              <w:t>2</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r w:rsidRPr="00A779B8">
              <w:rPr>
                <w:sz w:val="18"/>
                <w:szCs w:val="18"/>
                <w:lang w:val="fr-FR"/>
              </w:rPr>
              <w:t>ISO 14687-1</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both"/>
              <w:rPr>
                <w:sz w:val="18"/>
                <w:szCs w:val="18"/>
                <w:lang w:val="fr-FR"/>
              </w:rPr>
            </w:pPr>
            <w:r w:rsidRPr="00A779B8">
              <w:rPr>
                <w:sz w:val="18"/>
                <w:szCs w:val="18"/>
                <w:lang w:val="fr-FR"/>
              </w:rPr>
              <w:t>Particules permanentes</w:t>
            </w:r>
            <w:r w:rsidRPr="00A779B8">
              <w:rPr>
                <w:i/>
                <w:sz w:val="18"/>
                <w:szCs w:val="18"/>
                <w:vertAlign w:val="superscript"/>
                <w:lang w:val="fr-FR"/>
              </w:rPr>
              <w:t>3</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jc w:val="right"/>
              <w:rPr>
                <w:sz w:val="18"/>
                <w:szCs w:val="18"/>
                <w:lang w:val="fr-FR"/>
              </w:rPr>
            </w:pP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tabs>
                <w:tab w:val="left" w:pos="426"/>
              </w:tabs>
              <w:spacing w:before="60" w:after="60" w:line="220" w:lineRule="atLeast"/>
              <w:rPr>
                <w:sz w:val="18"/>
                <w:szCs w:val="18"/>
                <w:lang w:val="fr-FR"/>
              </w:rPr>
            </w:pPr>
            <w:r w:rsidRPr="00A779B8">
              <w:rPr>
                <w:sz w:val="18"/>
                <w:szCs w:val="18"/>
                <w:lang w:val="fr-FR"/>
              </w:rPr>
              <w:t>ISO 14687-1</w:t>
            </w:r>
          </w:p>
        </w:tc>
      </w:tr>
    </w:tbl>
    <w:p w:rsidR="00585508" w:rsidRPr="00A779B8" w:rsidRDefault="00585508" w:rsidP="00585508">
      <w:pPr>
        <w:pStyle w:val="SingleTxtG"/>
        <w:spacing w:before="120" w:after="0"/>
        <w:ind w:left="1588" w:right="0" w:hanging="284"/>
        <w:jc w:val="left"/>
        <w:rPr>
          <w:sz w:val="18"/>
          <w:szCs w:val="18"/>
          <w:lang w:val="fr-FR"/>
        </w:rPr>
      </w:pPr>
      <w:r w:rsidRPr="00A779B8">
        <w:rPr>
          <w:i/>
          <w:sz w:val="18"/>
          <w:szCs w:val="18"/>
          <w:vertAlign w:val="superscript"/>
          <w:lang w:val="fr-FR"/>
        </w:rPr>
        <w:t>1</w:t>
      </w:r>
      <w:r w:rsidRPr="00A779B8">
        <w:rPr>
          <w:sz w:val="18"/>
          <w:szCs w:val="18"/>
          <w:lang w:val="fr-FR"/>
        </w:rPr>
        <w:tab/>
        <w:t>Ne doit pas être condensée.</w:t>
      </w:r>
    </w:p>
    <w:p w:rsidR="00585508" w:rsidRPr="00A779B8" w:rsidRDefault="00585508" w:rsidP="00585508">
      <w:pPr>
        <w:pStyle w:val="SingleTxtG"/>
        <w:spacing w:after="0"/>
        <w:ind w:left="1588" w:right="0" w:hanging="284"/>
        <w:jc w:val="left"/>
        <w:rPr>
          <w:sz w:val="18"/>
          <w:szCs w:val="18"/>
          <w:lang w:val="fr-FR"/>
        </w:rPr>
      </w:pPr>
      <w:r w:rsidRPr="00A779B8">
        <w:rPr>
          <w:i/>
          <w:sz w:val="18"/>
          <w:szCs w:val="18"/>
          <w:vertAlign w:val="superscript"/>
          <w:lang w:val="fr-FR"/>
        </w:rPr>
        <w:t>2</w:t>
      </w:r>
      <w:r w:rsidRPr="00A779B8">
        <w:rPr>
          <w:sz w:val="18"/>
          <w:szCs w:val="18"/>
          <w:lang w:val="fr-FR"/>
        </w:rPr>
        <w:tab/>
        <w:t xml:space="preserve">Combinaison eau, oxygène, azote et argon: 1,900 </w:t>
      </w:r>
      <w:proofErr w:type="spellStart"/>
      <w:r w:rsidRPr="00A779B8">
        <w:rPr>
          <w:sz w:val="18"/>
          <w:szCs w:val="18"/>
          <w:lang w:val="fr-FR"/>
        </w:rPr>
        <w:t>μmol</w:t>
      </w:r>
      <w:proofErr w:type="spellEnd"/>
      <w:r w:rsidRPr="00A779B8">
        <w:rPr>
          <w:sz w:val="18"/>
          <w:szCs w:val="18"/>
          <w:lang w:val="fr-FR"/>
        </w:rPr>
        <w:t>/mol.</w:t>
      </w:r>
    </w:p>
    <w:p w:rsidR="00585508" w:rsidRDefault="00585508" w:rsidP="00585508">
      <w:pPr>
        <w:pStyle w:val="SingleTxtG"/>
        <w:spacing w:after="0"/>
        <w:ind w:left="1588" w:right="0" w:hanging="284"/>
        <w:jc w:val="left"/>
        <w:rPr>
          <w:lang w:val="fr-FR"/>
        </w:rPr>
      </w:pPr>
      <w:r w:rsidRPr="00A779B8">
        <w:rPr>
          <w:i/>
          <w:sz w:val="18"/>
          <w:szCs w:val="18"/>
          <w:vertAlign w:val="superscript"/>
          <w:lang w:val="fr-FR"/>
        </w:rPr>
        <w:t>3</w:t>
      </w:r>
      <w:r w:rsidRPr="00A779B8">
        <w:rPr>
          <w:sz w:val="18"/>
          <w:szCs w:val="18"/>
          <w:lang w:val="fr-FR"/>
        </w:rPr>
        <w:tab/>
        <w:t>L</w:t>
      </w:r>
      <w:r w:rsidR="00DB4C2D">
        <w:rPr>
          <w:sz w:val="18"/>
          <w:szCs w:val="18"/>
          <w:lang w:val="fr-FR"/>
        </w:rPr>
        <w:t>’</w:t>
      </w:r>
      <w:r w:rsidRPr="00A779B8">
        <w:rPr>
          <w:sz w:val="18"/>
          <w:szCs w:val="18"/>
          <w:lang w:val="fr-FR"/>
        </w:rPr>
        <w:t>hydrogène ne doit pas contenir de poussières, de sable, de saletés, de gommes, d</w:t>
      </w:r>
      <w:r w:rsidR="00DB4C2D">
        <w:rPr>
          <w:sz w:val="18"/>
          <w:szCs w:val="18"/>
          <w:lang w:val="fr-FR"/>
        </w:rPr>
        <w:t>’</w:t>
      </w:r>
      <w:r w:rsidRPr="00A779B8">
        <w:rPr>
          <w:sz w:val="18"/>
          <w:szCs w:val="18"/>
          <w:lang w:val="fr-FR"/>
        </w:rPr>
        <w:t>huiles ou d</w:t>
      </w:r>
      <w:r w:rsidR="00DB4C2D">
        <w:rPr>
          <w:sz w:val="18"/>
          <w:szCs w:val="18"/>
          <w:lang w:val="fr-FR"/>
        </w:rPr>
        <w:t>’</w:t>
      </w:r>
      <w:r w:rsidRPr="00A779B8">
        <w:rPr>
          <w:sz w:val="18"/>
          <w:szCs w:val="18"/>
          <w:lang w:val="fr-FR"/>
        </w:rPr>
        <w:t>autres substances dans des quantités suffisantes pour endommager l</w:t>
      </w:r>
      <w:r w:rsidR="00DB4C2D">
        <w:rPr>
          <w:sz w:val="18"/>
          <w:szCs w:val="18"/>
          <w:lang w:val="fr-FR"/>
        </w:rPr>
        <w:t>’</w:t>
      </w:r>
      <w:r w:rsidRPr="00A779B8">
        <w:rPr>
          <w:sz w:val="18"/>
          <w:szCs w:val="18"/>
          <w:lang w:val="fr-FR"/>
        </w:rPr>
        <w:t>équipement de la station de distribution où le véhicule (moteur) est ravitaillé</w:t>
      </w:r>
      <w:r w:rsidRPr="00A779B8">
        <w:rPr>
          <w:lang w:val="fr-FR"/>
        </w:rPr>
        <w:t>.</w:t>
      </w:r>
    </w:p>
    <w:p w:rsidR="00585508" w:rsidRPr="00A779B8" w:rsidRDefault="00585508" w:rsidP="009B6811">
      <w:pPr>
        <w:pStyle w:val="SingleTxtG"/>
        <w:keepNext/>
        <w:ind w:left="2268" w:hanging="1134"/>
        <w:jc w:val="left"/>
        <w:rPr>
          <w:lang w:val="fr-FR"/>
        </w:rPr>
      </w:pPr>
      <w:r w:rsidRPr="00A779B8">
        <w:rPr>
          <w:lang w:val="fr-FR"/>
        </w:rPr>
        <w:lastRenderedPageBreak/>
        <w:t>1.4</w:t>
      </w:r>
      <w:r w:rsidRPr="00A779B8">
        <w:rPr>
          <w:lang w:val="fr-FR"/>
        </w:rPr>
        <w:tab/>
        <w:t>Caractéristiques techniques de l</w:t>
      </w:r>
      <w:r w:rsidR="00DB4C2D">
        <w:rPr>
          <w:lang w:val="fr-FR"/>
        </w:rPr>
        <w:t>’</w:t>
      </w:r>
      <w:r w:rsidRPr="00A779B8">
        <w:rPr>
          <w:lang w:val="fr-FR"/>
        </w:rPr>
        <w:t>hydrogène pour véhicules</w:t>
      </w:r>
      <w:r w:rsidRPr="00A779B8">
        <w:rPr>
          <w:lang w:val="fr-FR"/>
        </w:rPr>
        <w:br/>
        <w:t>à pile à combustible</w:t>
      </w:r>
    </w:p>
    <w:p w:rsidR="00585508" w:rsidRPr="00A779B8" w:rsidRDefault="00585508" w:rsidP="00585508">
      <w:pPr>
        <w:pStyle w:val="Titre1"/>
        <w:spacing w:after="120"/>
        <w:rPr>
          <w:b/>
          <w:lang w:val="fr-FR"/>
        </w:rPr>
      </w:pPr>
      <w:r w:rsidRPr="00A779B8">
        <w:rPr>
          <w:b/>
          <w:lang w:val="fr-FR"/>
        </w:rPr>
        <w:t>Type: Hydrogène pour véhicules à pile à combustible</w:t>
      </w:r>
    </w:p>
    <w:tbl>
      <w:tblPr>
        <w:tblW w:w="8505" w:type="dxa"/>
        <w:tblInd w:w="1134" w:type="dxa"/>
        <w:tblLayout w:type="fixed"/>
        <w:tblCellMar>
          <w:left w:w="57" w:type="dxa"/>
          <w:right w:w="57" w:type="dxa"/>
        </w:tblCellMar>
        <w:tblLook w:val="0000" w:firstRow="0" w:lastRow="0" w:firstColumn="0" w:lastColumn="0" w:noHBand="0" w:noVBand="0"/>
      </w:tblPr>
      <w:tblGrid>
        <w:gridCol w:w="2835"/>
        <w:gridCol w:w="1134"/>
        <w:gridCol w:w="1134"/>
        <w:gridCol w:w="1134"/>
        <w:gridCol w:w="2268"/>
      </w:tblGrid>
      <w:tr w:rsidR="00585508" w:rsidRPr="00A779B8" w:rsidTr="00DB4C2D">
        <w:tc>
          <w:tcPr>
            <w:tcW w:w="2835" w:type="dxa"/>
            <w:vMerge w:val="restart"/>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keepNext/>
              <w:spacing w:before="60" w:after="60" w:line="200" w:lineRule="exact"/>
              <w:ind w:right="-96"/>
              <w:jc w:val="center"/>
              <w:rPr>
                <w:i/>
                <w:sz w:val="16"/>
                <w:szCs w:val="16"/>
                <w:lang w:val="fr-FR"/>
              </w:rPr>
            </w:pPr>
            <w:r w:rsidRPr="00A779B8">
              <w:rPr>
                <w:i/>
                <w:sz w:val="16"/>
                <w:szCs w:val="16"/>
                <w:lang w:val="fr-FR"/>
              </w:rPr>
              <w:t>Caractéristiques</w:t>
            </w:r>
          </w:p>
        </w:tc>
        <w:tc>
          <w:tcPr>
            <w:tcW w:w="1134" w:type="dxa"/>
            <w:vMerge w:val="restart"/>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keepNext/>
              <w:spacing w:before="60" w:after="60" w:line="200" w:lineRule="exact"/>
              <w:ind w:left="1418" w:right="-96" w:hanging="1418"/>
              <w:jc w:val="center"/>
              <w:rPr>
                <w:i/>
                <w:sz w:val="16"/>
                <w:szCs w:val="16"/>
                <w:lang w:val="fr-FR"/>
              </w:rPr>
            </w:pPr>
            <w:r w:rsidRPr="00A779B8">
              <w:rPr>
                <w:i/>
                <w:sz w:val="16"/>
                <w:szCs w:val="16"/>
                <w:lang w:val="fr-FR"/>
              </w:rPr>
              <w:t>Unités</w:t>
            </w:r>
          </w:p>
        </w:tc>
        <w:tc>
          <w:tcPr>
            <w:tcW w:w="2268" w:type="dxa"/>
            <w:gridSpan w:val="2"/>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keepNext/>
              <w:spacing w:before="60" w:after="60" w:line="200" w:lineRule="exact"/>
              <w:ind w:left="1418" w:right="-96" w:hanging="1418"/>
              <w:jc w:val="center"/>
              <w:rPr>
                <w:i/>
                <w:sz w:val="16"/>
                <w:szCs w:val="16"/>
                <w:lang w:val="fr-FR"/>
              </w:rPr>
            </w:pPr>
            <w:r w:rsidRPr="00A779B8">
              <w:rPr>
                <w:i/>
                <w:sz w:val="16"/>
                <w:szCs w:val="16"/>
                <w:lang w:val="fr-FR"/>
              </w:rPr>
              <w:t>Limites</w:t>
            </w:r>
          </w:p>
        </w:tc>
        <w:tc>
          <w:tcPr>
            <w:tcW w:w="2268" w:type="dxa"/>
            <w:vMerge w:val="restart"/>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keepNext/>
              <w:spacing w:before="60" w:after="60" w:line="200" w:lineRule="exact"/>
              <w:ind w:right="-96"/>
              <w:jc w:val="center"/>
              <w:rPr>
                <w:i/>
                <w:sz w:val="16"/>
                <w:szCs w:val="16"/>
                <w:lang w:val="fr-FR"/>
              </w:rPr>
            </w:pPr>
            <w:r w:rsidRPr="00A779B8">
              <w:rPr>
                <w:i/>
                <w:sz w:val="16"/>
                <w:szCs w:val="16"/>
                <w:lang w:val="fr-FR"/>
              </w:rPr>
              <w:t>Méthode d</w:t>
            </w:r>
            <w:r w:rsidR="00DB4C2D">
              <w:rPr>
                <w:i/>
                <w:sz w:val="16"/>
                <w:szCs w:val="16"/>
                <w:lang w:val="fr-FR"/>
              </w:rPr>
              <w:t>’</w:t>
            </w:r>
            <w:r w:rsidRPr="00A779B8">
              <w:rPr>
                <w:i/>
                <w:sz w:val="16"/>
                <w:szCs w:val="16"/>
                <w:lang w:val="fr-FR"/>
              </w:rPr>
              <w:t>essai</w:t>
            </w:r>
          </w:p>
        </w:tc>
      </w:tr>
      <w:tr w:rsidR="00585508" w:rsidRPr="00A779B8" w:rsidTr="00DB4C2D">
        <w:tc>
          <w:tcPr>
            <w:tcW w:w="2835" w:type="dxa"/>
            <w:vMerge/>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keepNext/>
              <w:spacing w:before="60" w:after="60" w:line="200" w:lineRule="exact"/>
              <w:ind w:right="-96"/>
              <w:jc w:val="center"/>
              <w:rPr>
                <w:sz w:val="16"/>
                <w:szCs w:val="16"/>
                <w:lang w:val="fr-FR"/>
              </w:rPr>
            </w:pPr>
          </w:p>
        </w:tc>
        <w:tc>
          <w:tcPr>
            <w:tcW w:w="1134" w:type="dxa"/>
            <w:vMerge/>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keepNext/>
              <w:spacing w:before="60" w:after="60" w:line="200" w:lineRule="exact"/>
              <w:ind w:left="1418" w:right="-96" w:hanging="1418"/>
              <w:jc w:val="center"/>
              <w:rPr>
                <w:sz w:val="16"/>
                <w:szCs w:val="16"/>
                <w:lang w:val="fr-FR"/>
              </w:rPr>
            </w:pPr>
          </w:p>
        </w:tc>
        <w:tc>
          <w:tcPr>
            <w:tcW w:w="1134" w:type="dxa"/>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keepNext/>
              <w:spacing w:before="60" w:after="60" w:line="200" w:lineRule="exact"/>
              <w:jc w:val="center"/>
              <w:rPr>
                <w:i/>
                <w:sz w:val="16"/>
                <w:szCs w:val="16"/>
                <w:lang w:val="fr-FR"/>
              </w:rPr>
            </w:pPr>
            <w:r w:rsidRPr="00A779B8">
              <w:rPr>
                <w:i/>
                <w:sz w:val="16"/>
                <w:szCs w:val="16"/>
                <w:lang w:val="fr-FR"/>
              </w:rPr>
              <w:t>Minimale</w:t>
            </w:r>
          </w:p>
        </w:tc>
        <w:tc>
          <w:tcPr>
            <w:tcW w:w="1134" w:type="dxa"/>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keepNext/>
              <w:spacing w:before="60" w:after="60" w:line="200" w:lineRule="exact"/>
              <w:jc w:val="center"/>
              <w:rPr>
                <w:i/>
                <w:sz w:val="16"/>
                <w:szCs w:val="16"/>
                <w:lang w:val="fr-FR"/>
              </w:rPr>
            </w:pPr>
            <w:r w:rsidRPr="00A779B8">
              <w:rPr>
                <w:i/>
                <w:sz w:val="16"/>
                <w:szCs w:val="16"/>
                <w:lang w:val="fr-FR"/>
              </w:rPr>
              <w:t>Maximale</w:t>
            </w:r>
          </w:p>
        </w:tc>
        <w:tc>
          <w:tcPr>
            <w:tcW w:w="2268" w:type="dxa"/>
            <w:vMerge/>
            <w:tcBorders>
              <w:top w:val="single" w:sz="2" w:space="0" w:color="auto"/>
              <w:left w:val="single" w:sz="2" w:space="0" w:color="auto"/>
              <w:bottom w:val="single" w:sz="2" w:space="0" w:color="auto"/>
              <w:right w:val="single" w:sz="2" w:space="0" w:color="auto"/>
            </w:tcBorders>
            <w:vAlign w:val="center"/>
          </w:tcPr>
          <w:p w:rsidR="00585508" w:rsidRPr="00A779B8" w:rsidRDefault="00585508" w:rsidP="00DB4C2D">
            <w:pPr>
              <w:keepNext/>
              <w:spacing w:before="60" w:after="60" w:line="200" w:lineRule="exact"/>
              <w:ind w:left="1418" w:right="-96" w:hanging="1418"/>
              <w:jc w:val="center"/>
              <w:rPr>
                <w:sz w:val="16"/>
                <w:szCs w:val="16"/>
                <w:lang w:val="fr-FR"/>
              </w:rPr>
            </w:pP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Combustible hydrogène</w:t>
            </w:r>
            <w:r w:rsidRPr="00A779B8">
              <w:rPr>
                <w:i/>
                <w:sz w:val="18"/>
                <w:szCs w:val="18"/>
                <w:vertAlign w:val="superscript"/>
                <w:lang w:val="fr-FR"/>
              </w:rPr>
              <w:t>1</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mole %</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99.99</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100</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Gaz totaux</w:t>
            </w:r>
            <w:r w:rsidRPr="00A779B8">
              <w:rPr>
                <w:i/>
                <w:sz w:val="18"/>
                <w:szCs w:val="18"/>
                <w:vertAlign w:val="superscript"/>
                <w:lang w:val="fr-FR"/>
              </w:rPr>
              <w:t>2</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100</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Hydrocarbures totaux</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2</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Eau</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5</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Oxygène</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5</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en-GB"/>
              </w:rPr>
            </w:pPr>
            <w:proofErr w:type="spellStart"/>
            <w:r w:rsidRPr="00A779B8">
              <w:rPr>
                <w:sz w:val="18"/>
                <w:szCs w:val="18"/>
                <w:lang w:val="en-GB"/>
              </w:rPr>
              <w:t>Hélium</w:t>
            </w:r>
            <w:proofErr w:type="spellEnd"/>
            <w:r w:rsidRPr="00A779B8">
              <w:rPr>
                <w:sz w:val="18"/>
                <w:szCs w:val="18"/>
                <w:lang w:val="en-GB"/>
              </w:rPr>
              <w:t xml:space="preserve"> (He), azote (N</w:t>
            </w:r>
            <w:r w:rsidRPr="00A779B8">
              <w:rPr>
                <w:sz w:val="18"/>
                <w:szCs w:val="18"/>
                <w:vertAlign w:val="subscript"/>
                <w:lang w:val="en-GB"/>
              </w:rPr>
              <w:t>2</w:t>
            </w:r>
            <w:r w:rsidRPr="00A779B8">
              <w:rPr>
                <w:sz w:val="18"/>
                <w:szCs w:val="18"/>
                <w:lang w:val="en-GB"/>
              </w:rPr>
              <w:t>), argon (</w:t>
            </w:r>
            <w:proofErr w:type="spellStart"/>
            <w:r w:rsidRPr="00A779B8">
              <w:rPr>
                <w:sz w:val="18"/>
                <w:szCs w:val="18"/>
                <w:lang w:val="en-GB"/>
              </w:rPr>
              <w:t>Ar</w:t>
            </w:r>
            <w:proofErr w:type="spellEnd"/>
            <w:r w:rsidRPr="00A779B8">
              <w:rPr>
                <w:sz w:val="18"/>
                <w:szCs w:val="18"/>
                <w:lang w:val="en-GB"/>
              </w:rPr>
              <w:t>)</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100</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CO</w:t>
            </w:r>
            <w:r w:rsidRPr="00A779B8">
              <w:rPr>
                <w:sz w:val="18"/>
                <w:szCs w:val="18"/>
                <w:vertAlign w:val="subscript"/>
                <w:lang w:val="fr-FR"/>
              </w:rPr>
              <w:t>2</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2</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CO</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0,2</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Composés sulfurés totaux</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0,004</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Formaldéhyde (HCHO)</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0,01</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Acide formique (HCOOH)</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0,2</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Ammoniac (NH</w:t>
            </w:r>
            <w:r w:rsidRPr="00A779B8">
              <w:rPr>
                <w:sz w:val="18"/>
                <w:szCs w:val="18"/>
                <w:vertAlign w:val="subscript"/>
                <w:lang w:val="fr-FR"/>
              </w:rPr>
              <w:t>3</w:t>
            </w:r>
            <w:r w:rsidRPr="00A779B8">
              <w:rPr>
                <w:sz w:val="18"/>
                <w:szCs w:val="18"/>
                <w:lang w:val="fr-FR"/>
              </w:rPr>
              <w:t>)</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0,1</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 xml:space="preserve">Composés halogénés totaux </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μmol</w:t>
            </w:r>
            <w:proofErr w:type="spellEnd"/>
            <w:r w:rsidRPr="00A779B8">
              <w:rPr>
                <w:sz w:val="18"/>
                <w:szCs w:val="18"/>
                <w:lang w:val="fr-FR"/>
              </w:rPr>
              <w:t>/mol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0,05</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Dimension des particules</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μm</w:t>
            </w:r>
            <w:proofErr w:type="spellEnd"/>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10</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r w:rsidR="00585508" w:rsidRPr="00A779B8" w:rsidTr="00DB4C2D">
        <w:tc>
          <w:tcPr>
            <w:tcW w:w="2835"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r w:rsidRPr="00A779B8">
              <w:rPr>
                <w:sz w:val="18"/>
                <w:szCs w:val="18"/>
                <w:lang w:val="fr-FR"/>
              </w:rPr>
              <w:t xml:space="preserve">Concentration de particules </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rPr>
                <w:sz w:val="18"/>
                <w:szCs w:val="18"/>
                <w:lang w:val="fr-FR"/>
              </w:rPr>
            </w:pPr>
            <w:proofErr w:type="spellStart"/>
            <w:r w:rsidRPr="00A779B8">
              <w:rPr>
                <w:sz w:val="18"/>
                <w:szCs w:val="18"/>
                <w:lang w:val="fr-FR"/>
              </w:rPr>
              <w:t>μg</w:t>
            </w:r>
            <w:proofErr w:type="spellEnd"/>
            <w:r w:rsidRPr="00A779B8">
              <w:rPr>
                <w:sz w:val="18"/>
                <w:szCs w:val="18"/>
                <w:lang w:val="fr-FR"/>
              </w:rPr>
              <w:t>/l</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0</w:t>
            </w:r>
          </w:p>
        </w:tc>
        <w:tc>
          <w:tcPr>
            <w:tcW w:w="1134"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right"/>
              <w:rPr>
                <w:sz w:val="18"/>
                <w:szCs w:val="18"/>
                <w:lang w:val="fr-FR"/>
              </w:rPr>
            </w:pPr>
            <w:r w:rsidRPr="00A779B8">
              <w:rPr>
                <w:sz w:val="18"/>
                <w:szCs w:val="18"/>
                <w:lang w:val="fr-FR"/>
              </w:rPr>
              <w:t>1</w:t>
            </w:r>
          </w:p>
        </w:tc>
        <w:tc>
          <w:tcPr>
            <w:tcW w:w="2268" w:type="dxa"/>
            <w:tcBorders>
              <w:top w:val="single" w:sz="2" w:space="0" w:color="auto"/>
              <w:left w:val="single" w:sz="2" w:space="0" w:color="auto"/>
              <w:bottom w:val="single" w:sz="2" w:space="0" w:color="auto"/>
              <w:right w:val="single" w:sz="2" w:space="0" w:color="auto"/>
            </w:tcBorders>
          </w:tcPr>
          <w:p w:rsidR="00585508" w:rsidRPr="00A779B8" w:rsidRDefault="00585508" w:rsidP="00DB4C2D">
            <w:pPr>
              <w:keepNext/>
              <w:spacing w:before="60" w:after="60" w:line="220" w:lineRule="atLeast"/>
              <w:jc w:val="both"/>
              <w:rPr>
                <w:sz w:val="18"/>
                <w:szCs w:val="18"/>
                <w:lang w:val="fr-FR"/>
              </w:rPr>
            </w:pPr>
            <w:r w:rsidRPr="00A779B8">
              <w:rPr>
                <w:sz w:val="18"/>
                <w:szCs w:val="18"/>
                <w:lang w:val="fr-FR"/>
              </w:rPr>
              <w:t>ISO 14687-2</w:t>
            </w:r>
          </w:p>
        </w:tc>
      </w:tr>
    </w:tbl>
    <w:p w:rsidR="00585508" w:rsidRPr="0018325C" w:rsidRDefault="00585508" w:rsidP="00585508">
      <w:pPr>
        <w:pStyle w:val="SingleTxtG"/>
        <w:spacing w:before="120" w:after="0"/>
        <w:ind w:left="1588" w:right="0" w:hanging="284"/>
        <w:jc w:val="left"/>
        <w:rPr>
          <w:sz w:val="18"/>
          <w:szCs w:val="18"/>
          <w:lang w:val="fr-FR"/>
        </w:rPr>
      </w:pPr>
      <w:r w:rsidRPr="0018325C">
        <w:rPr>
          <w:i/>
          <w:sz w:val="18"/>
          <w:szCs w:val="18"/>
          <w:vertAlign w:val="superscript"/>
          <w:lang w:val="fr-FR"/>
        </w:rPr>
        <w:t>1</w:t>
      </w:r>
      <w:r w:rsidRPr="0018325C">
        <w:rPr>
          <w:sz w:val="18"/>
          <w:szCs w:val="18"/>
          <w:lang w:val="fr-FR"/>
        </w:rPr>
        <w:tab/>
        <w:t>On calcule l</w:t>
      </w:r>
      <w:r w:rsidR="00DB4C2D">
        <w:rPr>
          <w:sz w:val="18"/>
          <w:szCs w:val="18"/>
          <w:lang w:val="fr-FR"/>
        </w:rPr>
        <w:t>’</w:t>
      </w:r>
      <w:r w:rsidRPr="0018325C">
        <w:rPr>
          <w:sz w:val="18"/>
          <w:szCs w:val="18"/>
          <w:lang w:val="fr-FR"/>
        </w:rPr>
        <w:t>indice du combustible hydrogène en soustrayant de 100 mole % le contenu total, exprimé en mole %, des constituants gazeux autres que l</w:t>
      </w:r>
      <w:r w:rsidR="00DB4C2D">
        <w:rPr>
          <w:sz w:val="18"/>
          <w:szCs w:val="18"/>
          <w:lang w:val="fr-FR"/>
        </w:rPr>
        <w:t>’</w:t>
      </w:r>
      <w:r w:rsidRPr="0018325C">
        <w:rPr>
          <w:sz w:val="18"/>
          <w:szCs w:val="18"/>
          <w:lang w:val="fr-FR"/>
        </w:rPr>
        <w:t>hydrogène énumérés dans le tableau (gaz totaux). Il est inférieur à la somme des limites maximales admissibles de tous les constituants autres que l</w:t>
      </w:r>
      <w:r w:rsidR="00DB4C2D">
        <w:rPr>
          <w:sz w:val="18"/>
          <w:szCs w:val="18"/>
          <w:lang w:val="fr-FR"/>
        </w:rPr>
        <w:t>’</w:t>
      </w:r>
      <w:r w:rsidRPr="0018325C">
        <w:rPr>
          <w:sz w:val="18"/>
          <w:szCs w:val="18"/>
          <w:lang w:val="fr-FR"/>
        </w:rPr>
        <w:t>hydrogène énumérés dans le tableau.</w:t>
      </w:r>
    </w:p>
    <w:p w:rsidR="00585508" w:rsidRPr="0018325C" w:rsidRDefault="00585508" w:rsidP="00585508">
      <w:pPr>
        <w:pStyle w:val="SingleTxtG"/>
        <w:spacing w:after="0"/>
        <w:ind w:left="1588" w:right="0" w:hanging="284"/>
        <w:jc w:val="left"/>
        <w:rPr>
          <w:sz w:val="18"/>
          <w:szCs w:val="18"/>
          <w:lang w:val="fr-FR"/>
        </w:rPr>
      </w:pPr>
      <w:r w:rsidRPr="0018325C">
        <w:rPr>
          <w:i/>
          <w:sz w:val="18"/>
          <w:szCs w:val="18"/>
          <w:vertAlign w:val="superscript"/>
          <w:lang w:val="fr-FR"/>
        </w:rPr>
        <w:t>2</w:t>
      </w:r>
      <w:r w:rsidRPr="0018325C">
        <w:rPr>
          <w:sz w:val="18"/>
          <w:szCs w:val="18"/>
          <w:lang w:val="fr-FR"/>
        </w:rPr>
        <w:tab/>
        <w:t>La valeur pour les gaz totaux est la somme des valeurs pour les constituants autres que l</w:t>
      </w:r>
      <w:r w:rsidR="00DB4C2D">
        <w:rPr>
          <w:sz w:val="18"/>
          <w:szCs w:val="18"/>
          <w:lang w:val="fr-FR"/>
        </w:rPr>
        <w:t>’</w:t>
      </w:r>
      <w:r w:rsidRPr="0018325C">
        <w:rPr>
          <w:sz w:val="18"/>
          <w:szCs w:val="18"/>
          <w:lang w:val="fr-FR"/>
        </w:rPr>
        <w:t>hydrogène énumérés dans le tableau, à l</w:t>
      </w:r>
      <w:r w:rsidR="00DB4C2D">
        <w:rPr>
          <w:sz w:val="18"/>
          <w:szCs w:val="18"/>
          <w:lang w:val="fr-FR"/>
        </w:rPr>
        <w:t>’</w:t>
      </w:r>
      <w:r w:rsidRPr="0018325C">
        <w:rPr>
          <w:sz w:val="18"/>
          <w:szCs w:val="18"/>
          <w:lang w:val="fr-FR"/>
        </w:rPr>
        <w:t>exception des particules.</w:t>
      </w:r>
    </w:p>
    <w:p w:rsidR="00585508" w:rsidRPr="00A779B8" w:rsidRDefault="00585508" w:rsidP="00585508">
      <w:pPr>
        <w:pStyle w:val="SingleTxtG"/>
        <w:spacing w:before="240"/>
        <w:ind w:left="2268" w:hanging="1134"/>
        <w:jc w:val="left"/>
        <w:rPr>
          <w:lang w:val="fr-FR"/>
        </w:rPr>
      </w:pPr>
      <w:r w:rsidRPr="00A779B8">
        <w:rPr>
          <w:lang w:val="fr-FR"/>
        </w:rPr>
        <w:t>1.5</w:t>
      </w:r>
      <w:r w:rsidRPr="00A779B8">
        <w:rPr>
          <w:lang w:val="fr-FR"/>
        </w:rPr>
        <w:tab/>
        <w:t>Caractéristiques techniques de l</w:t>
      </w:r>
      <w:r w:rsidR="00DB4C2D">
        <w:rPr>
          <w:lang w:val="fr-FR"/>
        </w:rPr>
        <w:t>’</w:t>
      </w:r>
      <w:r w:rsidRPr="00A779B8">
        <w:rPr>
          <w:lang w:val="fr-FR"/>
        </w:rPr>
        <w:t>hydrogène et du GN/</w:t>
      </w:r>
      <w:proofErr w:type="spellStart"/>
      <w:r w:rsidRPr="00A779B8">
        <w:rPr>
          <w:lang w:val="fr-FR"/>
        </w:rPr>
        <w:t>biométhane</w:t>
      </w:r>
      <w:proofErr w:type="spellEnd"/>
    </w:p>
    <w:p w:rsidR="00585508" w:rsidRPr="00A779B8" w:rsidRDefault="00585508" w:rsidP="00585508">
      <w:pPr>
        <w:pStyle w:val="Titre1"/>
        <w:spacing w:after="120"/>
        <w:rPr>
          <w:b/>
          <w:lang w:val="fr-FR"/>
        </w:rPr>
      </w:pPr>
      <w:r w:rsidRPr="00A779B8">
        <w:rPr>
          <w:b/>
          <w:lang w:val="fr-FR"/>
        </w:rPr>
        <w:t>Type: GN/H</w:t>
      </w:r>
      <w:r w:rsidRPr="009B6811">
        <w:rPr>
          <w:b/>
          <w:vertAlign w:val="subscript"/>
          <w:lang w:val="fr-FR"/>
        </w:rPr>
        <w:t>2</w:t>
      </w:r>
    </w:p>
    <w:tbl>
      <w:tblPr>
        <w:tblW w:w="8505" w:type="dxa"/>
        <w:tblInd w:w="1134"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1E0" w:firstRow="1" w:lastRow="1" w:firstColumn="1" w:lastColumn="1" w:noHBand="0" w:noVBand="0"/>
      </w:tblPr>
      <w:tblGrid>
        <w:gridCol w:w="8505"/>
      </w:tblGrid>
      <w:tr w:rsidR="00585508" w:rsidRPr="007E29C4" w:rsidTr="00DB4C2D">
        <w:tc>
          <w:tcPr>
            <w:tcW w:w="8505" w:type="dxa"/>
            <w:shd w:val="clear" w:color="auto" w:fill="auto"/>
          </w:tcPr>
          <w:p w:rsidR="00585508" w:rsidRPr="007E29C4" w:rsidRDefault="00585508" w:rsidP="00DB4C2D">
            <w:pPr>
              <w:spacing w:before="60" w:after="60"/>
              <w:ind w:left="57" w:right="57"/>
              <w:jc w:val="both"/>
              <w:rPr>
                <w:lang w:val="fr-FR"/>
              </w:rPr>
            </w:pPr>
            <w:r w:rsidRPr="007E29C4">
              <w:rPr>
                <w:lang w:val="fr-FR"/>
              </w:rPr>
              <w:t>L</w:t>
            </w:r>
            <w:r w:rsidR="00DB4C2D">
              <w:rPr>
                <w:lang w:val="fr-FR"/>
              </w:rPr>
              <w:t>’</w:t>
            </w:r>
            <w:r w:rsidRPr="007E29C4">
              <w:rPr>
                <w:lang w:val="fr-FR"/>
              </w:rPr>
              <w:t>hydrogène et les carburants GN/</w:t>
            </w:r>
            <w:proofErr w:type="spellStart"/>
            <w:r w:rsidRPr="007E29C4">
              <w:rPr>
                <w:lang w:val="fr-FR"/>
              </w:rPr>
              <w:t>biométhane</w:t>
            </w:r>
            <w:proofErr w:type="spellEnd"/>
            <w:r w:rsidRPr="007E29C4">
              <w:rPr>
                <w:lang w:val="fr-FR"/>
              </w:rPr>
              <w:t xml:space="preserve"> composant un mélange H2GN, doivent tous avoir les caractéristiques énoncées pour eux dans la présente annexe.</w:t>
            </w:r>
          </w:p>
        </w:tc>
      </w:tr>
    </w:tbl>
    <w:p w:rsidR="00585508" w:rsidRDefault="00585508" w:rsidP="002B4B8E">
      <w:pPr>
        <w:ind w:left="454" w:hanging="284"/>
        <w:sectPr w:rsidR="00585508" w:rsidSect="00C108AC">
          <w:headerReference w:type="even" r:id="rId260"/>
          <w:headerReference w:type="default" r:id="rId261"/>
          <w:footnotePr>
            <w:numRestart w:val="eachSect"/>
          </w:footnotePr>
          <w:endnotePr>
            <w:numFmt w:val="decimal"/>
          </w:endnotePr>
          <w:pgSz w:w="11907" w:h="16840" w:code="9"/>
          <w:pgMar w:top="1701" w:right="1134" w:bottom="2268" w:left="1134" w:header="794" w:footer="1701" w:gutter="0"/>
          <w:cols w:space="720"/>
          <w:docGrid w:linePitch="272"/>
        </w:sectPr>
      </w:pPr>
    </w:p>
    <w:p w:rsidR="00585508" w:rsidRPr="00A779B8" w:rsidRDefault="00585508" w:rsidP="00585508">
      <w:pPr>
        <w:pStyle w:val="HChG"/>
        <w:rPr>
          <w:lang w:val="fr-FR"/>
        </w:rPr>
      </w:pPr>
      <w:r w:rsidRPr="00A779B8">
        <w:rPr>
          <w:lang w:val="fr-FR"/>
        </w:rPr>
        <w:lastRenderedPageBreak/>
        <w:t>Annexe 11</w:t>
      </w:r>
    </w:p>
    <w:p w:rsidR="00585508" w:rsidRPr="00A779B8" w:rsidRDefault="00585508" w:rsidP="00585508">
      <w:pPr>
        <w:pStyle w:val="HChG"/>
        <w:rPr>
          <w:lang w:val="fr-FR"/>
        </w:rPr>
      </w:pPr>
      <w:r w:rsidRPr="00A779B8">
        <w:rPr>
          <w:lang w:val="fr-FR"/>
        </w:rPr>
        <w:tab/>
      </w:r>
      <w:r w:rsidRPr="00A779B8">
        <w:rPr>
          <w:lang w:val="fr-FR"/>
        </w:rPr>
        <w:tab/>
        <w:t>Système d</w:t>
      </w:r>
      <w:r w:rsidR="00DB4C2D">
        <w:rPr>
          <w:lang w:val="fr-FR"/>
        </w:rPr>
        <w:t>’</w:t>
      </w:r>
      <w:r w:rsidRPr="00A779B8">
        <w:rPr>
          <w:lang w:val="fr-FR"/>
        </w:rPr>
        <w:t>autodiagnostic (OBD) pour véhicules à moteur</w:t>
      </w:r>
    </w:p>
    <w:p w:rsidR="00585508" w:rsidRPr="00A779B8" w:rsidRDefault="00585508" w:rsidP="00585508">
      <w:pPr>
        <w:pStyle w:val="SingleTxtG"/>
        <w:keepNext/>
        <w:spacing w:after="100" w:line="236" w:lineRule="atLeast"/>
        <w:ind w:left="2268" w:hanging="1134"/>
        <w:jc w:val="left"/>
        <w:rPr>
          <w:lang w:val="fr-FR"/>
        </w:rPr>
      </w:pPr>
      <w:r w:rsidRPr="00A779B8">
        <w:rPr>
          <w:lang w:val="fr-FR"/>
        </w:rPr>
        <w:t>1.</w:t>
      </w:r>
      <w:r w:rsidRPr="00A779B8">
        <w:rPr>
          <w:lang w:val="fr-FR"/>
        </w:rPr>
        <w:tab/>
        <w:t>Introduction</w:t>
      </w:r>
    </w:p>
    <w:p w:rsidR="00585508" w:rsidRPr="00A779B8" w:rsidRDefault="00585508" w:rsidP="00585508">
      <w:pPr>
        <w:pStyle w:val="SingleTxtG"/>
        <w:spacing w:after="100" w:line="236" w:lineRule="atLeast"/>
        <w:ind w:left="2268"/>
        <w:rPr>
          <w:lang w:val="fr-FR"/>
        </w:rPr>
      </w:pPr>
      <w:r w:rsidRPr="00A779B8">
        <w:rPr>
          <w:lang w:val="fr-FR"/>
        </w:rPr>
        <w:tab/>
        <w:t>La présente annexe décrit le fonctionnement des systèmes d</w:t>
      </w:r>
      <w:r w:rsidR="00DB4C2D">
        <w:rPr>
          <w:lang w:val="fr-FR"/>
        </w:rPr>
        <w:t>’</w:t>
      </w:r>
      <w:r w:rsidRPr="00A779B8">
        <w:rPr>
          <w:lang w:val="fr-FR"/>
        </w:rPr>
        <w:t>autodiagnostic (OBD) pour le contrôle des émissions des véhicules à moteur.</w:t>
      </w:r>
    </w:p>
    <w:p w:rsidR="00585508" w:rsidRPr="00A779B8" w:rsidRDefault="00585508" w:rsidP="00585508">
      <w:pPr>
        <w:pStyle w:val="SingleTxtG"/>
        <w:keepNext/>
        <w:spacing w:after="100" w:line="236" w:lineRule="atLeast"/>
        <w:ind w:left="2268" w:hanging="1134"/>
        <w:jc w:val="left"/>
        <w:rPr>
          <w:lang w:val="fr-FR"/>
        </w:rPr>
      </w:pPr>
      <w:r w:rsidRPr="00A779B8">
        <w:rPr>
          <w:lang w:val="fr-FR"/>
        </w:rPr>
        <w:t>2.</w:t>
      </w:r>
      <w:r w:rsidRPr="00A779B8">
        <w:rPr>
          <w:lang w:val="fr-FR"/>
        </w:rPr>
        <w:tab/>
        <w:t>Définitions</w:t>
      </w:r>
    </w:p>
    <w:p w:rsidR="00585508" w:rsidRPr="00A779B8" w:rsidRDefault="00585508" w:rsidP="00585508">
      <w:pPr>
        <w:pStyle w:val="SingleTxtG"/>
        <w:spacing w:after="100" w:line="236" w:lineRule="atLeast"/>
        <w:ind w:left="2268"/>
        <w:rPr>
          <w:lang w:val="fr-FR"/>
        </w:rPr>
      </w:pPr>
      <w:r w:rsidRPr="00A779B8">
        <w:rPr>
          <w:lang w:val="fr-FR"/>
        </w:rPr>
        <w:tab/>
        <w:t>Au sens de la présente annexe, on entend par:</w:t>
      </w:r>
    </w:p>
    <w:p w:rsidR="00585508" w:rsidRPr="00A779B8" w:rsidRDefault="00585508" w:rsidP="00585508">
      <w:pPr>
        <w:pStyle w:val="SingleTxtG"/>
        <w:spacing w:after="100" w:line="236" w:lineRule="atLeast"/>
        <w:ind w:left="2268" w:hanging="1134"/>
        <w:rPr>
          <w:lang w:val="fr-FR"/>
        </w:rPr>
      </w:pPr>
      <w:r w:rsidRPr="00A779B8">
        <w:rPr>
          <w:lang w:val="fr-FR"/>
        </w:rPr>
        <w:t>2.1</w:t>
      </w:r>
      <w:r w:rsidRPr="00A779B8">
        <w:rPr>
          <w:lang w:val="fr-FR"/>
        </w:rPr>
        <w:tab/>
        <w:t>«</w:t>
      </w:r>
      <w:r w:rsidRPr="00A779B8">
        <w:rPr>
          <w:i/>
          <w:lang w:val="fr-FR"/>
        </w:rPr>
        <w:t>OBD</w:t>
      </w:r>
      <w:r w:rsidRPr="00A779B8">
        <w:rPr>
          <w:lang w:val="fr-FR"/>
        </w:rPr>
        <w:t>», un système d</w:t>
      </w:r>
      <w:r w:rsidR="00DB4C2D">
        <w:rPr>
          <w:lang w:val="fr-FR"/>
        </w:rPr>
        <w:t>’</w:t>
      </w:r>
      <w:r w:rsidRPr="00A779B8">
        <w:rPr>
          <w:lang w:val="fr-FR"/>
        </w:rPr>
        <w:t>autodiagnostic pour le contrôle des émissions capable de déceler l</w:t>
      </w:r>
      <w:r w:rsidR="00DB4C2D">
        <w:rPr>
          <w:lang w:val="fr-FR"/>
        </w:rPr>
        <w:t>’</w:t>
      </w:r>
      <w:r w:rsidRPr="00A779B8">
        <w:rPr>
          <w:lang w:val="fr-FR"/>
        </w:rPr>
        <w:t>origine probable d</w:t>
      </w:r>
      <w:r w:rsidR="00DB4C2D">
        <w:rPr>
          <w:lang w:val="fr-FR"/>
        </w:rPr>
        <w:t>’</w:t>
      </w:r>
      <w:r w:rsidRPr="00A779B8">
        <w:rPr>
          <w:lang w:val="fr-FR"/>
        </w:rPr>
        <w:t>un dysfonctionnement au moyen de codes d</w:t>
      </w:r>
      <w:r w:rsidR="00DB4C2D">
        <w:rPr>
          <w:lang w:val="fr-FR"/>
        </w:rPr>
        <w:t>’</w:t>
      </w:r>
      <w:r w:rsidRPr="00A779B8">
        <w:rPr>
          <w:lang w:val="fr-FR"/>
        </w:rPr>
        <w:t>erreurs stockés dans la mémoire d</w:t>
      </w:r>
      <w:r w:rsidR="00DB4C2D">
        <w:rPr>
          <w:lang w:val="fr-FR"/>
        </w:rPr>
        <w:t>’</w:t>
      </w:r>
      <w:r w:rsidRPr="00A779B8">
        <w:rPr>
          <w:lang w:val="fr-FR"/>
        </w:rPr>
        <w:t>un ordinateur;</w:t>
      </w:r>
    </w:p>
    <w:p w:rsidR="00585508" w:rsidRPr="00A779B8" w:rsidRDefault="00585508" w:rsidP="00585508">
      <w:pPr>
        <w:pStyle w:val="SingleTxtG"/>
        <w:spacing w:after="100" w:line="236" w:lineRule="atLeast"/>
        <w:ind w:left="2268" w:hanging="1134"/>
        <w:rPr>
          <w:lang w:val="fr-FR"/>
        </w:rPr>
      </w:pPr>
      <w:r w:rsidRPr="00A779B8">
        <w:rPr>
          <w:lang w:val="fr-FR"/>
        </w:rPr>
        <w:t>2.2</w:t>
      </w:r>
      <w:r w:rsidRPr="00A779B8">
        <w:rPr>
          <w:lang w:val="fr-FR"/>
        </w:rPr>
        <w:tab/>
        <w:t>«</w:t>
      </w:r>
      <w:r w:rsidRPr="00A779B8">
        <w:rPr>
          <w:i/>
          <w:lang w:val="fr-FR"/>
        </w:rPr>
        <w:t>Type de véhicule</w:t>
      </w:r>
      <w:r w:rsidRPr="00A779B8">
        <w:rPr>
          <w:lang w:val="fr-FR"/>
        </w:rPr>
        <w:t xml:space="preserve">», une catégorie de véhicules à moteur ne présentant pas entre eux de différences essentielles sur le plan des caractéristiques du moteur et du système OBD; </w:t>
      </w:r>
    </w:p>
    <w:p w:rsidR="00585508" w:rsidRPr="00A779B8" w:rsidRDefault="00585508" w:rsidP="00585508">
      <w:pPr>
        <w:pStyle w:val="SingleTxtG"/>
        <w:spacing w:after="100" w:line="236" w:lineRule="atLeast"/>
        <w:ind w:left="2268" w:hanging="1134"/>
        <w:rPr>
          <w:lang w:val="fr-FR"/>
        </w:rPr>
      </w:pPr>
      <w:r w:rsidRPr="00A779B8">
        <w:rPr>
          <w:lang w:val="fr-FR"/>
        </w:rPr>
        <w:t>2.3</w:t>
      </w:r>
      <w:r w:rsidRPr="00A779B8">
        <w:rPr>
          <w:lang w:val="fr-FR"/>
        </w:rPr>
        <w:tab/>
        <w:t>«</w:t>
      </w:r>
      <w:r w:rsidRPr="00A779B8">
        <w:rPr>
          <w:i/>
          <w:lang w:val="fr-FR"/>
        </w:rPr>
        <w:t>Famille de véhicules</w:t>
      </w:r>
      <w:r w:rsidRPr="00A779B8">
        <w:rPr>
          <w:lang w:val="fr-FR"/>
        </w:rPr>
        <w:t>», un ensemble de véhicules d</w:t>
      </w:r>
      <w:r w:rsidR="00DB4C2D">
        <w:rPr>
          <w:lang w:val="fr-FR"/>
        </w:rPr>
        <w:t>’</w:t>
      </w:r>
      <w:r w:rsidRPr="00A779B8">
        <w:rPr>
          <w:lang w:val="fr-FR"/>
        </w:rPr>
        <w:t>un constructeur qui, par leur conception, doivent présenter des caractéristiques d</w:t>
      </w:r>
      <w:r w:rsidR="00DB4C2D">
        <w:rPr>
          <w:lang w:val="fr-FR"/>
        </w:rPr>
        <w:t>’</w:t>
      </w:r>
      <w:r w:rsidRPr="00A779B8">
        <w:rPr>
          <w:lang w:val="fr-FR"/>
        </w:rPr>
        <w:t>émissions à l</w:t>
      </w:r>
      <w:r w:rsidR="00DB4C2D">
        <w:rPr>
          <w:lang w:val="fr-FR"/>
        </w:rPr>
        <w:t>’</w:t>
      </w:r>
      <w:r w:rsidRPr="00A779B8">
        <w:rPr>
          <w:lang w:val="fr-FR"/>
        </w:rPr>
        <w:t>échappement similaires et être équipés de systèmes OBD similaires. Chaque véhicule d</w:t>
      </w:r>
      <w:r w:rsidR="00DB4C2D">
        <w:rPr>
          <w:lang w:val="fr-FR"/>
        </w:rPr>
        <w:t>’</w:t>
      </w:r>
      <w:r w:rsidRPr="00A779B8">
        <w:rPr>
          <w:lang w:val="fr-FR"/>
        </w:rPr>
        <w:t>une même famille doit avoir été reconnu conforme aux prescriptions du présent Règlement, telles qu</w:t>
      </w:r>
      <w:r w:rsidR="00DB4C2D">
        <w:rPr>
          <w:lang w:val="fr-FR"/>
        </w:rPr>
        <w:t>’</w:t>
      </w:r>
      <w:r w:rsidRPr="00A779B8">
        <w:rPr>
          <w:lang w:val="fr-FR"/>
        </w:rPr>
        <w:t>elles sont énoncées à l</w:t>
      </w:r>
      <w:r w:rsidR="00DB4C2D">
        <w:rPr>
          <w:lang w:val="fr-FR"/>
        </w:rPr>
        <w:t>’</w:t>
      </w:r>
      <w:r w:rsidRPr="00A779B8">
        <w:rPr>
          <w:lang w:val="fr-FR"/>
        </w:rPr>
        <w:t>appendice 2 de la présente annexe;</w:t>
      </w:r>
    </w:p>
    <w:p w:rsidR="00585508" w:rsidRPr="00A779B8" w:rsidRDefault="00585508" w:rsidP="00585508">
      <w:pPr>
        <w:pStyle w:val="SingleTxtG"/>
        <w:spacing w:after="100" w:line="236" w:lineRule="atLeast"/>
        <w:ind w:left="2268" w:hanging="1134"/>
        <w:rPr>
          <w:lang w:val="fr-FR"/>
        </w:rPr>
      </w:pPr>
      <w:r w:rsidRPr="00A779B8">
        <w:rPr>
          <w:lang w:val="fr-FR"/>
        </w:rPr>
        <w:t>2.4</w:t>
      </w:r>
      <w:r w:rsidRPr="00A779B8">
        <w:rPr>
          <w:lang w:val="fr-FR"/>
        </w:rPr>
        <w:tab/>
        <w:t>«</w:t>
      </w:r>
      <w:r w:rsidRPr="00A779B8">
        <w:rPr>
          <w:i/>
          <w:lang w:val="fr-FR"/>
        </w:rPr>
        <w:t>Système antipollution</w:t>
      </w:r>
      <w:r w:rsidRPr="00A779B8">
        <w:rPr>
          <w:lang w:val="fr-FR"/>
        </w:rPr>
        <w:t>», le calculateur électronique d</w:t>
      </w:r>
      <w:r w:rsidR="00DB4C2D">
        <w:rPr>
          <w:lang w:val="fr-FR"/>
        </w:rPr>
        <w:t>’</w:t>
      </w:r>
      <w:r w:rsidRPr="00A779B8">
        <w:rPr>
          <w:lang w:val="fr-FR"/>
        </w:rPr>
        <w:t>injection et tout composant relatif aux émissions du système d</w:t>
      </w:r>
      <w:r w:rsidR="00DB4C2D">
        <w:rPr>
          <w:lang w:val="fr-FR"/>
        </w:rPr>
        <w:t>’</w:t>
      </w:r>
      <w:r w:rsidRPr="00A779B8">
        <w:rPr>
          <w:lang w:val="fr-FR"/>
        </w:rPr>
        <w:t>échappement ou aux émissions par évaporation qui fournit des données en entrée à ce calculateur ou qui en reçoit des données en sortie;</w:t>
      </w:r>
    </w:p>
    <w:p w:rsidR="00585508" w:rsidRPr="00A779B8" w:rsidRDefault="00585508" w:rsidP="00585508">
      <w:pPr>
        <w:pStyle w:val="SingleTxtG"/>
        <w:spacing w:after="100" w:line="236" w:lineRule="atLeast"/>
        <w:ind w:left="2268" w:hanging="1134"/>
        <w:rPr>
          <w:lang w:val="fr-FR"/>
        </w:rPr>
      </w:pPr>
      <w:r w:rsidRPr="00A779B8">
        <w:rPr>
          <w:lang w:val="fr-FR"/>
        </w:rPr>
        <w:t>2.5</w:t>
      </w:r>
      <w:r w:rsidRPr="00A779B8">
        <w:rPr>
          <w:lang w:val="fr-FR"/>
        </w:rPr>
        <w:tab/>
        <w:t>«</w:t>
      </w:r>
      <w:r w:rsidRPr="00A779B8">
        <w:rPr>
          <w:i/>
          <w:lang w:val="fr-FR"/>
        </w:rPr>
        <w:t>Témoin de défaillance (TD)</w:t>
      </w:r>
      <w:r w:rsidRPr="00A779B8">
        <w:rPr>
          <w:lang w:val="fr-FR"/>
        </w:rPr>
        <w:t>»</w:t>
      </w:r>
      <w:r>
        <w:rPr>
          <w:lang w:val="fr-FR"/>
        </w:rPr>
        <w:t>,</w:t>
      </w:r>
      <w:r w:rsidRPr="00A779B8">
        <w:rPr>
          <w:lang w:val="fr-FR"/>
        </w:rPr>
        <w:t xml:space="preserve"> un signal visible ou audible qui informe clairement le conducteur du véhicule en cas de dysfonctionnement de tout composant relatif aux émissions relié au système OBD ou du système OBD lui-même;</w:t>
      </w:r>
    </w:p>
    <w:p w:rsidR="00585508" w:rsidRPr="00A779B8" w:rsidRDefault="00585508" w:rsidP="00585508">
      <w:pPr>
        <w:pStyle w:val="SingleTxtG"/>
        <w:spacing w:after="100" w:line="236" w:lineRule="atLeast"/>
        <w:ind w:left="2268" w:hanging="1134"/>
        <w:rPr>
          <w:lang w:val="fr-FR"/>
        </w:rPr>
      </w:pPr>
      <w:r w:rsidRPr="00A779B8">
        <w:rPr>
          <w:lang w:val="fr-FR"/>
        </w:rPr>
        <w:t>2.6</w:t>
      </w:r>
      <w:r w:rsidRPr="00A779B8">
        <w:rPr>
          <w:lang w:val="fr-FR"/>
        </w:rPr>
        <w:tab/>
        <w:t>«</w:t>
      </w:r>
      <w:r w:rsidRPr="00A779B8">
        <w:rPr>
          <w:i/>
          <w:lang w:val="fr-FR"/>
        </w:rPr>
        <w:t>Défaillance</w:t>
      </w:r>
      <w:r w:rsidRPr="00A779B8">
        <w:rPr>
          <w:lang w:val="fr-FR"/>
        </w:rPr>
        <w:t>», la défaillance d</w:t>
      </w:r>
      <w:r w:rsidR="00DB4C2D">
        <w:rPr>
          <w:lang w:val="fr-FR"/>
        </w:rPr>
        <w:t>’</w:t>
      </w:r>
      <w:r w:rsidRPr="00A779B8">
        <w:rPr>
          <w:lang w:val="fr-FR"/>
        </w:rPr>
        <w:t>un composant ou d</w:t>
      </w:r>
      <w:r w:rsidR="00DB4C2D">
        <w:rPr>
          <w:lang w:val="fr-FR"/>
        </w:rPr>
        <w:t>’</w:t>
      </w:r>
      <w:r w:rsidRPr="00A779B8">
        <w:rPr>
          <w:lang w:val="fr-FR"/>
        </w:rPr>
        <w:t>un système relatif aux émissions entraînant le dépassement des limites d</w:t>
      </w:r>
      <w:r w:rsidR="00DB4C2D">
        <w:rPr>
          <w:lang w:val="fr-FR"/>
        </w:rPr>
        <w:t>’</w:t>
      </w:r>
      <w:r w:rsidRPr="00A779B8">
        <w:rPr>
          <w:lang w:val="fr-FR"/>
        </w:rPr>
        <w:t>émissions indiquées au paragraphe 3.3.2 de la présente annexe ou l</w:t>
      </w:r>
      <w:r w:rsidR="00DB4C2D">
        <w:rPr>
          <w:lang w:val="fr-FR"/>
        </w:rPr>
        <w:t>’</w:t>
      </w:r>
      <w:r w:rsidRPr="00A779B8">
        <w:rPr>
          <w:lang w:val="fr-FR"/>
        </w:rPr>
        <w:t>incapacité du système d</w:t>
      </w:r>
      <w:r w:rsidR="00DB4C2D">
        <w:rPr>
          <w:lang w:val="fr-FR"/>
        </w:rPr>
        <w:t>’</w:t>
      </w:r>
      <w:r w:rsidRPr="00A779B8">
        <w:rPr>
          <w:lang w:val="fr-FR"/>
        </w:rPr>
        <w:t>autodiagnostic à satisfaire aux exigences fondamentales de surveillance visées dans la présente annexe;</w:t>
      </w:r>
    </w:p>
    <w:p w:rsidR="00585508" w:rsidRPr="00A779B8" w:rsidRDefault="00585508" w:rsidP="00585508">
      <w:pPr>
        <w:pStyle w:val="SingleTxtG"/>
        <w:spacing w:after="100" w:line="236" w:lineRule="atLeast"/>
        <w:ind w:left="2268" w:hanging="1134"/>
        <w:rPr>
          <w:lang w:val="fr-FR"/>
        </w:rPr>
      </w:pPr>
      <w:r w:rsidRPr="00A779B8">
        <w:rPr>
          <w:lang w:val="fr-FR"/>
        </w:rPr>
        <w:t>2.7</w:t>
      </w:r>
      <w:r w:rsidRPr="00A779B8">
        <w:rPr>
          <w:lang w:val="fr-FR"/>
        </w:rPr>
        <w:tab/>
        <w:t>«</w:t>
      </w:r>
      <w:r w:rsidRPr="00A779B8">
        <w:rPr>
          <w:i/>
          <w:lang w:val="fr-FR"/>
        </w:rPr>
        <w:t>Air secondaire</w:t>
      </w:r>
      <w:r w:rsidRPr="00A779B8">
        <w:rPr>
          <w:lang w:val="fr-FR"/>
        </w:rPr>
        <w:t>», l</w:t>
      </w:r>
      <w:r w:rsidR="00DB4C2D">
        <w:rPr>
          <w:lang w:val="fr-FR"/>
        </w:rPr>
        <w:t>’</w:t>
      </w:r>
      <w:r w:rsidRPr="00A779B8">
        <w:rPr>
          <w:lang w:val="fr-FR"/>
        </w:rPr>
        <w:t>air introduit dans le système d</w:t>
      </w:r>
      <w:r w:rsidR="00DB4C2D">
        <w:rPr>
          <w:lang w:val="fr-FR"/>
        </w:rPr>
        <w:t>’</w:t>
      </w:r>
      <w:r w:rsidRPr="00A779B8">
        <w:rPr>
          <w:lang w:val="fr-FR"/>
        </w:rPr>
        <w:t>échappement au moyen d</w:t>
      </w:r>
      <w:r w:rsidR="00DB4C2D">
        <w:rPr>
          <w:lang w:val="fr-FR"/>
        </w:rPr>
        <w:t>’</w:t>
      </w:r>
      <w:r w:rsidRPr="00A779B8">
        <w:rPr>
          <w:lang w:val="fr-FR"/>
        </w:rPr>
        <w:t>une pompe, d</w:t>
      </w:r>
      <w:r w:rsidR="00DB4C2D">
        <w:rPr>
          <w:lang w:val="fr-FR"/>
        </w:rPr>
        <w:t>’</w:t>
      </w:r>
      <w:r w:rsidRPr="00A779B8">
        <w:rPr>
          <w:lang w:val="fr-FR"/>
        </w:rPr>
        <w:t xml:space="preserve">une soupape </w:t>
      </w:r>
      <w:r w:rsidR="00680EED" w:rsidRPr="00A779B8">
        <w:rPr>
          <w:lang w:val="fr-FR"/>
        </w:rPr>
        <w:t>d</w:t>
      </w:r>
      <w:r w:rsidR="00680EED">
        <w:rPr>
          <w:lang w:val="fr-FR"/>
        </w:rPr>
        <w:t>’</w:t>
      </w:r>
      <w:r w:rsidR="00680EED" w:rsidRPr="00A779B8">
        <w:rPr>
          <w:lang w:val="fr-FR"/>
        </w:rPr>
        <w:t>aspiration</w:t>
      </w:r>
      <w:r w:rsidRPr="00A779B8">
        <w:rPr>
          <w:lang w:val="fr-FR"/>
        </w:rPr>
        <w:t xml:space="preserve"> ou d</w:t>
      </w:r>
      <w:r w:rsidR="00DB4C2D">
        <w:rPr>
          <w:lang w:val="fr-FR"/>
        </w:rPr>
        <w:t>’</w:t>
      </w:r>
      <w:r w:rsidRPr="00A779B8">
        <w:rPr>
          <w:lang w:val="fr-FR"/>
        </w:rPr>
        <w:t>un autre dispositif, dans le but de faciliter l</w:t>
      </w:r>
      <w:r w:rsidR="00DB4C2D">
        <w:rPr>
          <w:lang w:val="fr-FR"/>
        </w:rPr>
        <w:t>’</w:t>
      </w:r>
      <w:r w:rsidRPr="00A779B8">
        <w:rPr>
          <w:lang w:val="fr-FR"/>
        </w:rPr>
        <w:t>oxydation des hydrocarbures et du CO contenu dans les gaz d</w:t>
      </w:r>
      <w:r w:rsidR="00DB4C2D">
        <w:rPr>
          <w:lang w:val="fr-FR"/>
        </w:rPr>
        <w:t>’</w:t>
      </w:r>
      <w:r w:rsidRPr="00A779B8">
        <w:rPr>
          <w:lang w:val="fr-FR"/>
        </w:rPr>
        <w:t>échappement;</w:t>
      </w:r>
    </w:p>
    <w:p w:rsidR="00585508" w:rsidRPr="00A779B8" w:rsidRDefault="00585508" w:rsidP="00585508">
      <w:pPr>
        <w:pStyle w:val="SingleTxtG"/>
        <w:spacing w:after="100" w:line="236" w:lineRule="atLeast"/>
        <w:ind w:left="2268" w:hanging="1134"/>
        <w:rPr>
          <w:lang w:val="fr-FR"/>
        </w:rPr>
      </w:pPr>
      <w:r w:rsidRPr="00A779B8">
        <w:rPr>
          <w:lang w:val="fr-FR"/>
        </w:rPr>
        <w:t>2.8</w:t>
      </w:r>
      <w:r w:rsidRPr="00A779B8">
        <w:rPr>
          <w:lang w:val="fr-FR"/>
        </w:rPr>
        <w:tab/>
        <w:t>«</w:t>
      </w:r>
      <w:r w:rsidRPr="00A779B8">
        <w:rPr>
          <w:i/>
          <w:lang w:val="fr-FR"/>
        </w:rPr>
        <w:t>Raté d</w:t>
      </w:r>
      <w:r w:rsidR="00DB4C2D">
        <w:rPr>
          <w:i/>
          <w:lang w:val="fr-FR"/>
        </w:rPr>
        <w:t>’</w:t>
      </w:r>
      <w:r w:rsidRPr="00A779B8">
        <w:rPr>
          <w:i/>
          <w:lang w:val="fr-FR"/>
        </w:rPr>
        <w:t>allumage du moteur</w:t>
      </w:r>
      <w:r w:rsidRPr="00A779B8">
        <w:rPr>
          <w:lang w:val="fr-FR"/>
        </w:rPr>
        <w:t>», le manque de combustion dans le cylindre d</w:t>
      </w:r>
      <w:r w:rsidR="00DB4C2D">
        <w:rPr>
          <w:lang w:val="fr-FR"/>
        </w:rPr>
        <w:t>’</w:t>
      </w:r>
      <w:r w:rsidRPr="00A779B8">
        <w:rPr>
          <w:lang w:val="fr-FR"/>
        </w:rPr>
        <w:t>un moteur à allumage commandé, en raison d</w:t>
      </w:r>
      <w:r w:rsidR="00DB4C2D">
        <w:rPr>
          <w:lang w:val="fr-FR"/>
        </w:rPr>
        <w:t>’</w:t>
      </w:r>
      <w:r w:rsidRPr="00A779B8">
        <w:rPr>
          <w:lang w:val="fr-FR"/>
        </w:rPr>
        <w:t>une absence d</w:t>
      </w:r>
      <w:r w:rsidR="00DB4C2D">
        <w:rPr>
          <w:lang w:val="fr-FR"/>
        </w:rPr>
        <w:t>’</w:t>
      </w:r>
      <w:r w:rsidRPr="00A779B8">
        <w:rPr>
          <w:lang w:val="fr-FR"/>
        </w:rPr>
        <w:t>étincelle, d</w:t>
      </w:r>
      <w:r w:rsidR="00DB4C2D">
        <w:rPr>
          <w:lang w:val="fr-FR"/>
        </w:rPr>
        <w:t>’</w:t>
      </w:r>
      <w:r w:rsidRPr="00A779B8">
        <w:rPr>
          <w:lang w:val="fr-FR"/>
        </w:rPr>
        <w:t>un mauvais dosage du carburant, d</w:t>
      </w:r>
      <w:r w:rsidR="00DB4C2D">
        <w:rPr>
          <w:lang w:val="fr-FR"/>
        </w:rPr>
        <w:t>’</w:t>
      </w:r>
      <w:r w:rsidRPr="00A779B8">
        <w:rPr>
          <w:lang w:val="fr-FR"/>
        </w:rPr>
        <w:t>une mauvaise compression, ou de toute autre cause. Lorsqu</w:t>
      </w:r>
      <w:r w:rsidR="00DB4C2D">
        <w:rPr>
          <w:lang w:val="fr-FR"/>
        </w:rPr>
        <w:t>’</w:t>
      </w:r>
      <w:r w:rsidRPr="00A779B8">
        <w:rPr>
          <w:lang w:val="fr-FR"/>
        </w:rPr>
        <w:t>il est question de la surveillance effectuée par le système OBD, il s</w:t>
      </w:r>
      <w:r w:rsidR="00DB4C2D">
        <w:rPr>
          <w:lang w:val="fr-FR"/>
        </w:rPr>
        <w:t>’</w:t>
      </w:r>
      <w:r w:rsidRPr="00A779B8">
        <w:rPr>
          <w:lang w:val="fr-FR"/>
        </w:rPr>
        <w:t>agit du pourcentage de ratés d</w:t>
      </w:r>
      <w:r w:rsidR="00DB4C2D">
        <w:rPr>
          <w:lang w:val="fr-FR"/>
        </w:rPr>
        <w:t>’</w:t>
      </w:r>
      <w:r w:rsidRPr="00A779B8">
        <w:rPr>
          <w:lang w:val="fr-FR"/>
        </w:rPr>
        <w:t>allumage par rapport à un nombre total d</w:t>
      </w:r>
      <w:r w:rsidR="00DB4C2D">
        <w:rPr>
          <w:lang w:val="fr-FR"/>
        </w:rPr>
        <w:t>’</w:t>
      </w:r>
      <w:r w:rsidRPr="00A779B8">
        <w:rPr>
          <w:lang w:val="fr-FR"/>
        </w:rPr>
        <w:t>événements d</w:t>
      </w:r>
      <w:r w:rsidR="00DB4C2D">
        <w:rPr>
          <w:lang w:val="fr-FR"/>
        </w:rPr>
        <w:t>’</w:t>
      </w:r>
      <w:r w:rsidRPr="00A779B8">
        <w:rPr>
          <w:lang w:val="fr-FR"/>
        </w:rPr>
        <w:t>allumage (déclaré par le constructeur) qui entraînerait un dépassement des limites d</w:t>
      </w:r>
      <w:r w:rsidR="00DB4C2D">
        <w:rPr>
          <w:lang w:val="fr-FR"/>
        </w:rPr>
        <w:t>’</w:t>
      </w:r>
      <w:r w:rsidRPr="00A779B8">
        <w:rPr>
          <w:lang w:val="fr-FR"/>
        </w:rPr>
        <w:t xml:space="preserve">émissions indiquées au paragraphe 3.3.2 de la présente annexe, ou du pourcentage qui entraînerait une surchauffe du ou des catalyseurs, provoquant des dommages irréversibles; </w:t>
      </w:r>
    </w:p>
    <w:p w:rsidR="00585508" w:rsidRPr="00A779B8" w:rsidRDefault="00585508" w:rsidP="00585508">
      <w:pPr>
        <w:pStyle w:val="SingleTxtG"/>
        <w:ind w:left="2268" w:hanging="1134"/>
        <w:rPr>
          <w:lang w:val="fr-FR"/>
        </w:rPr>
      </w:pPr>
      <w:r w:rsidRPr="00A779B8">
        <w:rPr>
          <w:lang w:val="fr-FR"/>
        </w:rPr>
        <w:lastRenderedPageBreak/>
        <w:t>2.9</w:t>
      </w:r>
      <w:r w:rsidRPr="00A779B8">
        <w:rPr>
          <w:lang w:val="fr-FR"/>
        </w:rPr>
        <w:tab/>
        <w:t>«</w:t>
      </w:r>
      <w:r w:rsidRPr="00A779B8">
        <w:rPr>
          <w:i/>
          <w:lang w:val="fr-FR"/>
        </w:rPr>
        <w:t>Essai du type I</w:t>
      </w:r>
      <w:r w:rsidRPr="00A779B8">
        <w:rPr>
          <w:lang w:val="fr-FR"/>
        </w:rPr>
        <w:t>», le cycle de conduite (première et seconde parties) utilisé pour l</w:t>
      </w:r>
      <w:r w:rsidR="00DB4C2D">
        <w:rPr>
          <w:lang w:val="fr-FR"/>
        </w:rPr>
        <w:t>’</w:t>
      </w:r>
      <w:r w:rsidRPr="00A779B8">
        <w:rPr>
          <w:lang w:val="fr-FR"/>
        </w:rPr>
        <w:t>approbation des niveaux d</w:t>
      </w:r>
      <w:r w:rsidR="00DB4C2D">
        <w:rPr>
          <w:lang w:val="fr-FR"/>
        </w:rPr>
        <w:t>’</w:t>
      </w:r>
      <w:r w:rsidRPr="00A779B8">
        <w:rPr>
          <w:lang w:val="fr-FR"/>
        </w:rPr>
        <w:t>émissions et dont la description détaillée est donnée aux tableaux A4A/1 et A4a/2 de l</w:t>
      </w:r>
      <w:r w:rsidR="00DB4C2D">
        <w:rPr>
          <w:lang w:val="fr-FR"/>
        </w:rPr>
        <w:t>’</w:t>
      </w:r>
      <w:r w:rsidRPr="00A779B8">
        <w:rPr>
          <w:lang w:val="fr-FR"/>
        </w:rPr>
        <w:t>annexe 4a du présent Règlement;</w:t>
      </w:r>
    </w:p>
    <w:p w:rsidR="00585508" w:rsidRPr="00A779B8" w:rsidRDefault="00585508" w:rsidP="00585508">
      <w:pPr>
        <w:pStyle w:val="SingleTxtG"/>
        <w:ind w:left="2268" w:hanging="1134"/>
        <w:rPr>
          <w:lang w:val="fr-FR"/>
        </w:rPr>
      </w:pPr>
      <w:r w:rsidRPr="00A779B8">
        <w:rPr>
          <w:lang w:val="fr-FR"/>
        </w:rPr>
        <w:t>2.10</w:t>
      </w:r>
      <w:r w:rsidRPr="00A779B8">
        <w:rPr>
          <w:lang w:val="fr-FR"/>
        </w:rPr>
        <w:tab/>
        <w:t>«</w:t>
      </w:r>
      <w:r w:rsidRPr="00A779B8">
        <w:rPr>
          <w:i/>
          <w:lang w:val="fr-FR"/>
        </w:rPr>
        <w:t>Cycle de conduite</w:t>
      </w:r>
      <w:r w:rsidRPr="00A779B8">
        <w:rPr>
          <w:lang w:val="fr-FR"/>
        </w:rPr>
        <w:t>», l</w:t>
      </w:r>
      <w:r w:rsidR="00DB4C2D">
        <w:rPr>
          <w:lang w:val="fr-FR"/>
        </w:rPr>
        <w:t>’</w:t>
      </w:r>
      <w:r w:rsidRPr="00A779B8">
        <w:rPr>
          <w:lang w:val="fr-FR"/>
        </w:rPr>
        <w:t>ensemble d</w:t>
      </w:r>
      <w:r w:rsidR="00DB4C2D">
        <w:rPr>
          <w:lang w:val="fr-FR"/>
        </w:rPr>
        <w:t>’</w:t>
      </w:r>
      <w:r w:rsidRPr="00A779B8">
        <w:rPr>
          <w:lang w:val="fr-FR"/>
        </w:rPr>
        <w:t>opérations comprenant le démarrage du moteur, une phase de roulage pendant laquelle un éventuel dysfonctionnement serait détecté, et la coupure du moteur;</w:t>
      </w:r>
    </w:p>
    <w:p w:rsidR="00585508" w:rsidRPr="00A779B8" w:rsidRDefault="00585508" w:rsidP="00585508">
      <w:pPr>
        <w:pStyle w:val="SingleTxtG"/>
        <w:ind w:left="2268" w:hanging="1134"/>
        <w:rPr>
          <w:lang w:val="fr-FR"/>
        </w:rPr>
      </w:pPr>
      <w:r w:rsidRPr="00A779B8">
        <w:rPr>
          <w:lang w:val="fr-FR"/>
        </w:rPr>
        <w:t>2.11</w:t>
      </w:r>
      <w:r w:rsidRPr="00A779B8">
        <w:rPr>
          <w:lang w:val="fr-FR"/>
        </w:rPr>
        <w:tab/>
        <w:t>«</w:t>
      </w:r>
      <w:r w:rsidRPr="00A779B8">
        <w:rPr>
          <w:i/>
          <w:lang w:val="fr-FR"/>
        </w:rPr>
        <w:t>Cycle d</w:t>
      </w:r>
      <w:r w:rsidR="00DB4C2D">
        <w:rPr>
          <w:i/>
          <w:lang w:val="fr-FR"/>
        </w:rPr>
        <w:t>’</w:t>
      </w:r>
      <w:r w:rsidRPr="00A779B8">
        <w:rPr>
          <w:i/>
          <w:lang w:val="fr-FR"/>
        </w:rPr>
        <w:t>échauffement</w:t>
      </w:r>
      <w:r w:rsidRPr="00A779B8">
        <w:rPr>
          <w:lang w:val="fr-FR"/>
        </w:rPr>
        <w:t>», une durée de fonctionnement du véhicule suffisante pour que la température du liquide de refroidissement augmente au moins de 22 K à partir du démarrage du moteur, et atteigne une température minimale de 343 K (70 °C);</w:t>
      </w:r>
    </w:p>
    <w:p w:rsidR="00585508" w:rsidRPr="00A779B8" w:rsidRDefault="00585508" w:rsidP="00585508">
      <w:pPr>
        <w:pStyle w:val="SingleTxtG"/>
        <w:ind w:left="2268" w:hanging="1134"/>
        <w:rPr>
          <w:lang w:val="fr-FR"/>
        </w:rPr>
      </w:pPr>
      <w:r w:rsidRPr="00A779B8">
        <w:rPr>
          <w:lang w:val="fr-FR"/>
        </w:rPr>
        <w:t>2.12</w:t>
      </w:r>
      <w:r w:rsidRPr="00A779B8">
        <w:rPr>
          <w:lang w:val="fr-FR"/>
        </w:rPr>
        <w:tab/>
        <w:t>«</w:t>
      </w:r>
      <w:r w:rsidRPr="00A779B8">
        <w:rPr>
          <w:i/>
          <w:lang w:val="fr-FR"/>
        </w:rPr>
        <w:t>Correction du carburant</w:t>
      </w:r>
      <w:r w:rsidRPr="00A779B8">
        <w:rPr>
          <w:lang w:val="fr-FR"/>
        </w:rPr>
        <w:t>», les réglages correctifs par rapport à l</w:t>
      </w:r>
      <w:r w:rsidR="00DB4C2D">
        <w:rPr>
          <w:lang w:val="fr-FR"/>
        </w:rPr>
        <w:t>’</w:t>
      </w:r>
      <w:r w:rsidRPr="00A779B8">
        <w:rPr>
          <w:lang w:val="fr-FR"/>
        </w:rPr>
        <w:t>étalonnage de base du carburant. La correction rapide du carburant consiste en ajustements dynamiques ou instantanés. La correction lente consiste en ajustements beaucoup plus progressifs. Ces ajustements à long terme compensent les différences au niveau des véhicules et les changements progressifs qui surviennent au fil du temps;</w:t>
      </w:r>
    </w:p>
    <w:p w:rsidR="00585508" w:rsidRPr="00A779B8" w:rsidRDefault="00585508" w:rsidP="00585508">
      <w:pPr>
        <w:pStyle w:val="SingleTxtG"/>
        <w:ind w:left="2268" w:hanging="1134"/>
        <w:rPr>
          <w:lang w:val="fr-FR"/>
        </w:rPr>
      </w:pPr>
      <w:r w:rsidRPr="00A779B8">
        <w:rPr>
          <w:lang w:val="fr-FR"/>
        </w:rPr>
        <w:t>2.13</w:t>
      </w:r>
      <w:r w:rsidRPr="00A779B8">
        <w:rPr>
          <w:lang w:val="fr-FR"/>
        </w:rPr>
        <w:tab/>
        <w:t>«</w:t>
      </w:r>
      <w:r w:rsidRPr="00A779B8">
        <w:rPr>
          <w:i/>
          <w:lang w:val="fr-FR"/>
        </w:rPr>
        <w:t>Valeur de charge calculée</w:t>
      </w:r>
      <w:r w:rsidRPr="00A779B8">
        <w:rPr>
          <w:lang w:val="fr-FR"/>
        </w:rPr>
        <w:t>» (CLV), une indication du débit d</w:t>
      </w:r>
      <w:r w:rsidR="00DB4C2D">
        <w:rPr>
          <w:lang w:val="fr-FR"/>
        </w:rPr>
        <w:t>’</w:t>
      </w:r>
      <w:r w:rsidRPr="00A779B8">
        <w:rPr>
          <w:lang w:val="fr-FR"/>
        </w:rPr>
        <w:t>air actuel divisé par le débit d</w:t>
      </w:r>
      <w:r w:rsidR="00DB4C2D">
        <w:rPr>
          <w:lang w:val="fr-FR"/>
        </w:rPr>
        <w:t>’</w:t>
      </w:r>
      <w:r w:rsidRPr="00A779B8">
        <w:rPr>
          <w:lang w:val="fr-FR"/>
        </w:rPr>
        <w:t>air de pointe, corrigé le cas échéant en fonction de l</w:t>
      </w:r>
      <w:r w:rsidR="00DB4C2D">
        <w:rPr>
          <w:lang w:val="fr-FR"/>
        </w:rPr>
        <w:t>’</w:t>
      </w:r>
      <w:r w:rsidRPr="00A779B8">
        <w:rPr>
          <w:lang w:val="fr-FR"/>
        </w:rPr>
        <w:t>altitude. Il s</w:t>
      </w:r>
      <w:r w:rsidR="00DB4C2D">
        <w:rPr>
          <w:lang w:val="fr-FR"/>
        </w:rPr>
        <w:t>’</w:t>
      </w:r>
      <w:r w:rsidRPr="00A779B8">
        <w:rPr>
          <w:lang w:val="fr-FR"/>
        </w:rPr>
        <w:t>agit d</w:t>
      </w:r>
      <w:r w:rsidR="00DB4C2D">
        <w:rPr>
          <w:lang w:val="fr-FR"/>
        </w:rPr>
        <w:t>’</w:t>
      </w:r>
      <w:r w:rsidRPr="00A779B8">
        <w:rPr>
          <w:lang w:val="fr-FR"/>
        </w:rPr>
        <w:t>une grandeur exprimée sans dimension, qui n</w:t>
      </w:r>
      <w:r w:rsidR="00DB4C2D">
        <w:rPr>
          <w:lang w:val="fr-FR"/>
        </w:rPr>
        <w:t>’</w:t>
      </w:r>
      <w:r w:rsidRPr="00A779B8">
        <w:rPr>
          <w:lang w:val="fr-FR"/>
        </w:rPr>
        <w:t>est pas spécifique au moteur et donne au technicien chargé de l</w:t>
      </w:r>
      <w:r w:rsidR="00DB4C2D">
        <w:rPr>
          <w:lang w:val="fr-FR"/>
        </w:rPr>
        <w:t>’</w:t>
      </w:r>
      <w:r w:rsidRPr="00A779B8">
        <w:rPr>
          <w:lang w:val="fr-FR"/>
        </w:rPr>
        <w:t>entretien des indications concernant le pourcentage de la cylindrée qui est utilisé (la position pleins gaz correspondant à 100 %);</w:t>
      </w:r>
    </w:p>
    <w:p w:rsidR="00585508" w:rsidRPr="00A779B8" w:rsidRDefault="009D55DD" w:rsidP="00585508">
      <w:pPr>
        <w:pStyle w:val="SingleTxtG"/>
        <w:ind w:left="3402" w:right="0" w:hanging="1134"/>
        <w:rPr>
          <w:lang w:val="fr-FR"/>
        </w:rPr>
      </w:pPr>
      <w:r>
        <w:rPr>
          <w:noProof/>
          <w:lang w:val="en-US"/>
        </w:rPr>
        <w:drawing>
          <wp:inline distT="0" distB="0" distL="0" distR="0">
            <wp:extent cx="4675505" cy="379730"/>
            <wp:effectExtent l="19050" t="19050" r="10795" b="2032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75505" cy="379730"/>
                    </a:xfrm>
                    <a:prstGeom prst="rect">
                      <a:avLst/>
                    </a:prstGeom>
                    <a:noFill/>
                    <a:ln w="9525" cmpd="sng">
                      <a:solidFill>
                        <a:srgbClr val="000000"/>
                      </a:solidFill>
                      <a:miter lim="800000"/>
                      <a:headEnd/>
                      <a:tailEnd/>
                    </a:ln>
                    <a:effectLst/>
                  </pic:spPr>
                </pic:pic>
              </a:graphicData>
            </a:graphic>
          </wp:inline>
        </w:drawing>
      </w:r>
    </w:p>
    <w:p w:rsidR="00585508" w:rsidRPr="00A779B8" w:rsidRDefault="009D55DD" w:rsidP="00585508">
      <w:pPr>
        <w:pStyle w:val="SingleTxtG"/>
        <w:ind w:left="2268" w:hanging="1134"/>
        <w:rPr>
          <w:lang w:val="fr-FR"/>
        </w:rPr>
      </w:pPr>
      <w:r>
        <w:rPr>
          <w:noProof/>
          <w:lang w:val="en-US"/>
        </w:rPr>
        <mc:AlternateContent>
          <mc:Choice Requires="wps">
            <w:drawing>
              <wp:anchor distT="0" distB="0" distL="114300" distR="114300" simplePos="0" relativeHeight="251657216" behindDoc="0" locked="0" layoutInCell="1" allowOverlap="1">
                <wp:simplePos x="0" y="0"/>
                <wp:positionH relativeFrom="column">
                  <wp:posOffset>7620000</wp:posOffset>
                </wp:positionH>
                <wp:positionV relativeFrom="paragraph">
                  <wp:posOffset>15875</wp:posOffset>
                </wp:positionV>
                <wp:extent cx="228600" cy="67945"/>
                <wp:effectExtent l="0" t="0" r="19050" b="27305"/>
                <wp:wrapNone/>
                <wp:docPr id="31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7945"/>
                        </a:xfrm>
                        <a:prstGeom prst="rect">
                          <a:avLst/>
                        </a:prstGeom>
                        <a:solidFill>
                          <a:srgbClr val="FFFFFF"/>
                        </a:solidFill>
                        <a:ln w="9525">
                          <a:solidFill>
                            <a:srgbClr val="000000"/>
                          </a:solidFill>
                          <a:miter lim="800000"/>
                          <a:headEnd/>
                          <a:tailEnd/>
                        </a:ln>
                      </wps:spPr>
                      <wps:txbx>
                        <w:txbxContent>
                          <w:p w:rsidR="00DB4C2D" w:rsidRDefault="009D55DD">
                            <w:r>
                              <w:rPr>
                                <w:noProof/>
                                <w:lang w:val="en-US"/>
                              </w:rPr>
                              <w:drawing>
                                <wp:inline distT="0" distB="0" distL="0" distR="0">
                                  <wp:extent cx="4485640" cy="509270"/>
                                  <wp:effectExtent l="0" t="0" r="0" b="5080"/>
                                  <wp:docPr id="12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485640" cy="5092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26" type="#_x0000_t202" style="position:absolute;left:0;text-align:left;margin-left:600pt;margin-top:1.25pt;width:18pt;height: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">
                <v:textbox>
                  <w:txbxContent>
                    <w:p w:rsidR="00DB4C2D" w:rsidRDefault="009D55DD">
                      <w:r>
                        <w:rPr>
                          <w:noProof/>
                          <w:lang w:val="en-US"/>
                        </w:rPr>
                        <w:drawing>
                          <wp:inline distT="0" distB="0" distL="0" distR="0">
                            <wp:extent cx="4485640" cy="509270"/>
                            <wp:effectExtent l="0" t="0" r="0" b="5080"/>
                            <wp:docPr id="12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485640" cy="509270"/>
                                    </a:xfrm>
                                    <a:prstGeom prst="rect">
                                      <a:avLst/>
                                    </a:prstGeom>
                                    <a:noFill/>
                                    <a:ln>
                                      <a:noFill/>
                                    </a:ln>
                                  </pic:spPr>
                                </pic:pic>
                              </a:graphicData>
                            </a:graphic>
                          </wp:inline>
                        </w:drawing>
                      </w:r>
                    </w:p>
                  </w:txbxContent>
                </v:textbox>
              </v:shape>
            </w:pict>
          </mc:Fallback>
        </mc:AlternateContent>
      </w:r>
      <w:r w:rsidR="00585508" w:rsidRPr="00A779B8">
        <w:rPr>
          <w:lang w:val="fr-FR"/>
        </w:rPr>
        <w:t>2.14</w:t>
      </w:r>
      <w:r w:rsidR="00585508" w:rsidRPr="00A779B8">
        <w:rPr>
          <w:lang w:val="fr-FR"/>
        </w:rPr>
        <w:tab/>
        <w:t>«</w:t>
      </w:r>
      <w:r w:rsidR="00585508" w:rsidRPr="00A779B8">
        <w:rPr>
          <w:i/>
          <w:lang w:val="fr-FR"/>
        </w:rPr>
        <w:t>Mode permanent de défaillance au niveau des émissions</w:t>
      </w:r>
      <w:r w:rsidR="00585508" w:rsidRPr="00A779B8">
        <w:rPr>
          <w:lang w:val="fr-FR"/>
        </w:rPr>
        <w:t>», un mode dans lequel le calculateur d</w:t>
      </w:r>
      <w:r w:rsidR="00DB4C2D">
        <w:rPr>
          <w:lang w:val="fr-FR"/>
        </w:rPr>
        <w:t>’</w:t>
      </w:r>
      <w:r w:rsidR="00585508" w:rsidRPr="00A779B8">
        <w:rPr>
          <w:lang w:val="fr-FR"/>
        </w:rPr>
        <w:t>injection passe en permanence à un état qui n</w:t>
      </w:r>
      <w:r w:rsidR="00DB4C2D">
        <w:rPr>
          <w:lang w:val="fr-FR"/>
        </w:rPr>
        <w:t>’</w:t>
      </w:r>
      <w:r w:rsidR="00585508" w:rsidRPr="00A779B8">
        <w:rPr>
          <w:lang w:val="fr-FR"/>
        </w:rPr>
        <w:t>exige pas d</w:t>
      </w:r>
      <w:r w:rsidR="00DB4C2D">
        <w:rPr>
          <w:lang w:val="fr-FR"/>
        </w:rPr>
        <w:t>’</w:t>
      </w:r>
      <w:r w:rsidR="00585508" w:rsidRPr="00A779B8">
        <w:rPr>
          <w:lang w:val="fr-FR"/>
        </w:rPr>
        <w:t>information d</w:t>
      </w:r>
      <w:r w:rsidR="00DB4C2D">
        <w:rPr>
          <w:lang w:val="fr-FR"/>
        </w:rPr>
        <w:t>’</w:t>
      </w:r>
      <w:r w:rsidR="00585508" w:rsidRPr="00A779B8">
        <w:rPr>
          <w:lang w:val="fr-FR"/>
        </w:rPr>
        <w:t>un composant ou d</w:t>
      </w:r>
      <w:r w:rsidR="00DB4C2D">
        <w:rPr>
          <w:lang w:val="fr-FR"/>
        </w:rPr>
        <w:t>’</w:t>
      </w:r>
      <w:r w:rsidR="00585508" w:rsidRPr="00A779B8">
        <w:rPr>
          <w:lang w:val="fr-FR"/>
        </w:rPr>
        <w:t>un système défaillant lorsque cette défaillance entraînerait un accroissement des émissions produites par le véhicule au-delà des limites indiquées au paragraphe 3.3.2 de la présente annexe;</w:t>
      </w:r>
    </w:p>
    <w:p w:rsidR="00585508" w:rsidRPr="00A779B8" w:rsidRDefault="00585508" w:rsidP="00585508">
      <w:pPr>
        <w:pStyle w:val="SingleTxtG"/>
        <w:ind w:left="2268" w:hanging="1134"/>
        <w:rPr>
          <w:lang w:val="fr-FR"/>
        </w:rPr>
      </w:pPr>
      <w:r w:rsidRPr="00A779B8">
        <w:rPr>
          <w:lang w:val="fr-FR"/>
        </w:rPr>
        <w:t>2.15</w:t>
      </w:r>
      <w:r w:rsidRPr="00A779B8">
        <w:rPr>
          <w:lang w:val="fr-FR"/>
        </w:rPr>
        <w:tab/>
        <w:t>«</w:t>
      </w:r>
      <w:r w:rsidRPr="00A779B8">
        <w:rPr>
          <w:i/>
          <w:lang w:val="fr-FR"/>
        </w:rPr>
        <w:t>Unité de prise de mouvement</w:t>
      </w:r>
      <w:r w:rsidRPr="00A779B8">
        <w:rPr>
          <w:lang w:val="fr-FR"/>
        </w:rPr>
        <w:t>», le dispositif, actionné par le moteur, dont la puissance sert à alimenter des équipements auxiliaires montés sur le véhicule;</w:t>
      </w:r>
    </w:p>
    <w:p w:rsidR="00585508" w:rsidRPr="00A779B8" w:rsidRDefault="00585508" w:rsidP="00585508">
      <w:pPr>
        <w:pStyle w:val="SingleTxtG"/>
        <w:ind w:left="2268" w:hanging="1134"/>
        <w:rPr>
          <w:lang w:val="fr-FR"/>
        </w:rPr>
      </w:pPr>
      <w:r w:rsidRPr="00A779B8">
        <w:rPr>
          <w:lang w:val="fr-FR"/>
        </w:rPr>
        <w:t>2.16</w:t>
      </w:r>
      <w:r w:rsidRPr="00A779B8">
        <w:rPr>
          <w:lang w:val="fr-FR"/>
        </w:rPr>
        <w:tab/>
        <w:t>«</w:t>
      </w:r>
      <w:r w:rsidRPr="00A779B8">
        <w:rPr>
          <w:i/>
          <w:lang w:val="fr-FR"/>
        </w:rPr>
        <w:t>Accès</w:t>
      </w:r>
      <w:r w:rsidRPr="00A779B8">
        <w:rPr>
          <w:lang w:val="fr-FR"/>
        </w:rPr>
        <w:t>», la mise à disposition de toutes les données OBD relatives aux émissions, y compris les codes d</w:t>
      </w:r>
      <w:r w:rsidR="00DB4C2D">
        <w:rPr>
          <w:lang w:val="fr-FR"/>
        </w:rPr>
        <w:t>’</w:t>
      </w:r>
      <w:r w:rsidRPr="00A779B8">
        <w:rPr>
          <w:lang w:val="fr-FR"/>
        </w:rPr>
        <w:t>erreur nécessaires à l</w:t>
      </w:r>
      <w:r w:rsidR="00DB4C2D">
        <w:rPr>
          <w:lang w:val="fr-FR"/>
        </w:rPr>
        <w:t>’</w:t>
      </w:r>
      <w:r w:rsidRPr="00A779B8">
        <w:rPr>
          <w:lang w:val="fr-FR"/>
        </w:rPr>
        <w:t>inspection, au diagnostic, à l</w:t>
      </w:r>
      <w:r w:rsidR="00DB4C2D">
        <w:rPr>
          <w:lang w:val="fr-FR"/>
        </w:rPr>
        <w:t>’</w:t>
      </w:r>
      <w:r w:rsidRPr="00A779B8">
        <w:rPr>
          <w:lang w:val="fr-FR"/>
        </w:rPr>
        <w:t>entretien ou à la réparation des éléments du véhicule liés aux émissions, par l</w:t>
      </w:r>
      <w:r w:rsidR="00DB4C2D">
        <w:rPr>
          <w:lang w:val="fr-FR"/>
        </w:rPr>
        <w:t>’</w:t>
      </w:r>
      <w:r w:rsidRPr="00A779B8">
        <w:rPr>
          <w:lang w:val="fr-FR"/>
        </w:rPr>
        <w:t>intermédiaire du port série du connecteur de diagnostic standardisé (conformément au paragraphe 6.5.3.5 de l</w:t>
      </w:r>
      <w:r w:rsidR="00DB4C2D">
        <w:rPr>
          <w:lang w:val="fr-FR"/>
        </w:rPr>
        <w:t>’</w:t>
      </w:r>
      <w:r w:rsidRPr="00A779B8">
        <w:rPr>
          <w:lang w:val="fr-FR"/>
        </w:rPr>
        <w:t>appendice 1 de la présente annexe);</w:t>
      </w:r>
    </w:p>
    <w:p w:rsidR="00585508" w:rsidRPr="00A779B8" w:rsidRDefault="00585508" w:rsidP="00585508">
      <w:pPr>
        <w:pStyle w:val="SingleTxtG"/>
        <w:keepNext/>
        <w:ind w:left="2268" w:hanging="1134"/>
        <w:jc w:val="left"/>
        <w:rPr>
          <w:lang w:val="fr-FR"/>
        </w:rPr>
      </w:pPr>
      <w:r w:rsidRPr="00A779B8">
        <w:rPr>
          <w:lang w:val="fr-FR"/>
        </w:rPr>
        <w:t>2.17</w:t>
      </w:r>
      <w:r w:rsidRPr="00A779B8">
        <w:rPr>
          <w:lang w:val="fr-FR"/>
        </w:rPr>
        <w:tab/>
        <w:t>«</w:t>
      </w:r>
      <w:r w:rsidRPr="00A779B8">
        <w:rPr>
          <w:i/>
          <w:lang w:val="fr-FR"/>
        </w:rPr>
        <w:t>Accès</w:t>
      </w:r>
      <w:r w:rsidRPr="00A779B8">
        <w:rPr>
          <w:lang w:val="fr-FR"/>
        </w:rPr>
        <w:t xml:space="preserve"> </w:t>
      </w:r>
      <w:r w:rsidRPr="00A779B8">
        <w:rPr>
          <w:i/>
          <w:lang w:val="fr-FR"/>
        </w:rPr>
        <w:t>Illimité</w:t>
      </w:r>
      <w:r w:rsidRPr="00A779B8">
        <w:rPr>
          <w:lang w:val="fr-FR"/>
        </w:rPr>
        <w:t>»:</w:t>
      </w:r>
    </w:p>
    <w:p w:rsidR="00585508" w:rsidRPr="00A779B8" w:rsidRDefault="00585508" w:rsidP="00585508">
      <w:pPr>
        <w:pStyle w:val="SingleTxtG"/>
        <w:ind w:left="2268" w:hanging="1134"/>
        <w:rPr>
          <w:lang w:val="fr-FR"/>
        </w:rPr>
      </w:pPr>
      <w:r w:rsidRPr="00A779B8">
        <w:rPr>
          <w:lang w:val="fr-FR"/>
        </w:rPr>
        <w:t>2.17.1</w:t>
      </w:r>
      <w:r w:rsidRPr="00A779B8">
        <w:rPr>
          <w:lang w:val="fr-FR"/>
        </w:rPr>
        <w:tab/>
        <w:t>Un accès qui ne dépend pas d</w:t>
      </w:r>
      <w:r w:rsidR="00DB4C2D">
        <w:rPr>
          <w:lang w:val="fr-FR"/>
        </w:rPr>
        <w:t>’</w:t>
      </w:r>
      <w:r w:rsidRPr="00A779B8">
        <w:rPr>
          <w:lang w:val="fr-FR"/>
        </w:rPr>
        <w:t>un code d</w:t>
      </w:r>
      <w:r w:rsidR="00DB4C2D">
        <w:rPr>
          <w:lang w:val="fr-FR"/>
        </w:rPr>
        <w:t>’</w:t>
      </w:r>
      <w:r w:rsidRPr="00A779B8">
        <w:rPr>
          <w:lang w:val="fr-FR"/>
        </w:rPr>
        <w:t>accès uniquement accessible auprès du constructeur ou un dispositif similaire; ou</w:t>
      </w:r>
    </w:p>
    <w:p w:rsidR="00585508" w:rsidRPr="00A779B8" w:rsidRDefault="00585508" w:rsidP="00585508">
      <w:pPr>
        <w:pStyle w:val="SingleTxtG"/>
        <w:ind w:left="2268" w:hanging="1134"/>
        <w:rPr>
          <w:lang w:val="fr-FR"/>
        </w:rPr>
      </w:pPr>
      <w:r w:rsidRPr="00A779B8">
        <w:rPr>
          <w:lang w:val="fr-FR"/>
        </w:rPr>
        <w:t>2.17.2</w:t>
      </w:r>
      <w:r w:rsidRPr="00A779B8">
        <w:rPr>
          <w:lang w:val="fr-FR"/>
        </w:rPr>
        <w:tab/>
        <w:t>Un accès qui rend possible l</w:t>
      </w:r>
      <w:r w:rsidR="00DB4C2D">
        <w:rPr>
          <w:lang w:val="fr-FR"/>
        </w:rPr>
        <w:t>’</w:t>
      </w:r>
      <w:r w:rsidRPr="00A779B8">
        <w:rPr>
          <w:lang w:val="fr-FR"/>
        </w:rPr>
        <w:t>évaluation des données communiquées sans devoir recourir à des informations uniques de décodage, à moins que ces informations ne soient elles-mêmes normalisées.</w:t>
      </w:r>
    </w:p>
    <w:p w:rsidR="00585508" w:rsidRPr="00A779B8" w:rsidRDefault="00585508" w:rsidP="00585508">
      <w:pPr>
        <w:pStyle w:val="SingleTxtG"/>
        <w:keepNext/>
        <w:keepLines/>
        <w:spacing w:after="100"/>
        <w:ind w:left="2268" w:hanging="1134"/>
        <w:rPr>
          <w:lang w:val="fr-FR"/>
        </w:rPr>
      </w:pPr>
      <w:r w:rsidRPr="00A779B8">
        <w:rPr>
          <w:lang w:val="fr-FR"/>
        </w:rPr>
        <w:lastRenderedPageBreak/>
        <w:t>2.18</w:t>
      </w:r>
      <w:r w:rsidRPr="00A779B8">
        <w:rPr>
          <w:lang w:val="fr-FR"/>
        </w:rPr>
        <w:tab/>
        <w:t>«</w:t>
      </w:r>
      <w:r w:rsidRPr="00A779B8">
        <w:rPr>
          <w:i/>
          <w:lang w:val="fr-FR"/>
        </w:rPr>
        <w:t>Normalisé</w:t>
      </w:r>
      <w:r w:rsidRPr="00A779B8">
        <w:rPr>
          <w:lang w:val="fr-FR"/>
        </w:rPr>
        <w:t>», le fait que toutes les informations sur les flux de données, y compris tous les codes d</w:t>
      </w:r>
      <w:r w:rsidR="00DB4C2D">
        <w:rPr>
          <w:lang w:val="fr-FR"/>
        </w:rPr>
        <w:t>’</w:t>
      </w:r>
      <w:r w:rsidRPr="00A779B8">
        <w:rPr>
          <w:lang w:val="fr-FR"/>
        </w:rPr>
        <w:t>erreur utilisés, ne sont produites qu</w:t>
      </w:r>
      <w:r w:rsidR="00DB4C2D">
        <w:rPr>
          <w:lang w:val="fr-FR"/>
        </w:rPr>
        <w:t>’</w:t>
      </w:r>
      <w:r w:rsidRPr="00A779B8">
        <w:rPr>
          <w:lang w:val="fr-FR"/>
        </w:rPr>
        <w:t>en conformité avec les normes industrielles qui, du fait que leur format et les options autorisées sont clairement définis, assurent une harmonisation maximale dans l</w:t>
      </w:r>
      <w:r w:rsidR="00DB4C2D">
        <w:rPr>
          <w:lang w:val="fr-FR"/>
        </w:rPr>
        <w:t>’</w:t>
      </w:r>
      <w:r w:rsidRPr="00A779B8">
        <w:rPr>
          <w:lang w:val="fr-FR"/>
        </w:rPr>
        <w:t>industrie automobile et dont l</w:t>
      </w:r>
      <w:r w:rsidR="00DB4C2D">
        <w:rPr>
          <w:lang w:val="fr-FR"/>
        </w:rPr>
        <w:t>’</w:t>
      </w:r>
      <w:r w:rsidRPr="00A779B8">
        <w:rPr>
          <w:lang w:val="fr-FR"/>
        </w:rPr>
        <w:t>utilisation est expressément autorisée par le présent Règlement.</w:t>
      </w:r>
    </w:p>
    <w:p w:rsidR="00585508" w:rsidRPr="00A779B8" w:rsidRDefault="00585508" w:rsidP="00585508">
      <w:pPr>
        <w:pStyle w:val="SingleTxtG"/>
        <w:spacing w:after="100"/>
        <w:ind w:left="2268" w:hanging="1134"/>
        <w:rPr>
          <w:lang w:val="fr-FR"/>
        </w:rPr>
      </w:pPr>
      <w:r w:rsidRPr="00A779B8">
        <w:rPr>
          <w:lang w:val="fr-FR"/>
        </w:rPr>
        <w:t>2.19</w:t>
      </w:r>
      <w:r w:rsidRPr="00A779B8">
        <w:rPr>
          <w:lang w:val="fr-FR"/>
        </w:rPr>
        <w:tab/>
        <w:t>«</w:t>
      </w:r>
      <w:r w:rsidRPr="00A779B8">
        <w:rPr>
          <w:i/>
          <w:lang w:val="fr-FR"/>
        </w:rPr>
        <w:t>Informations de réparation</w:t>
      </w:r>
      <w:r w:rsidRPr="00A779B8">
        <w:rPr>
          <w:lang w:val="fr-FR"/>
        </w:rPr>
        <w:t>», toutes les informations qui sont nécessaires au diagnostic, à l</w:t>
      </w:r>
      <w:r w:rsidR="00DB4C2D">
        <w:rPr>
          <w:lang w:val="fr-FR"/>
        </w:rPr>
        <w:t>’</w:t>
      </w:r>
      <w:r w:rsidRPr="00A779B8">
        <w:rPr>
          <w:lang w:val="fr-FR"/>
        </w:rPr>
        <w:t>entretien, au contrôle, à la révision périodique ou à la réparation du véhicule et que le constructeur met à la disposition de ses revendeurs/garages agréés. Ces informations incluent, au besoin, les manuels d</w:t>
      </w:r>
      <w:r w:rsidR="00DB4C2D">
        <w:rPr>
          <w:lang w:val="fr-FR"/>
        </w:rPr>
        <w:t>’</w:t>
      </w:r>
      <w:r w:rsidRPr="00A779B8">
        <w:rPr>
          <w:lang w:val="fr-FR"/>
        </w:rPr>
        <w:t>entretien, les instructions techniques, les recommandations relatives au diagnostic (par exemple: valeurs théoriques minimales et maximales pour les mesures), les plans de montage, le numéro d</w:t>
      </w:r>
      <w:r w:rsidR="00DB4C2D">
        <w:rPr>
          <w:lang w:val="fr-FR"/>
        </w:rPr>
        <w:t>’</w:t>
      </w:r>
      <w:r w:rsidRPr="00A779B8">
        <w:rPr>
          <w:lang w:val="fr-FR"/>
        </w:rPr>
        <w:t>identification de l</w:t>
      </w:r>
      <w:r w:rsidR="00DB4C2D">
        <w:rPr>
          <w:lang w:val="fr-FR"/>
        </w:rPr>
        <w:t>’</w:t>
      </w:r>
      <w:r w:rsidRPr="00A779B8">
        <w:rPr>
          <w:lang w:val="fr-FR"/>
        </w:rPr>
        <w:t>étalonnage par logiciel applicable à un type de véhicule, les instructions pour les cas individuels et spéciaux, les informations communiquées sur les outils et les appareils, les informations sur le contrôle des données, et les données d</w:t>
      </w:r>
      <w:r w:rsidR="00DB4C2D">
        <w:rPr>
          <w:lang w:val="fr-FR"/>
        </w:rPr>
        <w:t>’</w:t>
      </w:r>
      <w:r w:rsidRPr="00A779B8">
        <w:rPr>
          <w:lang w:val="fr-FR"/>
        </w:rPr>
        <w:t>essai et de contrôle bidirectionnelles. Le constructeur n</w:t>
      </w:r>
      <w:r w:rsidR="00DB4C2D">
        <w:rPr>
          <w:lang w:val="fr-FR"/>
        </w:rPr>
        <w:t>’</w:t>
      </w:r>
      <w:r w:rsidRPr="00A779B8">
        <w:rPr>
          <w:lang w:val="fr-FR"/>
        </w:rPr>
        <w:t>est pas tenu de fournir les informations qui font l</w:t>
      </w:r>
      <w:r w:rsidR="00DB4C2D">
        <w:rPr>
          <w:lang w:val="fr-FR"/>
        </w:rPr>
        <w:t>’</w:t>
      </w:r>
      <w:r w:rsidRPr="00A779B8">
        <w:rPr>
          <w:lang w:val="fr-FR"/>
        </w:rPr>
        <w:t>objet de droits de propriété intellectuelle ou constituent un savoir-faire spécifique des fabricants et/ou des fabricants de l</w:t>
      </w:r>
      <w:r w:rsidR="00DB4C2D">
        <w:rPr>
          <w:lang w:val="fr-FR"/>
        </w:rPr>
        <w:t>’</w:t>
      </w:r>
      <w:r w:rsidRPr="00A779B8">
        <w:rPr>
          <w:lang w:val="fr-FR"/>
        </w:rPr>
        <w:t>équipement d</w:t>
      </w:r>
      <w:r w:rsidR="00DB4C2D">
        <w:rPr>
          <w:lang w:val="fr-FR"/>
        </w:rPr>
        <w:t>’</w:t>
      </w:r>
      <w:r w:rsidRPr="00A779B8">
        <w:rPr>
          <w:lang w:val="fr-FR"/>
        </w:rPr>
        <w:t>origine (OEM); dans ce cas, la communication des informations techniques nécessaires ne peut pas être refusée de façon abusive.</w:t>
      </w:r>
    </w:p>
    <w:p w:rsidR="00585508" w:rsidRPr="00A779B8" w:rsidRDefault="00585508" w:rsidP="00585508">
      <w:pPr>
        <w:pStyle w:val="SingleTxtG"/>
        <w:spacing w:after="100"/>
        <w:ind w:left="2268" w:hanging="1134"/>
        <w:rPr>
          <w:lang w:val="fr-FR"/>
        </w:rPr>
      </w:pPr>
      <w:r w:rsidRPr="00A779B8">
        <w:rPr>
          <w:lang w:val="fr-FR"/>
        </w:rPr>
        <w:t>2.20</w:t>
      </w:r>
      <w:r w:rsidRPr="00A779B8">
        <w:rPr>
          <w:lang w:val="fr-FR"/>
        </w:rPr>
        <w:tab/>
        <w:t>«</w:t>
      </w:r>
      <w:r w:rsidRPr="00A779B8">
        <w:rPr>
          <w:i/>
          <w:lang w:val="fr-FR"/>
        </w:rPr>
        <w:t>Défaut</w:t>
      </w:r>
      <w:r w:rsidRPr="00A779B8">
        <w:rPr>
          <w:lang w:val="fr-FR"/>
        </w:rPr>
        <w:t>», dans le domaine des systèmes OBD équipant les véhicules, le fait qu</w:t>
      </w:r>
      <w:r w:rsidR="00DB4C2D">
        <w:rPr>
          <w:lang w:val="fr-FR"/>
        </w:rPr>
        <w:t>’</w:t>
      </w:r>
      <w:r w:rsidRPr="00A779B8">
        <w:rPr>
          <w:lang w:val="fr-FR"/>
        </w:rPr>
        <w:t>au maximum deux composants ou systèmes séparés placés sous surveillance présentent de manière temporaire ou permanente des caractéristiques de fonctionnement qui diminuent la capacité de surveillance du système OBD ou qui ne respectent pas toutes les autres prescriptions détaillées applicables au système OBD. Les véhicules peuvent être homologués, immatriculés et vendus avec de tels défauts, conformément aux dispositions du paragraphe 4 de la présente annexe.</w:t>
      </w:r>
    </w:p>
    <w:p w:rsidR="00585508" w:rsidRPr="00A779B8" w:rsidRDefault="00585508" w:rsidP="00585508">
      <w:pPr>
        <w:pStyle w:val="SingleTxtG"/>
        <w:keepNext/>
        <w:spacing w:after="100"/>
        <w:ind w:left="2268" w:hanging="1134"/>
        <w:jc w:val="left"/>
        <w:rPr>
          <w:lang w:val="fr-FR"/>
        </w:rPr>
      </w:pPr>
      <w:r w:rsidRPr="00A779B8">
        <w:rPr>
          <w:lang w:val="fr-FR"/>
        </w:rPr>
        <w:t>3.</w:t>
      </w:r>
      <w:r w:rsidRPr="00A779B8">
        <w:rPr>
          <w:lang w:val="fr-FR"/>
        </w:rPr>
        <w:tab/>
        <w:t>Prescriptions et essais</w:t>
      </w:r>
    </w:p>
    <w:p w:rsidR="00585508" w:rsidRPr="00A779B8" w:rsidRDefault="00585508" w:rsidP="00585508">
      <w:pPr>
        <w:pStyle w:val="SingleTxtG"/>
        <w:spacing w:after="100"/>
        <w:ind w:left="2268" w:hanging="1134"/>
        <w:rPr>
          <w:lang w:val="fr-FR"/>
        </w:rPr>
      </w:pPr>
      <w:r w:rsidRPr="00A779B8">
        <w:rPr>
          <w:lang w:val="fr-FR"/>
        </w:rPr>
        <w:t>3.1</w:t>
      </w:r>
      <w:r w:rsidRPr="00A779B8">
        <w:rPr>
          <w:lang w:val="fr-FR"/>
        </w:rPr>
        <w:tab/>
        <w:t>Tous les véhicules doivent être équipés d</w:t>
      </w:r>
      <w:r w:rsidR="00DB4C2D">
        <w:rPr>
          <w:lang w:val="fr-FR"/>
        </w:rPr>
        <w:t>’</w:t>
      </w:r>
      <w:r w:rsidRPr="00A779B8">
        <w:rPr>
          <w:lang w:val="fr-FR"/>
        </w:rPr>
        <w:t>un système OBD conçu, construit et monté de telle façon qu</w:t>
      </w:r>
      <w:r w:rsidR="00DB4C2D">
        <w:rPr>
          <w:lang w:val="fr-FR"/>
        </w:rPr>
        <w:t>’</w:t>
      </w:r>
      <w:r w:rsidRPr="00A779B8">
        <w:rPr>
          <w:lang w:val="fr-FR"/>
        </w:rPr>
        <w:t>il puisse identifier différents types de détériorations ou de dysfonctionnements pendant toute la durée de vie du véhicule. Pour la réalisation de cet objectif, l</w:t>
      </w:r>
      <w:r w:rsidR="00DB4C2D">
        <w:rPr>
          <w:lang w:val="fr-FR"/>
        </w:rPr>
        <w:t>’</w:t>
      </w:r>
      <w:r w:rsidRPr="00A779B8">
        <w:rPr>
          <w:lang w:val="fr-FR"/>
        </w:rPr>
        <w:t>autorité d</w:t>
      </w:r>
      <w:r w:rsidR="00DB4C2D">
        <w:rPr>
          <w:lang w:val="fr-FR"/>
        </w:rPr>
        <w:t>’</w:t>
      </w:r>
      <w:r w:rsidRPr="00A779B8">
        <w:rPr>
          <w:lang w:val="fr-FR"/>
        </w:rPr>
        <w:t>homologation de type admet que les véhicules qui ont parcouru une distance dépassant la distance prévue pour l</w:t>
      </w:r>
      <w:r w:rsidR="00DB4C2D">
        <w:rPr>
          <w:lang w:val="fr-FR"/>
        </w:rPr>
        <w:t>’</w:t>
      </w:r>
      <w:r w:rsidRPr="00A779B8">
        <w:rPr>
          <w:lang w:val="fr-FR"/>
        </w:rPr>
        <w:t>essai de durabilité du type V (conformément à l</w:t>
      </w:r>
      <w:r w:rsidR="00DB4C2D">
        <w:rPr>
          <w:lang w:val="fr-FR"/>
        </w:rPr>
        <w:t>’</w:t>
      </w:r>
      <w:r w:rsidRPr="00A779B8">
        <w:rPr>
          <w:lang w:val="fr-FR"/>
        </w:rPr>
        <w:t>annexe 9 du présent Règlement), mentionné au paragraphe 3.3.1 de la présente annexe, montrent des signes de détérioration des performances du système OBD, de sorte que les limites d</w:t>
      </w:r>
      <w:r w:rsidR="00DB4C2D">
        <w:rPr>
          <w:lang w:val="fr-FR"/>
        </w:rPr>
        <w:t>’</w:t>
      </w:r>
      <w:r w:rsidRPr="00A779B8">
        <w:rPr>
          <w:lang w:val="fr-FR"/>
        </w:rPr>
        <w:t>émissions indiquées au paragraphe 3.3.2 ci-dessous peuvent être dépassées avant que le système OBD ne signale une défaillance au conducteur du véhicule.</w:t>
      </w:r>
    </w:p>
    <w:p w:rsidR="00585508" w:rsidRPr="00A779B8" w:rsidRDefault="00585508" w:rsidP="00585508">
      <w:pPr>
        <w:pStyle w:val="SingleTxtG"/>
        <w:spacing w:after="100"/>
        <w:ind w:left="2268" w:hanging="1134"/>
        <w:rPr>
          <w:lang w:val="fr-FR"/>
        </w:rPr>
      </w:pPr>
      <w:r w:rsidRPr="00A779B8">
        <w:rPr>
          <w:lang w:val="fr-FR"/>
        </w:rPr>
        <w:t>3.1.1</w:t>
      </w:r>
      <w:r w:rsidRPr="00A779B8">
        <w:rPr>
          <w:lang w:val="fr-FR"/>
        </w:rPr>
        <w:tab/>
        <w:t>L</w:t>
      </w:r>
      <w:r w:rsidR="00DB4C2D">
        <w:rPr>
          <w:lang w:val="fr-FR"/>
        </w:rPr>
        <w:t>’</w:t>
      </w:r>
      <w:r w:rsidRPr="00A779B8">
        <w:rPr>
          <w:lang w:val="fr-FR"/>
        </w:rPr>
        <w:t>accès au système OBD requis pour l</w:t>
      </w:r>
      <w:r w:rsidR="00DB4C2D">
        <w:rPr>
          <w:lang w:val="fr-FR"/>
        </w:rPr>
        <w:t>’</w:t>
      </w:r>
      <w:r w:rsidRPr="00A779B8">
        <w:rPr>
          <w:lang w:val="fr-FR"/>
        </w:rPr>
        <w:t>inspection, le diagnostic, l</w:t>
      </w:r>
      <w:r w:rsidR="00DB4C2D">
        <w:rPr>
          <w:lang w:val="fr-FR"/>
        </w:rPr>
        <w:t>’</w:t>
      </w:r>
      <w:r w:rsidRPr="00A779B8">
        <w:rPr>
          <w:lang w:val="fr-FR"/>
        </w:rPr>
        <w:t>entretien ou la réparation du véhicule doit être illimité et normalisé. Tous les codes d</w:t>
      </w:r>
      <w:r w:rsidR="00DB4C2D">
        <w:rPr>
          <w:lang w:val="fr-FR"/>
        </w:rPr>
        <w:t>’</w:t>
      </w:r>
      <w:r w:rsidRPr="00A779B8">
        <w:rPr>
          <w:lang w:val="fr-FR"/>
        </w:rPr>
        <w:t>erreurs liés aux émissions doivent être conformes au paragraphe 6.5.3.4 de l</w:t>
      </w:r>
      <w:r w:rsidR="00DB4C2D">
        <w:rPr>
          <w:lang w:val="fr-FR"/>
        </w:rPr>
        <w:t>’</w:t>
      </w:r>
      <w:r w:rsidRPr="00A779B8">
        <w:rPr>
          <w:lang w:val="fr-FR"/>
        </w:rPr>
        <w:t>appendice 1 de la présente annexe.</w:t>
      </w:r>
    </w:p>
    <w:p w:rsidR="00585508" w:rsidRPr="00A779B8" w:rsidRDefault="00585508" w:rsidP="00585508">
      <w:pPr>
        <w:pStyle w:val="SingleTxtG"/>
        <w:spacing w:after="100"/>
        <w:ind w:left="2268" w:hanging="1134"/>
        <w:rPr>
          <w:lang w:val="fr-FR"/>
        </w:rPr>
      </w:pPr>
      <w:r w:rsidRPr="00A779B8">
        <w:rPr>
          <w:lang w:val="fr-FR"/>
        </w:rPr>
        <w:t>3.1.2</w:t>
      </w:r>
      <w:r w:rsidRPr="00A779B8">
        <w:rPr>
          <w:lang w:val="fr-FR"/>
        </w:rPr>
        <w:tab/>
        <w:t>Au plus tard trois mois après avoir communiqué les informations de réparation à tout distributeur ou atelier de réparation agréé, le constructeur doit mettre ces informations (ainsi que tout changement et ajout ultérieur) à disposition en échange d</w:t>
      </w:r>
      <w:r w:rsidR="00DB4C2D">
        <w:rPr>
          <w:lang w:val="fr-FR"/>
        </w:rPr>
        <w:t>’</w:t>
      </w:r>
      <w:r w:rsidRPr="00A779B8">
        <w:rPr>
          <w:lang w:val="fr-FR"/>
        </w:rPr>
        <w:t>un paiement raisonnable et non discriminatoire, et en il informe l</w:t>
      </w:r>
      <w:r w:rsidR="00DB4C2D">
        <w:rPr>
          <w:lang w:val="fr-FR"/>
        </w:rPr>
        <w:t>’</w:t>
      </w:r>
      <w:r w:rsidRPr="00A779B8">
        <w:rPr>
          <w:lang w:val="fr-FR"/>
        </w:rPr>
        <w:t>autorité chargée d</w:t>
      </w:r>
      <w:r w:rsidR="00DB4C2D">
        <w:rPr>
          <w:lang w:val="fr-FR"/>
        </w:rPr>
        <w:t>’</w:t>
      </w:r>
      <w:r w:rsidRPr="00A779B8">
        <w:rPr>
          <w:lang w:val="fr-FR"/>
        </w:rPr>
        <w:t>homologation de type.</w:t>
      </w:r>
    </w:p>
    <w:p w:rsidR="00585508" w:rsidRPr="00A779B8" w:rsidRDefault="00585508" w:rsidP="00585508">
      <w:pPr>
        <w:pStyle w:val="SingleTxtG"/>
        <w:ind w:left="2268"/>
        <w:rPr>
          <w:lang w:val="fr-FR"/>
        </w:rPr>
      </w:pPr>
      <w:r w:rsidRPr="00A779B8">
        <w:rPr>
          <w:lang w:val="fr-FR"/>
        </w:rPr>
        <w:lastRenderedPageBreak/>
        <w:tab/>
        <w:t>En cas de non-respect des présentes dispositions, l</w:t>
      </w:r>
      <w:r w:rsidR="00DB4C2D">
        <w:rPr>
          <w:lang w:val="fr-FR"/>
        </w:rPr>
        <w:t>’</w:t>
      </w:r>
      <w:r w:rsidRPr="00A779B8">
        <w:rPr>
          <w:lang w:val="fr-FR"/>
        </w:rPr>
        <w:t>autorité d</w:t>
      </w:r>
      <w:r w:rsidR="00DB4C2D">
        <w:rPr>
          <w:lang w:val="fr-FR"/>
        </w:rPr>
        <w:t>’</w:t>
      </w:r>
      <w:r w:rsidRPr="00A779B8">
        <w:rPr>
          <w:lang w:val="fr-FR"/>
        </w:rPr>
        <w:t>homologation de type doit prendre les mesures nécessaires, conformément aux procédures prescrites pour l</w:t>
      </w:r>
      <w:r w:rsidR="00DB4C2D">
        <w:rPr>
          <w:lang w:val="fr-FR"/>
        </w:rPr>
        <w:t>’</w:t>
      </w:r>
      <w:r w:rsidRPr="00A779B8">
        <w:rPr>
          <w:lang w:val="fr-FR"/>
        </w:rPr>
        <w:t>homologation de type et le contrôle des véhicules en service pour assurer la disponibilité des informations de réparation.</w:t>
      </w:r>
    </w:p>
    <w:p w:rsidR="00585508" w:rsidRPr="00A779B8" w:rsidRDefault="00585508" w:rsidP="00585508">
      <w:pPr>
        <w:pStyle w:val="SingleTxtG"/>
        <w:ind w:left="2268" w:hanging="1134"/>
        <w:rPr>
          <w:lang w:val="fr-FR"/>
        </w:rPr>
      </w:pPr>
      <w:r w:rsidRPr="00A779B8">
        <w:rPr>
          <w:lang w:val="fr-FR"/>
        </w:rPr>
        <w:t>3.2</w:t>
      </w:r>
      <w:r w:rsidRPr="00A779B8">
        <w:rPr>
          <w:lang w:val="fr-FR"/>
        </w:rPr>
        <w:tab/>
        <w:t>Le système OBD doit être conçu, construit et monté dans un véhicule de telle façon que, dans des conditions normales d</w:t>
      </w:r>
      <w:r w:rsidR="00DB4C2D">
        <w:rPr>
          <w:lang w:val="fr-FR"/>
        </w:rPr>
        <w:t>’</w:t>
      </w:r>
      <w:r w:rsidRPr="00A779B8">
        <w:rPr>
          <w:lang w:val="fr-FR"/>
        </w:rPr>
        <w:t>utilisation, le véhicule puisse satisfaire aux prescriptions de la présente annexe.</w:t>
      </w:r>
    </w:p>
    <w:p w:rsidR="00585508" w:rsidRPr="00A779B8" w:rsidRDefault="00585508" w:rsidP="00585508">
      <w:pPr>
        <w:pStyle w:val="SingleTxtG"/>
        <w:keepNext/>
        <w:ind w:left="2268" w:hanging="1134"/>
        <w:jc w:val="left"/>
        <w:rPr>
          <w:lang w:val="fr-FR"/>
        </w:rPr>
      </w:pPr>
      <w:r w:rsidRPr="00A779B8">
        <w:rPr>
          <w:lang w:val="fr-FR"/>
        </w:rPr>
        <w:t>3.2.1</w:t>
      </w:r>
      <w:r w:rsidRPr="00A779B8">
        <w:rPr>
          <w:lang w:val="fr-FR"/>
        </w:rPr>
        <w:tab/>
        <w:t>Désactivation temporaire du système OBD</w:t>
      </w:r>
    </w:p>
    <w:p w:rsidR="00585508" w:rsidRPr="00A779B8" w:rsidRDefault="00585508" w:rsidP="00585508">
      <w:pPr>
        <w:pStyle w:val="SingleTxtG"/>
        <w:ind w:left="2268" w:hanging="1134"/>
        <w:rPr>
          <w:lang w:val="fr-FR"/>
        </w:rPr>
      </w:pPr>
      <w:r w:rsidRPr="00A779B8">
        <w:rPr>
          <w:lang w:val="fr-FR"/>
        </w:rPr>
        <w:t>3.2.1.1</w:t>
      </w:r>
      <w:r w:rsidRPr="00A779B8">
        <w:rPr>
          <w:lang w:val="fr-FR"/>
        </w:rPr>
        <w:tab/>
        <w:t>Un constructeur peut prévoir la désactivation du système OBD si sa capacité de surveillance en fonctionnement est affectée par un bas niveau de carburant. La désactivation ne peut avoir lieu tant que le niveau de remplissage est supérieur à 20 % de la capacité nominale du réservoir de carburant.</w:t>
      </w:r>
    </w:p>
    <w:p w:rsidR="00585508" w:rsidRPr="00A779B8" w:rsidRDefault="00585508" w:rsidP="00585508">
      <w:pPr>
        <w:pStyle w:val="SingleTxtG"/>
        <w:ind w:left="2268" w:hanging="1134"/>
        <w:rPr>
          <w:lang w:val="fr-FR"/>
        </w:rPr>
      </w:pPr>
      <w:r w:rsidRPr="00A779B8">
        <w:rPr>
          <w:lang w:val="fr-FR"/>
        </w:rPr>
        <w:t>3.2.1.2</w:t>
      </w:r>
      <w:r w:rsidRPr="00A779B8">
        <w:rPr>
          <w:lang w:val="fr-FR"/>
        </w:rPr>
        <w:tab/>
        <w:t>Un constructeur peut prévoir la désactivation du système OBD lors d</w:t>
      </w:r>
      <w:r w:rsidR="00DB4C2D">
        <w:rPr>
          <w:lang w:val="fr-FR"/>
        </w:rPr>
        <w:t>’</w:t>
      </w:r>
      <w:r w:rsidRPr="00A779B8">
        <w:rPr>
          <w:lang w:val="fr-FR"/>
        </w:rPr>
        <w:t>un démarrage du moteur à une température ambiante inférieure à 266 K (-7 °C) ou à une altitude de plus de 2 500 m au-dessus du niveau de la mer s</w:t>
      </w:r>
      <w:r w:rsidR="00DB4C2D">
        <w:rPr>
          <w:lang w:val="fr-FR"/>
        </w:rPr>
        <w:t>’</w:t>
      </w:r>
      <w:r w:rsidRPr="00A779B8">
        <w:rPr>
          <w:lang w:val="fr-FR"/>
        </w:rPr>
        <w:t>il fournit des données et/ou une évaluation technique démontrant de manière satisfaisante que la surveillance en fonctionnement du système antipollution ne serait pas fiable dans de telles conditions. Un constructeur peut aussi demander la désactivation du système OBD pour d</w:t>
      </w:r>
      <w:r w:rsidR="00DB4C2D">
        <w:rPr>
          <w:lang w:val="fr-FR"/>
        </w:rPr>
        <w:t>’</w:t>
      </w:r>
      <w:r w:rsidRPr="00A779B8">
        <w:rPr>
          <w:lang w:val="fr-FR"/>
        </w:rPr>
        <w:t>autres plages de température de démarrage s</w:t>
      </w:r>
      <w:r w:rsidR="00DB4C2D">
        <w:rPr>
          <w:lang w:val="fr-FR"/>
        </w:rPr>
        <w:t>’</w:t>
      </w:r>
      <w:r w:rsidRPr="00A779B8">
        <w:rPr>
          <w:lang w:val="fr-FR"/>
        </w:rPr>
        <w:t>il démontre à l</w:t>
      </w:r>
      <w:r w:rsidR="00DB4C2D">
        <w:rPr>
          <w:lang w:val="fr-FR"/>
        </w:rPr>
        <w:t>’</w:t>
      </w:r>
      <w:r w:rsidRPr="00A779B8">
        <w:rPr>
          <w:lang w:val="fr-FR"/>
        </w:rPr>
        <w:t>autorité, en présentant des données et/ou une évaluation technique adéquates, que le système produirait un diagnostic erroné dans de telles conditions. Il n</w:t>
      </w:r>
      <w:r w:rsidR="00DB4C2D">
        <w:rPr>
          <w:lang w:val="fr-FR"/>
        </w:rPr>
        <w:t>’</w:t>
      </w:r>
      <w:r w:rsidRPr="00A779B8">
        <w:rPr>
          <w:lang w:val="fr-FR"/>
        </w:rPr>
        <w:t>est pas nécessaire que le témoin de défaillance (TD) s</w:t>
      </w:r>
      <w:r w:rsidR="00DB4C2D">
        <w:rPr>
          <w:lang w:val="fr-FR"/>
        </w:rPr>
        <w:t>’</w:t>
      </w:r>
      <w:r w:rsidRPr="00A779B8">
        <w:rPr>
          <w:lang w:val="fr-FR"/>
        </w:rPr>
        <w:t>allume lorsque le seuil d</w:t>
      </w:r>
      <w:r w:rsidR="00DB4C2D">
        <w:rPr>
          <w:lang w:val="fr-FR"/>
        </w:rPr>
        <w:t>’</w:t>
      </w:r>
      <w:r w:rsidRPr="00A779B8">
        <w:rPr>
          <w:lang w:val="fr-FR"/>
        </w:rPr>
        <w:t>autodiagnostic est dépassé lors d</w:t>
      </w:r>
      <w:r w:rsidR="00DB4C2D">
        <w:rPr>
          <w:lang w:val="fr-FR"/>
        </w:rPr>
        <w:t>’</w:t>
      </w:r>
      <w:r w:rsidRPr="00A779B8">
        <w:rPr>
          <w:lang w:val="fr-FR"/>
        </w:rPr>
        <w:t>une phase de régénération, s</w:t>
      </w:r>
      <w:r w:rsidR="00DB4C2D">
        <w:rPr>
          <w:lang w:val="fr-FR"/>
        </w:rPr>
        <w:t>’</w:t>
      </w:r>
      <w:r w:rsidRPr="00A779B8">
        <w:rPr>
          <w:lang w:val="fr-FR"/>
        </w:rPr>
        <w:t>il n</w:t>
      </w:r>
      <w:r w:rsidR="00DB4C2D">
        <w:rPr>
          <w:lang w:val="fr-FR"/>
        </w:rPr>
        <w:t>’</w:t>
      </w:r>
      <w:r w:rsidRPr="00A779B8">
        <w:rPr>
          <w:lang w:val="fr-FR"/>
        </w:rPr>
        <w:t>existe pas de défaillance.</w:t>
      </w:r>
    </w:p>
    <w:p w:rsidR="00585508" w:rsidRPr="00A779B8" w:rsidRDefault="00585508" w:rsidP="00585508">
      <w:pPr>
        <w:pStyle w:val="SingleTxtG"/>
        <w:ind w:left="2268" w:hanging="1134"/>
        <w:rPr>
          <w:lang w:val="fr-FR"/>
        </w:rPr>
      </w:pPr>
      <w:r w:rsidRPr="00A779B8">
        <w:rPr>
          <w:lang w:val="fr-FR"/>
        </w:rPr>
        <w:t>3.2.1.3</w:t>
      </w:r>
      <w:r w:rsidRPr="00A779B8">
        <w:rPr>
          <w:lang w:val="fr-FR"/>
        </w:rPr>
        <w:tab/>
        <w:t>En ce qui concerne les véhicules conçus pour être équipés d</w:t>
      </w:r>
      <w:r w:rsidR="00DB4C2D">
        <w:rPr>
          <w:lang w:val="fr-FR"/>
        </w:rPr>
        <w:t>’</w:t>
      </w:r>
      <w:r w:rsidRPr="00A779B8">
        <w:rPr>
          <w:lang w:val="fr-FR"/>
        </w:rPr>
        <w:t>unités de prise de mouvement, la désactivation de systèmes de surveillance sur lesquels ces unités ont une influence n</w:t>
      </w:r>
      <w:r w:rsidR="00DB4C2D">
        <w:rPr>
          <w:lang w:val="fr-FR"/>
        </w:rPr>
        <w:t>’</w:t>
      </w:r>
      <w:r w:rsidRPr="00A779B8">
        <w:rPr>
          <w:lang w:val="fr-FR"/>
        </w:rPr>
        <w:t>est autorisée que si elle n</w:t>
      </w:r>
      <w:r w:rsidR="00DB4C2D">
        <w:rPr>
          <w:lang w:val="fr-FR"/>
        </w:rPr>
        <w:t>’</w:t>
      </w:r>
      <w:r w:rsidRPr="00A779B8">
        <w:rPr>
          <w:lang w:val="fr-FR"/>
        </w:rPr>
        <w:t>intervient que lorsque l</w:t>
      </w:r>
      <w:r w:rsidR="00DB4C2D">
        <w:rPr>
          <w:lang w:val="fr-FR"/>
        </w:rPr>
        <w:t>’</w:t>
      </w:r>
      <w:r w:rsidRPr="00A779B8">
        <w:rPr>
          <w:lang w:val="fr-FR"/>
        </w:rPr>
        <w:t>unité de prise de mouvement est active.</w:t>
      </w:r>
    </w:p>
    <w:p w:rsidR="00585508" w:rsidRPr="00A779B8" w:rsidRDefault="00585508" w:rsidP="00585508">
      <w:pPr>
        <w:pStyle w:val="SingleTxtG"/>
        <w:ind w:left="2268"/>
        <w:rPr>
          <w:lang w:val="fr-FR"/>
        </w:rPr>
      </w:pPr>
      <w:r w:rsidRPr="00A779B8">
        <w:rPr>
          <w:lang w:val="fr-FR"/>
        </w:rPr>
        <w:tab/>
        <w:t>Outre les dispositions du présent paragraphe, le constructeur peut désactiver temporairement le système OBD dans les conditions suivantes:</w:t>
      </w:r>
    </w:p>
    <w:p w:rsidR="00585508" w:rsidRPr="00A779B8" w:rsidRDefault="00585508" w:rsidP="00585508">
      <w:pPr>
        <w:pStyle w:val="SingleTxtG"/>
        <w:ind w:left="2835" w:hanging="567"/>
        <w:rPr>
          <w:lang w:val="fr-FR"/>
        </w:rPr>
      </w:pPr>
      <w:r w:rsidRPr="00A779B8">
        <w:rPr>
          <w:lang w:val="fr-FR"/>
        </w:rPr>
        <w:t>a)</w:t>
      </w:r>
      <w:r w:rsidRPr="00A779B8">
        <w:rPr>
          <w:lang w:val="fr-FR"/>
        </w:rPr>
        <w:tab/>
        <w:t xml:space="preserve">En ce qui concerne les véhicules </w:t>
      </w:r>
      <w:proofErr w:type="spellStart"/>
      <w:r w:rsidRPr="00A779B8">
        <w:rPr>
          <w:lang w:val="fr-FR"/>
        </w:rPr>
        <w:t>polycarburant</w:t>
      </w:r>
      <w:proofErr w:type="spellEnd"/>
      <w:r w:rsidRPr="00A779B8">
        <w:rPr>
          <w:lang w:val="fr-FR"/>
        </w:rPr>
        <w:t xml:space="preserve">, </w:t>
      </w:r>
      <w:proofErr w:type="spellStart"/>
      <w:r w:rsidRPr="00A779B8">
        <w:rPr>
          <w:lang w:val="fr-FR"/>
        </w:rPr>
        <w:t>monocarburant</w:t>
      </w:r>
      <w:proofErr w:type="spellEnd"/>
      <w:r w:rsidRPr="00A779B8">
        <w:rPr>
          <w:lang w:val="fr-FR"/>
        </w:rPr>
        <w:t xml:space="preserve"> ou </w:t>
      </w:r>
      <w:proofErr w:type="spellStart"/>
      <w:r w:rsidRPr="00A779B8">
        <w:rPr>
          <w:lang w:val="fr-FR"/>
        </w:rPr>
        <w:t>bicarburant</w:t>
      </w:r>
      <w:proofErr w:type="spellEnd"/>
      <w:r w:rsidRPr="00A779B8">
        <w:rPr>
          <w:lang w:val="fr-FR"/>
        </w:rPr>
        <w:t>, pendant 1 min après le plein de carburant pour permettre la reconnaissance de la qualité et de la composition du carburant par le module de gestion électronique (ECU);</w:t>
      </w:r>
    </w:p>
    <w:p w:rsidR="00585508" w:rsidRPr="00A779B8" w:rsidRDefault="00585508" w:rsidP="00585508">
      <w:pPr>
        <w:pStyle w:val="SingleTxtG"/>
        <w:ind w:left="2835" w:hanging="567"/>
        <w:rPr>
          <w:lang w:val="fr-FR"/>
        </w:rPr>
      </w:pPr>
      <w:r w:rsidRPr="00A779B8">
        <w:rPr>
          <w:lang w:val="fr-FR"/>
        </w:rPr>
        <w:t>b)</w:t>
      </w:r>
      <w:r w:rsidRPr="00A779B8">
        <w:rPr>
          <w:lang w:val="fr-FR"/>
        </w:rPr>
        <w:tab/>
        <w:t xml:space="preserve">En ce qui concerne les véhicules </w:t>
      </w:r>
      <w:proofErr w:type="spellStart"/>
      <w:r w:rsidRPr="00A779B8">
        <w:rPr>
          <w:lang w:val="fr-FR"/>
        </w:rPr>
        <w:t>bicarburant</w:t>
      </w:r>
      <w:proofErr w:type="spellEnd"/>
      <w:r w:rsidRPr="00A779B8">
        <w:rPr>
          <w:lang w:val="fr-FR"/>
        </w:rPr>
        <w:t>, pendant 5 s après la commutation de carburant pour permettre le réajustement des paramètres du moteur;</w:t>
      </w:r>
    </w:p>
    <w:p w:rsidR="00585508" w:rsidRPr="00A779B8" w:rsidRDefault="00585508" w:rsidP="00585508">
      <w:pPr>
        <w:pStyle w:val="SingleTxtG"/>
        <w:ind w:left="2835" w:hanging="567"/>
        <w:rPr>
          <w:lang w:val="fr-FR"/>
        </w:rPr>
      </w:pPr>
      <w:r w:rsidRPr="00A779B8">
        <w:rPr>
          <w:lang w:val="fr-FR"/>
        </w:rPr>
        <w:t>c)</w:t>
      </w:r>
      <w:r w:rsidRPr="00A779B8">
        <w:rPr>
          <w:lang w:val="fr-FR"/>
        </w:rPr>
        <w:tab/>
        <w:t>Le constructeur peut déroger à ces limites de temps s</w:t>
      </w:r>
      <w:r w:rsidR="00DB4C2D">
        <w:rPr>
          <w:lang w:val="fr-FR"/>
        </w:rPr>
        <w:t>’</w:t>
      </w:r>
      <w:r w:rsidRPr="00A779B8">
        <w:rPr>
          <w:lang w:val="fr-FR"/>
        </w:rPr>
        <w:t>il est en mesure de démontrer que la stabilisation du système d</w:t>
      </w:r>
      <w:r w:rsidR="00DB4C2D">
        <w:rPr>
          <w:lang w:val="fr-FR"/>
        </w:rPr>
        <w:t>’</w:t>
      </w:r>
      <w:r w:rsidRPr="00A779B8">
        <w:rPr>
          <w:lang w:val="fr-FR"/>
        </w:rPr>
        <w:t>alimentation après réalimentation ou commutation de carburant est plus longue pour des raisons techniques valables. En tout état de cause, le système OBD doit être réactivé dès que la qualité et la composition du carburant sont reconnues ou les paramètres du moteur réajustés.</w:t>
      </w:r>
    </w:p>
    <w:p w:rsidR="00585508" w:rsidRPr="00A779B8" w:rsidRDefault="00585508" w:rsidP="00585508">
      <w:pPr>
        <w:pStyle w:val="SingleTxtG"/>
        <w:keepNext/>
        <w:ind w:left="2268" w:hanging="1134"/>
        <w:jc w:val="left"/>
        <w:rPr>
          <w:lang w:val="fr-FR"/>
        </w:rPr>
      </w:pPr>
      <w:r w:rsidRPr="00A779B8">
        <w:rPr>
          <w:lang w:val="fr-FR"/>
        </w:rPr>
        <w:lastRenderedPageBreak/>
        <w:t>3.2.2</w:t>
      </w:r>
      <w:r w:rsidRPr="00A779B8">
        <w:rPr>
          <w:lang w:val="fr-FR"/>
        </w:rPr>
        <w:tab/>
        <w:t>Ratés d</w:t>
      </w:r>
      <w:r w:rsidR="00DB4C2D">
        <w:rPr>
          <w:lang w:val="fr-FR"/>
        </w:rPr>
        <w:t>’</w:t>
      </w:r>
      <w:r w:rsidRPr="00A779B8">
        <w:rPr>
          <w:lang w:val="fr-FR"/>
        </w:rPr>
        <w:t>allumage sur les véhicules équipés d</w:t>
      </w:r>
      <w:r w:rsidR="00DB4C2D">
        <w:rPr>
          <w:lang w:val="fr-FR"/>
        </w:rPr>
        <w:t>’</w:t>
      </w:r>
      <w:r w:rsidRPr="00A779B8">
        <w:rPr>
          <w:lang w:val="fr-FR"/>
        </w:rPr>
        <w:t>un moteur</w:t>
      </w:r>
      <w:r w:rsidRPr="00A779B8">
        <w:rPr>
          <w:lang w:val="fr-FR"/>
        </w:rPr>
        <w:br/>
        <w:t>à allumage commandé</w:t>
      </w:r>
    </w:p>
    <w:p w:rsidR="00585508" w:rsidRPr="00A779B8" w:rsidRDefault="00585508" w:rsidP="00585508">
      <w:pPr>
        <w:pStyle w:val="SingleTxtG"/>
        <w:keepNext/>
        <w:keepLines/>
        <w:ind w:left="2268" w:hanging="1134"/>
        <w:rPr>
          <w:lang w:val="fr-FR"/>
        </w:rPr>
      </w:pPr>
      <w:r w:rsidRPr="00A779B8">
        <w:rPr>
          <w:lang w:val="fr-FR"/>
        </w:rPr>
        <w:t>3.2.2.1</w:t>
      </w:r>
      <w:r w:rsidRPr="00A779B8">
        <w:rPr>
          <w:lang w:val="fr-FR"/>
        </w:rPr>
        <w:tab/>
        <w:t>Les constructeurs peuvent adapter, comme critère de dysfonctionnement, un pourcentage de ratés d</w:t>
      </w:r>
      <w:r w:rsidR="00DB4C2D">
        <w:rPr>
          <w:lang w:val="fr-FR"/>
        </w:rPr>
        <w:t>’</w:t>
      </w:r>
      <w:r w:rsidRPr="00A779B8">
        <w:rPr>
          <w:lang w:val="fr-FR"/>
        </w:rPr>
        <w:t>allumage plus élevé que celui qui est déclaré à l</w:t>
      </w:r>
      <w:r w:rsidR="00DB4C2D">
        <w:rPr>
          <w:lang w:val="fr-FR"/>
        </w:rPr>
        <w:t>’</w:t>
      </w:r>
      <w:r w:rsidRPr="00A779B8">
        <w:rPr>
          <w:lang w:val="fr-FR"/>
        </w:rPr>
        <w:t>autorité, dans des conditions spécifiques de régime et de charge du moteur pour lesquelles ils peuvent démontrer à l</w:t>
      </w:r>
      <w:r w:rsidR="00DB4C2D">
        <w:rPr>
          <w:lang w:val="fr-FR"/>
        </w:rPr>
        <w:t>’</w:t>
      </w:r>
      <w:r w:rsidRPr="00A779B8">
        <w:rPr>
          <w:lang w:val="fr-FR"/>
        </w:rPr>
        <w:t>autorité que la détection de niveaux inférieurs de ratés d</w:t>
      </w:r>
      <w:r w:rsidR="00DB4C2D">
        <w:rPr>
          <w:lang w:val="fr-FR"/>
        </w:rPr>
        <w:t>’</w:t>
      </w:r>
      <w:r w:rsidRPr="00A779B8">
        <w:rPr>
          <w:lang w:val="fr-FR"/>
        </w:rPr>
        <w:t>allumage ne serait pas fiable.</w:t>
      </w:r>
    </w:p>
    <w:p w:rsidR="00585508" w:rsidRPr="00A779B8" w:rsidRDefault="00585508" w:rsidP="00585508">
      <w:pPr>
        <w:pStyle w:val="SingleTxtG"/>
        <w:ind w:left="2268" w:hanging="1134"/>
        <w:rPr>
          <w:lang w:val="fr-FR"/>
        </w:rPr>
      </w:pPr>
      <w:r w:rsidRPr="00A779B8">
        <w:rPr>
          <w:lang w:val="fr-FR"/>
        </w:rPr>
        <w:t>3.2.2.2</w:t>
      </w:r>
      <w:r w:rsidRPr="00A779B8">
        <w:rPr>
          <w:lang w:val="fr-FR"/>
        </w:rPr>
        <w:tab/>
        <w:t>Si un constructeur peut démontrer à l</w:t>
      </w:r>
      <w:r w:rsidR="00DB4C2D">
        <w:rPr>
          <w:lang w:val="fr-FR"/>
        </w:rPr>
        <w:t>’</w:t>
      </w:r>
      <w:r w:rsidRPr="00A779B8">
        <w:rPr>
          <w:lang w:val="fr-FR"/>
        </w:rPr>
        <w:t>autorité que la détection de pourcentages plus élevés de ratés d</w:t>
      </w:r>
      <w:r w:rsidR="00DB4C2D">
        <w:rPr>
          <w:lang w:val="fr-FR"/>
        </w:rPr>
        <w:t>’</w:t>
      </w:r>
      <w:r w:rsidRPr="00A779B8">
        <w:rPr>
          <w:lang w:val="fr-FR"/>
        </w:rPr>
        <w:t>allumage n</w:t>
      </w:r>
      <w:r w:rsidR="00DB4C2D">
        <w:rPr>
          <w:lang w:val="fr-FR"/>
        </w:rPr>
        <w:t>’</w:t>
      </w:r>
      <w:r w:rsidRPr="00A779B8">
        <w:rPr>
          <w:lang w:val="fr-FR"/>
        </w:rPr>
        <w:t>est toujours pas réalisable ou qu</w:t>
      </w:r>
      <w:r w:rsidR="00DB4C2D">
        <w:rPr>
          <w:lang w:val="fr-FR"/>
        </w:rPr>
        <w:t>’</w:t>
      </w:r>
      <w:r w:rsidRPr="00A779B8">
        <w:rPr>
          <w:lang w:val="fr-FR"/>
        </w:rPr>
        <w:t>un raté d</w:t>
      </w:r>
      <w:r w:rsidR="00DB4C2D">
        <w:rPr>
          <w:lang w:val="fr-FR"/>
        </w:rPr>
        <w:t>’</w:t>
      </w:r>
      <w:r w:rsidRPr="00A779B8">
        <w:rPr>
          <w:lang w:val="fr-FR"/>
        </w:rPr>
        <w:t>allumage ne peut être distingué d</w:t>
      </w:r>
      <w:r w:rsidR="00DB4C2D">
        <w:rPr>
          <w:lang w:val="fr-FR"/>
        </w:rPr>
        <w:t>’</w:t>
      </w:r>
      <w:r w:rsidRPr="00A779B8">
        <w:rPr>
          <w:lang w:val="fr-FR"/>
        </w:rPr>
        <w:t>un autre phénomène (par exemple routes difficiles, passages de vitesse, période suivant la mise en marche du moteur, etc.), le système de surveillance des ratés d</w:t>
      </w:r>
      <w:r w:rsidR="00DB4C2D">
        <w:rPr>
          <w:lang w:val="fr-FR"/>
        </w:rPr>
        <w:t>’</w:t>
      </w:r>
      <w:r w:rsidRPr="00A779B8">
        <w:rPr>
          <w:lang w:val="fr-FR"/>
        </w:rPr>
        <w:t>allumage peut être désactivé lorsque de telles conditions sont réunies.</w:t>
      </w:r>
    </w:p>
    <w:p w:rsidR="00585508" w:rsidRPr="00A779B8" w:rsidRDefault="00585508" w:rsidP="00585508">
      <w:pPr>
        <w:pStyle w:val="SingleTxtG"/>
        <w:keepNext/>
        <w:ind w:left="2268" w:hanging="1134"/>
        <w:jc w:val="left"/>
        <w:rPr>
          <w:lang w:val="fr-FR"/>
        </w:rPr>
      </w:pPr>
      <w:r w:rsidRPr="00A779B8">
        <w:rPr>
          <w:lang w:val="fr-FR"/>
        </w:rPr>
        <w:t>3.3</w:t>
      </w:r>
      <w:r w:rsidRPr="00A779B8">
        <w:rPr>
          <w:lang w:val="fr-FR"/>
        </w:rPr>
        <w:tab/>
        <w:t>Description des essais</w:t>
      </w:r>
    </w:p>
    <w:p w:rsidR="00585508" w:rsidRPr="00A779B8" w:rsidRDefault="00585508" w:rsidP="00585508">
      <w:pPr>
        <w:pStyle w:val="SingleTxtG"/>
        <w:ind w:left="2268" w:hanging="1134"/>
        <w:rPr>
          <w:lang w:val="fr-FR"/>
        </w:rPr>
      </w:pPr>
      <w:r w:rsidRPr="00A779B8">
        <w:rPr>
          <w:lang w:val="fr-FR"/>
        </w:rPr>
        <w:t>3.3.1</w:t>
      </w:r>
      <w:r w:rsidRPr="00A779B8">
        <w:rPr>
          <w:lang w:val="fr-FR"/>
        </w:rPr>
        <w:tab/>
        <w:t>Les essais sont effectués sur le véhicule utilisé pour l</w:t>
      </w:r>
      <w:r w:rsidR="00DB4C2D">
        <w:rPr>
          <w:lang w:val="fr-FR"/>
        </w:rPr>
        <w:t>’</w:t>
      </w:r>
      <w:r w:rsidRPr="00A779B8">
        <w:rPr>
          <w:lang w:val="fr-FR"/>
        </w:rPr>
        <w:t>essai de durabilité du type V, décrit à l</w:t>
      </w:r>
      <w:r w:rsidR="00DB4C2D">
        <w:rPr>
          <w:lang w:val="fr-FR"/>
        </w:rPr>
        <w:t>’</w:t>
      </w:r>
      <w:r w:rsidRPr="00A779B8">
        <w:rPr>
          <w:lang w:val="fr-FR"/>
        </w:rPr>
        <w:t>annexe 9 du présent Règlement, et en suivant la procédure d</w:t>
      </w:r>
      <w:r w:rsidR="00DB4C2D">
        <w:rPr>
          <w:lang w:val="fr-FR"/>
        </w:rPr>
        <w:t>’</w:t>
      </w:r>
      <w:r w:rsidRPr="00A779B8">
        <w:rPr>
          <w:lang w:val="fr-FR"/>
        </w:rPr>
        <w:t>essai figurant dans l</w:t>
      </w:r>
      <w:r w:rsidR="00DB4C2D">
        <w:rPr>
          <w:lang w:val="fr-FR"/>
        </w:rPr>
        <w:t>’</w:t>
      </w:r>
      <w:r w:rsidRPr="00A779B8">
        <w:rPr>
          <w:lang w:val="fr-FR"/>
        </w:rPr>
        <w:t>appendice 1 de la présente annexe. Les essais sont réalisés à l</w:t>
      </w:r>
      <w:r w:rsidR="00DB4C2D">
        <w:rPr>
          <w:lang w:val="fr-FR"/>
        </w:rPr>
        <w:t>’</w:t>
      </w:r>
      <w:r w:rsidRPr="00A779B8">
        <w:rPr>
          <w:lang w:val="fr-FR"/>
        </w:rPr>
        <w:t>issue des essais de durabilité du type V.</w:t>
      </w:r>
    </w:p>
    <w:p w:rsidR="00585508" w:rsidRPr="00A779B8" w:rsidRDefault="00585508" w:rsidP="00585508">
      <w:pPr>
        <w:pStyle w:val="SingleTxtG"/>
        <w:ind w:left="2268"/>
        <w:rPr>
          <w:lang w:val="fr-FR"/>
        </w:rPr>
      </w:pPr>
      <w:r w:rsidRPr="00A779B8">
        <w:rPr>
          <w:lang w:val="fr-FR"/>
        </w:rPr>
        <w:tab/>
        <w:t>Lorsque aucun essai de durabilité du type V n</w:t>
      </w:r>
      <w:r w:rsidR="00DB4C2D">
        <w:rPr>
          <w:lang w:val="fr-FR"/>
        </w:rPr>
        <w:t>’</w:t>
      </w:r>
      <w:r w:rsidRPr="00A779B8">
        <w:rPr>
          <w:lang w:val="fr-FR"/>
        </w:rPr>
        <w:t>est effectué, ou à la demande du constructeur, un véhicule présentant les caractéristiques adéquates de vieillissement et de représentativité peut être utilisé pour ces essais de démonstration du système OBD.</w:t>
      </w:r>
    </w:p>
    <w:p w:rsidR="00585508" w:rsidRPr="00A779B8" w:rsidRDefault="00585508" w:rsidP="00585508">
      <w:pPr>
        <w:pStyle w:val="SingleTxtG"/>
        <w:ind w:left="2268" w:hanging="1134"/>
        <w:rPr>
          <w:lang w:val="fr-FR"/>
        </w:rPr>
      </w:pPr>
      <w:r w:rsidRPr="00A779B8">
        <w:rPr>
          <w:lang w:val="fr-FR"/>
        </w:rPr>
        <w:t>3.3.2</w:t>
      </w:r>
      <w:r w:rsidRPr="00A779B8">
        <w:rPr>
          <w:lang w:val="fr-FR"/>
        </w:rPr>
        <w:tab/>
        <w:t>Le système OBD doit indiquer la défaillance d</w:t>
      </w:r>
      <w:r w:rsidR="00DB4C2D">
        <w:rPr>
          <w:lang w:val="fr-FR"/>
        </w:rPr>
        <w:t>’</w:t>
      </w:r>
      <w:r w:rsidRPr="00A779B8">
        <w:rPr>
          <w:lang w:val="fr-FR"/>
        </w:rPr>
        <w:t>un composant ou d</w:t>
      </w:r>
      <w:r w:rsidR="00DB4C2D">
        <w:rPr>
          <w:lang w:val="fr-FR"/>
        </w:rPr>
        <w:t>’</w:t>
      </w:r>
      <w:r w:rsidRPr="00A779B8">
        <w:rPr>
          <w:lang w:val="fr-FR"/>
        </w:rPr>
        <w:t>un système relatif aux émissions lorsque cette défaillance entraîne une augmentation des émissions au-dessus des valeurs limites indiquées dans les tableaux A11/1, A11/2 ou A11/3 conformément au paragraphe 12 du présent Règlement.</w:t>
      </w:r>
    </w:p>
    <w:p w:rsidR="002B4B8E" w:rsidRDefault="00585508" w:rsidP="00585508">
      <w:pPr>
        <w:pStyle w:val="SingleTxtG"/>
        <w:ind w:left="2268" w:hanging="1134"/>
        <w:rPr>
          <w:lang w:val="fr-FR"/>
        </w:rPr>
      </w:pPr>
      <w:r w:rsidRPr="00A779B8">
        <w:rPr>
          <w:lang w:val="fr-FR"/>
        </w:rPr>
        <w:t>3.3.2.1</w:t>
      </w:r>
      <w:r w:rsidRPr="00A779B8">
        <w:rPr>
          <w:lang w:val="fr-FR"/>
        </w:rPr>
        <w:tab/>
        <w:t>Les valeurs limites OBD pour les véhicules ayant reçu une homologation de type conformément aux limites d</w:t>
      </w:r>
      <w:r w:rsidR="00DB4C2D">
        <w:rPr>
          <w:lang w:val="fr-FR"/>
        </w:rPr>
        <w:t>’</w:t>
      </w:r>
      <w:r w:rsidRPr="00A779B8">
        <w:rPr>
          <w:lang w:val="fr-FR"/>
        </w:rPr>
        <w:t>émission énoncées dans le tableau 1 du paragraphe 5.3.1.4 du présent Règlement à partir des dates indiquées aux paragraphes 12.2.3 et 12.2.4 du présent Règlement pour les nouvelles homologations de type et les nouveaux véhicules respectivement sont indiquées dans le tableau A11/1.</w:t>
      </w:r>
    </w:p>
    <w:p w:rsidR="005E010E" w:rsidRPr="00A779B8" w:rsidRDefault="005E010E" w:rsidP="005E010E">
      <w:pPr>
        <w:keepNext/>
        <w:pBdr>
          <w:top w:val="single" w:sz="6" w:space="0" w:color="FFFFFF"/>
          <w:left w:val="single" w:sz="6" w:space="0" w:color="FFFFFF"/>
          <w:bottom w:val="single" w:sz="6" w:space="0" w:color="FFFFFF"/>
          <w:right w:val="single" w:sz="6" w:space="0" w:color="FFFFFF"/>
        </w:pBdr>
        <w:spacing w:after="120"/>
        <w:rPr>
          <w:lang w:val="fr-FR"/>
        </w:rPr>
      </w:pPr>
      <w:r w:rsidRPr="00A779B8">
        <w:rPr>
          <w:lang w:val="fr-FR"/>
        </w:rPr>
        <w:lastRenderedPageBreak/>
        <w:t>Tableau A11/1</w:t>
      </w:r>
      <w:r w:rsidRPr="00A779B8">
        <w:rPr>
          <w:lang w:val="fr-FR"/>
        </w:rPr>
        <w:br/>
      </w:r>
      <w:r w:rsidRPr="00A779B8">
        <w:rPr>
          <w:b/>
          <w:lang w:val="fr-FR"/>
        </w:rPr>
        <w:t>Valeurs limites OBD finales</w:t>
      </w:r>
    </w:p>
    <w:tbl>
      <w:tblPr>
        <w:tblW w:w="0" w:type="auto"/>
        <w:jc w:val="center"/>
        <w:tblLayout w:type="fixed"/>
        <w:tblCellMar>
          <w:left w:w="57" w:type="dxa"/>
          <w:right w:w="57" w:type="dxa"/>
        </w:tblCellMar>
        <w:tblLook w:val="0000" w:firstRow="0" w:lastRow="0" w:firstColumn="0" w:lastColumn="0" w:noHBand="0" w:noVBand="0"/>
      </w:tblPr>
      <w:tblGrid>
        <w:gridCol w:w="900"/>
        <w:gridCol w:w="700"/>
        <w:gridCol w:w="1600"/>
        <w:gridCol w:w="700"/>
        <w:gridCol w:w="700"/>
        <w:gridCol w:w="700"/>
        <w:gridCol w:w="700"/>
        <w:gridCol w:w="600"/>
        <w:gridCol w:w="600"/>
        <w:gridCol w:w="600"/>
        <w:gridCol w:w="600"/>
        <w:gridCol w:w="600"/>
        <w:gridCol w:w="639"/>
      </w:tblGrid>
      <w:tr w:rsidR="005E010E" w:rsidRPr="00A779B8" w:rsidTr="00DB4C2D">
        <w:trPr>
          <w:tblHeader/>
          <w:jc w:val="center"/>
        </w:trPr>
        <w:tc>
          <w:tcPr>
            <w:tcW w:w="1600" w:type="dxa"/>
            <w:gridSpan w:val="2"/>
            <w:vMerge w:val="restart"/>
            <w:tcBorders>
              <w:top w:val="single" w:sz="2" w:space="0" w:color="auto"/>
              <w:left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p>
        </w:tc>
        <w:tc>
          <w:tcPr>
            <w:tcW w:w="1600" w:type="dxa"/>
            <w:vMerge w:val="restart"/>
            <w:tcBorders>
              <w:top w:val="single" w:sz="2" w:space="0" w:color="auto"/>
              <w:left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 xml:space="preserve">Masse </w:t>
            </w:r>
            <w:r w:rsidRPr="00A779B8">
              <w:rPr>
                <w:i/>
                <w:sz w:val="16"/>
                <w:szCs w:val="16"/>
                <w:lang w:val="fr-FR"/>
              </w:rPr>
              <w:br/>
              <w:t>de référence (RM) (kg)</w:t>
            </w:r>
          </w:p>
        </w:tc>
        <w:tc>
          <w:tcPr>
            <w:tcW w:w="14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 xml:space="preserve">Masse </w:t>
            </w:r>
            <w:r w:rsidRPr="00A779B8">
              <w:rPr>
                <w:i/>
                <w:sz w:val="16"/>
                <w:szCs w:val="16"/>
                <w:lang w:val="fr-FR"/>
              </w:rPr>
              <w:br/>
              <w:t xml:space="preserve">de monoxyde </w:t>
            </w:r>
            <w:r w:rsidRPr="00A779B8">
              <w:rPr>
                <w:i/>
                <w:sz w:val="16"/>
                <w:szCs w:val="16"/>
                <w:lang w:val="fr-FR"/>
              </w:rPr>
              <w:br/>
              <w:t>de carbone</w:t>
            </w:r>
          </w:p>
        </w:tc>
        <w:tc>
          <w:tcPr>
            <w:tcW w:w="14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Masse d</w:t>
            </w:r>
            <w:r w:rsidR="00DB4C2D">
              <w:rPr>
                <w:i/>
                <w:sz w:val="16"/>
                <w:szCs w:val="16"/>
                <w:lang w:val="fr-FR"/>
              </w:rPr>
              <w:t>’</w:t>
            </w:r>
            <w:r w:rsidRPr="00A779B8">
              <w:rPr>
                <w:i/>
                <w:sz w:val="16"/>
                <w:szCs w:val="16"/>
                <w:lang w:val="fr-FR"/>
              </w:rPr>
              <w:t>hydrocarbures non méthaniques</w:t>
            </w:r>
          </w:p>
        </w:tc>
        <w:tc>
          <w:tcPr>
            <w:tcW w:w="12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 xml:space="preserve">Masse </w:t>
            </w:r>
            <w:r w:rsidRPr="00A779B8">
              <w:rPr>
                <w:i/>
                <w:sz w:val="16"/>
                <w:szCs w:val="16"/>
                <w:lang w:val="fr-FR"/>
              </w:rPr>
              <w:br/>
              <w:t>d</w:t>
            </w:r>
            <w:r w:rsidR="00DB4C2D">
              <w:rPr>
                <w:i/>
                <w:sz w:val="16"/>
                <w:szCs w:val="16"/>
                <w:lang w:val="fr-FR"/>
              </w:rPr>
              <w:t>’</w:t>
            </w:r>
            <w:r w:rsidRPr="00A779B8">
              <w:rPr>
                <w:i/>
                <w:sz w:val="16"/>
                <w:szCs w:val="16"/>
                <w:lang w:val="fr-FR"/>
              </w:rPr>
              <w:t>oxydes d</w:t>
            </w:r>
            <w:r w:rsidR="00DB4C2D">
              <w:rPr>
                <w:i/>
                <w:sz w:val="16"/>
                <w:szCs w:val="16"/>
                <w:lang w:val="fr-FR"/>
              </w:rPr>
              <w:t>’</w:t>
            </w:r>
            <w:r w:rsidRPr="00A779B8">
              <w:rPr>
                <w:i/>
                <w:sz w:val="16"/>
                <w:szCs w:val="16"/>
                <w:lang w:val="fr-FR"/>
              </w:rPr>
              <w:t>azote</w:t>
            </w:r>
          </w:p>
        </w:tc>
        <w:tc>
          <w:tcPr>
            <w:tcW w:w="12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Masse</w:t>
            </w:r>
            <w:r w:rsidRPr="00A779B8">
              <w:rPr>
                <w:i/>
                <w:sz w:val="16"/>
                <w:szCs w:val="16"/>
                <w:lang w:val="fr-FR"/>
              </w:rPr>
              <w:br/>
              <w:t>de particules</w:t>
            </w:r>
            <w:r w:rsidRPr="00A779B8">
              <w:rPr>
                <w:sz w:val="18"/>
                <w:szCs w:val="18"/>
                <w:vertAlign w:val="superscript"/>
                <w:lang w:val="fr-FR"/>
              </w:rPr>
              <w:t>1</w:t>
            </w:r>
          </w:p>
        </w:tc>
        <w:tc>
          <w:tcPr>
            <w:tcW w:w="1239"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 xml:space="preserve">Nombre </w:t>
            </w:r>
            <w:r w:rsidRPr="00A779B8">
              <w:rPr>
                <w:i/>
                <w:sz w:val="16"/>
                <w:szCs w:val="16"/>
                <w:lang w:val="fr-FR"/>
              </w:rPr>
              <w:br/>
              <w:t>de particule</w:t>
            </w:r>
            <w:r w:rsidRPr="00A779B8">
              <w:rPr>
                <w:sz w:val="16"/>
                <w:szCs w:val="16"/>
                <w:lang w:val="fr-FR"/>
              </w:rPr>
              <w:t>s</w:t>
            </w:r>
            <w:r w:rsidRPr="00A779B8">
              <w:rPr>
                <w:sz w:val="18"/>
                <w:szCs w:val="18"/>
                <w:vertAlign w:val="superscript"/>
                <w:lang w:val="fr-FR"/>
              </w:rPr>
              <w:t>1</w:t>
            </w:r>
          </w:p>
        </w:tc>
      </w:tr>
      <w:tr w:rsidR="005E010E" w:rsidRPr="00A779B8" w:rsidTr="00DB4C2D">
        <w:trPr>
          <w:tblHeader/>
          <w:jc w:val="center"/>
        </w:trPr>
        <w:tc>
          <w:tcPr>
            <w:tcW w:w="1600" w:type="dxa"/>
            <w:gridSpan w:val="2"/>
            <w:vMerge/>
            <w:tcBorders>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p>
        </w:tc>
        <w:tc>
          <w:tcPr>
            <w:tcW w:w="1600" w:type="dxa"/>
            <w:vMerge/>
            <w:tcBorders>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p>
        </w:tc>
        <w:tc>
          <w:tcPr>
            <w:tcW w:w="14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(CO)</w:t>
            </w:r>
            <w:r w:rsidRPr="00A779B8">
              <w:rPr>
                <w:i/>
                <w:sz w:val="16"/>
                <w:szCs w:val="16"/>
                <w:lang w:val="fr-FR"/>
              </w:rPr>
              <w:br/>
              <w:t>(mg/km)</w:t>
            </w:r>
          </w:p>
        </w:tc>
        <w:tc>
          <w:tcPr>
            <w:tcW w:w="14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(NMHC)</w:t>
            </w:r>
            <w:r w:rsidRPr="00A779B8">
              <w:rPr>
                <w:i/>
                <w:sz w:val="16"/>
                <w:szCs w:val="16"/>
                <w:lang w:val="fr-FR"/>
              </w:rPr>
              <w:br/>
              <w:t>(mg/km)</w:t>
            </w:r>
          </w:p>
        </w:tc>
        <w:tc>
          <w:tcPr>
            <w:tcW w:w="12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w:t>
            </w:r>
            <w:proofErr w:type="spellStart"/>
            <w:r w:rsidRPr="00A779B8">
              <w:rPr>
                <w:i/>
                <w:sz w:val="16"/>
                <w:szCs w:val="16"/>
                <w:lang w:val="fr-FR"/>
              </w:rPr>
              <w:t>NO</w:t>
            </w:r>
            <w:r w:rsidRPr="00A779B8">
              <w:rPr>
                <w:i/>
                <w:sz w:val="16"/>
                <w:szCs w:val="16"/>
                <w:vertAlign w:val="subscript"/>
                <w:lang w:val="fr-FR"/>
              </w:rPr>
              <w:t>x</w:t>
            </w:r>
            <w:proofErr w:type="spellEnd"/>
            <w:r w:rsidRPr="00A779B8">
              <w:rPr>
                <w:i/>
                <w:sz w:val="16"/>
                <w:szCs w:val="16"/>
                <w:lang w:val="fr-FR"/>
              </w:rPr>
              <w:t>)</w:t>
            </w:r>
            <w:r w:rsidRPr="00A779B8">
              <w:rPr>
                <w:i/>
                <w:sz w:val="16"/>
                <w:szCs w:val="16"/>
                <w:lang w:val="fr-FR"/>
              </w:rPr>
              <w:br/>
              <w:t>(mg/km)</w:t>
            </w:r>
          </w:p>
        </w:tc>
        <w:tc>
          <w:tcPr>
            <w:tcW w:w="12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(PM)</w:t>
            </w:r>
            <w:r w:rsidRPr="00A779B8">
              <w:rPr>
                <w:i/>
                <w:sz w:val="16"/>
                <w:szCs w:val="16"/>
                <w:lang w:val="fr-FR"/>
              </w:rPr>
              <w:br/>
              <w:t>(mg/km)</w:t>
            </w:r>
          </w:p>
        </w:tc>
        <w:tc>
          <w:tcPr>
            <w:tcW w:w="1239"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(PN)</w:t>
            </w:r>
            <w:r w:rsidRPr="00A779B8">
              <w:rPr>
                <w:i/>
                <w:sz w:val="16"/>
                <w:szCs w:val="16"/>
                <w:lang w:val="fr-FR"/>
              </w:rPr>
              <w:br/>
              <w:t>(#/km)</w:t>
            </w:r>
          </w:p>
        </w:tc>
      </w:tr>
      <w:tr w:rsidR="005E010E" w:rsidRPr="00A779B8" w:rsidTr="00DB4C2D">
        <w:trPr>
          <w:tblHeader/>
          <w:jc w:val="center"/>
        </w:trPr>
        <w:tc>
          <w:tcPr>
            <w:tcW w:w="9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Catégorie</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Classe</w:t>
            </w:r>
          </w:p>
        </w:tc>
        <w:tc>
          <w:tcPr>
            <w:tcW w:w="1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PI</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PI</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PI</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PI</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63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PI</w:t>
            </w:r>
          </w:p>
        </w:tc>
      </w:tr>
      <w:tr w:rsidR="005E010E" w:rsidRPr="00A779B8" w:rsidTr="00DB4C2D">
        <w:trPr>
          <w:jc w:val="center"/>
        </w:trPr>
        <w:tc>
          <w:tcPr>
            <w:tcW w:w="9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M</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w:t>
            </w:r>
          </w:p>
        </w:tc>
        <w:tc>
          <w:tcPr>
            <w:tcW w:w="1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Toutes</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1 900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1 750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170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290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90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140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p>
        </w:tc>
      </w:tr>
      <w:tr w:rsidR="005E010E" w:rsidRPr="00A779B8" w:rsidTr="00DB4C2D">
        <w:trPr>
          <w:jc w:val="center"/>
        </w:trPr>
        <w:tc>
          <w:tcPr>
            <w:tcW w:w="900" w:type="dxa"/>
            <w:vMerge w:val="restart"/>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N</w:t>
            </w:r>
            <w:r w:rsidRPr="00A779B8">
              <w:rPr>
                <w:sz w:val="18"/>
                <w:szCs w:val="18"/>
                <w:vertAlign w:val="subscript"/>
                <w:lang w:val="fr-FR"/>
              </w:rPr>
              <w:t>1</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I</w:t>
            </w:r>
          </w:p>
        </w:tc>
        <w:tc>
          <w:tcPr>
            <w:tcW w:w="1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RM ≤ 1 305</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1 900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1 750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170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290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90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140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p>
        </w:tc>
      </w:tr>
      <w:tr w:rsidR="005E010E" w:rsidRPr="00A779B8" w:rsidTr="00DB4C2D">
        <w:trPr>
          <w:jc w:val="center"/>
        </w:trPr>
        <w:tc>
          <w:tcPr>
            <w:tcW w:w="900" w:type="dxa"/>
            <w:vMerge/>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II</w:t>
            </w:r>
          </w:p>
        </w:tc>
        <w:tc>
          <w:tcPr>
            <w:tcW w:w="1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1 305 &lt; RM ≤ 1 760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3 400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2 200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225</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320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110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180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p>
        </w:tc>
      </w:tr>
      <w:tr w:rsidR="005E010E" w:rsidRPr="00A779B8" w:rsidTr="00DB4C2D">
        <w:trPr>
          <w:jc w:val="center"/>
        </w:trPr>
        <w:tc>
          <w:tcPr>
            <w:tcW w:w="900" w:type="dxa"/>
            <w:vMerge/>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III</w:t>
            </w:r>
          </w:p>
        </w:tc>
        <w:tc>
          <w:tcPr>
            <w:tcW w:w="1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1 760 &lt; RM</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4 300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2 500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270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350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220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p>
        </w:tc>
      </w:tr>
      <w:tr w:rsidR="005E010E" w:rsidRPr="00A779B8" w:rsidTr="00DB4C2D">
        <w:trPr>
          <w:jc w:val="center"/>
        </w:trPr>
        <w:tc>
          <w:tcPr>
            <w:tcW w:w="9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N</w:t>
            </w:r>
            <w:r w:rsidRPr="00A779B8">
              <w:rPr>
                <w:sz w:val="18"/>
                <w:szCs w:val="18"/>
                <w:vertAlign w:val="subscript"/>
                <w:lang w:val="fr-FR"/>
              </w:rPr>
              <w:t>2</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w:t>
            </w:r>
          </w:p>
        </w:tc>
        <w:tc>
          <w:tcPr>
            <w:tcW w:w="1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Toutes</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4 300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2 500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270</w:t>
            </w:r>
          </w:p>
        </w:tc>
        <w:tc>
          <w:tcPr>
            <w:tcW w:w="7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350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220</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12</w:t>
            </w:r>
          </w:p>
        </w:tc>
        <w:tc>
          <w:tcPr>
            <w:tcW w:w="60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p>
        </w:tc>
      </w:tr>
    </w:tbl>
    <w:p w:rsidR="005E010E" w:rsidRPr="00A779B8" w:rsidRDefault="005E010E" w:rsidP="005E010E">
      <w:pPr>
        <w:pStyle w:val="SingleTxtG"/>
        <w:tabs>
          <w:tab w:val="left" w:pos="1100"/>
        </w:tabs>
        <w:spacing w:before="120" w:after="0"/>
        <w:ind w:left="170" w:right="0"/>
        <w:jc w:val="left"/>
        <w:rPr>
          <w:sz w:val="18"/>
          <w:szCs w:val="18"/>
          <w:lang w:val="fr-FR"/>
        </w:rPr>
      </w:pPr>
      <w:r w:rsidRPr="00A779B8">
        <w:rPr>
          <w:i/>
          <w:sz w:val="18"/>
          <w:szCs w:val="18"/>
          <w:lang w:val="fr-FR"/>
        </w:rPr>
        <w:t>Légende</w:t>
      </w:r>
      <w:r w:rsidRPr="00A779B8">
        <w:rPr>
          <w:sz w:val="18"/>
          <w:szCs w:val="18"/>
          <w:lang w:val="fr-FR"/>
        </w:rPr>
        <w:t>:</w:t>
      </w:r>
      <w:r w:rsidRPr="00A779B8">
        <w:rPr>
          <w:sz w:val="18"/>
          <w:szCs w:val="18"/>
          <w:lang w:val="fr-FR"/>
        </w:rPr>
        <w:tab/>
        <w:t>PI = Allumage commandé,</w:t>
      </w:r>
      <w:r w:rsidRPr="00A779B8">
        <w:rPr>
          <w:sz w:val="18"/>
          <w:szCs w:val="18"/>
          <w:lang w:val="fr-FR"/>
        </w:rPr>
        <w:br/>
      </w:r>
      <w:r w:rsidRPr="00A779B8">
        <w:rPr>
          <w:sz w:val="18"/>
          <w:szCs w:val="18"/>
          <w:lang w:val="fr-FR"/>
        </w:rPr>
        <w:tab/>
        <w:t>CI = Allumage par compression.</w:t>
      </w:r>
    </w:p>
    <w:p w:rsidR="005E010E" w:rsidRDefault="005E010E" w:rsidP="005E010E">
      <w:pPr>
        <w:ind w:left="454" w:hanging="284"/>
        <w:rPr>
          <w:lang w:val="fr-FR"/>
        </w:rPr>
      </w:pPr>
      <w:r w:rsidRPr="00A779B8">
        <w:rPr>
          <w:rFonts w:eastAsia="EUAlbertina-Regular-Identity-H"/>
          <w:bCs/>
          <w:i/>
          <w:sz w:val="18"/>
          <w:szCs w:val="18"/>
          <w:vertAlign w:val="superscript"/>
          <w:lang w:val="fr-FR" w:eastAsia="en-GB"/>
        </w:rPr>
        <w:t>1</w:t>
      </w:r>
      <w:r w:rsidRPr="00A779B8">
        <w:rPr>
          <w:sz w:val="18"/>
          <w:szCs w:val="18"/>
          <w:lang w:val="fr-FR"/>
        </w:rPr>
        <w:tab/>
        <w:t>Les limites concernant la masse de particules pour l</w:t>
      </w:r>
      <w:r w:rsidR="00DB4C2D">
        <w:rPr>
          <w:sz w:val="18"/>
          <w:szCs w:val="18"/>
          <w:lang w:val="fr-FR"/>
        </w:rPr>
        <w:t>’</w:t>
      </w:r>
      <w:r w:rsidRPr="00A779B8">
        <w:rPr>
          <w:sz w:val="18"/>
          <w:szCs w:val="18"/>
          <w:lang w:val="fr-FR"/>
        </w:rPr>
        <w:t>allumage commandé ne s</w:t>
      </w:r>
      <w:r w:rsidR="00DB4C2D">
        <w:rPr>
          <w:sz w:val="18"/>
          <w:szCs w:val="18"/>
          <w:lang w:val="fr-FR"/>
        </w:rPr>
        <w:t>’</w:t>
      </w:r>
      <w:r w:rsidRPr="00A779B8">
        <w:rPr>
          <w:sz w:val="18"/>
          <w:szCs w:val="18"/>
          <w:lang w:val="fr-FR"/>
        </w:rPr>
        <w:t>appliquent qu</w:t>
      </w:r>
      <w:r w:rsidR="00DB4C2D">
        <w:rPr>
          <w:sz w:val="18"/>
          <w:szCs w:val="18"/>
          <w:lang w:val="fr-FR"/>
        </w:rPr>
        <w:t>’</w:t>
      </w:r>
      <w:r>
        <w:rPr>
          <w:sz w:val="18"/>
          <w:szCs w:val="18"/>
          <w:lang w:val="fr-FR"/>
        </w:rPr>
        <w:t xml:space="preserve">aux </w:t>
      </w:r>
      <w:r w:rsidRPr="00A779B8">
        <w:rPr>
          <w:sz w:val="18"/>
          <w:szCs w:val="18"/>
          <w:lang w:val="fr-FR"/>
        </w:rPr>
        <w:t>véhicules équipés d</w:t>
      </w:r>
      <w:r w:rsidR="00DB4C2D">
        <w:rPr>
          <w:sz w:val="18"/>
          <w:szCs w:val="18"/>
          <w:lang w:val="fr-FR"/>
        </w:rPr>
        <w:t>’</w:t>
      </w:r>
      <w:r w:rsidRPr="00A779B8">
        <w:rPr>
          <w:sz w:val="18"/>
          <w:szCs w:val="18"/>
          <w:lang w:val="fr-FR"/>
        </w:rPr>
        <w:t>un moteur à injection directe.</w:t>
      </w:r>
    </w:p>
    <w:p w:rsidR="005E010E" w:rsidRPr="00A779B8" w:rsidRDefault="005E010E" w:rsidP="005E010E">
      <w:pPr>
        <w:pStyle w:val="SingleTxtG"/>
        <w:spacing w:before="240"/>
        <w:ind w:left="2268" w:hanging="1134"/>
        <w:rPr>
          <w:lang w:val="fr-FR"/>
        </w:rPr>
      </w:pPr>
      <w:r w:rsidRPr="00A779B8">
        <w:rPr>
          <w:lang w:val="fr-FR"/>
        </w:rPr>
        <w:t>3.3.2.2</w:t>
      </w:r>
      <w:r w:rsidRPr="00A779B8">
        <w:rPr>
          <w:lang w:val="fr-FR"/>
        </w:rPr>
        <w:tab/>
        <w:t>Jusqu</w:t>
      </w:r>
      <w:r w:rsidR="00DB4C2D">
        <w:rPr>
          <w:lang w:val="fr-FR"/>
        </w:rPr>
        <w:t>’</w:t>
      </w:r>
      <w:r w:rsidRPr="00A779B8">
        <w:rPr>
          <w:lang w:val="fr-FR"/>
        </w:rPr>
        <w:t>aux dates spécifiées aux paragraphes 12.2.3 et 12.2.4 du présent Règlement pour les nouvelles homologations de type et les nouveaux véhicules respectivement, les valeurs limites OBD du tableau A11/2 doivent être appliquées aux véhicules qui font l</w:t>
      </w:r>
      <w:r w:rsidR="00DB4C2D">
        <w:rPr>
          <w:lang w:val="fr-FR"/>
        </w:rPr>
        <w:t>’</w:t>
      </w:r>
      <w:r w:rsidRPr="00A779B8">
        <w:rPr>
          <w:lang w:val="fr-FR"/>
        </w:rPr>
        <w:t>objet d</w:t>
      </w:r>
      <w:r w:rsidR="00DB4C2D">
        <w:rPr>
          <w:lang w:val="fr-FR"/>
        </w:rPr>
        <w:t>’</w:t>
      </w:r>
      <w:r w:rsidRPr="00A779B8">
        <w:rPr>
          <w:lang w:val="fr-FR"/>
        </w:rPr>
        <w:t>une homologation de type conformément aux limites d</w:t>
      </w:r>
      <w:r w:rsidR="00DB4C2D">
        <w:rPr>
          <w:lang w:val="fr-FR"/>
        </w:rPr>
        <w:t>’</w:t>
      </w:r>
      <w:r w:rsidRPr="00A779B8">
        <w:rPr>
          <w:lang w:val="fr-FR"/>
        </w:rPr>
        <w:t>émission énoncées dans le tableau 1 du paragraphe 5.3.1.4 du présent Règlement, selon le choix du constructeur.</w:t>
      </w:r>
    </w:p>
    <w:p w:rsidR="005E010E" w:rsidRPr="00A779B8" w:rsidRDefault="005E010E" w:rsidP="005E010E">
      <w:pPr>
        <w:pStyle w:val="Titre1"/>
        <w:spacing w:after="120"/>
        <w:ind w:left="0"/>
        <w:rPr>
          <w:b/>
          <w:lang w:val="fr-FR"/>
        </w:rPr>
      </w:pPr>
      <w:r w:rsidRPr="00A779B8">
        <w:rPr>
          <w:lang w:val="fr-FR"/>
        </w:rPr>
        <w:t>Tableau A11/2</w:t>
      </w:r>
      <w:r w:rsidRPr="00A779B8">
        <w:rPr>
          <w:lang w:val="fr-FR"/>
        </w:rPr>
        <w:br/>
      </w:r>
      <w:r w:rsidRPr="00A779B8">
        <w:rPr>
          <w:b/>
          <w:lang w:val="fr-FR"/>
        </w:rPr>
        <w:t>Valeurs limites OBD préliminaires</w:t>
      </w:r>
    </w:p>
    <w:tbl>
      <w:tblPr>
        <w:tblW w:w="9780" w:type="dxa"/>
        <w:jc w:val="center"/>
        <w:tblLayout w:type="fixed"/>
        <w:tblCellMar>
          <w:left w:w="57" w:type="dxa"/>
          <w:right w:w="57" w:type="dxa"/>
        </w:tblCellMar>
        <w:tblLook w:val="0000" w:firstRow="0" w:lastRow="0" w:firstColumn="0" w:lastColumn="0" w:noHBand="0" w:noVBand="0"/>
      </w:tblPr>
      <w:tblGrid>
        <w:gridCol w:w="902"/>
        <w:gridCol w:w="697"/>
        <w:gridCol w:w="1599"/>
        <w:gridCol w:w="697"/>
        <w:gridCol w:w="703"/>
        <w:gridCol w:w="697"/>
        <w:gridCol w:w="703"/>
        <w:gridCol w:w="1202"/>
        <w:gridCol w:w="1202"/>
        <w:gridCol w:w="689"/>
        <w:gridCol w:w="689"/>
      </w:tblGrid>
      <w:tr w:rsidR="005E010E" w:rsidRPr="00A779B8" w:rsidTr="00DB4C2D">
        <w:trPr>
          <w:jc w:val="center"/>
        </w:trPr>
        <w:tc>
          <w:tcPr>
            <w:tcW w:w="1599" w:type="dxa"/>
            <w:gridSpan w:val="2"/>
            <w:vMerge w:val="restart"/>
            <w:tcBorders>
              <w:top w:val="single" w:sz="2" w:space="0" w:color="auto"/>
              <w:left w:val="single" w:sz="2" w:space="0" w:color="auto"/>
              <w:right w:val="single" w:sz="2" w:space="0" w:color="auto"/>
            </w:tcBorders>
            <w:vAlign w:val="center"/>
          </w:tcPr>
          <w:p w:rsidR="005E010E" w:rsidRPr="00A779B8" w:rsidRDefault="005E010E" w:rsidP="00DB4C2D">
            <w:pPr>
              <w:spacing w:before="60" w:after="60" w:line="200" w:lineRule="exact"/>
              <w:jc w:val="center"/>
              <w:rPr>
                <w:i/>
                <w:sz w:val="16"/>
                <w:szCs w:val="16"/>
                <w:lang w:val="fr-FR"/>
              </w:rPr>
            </w:pPr>
          </w:p>
        </w:tc>
        <w:tc>
          <w:tcPr>
            <w:tcW w:w="1599" w:type="dxa"/>
            <w:vMerge w:val="restart"/>
            <w:tcBorders>
              <w:top w:val="single" w:sz="2" w:space="0" w:color="auto"/>
              <w:left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 xml:space="preserve">Masse </w:t>
            </w:r>
            <w:r w:rsidRPr="00A779B8">
              <w:rPr>
                <w:i/>
                <w:sz w:val="16"/>
                <w:szCs w:val="16"/>
                <w:lang w:val="fr-FR"/>
              </w:rPr>
              <w:br/>
              <w:t>de référence (RM) (kg)</w:t>
            </w:r>
          </w:p>
        </w:tc>
        <w:tc>
          <w:tcPr>
            <w:tcW w:w="14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 xml:space="preserve">Masse </w:t>
            </w:r>
            <w:r w:rsidRPr="00A779B8">
              <w:rPr>
                <w:i/>
                <w:sz w:val="16"/>
                <w:szCs w:val="16"/>
                <w:lang w:val="fr-FR"/>
              </w:rPr>
              <w:br/>
              <w:t xml:space="preserve">de monoxyde </w:t>
            </w:r>
            <w:r w:rsidRPr="00A779B8">
              <w:rPr>
                <w:i/>
                <w:sz w:val="16"/>
                <w:szCs w:val="16"/>
                <w:lang w:val="fr-FR"/>
              </w:rPr>
              <w:br/>
              <w:t>de carbone</w:t>
            </w:r>
          </w:p>
        </w:tc>
        <w:tc>
          <w:tcPr>
            <w:tcW w:w="14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Masse d</w:t>
            </w:r>
            <w:r w:rsidR="00DB4C2D">
              <w:rPr>
                <w:i/>
                <w:sz w:val="16"/>
                <w:szCs w:val="16"/>
                <w:lang w:val="fr-FR"/>
              </w:rPr>
              <w:t>’</w:t>
            </w:r>
            <w:r w:rsidRPr="00A779B8">
              <w:rPr>
                <w:i/>
                <w:sz w:val="16"/>
                <w:szCs w:val="16"/>
                <w:lang w:val="fr-FR"/>
              </w:rPr>
              <w:t>hydrocarbures non méthaniques</w:t>
            </w:r>
          </w:p>
        </w:tc>
        <w:tc>
          <w:tcPr>
            <w:tcW w:w="2404"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Masse d</w:t>
            </w:r>
            <w:r w:rsidR="00DB4C2D">
              <w:rPr>
                <w:i/>
                <w:sz w:val="16"/>
                <w:szCs w:val="16"/>
                <w:lang w:val="fr-FR"/>
              </w:rPr>
              <w:t>’</w:t>
            </w:r>
            <w:r w:rsidRPr="00A779B8">
              <w:rPr>
                <w:i/>
                <w:sz w:val="16"/>
                <w:szCs w:val="16"/>
                <w:lang w:val="fr-FR"/>
              </w:rPr>
              <w:t>oxydes d</w:t>
            </w:r>
            <w:r w:rsidR="00DB4C2D">
              <w:rPr>
                <w:i/>
                <w:sz w:val="16"/>
                <w:szCs w:val="16"/>
                <w:lang w:val="fr-FR"/>
              </w:rPr>
              <w:t>’</w:t>
            </w:r>
            <w:r w:rsidRPr="00A779B8">
              <w:rPr>
                <w:i/>
                <w:sz w:val="16"/>
                <w:szCs w:val="16"/>
                <w:lang w:val="fr-FR"/>
              </w:rPr>
              <w:t>azote</w:t>
            </w:r>
          </w:p>
        </w:tc>
        <w:tc>
          <w:tcPr>
            <w:tcW w:w="1378"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 xml:space="preserve">Masse </w:t>
            </w:r>
            <w:r w:rsidRPr="00A779B8">
              <w:rPr>
                <w:i/>
                <w:sz w:val="16"/>
                <w:szCs w:val="16"/>
                <w:lang w:val="fr-FR"/>
              </w:rPr>
              <w:br/>
              <w:t>de particule</w:t>
            </w:r>
            <w:r w:rsidRPr="00A779B8">
              <w:rPr>
                <w:sz w:val="16"/>
                <w:szCs w:val="16"/>
                <w:lang w:val="fr-FR"/>
              </w:rPr>
              <w:t>s</w:t>
            </w:r>
            <w:r w:rsidRPr="00A779B8">
              <w:rPr>
                <w:sz w:val="16"/>
                <w:szCs w:val="16"/>
                <w:vertAlign w:val="superscript"/>
                <w:lang w:val="fr-FR"/>
              </w:rPr>
              <w:t>1</w:t>
            </w:r>
          </w:p>
        </w:tc>
      </w:tr>
      <w:tr w:rsidR="005E010E" w:rsidRPr="00A779B8" w:rsidTr="00DB4C2D">
        <w:trPr>
          <w:jc w:val="center"/>
        </w:trPr>
        <w:tc>
          <w:tcPr>
            <w:tcW w:w="1599" w:type="dxa"/>
            <w:gridSpan w:val="2"/>
            <w:vMerge/>
            <w:tcBorders>
              <w:left w:val="single" w:sz="2" w:space="0" w:color="auto"/>
              <w:bottom w:val="single" w:sz="2" w:space="0" w:color="auto"/>
              <w:right w:val="single" w:sz="2" w:space="0" w:color="auto"/>
            </w:tcBorders>
            <w:vAlign w:val="center"/>
          </w:tcPr>
          <w:p w:rsidR="005E010E" w:rsidRPr="00A779B8" w:rsidRDefault="005E010E" w:rsidP="00DB4C2D">
            <w:pPr>
              <w:spacing w:before="60" w:after="60" w:line="200" w:lineRule="exact"/>
              <w:jc w:val="center"/>
              <w:rPr>
                <w:i/>
                <w:sz w:val="16"/>
                <w:szCs w:val="16"/>
                <w:lang w:val="fr-FR"/>
              </w:rPr>
            </w:pPr>
          </w:p>
        </w:tc>
        <w:tc>
          <w:tcPr>
            <w:tcW w:w="1599" w:type="dxa"/>
            <w:vMerge/>
            <w:tcBorders>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p>
        </w:tc>
        <w:tc>
          <w:tcPr>
            <w:tcW w:w="14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(CO)</w:t>
            </w:r>
            <w:r w:rsidRPr="00A779B8">
              <w:rPr>
                <w:i/>
                <w:sz w:val="16"/>
                <w:szCs w:val="16"/>
                <w:lang w:val="fr-FR"/>
              </w:rPr>
              <w:br/>
              <w:t>(mg/km)</w:t>
            </w:r>
          </w:p>
        </w:tc>
        <w:tc>
          <w:tcPr>
            <w:tcW w:w="1400"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(NMHC)</w:t>
            </w:r>
            <w:r w:rsidRPr="00A779B8">
              <w:rPr>
                <w:i/>
                <w:sz w:val="16"/>
                <w:szCs w:val="16"/>
                <w:lang w:val="fr-FR"/>
              </w:rPr>
              <w:br/>
              <w:t>(mg/km)</w:t>
            </w:r>
          </w:p>
        </w:tc>
        <w:tc>
          <w:tcPr>
            <w:tcW w:w="2404"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w:t>
            </w:r>
            <w:proofErr w:type="spellStart"/>
            <w:r w:rsidRPr="00A779B8">
              <w:rPr>
                <w:i/>
                <w:sz w:val="16"/>
                <w:szCs w:val="16"/>
                <w:lang w:val="fr-FR"/>
              </w:rPr>
              <w:t>NO</w:t>
            </w:r>
            <w:r w:rsidRPr="00A779B8">
              <w:rPr>
                <w:i/>
                <w:sz w:val="16"/>
                <w:szCs w:val="16"/>
                <w:vertAlign w:val="subscript"/>
                <w:lang w:val="fr-FR"/>
              </w:rPr>
              <w:t>x</w:t>
            </w:r>
            <w:proofErr w:type="spellEnd"/>
            <w:r w:rsidRPr="00A779B8">
              <w:rPr>
                <w:i/>
                <w:sz w:val="16"/>
                <w:szCs w:val="16"/>
                <w:lang w:val="fr-FR"/>
              </w:rPr>
              <w:t>)</w:t>
            </w:r>
            <w:r w:rsidRPr="00A779B8">
              <w:rPr>
                <w:i/>
                <w:sz w:val="16"/>
                <w:szCs w:val="16"/>
                <w:lang w:val="fr-FR"/>
              </w:rPr>
              <w:br/>
              <w:t>(mg/km)</w:t>
            </w:r>
          </w:p>
        </w:tc>
        <w:tc>
          <w:tcPr>
            <w:tcW w:w="1378" w:type="dxa"/>
            <w:gridSpan w:val="2"/>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(PM)</w:t>
            </w:r>
            <w:r w:rsidRPr="00A779B8">
              <w:rPr>
                <w:i/>
                <w:sz w:val="16"/>
                <w:szCs w:val="16"/>
                <w:lang w:val="fr-FR"/>
              </w:rPr>
              <w:br/>
              <w:t>(mg/km)</w:t>
            </w:r>
          </w:p>
        </w:tc>
      </w:tr>
      <w:tr w:rsidR="005E010E" w:rsidRPr="00A779B8" w:rsidTr="00DB4C2D">
        <w:trPr>
          <w:jc w:val="center"/>
        </w:trPr>
        <w:tc>
          <w:tcPr>
            <w:tcW w:w="902"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spacing w:before="60" w:after="60" w:line="200" w:lineRule="exact"/>
              <w:jc w:val="center"/>
              <w:rPr>
                <w:i/>
                <w:sz w:val="16"/>
                <w:szCs w:val="16"/>
                <w:lang w:val="fr-FR"/>
              </w:rPr>
            </w:pPr>
            <w:r w:rsidRPr="00A779B8">
              <w:rPr>
                <w:i/>
                <w:sz w:val="16"/>
                <w:szCs w:val="16"/>
                <w:lang w:val="fr-FR"/>
              </w:rPr>
              <w:t>Catégorie</w:t>
            </w:r>
          </w:p>
        </w:tc>
        <w:tc>
          <w:tcPr>
            <w:tcW w:w="697"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Classe</w:t>
            </w:r>
          </w:p>
        </w:tc>
        <w:tc>
          <w:tcPr>
            <w:tcW w:w="1599"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p>
        </w:tc>
        <w:tc>
          <w:tcPr>
            <w:tcW w:w="697"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PI</w:t>
            </w:r>
          </w:p>
        </w:tc>
        <w:tc>
          <w:tcPr>
            <w:tcW w:w="703"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697"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PI</w:t>
            </w:r>
          </w:p>
        </w:tc>
        <w:tc>
          <w:tcPr>
            <w:tcW w:w="703"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1202"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PI</w:t>
            </w:r>
          </w:p>
        </w:tc>
        <w:tc>
          <w:tcPr>
            <w:tcW w:w="1202"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689"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689"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PI</w:t>
            </w:r>
          </w:p>
        </w:tc>
      </w:tr>
      <w:tr w:rsidR="005E010E" w:rsidRPr="00A779B8" w:rsidTr="00DB4C2D">
        <w:trPr>
          <w:jc w:val="center"/>
        </w:trPr>
        <w:tc>
          <w:tcPr>
            <w:tcW w:w="9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spacing w:before="60" w:after="60" w:line="220" w:lineRule="atLeast"/>
              <w:rPr>
                <w:sz w:val="18"/>
                <w:szCs w:val="18"/>
                <w:lang w:val="fr-FR"/>
              </w:rPr>
            </w:pPr>
            <w:r w:rsidRPr="00A779B8">
              <w:rPr>
                <w:sz w:val="18"/>
                <w:szCs w:val="18"/>
                <w:lang w:val="fr-FR"/>
              </w:rPr>
              <w:t>M</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w:t>
            </w:r>
          </w:p>
        </w:tc>
        <w:tc>
          <w:tcPr>
            <w:tcW w:w="159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Toutes</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1 900</w:t>
            </w:r>
          </w:p>
        </w:tc>
        <w:tc>
          <w:tcPr>
            <w:tcW w:w="703"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1 750</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170</w:t>
            </w:r>
          </w:p>
        </w:tc>
        <w:tc>
          <w:tcPr>
            <w:tcW w:w="703"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290</w:t>
            </w:r>
          </w:p>
        </w:tc>
        <w:tc>
          <w:tcPr>
            <w:tcW w:w="12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150</w:t>
            </w:r>
          </w:p>
        </w:tc>
        <w:tc>
          <w:tcPr>
            <w:tcW w:w="12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180</w:t>
            </w:r>
          </w:p>
        </w:tc>
        <w:tc>
          <w:tcPr>
            <w:tcW w:w="68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25</w:t>
            </w:r>
          </w:p>
        </w:tc>
        <w:tc>
          <w:tcPr>
            <w:tcW w:w="68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25</w:t>
            </w:r>
          </w:p>
        </w:tc>
      </w:tr>
      <w:tr w:rsidR="005E010E" w:rsidRPr="00A779B8" w:rsidTr="00DB4C2D">
        <w:trPr>
          <w:jc w:val="center"/>
        </w:trPr>
        <w:tc>
          <w:tcPr>
            <w:tcW w:w="902" w:type="dxa"/>
            <w:vMerge w:val="restart"/>
            <w:tcBorders>
              <w:top w:val="single" w:sz="2" w:space="0" w:color="auto"/>
              <w:left w:val="single" w:sz="2" w:space="0" w:color="auto"/>
              <w:bottom w:val="single" w:sz="2" w:space="0" w:color="auto"/>
              <w:right w:val="single" w:sz="2" w:space="0" w:color="auto"/>
            </w:tcBorders>
          </w:tcPr>
          <w:p w:rsidR="005E010E" w:rsidRPr="00A779B8" w:rsidRDefault="005E010E" w:rsidP="00DB4C2D">
            <w:pPr>
              <w:spacing w:before="60" w:after="60" w:line="220" w:lineRule="atLeast"/>
              <w:rPr>
                <w:sz w:val="18"/>
                <w:szCs w:val="18"/>
                <w:lang w:val="fr-FR"/>
              </w:rPr>
            </w:pPr>
            <w:r w:rsidRPr="00A779B8">
              <w:rPr>
                <w:sz w:val="18"/>
                <w:szCs w:val="18"/>
                <w:lang w:val="fr-FR"/>
              </w:rPr>
              <w:t>N</w:t>
            </w:r>
            <w:r w:rsidRPr="00A779B8">
              <w:rPr>
                <w:sz w:val="18"/>
                <w:szCs w:val="18"/>
                <w:vertAlign w:val="subscript"/>
                <w:lang w:val="fr-FR"/>
              </w:rPr>
              <w:t>1</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I</w:t>
            </w:r>
          </w:p>
        </w:tc>
        <w:tc>
          <w:tcPr>
            <w:tcW w:w="159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RM ≤ 1 305</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1 900</w:t>
            </w:r>
          </w:p>
        </w:tc>
        <w:tc>
          <w:tcPr>
            <w:tcW w:w="703"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1 750</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170</w:t>
            </w:r>
          </w:p>
        </w:tc>
        <w:tc>
          <w:tcPr>
            <w:tcW w:w="703"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290</w:t>
            </w:r>
          </w:p>
        </w:tc>
        <w:tc>
          <w:tcPr>
            <w:tcW w:w="12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150</w:t>
            </w:r>
          </w:p>
        </w:tc>
        <w:tc>
          <w:tcPr>
            <w:tcW w:w="12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180</w:t>
            </w:r>
          </w:p>
        </w:tc>
        <w:tc>
          <w:tcPr>
            <w:tcW w:w="68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25</w:t>
            </w:r>
          </w:p>
        </w:tc>
        <w:tc>
          <w:tcPr>
            <w:tcW w:w="68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25</w:t>
            </w:r>
          </w:p>
        </w:tc>
      </w:tr>
      <w:tr w:rsidR="005E010E" w:rsidRPr="00A779B8" w:rsidTr="00DB4C2D">
        <w:trPr>
          <w:jc w:val="center"/>
        </w:trPr>
        <w:tc>
          <w:tcPr>
            <w:tcW w:w="902" w:type="dxa"/>
            <w:vMerge/>
            <w:tcBorders>
              <w:top w:val="single" w:sz="2" w:space="0" w:color="auto"/>
              <w:left w:val="single" w:sz="2" w:space="0" w:color="auto"/>
              <w:bottom w:val="single" w:sz="2" w:space="0" w:color="auto"/>
              <w:right w:val="single" w:sz="2" w:space="0" w:color="auto"/>
            </w:tcBorders>
          </w:tcPr>
          <w:p w:rsidR="005E010E" w:rsidRPr="00A779B8" w:rsidRDefault="005E010E" w:rsidP="00DB4C2D">
            <w:pPr>
              <w:spacing w:before="60" w:after="60" w:line="220" w:lineRule="atLeast"/>
              <w:rPr>
                <w:sz w:val="18"/>
                <w:szCs w:val="18"/>
                <w:lang w:val="fr-FR"/>
              </w:rPr>
            </w:pP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II</w:t>
            </w:r>
          </w:p>
        </w:tc>
        <w:tc>
          <w:tcPr>
            <w:tcW w:w="159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1 305 &lt; RM ≤ 1 760</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3 400</w:t>
            </w:r>
          </w:p>
        </w:tc>
        <w:tc>
          <w:tcPr>
            <w:tcW w:w="703"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2 200</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225</w:t>
            </w:r>
          </w:p>
        </w:tc>
        <w:tc>
          <w:tcPr>
            <w:tcW w:w="703"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320</w:t>
            </w:r>
          </w:p>
        </w:tc>
        <w:tc>
          <w:tcPr>
            <w:tcW w:w="12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190</w:t>
            </w:r>
          </w:p>
        </w:tc>
        <w:tc>
          <w:tcPr>
            <w:tcW w:w="12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220</w:t>
            </w:r>
          </w:p>
        </w:tc>
        <w:tc>
          <w:tcPr>
            <w:tcW w:w="68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25</w:t>
            </w:r>
          </w:p>
        </w:tc>
        <w:tc>
          <w:tcPr>
            <w:tcW w:w="68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25</w:t>
            </w:r>
          </w:p>
        </w:tc>
      </w:tr>
      <w:tr w:rsidR="005E010E" w:rsidRPr="00A779B8" w:rsidTr="00DB4C2D">
        <w:trPr>
          <w:jc w:val="center"/>
        </w:trPr>
        <w:tc>
          <w:tcPr>
            <w:tcW w:w="902" w:type="dxa"/>
            <w:vMerge/>
            <w:tcBorders>
              <w:top w:val="single" w:sz="2" w:space="0" w:color="auto"/>
              <w:left w:val="single" w:sz="2" w:space="0" w:color="auto"/>
              <w:bottom w:val="single" w:sz="2" w:space="0" w:color="auto"/>
              <w:right w:val="single" w:sz="2" w:space="0" w:color="auto"/>
            </w:tcBorders>
          </w:tcPr>
          <w:p w:rsidR="005E010E" w:rsidRPr="00A779B8" w:rsidRDefault="005E010E" w:rsidP="00DB4C2D">
            <w:pPr>
              <w:spacing w:before="60" w:after="60" w:line="220" w:lineRule="atLeast"/>
              <w:rPr>
                <w:sz w:val="18"/>
                <w:szCs w:val="18"/>
                <w:lang w:val="fr-FR"/>
              </w:rPr>
            </w:pP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III</w:t>
            </w:r>
          </w:p>
        </w:tc>
        <w:tc>
          <w:tcPr>
            <w:tcW w:w="159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1 760 &lt; RM</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4 300</w:t>
            </w:r>
          </w:p>
        </w:tc>
        <w:tc>
          <w:tcPr>
            <w:tcW w:w="703"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2 500</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270</w:t>
            </w:r>
          </w:p>
        </w:tc>
        <w:tc>
          <w:tcPr>
            <w:tcW w:w="703"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350</w:t>
            </w:r>
          </w:p>
        </w:tc>
        <w:tc>
          <w:tcPr>
            <w:tcW w:w="12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210</w:t>
            </w:r>
          </w:p>
        </w:tc>
        <w:tc>
          <w:tcPr>
            <w:tcW w:w="12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280</w:t>
            </w:r>
          </w:p>
        </w:tc>
        <w:tc>
          <w:tcPr>
            <w:tcW w:w="68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30</w:t>
            </w:r>
          </w:p>
        </w:tc>
        <w:tc>
          <w:tcPr>
            <w:tcW w:w="68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30</w:t>
            </w:r>
          </w:p>
        </w:tc>
      </w:tr>
      <w:tr w:rsidR="005E010E" w:rsidRPr="00A779B8" w:rsidTr="00DB4C2D">
        <w:trPr>
          <w:jc w:val="center"/>
        </w:trPr>
        <w:tc>
          <w:tcPr>
            <w:tcW w:w="9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spacing w:before="60" w:after="60" w:line="220" w:lineRule="atLeast"/>
              <w:rPr>
                <w:sz w:val="18"/>
                <w:szCs w:val="18"/>
                <w:lang w:val="fr-FR"/>
              </w:rPr>
            </w:pPr>
            <w:r w:rsidRPr="00A779B8">
              <w:rPr>
                <w:sz w:val="18"/>
                <w:szCs w:val="18"/>
                <w:lang w:val="fr-FR"/>
              </w:rPr>
              <w:t>N</w:t>
            </w:r>
            <w:r w:rsidRPr="00A779B8">
              <w:rPr>
                <w:sz w:val="18"/>
                <w:szCs w:val="18"/>
                <w:vertAlign w:val="subscript"/>
                <w:lang w:val="fr-FR"/>
              </w:rPr>
              <w:t>2</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w:t>
            </w:r>
          </w:p>
        </w:tc>
        <w:tc>
          <w:tcPr>
            <w:tcW w:w="159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Toutes</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4 300</w:t>
            </w:r>
          </w:p>
        </w:tc>
        <w:tc>
          <w:tcPr>
            <w:tcW w:w="703"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2 500</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270</w:t>
            </w:r>
          </w:p>
        </w:tc>
        <w:tc>
          <w:tcPr>
            <w:tcW w:w="703"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350</w:t>
            </w:r>
          </w:p>
        </w:tc>
        <w:tc>
          <w:tcPr>
            <w:tcW w:w="12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210</w:t>
            </w:r>
          </w:p>
        </w:tc>
        <w:tc>
          <w:tcPr>
            <w:tcW w:w="12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280</w:t>
            </w:r>
          </w:p>
        </w:tc>
        <w:tc>
          <w:tcPr>
            <w:tcW w:w="68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30</w:t>
            </w:r>
          </w:p>
        </w:tc>
        <w:tc>
          <w:tcPr>
            <w:tcW w:w="68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30</w:t>
            </w:r>
          </w:p>
        </w:tc>
      </w:tr>
    </w:tbl>
    <w:p w:rsidR="005E010E" w:rsidRPr="00A779B8" w:rsidRDefault="005E010E" w:rsidP="005E010E">
      <w:pPr>
        <w:pStyle w:val="SingleTxtG"/>
        <w:tabs>
          <w:tab w:val="left" w:pos="1100"/>
        </w:tabs>
        <w:spacing w:before="120" w:after="0"/>
        <w:ind w:left="170" w:right="0"/>
        <w:jc w:val="left"/>
        <w:rPr>
          <w:sz w:val="18"/>
          <w:szCs w:val="18"/>
          <w:lang w:val="fr-FR"/>
        </w:rPr>
      </w:pPr>
      <w:r w:rsidRPr="00A779B8">
        <w:rPr>
          <w:i/>
          <w:sz w:val="18"/>
          <w:szCs w:val="18"/>
          <w:lang w:val="fr-FR"/>
        </w:rPr>
        <w:t>Légende</w:t>
      </w:r>
      <w:r w:rsidRPr="00A779B8">
        <w:rPr>
          <w:sz w:val="18"/>
          <w:szCs w:val="18"/>
          <w:lang w:val="fr-FR"/>
        </w:rPr>
        <w:t>:</w:t>
      </w:r>
      <w:r w:rsidRPr="00A779B8">
        <w:rPr>
          <w:sz w:val="18"/>
          <w:szCs w:val="18"/>
          <w:lang w:val="fr-FR"/>
        </w:rPr>
        <w:tab/>
        <w:t>PI = Allumage commandé,</w:t>
      </w:r>
      <w:r w:rsidRPr="00A779B8">
        <w:rPr>
          <w:sz w:val="18"/>
          <w:szCs w:val="18"/>
          <w:lang w:val="fr-FR"/>
        </w:rPr>
        <w:br/>
      </w:r>
      <w:r w:rsidRPr="00A779B8">
        <w:rPr>
          <w:sz w:val="18"/>
          <w:szCs w:val="18"/>
          <w:lang w:val="fr-FR"/>
        </w:rPr>
        <w:tab/>
        <w:t>CI = Allumage par compression.</w:t>
      </w:r>
    </w:p>
    <w:p w:rsidR="005E010E" w:rsidRDefault="005E010E" w:rsidP="005E010E">
      <w:pPr>
        <w:ind w:left="454" w:hanging="284"/>
        <w:rPr>
          <w:lang w:val="fr-FR"/>
        </w:rPr>
      </w:pPr>
      <w:r w:rsidRPr="00A779B8">
        <w:rPr>
          <w:rFonts w:eastAsia="EUAlbertina-Regular-Identity-H"/>
          <w:bCs/>
          <w:i/>
          <w:sz w:val="18"/>
          <w:szCs w:val="18"/>
          <w:vertAlign w:val="superscript"/>
          <w:lang w:val="fr-FR" w:eastAsia="en-GB"/>
        </w:rPr>
        <w:t>1</w:t>
      </w:r>
      <w:r w:rsidRPr="00A779B8">
        <w:rPr>
          <w:sz w:val="18"/>
          <w:szCs w:val="18"/>
          <w:lang w:val="fr-FR"/>
        </w:rPr>
        <w:tab/>
        <w:t>Les limites concernant la masse de particules pour l</w:t>
      </w:r>
      <w:r w:rsidR="00DB4C2D">
        <w:rPr>
          <w:sz w:val="18"/>
          <w:szCs w:val="18"/>
          <w:lang w:val="fr-FR"/>
        </w:rPr>
        <w:t>’</w:t>
      </w:r>
      <w:r w:rsidRPr="00A779B8">
        <w:rPr>
          <w:sz w:val="18"/>
          <w:szCs w:val="18"/>
          <w:lang w:val="fr-FR"/>
        </w:rPr>
        <w:t>allumage commandé ne s</w:t>
      </w:r>
      <w:r w:rsidR="00DB4C2D">
        <w:rPr>
          <w:sz w:val="18"/>
          <w:szCs w:val="18"/>
          <w:lang w:val="fr-FR"/>
        </w:rPr>
        <w:t>’</w:t>
      </w:r>
      <w:r w:rsidRPr="00A779B8">
        <w:rPr>
          <w:sz w:val="18"/>
          <w:szCs w:val="18"/>
          <w:lang w:val="fr-FR"/>
        </w:rPr>
        <w:t>appliquent qu</w:t>
      </w:r>
      <w:r w:rsidR="00DB4C2D">
        <w:rPr>
          <w:sz w:val="18"/>
          <w:szCs w:val="18"/>
          <w:lang w:val="fr-FR"/>
        </w:rPr>
        <w:t>’</w:t>
      </w:r>
      <w:r>
        <w:rPr>
          <w:sz w:val="18"/>
          <w:szCs w:val="18"/>
          <w:lang w:val="fr-FR"/>
        </w:rPr>
        <w:t xml:space="preserve">aux </w:t>
      </w:r>
      <w:r w:rsidRPr="00A779B8">
        <w:rPr>
          <w:sz w:val="18"/>
          <w:szCs w:val="18"/>
          <w:lang w:val="fr-FR"/>
        </w:rPr>
        <w:t>véhicules équipés d</w:t>
      </w:r>
      <w:r w:rsidR="00DB4C2D">
        <w:rPr>
          <w:sz w:val="18"/>
          <w:szCs w:val="18"/>
          <w:lang w:val="fr-FR"/>
        </w:rPr>
        <w:t>’</w:t>
      </w:r>
      <w:r w:rsidRPr="00A779B8">
        <w:rPr>
          <w:sz w:val="18"/>
          <w:szCs w:val="18"/>
          <w:lang w:val="fr-FR"/>
        </w:rPr>
        <w:t>un moteur à injection directe.</w:t>
      </w:r>
    </w:p>
    <w:p w:rsidR="005E010E" w:rsidRPr="00A779B8" w:rsidRDefault="005E010E" w:rsidP="005E010E">
      <w:pPr>
        <w:pStyle w:val="SingleTxtG"/>
        <w:keepNext/>
        <w:keepLines/>
        <w:spacing w:before="120"/>
        <w:ind w:left="2257" w:hanging="1123"/>
        <w:rPr>
          <w:lang w:val="fr-FR"/>
        </w:rPr>
      </w:pPr>
      <w:r w:rsidRPr="00A779B8">
        <w:rPr>
          <w:lang w:val="fr-FR"/>
        </w:rPr>
        <w:lastRenderedPageBreak/>
        <w:t>3.3.2.3</w:t>
      </w:r>
      <w:r w:rsidRPr="00A779B8">
        <w:rPr>
          <w:lang w:val="fr-FR"/>
        </w:rPr>
        <w:tab/>
        <w:t>Les valeurs limites OBD pour les véhicules à moteur à allumage par compression qui respectent les limites d</w:t>
      </w:r>
      <w:r w:rsidR="00DB4C2D">
        <w:rPr>
          <w:lang w:val="fr-FR"/>
        </w:rPr>
        <w:t>’</w:t>
      </w:r>
      <w:r w:rsidRPr="00A779B8">
        <w:rPr>
          <w:lang w:val="fr-FR"/>
        </w:rPr>
        <w:t>émission indiquées dans le t</w:t>
      </w:r>
      <w:r w:rsidRPr="00A779B8">
        <w:rPr>
          <w:iCs/>
          <w:lang w:val="fr-FR"/>
        </w:rPr>
        <w:t>ableau 1 du paragraphe 5.3.1.4 du présent Règlement</w:t>
      </w:r>
      <w:r w:rsidRPr="00A779B8">
        <w:rPr>
          <w:lang w:val="fr-FR"/>
        </w:rPr>
        <w:t xml:space="preserve"> et qui font l</w:t>
      </w:r>
      <w:r w:rsidR="00DB4C2D">
        <w:rPr>
          <w:lang w:val="fr-FR"/>
        </w:rPr>
        <w:t>’</w:t>
      </w:r>
      <w:r w:rsidRPr="00A779B8">
        <w:rPr>
          <w:lang w:val="fr-FR"/>
        </w:rPr>
        <w:t>objet d</w:t>
      </w:r>
      <w:r w:rsidR="00DB4C2D">
        <w:rPr>
          <w:lang w:val="fr-FR"/>
        </w:rPr>
        <w:t>’</w:t>
      </w:r>
      <w:r w:rsidRPr="00A779B8">
        <w:rPr>
          <w:lang w:val="fr-FR"/>
        </w:rPr>
        <w:t xml:space="preserve">une homologation de type avant les dates indiquées au </w:t>
      </w:r>
      <w:r w:rsidRPr="00A779B8">
        <w:rPr>
          <w:iCs/>
          <w:lang w:val="fr-FR"/>
        </w:rPr>
        <w:t>paragraphe 12.2.1 du présent Règlement</w:t>
      </w:r>
      <w:r w:rsidRPr="00A779B8">
        <w:rPr>
          <w:lang w:val="fr-FR"/>
        </w:rPr>
        <w:t xml:space="preserve"> sont présentées dans le tableau A11/3. Ces valeurs limites cessent de s</w:t>
      </w:r>
      <w:r w:rsidR="00DB4C2D">
        <w:rPr>
          <w:lang w:val="fr-FR"/>
        </w:rPr>
        <w:t>’</w:t>
      </w:r>
      <w:r w:rsidRPr="00A779B8">
        <w:rPr>
          <w:lang w:val="fr-FR"/>
        </w:rPr>
        <w:t xml:space="preserve">appliquer à partir des dates indiquées dans le </w:t>
      </w:r>
      <w:r w:rsidRPr="00A779B8">
        <w:rPr>
          <w:iCs/>
          <w:lang w:val="fr-FR"/>
        </w:rPr>
        <w:t>paragraphe 12.2.2 du présent Règlement</w:t>
      </w:r>
      <w:r w:rsidRPr="00A779B8">
        <w:rPr>
          <w:lang w:val="fr-FR"/>
        </w:rPr>
        <w:t xml:space="preserve"> pour les nouveaux véhicules à immatriculer, vendre ou mettre en service.</w:t>
      </w:r>
    </w:p>
    <w:p w:rsidR="005E010E" w:rsidRPr="00A779B8" w:rsidRDefault="005E010E" w:rsidP="005E010E">
      <w:pPr>
        <w:pStyle w:val="Titre1"/>
        <w:spacing w:after="120"/>
        <w:ind w:left="0"/>
        <w:rPr>
          <w:b/>
          <w:lang w:val="fr-FR"/>
        </w:rPr>
      </w:pPr>
      <w:r w:rsidRPr="00A779B8">
        <w:rPr>
          <w:lang w:val="fr-FR"/>
        </w:rPr>
        <w:t>Tableau A11/3</w:t>
      </w:r>
      <w:r w:rsidRPr="00A779B8">
        <w:rPr>
          <w:lang w:val="fr-FR"/>
        </w:rPr>
        <w:br/>
      </w:r>
      <w:r w:rsidRPr="00A779B8">
        <w:rPr>
          <w:b/>
          <w:lang w:val="fr-FR"/>
        </w:rPr>
        <w:t>Valeurs limites OBD provisoires</w:t>
      </w:r>
    </w:p>
    <w:tbl>
      <w:tblPr>
        <w:tblW w:w="0" w:type="auto"/>
        <w:jc w:val="center"/>
        <w:tblLayout w:type="fixed"/>
        <w:tblCellMar>
          <w:left w:w="57" w:type="dxa"/>
          <w:right w:w="57" w:type="dxa"/>
        </w:tblCellMar>
        <w:tblLook w:val="0000" w:firstRow="0" w:lastRow="0" w:firstColumn="0" w:lastColumn="0" w:noHBand="0" w:noVBand="0"/>
      </w:tblPr>
      <w:tblGrid>
        <w:gridCol w:w="902"/>
        <w:gridCol w:w="697"/>
        <w:gridCol w:w="1599"/>
        <w:gridCol w:w="1610"/>
        <w:gridCol w:w="1610"/>
        <w:gridCol w:w="1610"/>
        <w:gridCol w:w="1611"/>
      </w:tblGrid>
      <w:tr w:rsidR="005E010E" w:rsidRPr="00A779B8" w:rsidTr="00DB4C2D">
        <w:trPr>
          <w:tblHeader/>
          <w:jc w:val="center"/>
        </w:trPr>
        <w:tc>
          <w:tcPr>
            <w:tcW w:w="1599" w:type="dxa"/>
            <w:gridSpan w:val="2"/>
            <w:vMerge w:val="restart"/>
            <w:tcBorders>
              <w:top w:val="single" w:sz="2" w:space="0" w:color="auto"/>
              <w:left w:val="single" w:sz="2" w:space="0" w:color="auto"/>
              <w:right w:val="single" w:sz="2" w:space="0" w:color="auto"/>
            </w:tcBorders>
            <w:vAlign w:val="center"/>
          </w:tcPr>
          <w:p w:rsidR="005E010E" w:rsidRPr="00A779B8" w:rsidRDefault="005E010E" w:rsidP="00DB4C2D">
            <w:pPr>
              <w:spacing w:before="60" w:after="60" w:line="200" w:lineRule="exact"/>
              <w:jc w:val="center"/>
              <w:rPr>
                <w:i/>
                <w:sz w:val="16"/>
                <w:szCs w:val="16"/>
                <w:lang w:val="fr-FR"/>
              </w:rPr>
            </w:pPr>
          </w:p>
        </w:tc>
        <w:tc>
          <w:tcPr>
            <w:tcW w:w="1599" w:type="dxa"/>
            <w:vMerge w:val="restart"/>
            <w:tcBorders>
              <w:top w:val="single" w:sz="2" w:space="0" w:color="auto"/>
              <w:left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 xml:space="preserve">Masse </w:t>
            </w:r>
            <w:r w:rsidRPr="00A779B8">
              <w:rPr>
                <w:i/>
                <w:sz w:val="16"/>
                <w:szCs w:val="16"/>
                <w:lang w:val="fr-FR"/>
              </w:rPr>
              <w:br/>
              <w:t>de référence (RM) (kg)</w:t>
            </w:r>
          </w:p>
        </w:tc>
        <w:tc>
          <w:tcPr>
            <w:tcW w:w="1610"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 xml:space="preserve">Masse </w:t>
            </w:r>
            <w:r w:rsidRPr="00A779B8">
              <w:rPr>
                <w:i/>
                <w:sz w:val="16"/>
                <w:szCs w:val="16"/>
                <w:lang w:val="fr-FR"/>
              </w:rPr>
              <w:br/>
              <w:t xml:space="preserve">de monoxyde </w:t>
            </w:r>
            <w:r w:rsidRPr="00A779B8">
              <w:rPr>
                <w:i/>
                <w:sz w:val="16"/>
                <w:szCs w:val="16"/>
                <w:lang w:val="fr-FR"/>
              </w:rPr>
              <w:br/>
              <w:t>de carbone</w:t>
            </w:r>
          </w:p>
        </w:tc>
        <w:tc>
          <w:tcPr>
            <w:tcW w:w="1610"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Masse d</w:t>
            </w:r>
            <w:r w:rsidR="00DB4C2D">
              <w:rPr>
                <w:i/>
                <w:sz w:val="16"/>
                <w:szCs w:val="16"/>
                <w:lang w:val="fr-FR"/>
              </w:rPr>
              <w:t>’</w:t>
            </w:r>
            <w:r w:rsidRPr="00A779B8">
              <w:rPr>
                <w:i/>
                <w:sz w:val="16"/>
                <w:szCs w:val="16"/>
                <w:lang w:val="fr-FR"/>
              </w:rPr>
              <w:t>hydrocarbures non méthaniques</w:t>
            </w:r>
          </w:p>
        </w:tc>
        <w:tc>
          <w:tcPr>
            <w:tcW w:w="1610"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Masse d</w:t>
            </w:r>
            <w:r w:rsidR="00DB4C2D">
              <w:rPr>
                <w:i/>
                <w:sz w:val="16"/>
                <w:szCs w:val="16"/>
                <w:lang w:val="fr-FR"/>
              </w:rPr>
              <w:t>’</w:t>
            </w:r>
            <w:r w:rsidRPr="00A779B8">
              <w:rPr>
                <w:i/>
                <w:sz w:val="16"/>
                <w:szCs w:val="16"/>
                <w:lang w:val="fr-FR"/>
              </w:rPr>
              <w:t>oxydes d</w:t>
            </w:r>
            <w:r w:rsidR="00DB4C2D">
              <w:rPr>
                <w:i/>
                <w:sz w:val="16"/>
                <w:szCs w:val="16"/>
                <w:lang w:val="fr-FR"/>
              </w:rPr>
              <w:t>’</w:t>
            </w:r>
            <w:r w:rsidRPr="00A779B8">
              <w:rPr>
                <w:i/>
                <w:sz w:val="16"/>
                <w:szCs w:val="16"/>
                <w:lang w:val="fr-FR"/>
              </w:rPr>
              <w:t>azote</w:t>
            </w:r>
          </w:p>
        </w:tc>
        <w:tc>
          <w:tcPr>
            <w:tcW w:w="1611"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 xml:space="preserve">Masse </w:t>
            </w:r>
            <w:r w:rsidRPr="00A779B8">
              <w:rPr>
                <w:i/>
                <w:sz w:val="16"/>
                <w:szCs w:val="16"/>
                <w:lang w:val="fr-FR"/>
              </w:rPr>
              <w:br/>
              <w:t>de particule</w:t>
            </w:r>
            <w:r w:rsidRPr="00A779B8">
              <w:rPr>
                <w:sz w:val="16"/>
                <w:szCs w:val="16"/>
                <w:lang w:val="fr-FR"/>
              </w:rPr>
              <w:t>s</w:t>
            </w:r>
          </w:p>
        </w:tc>
      </w:tr>
      <w:tr w:rsidR="005E010E" w:rsidRPr="00A779B8" w:rsidTr="00DB4C2D">
        <w:trPr>
          <w:tblHeader/>
          <w:jc w:val="center"/>
        </w:trPr>
        <w:tc>
          <w:tcPr>
            <w:tcW w:w="1599" w:type="dxa"/>
            <w:gridSpan w:val="2"/>
            <w:vMerge/>
            <w:tcBorders>
              <w:left w:val="single" w:sz="2" w:space="0" w:color="auto"/>
              <w:bottom w:val="single" w:sz="2" w:space="0" w:color="auto"/>
              <w:right w:val="single" w:sz="2" w:space="0" w:color="auto"/>
            </w:tcBorders>
            <w:vAlign w:val="center"/>
          </w:tcPr>
          <w:p w:rsidR="005E010E" w:rsidRPr="00A779B8" w:rsidRDefault="005E010E" w:rsidP="00DB4C2D">
            <w:pPr>
              <w:spacing w:before="60" w:after="60" w:line="200" w:lineRule="exact"/>
              <w:jc w:val="center"/>
              <w:rPr>
                <w:i/>
                <w:sz w:val="16"/>
                <w:szCs w:val="16"/>
                <w:lang w:val="fr-FR"/>
              </w:rPr>
            </w:pPr>
          </w:p>
        </w:tc>
        <w:tc>
          <w:tcPr>
            <w:tcW w:w="1599" w:type="dxa"/>
            <w:vMerge/>
            <w:tcBorders>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p>
        </w:tc>
        <w:tc>
          <w:tcPr>
            <w:tcW w:w="1610"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(CO)</w:t>
            </w:r>
            <w:r w:rsidRPr="00A779B8">
              <w:rPr>
                <w:i/>
                <w:sz w:val="16"/>
                <w:szCs w:val="16"/>
                <w:lang w:val="fr-FR"/>
              </w:rPr>
              <w:br/>
              <w:t>(mg/km)</w:t>
            </w:r>
          </w:p>
        </w:tc>
        <w:tc>
          <w:tcPr>
            <w:tcW w:w="1610"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(NMHC)</w:t>
            </w:r>
            <w:r w:rsidRPr="00A779B8">
              <w:rPr>
                <w:i/>
                <w:sz w:val="16"/>
                <w:szCs w:val="16"/>
                <w:lang w:val="fr-FR"/>
              </w:rPr>
              <w:br/>
              <w:t>(mg/km)</w:t>
            </w:r>
          </w:p>
        </w:tc>
        <w:tc>
          <w:tcPr>
            <w:tcW w:w="1610"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w:t>
            </w:r>
            <w:proofErr w:type="spellStart"/>
            <w:r w:rsidRPr="00A779B8">
              <w:rPr>
                <w:i/>
                <w:sz w:val="16"/>
                <w:szCs w:val="16"/>
                <w:lang w:val="fr-FR"/>
              </w:rPr>
              <w:t>NO</w:t>
            </w:r>
            <w:r w:rsidRPr="00A779B8">
              <w:rPr>
                <w:i/>
                <w:sz w:val="16"/>
                <w:szCs w:val="16"/>
                <w:vertAlign w:val="subscript"/>
                <w:lang w:val="fr-FR"/>
              </w:rPr>
              <w:t>x</w:t>
            </w:r>
            <w:proofErr w:type="spellEnd"/>
            <w:r w:rsidRPr="00A779B8">
              <w:rPr>
                <w:i/>
                <w:sz w:val="16"/>
                <w:szCs w:val="16"/>
                <w:lang w:val="fr-FR"/>
              </w:rPr>
              <w:t>)</w:t>
            </w:r>
            <w:r w:rsidRPr="00A779B8">
              <w:rPr>
                <w:i/>
                <w:sz w:val="16"/>
                <w:szCs w:val="16"/>
                <w:lang w:val="fr-FR"/>
              </w:rPr>
              <w:br/>
              <w:t>(mg/km)</w:t>
            </w:r>
          </w:p>
        </w:tc>
        <w:tc>
          <w:tcPr>
            <w:tcW w:w="1611"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(PM)</w:t>
            </w:r>
            <w:r w:rsidRPr="00A779B8">
              <w:rPr>
                <w:i/>
                <w:sz w:val="16"/>
                <w:szCs w:val="16"/>
                <w:lang w:val="fr-FR"/>
              </w:rPr>
              <w:br/>
              <w:t>(mg/km)</w:t>
            </w:r>
          </w:p>
        </w:tc>
      </w:tr>
      <w:tr w:rsidR="005E010E" w:rsidRPr="00A779B8" w:rsidTr="00DB4C2D">
        <w:trPr>
          <w:jc w:val="center"/>
        </w:trPr>
        <w:tc>
          <w:tcPr>
            <w:tcW w:w="902"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spacing w:before="60" w:after="60" w:line="200" w:lineRule="exact"/>
              <w:jc w:val="center"/>
              <w:rPr>
                <w:i/>
                <w:sz w:val="16"/>
                <w:szCs w:val="16"/>
                <w:lang w:val="fr-FR"/>
              </w:rPr>
            </w:pPr>
            <w:r w:rsidRPr="00A779B8">
              <w:rPr>
                <w:i/>
                <w:sz w:val="16"/>
                <w:szCs w:val="16"/>
                <w:lang w:val="fr-FR"/>
              </w:rPr>
              <w:t>Catégorie</w:t>
            </w:r>
          </w:p>
        </w:tc>
        <w:tc>
          <w:tcPr>
            <w:tcW w:w="697"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Classe</w:t>
            </w:r>
          </w:p>
        </w:tc>
        <w:tc>
          <w:tcPr>
            <w:tcW w:w="1599"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p>
        </w:tc>
        <w:tc>
          <w:tcPr>
            <w:tcW w:w="1610"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1610"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1610"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c>
          <w:tcPr>
            <w:tcW w:w="1611" w:type="dxa"/>
            <w:tcBorders>
              <w:top w:val="single" w:sz="2" w:space="0" w:color="auto"/>
              <w:left w:val="single" w:sz="2" w:space="0" w:color="auto"/>
              <w:bottom w:val="single" w:sz="2" w:space="0" w:color="auto"/>
              <w:right w:val="single" w:sz="2" w:space="0" w:color="auto"/>
            </w:tcBorders>
            <w:vAlign w:val="center"/>
          </w:tcPr>
          <w:p w:rsidR="005E010E" w:rsidRPr="00A779B8" w:rsidRDefault="005E010E" w:rsidP="00DB4C2D">
            <w:pPr>
              <w:keepNext/>
              <w:spacing w:before="60" w:after="60" w:line="200" w:lineRule="exact"/>
              <w:jc w:val="center"/>
              <w:rPr>
                <w:i/>
                <w:sz w:val="16"/>
                <w:szCs w:val="16"/>
                <w:lang w:val="fr-FR"/>
              </w:rPr>
            </w:pPr>
            <w:r w:rsidRPr="00A779B8">
              <w:rPr>
                <w:i/>
                <w:sz w:val="16"/>
                <w:szCs w:val="16"/>
                <w:lang w:val="fr-FR"/>
              </w:rPr>
              <w:t>CI</w:t>
            </w:r>
          </w:p>
        </w:tc>
      </w:tr>
      <w:tr w:rsidR="005E010E" w:rsidRPr="00A779B8" w:rsidTr="00DB4C2D">
        <w:trPr>
          <w:jc w:val="center"/>
        </w:trPr>
        <w:tc>
          <w:tcPr>
            <w:tcW w:w="9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spacing w:before="60" w:after="60" w:line="220" w:lineRule="atLeast"/>
              <w:rPr>
                <w:sz w:val="18"/>
                <w:szCs w:val="18"/>
                <w:lang w:val="fr-FR"/>
              </w:rPr>
            </w:pPr>
            <w:r w:rsidRPr="00A779B8">
              <w:rPr>
                <w:sz w:val="18"/>
                <w:szCs w:val="18"/>
                <w:lang w:val="fr-FR"/>
              </w:rPr>
              <w:t>M</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w:t>
            </w:r>
          </w:p>
        </w:tc>
        <w:tc>
          <w:tcPr>
            <w:tcW w:w="159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Toutes</w:t>
            </w:r>
          </w:p>
        </w:tc>
        <w:tc>
          <w:tcPr>
            <w:tcW w:w="161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1 900</w:t>
            </w:r>
          </w:p>
        </w:tc>
        <w:tc>
          <w:tcPr>
            <w:tcW w:w="161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320</w:t>
            </w:r>
          </w:p>
        </w:tc>
        <w:tc>
          <w:tcPr>
            <w:tcW w:w="1610"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240</w:t>
            </w:r>
          </w:p>
        </w:tc>
        <w:tc>
          <w:tcPr>
            <w:tcW w:w="1611"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50</w:t>
            </w:r>
          </w:p>
        </w:tc>
      </w:tr>
      <w:tr w:rsidR="005E010E" w:rsidRPr="00A779B8" w:rsidTr="00DB4C2D">
        <w:trPr>
          <w:jc w:val="center"/>
        </w:trPr>
        <w:tc>
          <w:tcPr>
            <w:tcW w:w="902" w:type="dxa"/>
            <w:vMerge w:val="restart"/>
            <w:tcBorders>
              <w:top w:val="single" w:sz="2" w:space="0" w:color="auto"/>
              <w:left w:val="single" w:sz="2" w:space="0" w:color="auto"/>
              <w:bottom w:val="single" w:sz="2" w:space="0" w:color="auto"/>
              <w:right w:val="single" w:sz="2" w:space="0" w:color="auto"/>
            </w:tcBorders>
          </w:tcPr>
          <w:p w:rsidR="005E010E" w:rsidRPr="00A779B8" w:rsidRDefault="005E010E" w:rsidP="00DB4C2D">
            <w:pPr>
              <w:spacing w:before="60" w:after="60" w:line="220" w:lineRule="atLeast"/>
              <w:rPr>
                <w:sz w:val="18"/>
                <w:szCs w:val="18"/>
                <w:lang w:val="fr-FR"/>
              </w:rPr>
            </w:pPr>
            <w:r w:rsidRPr="00A779B8">
              <w:rPr>
                <w:sz w:val="18"/>
                <w:szCs w:val="18"/>
                <w:lang w:val="fr-FR"/>
              </w:rPr>
              <w:t>N</w:t>
            </w:r>
            <w:r w:rsidRPr="00A779B8">
              <w:rPr>
                <w:sz w:val="18"/>
                <w:szCs w:val="18"/>
                <w:vertAlign w:val="subscript"/>
                <w:lang w:val="fr-FR"/>
              </w:rPr>
              <w:t>1</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I</w:t>
            </w:r>
          </w:p>
        </w:tc>
        <w:tc>
          <w:tcPr>
            <w:tcW w:w="159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RM ≤ 1 305</w:t>
            </w:r>
          </w:p>
        </w:tc>
        <w:tc>
          <w:tcPr>
            <w:tcW w:w="1610" w:type="dxa"/>
            <w:tcBorders>
              <w:top w:val="single" w:sz="2"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1 900</w:t>
            </w:r>
          </w:p>
        </w:tc>
        <w:tc>
          <w:tcPr>
            <w:tcW w:w="1610" w:type="dxa"/>
            <w:tcBorders>
              <w:top w:val="single" w:sz="2"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320</w:t>
            </w:r>
          </w:p>
        </w:tc>
        <w:tc>
          <w:tcPr>
            <w:tcW w:w="1610" w:type="dxa"/>
            <w:tcBorders>
              <w:top w:val="single" w:sz="2"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240</w:t>
            </w:r>
          </w:p>
        </w:tc>
        <w:tc>
          <w:tcPr>
            <w:tcW w:w="1611" w:type="dxa"/>
            <w:tcBorders>
              <w:top w:val="single" w:sz="2"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50</w:t>
            </w:r>
          </w:p>
        </w:tc>
      </w:tr>
      <w:tr w:rsidR="005E010E" w:rsidRPr="00A779B8" w:rsidTr="00DB4C2D">
        <w:trPr>
          <w:jc w:val="center"/>
        </w:trPr>
        <w:tc>
          <w:tcPr>
            <w:tcW w:w="902" w:type="dxa"/>
            <w:vMerge/>
            <w:tcBorders>
              <w:top w:val="single" w:sz="2" w:space="0" w:color="auto"/>
              <w:left w:val="single" w:sz="2" w:space="0" w:color="auto"/>
              <w:bottom w:val="single" w:sz="2" w:space="0" w:color="auto"/>
              <w:right w:val="single" w:sz="2" w:space="0" w:color="auto"/>
            </w:tcBorders>
          </w:tcPr>
          <w:p w:rsidR="005E010E" w:rsidRPr="00A779B8" w:rsidRDefault="005E010E" w:rsidP="00DB4C2D">
            <w:pPr>
              <w:spacing w:before="60" w:after="60" w:line="220" w:lineRule="atLeast"/>
              <w:rPr>
                <w:sz w:val="18"/>
                <w:szCs w:val="18"/>
                <w:lang w:val="fr-FR"/>
              </w:rPr>
            </w:pP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II</w:t>
            </w:r>
          </w:p>
        </w:tc>
        <w:tc>
          <w:tcPr>
            <w:tcW w:w="159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1 305 &lt; RM ≤ 1 760</w:t>
            </w:r>
          </w:p>
        </w:tc>
        <w:tc>
          <w:tcPr>
            <w:tcW w:w="1610"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2 400</w:t>
            </w:r>
          </w:p>
        </w:tc>
        <w:tc>
          <w:tcPr>
            <w:tcW w:w="1610"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360</w:t>
            </w:r>
          </w:p>
        </w:tc>
        <w:tc>
          <w:tcPr>
            <w:tcW w:w="1610"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315</w:t>
            </w:r>
          </w:p>
        </w:tc>
        <w:tc>
          <w:tcPr>
            <w:tcW w:w="1611"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50</w:t>
            </w:r>
          </w:p>
        </w:tc>
      </w:tr>
      <w:tr w:rsidR="005E010E" w:rsidRPr="00A779B8" w:rsidTr="00DB4C2D">
        <w:trPr>
          <w:jc w:val="center"/>
        </w:trPr>
        <w:tc>
          <w:tcPr>
            <w:tcW w:w="902" w:type="dxa"/>
            <w:vMerge/>
            <w:tcBorders>
              <w:top w:val="single" w:sz="2" w:space="0" w:color="auto"/>
              <w:left w:val="single" w:sz="2" w:space="0" w:color="auto"/>
              <w:bottom w:val="single" w:sz="2" w:space="0" w:color="auto"/>
              <w:right w:val="single" w:sz="2" w:space="0" w:color="auto"/>
            </w:tcBorders>
          </w:tcPr>
          <w:p w:rsidR="005E010E" w:rsidRPr="00A779B8" w:rsidRDefault="005E010E" w:rsidP="00DB4C2D">
            <w:pPr>
              <w:spacing w:before="60" w:after="60" w:line="220" w:lineRule="atLeast"/>
              <w:rPr>
                <w:sz w:val="18"/>
                <w:szCs w:val="18"/>
                <w:lang w:val="fr-FR"/>
              </w:rPr>
            </w:pP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III</w:t>
            </w:r>
          </w:p>
        </w:tc>
        <w:tc>
          <w:tcPr>
            <w:tcW w:w="159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1 760 &lt; RM</w:t>
            </w:r>
          </w:p>
        </w:tc>
        <w:tc>
          <w:tcPr>
            <w:tcW w:w="1610"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2 800</w:t>
            </w:r>
          </w:p>
        </w:tc>
        <w:tc>
          <w:tcPr>
            <w:tcW w:w="1610"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400</w:t>
            </w:r>
          </w:p>
        </w:tc>
        <w:tc>
          <w:tcPr>
            <w:tcW w:w="1610"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375</w:t>
            </w:r>
          </w:p>
        </w:tc>
        <w:tc>
          <w:tcPr>
            <w:tcW w:w="1611"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50</w:t>
            </w:r>
          </w:p>
        </w:tc>
      </w:tr>
      <w:tr w:rsidR="005E010E" w:rsidRPr="00A779B8" w:rsidTr="00DB4C2D">
        <w:trPr>
          <w:jc w:val="center"/>
        </w:trPr>
        <w:tc>
          <w:tcPr>
            <w:tcW w:w="902"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spacing w:before="60" w:after="60" w:line="220" w:lineRule="atLeast"/>
              <w:rPr>
                <w:sz w:val="18"/>
                <w:szCs w:val="18"/>
                <w:lang w:val="fr-FR"/>
              </w:rPr>
            </w:pPr>
            <w:r w:rsidRPr="00A779B8">
              <w:rPr>
                <w:sz w:val="18"/>
                <w:szCs w:val="18"/>
                <w:lang w:val="fr-FR"/>
              </w:rPr>
              <w:t>N</w:t>
            </w:r>
            <w:r w:rsidRPr="00A779B8">
              <w:rPr>
                <w:sz w:val="18"/>
                <w:szCs w:val="18"/>
                <w:vertAlign w:val="subscript"/>
                <w:lang w:val="fr-FR"/>
              </w:rPr>
              <w:t>2</w:t>
            </w:r>
          </w:p>
        </w:tc>
        <w:tc>
          <w:tcPr>
            <w:tcW w:w="697"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w:t>
            </w:r>
          </w:p>
        </w:tc>
        <w:tc>
          <w:tcPr>
            <w:tcW w:w="1599" w:type="dxa"/>
            <w:tcBorders>
              <w:top w:val="single" w:sz="2" w:space="0" w:color="auto"/>
              <w:left w:val="single" w:sz="2" w:space="0" w:color="auto"/>
              <w:bottom w:val="single" w:sz="2" w:space="0" w:color="auto"/>
              <w:right w:val="single" w:sz="2" w:space="0" w:color="auto"/>
            </w:tcBorders>
          </w:tcPr>
          <w:p w:rsidR="005E010E" w:rsidRPr="00A779B8" w:rsidRDefault="005E010E" w:rsidP="00DB4C2D">
            <w:pPr>
              <w:keepNext/>
              <w:spacing w:before="60" w:after="60" w:line="220" w:lineRule="atLeast"/>
              <w:rPr>
                <w:sz w:val="18"/>
                <w:szCs w:val="18"/>
                <w:lang w:val="fr-FR"/>
              </w:rPr>
            </w:pPr>
            <w:r w:rsidRPr="00A779B8">
              <w:rPr>
                <w:sz w:val="18"/>
                <w:szCs w:val="18"/>
                <w:lang w:val="fr-FR"/>
              </w:rPr>
              <w:t>Toutes</w:t>
            </w:r>
          </w:p>
        </w:tc>
        <w:tc>
          <w:tcPr>
            <w:tcW w:w="1610"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2 800</w:t>
            </w:r>
          </w:p>
        </w:tc>
        <w:tc>
          <w:tcPr>
            <w:tcW w:w="1610"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400</w:t>
            </w:r>
          </w:p>
        </w:tc>
        <w:tc>
          <w:tcPr>
            <w:tcW w:w="1610"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375</w:t>
            </w:r>
          </w:p>
        </w:tc>
        <w:tc>
          <w:tcPr>
            <w:tcW w:w="1611" w:type="dxa"/>
            <w:tcBorders>
              <w:top w:val="single" w:sz="4" w:space="0" w:color="auto"/>
              <w:left w:val="single" w:sz="2" w:space="0" w:color="auto"/>
              <w:bottom w:val="single" w:sz="4" w:space="0" w:color="auto"/>
              <w:right w:val="single" w:sz="2" w:space="0" w:color="auto"/>
            </w:tcBorders>
            <w:shd w:val="clear" w:color="auto" w:fill="auto"/>
          </w:tcPr>
          <w:p w:rsidR="005E010E" w:rsidRPr="00A779B8" w:rsidRDefault="005E010E" w:rsidP="00DB4C2D">
            <w:pPr>
              <w:keepNext/>
              <w:spacing w:before="60" w:after="60" w:line="220" w:lineRule="atLeast"/>
              <w:jc w:val="right"/>
              <w:rPr>
                <w:sz w:val="18"/>
                <w:szCs w:val="18"/>
                <w:lang w:val="fr-FR"/>
              </w:rPr>
            </w:pPr>
            <w:r w:rsidRPr="00A779B8">
              <w:rPr>
                <w:sz w:val="18"/>
                <w:szCs w:val="18"/>
                <w:lang w:val="fr-FR"/>
              </w:rPr>
              <w:t>50</w:t>
            </w:r>
          </w:p>
        </w:tc>
      </w:tr>
    </w:tbl>
    <w:p w:rsidR="005E010E" w:rsidRPr="00A779B8" w:rsidRDefault="005E010E" w:rsidP="005E010E">
      <w:pPr>
        <w:pStyle w:val="SingleTxtG"/>
        <w:tabs>
          <w:tab w:val="left" w:pos="1100"/>
        </w:tabs>
        <w:spacing w:before="120" w:after="0"/>
        <w:ind w:left="170" w:right="0"/>
        <w:jc w:val="left"/>
        <w:rPr>
          <w:sz w:val="18"/>
          <w:szCs w:val="18"/>
          <w:lang w:val="fr-FR"/>
        </w:rPr>
      </w:pPr>
      <w:r w:rsidRPr="00A779B8">
        <w:rPr>
          <w:i/>
          <w:sz w:val="18"/>
          <w:szCs w:val="18"/>
          <w:lang w:val="fr-FR"/>
        </w:rPr>
        <w:t>Légende</w:t>
      </w:r>
      <w:r w:rsidRPr="00A779B8">
        <w:rPr>
          <w:sz w:val="18"/>
          <w:szCs w:val="18"/>
          <w:lang w:val="fr-FR"/>
        </w:rPr>
        <w:t>:</w:t>
      </w:r>
      <w:r w:rsidRPr="00A779B8">
        <w:rPr>
          <w:sz w:val="18"/>
          <w:szCs w:val="18"/>
          <w:lang w:val="fr-FR"/>
        </w:rPr>
        <w:tab/>
        <w:t>PI = Allumage commandé,</w:t>
      </w:r>
      <w:r w:rsidRPr="00A779B8">
        <w:rPr>
          <w:sz w:val="18"/>
          <w:szCs w:val="18"/>
          <w:lang w:val="fr-FR"/>
        </w:rPr>
        <w:br/>
      </w:r>
      <w:r w:rsidRPr="00A779B8">
        <w:rPr>
          <w:sz w:val="18"/>
          <w:szCs w:val="18"/>
          <w:lang w:val="fr-FR"/>
        </w:rPr>
        <w:tab/>
        <w:t>CI = Allumage par compression.</w:t>
      </w:r>
    </w:p>
    <w:p w:rsidR="005E010E" w:rsidRPr="00A779B8" w:rsidRDefault="005E010E" w:rsidP="005E010E">
      <w:pPr>
        <w:pStyle w:val="SingleTxtG"/>
        <w:keepNext/>
        <w:spacing w:before="240"/>
        <w:ind w:left="2268" w:hanging="1134"/>
        <w:jc w:val="left"/>
        <w:rPr>
          <w:lang w:val="fr-FR"/>
        </w:rPr>
      </w:pPr>
      <w:r w:rsidRPr="00A779B8">
        <w:rPr>
          <w:lang w:val="fr-FR"/>
        </w:rPr>
        <w:t>3.3.3</w:t>
      </w:r>
      <w:r w:rsidRPr="00A779B8">
        <w:rPr>
          <w:lang w:val="fr-FR"/>
        </w:rPr>
        <w:tab/>
        <w:t>Prescriptions pour la surveillance des véhicules équipés</w:t>
      </w:r>
      <w:r w:rsidRPr="00A779B8">
        <w:rPr>
          <w:lang w:val="fr-FR"/>
        </w:rPr>
        <w:br/>
        <w:t>d</w:t>
      </w:r>
      <w:r w:rsidR="00DB4C2D">
        <w:rPr>
          <w:lang w:val="fr-FR"/>
        </w:rPr>
        <w:t>’</w:t>
      </w:r>
      <w:r w:rsidRPr="00A779B8">
        <w:rPr>
          <w:lang w:val="fr-FR"/>
        </w:rPr>
        <w:t>un moteur à allumage commandé</w:t>
      </w:r>
    </w:p>
    <w:p w:rsidR="005E010E" w:rsidRPr="00A779B8" w:rsidRDefault="005E010E" w:rsidP="005E010E">
      <w:pPr>
        <w:pStyle w:val="SingleTxtG"/>
        <w:keepNext/>
        <w:ind w:left="2268"/>
        <w:rPr>
          <w:lang w:val="fr-FR"/>
        </w:rPr>
      </w:pPr>
      <w:r w:rsidRPr="00A779B8">
        <w:rPr>
          <w:lang w:val="fr-FR"/>
        </w:rPr>
        <w:tab/>
        <w:t>Pour satisfaire aux prescriptions du paragraphe 3.3.2, le système OBD doit au minimum surveiller:</w:t>
      </w:r>
    </w:p>
    <w:p w:rsidR="005E010E" w:rsidRPr="00A779B8" w:rsidRDefault="005E010E" w:rsidP="005E010E">
      <w:pPr>
        <w:pStyle w:val="SingleTxtG"/>
        <w:ind w:left="2268" w:hanging="1134"/>
        <w:rPr>
          <w:lang w:val="fr-FR"/>
        </w:rPr>
      </w:pPr>
      <w:r w:rsidRPr="00A779B8">
        <w:rPr>
          <w:lang w:val="fr-FR"/>
        </w:rPr>
        <w:t>3.3.3.1</w:t>
      </w:r>
      <w:r w:rsidRPr="00A779B8">
        <w:rPr>
          <w:lang w:val="fr-FR"/>
        </w:rPr>
        <w:tab/>
        <w:t>La baisse d</w:t>
      </w:r>
      <w:r w:rsidR="00DB4C2D">
        <w:rPr>
          <w:lang w:val="fr-FR"/>
        </w:rPr>
        <w:t>’</w:t>
      </w:r>
      <w:r w:rsidRPr="00A779B8">
        <w:rPr>
          <w:lang w:val="fr-FR"/>
        </w:rPr>
        <w:t xml:space="preserve">efficacité du convertisseur catalytique en ce qui concerne les émissions de HCT et de </w:t>
      </w:r>
      <w:proofErr w:type="spellStart"/>
      <w:r w:rsidRPr="00A779B8">
        <w:rPr>
          <w:lang w:val="fr-FR"/>
        </w:rPr>
        <w:t>NO</w:t>
      </w:r>
      <w:r w:rsidRPr="00A779B8">
        <w:rPr>
          <w:vertAlign w:val="subscript"/>
          <w:lang w:val="fr-FR"/>
        </w:rPr>
        <w:t>x</w:t>
      </w:r>
      <w:proofErr w:type="spellEnd"/>
      <w:r w:rsidRPr="00A779B8">
        <w:rPr>
          <w:lang w:val="fr-FR"/>
        </w:rPr>
        <w:t xml:space="preserve">. Les constructeurs peuvent prévoir un dispositif de surveillance uniquement pour le catalyseur en amont ou en combinaison avec le ou les catalyseurs suivants en aval. Un catalyseur ou un assemblage de catalyseurs est réputé dysfonctionner lorsque les émissions dépassent les valeurs limites de NMHC ou </w:t>
      </w:r>
      <w:proofErr w:type="spellStart"/>
      <w:r w:rsidRPr="00A779B8">
        <w:rPr>
          <w:lang w:val="fr-FR"/>
        </w:rPr>
        <w:t>NO</w:t>
      </w:r>
      <w:r w:rsidRPr="00A779B8">
        <w:rPr>
          <w:vertAlign w:val="subscript"/>
          <w:lang w:val="fr-FR"/>
        </w:rPr>
        <w:t>x</w:t>
      </w:r>
      <w:proofErr w:type="spellEnd"/>
      <w:r w:rsidRPr="00A779B8">
        <w:rPr>
          <w:lang w:val="fr-FR"/>
        </w:rPr>
        <w:t xml:space="preserve"> visées au paragraphe 3.3.2 de la présente annexe. </w:t>
      </w:r>
    </w:p>
    <w:p w:rsidR="005E010E" w:rsidRPr="00A779B8" w:rsidRDefault="005E010E" w:rsidP="005E010E">
      <w:pPr>
        <w:pStyle w:val="SingleTxtG"/>
        <w:ind w:left="2268" w:hanging="1134"/>
        <w:rPr>
          <w:lang w:val="fr-FR"/>
        </w:rPr>
      </w:pPr>
      <w:r w:rsidRPr="00A779B8">
        <w:rPr>
          <w:lang w:val="fr-FR"/>
        </w:rPr>
        <w:t>3.3.3.2</w:t>
      </w:r>
      <w:r w:rsidRPr="00A779B8">
        <w:rPr>
          <w:lang w:val="fr-FR"/>
        </w:rPr>
        <w:tab/>
        <w:t>L</w:t>
      </w:r>
      <w:r w:rsidR="00DB4C2D">
        <w:rPr>
          <w:lang w:val="fr-FR"/>
        </w:rPr>
        <w:t>’</w:t>
      </w:r>
      <w:r w:rsidRPr="00A779B8">
        <w:rPr>
          <w:lang w:val="fr-FR"/>
        </w:rPr>
        <w:t>existence de ratés d</w:t>
      </w:r>
      <w:r w:rsidR="00DB4C2D">
        <w:rPr>
          <w:lang w:val="fr-FR"/>
        </w:rPr>
        <w:t>’</w:t>
      </w:r>
      <w:r w:rsidRPr="00A779B8">
        <w:rPr>
          <w:lang w:val="fr-FR"/>
        </w:rPr>
        <w:t>allumage du moteur lorsque celui-ci fonctionne à un régime délimité par les courbes suivantes:</w:t>
      </w:r>
    </w:p>
    <w:p w:rsidR="005E010E" w:rsidRPr="00A779B8" w:rsidRDefault="005E010E" w:rsidP="005E010E">
      <w:pPr>
        <w:pStyle w:val="SingleTxtG"/>
        <w:spacing w:after="100"/>
        <w:ind w:left="2835" w:hanging="567"/>
        <w:rPr>
          <w:lang w:val="fr-FR"/>
        </w:rPr>
      </w:pPr>
      <w:r w:rsidRPr="00A779B8">
        <w:rPr>
          <w:lang w:val="fr-FR"/>
        </w:rPr>
        <w:t>a)</w:t>
      </w:r>
      <w:r w:rsidRPr="00A779B8">
        <w:rPr>
          <w:lang w:val="fr-FR"/>
        </w:rPr>
        <w:tab/>
        <w:t>Un régime maximal de 4 500 min</w:t>
      </w:r>
      <w:r w:rsidRPr="00A779B8">
        <w:rPr>
          <w:vertAlign w:val="superscript"/>
          <w:lang w:val="fr-FR"/>
        </w:rPr>
        <w:t>-1</w:t>
      </w:r>
      <w:r w:rsidRPr="00A779B8">
        <w:rPr>
          <w:lang w:val="fr-FR"/>
        </w:rPr>
        <w:t xml:space="preserve"> ou un supérieur de 1 000 min</w:t>
      </w:r>
      <w:r w:rsidRPr="00A779B8">
        <w:rPr>
          <w:vertAlign w:val="superscript"/>
          <w:lang w:val="fr-FR"/>
        </w:rPr>
        <w:t>-1</w:t>
      </w:r>
      <w:r w:rsidRPr="00A779B8">
        <w:rPr>
          <w:lang w:val="fr-FR"/>
        </w:rPr>
        <w:t xml:space="preserve"> au régime le plus élevé atteint lors d</w:t>
      </w:r>
      <w:r w:rsidR="00DB4C2D">
        <w:rPr>
          <w:lang w:val="fr-FR"/>
        </w:rPr>
        <w:t>’</w:t>
      </w:r>
      <w:r w:rsidRPr="00A779B8">
        <w:rPr>
          <w:lang w:val="fr-FR"/>
        </w:rPr>
        <w:t>un cycle d</w:t>
      </w:r>
      <w:r w:rsidR="00DB4C2D">
        <w:rPr>
          <w:lang w:val="fr-FR"/>
        </w:rPr>
        <w:t>’</w:t>
      </w:r>
      <w:r w:rsidRPr="00A779B8">
        <w:rPr>
          <w:lang w:val="fr-FR"/>
        </w:rPr>
        <w:t>essai du type I (selon la valeur qui est la plus basse);</w:t>
      </w:r>
    </w:p>
    <w:p w:rsidR="005E010E" w:rsidRPr="00A779B8" w:rsidRDefault="005E010E" w:rsidP="005E010E">
      <w:pPr>
        <w:pStyle w:val="SingleTxtG"/>
        <w:spacing w:after="100"/>
        <w:ind w:left="2835" w:hanging="567"/>
        <w:rPr>
          <w:lang w:val="fr-FR"/>
        </w:rPr>
      </w:pPr>
      <w:r w:rsidRPr="00A779B8">
        <w:rPr>
          <w:lang w:val="fr-FR"/>
        </w:rPr>
        <w:t>b)</w:t>
      </w:r>
      <w:r w:rsidRPr="00A779B8">
        <w:rPr>
          <w:lang w:val="fr-FR"/>
        </w:rPr>
        <w:tab/>
        <w:t>La courbe de couple positive (c</w:t>
      </w:r>
      <w:r w:rsidR="00DB4C2D">
        <w:rPr>
          <w:lang w:val="fr-FR"/>
        </w:rPr>
        <w:t>’</w:t>
      </w:r>
      <w:r w:rsidRPr="00A779B8">
        <w:rPr>
          <w:lang w:val="fr-FR"/>
        </w:rPr>
        <w:t>est-à-dire la charge du moteur à vide);</w:t>
      </w:r>
    </w:p>
    <w:p w:rsidR="005E010E" w:rsidRPr="00A779B8" w:rsidRDefault="005E010E" w:rsidP="005E010E">
      <w:pPr>
        <w:pStyle w:val="SingleTxtG"/>
        <w:spacing w:after="100"/>
        <w:ind w:left="2835" w:hanging="567"/>
        <w:rPr>
          <w:lang w:val="fr-FR"/>
        </w:rPr>
      </w:pPr>
      <w:r w:rsidRPr="00A779B8">
        <w:rPr>
          <w:lang w:val="fr-FR"/>
        </w:rPr>
        <w:t>c)</w:t>
      </w:r>
      <w:r w:rsidRPr="00A779B8">
        <w:rPr>
          <w:lang w:val="fr-FR"/>
        </w:rPr>
        <w:tab/>
        <w:t>Une courbe joignant les points de fonctionnement suivants du moteurs: la courbe de couple positive à 3 000 min</w:t>
      </w:r>
      <w:r w:rsidRPr="00A779B8">
        <w:rPr>
          <w:vertAlign w:val="superscript"/>
          <w:lang w:val="fr-FR"/>
        </w:rPr>
        <w:t>-1</w:t>
      </w:r>
      <w:r w:rsidRPr="00A779B8">
        <w:rPr>
          <w:lang w:val="fr-FR"/>
        </w:rPr>
        <w:t xml:space="preserve"> et un point sur la courbe de régime maximal défini à l</w:t>
      </w:r>
      <w:r w:rsidR="00DB4C2D">
        <w:rPr>
          <w:lang w:val="fr-FR"/>
        </w:rPr>
        <w:t>’</w:t>
      </w:r>
      <w:r w:rsidRPr="00A779B8">
        <w:rPr>
          <w:lang w:val="fr-FR"/>
        </w:rPr>
        <w:t>alinéa </w:t>
      </w:r>
      <w:r w:rsidRPr="00A779B8">
        <w:rPr>
          <w:i/>
          <w:lang w:val="fr-FR"/>
        </w:rPr>
        <w:t>a</w:t>
      </w:r>
      <w:r w:rsidRPr="00A779B8">
        <w:rPr>
          <w:lang w:val="fr-FR"/>
        </w:rPr>
        <w:t xml:space="preserve"> ci-dessus, la dépression dans la tubulure d</w:t>
      </w:r>
      <w:r w:rsidR="00DB4C2D">
        <w:rPr>
          <w:lang w:val="fr-FR"/>
        </w:rPr>
        <w:t>’</w:t>
      </w:r>
      <w:r w:rsidRPr="00A779B8">
        <w:rPr>
          <w:lang w:val="fr-FR"/>
        </w:rPr>
        <w:t>admission étant inférieure de 13,33 kPa à celle qui existe au niveau de la courbe de couple positive.</w:t>
      </w:r>
    </w:p>
    <w:p w:rsidR="005E010E" w:rsidRPr="00A779B8" w:rsidRDefault="005E010E" w:rsidP="005E010E">
      <w:pPr>
        <w:pStyle w:val="SingleTxtG"/>
        <w:keepNext/>
        <w:ind w:left="2268" w:hanging="1134"/>
        <w:jc w:val="left"/>
        <w:rPr>
          <w:lang w:val="fr-FR"/>
        </w:rPr>
      </w:pPr>
      <w:r w:rsidRPr="00A779B8">
        <w:rPr>
          <w:lang w:val="fr-FR"/>
        </w:rPr>
        <w:lastRenderedPageBreak/>
        <w:t>3.3.3.3</w:t>
      </w:r>
      <w:r w:rsidRPr="00A779B8">
        <w:rPr>
          <w:lang w:val="fr-FR"/>
        </w:rPr>
        <w:tab/>
        <w:t>Détérioration des sondes à oxygène</w:t>
      </w:r>
    </w:p>
    <w:p w:rsidR="005E010E" w:rsidRPr="00A779B8" w:rsidRDefault="005E010E" w:rsidP="005E010E">
      <w:pPr>
        <w:pStyle w:val="SingleTxtG"/>
        <w:ind w:left="2268"/>
        <w:rPr>
          <w:lang w:val="fr-FR"/>
        </w:rPr>
      </w:pPr>
      <w:r w:rsidRPr="00A779B8">
        <w:rPr>
          <w:lang w:val="fr-FR"/>
        </w:rPr>
        <w:tab/>
        <w:t>Le présent paragraphe porte sur l</w:t>
      </w:r>
      <w:r w:rsidR="00DB4C2D">
        <w:rPr>
          <w:lang w:val="fr-FR"/>
        </w:rPr>
        <w:t>’</w:t>
      </w:r>
      <w:r w:rsidRPr="00A779B8">
        <w:rPr>
          <w:lang w:val="fr-FR"/>
        </w:rPr>
        <w:t>obligation de surveiller la détérioration de l</w:t>
      </w:r>
      <w:r w:rsidR="00DB4C2D">
        <w:rPr>
          <w:lang w:val="fr-FR"/>
        </w:rPr>
        <w:t>’</w:t>
      </w:r>
      <w:r w:rsidRPr="00A779B8">
        <w:rPr>
          <w:lang w:val="fr-FR"/>
        </w:rPr>
        <w:t>ensemble des sondes Lambda installées et utilisées pour la surveillance des défauts de fonctionnement du convertisseur catalytique selon les prescriptions de la présente annexe.</w:t>
      </w:r>
    </w:p>
    <w:p w:rsidR="005E010E" w:rsidRPr="00A779B8" w:rsidRDefault="005E010E" w:rsidP="005E010E">
      <w:pPr>
        <w:pStyle w:val="SingleTxtG"/>
        <w:ind w:left="2268" w:hanging="1134"/>
        <w:rPr>
          <w:lang w:val="fr-FR"/>
        </w:rPr>
      </w:pPr>
      <w:r w:rsidRPr="00A779B8">
        <w:rPr>
          <w:lang w:val="fr-FR"/>
        </w:rPr>
        <w:t>3.3.3.4</w:t>
      </w:r>
      <w:r w:rsidRPr="00A779B8">
        <w:rPr>
          <w:lang w:val="fr-FR"/>
        </w:rPr>
        <w:tab/>
        <w:t>S</w:t>
      </w:r>
      <w:r w:rsidR="00DB4C2D">
        <w:rPr>
          <w:lang w:val="fr-FR"/>
        </w:rPr>
        <w:t>’</w:t>
      </w:r>
      <w:r w:rsidRPr="00A779B8">
        <w:rPr>
          <w:lang w:val="fr-FR"/>
        </w:rPr>
        <w:t>ils sont actifs sur le type de carburant sélectionné, les autres composants ou dispositifs du système antipollution, ou les composants ou systèmes du groupe motopropulseur relatifs aux émissions, qui sont raccordés à un ordinateur et dont la défaillance peut entraîner des émissions à l</w:t>
      </w:r>
      <w:r w:rsidR="00DB4C2D">
        <w:rPr>
          <w:lang w:val="fr-FR"/>
        </w:rPr>
        <w:t>’</w:t>
      </w:r>
      <w:r w:rsidRPr="00A779B8">
        <w:rPr>
          <w:lang w:val="fr-FR"/>
        </w:rPr>
        <w:t>échappement dépassant les limites indiquées au paragraphe 3.3.2 de la présente annexe.</w:t>
      </w:r>
    </w:p>
    <w:p w:rsidR="005E010E" w:rsidRPr="00A779B8" w:rsidRDefault="005E010E" w:rsidP="005E010E">
      <w:pPr>
        <w:pStyle w:val="SingleTxtG"/>
        <w:ind w:left="2268" w:hanging="1134"/>
        <w:rPr>
          <w:lang w:val="fr-FR"/>
        </w:rPr>
      </w:pPr>
      <w:r w:rsidRPr="00A779B8">
        <w:rPr>
          <w:lang w:val="fr-FR"/>
        </w:rPr>
        <w:t>3.3.3.5</w:t>
      </w:r>
      <w:r w:rsidRPr="00A779B8">
        <w:rPr>
          <w:lang w:val="fr-FR"/>
        </w:rPr>
        <w:tab/>
        <w:t>Sauf s</w:t>
      </w:r>
      <w:r w:rsidR="00DB4C2D">
        <w:rPr>
          <w:lang w:val="fr-FR"/>
        </w:rPr>
        <w:t>’</w:t>
      </w:r>
      <w:r w:rsidRPr="00A779B8">
        <w:rPr>
          <w:lang w:val="fr-FR"/>
        </w:rPr>
        <w:t>ils font l</w:t>
      </w:r>
      <w:r w:rsidR="00DB4C2D">
        <w:rPr>
          <w:lang w:val="fr-FR"/>
        </w:rPr>
        <w:t>’</w:t>
      </w:r>
      <w:r w:rsidRPr="00A779B8">
        <w:rPr>
          <w:lang w:val="fr-FR"/>
        </w:rPr>
        <w:t>objet d</w:t>
      </w:r>
      <w:r w:rsidR="00DB4C2D">
        <w:rPr>
          <w:lang w:val="fr-FR"/>
        </w:rPr>
        <w:t>’</w:t>
      </w:r>
      <w:r w:rsidRPr="00A779B8">
        <w:rPr>
          <w:lang w:val="fr-FR"/>
        </w:rPr>
        <w:t>un autre mode de surveillance, tous les autres composants du groupe propulseur relatifs aux émissions et connectés à un ordinateur, y compris les capteurs permettant de remplir les fonctions de surveillance, doivent faire l</w:t>
      </w:r>
      <w:r w:rsidR="00DB4C2D">
        <w:rPr>
          <w:lang w:val="fr-FR"/>
        </w:rPr>
        <w:t>’</w:t>
      </w:r>
      <w:r w:rsidRPr="00A779B8">
        <w:rPr>
          <w:lang w:val="fr-FR"/>
        </w:rPr>
        <w:t>objet d</w:t>
      </w:r>
      <w:r w:rsidR="00DB4C2D">
        <w:rPr>
          <w:lang w:val="fr-FR"/>
        </w:rPr>
        <w:t>’</w:t>
      </w:r>
      <w:r w:rsidRPr="00A779B8">
        <w:rPr>
          <w:lang w:val="fr-FR"/>
        </w:rPr>
        <w:t>une surveillance de la continuité du circuit.</w:t>
      </w:r>
    </w:p>
    <w:p w:rsidR="005E010E" w:rsidRPr="00A779B8" w:rsidRDefault="005E010E" w:rsidP="005E010E">
      <w:pPr>
        <w:pStyle w:val="SingleTxtG"/>
        <w:ind w:left="2268" w:hanging="1134"/>
        <w:rPr>
          <w:lang w:val="fr-FR"/>
        </w:rPr>
      </w:pPr>
      <w:r w:rsidRPr="00A779B8">
        <w:rPr>
          <w:lang w:val="fr-FR"/>
        </w:rPr>
        <w:t>3.3.3.6</w:t>
      </w:r>
      <w:r w:rsidRPr="00A779B8">
        <w:rPr>
          <w:lang w:val="fr-FR"/>
        </w:rPr>
        <w:tab/>
        <w:t>Le système électronique de contrôle de purge d</w:t>
      </w:r>
      <w:r w:rsidR="00DB4C2D">
        <w:rPr>
          <w:lang w:val="fr-FR"/>
        </w:rPr>
        <w:t>’</w:t>
      </w:r>
      <w:r w:rsidRPr="00A779B8">
        <w:rPr>
          <w:lang w:val="fr-FR"/>
        </w:rPr>
        <w:t>émissions par évaporation doit au minimum faire l</w:t>
      </w:r>
      <w:r w:rsidR="00DB4C2D">
        <w:rPr>
          <w:lang w:val="fr-FR"/>
        </w:rPr>
        <w:t>’</w:t>
      </w:r>
      <w:r w:rsidRPr="00A779B8">
        <w:rPr>
          <w:lang w:val="fr-FR"/>
        </w:rPr>
        <w:t>objet d</w:t>
      </w:r>
      <w:r w:rsidR="00DB4C2D">
        <w:rPr>
          <w:lang w:val="fr-FR"/>
        </w:rPr>
        <w:t>’</w:t>
      </w:r>
      <w:r w:rsidRPr="00A779B8">
        <w:rPr>
          <w:lang w:val="fr-FR"/>
        </w:rPr>
        <w:t>une surveillance de la continuité du circuit.</w:t>
      </w:r>
    </w:p>
    <w:p w:rsidR="005E010E" w:rsidRPr="00A779B8" w:rsidRDefault="005E010E" w:rsidP="005E010E">
      <w:pPr>
        <w:pStyle w:val="SingleTxtG"/>
        <w:ind w:left="2268" w:hanging="1134"/>
        <w:rPr>
          <w:lang w:val="fr-FR"/>
        </w:rPr>
      </w:pPr>
      <w:r w:rsidRPr="00A779B8">
        <w:rPr>
          <w:lang w:val="fr-FR"/>
        </w:rPr>
        <w:t>3.3.3.7</w:t>
      </w:r>
      <w:r w:rsidRPr="00A779B8">
        <w:rPr>
          <w:lang w:val="fr-FR"/>
        </w:rPr>
        <w:tab/>
      </w:r>
      <w:r w:rsidRPr="00A779B8">
        <w:rPr>
          <w:rFonts w:eastAsia="MS Mincho"/>
          <w:lang w:val="fr-FR"/>
        </w:rPr>
        <w:t>En ce qui concerne les moteurs à allumage commandé à injection directe, tout défaut de fonctionnement susceptible d</w:t>
      </w:r>
      <w:r w:rsidR="00DB4C2D">
        <w:rPr>
          <w:rFonts w:eastAsia="MS Mincho"/>
          <w:lang w:val="fr-FR"/>
        </w:rPr>
        <w:t>’</w:t>
      </w:r>
      <w:r w:rsidRPr="00A779B8">
        <w:rPr>
          <w:rFonts w:eastAsia="MS Mincho"/>
          <w:lang w:val="fr-FR"/>
        </w:rPr>
        <w:t>entraîner un dépassement des valeurs limites d</w:t>
      </w:r>
      <w:r w:rsidR="00DB4C2D">
        <w:rPr>
          <w:rFonts w:eastAsia="MS Mincho"/>
          <w:lang w:val="fr-FR"/>
        </w:rPr>
        <w:t>’</w:t>
      </w:r>
      <w:r w:rsidRPr="00A779B8">
        <w:rPr>
          <w:rFonts w:eastAsia="MS Mincho"/>
          <w:lang w:val="fr-FR"/>
        </w:rPr>
        <w:t>émissions de particules prévues au paragraphe 3.3.2 de la présente annexe et appelant une surveillance selon les prescriptions de la présente annexe applicables aux moteurs à allumage par compression doit faire l</w:t>
      </w:r>
      <w:r w:rsidR="00DB4C2D">
        <w:rPr>
          <w:rFonts w:eastAsia="MS Mincho"/>
          <w:lang w:val="fr-FR"/>
        </w:rPr>
        <w:t>’</w:t>
      </w:r>
      <w:r w:rsidRPr="00A779B8">
        <w:rPr>
          <w:rFonts w:eastAsia="MS Mincho"/>
          <w:lang w:val="fr-FR"/>
        </w:rPr>
        <w:t>objet d</w:t>
      </w:r>
      <w:r w:rsidR="00DB4C2D">
        <w:rPr>
          <w:rFonts w:eastAsia="MS Mincho"/>
          <w:lang w:val="fr-FR"/>
        </w:rPr>
        <w:t>’</w:t>
      </w:r>
      <w:r w:rsidRPr="00A779B8">
        <w:rPr>
          <w:rFonts w:eastAsia="MS Mincho"/>
          <w:lang w:val="fr-FR"/>
        </w:rPr>
        <w:t>une surveillance.</w:t>
      </w:r>
    </w:p>
    <w:p w:rsidR="005E010E" w:rsidRPr="00A779B8" w:rsidRDefault="005E010E" w:rsidP="005E010E">
      <w:pPr>
        <w:pStyle w:val="SingleTxtG"/>
        <w:keepNext/>
        <w:ind w:left="2268" w:hanging="1134"/>
        <w:jc w:val="left"/>
        <w:rPr>
          <w:lang w:val="fr-FR"/>
        </w:rPr>
      </w:pPr>
      <w:r w:rsidRPr="00A779B8">
        <w:rPr>
          <w:lang w:val="fr-FR"/>
        </w:rPr>
        <w:t>3.3.4</w:t>
      </w:r>
      <w:r w:rsidRPr="00A779B8">
        <w:rPr>
          <w:lang w:val="fr-FR"/>
        </w:rPr>
        <w:tab/>
        <w:t>Prescriptions pour la surveillance des véhicules équipés d</w:t>
      </w:r>
      <w:r w:rsidR="00DB4C2D">
        <w:rPr>
          <w:lang w:val="fr-FR"/>
        </w:rPr>
        <w:t>’</w:t>
      </w:r>
      <w:r w:rsidRPr="00A779B8">
        <w:rPr>
          <w:lang w:val="fr-FR"/>
        </w:rPr>
        <w:t>un moteur à allumage par compression</w:t>
      </w:r>
    </w:p>
    <w:p w:rsidR="005E010E" w:rsidRPr="00A779B8" w:rsidRDefault="005E010E" w:rsidP="005E010E">
      <w:pPr>
        <w:pStyle w:val="SingleTxtG"/>
        <w:keepNext/>
        <w:ind w:left="2268"/>
        <w:rPr>
          <w:lang w:val="fr-FR"/>
        </w:rPr>
      </w:pPr>
      <w:r w:rsidRPr="00A779B8">
        <w:rPr>
          <w:lang w:val="fr-FR"/>
        </w:rPr>
        <w:tab/>
        <w:t>Pour satisfaire aux prescriptions du paragraphe 3.3.2 de la présente annexe, le système OBD doit surveiller:</w:t>
      </w:r>
    </w:p>
    <w:p w:rsidR="005E010E" w:rsidRPr="00A779B8" w:rsidRDefault="005E010E" w:rsidP="005E010E">
      <w:pPr>
        <w:pStyle w:val="SingleTxtG"/>
        <w:ind w:left="2268" w:hanging="1134"/>
        <w:rPr>
          <w:lang w:val="fr-FR"/>
        </w:rPr>
      </w:pPr>
      <w:r w:rsidRPr="00A779B8">
        <w:rPr>
          <w:lang w:val="fr-FR"/>
        </w:rPr>
        <w:t>3.3.4.1</w:t>
      </w:r>
      <w:r w:rsidRPr="00A779B8">
        <w:rPr>
          <w:lang w:val="fr-FR"/>
        </w:rPr>
        <w:tab/>
        <w:t>Lorsque le véhicule en est équipé, la baisse d</w:t>
      </w:r>
      <w:r w:rsidR="00DB4C2D">
        <w:rPr>
          <w:lang w:val="fr-FR"/>
        </w:rPr>
        <w:t>’</w:t>
      </w:r>
      <w:r w:rsidRPr="00A779B8">
        <w:rPr>
          <w:lang w:val="fr-FR"/>
        </w:rPr>
        <w:t>efficacité du convertisseur catalytique;</w:t>
      </w:r>
    </w:p>
    <w:p w:rsidR="005E010E" w:rsidRPr="00A779B8" w:rsidRDefault="005E010E" w:rsidP="005E010E">
      <w:pPr>
        <w:pStyle w:val="SingleTxtG"/>
        <w:ind w:left="2268" w:hanging="1134"/>
        <w:rPr>
          <w:lang w:val="fr-FR"/>
        </w:rPr>
      </w:pPr>
      <w:r w:rsidRPr="00A779B8">
        <w:rPr>
          <w:lang w:val="fr-FR"/>
        </w:rPr>
        <w:t>3.3.4.2</w:t>
      </w:r>
      <w:r w:rsidRPr="00A779B8">
        <w:rPr>
          <w:lang w:val="fr-FR"/>
        </w:rPr>
        <w:tab/>
        <w:t>Lorsque le véhicule en est équipé, la fonctionnalité et l</w:t>
      </w:r>
      <w:r w:rsidR="00DB4C2D">
        <w:rPr>
          <w:lang w:val="fr-FR"/>
        </w:rPr>
        <w:t>’</w:t>
      </w:r>
      <w:r w:rsidRPr="00A779B8">
        <w:rPr>
          <w:lang w:val="fr-FR"/>
        </w:rPr>
        <w:t>intégrité du piège à particules;</w:t>
      </w:r>
    </w:p>
    <w:p w:rsidR="005E010E" w:rsidRPr="00A779B8" w:rsidRDefault="005E010E" w:rsidP="005E010E">
      <w:pPr>
        <w:pStyle w:val="SingleTxtG"/>
        <w:ind w:left="2268" w:hanging="1134"/>
        <w:rPr>
          <w:lang w:val="fr-FR"/>
        </w:rPr>
      </w:pPr>
      <w:r w:rsidRPr="00A779B8">
        <w:rPr>
          <w:lang w:val="fr-FR"/>
        </w:rPr>
        <w:t>3.3.4.3</w:t>
      </w:r>
      <w:r w:rsidRPr="00A779B8">
        <w:rPr>
          <w:lang w:val="fr-FR"/>
        </w:rPr>
        <w:tab/>
        <w:t>Dans le système électronique d</w:t>
      </w:r>
      <w:r w:rsidR="00DB4C2D">
        <w:rPr>
          <w:lang w:val="fr-FR"/>
        </w:rPr>
        <w:t>’</w:t>
      </w:r>
      <w:r w:rsidRPr="00A779B8">
        <w:rPr>
          <w:lang w:val="fr-FR"/>
        </w:rPr>
        <w:t>injection de carburant, les commandes de réglage de la quantité de carburant et de l</w:t>
      </w:r>
      <w:r w:rsidR="00DB4C2D">
        <w:rPr>
          <w:lang w:val="fr-FR"/>
        </w:rPr>
        <w:t>’</w:t>
      </w:r>
      <w:r w:rsidRPr="00A779B8">
        <w:rPr>
          <w:lang w:val="fr-FR"/>
        </w:rPr>
        <w:t>avance doivent faire l</w:t>
      </w:r>
      <w:r w:rsidR="00DB4C2D">
        <w:rPr>
          <w:lang w:val="fr-FR"/>
        </w:rPr>
        <w:t>’</w:t>
      </w:r>
      <w:r w:rsidRPr="00A779B8">
        <w:rPr>
          <w:lang w:val="fr-FR"/>
        </w:rPr>
        <w:t>objet d</w:t>
      </w:r>
      <w:r w:rsidR="00DB4C2D">
        <w:rPr>
          <w:lang w:val="fr-FR"/>
        </w:rPr>
        <w:t>’</w:t>
      </w:r>
      <w:r w:rsidRPr="00A779B8">
        <w:rPr>
          <w:lang w:val="fr-FR"/>
        </w:rPr>
        <w:t>une surveillance de la continuité du circuit et des défaillances de fonctionnement globales</w:t>
      </w:r>
      <w:r>
        <w:rPr>
          <w:lang w:val="fr-FR"/>
        </w:rPr>
        <w:t>.</w:t>
      </w:r>
    </w:p>
    <w:p w:rsidR="005E010E" w:rsidRPr="00A779B8" w:rsidRDefault="005E010E" w:rsidP="005E010E">
      <w:pPr>
        <w:pStyle w:val="SingleTxtG"/>
        <w:ind w:left="2268" w:hanging="1134"/>
        <w:rPr>
          <w:lang w:val="fr-FR"/>
        </w:rPr>
      </w:pPr>
      <w:r w:rsidRPr="00A779B8">
        <w:rPr>
          <w:lang w:val="fr-FR"/>
        </w:rPr>
        <w:t>3.3.4.4</w:t>
      </w:r>
      <w:r w:rsidRPr="00A779B8">
        <w:rPr>
          <w:lang w:val="fr-FR"/>
        </w:rPr>
        <w:tab/>
        <w:t>Les autres composants ou systèmes du système antipollution, ou les composants ou systèmes du groupe propulseur relatifs aux émissions, qui sont connectés à un ordinateur, et dont la défaillance peut entraîner des émissions à l</w:t>
      </w:r>
      <w:r w:rsidR="00DB4C2D">
        <w:rPr>
          <w:lang w:val="fr-FR"/>
        </w:rPr>
        <w:t>’</w:t>
      </w:r>
      <w:r w:rsidRPr="00A779B8">
        <w:rPr>
          <w:lang w:val="fr-FR"/>
        </w:rPr>
        <w:t>échappement dépassant les limites indiquées au paragraphe 3.3.2 de la présente annexe; il s</w:t>
      </w:r>
      <w:r w:rsidR="00DB4C2D">
        <w:rPr>
          <w:lang w:val="fr-FR"/>
        </w:rPr>
        <w:t>’</w:t>
      </w:r>
      <w:r w:rsidRPr="00A779B8">
        <w:rPr>
          <w:lang w:val="fr-FR"/>
        </w:rPr>
        <w:t>agit, par exemple, des composants ou systèmes chargés de surveiller et de contrôler le débit d</w:t>
      </w:r>
      <w:r w:rsidR="00DB4C2D">
        <w:rPr>
          <w:lang w:val="fr-FR"/>
        </w:rPr>
        <w:t>’</w:t>
      </w:r>
      <w:r w:rsidRPr="00A779B8">
        <w:rPr>
          <w:lang w:val="fr-FR"/>
        </w:rPr>
        <w:t>air massique, le débit volumétrique (et la température), la pression de suralimentation et la pression dans la tubulure d</w:t>
      </w:r>
      <w:r w:rsidR="00DB4C2D">
        <w:rPr>
          <w:lang w:val="fr-FR"/>
        </w:rPr>
        <w:t>’</w:t>
      </w:r>
      <w:r w:rsidRPr="00A779B8">
        <w:rPr>
          <w:lang w:val="fr-FR"/>
        </w:rPr>
        <w:t>admission (ainsi que des capteurs qui permettent l</w:t>
      </w:r>
      <w:r w:rsidR="00DB4C2D">
        <w:rPr>
          <w:lang w:val="fr-FR"/>
        </w:rPr>
        <w:t>’</w:t>
      </w:r>
      <w:r w:rsidRPr="00A779B8">
        <w:rPr>
          <w:lang w:val="fr-FR"/>
        </w:rPr>
        <w:t>exécution de ces contrôles);</w:t>
      </w:r>
    </w:p>
    <w:p w:rsidR="005E010E" w:rsidRPr="00A779B8" w:rsidRDefault="005E010E" w:rsidP="005E010E">
      <w:pPr>
        <w:pStyle w:val="SingleTxtG"/>
        <w:ind w:left="2268" w:hanging="1134"/>
        <w:rPr>
          <w:lang w:val="fr-FR"/>
        </w:rPr>
      </w:pPr>
      <w:r w:rsidRPr="00A779B8">
        <w:rPr>
          <w:lang w:val="fr-FR"/>
        </w:rPr>
        <w:t>3.3.4.5</w:t>
      </w:r>
      <w:r w:rsidRPr="00A779B8">
        <w:rPr>
          <w:lang w:val="fr-FR"/>
        </w:rPr>
        <w:tab/>
        <w:t>Sauf s</w:t>
      </w:r>
      <w:r w:rsidR="00DB4C2D">
        <w:rPr>
          <w:lang w:val="fr-FR"/>
        </w:rPr>
        <w:t>’</w:t>
      </w:r>
      <w:r w:rsidRPr="00A779B8">
        <w:rPr>
          <w:lang w:val="fr-FR"/>
        </w:rPr>
        <w:t>ils font l</w:t>
      </w:r>
      <w:r w:rsidR="00DB4C2D">
        <w:rPr>
          <w:lang w:val="fr-FR"/>
        </w:rPr>
        <w:t>’</w:t>
      </w:r>
      <w:r w:rsidRPr="00A779B8">
        <w:rPr>
          <w:lang w:val="fr-FR"/>
        </w:rPr>
        <w:t>objet d</w:t>
      </w:r>
      <w:r w:rsidR="00DB4C2D">
        <w:rPr>
          <w:lang w:val="fr-FR"/>
        </w:rPr>
        <w:t>’</w:t>
      </w:r>
      <w:r w:rsidRPr="00A779B8">
        <w:rPr>
          <w:lang w:val="fr-FR"/>
        </w:rPr>
        <w:t>un autre mode de surveillance, tous les autres composants du groupe propulseur relatifs aux émissions et connectés à un ordinateur doivent faire l</w:t>
      </w:r>
      <w:r w:rsidR="00DB4C2D">
        <w:rPr>
          <w:lang w:val="fr-FR"/>
        </w:rPr>
        <w:t>’</w:t>
      </w:r>
      <w:r w:rsidRPr="00A779B8">
        <w:rPr>
          <w:lang w:val="fr-FR"/>
        </w:rPr>
        <w:t>objet d</w:t>
      </w:r>
      <w:r w:rsidR="00DB4C2D">
        <w:rPr>
          <w:lang w:val="fr-FR"/>
        </w:rPr>
        <w:t>’</w:t>
      </w:r>
      <w:r w:rsidRPr="00A779B8">
        <w:rPr>
          <w:lang w:val="fr-FR"/>
        </w:rPr>
        <w:t>une surveillance de la continuité du circuit;</w:t>
      </w:r>
    </w:p>
    <w:p w:rsidR="005E010E" w:rsidRPr="00A779B8" w:rsidRDefault="005E010E" w:rsidP="005E010E">
      <w:pPr>
        <w:pStyle w:val="SingleTxtG"/>
        <w:ind w:left="2268" w:hanging="1134"/>
        <w:rPr>
          <w:lang w:val="fr-FR"/>
        </w:rPr>
      </w:pPr>
      <w:r w:rsidRPr="00A779B8">
        <w:rPr>
          <w:lang w:val="fr-FR"/>
        </w:rPr>
        <w:lastRenderedPageBreak/>
        <w:t>3.3.4.6</w:t>
      </w:r>
      <w:r w:rsidRPr="00A779B8">
        <w:rPr>
          <w:lang w:val="fr-FR"/>
        </w:rPr>
        <w:tab/>
        <w:t>Les défauts de fonctionnement et la baisse d</w:t>
      </w:r>
      <w:r w:rsidR="00DB4C2D">
        <w:rPr>
          <w:lang w:val="fr-FR"/>
        </w:rPr>
        <w:t>’</w:t>
      </w:r>
      <w:r w:rsidRPr="00A779B8">
        <w:rPr>
          <w:lang w:val="fr-FR"/>
        </w:rPr>
        <w:t>efficacité du système EGR doivent faire l</w:t>
      </w:r>
      <w:r w:rsidR="00DB4C2D">
        <w:rPr>
          <w:lang w:val="fr-FR"/>
        </w:rPr>
        <w:t>’</w:t>
      </w:r>
      <w:r w:rsidRPr="00A779B8">
        <w:rPr>
          <w:lang w:val="fr-FR"/>
        </w:rPr>
        <w:t>objet d</w:t>
      </w:r>
      <w:r w:rsidR="00DB4C2D">
        <w:rPr>
          <w:lang w:val="fr-FR"/>
        </w:rPr>
        <w:t>’</w:t>
      </w:r>
      <w:r w:rsidRPr="00A779B8">
        <w:rPr>
          <w:lang w:val="fr-FR"/>
        </w:rPr>
        <w:t>une surveillance;</w:t>
      </w:r>
    </w:p>
    <w:p w:rsidR="005E010E" w:rsidRPr="00A779B8" w:rsidRDefault="005E010E" w:rsidP="005E010E">
      <w:pPr>
        <w:pStyle w:val="SingleTxtG"/>
        <w:ind w:left="2268" w:hanging="1134"/>
        <w:rPr>
          <w:lang w:val="fr-FR"/>
        </w:rPr>
      </w:pPr>
      <w:r w:rsidRPr="00A779B8">
        <w:rPr>
          <w:lang w:val="fr-FR"/>
        </w:rPr>
        <w:t>3.3.4.7</w:t>
      </w:r>
      <w:r w:rsidRPr="00A779B8">
        <w:rPr>
          <w:lang w:val="fr-FR"/>
        </w:rPr>
        <w:tab/>
        <w:t>Les défauts de fonctionnement et la baisse d</w:t>
      </w:r>
      <w:r w:rsidR="00DB4C2D">
        <w:rPr>
          <w:lang w:val="fr-FR"/>
        </w:rPr>
        <w:t>’</w:t>
      </w:r>
      <w:r w:rsidRPr="00A779B8">
        <w:rPr>
          <w:lang w:val="fr-FR"/>
        </w:rPr>
        <w:t>efficacité du système d</w:t>
      </w:r>
      <w:r w:rsidR="00DB4C2D">
        <w:rPr>
          <w:lang w:val="fr-FR"/>
        </w:rPr>
        <w:t>’</w:t>
      </w:r>
      <w:r w:rsidRPr="00A779B8">
        <w:rPr>
          <w:lang w:val="fr-FR"/>
        </w:rPr>
        <w:t xml:space="preserve">épuration aval des </w:t>
      </w:r>
      <w:proofErr w:type="spellStart"/>
      <w:r w:rsidRPr="00A779B8">
        <w:rPr>
          <w:lang w:val="fr-FR"/>
        </w:rPr>
        <w:t>NO</w:t>
      </w:r>
      <w:r w:rsidRPr="00A779B8">
        <w:rPr>
          <w:vertAlign w:val="subscript"/>
          <w:lang w:val="fr-FR"/>
        </w:rPr>
        <w:t>x</w:t>
      </w:r>
      <w:proofErr w:type="spellEnd"/>
      <w:r w:rsidRPr="00A779B8">
        <w:rPr>
          <w:vertAlign w:val="subscript"/>
          <w:lang w:val="fr-FR"/>
        </w:rPr>
        <w:t xml:space="preserve"> </w:t>
      </w:r>
      <w:r w:rsidRPr="00A779B8">
        <w:rPr>
          <w:lang w:val="fr-FR"/>
        </w:rPr>
        <w:t>nécessitant l</w:t>
      </w:r>
      <w:r w:rsidR="00DB4C2D">
        <w:rPr>
          <w:lang w:val="fr-FR"/>
        </w:rPr>
        <w:t>’</w:t>
      </w:r>
      <w:r w:rsidRPr="00A779B8">
        <w:rPr>
          <w:lang w:val="fr-FR"/>
        </w:rPr>
        <w:t>usage</w:t>
      </w:r>
      <w:r w:rsidRPr="00A779B8">
        <w:rPr>
          <w:vertAlign w:val="subscript"/>
          <w:lang w:val="fr-FR"/>
        </w:rPr>
        <w:t xml:space="preserve"> </w:t>
      </w:r>
      <w:r w:rsidRPr="00A779B8">
        <w:rPr>
          <w:lang w:val="fr-FR"/>
        </w:rPr>
        <w:t>d</w:t>
      </w:r>
      <w:r w:rsidR="00DB4C2D">
        <w:rPr>
          <w:lang w:val="fr-FR"/>
        </w:rPr>
        <w:t>’</w:t>
      </w:r>
      <w:r w:rsidRPr="00A779B8">
        <w:rPr>
          <w:lang w:val="fr-FR"/>
        </w:rPr>
        <w:t>un réactif et le sous-système de dosage du réactif doivent faire l</w:t>
      </w:r>
      <w:r w:rsidR="00DB4C2D">
        <w:rPr>
          <w:lang w:val="fr-FR"/>
        </w:rPr>
        <w:t>’</w:t>
      </w:r>
      <w:r w:rsidRPr="00A779B8">
        <w:rPr>
          <w:lang w:val="fr-FR"/>
        </w:rPr>
        <w:t>objet d</w:t>
      </w:r>
      <w:r w:rsidR="00DB4C2D">
        <w:rPr>
          <w:lang w:val="fr-FR"/>
        </w:rPr>
        <w:t>’</w:t>
      </w:r>
      <w:r w:rsidRPr="00A779B8">
        <w:rPr>
          <w:lang w:val="fr-FR"/>
        </w:rPr>
        <w:t>une surveillance;</w:t>
      </w:r>
    </w:p>
    <w:p w:rsidR="005E010E" w:rsidRPr="00A779B8" w:rsidRDefault="005E010E" w:rsidP="005E010E">
      <w:pPr>
        <w:pStyle w:val="SingleTxtG"/>
        <w:ind w:left="2268" w:hanging="1134"/>
        <w:rPr>
          <w:lang w:val="fr-FR"/>
        </w:rPr>
      </w:pPr>
      <w:r w:rsidRPr="00A779B8">
        <w:rPr>
          <w:lang w:val="fr-FR"/>
        </w:rPr>
        <w:t>3.3.4.8</w:t>
      </w:r>
      <w:r w:rsidRPr="00A779B8">
        <w:rPr>
          <w:lang w:val="fr-FR"/>
        </w:rPr>
        <w:tab/>
        <w:t>Les défauts de fonctionnement et la baisse d</w:t>
      </w:r>
      <w:r w:rsidR="00DB4C2D">
        <w:rPr>
          <w:lang w:val="fr-FR"/>
        </w:rPr>
        <w:t>’</w:t>
      </w:r>
      <w:r w:rsidRPr="00A779B8">
        <w:rPr>
          <w:lang w:val="fr-FR"/>
        </w:rPr>
        <w:t>efficacité de l</w:t>
      </w:r>
      <w:r w:rsidR="00DB4C2D">
        <w:rPr>
          <w:lang w:val="fr-FR"/>
        </w:rPr>
        <w:t>’</w:t>
      </w:r>
      <w:r w:rsidRPr="00A779B8">
        <w:rPr>
          <w:lang w:val="fr-FR"/>
        </w:rPr>
        <w:t xml:space="preserve">épuration aval des </w:t>
      </w:r>
      <w:proofErr w:type="spellStart"/>
      <w:r w:rsidRPr="00A779B8">
        <w:rPr>
          <w:lang w:val="fr-FR"/>
        </w:rPr>
        <w:t>NO</w:t>
      </w:r>
      <w:r w:rsidRPr="00A779B8">
        <w:rPr>
          <w:vertAlign w:val="subscript"/>
          <w:lang w:val="fr-FR"/>
        </w:rPr>
        <w:t>x</w:t>
      </w:r>
      <w:proofErr w:type="spellEnd"/>
      <w:r w:rsidRPr="00A779B8">
        <w:rPr>
          <w:vertAlign w:val="subscript"/>
          <w:lang w:val="fr-FR"/>
        </w:rPr>
        <w:t xml:space="preserve"> </w:t>
      </w:r>
      <w:r w:rsidRPr="00A779B8">
        <w:rPr>
          <w:lang w:val="fr-FR"/>
        </w:rPr>
        <w:t>ne nécessitant pas l</w:t>
      </w:r>
      <w:r w:rsidR="00DB4C2D">
        <w:rPr>
          <w:lang w:val="fr-FR"/>
        </w:rPr>
        <w:t>’</w:t>
      </w:r>
      <w:r w:rsidRPr="00A779B8">
        <w:rPr>
          <w:lang w:val="fr-FR"/>
        </w:rPr>
        <w:t>usage d</w:t>
      </w:r>
      <w:r w:rsidR="00DB4C2D">
        <w:rPr>
          <w:lang w:val="fr-FR"/>
        </w:rPr>
        <w:t>’</w:t>
      </w:r>
      <w:r w:rsidRPr="00A779B8">
        <w:rPr>
          <w:lang w:val="fr-FR"/>
        </w:rPr>
        <w:t>un réactif doivent faire l</w:t>
      </w:r>
      <w:r w:rsidR="00DB4C2D">
        <w:rPr>
          <w:lang w:val="fr-FR"/>
        </w:rPr>
        <w:t>’</w:t>
      </w:r>
      <w:r w:rsidRPr="00A779B8">
        <w:rPr>
          <w:lang w:val="fr-FR"/>
        </w:rPr>
        <w:t>objet d</w:t>
      </w:r>
      <w:r w:rsidR="00DB4C2D">
        <w:rPr>
          <w:lang w:val="fr-FR"/>
        </w:rPr>
        <w:t>’</w:t>
      </w:r>
      <w:r w:rsidRPr="00A779B8">
        <w:rPr>
          <w:lang w:val="fr-FR"/>
        </w:rPr>
        <w:t>une surveillance.</w:t>
      </w:r>
    </w:p>
    <w:p w:rsidR="005E010E" w:rsidRPr="00A779B8" w:rsidRDefault="005E010E" w:rsidP="005E010E">
      <w:pPr>
        <w:pStyle w:val="SingleTxtG"/>
        <w:spacing w:after="100"/>
        <w:ind w:left="2268" w:hanging="1134"/>
        <w:rPr>
          <w:lang w:val="fr-FR"/>
        </w:rPr>
      </w:pPr>
      <w:r w:rsidRPr="00A779B8">
        <w:rPr>
          <w:lang w:val="fr-FR"/>
        </w:rPr>
        <w:t>3.3.4.9</w:t>
      </w:r>
      <w:r w:rsidRPr="00A779B8">
        <w:rPr>
          <w:lang w:val="fr-FR"/>
        </w:rPr>
        <w:tab/>
        <w:t>Sur les dispositifs ci-après, la défaillance totale ou le retrait doivent cependant faire l</w:t>
      </w:r>
      <w:r w:rsidR="00DB4C2D">
        <w:rPr>
          <w:lang w:val="fr-FR"/>
        </w:rPr>
        <w:t>’</w:t>
      </w:r>
      <w:r w:rsidRPr="00A779B8">
        <w:rPr>
          <w:lang w:val="fr-FR"/>
        </w:rPr>
        <w:t>objet d</w:t>
      </w:r>
      <w:r w:rsidR="00DB4C2D">
        <w:rPr>
          <w:lang w:val="fr-FR"/>
        </w:rPr>
        <w:t>’</w:t>
      </w:r>
      <w:r w:rsidRPr="00A779B8">
        <w:rPr>
          <w:lang w:val="fr-FR"/>
        </w:rPr>
        <w:t>une surveillance (si le retrait entraînerait un dépassement des limites d</w:t>
      </w:r>
      <w:r w:rsidR="00DB4C2D">
        <w:rPr>
          <w:lang w:val="fr-FR"/>
        </w:rPr>
        <w:t>’</w:t>
      </w:r>
      <w:r w:rsidRPr="00A779B8">
        <w:rPr>
          <w:lang w:val="fr-FR"/>
        </w:rPr>
        <w:t>émission applicables):</w:t>
      </w:r>
    </w:p>
    <w:p w:rsidR="005E010E" w:rsidRPr="00A779B8" w:rsidRDefault="005E010E" w:rsidP="005E010E">
      <w:pPr>
        <w:pStyle w:val="SingleTxtG"/>
        <w:spacing w:after="100"/>
        <w:ind w:left="2835" w:hanging="567"/>
        <w:rPr>
          <w:lang w:val="fr-FR"/>
        </w:rPr>
      </w:pPr>
      <w:r w:rsidRPr="00A779B8">
        <w:rPr>
          <w:lang w:val="fr-FR"/>
        </w:rPr>
        <w:t>a)</w:t>
      </w:r>
      <w:r w:rsidRPr="00A779B8">
        <w:rPr>
          <w:lang w:val="fr-FR"/>
        </w:rPr>
        <w:tab/>
        <w:t>Un filtre à particules installé sur des moteurs à allumage par compression en tant qu</w:t>
      </w:r>
      <w:r w:rsidR="00DB4C2D">
        <w:rPr>
          <w:lang w:val="fr-FR"/>
        </w:rPr>
        <w:t>’</w:t>
      </w:r>
      <w:r w:rsidRPr="00A779B8">
        <w:rPr>
          <w:lang w:val="fr-FR"/>
        </w:rPr>
        <w:t>élément distinct ou intégré dans un dispositif de réduction des émissions combiné;</w:t>
      </w:r>
    </w:p>
    <w:p w:rsidR="005E010E" w:rsidRPr="00A779B8" w:rsidRDefault="005E010E" w:rsidP="005E010E">
      <w:pPr>
        <w:pStyle w:val="SingleTxtG"/>
        <w:spacing w:after="100"/>
        <w:ind w:left="2835" w:hanging="567"/>
        <w:rPr>
          <w:lang w:val="fr-FR"/>
        </w:rPr>
      </w:pPr>
      <w:r w:rsidRPr="00A779B8">
        <w:rPr>
          <w:lang w:val="fr-FR"/>
        </w:rPr>
        <w:t>b)</w:t>
      </w:r>
      <w:r w:rsidRPr="00A779B8">
        <w:rPr>
          <w:lang w:val="fr-FR"/>
        </w:rPr>
        <w:tab/>
        <w:t>Un dispositif d</w:t>
      </w:r>
      <w:r w:rsidR="00DB4C2D">
        <w:rPr>
          <w:lang w:val="fr-FR"/>
        </w:rPr>
        <w:t>’</w:t>
      </w:r>
      <w:r w:rsidRPr="00A779B8">
        <w:rPr>
          <w:lang w:val="fr-FR"/>
        </w:rPr>
        <w:t xml:space="preserve">épuration aval des </w:t>
      </w:r>
      <w:proofErr w:type="spellStart"/>
      <w:r w:rsidRPr="00A779B8">
        <w:rPr>
          <w:lang w:val="fr-FR"/>
        </w:rPr>
        <w:t>NO</w:t>
      </w:r>
      <w:r w:rsidRPr="00A779B8">
        <w:rPr>
          <w:vertAlign w:val="subscript"/>
          <w:lang w:val="fr-FR"/>
        </w:rPr>
        <w:t>x</w:t>
      </w:r>
      <w:proofErr w:type="spellEnd"/>
      <w:r w:rsidRPr="00A779B8">
        <w:rPr>
          <w:lang w:val="fr-FR"/>
        </w:rPr>
        <w:t xml:space="preserve"> installé sur des moteurs à allumage par compression en tant qu</w:t>
      </w:r>
      <w:r w:rsidR="00DB4C2D">
        <w:rPr>
          <w:lang w:val="fr-FR"/>
        </w:rPr>
        <w:t>’</w:t>
      </w:r>
      <w:r w:rsidRPr="00A779B8">
        <w:rPr>
          <w:lang w:val="fr-FR"/>
        </w:rPr>
        <w:t>élément distinct ou intégré dans un dispositif de réduction des émissions combiné;</w:t>
      </w:r>
    </w:p>
    <w:p w:rsidR="005E010E" w:rsidRPr="00A779B8" w:rsidRDefault="005E010E" w:rsidP="005E010E">
      <w:pPr>
        <w:pStyle w:val="SingleTxtG"/>
        <w:spacing w:after="100"/>
        <w:ind w:left="2835" w:hanging="567"/>
        <w:rPr>
          <w:lang w:val="fr-FR"/>
        </w:rPr>
      </w:pPr>
      <w:r w:rsidRPr="00A779B8">
        <w:rPr>
          <w:lang w:val="fr-FR"/>
        </w:rPr>
        <w:t>c)</w:t>
      </w:r>
      <w:r w:rsidRPr="00A779B8">
        <w:rPr>
          <w:lang w:val="fr-FR"/>
        </w:rPr>
        <w:tab/>
        <w:t>Un catalyseur à oxydation pour moteur diesel installé sur des moteurs à allumage par compression en tant qu</w:t>
      </w:r>
      <w:r w:rsidR="00DB4C2D">
        <w:rPr>
          <w:lang w:val="fr-FR"/>
        </w:rPr>
        <w:t>’</w:t>
      </w:r>
      <w:r w:rsidRPr="00A779B8">
        <w:rPr>
          <w:lang w:val="fr-FR"/>
        </w:rPr>
        <w:t>élément distinct ou intégré dans un dispositif de réduction des émissions combiné.</w:t>
      </w:r>
    </w:p>
    <w:p w:rsidR="005E010E" w:rsidRPr="00A779B8" w:rsidRDefault="005E010E" w:rsidP="005E010E">
      <w:pPr>
        <w:pStyle w:val="SingleTxtG"/>
        <w:ind w:left="2268" w:hanging="1134"/>
        <w:rPr>
          <w:lang w:val="fr-FR"/>
        </w:rPr>
      </w:pPr>
      <w:r w:rsidRPr="00A779B8">
        <w:rPr>
          <w:lang w:val="fr-FR"/>
        </w:rPr>
        <w:t>3.3.4.10</w:t>
      </w:r>
      <w:r w:rsidRPr="00A779B8">
        <w:rPr>
          <w:lang w:val="fr-FR"/>
        </w:rPr>
        <w:tab/>
        <w:t>Les dispositifs visés au paragraphe 3.3.4.9</w:t>
      </w:r>
      <w:r>
        <w:rPr>
          <w:lang w:val="fr-FR"/>
        </w:rPr>
        <w:t xml:space="preserve"> de la présente annexe</w:t>
      </w:r>
      <w:r w:rsidRPr="00A779B8">
        <w:rPr>
          <w:lang w:val="fr-FR"/>
        </w:rPr>
        <w:t xml:space="preserve"> doivent également être soumis à une surveillance au cas où une défaillance quelconque entraînerait un dépassement des valeurs limites OBD.</w:t>
      </w:r>
    </w:p>
    <w:p w:rsidR="005E010E" w:rsidRPr="00A779B8" w:rsidRDefault="005E010E" w:rsidP="005E010E">
      <w:pPr>
        <w:pStyle w:val="SingleTxtG"/>
        <w:ind w:left="2268" w:hanging="1134"/>
        <w:rPr>
          <w:lang w:val="fr-FR"/>
        </w:rPr>
      </w:pPr>
      <w:r w:rsidRPr="00A779B8">
        <w:rPr>
          <w:lang w:val="fr-FR"/>
        </w:rPr>
        <w:t>3.3.5</w:t>
      </w:r>
      <w:r w:rsidRPr="00A779B8">
        <w:rPr>
          <w:lang w:val="fr-FR"/>
        </w:rPr>
        <w:tab/>
        <w:t>Les constructeurs peuvent démontrer à l</w:t>
      </w:r>
      <w:r w:rsidR="00DB4C2D">
        <w:rPr>
          <w:lang w:val="fr-FR"/>
        </w:rPr>
        <w:t>’</w:t>
      </w:r>
      <w:r w:rsidRPr="00A779B8">
        <w:rPr>
          <w:lang w:val="fr-FR"/>
        </w:rPr>
        <w:t>autorité d</w:t>
      </w:r>
      <w:r w:rsidR="00DB4C2D">
        <w:rPr>
          <w:lang w:val="fr-FR"/>
        </w:rPr>
        <w:t>’</w:t>
      </w:r>
      <w:r w:rsidRPr="00A779B8">
        <w:rPr>
          <w:lang w:val="fr-FR"/>
        </w:rPr>
        <w:t>homologation de type que la surveillance de certains composants ou systèmes n</w:t>
      </w:r>
      <w:r w:rsidR="00DB4C2D">
        <w:rPr>
          <w:lang w:val="fr-FR"/>
        </w:rPr>
        <w:t>’</w:t>
      </w:r>
      <w:r w:rsidRPr="00A779B8">
        <w:rPr>
          <w:lang w:val="fr-FR"/>
        </w:rPr>
        <w:t>est pas nécessaire si le niveau des émissions ne dépasse pas les limites indiquées au paragraphe 3.3.2 de la présente annexe lorsque ces composants ou systèmes subissent une défaillance totale ou sont retirés.</w:t>
      </w:r>
    </w:p>
    <w:p w:rsidR="005E010E" w:rsidRPr="00A779B8" w:rsidRDefault="005E010E" w:rsidP="005E010E">
      <w:pPr>
        <w:pStyle w:val="SingleTxtG"/>
        <w:spacing w:after="100"/>
        <w:ind w:left="2268" w:hanging="1134"/>
        <w:rPr>
          <w:lang w:val="fr-FR"/>
        </w:rPr>
      </w:pPr>
      <w:r w:rsidRPr="00A779B8">
        <w:rPr>
          <w:lang w:val="fr-FR"/>
        </w:rPr>
        <w:t>3.4</w:t>
      </w:r>
      <w:r w:rsidRPr="00A779B8">
        <w:rPr>
          <w:lang w:val="fr-FR"/>
        </w:rPr>
        <w:tab/>
        <w:t xml:space="preserve">Une séquence de diagnostics est amorcée à chaque démarrage du moteur et est effectuée au moins une fois </w:t>
      </w:r>
      <w:proofErr w:type="spellStart"/>
      <w:r w:rsidRPr="00A779B8">
        <w:rPr>
          <w:lang w:val="fr-FR"/>
        </w:rPr>
        <w:t>complètement</w:t>
      </w:r>
      <w:proofErr w:type="spellEnd"/>
      <w:r w:rsidRPr="00A779B8">
        <w:rPr>
          <w:lang w:val="fr-FR"/>
        </w:rPr>
        <w:t xml:space="preserve"> sous réserve que les conditions d</w:t>
      </w:r>
      <w:r w:rsidR="00DB4C2D">
        <w:rPr>
          <w:lang w:val="fr-FR"/>
        </w:rPr>
        <w:t>’</w:t>
      </w:r>
      <w:r w:rsidRPr="00A779B8">
        <w:rPr>
          <w:lang w:val="fr-FR"/>
        </w:rPr>
        <w:t>essai adéquates soient réunies. Les conditions d</w:t>
      </w:r>
      <w:r w:rsidR="00DB4C2D">
        <w:rPr>
          <w:lang w:val="fr-FR"/>
        </w:rPr>
        <w:t>’</w:t>
      </w:r>
      <w:r w:rsidRPr="00A779B8">
        <w:rPr>
          <w:lang w:val="fr-FR"/>
        </w:rPr>
        <w:t>essai sont choisies de façon à correspondre aux conditions de conduite normale telles qu</w:t>
      </w:r>
      <w:r w:rsidR="00DB4C2D">
        <w:rPr>
          <w:lang w:val="fr-FR"/>
        </w:rPr>
        <w:t>’</w:t>
      </w:r>
      <w:r w:rsidRPr="00A779B8">
        <w:rPr>
          <w:lang w:val="fr-FR"/>
        </w:rPr>
        <w:t>elles sont représentées par l</w:t>
      </w:r>
      <w:r w:rsidR="00DB4C2D">
        <w:rPr>
          <w:lang w:val="fr-FR"/>
        </w:rPr>
        <w:t>’</w:t>
      </w:r>
      <w:r w:rsidRPr="00A779B8">
        <w:rPr>
          <w:lang w:val="fr-FR"/>
        </w:rPr>
        <w:t>essai du type I.</w:t>
      </w:r>
    </w:p>
    <w:p w:rsidR="005E010E" w:rsidRPr="00A779B8" w:rsidRDefault="005E010E" w:rsidP="005E010E">
      <w:pPr>
        <w:pStyle w:val="SingleTxtG"/>
        <w:keepNext/>
        <w:spacing w:after="100"/>
        <w:ind w:left="2268" w:hanging="1134"/>
        <w:jc w:val="left"/>
        <w:rPr>
          <w:lang w:val="fr-FR"/>
        </w:rPr>
      </w:pPr>
      <w:r w:rsidRPr="00A779B8">
        <w:rPr>
          <w:lang w:val="fr-FR"/>
        </w:rPr>
        <w:t>3.5</w:t>
      </w:r>
      <w:r w:rsidRPr="00A779B8">
        <w:rPr>
          <w:lang w:val="fr-FR"/>
        </w:rPr>
        <w:tab/>
        <w:t>Activation du témoin de défaillance (TD)</w:t>
      </w:r>
    </w:p>
    <w:p w:rsidR="005E010E" w:rsidRPr="00A779B8" w:rsidRDefault="005E010E" w:rsidP="005E010E">
      <w:pPr>
        <w:pStyle w:val="SingleTxtG"/>
        <w:spacing w:after="100"/>
        <w:ind w:left="2268" w:hanging="1134"/>
        <w:rPr>
          <w:lang w:val="fr-FR"/>
        </w:rPr>
      </w:pPr>
      <w:r w:rsidRPr="00A779B8">
        <w:rPr>
          <w:lang w:val="fr-FR"/>
        </w:rPr>
        <w:t>3.5.1</w:t>
      </w:r>
      <w:r w:rsidRPr="00A779B8">
        <w:rPr>
          <w:lang w:val="fr-FR"/>
        </w:rPr>
        <w:tab/>
        <w:t>Le système OBD comprend un témoin de défaillance (TD) que le conducteur du véhicule peut facilement repérer. Le TD n</w:t>
      </w:r>
      <w:r w:rsidR="00DB4C2D">
        <w:rPr>
          <w:lang w:val="fr-FR"/>
        </w:rPr>
        <w:t>’</w:t>
      </w:r>
      <w:r w:rsidRPr="00A779B8">
        <w:rPr>
          <w:lang w:val="fr-FR"/>
        </w:rPr>
        <w:t>est utilisé à aucune autre fin, sauf comme signal de démarrage d</w:t>
      </w:r>
      <w:r w:rsidR="00DB4C2D">
        <w:rPr>
          <w:lang w:val="fr-FR"/>
        </w:rPr>
        <w:t>’</w:t>
      </w:r>
      <w:r w:rsidRPr="00A779B8">
        <w:rPr>
          <w:lang w:val="fr-FR"/>
        </w:rPr>
        <w:t>urgence ou de mode dégradé. Il doit être visible dans toutes les conditions d</w:t>
      </w:r>
      <w:r w:rsidR="00DB4C2D">
        <w:rPr>
          <w:lang w:val="fr-FR"/>
        </w:rPr>
        <w:t>’</w:t>
      </w:r>
      <w:r w:rsidRPr="00A779B8">
        <w:rPr>
          <w:lang w:val="fr-FR"/>
        </w:rPr>
        <w:t>éclairage raisonnables. Lorsqu</w:t>
      </w:r>
      <w:r w:rsidR="00DB4C2D">
        <w:rPr>
          <w:lang w:val="fr-FR"/>
        </w:rPr>
        <w:t>’</w:t>
      </w:r>
      <w:r w:rsidRPr="00A779B8">
        <w:rPr>
          <w:lang w:val="fr-FR"/>
        </w:rPr>
        <w:t>il est activé, il doit afficher un symbole conforme au modèle prévu par la norme ISO 2575. Un véhicule ne doit pas être équipé de plus d</w:t>
      </w:r>
      <w:r w:rsidR="00DB4C2D">
        <w:rPr>
          <w:lang w:val="fr-FR"/>
        </w:rPr>
        <w:t>’</w:t>
      </w:r>
      <w:r w:rsidRPr="00A779B8">
        <w:rPr>
          <w:lang w:val="fr-FR"/>
        </w:rPr>
        <w:t>un TD d</w:t>
      </w:r>
      <w:r w:rsidR="00DB4C2D">
        <w:rPr>
          <w:lang w:val="fr-FR"/>
        </w:rPr>
        <w:t>’</w:t>
      </w:r>
      <w:r w:rsidRPr="00A779B8">
        <w:rPr>
          <w:lang w:val="fr-FR"/>
        </w:rPr>
        <w:t>usage général pour les problèmes liés aux émissions. Des voyants lumineux distincts à des fins spécifiques (freins, ceinture de sécurité, pression d</w:t>
      </w:r>
      <w:r w:rsidR="00DB4C2D">
        <w:rPr>
          <w:lang w:val="fr-FR"/>
        </w:rPr>
        <w:t>’</w:t>
      </w:r>
      <w:r w:rsidRPr="00A779B8">
        <w:rPr>
          <w:lang w:val="fr-FR"/>
        </w:rPr>
        <w:t>huile, etc.) sont autorisés. L</w:t>
      </w:r>
      <w:r w:rsidR="00DB4C2D">
        <w:rPr>
          <w:lang w:val="fr-FR"/>
        </w:rPr>
        <w:t>’</w:t>
      </w:r>
      <w:r w:rsidRPr="00A779B8">
        <w:rPr>
          <w:lang w:val="fr-FR"/>
        </w:rPr>
        <w:t>utilisation de la couleur rouge est interdite pour le TD.</w:t>
      </w:r>
    </w:p>
    <w:p w:rsidR="005E010E" w:rsidRPr="00A779B8" w:rsidRDefault="005E010E" w:rsidP="005E010E">
      <w:pPr>
        <w:pStyle w:val="SingleTxtG"/>
        <w:ind w:left="2268" w:hanging="1134"/>
        <w:rPr>
          <w:lang w:val="fr-FR"/>
        </w:rPr>
      </w:pPr>
      <w:r w:rsidRPr="00A779B8">
        <w:rPr>
          <w:lang w:val="fr-FR"/>
        </w:rPr>
        <w:t>3.5.2</w:t>
      </w:r>
      <w:r w:rsidRPr="00A779B8">
        <w:rPr>
          <w:lang w:val="fr-FR"/>
        </w:rPr>
        <w:tab/>
        <w:t>Lorsqu</w:t>
      </w:r>
      <w:r w:rsidR="00DB4C2D">
        <w:rPr>
          <w:lang w:val="fr-FR"/>
        </w:rPr>
        <w:t>’</w:t>
      </w:r>
      <w:r w:rsidRPr="00A779B8">
        <w:rPr>
          <w:lang w:val="fr-FR"/>
        </w:rPr>
        <w:t>un système est conçu pour que l</w:t>
      </w:r>
      <w:r w:rsidR="00DB4C2D">
        <w:rPr>
          <w:lang w:val="fr-FR"/>
        </w:rPr>
        <w:t>’</w:t>
      </w:r>
      <w:r w:rsidRPr="00A779B8">
        <w:rPr>
          <w:lang w:val="fr-FR"/>
        </w:rPr>
        <w:t xml:space="preserve">activation du TD nécessite plus de deux cycles de </w:t>
      </w:r>
      <w:proofErr w:type="spellStart"/>
      <w:r w:rsidRPr="00A779B8">
        <w:rPr>
          <w:lang w:val="fr-FR"/>
        </w:rPr>
        <w:t>préconditionnement</w:t>
      </w:r>
      <w:proofErr w:type="spellEnd"/>
      <w:r w:rsidRPr="00A779B8">
        <w:rPr>
          <w:lang w:val="fr-FR"/>
        </w:rPr>
        <w:t xml:space="preserve">, le constructeur doit fournir des données et/ou une évaluation technique afin de démontrer que le système de surveillance en fonctionnement détecte aussi efficacement et précocement la détérioration des composants. Les systèmes prévoyant en moyenne plus de </w:t>
      </w:r>
      <w:r w:rsidRPr="00A779B8">
        <w:rPr>
          <w:lang w:val="fr-FR"/>
        </w:rPr>
        <w:lastRenderedPageBreak/>
        <w:t>10 cycles de conduite pour l</w:t>
      </w:r>
      <w:r w:rsidR="00DB4C2D">
        <w:rPr>
          <w:lang w:val="fr-FR"/>
        </w:rPr>
        <w:t>’</w:t>
      </w:r>
      <w:r w:rsidRPr="00A779B8">
        <w:rPr>
          <w:lang w:val="fr-FR"/>
        </w:rPr>
        <w:t>activation du TD ne sont pas acceptés. Le TD doit aussi se déclencher lorsque le contrôle du moteur passe au mode permanent de défaillance au niveau des émissions, en cas de dépassement des limites d</w:t>
      </w:r>
      <w:r w:rsidR="00DB4C2D">
        <w:rPr>
          <w:lang w:val="fr-FR"/>
        </w:rPr>
        <w:t>’</w:t>
      </w:r>
      <w:r w:rsidRPr="00A779B8">
        <w:rPr>
          <w:lang w:val="fr-FR"/>
        </w:rPr>
        <w:t>émission indiquées au paragraphe 3.3.2 de la présente annexe ou d</w:t>
      </w:r>
      <w:r w:rsidR="00DB4C2D">
        <w:rPr>
          <w:lang w:val="fr-FR"/>
        </w:rPr>
        <w:t>’</w:t>
      </w:r>
      <w:r w:rsidRPr="00A779B8">
        <w:rPr>
          <w:lang w:val="fr-FR"/>
        </w:rPr>
        <w:t>incapacité du système d</w:t>
      </w:r>
      <w:r w:rsidR="00DB4C2D">
        <w:rPr>
          <w:lang w:val="fr-FR"/>
        </w:rPr>
        <w:t>’</w:t>
      </w:r>
      <w:r w:rsidRPr="00A779B8">
        <w:rPr>
          <w:lang w:val="fr-FR"/>
        </w:rPr>
        <w:t>autodiagnostic à satisfaire aux exigences fondamentales de contrôle visées au paragraphe 3.3.3 ou 3.3.4 de la présente annexe. Lorsque des ratés d</w:t>
      </w:r>
      <w:r w:rsidR="00DB4C2D">
        <w:rPr>
          <w:lang w:val="fr-FR"/>
        </w:rPr>
        <w:t>’</w:t>
      </w:r>
      <w:r w:rsidRPr="00A779B8">
        <w:rPr>
          <w:lang w:val="fr-FR"/>
        </w:rPr>
        <w:t>allumage se produisent à un niveau susceptible d</w:t>
      </w:r>
      <w:r w:rsidR="00DB4C2D">
        <w:rPr>
          <w:lang w:val="fr-FR"/>
        </w:rPr>
        <w:t>’</w:t>
      </w:r>
      <w:r w:rsidRPr="00A779B8">
        <w:rPr>
          <w:lang w:val="fr-FR"/>
        </w:rPr>
        <w:t>endommager le catalyseur selon les spécifications du constructeur, le TD doit émettre un signal particulier, par exemple un clignotement. Le TD doit aussi se déclencher lorsque la clef de contact du véhicule est en position «marche» avant le démarrage ou le lancement du moteur du véhicule, et doit se désactiver après le démarrage du moteur si aucun dysfonctionnement n</w:t>
      </w:r>
      <w:r w:rsidR="00DB4C2D">
        <w:rPr>
          <w:lang w:val="fr-FR"/>
        </w:rPr>
        <w:t>’</w:t>
      </w:r>
      <w:r w:rsidRPr="00A779B8">
        <w:rPr>
          <w:lang w:val="fr-FR"/>
        </w:rPr>
        <w:t>a été détecté.</w:t>
      </w:r>
    </w:p>
    <w:p w:rsidR="005E010E" w:rsidRDefault="005E010E" w:rsidP="005E010E">
      <w:pPr>
        <w:pStyle w:val="SingleTxtG"/>
        <w:ind w:left="2268" w:hanging="1134"/>
        <w:rPr>
          <w:lang w:val="fr-FR"/>
        </w:rPr>
      </w:pPr>
      <w:r w:rsidRPr="00A779B8">
        <w:rPr>
          <w:lang w:val="fr-FR"/>
        </w:rPr>
        <w:t>3.6</w:t>
      </w:r>
      <w:r w:rsidRPr="00A779B8">
        <w:rPr>
          <w:lang w:val="fr-FR"/>
        </w:rPr>
        <w:tab/>
      </w:r>
      <w:r>
        <w:rPr>
          <w:lang w:val="fr-FR"/>
        </w:rPr>
        <w:t>Stockage des codes d</w:t>
      </w:r>
      <w:r w:rsidR="00DB4C2D">
        <w:rPr>
          <w:lang w:val="fr-FR"/>
        </w:rPr>
        <w:t>’</w:t>
      </w:r>
      <w:r>
        <w:rPr>
          <w:lang w:val="fr-FR"/>
        </w:rPr>
        <w:t>erreur</w:t>
      </w:r>
    </w:p>
    <w:p w:rsidR="005E010E" w:rsidRPr="00A779B8" w:rsidRDefault="005E010E" w:rsidP="005E010E">
      <w:pPr>
        <w:pStyle w:val="SingleTxtG"/>
        <w:ind w:left="2268" w:hanging="1134"/>
        <w:rPr>
          <w:lang w:val="fr-FR"/>
        </w:rPr>
      </w:pPr>
      <w:r>
        <w:rPr>
          <w:lang w:val="fr-FR"/>
        </w:rPr>
        <w:t>3.6.1</w:t>
      </w:r>
      <w:r>
        <w:rPr>
          <w:lang w:val="fr-FR"/>
        </w:rPr>
        <w:tab/>
      </w:r>
      <w:r w:rsidRPr="00A779B8">
        <w:rPr>
          <w:lang w:val="fr-FR"/>
        </w:rPr>
        <w:t>Le système d</w:t>
      </w:r>
      <w:r w:rsidR="00DB4C2D">
        <w:rPr>
          <w:lang w:val="fr-FR"/>
        </w:rPr>
        <w:t>’</w:t>
      </w:r>
      <w:r w:rsidRPr="00A779B8">
        <w:rPr>
          <w:lang w:val="fr-FR"/>
        </w:rPr>
        <w:t>autodiagnostic doit enregistrer le ou les codes d</w:t>
      </w:r>
      <w:r w:rsidR="00DB4C2D">
        <w:rPr>
          <w:lang w:val="fr-FR"/>
        </w:rPr>
        <w:t>’</w:t>
      </w:r>
      <w:r w:rsidRPr="00A779B8">
        <w:rPr>
          <w:lang w:val="fr-FR"/>
        </w:rPr>
        <w:t>erreur indiquant l</w:t>
      </w:r>
      <w:r w:rsidR="00DB4C2D">
        <w:rPr>
          <w:lang w:val="fr-FR"/>
        </w:rPr>
        <w:t>’</w:t>
      </w:r>
      <w:r w:rsidRPr="00A779B8">
        <w:rPr>
          <w:lang w:val="fr-FR"/>
        </w:rPr>
        <w:t>état du système antipollution. Des codes d</w:t>
      </w:r>
      <w:r w:rsidR="00DB4C2D">
        <w:rPr>
          <w:lang w:val="fr-FR"/>
        </w:rPr>
        <w:t>’</w:t>
      </w:r>
      <w:r w:rsidRPr="00A779B8">
        <w:rPr>
          <w:lang w:val="fr-FR"/>
        </w:rPr>
        <w:t>état différents doivent être utilisés pour identifier les systèmes antipollution qui fonctionnent correctement et ceux pour l</w:t>
      </w:r>
      <w:r w:rsidR="00DB4C2D">
        <w:rPr>
          <w:lang w:val="fr-FR"/>
        </w:rPr>
        <w:t>’</w:t>
      </w:r>
      <w:r w:rsidRPr="00A779B8">
        <w:rPr>
          <w:lang w:val="fr-FR"/>
        </w:rPr>
        <w:t>évaluation desquels il est nécessaire que le véhicule roule davantage. Si le TD est activé en raison d</w:t>
      </w:r>
      <w:r w:rsidR="00DB4C2D">
        <w:rPr>
          <w:lang w:val="fr-FR"/>
        </w:rPr>
        <w:t>’</w:t>
      </w:r>
      <w:r w:rsidRPr="00A779B8">
        <w:rPr>
          <w:lang w:val="fr-FR"/>
        </w:rPr>
        <w:t>une détérioration, d</w:t>
      </w:r>
      <w:r w:rsidR="00DB4C2D">
        <w:rPr>
          <w:lang w:val="fr-FR"/>
        </w:rPr>
        <w:t>’</w:t>
      </w:r>
      <w:r w:rsidRPr="00A779B8">
        <w:rPr>
          <w:lang w:val="fr-FR"/>
        </w:rPr>
        <w:t>un dysfonctionnement ou du passage aux modes permanents de défaillance au niveau des émissions, un code d</w:t>
      </w:r>
      <w:r w:rsidR="00DB4C2D">
        <w:rPr>
          <w:lang w:val="fr-FR"/>
        </w:rPr>
        <w:t>’</w:t>
      </w:r>
      <w:r w:rsidRPr="00A779B8">
        <w:rPr>
          <w:lang w:val="fr-FR"/>
        </w:rPr>
        <w:t>erreur identifiant le type de dysfonctionnement doit être enregistré. Un code d</w:t>
      </w:r>
      <w:r w:rsidR="00DB4C2D">
        <w:rPr>
          <w:lang w:val="fr-FR"/>
        </w:rPr>
        <w:t>’</w:t>
      </w:r>
      <w:r w:rsidRPr="00A779B8">
        <w:rPr>
          <w:lang w:val="fr-FR"/>
        </w:rPr>
        <w:t>erreur doit être également enregistré dans les cas mentionnés aux paragraphes 3.3.3.5 et 3.3.4.5 de la présente annexe.</w:t>
      </w:r>
    </w:p>
    <w:p w:rsidR="005E010E" w:rsidRPr="00A779B8" w:rsidRDefault="005E010E" w:rsidP="005E010E">
      <w:pPr>
        <w:pStyle w:val="SingleTxtG"/>
        <w:ind w:left="2268" w:hanging="1134"/>
        <w:rPr>
          <w:lang w:val="fr-FR"/>
        </w:rPr>
      </w:pPr>
      <w:r w:rsidRPr="00A779B8">
        <w:rPr>
          <w:lang w:val="fr-FR"/>
        </w:rPr>
        <w:t>3.6.</w:t>
      </w:r>
      <w:r>
        <w:rPr>
          <w:lang w:val="fr-FR"/>
        </w:rPr>
        <w:t>2</w:t>
      </w:r>
      <w:r w:rsidRPr="00A779B8">
        <w:rPr>
          <w:lang w:val="fr-FR"/>
        </w:rPr>
        <w:tab/>
        <w:t>La distance parcourue par le véhicule pendant l</w:t>
      </w:r>
      <w:r w:rsidR="00DB4C2D">
        <w:rPr>
          <w:lang w:val="fr-FR"/>
        </w:rPr>
        <w:t>’</w:t>
      </w:r>
      <w:r w:rsidRPr="00A779B8">
        <w:rPr>
          <w:lang w:val="fr-FR"/>
        </w:rPr>
        <w:t xml:space="preserve">activation du TD doit être disponible à tout moment par le port série du connecteur standard. </w:t>
      </w:r>
    </w:p>
    <w:p w:rsidR="005E010E" w:rsidRPr="00A779B8" w:rsidRDefault="005E010E" w:rsidP="005E010E">
      <w:pPr>
        <w:pStyle w:val="SingleTxtG"/>
        <w:ind w:left="2268" w:hanging="1134"/>
        <w:rPr>
          <w:lang w:val="fr-FR"/>
        </w:rPr>
      </w:pPr>
      <w:r w:rsidRPr="00A779B8">
        <w:rPr>
          <w:lang w:val="fr-FR"/>
        </w:rPr>
        <w:t>3.6.</w:t>
      </w:r>
      <w:r>
        <w:rPr>
          <w:lang w:val="fr-FR"/>
        </w:rPr>
        <w:t>3</w:t>
      </w:r>
      <w:r w:rsidRPr="00A779B8">
        <w:rPr>
          <w:lang w:val="fr-FR"/>
        </w:rPr>
        <w:tab/>
        <w:t>Dans le cas d</w:t>
      </w:r>
      <w:r w:rsidR="00DB4C2D">
        <w:rPr>
          <w:lang w:val="fr-FR"/>
        </w:rPr>
        <w:t>’</w:t>
      </w:r>
      <w:r w:rsidRPr="00A779B8">
        <w:rPr>
          <w:lang w:val="fr-FR"/>
        </w:rPr>
        <w:t>un véhicule équipé d</w:t>
      </w:r>
      <w:r w:rsidR="00DB4C2D">
        <w:rPr>
          <w:lang w:val="fr-FR"/>
        </w:rPr>
        <w:t>’</w:t>
      </w:r>
      <w:r w:rsidRPr="00A779B8">
        <w:rPr>
          <w:lang w:val="fr-FR"/>
        </w:rPr>
        <w:t>un moteur à allumage commandé, il n</w:t>
      </w:r>
      <w:r w:rsidR="00DB4C2D">
        <w:rPr>
          <w:lang w:val="fr-FR"/>
        </w:rPr>
        <w:t>’</w:t>
      </w:r>
      <w:r w:rsidRPr="00A779B8">
        <w:rPr>
          <w:lang w:val="fr-FR"/>
        </w:rPr>
        <w:t>est pas nécessaire que les cylindres où se produisent des ratés d</w:t>
      </w:r>
      <w:r w:rsidR="00DB4C2D">
        <w:rPr>
          <w:lang w:val="fr-FR"/>
        </w:rPr>
        <w:t>’</w:t>
      </w:r>
      <w:r w:rsidRPr="00A779B8">
        <w:rPr>
          <w:lang w:val="fr-FR"/>
        </w:rPr>
        <w:t>allumage soient identifiés de manière univoque si un code d</w:t>
      </w:r>
      <w:r w:rsidR="00DB4C2D">
        <w:rPr>
          <w:lang w:val="fr-FR"/>
        </w:rPr>
        <w:t>’</w:t>
      </w:r>
      <w:r w:rsidRPr="00A779B8">
        <w:rPr>
          <w:lang w:val="fr-FR"/>
        </w:rPr>
        <w:t>erreur distinct «raté d</w:t>
      </w:r>
      <w:r w:rsidR="00DB4C2D">
        <w:rPr>
          <w:lang w:val="fr-FR"/>
        </w:rPr>
        <w:t>’</w:t>
      </w:r>
      <w:r w:rsidRPr="00A779B8">
        <w:rPr>
          <w:lang w:val="fr-FR"/>
        </w:rPr>
        <w:t>allumage simple ou multiple» est enregistré.</w:t>
      </w:r>
    </w:p>
    <w:p w:rsidR="005E010E" w:rsidRPr="00A779B8" w:rsidRDefault="005E010E" w:rsidP="005E010E">
      <w:pPr>
        <w:pStyle w:val="SingleTxtG"/>
        <w:keepNext/>
        <w:ind w:left="2268" w:hanging="1134"/>
        <w:jc w:val="left"/>
        <w:rPr>
          <w:lang w:val="fr-FR"/>
        </w:rPr>
      </w:pPr>
      <w:r w:rsidRPr="00A779B8">
        <w:rPr>
          <w:lang w:val="fr-FR"/>
        </w:rPr>
        <w:t>3.7</w:t>
      </w:r>
      <w:r w:rsidRPr="00A779B8">
        <w:rPr>
          <w:lang w:val="fr-FR"/>
        </w:rPr>
        <w:tab/>
        <w:t>Extinction du TD</w:t>
      </w:r>
    </w:p>
    <w:p w:rsidR="005E010E" w:rsidRPr="00A779B8" w:rsidRDefault="005E010E" w:rsidP="005E010E">
      <w:pPr>
        <w:pStyle w:val="SingleTxtG"/>
        <w:ind w:left="2268" w:hanging="1134"/>
        <w:rPr>
          <w:lang w:val="fr-FR"/>
        </w:rPr>
      </w:pPr>
      <w:r w:rsidRPr="00A779B8">
        <w:rPr>
          <w:lang w:val="fr-FR"/>
        </w:rPr>
        <w:t>3.7.1</w:t>
      </w:r>
      <w:r w:rsidRPr="00A779B8">
        <w:rPr>
          <w:lang w:val="fr-FR"/>
        </w:rPr>
        <w:tab/>
        <w:t>S</w:t>
      </w:r>
      <w:r w:rsidR="00DB4C2D">
        <w:rPr>
          <w:lang w:val="fr-FR"/>
        </w:rPr>
        <w:t>’</w:t>
      </w:r>
      <w:r w:rsidRPr="00A779B8">
        <w:rPr>
          <w:lang w:val="fr-FR"/>
        </w:rPr>
        <w:t>il n</w:t>
      </w:r>
      <w:r w:rsidR="00DB4C2D">
        <w:rPr>
          <w:lang w:val="fr-FR"/>
        </w:rPr>
        <w:t>’</w:t>
      </w:r>
      <w:r w:rsidRPr="00A779B8">
        <w:rPr>
          <w:lang w:val="fr-FR"/>
        </w:rPr>
        <w:t>y a plus de ratés à un niveau tel qu</w:t>
      </w:r>
      <w:r w:rsidR="00DB4C2D">
        <w:rPr>
          <w:lang w:val="fr-FR"/>
        </w:rPr>
        <w:t>’</w:t>
      </w:r>
      <w:r w:rsidRPr="00A779B8">
        <w:rPr>
          <w:lang w:val="fr-FR"/>
        </w:rPr>
        <w:t>ils risquent d</w:t>
      </w:r>
      <w:r w:rsidR="00DB4C2D">
        <w:rPr>
          <w:lang w:val="fr-FR"/>
        </w:rPr>
        <w:t>’</w:t>
      </w:r>
      <w:r w:rsidRPr="00A779B8">
        <w:rPr>
          <w:lang w:val="fr-FR"/>
        </w:rPr>
        <w:t>endommager le catalyseur (selon les spécifications du constructeur) ou si les conditions de régime et de charge du moteur ont été ramenées à un niveau où les ratés ne risquent plus d</w:t>
      </w:r>
      <w:r w:rsidR="00DB4C2D">
        <w:rPr>
          <w:lang w:val="fr-FR"/>
        </w:rPr>
        <w:t>’</w:t>
      </w:r>
      <w:r w:rsidRPr="00A779B8">
        <w:rPr>
          <w:lang w:val="fr-FR"/>
        </w:rPr>
        <w:t>endommager le catalyseur, le TD peut être basculé sur le mode d</w:t>
      </w:r>
      <w:r w:rsidR="00DB4C2D">
        <w:rPr>
          <w:lang w:val="fr-FR"/>
        </w:rPr>
        <w:t>’</w:t>
      </w:r>
      <w:r w:rsidRPr="00A779B8">
        <w:rPr>
          <w:lang w:val="fr-FR"/>
        </w:rPr>
        <w:t>activation correspondant au premier cycle de conduite au cours duquel le niveau de ratés a été détecté, et replacé sur le mode d</w:t>
      </w:r>
      <w:r w:rsidR="00DB4C2D">
        <w:rPr>
          <w:lang w:val="fr-FR"/>
        </w:rPr>
        <w:t>’</w:t>
      </w:r>
      <w:r w:rsidRPr="00A779B8">
        <w:rPr>
          <w:lang w:val="fr-FR"/>
        </w:rPr>
        <w:t>activation normal pendant les cycles de conduite suivants. Si le TD est ramené au mode d</w:t>
      </w:r>
      <w:r w:rsidR="00DB4C2D">
        <w:rPr>
          <w:lang w:val="fr-FR"/>
        </w:rPr>
        <w:t>’</w:t>
      </w:r>
      <w:r w:rsidRPr="00A779B8">
        <w:rPr>
          <w:lang w:val="fr-FR"/>
        </w:rPr>
        <w:t>activation précédant, les codes d</w:t>
      </w:r>
      <w:r w:rsidR="00DB4C2D">
        <w:rPr>
          <w:lang w:val="fr-FR"/>
        </w:rPr>
        <w:t>’</w:t>
      </w:r>
      <w:r w:rsidRPr="00A779B8">
        <w:rPr>
          <w:lang w:val="fr-FR"/>
        </w:rPr>
        <w:t>erreur et les trames fixes correspondants peuvent être supprimés.</w:t>
      </w:r>
    </w:p>
    <w:p w:rsidR="005E010E" w:rsidRPr="00A779B8" w:rsidRDefault="005E010E" w:rsidP="005E010E">
      <w:pPr>
        <w:pStyle w:val="SingleTxtG"/>
        <w:ind w:left="2268" w:hanging="1134"/>
        <w:rPr>
          <w:lang w:val="fr-FR"/>
        </w:rPr>
      </w:pPr>
      <w:r w:rsidRPr="00A779B8">
        <w:rPr>
          <w:lang w:val="fr-FR"/>
        </w:rPr>
        <w:t>3.7.2</w:t>
      </w:r>
      <w:r w:rsidRPr="00A779B8">
        <w:rPr>
          <w:lang w:val="fr-FR"/>
        </w:rPr>
        <w:tab/>
        <w:t>Pour tous les autres types de dysfonctionnement, le TD peut se désactiver après trois cycles de conduite successifs pendant lesquels le système de surveillance responsable de l</w:t>
      </w:r>
      <w:r w:rsidR="00DB4C2D">
        <w:rPr>
          <w:lang w:val="fr-FR"/>
        </w:rPr>
        <w:t>’</w:t>
      </w:r>
      <w:r w:rsidRPr="00A779B8">
        <w:rPr>
          <w:lang w:val="fr-FR"/>
        </w:rPr>
        <w:t>activation du TD ne détecte plus le dysfonctionnement en cause et si, parallèlement, aucun autre dysfonctionnement qui activerait le TD n</w:t>
      </w:r>
      <w:r w:rsidR="00DB4C2D">
        <w:rPr>
          <w:lang w:val="fr-FR"/>
        </w:rPr>
        <w:t>’</w:t>
      </w:r>
      <w:r w:rsidRPr="00A779B8">
        <w:rPr>
          <w:lang w:val="fr-FR"/>
        </w:rPr>
        <w:t>a été détecté.</w:t>
      </w:r>
    </w:p>
    <w:p w:rsidR="005E010E" w:rsidRPr="00A779B8" w:rsidRDefault="005E010E" w:rsidP="005E010E">
      <w:pPr>
        <w:pStyle w:val="SingleTxtG"/>
        <w:keepNext/>
        <w:ind w:left="2268" w:hanging="1134"/>
        <w:jc w:val="left"/>
        <w:rPr>
          <w:lang w:val="fr-FR"/>
        </w:rPr>
      </w:pPr>
      <w:r w:rsidRPr="00A779B8">
        <w:rPr>
          <w:lang w:val="fr-FR"/>
        </w:rPr>
        <w:t>3.8</w:t>
      </w:r>
      <w:r w:rsidRPr="00A779B8">
        <w:rPr>
          <w:lang w:val="fr-FR"/>
        </w:rPr>
        <w:tab/>
        <w:t>Suppression d</w:t>
      </w:r>
      <w:r w:rsidR="00DB4C2D">
        <w:rPr>
          <w:lang w:val="fr-FR"/>
        </w:rPr>
        <w:t>’</w:t>
      </w:r>
      <w:r w:rsidRPr="00A779B8">
        <w:rPr>
          <w:lang w:val="fr-FR"/>
        </w:rPr>
        <w:t>un code d</w:t>
      </w:r>
      <w:r w:rsidR="00DB4C2D">
        <w:rPr>
          <w:lang w:val="fr-FR"/>
        </w:rPr>
        <w:t>’</w:t>
      </w:r>
      <w:r w:rsidRPr="00A779B8">
        <w:rPr>
          <w:lang w:val="fr-FR"/>
        </w:rPr>
        <w:t>erreur</w:t>
      </w:r>
    </w:p>
    <w:p w:rsidR="005E010E" w:rsidRPr="00A779B8" w:rsidRDefault="005E010E" w:rsidP="005E010E">
      <w:pPr>
        <w:pStyle w:val="SingleTxtG"/>
        <w:ind w:left="2268" w:hanging="1134"/>
        <w:rPr>
          <w:lang w:val="fr-FR"/>
        </w:rPr>
      </w:pPr>
      <w:r w:rsidRPr="00A779B8">
        <w:rPr>
          <w:lang w:val="fr-FR"/>
        </w:rPr>
        <w:t>3.8.1</w:t>
      </w:r>
      <w:r w:rsidRPr="00A779B8">
        <w:rPr>
          <w:lang w:val="fr-FR"/>
        </w:rPr>
        <w:tab/>
        <w:t>Le système OBD peut supprimer un code d</w:t>
      </w:r>
      <w:r w:rsidR="00DB4C2D">
        <w:rPr>
          <w:lang w:val="fr-FR"/>
        </w:rPr>
        <w:t>’</w:t>
      </w:r>
      <w:r w:rsidRPr="00A779B8">
        <w:rPr>
          <w:lang w:val="fr-FR"/>
        </w:rPr>
        <w:t xml:space="preserve">erreur, la distance parcourue et les informations figées (trames fixes) correspondantes si la même défaillance </w:t>
      </w:r>
      <w:r w:rsidRPr="00A779B8">
        <w:rPr>
          <w:lang w:val="fr-FR"/>
        </w:rPr>
        <w:lastRenderedPageBreak/>
        <w:t>n</w:t>
      </w:r>
      <w:r w:rsidR="00DB4C2D">
        <w:rPr>
          <w:lang w:val="fr-FR"/>
        </w:rPr>
        <w:t>’</w:t>
      </w:r>
      <w:r w:rsidRPr="00A779B8">
        <w:rPr>
          <w:lang w:val="fr-FR"/>
        </w:rPr>
        <w:t>est plus réenregistrée pendant au moins 40 cycles d</w:t>
      </w:r>
      <w:r w:rsidR="00DB4C2D">
        <w:rPr>
          <w:lang w:val="fr-FR"/>
        </w:rPr>
        <w:t>’</w:t>
      </w:r>
      <w:r w:rsidRPr="00A779B8">
        <w:rPr>
          <w:lang w:val="fr-FR"/>
        </w:rPr>
        <w:t>échauffement du moteur.</w:t>
      </w:r>
    </w:p>
    <w:p w:rsidR="005E010E" w:rsidRPr="00A779B8" w:rsidRDefault="005E010E" w:rsidP="005E010E">
      <w:pPr>
        <w:pStyle w:val="SingleTxtG"/>
        <w:keepNext/>
        <w:ind w:left="2268" w:hanging="1134"/>
        <w:jc w:val="left"/>
        <w:rPr>
          <w:lang w:val="fr-FR"/>
        </w:rPr>
      </w:pPr>
      <w:r w:rsidRPr="00A779B8">
        <w:rPr>
          <w:lang w:val="fr-FR"/>
        </w:rPr>
        <w:t>3.9</w:t>
      </w:r>
      <w:r w:rsidRPr="00A779B8">
        <w:rPr>
          <w:lang w:val="fr-FR"/>
        </w:rPr>
        <w:tab/>
        <w:t>Véhicules à bicarburation</w:t>
      </w:r>
    </w:p>
    <w:p w:rsidR="005E010E" w:rsidRPr="00A779B8" w:rsidRDefault="005E010E" w:rsidP="005E010E">
      <w:pPr>
        <w:pStyle w:val="SingleTxtG"/>
        <w:ind w:left="2268"/>
        <w:rPr>
          <w:lang w:val="fr-FR"/>
        </w:rPr>
      </w:pPr>
      <w:r w:rsidRPr="00A779B8">
        <w:rPr>
          <w:lang w:val="fr-FR"/>
        </w:rPr>
        <w:tab/>
      </w:r>
      <w:r w:rsidRPr="00A779B8">
        <w:rPr>
          <w:spacing w:val="-2"/>
          <w:lang w:val="fr-FR"/>
        </w:rPr>
        <w:t>En général, toutes les prescriptions relatives aux systèmes d</w:t>
      </w:r>
      <w:r w:rsidR="00DB4C2D">
        <w:rPr>
          <w:spacing w:val="-2"/>
          <w:lang w:val="fr-FR"/>
        </w:rPr>
        <w:t>’</w:t>
      </w:r>
      <w:r w:rsidRPr="00A779B8">
        <w:rPr>
          <w:spacing w:val="-2"/>
          <w:lang w:val="fr-FR"/>
        </w:rPr>
        <w:t xml:space="preserve">autodiagnostic qui sont applicables aux véhicules </w:t>
      </w:r>
      <w:proofErr w:type="spellStart"/>
      <w:r w:rsidRPr="00A779B8">
        <w:rPr>
          <w:spacing w:val="-2"/>
          <w:lang w:val="fr-FR"/>
        </w:rPr>
        <w:t>monocarburant</w:t>
      </w:r>
      <w:proofErr w:type="spellEnd"/>
      <w:r w:rsidRPr="00A779B8">
        <w:rPr>
          <w:spacing w:val="-2"/>
          <w:lang w:val="fr-FR"/>
        </w:rPr>
        <w:t xml:space="preserve"> s</w:t>
      </w:r>
      <w:r w:rsidR="00DB4C2D">
        <w:rPr>
          <w:spacing w:val="-2"/>
          <w:lang w:val="fr-FR"/>
        </w:rPr>
        <w:t>’</w:t>
      </w:r>
      <w:r w:rsidRPr="00A779B8">
        <w:rPr>
          <w:spacing w:val="-2"/>
          <w:lang w:val="fr-FR"/>
        </w:rPr>
        <w:t>appliquent également aux véhicules à bicarburation pour les deux types de carburant (essence et GN/</w:t>
      </w:r>
      <w:proofErr w:type="spellStart"/>
      <w:r w:rsidRPr="00A779B8">
        <w:rPr>
          <w:spacing w:val="-2"/>
          <w:lang w:val="fr-FR"/>
        </w:rPr>
        <w:t>biométhane</w:t>
      </w:r>
      <w:proofErr w:type="spellEnd"/>
      <w:r w:rsidRPr="00A779B8">
        <w:rPr>
          <w:spacing w:val="-2"/>
          <w:lang w:val="fr-FR"/>
        </w:rPr>
        <w:t>/GPL). Afin de satisfaire à ces prescriptions, on peut utiliser un seul système d</w:t>
      </w:r>
      <w:r w:rsidR="00DB4C2D">
        <w:rPr>
          <w:spacing w:val="-2"/>
          <w:lang w:val="fr-FR"/>
        </w:rPr>
        <w:t>’</w:t>
      </w:r>
      <w:r w:rsidRPr="00A779B8">
        <w:rPr>
          <w:spacing w:val="-2"/>
          <w:lang w:val="fr-FR"/>
        </w:rPr>
        <w:t xml:space="preserve">autodiagnostic </w:t>
      </w:r>
      <w:r w:rsidRPr="00A779B8">
        <w:rPr>
          <w:lang w:val="fr-FR"/>
        </w:rPr>
        <w:t>ou deux systèmes distincts, comme indiqué aux paragraphes 3.9.1 et 3.9.2 de la présente annexe, ou encore une combinaison de ces deux options.</w:t>
      </w:r>
    </w:p>
    <w:p w:rsidR="005E010E" w:rsidRPr="00A779B8" w:rsidRDefault="005E010E" w:rsidP="005E010E">
      <w:pPr>
        <w:pStyle w:val="SingleTxtG"/>
        <w:keepNext/>
        <w:ind w:left="2268" w:hanging="1134"/>
        <w:jc w:val="left"/>
        <w:rPr>
          <w:lang w:val="fr-FR"/>
        </w:rPr>
      </w:pPr>
      <w:r w:rsidRPr="00A779B8">
        <w:rPr>
          <w:lang w:val="fr-FR"/>
        </w:rPr>
        <w:t>3.9.1</w:t>
      </w:r>
      <w:r w:rsidRPr="00A779B8">
        <w:rPr>
          <w:lang w:val="fr-FR"/>
        </w:rPr>
        <w:tab/>
        <w:t>Un seul système d</w:t>
      </w:r>
      <w:r w:rsidR="00DB4C2D">
        <w:rPr>
          <w:lang w:val="fr-FR"/>
        </w:rPr>
        <w:t>’</w:t>
      </w:r>
      <w:r w:rsidRPr="00A779B8">
        <w:rPr>
          <w:lang w:val="fr-FR"/>
        </w:rPr>
        <w:t>autodiagnostic pour les deux types de carburant</w:t>
      </w:r>
    </w:p>
    <w:p w:rsidR="005E010E" w:rsidRPr="00A779B8" w:rsidRDefault="005E010E" w:rsidP="005E010E">
      <w:pPr>
        <w:pStyle w:val="SingleTxtG"/>
        <w:keepNext/>
        <w:ind w:left="2268" w:hanging="1134"/>
        <w:rPr>
          <w:lang w:val="fr-FR"/>
        </w:rPr>
      </w:pPr>
      <w:r w:rsidRPr="00A779B8">
        <w:rPr>
          <w:lang w:val="fr-FR"/>
        </w:rPr>
        <w:t>3.9.1.1</w:t>
      </w:r>
      <w:r w:rsidRPr="00A779B8">
        <w:rPr>
          <w:lang w:val="fr-FR"/>
        </w:rPr>
        <w:tab/>
        <w:t>Les procédures suivantes doivent être exécutées pour chaque diagnostic par un seul système d</w:t>
      </w:r>
      <w:r w:rsidR="00DB4C2D">
        <w:rPr>
          <w:lang w:val="fr-FR"/>
        </w:rPr>
        <w:t>’</w:t>
      </w:r>
      <w:r w:rsidRPr="00A779B8">
        <w:rPr>
          <w:lang w:val="fr-FR"/>
        </w:rPr>
        <w:t>autodiagnostic pour l</w:t>
      </w:r>
      <w:r w:rsidR="00DB4C2D">
        <w:rPr>
          <w:lang w:val="fr-FR"/>
        </w:rPr>
        <w:t>’</w:t>
      </w:r>
      <w:r w:rsidRPr="00A779B8">
        <w:rPr>
          <w:lang w:val="fr-FR"/>
        </w:rPr>
        <w:t>alimentation à l</w:t>
      </w:r>
      <w:r w:rsidR="00DB4C2D">
        <w:rPr>
          <w:lang w:val="fr-FR"/>
        </w:rPr>
        <w:t>’</w:t>
      </w:r>
      <w:r w:rsidRPr="00A779B8">
        <w:rPr>
          <w:lang w:val="fr-FR"/>
        </w:rPr>
        <w:t>essence et au GN/</w:t>
      </w:r>
      <w:proofErr w:type="spellStart"/>
      <w:r w:rsidRPr="00A779B8">
        <w:rPr>
          <w:lang w:val="fr-FR"/>
        </w:rPr>
        <w:t>biométhane</w:t>
      </w:r>
      <w:proofErr w:type="spellEnd"/>
      <w:r w:rsidRPr="00A779B8">
        <w:rPr>
          <w:lang w:val="fr-FR"/>
        </w:rPr>
        <w:t>/GPL, soit indépendamment du carburant utilisé, soit en tenant compte du type de carburant:</w:t>
      </w:r>
    </w:p>
    <w:p w:rsidR="005E010E" w:rsidRPr="00A779B8" w:rsidRDefault="005E010E" w:rsidP="005E010E">
      <w:pPr>
        <w:pStyle w:val="SingleTxtG"/>
        <w:ind w:left="2835" w:hanging="567"/>
        <w:rPr>
          <w:lang w:val="fr-FR"/>
        </w:rPr>
      </w:pPr>
      <w:r w:rsidRPr="00A779B8">
        <w:rPr>
          <w:lang w:val="fr-FR"/>
        </w:rPr>
        <w:t>a)</w:t>
      </w:r>
      <w:r w:rsidRPr="00A779B8">
        <w:rPr>
          <w:lang w:val="fr-FR"/>
        </w:rPr>
        <w:tab/>
        <w:t>Activation du témoin de défaillance (TD) (voir par. 3.5 de la présente annexe);</w:t>
      </w:r>
    </w:p>
    <w:p w:rsidR="005E010E" w:rsidRPr="00A779B8" w:rsidRDefault="005E010E" w:rsidP="005E010E">
      <w:pPr>
        <w:pStyle w:val="SingleTxtG"/>
        <w:ind w:left="2835" w:hanging="567"/>
        <w:rPr>
          <w:lang w:val="fr-FR"/>
        </w:rPr>
      </w:pPr>
      <w:r w:rsidRPr="00A779B8">
        <w:rPr>
          <w:lang w:val="fr-FR"/>
        </w:rPr>
        <w:t>b)</w:t>
      </w:r>
      <w:r w:rsidRPr="00A779B8">
        <w:rPr>
          <w:lang w:val="fr-FR"/>
        </w:rPr>
        <w:tab/>
        <w:t>Stockage des codes d</w:t>
      </w:r>
      <w:r w:rsidR="00DB4C2D">
        <w:rPr>
          <w:lang w:val="fr-FR"/>
        </w:rPr>
        <w:t>’</w:t>
      </w:r>
      <w:r w:rsidRPr="00A779B8">
        <w:rPr>
          <w:lang w:val="fr-FR"/>
        </w:rPr>
        <w:t>erreur (voir par. 3.6 de la présente annexe);</w:t>
      </w:r>
    </w:p>
    <w:p w:rsidR="005E010E" w:rsidRPr="00A779B8" w:rsidRDefault="005E010E" w:rsidP="005E010E">
      <w:pPr>
        <w:pStyle w:val="SingleTxtG"/>
        <w:ind w:left="2835" w:hanging="567"/>
        <w:rPr>
          <w:lang w:val="fr-FR"/>
        </w:rPr>
      </w:pPr>
      <w:r w:rsidRPr="00A779B8">
        <w:rPr>
          <w:lang w:val="fr-FR"/>
        </w:rPr>
        <w:t>c)</w:t>
      </w:r>
      <w:r w:rsidRPr="00A779B8">
        <w:rPr>
          <w:lang w:val="fr-FR"/>
        </w:rPr>
        <w:tab/>
        <w:t>Extinction du TD (voir par. 3.7 de la présente annexe);</w:t>
      </w:r>
    </w:p>
    <w:p w:rsidR="005E010E" w:rsidRPr="00A779B8" w:rsidRDefault="005E010E" w:rsidP="005E010E">
      <w:pPr>
        <w:pStyle w:val="SingleTxtG"/>
        <w:ind w:left="2835" w:hanging="567"/>
        <w:rPr>
          <w:lang w:val="fr-FR"/>
        </w:rPr>
      </w:pPr>
      <w:r w:rsidRPr="00A779B8">
        <w:rPr>
          <w:lang w:val="fr-FR"/>
        </w:rPr>
        <w:t>d)</w:t>
      </w:r>
      <w:r w:rsidRPr="00A779B8">
        <w:rPr>
          <w:lang w:val="fr-FR"/>
        </w:rPr>
        <w:tab/>
        <w:t>Suppression d</w:t>
      </w:r>
      <w:r w:rsidR="00DB4C2D">
        <w:rPr>
          <w:lang w:val="fr-FR"/>
        </w:rPr>
        <w:t>’</w:t>
      </w:r>
      <w:r w:rsidRPr="00A779B8">
        <w:rPr>
          <w:lang w:val="fr-FR"/>
        </w:rPr>
        <w:t>un code d</w:t>
      </w:r>
      <w:r w:rsidR="00DB4C2D">
        <w:rPr>
          <w:lang w:val="fr-FR"/>
        </w:rPr>
        <w:t>’</w:t>
      </w:r>
      <w:r w:rsidRPr="00A779B8">
        <w:rPr>
          <w:lang w:val="fr-FR"/>
        </w:rPr>
        <w:t>erreur (voir par. 3.8 de la présente annexe).</w:t>
      </w:r>
    </w:p>
    <w:p w:rsidR="005E010E" w:rsidRPr="00A779B8" w:rsidRDefault="005E010E" w:rsidP="005E010E">
      <w:pPr>
        <w:pStyle w:val="SingleTxtG"/>
        <w:ind w:left="2268"/>
        <w:rPr>
          <w:lang w:val="fr-FR"/>
        </w:rPr>
      </w:pPr>
      <w:r w:rsidRPr="00A779B8">
        <w:rPr>
          <w:lang w:val="fr-FR"/>
        </w:rPr>
        <w:tab/>
        <w:t>Pour les composants ou les systèmes à contrôler, on peut utiliser soit un diagnostic séparé pour chaque type de carburant, soit un diagnostic commun.</w:t>
      </w:r>
    </w:p>
    <w:p w:rsidR="005E010E" w:rsidRPr="00A779B8" w:rsidRDefault="005E010E" w:rsidP="005E010E">
      <w:pPr>
        <w:pStyle w:val="SingleTxtG"/>
        <w:ind w:left="2268" w:hanging="1134"/>
        <w:rPr>
          <w:lang w:val="fr-FR"/>
        </w:rPr>
      </w:pPr>
      <w:r w:rsidRPr="00A779B8">
        <w:rPr>
          <w:lang w:val="fr-FR"/>
        </w:rPr>
        <w:t>3.9.1.2</w:t>
      </w:r>
      <w:r w:rsidRPr="00A779B8">
        <w:rPr>
          <w:lang w:val="fr-FR"/>
        </w:rPr>
        <w:tab/>
        <w:t>Le système d</w:t>
      </w:r>
      <w:r w:rsidR="00DB4C2D">
        <w:rPr>
          <w:lang w:val="fr-FR"/>
        </w:rPr>
        <w:t>’</w:t>
      </w:r>
      <w:r w:rsidRPr="00A779B8">
        <w:rPr>
          <w:lang w:val="fr-FR"/>
        </w:rPr>
        <w:t>autodiagnostic peut être logé dans un ou plusieurs ordinateurs.</w:t>
      </w:r>
    </w:p>
    <w:p w:rsidR="005E010E" w:rsidRPr="00A779B8" w:rsidRDefault="005E010E" w:rsidP="005E010E">
      <w:pPr>
        <w:pStyle w:val="SingleTxtG"/>
        <w:keepNext/>
        <w:ind w:left="2268" w:hanging="1134"/>
        <w:jc w:val="left"/>
        <w:rPr>
          <w:lang w:val="fr-FR"/>
        </w:rPr>
      </w:pPr>
      <w:r w:rsidRPr="00A779B8">
        <w:rPr>
          <w:lang w:val="fr-FR"/>
        </w:rPr>
        <w:t>3.9.2</w:t>
      </w:r>
      <w:r w:rsidRPr="00A779B8">
        <w:rPr>
          <w:lang w:val="fr-FR"/>
        </w:rPr>
        <w:tab/>
        <w:t>Deux systèmes d</w:t>
      </w:r>
      <w:r w:rsidR="00DB4C2D">
        <w:rPr>
          <w:lang w:val="fr-FR"/>
        </w:rPr>
        <w:t>’</w:t>
      </w:r>
      <w:r w:rsidRPr="00A779B8">
        <w:rPr>
          <w:lang w:val="fr-FR"/>
        </w:rPr>
        <w:t>autodiagnostic distincts, un pour chaque type de carburant</w:t>
      </w:r>
    </w:p>
    <w:p w:rsidR="005E010E" w:rsidRPr="00A779B8" w:rsidRDefault="005E010E" w:rsidP="005E010E">
      <w:pPr>
        <w:pStyle w:val="SingleTxtG"/>
        <w:keepNext/>
        <w:ind w:left="2268" w:hanging="1134"/>
        <w:rPr>
          <w:lang w:val="fr-FR"/>
        </w:rPr>
      </w:pPr>
      <w:r w:rsidRPr="00A779B8">
        <w:rPr>
          <w:lang w:val="fr-FR"/>
        </w:rPr>
        <w:t>3.9.2.1</w:t>
      </w:r>
      <w:r w:rsidRPr="00A779B8">
        <w:rPr>
          <w:lang w:val="fr-FR"/>
        </w:rPr>
        <w:tab/>
        <w:t>Les procédures suivantes seront exécutées indépendamment selon que le véhicule fonctionne à l</w:t>
      </w:r>
      <w:r w:rsidR="00DB4C2D">
        <w:rPr>
          <w:lang w:val="fr-FR"/>
        </w:rPr>
        <w:t>’</w:t>
      </w:r>
      <w:r w:rsidRPr="00A779B8">
        <w:rPr>
          <w:lang w:val="fr-FR"/>
        </w:rPr>
        <w:t>essence ou au GN/</w:t>
      </w:r>
      <w:proofErr w:type="spellStart"/>
      <w:r w:rsidRPr="00A779B8">
        <w:rPr>
          <w:lang w:val="fr-FR"/>
        </w:rPr>
        <w:t>biométhane</w:t>
      </w:r>
      <w:proofErr w:type="spellEnd"/>
      <w:r w:rsidRPr="00A779B8">
        <w:rPr>
          <w:lang w:val="fr-FR"/>
        </w:rPr>
        <w:t>/GPL:</w:t>
      </w:r>
    </w:p>
    <w:p w:rsidR="005E010E" w:rsidRPr="00A779B8" w:rsidRDefault="005E010E" w:rsidP="005E010E">
      <w:pPr>
        <w:pStyle w:val="SingleTxtG"/>
        <w:ind w:left="2835" w:hanging="567"/>
        <w:rPr>
          <w:lang w:val="fr-FR"/>
        </w:rPr>
      </w:pPr>
      <w:r w:rsidRPr="00A779B8">
        <w:rPr>
          <w:lang w:val="fr-FR"/>
        </w:rPr>
        <w:t>a)</w:t>
      </w:r>
      <w:r w:rsidRPr="00A779B8">
        <w:rPr>
          <w:lang w:val="fr-FR"/>
        </w:rPr>
        <w:tab/>
        <w:t>Activation du témoin de défaillance (TD) (voir par. 3.5 de la présente annexe);</w:t>
      </w:r>
    </w:p>
    <w:p w:rsidR="005E010E" w:rsidRPr="00A779B8" w:rsidRDefault="005E010E" w:rsidP="005E010E">
      <w:pPr>
        <w:pStyle w:val="SingleTxtG"/>
        <w:ind w:left="2835" w:hanging="567"/>
        <w:rPr>
          <w:lang w:val="fr-FR"/>
        </w:rPr>
      </w:pPr>
      <w:r w:rsidRPr="00A779B8">
        <w:rPr>
          <w:lang w:val="fr-FR"/>
        </w:rPr>
        <w:t>b)</w:t>
      </w:r>
      <w:r w:rsidRPr="00A779B8">
        <w:rPr>
          <w:lang w:val="fr-FR"/>
        </w:rPr>
        <w:tab/>
        <w:t>Stockage des codes d</w:t>
      </w:r>
      <w:r w:rsidR="00DB4C2D">
        <w:rPr>
          <w:lang w:val="fr-FR"/>
        </w:rPr>
        <w:t>’</w:t>
      </w:r>
      <w:r w:rsidRPr="00A779B8">
        <w:rPr>
          <w:lang w:val="fr-FR"/>
        </w:rPr>
        <w:t>erreur (voir par. 3.6 de la présente annexe);</w:t>
      </w:r>
    </w:p>
    <w:p w:rsidR="005E010E" w:rsidRPr="00A779B8" w:rsidRDefault="005E010E" w:rsidP="005E010E">
      <w:pPr>
        <w:pStyle w:val="SingleTxtG"/>
        <w:ind w:left="2835" w:hanging="567"/>
        <w:rPr>
          <w:lang w:val="fr-FR"/>
        </w:rPr>
      </w:pPr>
      <w:r w:rsidRPr="00A779B8">
        <w:rPr>
          <w:lang w:val="fr-FR"/>
        </w:rPr>
        <w:t>c)</w:t>
      </w:r>
      <w:r w:rsidRPr="00A779B8">
        <w:rPr>
          <w:lang w:val="fr-FR"/>
        </w:rPr>
        <w:tab/>
        <w:t>Extinction du témoin de défaillance (voir par. 3.7 de la présente annexe);</w:t>
      </w:r>
    </w:p>
    <w:p w:rsidR="005E010E" w:rsidRPr="00A779B8" w:rsidRDefault="005E010E" w:rsidP="005E010E">
      <w:pPr>
        <w:pStyle w:val="SingleTxtG"/>
        <w:ind w:left="2835" w:hanging="567"/>
        <w:rPr>
          <w:lang w:val="fr-FR"/>
        </w:rPr>
      </w:pPr>
      <w:r w:rsidRPr="00A779B8">
        <w:rPr>
          <w:lang w:val="fr-FR"/>
        </w:rPr>
        <w:t>d)</w:t>
      </w:r>
      <w:r w:rsidRPr="00A779B8">
        <w:rPr>
          <w:lang w:val="fr-FR"/>
        </w:rPr>
        <w:tab/>
        <w:t>Suppression d</w:t>
      </w:r>
      <w:r w:rsidR="00DB4C2D">
        <w:rPr>
          <w:lang w:val="fr-FR"/>
        </w:rPr>
        <w:t>’</w:t>
      </w:r>
      <w:r w:rsidRPr="00A779B8">
        <w:rPr>
          <w:lang w:val="fr-FR"/>
        </w:rPr>
        <w:t>un code d</w:t>
      </w:r>
      <w:r w:rsidR="00DB4C2D">
        <w:rPr>
          <w:lang w:val="fr-FR"/>
        </w:rPr>
        <w:t>’</w:t>
      </w:r>
      <w:r w:rsidRPr="00A779B8">
        <w:rPr>
          <w:lang w:val="fr-FR"/>
        </w:rPr>
        <w:t>erreur (voir par. 3.8 de la présente annexe).</w:t>
      </w:r>
    </w:p>
    <w:p w:rsidR="005E010E" w:rsidRPr="00A779B8" w:rsidRDefault="005E010E" w:rsidP="005E010E">
      <w:pPr>
        <w:pStyle w:val="SingleTxtG"/>
        <w:ind w:left="2268" w:hanging="1134"/>
        <w:rPr>
          <w:lang w:val="fr-FR"/>
        </w:rPr>
      </w:pPr>
      <w:r w:rsidRPr="00A779B8">
        <w:rPr>
          <w:lang w:val="fr-FR"/>
        </w:rPr>
        <w:t>3.9.2.2</w:t>
      </w:r>
      <w:r w:rsidRPr="00A779B8">
        <w:rPr>
          <w:lang w:val="fr-FR"/>
        </w:rPr>
        <w:tab/>
        <w:t>Les systèmes d</w:t>
      </w:r>
      <w:r w:rsidR="00DB4C2D">
        <w:rPr>
          <w:lang w:val="fr-FR"/>
        </w:rPr>
        <w:t>’</w:t>
      </w:r>
      <w:r w:rsidRPr="00A779B8">
        <w:rPr>
          <w:lang w:val="fr-FR"/>
        </w:rPr>
        <w:t>autodiagnostic distincts peuvent être logés dans un ou plusieurs ordinateurs.</w:t>
      </w:r>
    </w:p>
    <w:p w:rsidR="005E010E" w:rsidRPr="00A779B8" w:rsidRDefault="005E010E" w:rsidP="005E010E">
      <w:pPr>
        <w:pStyle w:val="SingleTxtG"/>
        <w:keepNext/>
        <w:ind w:left="2268" w:hanging="1134"/>
        <w:jc w:val="left"/>
        <w:rPr>
          <w:lang w:val="fr-FR"/>
        </w:rPr>
      </w:pPr>
      <w:r w:rsidRPr="00A779B8">
        <w:rPr>
          <w:lang w:val="fr-FR"/>
        </w:rPr>
        <w:t>3.9.3</w:t>
      </w:r>
      <w:r w:rsidRPr="00A779B8">
        <w:rPr>
          <w:lang w:val="fr-FR"/>
        </w:rPr>
        <w:tab/>
        <w:t>Prescriptions particulières applicables à la transmission des signaux de diagnostic émis par des véhicules à bicarburation</w:t>
      </w:r>
    </w:p>
    <w:p w:rsidR="005E010E" w:rsidRPr="00A779B8" w:rsidRDefault="005E010E" w:rsidP="005E010E">
      <w:pPr>
        <w:pStyle w:val="SingleTxtG"/>
        <w:ind w:left="2268" w:hanging="1134"/>
        <w:rPr>
          <w:lang w:val="fr-FR"/>
        </w:rPr>
      </w:pPr>
      <w:r w:rsidRPr="00A779B8">
        <w:rPr>
          <w:lang w:val="fr-FR"/>
        </w:rPr>
        <w:t>3.9.3.1</w:t>
      </w:r>
      <w:r w:rsidRPr="00A779B8">
        <w:rPr>
          <w:lang w:val="fr-FR"/>
        </w:rPr>
        <w:tab/>
        <w:t>À la demande d</w:t>
      </w:r>
      <w:r w:rsidR="00DB4C2D">
        <w:rPr>
          <w:lang w:val="fr-FR"/>
        </w:rPr>
        <w:t>’</w:t>
      </w:r>
      <w:r w:rsidRPr="00A779B8">
        <w:rPr>
          <w:lang w:val="fr-FR"/>
        </w:rPr>
        <w:t>un instrument de diagnostic, les signaux de diagnostic doivent être transmis à une ou plusieurs adresses sources. L</w:t>
      </w:r>
      <w:r w:rsidR="00DB4C2D">
        <w:rPr>
          <w:lang w:val="fr-FR"/>
        </w:rPr>
        <w:t>’</w:t>
      </w:r>
      <w:r w:rsidRPr="00A779B8">
        <w:rPr>
          <w:lang w:val="fr-FR"/>
        </w:rPr>
        <w:t>utilisation des adresses sources est décrite dans la norme ISO DIS 15031</w:t>
      </w:r>
      <w:r w:rsidRPr="00A779B8">
        <w:rPr>
          <w:lang w:val="fr-FR"/>
        </w:rPr>
        <w:noBreakHyphen/>
        <w:t>5 «Véhicules routiers − Communication entre un véhicule et un équipement externe pour le diagnostic relatif aux émissions − Partie 5: Services de diagnostic relatif aux émissions», du 1</w:t>
      </w:r>
      <w:r w:rsidRPr="00A779B8">
        <w:rPr>
          <w:vertAlign w:val="superscript"/>
          <w:lang w:val="fr-FR"/>
        </w:rPr>
        <w:t>er</w:t>
      </w:r>
      <w:r w:rsidRPr="00A779B8">
        <w:rPr>
          <w:lang w:val="fr-FR"/>
        </w:rPr>
        <w:t> novembre 2001.</w:t>
      </w:r>
    </w:p>
    <w:p w:rsidR="005E010E" w:rsidRPr="00A779B8" w:rsidRDefault="005E010E" w:rsidP="005E010E">
      <w:pPr>
        <w:pStyle w:val="SingleTxtG"/>
        <w:keepNext/>
        <w:ind w:left="2268" w:hanging="1134"/>
        <w:rPr>
          <w:lang w:val="fr-FR"/>
        </w:rPr>
      </w:pPr>
      <w:r w:rsidRPr="00A779B8">
        <w:rPr>
          <w:lang w:val="fr-FR"/>
        </w:rPr>
        <w:lastRenderedPageBreak/>
        <w:t>3.9.3.2</w:t>
      </w:r>
      <w:r w:rsidRPr="00A779B8">
        <w:rPr>
          <w:lang w:val="fr-FR"/>
        </w:rPr>
        <w:tab/>
        <w:t>L</w:t>
      </w:r>
      <w:r w:rsidR="00DB4C2D">
        <w:rPr>
          <w:lang w:val="fr-FR"/>
        </w:rPr>
        <w:t>’</w:t>
      </w:r>
      <w:r w:rsidRPr="00A779B8">
        <w:rPr>
          <w:lang w:val="fr-FR"/>
        </w:rPr>
        <w:t>identification des informations propres au carburant peut être obtenue par l</w:t>
      </w:r>
      <w:r w:rsidR="00DB4C2D">
        <w:rPr>
          <w:lang w:val="fr-FR"/>
        </w:rPr>
        <w:t>’</w:t>
      </w:r>
      <w:r w:rsidRPr="00A779B8">
        <w:rPr>
          <w:lang w:val="fr-FR"/>
        </w:rPr>
        <w:t>utilisation:</w:t>
      </w:r>
    </w:p>
    <w:p w:rsidR="005E010E" w:rsidRPr="00A779B8" w:rsidRDefault="005E010E" w:rsidP="005E010E">
      <w:pPr>
        <w:pStyle w:val="SingleTxtG"/>
        <w:keepNext/>
        <w:ind w:left="2835" w:hanging="567"/>
        <w:rPr>
          <w:lang w:val="fr-FR"/>
        </w:rPr>
      </w:pPr>
      <w:r w:rsidRPr="00A779B8">
        <w:rPr>
          <w:lang w:val="fr-FR"/>
        </w:rPr>
        <w:t>a)</w:t>
      </w:r>
      <w:r w:rsidRPr="00A779B8">
        <w:rPr>
          <w:lang w:val="fr-FR"/>
        </w:rPr>
        <w:tab/>
        <w:t>Des adresses sources et/ou;</w:t>
      </w:r>
    </w:p>
    <w:p w:rsidR="005E010E" w:rsidRPr="00A779B8" w:rsidRDefault="005E010E" w:rsidP="005E010E">
      <w:pPr>
        <w:pStyle w:val="SingleTxtG"/>
        <w:ind w:left="2835" w:hanging="567"/>
        <w:rPr>
          <w:lang w:val="fr-FR"/>
        </w:rPr>
      </w:pPr>
      <w:r w:rsidRPr="00A779B8">
        <w:rPr>
          <w:lang w:val="fr-FR"/>
        </w:rPr>
        <w:t>b)</w:t>
      </w:r>
      <w:r w:rsidRPr="00A779B8">
        <w:rPr>
          <w:lang w:val="fr-FR"/>
        </w:rPr>
        <w:tab/>
        <w:t>D</w:t>
      </w:r>
      <w:r w:rsidR="00DB4C2D">
        <w:rPr>
          <w:lang w:val="fr-FR"/>
        </w:rPr>
        <w:t>’</w:t>
      </w:r>
      <w:r w:rsidRPr="00A779B8">
        <w:rPr>
          <w:lang w:val="fr-FR"/>
        </w:rPr>
        <w:t>un commutateur de sélection du carburant et/ou;</w:t>
      </w:r>
    </w:p>
    <w:p w:rsidR="005E010E" w:rsidRPr="00A779B8" w:rsidRDefault="005E010E" w:rsidP="005E010E">
      <w:pPr>
        <w:pStyle w:val="SingleTxtG"/>
        <w:ind w:left="2835" w:hanging="567"/>
        <w:rPr>
          <w:lang w:val="fr-FR"/>
        </w:rPr>
      </w:pPr>
      <w:r w:rsidRPr="00A779B8">
        <w:rPr>
          <w:lang w:val="fr-FR"/>
        </w:rPr>
        <w:t>c)</w:t>
      </w:r>
      <w:r w:rsidRPr="00A779B8">
        <w:rPr>
          <w:lang w:val="fr-FR"/>
        </w:rPr>
        <w:tab/>
        <w:t>De codes d</w:t>
      </w:r>
      <w:r w:rsidR="00DB4C2D">
        <w:rPr>
          <w:lang w:val="fr-FR"/>
        </w:rPr>
        <w:t>’</w:t>
      </w:r>
      <w:r w:rsidRPr="00A779B8">
        <w:rPr>
          <w:lang w:val="fr-FR"/>
        </w:rPr>
        <w:t>erreur propres au carburant.</w:t>
      </w:r>
    </w:p>
    <w:p w:rsidR="005E010E" w:rsidRPr="00A779B8" w:rsidRDefault="005E010E" w:rsidP="005E010E">
      <w:pPr>
        <w:pStyle w:val="SingleTxtG"/>
        <w:keepNext/>
        <w:ind w:left="2268" w:hanging="1134"/>
        <w:rPr>
          <w:rFonts w:eastAsia="MS Mincho"/>
          <w:lang w:val="fr-FR"/>
        </w:rPr>
      </w:pPr>
      <w:r w:rsidRPr="00A779B8">
        <w:rPr>
          <w:lang w:val="fr-FR"/>
        </w:rPr>
        <w:t>3.9.4</w:t>
      </w:r>
      <w:r w:rsidRPr="00A779B8">
        <w:rPr>
          <w:lang w:val="fr-FR"/>
        </w:rPr>
        <w:tab/>
        <w:t>E</w:t>
      </w:r>
      <w:r w:rsidRPr="00A779B8">
        <w:rPr>
          <w:rFonts w:eastAsia="MS Mincho"/>
          <w:lang w:val="fr-FR"/>
        </w:rPr>
        <w:t>n ce qui concerne le code d</w:t>
      </w:r>
      <w:r w:rsidR="00DB4C2D">
        <w:rPr>
          <w:rFonts w:eastAsia="MS Mincho"/>
          <w:lang w:val="fr-FR"/>
        </w:rPr>
        <w:t>’</w:t>
      </w:r>
      <w:r w:rsidRPr="00A779B8">
        <w:rPr>
          <w:rFonts w:eastAsia="MS Mincho"/>
          <w:lang w:val="fr-FR"/>
        </w:rPr>
        <w:t>état (décrit au paragraphe 3.6 de la présente annexe), l</w:t>
      </w:r>
      <w:r w:rsidR="00DB4C2D">
        <w:rPr>
          <w:rFonts w:eastAsia="MS Mincho"/>
          <w:lang w:val="fr-FR"/>
        </w:rPr>
        <w:t>’</w:t>
      </w:r>
      <w:r w:rsidRPr="00A779B8">
        <w:rPr>
          <w:rFonts w:eastAsia="MS Mincho"/>
          <w:lang w:val="fr-FR"/>
        </w:rPr>
        <w:t>une des deux options suivantes doit être utilisée si l</w:t>
      </w:r>
      <w:r w:rsidR="00DB4C2D">
        <w:rPr>
          <w:rFonts w:eastAsia="MS Mincho"/>
          <w:lang w:val="fr-FR"/>
        </w:rPr>
        <w:t>’</w:t>
      </w:r>
      <w:r w:rsidRPr="00A779B8">
        <w:rPr>
          <w:rFonts w:eastAsia="MS Mincho"/>
          <w:lang w:val="fr-FR"/>
        </w:rPr>
        <w:t>un ou plusieurs des diagnostics indiquant la disponibilité est propre au type de carburant:</w:t>
      </w:r>
    </w:p>
    <w:p w:rsidR="005E010E" w:rsidRPr="00A779B8" w:rsidRDefault="005E010E" w:rsidP="005E010E">
      <w:pPr>
        <w:pStyle w:val="SingleTxtG"/>
        <w:ind w:left="2835" w:hanging="567"/>
        <w:rPr>
          <w:lang w:val="fr-FR"/>
        </w:rPr>
      </w:pPr>
      <w:r w:rsidRPr="00A779B8">
        <w:rPr>
          <w:lang w:val="fr-FR"/>
        </w:rPr>
        <w:t>a)</w:t>
      </w:r>
      <w:r w:rsidRPr="00A779B8">
        <w:rPr>
          <w:lang w:val="fr-FR"/>
        </w:rPr>
        <w:tab/>
        <w:t>Le code d</w:t>
      </w:r>
      <w:r w:rsidR="00DB4C2D">
        <w:rPr>
          <w:lang w:val="fr-FR"/>
        </w:rPr>
        <w:t>’</w:t>
      </w:r>
      <w:r w:rsidRPr="00A779B8">
        <w:rPr>
          <w:lang w:val="fr-FR"/>
        </w:rPr>
        <w:t>état est propre au carburant, c</w:t>
      </w:r>
      <w:r w:rsidR="00DB4C2D">
        <w:rPr>
          <w:lang w:val="fr-FR"/>
        </w:rPr>
        <w:t>’</w:t>
      </w:r>
      <w:r w:rsidRPr="00A779B8">
        <w:rPr>
          <w:lang w:val="fr-FR"/>
        </w:rPr>
        <w:t>est-à-dire que l</w:t>
      </w:r>
      <w:r w:rsidR="00DB4C2D">
        <w:rPr>
          <w:lang w:val="fr-FR"/>
        </w:rPr>
        <w:t>’</w:t>
      </w:r>
      <w:r w:rsidRPr="00A779B8">
        <w:rPr>
          <w:lang w:val="fr-FR"/>
        </w:rPr>
        <w:t>on utilise deux codes d</w:t>
      </w:r>
      <w:r w:rsidR="00DB4C2D">
        <w:rPr>
          <w:lang w:val="fr-FR"/>
        </w:rPr>
        <w:t>’</w:t>
      </w:r>
      <w:r w:rsidRPr="00A779B8">
        <w:rPr>
          <w:lang w:val="fr-FR"/>
        </w:rPr>
        <w:t>état, un pour chaque type de carburant;</w:t>
      </w:r>
    </w:p>
    <w:p w:rsidR="005E010E" w:rsidRPr="00A779B8" w:rsidRDefault="005E010E" w:rsidP="005E010E">
      <w:pPr>
        <w:pStyle w:val="SingleTxtG"/>
        <w:ind w:left="2835" w:hanging="567"/>
        <w:rPr>
          <w:lang w:val="fr-FR"/>
        </w:rPr>
      </w:pPr>
      <w:r w:rsidRPr="00A779B8">
        <w:rPr>
          <w:lang w:val="fr-FR"/>
        </w:rPr>
        <w:t>b)</w:t>
      </w:r>
      <w:r w:rsidRPr="00A779B8">
        <w:rPr>
          <w:lang w:val="fr-FR"/>
        </w:rPr>
        <w:tab/>
        <w:t>Le code d</w:t>
      </w:r>
      <w:r w:rsidR="00DB4C2D">
        <w:rPr>
          <w:lang w:val="fr-FR"/>
        </w:rPr>
        <w:t>’</w:t>
      </w:r>
      <w:r w:rsidRPr="00A779B8">
        <w:rPr>
          <w:lang w:val="fr-FR"/>
        </w:rPr>
        <w:t>état doit indiquer que les systèmes de contrôle ont été intégralement évalués pour les deux types de carburant (essence et GN/</w:t>
      </w:r>
      <w:proofErr w:type="spellStart"/>
      <w:r w:rsidRPr="00A779B8">
        <w:rPr>
          <w:lang w:val="fr-FR"/>
        </w:rPr>
        <w:t>biométhane</w:t>
      </w:r>
      <w:proofErr w:type="spellEnd"/>
      <w:r w:rsidRPr="00A779B8">
        <w:rPr>
          <w:lang w:val="fr-FR"/>
        </w:rPr>
        <w:t>/GPL), dès lors que ces systèmes ont été intégralement évalués pour l</w:t>
      </w:r>
      <w:r w:rsidR="00DB4C2D">
        <w:rPr>
          <w:lang w:val="fr-FR"/>
        </w:rPr>
        <w:t>’</w:t>
      </w:r>
      <w:r w:rsidRPr="00A779B8">
        <w:rPr>
          <w:lang w:val="fr-FR"/>
        </w:rPr>
        <w:t>un des types de carburant.</w:t>
      </w:r>
    </w:p>
    <w:p w:rsidR="005E010E" w:rsidRPr="00A779B8" w:rsidRDefault="005E010E" w:rsidP="005E010E">
      <w:pPr>
        <w:pStyle w:val="SingleTxtG"/>
        <w:ind w:left="2268"/>
        <w:rPr>
          <w:lang w:val="fr-FR"/>
        </w:rPr>
      </w:pPr>
      <w:r w:rsidRPr="00A779B8">
        <w:rPr>
          <w:lang w:val="fr-FR"/>
        </w:rPr>
        <w:tab/>
        <w:t>Si aucun diagnostic indiquant la disponibilité n</w:t>
      </w:r>
      <w:r w:rsidR="00DB4C2D">
        <w:rPr>
          <w:lang w:val="fr-FR"/>
        </w:rPr>
        <w:t>’</w:t>
      </w:r>
      <w:r w:rsidRPr="00A779B8">
        <w:rPr>
          <w:lang w:val="fr-FR"/>
        </w:rPr>
        <w:t>est propre au type de carburant, un code d</w:t>
      </w:r>
      <w:r w:rsidR="00DB4C2D">
        <w:rPr>
          <w:lang w:val="fr-FR"/>
        </w:rPr>
        <w:t>’</w:t>
      </w:r>
      <w:r w:rsidRPr="00A779B8">
        <w:rPr>
          <w:lang w:val="fr-FR"/>
        </w:rPr>
        <w:t>état seulement doit être pris en charge.</w:t>
      </w:r>
    </w:p>
    <w:p w:rsidR="005E010E" w:rsidRPr="00A779B8" w:rsidRDefault="005E010E" w:rsidP="005E010E">
      <w:pPr>
        <w:pStyle w:val="SingleTxtG"/>
        <w:keepNext/>
        <w:ind w:left="2268" w:hanging="1134"/>
        <w:jc w:val="left"/>
        <w:rPr>
          <w:lang w:val="fr-FR"/>
        </w:rPr>
      </w:pPr>
      <w:r w:rsidRPr="00A779B8">
        <w:rPr>
          <w:lang w:val="fr-FR"/>
        </w:rPr>
        <w:t>4.</w:t>
      </w:r>
      <w:r w:rsidRPr="00A779B8">
        <w:rPr>
          <w:lang w:val="fr-FR"/>
        </w:rPr>
        <w:tab/>
        <w:t>Dispositions relatives à l</w:t>
      </w:r>
      <w:r w:rsidR="00DB4C2D">
        <w:rPr>
          <w:lang w:val="fr-FR"/>
        </w:rPr>
        <w:t>’</w:t>
      </w:r>
      <w:r w:rsidRPr="00A779B8">
        <w:rPr>
          <w:lang w:val="fr-FR"/>
        </w:rPr>
        <w:t>homologation de type des systèmes d</w:t>
      </w:r>
      <w:r w:rsidR="00DB4C2D">
        <w:rPr>
          <w:lang w:val="fr-FR"/>
        </w:rPr>
        <w:t>’</w:t>
      </w:r>
      <w:r w:rsidRPr="00A779B8">
        <w:rPr>
          <w:lang w:val="fr-FR"/>
        </w:rPr>
        <w:t>autodiagnostic</w:t>
      </w:r>
    </w:p>
    <w:p w:rsidR="005E010E" w:rsidRPr="00A779B8" w:rsidRDefault="005E010E" w:rsidP="005E010E">
      <w:pPr>
        <w:pStyle w:val="SingleTxtG"/>
        <w:ind w:left="2268" w:hanging="1134"/>
        <w:rPr>
          <w:lang w:val="fr-FR"/>
        </w:rPr>
      </w:pPr>
      <w:r w:rsidRPr="00A779B8">
        <w:rPr>
          <w:lang w:val="fr-FR"/>
        </w:rPr>
        <w:t>4.1</w:t>
      </w:r>
      <w:r w:rsidRPr="00A779B8">
        <w:rPr>
          <w:lang w:val="fr-FR"/>
        </w:rPr>
        <w:tab/>
        <w:t>Un constructeur peut déposer auprès de l</w:t>
      </w:r>
      <w:r w:rsidR="00DB4C2D">
        <w:rPr>
          <w:lang w:val="fr-FR"/>
        </w:rPr>
        <w:t>’</w:t>
      </w:r>
      <w:r w:rsidRPr="00A779B8">
        <w:rPr>
          <w:lang w:val="fr-FR"/>
        </w:rPr>
        <w:t xml:space="preserve">autorité </w:t>
      </w:r>
      <w:r>
        <w:rPr>
          <w:lang w:val="fr-FR"/>
        </w:rPr>
        <w:t>d</w:t>
      </w:r>
      <w:r w:rsidR="00DB4C2D">
        <w:rPr>
          <w:lang w:val="fr-FR"/>
        </w:rPr>
        <w:t>’</w:t>
      </w:r>
      <w:r>
        <w:rPr>
          <w:lang w:val="fr-FR"/>
        </w:rPr>
        <w:t>homologation de type</w:t>
      </w:r>
      <w:r w:rsidRPr="00A779B8">
        <w:rPr>
          <w:lang w:val="fr-FR"/>
        </w:rPr>
        <w:t xml:space="preserve"> une demande d</w:t>
      </w:r>
      <w:r w:rsidR="00DB4C2D">
        <w:rPr>
          <w:lang w:val="fr-FR"/>
        </w:rPr>
        <w:t>’</w:t>
      </w:r>
      <w:r w:rsidRPr="00A779B8">
        <w:rPr>
          <w:lang w:val="fr-FR"/>
        </w:rPr>
        <w:t>homologation de type pour un système OBD présentant un ou plusieurs défauts qui ne lui permettent pas de répondre totalement aux exigences spécifiques de la présente annexe.</w:t>
      </w:r>
    </w:p>
    <w:p w:rsidR="005E010E" w:rsidRPr="00A779B8" w:rsidRDefault="005E010E" w:rsidP="005E010E">
      <w:pPr>
        <w:pStyle w:val="SingleTxtG"/>
        <w:ind w:left="2268" w:hanging="1134"/>
        <w:rPr>
          <w:lang w:val="fr-FR"/>
        </w:rPr>
      </w:pPr>
      <w:r w:rsidRPr="00A779B8">
        <w:rPr>
          <w:lang w:val="fr-FR"/>
        </w:rPr>
        <w:t>4.2</w:t>
      </w:r>
      <w:r w:rsidRPr="00A779B8">
        <w:rPr>
          <w:lang w:val="fr-FR"/>
        </w:rPr>
        <w:tab/>
        <w:t>L</w:t>
      </w:r>
      <w:r w:rsidR="00DB4C2D">
        <w:rPr>
          <w:lang w:val="fr-FR"/>
        </w:rPr>
        <w:t>’</w:t>
      </w:r>
      <w:r w:rsidRPr="00A779B8">
        <w:rPr>
          <w:lang w:val="fr-FR"/>
        </w:rPr>
        <w:t>autorité doit examiner la demande et déterminer si le respect des exigences de la présente annexe est impossible ou ne peut être raisonnablement envisagé.</w:t>
      </w:r>
    </w:p>
    <w:p w:rsidR="005E010E" w:rsidRPr="00A779B8" w:rsidRDefault="005E010E" w:rsidP="005E010E">
      <w:pPr>
        <w:pStyle w:val="SingleTxtG"/>
        <w:ind w:left="2268"/>
        <w:rPr>
          <w:lang w:val="fr-FR"/>
        </w:rPr>
      </w:pPr>
      <w:r w:rsidRPr="00A779B8">
        <w:rPr>
          <w:lang w:val="fr-FR"/>
        </w:rPr>
        <w:tab/>
        <w:t>L</w:t>
      </w:r>
      <w:r w:rsidR="00DB4C2D">
        <w:rPr>
          <w:lang w:val="fr-FR"/>
        </w:rPr>
        <w:t>’</w:t>
      </w:r>
      <w:r w:rsidRPr="00A779B8">
        <w:rPr>
          <w:lang w:val="fr-FR"/>
        </w:rPr>
        <w:t>autorité d</w:t>
      </w:r>
      <w:r w:rsidR="00DB4C2D">
        <w:rPr>
          <w:lang w:val="fr-FR"/>
        </w:rPr>
        <w:t>’</w:t>
      </w:r>
      <w:r w:rsidRPr="00A779B8">
        <w:rPr>
          <w:lang w:val="fr-FR"/>
        </w:rPr>
        <w:t>homologation de type doit prendre en compte les informations du constructeur, notamment en ce qui concerne la faisabilité technique, les délais d</w:t>
      </w:r>
      <w:r w:rsidR="00DB4C2D">
        <w:rPr>
          <w:lang w:val="fr-FR"/>
        </w:rPr>
        <w:t>’</w:t>
      </w:r>
      <w:r w:rsidRPr="00A779B8">
        <w:rPr>
          <w:lang w:val="fr-FR"/>
        </w:rPr>
        <w:t>adaptation et les cycles de production, y compris l</w:t>
      </w:r>
      <w:r w:rsidR="00DB4C2D">
        <w:rPr>
          <w:lang w:val="fr-FR"/>
        </w:rPr>
        <w:t>’</w:t>
      </w:r>
      <w:r w:rsidRPr="00A779B8">
        <w:rPr>
          <w:lang w:val="fr-FR"/>
        </w:rPr>
        <w:t>introduction et le retrait progressifs de moteurs ou de véhicules, ainsi que la mise à niveau des logiciels, de manière à voir si le système OBD pourra respecter les dispositions du présent Règlement et si le constructeur a effectué des efforts convaincants pour se conformer au présent Règlement.</w:t>
      </w:r>
    </w:p>
    <w:p w:rsidR="005E010E" w:rsidRPr="00A779B8" w:rsidRDefault="005E010E" w:rsidP="005E010E">
      <w:pPr>
        <w:pStyle w:val="SingleTxtG"/>
        <w:ind w:left="2268" w:hanging="1134"/>
        <w:rPr>
          <w:lang w:val="fr-FR"/>
        </w:rPr>
      </w:pPr>
      <w:r w:rsidRPr="00A779B8">
        <w:rPr>
          <w:lang w:val="fr-FR"/>
        </w:rPr>
        <w:t>4.2.1</w:t>
      </w:r>
      <w:r w:rsidRPr="00A779B8">
        <w:rPr>
          <w:lang w:val="fr-FR"/>
        </w:rPr>
        <w:tab/>
        <w:t>L</w:t>
      </w:r>
      <w:r w:rsidR="00DB4C2D">
        <w:rPr>
          <w:lang w:val="fr-FR"/>
        </w:rPr>
        <w:t>’</w:t>
      </w:r>
      <w:r w:rsidRPr="00A779B8">
        <w:rPr>
          <w:lang w:val="fr-FR"/>
        </w:rPr>
        <w:t>autorité d</w:t>
      </w:r>
      <w:r w:rsidR="00DB4C2D">
        <w:rPr>
          <w:lang w:val="fr-FR"/>
        </w:rPr>
        <w:t>’</w:t>
      </w:r>
      <w:r w:rsidRPr="00A779B8">
        <w:rPr>
          <w:lang w:val="fr-FR"/>
        </w:rPr>
        <w:t>homologation de type doit rejeter toute demande de certification d</w:t>
      </w:r>
      <w:r w:rsidR="00DB4C2D">
        <w:rPr>
          <w:lang w:val="fr-FR"/>
        </w:rPr>
        <w:t>’</w:t>
      </w:r>
      <w:r w:rsidRPr="00A779B8">
        <w:rPr>
          <w:lang w:val="fr-FR"/>
        </w:rPr>
        <w:t>un système défectueux si la fonction de surveillance prescrite fait totalement défaut ou si les données relatives à la surveillance n</w:t>
      </w:r>
      <w:r w:rsidR="00DB4C2D">
        <w:rPr>
          <w:lang w:val="fr-FR"/>
        </w:rPr>
        <w:t>’</w:t>
      </w:r>
      <w:r w:rsidRPr="00A779B8">
        <w:rPr>
          <w:lang w:val="fr-FR"/>
        </w:rPr>
        <w:t>ont pas été enregistrées et déclarées comme prescrit.</w:t>
      </w:r>
    </w:p>
    <w:p w:rsidR="005E010E" w:rsidRPr="00A779B8" w:rsidRDefault="005E010E" w:rsidP="005E010E">
      <w:pPr>
        <w:pStyle w:val="SingleTxtG"/>
        <w:ind w:left="2268" w:hanging="1134"/>
        <w:rPr>
          <w:lang w:val="fr-FR"/>
        </w:rPr>
      </w:pPr>
      <w:r w:rsidRPr="00A779B8">
        <w:rPr>
          <w:lang w:val="fr-FR"/>
        </w:rPr>
        <w:t>4.2.2</w:t>
      </w:r>
      <w:r w:rsidRPr="00A779B8">
        <w:rPr>
          <w:lang w:val="fr-FR"/>
        </w:rPr>
        <w:tab/>
        <w:t>L</w:t>
      </w:r>
      <w:r w:rsidR="00DB4C2D">
        <w:rPr>
          <w:lang w:val="fr-FR"/>
        </w:rPr>
        <w:t>’</w:t>
      </w:r>
      <w:r w:rsidRPr="00A779B8">
        <w:rPr>
          <w:lang w:val="fr-FR"/>
        </w:rPr>
        <w:t>autorité doit rejeter toute demande de certification d</w:t>
      </w:r>
      <w:r w:rsidR="00DB4C2D">
        <w:rPr>
          <w:lang w:val="fr-FR"/>
        </w:rPr>
        <w:t>’</w:t>
      </w:r>
      <w:r w:rsidRPr="00A779B8">
        <w:rPr>
          <w:lang w:val="fr-FR"/>
        </w:rPr>
        <w:t>un système défectueux si les valeurs limites visées au paragraphe 3.3.2 de la présente annexe ne sont pas respectées.</w:t>
      </w:r>
    </w:p>
    <w:p w:rsidR="005E010E" w:rsidRPr="00A779B8" w:rsidRDefault="005E010E" w:rsidP="005E010E">
      <w:pPr>
        <w:pStyle w:val="SingleTxtG"/>
        <w:ind w:left="2268" w:hanging="1134"/>
        <w:rPr>
          <w:lang w:val="fr-FR"/>
        </w:rPr>
      </w:pPr>
      <w:r w:rsidRPr="00A779B8">
        <w:rPr>
          <w:lang w:val="fr-FR"/>
        </w:rPr>
        <w:t>4.3</w:t>
      </w:r>
      <w:r w:rsidRPr="00A779B8">
        <w:rPr>
          <w:lang w:val="fr-FR"/>
        </w:rPr>
        <w:tab/>
        <w:t>L</w:t>
      </w:r>
      <w:r w:rsidR="00DB4C2D">
        <w:rPr>
          <w:lang w:val="fr-FR"/>
        </w:rPr>
        <w:t>’</w:t>
      </w:r>
      <w:r w:rsidRPr="00A779B8">
        <w:rPr>
          <w:lang w:val="fr-FR"/>
        </w:rPr>
        <w:t>autorité doit examiner en priorité les défauts par rapport aux paragraphes 3.3.3.1, 3.3.3.2 et 3.3.3.3 de la présente annexe pour les moteurs à allumage commandé et par rapport aux paragraphes 3.3.4.1, 3.3.4.2 et 3.3.4.3 de la présente annexe pour les moteurs à allumage par compression.</w:t>
      </w:r>
    </w:p>
    <w:p w:rsidR="005E010E" w:rsidRPr="00A779B8" w:rsidRDefault="005E010E" w:rsidP="005E010E">
      <w:pPr>
        <w:pStyle w:val="SingleTxtG"/>
        <w:ind w:left="2268" w:hanging="1134"/>
        <w:rPr>
          <w:lang w:val="fr-FR"/>
        </w:rPr>
      </w:pPr>
      <w:r w:rsidRPr="00A779B8">
        <w:rPr>
          <w:lang w:val="fr-FR"/>
        </w:rPr>
        <w:lastRenderedPageBreak/>
        <w:t>4.4</w:t>
      </w:r>
      <w:r w:rsidRPr="00A779B8">
        <w:rPr>
          <w:lang w:val="fr-FR"/>
        </w:rPr>
        <w:tab/>
        <w:t>Aucun défaut ne doit être admis avant ou au moment de l</w:t>
      </w:r>
      <w:r w:rsidR="00DB4C2D">
        <w:rPr>
          <w:lang w:val="fr-FR"/>
        </w:rPr>
        <w:t>’</w:t>
      </w:r>
      <w:r w:rsidRPr="00A779B8">
        <w:rPr>
          <w:lang w:val="fr-FR"/>
        </w:rPr>
        <w:t>homologation de type s</w:t>
      </w:r>
      <w:r w:rsidR="00DB4C2D">
        <w:rPr>
          <w:lang w:val="fr-FR"/>
        </w:rPr>
        <w:t>’</w:t>
      </w:r>
      <w:r w:rsidRPr="00A779B8">
        <w:rPr>
          <w:lang w:val="fr-FR"/>
        </w:rPr>
        <w:t>il concerne les prescriptions de la section 6.5 de l</w:t>
      </w:r>
      <w:r w:rsidR="00DB4C2D">
        <w:rPr>
          <w:lang w:val="fr-FR"/>
        </w:rPr>
        <w:t>’</w:t>
      </w:r>
      <w:r w:rsidRPr="00A779B8">
        <w:rPr>
          <w:lang w:val="fr-FR"/>
        </w:rPr>
        <w:t>appendice 1 de la présente annexe, à l</w:t>
      </w:r>
      <w:r w:rsidR="00DB4C2D">
        <w:rPr>
          <w:lang w:val="fr-FR"/>
        </w:rPr>
        <w:t>’</w:t>
      </w:r>
      <w:r w:rsidRPr="00A779B8">
        <w:rPr>
          <w:lang w:val="fr-FR"/>
        </w:rPr>
        <w:t xml:space="preserve">exception de son paragraphe 6.5.3.4. </w:t>
      </w:r>
    </w:p>
    <w:p w:rsidR="005E010E" w:rsidRPr="00A779B8" w:rsidRDefault="005E010E" w:rsidP="005E010E">
      <w:pPr>
        <w:pStyle w:val="SingleTxtG"/>
        <w:keepNext/>
        <w:ind w:left="2268" w:hanging="1134"/>
        <w:jc w:val="left"/>
        <w:rPr>
          <w:lang w:val="fr-FR"/>
        </w:rPr>
      </w:pPr>
      <w:r w:rsidRPr="00A779B8">
        <w:rPr>
          <w:lang w:val="fr-FR"/>
        </w:rPr>
        <w:t>4.5</w:t>
      </w:r>
      <w:r w:rsidRPr="00A779B8">
        <w:rPr>
          <w:lang w:val="fr-FR"/>
        </w:rPr>
        <w:tab/>
        <w:t>Durée de la période pendant laquelle les défauts sont admis</w:t>
      </w:r>
    </w:p>
    <w:p w:rsidR="005E010E" w:rsidRPr="00A779B8" w:rsidRDefault="005E010E" w:rsidP="005E010E">
      <w:pPr>
        <w:pStyle w:val="SingleTxtG"/>
        <w:ind w:left="2268" w:hanging="1134"/>
        <w:rPr>
          <w:lang w:val="fr-FR"/>
        </w:rPr>
      </w:pPr>
      <w:r w:rsidRPr="00A779B8">
        <w:rPr>
          <w:lang w:val="fr-FR"/>
        </w:rPr>
        <w:t>4.5.1</w:t>
      </w:r>
      <w:r w:rsidRPr="00A779B8">
        <w:rPr>
          <w:lang w:val="fr-FR"/>
        </w:rPr>
        <w:tab/>
        <w:t>Un défaut peut subsister pendant une période de deux ans après la date d</w:t>
      </w:r>
      <w:r w:rsidR="00DB4C2D">
        <w:rPr>
          <w:lang w:val="fr-FR"/>
        </w:rPr>
        <w:t>’</w:t>
      </w:r>
      <w:r w:rsidRPr="00A779B8">
        <w:rPr>
          <w:lang w:val="fr-FR"/>
        </w:rPr>
        <w:t>homologation de type du véhicule, sauf s</w:t>
      </w:r>
      <w:r w:rsidR="00DB4C2D">
        <w:rPr>
          <w:lang w:val="fr-FR"/>
        </w:rPr>
        <w:t>’</w:t>
      </w:r>
      <w:r w:rsidRPr="00A779B8">
        <w:rPr>
          <w:lang w:val="fr-FR"/>
        </w:rPr>
        <w:t>il peut être prouvé qu</w:t>
      </w:r>
      <w:r w:rsidR="00DB4C2D">
        <w:rPr>
          <w:lang w:val="fr-FR"/>
        </w:rPr>
        <w:t>’</w:t>
      </w:r>
      <w:r w:rsidRPr="00A779B8">
        <w:rPr>
          <w:lang w:val="fr-FR"/>
        </w:rPr>
        <w:t>il faudrait apporter des modifications importantes à la construction du véhicule et allonger le délai d</w:t>
      </w:r>
      <w:r w:rsidR="00DB4C2D">
        <w:rPr>
          <w:lang w:val="fr-FR"/>
        </w:rPr>
        <w:t>’</w:t>
      </w:r>
      <w:r w:rsidRPr="00A779B8">
        <w:rPr>
          <w:lang w:val="fr-FR"/>
        </w:rPr>
        <w:t>adaptation au-delà de deux ans pour corriger le défaut. Dans ce cas, le défaut peut être maintenu pendant une période n</w:t>
      </w:r>
      <w:r w:rsidR="00DB4C2D">
        <w:rPr>
          <w:lang w:val="fr-FR"/>
        </w:rPr>
        <w:t>’</w:t>
      </w:r>
      <w:r w:rsidRPr="00A779B8">
        <w:rPr>
          <w:lang w:val="fr-FR"/>
        </w:rPr>
        <w:t>excédant pas trois ans.</w:t>
      </w:r>
    </w:p>
    <w:p w:rsidR="005E010E" w:rsidRPr="00A779B8" w:rsidRDefault="005E010E" w:rsidP="005E010E">
      <w:pPr>
        <w:pStyle w:val="SingleTxtG"/>
        <w:ind w:left="2268" w:hanging="1134"/>
        <w:rPr>
          <w:lang w:val="fr-FR"/>
        </w:rPr>
      </w:pPr>
      <w:r w:rsidRPr="00A779B8">
        <w:rPr>
          <w:lang w:val="fr-FR"/>
        </w:rPr>
        <w:t>4.5.2</w:t>
      </w:r>
      <w:r w:rsidRPr="00A779B8">
        <w:rPr>
          <w:lang w:val="fr-FR"/>
        </w:rPr>
        <w:tab/>
        <w:t>Un constructeur peut demander que l</w:t>
      </w:r>
      <w:r w:rsidR="00DB4C2D">
        <w:rPr>
          <w:lang w:val="fr-FR"/>
        </w:rPr>
        <w:t>’</w:t>
      </w:r>
      <w:r w:rsidRPr="00A779B8">
        <w:rPr>
          <w:lang w:val="fr-FR"/>
        </w:rPr>
        <w:t>autorité ayant procédé à l</w:t>
      </w:r>
      <w:r w:rsidR="00DB4C2D">
        <w:rPr>
          <w:lang w:val="fr-FR"/>
        </w:rPr>
        <w:t>’</w:t>
      </w:r>
      <w:r w:rsidRPr="00A779B8">
        <w:rPr>
          <w:lang w:val="fr-FR"/>
        </w:rPr>
        <w:t>homologation d</w:t>
      </w:r>
      <w:r w:rsidR="00DB4C2D">
        <w:rPr>
          <w:lang w:val="fr-FR"/>
        </w:rPr>
        <w:t>’</w:t>
      </w:r>
      <w:r w:rsidRPr="00A779B8">
        <w:rPr>
          <w:lang w:val="fr-FR"/>
        </w:rPr>
        <w:t>origine accepte rétrospectivement la présence d</w:t>
      </w:r>
      <w:r w:rsidR="00DB4C2D">
        <w:rPr>
          <w:lang w:val="fr-FR"/>
        </w:rPr>
        <w:t>’</w:t>
      </w:r>
      <w:r w:rsidRPr="00A779B8">
        <w:rPr>
          <w:lang w:val="fr-FR"/>
        </w:rPr>
        <w:t>un défaut lorsqu</w:t>
      </w:r>
      <w:r w:rsidR="00DB4C2D">
        <w:rPr>
          <w:lang w:val="fr-FR"/>
        </w:rPr>
        <w:t>’</w:t>
      </w:r>
      <w:r w:rsidRPr="00A779B8">
        <w:rPr>
          <w:lang w:val="fr-FR"/>
        </w:rPr>
        <w:t>il est découvert après l</w:t>
      </w:r>
      <w:r w:rsidR="00DB4C2D">
        <w:rPr>
          <w:lang w:val="fr-FR"/>
        </w:rPr>
        <w:t>’</w:t>
      </w:r>
      <w:r w:rsidRPr="00A779B8">
        <w:rPr>
          <w:lang w:val="fr-FR"/>
        </w:rPr>
        <w:t>homologation d</w:t>
      </w:r>
      <w:r w:rsidR="00DB4C2D">
        <w:rPr>
          <w:lang w:val="fr-FR"/>
        </w:rPr>
        <w:t>’</w:t>
      </w:r>
      <w:r w:rsidRPr="00A779B8">
        <w:rPr>
          <w:lang w:val="fr-FR"/>
        </w:rPr>
        <w:t>origine. Dans ce cas, le défaut peut subsister pendant une période de deux ans après la date de notification à l</w:t>
      </w:r>
      <w:r w:rsidR="00DB4C2D">
        <w:rPr>
          <w:lang w:val="fr-FR"/>
        </w:rPr>
        <w:t>’</w:t>
      </w:r>
      <w:r w:rsidRPr="00A779B8">
        <w:rPr>
          <w:lang w:val="fr-FR"/>
        </w:rPr>
        <w:t>autorité d</w:t>
      </w:r>
      <w:r w:rsidR="00DB4C2D">
        <w:rPr>
          <w:lang w:val="fr-FR"/>
        </w:rPr>
        <w:t>’</w:t>
      </w:r>
      <w:r w:rsidRPr="00A779B8">
        <w:rPr>
          <w:lang w:val="fr-FR"/>
        </w:rPr>
        <w:t>homologation de type, sauf s</w:t>
      </w:r>
      <w:r w:rsidR="00DB4C2D">
        <w:rPr>
          <w:lang w:val="fr-FR"/>
        </w:rPr>
        <w:t>’</w:t>
      </w:r>
      <w:r w:rsidRPr="00A779B8">
        <w:rPr>
          <w:lang w:val="fr-FR"/>
        </w:rPr>
        <w:t>il peut être prouvé qu</w:t>
      </w:r>
      <w:r w:rsidR="00DB4C2D">
        <w:rPr>
          <w:lang w:val="fr-FR"/>
        </w:rPr>
        <w:t>’</w:t>
      </w:r>
      <w:r w:rsidRPr="00A779B8">
        <w:rPr>
          <w:lang w:val="fr-FR"/>
        </w:rPr>
        <w:t>il faudrait apporter des modifications importantes à la construction du véhicule et allonger le délai au-delà de deux ans pour corriger le défaut. Dans ce cas, le défaut peut être maintenu pendant une période n</w:t>
      </w:r>
      <w:r w:rsidR="00DB4C2D">
        <w:rPr>
          <w:lang w:val="fr-FR"/>
        </w:rPr>
        <w:t>’</w:t>
      </w:r>
      <w:r w:rsidRPr="00A779B8">
        <w:rPr>
          <w:lang w:val="fr-FR"/>
        </w:rPr>
        <w:t>excédant pas trois ans.</w:t>
      </w:r>
    </w:p>
    <w:p w:rsidR="005E010E" w:rsidRPr="00A779B8" w:rsidRDefault="005E010E" w:rsidP="005E010E">
      <w:pPr>
        <w:pStyle w:val="SingleTxtG"/>
        <w:ind w:left="2268" w:hanging="1134"/>
        <w:rPr>
          <w:lang w:val="fr-FR"/>
        </w:rPr>
      </w:pPr>
      <w:r w:rsidRPr="00A779B8">
        <w:rPr>
          <w:lang w:val="fr-FR"/>
        </w:rPr>
        <w:t>4.6</w:t>
      </w:r>
      <w:r w:rsidRPr="00A779B8">
        <w:rPr>
          <w:lang w:val="fr-FR"/>
        </w:rPr>
        <w:tab/>
        <w:t>L</w:t>
      </w:r>
      <w:r w:rsidR="00DB4C2D">
        <w:rPr>
          <w:lang w:val="fr-FR"/>
        </w:rPr>
        <w:t>’</w:t>
      </w:r>
      <w:r w:rsidRPr="00A779B8">
        <w:rPr>
          <w:lang w:val="fr-FR"/>
        </w:rPr>
        <w:t>autorité</w:t>
      </w:r>
      <w:r>
        <w:rPr>
          <w:lang w:val="fr-FR"/>
        </w:rPr>
        <w:t xml:space="preserve"> d</w:t>
      </w:r>
      <w:r w:rsidR="00DB4C2D">
        <w:rPr>
          <w:lang w:val="fr-FR"/>
        </w:rPr>
        <w:t>’</w:t>
      </w:r>
      <w:r>
        <w:rPr>
          <w:lang w:val="fr-FR"/>
        </w:rPr>
        <w:t>homologation de type</w:t>
      </w:r>
      <w:r w:rsidRPr="00A779B8">
        <w:rPr>
          <w:lang w:val="fr-FR"/>
        </w:rPr>
        <w:t xml:space="preserve"> doit notifier sa décision d</w:t>
      </w:r>
      <w:r w:rsidR="00DB4C2D">
        <w:rPr>
          <w:lang w:val="fr-FR"/>
        </w:rPr>
        <w:t>’</w:t>
      </w:r>
      <w:r w:rsidRPr="00A779B8">
        <w:rPr>
          <w:lang w:val="fr-FR"/>
        </w:rPr>
        <w:t>accepter une demande de certification d</w:t>
      </w:r>
      <w:r w:rsidR="00DB4C2D">
        <w:rPr>
          <w:lang w:val="fr-FR"/>
        </w:rPr>
        <w:t>’</w:t>
      </w:r>
      <w:r w:rsidRPr="00A779B8">
        <w:rPr>
          <w:lang w:val="fr-FR"/>
        </w:rPr>
        <w:t>un système défectueux aux autres Parties à l</w:t>
      </w:r>
      <w:r w:rsidR="00DB4C2D">
        <w:rPr>
          <w:lang w:val="fr-FR"/>
        </w:rPr>
        <w:t>’</w:t>
      </w:r>
      <w:r w:rsidRPr="00A779B8">
        <w:rPr>
          <w:lang w:val="fr-FR"/>
        </w:rPr>
        <w:t>Accord de 1958 appliquant le présent Règlement.</w:t>
      </w:r>
    </w:p>
    <w:p w:rsidR="005E010E" w:rsidRPr="00A779B8" w:rsidRDefault="005E010E" w:rsidP="005E010E">
      <w:pPr>
        <w:pStyle w:val="SingleTxtG"/>
        <w:keepNext/>
        <w:ind w:left="2268" w:hanging="1134"/>
        <w:jc w:val="left"/>
        <w:rPr>
          <w:lang w:val="fr-FR"/>
        </w:rPr>
      </w:pPr>
      <w:r w:rsidRPr="00A779B8">
        <w:rPr>
          <w:lang w:val="fr-FR"/>
        </w:rPr>
        <w:t>5.</w:t>
      </w:r>
      <w:r w:rsidRPr="00A779B8">
        <w:rPr>
          <w:lang w:val="fr-FR"/>
        </w:rPr>
        <w:tab/>
        <w:t>Accès aux informations relatives au système d</w:t>
      </w:r>
      <w:r w:rsidR="00DB4C2D">
        <w:rPr>
          <w:lang w:val="fr-FR"/>
        </w:rPr>
        <w:t>’</w:t>
      </w:r>
      <w:r w:rsidRPr="00A779B8">
        <w:rPr>
          <w:lang w:val="fr-FR"/>
        </w:rPr>
        <w:t>autodiagnostic</w:t>
      </w:r>
    </w:p>
    <w:p w:rsidR="005E010E" w:rsidRPr="00A779B8" w:rsidRDefault="005E010E" w:rsidP="005E010E">
      <w:pPr>
        <w:pStyle w:val="SingleTxtG"/>
        <w:ind w:left="2268" w:hanging="1134"/>
        <w:rPr>
          <w:lang w:val="fr-FR"/>
        </w:rPr>
      </w:pPr>
      <w:r w:rsidRPr="00A779B8">
        <w:rPr>
          <w:lang w:val="fr-FR"/>
        </w:rPr>
        <w:t>5.1</w:t>
      </w:r>
      <w:r w:rsidRPr="00A779B8">
        <w:rPr>
          <w:lang w:val="fr-FR"/>
        </w:rPr>
        <w:tab/>
        <w:t>Il y a lieu de joindre à toute demande d</w:t>
      </w:r>
      <w:r w:rsidR="00DB4C2D">
        <w:rPr>
          <w:lang w:val="fr-FR"/>
        </w:rPr>
        <w:t>’</w:t>
      </w:r>
      <w:r w:rsidRPr="00A779B8">
        <w:rPr>
          <w:lang w:val="fr-FR"/>
        </w:rPr>
        <w:t>homologation de type ou de modification de cette homologation les informations utiles concernant le système d</w:t>
      </w:r>
      <w:r w:rsidR="00DB4C2D">
        <w:rPr>
          <w:lang w:val="fr-FR"/>
        </w:rPr>
        <w:t>’</w:t>
      </w:r>
      <w:r w:rsidRPr="00A779B8">
        <w:rPr>
          <w:lang w:val="fr-FR"/>
        </w:rPr>
        <w:t>autodiagnostic dont est équipé le véhicule concerné. Ces informations permettent aux fabricants de composants de rechange ou de mise en conformité de concevoir des pièces compatibles avec les systèmes d</w:t>
      </w:r>
      <w:r w:rsidR="00DB4C2D">
        <w:rPr>
          <w:lang w:val="fr-FR"/>
        </w:rPr>
        <w:t>’</w:t>
      </w:r>
      <w:r w:rsidRPr="00A779B8">
        <w:rPr>
          <w:lang w:val="fr-FR"/>
        </w:rPr>
        <w:t>autodiagnostic afin d</w:t>
      </w:r>
      <w:r w:rsidR="00DB4C2D">
        <w:rPr>
          <w:lang w:val="fr-FR"/>
        </w:rPr>
        <w:t>’</w:t>
      </w:r>
      <w:r w:rsidRPr="00A779B8">
        <w:rPr>
          <w:lang w:val="fr-FR"/>
        </w:rPr>
        <w:t>assurer une utilisation sans défaut mettant l</w:t>
      </w:r>
      <w:r w:rsidR="00DB4C2D">
        <w:rPr>
          <w:lang w:val="fr-FR"/>
        </w:rPr>
        <w:t>’</w:t>
      </w:r>
      <w:r w:rsidRPr="00A779B8">
        <w:rPr>
          <w:lang w:val="fr-FR"/>
        </w:rPr>
        <w:t>utilisateur du véhicule à l</w:t>
      </w:r>
      <w:r w:rsidR="00DB4C2D">
        <w:rPr>
          <w:lang w:val="fr-FR"/>
        </w:rPr>
        <w:t>’</w:t>
      </w:r>
      <w:r w:rsidRPr="00A779B8">
        <w:rPr>
          <w:lang w:val="fr-FR"/>
        </w:rPr>
        <w:t>abri de tout dysfonctionnement. De même, ces informations utiles permettent aux fabricants d</w:t>
      </w:r>
      <w:r w:rsidR="00DB4C2D">
        <w:rPr>
          <w:lang w:val="fr-FR"/>
        </w:rPr>
        <w:t>’</w:t>
      </w:r>
      <w:r w:rsidRPr="00A779B8">
        <w:rPr>
          <w:lang w:val="fr-FR"/>
        </w:rPr>
        <w:t>outils de diagnostic et d</w:t>
      </w:r>
      <w:r w:rsidR="00DB4C2D">
        <w:rPr>
          <w:lang w:val="fr-FR"/>
        </w:rPr>
        <w:t>’</w:t>
      </w:r>
      <w:r w:rsidRPr="00A779B8">
        <w:rPr>
          <w:lang w:val="fr-FR"/>
        </w:rPr>
        <w:t>équipements d</w:t>
      </w:r>
      <w:r w:rsidR="00DB4C2D">
        <w:rPr>
          <w:lang w:val="fr-FR"/>
        </w:rPr>
        <w:t>’</w:t>
      </w:r>
      <w:r w:rsidRPr="00A779B8">
        <w:rPr>
          <w:lang w:val="fr-FR"/>
        </w:rPr>
        <w:t>essai de mettre au point des outils et des équipements garantissant un diagnostic efficace et fiable des systèmes de contrôle des émissions du véhicule.</w:t>
      </w:r>
    </w:p>
    <w:p w:rsidR="005E010E" w:rsidRPr="00A779B8" w:rsidRDefault="005E010E" w:rsidP="005E010E">
      <w:pPr>
        <w:pStyle w:val="SingleTxtG"/>
        <w:ind w:left="2268" w:hanging="1134"/>
        <w:rPr>
          <w:lang w:val="fr-FR"/>
        </w:rPr>
      </w:pPr>
      <w:r w:rsidRPr="00A779B8">
        <w:rPr>
          <w:lang w:val="fr-FR"/>
        </w:rPr>
        <w:t>5.2</w:t>
      </w:r>
      <w:r w:rsidRPr="00A779B8">
        <w:rPr>
          <w:lang w:val="fr-FR"/>
        </w:rPr>
        <w:tab/>
        <w:t>L</w:t>
      </w:r>
      <w:r w:rsidR="00DB4C2D">
        <w:rPr>
          <w:lang w:val="fr-FR"/>
        </w:rPr>
        <w:t>’</w:t>
      </w:r>
      <w:r w:rsidRPr="00A779B8">
        <w:rPr>
          <w:lang w:val="fr-FR"/>
        </w:rPr>
        <w:t>autorité d</w:t>
      </w:r>
      <w:r w:rsidR="00DB4C2D">
        <w:rPr>
          <w:lang w:val="fr-FR"/>
        </w:rPr>
        <w:t>’</w:t>
      </w:r>
      <w:r w:rsidRPr="00A779B8">
        <w:rPr>
          <w:lang w:val="fr-FR"/>
        </w:rPr>
        <w:t>homologation de type doit communiquer, sans discrimination, à tout fabricant intéressé de composants, d</w:t>
      </w:r>
      <w:r w:rsidR="00DB4C2D">
        <w:rPr>
          <w:lang w:val="fr-FR"/>
        </w:rPr>
        <w:t>’</w:t>
      </w:r>
      <w:r w:rsidRPr="00A779B8">
        <w:rPr>
          <w:lang w:val="fr-FR"/>
        </w:rPr>
        <w:t>outils de diagnostic ou d</w:t>
      </w:r>
      <w:r w:rsidR="00DB4C2D">
        <w:rPr>
          <w:lang w:val="fr-FR"/>
        </w:rPr>
        <w:t>’</w:t>
      </w:r>
      <w:r w:rsidRPr="00A779B8">
        <w:rPr>
          <w:lang w:val="fr-FR"/>
        </w:rPr>
        <w:t>équipements d</w:t>
      </w:r>
      <w:r w:rsidR="00DB4C2D">
        <w:rPr>
          <w:lang w:val="fr-FR"/>
        </w:rPr>
        <w:t>’</w:t>
      </w:r>
      <w:r w:rsidRPr="00A779B8">
        <w:rPr>
          <w:lang w:val="fr-FR"/>
        </w:rPr>
        <w:t>essai qui en fait la demande, l</w:t>
      </w:r>
      <w:r w:rsidR="00DB4C2D">
        <w:rPr>
          <w:lang w:val="fr-FR"/>
        </w:rPr>
        <w:t>’</w:t>
      </w:r>
      <w:r w:rsidRPr="00A779B8">
        <w:rPr>
          <w:lang w:val="fr-FR"/>
        </w:rPr>
        <w:t>appendice 1 de l</w:t>
      </w:r>
      <w:r w:rsidR="00DB4C2D">
        <w:rPr>
          <w:lang w:val="fr-FR"/>
        </w:rPr>
        <w:t>’</w:t>
      </w:r>
      <w:r w:rsidRPr="00A779B8">
        <w:rPr>
          <w:lang w:val="fr-FR"/>
        </w:rPr>
        <w:t>annexe 2 du présent Règlement, qui contient toutes les informations utiles concernant le système d</w:t>
      </w:r>
      <w:r w:rsidR="00DB4C2D">
        <w:rPr>
          <w:lang w:val="fr-FR"/>
        </w:rPr>
        <w:t>’</w:t>
      </w:r>
      <w:r w:rsidRPr="00A779B8">
        <w:rPr>
          <w:lang w:val="fr-FR"/>
        </w:rPr>
        <w:t>autodiagnostic.</w:t>
      </w:r>
    </w:p>
    <w:p w:rsidR="005E010E" w:rsidRPr="00A779B8" w:rsidRDefault="005E010E" w:rsidP="005E010E">
      <w:pPr>
        <w:pStyle w:val="SingleTxtG"/>
        <w:keepNext/>
        <w:ind w:left="2268" w:hanging="1134"/>
        <w:rPr>
          <w:lang w:val="fr-FR"/>
        </w:rPr>
      </w:pPr>
      <w:r w:rsidRPr="00A779B8">
        <w:rPr>
          <w:lang w:val="fr-FR"/>
        </w:rPr>
        <w:t>5.2.1</w:t>
      </w:r>
      <w:r w:rsidRPr="00A779B8">
        <w:rPr>
          <w:lang w:val="fr-FR"/>
        </w:rPr>
        <w:tab/>
        <w:t>Si une autorité d</w:t>
      </w:r>
      <w:r w:rsidR="00DB4C2D">
        <w:rPr>
          <w:lang w:val="fr-FR"/>
        </w:rPr>
        <w:t>’</w:t>
      </w:r>
      <w:r w:rsidRPr="00A779B8">
        <w:rPr>
          <w:lang w:val="fr-FR"/>
        </w:rPr>
        <w:t>homologation de type reçoit une demande d</w:t>
      </w:r>
      <w:r w:rsidR="00DB4C2D">
        <w:rPr>
          <w:lang w:val="fr-FR"/>
        </w:rPr>
        <w:t>’</w:t>
      </w:r>
      <w:r w:rsidRPr="00A779B8">
        <w:rPr>
          <w:lang w:val="fr-FR"/>
        </w:rPr>
        <w:t>informations émanant d</w:t>
      </w:r>
      <w:r w:rsidR="00DB4C2D">
        <w:rPr>
          <w:lang w:val="fr-FR"/>
        </w:rPr>
        <w:t>’</w:t>
      </w:r>
      <w:r w:rsidRPr="00A779B8">
        <w:rPr>
          <w:lang w:val="fr-FR"/>
        </w:rPr>
        <w:t>un fabricant de pièces, d</w:t>
      </w:r>
      <w:r w:rsidR="00DB4C2D">
        <w:rPr>
          <w:lang w:val="fr-FR"/>
        </w:rPr>
        <w:t>’</w:t>
      </w:r>
      <w:r w:rsidRPr="00A779B8">
        <w:rPr>
          <w:lang w:val="fr-FR"/>
        </w:rPr>
        <w:t>outils de diagnostic ou d</w:t>
      </w:r>
      <w:r w:rsidR="00DB4C2D">
        <w:rPr>
          <w:lang w:val="fr-FR"/>
        </w:rPr>
        <w:t>’</w:t>
      </w:r>
      <w:r w:rsidRPr="00A779B8">
        <w:rPr>
          <w:lang w:val="fr-FR"/>
        </w:rPr>
        <w:t>équipements d</w:t>
      </w:r>
      <w:r w:rsidR="00DB4C2D">
        <w:rPr>
          <w:lang w:val="fr-FR"/>
        </w:rPr>
        <w:t>’</w:t>
      </w:r>
      <w:r w:rsidRPr="00A779B8">
        <w:rPr>
          <w:lang w:val="fr-FR"/>
        </w:rPr>
        <w:t>essai concernant le système d</w:t>
      </w:r>
      <w:r w:rsidR="00DB4C2D">
        <w:rPr>
          <w:lang w:val="fr-FR"/>
        </w:rPr>
        <w:t>’</w:t>
      </w:r>
      <w:r w:rsidRPr="00A779B8">
        <w:rPr>
          <w:lang w:val="fr-FR"/>
        </w:rPr>
        <w:t>autodiagnostic d</w:t>
      </w:r>
      <w:r w:rsidR="00DB4C2D">
        <w:rPr>
          <w:lang w:val="fr-FR"/>
        </w:rPr>
        <w:t>’</w:t>
      </w:r>
      <w:r w:rsidRPr="00A779B8">
        <w:rPr>
          <w:lang w:val="fr-FR"/>
        </w:rPr>
        <w:t>un véhicule homologué au titre d</w:t>
      </w:r>
      <w:r w:rsidR="00DB4C2D">
        <w:rPr>
          <w:lang w:val="fr-FR"/>
        </w:rPr>
        <w:t>’</w:t>
      </w:r>
      <w:r w:rsidRPr="00A779B8">
        <w:rPr>
          <w:lang w:val="fr-FR"/>
        </w:rPr>
        <w:t>une version antérieure du Règlement:</w:t>
      </w:r>
    </w:p>
    <w:p w:rsidR="005E010E" w:rsidRPr="00A779B8" w:rsidRDefault="005E010E" w:rsidP="005E010E">
      <w:pPr>
        <w:pStyle w:val="SingleTxtG"/>
        <w:ind w:left="2835" w:hanging="567"/>
        <w:rPr>
          <w:lang w:val="fr-FR"/>
        </w:rPr>
      </w:pPr>
      <w:r w:rsidRPr="00A779B8">
        <w:rPr>
          <w:lang w:val="fr-FR"/>
        </w:rPr>
        <w:t>a)</w:t>
      </w:r>
      <w:r w:rsidRPr="00A779B8">
        <w:rPr>
          <w:lang w:val="fr-FR"/>
        </w:rPr>
        <w:tab/>
        <w:t>Elle doit inviter, dans les 30 jours, le constructeur du véhicule concerné à lui communiquer les informations visées au paragraphe 3.2.12.2.7.6 de l</w:t>
      </w:r>
      <w:r w:rsidR="00DB4C2D">
        <w:rPr>
          <w:lang w:val="fr-FR"/>
        </w:rPr>
        <w:t>’</w:t>
      </w:r>
      <w:r w:rsidRPr="00A779B8">
        <w:rPr>
          <w:lang w:val="fr-FR"/>
        </w:rPr>
        <w:t>annexe 1 du présent Règlement. La fin du paragraphe 3.2.12.2.7.6 (le texte: «sauf si ces informations font l</w:t>
      </w:r>
      <w:r w:rsidR="00DB4C2D">
        <w:rPr>
          <w:lang w:val="fr-FR"/>
        </w:rPr>
        <w:t>’</w:t>
      </w:r>
      <w:r w:rsidRPr="00A779B8">
        <w:rPr>
          <w:lang w:val="fr-FR"/>
        </w:rPr>
        <w:t>objet de droits de propriété intellectuelle ou constituent un savoir-faire spécifique des constructeurs ou des fournisseurs des fabricants de l</w:t>
      </w:r>
      <w:r w:rsidR="00DB4C2D">
        <w:rPr>
          <w:lang w:val="fr-FR"/>
        </w:rPr>
        <w:t>’</w:t>
      </w:r>
      <w:r w:rsidRPr="00A779B8">
        <w:rPr>
          <w:lang w:val="fr-FR"/>
        </w:rPr>
        <w:t>équipement d</w:t>
      </w:r>
      <w:r w:rsidR="00DB4C2D">
        <w:rPr>
          <w:lang w:val="fr-FR"/>
        </w:rPr>
        <w:t>’</w:t>
      </w:r>
      <w:r w:rsidRPr="00A779B8">
        <w:rPr>
          <w:lang w:val="fr-FR"/>
        </w:rPr>
        <w:t>origine» ne s</w:t>
      </w:r>
      <w:r w:rsidR="00DB4C2D">
        <w:rPr>
          <w:lang w:val="fr-FR"/>
        </w:rPr>
        <w:t>’</w:t>
      </w:r>
      <w:r w:rsidRPr="00A779B8">
        <w:rPr>
          <w:lang w:val="fr-FR"/>
        </w:rPr>
        <w:t>applique pas;</w:t>
      </w:r>
    </w:p>
    <w:p w:rsidR="005E010E" w:rsidRPr="00A779B8" w:rsidRDefault="005E010E" w:rsidP="005E010E">
      <w:pPr>
        <w:pStyle w:val="SingleTxtG"/>
        <w:ind w:left="2835" w:hanging="567"/>
        <w:rPr>
          <w:lang w:val="fr-FR"/>
        </w:rPr>
      </w:pPr>
      <w:r w:rsidRPr="00A779B8">
        <w:rPr>
          <w:lang w:val="fr-FR"/>
        </w:rPr>
        <w:lastRenderedPageBreak/>
        <w:t>b)</w:t>
      </w:r>
      <w:r w:rsidRPr="00A779B8">
        <w:rPr>
          <w:lang w:val="fr-FR"/>
        </w:rPr>
        <w:tab/>
        <w:t>Le constructeur doit faire parvenir ces informations à l</w:t>
      </w:r>
      <w:r w:rsidR="00DB4C2D">
        <w:rPr>
          <w:lang w:val="fr-FR"/>
        </w:rPr>
        <w:t>’</w:t>
      </w:r>
      <w:r w:rsidRPr="00A779B8">
        <w:rPr>
          <w:lang w:val="fr-FR"/>
        </w:rPr>
        <w:t>autorité chargée de l</w:t>
      </w:r>
      <w:r w:rsidR="00DB4C2D">
        <w:rPr>
          <w:lang w:val="fr-FR"/>
        </w:rPr>
        <w:t>’</w:t>
      </w:r>
      <w:r w:rsidRPr="00A779B8">
        <w:rPr>
          <w:lang w:val="fr-FR"/>
        </w:rPr>
        <w:t>homologation dans les deux mois de la demande;</w:t>
      </w:r>
    </w:p>
    <w:p w:rsidR="005E010E" w:rsidRPr="00A779B8" w:rsidRDefault="005E010E" w:rsidP="005E010E">
      <w:pPr>
        <w:pStyle w:val="SingleTxtG"/>
        <w:ind w:left="2835" w:hanging="567"/>
        <w:rPr>
          <w:lang w:val="fr-FR"/>
        </w:rPr>
      </w:pPr>
      <w:r w:rsidRPr="00A779B8">
        <w:rPr>
          <w:lang w:val="fr-FR"/>
        </w:rPr>
        <w:t>c)</w:t>
      </w:r>
      <w:r w:rsidRPr="00A779B8">
        <w:rPr>
          <w:lang w:val="fr-FR"/>
        </w:rPr>
        <w:tab/>
        <w:t>L</w:t>
      </w:r>
      <w:r w:rsidR="00DB4C2D">
        <w:rPr>
          <w:lang w:val="fr-FR"/>
        </w:rPr>
        <w:t>’</w:t>
      </w:r>
      <w:r w:rsidRPr="00A779B8">
        <w:rPr>
          <w:lang w:val="fr-FR"/>
        </w:rPr>
        <w:t>autorité d</w:t>
      </w:r>
      <w:r w:rsidR="00DB4C2D">
        <w:rPr>
          <w:lang w:val="fr-FR"/>
        </w:rPr>
        <w:t>’</w:t>
      </w:r>
      <w:r w:rsidRPr="00A779B8">
        <w:rPr>
          <w:lang w:val="fr-FR"/>
        </w:rPr>
        <w:t>homologation de type doit transmettre ces informations à ses homologues des autres Parties contractantes; l</w:t>
      </w:r>
      <w:r w:rsidR="00DB4C2D">
        <w:rPr>
          <w:lang w:val="fr-FR"/>
        </w:rPr>
        <w:t>’</w:t>
      </w:r>
      <w:r w:rsidRPr="00A779B8">
        <w:rPr>
          <w:lang w:val="fr-FR"/>
        </w:rPr>
        <w:t>autorité qui a délivré l</w:t>
      </w:r>
      <w:r w:rsidR="00DB4C2D">
        <w:rPr>
          <w:lang w:val="fr-FR"/>
        </w:rPr>
        <w:t>’</w:t>
      </w:r>
      <w:r w:rsidRPr="00A779B8">
        <w:rPr>
          <w:lang w:val="fr-FR"/>
        </w:rPr>
        <w:t>homologation initiale doit joindre ces informations à l</w:t>
      </w:r>
      <w:r w:rsidR="00DB4C2D">
        <w:rPr>
          <w:lang w:val="fr-FR"/>
        </w:rPr>
        <w:t>’</w:t>
      </w:r>
      <w:r w:rsidRPr="00A779B8">
        <w:rPr>
          <w:lang w:val="fr-FR"/>
        </w:rPr>
        <w:t>annexe 1 du dossier d</w:t>
      </w:r>
      <w:r w:rsidR="00DB4C2D">
        <w:rPr>
          <w:lang w:val="fr-FR"/>
        </w:rPr>
        <w:t>’</w:t>
      </w:r>
      <w:r w:rsidRPr="00A779B8">
        <w:rPr>
          <w:lang w:val="fr-FR"/>
        </w:rPr>
        <w:t>homologation du véhicule.</w:t>
      </w:r>
    </w:p>
    <w:p w:rsidR="005E010E" w:rsidRPr="00A779B8" w:rsidRDefault="005E010E" w:rsidP="005E010E">
      <w:pPr>
        <w:pStyle w:val="SingleTxtG"/>
        <w:keepLines/>
        <w:ind w:left="2268"/>
        <w:rPr>
          <w:lang w:val="fr-FR"/>
        </w:rPr>
      </w:pPr>
      <w:r w:rsidRPr="00A779B8">
        <w:rPr>
          <w:lang w:val="fr-FR"/>
        </w:rPr>
        <w:tab/>
        <w:t>La présente prescription n</w:t>
      </w:r>
      <w:r w:rsidR="00DB4C2D">
        <w:rPr>
          <w:lang w:val="fr-FR"/>
        </w:rPr>
        <w:t>’</w:t>
      </w:r>
      <w:r w:rsidRPr="00A779B8">
        <w:rPr>
          <w:lang w:val="fr-FR"/>
        </w:rPr>
        <w:t xml:space="preserve">annule pas une homologation accordée antérieurement au titre du Règlement </w:t>
      </w:r>
      <w:r w:rsidRPr="00A779B8">
        <w:rPr>
          <w:rFonts w:eastAsia="MS Mincho"/>
          <w:lang w:val="fr-FR"/>
        </w:rPr>
        <w:t>n</w:t>
      </w:r>
      <w:r w:rsidRPr="00A779B8">
        <w:rPr>
          <w:rFonts w:eastAsia="MS Mincho"/>
          <w:vertAlign w:val="superscript"/>
          <w:lang w:val="fr-FR"/>
        </w:rPr>
        <w:t>o</w:t>
      </w:r>
      <w:r w:rsidRPr="00A779B8">
        <w:rPr>
          <w:lang w:val="fr-FR"/>
        </w:rPr>
        <w:t> 83 et n</w:t>
      </w:r>
      <w:r w:rsidR="00DB4C2D">
        <w:rPr>
          <w:lang w:val="fr-FR"/>
        </w:rPr>
        <w:t>’</w:t>
      </w:r>
      <w:r w:rsidRPr="00A779B8">
        <w:rPr>
          <w:lang w:val="fr-FR"/>
        </w:rPr>
        <w:t>empêche pas l</w:t>
      </w:r>
      <w:r w:rsidR="00DB4C2D">
        <w:rPr>
          <w:lang w:val="fr-FR"/>
        </w:rPr>
        <w:t>’</w:t>
      </w:r>
      <w:r w:rsidRPr="00A779B8">
        <w:rPr>
          <w:lang w:val="fr-FR"/>
        </w:rPr>
        <w:t>extension d</w:t>
      </w:r>
      <w:r w:rsidR="00DB4C2D">
        <w:rPr>
          <w:lang w:val="fr-FR"/>
        </w:rPr>
        <w:t>’</w:t>
      </w:r>
      <w:r w:rsidRPr="00A779B8">
        <w:rPr>
          <w:lang w:val="fr-FR"/>
        </w:rPr>
        <w:t>une telle homologation dans les conditions prévues par le Règlement au titre duquel cette homologation a été initialement accordée.</w:t>
      </w:r>
    </w:p>
    <w:p w:rsidR="005E010E" w:rsidRDefault="005E010E" w:rsidP="005E010E">
      <w:pPr>
        <w:pStyle w:val="SingleTxtG"/>
        <w:ind w:left="2268" w:hanging="1134"/>
        <w:rPr>
          <w:lang w:val="fr-FR"/>
        </w:rPr>
      </w:pPr>
      <w:r w:rsidRPr="00A779B8">
        <w:rPr>
          <w:lang w:val="fr-FR"/>
        </w:rPr>
        <w:t>5.2.2</w:t>
      </w:r>
      <w:r w:rsidRPr="00A779B8">
        <w:rPr>
          <w:lang w:val="fr-FR"/>
        </w:rPr>
        <w:tab/>
        <w:t>Ces informations ne peuvent être demandées que pour des pièces de rechange ou d</w:t>
      </w:r>
      <w:r w:rsidR="00DB4C2D">
        <w:rPr>
          <w:lang w:val="fr-FR"/>
        </w:rPr>
        <w:t>’</w:t>
      </w:r>
      <w:r w:rsidRPr="00A779B8">
        <w:rPr>
          <w:lang w:val="fr-FR"/>
        </w:rPr>
        <w:t>entretien faisant l</w:t>
      </w:r>
      <w:r w:rsidR="00DB4C2D">
        <w:rPr>
          <w:lang w:val="fr-FR"/>
        </w:rPr>
        <w:t>’</w:t>
      </w:r>
      <w:r w:rsidRPr="00A779B8">
        <w:rPr>
          <w:lang w:val="fr-FR"/>
        </w:rPr>
        <w:t>objet d</w:t>
      </w:r>
      <w:r w:rsidR="00DB4C2D">
        <w:rPr>
          <w:lang w:val="fr-FR"/>
        </w:rPr>
        <w:t>’</w:t>
      </w:r>
      <w:r w:rsidRPr="00A779B8">
        <w:rPr>
          <w:lang w:val="fr-FR"/>
        </w:rPr>
        <w:t>une homologation de type CEE pour des composants de systèmes faisant l</w:t>
      </w:r>
      <w:r w:rsidR="00DB4C2D">
        <w:rPr>
          <w:lang w:val="fr-FR"/>
        </w:rPr>
        <w:t>’</w:t>
      </w:r>
      <w:r w:rsidRPr="00A779B8">
        <w:rPr>
          <w:lang w:val="fr-FR"/>
        </w:rPr>
        <w:t>objet d</w:t>
      </w:r>
      <w:r w:rsidR="00DB4C2D">
        <w:rPr>
          <w:lang w:val="fr-FR"/>
        </w:rPr>
        <w:t>’</w:t>
      </w:r>
      <w:r w:rsidRPr="00A779B8">
        <w:rPr>
          <w:lang w:val="fr-FR"/>
        </w:rPr>
        <w:t>une homologation CEE.</w:t>
      </w:r>
    </w:p>
    <w:p w:rsidR="005E010E" w:rsidRDefault="005E010E" w:rsidP="005E010E">
      <w:pPr>
        <w:pStyle w:val="SingleTxtG"/>
        <w:ind w:left="2268" w:hanging="1134"/>
        <w:rPr>
          <w:lang w:val="fr-FR"/>
        </w:rPr>
      </w:pPr>
      <w:r w:rsidRPr="00A779B8">
        <w:rPr>
          <w:lang w:val="fr-FR"/>
        </w:rPr>
        <w:t>5.2.3</w:t>
      </w:r>
      <w:r w:rsidRPr="00A779B8">
        <w:rPr>
          <w:lang w:val="fr-FR"/>
        </w:rPr>
        <w:tab/>
        <w:t>La demande d</w:t>
      </w:r>
      <w:r w:rsidR="00DB4C2D">
        <w:rPr>
          <w:lang w:val="fr-FR"/>
        </w:rPr>
        <w:t>’</w:t>
      </w:r>
      <w:r w:rsidRPr="00A779B8">
        <w:rPr>
          <w:lang w:val="fr-FR"/>
        </w:rPr>
        <w:t>informations doit mentionner précisément les caractéristiques du modèle de véhicule concerné et spécifier que les informations demandées sont nécessaires pour la conception de pièces ou de composants de rechange ou de mise en conformité, d</w:t>
      </w:r>
      <w:r w:rsidR="00DB4C2D">
        <w:rPr>
          <w:lang w:val="fr-FR"/>
        </w:rPr>
        <w:t>’</w:t>
      </w:r>
      <w:r w:rsidRPr="00A779B8">
        <w:rPr>
          <w:lang w:val="fr-FR"/>
        </w:rPr>
        <w:t>outils de diagnostic ou d</w:t>
      </w:r>
      <w:r w:rsidR="00DB4C2D">
        <w:rPr>
          <w:lang w:val="fr-FR"/>
        </w:rPr>
        <w:t>’</w:t>
      </w:r>
      <w:r w:rsidRPr="00A779B8">
        <w:rPr>
          <w:lang w:val="fr-FR"/>
        </w:rPr>
        <w:t>équipements d</w:t>
      </w:r>
      <w:r w:rsidR="00DB4C2D">
        <w:rPr>
          <w:lang w:val="fr-FR"/>
        </w:rPr>
        <w:t>’</w:t>
      </w:r>
      <w:r w:rsidRPr="00A779B8">
        <w:rPr>
          <w:lang w:val="fr-FR"/>
        </w:rPr>
        <w:t>essai.</w:t>
      </w:r>
    </w:p>
    <w:p w:rsidR="008F40B6" w:rsidRDefault="008F40B6" w:rsidP="005E010E">
      <w:pPr>
        <w:pStyle w:val="SingleTxtG"/>
        <w:ind w:left="2268" w:hanging="1134"/>
        <w:rPr>
          <w:lang w:val="fr-FR"/>
        </w:rPr>
      </w:pPr>
    </w:p>
    <w:p w:rsidR="005E010E" w:rsidRDefault="005E010E" w:rsidP="005E010E">
      <w:pPr>
        <w:pStyle w:val="SingleTxtG"/>
        <w:sectPr w:rsidR="005E010E" w:rsidSect="00C108AC">
          <w:headerReference w:type="even" r:id="rId264"/>
          <w:headerReference w:type="default" r:id="rId265"/>
          <w:footnotePr>
            <w:numRestart w:val="eachSect"/>
          </w:footnotePr>
          <w:endnotePr>
            <w:numFmt w:val="decimal"/>
          </w:endnotePr>
          <w:pgSz w:w="11907" w:h="16840" w:code="9"/>
          <w:pgMar w:top="1701" w:right="1134" w:bottom="2268" w:left="1134" w:header="794" w:footer="1701" w:gutter="0"/>
          <w:cols w:space="720"/>
          <w:docGrid w:linePitch="272"/>
        </w:sectPr>
      </w:pPr>
    </w:p>
    <w:p w:rsidR="005E010E" w:rsidRPr="00A779B8" w:rsidRDefault="005E010E" w:rsidP="005E010E">
      <w:pPr>
        <w:pStyle w:val="HChG"/>
        <w:rPr>
          <w:lang w:val="fr-FR"/>
        </w:rPr>
      </w:pPr>
      <w:r w:rsidRPr="00A779B8">
        <w:rPr>
          <w:lang w:val="fr-FR"/>
        </w:rPr>
        <w:lastRenderedPageBreak/>
        <w:t>Annexe 11 − Appendice 1</w:t>
      </w:r>
    </w:p>
    <w:p w:rsidR="005E010E" w:rsidRPr="00A779B8" w:rsidRDefault="005E010E" w:rsidP="005E010E">
      <w:pPr>
        <w:pStyle w:val="HChG"/>
        <w:rPr>
          <w:lang w:val="fr-FR"/>
        </w:rPr>
      </w:pPr>
      <w:r w:rsidRPr="00A779B8">
        <w:rPr>
          <w:lang w:val="fr-FR"/>
        </w:rPr>
        <w:tab/>
      </w:r>
      <w:r w:rsidRPr="00A779B8">
        <w:rPr>
          <w:lang w:val="fr-FR"/>
        </w:rPr>
        <w:tab/>
        <w:t>Fonctionnement des systèmes d</w:t>
      </w:r>
      <w:r w:rsidR="00DB4C2D">
        <w:rPr>
          <w:lang w:val="fr-FR"/>
        </w:rPr>
        <w:t>’</w:t>
      </w:r>
      <w:r w:rsidRPr="00A779B8">
        <w:rPr>
          <w:lang w:val="fr-FR"/>
        </w:rPr>
        <w:t>autodiagnostic (OBD)</w:t>
      </w:r>
    </w:p>
    <w:p w:rsidR="005E010E" w:rsidRPr="00A779B8" w:rsidRDefault="005E010E" w:rsidP="005E010E">
      <w:pPr>
        <w:pStyle w:val="SingleTxtG"/>
        <w:keepNext/>
        <w:ind w:left="2268" w:hanging="1134"/>
        <w:jc w:val="left"/>
        <w:rPr>
          <w:lang w:val="fr-FR"/>
        </w:rPr>
      </w:pPr>
      <w:r w:rsidRPr="00A779B8">
        <w:rPr>
          <w:lang w:val="fr-FR"/>
        </w:rPr>
        <w:t>1.</w:t>
      </w:r>
      <w:r w:rsidRPr="00A779B8">
        <w:rPr>
          <w:lang w:val="fr-FR"/>
        </w:rPr>
        <w:tab/>
      </w:r>
      <w:r w:rsidRPr="00A779B8">
        <w:rPr>
          <w:lang w:val="fr-FR"/>
        </w:rPr>
        <w:tab/>
        <w:t>Introduction</w:t>
      </w:r>
    </w:p>
    <w:p w:rsidR="005E010E" w:rsidRPr="00A779B8" w:rsidRDefault="005E010E" w:rsidP="005E010E">
      <w:pPr>
        <w:pStyle w:val="SingleTxtG"/>
        <w:ind w:left="2268"/>
        <w:rPr>
          <w:lang w:val="fr-FR"/>
        </w:rPr>
      </w:pPr>
      <w:r w:rsidRPr="00A779B8">
        <w:rPr>
          <w:lang w:val="fr-FR"/>
        </w:rPr>
        <w:tab/>
        <w:t>Le présent appendice décrit la procédure de l</w:t>
      </w:r>
      <w:r w:rsidR="00DB4C2D">
        <w:rPr>
          <w:lang w:val="fr-FR"/>
        </w:rPr>
        <w:t>’</w:t>
      </w:r>
      <w:r w:rsidRPr="00A779B8">
        <w:rPr>
          <w:lang w:val="fr-FR"/>
        </w:rPr>
        <w:t>essai à effectuer conformément au paragraphe 3 de la présente annexe. Il s</w:t>
      </w:r>
      <w:r w:rsidR="00DB4C2D">
        <w:rPr>
          <w:lang w:val="fr-FR"/>
        </w:rPr>
        <w:t>’</w:t>
      </w:r>
      <w:r w:rsidRPr="00A779B8">
        <w:rPr>
          <w:lang w:val="fr-FR"/>
        </w:rPr>
        <w:t>agit d</w:t>
      </w:r>
      <w:r w:rsidR="00DB4C2D">
        <w:rPr>
          <w:lang w:val="fr-FR"/>
        </w:rPr>
        <w:t>’</w:t>
      </w:r>
      <w:r w:rsidRPr="00A779B8">
        <w:rPr>
          <w:lang w:val="fr-FR"/>
        </w:rPr>
        <w:t>une méthode de vérification du fonctionnement du système d</w:t>
      </w:r>
      <w:r w:rsidR="00DB4C2D">
        <w:rPr>
          <w:lang w:val="fr-FR"/>
        </w:rPr>
        <w:t>’</w:t>
      </w:r>
      <w:r w:rsidRPr="00A779B8">
        <w:rPr>
          <w:lang w:val="fr-FR"/>
        </w:rPr>
        <w:t>autodiagnostic (OBD) installé sur un véhicule, grâce à la simulation de défaillances des systèmes correspondants au niveau du système de gestion du moteur ou de réduction des émissions. Le présent appendice décrit également les procédures à utiliser pour déterminer la durabilité des systèmes OBD.</w:t>
      </w:r>
    </w:p>
    <w:p w:rsidR="005E010E" w:rsidRPr="00A779B8" w:rsidRDefault="005E010E" w:rsidP="005E010E">
      <w:pPr>
        <w:pStyle w:val="SingleTxtG"/>
        <w:ind w:left="2268"/>
        <w:rPr>
          <w:lang w:val="fr-FR"/>
        </w:rPr>
      </w:pPr>
      <w:r w:rsidRPr="00A779B8">
        <w:rPr>
          <w:lang w:val="fr-FR"/>
        </w:rPr>
        <w:tab/>
        <w:t>Le constructeur doit mettre à disposition les composants et/ou les dispositifs électriques défectueux à utiliser pour simuler des défaillances. Lorsqu</w:t>
      </w:r>
      <w:r w:rsidR="00DB4C2D">
        <w:rPr>
          <w:lang w:val="fr-FR"/>
        </w:rPr>
        <w:t>’</w:t>
      </w:r>
      <w:r w:rsidRPr="00A779B8">
        <w:rPr>
          <w:lang w:val="fr-FR"/>
        </w:rPr>
        <w:t>ils sont mesurés dans le cadre du cycle d</w:t>
      </w:r>
      <w:r w:rsidR="00DB4C2D">
        <w:rPr>
          <w:lang w:val="fr-FR"/>
        </w:rPr>
        <w:t>’</w:t>
      </w:r>
      <w:r w:rsidRPr="00A779B8">
        <w:rPr>
          <w:lang w:val="fr-FR"/>
        </w:rPr>
        <w:t>essai du type I, ces composants ou dispositifs défectueux ne doivent pas entraîner une production d</w:t>
      </w:r>
      <w:r w:rsidR="00DB4C2D">
        <w:rPr>
          <w:lang w:val="fr-FR"/>
        </w:rPr>
        <w:t>’</w:t>
      </w:r>
      <w:r w:rsidRPr="00A779B8">
        <w:rPr>
          <w:lang w:val="fr-FR"/>
        </w:rPr>
        <w:t>émissions par le véhicule dépassant de plus de 20 % les limites fixées au paragraphe 3.3.2 de la présente annexe.</w:t>
      </w:r>
    </w:p>
    <w:p w:rsidR="005E010E" w:rsidRPr="00A779B8" w:rsidRDefault="005E010E" w:rsidP="005E010E">
      <w:pPr>
        <w:pStyle w:val="SingleTxtG"/>
        <w:ind w:left="2268"/>
        <w:rPr>
          <w:lang w:val="fr-FR"/>
        </w:rPr>
      </w:pPr>
      <w:r w:rsidRPr="00A779B8">
        <w:rPr>
          <w:lang w:val="fr-FR"/>
        </w:rPr>
        <w:tab/>
        <w:t>Lorsque le véhicule est soumis à un essai alors qu</w:t>
      </w:r>
      <w:r w:rsidR="00DB4C2D">
        <w:rPr>
          <w:lang w:val="fr-FR"/>
        </w:rPr>
        <w:t>’</w:t>
      </w:r>
      <w:r w:rsidRPr="00A779B8">
        <w:rPr>
          <w:lang w:val="fr-FR"/>
        </w:rPr>
        <w:t>il est équipé du composant ou dispositif défectueux, le système OBD est approuvé si le TD est activé. Le système OBD est également approuvé si le TD est activé au-dessous des valeurs limites fixées pour l</w:t>
      </w:r>
      <w:r w:rsidR="00DB4C2D">
        <w:rPr>
          <w:lang w:val="fr-FR"/>
        </w:rPr>
        <w:t>’</w:t>
      </w:r>
      <w:r w:rsidRPr="00A779B8">
        <w:rPr>
          <w:lang w:val="fr-FR"/>
        </w:rPr>
        <w:t>OBD.</w:t>
      </w:r>
    </w:p>
    <w:p w:rsidR="005E010E" w:rsidRPr="00A779B8" w:rsidRDefault="005E010E" w:rsidP="005E010E">
      <w:pPr>
        <w:pStyle w:val="SingleTxtG"/>
        <w:keepNext/>
        <w:ind w:left="2268" w:hanging="1134"/>
        <w:jc w:val="left"/>
        <w:rPr>
          <w:lang w:val="fr-FR"/>
        </w:rPr>
      </w:pPr>
      <w:r w:rsidRPr="00A779B8">
        <w:rPr>
          <w:lang w:val="fr-FR"/>
        </w:rPr>
        <w:t>2.</w:t>
      </w:r>
      <w:r w:rsidRPr="00A779B8">
        <w:rPr>
          <w:lang w:val="fr-FR"/>
        </w:rPr>
        <w:tab/>
        <w:t>Description de l</w:t>
      </w:r>
      <w:r w:rsidR="00DB4C2D">
        <w:rPr>
          <w:lang w:val="fr-FR"/>
        </w:rPr>
        <w:t>’</w:t>
      </w:r>
      <w:r w:rsidRPr="00A779B8">
        <w:rPr>
          <w:lang w:val="fr-FR"/>
        </w:rPr>
        <w:t>essai</w:t>
      </w:r>
    </w:p>
    <w:p w:rsidR="005E010E" w:rsidRPr="00A779B8" w:rsidRDefault="005E010E" w:rsidP="005E010E">
      <w:pPr>
        <w:pStyle w:val="SingleTxtG"/>
        <w:keepNext/>
        <w:ind w:left="2268" w:hanging="1134"/>
        <w:jc w:val="left"/>
        <w:rPr>
          <w:lang w:val="fr-FR"/>
        </w:rPr>
      </w:pPr>
      <w:r w:rsidRPr="00A779B8">
        <w:rPr>
          <w:lang w:val="fr-FR"/>
        </w:rPr>
        <w:t>2.1</w:t>
      </w:r>
      <w:r w:rsidRPr="00A779B8">
        <w:rPr>
          <w:lang w:val="fr-FR"/>
        </w:rPr>
        <w:tab/>
        <w:t>L</w:t>
      </w:r>
      <w:r w:rsidR="00DB4C2D">
        <w:rPr>
          <w:lang w:val="fr-FR"/>
        </w:rPr>
        <w:t>’</w:t>
      </w:r>
      <w:r w:rsidRPr="00A779B8">
        <w:rPr>
          <w:lang w:val="fr-FR"/>
        </w:rPr>
        <w:t>essai des systèmes OBD se compose des phases suivantes:</w:t>
      </w:r>
    </w:p>
    <w:p w:rsidR="005E010E" w:rsidRPr="00A779B8" w:rsidRDefault="005E010E" w:rsidP="005E010E">
      <w:pPr>
        <w:pStyle w:val="SingleTxtG"/>
        <w:ind w:left="2268" w:hanging="1134"/>
        <w:rPr>
          <w:lang w:val="fr-FR"/>
        </w:rPr>
      </w:pPr>
      <w:r w:rsidRPr="00A779B8">
        <w:rPr>
          <w:lang w:val="fr-FR"/>
        </w:rPr>
        <w:t>2.1.1</w:t>
      </w:r>
      <w:r w:rsidRPr="00A779B8">
        <w:rPr>
          <w:lang w:val="fr-FR"/>
        </w:rPr>
        <w:tab/>
        <w:t>Simulation d</w:t>
      </w:r>
      <w:r w:rsidR="00DB4C2D">
        <w:rPr>
          <w:lang w:val="fr-FR"/>
        </w:rPr>
        <w:t>’</w:t>
      </w:r>
      <w:r w:rsidRPr="00A779B8">
        <w:rPr>
          <w:lang w:val="fr-FR"/>
        </w:rPr>
        <w:t>un dysfonctionnement d</w:t>
      </w:r>
      <w:r w:rsidR="00DB4C2D">
        <w:rPr>
          <w:lang w:val="fr-FR"/>
        </w:rPr>
        <w:t>’</w:t>
      </w:r>
      <w:r w:rsidRPr="00A779B8">
        <w:rPr>
          <w:lang w:val="fr-FR"/>
        </w:rPr>
        <w:t>un composant du système de gestion du moteur ou de réduction des émissions;</w:t>
      </w:r>
    </w:p>
    <w:p w:rsidR="005E010E" w:rsidRPr="00A779B8" w:rsidRDefault="005E010E" w:rsidP="005E010E">
      <w:pPr>
        <w:pStyle w:val="SingleTxtG"/>
        <w:ind w:left="2268" w:hanging="1134"/>
        <w:rPr>
          <w:lang w:val="fr-FR"/>
        </w:rPr>
      </w:pPr>
      <w:r w:rsidRPr="00A779B8">
        <w:rPr>
          <w:lang w:val="fr-FR"/>
        </w:rPr>
        <w:t>2.1.2</w:t>
      </w:r>
      <w:r w:rsidRPr="00A779B8">
        <w:rPr>
          <w:lang w:val="fr-FR"/>
        </w:rPr>
        <w:tab/>
      </w:r>
      <w:proofErr w:type="spellStart"/>
      <w:r w:rsidRPr="00A779B8">
        <w:rPr>
          <w:lang w:val="fr-FR"/>
        </w:rPr>
        <w:t>Préconditionnement</w:t>
      </w:r>
      <w:proofErr w:type="spellEnd"/>
      <w:r w:rsidRPr="00A779B8">
        <w:rPr>
          <w:lang w:val="fr-FR"/>
        </w:rPr>
        <w:t xml:space="preserve"> du véhicule avec simulation d</w:t>
      </w:r>
      <w:r w:rsidR="00DB4C2D">
        <w:rPr>
          <w:lang w:val="fr-FR"/>
        </w:rPr>
        <w:t>’</w:t>
      </w:r>
      <w:r w:rsidRPr="00A779B8">
        <w:rPr>
          <w:lang w:val="fr-FR"/>
        </w:rPr>
        <w:t xml:space="preserve">un dysfonctionnement lors </w:t>
      </w:r>
      <w:r w:rsidRPr="00A779B8">
        <w:rPr>
          <w:spacing w:val="-2"/>
          <w:lang w:val="fr-FR"/>
        </w:rPr>
        <w:t xml:space="preserve">du </w:t>
      </w:r>
      <w:proofErr w:type="spellStart"/>
      <w:r w:rsidRPr="00A779B8">
        <w:rPr>
          <w:spacing w:val="-2"/>
          <w:lang w:val="fr-FR"/>
        </w:rPr>
        <w:t>préconditionnement</w:t>
      </w:r>
      <w:proofErr w:type="spellEnd"/>
      <w:r w:rsidRPr="00A779B8">
        <w:rPr>
          <w:spacing w:val="-2"/>
          <w:lang w:val="fr-FR"/>
        </w:rPr>
        <w:t xml:space="preserve"> visé au paragraphe 6.2.1 ou 6.2.2 du présent appendice;</w:t>
      </w:r>
    </w:p>
    <w:p w:rsidR="005E010E" w:rsidRPr="00A779B8" w:rsidRDefault="005E010E" w:rsidP="005E010E">
      <w:pPr>
        <w:pStyle w:val="SingleTxtG"/>
        <w:ind w:left="2268" w:hanging="1134"/>
        <w:rPr>
          <w:lang w:val="fr-FR"/>
        </w:rPr>
      </w:pPr>
      <w:r w:rsidRPr="00A779B8">
        <w:rPr>
          <w:lang w:val="fr-FR"/>
        </w:rPr>
        <w:t>2.1.3</w:t>
      </w:r>
      <w:r w:rsidRPr="00A779B8">
        <w:rPr>
          <w:lang w:val="fr-FR"/>
        </w:rPr>
        <w:tab/>
        <w:t>Exécution d</w:t>
      </w:r>
      <w:r w:rsidR="00DB4C2D">
        <w:rPr>
          <w:lang w:val="fr-FR"/>
        </w:rPr>
        <w:t>’</w:t>
      </w:r>
      <w:r w:rsidRPr="00A779B8">
        <w:rPr>
          <w:lang w:val="fr-FR"/>
        </w:rPr>
        <w:t>un cycle de conduite de l</w:t>
      </w:r>
      <w:r w:rsidR="00DB4C2D">
        <w:rPr>
          <w:lang w:val="fr-FR"/>
        </w:rPr>
        <w:t>’</w:t>
      </w:r>
      <w:r w:rsidRPr="00A779B8">
        <w:rPr>
          <w:lang w:val="fr-FR"/>
        </w:rPr>
        <w:t>essai du type I avec le véhicule où le dysfonctionnement est simulé et mesure des émissions du véhicule;</w:t>
      </w:r>
    </w:p>
    <w:p w:rsidR="005E010E" w:rsidRPr="00A779B8" w:rsidRDefault="005E010E" w:rsidP="005E010E">
      <w:pPr>
        <w:pStyle w:val="SingleTxtG"/>
        <w:ind w:left="2268" w:hanging="1134"/>
        <w:rPr>
          <w:lang w:val="fr-FR"/>
        </w:rPr>
      </w:pPr>
      <w:r w:rsidRPr="00A779B8">
        <w:rPr>
          <w:lang w:val="fr-FR"/>
        </w:rPr>
        <w:t>2.1.4</w:t>
      </w:r>
      <w:r w:rsidRPr="00A779B8">
        <w:rPr>
          <w:lang w:val="fr-FR"/>
        </w:rPr>
        <w:tab/>
        <w:t>Détermination de la réaction du système OBD au dysfonctionnement simulé et appréciation de la manière dont il avertit le conducteur de ce dysfonctionnement.</w:t>
      </w:r>
    </w:p>
    <w:p w:rsidR="005E010E" w:rsidRPr="00A779B8" w:rsidRDefault="005E010E" w:rsidP="005E010E">
      <w:pPr>
        <w:pStyle w:val="SingleTxtG"/>
        <w:ind w:left="2268" w:hanging="1134"/>
        <w:rPr>
          <w:lang w:val="fr-FR"/>
        </w:rPr>
      </w:pPr>
      <w:r w:rsidRPr="00A779B8">
        <w:rPr>
          <w:lang w:val="fr-FR"/>
        </w:rPr>
        <w:t>2.2</w:t>
      </w:r>
      <w:r w:rsidRPr="00A779B8">
        <w:rPr>
          <w:lang w:val="fr-FR"/>
        </w:rPr>
        <w:tab/>
        <w:t>À la demande du constructeur, une procédure de substitution consiste à simuler électroniquement le dysfonctionnement d</w:t>
      </w:r>
      <w:r w:rsidR="00DB4C2D">
        <w:rPr>
          <w:lang w:val="fr-FR"/>
        </w:rPr>
        <w:t>’</w:t>
      </w:r>
      <w:r w:rsidRPr="00A779B8">
        <w:rPr>
          <w:lang w:val="fr-FR"/>
        </w:rPr>
        <w:t>un ou de plusieurs composants, conformément aux prescriptions du paragraphe 6 du présent appendice.</w:t>
      </w:r>
    </w:p>
    <w:p w:rsidR="005E010E" w:rsidRPr="00A779B8" w:rsidRDefault="005E010E" w:rsidP="005E010E">
      <w:pPr>
        <w:pStyle w:val="SingleTxtG"/>
        <w:ind w:left="2268" w:hanging="1134"/>
        <w:rPr>
          <w:lang w:val="fr-FR"/>
        </w:rPr>
      </w:pPr>
      <w:r w:rsidRPr="00A779B8">
        <w:rPr>
          <w:lang w:val="fr-FR"/>
        </w:rPr>
        <w:t>2.3</w:t>
      </w:r>
      <w:r w:rsidRPr="00A779B8">
        <w:rPr>
          <w:lang w:val="fr-FR"/>
        </w:rPr>
        <w:tab/>
        <w:t>Un constructeur peut demander que la surveillance ait lieu en dehors d</w:t>
      </w:r>
      <w:r w:rsidR="00DB4C2D">
        <w:rPr>
          <w:lang w:val="fr-FR"/>
        </w:rPr>
        <w:t>’</w:t>
      </w:r>
      <w:r w:rsidRPr="00A779B8">
        <w:rPr>
          <w:lang w:val="fr-FR"/>
        </w:rPr>
        <w:t>un essai du type I s</w:t>
      </w:r>
      <w:r w:rsidR="00DB4C2D">
        <w:rPr>
          <w:lang w:val="fr-FR"/>
        </w:rPr>
        <w:t>’</w:t>
      </w:r>
      <w:r w:rsidRPr="00A779B8">
        <w:rPr>
          <w:lang w:val="fr-FR"/>
        </w:rPr>
        <w:t>il peut démontrer à l</w:t>
      </w:r>
      <w:r w:rsidR="00DB4C2D">
        <w:rPr>
          <w:lang w:val="fr-FR"/>
        </w:rPr>
        <w:t>’</w:t>
      </w:r>
      <w:r w:rsidRPr="00A779B8">
        <w:rPr>
          <w:lang w:val="fr-FR"/>
        </w:rPr>
        <w:t>autorité</w:t>
      </w:r>
      <w:r>
        <w:rPr>
          <w:lang w:val="fr-FR"/>
        </w:rPr>
        <w:t xml:space="preserve"> d</w:t>
      </w:r>
      <w:r w:rsidR="00DB4C2D">
        <w:rPr>
          <w:lang w:val="fr-FR"/>
        </w:rPr>
        <w:t>’</w:t>
      </w:r>
      <w:r>
        <w:rPr>
          <w:lang w:val="fr-FR"/>
        </w:rPr>
        <w:t>homologation de type</w:t>
      </w:r>
      <w:r w:rsidRPr="00A779B8">
        <w:rPr>
          <w:lang w:val="fr-FR"/>
        </w:rPr>
        <w:t xml:space="preserve"> que la surveillance dans les conditions rencontrées au cours du cycle d</w:t>
      </w:r>
      <w:r w:rsidR="00DB4C2D">
        <w:rPr>
          <w:lang w:val="fr-FR"/>
        </w:rPr>
        <w:t>’</w:t>
      </w:r>
      <w:r w:rsidRPr="00A779B8">
        <w:rPr>
          <w:lang w:val="fr-FR"/>
        </w:rPr>
        <w:t>essai du type I imposerait des conditions de surveillance restrictives pour un véhicule en service.</w:t>
      </w:r>
    </w:p>
    <w:p w:rsidR="005E010E" w:rsidRPr="00A779B8" w:rsidRDefault="005E010E" w:rsidP="005E010E">
      <w:pPr>
        <w:pStyle w:val="SingleTxtG"/>
        <w:keepNext/>
        <w:keepLines/>
        <w:ind w:left="2268" w:hanging="1134"/>
        <w:jc w:val="left"/>
        <w:rPr>
          <w:lang w:val="fr-FR"/>
        </w:rPr>
      </w:pPr>
      <w:r w:rsidRPr="00A779B8">
        <w:rPr>
          <w:lang w:val="fr-FR"/>
        </w:rPr>
        <w:lastRenderedPageBreak/>
        <w:t>3.</w:t>
      </w:r>
      <w:r w:rsidRPr="00A779B8">
        <w:rPr>
          <w:lang w:val="fr-FR"/>
        </w:rPr>
        <w:tab/>
        <w:t>Véhicule et carburant</w:t>
      </w:r>
    </w:p>
    <w:p w:rsidR="005E010E" w:rsidRPr="00A779B8" w:rsidRDefault="005E010E" w:rsidP="005E010E">
      <w:pPr>
        <w:pStyle w:val="SingleTxtG"/>
        <w:keepNext/>
        <w:keepLines/>
        <w:ind w:left="2268" w:hanging="1134"/>
        <w:jc w:val="left"/>
        <w:rPr>
          <w:lang w:val="fr-FR"/>
        </w:rPr>
      </w:pPr>
      <w:r w:rsidRPr="00A779B8">
        <w:rPr>
          <w:lang w:val="fr-FR"/>
        </w:rPr>
        <w:t>3.1</w:t>
      </w:r>
      <w:r w:rsidRPr="00A779B8">
        <w:rPr>
          <w:lang w:val="fr-FR"/>
        </w:rPr>
        <w:tab/>
        <w:t>Véhicule</w:t>
      </w:r>
    </w:p>
    <w:p w:rsidR="005E010E" w:rsidRPr="00A779B8" w:rsidRDefault="005E010E" w:rsidP="005E010E">
      <w:pPr>
        <w:pStyle w:val="SingleTxtG"/>
        <w:ind w:left="2268"/>
        <w:rPr>
          <w:lang w:val="fr-FR"/>
        </w:rPr>
      </w:pPr>
      <w:r w:rsidRPr="00A779B8">
        <w:rPr>
          <w:lang w:val="fr-FR"/>
        </w:rPr>
        <w:tab/>
        <w:t>Le véhicule d</w:t>
      </w:r>
      <w:r w:rsidR="00DB4C2D">
        <w:rPr>
          <w:lang w:val="fr-FR"/>
        </w:rPr>
        <w:t>’</w:t>
      </w:r>
      <w:r w:rsidRPr="00A779B8">
        <w:rPr>
          <w:lang w:val="fr-FR"/>
        </w:rPr>
        <w:t>essai doit satisfaire aux prescriptions du paragraphe 3.2 de l</w:t>
      </w:r>
      <w:r w:rsidR="00DB4C2D">
        <w:rPr>
          <w:lang w:val="fr-FR"/>
        </w:rPr>
        <w:t>’</w:t>
      </w:r>
      <w:r w:rsidRPr="00A779B8">
        <w:rPr>
          <w:lang w:val="fr-FR"/>
        </w:rPr>
        <w:t>annexe 4a du présent Règlement.</w:t>
      </w:r>
    </w:p>
    <w:p w:rsidR="005E010E" w:rsidRPr="00A779B8" w:rsidRDefault="005E010E" w:rsidP="005E010E">
      <w:pPr>
        <w:pStyle w:val="SingleTxtG"/>
        <w:keepNext/>
        <w:ind w:left="2268" w:hanging="1134"/>
        <w:jc w:val="left"/>
        <w:rPr>
          <w:lang w:val="fr-FR"/>
        </w:rPr>
      </w:pPr>
      <w:r w:rsidRPr="00A779B8">
        <w:rPr>
          <w:lang w:val="fr-FR"/>
        </w:rPr>
        <w:t>3.2</w:t>
      </w:r>
      <w:r w:rsidRPr="00A779B8">
        <w:rPr>
          <w:lang w:val="fr-FR"/>
        </w:rPr>
        <w:tab/>
        <w:t>Carburant</w:t>
      </w:r>
    </w:p>
    <w:p w:rsidR="005E010E" w:rsidRPr="00A779B8" w:rsidRDefault="005E010E" w:rsidP="005E010E">
      <w:pPr>
        <w:pStyle w:val="SingleTxtG"/>
        <w:ind w:left="2268"/>
        <w:rPr>
          <w:lang w:val="fr-FR"/>
        </w:rPr>
      </w:pPr>
      <w:r w:rsidRPr="00A779B8">
        <w:rPr>
          <w:lang w:val="fr-FR"/>
        </w:rPr>
        <w:tab/>
        <w:t>On doit utiliser pour les essais le carburant de référence dont les spécifications sont données à l</w:t>
      </w:r>
      <w:r w:rsidR="00DB4C2D">
        <w:rPr>
          <w:lang w:val="fr-FR"/>
        </w:rPr>
        <w:t>’</w:t>
      </w:r>
      <w:r w:rsidRPr="00A779B8">
        <w:rPr>
          <w:lang w:val="fr-FR"/>
        </w:rPr>
        <w:t>annexe 10 du présent Règlement pour l</w:t>
      </w:r>
      <w:r w:rsidR="00DB4C2D">
        <w:rPr>
          <w:lang w:val="fr-FR"/>
        </w:rPr>
        <w:t>’</w:t>
      </w:r>
      <w:r w:rsidRPr="00A779B8">
        <w:rPr>
          <w:lang w:val="fr-FR"/>
        </w:rPr>
        <w:t>essence et le gazole et à l</w:t>
      </w:r>
      <w:r w:rsidR="00DB4C2D">
        <w:rPr>
          <w:lang w:val="fr-FR"/>
        </w:rPr>
        <w:t>’</w:t>
      </w:r>
      <w:r w:rsidRPr="00A779B8">
        <w:rPr>
          <w:lang w:val="fr-FR"/>
        </w:rPr>
        <w:t>annexe 10a du présent Règlement pour le GPL et le GN. Le type de carburant à utiliser pour les essais de chaque mode de défaillance (voir par. 6.3 du présent appendice) peut être choisi par l</w:t>
      </w:r>
      <w:r w:rsidR="00DB4C2D">
        <w:rPr>
          <w:lang w:val="fr-FR"/>
        </w:rPr>
        <w:t>’</w:t>
      </w:r>
      <w:r w:rsidRPr="00A779B8">
        <w:rPr>
          <w:lang w:val="fr-FR"/>
        </w:rPr>
        <w:t>autorité chargée de l</w:t>
      </w:r>
      <w:r w:rsidR="00DB4C2D">
        <w:rPr>
          <w:lang w:val="fr-FR"/>
        </w:rPr>
        <w:t>’</w:t>
      </w:r>
      <w:r w:rsidRPr="00A779B8">
        <w:rPr>
          <w:lang w:val="fr-FR"/>
        </w:rPr>
        <w:t>homologation parmi les carburants de référence spécifiés à l</w:t>
      </w:r>
      <w:r w:rsidR="00DB4C2D">
        <w:rPr>
          <w:lang w:val="fr-FR"/>
        </w:rPr>
        <w:t>’</w:t>
      </w:r>
      <w:r w:rsidRPr="00A779B8">
        <w:rPr>
          <w:lang w:val="fr-FR"/>
        </w:rPr>
        <w:t xml:space="preserve">annexe 10a pour les véhicules à </w:t>
      </w:r>
      <w:proofErr w:type="spellStart"/>
      <w:r w:rsidRPr="00A779B8">
        <w:rPr>
          <w:lang w:val="fr-FR"/>
        </w:rPr>
        <w:t>monocarburation</w:t>
      </w:r>
      <w:proofErr w:type="spellEnd"/>
      <w:r w:rsidRPr="00A779B8">
        <w:rPr>
          <w:lang w:val="fr-FR"/>
        </w:rPr>
        <w:t xml:space="preserve"> et parmi les carburants de référence spécifiés à l</w:t>
      </w:r>
      <w:r w:rsidR="00DB4C2D">
        <w:rPr>
          <w:lang w:val="fr-FR"/>
        </w:rPr>
        <w:t>’</w:t>
      </w:r>
      <w:r w:rsidRPr="00A779B8">
        <w:rPr>
          <w:lang w:val="fr-FR"/>
        </w:rPr>
        <w:t>annexe 10 ou à l</w:t>
      </w:r>
      <w:r w:rsidR="00DB4C2D">
        <w:rPr>
          <w:lang w:val="fr-FR"/>
        </w:rPr>
        <w:t>’</w:t>
      </w:r>
      <w:r w:rsidRPr="00A779B8">
        <w:rPr>
          <w:lang w:val="fr-FR"/>
        </w:rPr>
        <w:t>annexe 10a pour les véhicules à bicarburation. Aucun changement de type de carburant ne doit intervenir au cours de l</w:t>
      </w:r>
      <w:r w:rsidR="00DB4C2D">
        <w:rPr>
          <w:lang w:val="fr-FR"/>
        </w:rPr>
        <w:t>’</w:t>
      </w:r>
      <w:r w:rsidRPr="00A779B8">
        <w:rPr>
          <w:lang w:val="fr-FR"/>
        </w:rPr>
        <w:t>une des phases d</w:t>
      </w:r>
      <w:r w:rsidR="00DB4C2D">
        <w:rPr>
          <w:lang w:val="fr-FR"/>
        </w:rPr>
        <w:t>’</w:t>
      </w:r>
      <w:r w:rsidRPr="00A779B8">
        <w:rPr>
          <w:lang w:val="fr-FR"/>
        </w:rPr>
        <w:t>essai (voir par. 2.1 à 2.3 du présent appendice). Dans le cas d</w:t>
      </w:r>
      <w:r w:rsidR="00DB4C2D">
        <w:rPr>
          <w:lang w:val="fr-FR"/>
        </w:rPr>
        <w:t>’</w:t>
      </w:r>
      <w:r w:rsidRPr="00A779B8">
        <w:rPr>
          <w:lang w:val="fr-FR"/>
        </w:rPr>
        <w:t>un moteur fonctionnant au GPL ou au GN/</w:t>
      </w:r>
      <w:proofErr w:type="spellStart"/>
      <w:r w:rsidRPr="00A779B8">
        <w:rPr>
          <w:lang w:val="fr-FR"/>
        </w:rPr>
        <w:t>biométhane</w:t>
      </w:r>
      <w:proofErr w:type="spellEnd"/>
      <w:r w:rsidRPr="00A779B8">
        <w:rPr>
          <w:lang w:val="fr-FR"/>
        </w:rPr>
        <w:t>, il est possible de démarrer le moteur à l</w:t>
      </w:r>
      <w:r w:rsidR="00DB4C2D">
        <w:rPr>
          <w:lang w:val="fr-FR"/>
        </w:rPr>
        <w:t>’</w:t>
      </w:r>
      <w:r w:rsidRPr="00A779B8">
        <w:rPr>
          <w:lang w:val="fr-FR"/>
        </w:rPr>
        <w:t>essence et de passer au GPL ou au GN/</w:t>
      </w:r>
      <w:proofErr w:type="spellStart"/>
      <w:r w:rsidRPr="00A779B8">
        <w:rPr>
          <w:lang w:val="fr-FR"/>
        </w:rPr>
        <w:t>biométhane</w:t>
      </w:r>
      <w:proofErr w:type="spellEnd"/>
      <w:r w:rsidRPr="00A779B8">
        <w:rPr>
          <w:lang w:val="fr-FR"/>
        </w:rPr>
        <w:t xml:space="preserve"> après un temps prédéterminé automatiquement que le conducteur ne peut modifier.</w:t>
      </w:r>
    </w:p>
    <w:p w:rsidR="005E010E" w:rsidRPr="00A779B8" w:rsidRDefault="005E010E" w:rsidP="005E010E">
      <w:pPr>
        <w:pStyle w:val="SingleTxtG"/>
        <w:keepNext/>
        <w:ind w:left="2268" w:hanging="1134"/>
        <w:jc w:val="left"/>
        <w:rPr>
          <w:lang w:val="fr-FR"/>
        </w:rPr>
      </w:pPr>
      <w:r w:rsidRPr="00A779B8">
        <w:rPr>
          <w:lang w:val="fr-FR"/>
        </w:rPr>
        <w:t>4.</w:t>
      </w:r>
      <w:r w:rsidRPr="00A779B8">
        <w:rPr>
          <w:lang w:val="fr-FR"/>
        </w:rPr>
        <w:tab/>
        <w:t>Conditions de température et de pression</w:t>
      </w:r>
    </w:p>
    <w:p w:rsidR="005E010E" w:rsidRPr="00A779B8" w:rsidRDefault="005E010E" w:rsidP="005E010E">
      <w:pPr>
        <w:pStyle w:val="SingleTxtG"/>
        <w:ind w:left="2268" w:hanging="1134"/>
        <w:rPr>
          <w:lang w:val="fr-FR"/>
        </w:rPr>
      </w:pPr>
      <w:r w:rsidRPr="00A779B8">
        <w:rPr>
          <w:lang w:val="fr-FR"/>
        </w:rPr>
        <w:t>4.1</w:t>
      </w:r>
      <w:r w:rsidRPr="00A779B8">
        <w:rPr>
          <w:lang w:val="fr-FR"/>
        </w:rPr>
        <w:tab/>
        <w:t>La température et la pression lors de l</w:t>
      </w:r>
      <w:r w:rsidR="00DB4C2D">
        <w:rPr>
          <w:lang w:val="fr-FR"/>
        </w:rPr>
        <w:t>’</w:t>
      </w:r>
      <w:r w:rsidRPr="00A779B8">
        <w:rPr>
          <w:lang w:val="fr-FR"/>
        </w:rPr>
        <w:t>essai doivent être conformes aux prescriptions applicables à l</w:t>
      </w:r>
      <w:r w:rsidR="00DB4C2D">
        <w:rPr>
          <w:lang w:val="fr-FR"/>
        </w:rPr>
        <w:t>’</w:t>
      </w:r>
      <w:r w:rsidRPr="00A779B8">
        <w:rPr>
          <w:lang w:val="fr-FR"/>
        </w:rPr>
        <w:t>essai du type I, décrites au paragraphe 3.1 de l</w:t>
      </w:r>
      <w:r w:rsidR="00DB4C2D">
        <w:rPr>
          <w:lang w:val="fr-FR"/>
        </w:rPr>
        <w:t>’</w:t>
      </w:r>
      <w:r w:rsidRPr="00A779B8">
        <w:rPr>
          <w:lang w:val="fr-FR"/>
        </w:rPr>
        <w:t>annexe 4a du présent Règlement.</w:t>
      </w:r>
    </w:p>
    <w:p w:rsidR="005E010E" w:rsidRPr="00A779B8" w:rsidRDefault="005E010E" w:rsidP="005E010E">
      <w:pPr>
        <w:pStyle w:val="SingleTxtG"/>
        <w:keepNext/>
        <w:ind w:left="2268" w:hanging="1134"/>
        <w:jc w:val="left"/>
        <w:rPr>
          <w:lang w:val="fr-FR"/>
        </w:rPr>
      </w:pPr>
      <w:r w:rsidRPr="00A779B8">
        <w:rPr>
          <w:lang w:val="fr-FR"/>
        </w:rPr>
        <w:t>5.</w:t>
      </w:r>
      <w:r w:rsidRPr="00A779B8">
        <w:rPr>
          <w:lang w:val="fr-FR"/>
        </w:rPr>
        <w:tab/>
        <w:t>Appareillage d</w:t>
      </w:r>
      <w:r w:rsidR="00DB4C2D">
        <w:rPr>
          <w:lang w:val="fr-FR"/>
        </w:rPr>
        <w:t>’</w:t>
      </w:r>
      <w:r w:rsidRPr="00A779B8">
        <w:rPr>
          <w:lang w:val="fr-FR"/>
        </w:rPr>
        <w:t>essai</w:t>
      </w:r>
    </w:p>
    <w:p w:rsidR="005E010E" w:rsidRPr="00A779B8" w:rsidRDefault="005E010E" w:rsidP="005E010E">
      <w:pPr>
        <w:pStyle w:val="SingleTxtG"/>
        <w:keepNext/>
        <w:ind w:left="2268" w:hanging="1134"/>
        <w:jc w:val="left"/>
        <w:rPr>
          <w:lang w:val="fr-FR"/>
        </w:rPr>
      </w:pPr>
      <w:r w:rsidRPr="00A779B8">
        <w:rPr>
          <w:lang w:val="fr-FR"/>
        </w:rPr>
        <w:t>5.1</w:t>
      </w:r>
      <w:r w:rsidRPr="00A779B8">
        <w:rPr>
          <w:lang w:val="fr-FR"/>
        </w:rPr>
        <w:tab/>
        <w:t>Banc à rouleaux</w:t>
      </w:r>
    </w:p>
    <w:p w:rsidR="005E010E" w:rsidRPr="00A779B8" w:rsidRDefault="005E010E" w:rsidP="005E010E">
      <w:pPr>
        <w:pStyle w:val="SingleTxtG"/>
        <w:ind w:left="2268"/>
        <w:rPr>
          <w:lang w:val="fr-FR"/>
        </w:rPr>
      </w:pPr>
      <w:r w:rsidRPr="00A779B8">
        <w:rPr>
          <w:lang w:val="fr-FR"/>
        </w:rPr>
        <w:tab/>
        <w:t>Le banc doit satisfaire aux prescriptions de l</w:t>
      </w:r>
      <w:r w:rsidR="00DB4C2D">
        <w:rPr>
          <w:lang w:val="fr-FR"/>
        </w:rPr>
        <w:t>’</w:t>
      </w:r>
      <w:r w:rsidRPr="00A779B8">
        <w:rPr>
          <w:lang w:val="fr-FR"/>
        </w:rPr>
        <w:t>appendice 1 de l</w:t>
      </w:r>
      <w:r w:rsidR="00DB4C2D">
        <w:rPr>
          <w:lang w:val="fr-FR"/>
        </w:rPr>
        <w:t>’</w:t>
      </w:r>
      <w:r w:rsidRPr="00A779B8">
        <w:rPr>
          <w:lang w:val="fr-FR"/>
        </w:rPr>
        <w:t>annexe 4a du présent Règlement.</w:t>
      </w:r>
    </w:p>
    <w:p w:rsidR="005E010E" w:rsidRPr="00A779B8" w:rsidRDefault="005E010E" w:rsidP="005E010E">
      <w:pPr>
        <w:pStyle w:val="SingleTxtG"/>
        <w:keepNext/>
        <w:ind w:left="2268" w:hanging="1134"/>
        <w:jc w:val="left"/>
        <w:rPr>
          <w:lang w:val="fr-FR"/>
        </w:rPr>
      </w:pPr>
      <w:r w:rsidRPr="00A779B8">
        <w:rPr>
          <w:lang w:val="fr-FR"/>
        </w:rPr>
        <w:t>6.</w:t>
      </w:r>
      <w:r w:rsidRPr="00A779B8">
        <w:rPr>
          <w:lang w:val="fr-FR"/>
        </w:rPr>
        <w:tab/>
        <w:t>Procédure d</w:t>
      </w:r>
      <w:r w:rsidR="00DB4C2D">
        <w:rPr>
          <w:lang w:val="fr-FR"/>
        </w:rPr>
        <w:t>’</w:t>
      </w:r>
      <w:r w:rsidRPr="00A779B8">
        <w:rPr>
          <w:lang w:val="fr-FR"/>
        </w:rPr>
        <w:t>essai du système OBD</w:t>
      </w:r>
    </w:p>
    <w:p w:rsidR="005E010E" w:rsidRPr="00A779B8" w:rsidRDefault="005E010E" w:rsidP="005E010E">
      <w:pPr>
        <w:pStyle w:val="SingleTxtG"/>
        <w:ind w:left="2268" w:hanging="1134"/>
        <w:rPr>
          <w:lang w:val="fr-FR"/>
        </w:rPr>
      </w:pPr>
      <w:r w:rsidRPr="00A779B8">
        <w:rPr>
          <w:lang w:val="fr-FR"/>
        </w:rPr>
        <w:t>6.1</w:t>
      </w:r>
      <w:r w:rsidRPr="00A779B8">
        <w:rPr>
          <w:lang w:val="fr-FR"/>
        </w:rPr>
        <w:tab/>
        <w:t>Le cycle d</w:t>
      </w:r>
      <w:r w:rsidR="00DB4C2D">
        <w:rPr>
          <w:lang w:val="fr-FR"/>
        </w:rPr>
        <w:t>’</w:t>
      </w:r>
      <w:r w:rsidRPr="00A779B8">
        <w:rPr>
          <w:lang w:val="fr-FR"/>
        </w:rPr>
        <w:t>opérations sur le banc à rouleaux doit être conforme aux prescriptions de l</w:t>
      </w:r>
      <w:r w:rsidR="00DB4C2D">
        <w:rPr>
          <w:lang w:val="fr-FR"/>
        </w:rPr>
        <w:t>’</w:t>
      </w:r>
      <w:r w:rsidRPr="00A779B8">
        <w:rPr>
          <w:lang w:val="fr-FR"/>
        </w:rPr>
        <w:t>annexe 4a du présent Règlement.</w:t>
      </w:r>
    </w:p>
    <w:p w:rsidR="005E010E" w:rsidRPr="00A779B8" w:rsidRDefault="005E010E" w:rsidP="005E010E">
      <w:pPr>
        <w:pStyle w:val="SingleTxtG"/>
        <w:keepNext/>
        <w:ind w:left="2268" w:hanging="1134"/>
        <w:jc w:val="left"/>
        <w:rPr>
          <w:lang w:val="fr-FR"/>
        </w:rPr>
      </w:pPr>
      <w:r w:rsidRPr="00A779B8">
        <w:rPr>
          <w:lang w:val="fr-FR"/>
        </w:rPr>
        <w:t>6.2</w:t>
      </w:r>
      <w:r w:rsidRPr="00A779B8">
        <w:rPr>
          <w:lang w:val="fr-FR"/>
        </w:rPr>
        <w:tab/>
      </w:r>
      <w:proofErr w:type="spellStart"/>
      <w:r w:rsidRPr="00A779B8">
        <w:rPr>
          <w:lang w:val="fr-FR"/>
        </w:rPr>
        <w:t>Préconditionnement</w:t>
      </w:r>
      <w:proofErr w:type="spellEnd"/>
      <w:r w:rsidRPr="00A779B8">
        <w:rPr>
          <w:lang w:val="fr-FR"/>
        </w:rPr>
        <w:t xml:space="preserve"> du véhicule</w:t>
      </w:r>
    </w:p>
    <w:p w:rsidR="005E010E" w:rsidRPr="00A779B8" w:rsidRDefault="005E010E" w:rsidP="005E010E">
      <w:pPr>
        <w:pStyle w:val="SingleTxtG"/>
        <w:ind w:left="2268" w:hanging="1134"/>
        <w:rPr>
          <w:lang w:val="fr-FR"/>
        </w:rPr>
      </w:pPr>
      <w:r w:rsidRPr="00A779B8">
        <w:rPr>
          <w:lang w:val="fr-FR"/>
        </w:rPr>
        <w:t>6.2.1</w:t>
      </w:r>
      <w:r w:rsidRPr="00A779B8">
        <w:rPr>
          <w:lang w:val="fr-FR"/>
        </w:rPr>
        <w:tab/>
        <w:t>En fonction du type de moteur, et après l</w:t>
      </w:r>
      <w:r w:rsidR="00DB4C2D">
        <w:rPr>
          <w:lang w:val="fr-FR"/>
        </w:rPr>
        <w:t>’</w:t>
      </w:r>
      <w:r w:rsidRPr="00A779B8">
        <w:rPr>
          <w:lang w:val="fr-FR"/>
        </w:rPr>
        <w:t>introduction d</w:t>
      </w:r>
      <w:r w:rsidR="00DB4C2D">
        <w:rPr>
          <w:lang w:val="fr-FR"/>
        </w:rPr>
        <w:t>’</w:t>
      </w:r>
      <w:r w:rsidRPr="00A779B8">
        <w:rPr>
          <w:lang w:val="fr-FR"/>
        </w:rPr>
        <w:t xml:space="preserve">un des modes de défaillance indiqués au paragraphe 6.3 du présent appendice, le véhicule doit être </w:t>
      </w:r>
      <w:proofErr w:type="spellStart"/>
      <w:r w:rsidRPr="00A779B8">
        <w:rPr>
          <w:lang w:val="fr-FR"/>
        </w:rPr>
        <w:t>préconditionné</w:t>
      </w:r>
      <w:proofErr w:type="spellEnd"/>
      <w:r w:rsidRPr="00A779B8">
        <w:rPr>
          <w:lang w:val="fr-FR"/>
        </w:rPr>
        <w:t xml:space="preserve"> en subissant au moins deux essais du type I consécutifs (première et seconde parties). Pour les véhicules équipés d</w:t>
      </w:r>
      <w:r w:rsidR="00DB4C2D">
        <w:rPr>
          <w:lang w:val="fr-FR"/>
        </w:rPr>
        <w:t>’</w:t>
      </w:r>
      <w:r w:rsidRPr="00A779B8">
        <w:rPr>
          <w:lang w:val="fr-FR"/>
        </w:rPr>
        <w:t xml:space="preserve">un moteur à allumage par compression, un </w:t>
      </w:r>
      <w:proofErr w:type="spellStart"/>
      <w:r w:rsidRPr="00A779B8">
        <w:rPr>
          <w:lang w:val="fr-FR"/>
        </w:rPr>
        <w:t>préconditionnement</w:t>
      </w:r>
      <w:proofErr w:type="spellEnd"/>
      <w:r w:rsidRPr="00A779B8">
        <w:rPr>
          <w:lang w:val="fr-FR"/>
        </w:rPr>
        <w:t xml:space="preserve"> supplémentaire consistant en deux cycles «seconde partie» est autorisé.</w:t>
      </w:r>
    </w:p>
    <w:p w:rsidR="005E010E" w:rsidRPr="00A779B8" w:rsidRDefault="005E010E" w:rsidP="005E010E">
      <w:pPr>
        <w:pStyle w:val="SingleTxtG"/>
        <w:ind w:left="2268" w:hanging="1134"/>
        <w:rPr>
          <w:lang w:val="fr-FR"/>
        </w:rPr>
      </w:pPr>
      <w:r w:rsidRPr="00A779B8">
        <w:rPr>
          <w:lang w:val="fr-FR"/>
        </w:rPr>
        <w:t>6.2.2</w:t>
      </w:r>
      <w:r w:rsidRPr="00A779B8">
        <w:rPr>
          <w:lang w:val="fr-FR"/>
        </w:rPr>
        <w:tab/>
        <w:t>À la demande du constructeur, d</w:t>
      </w:r>
      <w:r w:rsidR="00DB4C2D">
        <w:rPr>
          <w:lang w:val="fr-FR"/>
        </w:rPr>
        <w:t>’</w:t>
      </w:r>
      <w:r w:rsidRPr="00A779B8">
        <w:rPr>
          <w:lang w:val="fr-FR"/>
        </w:rPr>
        <w:t xml:space="preserve">autres méthodes de </w:t>
      </w:r>
      <w:proofErr w:type="spellStart"/>
      <w:r w:rsidRPr="00A779B8">
        <w:rPr>
          <w:lang w:val="fr-FR"/>
        </w:rPr>
        <w:t>préconditionnement</w:t>
      </w:r>
      <w:proofErr w:type="spellEnd"/>
      <w:r w:rsidRPr="00A779B8">
        <w:rPr>
          <w:lang w:val="fr-FR"/>
        </w:rPr>
        <w:t xml:space="preserve"> peuvent être utilisées.</w:t>
      </w:r>
    </w:p>
    <w:p w:rsidR="005E010E" w:rsidRPr="00A779B8" w:rsidRDefault="005E010E" w:rsidP="005E010E">
      <w:pPr>
        <w:pStyle w:val="SingleTxtG"/>
        <w:keepNext/>
        <w:ind w:left="2268" w:hanging="1134"/>
        <w:jc w:val="left"/>
        <w:rPr>
          <w:lang w:val="fr-FR"/>
        </w:rPr>
      </w:pPr>
      <w:r w:rsidRPr="00A779B8">
        <w:rPr>
          <w:lang w:val="fr-FR"/>
        </w:rPr>
        <w:t>6.3</w:t>
      </w:r>
      <w:r w:rsidRPr="00A779B8">
        <w:rPr>
          <w:lang w:val="fr-FR"/>
        </w:rPr>
        <w:tab/>
        <w:t>Types de défaillance devant faire l</w:t>
      </w:r>
      <w:r w:rsidR="00DB4C2D">
        <w:rPr>
          <w:lang w:val="fr-FR"/>
        </w:rPr>
        <w:t>’</w:t>
      </w:r>
      <w:r w:rsidRPr="00A779B8">
        <w:rPr>
          <w:lang w:val="fr-FR"/>
        </w:rPr>
        <w:t>objet d</w:t>
      </w:r>
      <w:r w:rsidR="00DB4C2D">
        <w:rPr>
          <w:lang w:val="fr-FR"/>
        </w:rPr>
        <w:t>’</w:t>
      </w:r>
      <w:r w:rsidRPr="00A779B8">
        <w:rPr>
          <w:lang w:val="fr-FR"/>
        </w:rPr>
        <w:t>essais</w:t>
      </w:r>
    </w:p>
    <w:p w:rsidR="005E010E" w:rsidRPr="00A779B8" w:rsidRDefault="005E010E" w:rsidP="005E010E">
      <w:pPr>
        <w:pStyle w:val="SingleTxtG"/>
        <w:keepNext/>
        <w:ind w:left="2268" w:hanging="1134"/>
        <w:jc w:val="left"/>
        <w:rPr>
          <w:lang w:val="fr-FR"/>
        </w:rPr>
      </w:pPr>
      <w:r w:rsidRPr="00A779B8">
        <w:rPr>
          <w:lang w:val="fr-FR"/>
        </w:rPr>
        <w:t>6.3.1</w:t>
      </w:r>
      <w:r w:rsidRPr="00A779B8">
        <w:rPr>
          <w:lang w:val="fr-FR"/>
        </w:rPr>
        <w:tab/>
        <w:t>Véhicules équipés d</w:t>
      </w:r>
      <w:r w:rsidR="00DB4C2D">
        <w:rPr>
          <w:lang w:val="fr-FR"/>
        </w:rPr>
        <w:t>’</w:t>
      </w:r>
      <w:r w:rsidRPr="00A779B8">
        <w:rPr>
          <w:lang w:val="fr-FR"/>
        </w:rPr>
        <w:t>un moteur à allumage commandé</w:t>
      </w:r>
    </w:p>
    <w:p w:rsidR="005E010E" w:rsidRPr="00A779B8" w:rsidRDefault="005E010E" w:rsidP="005E010E">
      <w:pPr>
        <w:pStyle w:val="SingleTxtG"/>
        <w:ind w:left="2268" w:hanging="1134"/>
        <w:rPr>
          <w:lang w:val="fr-FR"/>
        </w:rPr>
      </w:pPr>
      <w:r w:rsidRPr="00A779B8">
        <w:rPr>
          <w:lang w:val="fr-FR"/>
        </w:rPr>
        <w:t>6.3.1.1</w:t>
      </w:r>
      <w:r w:rsidRPr="00A779B8">
        <w:rPr>
          <w:lang w:val="fr-FR"/>
        </w:rPr>
        <w:tab/>
        <w:t>Remplacement du catalyseur par un catalyseur détérioré ou défectueux, ou simulation électronique d</w:t>
      </w:r>
      <w:r w:rsidR="00DB4C2D">
        <w:rPr>
          <w:lang w:val="fr-FR"/>
        </w:rPr>
        <w:t>’</w:t>
      </w:r>
      <w:r w:rsidRPr="00A779B8">
        <w:rPr>
          <w:lang w:val="fr-FR"/>
        </w:rPr>
        <w:t>une telle défaillance.</w:t>
      </w:r>
    </w:p>
    <w:p w:rsidR="005E010E" w:rsidRPr="00A779B8" w:rsidRDefault="005E010E" w:rsidP="005E010E">
      <w:pPr>
        <w:pStyle w:val="SingleTxtG"/>
        <w:ind w:left="2268" w:hanging="1134"/>
        <w:rPr>
          <w:lang w:val="fr-FR"/>
        </w:rPr>
      </w:pPr>
      <w:r w:rsidRPr="00A779B8">
        <w:rPr>
          <w:lang w:val="fr-FR"/>
        </w:rPr>
        <w:lastRenderedPageBreak/>
        <w:t>6.3.1.2</w:t>
      </w:r>
      <w:r w:rsidRPr="00A779B8">
        <w:rPr>
          <w:lang w:val="fr-FR"/>
        </w:rPr>
        <w:tab/>
        <w:t>Conditions de ratés d</w:t>
      </w:r>
      <w:r w:rsidR="00DB4C2D">
        <w:rPr>
          <w:lang w:val="fr-FR"/>
        </w:rPr>
        <w:t>’</w:t>
      </w:r>
      <w:r w:rsidRPr="00A779B8">
        <w:rPr>
          <w:lang w:val="fr-FR"/>
        </w:rPr>
        <w:t>allumage du moteur correspondant aux conditions de surveillance des ratés indiquées au paragraphe 3.3.3.2 de l</w:t>
      </w:r>
      <w:r w:rsidR="00DB4C2D">
        <w:rPr>
          <w:lang w:val="fr-FR"/>
        </w:rPr>
        <w:t>’</w:t>
      </w:r>
      <w:r w:rsidRPr="00A779B8">
        <w:rPr>
          <w:lang w:val="fr-FR"/>
        </w:rPr>
        <w:t>annexe 11 du présent Règlement.</w:t>
      </w:r>
    </w:p>
    <w:p w:rsidR="005E010E" w:rsidRPr="00A779B8" w:rsidRDefault="005E010E" w:rsidP="005E010E">
      <w:pPr>
        <w:pStyle w:val="SingleTxtG"/>
        <w:ind w:left="2268" w:hanging="1134"/>
        <w:rPr>
          <w:lang w:val="fr-FR"/>
        </w:rPr>
      </w:pPr>
      <w:r w:rsidRPr="00A779B8">
        <w:rPr>
          <w:lang w:val="fr-FR"/>
        </w:rPr>
        <w:t>6.3.1.3</w:t>
      </w:r>
      <w:r w:rsidRPr="00A779B8">
        <w:rPr>
          <w:lang w:val="fr-FR"/>
        </w:rPr>
        <w:tab/>
        <w:t>Remplacement de la sonde Lambda par une sonde détériorée ou défectueuse, ou simulation électronique d</w:t>
      </w:r>
      <w:r w:rsidR="00DB4C2D">
        <w:rPr>
          <w:lang w:val="fr-FR"/>
        </w:rPr>
        <w:t>’</w:t>
      </w:r>
      <w:r w:rsidRPr="00A779B8">
        <w:rPr>
          <w:lang w:val="fr-FR"/>
        </w:rPr>
        <w:t>une telle défaillance.</w:t>
      </w:r>
    </w:p>
    <w:p w:rsidR="005E010E" w:rsidRPr="00A779B8" w:rsidRDefault="005E010E" w:rsidP="005E010E">
      <w:pPr>
        <w:pStyle w:val="SingleTxtG"/>
        <w:ind w:left="2268" w:hanging="1134"/>
        <w:rPr>
          <w:lang w:val="fr-FR"/>
        </w:rPr>
      </w:pPr>
      <w:r w:rsidRPr="00A779B8">
        <w:rPr>
          <w:lang w:val="fr-FR"/>
        </w:rPr>
        <w:t>6.3.1.4</w:t>
      </w:r>
      <w:r w:rsidRPr="00A779B8">
        <w:rPr>
          <w:lang w:val="fr-FR"/>
        </w:rPr>
        <w:tab/>
        <w:t>Déconnexion électrique de tout autre composant relatif aux émissions connecté à un ordinateur de gestion du groupe motopropulseur (s</w:t>
      </w:r>
      <w:r w:rsidR="00DB4C2D">
        <w:rPr>
          <w:lang w:val="fr-FR"/>
        </w:rPr>
        <w:t>’</w:t>
      </w:r>
      <w:r w:rsidRPr="00A779B8">
        <w:rPr>
          <w:lang w:val="fr-FR"/>
        </w:rPr>
        <w:t>il est activé pour le type de carburant sélectionné).</w:t>
      </w:r>
    </w:p>
    <w:p w:rsidR="005E010E" w:rsidRPr="00A779B8" w:rsidRDefault="005E010E" w:rsidP="005E010E">
      <w:pPr>
        <w:pStyle w:val="SingleTxtG"/>
        <w:ind w:left="2268" w:hanging="1134"/>
        <w:rPr>
          <w:lang w:val="fr-FR"/>
        </w:rPr>
      </w:pPr>
      <w:r w:rsidRPr="00A779B8">
        <w:rPr>
          <w:lang w:val="fr-FR"/>
        </w:rPr>
        <w:t>6.3.1.5</w:t>
      </w:r>
      <w:r w:rsidRPr="00A779B8">
        <w:rPr>
          <w:lang w:val="fr-FR"/>
        </w:rPr>
        <w:tab/>
        <w:t>Débranchement du dispositif électronique de commande de purge par évaporation (si le véhicule en est équipé et s</w:t>
      </w:r>
      <w:r w:rsidR="00DB4C2D">
        <w:rPr>
          <w:lang w:val="fr-FR"/>
        </w:rPr>
        <w:t>’</w:t>
      </w:r>
      <w:r w:rsidRPr="00A779B8">
        <w:rPr>
          <w:lang w:val="fr-FR"/>
        </w:rPr>
        <w:t>il est activé pour le type de carburant sélectionné). Il n</w:t>
      </w:r>
      <w:r w:rsidR="00DB4C2D">
        <w:rPr>
          <w:lang w:val="fr-FR"/>
        </w:rPr>
        <w:t>’</w:t>
      </w:r>
      <w:r w:rsidRPr="00A779B8">
        <w:rPr>
          <w:lang w:val="fr-FR"/>
        </w:rPr>
        <w:t>est pas nécessaire d</w:t>
      </w:r>
      <w:r w:rsidR="00DB4C2D">
        <w:rPr>
          <w:lang w:val="fr-FR"/>
        </w:rPr>
        <w:t>’</w:t>
      </w:r>
      <w:r w:rsidRPr="00A779B8">
        <w:rPr>
          <w:lang w:val="fr-FR"/>
        </w:rPr>
        <w:t>effectuer l</w:t>
      </w:r>
      <w:r w:rsidR="00DB4C2D">
        <w:rPr>
          <w:lang w:val="fr-FR"/>
        </w:rPr>
        <w:t>’</w:t>
      </w:r>
      <w:r w:rsidRPr="00A779B8">
        <w:rPr>
          <w:lang w:val="fr-FR"/>
        </w:rPr>
        <w:t>essai du type I pour ce mode de défaillance particulier.</w:t>
      </w:r>
    </w:p>
    <w:p w:rsidR="005E010E" w:rsidRPr="00A779B8" w:rsidRDefault="005E010E" w:rsidP="005E010E">
      <w:pPr>
        <w:pStyle w:val="SingleTxtG"/>
        <w:keepNext/>
        <w:ind w:left="2268" w:hanging="1134"/>
        <w:jc w:val="left"/>
        <w:rPr>
          <w:lang w:val="fr-FR"/>
        </w:rPr>
      </w:pPr>
      <w:r w:rsidRPr="00A779B8">
        <w:rPr>
          <w:lang w:val="fr-FR"/>
        </w:rPr>
        <w:t>6.3.2</w:t>
      </w:r>
      <w:r w:rsidRPr="00A779B8">
        <w:rPr>
          <w:lang w:val="fr-FR"/>
        </w:rPr>
        <w:tab/>
        <w:t>Véhicules équipés d</w:t>
      </w:r>
      <w:r w:rsidR="00DB4C2D">
        <w:rPr>
          <w:lang w:val="fr-FR"/>
        </w:rPr>
        <w:t>’</w:t>
      </w:r>
      <w:r w:rsidRPr="00A779B8">
        <w:rPr>
          <w:lang w:val="fr-FR"/>
        </w:rPr>
        <w:t>un moteur à allumage par compression:</w:t>
      </w:r>
    </w:p>
    <w:p w:rsidR="005E010E" w:rsidRPr="00A779B8" w:rsidRDefault="005E010E" w:rsidP="005E010E">
      <w:pPr>
        <w:pStyle w:val="SingleTxtG"/>
        <w:ind w:left="2268" w:hanging="1134"/>
        <w:rPr>
          <w:lang w:val="fr-FR"/>
        </w:rPr>
      </w:pPr>
      <w:r w:rsidRPr="00A779B8">
        <w:rPr>
          <w:lang w:val="fr-FR"/>
        </w:rPr>
        <w:t>6.3.2.1</w:t>
      </w:r>
      <w:r w:rsidRPr="00A779B8">
        <w:rPr>
          <w:lang w:val="fr-FR"/>
        </w:rPr>
        <w:tab/>
        <w:t>Lorsque le véhicule en est équipé, remplacement du catalyseur par un catalyseur détérioré ou défectueux, ou simulation électronique d</w:t>
      </w:r>
      <w:r w:rsidR="00DB4C2D">
        <w:rPr>
          <w:lang w:val="fr-FR"/>
        </w:rPr>
        <w:t>’</w:t>
      </w:r>
      <w:r w:rsidRPr="00A779B8">
        <w:rPr>
          <w:lang w:val="fr-FR"/>
        </w:rPr>
        <w:t>une telle défaillance.</w:t>
      </w:r>
    </w:p>
    <w:p w:rsidR="005E010E" w:rsidRPr="00A779B8" w:rsidRDefault="005E010E" w:rsidP="005E010E">
      <w:pPr>
        <w:pStyle w:val="SingleTxtG"/>
        <w:ind w:left="2268" w:hanging="1134"/>
        <w:rPr>
          <w:lang w:val="fr-FR"/>
        </w:rPr>
      </w:pPr>
      <w:r w:rsidRPr="00A779B8">
        <w:rPr>
          <w:lang w:val="fr-FR"/>
        </w:rPr>
        <w:t>6.3.2.2</w:t>
      </w:r>
      <w:r w:rsidRPr="00A779B8">
        <w:rPr>
          <w:lang w:val="fr-FR"/>
        </w:rPr>
        <w:tab/>
        <w:t>Lorsque le véhicule en est équipé, suppression totale du filtre à particules ou, lorsque les capteurs font partie intégrante de celui-ci, montage d</w:t>
      </w:r>
      <w:r w:rsidR="00DB4C2D">
        <w:rPr>
          <w:lang w:val="fr-FR"/>
        </w:rPr>
        <w:t>’</w:t>
      </w:r>
      <w:r w:rsidRPr="00A779B8">
        <w:rPr>
          <w:lang w:val="fr-FR"/>
        </w:rPr>
        <w:t>un filtre à particule défectueux.</w:t>
      </w:r>
    </w:p>
    <w:p w:rsidR="005E010E" w:rsidRPr="00A779B8" w:rsidRDefault="005E010E" w:rsidP="005E010E">
      <w:pPr>
        <w:pStyle w:val="SingleTxtG"/>
        <w:ind w:left="2268" w:hanging="1134"/>
        <w:rPr>
          <w:lang w:val="fr-FR"/>
        </w:rPr>
      </w:pPr>
      <w:r w:rsidRPr="00A779B8">
        <w:rPr>
          <w:lang w:val="fr-FR"/>
        </w:rPr>
        <w:t>6.3.2.3</w:t>
      </w:r>
      <w:r w:rsidRPr="00A779B8">
        <w:rPr>
          <w:lang w:val="fr-FR"/>
        </w:rPr>
        <w:tab/>
        <w:t>Déconnexion électrique de tout actuateur électronique de réglage du débit du carburant et de calage de pompe dans le système d</w:t>
      </w:r>
      <w:r w:rsidR="00DB4C2D">
        <w:rPr>
          <w:lang w:val="fr-FR"/>
        </w:rPr>
        <w:t>’</w:t>
      </w:r>
      <w:r w:rsidRPr="00A779B8">
        <w:rPr>
          <w:lang w:val="fr-FR"/>
        </w:rPr>
        <w:t>alimentation.</w:t>
      </w:r>
    </w:p>
    <w:p w:rsidR="005E010E" w:rsidRPr="00A779B8" w:rsidRDefault="005E010E" w:rsidP="005E010E">
      <w:pPr>
        <w:pStyle w:val="SingleTxtG"/>
        <w:ind w:left="2268" w:hanging="1134"/>
        <w:rPr>
          <w:lang w:val="fr-FR"/>
        </w:rPr>
      </w:pPr>
      <w:r w:rsidRPr="00A779B8">
        <w:rPr>
          <w:lang w:val="fr-FR"/>
        </w:rPr>
        <w:t>6.3.2.4</w:t>
      </w:r>
      <w:r w:rsidRPr="00A779B8">
        <w:rPr>
          <w:lang w:val="fr-FR"/>
        </w:rPr>
        <w:tab/>
        <w:t>Déconnexion électrique de tout autre composant relatif aux émissions connecté à un ordinateur de gestion du groupe propulseur.</w:t>
      </w:r>
    </w:p>
    <w:p w:rsidR="005E010E" w:rsidRPr="00A779B8" w:rsidRDefault="005E010E" w:rsidP="005E010E">
      <w:pPr>
        <w:pStyle w:val="SingleTxtG"/>
        <w:ind w:left="2268" w:hanging="1134"/>
        <w:rPr>
          <w:lang w:val="fr-FR"/>
        </w:rPr>
      </w:pPr>
      <w:r w:rsidRPr="00A779B8">
        <w:rPr>
          <w:lang w:val="fr-FR"/>
        </w:rPr>
        <w:t>6.3.2.5</w:t>
      </w:r>
      <w:r w:rsidRPr="00A779B8">
        <w:rPr>
          <w:lang w:val="fr-FR"/>
        </w:rPr>
        <w:tab/>
        <w:t>Pour satisfaire aux prescriptions des paragraphes 6.3.2.3 et 6.3.2.4 du présent appendice, et avec l</w:t>
      </w:r>
      <w:r w:rsidR="00DB4C2D">
        <w:rPr>
          <w:lang w:val="fr-FR"/>
        </w:rPr>
        <w:t>’</w:t>
      </w:r>
      <w:r w:rsidRPr="00A779B8">
        <w:rPr>
          <w:lang w:val="fr-FR"/>
        </w:rPr>
        <w:t>accord de l</w:t>
      </w:r>
      <w:r w:rsidR="00DB4C2D">
        <w:rPr>
          <w:lang w:val="fr-FR"/>
        </w:rPr>
        <w:t>’</w:t>
      </w:r>
      <w:r w:rsidRPr="00A779B8">
        <w:rPr>
          <w:lang w:val="fr-FR"/>
        </w:rPr>
        <w:t>autorité d</w:t>
      </w:r>
      <w:r w:rsidR="00DB4C2D">
        <w:rPr>
          <w:lang w:val="fr-FR"/>
        </w:rPr>
        <w:t>’</w:t>
      </w:r>
      <w:r w:rsidRPr="00A779B8">
        <w:rPr>
          <w:lang w:val="fr-FR"/>
        </w:rPr>
        <w:t>homologation de type, le constructeur prend les mesures appropriées pour démontrer que le système OBD signale une défaillance lorsque la déconnexion se produit.</w:t>
      </w:r>
    </w:p>
    <w:p w:rsidR="005E010E" w:rsidRPr="00A779B8" w:rsidRDefault="005E010E" w:rsidP="005E010E">
      <w:pPr>
        <w:pStyle w:val="SingleTxtG"/>
        <w:ind w:left="2268" w:hanging="1134"/>
        <w:rPr>
          <w:lang w:val="fr-FR"/>
        </w:rPr>
      </w:pPr>
      <w:r w:rsidRPr="00A779B8">
        <w:rPr>
          <w:lang w:val="fr-FR"/>
        </w:rPr>
        <w:t>6.3.2.6</w:t>
      </w:r>
      <w:r w:rsidRPr="00A779B8">
        <w:rPr>
          <w:lang w:val="fr-FR"/>
        </w:rPr>
        <w:tab/>
        <w:t>Le constructeur doit démontrer que les défauts de fonctionnement du flux EGR et du refroidisseur sont détectés par le système OBD au cours de son essai d</w:t>
      </w:r>
      <w:r w:rsidR="00DB4C2D">
        <w:rPr>
          <w:lang w:val="fr-FR"/>
        </w:rPr>
        <w:t>’</w:t>
      </w:r>
      <w:r w:rsidRPr="00A779B8">
        <w:rPr>
          <w:lang w:val="fr-FR"/>
        </w:rPr>
        <w:t>homologation.</w:t>
      </w:r>
    </w:p>
    <w:p w:rsidR="005E010E" w:rsidRPr="00A779B8" w:rsidRDefault="005E010E" w:rsidP="005E010E">
      <w:pPr>
        <w:pStyle w:val="SingleTxtG"/>
        <w:keepNext/>
        <w:ind w:left="2268" w:hanging="1134"/>
        <w:jc w:val="left"/>
        <w:rPr>
          <w:lang w:val="fr-FR"/>
        </w:rPr>
      </w:pPr>
      <w:r w:rsidRPr="00A779B8">
        <w:rPr>
          <w:lang w:val="fr-FR"/>
        </w:rPr>
        <w:t>6.4</w:t>
      </w:r>
      <w:r w:rsidRPr="00A779B8">
        <w:rPr>
          <w:lang w:val="fr-FR"/>
        </w:rPr>
        <w:tab/>
        <w:t>Essai du système OBD</w:t>
      </w:r>
    </w:p>
    <w:p w:rsidR="005E010E" w:rsidRPr="00A779B8" w:rsidRDefault="005E010E" w:rsidP="005E010E">
      <w:pPr>
        <w:pStyle w:val="SingleTxtG"/>
        <w:keepNext/>
        <w:ind w:left="2268" w:hanging="1134"/>
        <w:jc w:val="left"/>
        <w:rPr>
          <w:lang w:val="fr-FR"/>
        </w:rPr>
      </w:pPr>
      <w:r w:rsidRPr="00A779B8">
        <w:rPr>
          <w:lang w:val="fr-FR"/>
        </w:rPr>
        <w:t>6.4.1</w:t>
      </w:r>
      <w:r w:rsidRPr="00A779B8">
        <w:rPr>
          <w:lang w:val="fr-FR"/>
        </w:rPr>
        <w:tab/>
        <w:t>Véhicules équipés d</w:t>
      </w:r>
      <w:r w:rsidR="00DB4C2D">
        <w:rPr>
          <w:lang w:val="fr-FR"/>
        </w:rPr>
        <w:t>’</w:t>
      </w:r>
      <w:r w:rsidRPr="00A779B8">
        <w:rPr>
          <w:lang w:val="fr-FR"/>
        </w:rPr>
        <w:t>un moteur à allumage commandé:</w:t>
      </w:r>
    </w:p>
    <w:p w:rsidR="005E010E" w:rsidRPr="00A779B8" w:rsidRDefault="005E010E" w:rsidP="005E010E">
      <w:pPr>
        <w:pStyle w:val="SingleTxtG"/>
        <w:ind w:left="2268" w:hanging="1134"/>
        <w:rPr>
          <w:lang w:val="fr-FR"/>
        </w:rPr>
      </w:pPr>
      <w:r w:rsidRPr="00A779B8">
        <w:rPr>
          <w:lang w:val="fr-FR"/>
        </w:rPr>
        <w:t>6.4.1.1</w:t>
      </w:r>
      <w:r w:rsidRPr="00A779B8">
        <w:rPr>
          <w:lang w:val="fr-FR"/>
        </w:rPr>
        <w:tab/>
        <w:t xml:space="preserve">Après avoir été </w:t>
      </w:r>
      <w:proofErr w:type="spellStart"/>
      <w:r w:rsidRPr="00A779B8">
        <w:rPr>
          <w:lang w:val="fr-FR"/>
        </w:rPr>
        <w:t>préconditionné</w:t>
      </w:r>
      <w:proofErr w:type="spellEnd"/>
      <w:r w:rsidRPr="00A779B8">
        <w:rPr>
          <w:lang w:val="fr-FR"/>
        </w:rPr>
        <w:t xml:space="preserve"> conformément aux dispositions du paragraphe 6.2 du présent appendice, le véhicule d</w:t>
      </w:r>
      <w:r w:rsidR="00DB4C2D">
        <w:rPr>
          <w:lang w:val="fr-FR"/>
        </w:rPr>
        <w:t>’</w:t>
      </w:r>
      <w:r w:rsidRPr="00A779B8">
        <w:rPr>
          <w:lang w:val="fr-FR"/>
        </w:rPr>
        <w:t>essai doit être soumis à un cycle de conduite de l</w:t>
      </w:r>
      <w:r w:rsidR="00DB4C2D">
        <w:rPr>
          <w:lang w:val="fr-FR"/>
        </w:rPr>
        <w:t>’</w:t>
      </w:r>
      <w:r w:rsidRPr="00A779B8">
        <w:rPr>
          <w:lang w:val="fr-FR"/>
        </w:rPr>
        <w:t>essai du type I (première et seconde parties).</w:t>
      </w:r>
    </w:p>
    <w:p w:rsidR="005E010E" w:rsidRPr="00A779B8" w:rsidRDefault="005E010E" w:rsidP="005E010E">
      <w:pPr>
        <w:pStyle w:val="SingleTxtG"/>
        <w:ind w:left="2268"/>
        <w:rPr>
          <w:lang w:val="fr-FR"/>
        </w:rPr>
      </w:pPr>
      <w:r w:rsidRPr="00A779B8">
        <w:rPr>
          <w:lang w:val="fr-FR"/>
        </w:rPr>
        <w:tab/>
        <w:t>Le TD doit se déclencher avant la fin de cet essai dans toutes les conditions mentionnées aux paragraphes 6.4.1.2 à 6.4.1.5 du présent appendice. Le service technique peut remplacer ces conditions par d</w:t>
      </w:r>
      <w:r w:rsidR="00DB4C2D">
        <w:rPr>
          <w:lang w:val="fr-FR"/>
        </w:rPr>
        <w:t>’</w:t>
      </w:r>
      <w:r w:rsidRPr="00A779B8">
        <w:rPr>
          <w:lang w:val="fr-FR"/>
        </w:rPr>
        <w:t>autres conformément au paragraphe 6.4.1.6 de ce même appendice. Cependant, le nombre de défaillances simulées ne doit pas dépasser quatre aux fins de la procédure d</w:t>
      </w:r>
      <w:r w:rsidR="00DB4C2D">
        <w:rPr>
          <w:lang w:val="fr-FR"/>
        </w:rPr>
        <w:t>’</w:t>
      </w:r>
      <w:r w:rsidRPr="00A779B8">
        <w:rPr>
          <w:lang w:val="fr-FR"/>
        </w:rPr>
        <w:t>homologation de type.</w:t>
      </w:r>
    </w:p>
    <w:p w:rsidR="005E010E" w:rsidRPr="00A779B8" w:rsidRDefault="005E010E" w:rsidP="005E010E">
      <w:pPr>
        <w:pStyle w:val="SingleTxtG"/>
        <w:ind w:left="2268"/>
        <w:rPr>
          <w:lang w:val="fr-FR"/>
        </w:rPr>
      </w:pPr>
      <w:r w:rsidRPr="00A779B8">
        <w:rPr>
          <w:lang w:val="fr-FR"/>
        </w:rPr>
        <w:tab/>
        <w:t>Dans le cas de l</w:t>
      </w:r>
      <w:r w:rsidR="00DB4C2D">
        <w:rPr>
          <w:lang w:val="fr-FR"/>
        </w:rPr>
        <w:t>’</w:t>
      </w:r>
      <w:r w:rsidRPr="00A779B8">
        <w:rPr>
          <w:lang w:val="fr-FR"/>
        </w:rPr>
        <w:t>essai d</w:t>
      </w:r>
      <w:r w:rsidR="00DB4C2D">
        <w:rPr>
          <w:lang w:val="fr-FR"/>
        </w:rPr>
        <w:t>’</w:t>
      </w:r>
      <w:r w:rsidRPr="00A779B8">
        <w:rPr>
          <w:lang w:val="fr-FR"/>
        </w:rPr>
        <w:t>un véhicule à bicarburation, les deux types de carburant peuvent être utilisés, à condition que le nombre de défaillances simulées ne dépasse pas quatre à la discrétion de l</w:t>
      </w:r>
      <w:r w:rsidR="00DB4C2D">
        <w:rPr>
          <w:lang w:val="fr-FR"/>
        </w:rPr>
        <w:t>’</w:t>
      </w:r>
      <w:r w:rsidRPr="00A779B8">
        <w:rPr>
          <w:lang w:val="fr-FR"/>
        </w:rPr>
        <w:t>autorité d</w:t>
      </w:r>
      <w:r w:rsidR="00DB4C2D">
        <w:rPr>
          <w:lang w:val="fr-FR"/>
        </w:rPr>
        <w:t>’</w:t>
      </w:r>
      <w:r w:rsidRPr="00A779B8">
        <w:rPr>
          <w:lang w:val="fr-FR"/>
        </w:rPr>
        <w:t>homologation de type.</w:t>
      </w:r>
    </w:p>
    <w:p w:rsidR="005E010E" w:rsidRPr="00A779B8" w:rsidRDefault="005E010E" w:rsidP="005E010E">
      <w:pPr>
        <w:pStyle w:val="SingleTxtG"/>
        <w:ind w:left="2268" w:hanging="1134"/>
        <w:rPr>
          <w:lang w:val="fr-FR"/>
        </w:rPr>
      </w:pPr>
      <w:r w:rsidRPr="00A779B8">
        <w:rPr>
          <w:lang w:val="fr-FR"/>
        </w:rPr>
        <w:lastRenderedPageBreak/>
        <w:t>6.4.1.2</w:t>
      </w:r>
      <w:r w:rsidRPr="00A779B8">
        <w:rPr>
          <w:lang w:val="fr-FR"/>
        </w:rPr>
        <w:tab/>
        <w:t>Remplacement d</w:t>
      </w:r>
      <w:r w:rsidR="00DB4C2D">
        <w:rPr>
          <w:lang w:val="fr-FR"/>
        </w:rPr>
        <w:t>’</w:t>
      </w:r>
      <w:r w:rsidRPr="00A779B8">
        <w:rPr>
          <w:lang w:val="fr-FR"/>
        </w:rPr>
        <w:t>un catalyseur par un catalyseur détérioré ou défectueux, ou simulation électronique d</w:t>
      </w:r>
      <w:r w:rsidR="00DB4C2D">
        <w:rPr>
          <w:lang w:val="fr-FR"/>
        </w:rPr>
        <w:t>’</w:t>
      </w:r>
      <w:r w:rsidRPr="00A779B8">
        <w:rPr>
          <w:lang w:val="fr-FR"/>
        </w:rPr>
        <w:t>une telle défaillance, entraînant la production d</w:t>
      </w:r>
      <w:r w:rsidR="00DB4C2D">
        <w:rPr>
          <w:lang w:val="fr-FR"/>
        </w:rPr>
        <w:t>’</w:t>
      </w:r>
      <w:r w:rsidRPr="00A779B8">
        <w:rPr>
          <w:lang w:val="fr-FR"/>
        </w:rPr>
        <w:t>émissions d</w:t>
      </w:r>
      <w:r w:rsidR="00DB4C2D">
        <w:rPr>
          <w:lang w:val="fr-FR"/>
        </w:rPr>
        <w:t>’</w:t>
      </w:r>
      <w:r w:rsidRPr="00A779B8">
        <w:rPr>
          <w:lang w:val="fr-FR"/>
        </w:rPr>
        <w:t>hydrocarbures non méthaniques dépassant les limites indiquées au paragraphe 3.3.2 de la présente annexe.</w:t>
      </w:r>
    </w:p>
    <w:p w:rsidR="005E010E" w:rsidRPr="00A779B8" w:rsidRDefault="005E010E" w:rsidP="005E010E">
      <w:pPr>
        <w:pStyle w:val="SingleTxtG"/>
        <w:spacing w:after="100" w:line="236" w:lineRule="atLeast"/>
        <w:ind w:left="2268" w:hanging="1134"/>
        <w:rPr>
          <w:lang w:val="fr-FR"/>
        </w:rPr>
      </w:pPr>
      <w:r w:rsidRPr="00A779B8">
        <w:rPr>
          <w:lang w:val="fr-FR"/>
        </w:rPr>
        <w:t>6.4.1.3</w:t>
      </w:r>
      <w:r w:rsidRPr="00A779B8">
        <w:rPr>
          <w:lang w:val="fr-FR"/>
        </w:rPr>
        <w:tab/>
        <w:t>Déclenchement de ratés d</w:t>
      </w:r>
      <w:r w:rsidR="00DB4C2D">
        <w:rPr>
          <w:lang w:val="fr-FR"/>
        </w:rPr>
        <w:t>’</w:t>
      </w:r>
      <w:r w:rsidRPr="00A779B8">
        <w:rPr>
          <w:lang w:val="fr-FR"/>
        </w:rPr>
        <w:t>allumage dans les conditions de surveillance des ratés indiquées au paragraphe 3.3.3.2 de la présente annexe, entraînant la production d</w:t>
      </w:r>
      <w:r w:rsidR="00DB4C2D">
        <w:rPr>
          <w:lang w:val="fr-FR"/>
        </w:rPr>
        <w:t>’</w:t>
      </w:r>
      <w:r w:rsidRPr="00A779B8">
        <w:rPr>
          <w:lang w:val="fr-FR"/>
        </w:rPr>
        <w:t>émissions dépassant une ou plusieurs des limites indiquées au paragraphe 3.3.2 de la présente annexe.</w:t>
      </w:r>
    </w:p>
    <w:p w:rsidR="005E010E" w:rsidRPr="00A779B8" w:rsidRDefault="005E010E" w:rsidP="005E010E">
      <w:pPr>
        <w:pStyle w:val="SingleTxtG"/>
        <w:spacing w:after="100" w:line="236" w:lineRule="atLeast"/>
        <w:ind w:left="2268" w:hanging="1134"/>
        <w:rPr>
          <w:lang w:val="fr-FR"/>
        </w:rPr>
      </w:pPr>
      <w:r w:rsidRPr="00A779B8">
        <w:rPr>
          <w:lang w:val="fr-FR"/>
        </w:rPr>
        <w:t>6.4.1.4</w:t>
      </w:r>
      <w:r w:rsidRPr="00A779B8">
        <w:rPr>
          <w:lang w:val="fr-FR"/>
        </w:rPr>
        <w:tab/>
        <w:t>Remplacement d</w:t>
      </w:r>
      <w:r w:rsidR="00DB4C2D">
        <w:rPr>
          <w:lang w:val="fr-FR"/>
        </w:rPr>
        <w:t>’</w:t>
      </w:r>
      <w:r w:rsidRPr="00A779B8">
        <w:rPr>
          <w:lang w:val="fr-FR"/>
        </w:rPr>
        <w:t>une sonde Lambda par une sonde détériorée ou défectueuse, ou simulation électronique d</w:t>
      </w:r>
      <w:r w:rsidR="00DB4C2D">
        <w:rPr>
          <w:lang w:val="fr-FR"/>
        </w:rPr>
        <w:t>’</w:t>
      </w:r>
      <w:r w:rsidRPr="00A779B8">
        <w:rPr>
          <w:lang w:val="fr-FR"/>
        </w:rPr>
        <w:t>une telle défaillance, entraînant la production d</w:t>
      </w:r>
      <w:r w:rsidR="00DB4C2D">
        <w:rPr>
          <w:lang w:val="fr-FR"/>
        </w:rPr>
        <w:t>’</w:t>
      </w:r>
      <w:r w:rsidRPr="00A779B8">
        <w:rPr>
          <w:lang w:val="fr-FR"/>
        </w:rPr>
        <w:t>émissions dépassant une ou plusieurs des limites indiquées au paragraphe 3.3.2 de la présente annexe.</w:t>
      </w:r>
    </w:p>
    <w:p w:rsidR="005E010E" w:rsidRPr="00A779B8" w:rsidRDefault="005E010E" w:rsidP="005E010E">
      <w:pPr>
        <w:pStyle w:val="SingleTxtG"/>
        <w:spacing w:after="100" w:line="236" w:lineRule="atLeast"/>
        <w:ind w:left="2268" w:hanging="1134"/>
        <w:rPr>
          <w:lang w:val="fr-FR"/>
        </w:rPr>
      </w:pPr>
      <w:r w:rsidRPr="00A779B8">
        <w:rPr>
          <w:lang w:val="fr-FR"/>
        </w:rPr>
        <w:t>6.4.1.5</w:t>
      </w:r>
      <w:r w:rsidRPr="00A779B8">
        <w:rPr>
          <w:lang w:val="fr-FR"/>
        </w:rPr>
        <w:tab/>
        <w:t>Déconnection électrique du dispositif électronique de commande de purge par évaporation (si le véhicule en est équipé et s</w:t>
      </w:r>
      <w:r w:rsidR="00DB4C2D">
        <w:rPr>
          <w:lang w:val="fr-FR"/>
        </w:rPr>
        <w:t>’</w:t>
      </w:r>
      <w:r w:rsidRPr="00A779B8">
        <w:rPr>
          <w:lang w:val="fr-FR"/>
        </w:rPr>
        <w:t>il est activé pour le type de carburant sélectionné).</w:t>
      </w:r>
    </w:p>
    <w:p w:rsidR="005E010E" w:rsidRPr="00A779B8" w:rsidRDefault="005E010E" w:rsidP="005E010E">
      <w:pPr>
        <w:pStyle w:val="SingleTxtG"/>
        <w:spacing w:after="100" w:line="236" w:lineRule="atLeast"/>
        <w:ind w:left="2268" w:hanging="1134"/>
        <w:rPr>
          <w:lang w:val="fr-FR"/>
        </w:rPr>
      </w:pPr>
      <w:r w:rsidRPr="00A779B8">
        <w:rPr>
          <w:lang w:val="fr-FR"/>
        </w:rPr>
        <w:t>6.4.1.6</w:t>
      </w:r>
      <w:r w:rsidRPr="00A779B8">
        <w:rPr>
          <w:lang w:val="fr-FR"/>
        </w:rPr>
        <w:tab/>
        <w:t>Déconnection électrique de tout autre composant relatif aux émissions (connecté à un ordinateur) du groupe motopropulseur, entraînant la production d</w:t>
      </w:r>
      <w:r w:rsidR="00DB4C2D">
        <w:rPr>
          <w:lang w:val="fr-FR"/>
        </w:rPr>
        <w:t>’</w:t>
      </w:r>
      <w:r w:rsidRPr="00A779B8">
        <w:rPr>
          <w:lang w:val="fr-FR"/>
        </w:rPr>
        <w:t>émissions dépassant une ou plusieurs des limites indiquées au paragraphe 3.3.2 de la présente annexe (s</w:t>
      </w:r>
      <w:r w:rsidR="00DB4C2D">
        <w:rPr>
          <w:lang w:val="fr-FR"/>
        </w:rPr>
        <w:t>’</w:t>
      </w:r>
      <w:r w:rsidRPr="00A779B8">
        <w:rPr>
          <w:lang w:val="fr-FR"/>
        </w:rPr>
        <w:t>il est activé pour le type de carburant sélectionné).</w:t>
      </w:r>
    </w:p>
    <w:p w:rsidR="005E010E" w:rsidRPr="00A779B8" w:rsidRDefault="005E010E" w:rsidP="005E010E">
      <w:pPr>
        <w:pStyle w:val="SingleTxtG"/>
        <w:keepNext/>
        <w:spacing w:after="100" w:line="236" w:lineRule="atLeast"/>
        <w:ind w:left="2268" w:hanging="1134"/>
        <w:jc w:val="left"/>
        <w:rPr>
          <w:lang w:val="fr-FR"/>
        </w:rPr>
      </w:pPr>
      <w:r w:rsidRPr="00A779B8">
        <w:rPr>
          <w:lang w:val="fr-FR"/>
        </w:rPr>
        <w:t>6.4.2</w:t>
      </w:r>
      <w:r w:rsidRPr="00A779B8">
        <w:rPr>
          <w:lang w:val="fr-FR"/>
        </w:rPr>
        <w:tab/>
        <w:t>Véhicules équipés d</w:t>
      </w:r>
      <w:r w:rsidR="00DB4C2D">
        <w:rPr>
          <w:lang w:val="fr-FR"/>
        </w:rPr>
        <w:t>’</w:t>
      </w:r>
      <w:r w:rsidRPr="00A779B8">
        <w:rPr>
          <w:lang w:val="fr-FR"/>
        </w:rPr>
        <w:t>un moteur à allumage par compression:</w:t>
      </w:r>
    </w:p>
    <w:p w:rsidR="005E010E" w:rsidRPr="00A779B8" w:rsidRDefault="005E010E" w:rsidP="005E010E">
      <w:pPr>
        <w:pStyle w:val="SingleTxtG"/>
        <w:spacing w:after="100" w:line="236" w:lineRule="atLeast"/>
        <w:ind w:left="2268" w:hanging="1134"/>
        <w:rPr>
          <w:lang w:val="fr-FR"/>
        </w:rPr>
      </w:pPr>
      <w:r w:rsidRPr="00A779B8">
        <w:rPr>
          <w:lang w:val="fr-FR"/>
        </w:rPr>
        <w:t>6.4.2.1</w:t>
      </w:r>
      <w:r w:rsidRPr="00A779B8">
        <w:rPr>
          <w:lang w:val="fr-FR"/>
        </w:rPr>
        <w:tab/>
        <w:t>Lorsque le véhicule d</w:t>
      </w:r>
      <w:r w:rsidR="00DB4C2D">
        <w:rPr>
          <w:lang w:val="fr-FR"/>
        </w:rPr>
        <w:t>’</w:t>
      </w:r>
      <w:r w:rsidRPr="00A779B8">
        <w:rPr>
          <w:lang w:val="fr-FR"/>
        </w:rPr>
        <w:t xml:space="preserve">essai a été </w:t>
      </w:r>
      <w:proofErr w:type="spellStart"/>
      <w:r w:rsidRPr="00A779B8">
        <w:rPr>
          <w:lang w:val="fr-FR"/>
        </w:rPr>
        <w:t>préconditionné</w:t>
      </w:r>
      <w:proofErr w:type="spellEnd"/>
      <w:r w:rsidRPr="00A779B8">
        <w:rPr>
          <w:lang w:val="fr-FR"/>
        </w:rPr>
        <w:t xml:space="preserve"> conformément aux dispositions du paragraphe 6.2, il est soumis à un cycle de conduite de l</w:t>
      </w:r>
      <w:r w:rsidR="00DB4C2D">
        <w:rPr>
          <w:lang w:val="fr-FR"/>
        </w:rPr>
        <w:t>’</w:t>
      </w:r>
      <w:r w:rsidRPr="00A779B8">
        <w:rPr>
          <w:lang w:val="fr-FR"/>
        </w:rPr>
        <w:t>essai du type I (première et seconde parties).</w:t>
      </w:r>
    </w:p>
    <w:p w:rsidR="005E010E" w:rsidRPr="00A779B8" w:rsidRDefault="005E010E" w:rsidP="005E010E">
      <w:pPr>
        <w:pStyle w:val="SingleTxtG"/>
        <w:spacing w:after="100" w:line="236" w:lineRule="atLeast"/>
        <w:ind w:left="2268"/>
        <w:rPr>
          <w:lang w:val="fr-FR"/>
        </w:rPr>
      </w:pPr>
      <w:r w:rsidRPr="00A779B8">
        <w:rPr>
          <w:lang w:val="fr-FR"/>
        </w:rPr>
        <w:tab/>
        <w:t>Le TD doit se déclencher avant la fin de cet essai dans toutes les conditions mentionnées aux paragraphes 6.4.2.2 à 6.4.2.5 du présent appendice. Le service technique peut remplacer ces conditions par d</w:t>
      </w:r>
      <w:r w:rsidR="00DB4C2D">
        <w:rPr>
          <w:lang w:val="fr-FR"/>
        </w:rPr>
        <w:t>’</w:t>
      </w:r>
      <w:r w:rsidRPr="00A779B8">
        <w:rPr>
          <w:lang w:val="fr-FR"/>
        </w:rPr>
        <w:t>autres conformément au paragraphe 6.4.2.5 du présent appendice. Cependant, le nombre total des défaillances simulées ne doit pas dépasser quatre aux fins de la procédure d</w:t>
      </w:r>
      <w:r w:rsidR="00DB4C2D">
        <w:rPr>
          <w:lang w:val="fr-FR"/>
        </w:rPr>
        <w:t>’</w:t>
      </w:r>
      <w:r w:rsidRPr="00A779B8">
        <w:rPr>
          <w:lang w:val="fr-FR"/>
        </w:rPr>
        <w:t>homologation de type.</w:t>
      </w:r>
    </w:p>
    <w:p w:rsidR="005E010E" w:rsidRPr="00A779B8" w:rsidRDefault="005E010E" w:rsidP="005E010E">
      <w:pPr>
        <w:pStyle w:val="SingleTxtG"/>
        <w:spacing w:after="100" w:line="236" w:lineRule="atLeast"/>
        <w:ind w:left="2268" w:hanging="1134"/>
        <w:rPr>
          <w:lang w:val="fr-FR"/>
        </w:rPr>
      </w:pPr>
      <w:r w:rsidRPr="00A779B8">
        <w:rPr>
          <w:lang w:val="fr-FR"/>
        </w:rPr>
        <w:t>6.4.2.2</w:t>
      </w:r>
      <w:r w:rsidRPr="00A779B8">
        <w:rPr>
          <w:lang w:val="fr-FR"/>
        </w:rPr>
        <w:tab/>
        <w:t>Lorsque le véhicule en est équipé, remplacement du catalyseur par un catalyseur détérioré ou défectueux, ou simulation électronique d</w:t>
      </w:r>
      <w:r w:rsidR="00DB4C2D">
        <w:rPr>
          <w:lang w:val="fr-FR"/>
        </w:rPr>
        <w:t>’</w:t>
      </w:r>
      <w:r w:rsidRPr="00A779B8">
        <w:rPr>
          <w:lang w:val="fr-FR"/>
        </w:rPr>
        <w:t>une telle défaillance, entraînant la production d</w:t>
      </w:r>
      <w:r w:rsidR="00DB4C2D">
        <w:rPr>
          <w:lang w:val="fr-FR"/>
        </w:rPr>
        <w:t>’</w:t>
      </w:r>
      <w:r w:rsidRPr="00A779B8">
        <w:rPr>
          <w:lang w:val="fr-FR"/>
        </w:rPr>
        <w:t>émissions dépassant les limites indiquées au paragraphe 3.3.2 de la présente annexe.</w:t>
      </w:r>
    </w:p>
    <w:p w:rsidR="005E010E" w:rsidRPr="00A779B8" w:rsidRDefault="005E010E" w:rsidP="005E010E">
      <w:pPr>
        <w:pStyle w:val="SingleTxtG"/>
        <w:spacing w:after="100" w:line="236" w:lineRule="atLeast"/>
        <w:ind w:left="2268" w:hanging="1134"/>
        <w:rPr>
          <w:lang w:val="fr-FR"/>
        </w:rPr>
      </w:pPr>
      <w:r w:rsidRPr="00A779B8">
        <w:rPr>
          <w:lang w:val="fr-FR"/>
        </w:rPr>
        <w:t>6.4.2.3</w:t>
      </w:r>
      <w:r w:rsidRPr="00A779B8">
        <w:rPr>
          <w:lang w:val="fr-FR"/>
        </w:rPr>
        <w:tab/>
        <w:t>Lorsque le véhicule en est équipé, suppression totale du filtre à particules ou remplacement par un filtre à particules défectueux, dans les conditions prévues au paragraphe 6.3.2.2 du présent appendice, entraînant la production d</w:t>
      </w:r>
      <w:r w:rsidR="00DB4C2D">
        <w:rPr>
          <w:lang w:val="fr-FR"/>
        </w:rPr>
        <w:t>’</w:t>
      </w:r>
      <w:r w:rsidRPr="00A779B8">
        <w:rPr>
          <w:lang w:val="fr-FR"/>
        </w:rPr>
        <w:t>émissions dépassant les limites indiquées au paragraphe 3.3.2 de la présente annexe.</w:t>
      </w:r>
    </w:p>
    <w:p w:rsidR="005E010E" w:rsidRPr="00A779B8" w:rsidRDefault="005E010E" w:rsidP="005E010E">
      <w:pPr>
        <w:pStyle w:val="SingleTxtG"/>
        <w:spacing w:after="100" w:line="236" w:lineRule="atLeast"/>
        <w:ind w:left="2268" w:hanging="1134"/>
        <w:rPr>
          <w:lang w:val="fr-FR"/>
        </w:rPr>
      </w:pPr>
      <w:r w:rsidRPr="00A779B8">
        <w:rPr>
          <w:lang w:val="fr-FR"/>
        </w:rPr>
        <w:t>6.4.2.4</w:t>
      </w:r>
      <w:r w:rsidRPr="00A779B8">
        <w:rPr>
          <w:lang w:val="fr-FR"/>
        </w:rPr>
        <w:tab/>
        <w:t>Dans les conditions prévues au paragraphe 6.3.2.5 du présent appendice, déconnexion de tout déclencheur électronique de réglage du débit du carburant et de calage de pompe dans le système électronique d</w:t>
      </w:r>
      <w:r w:rsidR="00DB4C2D">
        <w:rPr>
          <w:lang w:val="fr-FR"/>
        </w:rPr>
        <w:t>’</w:t>
      </w:r>
      <w:r w:rsidRPr="00A779B8">
        <w:rPr>
          <w:lang w:val="fr-FR"/>
        </w:rPr>
        <w:t>alimentation, entraînant la production d</w:t>
      </w:r>
      <w:r w:rsidR="00DB4C2D">
        <w:rPr>
          <w:lang w:val="fr-FR"/>
        </w:rPr>
        <w:t>’</w:t>
      </w:r>
      <w:r w:rsidRPr="00A779B8">
        <w:rPr>
          <w:lang w:val="fr-FR"/>
        </w:rPr>
        <w:t>émissions dépassant les limites indiquées au paragraphe 3.3.2 de la présente annexe.</w:t>
      </w:r>
    </w:p>
    <w:p w:rsidR="005E010E" w:rsidRPr="00A779B8" w:rsidRDefault="005E010E" w:rsidP="005E010E">
      <w:pPr>
        <w:pStyle w:val="SingleTxtG"/>
        <w:spacing w:after="100" w:line="236" w:lineRule="atLeast"/>
        <w:ind w:left="2268" w:hanging="1134"/>
        <w:rPr>
          <w:lang w:val="fr-FR"/>
        </w:rPr>
      </w:pPr>
      <w:r w:rsidRPr="00A779B8">
        <w:rPr>
          <w:lang w:val="fr-FR"/>
        </w:rPr>
        <w:t>6.4.2.5</w:t>
      </w:r>
      <w:r w:rsidRPr="00A779B8">
        <w:rPr>
          <w:lang w:val="fr-FR"/>
        </w:rPr>
        <w:tab/>
        <w:t>Dans les conditions prévues au paragraphe 6.3.2.5 du présent appendice, déconnexion de tout autre composant relatif aux émissions (connecté à un ordinateur) du groupe propulseur, entraînant la production d</w:t>
      </w:r>
      <w:r w:rsidR="00DB4C2D">
        <w:rPr>
          <w:lang w:val="fr-FR"/>
        </w:rPr>
        <w:t>’</w:t>
      </w:r>
      <w:r w:rsidRPr="00A779B8">
        <w:rPr>
          <w:lang w:val="fr-FR"/>
        </w:rPr>
        <w:t>émissions dépassant les limites indiquées au paragraphe 3.3.2 de la présente annexe.</w:t>
      </w:r>
    </w:p>
    <w:p w:rsidR="005E010E" w:rsidRPr="00A779B8" w:rsidRDefault="005E010E" w:rsidP="005E010E">
      <w:pPr>
        <w:pStyle w:val="SingleTxtG"/>
        <w:keepNext/>
        <w:spacing w:after="130"/>
        <w:ind w:left="2268" w:hanging="1134"/>
        <w:jc w:val="left"/>
        <w:rPr>
          <w:lang w:val="fr-FR"/>
        </w:rPr>
      </w:pPr>
      <w:r w:rsidRPr="00A779B8">
        <w:rPr>
          <w:lang w:val="fr-FR"/>
        </w:rPr>
        <w:lastRenderedPageBreak/>
        <w:t>6.5</w:t>
      </w:r>
      <w:r w:rsidRPr="00A779B8">
        <w:rPr>
          <w:lang w:val="fr-FR"/>
        </w:rPr>
        <w:tab/>
        <w:t>Signaux de diagnostic</w:t>
      </w:r>
    </w:p>
    <w:p w:rsidR="005E010E" w:rsidRPr="00A779B8" w:rsidRDefault="005E010E" w:rsidP="005E010E">
      <w:pPr>
        <w:pStyle w:val="SingleTxtG"/>
        <w:keepNext/>
        <w:spacing w:after="130"/>
        <w:ind w:left="2268" w:hanging="1134"/>
        <w:jc w:val="left"/>
        <w:rPr>
          <w:lang w:val="fr-FR"/>
        </w:rPr>
      </w:pPr>
      <w:r w:rsidRPr="00A779B8">
        <w:rPr>
          <w:lang w:val="fr-FR"/>
        </w:rPr>
        <w:t>6.5.1</w:t>
      </w:r>
      <w:r w:rsidRPr="00A779B8">
        <w:rPr>
          <w:lang w:val="fr-FR"/>
        </w:rPr>
        <w:tab/>
      </w:r>
      <w:r w:rsidRPr="008F40B6">
        <w:rPr>
          <w:lang w:val="fr-FR"/>
        </w:rPr>
        <w:t>Réservé</w:t>
      </w:r>
    </w:p>
    <w:p w:rsidR="005E010E" w:rsidRPr="00A779B8" w:rsidRDefault="005E010E" w:rsidP="005E010E">
      <w:pPr>
        <w:pStyle w:val="SingleTxtG"/>
        <w:spacing w:after="130"/>
        <w:ind w:left="2268" w:hanging="1134"/>
        <w:rPr>
          <w:lang w:val="fr-FR"/>
        </w:rPr>
      </w:pPr>
      <w:r w:rsidRPr="00A779B8">
        <w:rPr>
          <w:lang w:val="fr-FR"/>
        </w:rPr>
        <w:t>6.5.1.1</w:t>
      </w:r>
      <w:r w:rsidRPr="00A779B8">
        <w:rPr>
          <w:lang w:val="fr-FR"/>
        </w:rPr>
        <w:tab/>
        <w:t>Lorsque le premier dysfonctionnement d</w:t>
      </w:r>
      <w:r w:rsidR="00DB4C2D">
        <w:rPr>
          <w:lang w:val="fr-FR"/>
        </w:rPr>
        <w:t>’</w:t>
      </w:r>
      <w:r w:rsidRPr="00A779B8">
        <w:rPr>
          <w:lang w:val="fr-FR"/>
        </w:rPr>
        <w:t>un composant ou d</w:t>
      </w:r>
      <w:r w:rsidR="00DB4C2D">
        <w:rPr>
          <w:lang w:val="fr-FR"/>
        </w:rPr>
        <w:t>’</w:t>
      </w:r>
      <w:r w:rsidRPr="00A779B8">
        <w:rPr>
          <w:lang w:val="fr-FR"/>
        </w:rPr>
        <w:t>un système est détecté, une trame fixe de l</w:t>
      </w:r>
      <w:r w:rsidR="00DB4C2D">
        <w:rPr>
          <w:lang w:val="fr-FR"/>
        </w:rPr>
        <w:t>’</w:t>
      </w:r>
      <w:r w:rsidRPr="00A779B8">
        <w:rPr>
          <w:lang w:val="fr-FR"/>
        </w:rPr>
        <w:t>état du moteur à cet instant est enregistrée dans la mémoire de l</w:t>
      </w:r>
      <w:r w:rsidR="00DB4C2D">
        <w:rPr>
          <w:lang w:val="fr-FR"/>
        </w:rPr>
        <w:t>’</w:t>
      </w:r>
      <w:r w:rsidRPr="00A779B8">
        <w:rPr>
          <w:lang w:val="fr-FR"/>
        </w:rPr>
        <w:t>ordinateur. Si un nouveau dysfonctionnement survient au niveau du système d</w:t>
      </w:r>
      <w:r w:rsidR="00DB4C2D">
        <w:rPr>
          <w:lang w:val="fr-FR"/>
        </w:rPr>
        <w:t>’</w:t>
      </w:r>
      <w:r w:rsidRPr="00A779B8">
        <w:rPr>
          <w:lang w:val="fr-FR"/>
        </w:rPr>
        <w:t>alimentation ou sous forme de ratés d</w:t>
      </w:r>
      <w:r w:rsidR="00DB4C2D">
        <w:rPr>
          <w:lang w:val="fr-FR"/>
        </w:rPr>
        <w:t>’</w:t>
      </w:r>
      <w:r w:rsidRPr="00A779B8">
        <w:rPr>
          <w:lang w:val="fr-FR"/>
        </w:rPr>
        <w:t>allumage, les trames fixes enregistrées précédemment doivent être remplacées par des données sur l</w:t>
      </w:r>
      <w:r w:rsidR="00DB4C2D">
        <w:rPr>
          <w:lang w:val="fr-FR"/>
        </w:rPr>
        <w:t>’</w:t>
      </w:r>
      <w:r w:rsidRPr="00A779B8">
        <w:rPr>
          <w:lang w:val="fr-FR"/>
        </w:rPr>
        <w:t>état du système d</w:t>
      </w:r>
      <w:r w:rsidR="00DB4C2D">
        <w:rPr>
          <w:lang w:val="fr-FR"/>
        </w:rPr>
        <w:t>’</w:t>
      </w:r>
      <w:r w:rsidRPr="00A779B8">
        <w:rPr>
          <w:lang w:val="fr-FR"/>
        </w:rPr>
        <w:t>alimentation ou sur les ratés d</w:t>
      </w:r>
      <w:r w:rsidR="00DB4C2D">
        <w:rPr>
          <w:lang w:val="fr-FR"/>
        </w:rPr>
        <w:t>’</w:t>
      </w:r>
      <w:r w:rsidRPr="00A779B8">
        <w:rPr>
          <w:lang w:val="fr-FR"/>
        </w:rPr>
        <w:t>allumage (suivant le type d</w:t>
      </w:r>
      <w:r w:rsidR="00DB4C2D">
        <w:rPr>
          <w:lang w:val="fr-FR"/>
        </w:rPr>
        <w:t>’</w:t>
      </w:r>
      <w:r w:rsidRPr="00A779B8">
        <w:rPr>
          <w:lang w:val="fr-FR"/>
        </w:rPr>
        <w:t>incident qui survient en premier). Les données enregistrées comprennent, mais sans limitation aucune, la valeur de charge calculée, le régime du moteur, les valeurs de correction du carburant (si disponibles), la pression du carburant (si disponible), la vitesse du véhicule (si disponible), la température du liquide de refroidissement, la pression dans la tubulure d</w:t>
      </w:r>
      <w:r w:rsidR="00DB4C2D">
        <w:rPr>
          <w:lang w:val="fr-FR"/>
        </w:rPr>
        <w:t>’</w:t>
      </w:r>
      <w:r w:rsidRPr="00A779B8">
        <w:rPr>
          <w:lang w:val="fr-FR"/>
        </w:rPr>
        <w:t>admission (si disponible), le fonctionnement en boucle fermée ou ouverte (si les données sont disponibles), c</w:t>
      </w:r>
      <w:r w:rsidR="00DB4C2D">
        <w:rPr>
          <w:lang w:val="fr-FR"/>
        </w:rPr>
        <w:t>’</w:t>
      </w:r>
      <w:r w:rsidRPr="00A779B8">
        <w:rPr>
          <w:lang w:val="fr-FR"/>
        </w:rPr>
        <w:t>est-à-dire avec ou sans feedback de la sonde Lambda (si disponible) et le code d</w:t>
      </w:r>
      <w:r w:rsidR="00DB4C2D">
        <w:rPr>
          <w:lang w:val="fr-FR"/>
        </w:rPr>
        <w:t>’</w:t>
      </w:r>
      <w:r w:rsidRPr="00A779B8">
        <w:rPr>
          <w:lang w:val="fr-FR"/>
        </w:rPr>
        <w:t>erreur qui a provoqué l</w:t>
      </w:r>
      <w:r w:rsidR="00DB4C2D">
        <w:rPr>
          <w:lang w:val="fr-FR"/>
        </w:rPr>
        <w:t>’</w:t>
      </w:r>
      <w:r w:rsidRPr="00A779B8">
        <w:rPr>
          <w:lang w:val="fr-FR"/>
        </w:rPr>
        <w:t>enregistrement des données. Le constructeur doit choisir la trame fixe à enregistrer la plus appropriée en vue de faciliter la réparation. Une seule trame fixe est requise. Le constructeur peut décider d</w:t>
      </w:r>
      <w:r w:rsidR="00DB4C2D">
        <w:rPr>
          <w:lang w:val="fr-FR"/>
        </w:rPr>
        <w:t>’</w:t>
      </w:r>
      <w:r w:rsidRPr="00A779B8">
        <w:rPr>
          <w:lang w:val="fr-FR"/>
        </w:rPr>
        <w:t>enregistrer des trames supplémentaires, à condition qu</w:t>
      </w:r>
      <w:r w:rsidR="00DB4C2D">
        <w:rPr>
          <w:lang w:val="fr-FR"/>
        </w:rPr>
        <w:t>’</w:t>
      </w:r>
      <w:r w:rsidRPr="00A779B8">
        <w:rPr>
          <w:lang w:val="fr-FR"/>
        </w:rPr>
        <w:t>il soit au moins possible de lire la trame requise à l</w:t>
      </w:r>
      <w:r w:rsidR="00DB4C2D">
        <w:rPr>
          <w:lang w:val="fr-FR"/>
        </w:rPr>
        <w:t>’</w:t>
      </w:r>
      <w:r w:rsidRPr="00A779B8">
        <w:rPr>
          <w:lang w:val="fr-FR"/>
        </w:rPr>
        <w:t>aide d</w:t>
      </w:r>
      <w:r w:rsidR="00DB4C2D">
        <w:rPr>
          <w:lang w:val="fr-FR"/>
        </w:rPr>
        <w:t>’</w:t>
      </w:r>
      <w:r w:rsidRPr="00A779B8">
        <w:rPr>
          <w:lang w:val="fr-FR"/>
        </w:rPr>
        <w:t>un outil générique d</w:t>
      </w:r>
      <w:r w:rsidR="00DB4C2D">
        <w:rPr>
          <w:lang w:val="fr-FR"/>
        </w:rPr>
        <w:t>’</w:t>
      </w:r>
      <w:r w:rsidRPr="00A779B8">
        <w:rPr>
          <w:lang w:val="fr-FR"/>
        </w:rPr>
        <w:t>analyse répondant aux spécifications des paragraphes 6.5.3.2 et 6.5.3.3 du présent appendice. Si le code d</w:t>
      </w:r>
      <w:r w:rsidR="00DB4C2D">
        <w:rPr>
          <w:lang w:val="fr-FR"/>
        </w:rPr>
        <w:t>’</w:t>
      </w:r>
      <w:r w:rsidRPr="00A779B8">
        <w:rPr>
          <w:lang w:val="fr-FR"/>
        </w:rPr>
        <w:t>erreur qui a provoqué l</w:t>
      </w:r>
      <w:r w:rsidR="00DB4C2D">
        <w:rPr>
          <w:lang w:val="fr-FR"/>
        </w:rPr>
        <w:t>’</w:t>
      </w:r>
      <w:r w:rsidRPr="00A779B8">
        <w:rPr>
          <w:lang w:val="fr-FR"/>
        </w:rPr>
        <w:t>enregistrement de la trame de données sur l</w:t>
      </w:r>
      <w:r w:rsidR="00DB4C2D">
        <w:rPr>
          <w:lang w:val="fr-FR"/>
        </w:rPr>
        <w:t>’</w:t>
      </w:r>
      <w:r w:rsidRPr="00A779B8">
        <w:rPr>
          <w:lang w:val="fr-FR"/>
        </w:rPr>
        <w:t>état du moteur est supprimé dans les conditions visées au paragraphe 3.8 de la présente annexe, les données enregistrées peuvent également être supprimées.</w:t>
      </w:r>
    </w:p>
    <w:p w:rsidR="005E010E" w:rsidRPr="00A779B8" w:rsidRDefault="005E010E" w:rsidP="005E010E">
      <w:pPr>
        <w:pStyle w:val="SingleTxtG"/>
        <w:spacing w:after="130"/>
        <w:ind w:left="2268" w:hanging="1134"/>
        <w:rPr>
          <w:lang w:val="fr-FR"/>
        </w:rPr>
      </w:pPr>
      <w:r w:rsidRPr="00A779B8">
        <w:rPr>
          <w:lang w:val="fr-FR"/>
        </w:rPr>
        <w:t>6.5.1.2</w:t>
      </w:r>
      <w:r w:rsidRPr="00A779B8">
        <w:rPr>
          <w:lang w:val="fr-FR"/>
        </w:rPr>
        <w:tab/>
        <w:t>Les signaux supplémentaires suivants sont communiqués sur demande, en plus de la trame fixe obligatoire, par l</w:t>
      </w:r>
      <w:r w:rsidR="00DB4C2D">
        <w:rPr>
          <w:lang w:val="fr-FR"/>
        </w:rPr>
        <w:t>’</w:t>
      </w:r>
      <w:r w:rsidRPr="00A779B8">
        <w:rPr>
          <w:lang w:val="fr-FR"/>
        </w:rPr>
        <w:t>intermédiaire du port de série du connecteur de liaison de données normalisé, à condition que ces informations soient disponibles sur l</w:t>
      </w:r>
      <w:r w:rsidR="00DB4C2D">
        <w:rPr>
          <w:lang w:val="fr-FR"/>
        </w:rPr>
        <w:t>’</w:t>
      </w:r>
      <w:r w:rsidRPr="00A779B8">
        <w:rPr>
          <w:lang w:val="fr-FR"/>
        </w:rPr>
        <w:t>ordinateur de bord ou qu</w:t>
      </w:r>
      <w:r w:rsidR="00DB4C2D">
        <w:rPr>
          <w:lang w:val="fr-FR"/>
        </w:rPr>
        <w:t>’</w:t>
      </w:r>
      <w:r w:rsidRPr="00A779B8">
        <w:rPr>
          <w:lang w:val="fr-FR"/>
        </w:rPr>
        <w:t>elles puissent être déterminées d</w:t>
      </w:r>
      <w:r w:rsidR="00DB4C2D">
        <w:rPr>
          <w:lang w:val="fr-FR"/>
        </w:rPr>
        <w:t>’</w:t>
      </w:r>
      <w:r w:rsidRPr="00A779B8">
        <w:rPr>
          <w:lang w:val="fr-FR"/>
        </w:rPr>
        <w:t>après les informations qui y sont disponibles: codes défaut (DTC, diagnostic trouble code), température du liquide de refroidissement, état du système de contrôle d</w:t>
      </w:r>
      <w:r w:rsidR="00DB4C2D">
        <w:rPr>
          <w:lang w:val="fr-FR"/>
        </w:rPr>
        <w:t>’</w:t>
      </w:r>
      <w:r w:rsidRPr="00A779B8">
        <w:rPr>
          <w:lang w:val="fr-FR"/>
        </w:rPr>
        <w:t>alimentation (boucle fermée, boucle ouverte, autre), correction du carburant, avance à l</w:t>
      </w:r>
      <w:r w:rsidR="00DB4C2D">
        <w:rPr>
          <w:lang w:val="fr-FR"/>
        </w:rPr>
        <w:t>’</w:t>
      </w:r>
      <w:r w:rsidRPr="00A779B8">
        <w:rPr>
          <w:lang w:val="fr-FR"/>
        </w:rPr>
        <w:t>allumage, température de l</w:t>
      </w:r>
      <w:r w:rsidR="00DB4C2D">
        <w:rPr>
          <w:lang w:val="fr-FR"/>
        </w:rPr>
        <w:t>’</w:t>
      </w:r>
      <w:r w:rsidRPr="00A779B8">
        <w:rPr>
          <w:lang w:val="fr-FR"/>
        </w:rPr>
        <w:t>air d</w:t>
      </w:r>
      <w:r w:rsidR="00DB4C2D">
        <w:rPr>
          <w:lang w:val="fr-FR"/>
        </w:rPr>
        <w:t>’</w:t>
      </w:r>
      <w:r w:rsidRPr="00A779B8">
        <w:rPr>
          <w:lang w:val="fr-FR"/>
        </w:rPr>
        <w:t>admission, pression d</w:t>
      </w:r>
      <w:r w:rsidR="00DB4C2D">
        <w:rPr>
          <w:lang w:val="fr-FR"/>
        </w:rPr>
        <w:t>’</w:t>
      </w:r>
      <w:r w:rsidRPr="00A779B8">
        <w:rPr>
          <w:lang w:val="fr-FR"/>
        </w:rPr>
        <w:t>admission, débit d</w:t>
      </w:r>
      <w:r w:rsidR="00DB4C2D">
        <w:rPr>
          <w:lang w:val="fr-FR"/>
        </w:rPr>
        <w:t>’</w:t>
      </w:r>
      <w:r w:rsidRPr="00A779B8">
        <w:rPr>
          <w:lang w:val="fr-FR"/>
        </w:rPr>
        <w:t>air, régime du moteur, valeur de sortie du capteur de position du papillon, état de l</w:t>
      </w:r>
      <w:r w:rsidR="00DB4C2D">
        <w:rPr>
          <w:lang w:val="fr-FR"/>
        </w:rPr>
        <w:t>’</w:t>
      </w:r>
      <w:r w:rsidRPr="00A779B8">
        <w:rPr>
          <w:lang w:val="fr-FR"/>
        </w:rPr>
        <w:t>air secondaire (amont, aval ou pas d</w:t>
      </w:r>
      <w:r w:rsidR="00DB4C2D">
        <w:rPr>
          <w:lang w:val="fr-FR"/>
        </w:rPr>
        <w:t>’</w:t>
      </w:r>
      <w:r w:rsidRPr="00A779B8">
        <w:rPr>
          <w:lang w:val="fr-FR"/>
        </w:rPr>
        <w:t>air secondaire), valeur de charge calculée, vitesse du véhicule et pression du carburant.</w:t>
      </w:r>
    </w:p>
    <w:p w:rsidR="005E010E" w:rsidRPr="00A779B8" w:rsidRDefault="005E010E" w:rsidP="005E010E">
      <w:pPr>
        <w:pStyle w:val="SingleTxtG"/>
        <w:spacing w:after="130"/>
        <w:ind w:left="2268"/>
        <w:rPr>
          <w:lang w:val="fr-FR"/>
        </w:rPr>
      </w:pPr>
      <w:r w:rsidRPr="00A779B8">
        <w:rPr>
          <w:lang w:val="fr-FR"/>
        </w:rPr>
        <w:tab/>
        <w:t>Les signaux doivent être fournis en unités normalisées sur la base des spécifications données au paragraphe 6.5.3 du présent appendice. Les signaux effectifs doivent être clairement identifiés, séparément des signaux de valeurs par défaut ou des signaux de mode dégradé.</w:t>
      </w:r>
    </w:p>
    <w:p w:rsidR="005E010E" w:rsidRPr="00A779B8" w:rsidRDefault="005E010E" w:rsidP="005E010E">
      <w:pPr>
        <w:pStyle w:val="SingleTxtG"/>
        <w:spacing w:after="130"/>
        <w:ind w:left="2268" w:hanging="1134"/>
        <w:rPr>
          <w:lang w:val="fr-FR"/>
        </w:rPr>
      </w:pPr>
      <w:r w:rsidRPr="00A779B8">
        <w:rPr>
          <w:lang w:val="fr-FR"/>
        </w:rPr>
        <w:t>6.5.1.3</w:t>
      </w:r>
      <w:r w:rsidRPr="00A779B8">
        <w:rPr>
          <w:lang w:val="fr-FR"/>
        </w:rPr>
        <w:tab/>
        <w:t>Pour tous les systèmes antipollution pour lesquels des essais spécifiques d</w:t>
      </w:r>
      <w:r w:rsidR="00DB4C2D">
        <w:rPr>
          <w:lang w:val="fr-FR"/>
        </w:rPr>
        <w:t>’</w:t>
      </w:r>
      <w:r w:rsidRPr="00A779B8">
        <w:rPr>
          <w:lang w:val="fr-FR"/>
        </w:rPr>
        <w:t>évaluation en fonctionnement sont réalisés (catalyseur, sonde Lambda, etc.), à l</w:t>
      </w:r>
      <w:r w:rsidR="00DB4C2D">
        <w:rPr>
          <w:lang w:val="fr-FR"/>
        </w:rPr>
        <w:t>’</w:t>
      </w:r>
      <w:r w:rsidRPr="00A779B8">
        <w:rPr>
          <w:lang w:val="fr-FR"/>
        </w:rPr>
        <w:t>exception de la détection des ratés d</w:t>
      </w:r>
      <w:r w:rsidR="00DB4C2D">
        <w:rPr>
          <w:lang w:val="fr-FR"/>
        </w:rPr>
        <w:t>’</w:t>
      </w:r>
      <w:r w:rsidRPr="00A779B8">
        <w:rPr>
          <w:lang w:val="fr-FR"/>
        </w:rPr>
        <w:t>allumage, de la surveillance du système d</w:t>
      </w:r>
      <w:r w:rsidR="00DB4C2D">
        <w:rPr>
          <w:lang w:val="fr-FR"/>
        </w:rPr>
        <w:t>’</w:t>
      </w:r>
      <w:r w:rsidRPr="00A779B8">
        <w:rPr>
          <w:lang w:val="fr-FR"/>
        </w:rPr>
        <w:t>alimentation et de la surveillance complète des composants, les résultats de l</w:t>
      </w:r>
      <w:r w:rsidR="00DB4C2D">
        <w:rPr>
          <w:lang w:val="fr-FR"/>
        </w:rPr>
        <w:t>’</w:t>
      </w:r>
      <w:r w:rsidRPr="00A779B8">
        <w:rPr>
          <w:lang w:val="fr-FR"/>
        </w:rPr>
        <w:t>essai le plus récent subi par le véhicule et les limites par rapport auxquelles le système est comparé peuvent être obtenus par l</w:t>
      </w:r>
      <w:r w:rsidR="00DB4C2D">
        <w:rPr>
          <w:lang w:val="fr-FR"/>
        </w:rPr>
        <w:t>’</w:t>
      </w:r>
      <w:r w:rsidRPr="00A779B8">
        <w:rPr>
          <w:lang w:val="fr-FR"/>
        </w:rPr>
        <w:t xml:space="preserve">intermédiaire du port de série sur le connecteur de liaison de données normalisé, conformément aux spécifications indiquées au paragraphe 6.5.3 du présent appendice. En ce qui concerne les composants et systèmes </w:t>
      </w:r>
      <w:r w:rsidRPr="00A779B8">
        <w:rPr>
          <w:lang w:val="fr-FR"/>
        </w:rPr>
        <w:lastRenderedPageBreak/>
        <w:t>mentionnés c</w:t>
      </w:r>
      <w:r w:rsidR="001521AB">
        <w:rPr>
          <w:lang w:val="fr-FR"/>
        </w:rPr>
        <w:t>i</w:t>
      </w:r>
      <w:r w:rsidR="001521AB">
        <w:rPr>
          <w:lang w:val="fr-FR"/>
        </w:rPr>
        <w:noBreakHyphen/>
      </w:r>
      <w:r w:rsidRPr="00A779B8">
        <w:rPr>
          <w:lang w:val="fr-FR"/>
        </w:rPr>
        <w:t>dessus comme faisant l</w:t>
      </w:r>
      <w:r w:rsidR="00DB4C2D">
        <w:rPr>
          <w:lang w:val="fr-FR"/>
        </w:rPr>
        <w:t>’</w:t>
      </w:r>
      <w:r w:rsidRPr="00A779B8">
        <w:rPr>
          <w:lang w:val="fr-FR"/>
        </w:rPr>
        <w:t>objet d</w:t>
      </w:r>
      <w:r w:rsidR="00DB4C2D">
        <w:rPr>
          <w:lang w:val="fr-FR"/>
        </w:rPr>
        <w:t>’</w:t>
      </w:r>
      <w:r w:rsidRPr="00A779B8">
        <w:rPr>
          <w:lang w:val="fr-FR"/>
        </w:rPr>
        <w:t>une exception, une indication succès/échec pour l</w:t>
      </w:r>
      <w:r w:rsidR="00DB4C2D">
        <w:rPr>
          <w:lang w:val="fr-FR"/>
        </w:rPr>
        <w:t>’</w:t>
      </w:r>
      <w:r w:rsidRPr="00A779B8">
        <w:rPr>
          <w:lang w:val="fr-FR"/>
        </w:rPr>
        <w:t>essai le plus récent doit être disponible via le connecteur de liaison de données.</w:t>
      </w:r>
    </w:p>
    <w:p w:rsidR="005E010E" w:rsidRPr="00A779B8" w:rsidRDefault="005E010E" w:rsidP="005E010E">
      <w:pPr>
        <w:pStyle w:val="SingleTxtG"/>
        <w:spacing w:after="100" w:line="236" w:lineRule="atLeast"/>
        <w:ind w:left="2268"/>
        <w:rPr>
          <w:lang w:val="fr-FR"/>
        </w:rPr>
      </w:pPr>
      <w:r w:rsidRPr="00A779B8">
        <w:rPr>
          <w:lang w:val="fr-FR"/>
        </w:rPr>
        <w:tab/>
        <w:t xml:space="preserve">Toutes les données requises devant être enregistrées </w:t>
      </w:r>
      <w:r w:rsidRPr="00A779B8">
        <w:rPr>
          <w:rFonts w:eastAsia="MS Mincho"/>
          <w:lang w:val="fr-FR"/>
        </w:rPr>
        <w:t>en ce qui concerne</w:t>
      </w:r>
      <w:r w:rsidRPr="00A779B8">
        <w:rPr>
          <w:lang w:val="fr-FR"/>
        </w:rPr>
        <w:t xml:space="preserve"> l</w:t>
      </w:r>
      <w:r w:rsidR="00DB4C2D">
        <w:rPr>
          <w:lang w:val="fr-FR"/>
        </w:rPr>
        <w:t>’</w:t>
      </w:r>
      <w:r w:rsidRPr="00A779B8">
        <w:rPr>
          <w:lang w:val="fr-FR"/>
        </w:rPr>
        <w:t>efficacité en service du système OBD conformément au paragraphe 7.6 du présent appendice doivent être disponibles par l</w:t>
      </w:r>
      <w:r w:rsidR="00DB4C2D">
        <w:rPr>
          <w:lang w:val="fr-FR"/>
        </w:rPr>
        <w:t>’</w:t>
      </w:r>
      <w:r w:rsidRPr="00A779B8">
        <w:rPr>
          <w:lang w:val="fr-FR"/>
        </w:rPr>
        <w:t>intermédiaire du port série du connecteur de liaison de données normalisé conformément aux spécifications visées au paragraphe 6.5.3 du présent appendice.</w:t>
      </w:r>
    </w:p>
    <w:p w:rsidR="005E010E" w:rsidRPr="00A779B8" w:rsidRDefault="005E010E" w:rsidP="005E010E">
      <w:pPr>
        <w:pStyle w:val="SingleTxtG"/>
        <w:ind w:left="2268" w:hanging="1134"/>
        <w:rPr>
          <w:lang w:val="fr-FR"/>
        </w:rPr>
      </w:pPr>
      <w:r w:rsidRPr="00A779B8">
        <w:rPr>
          <w:lang w:val="fr-FR"/>
        </w:rPr>
        <w:t>6.5.1.4</w:t>
      </w:r>
      <w:r w:rsidRPr="00A779B8">
        <w:rPr>
          <w:lang w:val="fr-FR"/>
        </w:rPr>
        <w:tab/>
        <w:t>Les prescriptions OBD pour lesquelles le véhicule est homologué (c</w:t>
      </w:r>
      <w:r w:rsidR="00DB4C2D">
        <w:rPr>
          <w:lang w:val="fr-FR"/>
        </w:rPr>
        <w:t>’</w:t>
      </w:r>
      <w:r w:rsidR="001521AB">
        <w:rPr>
          <w:lang w:val="fr-FR"/>
        </w:rPr>
        <w:t>est</w:t>
      </w:r>
      <w:r w:rsidR="001521AB">
        <w:rPr>
          <w:lang w:val="fr-FR"/>
        </w:rPr>
        <w:noBreakHyphen/>
        <w:t>à</w:t>
      </w:r>
      <w:r w:rsidR="001521AB">
        <w:rPr>
          <w:lang w:val="fr-FR"/>
        </w:rPr>
        <w:noBreakHyphen/>
      </w:r>
      <w:r w:rsidRPr="00A779B8">
        <w:rPr>
          <w:lang w:val="fr-FR"/>
        </w:rPr>
        <w:t>dire celles de la présente annexe ou les prescriptions de rechange spécifiées au paragraphe 5 du présent Règlement), ainsi que les indications concernant les principaux systèmes antipollution surveillés par le système OBD, selon les indications données au paragraphe 6.5.3.3 du présent appendice, doivent être disponibles par l</w:t>
      </w:r>
      <w:r w:rsidR="00DB4C2D">
        <w:rPr>
          <w:lang w:val="fr-FR"/>
        </w:rPr>
        <w:t>’</w:t>
      </w:r>
      <w:r w:rsidRPr="00A779B8">
        <w:rPr>
          <w:lang w:val="fr-FR"/>
        </w:rPr>
        <w:t>intermédiaire du port série du connecteur de liaison de données normalisé, conformément aux spécifications données au paragraphe 6.5.3 du présent appendice.</w:t>
      </w:r>
    </w:p>
    <w:p w:rsidR="005E010E" w:rsidRPr="00A779B8" w:rsidRDefault="005E010E" w:rsidP="005E010E">
      <w:pPr>
        <w:pStyle w:val="SingleTxtG"/>
        <w:ind w:left="2268" w:hanging="1134"/>
        <w:rPr>
          <w:lang w:val="fr-FR"/>
        </w:rPr>
      </w:pPr>
      <w:r w:rsidRPr="00A779B8">
        <w:rPr>
          <w:lang w:val="fr-FR"/>
        </w:rPr>
        <w:t>6.5.1.5</w:t>
      </w:r>
      <w:r w:rsidRPr="00A779B8">
        <w:rPr>
          <w:lang w:val="fr-FR"/>
        </w:rPr>
        <w:tab/>
        <w:t>Pour tous les types de véhicules mis en circulation, le numéro d</w:t>
      </w:r>
      <w:r w:rsidR="00DB4C2D">
        <w:rPr>
          <w:lang w:val="fr-FR"/>
        </w:rPr>
        <w:t>’</w:t>
      </w:r>
      <w:r w:rsidRPr="00A779B8">
        <w:rPr>
          <w:lang w:val="fr-FR"/>
        </w:rPr>
        <w:t>identification de l</w:t>
      </w:r>
      <w:r w:rsidR="00DB4C2D">
        <w:rPr>
          <w:lang w:val="fr-FR"/>
        </w:rPr>
        <w:t>’</w:t>
      </w:r>
      <w:r w:rsidRPr="00A779B8">
        <w:rPr>
          <w:lang w:val="fr-FR"/>
        </w:rPr>
        <w:t>étalonnage par logiciel doit être communiqué par l</w:t>
      </w:r>
      <w:r w:rsidR="00DB4C2D">
        <w:rPr>
          <w:lang w:val="fr-FR"/>
        </w:rPr>
        <w:t>’</w:t>
      </w:r>
      <w:r w:rsidRPr="00A779B8">
        <w:rPr>
          <w:lang w:val="fr-FR"/>
        </w:rPr>
        <w:t>intermédiaire du port série du connecteur de liaison de données normalisé.</w:t>
      </w:r>
    </w:p>
    <w:p w:rsidR="005E010E" w:rsidRPr="00A779B8" w:rsidRDefault="005E010E" w:rsidP="005E010E">
      <w:pPr>
        <w:pStyle w:val="SingleTxtG"/>
        <w:ind w:left="2268" w:hanging="1134"/>
        <w:rPr>
          <w:lang w:val="fr-FR"/>
        </w:rPr>
      </w:pPr>
      <w:r w:rsidRPr="00A779B8">
        <w:rPr>
          <w:lang w:val="fr-FR"/>
        </w:rPr>
        <w:t>6.5.2</w:t>
      </w:r>
      <w:r w:rsidRPr="00A779B8">
        <w:rPr>
          <w:lang w:val="fr-FR"/>
        </w:rPr>
        <w:tab/>
        <w:t>Il n</w:t>
      </w:r>
      <w:r w:rsidR="00DB4C2D">
        <w:rPr>
          <w:lang w:val="fr-FR"/>
        </w:rPr>
        <w:t>’</w:t>
      </w:r>
      <w:r w:rsidRPr="00A779B8">
        <w:rPr>
          <w:lang w:val="fr-FR"/>
        </w:rPr>
        <w:t>est pas exigé du système de diagnostic qu</w:t>
      </w:r>
      <w:r w:rsidR="00DB4C2D">
        <w:rPr>
          <w:lang w:val="fr-FR"/>
        </w:rPr>
        <w:t>’</w:t>
      </w:r>
      <w:r w:rsidRPr="00A779B8">
        <w:rPr>
          <w:lang w:val="fr-FR"/>
        </w:rPr>
        <w:t>il évalue des composants en état de dysfonctionnement si cette évaluation risque de compromettre la sécurité ou de provoquer une panne du composant.</w:t>
      </w:r>
    </w:p>
    <w:p w:rsidR="005E010E" w:rsidRPr="00A779B8" w:rsidRDefault="005E010E" w:rsidP="005E010E">
      <w:pPr>
        <w:pStyle w:val="SingleTxtG"/>
        <w:ind w:left="2268" w:hanging="1134"/>
        <w:rPr>
          <w:lang w:val="fr-FR"/>
        </w:rPr>
      </w:pPr>
      <w:r w:rsidRPr="00A779B8">
        <w:rPr>
          <w:lang w:val="fr-FR"/>
        </w:rPr>
        <w:t>6.5.3</w:t>
      </w:r>
      <w:r w:rsidRPr="00A779B8">
        <w:rPr>
          <w:lang w:val="fr-FR"/>
        </w:rPr>
        <w:tab/>
        <w:t>L</w:t>
      </w:r>
      <w:r w:rsidR="00DB4C2D">
        <w:rPr>
          <w:lang w:val="fr-FR"/>
        </w:rPr>
        <w:t>’</w:t>
      </w:r>
      <w:r w:rsidRPr="00A779B8">
        <w:rPr>
          <w:lang w:val="fr-FR"/>
        </w:rPr>
        <w:t>accès au système de diagnostic doit être normalisé et illimité; le système doit être conforme aux normes ISO et/ou à la spécification SAE indiquées ci</w:t>
      </w:r>
      <w:r w:rsidRPr="00A779B8">
        <w:rPr>
          <w:lang w:val="fr-FR"/>
        </w:rPr>
        <w:noBreakHyphen/>
        <w:t>après.</w:t>
      </w:r>
    </w:p>
    <w:p w:rsidR="005E010E" w:rsidRPr="00A779B8" w:rsidRDefault="005E010E" w:rsidP="005E010E">
      <w:pPr>
        <w:pStyle w:val="SingleTxtG"/>
        <w:ind w:left="2268" w:hanging="1134"/>
        <w:rPr>
          <w:lang w:val="fr-FR"/>
        </w:rPr>
      </w:pPr>
      <w:r w:rsidRPr="00A779B8">
        <w:rPr>
          <w:lang w:val="fr-FR"/>
        </w:rPr>
        <w:t>6.5.3.1</w:t>
      </w:r>
      <w:r w:rsidRPr="00A779B8">
        <w:rPr>
          <w:lang w:val="fr-FR"/>
        </w:rPr>
        <w:tab/>
        <w:t>L</w:t>
      </w:r>
      <w:r w:rsidR="00DB4C2D">
        <w:rPr>
          <w:lang w:val="fr-FR"/>
        </w:rPr>
        <w:t>’</w:t>
      </w:r>
      <w:r w:rsidRPr="00A779B8">
        <w:rPr>
          <w:lang w:val="fr-FR"/>
        </w:rPr>
        <w:t>une des normes suivantes, avec les restrictions indiquées, doit être utilisée pour la liaison de données de l</w:t>
      </w:r>
      <w:r w:rsidR="00DB4C2D">
        <w:rPr>
          <w:lang w:val="fr-FR"/>
        </w:rPr>
        <w:t>’</w:t>
      </w:r>
      <w:r w:rsidRPr="00A779B8">
        <w:rPr>
          <w:lang w:val="fr-FR"/>
        </w:rPr>
        <w:t>ordinateur de bord avec un ordinateur externe:</w:t>
      </w:r>
    </w:p>
    <w:p w:rsidR="005E010E" w:rsidRPr="00A779B8" w:rsidRDefault="005E010E" w:rsidP="005E010E">
      <w:pPr>
        <w:pStyle w:val="SingleTxtG"/>
        <w:ind w:left="2268"/>
        <w:rPr>
          <w:lang w:val="fr-FR"/>
        </w:rPr>
      </w:pPr>
      <w:r w:rsidRPr="00A779B8">
        <w:rPr>
          <w:lang w:val="fr-FR"/>
        </w:rPr>
        <w:tab/>
        <w:t>ISO 9141-2: 1994 (modifiée en 1996) «Véhicules routiers − Systèmes de diagnostic − Partie 2: Caractéristiques CARB de l</w:t>
      </w:r>
      <w:r w:rsidR="00DB4C2D">
        <w:rPr>
          <w:lang w:val="fr-FR"/>
        </w:rPr>
        <w:t>’</w:t>
      </w:r>
      <w:r w:rsidRPr="00A779B8">
        <w:rPr>
          <w:lang w:val="fr-FR"/>
        </w:rPr>
        <w:t>échange de données numériques»;</w:t>
      </w:r>
    </w:p>
    <w:p w:rsidR="005E010E" w:rsidRPr="00A779B8" w:rsidRDefault="005E010E" w:rsidP="005E010E">
      <w:pPr>
        <w:pStyle w:val="SingleTxtG"/>
        <w:ind w:left="2268"/>
        <w:rPr>
          <w:lang w:val="fr-FR"/>
        </w:rPr>
      </w:pPr>
      <w:r w:rsidRPr="00A779B8">
        <w:rPr>
          <w:lang w:val="fr-FR"/>
        </w:rPr>
        <w:tab/>
        <w:t>SAE J1850: mars 1998 − Communication de données de classe B «Interface de réseau». Les messages relatifs aux émissions doivent utiliser le contrôle de redondance cyclique et l</w:t>
      </w:r>
      <w:r w:rsidR="00DB4C2D">
        <w:rPr>
          <w:lang w:val="fr-FR"/>
        </w:rPr>
        <w:t>’</w:t>
      </w:r>
      <w:r w:rsidRPr="00A779B8">
        <w:rPr>
          <w:lang w:val="fr-FR"/>
        </w:rPr>
        <w:t xml:space="preserve">en-tête à trois octets, mais pas la séparation </w:t>
      </w:r>
      <w:proofErr w:type="spellStart"/>
      <w:r w:rsidRPr="00A779B8">
        <w:rPr>
          <w:lang w:val="fr-FR"/>
        </w:rPr>
        <w:t>interoctets</w:t>
      </w:r>
      <w:proofErr w:type="spellEnd"/>
      <w:r w:rsidRPr="00A779B8">
        <w:rPr>
          <w:lang w:val="fr-FR"/>
        </w:rPr>
        <w:t xml:space="preserve"> ni le total de contrôle;</w:t>
      </w:r>
    </w:p>
    <w:p w:rsidR="005E010E" w:rsidRPr="00A779B8" w:rsidRDefault="005E010E" w:rsidP="005E010E">
      <w:pPr>
        <w:pStyle w:val="SingleTxtG"/>
        <w:ind w:left="2268"/>
        <w:rPr>
          <w:lang w:val="fr-FR"/>
        </w:rPr>
      </w:pPr>
      <w:r w:rsidRPr="00A779B8">
        <w:rPr>
          <w:lang w:val="fr-FR"/>
        </w:rPr>
        <w:tab/>
        <w:t>ISO 14230 − Partie 4: «Véhicules routiers − Systèmes de diagnostic − Protocole “Keyword 2000” − Partie 4: Exigences pour les systèmes relatifs aux émissions»;</w:t>
      </w:r>
    </w:p>
    <w:p w:rsidR="005E010E" w:rsidRPr="00A779B8" w:rsidRDefault="005E010E" w:rsidP="005E010E">
      <w:pPr>
        <w:pStyle w:val="SingleTxtG"/>
        <w:ind w:left="2268"/>
        <w:rPr>
          <w:lang w:val="fr-FR"/>
        </w:rPr>
      </w:pPr>
      <w:r w:rsidRPr="00A779B8">
        <w:rPr>
          <w:lang w:val="fr-FR"/>
        </w:rPr>
        <w:tab/>
        <w:t>ISO DIS 15765-4 «Véhicules routiers − Systèmes de diagnostic sur CAN − Partie 4: Exigences pour les systèmes relatifs aux émissions» du 1</w:t>
      </w:r>
      <w:r w:rsidRPr="00A779B8">
        <w:rPr>
          <w:vertAlign w:val="superscript"/>
          <w:lang w:val="fr-FR"/>
        </w:rPr>
        <w:t>er </w:t>
      </w:r>
      <w:r w:rsidRPr="00A779B8">
        <w:rPr>
          <w:lang w:val="fr-FR"/>
        </w:rPr>
        <w:t>novembre 2001.</w:t>
      </w:r>
    </w:p>
    <w:p w:rsidR="005E010E" w:rsidRPr="00A779B8" w:rsidRDefault="005E010E" w:rsidP="005E010E">
      <w:pPr>
        <w:pStyle w:val="SingleTxtG"/>
        <w:ind w:left="2268" w:hanging="1134"/>
        <w:rPr>
          <w:lang w:val="fr-FR"/>
        </w:rPr>
      </w:pPr>
      <w:r w:rsidRPr="00A779B8">
        <w:rPr>
          <w:lang w:val="fr-FR"/>
        </w:rPr>
        <w:t>6.5.3.2</w:t>
      </w:r>
      <w:r w:rsidRPr="00A779B8">
        <w:rPr>
          <w:lang w:val="fr-FR"/>
        </w:rPr>
        <w:tab/>
        <w:t>L</w:t>
      </w:r>
      <w:r w:rsidR="00DB4C2D">
        <w:rPr>
          <w:lang w:val="fr-FR"/>
        </w:rPr>
        <w:t>’</w:t>
      </w:r>
      <w:r w:rsidRPr="00A779B8">
        <w:rPr>
          <w:lang w:val="fr-FR"/>
        </w:rPr>
        <w:t>appareillage d</w:t>
      </w:r>
      <w:r w:rsidR="00DB4C2D">
        <w:rPr>
          <w:lang w:val="fr-FR"/>
        </w:rPr>
        <w:t>’</w:t>
      </w:r>
      <w:r w:rsidRPr="00A779B8">
        <w:rPr>
          <w:lang w:val="fr-FR"/>
        </w:rPr>
        <w:t>essai et les outils de diagnostic nécessaires pour communiquer avec le système d</w:t>
      </w:r>
      <w:r w:rsidR="00DB4C2D">
        <w:rPr>
          <w:lang w:val="fr-FR"/>
        </w:rPr>
        <w:t>’</w:t>
      </w:r>
      <w:r w:rsidRPr="00A779B8">
        <w:rPr>
          <w:lang w:val="fr-FR"/>
        </w:rPr>
        <w:t>autodiagnostic doivent au moins respecter les spécifications fonctionnelles données dans la norme ISO DIS 15031-4 «Véhicules routiers − Communication entre un véhicule et un équipement externe pour le diagnostic relatif aux émissions − Partie 4: Dispositif d</w:t>
      </w:r>
      <w:r w:rsidR="00DB4C2D">
        <w:rPr>
          <w:lang w:val="fr-FR"/>
        </w:rPr>
        <w:t>’</w:t>
      </w:r>
      <w:r w:rsidRPr="00A779B8">
        <w:rPr>
          <w:lang w:val="fr-FR"/>
        </w:rPr>
        <w:t>essai externe» du 1</w:t>
      </w:r>
      <w:r w:rsidRPr="00A779B8">
        <w:rPr>
          <w:vertAlign w:val="superscript"/>
          <w:lang w:val="fr-FR"/>
        </w:rPr>
        <w:t>er</w:t>
      </w:r>
      <w:r w:rsidRPr="00A779B8">
        <w:rPr>
          <w:lang w:val="fr-FR"/>
        </w:rPr>
        <w:t> novembre 2001.</w:t>
      </w:r>
    </w:p>
    <w:p w:rsidR="005E010E" w:rsidRPr="00A779B8" w:rsidRDefault="005E010E" w:rsidP="005E010E">
      <w:pPr>
        <w:pStyle w:val="SingleTxtG"/>
        <w:spacing w:after="100" w:line="238" w:lineRule="atLeast"/>
        <w:ind w:left="2268" w:hanging="1134"/>
        <w:rPr>
          <w:lang w:val="fr-FR"/>
        </w:rPr>
      </w:pPr>
      <w:r w:rsidRPr="00A779B8">
        <w:rPr>
          <w:lang w:val="fr-FR"/>
        </w:rPr>
        <w:lastRenderedPageBreak/>
        <w:t>6.5.3.3</w:t>
      </w:r>
      <w:r w:rsidRPr="00A779B8">
        <w:rPr>
          <w:lang w:val="fr-FR"/>
        </w:rPr>
        <w:tab/>
        <w:t>Les données de diagnostic de base (spécifiées aux paragraphes 6.5.1.1 à 6.5.1.5 du présent appendice) et les informations de contrôle bidirectionnel doivent impérativement être fournies selon le format et en utilisant les unités prévues dans la norme ISO DIS 15031-5 «Véhicules routiers − Communication entre un véhicule et un équipement externe pour le diagnostic relatif aux émissions − Partie 5: Services de diagnostic relatif aux émissions» du 1</w:t>
      </w:r>
      <w:r w:rsidRPr="00A779B8">
        <w:rPr>
          <w:vertAlign w:val="superscript"/>
          <w:lang w:val="fr-FR"/>
        </w:rPr>
        <w:t>er</w:t>
      </w:r>
      <w:r w:rsidRPr="00A779B8">
        <w:rPr>
          <w:lang w:val="fr-FR"/>
        </w:rPr>
        <w:t> novembre 2001 et être accessibles au moyen d</w:t>
      </w:r>
      <w:r w:rsidR="00DB4C2D">
        <w:rPr>
          <w:lang w:val="fr-FR"/>
        </w:rPr>
        <w:t>’</w:t>
      </w:r>
      <w:r w:rsidRPr="00A779B8">
        <w:rPr>
          <w:lang w:val="fr-FR"/>
        </w:rPr>
        <w:t>un outil de diagnostic respectant les prescriptions de l</w:t>
      </w:r>
      <w:r w:rsidR="00DB4C2D">
        <w:rPr>
          <w:lang w:val="fr-FR"/>
        </w:rPr>
        <w:t>’</w:t>
      </w:r>
      <w:r w:rsidRPr="00A779B8">
        <w:rPr>
          <w:lang w:val="fr-FR"/>
        </w:rPr>
        <w:t>ISO DIS 15031-4.</w:t>
      </w:r>
    </w:p>
    <w:p w:rsidR="005E010E" w:rsidRPr="00A779B8" w:rsidRDefault="005E010E" w:rsidP="005E010E">
      <w:pPr>
        <w:pStyle w:val="SingleTxtG"/>
        <w:keepLines/>
        <w:spacing w:after="100" w:line="238" w:lineRule="atLeast"/>
        <w:ind w:left="2268"/>
        <w:rPr>
          <w:lang w:val="fr-FR"/>
        </w:rPr>
      </w:pPr>
      <w:r w:rsidRPr="00A779B8">
        <w:rPr>
          <w:lang w:val="fr-FR"/>
        </w:rPr>
        <w:tab/>
        <w:t>Le constructeur doit communiquer à l</w:t>
      </w:r>
      <w:r w:rsidR="00DB4C2D">
        <w:rPr>
          <w:lang w:val="fr-FR"/>
        </w:rPr>
        <w:t>’</w:t>
      </w:r>
      <w:r w:rsidRPr="00A779B8">
        <w:rPr>
          <w:lang w:val="fr-FR"/>
        </w:rPr>
        <w:t>organisme national de normalisation des données détaillées de diagnostic relatif aux émissions, par exemple, PID, «Id de moniteur d</w:t>
      </w:r>
      <w:r w:rsidR="00DB4C2D">
        <w:rPr>
          <w:lang w:val="fr-FR"/>
        </w:rPr>
        <w:t>’</w:t>
      </w:r>
      <w:r w:rsidRPr="00A779B8">
        <w:rPr>
          <w:lang w:val="fr-FR"/>
        </w:rPr>
        <w:t>autodiagnostic», «Test Id» non spécifiés dans l</w:t>
      </w:r>
      <w:r w:rsidR="00DB4C2D">
        <w:rPr>
          <w:lang w:val="fr-FR"/>
        </w:rPr>
        <w:t>’</w:t>
      </w:r>
      <w:r w:rsidRPr="00A779B8">
        <w:rPr>
          <w:lang w:val="fr-FR"/>
        </w:rPr>
        <w:t>ISO DIS 15031-5 mais liés au présent Règlement.</w:t>
      </w:r>
    </w:p>
    <w:p w:rsidR="005E010E" w:rsidRPr="00A779B8" w:rsidRDefault="005E010E" w:rsidP="005E010E">
      <w:pPr>
        <w:pStyle w:val="SingleTxtG"/>
        <w:spacing w:after="100" w:line="238" w:lineRule="atLeast"/>
        <w:ind w:left="2268" w:hanging="1134"/>
        <w:rPr>
          <w:lang w:val="fr-FR"/>
        </w:rPr>
      </w:pPr>
      <w:r w:rsidRPr="00A779B8">
        <w:rPr>
          <w:lang w:val="fr-FR"/>
        </w:rPr>
        <w:t>6.5.3.4</w:t>
      </w:r>
      <w:r w:rsidRPr="00A779B8">
        <w:rPr>
          <w:lang w:val="fr-FR"/>
        </w:rPr>
        <w:tab/>
        <w:t>Lorsqu</w:t>
      </w:r>
      <w:r w:rsidR="00DB4C2D">
        <w:rPr>
          <w:lang w:val="fr-FR"/>
        </w:rPr>
        <w:t>’</w:t>
      </w:r>
      <w:r w:rsidRPr="00A779B8">
        <w:rPr>
          <w:lang w:val="fr-FR"/>
        </w:rPr>
        <w:t>une erreur est enregistrée, le constructeur doit l</w:t>
      </w:r>
      <w:r w:rsidR="00DB4C2D">
        <w:rPr>
          <w:lang w:val="fr-FR"/>
        </w:rPr>
        <w:t>’</w:t>
      </w:r>
      <w:r w:rsidRPr="00A779B8">
        <w:rPr>
          <w:lang w:val="fr-FR"/>
        </w:rPr>
        <w:t>identifier en utilisant un code d</w:t>
      </w:r>
      <w:r w:rsidR="00DB4C2D">
        <w:rPr>
          <w:lang w:val="fr-FR"/>
        </w:rPr>
        <w:t>’</w:t>
      </w:r>
      <w:r w:rsidRPr="00A779B8">
        <w:rPr>
          <w:lang w:val="fr-FR"/>
        </w:rPr>
        <w:t>erreur approprié conforme à ceux figurant à la section 6.3 de la norme ISO DIS 15301-6 «Véhicules routiers − Communication entre un véhicule et un équipement externe pour le diagnostic relatif aux émissions − Partie 6: Définitions des codes d</w:t>
      </w:r>
      <w:r w:rsidR="00DB4C2D">
        <w:rPr>
          <w:lang w:val="fr-FR"/>
        </w:rPr>
        <w:t>’</w:t>
      </w:r>
      <w:r w:rsidRPr="00A779B8">
        <w:rPr>
          <w:lang w:val="fr-FR"/>
        </w:rPr>
        <w:t>anomalie» concernant les «codes d</w:t>
      </w:r>
      <w:r w:rsidR="00DB4C2D">
        <w:rPr>
          <w:lang w:val="fr-FR"/>
        </w:rPr>
        <w:t>’</w:t>
      </w:r>
      <w:r w:rsidRPr="00A779B8">
        <w:rPr>
          <w:lang w:val="fr-FR"/>
        </w:rPr>
        <w:t>anomalie du système de diagnostic relatif aux émissions». Si cela est impossible, le constructeur peut utiliser des codes d</w:t>
      </w:r>
      <w:r w:rsidR="00DB4C2D">
        <w:rPr>
          <w:lang w:val="fr-FR"/>
        </w:rPr>
        <w:t>’</w:t>
      </w:r>
      <w:r w:rsidRPr="00A779B8">
        <w:rPr>
          <w:lang w:val="fr-FR"/>
        </w:rPr>
        <w:t>anomalie visés aux sections 5.3 et 5.6 de la norme ISO DIS 15031-6. L</w:t>
      </w:r>
      <w:r w:rsidR="00DB4C2D">
        <w:rPr>
          <w:lang w:val="fr-FR"/>
        </w:rPr>
        <w:t>’</w:t>
      </w:r>
      <w:r w:rsidRPr="00A779B8">
        <w:rPr>
          <w:lang w:val="fr-FR"/>
        </w:rPr>
        <w:t>accès aux codes d</w:t>
      </w:r>
      <w:r w:rsidR="00DB4C2D">
        <w:rPr>
          <w:lang w:val="fr-FR"/>
        </w:rPr>
        <w:t>’</w:t>
      </w:r>
      <w:r w:rsidRPr="00A779B8">
        <w:rPr>
          <w:lang w:val="fr-FR"/>
        </w:rPr>
        <w:t>erreur doit être possible par le biais d</w:t>
      </w:r>
      <w:r w:rsidR="00DB4C2D">
        <w:rPr>
          <w:lang w:val="fr-FR"/>
        </w:rPr>
        <w:t>’</w:t>
      </w:r>
      <w:r w:rsidRPr="00A779B8">
        <w:rPr>
          <w:lang w:val="fr-FR"/>
        </w:rPr>
        <w:t>un appareillage de diagnostic normalisé conforme aux dispositions du paragraphe 6.5.3.2 de la présente annexe.</w:t>
      </w:r>
    </w:p>
    <w:p w:rsidR="005E010E" w:rsidRPr="00A779B8" w:rsidRDefault="005E010E" w:rsidP="005E010E">
      <w:pPr>
        <w:pStyle w:val="SingleTxtG"/>
        <w:spacing w:after="100" w:line="238" w:lineRule="atLeast"/>
        <w:ind w:left="2268"/>
        <w:rPr>
          <w:lang w:val="fr-FR"/>
        </w:rPr>
      </w:pPr>
      <w:r w:rsidRPr="00A779B8">
        <w:rPr>
          <w:lang w:val="fr-FR"/>
        </w:rPr>
        <w:tab/>
        <w:t>Le constructeur doit communiquer à l</w:t>
      </w:r>
      <w:r w:rsidR="00DB4C2D">
        <w:rPr>
          <w:lang w:val="fr-FR"/>
        </w:rPr>
        <w:t>’</w:t>
      </w:r>
      <w:r w:rsidRPr="00A779B8">
        <w:rPr>
          <w:lang w:val="fr-FR"/>
        </w:rPr>
        <w:t>organisme national de normalisation des données détaillées de diagnostic relatif aux émissions, par exemple, PID, «Id de moniteur d</w:t>
      </w:r>
      <w:r w:rsidR="00DB4C2D">
        <w:rPr>
          <w:lang w:val="fr-FR"/>
        </w:rPr>
        <w:t>’</w:t>
      </w:r>
      <w:r w:rsidRPr="00A779B8">
        <w:rPr>
          <w:lang w:val="fr-FR"/>
        </w:rPr>
        <w:t>autodiagnostic», «Test Id» non spécifiés dans l</w:t>
      </w:r>
      <w:r w:rsidR="00DB4C2D">
        <w:rPr>
          <w:lang w:val="fr-FR"/>
        </w:rPr>
        <w:t>’</w:t>
      </w:r>
      <w:r w:rsidRPr="00A779B8">
        <w:rPr>
          <w:lang w:val="fr-FR"/>
        </w:rPr>
        <w:t>ISO DIS 15031-5 mais liés au présent Règlement.</w:t>
      </w:r>
    </w:p>
    <w:p w:rsidR="005E010E" w:rsidRPr="00A779B8" w:rsidRDefault="005E010E" w:rsidP="005E010E">
      <w:pPr>
        <w:pStyle w:val="SingleTxtG"/>
        <w:spacing w:after="100" w:line="238" w:lineRule="atLeast"/>
        <w:ind w:left="2268" w:hanging="1134"/>
        <w:rPr>
          <w:lang w:val="fr-FR"/>
        </w:rPr>
      </w:pPr>
      <w:r w:rsidRPr="00A779B8">
        <w:rPr>
          <w:lang w:val="fr-FR"/>
        </w:rPr>
        <w:t>6.5.3.5</w:t>
      </w:r>
      <w:r w:rsidRPr="00A779B8">
        <w:rPr>
          <w:lang w:val="fr-FR"/>
        </w:rPr>
        <w:tab/>
        <w:t>L</w:t>
      </w:r>
      <w:r w:rsidR="00DB4C2D">
        <w:rPr>
          <w:lang w:val="fr-FR"/>
        </w:rPr>
        <w:t>’</w:t>
      </w:r>
      <w:r w:rsidRPr="00A779B8">
        <w:rPr>
          <w:lang w:val="fr-FR"/>
        </w:rPr>
        <w:t>interface de connexion entre le véhicule et le banc de diagnostic doit être normalisée et respecter toutes les spécifications de la norme ISO DIS 15031</w:t>
      </w:r>
      <w:r w:rsidRPr="00A779B8">
        <w:rPr>
          <w:lang w:val="fr-FR"/>
        </w:rPr>
        <w:noBreakHyphen/>
        <w:t>3 «Véhicules routiers − Communication entre un véhicule et un équipement externe pour le diagnostic relatif aux émissions − Partie 3: Connecteur de diagnostic et circuits électriques associés; spécifications et utilisation», du 1</w:t>
      </w:r>
      <w:r w:rsidRPr="00A779B8">
        <w:rPr>
          <w:vertAlign w:val="superscript"/>
          <w:lang w:val="fr-FR"/>
        </w:rPr>
        <w:t>er</w:t>
      </w:r>
      <w:r w:rsidRPr="00A779B8">
        <w:rPr>
          <w:lang w:val="fr-FR"/>
        </w:rPr>
        <w:t> novembre 2001. L</w:t>
      </w:r>
      <w:r w:rsidR="00DB4C2D">
        <w:rPr>
          <w:lang w:val="fr-FR"/>
        </w:rPr>
        <w:t>’</w:t>
      </w:r>
      <w:r w:rsidRPr="00A779B8">
        <w:rPr>
          <w:lang w:val="fr-FR"/>
        </w:rPr>
        <w:t>emplacement choisi pour le montage doit être approuvé par l</w:t>
      </w:r>
      <w:r w:rsidR="00DB4C2D">
        <w:rPr>
          <w:lang w:val="fr-FR"/>
        </w:rPr>
        <w:t>’</w:t>
      </w:r>
      <w:r w:rsidRPr="00A779B8">
        <w:rPr>
          <w:lang w:val="fr-FR"/>
        </w:rPr>
        <w:t>autorité d</w:t>
      </w:r>
      <w:r w:rsidR="00DB4C2D">
        <w:rPr>
          <w:lang w:val="fr-FR"/>
        </w:rPr>
        <w:t>’</w:t>
      </w:r>
      <w:r w:rsidRPr="00A779B8">
        <w:rPr>
          <w:lang w:val="fr-FR"/>
        </w:rPr>
        <w:t>homologation de type: il doit être facilement accessible au personnel de service, mais doit être protégé contre une utilisation non autorisée.</w:t>
      </w:r>
    </w:p>
    <w:p w:rsidR="005E010E" w:rsidRPr="00A779B8" w:rsidRDefault="005E010E" w:rsidP="005E010E">
      <w:pPr>
        <w:pStyle w:val="SingleTxtG"/>
        <w:spacing w:after="100" w:line="238" w:lineRule="atLeast"/>
        <w:ind w:left="2268" w:hanging="1134"/>
        <w:rPr>
          <w:lang w:val="fr-FR"/>
        </w:rPr>
      </w:pPr>
      <w:r w:rsidRPr="00A779B8">
        <w:rPr>
          <w:lang w:val="fr-FR"/>
        </w:rPr>
        <w:t>6.5.3.6</w:t>
      </w:r>
      <w:r w:rsidRPr="00A779B8">
        <w:rPr>
          <w:lang w:val="fr-FR"/>
        </w:rPr>
        <w:tab/>
        <w:t>Le constructeur doit également rendre accessibles les informations techniques nécessaires à la réparation ou à l</w:t>
      </w:r>
      <w:r w:rsidR="00DB4C2D">
        <w:rPr>
          <w:lang w:val="fr-FR"/>
        </w:rPr>
        <w:t>’</w:t>
      </w:r>
      <w:r w:rsidRPr="00A779B8">
        <w:rPr>
          <w:lang w:val="fr-FR"/>
        </w:rPr>
        <w:t>entretien des véhicules, le cas échéant à titre onéreux, à moins que ces informations soient couvertes par un droit de propriété intellectuelle ou constituent un savoir-faire secret, substantiel et identifié, auquel cas on ne peut refuser de façon abusive de communiquer les informations techniques nécessaires.</w:t>
      </w:r>
    </w:p>
    <w:p w:rsidR="005E010E" w:rsidRPr="00A779B8" w:rsidRDefault="005E010E" w:rsidP="005E010E">
      <w:pPr>
        <w:pStyle w:val="SingleTxtG"/>
        <w:spacing w:after="100" w:line="238" w:lineRule="atLeast"/>
        <w:ind w:left="2268"/>
        <w:rPr>
          <w:lang w:val="fr-FR"/>
        </w:rPr>
      </w:pPr>
      <w:r w:rsidRPr="00A779B8">
        <w:rPr>
          <w:lang w:val="fr-FR"/>
        </w:rPr>
        <w:tab/>
        <w:t>Toutes les personnes dont la profession est de réparer, d</w:t>
      </w:r>
      <w:r w:rsidR="00DB4C2D">
        <w:rPr>
          <w:lang w:val="fr-FR"/>
        </w:rPr>
        <w:t>’</w:t>
      </w:r>
      <w:r w:rsidRPr="00A779B8">
        <w:rPr>
          <w:lang w:val="fr-FR"/>
        </w:rPr>
        <w:t>entretenir, de dépanner, d</w:t>
      </w:r>
      <w:r w:rsidR="00DB4C2D">
        <w:rPr>
          <w:lang w:val="fr-FR"/>
        </w:rPr>
        <w:t>’</w:t>
      </w:r>
      <w:r w:rsidRPr="00A779B8">
        <w:rPr>
          <w:lang w:val="fr-FR"/>
        </w:rPr>
        <w:t>inspecter ou de tester les véhicules, de fabriquer ou de vendre des pièces de rechange ou des accessoires, des outils de diagnostic et des équipements d</w:t>
      </w:r>
      <w:r w:rsidR="00DB4C2D">
        <w:rPr>
          <w:lang w:val="fr-FR"/>
        </w:rPr>
        <w:t>’</w:t>
      </w:r>
      <w:r w:rsidRPr="00A779B8">
        <w:rPr>
          <w:lang w:val="fr-FR"/>
        </w:rPr>
        <w:t>essai, sont habilitées à accéder à ces informations.</w:t>
      </w:r>
    </w:p>
    <w:p w:rsidR="005E010E" w:rsidRPr="00A779B8" w:rsidRDefault="005E010E" w:rsidP="005E010E">
      <w:pPr>
        <w:pStyle w:val="SingleTxtG"/>
        <w:keepNext/>
        <w:spacing w:after="100" w:line="238" w:lineRule="atLeast"/>
        <w:ind w:left="2268" w:hanging="1134"/>
        <w:jc w:val="left"/>
        <w:rPr>
          <w:lang w:val="fr-FR"/>
        </w:rPr>
      </w:pPr>
      <w:r w:rsidRPr="00A779B8">
        <w:rPr>
          <w:lang w:val="fr-FR"/>
        </w:rPr>
        <w:t>7.</w:t>
      </w:r>
      <w:r w:rsidRPr="00A779B8">
        <w:rPr>
          <w:lang w:val="fr-FR"/>
        </w:rPr>
        <w:tab/>
        <w:t>Rapport de réalisation en service</w:t>
      </w:r>
    </w:p>
    <w:p w:rsidR="005E010E" w:rsidRPr="00A779B8" w:rsidRDefault="005E010E" w:rsidP="005E010E">
      <w:pPr>
        <w:pStyle w:val="SingleTxtG"/>
        <w:keepNext/>
        <w:spacing w:after="100" w:line="238" w:lineRule="atLeast"/>
        <w:ind w:left="2268" w:hanging="1134"/>
        <w:jc w:val="left"/>
        <w:rPr>
          <w:bCs/>
          <w:lang w:val="fr-FR"/>
        </w:rPr>
      </w:pPr>
      <w:r w:rsidRPr="00A779B8">
        <w:rPr>
          <w:lang w:val="fr-FR"/>
        </w:rPr>
        <w:t>7.1</w:t>
      </w:r>
      <w:r w:rsidRPr="00A779B8">
        <w:rPr>
          <w:lang w:val="fr-FR"/>
        </w:rPr>
        <w:tab/>
      </w:r>
      <w:r w:rsidRPr="00A779B8">
        <w:rPr>
          <w:bCs/>
          <w:lang w:val="fr-FR"/>
        </w:rPr>
        <w:t>Prescriptions générales</w:t>
      </w:r>
    </w:p>
    <w:p w:rsidR="005E010E" w:rsidRPr="00A779B8" w:rsidRDefault="005E010E" w:rsidP="005E010E">
      <w:pPr>
        <w:pStyle w:val="SingleTxtG"/>
        <w:spacing w:after="100" w:line="238" w:lineRule="atLeast"/>
        <w:ind w:left="2268" w:hanging="1134"/>
        <w:rPr>
          <w:lang w:val="fr-FR"/>
        </w:rPr>
      </w:pPr>
      <w:r w:rsidRPr="00A779B8">
        <w:rPr>
          <w:lang w:val="fr-FR"/>
        </w:rPr>
        <w:t>7.1.1</w:t>
      </w:r>
      <w:r w:rsidRPr="00A779B8">
        <w:rPr>
          <w:lang w:val="fr-FR"/>
        </w:rPr>
        <w:tab/>
        <w:t xml:space="preserve">Chaque surveillance du système OBD doit être réalisée au moins une fois par cycle de conduite répondant aux conditions de surveillance visées au paragraphe 7.2 ci-dessous. Les constructeurs peuvent également utiliser le </w:t>
      </w:r>
      <w:r w:rsidRPr="00A779B8">
        <w:rPr>
          <w:lang w:val="fr-FR"/>
        </w:rPr>
        <w:lastRenderedPageBreak/>
        <w:t>rapport calculé (ou un élément quelconque de celui-ci) ou toute autre indication de la fréquence des conditions</w:t>
      </w:r>
      <w:r w:rsidR="008F40B6">
        <w:rPr>
          <w:lang w:val="fr-FR"/>
        </w:rPr>
        <w:t xml:space="preserve"> déclenchant les modes de </w:t>
      </w:r>
      <w:r w:rsidRPr="00A779B8">
        <w:rPr>
          <w:lang w:val="fr-FR"/>
        </w:rPr>
        <w:t>surveillance.</w:t>
      </w:r>
    </w:p>
    <w:p w:rsidR="005E010E" w:rsidRPr="00A779B8" w:rsidRDefault="005E010E" w:rsidP="005E010E">
      <w:pPr>
        <w:pStyle w:val="SingleTxtG"/>
        <w:keepNext/>
        <w:ind w:left="2268" w:hanging="1134"/>
        <w:rPr>
          <w:lang w:val="fr-FR"/>
        </w:rPr>
      </w:pPr>
      <w:r w:rsidRPr="00A779B8">
        <w:rPr>
          <w:lang w:val="fr-FR"/>
        </w:rPr>
        <w:t>7.1.2</w:t>
      </w:r>
      <w:r w:rsidRPr="00A779B8">
        <w:rPr>
          <w:lang w:val="fr-FR"/>
        </w:rPr>
        <w:tab/>
        <w:t>Le rapport de réalisation en service (IUPR) d</w:t>
      </w:r>
      <w:r w:rsidR="00DB4C2D">
        <w:rPr>
          <w:lang w:val="fr-FR"/>
        </w:rPr>
        <w:t>’</w:t>
      </w:r>
      <w:r w:rsidRPr="00A779B8">
        <w:rPr>
          <w:lang w:val="fr-FR"/>
        </w:rPr>
        <w:t>une surveillance spécifique M du système OBD ou dispositif antipollution est défini comme suit:</w:t>
      </w:r>
    </w:p>
    <w:p w:rsidR="005E010E" w:rsidRPr="00A779B8" w:rsidRDefault="005E010E" w:rsidP="005E010E">
      <w:pPr>
        <w:pStyle w:val="SingleTxtG"/>
        <w:tabs>
          <w:tab w:val="left" w:pos="3119"/>
          <w:tab w:val="left" w:pos="3403"/>
        </w:tabs>
        <w:ind w:left="2268"/>
        <w:jc w:val="left"/>
        <w:rPr>
          <w:lang w:val="fr-FR"/>
        </w:rPr>
      </w:pPr>
      <w:r w:rsidRPr="00A779B8">
        <w:rPr>
          <w:lang w:val="fr-FR"/>
        </w:rPr>
        <w:t>IUPR</w:t>
      </w:r>
      <w:r w:rsidRPr="00A779B8">
        <w:rPr>
          <w:vertAlign w:val="subscript"/>
          <w:lang w:val="fr-FR"/>
        </w:rPr>
        <w:t>M </w:t>
      </w:r>
      <w:r w:rsidRPr="00A779B8">
        <w:rPr>
          <w:lang w:val="fr-FR"/>
        </w:rPr>
        <w:t>= </w:t>
      </w:r>
      <w:proofErr w:type="spellStart"/>
      <w:r w:rsidRPr="00A779B8">
        <w:rPr>
          <w:lang w:val="fr-FR"/>
        </w:rPr>
        <w:t>numérateur</w:t>
      </w:r>
      <w:r w:rsidRPr="00A779B8">
        <w:rPr>
          <w:vertAlign w:val="subscript"/>
          <w:lang w:val="fr-FR"/>
        </w:rPr>
        <w:t>M</w:t>
      </w:r>
      <w:proofErr w:type="spellEnd"/>
      <w:r w:rsidRPr="00A779B8">
        <w:rPr>
          <w:lang w:val="fr-FR"/>
        </w:rPr>
        <w:t>/</w:t>
      </w:r>
      <w:proofErr w:type="spellStart"/>
      <w:r w:rsidRPr="00A779B8">
        <w:rPr>
          <w:lang w:val="fr-FR"/>
        </w:rPr>
        <w:t>dénominateur</w:t>
      </w:r>
      <w:r w:rsidRPr="00A779B8">
        <w:rPr>
          <w:vertAlign w:val="subscript"/>
          <w:lang w:val="fr-FR"/>
        </w:rPr>
        <w:t>M</w:t>
      </w:r>
      <w:proofErr w:type="spellEnd"/>
    </w:p>
    <w:p w:rsidR="005E010E" w:rsidRPr="00A779B8" w:rsidRDefault="005E010E" w:rsidP="005E010E">
      <w:pPr>
        <w:pStyle w:val="SingleTxtG"/>
        <w:ind w:left="2268" w:hanging="1134"/>
        <w:rPr>
          <w:lang w:val="fr-FR"/>
        </w:rPr>
      </w:pPr>
      <w:r w:rsidRPr="00A779B8">
        <w:rPr>
          <w:lang w:val="fr-FR"/>
        </w:rPr>
        <w:t>7.1.3</w:t>
      </w:r>
      <w:r w:rsidRPr="00A779B8">
        <w:rPr>
          <w:lang w:val="fr-FR"/>
        </w:rPr>
        <w:tab/>
        <w:t>La comparaison entre le numérateur et le dénominateur donne une indication de la fréquence d</w:t>
      </w:r>
      <w:r w:rsidR="00DB4C2D">
        <w:rPr>
          <w:lang w:val="fr-FR"/>
        </w:rPr>
        <w:t>’</w:t>
      </w:r>
      <w:r w:rsidRPr="00A779B8">
        <w:rPr>
          <w:lang w:val="fr-FR"/>
        </w:rPr>
        <w:t>une surveillance spécifique par rapport au fonctionnement du véhicule. Pour faire en sorte que tous les constructeurs surveillent l</w:t>
      </w:r>
      <w:r w:rsidR="00DB4C2D">
        <w:rPr>
          <w:lang w:val="fr-FR"/>
        </w:rPr>
        <w:t>’</w:t>
      </w:r>
      <w:r w:rsidRPr="00A779B8">
        <w:rPr>
          <w:lang w:val="fr-FR"/>
        </w:rPr>
        <w:t>IUPR</w:t>
      </w:r>
      <w:r w:rsidRPr="00A779B8">
        <w:rPr>
          <w:vertAlign w:val="subscript"/>
          <w:lang w:val="fr-FR"/>
        </w:rPr>
        <w:t>M</w:t>
      </w:r>
      <w:r w:rsidRPr="00A779B8">
        <w:rPr>
          <w:lang w:val="fr-FR"/>
        </w:rPr>
        <w:t xml:space="preserve"> de la même manière, des prescriptions détaillées sont énoncées en ce qui concerne les définitions et l</w:t>
      </w:r>
      <w:r w:rsidR="00DB4C2D">
        <w:rPr>
          <w:lang w:val="fr-FR"/>
        </w:rPr>
        <w:t>’</w:t>
      </w:r>
      <w:r w:rsidRPr="00A779B8">
        <w:rPr>
          <w:lang w:val="fr-FR"/>
        </w:rPr>
        <w:t>incrémentation des compteurs.</w:t>
      </w:r>
    </w:p>
    <w:p w:rsidR="005E010E" w:rsidRPr="00A779B8" w:rsidRDefault="005E010E" w:rsidP="005E010E">
      <w:pPr>
        <w:pStyle w:val="SingleTxtG"/>
        <w:keepNext/>
        <w:ind w:left="2268" w:hanging="1134"/>
        <w:rPr>
          <w:lang w:val="fr-FR"/>
        </w:rPr>
      </w:pPr>
      <w:r w:rsidRPr="00A779B8">
        <w:rPr>
          <w:lang w:val="fr-FR"/>
        </w:rPr>
        <w:t>7.1.4</w:t>
      </w:r>
      <w:r w:rsidRPr="00A779B8">
        <w:rPr>
          <w:lang w:val="fr-FR"/>
        </w:rPr>
        <w:tab/>
        <w:t>Si, conformément aux prescriptions de la présente annexe, le véhicule est équipé d</w:t>
      </w:r>
      <w:r w:rsidR="00DB4C2D">
        <w:rPr>
          <w:lang w:val="fr-FR"/>
        </w:rPr>
        <w:t>’</w:t>
      </w:r>
      <w:r w:rsidRPr="00A779B8">
        <w:rPr>
          <w:lang w:val="fr-FR"/>
        </w:rPr>
        <w:t>un programme de surveillance spécifique M, l</w:t>
      </w:r>
      <w:r w:rsidR="00DB4C2D">
        <w:rPr>
          <w:lang w:val="fr-FR"/>
        </w:rPr>
        <w:t>’</w:t>
      </w:r>
      <w:r w:rsidRPr="00A779B8">
        <w:rPr>
          <w:lang w:val="fr-FR"/>
        </w:rPr>
        <w:t>IUPR</w:t>
      </w:r>
      <w:r w:rsidRPr="00A779B8">
        <w:rPr>
          <w:vertAlign w:val="subscript"/>
          <w:lang w:val="fr-FR"/>
        </w:rPr>
        <w:t>M</w:t>
      </w:r>
      <w:r w:rsidRPr="00A779B8">
        <w:rPr>
          <w:lang w:val="fr-FR"/>
        </w:rPr>
        <w:t xml:space="preserve"> doit être au moins égal aux valeurs suivantes:</w:t>
      </w:r>
    </w:p>
    <w:p w:rsidR="005E010E" w:rsidRPr="00A779B8" w:rsidRDefault="005E010E" w:rsidP="005E010E">
      <w:pPr>
        <w:pStyle w:val="SingleTxtG"/>
        <w:ind w:left="2835" w:hanging="567"/>
        <w:rPr>
          <w:lang w:val="fr-FR"/>
        </w:rPr>
      </w:pPr>
      <w:r w:rsidRPr="00A779B8">
        <w:rPr>
          <w:lang w:val="fr-FR"/>
        </w:rPr>
        <w:t>a)</w:t>
      </w:r>
      <w:r w:rsidRPr="00A779B8">
        <w:rPr>
          <w:lang w:val="fr-FR"/>
        </w:rPr>
        <w:tab/>
        <w:t>0,260 pour les programmes de surveillance des circuits d</w:t>
      </w:r>
      <w:r w:rsidR="00DB4C2D">
        <w:rPr>
          <w:lang w:val="fr-FR"/>
        </w:rPr>
        <w:t>’</w:t>
      </w:r>
      <w:r w:rsidRPr="00A779B8">
        <w:rPr>
          <w:lang w:val="fr-FR"/>
        </w:rPr>
        <w:t>air secondaires;</w:t>
      </w:r>
    </w:p>
    <w:p w:rsidR="005E010E" w:rsidRPr="00A779B8" w:rsidRDefault="005E010E" w:rsidP="005E010E">
      <w:pPr>
        <w:pStyle w:val="SingleTxtG"/>
        <w:ind w:left="2835" w:hanging="567"/>
        <w:rPr>
          <w:lang w:val="fr-FR"/>
        </w:rPr>
      </w:pPr>
      <w:r w:rsidRPr="00A779B8">
        <w:rPr>
          <w:lang w:val="fr-FR"/>
        </w:rPr>
        <w:t>b)</w:t>
      </w:r>
      <w:r w:rsidRPr="00A779B8">
        <w:rPr>
          <w:lang w:val="fr-FR"/>
        </w:rPr>
        <w:tab/>
        <w:t>0,520 pour les programmes de surveillance de purge d</w:t>
      </w:r>
      <w:r w:rsidR="00DB4C2D">
        <w:rPr>
          <w:lang w:val="fr-FR"/>
        </w:rPr>
        <w:t>’</w:t>
      </w:r>
      <w:r w:rsidRPr="00A779B8">
        <w:rPr>
          <w:lang w:val="fr-FR"/>
        </w:rPr>
        <w:t>émissions par évaporation;</w:t>
      </w:r>
    </w:p>
    <w:p w:rsidR="005E010E" w:rsidRPr="00A779B8" w:rsidRDefault="005E010E" w:rsidP="005E010E">
      <w:pPr>
        <w:pStyle w:val="SingleTxtG"/>
        <w:ind w:left="2835" w:hanging="567"/>
        <w:rPr>
          <w:lang w:val="fr-FR"/>
        </w:rPr>
      </w:pPr>
      <w:r w:rsidRPr="00A779B8">
        <w:rPr>
          <w:lang w:val="fr-FR"/>
        </w:rPr>
        <w:t>c)</w:t>
      </w:r>
      <w:r w:rsidRPr="00A779B8">
        <w:rPr>
          <w:lang w:val="fr-FR"/>
        </w:rPr>
        <w:tab/>
        <w:t>0,336 pour tous les autres programmes de surveillance.</w:t>
      </w:r>
    </w:p>
    <w:p w:rsidR="005E010E" w:rsidRPr="00A779B8" w:rsidRDefault="005E010E" w:rsidP="005E010E">
      <w:pPr>
        <w:pStyle w:val="SingleTxtG"/>
        <w:ind w:left="2268" w:hanging="1134"/>
        <w:rPr>
          <w:lang w:val="fr-FR"/>
        </w:rPr>
      </w:pPr>
      <w:r w:rsidRPr="00A779B8">
        <w:rPr>
          <w:lang w:val="fr-FR"/>
        </w:rPr>
        <w:t>7.1.5</w:t>
      </w:r>
      <w:r w:rsidRPr="00A779B8">
        <w:rPr>
          <w:lang w:val="fr-FR"/>
        </w:rPr>
        <w:tab/>
        <w:t>Les véhicules doivent être conformes aux prescriptions du paragraphe 7.1.4 ci-dessus sur un kilométrage d</w:t>
      </w:r>
      <w:r w:rsidR="00DB4C2D">
        <w:rPr>
          <w:lang w:val="fr-FR"/>
        </w:rPr>
        <w:t>’</w:t>
      </w:r>
      <w:r w:rsidRPr="00A779B8">
        <w:rPr>
          <w:lang w:val="fr-FR"/>
        </w:rPr>
        <w:t>au moins 160 000 km. Par dérogation, les véhicules qui ont fait l</w:t>
      </w:r>
      <w:r w:rsidR="00DB4C2D">
        <w:rPr>
          <w:lang w:val="fr-FR"/>
        </w:rPr>
        <w:t>’</w:t>
      </w:r>
      <w:r w:rsidRPr="00A779B8">
        <w:rPr>
          <w:lang w:val="fr-FR"/>
        </w:rPr>
        <w:t>objet d</w:t>
      </w:r>
      <w:r w:rsidR="00DB4C2D">
        <w:rPr>
          <w:lang w:val="fr-FR"/>
        </w:rPr>
        <w:t>’</w:t>
      </w:r>
      <w:r w:rsidRPr="00A779B8">
        <w:rPr>
          <w:lang w:val="fr-FR"/>
        </w:rPr>
        <w:t>une homologation de type et qui ont été immatriculés, vendus ou mis en service avant les dates indiquées aux paragraphes 12.2.1 et 12.2.2 du présent Règlement doivent avoir un IUPR</w:t>
      </w:r>
      <w:r w:rsidRPr="00A779B8">
        <w:rPr>
          <w:vertAlign w:val="subscript"/>
          <w:lang w:val="fr-FR"/>
        </w:rPr>
        <w:t>M</w:t>
      </w:r>
      <w:r w:rsidRPr="00A779B8">
        <w:rPr>
          <w:lang w:val="fr-FR"/>
        </w:rPr>
        <w:t xml:space="preserve"> supérieur ou égal à 0,1 pour tous les programmes de surveillance M. Pour les nouvelles homologations de type et les nouveaux véhicules, le programme de surveillance requis en vertu du paragraphe 3.3.4.7 de la présente annexe doivent avoir un IUPR</w:t>
      </w:r>
      <w:r w:rsidRPr="00A779B8">
        <w:rPr>
          <w:vertAlign w:val="subscript"/>
          <w:lang w:val="fr-FR"/>
        </w:rPr>
        <w:t>M</w:t>
      </w:r>
      <w:r w:rsidRPr="00A779B8">
        <w:rPr>
          <w:lang w:val="fr-FR"/>
        </w:rPr>
        <w:t xml:space="preserve"> supérieur ou égal à 0,1 jusqu</w:t>
      </w:r>
      <w:r w:rsidR="00DB4C2D">
        <w:rPr>
          <w:lang w:val="fr-FR"/>
        </w:rPr>
        <w:t>’</w:t>
      </w:r>
      <w:r w:rsidRPr="00A779B8">
        <w:rPr>
          <w:lang w:val="fr-FR"/>
        </w:rPr>
        <w:t>aux dates indiquées respectivement aux paragraphes 12.2.3 et 12.2.4 du présent Règlement.</w:t>
      </w:r>
    </w:p>
    <w:p w:rsidR="005E010E" w:rsidRPr="00A779B8" w:rsidRDefault="005E010E" w:rsidP="005E010E">
      <w:pPr>
        <w:pStyle w:val="SingleTxtG"/>
        <w:keepNext/>
        <w:ind w:left="2268" w:hanging="1134"/>
        <w:rPr>
          <w:lang w:val="fr-FR"/>
        </w:rPr>
      </w:pPr>
      <w:r w:rsidRPr="00A779B8">
        <w:rPr>
          <w:lang w:val="fr-FR"/>
        </w:rPr>
        <w:t>7.1.6</w:t>
      </w:r>
      <w:r w:rsidRPr="00A779B8">
        <w:rPr>
          <w:lang w:val="fr-FR"/>
        </w:rPr>
        <w:tab/>
        <w:t>Les prescriptions énoncées au présent paragraphe sont présumées respectées pour un programme de surveillance donné M si, pour tous les véhicules d</w:t>
      </w:r>
      <w:r w:rsidR="00DB4C2D">
        <w:rPr>
          <w:lang w:val="fr-FR"/>
        </w:rPr>
        <w:t>’</w:t>
      </w:r>
      <w:r w:rsidRPr="00A779B8">
        <w:rPr>
          <w:lang w:val="fr-FR"/>
        </w:rPr>
        <w:t>une famille OBD donnée fabriqués au cours d</w:t>
      </w:r>
      <w:r w:rsidR="00DB4C2D">
        <w:rPr>
          <w:lang w:val="fr-FR"/>
        </w:rPr>
        <w:t>’</w:t>
      </w:r>
      <w:r w:rsidRPr="00A779B8">
        <w:rPr>
          <w:lang w:val="fr-FR"/>
        </w:rPr>
        <w:t>une année civile donnée, les conditions statistiques suivantes sont réunies:</w:t>
      </w:r>
    </w:p>
    <w:p w:rsidR="005E010E" w:rsidRPr="00A779B8" w:rsidRDefault="005E010E" w:rsidP="005E010E">
      <w:pPr>
        <w:pStyle w:val="SingleTxtG"/>
        <w:ind w:left="2835" w:hanging="567"/>
        <w:rPr>
          <w:lang w:val="fr-FR"/>
        </w:rPr>
      </w:pPr>
      <w:r w:rsidRPr="00A779B8">
        <w:rPr>
          <w:lang w:val="fr-FR"/>
        </w:rPr>
        <w:t>a)</w:t>
      </w:r>
      <w:r w:rsidRPr="00A779B8">
        <w:rPr>
          <w:lang w:val="fr-FR"/>
        </w:rPr>
        <w:tab/>
        <w:t>L</w:t>
      </w:r>
      <w:r w:rsidR="00DB4C2D">
        <w:rPr>
          <w:lang w:val="fr-FR"/>
        </w:rPr>
        <w:t>’</w:t>
      </w:r>
      <w:r w:rsidRPr="00A779B8">
        <w:rPr>
          <w:lang w:val="fr-FR"/>
        </w:rPr>
        <w:t>IUPR</w:t>
      </w:r>
      <w:r w:rsidRPr="00A779B8">
        <w:rPr>
          <w:vertAlign w:val="subscript"/>
          <w:lang w:val="fr-FR"/>
        </w:rPr>
        <w:t>M</w:t>
      </w:r>
      <w:r w:rsidRPr="00A779B8">
        <w:rPr>
          <w:lang w:val="fr-FR"/>
        </w:rPr>
        <w:t xml:space="preserve"> moyen est au moins égal à la valeur minimale applicable au programme de surveillance;</w:t>
      </w:r>
    </w:p>
    <w:p w:rsidR="005E010E" w:rsidRPr="00A779B8" w:rsidRDefault="005E010E" w:rsidP="005E010E">
      <w:pPr>
        <w:pStyle w:val="SingleTxtG"/>
        <w:ind w:left="2835" w:hanging="567"/>
        <w:rPr>
          <w:lang w:val="fr-FR"/>
        </w:rPr>
      </w:pPr>
      <w:r w:rsidRPr="00A779B8">
        <w:rPr>
          <w:lang w:val="fr-FR"/>
        </w:rPr>
        <w:t>b)</w:t>
      </w:r>
      <w:r w:rsidRPr="00A779B8">
        <w:rPr>
          <w:lang w:val="fr-FR"/>
        </w:rPr>
        <w:tab/>
        <w:t>Plus de 50 % de tous les véhicules ont un IUPR</w:t>
      </w:r>
      <w:r w:rsidRPr="00A779B8">
        <w:rPr>
          <w:vertAlign w:val="subscript"/>
          <w:lang w:val="fr-FR"/>
        </w:rPr>
        <w:t>M</w:t>
      </w:r>
      <w:r w:rsidRPr="00A779B8">
        <w:rPr>
          <w:lang w:val="fr-FR"/>
        </w:rPr>
        <w:t xml:space="preserve"> au moins égal à la valeur minimale applicable au programme de surveillance.</w:t>
      </w:r>
    </w:p>
    <w:p w:rsidR="005E010E" w:rsidRPr="00A779B8" w:rsidRDefault="005E010E" w:rsidP="005E010E">
      <w:pPr>
        <w:pStyle w:val="SingleTxtG"/>
        <w:ind w:left="2268" w:hanging="1134"/>
        <w:rPr>
          <w:lang w:val="fr-FR"/>
        </w:rPr>
      </w:pPr>
      <w:r w:rsidRPr="00A779B8">
        <w:rPr>
          <w:lang w:val="fr-FR"/>
        </w:rPr>
        <w:t>7.1.7</w:t>
      </w:r>
      <w:r w:rsidRPr="00A779B8">
        <w:rPr>
          <w:lang w:val="fr-FR"/>
        </w:rPr>
        <w:tab/>
        <w:t>Le constructeur doit démontrer à l</w:t>
      </w:r>
      <w:r w:rsidR="00DB4C2D">
        <w:rPr>
          <w:lang w:val="fr-FR"/>
        </w:rPr>
        <w:t>’</w:t>
      </w:r>
      <w:r w:rsidRPr="00A779B8">
        <w:rPr>
          <w:lang w:val="fr-FR"/>
        </w:rPr>
        <w:t>autorité d</w:t>
      </w:r>
      <w:r w:rsidR="00DB4C2D">
        <w:rPr>
          <w:lang w:val="fr-FR"/>
        </w:rPr>
        <w:t>’</w:t>
      </w:r>
      <w:r w:rsidRPr="00A779B8">
        <w:rPr>
          <w:lang w:val="fr-FR"/>
        </w:rPr>
        <w:t>homologation de type, et, sur demande, à la Commission, que ces conditions statistiques sont remplies pour l</w:t>
      </w:r>
      <w:r w:rsidR="00DB4C2D">
        <w:rPr>
          <w:lang w:val="fr-FR"/>
        </w:rPr>
        <w:t>’</w:t>
      </w:r>
      <w:r w:rsidRPr="00A779B8">
        <w:rPr>
          <w:lang w:val="fr-FR"/>
        </w:rPr>
        <w:t>ensemble des surveillances devant être déclarées par le système OBD conformément au paragraphe 7.6 du présent appendice dans les 18 mois. À cette fin, pour les familles de systèmes OBD comptant plus de 1 000 immatriculations dans une Partie contractante membre ou non de l</w:t>
      </w:r>
      <w:r w:rsidR="00DB4C2D">
        <w:rPr>
          <w:lang w:val="fr-FR"/>
        </w:rPr>
        <w:t>’</w:t>
      </w:r>
      <w:r w:rsidRPr="00A779B8">
        <w:rPr>
          <w:lang w:val="fr-FR"/>
        </w:rPr>
        <w:t>Union européenne, qui sont soumis à échantillonnage pendant la période d</w:t>
      </w:r>
      <w:r w:rsidR="00DB4C2D">
        <w:rPr>
          <w:lang w:val="fr-FR"/>
        </w:rPr>
        <w:t>’</w:t>
      </w:r>
      <w:r w:rsidRPr="00A779B8">
        <w:rPr>
          <w:lang w:val="fr-FR"/>
        </w:rPr>
        <w:t>échantillonnage, la procédure décrite au paragraphe 9 du présent Règlement s</w:t>
      </w:r>
      <w:r w:rsidR="00DB4C2D">
        <w:rPr>
          <w:lang w:val="fr-FR"/>
        </w:rPr>
        <w:t>’</w:t>
      </w:r>
      <w:r w:rsidRPr="00A779B8">
        <w:rPr>
          <w:lang w:val="fr-FR"/>
        </w:rPr>
        <w:t>applique sans préjudice des dispositions du paragraphe 7.1.9 du présent appendice.</w:t>
      </w:r>
    </w:p>
    <w:p w:rsidR="005E010E" w:rsidRPr="00A779B8" w:rsidRDefault="005E010E" w:rsidP="005E010E">
      <w:pPr>
        <w:pStyle w:val="SingleTxtG"/>
        <w:spacing w:after="100"/>
        <w:ind w:left="2268"/>
        <w:rPr>
          <w:lang w:val="fr-FR"/>
        </w:rPr>
      </w:pPr>
      <w:r w:rsidRPr="00A779B8">
        <w:rPr>
          <w:lang w:val="fr-FR"/>
        </w:rPr>
        <w:lastRenderedPageBreak/>
        <w:tab/>
        <w:t>Outre les prescriptions visées au paragraphe 9 du présent Règlement et indépendamment du résultat de la vérification décrite au paragraphe 9.2 du présent Règlement, l</w:t>
      </w:r>
      <w:r w:rsidR="00DB4C2D">
        <w:rPr>
          <w:lang w:val="fr-FR"/>
        </w:rPr>
        <w:t>’</w:t>
      </w:r>
      <w:r w:rsidRPr="00A779B8">
        <w:rPr>
          <w:lang w:val="fr-FR"/>
        </w:rPr>
        <w:t>autorité d</w:t>
      </w:r>
      <w:r w:rsidR="00DB4C2D">
        <w:rPr>
          <w:lang w:val="fr-FR"/>
        </w:rPr>
        <w:t>’</w:t>
      </w:r>
      <w:r w:rsidRPr="00A779B8">
        <w:rPr>
          <w:lang w:val="fr-FR"/>
        </w:rPr>
        <w:t>homologation</w:t>
      </w:r>
      <w:r>
        <w:rPr>
          <w:lang w:val="fr-FR"/>
        </w:rPr>
        <w:t xml:space="preserve"> de type</w:t>
      </w:r>
      <w:r w:rsidRPr="00A779B8">
        <w:rPr>
          <w:lang w:val="fr-FR"/>
        </w:rPr>
        <w:t xml:space="preserve"> doit appliquer le contrôle de la conformité en service pour l</w:t>
      </w:r>
      <w:r w:rsidR="00DB4C2D">
        <w:rPr>
          <w:lang w:val="fr-FR"/>
        </w:rPr>
        <w:t>’</w:t>
      </w:r>
      <w:r w:rsidRPr="00A779B8">
        <w:rPr>
          <w:lang w:val="fr-FR"/>
        </w:rPr>
        <w:t>IUPR décrit à l</w:t>
      </w:r>
      <w:r w:rsidR="00DB4C2D">
        <w:rPr>
          <w:lang w:val="fr-FR"/>
        </w:rPr>
        <w:t>’</w:t>
      </w:r>
      <w:r w:rsidRPr="00A779B8">
        <w:rPr>
          <w:lang w:val="fr-FR"/>
        </w:rPr>
        <w:t>appendice 3 du présent Règlement dans un nombre approprié de cas déterminés de manière aléatoire. Par «nombre approprié de cas déterminés de manière aléatoire», on entend un nombre tel que la mesure a un effet dissuasif contre le non-respect des prescriptions du paragraphe 7 du présent appendice ou la fourniture de données manipulées, fausses ou non représentatives aux fins de la vérification. Si aucune circonstance particulière ne s</w:t>
      </w:r>
      <w:r w:rsidR="00DB4C2D">
        <w:rPr>
          <w:lang w:val="fr-FR"/>
        </w:rPr>
        <w:t>’</w:t>
      </w:r>
      <w:r w:rsidRPr="00A779B8">
        <w:rPr>
          <w:lang w:val="fr-FR"/>
        </w:rPr>
        <w:t>applique et ne peut être démontrée par l</w:t>
      </w:r>
      <w:r w:rsidR="00DB4C2D">
        <w:rPr>
          <w:lang w:val="fr-FR"/>
        </w:rPr>
        <w:t>’</w:t>
      </w:r>
      <w:r w:rsidRPr="00A779B8">
        <w:rPr>
          <w:lang w:val="fr-FR"/>
        </w:rPr>
        <w:t>autorité d</w:t>
      </w:r>
      <w:r w:rsidR="00DB4C2D">
        <w:rPr>
          <w:lang w:val="fr-FR"/>
        </w:rPr>
        <w:t>’</w:t>
      </w:r>
      <w:r w:rsidRPr="00A779B8">
        <w:rPr>
          <w:lang w:val="fr-FR"/>
        </w:rPr>
        <w:t>homologation</w:t>
      </w:r>
      <w:r>
        <w:rPr>
          <w:lang w:val="fr-FR"/>
        </w:rPr>
        <w:t xml:space="preserve"> de type</w:t>
      </w:r>
      <w:r w:rsidRPr="00A779B8">
        <w:rPr>
          <w:lang w:val="fr-FR"/>
        </w:rPr>
        <w:t>, la réalisation aléatoire du contrôle de la conformité en service sur 5 % des familles de système OBD homologuées doit être considérée comme suffisante pour assurer le respect de cette prescription. À cette fin, l</w:t>
      </w:r>
      <w:r w:rsidR="00DB4C2D">
        <w:rPr>
          <w:lang w:val="fr-FR"/>
        </w:rPr>
        <w:t>’</w:t>
      </w:r>
      <w:r w:rsidRPr="00A779B8">
        <w:rPr>
          <w:lang w:val="fr-FR"/>
        </w:rPr>
        <w:t>autorité d</w:t>
      </w:r>
      <w:r w:rsidR="00DB4C2D">
        <w:rPr>
          <w:lang w:val="fr-FR"/>
        </w:rPr>
        <w:t>’</w:t>
      </w:r>
      <w:r w:rsidRPr="00A779B8">
        <w:rPr>
          <w:lang w:val="fr-FR"/>
        </w:rPr>
        <w:t>homologation de type peut s</w:t>
      </w:r>
      <w:r w:rsidR="00DB4C2D">
        <w:rPr>
          <w:lang w:val="fr-FR"/>
        </w:rPr>
        <w:t>’</w:t>
      </w:r>
      <w:r w:rsidRPr="00A779B8">
        <w:rPr>
          <w:lang w:val="fr-FR"/>
        </w:rPr>
        <w:t>accorder avec les constructeurs en vue de réduire la duplication des essais sur une même famille de systèmes OBD donnée, dans la mesure où ces accords ne nuisent pas à l</w:t>
      </w:r>
      <w:r w:rsidR="00DB4C2D">
        <w:rPr>
          <w:lang w:val="fr-FR"/>
        </w:rPr>
        <w:t>’</w:t>
      </w:r>
      <w:r w:rsidRPr="00A779B8">
        <w:rPr>
          <w:lang w:val="fr-FR"/>
        </w:rPr>
        <w:t>effet dissuasif recherché des vérifications, effectuées par l</w:t>
      </w:r>
      <w:r w:rsidR="00DB4C2D">
        <w:rPr>
          <w:lang w:val="fr-FR"/>
        </w:rPr>
        <w:t>’</w:t>
      </w:r>
      <w:r w:rsidRPr="00A779B8">
        <w:rPr>
          <w:lang w:val="fr-FR"/>
        </w:rPr>
        <w:t>autorité, du respect des prescriptions du paragraphe 7 du présent appendice. Les données recueillies par les États membres de l</w:t>
      </w:r>
      <w:r w:rsidR="00DB4C2D">
        <w:rPr>
          <w:lang w:val="fr-FR"/>
        </w:rPr>
        <w:t>’</w:t>
      </w:r>
      <w:r w:rsidRPr="00A779B8">
        <w:rPr>
          <w:lang w:val="fr-FR"/>
        </w:rPr>
        <w:t>UE au cours des programmes d</w:t>
      </w:r>
      <w:r w:rsidR="00DB4C2D">
        <w:rPr>
          <w:lang w:val="fr-FR"/>
        </w:rPr>
        <w:t>’</w:t>
      </w:r>
      <w:r w:rsidRPr="00A779B8">
        <w:rPr>
          <w:lang w:val="fr-FR"/>
        </w:rPr>
        <w:t>essai de contrôle peuvent être utilisées dans le cadre de la vérification de la conformité en service. Sur demande, les autorités d</w:t>
      </w:r>
      <w:r w:rsidR="00DB4C2D">
        <w:rPr>
          <w:lang w:val="fr-FR"/>
        </w:rPr>
        <w:t>’</w:t>
      </w:r>
      <w:r w:rsidRPr="00A779B8">
        <w:rPr>
          <w:lang w:val="fr-FR"/>
        </w:rPr>
        <w:t>homologation de type doivent communiquer à la Commission européenne et aux autres autorités d</w:t>
      </w:r>
      <w:r w:rsidR="00DB4C2D">
        <w:rPr>
          <w:lang w:val="fr-FR"/>
        </w:rPr>
        <w:t>’</w:t>
      </w:r>
      <w:r w:rsidRPr="00A779B8">
        <w:rPr>
          <w:lang w:val="fr-FR"/>
        </w:rPr>
        <w:t>homologation des données sur les contrôles et les vérifications aléatoires de la conformité en service effectués, y compris la méthode utilisée pour sélectionner les cas à soumettre à une telle vérification.</w:t>
      </w:r>
    </w:p>
    <w:p w:rsidR="005E010E" w:rsidRPr="00A779B8" w:rsidRDefault="005E010E" w:rsidP="005E010E">
      <w:pPr>
        <w:pStyle w:val="SingleTxtG"/>
        <w:spacing w:after="100"/>
        <w:ind w:left="2268" w:hanging="1134"/>
        <w:rPr>
          <w:lang w:val="fr-FR"/>
        </w:rPr>
      </w:pPr>
      <w:r w:rsidRPr="00A779B8">
        <w:rPr>
          <w:lang w:val="fr-FR"/>
        </w:rPr>
        <w:t>7.1.8</w:t>
      </w:r>
      <w:r w:rsidRPr="00A779B8">
        <w:rPr>
          <w:lang w:val="fr-FR"/>
        </w:rPr>
        <w:tab/>
        <w:t>Pour l</w:t>
      </w:r>
      <w:r w:rsidR="00DB4C2D">
        <w:rPr>
          <w:lang w:val="fr-FR"/>
        </w:rPr>
        <w:t>’</w:t>
      </w:r>
      <w:r w:rsidRPr="00A779B8">
        <w:rPr>
          <w:lang w:val="fr-FR"/>
        </w:rPr>
        <w:t>ensemble de l</w:t>
      </w:r>
      <w:r w:rsidR="00DB4C2D">
        <w:rPr>
          <w:lang w:val="fr-FR"/>
        </w:rPr>
        <w:t>’</w:t>
      </w:r>
      <w:r w:rsidRPr="00A779B8">
        <w:rPr>
          <w:lang w:val="fr-FR"/>
        </w:rPr>
        <w:t>échantillon d</w:t>
      </w:r>
      <w:r w:rsidR="00DB4C2D">
        <w:rPr>
          <w:lang w:val="fr-FR"/>
        </w:rPr>
        <w:t>’</w:t>
      </w:r>
      <w:r w:rsidRPr="00A779B8">
        <w:rPr>
          <w:lang w:val="fr-FR"/>
        </w:rPr>
        <w:t>essai de véhicules, le constructeur doit déclarer aux autorités compétentes l</w:t>
      </w:r>
      <w:r w:rsidR="00DB4C2D">
        <w:rPr>
          <w:lang w:val="fr-FR"/>
        </w:rPr>
        <w:t>’</w:t>
      </w:r>
      <w:r w:rsidRPr="00A779B8">
        <w:rPr>
          <w:lang w:val="fr-FR"/>
        </w:rPr>
        <w:t>ensemble des données relatives à la réalisation en service devant être relevées par le système OBD conformément au paragraphe 7.6 du présent appendice, avec l</w:t>
      </w:r>
      <w:r w:rsidR="00DB4C2D">
        <w:rPr>
          <w:lang w:val="fr-FR"/>
        </w:rPr>
        <w:t>’</w:t>
      </w:r>
      <w:r w:rsidRPr="00A779B8">
        <w:rPr>
          <w:lang w:val="fr-FR"/>
        </w:rPr>
        <w:t>identification du véhicule soumis aux essais et la méthode utilisée pour sélectionner les véhicules dans le parc. Sur demande, l</w:t>
      </w:r>
      <w:r w:rsidR="00DB4C2D">
        <w:rPr>
          <w:lang w:val="fr-FR"/>
        </w:rPr>
        <w:t>’</w:t>
      </w:r>
      <w:r w:rsidRPr="00A779B8">
        <w:rPr>
          <w:lang w:val="fr-FR"/>
        </w:rPr>
        <w:t>autorité d</w:t>
      </w:r>
      <w:r w:rsidR="00DB4C2D">
        <w:rPr>
          <w:lang w:val="fr-FR"/>
        </w:rPr>
        <w:t>’</w:t>
      </w:r>
      <w:r w:rsidRPr="00A779B8">
        <w:rPr>
          <w:lang w:val="fr-FR"/>
        </w:rPr>
        <w:t>homologation de type doit mettre ces données et les résultats de l</w:t>
      </w:r>
      <w:r w:rsidR="00DB4C2D">
        <w:rPr>
          <w:lang w:val="fr-FR"/>
        </w:rPr>
        <w:t>’</w:t>
      </w:r>
      <w:r w:rsidRPr="00A779B8">
        <w:rPr>
          <w:lang w:val="fr-FR"/>
        </w:rPr>
        <w:t>évaluation statistique à la disposition de la Commission européenne et des autres autorités d</w:t>
      </w:r>
      <w:r w:rsidR="00DB4C2D">
        <w:rPr>
          <w:lang w:val="fr-FR"/>
        </w:rPr>
        <w:t>’</w:t>
      </w:r>
      <w:r w:rsidRPr="00A779B8">
        <w:rPr>
          <w:lang w:val="fr-FR"/>
        </w:rPr>
        <w:t>homologation.</w:t>
      </w:r>
    </w:p>
    <w:p w:rsidR="005E010E" w:rsidRPr="00A779B8" w:rsidRDefault="005E010E" w:rsidP="005E010E">
      <w:pPr>
        <w:pStyle w:val="SingleTxtG"/>
        <w:spacing w:after="100"/>
        <w:ind w:left="2268" w:hanging="1134"/>
        <w:rPr>
          <w:lang w:val="fr-FR"/>
        </w:rPr>
      </w:pPr>
      <w:r w:rsidRPr="00A779B8">
        <w:rPr>
          <w:lang w:val="fr-FR"/>
        </w:rPr>
        <w:t>7.1.9</w:t>
      </w:r>
      <w:r w:rsidRPr="00A779B8">
        <w:rPr>
          <w:lang w:val="fr-FR"/>
        </w:rPr>
        <w:tab/>
        <w:t>Les autorités publiques et leurs mandataires peuvent poursuivre d</w:t>
      </w:r>
      <w:r w:rsidR="00DB4C2D">
        <w:rPr>
          <w:lang w:val="fr-FR"/>
        </w:rPr>
        <w:t>’</w:t>
      </w:r>
      <w:r w:rsidRPr="00A779B8">
        <w:rPr>
          <w:lang w:val="fr-FR"/>
        </w:rPr>
        <w:t>autres essais sur les véhicules ou recueillir les données appropriées enregistrées par les véhicules pour vérifier le respect des prescriptions de la présente annexe.</w:t>
      </w:r>
    </w:p>
    <w:p w:rsidR="005E010E" w:rsidRPr="00A779B8" w:rsidRDefault="005E010E" w:rsidP="005E010E">
      <w:pPr>
        <w:pStyle w:val="SingleTxtG"/>
        <w:keepNext/>
        <w:spacing w:after="100"/>
        <w:ind w:left="2268" w:hanging="1134"/>
        <w:jc w:val="left"/>
        <w:rPr>
          <w:bCs/>
          <w:lang w:val="fr-FR"/>
        </w:rPr>
      </w:pPr>
      <w:r w:rsidRPr="00A779B8">
        <w:rPr>
          <w:lang w:val="fr-FR"/>
        </w:rPr>
        <w:t>7.2</w:t>
      </w:r>
      <w:r w:rsidRPr="00A779B8">
        <w:rPr>
          <w:lang w:val="fr-FR"/>
        </w:rPr>
        <w:tab/>
      </w:r>
      <w:proofErr w:type="spellStart"/>
      <w:r w:rsidRPr="00A779B8">
        <w:rPr>
          <w:bCs/>
          <w:lang w:val="fr-FR"/>
        </w:rPr>
        <w:t>Numérateur</w:t>
      </w:r>
      <w:r w:rsidRPr="00A779B8">
        <w:rPr>
          <w:bCs/>
          <w:vertAlign w:val="subscript"/>
          <w:lang w:val="fr-FR"/>
        </w:rPr>
        <w:t>M</w:t>
      </w:r>
      <w:proofErr w:type="spellEnd"/>
    </w:p>
    <w:p w:rsidR="005E010E" w:rsidRPr="00A779B8" w:rsidRDefault="005E010E" w:rsidP="005E010E">
      <w:pPr>
        <w:pStyle w:val="SingleTxtG"/>
        <w:spacing w:after="100"/>
        <w:ind w:left="2268" w:hanging="1134"/>
        <w:rPr>
          <w:lang w:val="fr-FR"/>
        </w:rPr>
      </w:pPr>
      <w:r w:rsidRPr="00A779B8">
        <w:rPr>
          <w:lang w:val="fr-FR"/>
        </w:rPr>
        <w:t>7.2.1</w:t>
      </w:r>
      <w:r w:rsidRPr="00A779B8">
        <w:rPr>
          <w:lang w:val="fr-FR"/>
        </w:rPr>
        <w:tab/>
        <w:t>Le numérateur d</w:t>
      </w:r>
      <w:r w:rsidR="00DB4C2D">
        <w:rPr>
          <w:lang w:val="fr-FR"/>
        </w:rPr>
        <w:t>’</w:t>
      </w:r>
      <w:r w:rsidRPr="00A779B8">
        <w:rPr>
          <w:lang w:val="fr-FR"/>
        </w:rPr>
        <w:t>une surveillance spécifique est un compteur mesurant le nombre de fonctionnements du véhicule qui réunissent toutes les conditions nécessaires à la surveillance spécifique destinée à détecter un dysfonctionnement en vue d</w:t>
      </w:r>
      <w:r w:rsidR="00DB4C2D">
        <w:rPr>
          <w:lang w:val="fr-FR"/>
        </w:rPr>
        <w:t>’</w:t>
      </w:r>
      <w:r w:rsidRPr="00A779B8">
        <w:rPr>
          <w:lang w:val="fr-FR"/>
        </w:rPr>
        <w:t>alerter le conducteur et préconisées par le constructeur. Le numérateur ne doit pas être incrémenté plus d</w:t>
      </w:r>
      <w:r w:rsidR="00DB4C2D">
        <w:rPr>
          <w:lang w:val="fr-FR"/>
        </w:rPr>
        <w:t>’</w:t>
      </w:r>
      <w:r w:rsidRPr="00A779B8">
        <w:rPr>
          <w:lang w:val="fr-FR"/>
        </w:rPr>
        <w:t>une fois par cycle de conduite, sauf raison technique valable.</w:t>
      </w:r>
    </w:p>
    <w:p w:rsidR="005E010E" w:rsidRPr="00A779B8" w:rsidRDefault="005E010E" w:rsidP="005E010E">
      <w:pPr>
        <w:pStyle w:val="SingleTxtG"/>
        <w:keepNext/>
        <w:spacing w:after="100"/>
        <w:ind w:left="2268" w:hanging="1134"/>
        <w:jc w:val="left"/>
        <w:rPr>
          <w:lang w:val="fr-FR"/>
        </w:rPr>
      </w:pPr>
      <w:r w:rsidRPr="00A779B8">
        <w:rPr>
          <w:lang w:val="fr-FR"/>
        </w:rPr>
        <w:t>7.3</w:t>
      </w:r>
      <w:r w:rsidRPr="00A779B8">
        <w:rPr>
          <w:lang w:val="fr-FR"/>
        </w:rPr>
        <w:tab/>
      </w:r>
      <w:proofErr w:type="spellStart"/>
      <w:r w:rsidRPr="00A779B8">
        <w:rPr>
          <w:lang w:val="fr-FR"/>
        </w:rPr>
        <w:t>Dénominateur</w:t>
      </w:r>
      <w:r w:rsidRPr="00A779B8">
        <w:rPr>
          <w:vertAlign w:val="subscript"/>
          <w:lang w:val="fr-FR"/>
        </w:rPr>
        <w:t>M</w:t>
      </w:r>
      <w:proofErr w:type="spellEnd"/>
    </w:p>
    <w:p w:rsidR="005E010E" w:rsidRPr="00A779B8" w:rsidRDefault="005E010E" w:rsidP="005E010E">
      <w:pPr>
        <w:pStyle w:val="SingleTxtG"/>
        <w:spacing w:after="100"/>
        <w:ind w:left="2268" w:hanging="1134"/>
        <w:rPr>
          <w:lang w:val="fr-FR"/>
        </w:rPr>
      </w:pPr>
      <w:r w:rsidRPr="00A779B8">
        <w:rPr>
          <w:lang w:val="fr-FR"/>
        </w:rPr>
        <w:t>7.3.1</w:t>
      </w:r>
      <w:r w:rsidRPr="00A779B8">
        <w:rPr>
          <w:lang w:val="fr-FR"/>
        </w:rPr>
        <w:tab/>
        <w:t>Le dénominateur est un compteur indiquant le nombre d</w:t>
      </w:r>
      <w:r w:rsidR="00DB4C2D">
        <w:rPr>
          <w:lang w:val="fr-FR"/>
        </w:rPr>
        <w:t>’</w:t>
      </w:r>
      <w:r w:rsidRPr="00A779B8">
        <w:rPr>
          <w:lang w:val="fr-FR"/>
        </w:rPr>
        <w:t>événements de conduite du véhicule, compte tenu des conditions particulières propres à une surveillance spécifique. Le dénominateur doit être incrémenté au moins une fois par cycle de conduite si, au cours de ce cycle, les conditions sont réunies et le dénominateur général est incrémenté comme spécifié au paragraphe 7.5 du présent appendice, sauf si le dénominateur est désactivé conformément au paragraphe 7.7 du présent appendice.</w:t>
      </w:r>
    </w:p>
    <w:p w:rsidR="005E010E" w:rsidRPr="00A779B8" w:rsidRDefault="005E010E" w:rsidP="005E010E">
      <w:pPr>
        <w:pStyle w:val="SingleTxtG"/>
        <w:keepNext/>
        <w:spacing w:after="100"/>
        <w:ind w:left="2268" w:hanging="1134"/>
        <w:jc w:val="left"/>
        <w:rPr>
          <w:lang w:val="fr-FR"/>
        </w:rPr>
      </w:pPr>
      <w:r w:rsidRPr="00A779B8">
        <w:rPr>
          <w:lang w:val="fr-FR"/>
        </w:rPr>
        <w:lastRenderedPageBreak/>
        <w:t>7.3.2</w:t>
      </w:r>
      <w:r w:rsidRPr="00A779B8">
        <w:rPr>
          <w:lang w:val="fr-FR"/>
        </w:rPr>
        <w:tab/>
        <w:t>Outre les exigences visées au paragraphe 7.3.1 ci-dessus:</w:t>
      </w:r>
    </w:p>
    <w:p w:rsidR="005E010E" w:rsidRPr="00A779B8" w:rsidRDefault="005E010E" w:rsidP="005E010E">
      <w:pPr>
        <w:pStyle w:val="SingleTxtG"/>
        <w:spacing w:after="100"/>
        <w:ind w:left="2835" w:hanging="567"/>
        <w:rPr>
          <w:lang w:val="fr-FR"/>
        </w:rPr>
      </w:pPr>
      <w:r w:rsidRPr="00A779B8">
        <w:rPr>
          <w:lang w:val="fr-FR"/>
        </w:rPr>
        <w:t>a)</w:t>
      </w:r>
      <w:r w:rsidRPr="00A779B8">
        <w:rPr>
          <w:lang w:val="fr-FR"/>
        </w:rPr>
        <w:tab/>
        <w:t>Le(s) dénominateur(s) de la surveillance du système d</w:t>
      </w:r>
      <w:r w:rsidR="00DB4C2D">
        <w:rPr>
          <w:lang w:val="fr-FR"/>
        </w:rPr>
        <w:t>’</w:t>
      </w:r>
      <w:r w:rsidRPr="00A779B8">
        <w:rPr>
          <w:lang w:val="fr-FR"/>
        </w:rPr>
        <w:t xml:space="preserve">air secondaire </w:t>
      </w:r>
      <w:proofErr w:type="spellStart"/>
      <w:r w:rsidRPr="00A779B8">
        <w:rPr>
          <w:lang w:val="fr-FR"/>
        </w:rPr>
        <w:t>doi</w:t>
      </w:r>
      <w:proofErr w:type="spellEnd"/>
      <w:r w:rsidRPr="00A779B8">
        <w:rPr>
          <w:lang w:val="fr-FR"/>
        </w:rPr>
        <w:t>(</w:t>
      </w:r>
      <w:proofErr w:type="spellStart"/>
      <w:r w:rsidRPr="00A779B8">
        <w:rPr>
          <w:lang w:val="fr-FR"/>
        </w:rPr>
        <w:t>ven</w:t>
      </w:r>
      <w:proofErr w:type="spellEnd"/>
      <w:r w:rsidRPr="00A779B8">
        <w:rPr>
          <w:lang w:val="fr-FR"/>
        </w:rPr>
        <w:t>)t être incrémenté(s) si le système d</w:t>
      </w:r>
      <w:r w:rsidR="00DB4C2D">
        <w:rPr>
          <w:lang w:val="fr-FR"/>
        </w:rPr>
        <w:t>’</w:t>
      </w:r>
      <w:r w:rsidRPr="00A779B8">
        <w:rPr>
          <w:lang w:val="fr-FR"/>
        </w:rPr>
        <w:t>air secondaire est actif pendant au moins 10 s. Aux fins de déterminer la durée active, le système OBD peut ne pas inclure la durée du fonctionnement intrusif du système d</w:t>
      </w:r>
      <w:r w:rsidR="00DB4C2D">
        <w:rPr>
          <w:lang w:val="fr-FR"/>
        </w:rPr>
        <w:t>’</w:t>
      </w:r>
      <w:r w:rsidRPr="00A779B8">
        <w:rPr>
          <w:lang w:val="fr-FR"/>
        </w:rPr>
        <w:t>air secondaire aux seules fins de surveillance;</w:t>
      </w:r>
    </w:p>
    <w:p w:rsidR="005E010E" w:rsidRPr="00A779B8" w:rsidRDefault="005E010E" w:rsidP="005E010E">
      <w:pPr>
        <w:pStyle w:val="SingleTxtG"/>
        <w:ind w:left="2835" w:hanging="567"/>
        <w:rPr>
          <w:lang w:val="fr-FR"/>
        </w:rPr>
      </w:pPr>
      <w:r w:rsidRPr="00A779B8">
        <w:rPr>
          <w:lang w:val="fr-FR"/>
        </w:rPr>
        <w:t>b)</w:t>
      </w:r>
      <w:r w:rsidRPr="00A779B8">
        <w:rPr>
          <w:lang w:val="fr-FR"/>
        </w:rPr>
        <w:tab/>
        <w:t>Les dénominateurs des surveillances des systèmes opérant uniquement au cours du démarrage à froid doivent être incrémentés si le composant ou la stratégie est sur «on» pendant au moins 10 s;</w:t>
      </w:r>
    </w:p>
    <w:p w:rsidR="005E010E" w:rsidRPr="00A779B8" w:rsidRDefault="005E010E" w:rsidP="005E010E">
      <w:pPr>
        <w:pStyle w:val="SingleTxtG"/>
        <w:ind w:left="2835" w:hanging="567"/>
        <w:rPr>
          <w:lang w:val="fr-FR"/>
        </w:rPr>
      </w:pPr>
      <w:r w:rsidRPr="00A779B8">
        <w:rPr>
          <w:lang w:val="fr-FR"/>
        </w:rPr>
        <w:t>c)</w:t>
      </w:r>
      <w:r w:rsidRPr="00A779B8">
        <w:rPr>
          <w:lang w:val="fr-FR"/>
        </w:rPr>
        <w:tab/>
        <w:t xml:space="preserve">Le(s) dénominateur(s) des surveillances de la distribution à calage variable (VVT) et/ou systèmes de commande </w:t>
      </w:r>
      <w:proofErr w:type="spellStart"/>
      <w:r w:rsidRPr="00A779B8">
        <w:rPr>
          <w:lang w:val="fr-FR"/>
        </w:rPr>
        <w:t>doi</w:t>
      </w:r>
      <w:proofErr w:type="spellEnd"/>
      <w:r w:rsidRPr="00A779B8">
        <w:rPr>
          <w:lang w:val="fr-FR"/>
        </w:rPr>
        <w:t>(</w:t>
      </w:r>
      <w:proofErr w:type="spellStart"/>
      <w:r w:rsidRPr="00A779B8">
        <w:rPr>
          <w:lang w:val="fr-FR"/>
        </w:rPr>
        <w:t>ven</w:t>
      </w:r>
      <w:proofErr w:type="spellEnd"/>
      <w:r w:rsidRPr="00A779B8">
        <w:rPr>
          <w:lang w:val="fr-FR"/>
        </w:rPr>
        <w:t>)t être incrémenté(s) si le composant fonctionne (par exemple, position «on», «ouvert», «fermé», «verrouillé», etc.) à deux reprises ou plus au cours du cycle de conduite ou pendant au moins 10 s selon celui de ces deux événements qui se produit le premier;</w:t>
      </w:r>
    </w:p>
    <w:p w:rsidR="005E010E" w:rsidRPr="00A779B8" w:rsidRDefault="005E010E" w:rsidP="008F40B6">
      <w:pPr>
        <w:pStyle w:val="SingleTxtG"/>
        <w:keepLines/>
        <w:ind w:left="2835" w:hanging="567"/>
        <w:rPr>
          <w:lang w:val="fr-FR"/>
        </w:rPr>
      </w:pPr>
      <w:r w:rsidRPr="00A779B8">
        <w:rPr>
          <w:lang w:val="fr-FR"/>
        </w:rPr>
        <w:t>d)</w:t>
      </w:r>
      <w:r w:rsidRPr="00A779B8">
        <w:rPr>
          <w:lang w:val="fr-FR"/>
        </w:rPr>
        <w:tab/>
        <w:t xml:space="preserve">Pour les surveillances ci-dessous, le ou les dénominateurs </w:t>
      </w:r>
      <w:proofErr w:type="spellStart"/>
      <w:r w:rsidRPr="00A779B8">
        <w:rPr>
          <w:lang w:val="fr-FR"/>
        </w:rPr>
        <w:t>doi</w:t>
      </w:r>
      <w:proofErr w:type="spellEnd"/>
      <w:r w:rsidRPr="00A779B8">
        <w:rPr>
          <w:lang w:val="fr-FR"/>
        </w:rPr>
        <w:t>(</w:t>
      </w:r>
      <w:proofErr w:type="spellStart"/>
      <w:r w:rsidRPr="00A779B8">
        <w:rPr>
          <w:lang w:val="fr-FR"/>
        </w:rPr>
        <w:t>ven</w:t>
      </w:r>
      <w:proofErr w:type="spellEnd"/>
      <w:r w:rsidRPr="00A779B8">
        <w:rPr>
          <w:lang w:val="fr-FR"/>
        </w:rPr>
        <w:t>)t être incrémenté(s) d</w:t>
      </w:r>
      <w:r w:rsidR="00DB4C2D">
        <w:rPr>
          <w:lang w:val="fr-FR"/>
        </w:rPr>
        <w:t>’</w:t>
      </w:r>
      <w:r w:rsidRPr="00A779B8">
        <w:rPr>
          <w:lang w:val="fr-FR"/>
        </w:rPr>
        <w:t>une unité si, outre le fait de satisfaire aux prescriptions du présent paragraphe au cours d</w:t>
      </w:r>
      <w:r w:rsidR="00DB4C2D">
        <w:rPr>
          <w:lang w:val="fr-FR"/>
        </w:rPr>
        <w:t>’</w:t>
      </w:r>
      <w:r w:rsidRPr="00A779B8">
        <w:rPr>
          <w:lang w:val="fr-FR"/>
        </w:rPr>
        <w:t>un cycle de conduite au moins, le véhicule a parcouru au moins 800 km cumulés depuis la dernière incrémentation du dénominateur:</w:t>
      </w:r>
    </w:p>
    <w:p w:rsidR="005E010E" w:rsidRPr="00A779B8" w:rsidRDefault="005E010E" w:rsidP="005E010E">
      <w:pPr>
        <w:pStyle w:val="SingleTxtG"/>
        <w:ind w:left="3402" w:hanging="567"/>
        <w:rPr>
          <w:lang w:val="fr-FR"/>
        </w:rPr>
      </w:pPr>
      <w:r w:rsidRPr="00A779B8">
        <w:rPr>
          <w:lang w:val="fr-FR"/>
        </w:rPr>
        <w:t>i)</w:t>
      </w:r>
      <w:r w:rsidRPr="00A779B8">
        <w:rPr>
          <w:lang w:val="fr-FR"/>
        </w:rPr>
        <w:tab/>
        <w:t>Catalyseur d</w:t>
      </w:r>
      <w:r w:rsidR="00DB4C2D">
        <w:rPr>
          <w:lang w:val="fr-FR"/>
        </w:rPr>
        <w:t>’</w:t>
      </w:r>
      <w:r w:rsidRPr="00A779B8">
        <w:rPr>
          <w:lang w:val="fr-FR"/>
        </w:rPr>
        <w:t>oxydation diesel;</w:t>
      </w:r>
    </w:p>
    <w:p w:rsidR="005E010E" w:rsidRPr="00A779B8" w:rsidRDefault="005E010E" w:rsidP="005E010E">
      <w:pPr>
        <w:pStyle w:val="SingleTxtG"/>
        <w:ind w:left="3402" w:hanging="567"/>
        <w:rPr>
          <w:lang w:val="fr-FR"/>
        </w:rPr>
      </w:pPr>
      <w:r w:rsidRPr="00A779B8">
        <w:rPr>
          <w:lang w:val="fr-FR"/>
        </w:rPr>
        <w:t>ii)</w:t>
      </w:r>
      <w:r w:rsidRPr="00A779B8">
        <w:rPr>
          <w:lang w:val="fr-FR"/>
        </w:rPr>
        <w:tab/>
        <w:t>Filtre à particules diesel;</w:t>
      </w:r>
    </w:p>
    <w:p w:rsidR="005E010E" w:rsidRPr="00A779B8" w:rsidRDefault="005E010E" w:rsidP="005E010E">
      <w:pPr>
        <w:pStyle w:val="SingleTxtG"/>
        <w:keepNext/>
        <w:ind w:left="2835" w:hanging="567"/>
        <w:rPr>
          <w:lang w:val="fr-FR"/>
        </w:rPr>
      </w:pPr>
      <w:r w:rsidRPr="00A779B8">
        <w:rPr>
          <w:lang w:val="fr-FR"/>
        </w:rPr>
        <w:t>e)</w:t>
      </w:r>
      <w:r w:rsidRPr="00A779B8">
        <w:rPr>
          <w:lang w:val="fr-FR"/>
        </w:rPr>
        <w:tab/>
        <w:t>Sans préjudice des prescriptions relatives à l</w:t>
      </w:r>
      <w:r w:rsidR="00DB4C2D">
        <w:rPr>
          <w:lang w:val="fr-FR"/>
        </w:rPr>
        <w:t>’</w:t>
      </w:r>
      <w:r w:rsidRPr="00A779B8">
        <w:rPr>
          <w:lang w:val="fr-FR"/>
        </w:rPr>
        <w:t>incrémentation des dénominateurs d</w:t>
      </w:r>
      <w:r w:rsidR="00DB4C2D">
        <w:rPr>
          <w:lang w:val="fr-FR"/>
        </w:rPr>
        <w:t>’</w:t>
      </w:r>
      <w:r w:rsidRPr="00A779B8">
        <w:rPr>
          <w:lang w:val="fr-FR"/>
        </w:rPr>
        <w:t>autres surveillances, les dénominateurs des surveillances ci-après doivent être incrémentés si, et seulement si, le cycle de conduite a débuté par un démarrage à froid:</w:t>
      </w:r>
    </w:p>
    <w:p w:rsidR="005E010E" w:rsidRPr="00A779B8" w:rsidRDefault="005E010E" w:rsidP="005E010E">
      <w:pPr>
        <w:pStyle w:val="SingleTxtG"/>
        <w:ind w:left="3402" w:hanging="567"/>
        <w:rPr>
          <w:lang w:val="fr-FR"/>
        </w:rPr>
      </w:pPr>
      <w:r w:rsidRPr="00A779B8">
        <w:rPr>
          <w:lang w:val="fr-FR"/>
        </w:rPr>
        <w:t>i)</w:t>
      </w:r>
      <w:r w:rsidRPr="00A779B8">
        <w:rPr>
          <w:lang w:val="fr-FR"/>
        </w:rPr>
        <w:tab/>
        <w:t>Capteurs de température des liquides (huile, liquide de refroidissement, carburant, réactif de RCS);</w:t>
      </w:r>
    </w:p>
    <w:p w:rsidR="005E010E" w:rsidRPr="00A779B8" w:rsidRDefault="005E010E" w:rsidP="005E010E">
      <w:pPr>
        <w:pStyle w:val="SingleTxtG"/>
        <w:ind w:left="3402" w:hanging="567"/>
        <w:rPr>
          <w:lang w:val="fr-FR"/>
        </w:rPr>
      </w:pPr>
      <w:r w:rsidRPr="00A779B8">
        <w:rPr>
          <w:lang w:val="fr-FR"/>
        </w:rPr>
        <w:t>ii)</w:t>
      </w:r>
      <w:r w:rsidRPr="00A779B8">
        <w:rPr>
          <w:lang w:val="fr-FR"/>
        </w:rPr>
        <w:tab/>
        <w:t>Capteurs de température d</w:t>
      </w:r>
      <w:r w:rsidR="00DB4C2D">
        <w:rPr>
          <w:lang w:val="fr-FR"/>
        </w:rPr>
        <w:t>’</w:t>
      </w:r>
      <w:r w:rsidRPr="00A779B8">
        <w:rPr>
          <w:lang w:val="fr-FR"/>
        </w:rPr>
        <w:t>air propre (air ambiant, air d</w:t>
      </w:r>
      <w:r w:rsidR="00DB4C2D">
        <w:rPr>
          <w:lang w:val="fr-FR"/>
        </w:rPr>
        <w:t>’</w:t>
      </w:r>
      <w:r w:rsidRPr="00A779B8">
        <w:rPr>
          <w:lang w:val="fr-FR"/>
        </w:rPr>
        <w:t>admission, air de suralimentation, collecteur d</w:t>
      </w:r>
      <w:r w:rsidR="00DB4C2D">
        <w:rPr>
          <w:lang w:val="fr-FR"/>
        </w:rPr>
        <w:t>’</w:t>
      </w:r>
      <w:r w:rsidRPr="00A779B8">
        <w:rPr>
          <w:lang w:val="fr-FR"/>
        </w:rPr>
        <w:t>admission);</w:t>
      </w:r>
    </w:p>
    <w:p w:rsidR="005E010E" w:rsidRPr="00A779B8" w:rsidRDefault="005E010E" w:rsidP="005E010E">
      <w:pPr>
        <w:pStyle w:val="SingleTxtG"/>
        <w:ind w:left="3402" w:hanging="567"/>
        <w:rPr>
          <w:lang w:val="fr-FR"/>
        </w:rPr>
      </w:pPr>
      <w:r w:rsidRPr="00A779B8">
        <w:rPr>
          <w:lang w:val="fr-FR"/>
        </w:rPr>
        <w:t>iii)</w:t>
      </w:r>
      <w:r w:rsidRPr="00A779B8">
        <w:rPr>
          <w:lang w:val="fr-FR"/>
        </w:rPr>
        <w:tab/>
        <w:t>Capteurs de température à l</w:t>
      </w:r>
      <w:r w:rsidR="00DB4C2D">
        <w:rPr>
          <w:lang w:val="fr-FR"/>
        </w:rPr>
        <w:t>’</w:t>
      </w:r>
      <w:r w:rsidRPr="00A779B8">
        <w:rPr>
          <w:lang w:val="fr-FR"/>
        </w:rPr>
        <w:t>échappement (recyclage/ refroidissement des gaz d</w:t>
      </w:r>
      <w:r w:rsidR="00DB4C2D">
        <w:rPr>
          <w:lang w:val="fr-FR"/>
        </w:rPr>
        <w:t>’</w:t>
      </w:r>
      <w:r w:rsidRPr="00A779B8">
        <w:rPr>
          <w:lang w:val="fr-FR"/>
        </w:rPr>
        <w:t xml:space="preserve">échappement, </w:t>
      </w:r>
      <w:proofErr w:type="spellStart"/>
      <w:r w:rsidRPr="00A779B8">
        <w:rPr>
          <w:lang w:val="fr-FR"/>
        </w:rPr>
        <w:t>turbocompression</w:t>
      </w:r>
      <w:proofErr w:type="spellEnd"/>
      <w:r w:rsidRPr="00A779B8">
        <w:rPr>
          <w:lang w:val="fr-FR"/>
        </w:rPr>
        <w:t xml:space="preserve"> des gaz d</w:t>
      </w:r>
      <w:r w:rsidR="00DB4C2D">
        <w:rPr>
          <w:lang w:val="fr-FR"/>
        </w:rPr>
        <w:t>’</w:t>
      </w:r>
      <w:r w:rsidRPr="00A779B8">
        <w:rPr>
          <w:lang w:val="fr-FR"/>
        </w:rPr>
        <w:t>échappement, catalyseur);</w:t>
      </w:r>
    </w:p>
    <w:p w:rsidR="005E010E" w:rsidRPr="00A779B8" w:rsidRDefault="005E010E" w:rsidP="005E010E">
      <w:pPr>
        <w:pStyle w:val="SingleTxtG"/>
        <w:keepNext/>
        <w:ind w:left="2835" w:hanging="567"/>
        <w:rPr>
          <w:lang w:val="fr-FR"/>
        </w:rPr>
      </w:pPr>
      <w:r w:rsidRPr="00A779B8">
        <w:rPr>
          <w:lang w:val="fr-FR"/>
        </w:rPr>
        <w:t>f)</w:t>
      </w:r>
      <w:r w:rsidRPr="00A779B8">
        <w:rPr>
          <w:lang w:val="fr-FR"/>
        </w:rPr>
        <w:tab/>
        <w:t>Les dénominateurs des surveillances du système de commande de la pression de suralimentation doivent être incrémentés si toutes les conditions suivantes sont réunies:</w:t>
      </w:r>
    </w:p>
    <w:p w:rsidR="005E010E" w:rsidRPr="00A779B8" w:rsidRDefault="005E010E" w:rsidP="005E010E">
      <w:pPr>
        <w:pStyle w:val="SingleTxtG"/>
        <w:ind w:left="3402" w:hanging="567"/>
        <w:rPr>
          <w:lang w:val="fr-FR"/>
        </w:rPr>
      </w:pPr>
      <w:r w:rsidRPr="00A779B8">
        <w:rPr>
          <w:lang w:val="fr-FR"/>
        </w:rPr>
        <w:t>i)</w:t>
      </w:r>
      <w:r w:rsidRPr="00A779B8">
        <w:rPr>
          <w:lang w:val="fr-FR"/>
        </w:rPr>
        <w:tab/>
        <w:t>Les conditions applicables au dénominateur général sont remplies;</w:t>
      </w:r>
    </w:p>
    <w:p w:rsidR="005E010E" w:rsidRPr="00A779B8" w:rsidRDefault="005E010E" w:rsidP="005E010E">
      <w:pPr>
        <w:pStyle w:val="SingleTxtG"/>
        <w:ind w:left="3402" w:hanging="567"/>
        <w:rPr>
          <w:lang w:val="fr-FR"/>
        </w:rPr>
      </w:pPr>
      <w:r w:rsidRPr="00A779B8">
        <w:rPr>
          <w:lang w:val="fr-FR"/>
        </w:rPr>
        <w:t>ii)</w:t>
      </w:r>
      <w:r w:rsidRPr="00A779B8">
        <w:rPr>
          <w:lang w:val="fr-FR"/>
        </w:rPr>
        <w:tab/>
        <w:t>Le système de commande de la pression de suralimentation est activé pendant au moins 15 s.</w:t>
      </w:r>
    </w:p>
    <w:p w:rsidR="005E010E" w:rsidRPr="00A779B8" w:rsidRDefault="005E010E" w:rsidP="005E010E">
      <w:pPr>
        <w:pStyle w:val="SingleTxtG"/>
        <w:ind w:left="2268" w:hanging="1134"/>
        <w:rPr>
          <w:lang w:val="fr-FR"/>
        </w:rPr>
      </w:pPr>
      <w:r w:rsidRPr="00A779B8">
        <w:rPr>
          <w:lang w:val="fr-FR"/>
        </w:rPr>
        <w:t>7.3.3</w:t>
      </w:r>
      <w:r w:rsidRPr="00A779B8">
        <w:rPr>
          <w:lang w:val="fr-FR"/>
        </w:rPr>
        <w:tab/>
        <w:t>Pour les véhicules hybrides, les véhicules qui emploient d</w:t>
      </w:r>
      <w:r w:rsidR="00DB4C2D">
        <w:rPr>
          <w:lang w:val="fr-FR"/>
        </w:rPr>
        <w:t>’</w:t>
      </w:r>
      <w:r w:rsidRPr="00A779B8">
        <w:rPr>
          <w:lang w:val="fr-FR"/>
        </w:rPr>
        <w:t>autres dispositifs ou stratégies de démarrage du moteur (par exemple, démarreur et générateurs intégrés) ou les véhicules à carburants de remplacement (par exemple, applications dédiées, bicarburation ou carburant mixte), le constructeur peut demander l</w:t>
      </w:r>
      <w:r w:rsidR="00DB4C2D">
        <w:rPr>
          <w:lang w:val="fr-FR"/>
        </w:rPr>
        <w:t>’</w:t>
      </w:r>
      <w:r w:rsidRPr="00A779B8">
        <w:rPr>
          <w:lang w:val="fr-FR"/>
        </w:rPr>
        <w:t>accord de l</w:t>
      </w:r>
      <w:r w:rsidR="00DB4C2D">
        <w:rPr>
          <w:lang w:val="fr-FR"/>
        </w:rPr>
        <w:t>’</w:t>
      </w:r>
      <w:r w:rsidRPr="00A779B8">
        <w:rPr>
          <w:lang w:val="fr-FR"/>
        </w:rPr>
        <w:t>autorité d</w:t>
      </w:r>
      <w:r w:rsidR="00DB4C2D">
        <w:rPr>
          <w:lang w:val="fr-FR"/>
        </w:rPr>
        <w:t>’</w:t>
      </w:r>
      <w:r w:rsidRPr="00A779B8">
        <w:rPr>
          <w:lang w:val="fr-FR"/>
        </w:rPr>
        <w:t>homologation de type en vue d</w:t>
      </w:r>
      <w:r w:rsidR="00DB4C2D">
        <w:rPr>
          <w:lang w:val="fr-FR"/>
        </w:rPr>
        <w:t>’</w:t>
      </w:r>
      <w:r w:rsidRPr="00A779B8">
        <w:rPr>
          <w:lang w:val="fr-FR"/>
        </w:rPr>
        <w:t xml:space="preserve">utiliser des critères autres que ceux visés au présent paragraphe pour incrémenter le </w:t>
      </w:r>
      <w:r w:rsidRPr="00A779B8">
        <w:rPr>
          <w:lang w:val="fr-FR"/>
        </w:rPr>
        <w:lastRenderedPageBreak/>
        <w:t>dénominateur. En général, l</w:t>
      </w:r>
      <w:r w:rsidR="00DB4C2D">
        <w:rPr>
          <w:lang w:val="fr-FR"/>
        </w:rPr>
        <w:t>’</w:t>
      </w:r>
      <w:r w:rsidRPr="00A779B8">
        <w:rPr>
          <w:lang w:val="fr-FR"/>
        </w:rPr>
        <w:t>autorité d</w:t>
      </w:r>
      <w:r w:rsidR="00DB4C2D">
        <w:rPr>
          <w:lang w:val="fr-FR"/>
        </w:rPr>
        <w:t>’</w:t>
      </w:r>
      <w:r w:rsidRPr="00A779B8">
        <w:rPr>
          <w:lang w:val="fr-FR"/>
        </w:rPr>
        <w:t>homologation de type ne doit accepter aucun autre critère pour les véhicules qui emploient uniquement l</w:t>
      </w:r>
      <w:r w:rsidR="00DB4C2D">
        <w:rPr>
          <w:lang w:val="fr-FR"/>
        </w:rPr>
        <w:t>’</w:t>
      </w:r>
      <w:r w:rsidRPr="00A779B8">
        <w:rPr>
          <w:lang w:val="fr-FR"/>
        </w:rPr>
        <w:t>arrêt du moteur en cas de ralenti/d</w:t>
      </w:r>
      <w:r w:rsidR="00DB4C2D">
        <w:rPr>
          <w:lang w:val="fr-FR"/>
        </w:rPr>
        <w:t>’</w:t>
      </w:r>
      <w:r w:rsidRPr="00A779B8">
        <w:rPr>
          <w:lang w:val="fr-FR"/>
        </w:rPr>
        <w:t>arrêt du véhicule. Pour accepter d</w:t>
      </w:r>
      <w:r w:rsidR="00DB4C2D">
        <w:rPr>
          <w:lang w:val="fr-FR"/>
        </w:rPr>
        <w:t>’</w:t>
      </w:r>
      <w:r w:rsidRPr="00A779B8">
        <w:rPr>
          <w:lang w:val="fr-FR"/>
        </w:rPr>
        <w:t>autres critères, l</w:t>
      </w:r>
      <w:r w:rsidR="00DB4C2D">
        <w:rPr>
          <w:lang w:val="fr-FR"/>
        </w:rPr>
        <w:t>’</w:t>
      </w:r>
      <w:r w:rsidRPr="00A779B8">
        <w:rPr>
          <w:lang w:val="fr-FR"/>
        </w:rPr>
        <w:t>autorité d</w:t>
      </w:r>
      <w:r w:rsidR="00DB4C2D">
        <w:rPr>
          <w:lang w:val="fr-FR"/>
        </w:rPr>
        <w:t>’</w:t>
      </w:r>
      <w:r w:rsidRPr="00A779B8">
        <w:rPr>
          <w:lang w:val="fr-FR"/>
        </w:rPr>
        <w:t>homologation doit se baser sur leur équivalence pour déterminer le niveau de fonctionnement du véhicule par rapport à la mesure du fonctionnement classique du véhicule conformément aux critères du présent paragraphe.</w:t>
      </w:r>
    </w:p>
    <w:p w:rsidR="005E010E" w:rsidRPr="00A779B8" w:rsidRDefault="005E010E" w:rsidP="005E010E">
      <w:pPr>
        <w:pStyle w:val="SingleTxtG"/>
        <w:keepNext/>
        <w:ind w:left="2268" w:hanging="1134"/>
        <w:jc w:val="left"/>
        <w:rPr>
          <w:lang w:val="fr-FR"/>
        </w:rPr>
      </w:pPr>
      <w:r w:rsidRPr="00A779B8">
        <w:rPr>
          <w:lang w:val="fr-FR"/>
        </w:rPr>
        <w:t>7.4</w:t>
      </w:r>
      <w:r w:rsidRPr="00A779B8">
        <w:rPr>
          <w:lang w:val="fr-FR"/>
        </w:rPr>
        <w:tab/>
        <w:t>Compteur de cycles d</w:t>
      </w:r>
      <w:r w:rsidR="00DB4C2D">
        <w:rPr>
          <w:lang w:val="fr-FR"/>
        </w:rPr>
        <w:t>’</w:t>
      </w:r>
      <w:r w:rsidRPr="00A779B8">
        <w:rPr>
          <w:lang w:val="fr-FR"/>
        </w:rPr>
        <w:t>allumage</w:t>
      </w:r>
    </w:p>
    <w:p w:rsidR="005E010E" w:rsidRPr="00A779B8" w:rsidRDefault="005E010E" w:rsidP="005E010E">
      <w:pPr>
        <w:pStyle w:val="SingleTxtG"/>
        <w:ind w:left="2268" w:hanging="1134"/>
        <w:rPr>
          <w:lang w:val="fr-FR"/>
        </w:rPr>
      </w:pPr>
      <w:r w:rsidRPr="00A779B8">
        <w:rPr>
          <w:lang w:val="fr-FR"/>
        </w:rPr>
        <w:t>7.4.1</w:t>
      </w:r>
      <w:r w:rsidRPr="00A779B8">
        <w:rPr>
          <w:lang w:val="fr-FR"/>
        </w:rPr>
        <w:tab/>
        <w:t>Le compteur de cycles d</w:t>
      </w:r>
      <w:r w:rsidR="00DB4C2D">
        <w:rPr>
          <w:lang w:val="fr-FR"/>
        </w:rPr>
        <w:t>’</w:t>
      </w:r>
      <w:r w:rsidRPr="00A779B8">
        <w:rPr>
          <w:lang w:val="fr-FR"/>
        </w:rPr>
        <w:t>allumage indique le nombre de cycles réalisés par le véhicule. Ce compteur ne peut être incrémenté plus d</w:t>
      </w:r>
      <w:r w:rsidR="00DB4C2D">
        <w:rPr>
          <w:lang w:val="fr-FR"/>
        </w:rPr>
        <w:t>’</w:t>
      </w:r>
      <w:r w:rsidRPr="00A779B8">
        <w:rPr>
          <w:lang w:val="fr-FR"/>
        </w:rPr>
        <w:t>une fois par cycle de conduite.</w:t>
      </w:r>
    </w:p>
    <w:p w:rsidR="005E010E" w:rsidRPr="00A779B8" w:rsidRDefault="005E010E" w:rsidP="005E010E">
      <w:pPr>
        <w:pStyle w:val="SingleTxtG"/>
        <w:keepNext/>
        <w:ind w:left="2268" w:hanging="1134"/>
        <w:jc w:val="left"/>
        <w:rPr>
          <w:bCs/>
          <w:lang w:val="fr-FR"/>
        </w:rPr>
      </w:pPr>
      <w:r w:rsidRPr="00A779B8">
        <w:rPr>
          <w:lang w:val="fr-FR"/>
        </w:rPr>
        <w:t>7.5</w:t>
      </w:r>
      <w:r w:rsidRPr="00A779B8">
        <w:rPr>
          <w:lang w:val="fr-FR"/>
        </w:rPr>
        <w:tab/>
      </w:r>
      <w:r w:rsidRPr="00A779B8">
        <w:rPr>
          <w:bCs/>
          <w:lang w:val="fr-FR"/>
        </w:rPr>
        <w:t>Dénominateur général</w:t>
      </w:r>
    </w:p>
    <w:p w:rsidR="005E010E" w:rsidRPr="00A779B8" w:rsidRDefault="005E010E" w:rsidP="005E010E">
      <w:pPr>
        <w:pStyle w:val="SingleTxtG"/>
        <w:keepNext/>
        <w:keepLines/>
        <w:ind w:left="2268" w:hanging="1134"/>
        <w:rPr>
          <w:lang w:val="fr-FR"/>
        </w:rPr>
      </w:pPr>
      <w:r w:rsidRPr="00A779B8">
        <w:rPr>
          <w:lang w:val="fr-FR"/>
        </w:rPr>
        <w:t>7.5.1</w:t>
      </w:r>
      <w:r w:rsidRPr="00A779B8">
        <w:rPr>
          <w:lang w:val="fr-FR"/>
        </w:rPr>
        <w:tab/>
        <w:t>Le dénominateur général est un compteur qui mesure le nombre de démarrages du véhicule. Il est incrémenté dans les 10 s si et seulement si les critères ci-dessous sont réunis au cours d</w:t>
      </w:r>
      <w:r w:rsidR="00DB4C2D">
        <w:rPr>
          <w:lang w:val="fr-FR"/>
        </w:rPr>
        <w:t>’</w:t>
      </w:r>
      <w:r w:rsidRPr="00A779B8">
        <w:rPr>
          <w:lang w:val="fr-FR"/>
        </w:rPr>
        <w:t>un cycle de conduite unique:</w:t>
      </w:r>
    </w:p>
    <w:p w:rsidR="005E010E" w:rsidRPr="00A779B8" w:rsidRDefault="005E010E" w:rsidP="005E010E">
      <w:pPr>
        <w:pStyle w:val="SingleTxtG"/>
        <w:ind w:left="2835" w:hanging="567"/>
        <w:rPr>
          <w:lang w:val="fr-FR"/>
        </w:rPr>
      </w:pPr>
      <w:r w:rsidRPr="00A779B8">
        <w:rPr>
          <w:lang w:val="fr-FR"/>
        </w:rPr>
        <w:t>a)</w:t>
      </w:r>
      <w:r w:rsidRPr="00A779B8">
        <w:rPr>
          <w:lang w:val="fr-FR"/>
        </w:rPr>
        <w:tab/>
        <w:t>Le temps cumulé depuis le démarrage du moteur est au moins égal à 600 s à une altitude de moins de 2 440 m au-dessus du niveau de la mer et à une température ambiante au moins égale à -7 °C;</w:t>
      </w:r>
    </w:p>
    <w:p w:rsidR="005E010E" w:rsidRPr="00A779B8" w:rsidRDefault="005E010E" w:rsidP="005E010E">
      <w:pPr>
        <w:pStyle w:val="SingleTxtG"/>
        <w:ind w:left="2835" w:hanging="567"/>
        <w:rPr>
          <w:lang w:val="fr-FR"/>
        </w:rPr>
      </w:pPr>
      <w:r w:rsidRPr="00A779B8">
        <w:rPr>
          <w:lang w:val="fr-FR"/>
        </w:rPr>
        <w:t>b)</w:t>
      </w:r>
      <w:r w:rsidRPr="00A779B8">
        <w:rPr>
          <w:lang w:val="fr-FR"/>
        </w:rPr>
        <w:tab/>
        <w:t>Le temps de fonctionnement cumulé du véhicule à au moins 40 km/h est au moins égal à 300 s à une altitude de moins de 2 440 m au</w:t>
      </w:r>
      <w:r w:rsidRPr="00A779B8">
        <w:rPr>
          <w:lang w:val="fr-FR"/>
        </w:rPr>
        <w:noBreakHyphen/>
        <w:t>dessus du niveau de la mer et à une température ambiante au moins égale à -7 °C;</w:t>
      </w:r>
    </w:p>
    <w:p w:rsidR="005E010E" w:rsidRPr="00A779B8" w:rsidRDefault="005E010E" w:rsidP="005E010E">
      <w:pPr>
        <w:pStyle w:val="SingleTxtG"/>
        <w:ind w:left="2835" w:hanging="567"/>
        <w:rPr>
          <w:lang w:val="fr-FR"/>
        </w:rPr>
      </w:pPr>
      <w:r w:rsidRPr="00A779B8">
        <w:rPr>
          <w:lang w:val="fr-FR"/>
        </w:rPr>
        <w:t>c)</w:t>
      </w:r>
      <w:r w:rsidRPr="00A779B8">
        <w:rPr>
          <w:lang w:val="fr-FR"/>
        </w:rPr>
        <w:tab/>
        <w:t>Le fonctionnement continu du véhicule au ralenti (c</w:t>
      </w:r>
      <w:r w:rsidR="00DB4C2D">
        <w:rPr>
          <w:lang w:val="fr-FR"/>
        </w:rPr>
        <w:t>’</w:t>
      </w:r>
      <w:r w:rsidRPr="00A779B8">
        <w:rPr>
          <w:lang w:val="fr-FR"/>
        </w:rPr>
        <w:t>est-à-dire accélérateur relâché par le conducteur et vitesse du véhicule ne dépassant pas 1,6 km/h) est au moins de 30 s à une altitude de moins de 2 440 m au-dessus du niveau de la mer et à une température ambiante au moins égale à -7 °C.</w:t>
      </w:r>
    </w:p>
    <w:p w:rsidR="005E010E" w:rsidRPr="00A779B8" w:rsidRDefault="005E010E" w:rsidP="005E010E">
      <w:pPr>
        <w:pStyle w:val="SingleTxtG"/>
        <w:keepNext/>
        <w:ind w:left="2268" w:hanging="1134"/>
        <w:jc w:val="left"/>
        <w:rPr>
          <w:bCs/>
          <w:lang w:val="fr-FR"/>
        </w:rPr>
      </w:pPr>
      <w:r w:rsidRPr="00A779B8">
        <w:rPr>
          <w:lang w:val="fr-FR"/>
        </w:rPr>
        <w:t>7.6</w:t>
      </w:r>
      <w:r w:rsidRPr="00A779B8">
        <w:rPr>
          <w:lang w:val="fr-FR"/>
        </w:rPr>
        <w:tab/>
      </w:r>
      <w:r w:rsidRPr="00A779B8">
        <w:rPr>
          <w:bCs/>
          <w:lang w:val="fr-FR"/>
        </w:rPr>
        <w:t>Relevé et incrémentation des compteurs</w:t>
      </w:r>
    </w:p>
    <w:p w:rsidR="005E010E" w:rsidRPr="00A779B8" w:rsidRDefault="005E010E" w:rsidP="005E010E">
      <w:pPr>
        <w:pStyle w:val="SingleTxtG"/>
        <w:keepNext/>
        <w:ind w:left="2268" w:hanging="1134"/>
        <w:rPr>
          <w:lang w:val="fr-FR"/>
        </w:rPr>
      </w:pPr>
      <w:r w:rsidRPr="00A779B8">
        <w:rPr>
          <w:lang w:val="fr-FR"/>
        </w:rPr>
        <w:t>7.6.1</w:t>
      </w:r>
      <w:r w:rsidRPr="00A779B8">
        <w:rPr>
          <w:lang w:val="fr-FR"/>
        </w:rPr>
        <w:tab/>
        <w:t>Le système OBD doit relever conformément à la norme ISO 15031-5 l</w:t>
      </w:r>
      <w:r w:rsidR="00DB4C2D">
        <w:rPr>
          <w:lang w:val="fr-FR"/>
        </w:rPr>
        <w:t>’</w:t>
      </w:r>
      <w:r w:rsidRPr="00A779B8">
        <w:rPr>
          <w:lang w:val="fr-FR"/>
        </w:rPr>
        <w:t>état du compteur de cycles d</w:t>
      </w:r>
      <w:r w:rsidR="00DB4C2D">
        <w:rPr>
          <w:lang w:val="fr-FR"/>
        </w:rPr>
        <w:t>’</w:t>
      </w:r>
      <w:r w:rsidRPr="00A779B8">
        <w:rPr>
          <w:lang w:val="fr-FR"/>
        </w:rPr>
        <w:t>allumage et du dénominateur général ainsi que des numérateurs et dénominateurs séparés pour les surveillances ci-dessous, si leur présence sur le véhicule est exigée par la présente annexe:</w:t>
      </w:r>
    </w:p>
    <w:p w:rsidR="005E010E" w:rsidRPr="00A779B8" w:rsidRDefault="005E010E" w:rsidP="005E010E">
      <w:pPr>
        <w:pStyle w:val="SingleTxtG"/>
        <w:ind w:left="2835" w:hanging="567"/>
        <w:rPr>
          <w:lang w:val="fr-FR"/>
        </w:rPr>
      </w:pPr>
      <w:r w:rsidRPr="00A779B8">
        <w:rPr>
          <w:lang w:val="fr-FR"/>
        </w:rPr>
        <w:t>a)</w:t>
      </w:r>
      <w:r w:rsidRPr="00A779B8">
        <w:rPr>
          <w:lang w:val="fr-FR"/>
        </w:rPr>
        <w:tab/>
        <w:t>Catalyseurs (relevé séparé de chaque rampe);</w:t>
      </w:r>
    </w:p>
    <w:p w:rsidR="005E010E" w:rsidRPr="00A779B8" w:rsidRDefault="005E010E" w:rsidP="005E010E">
      <w:pPr>
        <w:pStyle w:val="SingleTxtG"/>
        <w:ind w:left="2835" w:hanging="567"/>
        <w:rPr>
          <w:lang w:val="fr-FR"/>
        </w:rPr>
      </w:pPr>
      <w:r w:rsidRPr="00A779B8">
        <w:rPr>
          <w:lang w:val="fr-FR"/>
        </w:rPr>
        <w:t>b)</w:t>
      </w:r>
      <w:r w:rsidRPr="00A779B8">
        <w:rPr>
          <w:lang w:val="fr-FR"/>
        </w:rPr>
        <w:tab/>
        <w:t>Sondes à oxygène (sondes Lambda)/capteurs de gaz d</w:t>
      </w:r>
      <w:r w:rsidR="00DB4C2D">
        <w:rPr>
          <w:lang w:val="fr-FR"/>
        </w:rPr>
        <w:t>’</w:t>
      </w:r>
      <w:r w:rsidRPr="00A779B8">
        <w:rPr>
          <w:lang w:val="fr-FR"/>
        </w:rPr>
        <w:t>échappement, y compris les sondes à oxygène secondaires (relevé séparé de chaque sonde ou capteur);</w:t>
      </w:r>
    </w:p>
    <w:p w:rsidR="005E010E" w:rsidRPr="00A779B8" w:rsidRDefault="005E010E" w:rsidP="005E010E">
      <w:pPr>
        <w:pStyle w:val="SingleTxtG"/>
        <w:ind w:left="2835" w:hanging="567"/>
        <w:rPr>
          <w:lang w:val="fr-FR"/>
        </w:rPr>
      </w:pPr>
      <w:r w:rsidRPr="00A779B8">
        <w:rPr>
          <w:lang w:val="fr-FR"/>
        </w:rPr>
        <w:t>c)</w:t>
      </w:r>
      <w:r w:rsidRPr="00A779B8">
        <w:rPr>
          <w:lang w:val="fr-FR"/>
        </w:rPr>
        <w:tab/>
        <w:t>Système d</w:t>
      </w:r>
      <w:r w:rsidR="00DB4C2D">
        <w:rPr>
          <w:lang w:val="fr-FR"/>
        </w:rPr>
        <w:t>’</w:t>
      </w:r>
      <w:r w:rsidRPr="00A779B8">
        <w:rPr>
          <w:lang w:val="fr-FR"/>
        </w:rPr>
        <w:t>évaporation;</w:t>
      </w:r>
    </w:p>
    <w:p w:rsidR="005E010E" w:rsidRPr="00A779B8" w:rsidRDefault="005E010E" w:rsidP="005E010E">
      <w:pPr>
        <w:pStyle w:val="SingleTxtG"/>
        <w:ind w:left="2835" w:hanging="567"/>
        <w:rPr>
          <w:lang w:val="fr-FR"/>
        </w:rPr>
      </w:pPr>
      <w:r w:rsidRPr="00A779B8">
        <w:rPr>
          <w:lang w:val="fr-FR"/>
        </w:rPr>
        <w:t>d)</w:t>
      </w:r>
      <w:r w:rsidRPr="00A779B8">
        <w:rPr>
          <w:lang w:val="fr-FR"/>
        </w:rPr>
        <w:tab/>
        <w:t>Système EGR;</w:t>
      </w:r>
    </w:p>
    <w:p w:rsidR="005E010E" w:rsidRPr="00A779B8" w:rsidRDefault="005E010E" w:rsidP="005E010E">
      <w:pPr>
        <w:pStyle w:val="SingleTxtG"/>
        <w:ind w:left="2835" w:hanging="567"/>
        <w:rPr>
          <w:lang w:val="fr-FR"/>
        </w:rPr>
      </w:pPr>
      <w:r w:rsidRPr="00A779B8">
        <w:rPr>
          <w:lang w:val="fr-FR"/>
        </w:rPr>
        <w:t>e)</w:t>
      </w:r>
      <w:r w:rsidRPr="00A779B8">
        <w:rPr>
          <w:lang w:val="fr-FR"/>
        </w:rPr>
        <w:tab/>
        <w:t>Système VVT;</w:t>
      </w:r>
    </w:p>
    <w:p w:rsidR="005E010E" w:rsidRPr="00A779B8" w:rsidRDefault="005E010E" w:rsidP="005E010E">
      <w:pPr>
        <w:pStyle w:val="SingleTxtG"/>
        <w:ind w:left="2835" w:hanging="567"/>
        <w:rPr>
          <w:lang w:val="fr-FR"/>
        </w:rPr>
      </w:pPr>
      <w:r w:rsidRPr="00A779B8">
        <w:rPr>
          <w:lang w:val="fr-FR"/>
        </w:rPr>
        <w:t>f)</w:t>
      </w:r>
      <w:r w:rsidRPr="00A779B8">
        <w:rPr>
          <w:lang w:val="fr-FR"/>
        </w:rPr>
        <w:tab/>
        <w:t>Système d</w:t>
      </w:r>
      <w:r w:rsidR="00DB4C2D">
        <w:rPr>
          <w:lang w:val="fr-FR"/>
        </w:rPr>
        <w:t>’</w:t>
      </w:r>
      <w:r w:rsidRPr="00A779B8">
        <w:rPr>
          <w:lang w:val="fr-FR"/>
        </w:rPr>
        <w:t>air secondaire;</w:t>
      </w:r>
    </w:p>
    <w:p w:rsidR="005E010E" w:rsidRPr="00A779B8" w:rsidRDefault="005E010E" w:rsidP="005E010E">
      <w:pPr>
        <w:pStyle w:val="SingleTxtG"/>
        <w:ind w:left="2835" w:hanging="567"/>
        <w:rPr>
          <w:lang w:val="fr-FR"/>
        </w:rPr>
      </w:pPr>
      <w:r w:rsidRPr="00A779B8">
        <w:rPr>
          <w:lang w:val="fr-FR"/>
        </w:rPr>
        <w:t>g)</w:t>
      </w:r>
      <w:r w:rsidRPr="00A779B8">
        <w:rPr>
          <w:lang w:val="fr-FR"/>
        </w:rPr>
        <w:tab/>
        <w:t>Filtre à particules;</w:t>
      </w:r>
    </w:p>
    <w:p w:rsidR="005E010E" w:rsidRPr="00A779B8" w:rsidRDefault="005E010E" w:rsidP="005E010E">
      <w:pPr>
        <w:pStyle w:val="SingleTxtG"/>
        <w:ind w:left="2835" w:hanging="567"/>
        <w:rPr>
          <w:lang w:val="fr-FR"/>
        </w:rPr>
      </w:pPr>
      <w:r w:rsidRPr="00A779B8">
        <w:rPr>
          <w:lang w:val="fr-FR"/>
        </w:rPr>
        <w:t>h)</w:t>
      </w:r>
      <w:r w:rsidRPr="00A779B8">
        <w:rPr>
          <w:lang w:val="fr-FR"/>
        </w:rPr>
        <w:tab/>
        <w:t>Système d</w:t>
      </w:r>
      <w:r w:rsidR="00DB4C2D">
        <w:rPr>
          <w:lang w:val="fr-FR"/>
        </w:rPr>
        <w:t>’</w:t>
      </w:r>
      <w:r w:rsidRPr="00A779B8">
        <w:rPr>
          <w:lang w:val="fr-FR"/>
        </w:rPr>
        <w:t xml:space="preserve">épuration aval des </w:t>
      </w:r>
      <w:proofErr w:type="spellStart"/>
      <w:r w:rsidRPr="00A779B8">
        <w:rPr>
          <w:lang w:val="fr-FR"/>
        </w:rPr>
        <w:t>NO</w:t>
      </w:r>
      <w:r w:rsidRPr="00A779B8">
        <w:rPr>
          <w:vertAlign w:val="subscript"/>
          <w:lang w:val="fr-FR"/>
        </w:rPr>
        <w:t>x</w:t>
      </w:r>
      <w:proofErr w:type="spellEnd"/>
      <w:r w:rsidRPr="00A779B8">
        <w:rPr>
          <w:lang w:val="fr-FR"/>
        </w:rPr>
        <w:t xml:space="preserve"> (par exemple, adsorbeur de </w:t>
      </w:r>
      <w:proofErr w:type="spellStart"/>
      <w:r w:rsidRPr="00A779B8">
        <w:rPr>
          <w:lang w:val="fr-FR"/>
        </w:rPr>
        <w:t>NO</w:t>
      </w:r>
      <w:r w:rsidRPr="00A779B8">
        <w:rPr>
          <w:vertAlign w:val="subscript"/>
          <w:lang w:val="fr-FR"/>
        </w:rPr>
        <w:t>x</w:t>
      </w:r>
      <w:proofErr w:type="spellEnd"/>
      <w:r w:rsidRPr="00A779B8">
        <w:rPr>
          <w:lang w:val="fr-FR"/>
        </w:rPr>
        <w:t xml:space="preserve">, système réactif/catalyseur de </w:t>
      </w:r>
      <w:proofErr w:type="spellStart"/>
      <w:r w:rsidRPr="00A779B8">
        <w:rPr>
          <w:lang w:val="fr-FR"/>
        </w:rPr>
        <w:t>NO</w:t>
      </w:r>
      <w:r w:rsidRPr="00A779B8">
        <w:rPr>
          <w:vertAlign w:val="subscript"/>
          <w:lang w:val="fr-FR"/>
        </w:rPr>
        <w:t>x</w:t>
      </w:r>
      <w:proofErr w:type="spellEnd"/>
      <w:r w:rsidRPr="00A779B8">
        <w:rPr>
          <w:lang w:val="fr-FR"/>
        </w:rPr>
        <w:t>);</w:t>
      </w:r>
    </w:p>
    <w:p w:rsidR="005E010E" w:rsidRPr="00A779B8" w:rsidRDefault="005E010E" w:rsidP="005E010E">
      <w:pPr>
        <w:pStyle w:val="SingleTxtG"/>
        <w:ind w:left="2835" w:hanging="567"/>
        <w:rPr>
          <w:lang w:val="fr-FR"/>
        </w:rPr>
      </w:pPr>
      <w:r w:rsidRPr="00A779B8">
        <w:rPr>
          <w:lang w:val="fr-FR"/>
        </w:rPr>
        <w:t>i)</w:t>
      </w:r>
      <w:r w:rsidRPr="00A779B8">
        <w:rPr>
          <w:lang w:val="fr-FR"/>
        </w:rPr>
        <w:tab/>
        <w:t>Système de contrôle de la pression de suralimentation.</w:t>
      </w:r>
    </w:p>
    <w:p w:rsidR="005E010E" w:rsidRPr="00A779B8" w:rsidRDefault="005E010E" w:rsidP="005E010E">
      <w:pPr>
        <w:pStyle w:val="SingleTxtG"/>
        <w:spacing w:after="100" w:line="236" w:lineRule="atLeast"/>
        <w:ind w:left="2268" w:hanging="1134"/>
        <w:rPr>
          <w:lang w:val="fr-FR"/>
        </w:rPr>
      </w:pPr>
      <w:r w:rsidRPr="00A779B8">
        <w:rPr>
          <w:lang w:val="fr-FR"/>
        </w:rPr>
        <w:lastRenderedPageBreak/>
        <w:t>7.6.2</w:t>
      </w:r>
      <w:r w:rsidRPr="00A779B8">
        <w:rPr>
          <w:lang w:val="fr-FR"/>
        </w:rPr>
        <w:tab/>
        <w:t>Pour des composants ou systèmes spécifiques faisant l</w:t>
      </w:r>
      <w:r w:rsidR="00DB4C2D">
        <w:rPr>
          <w:lang w:val="fr-FR"/>
        </w:rPr>
        <w:t>’</w:t>
      </w:r>
      <w:r w:rsidRPr="00A779B8">
        <w:rPr>
          <w:lang w:val="fr-FR"/>
        </w:rPr>
        <w:t>objet de surveillances multiples qui doivent être relevées en vertu du présent paragraphe (par exemple, la rampe 1 de sonde à oxygène peut faire l</w:t>
      </w:r>
      <w:r w:rsidR="00DB4C2D">
        <w:rPr>
          <w:lang w:val="fr-FR"/>
        </w:rPr>
        <w:t>’</w:t>
      </w:r>
      <w:r w:rsidRPr="00A779B8">
        <w:rPr>
          <w:lang w:val="fr-FR"/>
        </w:rPr>
        <w:t>objet de surveillances multiples relatives à la réaction du capteur ou à d</w:t>
      </w:r>
      <w:r w:rsidR="00DB4C2D">
        <w:rPr>
          <w:lang w:val="fr-FR"/>
        </w:rPr>
        <w:t>’</w:t>
      </w:r>
      <w:r w:rsidRPr="00A779B8">
        <w:rPr>
          <w:lang w:val="fr-FR"/>
        </w:rPr>
        <w:t>autres de ses caractéristiques), le système OBD doit recenser séparément les numérateurs et les dénominateurs pour chacune des surveillances spécifiques et relève uniquement le numérateur et le dénominateur correspondants pour la surveillance spécifique présentant le rapport numérique le plus faible. Si deux ou plusieurs surveillances spécifiques ont des rapports identiques, le numérateur et le dénominateur correspondants pour la surveillance spécifique qui ont le dénominateur le plus élevé doivent être relevés pour le composant spécifique.</w:t>
      </w:r>
    </w:p>
    <w:p w:rsidR="005E010E" w:rsidRPr="00A779B8" w:rsidRDefault="005E010E" w:rsidP="005E010E">
      <w:pPr>
        <w:pStyle w:val="SingleTxtG"/>
        <w:spacing w:after="100" w:line="236" w:lineRule="atLeast"/>
        <w:ind w:left="2268" w:hanging="1134"/>
        <w:rPr>
          <w:lang w:val="fr-FR"/>
        </w:rPr>
      </w:pPr>
      <w:r w:rsidRPr="00A779B8">
        <w:rPr>
          <w:lang w:val="fr-FR"/>
        </w:rPr>
        <w:t>7.6.3</w:t>
      </w:r>
      <w:r w:rsidRPr="00A779B8">
        <w:rPr>
          <w:lang w:val="fr-FR"/>
        </w:rPr>
        <w:tab/>
        <w:t>En cas d</w:t>
      </w:r>
      <w:r w:rsidR="00DB4C2D">
        <w:rPr>
          <w:lang w:val="fr-FR"/>
        </w:rPr>
        <w:t>’</w:t>
      </w:r>
      <w:r w:rsidRPr="00A779B8">
        <w:rPr>
          <w:lang w:val="fr-FR"/>
        </w:rPr>
        <w:t>incrémentation, tous les compteurs doivent être incrémentés d</w:t>
      </w:r>
      <w:r w:rsidR="00DB4C2D">
        <w:rPr>
          <w:lang w:val="fr-FR"/>
        </w:rPr>
        <w:t>’</w:t>
      </w:r>
      <w:r w:rsidRPr="00A779B8">
        <w:rPr>
          <w:lang w:val="fr-FR"/>
        </w:rPr>
        <w:t>une unité.</w:t>
      </w:r>
    </w:p>
    <w:p w:rsidR="005E010E" w:rsidRPr="00A779B8" w:rsidRDefault="005E010E" w:rsidP="005E010E">
      <w:pPr>
        <w:pStyle w:val="SingleTxtG"/>
        <w:spacing w:after="100" w:line="236" w:lineRule="atLeast"/>
        <w:ind w:left="2268" w:hanging="1134"/>
        <w:rPr>
          <w:lang w:val="fr-FR"/>
        </w:rPr>
      </w:pPr>
      <w:r w:rsidRPr="00A779B8">
        <w:rPr>
          <w:lang w:val="fr-FR"/>
        </w:rPr>
        <w:t>7.6.4</w:t>
      </w:r>
      <w:r w:rsidRPr="00A779B8">
        <w:rPr>
          <w:lang w:val="fr-FR"/>
        </w:rPr>
        <w:tab/>
        <w:t>La valeur minimale de chaque compteur est de zéro, la valeur maximale doit être au moins égale à 65 535, sans préjudice d</w:t>
      </w:r>
      <w:r w:rsidR="00DB4C2D">
        <w:rPr>
          <w:lang w:val="fr-FR"/>
        </w:rPr>
        <w:t>’</w:t>
      </w:r>
      <w:r w:rsidRPr="00A779B8">
        <w:rPr>
          <w:lang w:val="fr-FR"/>
        </w:rPr>
        <w:t>autres prescriptions relatives à l</w:t>
      </w:r>
      <w:r w:rsidR="00DB4C2D">
        <w:rPr>
          <w:lang w:val="fr-FR"/>
        </w:rPr>
        <w:t>’</w:t>
      </w:r>
      <w:r w:rsidRPr="00A779B8">
        <w:rPr>
          <w:lang w:val="fr-FR"/>
        </w:rPr>
        <w:t>enregistrement et aux relevés normalisés du système OBD.</w:t>
      </w:r>
    </w:p>
    <w:p w:rsidR="005E010E" w:rsidRPr="00A779B8" w:rsidRDefault="005E010E" w:rsidP="005E010E">
      <w:pPr>
        <w:pStyle w:val="SingleTxtG"/>
        <w:spacing w:after="100" w:line="236" w:lineRule="atLeast"/>
        <w:ind w:left="2268" w:hanging="1134"/>
        <w:rPr>
          <w:lang w:val="fr-FR"/>
        </w:rPr>
      </w:pPr>
      <w:r w:rsidRPr="00A779B8">
        <w:rPr>
          <w:lang w:val="fr-FR"/>
        </w:rPr>
        <w:t>7.6.5</w:t>
      </w:r>
      <w:r w:rsidRPr="00A779B8">
        <w:rPr>
          <w:lang w:val="fr-FR"/>
        </w:rPr>
        <w:tab/>
        <w:t>Si le numérateur ou le dénominateur d</w:t>
      </w:r>
      <w:r w:rsidR="00DB4C2D">
        <w:rPr>
          <w:lang w:val="fr-FR"/>
        </w:rPr>
        <w:t>’</w:t>
      </w:r>
      <w:r w:rsidRPr="00A779B8">
        <w:rPr>
          <w:lang w:val="fr-FR"/>
        </w:rPr>
        <w:t>une surveillance spécifique atteint sa valeur maximale, les deux compteurs pour cette surveillance spécifique doivent être divisés par deux avant d</w:t>
      </w:r>
      <w:r w:rsidR="00DB4C2D">
        <w:rPr>
          <w:lang w:val="fr-FR"/>
        </w:rPr>
        <w:t>’</w:t>
      </w:r>
      <w:r w:rsidRPr="00A779B8">
        <w:rPr>
          <w:lang w:val="fr-FR"/>
        </w:rPr>
        <w:t>être incrémentés une nouvelle fois conformément aux dispositions des paragraphes 7.2 et 7.3 du présent appendice. Si le compteur de cycles d</w:t>
      </w:r>
      <w:r w:rsidR="00DB4C2D">
        <w:rPr>
          <w:lang w:val="fr-FR"/>
        </w:rPr>
        <w:t>’</w:t>
      </w:r>
      <w:r w:rsidRPr="00A779B8">
        <w:rPr>
          <w:lang w:val="fr-FR"/>
        </w:rPr>
        <w:t>allumage ou le dénominateur général atteint sa valeur maximale, le compteur correspondant doit être remis à zéro à son incrémentation suivante conformément aux dispositions respectivement des paragraphes 7.4 et 7.5.</w:t>
      </w:r>
    </w:p>
    <w:p w:rsidR="005E010E" w:rsidRPr="00A779B8" w:rsidRDefault="005E010E" w:rsidP="005E010E">
      <w:pPr>
        <w:pStyle w:val="SingleTxtG"/>
        <w:spacing w:after="100" w:line="236" w:lineRule="atLeast"/>
        <w:ind w:left="2268" w:hanging="1134"/>
        <w:rPr>
          <w:lang w:val="fr-FR"/>
        </w:rPr>
      </w:pPr>
      <w:r w:rsidRPr="00A779B8">
        <w:rPr>
          <w:lang w:val="fr-FR"/>
        </w:rPr>
        <w:t>7.6.6</w:t>
      </w:r>
      <w:r w:rsidRPr="00A779B8">
        <w:rPr>
          <w:lang w:val="fr-FR"/>
        </w:rPr>
        <w:tab/>
        <w:t>Un compteur ne doit être remis à zéro qu</w:t>
      </w:r>
      <w:r w:rsidR="00DB4C2D">
        <w:rPr>
          <w:lang w:val="fr-FR"/>
        </w:rPr>
        <w:t>’</w:t>
      </w:r>
      <w:r w:rsidRPr="00A779B8">
        <w:rPr>
          <w:lang w:val="fr-FR"/>
        </w:rPr>
        <w:t>en cas d</w:t>
      </w:r>
      <w:r w:rsidR="00DB4C2D">
        <w:rPr>
          <w:lang w:val="fr-FR"/>
        </w:rPr>
        <w:t>’</w:t>
      </w:r>
      <w:r w:rsidRPr="00A779B8">
        <w:rPr>
          <w:lang w:val="fr-FR"/>
        </w:rPr>
        <w:t>effacement de la mémoire rémanente (par exemple à la suite d</w:t>
      </w:r>
      <w:r w:rsidR="00DB4C2D">
        <w:rPr>
          <w:lang w:val="fr-FR"/>
        </w:rPr>
        <w:t>’</w:t>
      </w:r>
      <w:r w:rsidRPr="00A779B8">
        <w:rPr>
          <w:lang w:val="fr-FR"/>
        </w:rPr>
        <w:t>un incident de reprogrammation) ou, si les nombres sont enregistrés dans une mémoire volatile (KAM), lorsque la KAM est effacée en raison d</w:t>
      </w:r>
      <w:r w:rsidR="00DB4C2D">
        <w:rPr>
          <w:lang w:val="fr-FR"/>
        </w:rPr>
        <w:t>’</w:t>
      </w:r>
      <w:r w:rsidRPr="00A779B8">
        <w:rPr>
          <w:lang w:val="fr-FR"/>
        </w:rPr>
        <w:t>une coupure de courant dans le module de commande (par exemple à la suite de la déconnexion de la batterie).</w:t>
      </w:r>
    </w:p>
    <w:p w:rsidR="005E010E" w:rsidRPr="00A779B8" w:rsidRDefault="005E010E" w:rsidP="005E010E">
      <w:pPr>
        <w:pStyle w:val="SingleTxtG"/>
        <w:spacing w:after="100" w:line="236" w:lineRule="atLeast"/>
        <w:ind w:left="2268" w:hanging="1134"/>
        <w:rPr>
          <w:lang w:val="fr-FR"/>
        </w:rPr>
      </w:pPr>
      <w:r w:rsidRPr="00A779B8">
        <w:rPr>
          <w:lang w:val="fr-FR"/>
        </w:rPr>
        <w:t>7.6.7</w:t>
      </w:r>
      <w:r w:rsidRPr="00A779B8">
        <w:rPr>
          <w:lang w:val="fr-FR"/>
        </w:rPr>
        <w:tab/>
        <w:t>Le constructeur doit prendre les mesures nécessaires pour que les valeurs du numérateur et du dénominateur ne soient pas remises à zéro ou modifiées, sauf dans les cas explicitement prévus par le présent point.</w:t>
      </w:r>
    </w:p>
    <w:p w:rsidR="005E010E" w:rsidRPr="00A779B8" w:rsidRDefault="005E010E" w:rsidP="005E010E">
      <w:pPr>
        <w:pStyle w:val="SingleTxtG"/>
        <w:keepNext/>
        <w:spacing w:after="100" w:line="236" w:lineRule="atLeast"/>
        <w:ind w:left="2268" w:hanging="1134"/>
        <w:jc w:val="left"/>
        <w:rPr>
          <w:bCs/>
          <w:lang w:val="fr-FR"/>
        </w:rPr>
      </w:pPr>
      <w:r w:rsidRPr="00A779B8">
        <w:rPr>
          <w:lang w:val="fr-FR"/>
        </w:rPr>
        <w:t>7.7</w:t>
      </w:r>
      <w:r w:rsidRPr="00A779B8">
        <w:rPr>
          <w:lang w:val="fr-FR"/>
        </w:rPr>
        <w:tab/>
      </w:r>
      <w:r w:rsidRPr="00A779B8">
        <w:rPr>
          <w:bCs/>
          <w:lang w:val="fr-FR"/>
        </w:rPr>
        <w:t>Désactivation des numérateurs et des dénominateurs</w:t>
      </w:r>
      <w:r w:rsidRPr="00A779B8">
        <w:rPr>
          <w:bCs/>
          <w:lang w:val="fr-FR"/>
        </w:rPr>
        <w:br/>
        <w:t>et du dénominateur général</w:t>
      </w:r>
    </w:p>
    <w:p w:rsidR="005E010E" w:rsidRPr="00A779B8" w:rsidRDefault="005E010E" w:rsidP="005E010E">
      <w:pPr>
        <w:pStyle w:val="SingleTxtG"/>
        <w:spacing w:after="100" w:line="236" w:lineRule="atLeast"/>
        <w:ind w:left="2268" w:hanging="1134"/>
        <w:rPr>
          <w:lang w:val="fr-FR"/>
        </w:rPr>
      </w:pPr>
      <w:r w:rsidRPr="00A779B8">
        <w:rPr>
          <w:lang w:val="fr-FR"/>
        </w:rPr>
        <w:t>7.7.1</w:t>
      </w:r>
      <w:r w:rsidRPr="00A779B8">
        <w:rPr>
          <w:lang w:val="fr-FR"/>
        </w:rPr>
        <w:tab/>
        <w:t>Dans les 10 s suivant un dysfonctionnement détecté qui désactive une surveillance requise pour répondre aux conditions de surveillance de la présente annexe (c</w:t>
      </w:r>
      <w:r w:rsidR="00DB4C2D">
        <w:rPr>
          <w:lang w:val="fr-FR"/>
        </w:rPr>
        <w:t>’</w:t>
      </w:r>
      <w:r w:rsidRPr="00A779B8">
        <w:rPr>
          <w:lang w:val="fr-FR"/>
        </w:rPr>
        <w:t>est-à-dire que le code en attente ou confirmé est stocké), le système OBD doit désactiver l</w:t>
      </w:r>
      <w:r w:rsidR="00DB4C2D">
        <w:rPr>
          <w:lang w:val="fr-FR"/>
        </w:rPr>
        <w:t>’</w:t>
      </w:r>
      <w:r w:rsidRPr="00A779B8">
        <w:rPr>
          <w:lang w:val="fr-FR"/>
        </w:rPr>
        <w:t>incrémentation suivante du numérateur et du dénominateur correspondants pour chaque surveillance désactivée. Lorsque le dysfonctionnement n</w:t>
      </w:r>
      <w:r w:rsidR="00DB4C2D">
        <w:rPr>
          <w:lang w:val="fr-FR"/>
        </w:rPr>
        <w:t>’</w:t>
      </w:r>
      <w:r w:rsidRPr="00A779B8">
        <w:rPr>
          <w:lang w:val="fr-FR"/>
        </w:rPr>
        <w:t>est plus détecté (c</w:t>
      </w:r>
      <w:r w:rsidR="00DB4C2D">
        <w:rPr>
          <w:lang w:val="fr-FR"/>
        </w:rPr>
        <w:t>’</w:t>
      </w:r>
      <w:r w:rsidRPr="00A779B8">
        <w:rPr>
          <w:lang w:val="fr-FR"/>
        </w:rPr>
        <w:t xml:space="preserve">est-à-dire que le code en attente est effacé par </w:t>
      </w:r>
      <w:proofErr w:type="spellStart"/>
      <w:r w:rsidRPr="00A779B8">
        <w:rPr>
          <w:lang w:val="fr-FR"/>
        </w:rPr>
        <w:t>autonettoyage</w:t>
      </w:r>
      <w:proofErr w:type="spellEnd"/>
      <w:r w:rsidRPr="00A779B8">
        <w:rPr>
          <w:lang w:val="fr-FR"/>
        </w:rPr>
        <w:t xml:space="preserve"> ou activation d</w:t>
      </w:r>
      <w:r w:rsidR="00DB4C2D">
        <w:rPr>
          <w:lang w:val="fr-FR"/>
        </w:rPr>
        <w:t>’</w:t>
      </w:r>
      <w:r w:rsidRPr="00A779B8">
        <w:rPr>
          <w:lang w:val="fr-FR"/>
        </w:rPr>
        <w:t>un outil d</w:t>
      </w:r>
      <w:r w:rsidR="00DB4C2D">
        <w:rPr>
          <w:lang w:val="fr-FR"/>
        </w:rPr>
        <w:t>’</w:t>
      </w:r>
      <w:r w:rsidRPr="00A779B8">
        <w:rPr>
          <w:lang w:val="fr-FR"/>
        </w:rPr>
        <w:t>analyse), l</w:t>
      </w:r>
      <w:r w:rsidR="00DB4C2D">
        <w:rPr>
          <w:lang w:val="fr-FR"/>
        </w:rPr>
        <w:t>’</w:t>
      </w:r>
      <w:r w:rsidRPr="00A779B8">
        <w:rPr>
          <w:lang w:val="fr-FR"/>
        </w:rPr>
        <w:t>incrémentation de l</w:t>
      </w:r>
      <w:r w:rsidR="00DB4C2D">
        <w:rPr>
          <w:lang w:val="fr-FR"/>
        </w:rPr>
        <w:t>’</w:t>
      </w:r>
      <w:r w:rsidRPr="00A779B8">
        <w:rPr>
          <w:lang w:val="fr-FR"/>
        </w:rPr>
        <w:t>ensemble des numérateurs et des dénominateurs correspondants doit reprendre dans les 10 s.</w:t>
      </w:r>
    </w:p>
    <w:p w:rsidR="005E010E" w:rsidRPr="00A779B8" w:rsidRDefault="005E010E" w:rsidP="005E010E">
      <w:pPr>
        <w:pStyle w:val="SingleTxtG"/>
        <w:spacing w:after="100" w:line="236" w:lineRule="atLeast"/>
        <w:ind w:left="2268" w:hanging="1134"/>
        <w:rPr>
          <w:lang w:val="fr-FR"/>
        </w:rPr>
      </w:pPr>
      <w:r w:rsidRPr="00A779B8">
        <w:rPr>
          <w:lang w:val="fr-FR"/>
        </w:rPr>
        <w:t>7.7.2</w:t>
      </w:r>
      <w:r w:rsidRPr="00A779B8">
        <w:rPr>
          <w:lang w:val="fr-FR"/>
        </w:rPr>
        <w:tab/>
        <w:t>Dans les 10 s suivant le démarrage de la prise de force (PTO) qui désactive une surveillance requise pour répondre aux conditions de surveillance de la présente annexe, le système OBD doit désactiver les incrémentations suivantes du numérateur et du dénominateur correspondants pour chaque surveillance désactivée. Lorsque la prise de force prend fin, l</w:t>
      </w:r>
      <w:r w:rsidR="00DB4C2D">
        <w:rPr>
          <w:lang w:val="fr-FR"/>
        </w:rPr>
        <w:t>’</w:t>
      </w:r>
      <w:r w:rsidRPr="00A779B8">
        <w:rPr>
          <w:lang w:val="fr-FR"/>
        </w:rPr>
        <w:t>incrémentation de l</w:t>
      </w:r>
      <w:r w:rsidR="00DB4C2D">
        <w:rPr>
          <w:lang w:val="fr-FR"/>
        </w:rPr>
        <w:t>’</w:t>
      </w:r>
      <w:r w:rsidRPr="00A779B8">
        <w:rPr>
          <w:lang w:val="fr-FR"/>
        </w:rPr>
        <w:t>ensemble des numérateurs et des dénominateurs correspondants doit reprendre dans les 10 s.</w:t>
      </w:r>
    </w:p>
    <w:p w:rsidR="005E010E" w:rsidRPr="00A779B8" w:rsidRDefault="005E010E" w:rsidP="005E010E">
      <w:pPr>
        <w:pStyle w:val="SingleTxtG"/>
        <w:ind w:left="2268" w:hanging="1134"/>
        <w:rPr>
          <w:lang w:val="fr-FR"/>
        </w:rPr>
      </w:pPr>
      <w:r w:rsidRPr="00A779B8">
        <w:rPr>
          <w:lang w:val="fr-FR"/>
        </w:rPr>
        <w:lastRenderedPageBreak/>
        <w:t>7.7.3</w:t>
      </w:r>
      <w:r w:rsidRPr="00A779B8">
        <w:rPr>
          <w:lang w:val="fr-FR"/>
        </w:rPr>
        <w:tab/>
        <w:t>Le système OBD doit désactiver l</w:t>
      </w:r>
      <w:r w:rsidR="00DB4C2D">
        <w:rPr>
          <w:lang w:val="fr-FR"/>
        </w:rPr>
        <w:t>’</w:t>
      </w:r>
      <w:r w:rsidRPr="00A779B8">
        <w:rPr>
          <w:lang w:val="fr-FR"/>
        </w:rPr>
        <w:t>incrémentation suivante du numérateur et du dénominateur d</w:t>
      </w:r>
      <w:r w:rsidR="00DB4C2D">
        <w:rPr>
          <w:lang w:val="fr-FR"/>
        </w:rPr>
        <w:t>’</w:t>
      </w:r>
      <w:r w:rsidRPr="00A779B8">
        <w:rPr>
          <w:lang w:val="fr-FR"/>
        </w:rPr>
        <w:t>une surveillance spécifique dans les 10 s si un dysfonctionnement d</w:t>
      </w:r>
      <w:r w:rsidR="00DB4C2D">
        <w:rPr>
          <w:lang w:val="fr-FR"/>
        </w:rPr>
        <w:t>’</w:t>
      </w:r>
      <w:r w:rsidRPr="00A779B8">
        <w:rPr>
          <w:lang w:val="fr-FR"/>
        </w:rPr>
        <w:t>un composant utilisé pour déterminer les critères relevant de la définition du dénominateur de la surveillance spécifique (vitesse du véhicule, température ambiante, altitude, ralenti, démarrage à froid du moteur ou temps de fonctionnement) a été détecté et le code de défaut en attente correspondant enregistré. L</w:t>
      </w:r>
      <w:r w:rsidR="00DB4C2D">
        <w:rPr>
          <w:lang w:val="fr-FR"/>
        </w:rPr>
        <w:t>’</w:t>
      </w:r>
      <w:r w:rsidRPr="00A779B8">
        <w:rPr>
          <w:lang w:val="fr-FR"/>
        </w:rPr>
        <w:t xml:space="preserve">incrémentation du numérateur et du dénominateur doit reprendre dans les 10 s suivant la fin du dysfonctionnement (par exemple, le code en attente est effacé par </w:t>
      </w:r>
      <w:proofErr w:type="spellStart"/>
      <w:r w:rsidRPr="00A779B8">
        <w:rPr>
          <w:lang w:val="fr-FR"/>
        </w:rPr>
        <w:t>autonettoyage</w:t>
      </w:r>
      <w:proofErr w:type="spellEnd"/>
      <w:r w:rsidRPr="00A779B8">
        <w:rPr>
          <w:lang w:val="fr-FR"/>
        </w:rPr>
        <w:t xml:space="preserve"> ou activation d</w:t>
      </w:r>
      <w:r w:rsidR="00DB4C2D">
        <w:rPr>
          <w:lang w:val="fr-FR"/>
        </w:rPr>
        <w:t>’</w:t>
      </w:r>
      <w:r w:rsidRPr="00A779B8">
        <w:rPr>
          <w:lang w:val="fr-FR"/>
        </w:rPr>
        <w:t>un outil d</w:t>
      </w:r>
      <w:r w:rsidR="00DB4C2D">
        <w:rPr>
          <w:lang w:val="fr-FR"/>
        </w:rPr>
        <w:t>’</w:t>
      </w:r>
      <w:r w:rsidRPr="00A779B8">
        <w:rPr>
          <w:lang w:val="fr-FR"/>
        </w:rPr>
        <w:t>analyse).</w:t>
      </w:r>
    </w:p>
    <w:p w:rsidR="005E010E" w:rsidRDefault="005E010E" w:rsidP="005E010E">
      <w:pPr>
        <w:pStyle w:val="SingleTxtG"/>
        <w:ind w:left="2268" w:hanging="1134"/>
        <w:rPr>
          <w:lang w:val="fr-FR"/>
        </w:rPr>
      </w:pPr>
      <w:r w:rsidRPr="00A779B8">
        <w:rPr>
          <w:lang w:val="fr-FR"/>
        </w:rPr>
        <w:t>7.7.4</w:t>
      </w:r>
      <w:r w:rsidRPr="00A779B8">
        <w:rPr>
          <w:lang w:val="fr-FR"/>
        </w:rPr>
        <w:tab/>
        <w:t>Le système OBD doit désactiver l</w:t>
      </w:r>
      <w:r w:rsidR="00DB4C2D">
        <w:rPr>
          <w:lang w:val="fr-FR"/>
        </w:rPr>
        <w:t>’</w:t>
      </w:r>
      <w:r w:rsidRPr="00A779B8">
        <w:rPr>
          <w:lang w:val="fr-FR"/>
        </w:rPr>
        <w:t>incrémentation suivante du dénominateur général dans les 10 s lorsqu</w:t>
      </w:r>
      <w:r w:rsidR="00DB4C2D">
        <w:rPr>
          <w:lang w:val="fr-FR"/>
        </w:rPr>
        <w:t>’</w:t>
      </w:r>
      <w:r w:rsidRPr="00A779B8">
        <w:rPr>
          <w:lang w:val="fr-FR"/>
        </w:rPr>
        <w:t>un dysfonctionnement a été détecté sur un composant utilisé pour déterminer si les critères définis au paragraphe 7.5 du présent appendice sont réunis (vitesse du véhicule, température ambiante, altitude, ralenti ou temps de fonctionnement) et si le code de défaut en attente correspondant a été enregistré. L</w:t>
      </w:r>
      <w:r w:rsidR="00DB4C2D">
        <w:rPr>
          <w:lang w:val="fr-FR"/>
        </w:rPr>
        <w:t>’</w:t>
      </w:r>
      <w:r w:rsidRPr="00A779B8">
        <w:rPr>
          <w:lang w:val="fr-FR"/>
        </w:rPr>
        <w:t>incrémentation du dénominateur général ne peut pas être désactivée dans d</w:t>
      </w:r>
      <w:r w:rsidR="00DB4C2D">
        <w:rPr>
          <w:lang w:val="fr-FR"/>
        </w:rPr>
        <w:t>’</w:t>
      </w:r>
      <w:r w:rsidRPr="00A779B8">
        <w:rPr>
          <w:lang w:val="fr-FR"/>
        </w:rPr>
        <w:t>autres conditions. L</w:t>
      </w:r>
      <w:r w:rsidR="00DB4C2D">
        <w:rPr>
          <w:lang w:val="fr-FR"/>
        </w:rPr>
        <w:t>’</w:t>
      </w:r>
      <w:r w:rsidRPr="00A779B8">
        <w:rPr>
          <w:lang w:val="fr-FR"/>
        </w:rPr>
        <w:t xml:space="preserve">incrémentation du dénominateur général doit reprendre dans les 10 s suivant la fin du dysfonctionnement (par exemple, code en attente effacé par </w:t>
      </w:r>
      <w:proofErr w:type="spellStart"/>
      <w:r w:rsidRPr="00A779B8">
        <w:rPr>
          <w:lang w:val="fr-FR"/>
        </w:rPr>
        <w:t>autonettoyage</w:t>
      </w:r>
      <w:proofErr w:type="spellEnd"/>
      <w:r w:rsidRPr="00A779B8">
        <w:rPr>
          <w:lang w:val="fr-FR"/>
        </w:rPr>
        <w:t xml:space="preserve"> ou activation d</w:t>
      </w:r>
      <w:r w:rsidR="00DB4C2D">
        <w:rPr>
          <w:lang w:val="fr-FR"/>
        </w:rPr>
        <w:t>’</w:t>
      </w:r>
      <w:r w:rsidRPr="00A779B8">
        <w:rPr>
          <w:lang w:val="fr-FR"/>
        </w:rPr>
        <w:t>un outil d</w:t>
      </w:r>
      <w:r w:rsidR="00DB4C2D">
        <w:rPr>
          <w:lang w:val="fr-FR"/>
        </w:rPr>
        <w:t>’</w:t>
      </w:r>
      <w:r w:rsidRPr="00A779B8">
        <w:rPr>
          <w:lang w:val="fr-FR"/>
        </w:rPr>
        <w:t>analyse).</w:t>
      </w:r>
    </w:p>
    <w:p w:rsidR="008F40B6" w:rsidRDefault="008F40B6" w:rsidP="005E010E">
      <w:pPr>
        <w:pStyle w:val="SingleTxtG"/>
        <w:ind w:left="2268" w:hanging="1134"/>
        <w:rPr>
          <w:lang w:val="fr-FR"/>
        </w:rPr>
      </w:pPr>
    </w:p>
    <w:p w:rsidR="00F716F7" w:rsidRDefault="00F716F7" w:rsidP="00F716F7">
      <w:pPr>
        <w:pStyle w:val="SingleTxtG"/>
        <w:sectPr w:rsidR="00F716F7" w:rsidSect="00C108AC">
          <w:headerReference w:type="even" r:id="rId266"/>
          <w:headerReference w:type="default" r:id="rId267"/>
          <w:footnotePr>
            <w:numRestart w:val="eachSect"/>
          </w:footnotePr>
          <w:endnotePr>
            <w:numFmt w:val="decimal"/>
          </w:endnotePr>
          <w:pgSz w:w="11907" w:h="16840" w:code="9"/>
          <w:pgMar w:top="1701" w:right="1134" w:bottom="2268" w:left="1134" w:header="794" w:footer="1701" w:gutter="0"/>
          <w:cols w:space="720"/>
          <w:docGrid w:linePitch="272"/>
        </w:sectPr>
      </w:pPr>
    </w:p>
    <w:p w:rsidR="00F716F7" w:rsidRPr="00A779B8" w:rsidRDefault="00F716F7" w:rsidP="00F716F7">
      <w:pPr>
        <w:pStyle w:val="HChG"/>
        <w:rPr>
          <w:lang w:val="fr-FR"/>
        </w:rPr>
      </w:pPr>
      <w:r w:rsidRPr="00A779B8">
        <w:rPr>
          <w:lang w:val="fr-FR"/>
        </w:rPr>
        <w:lastRenderedPageBreak/>
        <w:t>Annexe 11 − Appendice 2</w:t>
      </w:r>
    </w:p>
    <w:p w:rsidR="00F716F7" w:rsidRPr="00A779B8" w:rsidRDefault="00F716F7" w:rsidP="00F716F7">
      <w:pPr>
        <w:pStyle w:val="HChG"/>
        <w:rPr>
          <w:lang w:val="fr-FR"/>
        </w:rPr>
      </w:pPr>
      <w:r w:rsidRPr="00A779B8">
        <w:rPr>
          <w:lang w:val="fr-FR"/>
        </w:rPr>
        <w:tab/>
      </w:r>
      <w:r w:rsidRPr="00A779B8">
        <w:rPr>
          <w:lang w:val="fr-FR"/>
        </w:rPr>
        <w:tab/>
        <w:t>Caractéristiques princip</w:t>
      </w:r>
      <w:r w:rsidR="001521AB">
        <w:rPr>
          <w:lang w:val="fr-FR"/>
        </w:rPr>
        <w:t>ales de la famille de véhicules</w:t>
      </w:r>
    </w:p>
    <w:p w:rsidR="00F716F7" w:rsidRPr="00A779B8" w:rsidRDefault="00F716F7" w:rsidP="00F716F7">
      <w:pPr>
        <w:pStyle w:val="SingleTxtG"/>
        <w:keepNext/>
        <w:ind w:left="2268" w:hanging="1134"/>
        <w:jc w:val="left"/>
        <w:rPr>
          <w:lang w:val="fr-FR"/>
        </w:rPr>
      </w:pPr>
      <w:r w:rsidRPr="00A779B8">
        <w:rPr>
          <w:lang w:val="fr-FR"/>
        </w:rPr>
        <w:t>1.</w:t>
      </w:r>
      <w:r w:rsidRPr="00A779B8">
        <w:rPr>
          <w:lang w:val="fr-FR"/>
        </w:rPr>
        <w:tab/>
        <w:t>Paramètres définissant la famille OBD</w:t>
      </w:r>
    </w:p>
    <w:p w:rsidR="00F716F7" w:rsidRPr="00A779B8" w:rsidRDefault="00F716F7" w:rsidP="00F716F7">
      <w:pPr>
        <w:pStyle w:val="SingleTxtG"/>
        <w:ind w:left="2268"/>
        <w:rPr>
          <w:lang w:val="fr-FR"/>
        </w:rPr>
      </w:pPr>
      <w:r w:rsidRPr="00A779B8">
        <w:rPr>
          <w:lang w:val="fr-FR"/>
        </w:rPr>
        <w:tab/>
        <w:t>Par «</w:t>
      </w:r>
      <w:r w:rsidRPr="00A779B8">
        <w:rPr>
          <w:i/>
          <w:lang w:val="fr-FR"/>
        </w:rPr>
        <w:t>famille OBD</w:t>
      </w:r>
      <w:r w:rsidRPr="00A779B8">
        <w:rPr>
          <w:lang w:val="fr-FR"/>
        </w:rPr>
        <w:t>», il convient d</w:t>
      </w:r>
      <w:r w:rsidR="00DB4C2D">
        <w:rPr>
          <w:lang w:val="fr-FR"/>
        </w:rPr>
        <w:t>’</w:t>
      </w:r>
      <w:r w:rsidRPr="00A779B8">
        <w:rPr>
          <w:lang w:val="fr-FR"/>
        </w:rPr>
        <w:t>entendre un ensemble de véhicules d</w:t>
      </w:r>
      <w:r w:rsidR="00DB4C2D">
        <w:rPr>
          <w:lang w:val="fr-FR"/>
        </w:rPr>
        <w:t>’</w:t>
      </w:r>
      <w:r w:rsidRPr="00A779B8">
        <w:rPr>
          <w:lang w:val="fr-FR"/>
        </w:rPr>
        <w:t>un constructeur qui, de par leur conception, présentent normalement des caractéristiques similaires au regard des émissions et sont équipés de systèmes OBD similaires. Chaque moteur de cette famille doit avoir été reconnu conforme aux prescriptions du présent Règlement.</w:t>
      </w:r>
    </w:p>
    <w:p w:rsidR="00F716F7" w:rsidRPr="00A779B8" w:rsidRDefault="00F716F7" w:rsidP="00F716F7">
      <w:pPr>
        <w:pStyle w:val="SingleTxtG"/>
        <w:ind w:left="2268"/>
        <w:rPr>
          <w:lang w:val="fr-FR"/>
        </w:rPr>
      </w:pPr>
      <w:r w:rsidRPr="00A779B8">
        <w:rPr>
          <w:lang w:val="fr-FR"/>
        </w:rPr>
        <w:tab/>
        <w:t>La famille OBD peut être définie par des paramètres de conception de base communs aux véhicules appartenant à cette famille. Une interaction des paramètres est possible dans certains cas. Ces effets doivent également être pris en considération pour faire en sorte que seuls les véhicules qui présentent des caractéristiques similaires d</w:t>
      </w:r>
      <w:r w:rsidR="00DB4C2D">
        <w:rPr>
          <w:lang w:val="fr-FR"/>
        </w:rPr>
        <w:t>’</w:t>
      </w:r>
      <w:r w:rsidRPr="00A779B8">
        <w:rPr>
          <w:lang w:val="fr-FR"/>
        </w:rPr>
        <w:t>émissions à l</w:t>
      </w:r>
      <w:r w:rsidR="00DB4C2D">
        <w:rPr>
          <w:lang w:val="fr-FR"/>
        </w:rPr>
        <w:t>’</w:t>
      </w:r>
      <w:r w:rsidRPr="00A779B8">
        <w:rPr>
          <w:lang w:val="fr-FR"/>
        </w:rPr>
        <w:t>échappement soient inclus dans une famille OBD.</w:t>
      </w:r>
    </w:p>
    <w:p w:rsidR="00F716F7" w:rsidRPr="00A779B8" w:rsidRDefault="00F716F7" w:rsidP="00F716F7">
      <w:pPr>
        <w:pStyle w:val="SingleTxtG"/>
        <w:keepNext/>
        <w:ind w:left="2268" w:hanging="1134"/>
        <w:rPr>
          <w:lang w:val="fr-FR"/>
        </w:rPr>
      </w:pPr>
      <w:r w:rsidRPr="00A779B8">
        <w:rPr>
          <w:lang w:val="fr-FR"/>
        </w:rPr>
        <w:t>2.</w:t>
      </w:r>
      <w:r w:rsidRPr="00A779B8">
        <w:rPr>
          <w:lang w:val="fr-FR"/>
        </w:rPr>
        <w:tab/>
        <w:t>À cette fin, les types de véhicules dont les paramètres décrits ci-dessous sont identiques sont considérés comme possé</w:t>
      </w:r>
      <w:r w:rsidR="008F40B6">
        <w:rPr>
          <w:lang w:val="fr-FR"/>
        </w:rPr>
        <w:t>dant la même combinaison moteur</w:t>
      </w:r>
      <w:r w:rsidR="008F40B6">
        <w:rPr>
          <w:lang w:val="fr-FR"/>
        </w:rPr>
        <w:noBreakHyphen/>
      </w:r>
      <w:r w:rsidRPr="00A779B8">
        <w:rPr>
          <w:lang w:val="fr-FR"/>
        </w:rPr>
        <w:t>système antipollution-système OBD.</w:t>
      </w:r>
    </w:p>
    <w:p w:rsidR="00F716F7" w:rsidRPr="00A779B8" w:rsidRDefault="00F716F7" w:rsidP="00F716F7">
      <w:pPr>
        <w:pStyle w:val="SingleTxtG"/>
        <w:keepNext/>
        <w:ind w:left="2268"/>
        <w:jc w:val="left"/>
        <w:rPr>
          <w:lang w:val="fr-FR"/>
        </w:rPr>
      </w:pPr>
      <w:r w:rsidRPr="00A779B8">
        <w:rPr>
          <w:lang w:val="fr-FR"/>
        </w:rPr>
        <w:tab/>
        <w:t>Moteur:</w:t>
      </w:r>
    </w:p>
    <w:p w:rsidR="00F716F7" w:rsidRPr="00A779B8" w:rsidRDefault="00F716F7" w:rsidP="00F716F7">
      <w:pPr>
        <w:pStyle w:val="SingleTxtG"/>
        <w:ind w:left="2835" w:hanging="567"/>
        <w:rPr>
          <w:lang w:val="fr-FR"/>
        </w:rPr>
      </w:pPr>
      <w:r w:rsidRPr="00A779B8">
        <w:rPr>
          <w:lang w:val="fr-FR"/>
        </w:rPr>
        <w:t>a)</w:t>
      </w:r>
      <w:r w:rsidRPr="00A779B8">
        <w:rPr>
          <w:lang w:val="fr-FR"/>
        </w:rPr>
        <w:tab/>
        <w:t>Procédé de combustion (allumage commandé/allumage par compression; cycle: deux temps/quatre temps/rotatif);</w:t>
      </w:r>
    </w:p>
    <w:p w:rsidR="00F716F7" w:rsidRPr="00A779B8" w:rsidRDefault="00F716F7" w:rsidP="00F716F7">
      <w:pPr>
        <w:pStyle w:val="SingleTxtG"/>
        <w:ind w:left="2835" w:hanging="567"/>
        <w:rPr>
          <w:lang w:val="fr-FR"/>
        </w:rPr>
      </w:pPr>
      <w:r w:rsidRPr="00A779B8">
        <w:rPr>
          <w:lang w:val="fr-FR"/>
        </w:rPr>
        <w:t>b)</w:t>
      </w:r>
      <w:r w:rsidRPr="00A779B8">
        <w:rPr>
          <w:lang w:val="fr-FR"/>
        </w:rPr>
        <w:tab/>
        <w:t>Méthode d</w:t>
      </w:r>
      <w:r w:rsidR="00DB4C2D">
        <w:rPr>
          <w:lang w:val="fr-FR"/>
        </w:rPr>
        <w:t>’</w:t>
      </w:r>
      <w:r w:rsidRPr="00A779B8">
        <w:rPr>
          <w:lang w:val="fr-FR"/>
        </w:rPr>
        <w:t>alimentation du moteur (c</w:t>
      </w:r>
      <w:r w:rsidR="00DB4C2D">
        <w:rPr>
          <w:lang w:val="fr-FR"/>
        </w:rPr>
        <w:t>’</w:t>
      </w:r>
      <w:r w:rsidRPr="00A779B8">
        <w:rPr>
          <w:lang w:val="fr-FR"/>
        </w:rPr>
        <w:t xml:space="preserve">est-à-dire injection </w:t>
      </w:r>
      <w:proofErr w:type="spellStart"/>
      <w:r w:rsidRPr="00A779B8">
        <w:rPr>
          <w:lang w:val="fr-FR"/>
        </w:rPr>
        <w:t>monopoint</w:t>
      </w:r>
      <w:proofErr w:type="spellEnd"/>
      <w:r w:rsidRPr="00A779B8">
        <w:rPr>
          <w:lang w:val="fr-FR"/>
        </w:rPr>
        <w:t xml:space="preserve"> ou multipoint);</w:t>
      </w:r>
    </w:p>
    <w:p w:rsidR="00F716F7" w:rsidRPr="00A779B8" w:rsidRDefault="00F716F7" w:rsidP="00F716F7">
      <w:pPr>
        <w:pStyle w:val="SingleTxtG"/>
        <w:ind w:left="2835" w:hanging="567"/>
        <w:rPr>
          <w:lang w:val="fr-FR"/>
        </w:rPr>
      </w:pPr>
      <w:r w:rsidRPr="00A779B8">
        <w:rPr>
          <w:lang w:val="fr-FR"/>
        </w:rPr>
        <w:t>c)</w:t>
      </w:r>
      <w:r w:rsidRPr="00A779B8">
        <w:rPr>
          <w:lang w:val="fr-FR"/>
        </w:rPr>
        <w:tab/>
        <w:t>Type de carburant (c</w:t>
      </w:r>
      <w:r w:rsidR="00DB4C2D">
        <w:rPr>
          <w:lang w:val="fr-FR"/>
        </w:rPr>
        <w:t>’</w:t>
      </w:r>
      <w:r w:rsidRPr="00A779B8">
        <w:rPr>
          <w:lang w:val="fr-FR"/>
        </w:rPr>
        <w:t xml:space="preserve">est-à-dire essence, gazole, carburant modulable </w:t>
      </w:r>
      <w:r w:rsidRPr="00A779B8">
        <w:rPr>
          <w:spacing w:val="-4"/>
          <w:lang w:val="fr-FR"/>
        </w:rPr>
        <w:t>essence/éthanol, carburant modulable gazole/</w:t>
      </w:r>
      <w:proofErr w:type="spellStart"/>
      <w:r w:rsidRPr="00A779B8">
        <w:rPr>
          <w:spacing w:val="-4"/>
          <w:lang w:val="fr-FR"/>
        </w:rPr>
        <w:t>biogazole</w:t>
      </w:r>
      <w:proofErr w:type="spellEnd"/>
      <w:r w:rsidRPr="00A779B8">
        <w:rPr>
          <w:spacing w:val="-4"/>
          <w:lang w:val="fr-FR"/>
        </w:rPr>
        <w:t>, GN/</w:t>
      </w:r>
      <w:proofErr w:type="spellStart"/>
      <w:r w:rsidRPr="00A779B8">
        <w:rPr>
          <w:spacing w:val="-4"/>
          <w:lang w:val="fr-FR"/>
        </w:rPr>
        <w:t>biométhane</w:t>
      </w:r>
      <w:proofErr w:type="spellEnd"/>
      <w:r w:rsidRPr="00A779B8">
        <w:rPr>
          <w:lang w:val="fr-FR"/>
        </w:rPr>
        <w:t xml:space="preserve">, </w:t>
      </w:r>
      <w:r w:rsidRPr="00A779B8">
        <w:rPr>
          <w:spacing w:val="-4"/>
          <w:lang w:val="fr-FR"/>
        </w:rPr>
        <w:t>GPL, bicarburation essence/GN/</w:t>
      </w:r>
      <w:proofErr w:type="spellStart"/>
      <w:r w:rsidRPr="00A779B8">
        <w:rPr>
          <w:spacing w:val="-4"/>
          <w:lang w:val="fr-FR"/>
        </w:rPr>
        <w:t>biométhane</w:t>
      </w:r>
      <w:proofErr w:type="spellEnd"/>
      <w:r w:rsidRPr="00A779B8">
        <w:rPr>
          <w:spacing w:val="-4"/>
          <w:lang w:val="fr-FR"/>
        </w:rPr>
        <w:t>, bicarburation essence/GPL</w:t>
      </w:r>
      <w:r w:rsidRPr="00A779B8">
        <w:rPr>
          <w:lang w:val="fr-FR"/>
        </w:rPr>
        <w:t>).</w:t>
      </w:r>
    </w:p>
    <w:p w:rsidR="00F716F7" w:rsidRPr="00A779B8" w:rsidRDefault="00F716F7" w:rsidP="00F716F7">
      <w:pPr>
        <w:pStyle w:val="SingleTxtG"/>
        <w:keepNext/>
        <w:ind w:left="2268"/>
        <w:jc w:val="left"/>
        <w:rPr>
          <w:bCs/>
          <w:lang w:val="fr-FR"/>
        </w:rPr>
      </w:pPr>
      <w:r w:rsidRPr="00A779B8">
        <w:rPr>
          <w:bCs/>
          <w:lang w:val="fr-FR"/>
        </w:rPr>
        <w:tab/>
        <w:t>Système de contrôle des émissions:</w:t>
      </w:r>
    </w:p>
    <w:p w:rsidR="00F716F7" w:rsidRPr="00A779B8" w:rsidRDefault="00F716F7" w:rsidP="00F716F7">
      <w:pPr>
        <w:pStyle w:val="SingleTxtG"/>
        <w:ind w:left="2835" w:hanging="567"/>
        <w:rPr>
          <w:lang w:val="fr-FR"/>
        </w:rPr>
      </w:pPr>
      <w:r w:rsidRPr="00A779B8">
        <w:rPr>
          <w:lang w:val="fr-FR"/>
        </w:rPr>
        <w:t>a)</w:t>
      </w:r>
      <w:r w:rsidRPr="00A779B8">
        <w:rPr>
          <w:lang w:val="fr-FR"/>
        </w:rPr>
        <w:tab/>
        <w:t>Type de convertisseur catalytique (oxydation, trois voies, catalyseur chauffé, SCR, autre);</w:t>
      </w:r>
    </w:p>
    <w:p w:rsidR="00F716F7" w:rsidRPr="00A779B8" w:rsidRDefault="00F716F7" w:rsidP="00F716F7">
      <w:pPr>
        <w:pStyle w:val="SingleTxtG"/>
        <w:ind w:left="2835" w:hanging="567"/>
        <w:rPr>
          <w:lang w:val="fr-FR"/>
        </w:rPr>
      </w:pPr>
      <w:r w:rsidRPr="00A779B8">
        <w:rPr>
          <w:lang w:val="fr-FR"/>
        </w:rPr>
        <w:t>b)</w:t>
      </w:r>
      <w:r w:rsidRPr="00A779B8">
        <w:rPr>
          <w:lang w:val="fr-FR"/>
        </w:rPr>
        <w:tab/>
        <w:t>Type de filtre à particules;</w:t>
      </w:r>
    </w:p>
    <w:p w:rsidR="00F716F7" w:rsidRPr="00A779B8" w:rsidRDefault="00F716F7" w:rsidP="00F716F7">
      <w:pPr>
        <w:pStyle w:val="SingleTxtG"/>
        <w:ind w:left="2835" w:hanging="567"/>
        <w:rPr>
          <w:lang w:val="fr-FR"/>
        </w:rPr>
      </w:pPr>
      <w:r w:rsidRPr="00A779B8">
        <w:rPr>
          <w:lang w:val="fr-FR"/>
        </w:rPr>
        <w:t>c)</w:t>
      </w:r>
      <w:r w:rsidRPr="00A779B8">
        <w:rPr>
          <w:lang w:val="fr-FR"/>
        </w:rPr>
        <w:tab/>
        <w:t>Injection d</w:t>
      </w:r>
      <w:r w:rsidR="00DB4C2D">
        <w:rPr>
          <w:lang w:val="fr-FR"/>
        </w:rPr>
        <w:t>’</w:t>
      </w:r>
      <w:r w:rsidRPr="00A779B8">
        <w:rPr>
          <w:lang w:val="fr-FR"/>
        </w:rPr>
        <w:t>air secondaire (avec/sans); et</w:t>
      </w:r>
    </w:p>
    <w:p w:rsidR="00F716F7" w:rsidRPr="00A779B8" w:rsidRDefault="00F716F7" w:rsidP="00F716F7">
      <w:pPr>
        <w:pStyle w:val="SingleTxtG"/>
        <w:ind w:left="2835" w:hanging="567"/>
        <w:rPr>
          <w:lang w:val="fr-FR"/>
        </w:rPr>
      </w:pPr>
      <w:r w:rsidRPr="00A779B8">
        <w:rPr>
          <w:lang w:val="fr-FR"/>
        </w:rPr>
        <w:t>d)</w:t>
      </w:r>
      <w:r w:rsidRPr="00A779B8">
        <w:rPr>
          <w:lang w:val="fr-FR"/>
        </w:rPr>
        <w:tab/>
        <w:t>Recyclage des gaz d</w:t>
      </w:r>
      <w:r w:rsidR="00DB4C2D">
        <w:rPr>
          <w:lang w:val="fr-FR"/>
        </w:rPr>
        <w:t>’</w:t>
      </w:r>
      <w:r w:rsidRPr="00A779B8">
        <w:rPr>
          <w:lang w:val="fr-FR"/>
        </w:rPr>
        <w:t>échappement (avec/sans).</w:t>
      </w:r>
    </w:p>
    <w:p w:rsidR="00F716F7" w:rsidRPr="00A779B8" w:rsidRDefault="00F716F7" w:rsidP="00F716F7">
      <w:pPr>
        <w:pStyle w:val="SingleTxtG"/>
        <w:ind w:left="2268"/>
        <w:jc w:val="left"/>
        <w:rPr>
          <w:lang w:val="fr-FR"/>
        </w:rPr>
      </w:pPr>
      <w:r w:rsidRPr="00A779B8">
        <w:rPr>
          <w:lang w:val="fr-FR"/>
        </w:rPr>
        <w:tab/>
        <w:t>Éléments et fonctionnement du système OBD:</w:t>
      </w:r>
    </w:p>
    <w:p w:rsidR="00F716F7" w:rsidRDefault="00F716F7" w:rsidP="00F716F7">
      <w:pPr>
        <w:pStyle w:val="SingleTxtG"/>
        <w:ind w:left="2268"/>
        <w:rPr>
          <w:lang w:val="fr-FR"/>
        </w:rPr>
      </w:pPr>
      <w:r w:rsidRPr="00A779B8">
        <w:rPr>
          <w:lang w:val="fr-FR"/>
        </w:rPr>
        <w:tab/>
        <w:t>Méthodes de surveillance fonctionnelle OBD, de détection des dysfonctionnements et d</w:t>
      </w:r>
      <w:r w:rsidR="00DB4C2D">
        <w:rPr>
          <w:lang w:val="fr-FR"/>
        </w:rPr>
        <w:t>’</w:t>
      </w:r>
      <w:r w:rsidRPr="00A779B8">
        <w:rPr>
          <w:lang w:val="fr-FR"/>
        </w:rPr>
        <w:t xml:space="preserve">indication de ceux-ci au </w:t>
      </w:r>
      <w:r w:rsidRPr="00F716F7">
        <w:t>conducteur</w:t>
      </w:r>
      <w:r w:rsidRPr="00A779B8">
        <w:rPr>
          <w:lang w:val="fr-FR"/>
        </w:rPr>
        <w:t>.</w:t>
      </w:r>
    </w:p>
    <w:p w:rsidR="00CB2B89" w:rsidRDefault="00CB2B89" w:rsidP="00F716F7">
      <w:pPr>
        <w:pStyle w:val="SingleTxtG"/>
        <w:ind w:left="2268"/>
        <w:sectPr w:rsidR="00CB2B89" w:rsidSect="00C108AC">
          <w:headerReference w:type="even" r:id="rId268"/>
          <w:headerReference w:type="default" r:id="rId269"/>
          <w:footnotePr>
            <w:numRestart w:val="eachSect"/>
          </w:footnotePr>
          <w:endnotePr>
            <w:numFmt w:val="decimal"/>
          </w:endnotePr>
          <w:pgSz w:w="11907" w:h="16840" w:code="9"/>
          <w:pgMar w:top="1701" w:right="1134" w:bottom="2268" w:left="1134" w:header="794" w:footer="1701" w:gutter="0"/>
          <w:cols w:space="720"/>
          <w:docGrid w:linePitch="272"/>
        </w:sectPr>
      </w:pPr>
    </w:p>
    <w:p w:rsidR="00CB2B89" w:rsidRPr="00A779B8" w:rsidRDefault="00CB2B89" w:rsidP="00CB2B89">
      <w:pPr>
        <w:pStyle w:val="HChG"/>
        <w:rPr>
          <w:lang w:val="fr-FR"/>
        </w:rPr>
      </w:pPr>
      <w:r w:rsidRPr="00A779B8">
        <w:rPr>
          <w:lang w:val="fr-FR"/>
        </w:rPr>
        <w:lastRenderedPageBreak/>
        <w:t>Annexe 12</w:t>
      </w:r>
    </w:p>
    <w:p w:rsidR="00CB2B89" w:rsidRPr="00A779B8" w:rsidRDefault="00CB2B89" w:rsidP="00CB2B89">
      <w:pPr>
        <w:pStyle w:val="HChG"/>
        <w:rPr>
          <w:lang w:val="fr-FR"/>
        </w:rPr>
      </w:pPr>
      <w:r w:rsidRPr="00A779B8">
        <w:rPr>
          <w:lang w:val="fr-FR"/>
        </w:rPr>
        <w:tab/>
      </w:r>
      <w:r w:rsidRPr="00A779B8">
        <w:rPr>
          <w:lang w:val="fr-FR"/>
        </w:rPr>
        <w:tab/>
        <w:t>Homologation de type d</w:t>
      </w:r>
      <w:r w:rsidR="00DB4C2D">
        <w:rPr>
          <w:lang w:val="fr-FR"/>
        </w:rPr>
        <w:t>’</w:t>
      </w:r>
      <w:r>
        <w:rPr>
          <w:lang w:val="fr-FR"/>
        </w:rPr>
        <w:t>un véhicule fonctionnant au GPL</w:t>
      </w:r>
      <w:r>
        <w:rPr>
          <w:lang w:val="fr-FR"/>
        </w:rPr>
        <w:br/>
      </w:r>
      <w:r w:rsidRPr="00A779B8">
        <w:rPr>
          <w:lang w:val="fr-FR"/>
        </w:rPr>
        <w:t>ou au GN/</w:t>
      </w:r>
      <w:proofErr w:type="spellStart"/>
      <w:r w:rsidRPr="00A779B8">
        <w:rPr>
          <w:lang w:val="fr-FR"/>
        </w:rPr>
        <w:t>biométhane</w:t>
      </w:r>
      <w:proofErr w:type="spellEnd"/>
    </w:p>
    <w:p w:rsidR="00CB2B89" w:rsidRPr="00A779B8" w:rsidRDefault="00CB2B89" w:rsidP="00CB2B89">
      <w:pPr>
        <w:pStyle w:val="SingleTxtG"/>
        <w:keepNext/>
        <w:ind w:left="2268" w:hanging="1134"/>
        <w:jc w:val="left"/>
        <w:rPr>
          <w:lang w:val="fr-FR"/>
        </w:rPr>
      </w:pPr>
      <w:r w:rsidRPr="00A779B8">
        <w:rPr>
          <w:lang w:val="fr-FR"/>
        </w:rPr>
        <w:t>1.</w:t>
      </w:r>
      <w:r w:rsidRPr="00A779B8">
        <w:rPr>
          <w:lang w:val="fr-FR"/>
        </w:rPr>
        <w:tab/>
        <w:t>Introduction</w:t>
      </w:r>
    </w:p>
    <w:p w:rsidR="00CB2B89" w:rsidRPr="00A779B8" w:rsidRDefault="00CB2B89" w:rsidP="00CB2B89">
      <w:pPr>
        <w:pStyle w:val="SingleTxtG"/>
        <w:ind w:left="2268"/>
        <w:rPr>
          <w:lang w:val="fr-FR"/>
        </w:rPr>
      </w:pPr>
      <w:r w:rsidRPr="00A779B8">
        <w:rPr>
          <w:lang w:val="fr-FR"/>
        </w:rPr>
        <w:tab/>
        <w:t>La présente annexe définit les prescriptions particulières qui s</w:t>
      </w:r>
      <w:r w:rsidR="00DB4C2D">
        <w:rPr>
          <w:lang w:val="fr-FR"/>
        </w:rPr>
        <w:t>’</w:t>
      </w:r>
      <w:r w:rsidRPr="00A779B8">
        <w:rPr>
          <w:lang w:val="fr-FR"/>
        </w:rPr>
        <w:t>appliquent à l</w:t>
      </w:r>
      <w:r w:rsidR="00DB4C2D">
        <w:rPr>
          <w:lang w:val="fr-FR"/>
        </w:rPr>
        <w:t>’</w:t>
      </w:r>
      <w:r w:rsidRPr="00A779B8">
        <w:rPr>
          <w:lang w:val="fr-FR"/>
        </w:rPr>
        <w:t>homologation d</w:t>
      </w:r>
      <w:r w:rsidR="00DB4C2D">
        <w:rPr>
          <w:lang w:val="fr-FR"/>
        </w:rPr>
        <w:t>’</w:t>
      </w:r>
      <w:r w:rsidRPr="00A779B8">
        <w:rPr>
          <w:lang w:val="fr-FR"/>
        </w:rPr>
        <w:t>un véhicule fonctionnant au GPL ou au GN/</w:t>
      </w:r>
      <w:proofErr w:type="spellStart"/>
      <w:r w:rsidRPr="00A779B8">
        <w:rPr>
          <w:lang w:val="fr-FR"/>
        </w:rPr>
        <w:t>biométhane</w:t>
      </w:r>
      <w:proofErr w:type="spellEnd"/>
      <w:r w:rsidRPr="00A779B8">
        <w:rPr>
          <w:lang w:val="fr-FR"/>
        </w:rPr>
        <w:t>, ou qui peut fonctionner soit avec de l</w:t>
      </w:r>
      <w:r w:rsidR="00DB4C2D">
        <w:rPr>
          <w:lang w:val="fr-FR"/>
        </w:rPr>
        <w:t>’</w:t>
      </w:r>
      <w:r w:rsidRPr="00A779B8">
        <w:rPr>
          <w:lang w:val="fr-FR"/>
        </w:rPr>
        <w:t>essence, soit avec du GPL, du GN/</w:t>
      </w:r>
      <w:proofErr w:type="spellStart"/>
      <w:r w:rsidRPr="00A779B8">
        <w:rPr>
          <w:lang w:val="fr-FR"/>
        </w:rPr>
        <w:t>biométhane</w:t>
      </w:r>
      <w:proofErr w:type="spellEnd"/>
      <w:r w:rsidRPr="00A779B8">
        <w:rPr>
          <w:lang w:val="fr-FR"/>
        </w:rPr>
        <w:t>, en ce qui concerne les essais en fonctionnement au GPL ou au GN/</w:t>
      </w:r>
      <w:proofErr w:type="spellStart"/>
      <w:r w:rsidRPr="00A779B8">
        <w:rPr>
          <w:lang w:val="fr-FR"/>
        </w:rPr>
        <w:t>biométhane</w:t>
      </w:r>
      <w:proofErr w:type="spellEnd"/>
      <w:r w:rsidRPr="00A779B8">
        <w:rPr>
          <w:lang w:val="fr-FR"/>
        </w:rPr>
        <w:t>.</w:t>
      </w:r>
    </w:p>
    <w:p w:rsidR="00CB2B89" w:rsidRPr="00A779B8" w:rsidRDefault="00CB2B89" w:rsidP="00CB2B89">
      <w:pPr>
        <w:pStyle w:val="SingleTxtG"/>
        <w:ind w:left="2268"/>
        <w:rPr>
          <w:lang w:val="fr-FR"/>
        </w:rPr>
      </w:pPr>
      <w:r w:rsidRPr="00A779B8">
        <w:rPr>
          <w:lang w:val="fr-FR"/>
        </w:rPr>
        <w:tab/>
        <w:t>Dans le cas du GPL et du GN/</w:t>
      </w:r>
      <w:proofErr w:type="spellStart"/>
      <w:r w:rsidRPr="00A779B8">
        <w:rPr>
          <w:lang w:val="fr-FR"/>
        </w:rPr>
        <w:t>biométhane</w:t>
      </w:r>
      <w:proofErr w:type="spellEnd"/>
      <w:r w:rsidRPr="00A779B8">
        <w:rPr>
          <w:lang w:val="fr-FR"/>
        </w:rPr>
        <w:t>, la composition des carburants disponibles sur le marché est très variable, ce qui implique que le système d</w:t>
      </w:r>
      <w:r w:rsidR="00DB4C2D">
        <w:rPr>
          <w:lang w:val="fr-FR"/>
        </w:rPr>
        <w:t>’</w:t>
      </w:r>
      <w:r w:rsidRPr="00A779B8">
        <w:rPr>
          <w:lang w:val="fr-FR"/>
        </w:rPr>
        <w:t>alimentation doit pouvoir adapter son débit à la composition du carburant. Afin de s</w:t>
      </w:r>
      <w:r w:rsidR="00DB4C2D">
        <w:rPr>
          <w:lang w:val="fr-FR"/>
        </w:rPr>
        <w:t>’</w:t>
      </w:r>
      <w:r w:rsidRPr="00A779B8">
        <w:rPr>
          <w:lang w:val="fr-FR"/>
        </w:rPr>
        <w:t>assurer de cette capacité, il faut soumettre le véhicule à un essai du type I avec deux carburants de référence aux caractéristiques extrêmes, et contrôler l</w:t>
      </w:r>
      <w:r w:rsidR="00DB4C2D">
        <w:rPr>
          <w:lang w:val="fr-FR"/>
        </w:rPr>
        <w:t>’</w:t>
      </w:r>
      <w:r w:rsidRPr="00A779B8">
        <w:rPr>
          <w:lang w:val="fr-FR"/>
        </w:rPr>
        <w:t>auto-adaptabilité du système d</w:t>
      </w:r>
      <w:r w:rsidR="00DB4C2D">
        <w:rPr>
          <w:lang w:val="fr-FR"/>
        </w:rPr>
        <w:t>’</w:t>
      </w:r>
      <w:r w:rsidRPr="00A779B8">
        <w:rPr>
          <w:lang w:val="fr-FR"/>
        </w:rPr>
        <w:t>alimentation en carburant. Lorsque l</w:t>
      </w:r>
      <w:r w:rsidR="00DB4C2D">
        <w:rPr>
          <w:lang w:val="fr-FR"/>
        </w:rPr>
        <w:t>’</w:t>
      </w:r>
      <w:r w:rsidRPr="00A779B8">
        <w:rPr>
          <w:lang w:val="fr-FR"/>
        </w:rPr>
        <w:t>auto-adaptabilité d</w:t>
      </w:r>
      <w:r w:rsidR="00DB4C2D">
        <w:rPr>
          <w:lang w:val="fr-FR"/>
        </w:rPr>
        <w:t>’</w:t>
      </w:r>
      <w:r w:rsidRPr="00A779B8">
        <w:rPr>
          <w:lang w:val="fr-FR"/>
        </w:rPr>
        <w:t>un système d</w:t>
      </w:r>
      <w:r w:rsidR="00DB4C2D">
        <w:rPr>
          <w:lang w:val="fr-FR"/>
        </w:rPr>
        <w:t>’</w:t>
      </w:r>
      <w:r w:rsidRPr="00A779B8">
        <w:rPr>
          <w:lang w:val="fr-FR"/>
        </w:rPr>
        <w:t>alimentation a été démontrée sur un véhicule donné, ce véhicule peut être considéré comme le père d</w:t>
      </w:r>
      <w:r w:rsidR="00DB4C2D">
        <w:rPr>
          <w:lang w:val="fr-FR"/>
        </w:rPr>
        <w:t>’</w:t>
      </w:r>
      <w:r w:rsidRPr="00A779B8">
        <w:rPr>
          <w:lang w:val="fr-FR"/>
        </w:rPr>
        <w:t>une famille. Les véhicules conformes aux prescriptions applicables aux membres de cette famille, s</w:t>
      </w:r>
      <w:r w:rsidR="00DB4C2D">
        <w:rPr>
          <w:lang w:val="fr-FR"/>
        </w:rPr>
        <w:t>’</w:t>
      </w:r>
      <w:r w:rsidRPr="00A779B8">
        <w:rPr>
          <w:lang w:val="fr-FR"/>
        </w:rPr>
        <w:t>ils sont équipés du même système d</w:t>
      </w:r>
      <w:r w:rsidR="00DB4C2D">
        <w:rPr>
          <w:lang w:val="fr-FR"/>
        </w:rPr>
        <w:t>’</w:t>
      </w:r>
      <w:r w:rsidRPr="00A779B8">
        <w:rPr>
          <w:lang w:val="fr-FR"/>
        </w:rPr>
        <w:t>alimentation en carburant, peuvent être testés avec un seul carburant.</w:t>
      </w:r>
    </w:p>
    <w:p w:rsidR="00CB2B89" w:rsidRPr="00A779B8" w:rsidRDefault="00CB2B89" w:rsidP="00CB2B89">
      <w:pPr>
        <w:pStyle w:val="SingleTxtG"/>
        <w:keepNext/>
        <w:ind w:left="2268" w:hanging="1134"/>
        <w:jc w:val="left"/>
        <w:rPr>
          <w:lang w:val="fr-FR"/>
        </w:rPr>
      </w:pPr>
      <w:r w:rsidRPr="00A779B8">
        <w:rPr>
          <w:lang w:val="fr-FR"/>
        </w:rPr>
        <w:t>2.</w:t>
      </w:r>
      <w:r w:rsidRPr="00A779B8">
        <w:rPr>
          <w:lang w:val="fr-FR"/>
        </w:rPr>
        <w:tab/>
        <w:t>Définitions</w:t>
      </w:r>
    </w:p>
    <w:p w:rsidR="00CB2B89" w:rsidRPr="00A779B8" w:rsidRDefault="00CB2B89" w:rsidP="00CB2B89">
      <w:pPr>
        <w:pStyle w:val="SingleTxtG"/>
        <w:keepNext/>
        <w:ind w:left="2268"/>
        <w:rPr>
          <w:lang w:val="fr-FR"/>
        </w:rPr>
      </w:pPr>
      <w:r w:rsidRPr="00A779B8">
        <w:rPr>
          <w:lang w:val="fr-FR"/>
        </w:rPr>
        <w:tab/>
        <w:t>Aux fins de la présente annexe, on entend par:</w:t>
      </w:r>
    </w:p>
    <w:p w:rsidR="00CB2B89" w:rsidRPr="00A779B8" w:rsidRDefault="00CB2B89" w:rsidP="00CB2B89">
      <w:pPr>
        <w:pStyle w:val="SingleTxtG"/>
        <w:ind w:left="2268" w:hanging="1134"/>
        <w:rPr>
          <w:lang w:val="fr-FR"/>
        </w:rPr>
      </w:pPr>
      <w:r w:rsidRPr="00A779B8">
        <w:rPr>
          <w:lang w:val="fr-FR"/>
        </w:rPr>
        <w:t>2.1</w:t>
      </w:r>
      <w:r w:rsidRPr="00A779B8">
        <w:rPr>
          <w:lang w:val="fr-FR"/>
        </w:rPr>
        <w:tab/>
        <w:t>«</w:t>
      </w:r>
      <w:r w:rsidRPr="00A779B8">
        <w:rPr>
          <w:i/>
          <w:lang w:val="fr-FR"/>
        </w:rPr>
        <w:t>Famille</w:t>
      </w:r>
      <w:r w:rsidRPr="00A779B8">
        <w:rPr>
          <w:lang w:val="fr-FR"/>
        </w:rPr>
        <w:t>»: un groupe de types de véhicules fonctionnant au GPL ou au GN/</w:t>
      </w:r>
      <w:proofErr w:type="spellStart"/>
      <w:r w:rsidRPr="00A779B8">
        <w:rPr>
          <w:lang w:val="fr-FR"/>
        </w:rPr>
        <w:t>biométhane</w:t>
      </w:r>
      <w:proofErr w:type="spellEnd"/>
      <w:r w:rsidRPr="00A779B8">
        <w:rPr>
          <w:lang w:val="fr-FR"/>
        </w:rPr>
        <w:t>, identifié par un véhicule père.</w:t>
      </w:r>
    </w:p>
    <w:p w:rsidR="00CB2B89" w:rsidRPr="00A779B8" w:rsidRDefault="00CB2B89" w:rsidP="00CB2B89">
      <w:pPr>
        <w:pStyle w:val="SingleTxtG"/>
        <w:ind w:left="2268" w:hanging="1134"/>
        <w:rPr>
          <w:lang w:val="fr-FR"/>
        </w:rPr>
      </w:pPr>
      <w:r w:rsidRPr="00A779B8">
        <w:rPr>
          <w:lang w:val="fr-FR"/>
        </w:rPr>
        <w:t>2.2</w:t>
      </w:r>
      <w:r w:rsidRPr="00A779B8">
        <w:rPr>
          <w:lang w:val="fr-FR"/>
        </w:rPr>
        <w:tab/>
        <w:t>«</w:t>
      </w:r>
      <w:r w:rsidRPr="00A779B8">
        <w:rPr>
          <w:i/>
          <w:lang w:val="fr-FR"/>
        </w:rPr>
        <w:t>Véhicule père</w:t>
      </w:r>
      <w:r w:rsidRPr="00A779B8">
        <w:rPr>
          <w:lang w:val="fr-FR"/>
        </w:rPr>
        <w:t>»: un véhicule sélectionné pour la démonstration de l</w:t>
      </w:r>
      <w:r w:rsidR="00DB4C2D">
        <w:rPr>
          <w:lang w:val="fr-FR"/>
        </w:rPr>
        <w:t>’</w:t>
      </w:r>
      <w:r w:rsidRPr="00A779B8">
        <w:rPr>
          <w:lang w:val="fr-FR"/>
        </w:rPr>
        <w:t>auto</w:t>
      </w:r>
      <w:r w:rsidRPr="00A779B8">
        <w:rPr>
          <w:lang w:val="fr-FR"/>
        </w:rPr>
        <w:noBreakHyphen/>
        <w:t>adaptabilité du système d</w:t>
      </w:r>
      <w:r w:rsidR="00DB4C2D">
        <w:rPr>
          <w:lang w:val="fr-FR"/>
        </w:rPr>
        <w:t>’</w:t>
      </w:r>
      <w:r w:rsidRPr="00A779B8">
        <w:rPr>
          <w:lang w:val="fr-FR"/>
        </w:rPr>
        <w:t>alimentation en carburant auquel sont liés les membres d</w:t>
      </w:r>
      <w:r w:rsidR="00DB4C2D">
        <w:rPr>
          <w:lang w:val="fr-FR"/>
        </w:rPr>
        <w:t>’</w:t>
      </w:r>
      <w:r w:rsidRPr="00A779B8">
        <w:rPr>
          <w:lang w:val="fr-FR"/>
        </w:rPr>
        <w:t>une famille. Une famille de véhicules peut avoir plus d</w:t>
      </w:r>
      <w:r w:rsidR="00DB4C2D">
        <w:rPr>
          <w:lang w:val="fr-FR"/>
        </w:rPr>
        <w:t>’</w:t>
      </w:r>
      <w:r w:rsidRPr="00A779B8">
        <w:rPr>
          <w:lang w:val="fr-FR"/>
        </w:rPr>
        <w:t>un père.</w:t>
      </w:r>
    </w:p>
    <w:p w:rsidR="00CB2B89" w:rsidRPr="00A779B8" w:rsidRDefault="00CB2B89" w:rsidP="00CB2B89">
      <w:pPr>
        <w:pStyle w:val="SingleTxtG"/>
        <w:keepNext/>
        <w:ind w:left="2268" w:hanging="1134"/>
        <w:jc w:val="left"/>
        <w:rPr>
          <w:lang w:val="fr-FR"/>
        </w:rPr>
      </w:pPr>
      <w:r w:rsidRPr="00A779B8">
        <w:rPr>
          <w:lang w:val="fr-FR"/>
        </w:rPr>
        <w:t>2.3</w:t>
      </w:r>
      <w:r w:rsidRPr="00A779B8">
        <w:rPr>
          <w:lang w:val="fr-FR"/>
        </w:rPr>
        <w:tab/>
        <w:t>Membre de la famille</w:t>
      </w:r>
    </w:p>
    <w:p w:rsidR="00CB2B89" w:rsidRPr="00A779B8" w:rsidRDefault="00CB2B89" w:rsidP="00CB2B89">
      <w:pPr>
        <w:pStyle w:val="SingleTxtG"/>
        <w:keepNext/>
        <w:ind w:left="2268" w:hanging="1134"/>
        <w:rPr>
          <w:lang w:val="fr-FR"/>
        </w:rPr>
      </w:pPr>
      <w:r w:rsidRPr="00A779B8">
        <w:rPr>
          <w:lang w:val="fr-FR"/>
        </w:rPr>
        <w:t>2.3.1</w:t>
      </w:r>
      <w:r w:rsidRPr="00A779B8">
        <w:rPr>
          <w:lang w:val="fr-FR"/>
        </w:rPr>
        <w:tab/>
        <w:t>«</w:t>
      </w:r>
      <w:r w:rsidRPr="00A779B8">
        <w:rPr>
          <w:i/>
          <w:lang w:val="fr-FR"/>
        </w:rPr>
        <w:t>Membre de la famille</w:t>
      </w:r>
      <w:r w:rsidRPr="00A779B8">
        <w:rPr>
          <w:lang w:val="fr-FR"/>
        </w:rPr>
        <w:t>»: un véhicule qui partage avec son ou ses père(s) les caractéristiques essentielles suivantes:</w:t>
      </w:r>
    </w:p>
    <w:p w:rsidR="00CB2B89" w:rsidRPr="00A779B8" w:rsidRDefault="00CB2B89" w:rsidP="00CB2B89">
      <w:pPr>
        <w:pStyle w:val="SingleTxtG"/>
        <w:ind w:left="2835" w:hanging="567"/>
        <w:rPr>
          <w:lang w:val="fr-FR"/>
        </w:rPr>
      </w:pPr>
      <w:r w:rsidRPr="00A779B8">
        <w:rPr>
          <w:lang w:val="fr-FR"/>
        </w:rPr>
        <w:t>a)</w:t>
      </w:r>
      <w:r w:rsidRPr="00A779B8">
        <w:rPr>
          <w:lang w:val="fr-FR"/>
        </w:rPr>
        <w:tab/>
        <w:t>Il est produit par le même constructeur;</w:t>
      </w:r>
    </w:p>
    <w:p w:rsidR="00CB2B89" w:rsidRPr="00A779B8" w:rsidRDefault="00CB2B89" w:rsidP="00CB2B89">
      <w:pPr>
        <w:pStyle w:val="SingleTxtG"/>
        <w:ind w:left="2835" w:hanging="567"/>
        <w:rPr>
          <w:lang w:val="fr-FR"/>
        </w:rPr>
      </w:pPr>
      <w:r w:rsidRPr="00A779B8">
        <w:rPr>
          <w:lang w:val="fr-FR"/>
        </w:rPr>
        <w:t>b)</w:t>
      </w:r>
      <w:r w:rsidRPr="00A779B8">
        <w:rPr>
          <w:lang w:val="fr-FR"/>
        </w:rPr>
        <w:tab/>
        <w:t>Il est soumis aux mêmes limites d</w:t>
      </w:r>
      <w:r w:rsidR="00DB4C2D">
        <w:rPr>
          <w:lang w:val="fr-FR"/>
        </w:rPr>
        <w:t>’</w:t>
      </w:r>
      <w:r w:rsidRPr="00A779B8">
        <w:rPr>
          <w:lang w:val="fr-FR"/>
        </w:rPr>
        <w:t>émission;</w:t>
      </w:r>
    </w:p>
    <w:p w:rsidR="00CB2B89" w:rsidRPr="00A779B8" w:rsidRDefault="00CB2B89" w:rsidP="00CB2B89">
      <w:pPr>
        <w:pStyle w:val="SingleTxtG"/>
        <w:ind w:left="2835" w:hanging="567"/>
        <w:rPr>
          <w:lang w:val="fr-FR"/>
        </w:rPr>
      </w:pPr>
      <w:r w:rsidRPr="00A779B8">
        <w:rPr>
          <w:lang w:val="fr-FR"/>
        </w:rPr>
        <w:t>c)</w:t>
      </w:r>
      <w:r w:rsidRPr="00A779B8">
        <w:rPr>
          <w:lang w:val="fr-FR"/>
        </w:rPr>
        <w:tab/>
        <w:t>Dans le cas d</w:t>
      </w:r>
      <w:r w:rsidR="00DB4C2D">
        <w:rPr>
          <w:lang w:val="fr-FR"/>
        </w:rPr>
        <w:t>’</w:t>
      </w:r>
      <w:r w:rsidRPr="00A779B8">
        <w:rPr>
          <w:lang w:val="fr-FR"/>
        </w:rPr>
        <w:t>un système d</w:t>
      </w:r>
      <w:r w:rsidR="00DB4C2D">
        <w:rPr>
          <w:lang w:val="fr-FR"/>
        </w:rPr>
        <w:t>’</w:t>
      </w:r>
      <w:r w:rsidRPr="00A779B8">
        <w:rPr>
          <w:lang w:val="fr-FR"/>
        </w:rPr>
        <w:t>alimentation en gaz à distribution centrale:</w:t>
      </w:r>
    </w:p>
    <w:p w:rsidR="00CB2B89" w:rsidRPr="00A779B8" w:rsidRDefault="00CB2B89" w:rsidP="00CB2B89">
      <w:pPr>
        <w:pStyle w:val="SingleTxtG"/>
        <w:ind w:left="2835"/>
        <w:rPr>
          <w:lang w:val="fr-FR"/>
        </w:rPr>
      </w:pPr>
      <w:r w:rsidRPr="00A779B8">
        <w:rPr>
          <w:lang w:val="fr-FR"/>
        </w:rPr>
        <w:tab/>
        <w:t>Il possède une puissance certifiée comprise entre 0,7 et 1,15 fois celle du moteur du véhicule père;</w:t>
      </w:r>
    </w:p>
    <w:p w:rsidR="00CB2B89" w:rsidRPr="00A779B8" w:rsidRDefault="00CB2B89" w:rsidP="00CB2B89">
      <w:pPr>
        <w:pStyle w:val="SingleTxtG"/>
        <w:ind w:left="2835" w:hanging="567"/>
        <w:rPr>
          <w:lang w:val="fr-FR"/>
        </w:rPr>
      </w:pPr>
      <w:r w:rsidRPr="00A779B8">
        <w:rPr>
          <w:lang w:val="fr-FR"/>
        </w:rPr>
        <w:t>d)</w:t>
      </w:r>
      <w:r w:rsidRPr="00A779B8">
        <w:rPr>
          <w:lang w:val="fr-FR"/>
        </w:rPr>
        <w:tab/>
        <w:t>Dans le cas d</w:t>
      </w:r>
      <w:r w:rsidR="00DB4C2D">
        <w:rPr>
          <w:lang w:val="fr-FR"/>
        </w:rPr>
        <w:t>’</w:t>
      </w:r>
      <w:r w:rsidRPr="00A779B8">
        <w:rPr>
          <w:lang w:val="fr-FR"/>
        </w:rPr>
        <w:t>un système d</w:t>
      </w:r>
      <w:r w:rsidR="00DB4C2D">
        <w:rPr>
          <w:lang w:val="fr-FR"/>
        </w:rPr>
        <w:t>’</w:t>
      </w:r>
      <w:r w:rsidRPr="00A779B8">
        <w:rPr>
          <w:lang w:val="fr-FR"/>
        </w:rPr>
        <w:t>alimentation en gaz avec distributeur individuel pour chaque cylindre:</w:t>
      </w:r>
    </w:p>
    <w:p w:rsidR="00CB2B89" w:rsidRPr="00A779B8" w:rsidRDefault="00CB2B89" w:rsidP="00CB2B89">
      <w:pPr>
        <w:pStyle w:val="SingleTxtG"/>
        <w:ind w:left="2835"/>
        <w:rPr>
          <w:lang w:val="fr-FR"/>
        </w:rPr>
      </w:pPr>
      <w:r w:rsidRPr="00A779B8">
        <w:rPr>
          <w:lang w:val="fr-FR"/>
        </w:rPr>
        <w:tab/>
        <w:t>Il possède une puissance par cylindre certifiée comprise entre 0,7 et 1,15 fois celle du moteur du véhicule père;</w:t>
      </w:r>
    </w:p>
    <w:p w:rsidR="00CB2B89" w:rsidRPr="00A779B8" w:rsidRDefault="00CB2B89" w:rsidP="00CB2B89">
      <w:pPr>
        <w:pStyle w:val="SingleTxtG"/>
        <w:ind w:left="2835" w:hanging="567"/>
        <w:rPr>
          <w:lang w:val="fr-FR"/>
        </w:rPr>
      </w:pPr>
      <w:r w:rsidRPr="00A779B8">
        <w:rPr>
          <w:lang w:val="fr-FR"/>
        </w:rPr>
        <w:t>e)</w:t>
      </w:r>
      <w:r w:rsidRPr="00A779B8">
        <w:rPr>
          <w:lang w:val="fr-FR"/>
        </w:rPr>
        <w:tab/>
        <w:t>S</w:t>
      </w:r>
      <w:r w:rsidR="00DB4C2D">
        <w:rPr>
          <w:lang w:val="fr-FR"/>
        </w:rPr>
        <w:t>’</w:t>
      </w:r>
      <w:r w:rsidRPr="00A779B8">
        <w:rPr>
          <w:lang w:val="fr-FR"/>
        </w:rPr>
        <w:t>il est équipé d</w:t>
      </w:r>
      <w:r w:rsidR="00DB4C2D">
        <w:rPr>
          <w:lang w:val="fr-FR"/>
        </w:rPr>
        <w:t>’</w:t>
      </w:r>
      <w:r w:rsidRPr="00A779B8">
        <w:rPr>
          <w:lang w:val="fr-FR"/>
        </w:rPr>
        <w:t xml:space="preserve">un catalyseur, ce catalyseur est du même type (3 voies, oxydation, de </w:t>
      </w:r>
      <w:proofErr w:type="spellStart"/>
      <w:r w:rsidRPr="00A779B8">
        <w:rPr>
          <w:lang w:val="fr-FR"/>
        </w:rPr>
        <w:t>NO</w:t>
      </w:r>
      <w:r w:rsidRPr="00A779B8">
        <w:rPr>
          <w:vertAlign w:val="subscript"/>
          <w:lang w:val="fr-FR"/>
        </w:rPr>
        <w:t>x</w:t>
      </w:r>
      <w:proofErr w:type="spellEnd"/>
      <w:r w:rsidRPr="00A779B8">
        <w:rPr>
          <w:lang w:val="fr-FR"/>
        </w:rPr>
        <w:t>);</w:t>
      </w:r>
    </w:p>
    <w:p w:rsidR="00CB2B89" w:rsidRPr="00A779B8" w:rsidRDefault="00CB2B89" w:rsidP="00CB2B89">
      <w:pPr>
        <w:pStyle w:val="SingleTxtG"/>
        <w:ind w:left="2835" w:hanging="567"/>
        <w:rPr>
          <w:lang w:val="fr-FR"/>
        </w:rPr>
      </w:pPr>
      <w:r w:rsidRPr="00A779B8">
        <w:rPr>
          <w:lang w:val="fr-FR"/>
        </w:rPr>
        <w:lastRenderedPageBreak/>
        <w:t>f)</w:t>
      </w:r>
      <w:r w:rsidRPr="00A779B8">
        <w:rPr>
          <w:lang w:val="fr-FR"/>
        </w:rPr>
        <w:tab/>
        <w:t>Il possède un système d</w:t>
      </w:r>
      <w:r w:rsidR="00DB4C2D">
        <w:rPr>
          <w:lang w:val="fr-FR"/>
        </w:rPr>
        <w:t>’</w:t>
      </w:r>
      <w:r w:rsidRPr="00A779B8">
        <w:rPr>
          <w:lang w:val="fr-FR"/>
        </w:rPr>
        <w:t>alimentation en gaz (y compris le manostat) du même constructeur et du même type: induction, injection de vapeur (</w:t>
      </w:r>
      <w:proofErr w:type="spellStart"/>
      <w:r w:rsidRPr="00A779B8">
        <w:rPr>
          <w:lang w:val="fr-FR"/>
        </w:rPr>
        <w:t>monopoint</w:t>
      </w:r>
      <w:proofErr w:type="spellEnd"/>
      <w:r w:rsidRPr="00A779B8">
        <w:rPr>
          <w:lang w:val="fr-FR"/>
        </w:rPr>
        <w:t>, multipoint), injection de liquide (</w:t>
      </w:r>
      <w:proofErr w:type="spellStart"/>
      <w:r w:rsidRPr="00A779B8">
        <w:rPr>
          <w:lang w:val="fr-FR"/>
        </w:rPr>
        <w:t>monopoint</w:t>
      </w:r>
      <w:proofErr w:type="spellEnd"/>
      <w:r w:rsidRPr="00A779B8">
        <w:rPr>
          <w:lang w:val="fr-FR"/>
        </w:rPr>
        <w:t>, multipoint);</w:t>
      </w:r>
    </w:p>
    <w:p w:rsidR="00CB2B89" w:rsidRPr="00A779B8" w:rsidRDefault="00CB2B89" w:rsidP="00CB2B89">
      <w:pPr>
        <w:pStyle w:val="SingleTxtG"/>
        <w:ind w:left="2835" w:hanging="567"/>
        <w:rPr>
          <w:lang w:val="fr-FR"/>
        </w:rPr>
      </w:pPr>
      <w:r w:rsidRPr="00A779B8">
        <w:rPr>
          <w:lang w:val="fr-FR"/>
        </w:rPr>
        <w:t>g)</w:t>
      </w:r>
      <w:r w:rsidRPr="00A779B8">
        <w:rPr>
          <w:lang w:val="fr-FR"/>
        </w:rPr>
        <w:tab/>
        <w:t>Le système d</w:t>
      </w:r>
      <w:r w:rsidR="00DB4C2D">
        <w:rPr>
          <w:lang w:val="fr-FR"/>
        </w:rPr>
        <w:t>’</w:t>
      </w:r>
      <w:r w:rsidRPr="00A779B8">
        <w:rPr>
          <w:lang w:val="fr-FR"/>
        </w:rPr>
        <w:t>alimentation en carburant est régulé par une commande électronique du même type et avec les mêmes caractéristiques techniques, les mêmes principes logiciels et la même stratégie de régulation. Le véhicule peut disposer d</w:t>
      </w:r>
      <w:r w:rsidR="00DB4C2D">
        <w:rPr>
          <w:lang w:val="fr-FR"/>
        </w:rPr>
        <w:t>’</w:t>
      </w:r>
      <w:r w:rsidRPr="00A779B8">
        <w:rPr>
          <w:lang w:val="fr-FR"/>
        </w:rPr>
        <w:t>une seconde commande électronique, à la différence du véhicule père, pourvu que cette commande électronique ne soit utilisée que pour contrôler les injecteurs, les obturateurs supplémentaires et l</w:t>
      </w:r>
      <w:r w:rsidR="00DB4C2D">
        <w:rPr>
          <w:lang w:val="fr-FR"/>
        </w:rPr>
        <w:t>’</w:t>
      </w:r>
      <w:r w:rsidRPr="00A779B8">
        <w:rPr>
          <w:lang w:val="fr-FR"/>
        </w:rPr>
        <w:t>acquisition de données à partir de capteurs supplémentaires.</w:t>
      </w:r>
    </w:p>
    <w:p w:rsidR="00CB2B89" w:rsidRPr="00A779B8" w:rsidRDefault="00CB2B89" w:rsidP="00CB2B89">
      <w:pPr>
        <w:pStyle w:val="SingleTxtG"/>
        <w:ind w:left="2268" w:hanging="1134"/>
        <w:rPr>
          <w:lang w:val="fr-FR"/>
        </w:rPr>
      </w:pPr>
      <w:r w:rsidRPr="00A779B8">
        <w:rPr>
          <w:lang w:val="fr-FR"/>
        </w:rPr>
        <w:t>2.3.2</w:t>
      </w:r>
      <w:r w:rsidRPr="00A779B8">
        <w:rPr>
          <w:lang w:val="fr-FR"/>
        </w:rPr>
        <w:tab/>
        <w:t>S</w:t>
      </w:r>
      <w:r w:rsidR="00DB4C2D">
        <w:rPr>
          <w:lang w:val="fr-FR"/>
        </w:rPr>
        <w:t>’</w:t>
      </w:r>
      <w:r w:rsidRPr="00A779B8">
        <w:rPr>
          <w:lang w:val="fr-FR"/>
        </w:rPr>
        <w:t>agissant des alinéas </w:t>
      </w:r>
      <w:r w:rsidRPr="00A779B8">
        <w:rPr>
          <w:i/>
          <w:lang w:val="fr-FR"/>
        </w:rPr>
        <w:t>c</w:t>
      </w:r>
      <w:r w:rsidRPr="00A779B8">
        <w:rPr>
          <w:lang w:val="fr-FR"/>
        </w:rPr>
        <w:t xml:space="preserve"> et</w:t>
      </w:r>
      <w:r>
        <w:rPr>
          <w:lang w:val="fr-FR"/>
        </w:rPr>
        <w:t> </w:t>
      </w:r>
      <w:r w:rsidRPr="00A779B8">
        <w:rPr>
          <w:i/>
          <w:lang w:val="fr-FR"/>
        </w:rPr>
        <w:t>d</w:t>
      </w:r>
      <w:r w:rsidRPr="00A779B8">
        <w:rPr>
          <w:lang w:val="fr-FR"/>
        </w:rPr>
        <w:t>: lorsqu</w:t>
      </w:r>
      <w:r w:rsidR="00DB4C2D">
        <w:rPr>
          <w:lang w:val="fr-FR"/>
        </w:rPr>
        <w:t>’</w:t>
      </w:r>
      <w:r w:rsidRPr="00A779B8">
        <w:rPr>
          <w:lang w:val="fr-FR"/>
        </w:rPr>
        <w:t>un essai fait apparaître que deux véhicules alimentés au gaz pourraient être membres de la même famille sauf en ce qui concerne leur puissance certifiée, respectivement P</w:t>
      </w:r>
      <w:r w:rsidRPr="00A779B8">
        <w:rPr>
          <w:vertAlign w:val="subscript"/>
          <w:lang w:val="fr-FR"/>
        </w:rPr>
        <w:t>1</w:t>
      </w:r>
      <w:r w:rsidRPr="00A779B8">
        <w:rPr>
          <w:lang w:val="fr-FR"/>
        </w:rPr>
        <w:t xml:space="preserve"> et P</w:t>
      </w:r>
      <w:r w:rsidRPr="00A779B8">
        <w:rPr>
          <w:vertAlign w:val="subscript"/>
          <w:lang w:val="fr-FR"/>
        </w:rPr>
        <w:t>2</w:t>
      </w:r>
      <w:r w:rsidRPr="00A779B8">
        <w:rPr>
          <w:lang w:val="fr-FR"/>
        </w:rPr>
        <w:t xml:space="preserve"> (P</w:t>
      </w:r>
      <w:r w:rsidRPr="00A779B8">
        <w:rPr>
          <w:vertAlign w:val="subscript"/>
          <w:lang w:val="fr-FR"/>
        </w:rPr>
        <w:t>1</w:t>
      </w:r>
      <w:r w:rsidRPr="00A779B8">
        <w:rPr>
          <w:lang w:val="fr-FR"/>
        </w:rPr>
        <w:t> &lt; P</w:t>
      </w:r>
      <w:r w:rsidRPr="00A779B8">
        <w:rPr>
          <w:vertAlign w:val="subscript"/>
          <w:lang w:val="fr-FR"/>
        </w:rPr>
        <w:t>2</w:t>
      </w:r>
      <w:r w:rsidRPr="00A779B8">
        <w:rPr>
          <w:lang w:val="fr-FR"/>
        </w:rPr>
        <w:t>), et que les deux sont testés en tant que véhicule père, l</w:t>
      </w:r>
      <w:r w:rsidR="00DB4C2D">
        <w:rPr>
          <w:lang w:val="fr-FR"/>
        </w:rPr>
        <w:t>’</w:t>
      </w:r>
      <w:r w:rsidRPr="00A779B8">
        <w:rPr>
          <w:lang w:val="fr-FR"/>
        </w:rPr>
        <w:t>appartenance à la famille sera acceptée pour tout véhicule dont la puissance certifiée est comprise entre 0,7 P</w:t>
      </w:r>
      <w:r w:rsidRPr="00A779B8">
        <w:rPr>
          <w:vertAlign w:val="subscript"/>
          <w:lang w:val="fr-FR"/>
        </w:rPr>
        <w:t>1</w:t>
      </w:r>
      <w:r w:rsidRPr="00A779B8">
        <w:rPr>
          <w:lang w:val="fr-FR"/>
        </w:rPr>
        <w:t xml:space="preserve"> et 1,l5 P</w:t>
      </w:r>
      <w:r w:rsidRPr="00A779B8">
        <w:rPr>
          <w:vertAlign w:val="subscript"/>
          <w:lang w:val="fr-FR"/>
        </w:rPr>
        <w:t>2</w:t>
      </w:r>
      <w:r w:rsidRPr="00A779B8">
        <w:rPr>
          <w:lang w:val="fr-FR"/>
        </w:rPr>
        <w:t>.</w:t>
      </w:r>
    </w:p>
    <w:p w:rsidR="00CB2B89" w:rsidRPr="00A779B8" w:rsidRDefault="00CB2B89" w:rsidP="00CB2B89">
      <w:pPr>
        <w:pStyle w:val="SingleTxtG"/>
        <w:keepNext/>
        <w:ind w:left="2268" w:hanging="1134"/>
        <w:jc w:val="left"/>
        <w:rPr>
          <w:lang w:val="fr-FR"/>
        </w:rPr>
      </w:pPr>
      <w:r w:rsidRPr="00A779B8">
        <w:rPr>
          <w:lang w:val="fr-FR"/>
        </w:rPr>
        <w:t>3.</w:t>
      </w:r>
      <w:r w:rsidRPr="00A779B8">
        <w:rPr>
          <w:lang w:val="fr-FR"/>
        </w:rPr>
        <w:tab/>
        <w:t>Octroi de l</w:t>
      </w:r>
      <w:r w:rsidR="00DB4C2D">
        <w:rPr>
          <w:lang w:val="fr-FR"/>
        </w:rPr>
        <w:t>’</w:t>
      </w:r>
      <w:r w:rsidRPr="00A779B8">
        <w:rPr>
          <w:lang w:val="fr-FR"/>
        </w:rPr>
        <w:t>homologation de type</w:t>
      </w:r>
    </w:p>
    <w:p w:rsidR="00CB2B89" w:rsidRPr="00A779B8" w:rsidRDefault="00CB2B89" w:rsidP="00CB2B89">
      <w:pPr>
        <w:pStyle w:val="SingleTxtG"/>
        <w:keepNext/>
        <w:ind w:left="2268"/>
        <w:rPr>
          <w:lang w:val="fr-FR"/>
        </w:rPr>
      </w:pPr>
      <w:r w:rsidRPr="00A779B8">
        <w:rPr>
          <w:lang w:val="fr-FR"/>
        </w:rPr>
        <w:tab/>
        <w:t>L</w:t>
      </w:r>
      <w:r w:rsidR="00DB4C2D">
        <w:rPr>
          <w:lang w:val="fr-FR"/>
        </w:rPr>
        <w:t>’</w:t>
      </w:r>
      <w:r w:rsidRPr="00A779B8">
        <w:rPr>
          <w:lang w:val="fr-FR"/>
        </w:rPr>
        <w:t>homologation de type est délivrée aux conditions suivantes:</w:t>
      </w:r>
    </w:p>
    <w:p w:rsidR="00CB2B89" w:rsidRPr="00A779B8" w:rsidRDefault="00CB2B89" w:rsidP="00CB2B89">
      <w:pPr>
        <w:pStyle w:val="SingleTxtG"/>
        <w:keepNext/>
        <w:ind w:left="2268" w:hanging="1134"/>
        <w:jc w:val="left"/>
        <w:rPr>
          <w:lang w:val="fr-FR"/>
        </w:rPr>
      </w:pPr>
      <w:r w:rsidRPr="00A779B8">
        <w:rPr>
          <w:lang w:val="fr-FR"/>
        </w:rPr>
        <w:t>3.1</w:t>
      </w:r>
      <w:r w:rsidRPr="00A779B8">
        <w:rPr>
          <w:lang w:val="fr-FR"/>
        </w:rPr>
        <w:tab/>
        <w:t>Émissions à l</w:t>
      </w:r>
      <w:r w:rsidR="00DB4C2D">
        <w:rPr>
          <w:lang w:val="fr-FR"/>
        </w:rPr>
        <w:t>’</w:t>
      </w:r>
      <w:r w:rsidRPr="00A779B8">
        <w:rPr>
          <w:lang w:val="fr-FR"/>
        </w:rPr>
        <w:t>échappement d</w:t>
      </w:r>
      <w:r w:rsidR="00DB4C2D">
        <w:rPr>
          <w:lang w:val="fr-FR"/>
        </w:rPr>
        <w:t>’</w:t>
      </w:r>
      <w:r w:rsidRPr="00A779B8">
        <w:rPr>
          <w:lang w:val="fr-FR"/>
        </w:rPr>
        <w:t>un véhicule père</w:t>
      </w:r>
    </w:p>
    <w:p w:rsidR="00CB2B89" w:rsidRPr="00A779B8" w:rsidRDefault="00CB2B89" w:rsidP="00CB2B89">
      <w:pPr>
        <w:pStyle w:val="SingleTxtG"/>
        <w:ind w:left="2268" w:hanging="1134"/>
        <w:rPr>
          <w:lang w:val="fr-FR"/>
        </w:rPr>
      </w:pPr>
      <w:r w:rsidRPr="00A779B8">
        <w:rPr>
          <w:lang w:val="fr-FR"/>
        </w:rPr>
        <w:t>3.1.1</w:t>
      </w:r>
      <w:r w:rsidRPr="00A779B8">
        <w:rPr>
          <w:lang w:val="fr-FR"/>
        </w:rPr>
        <w:tab/>
        <w:t>Le véhicule père doit faire la preuve de sa capacité à s</w:t>
      </w:r>
      <w:r w:rsidR="00DB4C2D">
        <w:rPr>
          <w:lang w:val="fr-FR"/>
        </w:rPr>
        <w:t>’</w:t>
      </w:r>
      <w:r w:rsidRPr="00A779B8">
        <w:rPr>
          <w:lang w:val="fr-FR"/>
        </w:rPr>
        <w:t>adapter à toute composition de carburant susceptible d</w:t>
      </w:r>
      <w:r w:rsidR="00DB4C2D">
        <w:rPr>
          <w:lang w:val="fr-FR"/>
        </w:rPr>
        <w:t>’</w:t>
      </w:r>
      <w:r w:rsidRPr="00A779B8">
        <w:rPr>
          <w:lang w:val="fr-FR"/>
        </w:rPr>
        <w:t>être rencontrée sur le marché. Dans le cas du GPL, les variations portent sur le rapport C3/C4. Dans le cas du GN/</w:t>
      </w:r>
      <w:proofErr w:type="spellStart"/>
      <w:r w:rsidRPr="00A779B8">
        <w:rPr>
          <w:lang w:val="fr-FR"/>
        </w:rPr>
        <w:t>biométhane</w:t>
      </w:r>
      <w:proofErr w:type="spellEnd"/>
      <w:r w:rsidRPr="00A779B8">
        <w:rPr>
          <w:lang w:val="fr-FR"/>
        </w:rPr>
        <w:t>, on rencontre en général deux types de carburant, un carburant à haut pouvoir calorifique (gaz H) et un à faible pouvoir calorifique (gaz L), mais ces deux catégories correspondent à deux gammes assez larges en ce qui concerne l</w:t>
      </w:r>
      <w:r w:rsidR="00DB4C2D">
        <w:rPr>
          <w:lang w:val="fr-FR"/>
        </w:rPr>
        <w:t>’</w:t>
      </w:r>
      <w:r w:rsidRPr="00A779B8">
        <w:rPr>
          <w:lang w:val="fr-FR"/>
        </w:rPr>
        <w:t xml:space="preserve">indice de </w:t>
      </w:r>
      <w:proofErr w:type="spellStart"/>
      <w:r w:rsidRPr="00A779B8">
        <w:rPr>
          <w:lang w:val="fr-FR"/>
        </w:rPr>
        <w:t>Wobbe</w:t>
      </w:r>
      <w:proofErr w:type="spellEnd"/>
      <w:r w:rsidRPr="00A779B8">
        <w:rPr>
          <w:lang w:val="fr-FR"/>
        </w:rPr>
        <w:t>; cette variabilité est reflétée dans les carburants de référence.</w:t>
      </w:r>
    </w:p>
    <w:p w:rsidR="00CB2B89" w:rsidRPr="00A779B8" w:rsidRDefault="00CB2B89" w:rsidP="00CB2B89">
      <w:pPr>
        <w:pStyle w:val="SingleTxtG"/>
        <w:ind w:left="2268" w:hanging="1134"/>
        <w:rPr>
          <w:lang w:val="fr-FR"/>
        </w:rPr>
      </w:pPr>
      <w:r w:rsidRPr="00A779B8">
        <w:rPr>
          <w:lang w:val="fr-FR"/>
        </w:rPr>
        <w:t>3.1.2</w:t>
      </w:r>
      <w:r w:rsidRPr="00A779B8">
        <w:rPr>
          <w:lang w:val="fr-FR"/>
        </w:rPr>
        <w:tab/>
        <w:t>Dans le cas des véhicules fonctionnant au GPL ou au GN/</w:t>
      </w:r>
      <w:proofErr w:type="spellStart"/>
      <w:r w:rsidRPr="00A779B8">
        <w:rPr>
          <w:lang w:val="fr-FR"/>
        </w:rPr>
        <w:t>biométhane</w:t>
      </w:r>
      <w:proofErr w:type="spellEnd"/>
      <w:r w:rsidRPr="00A779B8">
        <w:rPr>
          <w:lang w:val="fr-FR"/>
        </w:rPr>
        <w:t>, le ou les véhicule(s) père(s) doivent être soumis à l</w:t>
      </w:r>
      <w:r w:rsidR="00DB4C2D">
        <w:rPr>
          <w:lang w:val="fr-FR"/>
        </w:rPr>
        <w:t>’</w:t>
      </w:r>
      <w:r w:rsidRPr="00A779B8">
        <w:rPr>
          <w:lang w:val="fr-FR"/>
        </w:rPr>
        <w:t>essai du type I avec les deux carburants de référence extrêmes visés à l</w:t>
      </w:r>
      <w:r w:rsidR="00DB4C2D">
        <w:rPr>
          <w:lang w:val="fr-FR"/>
        </w:rPr>
        <w:t>’</w:t>
      </w:r>
      <w:r w:rsidRPr="00A779B8">
        <w:rPr>
          <w:lang w:val="fr-FR"/>
        </w:rPr>
        <w:t>annexe 10a du présent Règlement. Dans le cas du GN/</w:t>
      </w:r>
      <w:proofErr w:type="spellStart"/>
      <w:r w:rsidRPr="00A779B8">
        <w:rPr>
          <w:lang w:val="fr-FR"/>
        </w:rPr>
        <w:t>biométhane</w:t>
      </w:r>
      <w:proofErr w:type="spellEnd"/>
      <w:r w:rsidRPr="00A779B8">
        <w:rPr>
          <w:lang w:val="fr-FR"/>
        </w:rPr>
        <w:t>, si le passage d</w:t>
      </w:r>
      <w:r w:rsidR="00DB4C2D">
        <w:rPr>
          <w:lang w:val="fr-FR"/>
        </w:rPr>
        <w:t>’</w:t>
      </w:r>
      <w:r w:rsidRPr="00A779B8">
        <w:rPr>
          <w:lang w:val="fr-FR"/>
        </w:rPr>
        <w:t>un carburant à un autre est en pratique effectué à l</w:t>
      </w:r>
      <w:r w:rsidR="00DB4C2D">
        <w:rPr>
          <w:lang w:val="fr-FR"/>
        </w:rPr>
        <w:t>’</w:t>
      </w:r>
      <w:r w:rsidRPr="00A779B8">
        <w:rPr>
          <w:lang w:val="fr-FR"/>
        </w:rPr>
        <w:t>aide d</w:t>
      </w:r>
      <w:r w:rsidR="00DB4C2D">
        <w:rPr>
          <w:lang w:val="fr-FR"/>
        </w:rPr>
        <w:t>’</w:t>
      </w:r>
      <w:r w:rsidRPr="00A779B8">
        <w:rPr>
          <w:lang w:val="fr-FR"/>
        </w:rPr>
        <w:t>un commutateur, ce commutateur ne doit pas être utilisé pendant la procédure suivie pour l</w:t>
      </w:r>
      <w:r w:rsidR="00DB4C2D">
        <w:rPr>
          <w:lang w:val="fr-FR"/>
        </w:rPr>
        <w:t>’</w:t>
      </w:r>
      <w:r w:rsidRPr="00A779B8">
        <w:rPr>
          <w:lang w:val="fr-FR"/>
        </w:rPr>
        <w:t xml:space="preserve">homologation de type. En pareil cas, à la demande du constructeur et en accord avec le service technique, le cycle de </w:t>
      </w:r>
      <w:proofErr w:type="spellStart"/>
      <w:r w:rsidRPr="00A779B8">
        <w:rPr>
          <w:lang w:val="fr-FR"/>
        </w:rPr>
        <w:t>préconditionnement</w:t>
      </w:r>
      <w:proofErr w:type="spellEnd"/>
      <w:r w:rsidRPr="00A779B8">
        <w:rPr>
          <w:lang w:val="fr-FR"/>
        </w:rPr>
        <w:t xml:space="preserve"> visé au paragraphe 6.3 de l</w:t>
      </w:r>
      <w:r w:rsidR="00DB4C2D">
        <w:rPr>
          <w:lang w:val="fr-FR"/>
        </w:rPr>
        <w:t>’</w:t>
      </w:r>
      <w:r w:rsidRPr="00A779B8">
        <w:rPr>
          <w:lang w:val="fr-FR"/>
        </w:rPr>
        <w:t>annexe 4a du présent Règlement peut être prolongé.</w:t>
      </w:r>
    </w:p>
    <w:p w:rsidR="00CB2B89" w:rsidRPr="00A779B8" w:rsidRDefault="00CB2B89" w:rsidP="00CB2B89">
      <w:pPr>
        <w:pStyle w:val="SingleTxtG"/>
        <w:ind w:left="2268" w:hanging="1134"/>
        <w:rPr>
          <w:lang w:val="fr-FR"/>
        </w:rPr>
      </w:pPr>
      <w:r w:rsidRPr="00A779B8">
        <w:rPr>
          <w:lang w:val="fr-FR"/>
        </w:rPr>
        <w:t>3.1.3</w:t>
      </w:r>
      <w:r w:rsidRPr="00A779B8">
        <w:rPr>
          <w:lang w:val="fr-FR"/>
        </w:rPr>
        <w:tab/>
        <w:t>Le véhicule est considéré conforme si, dans les essais, avec les carburants de référence mentionnés au paragraphe 3.1.2 ci-dessus, il respecte les limites d</w:t>
      </w:r>
      <w:r w:rsidR="00DB4C2D">
        <w:rPr>
          <w:lang w:val="fr-FR"/>
        </w:rPr>
        <w:t>’</w:t>
      </w:r>
      <w:r w:rsidRPr="00A779B8">
        <w:rPr>
          <w:lang w:val="fr-FR"/>
        </w:rPr>
        <w:t>émission.</w:t>
      </w:r>
    </w:p>
    <w:p w:rsidR="00CB2B89" w:rsidRPr="00A779B8" w:rsidRDefault="00CB2B89" w:rsidP="00CB2B89">
      <w:pPr>
        <w:pStyle w:val="SingleTxtG"/>
        <w:keepNext/>
        <w:ind w:left="2268" w:hanging="1134"/>
        <w:rPr>
          <w:lang w:val="fr-FR"/>
        </w:rPr>
      </w:pPr>
      <w:r w:rsidRPr="00A779B8">
        <w:rPr>
          <w:lang w:val="fr-FR"/>
        </w:rPr>
        <w:lastRenderedPageBreak/>
        <w:t>3.1.4</w:t>
      </w:r>
      <w:r w:rsidRPr="00A779B8">
        <w:rPr>
          <w:lang w:val="fr-FR"/>
        </w:rPr>
        <w:tab/>
      </w:r>
      <w:r w:rsidRPr="00A779B8">
        <w:rPr>
          <w:lang w:val="fr-FR"/>
        </w:rPr>
        <w:tab/>
        <w:t>Dans le cas des véhicules à GPK ou GN/</w:t>
      </w:r>
      <w:proofErr w:type="spellStart"/>
      <w:r w:rsidRPr="00A779B8">
        <w:rPr>
          <w:lang w:val="fr-FR"/>
        </w:rPr>
        <w:t>biométhane</w:t>
      </w:r>
      <w:proofErr w:type="spellEnd"/>
      <w:r w:rsidRPr="00A779B8">
        <w:rPr>
          <w:lang w:val="fr-FR"/>
        </w:rPr>
        <w:t>, le rapport des résultats d</w:t>
      </w:r>
      <w:r w:rsidR="00DB4C2D">
        <w:rPr>
          <w:lang w:val="fr-FR"/>
        </w:rPr>
        <w:t>’</w:t>
      </w:r>
      <w:r w:rsidRPr="00A779B8">
        <w:rPr>
          <w:lang w:val="fr-FR"/>
        </w:rPr>
        <w:t xml:space="preserve">émission «r» doit être déterminé pour chaque </w:t>
      </w:r>
      <w:r>
        <w:rPr>
          <w:lang w:val="fr-FR"/>
        </w:rPr>
        <w:t>polluant de la manière suivante: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35"/>
        <w:gridCol w:w="2835"/>
        <w:gridCol w:w="1701"/>
      </w:tblGrid>
      <w:tr w:rsidR="00CB2B89" w:rsidRPr="00A779B8" w:rsidTr="00DB4C2D">
        <w:tblPrEx>
          <w:tblCellMar>
            <w:top w:w="0" w:type="dxa"/>
            <w:bottom w:w="0" w:type="dxa"/>
          </w:tblCellMar>
        </w:tblPrEx>
        <w:trPr>
          <w:tblHeader/>
        </w:trPr>
        <w:tc>
          <w:tcPr>
            <w:tcW w:w="2835" w:type="dxa"/>
            <w:vAlign w:val="center"/>
          </w:tcPr>
          <w:p w:rsidR="00CB2B89" w:rsidRPr="00A779B8" w:rsidRDefault="00CB2B89" w:rsidP="00DB4C2D">
            <w:pPr>
              <w:keepNext/>
              <w:spacing w:before="60" w:after="60" w:line="200" w:lineRule="exact"/>
              <w:jc w:val="center"/>
              <w:rPr>
                <w:i/>
                <w:sz w:val="16"/>
                <w:szCs w:val="16"/>
                <w:lang w:val="fr-FR"/>
              </w:rPr>
            </w:pPr>
            <w:r w:rsidRPr="00A779B8">
              <w:rPr>
                <w:i/>
                <w:sz w:val="16"/>
                <w:szCs w:val="16"/>
                <w:lang w:val="fr-FR"/>
              </w:rPr>
              <w:t>Type(s) de carburant</w:t>
            </w:r>
          </w:p>
        </w:tc>
        <w:tc>
          <w:tcPr>
            <w:tcW w:w="2835" w:type="dxa"/>
            <w:vAlign w:val="center"/>
          </w:tcPr>
          <w:p w:rsidR="00CB2B89" w:rsidRPr="00A779B8" w:rsidRDefault="00CB2B89" w:rsidP="00DB4C2D">
            <w:pPr>
              <w:keepNext/>
              <w:spacing w:before="60" w:after="60" w:line="200" w:lineRule="exact"/>
              <w:jc w:val="center"/>
              <w:rPr>
                <w:i/>
                <w:sz w:val="16"/>
                <w:szCs w:val="16"/>
                <w:lang w:val="fr-FR"/>
              </w:rPr>
            </w:pPr>
            <w:r w:rsidRPr="00A779B8">
              <w:rPr>
                <w:i/>
                <w:sz w:val="16"/>
                <w:szCs w:val="16"/>
                <w:lang w:val="fr-FR"/>
              </w:rPr>
              <w:t>Carburants de référence</w:t>
            </w:r>
          </w:p>
        </w:tc>
        <w:tc>
          <w:tcPr>
            <w:tcW w:w="1701" w:type="dxa"/>
            <w:vAlign w:val="center"/>
          </w:tcPr>
          <w:p w:rsidR="00CB2B89" w:rsidRPr="00A779B8" w:rsidRDefault="00CB2B89" w:rsidP="00DB4C2D">
            <w:pPr>
              <w:keepNext/>
              <w:spacing w:before="60" w:after="60" w:line="200" w:lineRule="exact"/>
              <w:jc w:val="center"/>
              <w:rPr>
                <w:i/>
                <w:sz w:val="16"/>
                <w:szCs w:val="16"/>
                <w:lang w:val="fr-FR"/>
              </w:rPr>
            </w:pPr>
            <w:r w:rsidRPr="00A779B8">
              <w:rPr>
                <w:i/>
                <w:sz w:val="16"/>
                <w:szCs w:val="16"/>
                <w:lang w:val="fr-FR"/>
              </w:rPr>
              <w:t>Calcul de «r»</w:t>
            </w:r>
          </w:p>
        </w:tc>
      </w:tr>
      <w:tr w:rsidR="00CB2B89" w:rsidRPr="00A779B8" w:rsidTr="00DB4C2D">
        <w:tblPrEx>
          <w:tblCellMar>
            <w:top w:w="0" w:type="dxa"/>
            <w:bottom w:w="0" w:type="dxa"/>
          </w:tblCellMar>
        </w:tblPrEx>
        <w:tc>
          <w:tcPr>
            <w:tcW w:w="2835" w:type="dxa"/>
          </w:tcPr>
          <w:p w:rsidR="00CB2B89" w:rsidRPr="00A779B8" w:rsidRDefault="00CB2B89" w:rsidP="00DB4C2D">
            <w:pPr>
              <w:keepNext/>
              <w:spacing w:before="60" w:after="60" w:line="220" w:lineRule="atLeast"/>
              <w:rPr>
                <w:sz w:val="18"/>
                <w:szCs w:val="18"/>
                <w:lang w:val="fr-FR"/>
              </w:rPr>
            </w:pPr>
            <w:r w:rsidRPr="00A779B8">
              <w:rPr>
                <w:sz w:val="18"/>
                <w:szCs w:val="18"/>
                <w:lang w:val="fr-FR"/>
              </w:rPr>
              <w:t>GPL et essence (homologation B)</w:t>
            </w:r>
          </w:p>
        </w:tc>
        <w:tc>
          <w:tcPr>
            <w:tcW w:w="2835" w:type="dxa"/>
          </w:tcPr>
          <w:p w:rsidR="00CB2B89" w:rsidRPr="00A779B8" w:rsidRDefault="00CB2B89" w:rsidP="00DB4C2D">
            <w:pPr>
              <w:keepNext/>
              <w:spacing w:before="60" w:after="60" w:line="220" w:lineRule="atLeast"/>
              <w:rPr>
                <w:sz w:val="18"/>
                <w:szCs w:val="18"/>
                <w:lang w:val="fr-FR"/>
              </w:rPr>
            </w:pPr>
            <w:r w:rsidRPr="00A779B8">
              <w:rPr>
                <w:sz w:val="18"/>
                <w:szCs w:val="18"/>
                <w:lang w:val="fr-FR"/>
              </w:rPr>
              <w:t>Carburant A</w:t>
            </w:r>
          </w:p>
        </w:tc>
        <w:tc>
          <w:tcPr>
            <w:tcW w:w="1701" w:type="dxa"/>
            <w:vMerge w:val="restart"/>
            <w:vAlign w:val="center"/>
          </w:tcPr>
          <w:p w:rsidR="00CB2B89" w:rsidRPr="00A779B8" w:rsidRDefault="00CB2B89" w:rsidP="00DB4C2D">
            <w:pPr>
              <w:keepNext/>
              <w:spacing w:before="60" w:after="60" w:line="220" w:lineRule="atLeast"/>
              <w:jc w:val="center"/>
              <w:rPr>
                <w:sz w:val="18"/>
                <w:szCs w:val="18"/>
                <w:lang w:val="fr-FR"/>
              </w:rPr>
            </w:pPr>
            <w:r w:rsidRPr="00A779B8">
              <w:rPr>
                <w:position w:val="-20"/>
                <w:sz w:val="18"/>
                <w:szCs w:val="18"/>
                <w:lang w:val="fr-FR"/>
              </w:rPr>
              <w:object w:dxaOrig="499" w:dyaOrig="520">
                <v:shape id="_x0000_i1128" type="#_x0000_t75" style="width:25.15pt;height:25.8pt" o:ole="">
                  <v:imagedata r:id="rId270" o:title=""/>
                </v:shape>
                <o:OLEObject Type="Embed" ProgID="Equation.3" ShapeID="_x0000_i1128" DrawAspect="Content" ObjectID="_1490178472" r:id="rId271"/>
              </w:object>
            </w:r>
          </w:p>
        </w:tc>
      </w:tr>
      <w:tr w:rsidR="00CB2B89" w:rsidRPr="00A779B8" w:rsidTr="00DB4C2D">
        <w:tblPrEx>
          <w:tblCellMar>
            <w:top w:w="0" w:type="dxa"/>
            <w:bottom w:w="0" w:type="dxa"/>
          </w:tblCellMar>
        </w:tblPrEx>
        <w:tc>
          <w:tcPr>
            <w:tcW w:w="2835" w:type="dxa"/>
          </w:tcPr>
          <w:p w:rsidR="00CB2B89" w:rsidRPr="00A779B8" w:rsidRDefault="00CB2B89" w:rsidP="00DB4C2D">
            <w:pPr>
              <w:keepNext/>
              <w:spacing w:before="60" w:after="60" w:line="220" w:lineRule="atLeast"/>
              <w:rPr>
                <w:spacing w:val="-2"/>
                <w:sz w:val="18"/>
                <w:szCs w:val="18"/>
                <w:lang w:val="fr-FR"/>
              </w:rPr>
            </w:pPr>
            <w:r w:rsidRPr="00A779B8">
              <w:rPr>
                <w:spacing w:val="-2"/>
                <w:sz w:val="18"/>
                <w:szCs w:val="18"/>
                <w:lang w:val="fr-FR"/>
              </w:rPr>
              <w:t>ou GPL seulement (homologation D)</w:t>
            </w:r>
          </w:p>
        </w:tc>
        <w:tc>
          <w:tcPr>
            <w:tcW w:w="2835" w:type="dxa"/>
          </w:tcPr>
          <w:p w:rsidR="00CB2B89" w:rsidRPr="00A779B8" w:rsidRDefault="00CB2B89" w:rsidP="00DB4C2D">
            <w:pPr>
              <w:keepNext/>
              <w:spacing w:before="60" w:after="60" w:line="220" w:lineRule="atLeast"/>
              <w:rPr>
                <w:sz w:val="18"/>
                <w:szCs w:val="18"/>
                <w:lang w:val="fr-FR"/>
              </w:rPr>
            </w:pPr>
            <w:r w:rsidRPr="00A779B8">
              <w:rPr>
                <w:sz w:val="18"/>
                <w:szCs w:val="18"/>
                <w:lang w:val="fr-FR"/>
              </w:rPr>
              <w:t>Carburant B</w:t>
            </w:r>
          </w:p>
        </w:tc>
        <w:tc>
          <w:tcPr>
            <w:tcW w:w="1701" w:type="dxa"/>
            <w:vMerge/>
            <w:vAlign w:val="bottom"/>
          </w:tcPr>
          <w:p w:rsidR="00CB2B89" w:rsidRPr="00A779B8" w:rsidRDefault="00CB2B89" w:rsidP="00DB4C2D">
            <w:pPr>
              <w:keepNext/>
              <w:spacing w:before="60" w:after="60" w:line="220" w:lineRule="atLeast"/>
              <w:rPr>
                <w:sz w:val="18"/>
                <w:szCs w:val="18"/>
                <w:lang w:val="fr-FR"/>
              </w:rPr>
            </w:pPr>
          </w:p>
        </w:tc>
      </w:tr>
      <w:tr w:rsidR="00CB2B89" w:rsidRPr="00A779B8" w:rsidTr="00DB4C2D">
        <w:tblPrEx>
          <w:tblCellMar>
            <w:top w:w="0" w:type="dxa"/>
            <w:bottom w:w="0" w:type="dxa"/>
          </w:tblCellMar>
        </w:tblPrEx>
        <w:tc>
          <w:tcPr>
            <w:tcW w:w="2835" w:type="dxa"/>
          </w:tcPr>
          <w:p w:rsidR="00CB2B89" w:rsidRPr="00A779B8" w:rsidRDefault="00CB2B89" w:rsidP="00DB4C2D">
            <w:pPr>
              <w:keepNext/>
              <w:spacing w:before="60" w:after="60" w:line="220" w:lineRule="atLeast"/>
              <w:rPr>
                <w:sz w:val="18"/>
                <w:szCs w:val="18"/>
                <w:lang w:val="fr-FR"/>
              </w:rPr>
            </w:pPr>
            <w:r w:rsidRPr="00A779B8">
              <w:rPr>
                <w:sz w:val="18"/>
                <w:szCs w:val="18"/>
                <w:lang w:val="fr-FR"/>
              </w:rPr>
              <w:t>GN/</w:t>
            </w:r>
            <w:proofErr w:type="spellStart"/>
            <w:r w:rsidRPr="00A779B8">
              <w:rPr>
                <w:sz w:val="18"/>
                <w:szCs w:val="18"/>
                <w:lang w:val="fr-FR"/>
              </w:rPr>
              <w:t>biométhane</w:t>
            </w:r>
            <w:proofErr w:type="spellEnd"/>
            <w:r w:rsidRPr="00A779B8">
              <w:rPr>
                <w:sz w:val="18"/>
                <w:szCs w:val="18"/>
                <w:lang w:val="fr-FR"/>
              </w:rPr>
              <w:t xml:space="preserve"> et essence (homologation B)</w:t>
            </w:r>
          </w:p>
        </w:tc>
        <w:tc>
          <w:tcPr>
            <w:tcW w:w="2835" w:type="dxa"/>
          </w:tcPr>
          <w:p w:rsidR="00CB2B89" w:rsidRPr="00A779B8" w:rsidRDefault="00CB2B89" w:rsidP="00DB4C2D">
            <w:pPr>
              <w:keepNext/>
              <w:spacing w:before="60" w:after="60" w:line="220" w:lineRule="atLeast"/>
              <w:rPr>
                <w:sz w:val="18"/>
                <w:szCs w:val="18"/>
                <w:lang w:val="fr-FR"/>
              </w:rPr>
            </w:pPr>
            <w:r w:rsidRPr="00A779B8">
              <w:rPr>
                <w:sz w:val="18"/>
                <w:szCs w:val="18"/>
                <w:lang w:val="fr-FR"/>
              </w:rPr>
              <w:t>Carburant G20</w:t>
            </w:r>
          </w:p>
        </w:tc>
        <w:tc>
          <w:tcPr>
            <w:tcW w:w="1701" w:type="dxa"/>
            <w:vMerge w:val="restart"/>
            <w:vAlign w:val="center"/>
          </w:tcPr>
          <w:p w:rsidR="00CB2B89" w:rsidRPr="00A779B8" w:rsidRDefault="00CB2B89" w:rsidP="00DB4C2D">
            <w:pPr>
              <w:keepNext/>
              <w:spacing w:before="60" w:after="60" w:line="220" w:lineRule="atLeast"/>
              <w:jc w:val="center"/>
              <w:rPr>
                <w:sz w:val="18"/>
                <w:szCs w:val="18"/>
                <w:lang w:val="fr-FR"/>
              </w:rPr>
            </w:pPr>
            <w:r w:rsidRPr="00A779B8">
              <w:rPr>
                <w:position w:val="-20"/>
                <w:sz w:val="18"/>
                <w:szCs w:val="18"/>
                <w:lang w:val="fr-FR"/>
              </w:rPr>
              <w:object w:dxaOrig="740" w:dyaOrig="520">
                <v:shape id="_x0000_i1129" type="#_x0000_t75" style="width:36.7pt;height:25.8pt" o:ole="">
                  <v:imagedata r:id="rId272" o:title=""/>
                </v:shape>
                <o:OLEObject Type="Embed" ProgID="Equation.3" ShapeID="_x0000_i1129" DrawAspect="Content" ObjectID="_1490178473" r:id="rId273"/>
              </w:object>
            </w:r>
          </w:p>
        </w:tc>
      </w:tr>
      <w:tr w:rsidR="00CB2B89" w:rsidRPr="00A779B8" w:rsidTr="00DB4C2D">
        <w:tblPrEx>
          <w:tblCellMar>
            <w:top w:w="0" w:type="dxa"/>
            <w:bottom w:w="0" w:type="dxa"/>
          </w:tblCellMar>
        </w:tblPrEx>
        <w:tc>
          <w:tcPr>
            <w:tcW w:w="2835" w:type="dxa"/>
          </w:tcPr>
          <w:p w:rsidR="00CB2B89" w:rsidRPr="00A779B8" w:rsidRDefault="00CB2B89" w:rsidP="00DB4C2D">
            <w:pPr>
              <w:keepNext/>
              <w:spacing w:before="60" w:after="60" w:line="220" w:lineRule="atLeast"/>
              <w:rPr>
                <w:sz w:val="18"/>
                <w:szCs w:val="18"/>
                <w:lang w:val="fr-FR"/>
              </w:rPr>
            </w:pPr>
            <w:r w:rsidRPr="00A779B8">
              <w:rPr>
                <w:sz w:val="18"/>
                <w:szCs w:val="18"/>
                <w:lang w:val="fr-FR"/>
              </w:rPr>
              <w:t>ou GN/</w:t>
            </w:r>
            <w:proofErr w:type="spellStart"/>
            <w:r w:rsidRPr="00A779B8">
              <w:rPr>
                <w:sz w:val="18"/>
                <w:szCs w:val="18"/>
                <w:lang w:val="fr-FR"/>
              </w:rPr>
              <w:t>biométhane</w:t>
            </w:r>
            <w:proofErr w:type="spellEnd"/>
            <w:r w:rsidRPr="00A779B8">
              <w:rPr>
                <w:sz w:val="18"/>
                <w:szCs w:val="18"/>
                <w:lang w:val="fr-FR"/>
              </w:rPr>
              <w:t xml:space="preserve"> seulement (homologation D)</w:t>
            </w:r>
          </w:p>
        </w:tc>
        <w:tc>
          <w:tcPr>
            <w:tcW w:w="2835" w:type="dxa"/>
          </w:tcPr>
          <w:p w:rsidR="00CB2B89" w:rsidRPr="00A779B8" w:rsidRDefault="00CB2B89" w:rsidP="00DB4C2D">
            <w:pPr>
              <w:keepNext/>
              <w:spacing w:before="60" w:after="60" w:line="220" w:lineRule="atLeast"/>
              <w:rPr>
                <w:sz w:val="18"/>
                <w:szCs w:val="18"/>
                <w:lang w:val="fr-FR"/>
              </w:rPr>
            </w:pPr>
            <w:r w:rsidRPr="00A779B8">
              <w:rPr>
                <w:sz w:val="18"/>
                <w:szCs w:val="18"/>
                <w:lang w:val="fr-FR"/>
              </w:rPr>
              <w:t>Carburant G25</w:t>
            </w:r>
          </w:p>
        </w:tc>
        <w:tc>
          <w:tcPr>
            <w:tcW w:w="1701" w:type="dxa"/>
            <w:vMerge/>
            <w:vAlign w:val="bottom"/>
          </w:tcPr>
          <w:p w:rsidR="00CB2B89" w:rsidRPr="00A779B8" w:rsidRDefault="00CB2B89" w:rsidP="00DB4C2D">
            <w:pPr>
              <w:keepNext/>
              <w:spacing w:before="60" w:after="60" w:line="220" w:lineRule="atLeast"/>
              <w:rPr>
                <w:sz w:val="18"/>
                <w:szCs w:val="18"/>
                <w:lang w:val="fr-FR"/>
              </w:rPr>
            </w:pPr>
          </w:p>
        </w:tc>
      </w:tr>
    </w:tbl>
    <w:p w:rsidR="00CB2B89" w:rsidRPr="00A779B8" w:rsidRDefault="00CB2B89" w:rsidP="00CB2B89">
      <w:pPr>
        <w:pStyle w:val="SingleTxtG"/>
        <w:keepNext/>
        <w:spacing w:before="240"/>
        <w:ind w:left="2268" w:hanging="1134"/>
        <w:jc w:val="left"/>
        <w:rPr>
          <w:lang w:val="fr-FR"/>
        </w:rPr>
      </w:pPr>
      <w:r w:rsidRPr="00A779B8">
        <w:rPr>
          <w:lang w:val="fr-FR"/>
        </w:rPr>
        <w:t>3.2</w:t>
      </w:r>
      <w:r w:rsidRPr="00A779B8">
        <w:rPr>
          <w:lang w:val="fr-FR"/>
        </w:rPr>
        <w:tab/>
      </w:r>
      <w:r w:rsidRPr="00A779B8">
        <w:rPr>
          <w:lang w:val="fr-FR"/>
        </w:rPr>
        <w:tab/>
        <w:t>Émissions à l</w:t>
      </w:r>
      <w:r w:rsidR="00DB4C2D">
        <w:rPr>
          <w:lang w:val="fr-FR"/>
        </w:rPr>
        <w:t>’</w:t>
      </w:r>
      <w:r w:rsidRPr="00A779B8">
        <w:rPr>
          <w:lang w:val="fr-FR"/>
        </w:rPr>
        <w:t>échappement d</w:t>
      </w:r>
      <w:r w:rsidR="00DB4C2D">
        <w:rPr>
          <w:lang w:val="fr-FR"/>
        </w:rPr>
        <w:t>’</w:t>
      </w:r>
      <w:r w:rsidRPr="00A779B8">
        <w:rPr>
          <w:lang w:val="fr-FR"/>
        </w:rPr>
        <w:t>un membre de la famille:</w:t>
      </w:r>
    </w:p>
    <w:p w:rsidR="00CB2B89" w:rsidRPr="00A779B8" w:rsidRDefault="00CB2B89" w:rsidP="00CB2B89">
      <w:pPr>
        <w:pStyle w:val="SingleTxtG"/>
        <w:ind w:left="2268"/>
        <w:rPr>
          <w:lang w:val="fr-FR"/>
        </w:rPr>
      </w:pPr>
      <w:r w:rsidRPr="00A779B8">
        <w:rPr>
          <w:lang w:val="fr-FR"/>
        </w:rPr>
        <w:tab/>
        <w:t>Pour l</w:t>
      </w:r>
      <w:r w:rsidR="00DB4C2D">
        <w:rPr>
          <w:lang w:val="fr-FR"/>
        </w:rPr>
        <w:t>’</w:t>
      </w:r>
      <w:r w:rsidRPr="00A779B8">
        <w:rPr>
          <w:lang w:val="fr-FR"/>
        </w:rPr>
        <w:t>homologation de type d</w:t>
      </w:r>
      <w:r w:rsidR="00DB4C2D">
        <w:rPr>
          <w:lang w:val="fr-FR"/>
        </w:rPr>
        <w:t>’</w:t>
      </w:r>
      <w:r w:rsidRPr="00A779B8">
        <w:rPr>
          <w:lang w:val="fr-FR"/>
        </w:rPr>
        <w:t xml:space="preserve">un véhicule </w:t>
      </w:r>
      <w:proofErr w:type="spellStart"/>
      <w:r w:rsidRPr="00A779B8">
        <w:rPr>
          <w:lang w:val="fr-FR"/>
        </w:rPr>
        <w:t>monocarburant</w:t>
      </w:r>
      <w:proofErr w:type="spellEnd"/>
      <w:r w:rsidRPr="00A779B8">
        <w:rPr>
          <w:lang w:val="fr-FR"/>
        </w:rPr>
        <w:t xml:space="preserve"> et de véhicules </w:t>
      </w:r>
      <w:proofErr w:type="spellStart"/>
      <w:r w:rsidRPr="00A779B8">
        <w:rPr>
          <w:lang w:val="fr-FR"/>
        </w:rPr>
        <w:t>bicarburant</w:t>
      </w:r>
      <w:proofErr w:type="spellEnd"/>
      <w:r w:rsidRPr="00A779B8">
        <w:rPr>
          <w:lang w:val="fr-FR"/>
        </w:rPr>
        <w:t xml:space="preserve"> fonctionnant en mode gaz, en tant que membres de la famille, un essai du type I doit être exécuté avec un carburant de référence à gaz. Il peut s</w:t>
      </w:r>
      <w:r w:rsidR="00DB4C2D">
        <w:rPr>
          <w:lang w:val="fr-FR"/>
        </w:rPr>
        <w:t>’</w:t>
      </w:r>
      <w:r w:rsidRPr="00A779B8">
        <w:rPr>
          <w:lang w:val="fr-FR"/>
        </w:rPr>
        <w:t>agir de l</w:t>
      </w:r>
      <w:r w:rsidR="00DB4C2D">
        <w:rPr>
          <w:lang w:val="fr-FR"/>
        </w:rPr>
        <w:t>’</w:t>
      </w:r>
      <w:r w:rsidRPr="00A779B8">
        <w:rPr>
          <w:lang w:val="fr-FR"/>
        </w:rPr>
        <w:t>un ou de l</w:t>
      </w:r>
      <w:r w:rsidR="00DB4C2D">
        <w:rPr>
          <w:lang w:val="fr-FR"/>
        </w:rPr>
        <w:t>’</w:t>
      </w:r>
      <w:r w:rsidRPr="00A779B8">
        <w:rPr>
          <w:lang w:val="fr-FR"/>
        </w:rPr>
        <w:t>autre des deux carburants de référence. Le véhicule est considéré conforme si les conditions suivantes sont remplies.</w:t>
      </w:r>
    </w:p>
    <w:p w:rsidR="00CB2B89" w:rsidRPr="00A779B8" w:rsidRDefault="00CB2B89" w:rsidP="00CB2B89">
      <w:pPr>
        <w:pStyle w:val="SingleTxtG"/>
        <w:ind w:left="2268" w:hanging="1134"/>
        <w:rPr>
          <w:lang w:val="fr-FR"/>
        </w:rPr>
      </w:pPr>
      <w:r w:rsidRPr="00A779B8">
        <w:rPr>
          <w:lang w:val="fr-FR"/>
        </w:rPr>
        <w:t>3.2.1</w:t>
      </w:r>
      <w:r w:rsidRPr="00A779B8">
        <w:rPr>
          <w:lang w:val="fr-FR"/>
        </w:rPr>
        <w:tab/>
        <w:t>Le véhicule est conforme à la définition d</w:t>
      </w:r>
      <w:r w:rsidR="00DB4C2D">
        <w:rPr>
          <w:lang w:val="fr-FR"/>
        </w:rPr>
        <w:t>’</w:t>
      </w:r>
      <w:r w:rsidRPr="00A779B8">
        <w:rPr>
          <w:lang w:val="fr-FR"/>
        </w:rPr>
        <w:t>un membre d</w:t>
      </w:r>
      <w:r w:rsidR="00DB4C2D">
        <w:rPr>
          <w:lang w:val="fr-FR"/>
        </w:rPr>
        <w:t>’</w:t>
      </w:r>
      <w:r w:rsidRPr="00A779B8">
        <w:rPr>
          <w:lang w:val="fr-FR"/>
        </w:rPr>
        <w:t>une famille donnée au paragraphe 2.3 de la présente annexe.</w:t>
      </w:r>
    </w:p>
    <w:p w:rsidR="00CB2B89" w:rsidRPr="00A779B8" w:rsidRDefault="00CB2B89" w:rsidP="00CB2B89">
      <w:pPr>
        <w:pStyle w:val="SingleTxtG"/>
        <w:ind w:left="2268" w:hanging="1134"/>
        <w:rPr>
          <w:lang w:val="fr-FR"/>
        </w:rPr>
      </w:pPr>
      <w:r w:rsidRPr="00A779B8">
        <w:rPr>
          <w:lang w:val="fr-FR"/>
        </w:rPr>
        <w:t>3.2.2</w:t>
      </w:r>
      <w:r w:rsidRPr="00A779B8">
        <w:rPr>
          <w:lang w:val="fr-FR"/>
        </w:rPr>
        <w:tab/>
        <w:t>Si le carburant de référence est le carburant A pour le GPL ou le G</w:t>
      </w:r>
      <w:r w:rsidRPr="008F40B6">
        <w:rPr>
          <w:vertAlign w:val="subscript"/>
          <w:lang w:val="fr-FR"/>
        </w:rPr>
        <w:t>20</w:t>
      </w:r>
      <w:r w:rsidRPr="00A779B8">
        <w:rPr>
          <w:lang w:val="fr-FR"/>
        </w:rPr>
        <w:t xml:space="preserve"> pour le GN/</w:t>
      </w:r>
      <w:proofErr w:type="spellStart"/>
      <w:r w:rsidRPr="00A779B8">
        <w:rPr>
          <w:lang w:val="fr-FR"/>
        </w:rPr>
        <w:t>biométhane</w:t>
      </w:r>
      <w:proofErr w:type="spellEnd"/>
      <w:r w:rsidRPr="00A779B8">
        <w:rPr>
          <w:lang w:val="fr-FR"/>
        </w:rPr>
        <w:t>, les résultats d</w:t>
      </w:r>
      <w:r w:rsidR="00DB4C2D">
        <w:rPr>
          <w:lang w:val="fr-FR"/>
        </w:rPr>
        <w:t>’</w:t>
      </w:r>
      <w:r w:rsidRPr="00A779B8">
        <w:rPr>
          <w:lang w:val="fr-FR"/>
        </w:rPr>
        <w:t>émission pour chaque polluant doivent être multipliés par le coefficient «r» pertinent calculé selon le paragraphe 3.1.4 de la présente annexe si r &gt; 1; lorsque r &lt; 1, aucune correction n</w:t>
      </w:r>
      <w:r w:rsidR="00DB4C2D">
        <w:rPr>
          <w:lang w:val="fr-FR"/>
        </w:rPr>
        <w:t>’</w:t>
      </w:r>
      <w:r w:rsidRPr="00A779B8">
        <w:rPr>
          <w:lang w:val="fr-FR"/>
        </w:rPr>
        <w:t>est nécessaire;</w:t>
      </w:r>
    </w:p>
    <w:p w:rsidR="00CB2B89" w:rsidRPr="00A779B8" w:rsidRDefault="00CB2B89" w:rsidP="00CB2B89">
      <w:pPr>
        <w:pStyle w:val="SingleTxtG"/>
        <w:keepLines/>
        <w:spacing w:after="100"/>
        <w:ind w:left="2268" w:hanging="1134"/>
        <w:rPr>
          <w:lang w:val="fr-FR"/>
        </w:rPr>
      </w:pPr>
      <w:r w:rsidRPr="00A779B8">
        <w:rPr>
          <w:lang w:val="fr-FR"/>
        </w:rPr>
        <w:t>3.2.3</w:t>
      </w:r>
      <w:r w:rsidRPr="00A779B8">
        <w:rPr>
          <w:lang w:val="fr-FR"/>
        </w:rPr>
        <w:tab/>
        <w:t>Si le carburant d</w:t>
      </w:r>
      <w:r w:rsidR="00DB4C2D">
        <w:rPr>
          <w:lang w:val="fr-FR"/>
        </w:rPr>
        <w:t>’</w:t>
      </w:r>
      <w:r w:rsidRPr="00A779B8">
        <w:rPr>
          <w:lang w:val="fr-FR"/>
        </w:rPr>
        <w:t>essai est le carburant de référence B pour le GPL ou G</w:t>
      </w:r>
      <w:r w:rsidRPr="008F40B6">
        <w:rPr>
          <w:vertAlign w:val="subscript"/>
          <w:lang w:val="fr-FR"/>
        </w:rPr>
        <w:t>25</w:t>
      </w:r>
      <w:r w:rsidRPr="00A779B8">
        <w:rPr>
          <w:lang w:val="fr-FR"/>
        </w:rPr>
        <w:t xml:space="preserve"> pour le GN/</w:t>
      </w:r>
      <w:proofErr w:type="spellStart"/>
      <w:r w:rsidRPr="00A779B8">
        <w:rPr>
          <w:lang w:val="fr-FR"/>
        </w:rPr>
        <w:t>biométhane</w:t>
      </w:r>
      <w:proofErr w:type="spellEnd"/>
      <w:r w:rsidRPr="00A779B8">
        <w:rPr>
          <w:lang w:val="fr-FR"/>
        </w:rPr>
        <w:t>, les résultats d</w:t>
      </w:r>
      <w:r w:rsidR="00DB4C2D">
        <w:rPr>
          <w:lang w:val="fr-FR"/>
        </w:rPr>
        <w:t>’</w:t>
      </w:r>
      <w:r w:rsidRPr="00A779B8">
        <w:rPr>
          <w:lang w:val="fr-FR"/>
        </w:rPr>
        <w:t>émission pour chaque polluant doivent être divisés par le coefficient «r» pertinent calculé selon le paragraphe 3.1.4 de la présente annexe si r &lt; 1; lorsque r &gt; 1, aucune correction n</w:t>
      </w:r>
      <w:r w:rsidR="00DB4C2D">
        <w:rPr>
          <w:lang w:val="fr-FR"/>
        </w:rPr>
        <w:t>’</w:t>
      </w:r>
      <w:r w:rsidRPr="00A779B8">
        <w:rPr>
          <w:lang w:val="fr-FR"/>
        </w:rPr>
        <w:t>est nécessaire.</w:t>
      </w:r>
    </w:p>
    <w:p w:rsidR="00CB2B89" w:rsidRPr="00A779B8" w:rsidRDefault="00CB2B89" w:rsidP="00CB2B89">
      <w:pPr>
        <w:pStyle w:val="SingleTxtG"/>
        <w:spacing w:after="100"/>
        <w:ind w:left="2268" w:hanging="1134"/>
        <w:rPr>
          <w:lang w:val="fr-FR"/>
        </w:rPr>
      </w:pPr>
      <w:r w:rsidRPr="00A779B8">
        <w:rPr>
          <w:lang w:val="fr-FR"/>
        </w:rPr>
        <w:t>3.2.4</w:t>
      </w:r>
      <w:r w:rsidRPr="00A779B8">
        <w:rPr>
          <w:lang w:val="fr-FR"/>
        </w:rPr>
        <w:tab/>
        <w:t>À la demande du constructeur, l</w:t>
      </w:r>
      <w:r w:rsidR="00DB4C2D">
        <w:rPr>
          <w:lang w:val="fr-FR"/>
        </w:rPr>
        <w:t>’</w:t>
      </w:r>
      <w:r w:rsidRPr="00A779B8">
        <w:rPr>
          <w:lang w:val="fr-FR"/>
        </w:rPr>
        <w:t>essai du type I peut être exécuté sur les deux carburants de référence de façon qu</w:t>
      </w:r>
      <w:r w:rsidR="00DB4C2D">
        <w:rPr>
          <w:lang w:val="fr-FR"/>
        </w:rPr>
        <w:t>’</w:t>
      </w:r>
      <w:r w:rsidRPr="00A779B8">
        <w:rPr>
          <w:lang w:val="fr-FR"/>
        </w:rPr>
        <w:t>aucune correction ne soit nécessaire.</w:t>
      </w:r>
    </w:p>
    <w:p w:rsidR="00CB2B89" w:rsidRPr="00A779B8" w:rsidRDefault="00CB2B89" w:rsidP="00CB2B89">
      <w:pPr>
        <w:pStyle w:val="SingleTxtG"/>
        <w:spacing w:after="100"/>
        <w:ind w:left="2268" w:hanging="1134"/>
        <w:rPr>
          <w:lang w:val="fr-FR"/>
        </w:rPr>
      </w:pPr>
      <w:r w:rsidRPr="00A779B8">
        <w:rPr>
          <w:lang w:val="fr-FR"/>
        </w:rPr>
        <w:t>3.2.5</w:t>
      </w:r>
      <w:r w:rsidRPr="00A779B8">
        <w:rPr>
          <w:lang w:val="fr-FR"/>
        </w:rPr>
        <w:tab/>
        <w:t>Le véhicule doit respecter les limites d</w:t>
      </w:r>
      <w:r w:rsidR="00DB4C2D">
        <w:rPr>
          <w:lang w:val="fr-FR"/>
        </w:rPr>
        <w:t>’</w:t>
      </w:r>
      <w:r w:rsidRPr="00A779B8">
        <w:rPr>
          <w:lang w:val="fr-FR"/>
        </w:rPr>
        <w:t>émission applicables à la catégorie concernée à la fois pour les émissions mesurées et pour les émissions calculées.</w:t>
      </w:r>
    </w:p>
    <w:p w:rsidR="00CB2B89" w:rsidRPr="00A779B8" w:rsidRDefault="00CB2B89" w:rsidP="00CB2B89">
      <w:pPr>
        <w:pStyle w:val="SingleTxtG"/>
        <w:spacing w:after="100"/>
        <w:ind w:left="2268" w:hanging="1134"/>
        <w:rPr>
          <w:lang w:val="fr-FR"/>
        </w:rPr>
      </w:pPr>
      <w:r w:rsidRPr="00A779B8">
        <w:rPr>
          <w:lang w:val="fr-FR"/>
        </w:rPr>
        <w:t>3.2.6</w:t>
      </w:r>
      <w:r w:rsidRPr="00A779B8">
        <w:rPr>
          <w:lang w:val="fr-FR"/>
        </w:rPr>
        <w:tab/>
        <w:t>Si plusieurs essais sont réalisés sur le même moteur, les résultats obtenus avec le carburant de référence G</w:t>
      </w:r>
      <w:r w:rsidRPr="008F40B6">
        <w:rPr>
          <w:vertAlign w:val="subscript"/>
          <w:lang w:val="fr-FR"/>
        </w:rPr>
        <w:t>20</w:t>
      </w:r>
      <w:r w:rsidRPr="00A779B8">
        <w:rPr>
          <w:lang w:val="fr-FR"/>
        </w:rPr>
        <w:t>, ou A, et ceux obtenus avec le carburant de référence G</w:t>
      </w:r>
      <w:r w:rsidRPr="008F40B6">
        <w:rPr>
          <w:vertAlign w:val="subscript"/>
          <w:lang w:val="fr-FR"/>
        </w:rPr>
        <w:t>25</w:t>
      </w:r>
      <w:r w:rsidRPr="00A779B8">
        <w:rPr>
          <w:lang w:val="fr-FR"/>
        </w:rPr>
        <w:t>, ou B, doivent d</w:t>
      </w:r>
      <w:r w:rsidR="00DB4C2D">
        <w:rPr>
          <w:lang w:val="fr-FR"/>
        </w:rPr>
        <w:t>’</w:t>
      </w:r>
      <w:r w:rsidRPr="00A779B8">
        <w:rPr>
          <w:lang w:val="fr-FR"/>
        </w:rPr>
        <w:t>abord être moyennés; le coefficient «r» doit alors être calculé à partir de ces moyennes.</w:t>
      </w:r>
    </w:p>
    <w:p w:rsidR="00CB2B89" w:rsidRPr="00A779B8" w:rsidRDefault="00CB2B89" w:rsidP="00CB2B89">
      <w:pPr>
        <w:pStyle w:val="SingleTxtG"/>
        <w:spacing w:after="100"/>
        <w:ind w:left="2268" w:hanging="1134"/>
        <w:rPr>
          <w:lang w:val="fr-FR"/>
        </w:rPr>
      </w:pPr>
      <w:r w:rsidRPr="00A779B8">
        <w:rPr>
          <w:lang w:val="fr-FR"/>
        </w:rPr>
        <w:t>3.2.7</w:t>
      </w:r>
      <w:r w:rsidRPr="00A779B8">
        <w:rPr>
          <w:lang w:val="fr-FR"/>
        </w:rPr>
        <w:tab/>
        <w:t>Sans préjudice du paragraphe 6.4.1.3 de l</w:t>
      </w:r>
      <w:r w:rsidR="00DB4C2D">
        <w:rPr>
          <w:lang w:val="fr-FR"/>
        </w:rPr>
        <w:t>’</w:t>
      </w:r>
      <w:r w:rsidRPr="00A779B8">
        <w:rPr>
          <w:lang w:val="fr-FR"/>
        </w:rPr>
        <w:t>annexe 4a du présent Règlement, durant l</w:t>
      </w:r>
      <w:r w:rsidR="00DB4C2D">
        <w:rPr>
          <w:lang w:val="fr-FR"/>
        </w:rPr>
        <w:t>’</w:t>
      </w:r>
      <w:r w:rsidRPr="00A779B8">
        <w:rPr>
          <w:lang w:val="fr-FR"/>
        </w:rPr>
        <w:t>essai du type I, il est admis d</w:t>
      </w:r>
      <w:r w:rsidR="00DB4C2D">
        <w:rPr>
          <w:lang w:val="fr-FR"/>
        </w:rPr>
        <w:t>’</w:t>
      </w:r>
      <w:r w:rsidRPr="00A779B8">
        <w:rPr>
          <w:lang w:val="fr-FR"/>
        </w:rPr>
        <w:t>utiliser de l</w:t>
      </w:r>
      <w:r w:rsidR="00DB4C2D">
        <w:rPr>
          <w:lang w:val="fr-FR"/>
        </w:rPr>
        <w:t>’</w:t>
      </w:r>
      <w:r w:rsidRPr="00A779B8">
        <w:rPr>
          <w:lang w:val="fr-FR"/>
        </w:rPr>
        <w:t>essence uniquement, ou bien de l</w:t>
      </w:r>
      <w:r w:rsidR="00DB4C2D">
        <w:rPr>
          <w:lang w:val="fr-FR"/>
        </w:rPr>
        <w:t>’</w:t>
      </w:r>
      <w:r w:rsidRPr="00A779B8">
        <w:rPr>
          <w:lang w:val="fr-FR"/>
        </w:rPr>
        <w:t>essence et du gaz à la fois en mode gaz, sous réserve que la part du gaz représente plus de 80 % de la consommation totale d</w:t>
      </w:r>
      <w:r w:rsidR="00DB4C2D">
        <w:rPr>
          <w:lang w:val="fr-FR"/>
        </w:rPr>
        <w:t>’</w:t>
      </w:r>
      <w:r w:rsidRPr="00A779B8">
        <w:rPr>
          <w:lang w:val="fr-FR"/>
        </w:rPr>
        <w:t>énergie au cours de l</w:t>
      </w:r>
      <w:r w:rsidR="00DB4C2D">
        <w:rPr>
          <w:lang w:val="fr-FR"/>
        </w:rPr>
        <w:t>’</w:t>
      </w:r>
      <w:r w:rsidRPr="00A779B8">
        <w:rPr>
          <w:lang w:val="fr-FR"/>
        </w:rPr>
        <w:t>essai. La consommation de gaz doit être calculée conformément à la méthode présentée dans l</w:t>
      </w:r>
      <w:r w:rsidR="00DB4C2D">
        <w:rPr>
          <w:lang w:val="fr-FR"/>
        </w:rPr>
        <w:t>’</w:t>
      </w:r>
      <w:r w:rsidRPr="00A779B8">
        <w:rPr>
          <w:lang w:val="fr-FR"/>
        </w:rPr>
        <w:t>appendice 1 (GPL) ou 2 (GN/</w:t>
      </w:r>
      <w:proofErr w:type="spellStart"/>
      <w:r w:rsidRPr="00A779B8">
        <w:rPr>
          <w:lang w:val="fr-FR"/>
        </w:rPr>
        <w:t>biométhane</w:t>
      </w:r>
      <w:proofErr w:type="spellEnd"/>
      <w:r w:rsidRPr="00A779B8">
        <w:rPr>
          <w:lang w:val="fr-FR"/>
        </w:rPr>
        <w:t>) de la présente annexe.</w:t>
      </w:r>
    </w:p>
    <w:p w:rsidR="00CB2B89" w:rsidRPr="00A779B8" w:rsidRDefault="00CB2B89" w:rsidP="00CB2B89">
      <w:pPr>
        <w:pStyle w:val="SingleTxtG"/>
        <w:keepNext/>
        <w:ind w:left="2268" w:hanging="1134"/>
        <w:jc w:val="left"/>
        <w:rPr>
          <w:lang w:val="fr-FR"/>
        </w:rPr>
      </w:pPr>
      <w:r w:rsidRPr="00A779B8">
        <w:rPr>
          <w:lang w:val="fr-FR"/>
        </w:rPr>
        <w:lastRenderedPageBreak/>
        <w:t>4.</w:t>
      </w:r>
      <w:r w:rsidRPr="00A779B8">
        <w:rPr>
          <w:lang w:val="fr-FR"/>
        </w:rPr>
        <w:tab/>
      </w:r>
      <w:r w:rsidRPr="00A779B8">
        <w:rPr>
          <w:lang w:val="fr-FR"/>
        </w:rPr>
        <w:tab/>
        <w:t>Conditions générales</w:t>
      </w:r>
    </w:p>
    <w:p w:rsidR="00DB4C2D" w:rsidRDefault="00CB2B89" w:rsidP="00CB2B89">
      <w:pPr>
        <w:pStyle w:val="SingleTxtG"/>
        <w:spacing w:after="100"/>
        <w:ind w:left="2268" w:hanging="1134"/>
        <w:rPr>
          <w:lang w:val="fr-FR"/>
        </w:rPr>
      </w:pPr>
      <w:r w:rsidRPr="00A779B8">
        <w:rPr>
          <w:lang w:val="fr-FR"/>
        </w:rPr>
        <w:t>4.1</w:t>
      </w:r>
      <w:r w:rsidRPr="00A779B8">
        <w:rPr>
          <w:lang w:val="fr-FR"/>
        </w:rPr>
        <w:tab/>
        <w:t>Les essais pour le contrôle de la conformité de la production peuvent être réalisés avec un carburant disponible dans le commerce dont le rapport C</w:t>
      </w:r>
      <w:r w:rsidRPr="008F40B6">
        <w:rPr>
          <w:vertAlign w:val="subscript"/>
          <w:lang w:val="fr-FR"/>
        </w:rPr>
        <w:t>3</w:t>
      </w:r>
      <w:r w:rsidRPr="00A779B8">
        <w:rPr>
          <w:lang w:val="fr-FR"/>
        </w:rPr>
        <w:t>/C</w:t>
      </w:r>
      <w:r w:rsidRPr="008F40B6">
        <w:rPr>
          <w:vertAlign w:val="subscript"/>
          <w:lang w:val="fr-FR"/>
        </w:rPr>
        <w:t>4</w:t>
      </w:r>
      <w:r w:rsidRPr="00A779B8">
        <w:rPr>
          <w:lang w:val="fr-FR"/>
        </w:rPr>
        <w:t xml:space="preserve"> se situe entre ceux des carburants de référence dans le cas du GPL, ou dont l</w:t>
      </w:r>
      <w:r w:rsidR="00DB4C2D">
        <w:rPr>
          <w:lang w:val="fr-FR"/>
        </w:rPr>
        <w:t>’</w:t>
      </w:r>
      <w:r w:rsidRPr="00A779B8">
        <w:rPr>
          <w:lang w:val="fr-FR"/>
        </w:rPr>
        <w:t xml:space="preserve">indice de </w:t>
      </w:r>
      <w:proofErr w:type="spellStart"/>
      <w:r w:rsidRPr="00A779B8">
        <w:rPr>
          <w:lang w:val="fr-FR"/>
        </w:rPr>
        <w:t>Wobbe</w:t>
      </w:r>
      <w:proofErr w:type="spellEnd"/>
      <w:r w:rsidRPr="00A779B8">
        <w:rPr>
          <w:lang w:val="fr-FR"/>
        </w:rPr>
        <w:t xml:space="preserve"> se situe entre ceux des carburants de référence extrêmes dans le cas du GN/</w:t>
      </w:r>
      <w:proofErr w:type="spellStart"/>
      <w:r w:rsidRPr="00A779B8">
        <w:rPr>
          <w:lang w:val="fr-FR"/>
        </w:rPr>
        <w:t>biométhane</w:t>
      </w:r>
      <w:proofErr w:type="spellEnd"/>
      <w:r w:rsidRPr="00A779B8">
        <w:rPr>
          <w:lang w:val="fr-FR"/>
        </w:rPr>
        <w:t>. Il convient dans ce cas de fournir une analyse du carburant.</w:t>
      </w:r>
    </w:p>
    <w:p w:rsidR="00C75E3E" w:rsidRDefault="00C75E3E" w:rsidP="00CB2B89">
      <w:pPr>
        <w:pStyle w:val="SingleTxtG"/>
        <w:spacing w:after="100"/>
        <w:ind w:left="2268" w:hanging="1134"/>
        <w:sectPr w:rsidR="00C75E3E" w:rsidSect="00C108AC">
          <w:headerReference w:type="even" r:id="rId274"/>
          <w:headerReference w:type="default" r:id="rId275"/>
          <w:footnotePr>
            <w:numRestart w:val="eachSect"/>
          </w:footnotePr>
          <w:endnotePr>
            <w:numFmt w:val="decimal"/>
          </w:endnotePr>
          <w:pgSz w:w="11907" w:h="16840" w:code="9"/>
          <w:pgMar w:top="1701" w:right="1134" w:bottom="2268" w:left="1134" w:header="794" w:footer="1701" w:gutter="0"/>
          <w:cols w:space="720"/>
          <w:docGrid w:linePitch="272"/>
        </w:sectPr>
      </w:pPr>
    </w:p>
    <w:p w:rsidR="00C76E16" w:rsidRPr="00A779B8" w:rsidRDefault="00C76E16" w:rsidP="00C76E16">
      <w:pPr>
        <w:pStyle w:val="HChG"/>
        <w:rPr>
          <w:lang w:val="fr-FR"/>
        </w:rPr>
      </w:pPr>
      <w:r w:rsidRPr="00A779B8">
        <w:rPr>
          <w:lang w:val="fr-FR"/>
        </w:rPr>
        <w:lastRenderedPageBreak/>
        <w:t>Annexe 12 − Appendice 1</w:t>
      </w:r>
    </w:p>
    <w:p w:rsidR="00C76E16" w:rsidRPr="00A779B8" w:rsidRDefault="00C76E16" w:rsidP="00C76E16">
      <w:pPr>
        <w:pStyle w:val="HChG"/>
        <w:rPr>
          <w:lang w:val="fr-FR"/>
        </w:rPr>
      </w:pPr>
      <w:r w:rsidRPr="00A779B8">
        <w:rPr>
          <w:lang w:val="fr-FR"/>
        </w:rPr>
        <w:tab/>
      </w:r>
      <w:r w:rsidRPr="00A779B8">
        <w:rPr>
          <w:lang w:val="fr-FR"/>
        </w:rPr>
        <w:tab/>
        <w:t>Véhicules à bicarburation à gaz − Calcul de la part du GPL</w:t>
      </w:r>
      <w:r w:rsidRPr="00A779B8">
        <w:rPr>
          <w:lang w:val="fr-FR"/>
        </w:rPr>
        <w:br/>
        <w:t>dans l</w:t>
      </w:r>
      <w:r w:rsidR="00DB4C2D">
        <w:rPr>
          <w:lang w:val="fr-FR"/>
        </w:rPr>
        <w:t>’</w:t>
      </w:r>
      <w:r w:rsidRPr="00A779B8">
        <w:rPr>
          <w:lang w:val="fr-FR"/>
        </w:rPr>
        <w:t>énergie consommée</w:t>
      </w:r>
    </w:p>
    <w:p w:rsidR="00C76E16" w:rsidRPr="00A779B8" w:rsidRDefault="00C76E16" w:rsidP="00C76E16">
      <w:pPr>
        <w:pStyle w:val="SingleTxtG"/>
        <w:ind w:left="2268" w:hanging="1134"/>
        <w:jc w:val="left"/>
        <w:rPr>
          <w:lang w:val="fr-FR"/>
        </w:rPr>
      </w:pPr>
      <w:r w:rsidRPr="00A779B8">
        <w:rPr>
          <w:lang w:val="fr-FR"/>
        </w:rPr>
        <w:t>1.</w:t>
      </w:r>
      <w:r w:rsidRPr="00A779B8">
        <w:rPr>
          <w:lang w:val="fr-FR"/>
        </w:rPr>
        <w:tab/>
        <w:t>Mesure de la masse de GPL consommée au cours du cycle d</w:t>
      </w:r>
      <w:r w:rsidR="00DB4C2D">
        <w:rPr>
          <w:lang w:val="fr-FR"/>
        </w:rPr>
        <w:t>’</w:t>
      </w:r>
      <w:r w:rsidRPr="00A779B8">
        <w:rPr>
          <w:lang w:val="fr-FR"/>
        </w:rPr>
        <w:t>essai du type I</w:t>
      </w:r>
    </w:p>
    <w:p w:rsidR="00C76E16" w:rsidRPr="00A779B8" w:rsidRDefault="00C76E16" w:rsidP="00C76E16">
      <w:pPr>
        <w:pStyle w:val="SingleTxtG"/>
        <w:ind w:left="2268"/>
        <w:rPr>
          <w:lang w:val="fr-FR"/>
        </w:rPr>
      </w:pPr>
      <w:r w:rsidRPr="00A779B8">
        <w:rPr>
          <w:lang w:val="fr-FR"/>
        </w:rPr>
        <w:tab/>
        <w:t>Pour mesurer la masse de GPL consommée au cours du cycle d</w:t>
      </w:r>
      <w:r w:rsidR="00DB4C2D">
        <w:rPr>
          <w:lang w:val="fr-FR"/>
        </w:rPr>
        <w:t>’</w:t>
      </w:r>
      <w:r w:rsidRPr="00A779B8">
        <w:rPr>
          <w:lang w:val="fr-FR"/>
        </w:rPr>
        <w:t>essai du type I, il convient de peser le réservoir de GPL en début et en fin d</w:t>
      </w:r>
      <w:r w:rsidR="00DB4C2D">
        <w:rPr>
          <w:lang w:val="fr-FR"/>
        </w:rPr>
        <w:t>’</w:t>
      </w:r>
      <w:r w:rsidRPr="00A779B8">
        <w:rPr>
          <w:lang w:val="fr-FR"/>
        </w:rPr>
        <w:t>essai en respectant les prescriptions suivantes:</w:t>
      </w:r>
    </w:p>
    <w:p w:rsidR="00C76E16" w:rsidRPr="00A779B8" w:rsidRDefault="00C76E16" w:rsidP="00C76E16">
      <w:pPr>
        <w:pStyle w:val="SingleTxtG"/>
        <w:ind w:left="2268"/>
        <w:rPr>
          <w:lang w:val="fr-FR"/>
        </w:rPr>
      </w:pPr>
      <w:r w:rsidRPr="00A779B8">
        <w:rPr>
          <w:lang w:val="fr-FR"/>
        </w:rPr>
        <w:t xml:space="preserve">La précision doit être de </w:t>
      </w:r>
      <w:r w:rsidRPr="00A779B8">
        <w:rPr>
          <w:lang w:val="fr-FR"/>
        </w:rPr>
        <w:sym w:font="Symbol" w:char="F0B1"/>
      </w:r>
      <w:r w:rsidRPr="00A779B8">
        <w:rPr>
          <w:lang w:val="fr-FR"/>
        </w:rPr>
        <w:t>2 % ou mieux dans la différence entre les lectures au début et à la fin de l</w:t>
      </w:r>
      <w:r w:rsidR="00DB4C2D">
        <w:rPr>
          <w:lang w:val="fr-FR"/>
        </w:rPr>
        <w:t>’</w:t>
      </w:r>
      <w:r w:rsidRPr="00A779B8">
        <w:rPr>
          <w:lang w:val="fr-FR"/>
        </w:rPr>
        <w:t>essai.</w:t>
      </w:r>
    </w:p>
    <w:p w:rsidR="00C76E16" w:rsidRPr="00A779B8" w:rsidRDefault="00C76E16" w:rsidP="00C76E16">
      <w:pPr>
        <w:pStyle w:val="SingleTxtG"/>
        <w:ind w:left="2268"/>
        <w:rPr>
          <w:lang w:val="fr-FR"/>
        </w:rPr>
      </w:pPr>
      <w:r w:rsidRPr="00A779B8">
        <w:rPr>
          <w:lang w:val="fr-FR"/>
        </w:rPr>
        <w:tab/>
        <w:t>Des précautions doivent être prises pour éviter les erreurs de mesure.</w:t>
      </w:r>
    </w:p>
    <w:p w:rsidR="00C76E16" w:rsidRPr="00A779B8" w:rsidRDefault="00C76E16" w:rsidP="00C76E16">
      <w:pPr>
        <w:pStyle w:val="SingleTxtG"/>
        <w:ind w:left="2268"/>
        <w:rPr>
          <w:lang w:val="fr-FR"/>
        </w:rPr>
      </w:pPr>
      <w:r w:rsidRPr="00A779B8">
        <w:rPr>
          <w:lang w:val="fr-FR"/>
        </w:rPr>
        <w:tab/>
        <w:t>Ces précautions doivent consister au minimum à soigneusement mettre en place l</w:t>
      </w:r>
      <w:r w:rsidR="00DB4C2D">
        <w:rPr>
          <w:lang w:val="fr-FR"/>
        </w:rPr>
        <w:t>’</w:t>
      </w:r>
      <w:r w:rsidRPr="00A779B8">
        <w:rPr>
          <w:lang w:val="fr-FR"/>
        </w:rPr>
        <w:t>instrument de mesure, conformément aux recommandations de son fabricant et dans les règles de l</w:t>
      </w:r>
      <w:r w:rsidR="00DB4C2D">
        <w:rPr>
          <w:lang w:val="fr-FR"/>
        </w:rPr>
        <w:t>’</w:t>
      </w:r>
      <w:r w:rsidRPr="00A779B8">
        <w:rPr>
          <w:lang w:val="fr-FR"/>
        </w:rPr>
        <w:t>art.</w:t>
      </w:r>
    </w:p>
    <w:p w:rsidR="00C76E16" w:rsidRPr="00A779B8" w:rsidRDefault="00C76E16" w:rsidP="00C76E16">
      <w:pPr>
        <w:pStyle w:val="SingleTxtG"/>
        <w:ind w:left="2268"/>
        <w:rPr>
          <w:lang w:val="fr-FR"/>
        </w:rPr>
      </w:pPr>
      <w:r w:rsidRPr="00A779B8">
        <w:rPr>
          <w:lang w:val="fr-FR"/>
        </w:rPr>
        <w:tab/>
        <w:t>D</w:t>
      </w:r>
      <w:r w:rsidR="00DB4C2D">
        <w:rPr>
          <w:lang w:val="fr-FR"/>
        </w:rPr>
        <w:t>’</w:t>
      </w:r>
      <w:r w:rsidRPr="00A779B8">
        <w:rPr>
          <w:lang w:val="fr-FR"/>
        </w:rPr>
        <w:t>autres méthodes de mesure sont admises à condition que l</w:t>
      </w:r>
      <w:r w:rsidR="00DB4C2D">
        <w:rPr>
          <w:lang w:val="fr-FR"/>
        </w:rPr>
        <w:t>’</w:t>
      </w:r>
      <w:r w:rsidRPr="00A779B8">
        <w:rPr>
          <w:lang w:val="fr-FR"/>
        </w:rPr>
        <w:t>on puisse démontrer qu</w:t>
      </w:r>
      <w:r w:rsidR="00DB4C2D">
        <w:rPr>
          <w:lang w:val="fr-FR"/>
        </w:rPr>
        <w:t>’</w:t>
      </w:r>
      <w:r w:rsidRPr="00A779B8">
        <w:rPr>
          <w:lang w:val="fr-FR"/>
        </w:rPr>
        <w:t>on obtient une précision équivalente.</w:t>
      </w:r>
    </w:p>
    <w:p w:rsidR="00C76E16" w:rsidRPr="00A779B8" w:rsidRDefault="00C76E16" w:rsidP="00C76E16">
      <w:pPr>
        <w:pStyle w:val="SingleTxtG"/>
        <w:keepNext/>
        <w:ind w:left="2268" w:hanging="1134"/>
        <w:jc w:val="left"/>
        <w:rPr>
          <w:lang w:val="fr-FR"/>
        </w:rPr>
      </w:pPr>
      <w:r w:rsidRPr="00A779B8">
        <w:rPr>
          <w:lang w:val="fr-FR"/>
        </w:rPr>
        <w:t>2.</w:t>
      </w:r>
      <w:r w:rsidRPr="00A779B8">
        <w:rPr>
          <w:lang w:val="fr-FR"/>
        </w:rPr>
        <w:tab/>
        <w:t>Calcul de la part du GPL dans l</w:t>
      </w:r>
      <w:r w:rsidR="00DB4C2D">
        <w:rPr>
          <w:lang w:val="fr-FR"/>
        </w:rPr>
        <w:t>’</w:t>
      </w:r>
      <w:r w:rsidRPr="00A779B8">
        <w:rPr>
          <w:lang w:val="fr-FR"/>
        </w:rPr>
        <w:t>énergie consommée</w:t>
      </w:r>
    </w:p>
    <w:p w:rsidR="00C76E16" w:rsidRPr="00A779B8" w:rsidRDefault="00C76E16" w:rsidP="00C76E16">
      <w:pPr>
        <w:pStyle w:val="SingleTxtG"/>
        <w:ind w:left="2268"/>
        <w:rPr>
          <w:lang w:val="fr-FR"/>
        </w:rPr>
      </w:pPr>
      <w:r w:rsidRPr="00A779B8">
        <w:rPr>
          <w:lang w:val="fr-FR"/>
        </w:rPr>
        <w:tab/>
        <w:t>La consommation de carburant doit être calculée à partir des émissions d</w:t>
      </w:r>
      <w:r w:rsidR="00DB4C2D">
        <w:rPr>
          <w:lang w:val="fr-FR"/>
        </w:rPr>
        <w:t>’</w:t>
      </w:r>
      <w:r w:rsidRPr="00A779B8">
        <w:rPr>
          <w:lang w:val="fr-FR"/>
        </w:rPr>
        <w:t>hydrocarbures, de monoxyde de carbone et de dioxyde de carbone, déterminées sur la base des résultats des mesures, si l</w:t>
      </w:r>
      <w:r w:rsidR="00DB4C2D">
        <w:rPr>
          <w:lang w:val="fr-FR"/>
        </w:rPr>
        <w:t>’</w:t>
      </w:r>
      <w:r w:rsidRPr="00A779B8">
        <w:rPr>
          <w:lang w:val="fr-FR"/>
        </w:rPr>
        <w:t>on pose en principe que seul du GPL est consommé durant l</w:t>
      </w:r>
      <w:r w:rsidR="00DB4C2D">
        <w:rPr>
          <w:lang w:val="fr-FR"/>
        </w:rPr>
        <w:t>’</w:t>
      </w:r>
      <w:r w:rsidRPr="00A779B8">
        <w:rPr>
          <w:lang w:val="fr-FR"/>
        </w:rPr>
        <w:t>essai.</w:t>
      </w:r>
    </w:p>
    <w:p w:rsidR="00C76E16" w:rsidRPr="00A779B8" w:rsidRDefault="00C76E16" w:rsidP="00C76E16">
      <w:pPr>
        <w:pStyle w:val="SingleTxtG"/>
        <w:ind w:left="2268"/>
        <w:rPr>
          <w:lang w:val="fr-FR"/>
        </w:rPr>
      </w:pPr>
      <w:r w:rsidRPr="00A779B8">
        <w:rPr>
          <w:lang w:val="fr-FR"/>
        </w:rPr>
        <w:tab/>
        <w:t>La part du GPL dans l</w:t>
      </w:r>
      <w:r w:rsidR="00DB4C2D">
        <w:rPr>
          <w:lang w:val="fr-FR"/>
        </w:rPr>
        <w:t>’</w:t>
      </w:r>
      <w:r w:rsidRPr="00A779B8">
        <w:rPr>
          <w:lang w:val="fr-FR"/>
        </w:rPr>
        <w:t>énergie consommée au cours du cycle est déterminée comme suit:</w:t>
      </w:r>
    </w:p>
    <w:p w:rsidR="00C76E16" w:rsidRPr="00A779B8" w:rsidRDefault="00C76E16" w:rsidP="00D13881">
      <w:pPr>
        <w:pStyle w:val="SingleTxtG"/>
        <w:tabs>
          <w:tab w:val="left" w:pos="2835"/>
          <w:tab w:val="left" w:pos="3119"/>
        </w:tabs>
        <w:ind w:left="2268"/>
        <w:rPr>
          <w:lang w:val="en-GB"/>
        </w:rPr>
      </w:pPr>
      <w:r w:rsidRPr="00A779B8">
        <w:rPr>
          <w:lang w:val="en-GB"/>
        </w:rPr>
        <w:t>G</w:t>
      </w:r>
      <w:r w:rsidRPr="00A779B8">
        <w:rPr>
          <w:vertAlign w:val="subscript"/>
          <w:lang w:val="en-GB"/>
        </w:rPr>
        <w:t>LPG</w:t>
      </w:r>
      <w:r w:rsidR="00D13881">
        <w:rPr>
          <w:lang w:val="en-GB"/>
        </w:rPr>
        <w:tab/>
      </w:r>
      <w:r w:rsidR="008F40B6">
        <w:rPr>
          <w:lang w:val="en-GB"/>
        </w:rPr>
        <w:t>=</w:t>
      </w:r>
      <w:r w:rsidR="008F40B6">
        <w:rPr>
          <w:lang w:val="en-GB"/>
        </w:rPr>
        <w:tab/>
      </w:r>
      <w:r w:rsidRPr="00A779B8">
        <w:rPr>
          <w:lang w:val="en-GB"/>
        </w:rPr>
        <w:t>M</w:t>
      </w:r>
      <w:r w:rsidRPr="00A779B8">
        <w:rPr>
          <w:vertAlign w:val="subscript"/>
          <w:lang w:val="en-GB"/>
        </w:rPr>
        <w:t>LPG</w:t>
      </w:r>
      <w:r w:rsidRPr="00A779B8">
        <w:rPr>
          <w:lang w:val="en-GB"/>
        </w:rPr>
        <w:t>*10 000/(</w:t>
      </w:r>
      <w:proofErr w:type="spellStart"/>
      <w:r w:rsidRPr="00A779B8">
        <w:rPr>
          <w:lang w:val="en-GB"/>
        </w:rPr>
        <w:t>FC</w:t>
      </w:r>
      <w:r w:rsidRPr="00A779B8">
        <w:rPr>
          <w:vertAlign w:val="subscript"/>
          <w:lang w:val="en-GB"/>
        </w:rPr>
        <w:t>norm</w:t>
      </w:r>
      <w:proofErr w:type="spellEnd"/>
      <w:r w:rsidRPr="00A779B8">
        <w:rPr>
          <w:lang w:val="en-GB"/>
        </w:rPr>
        <w:t>*</w:t>
      </w:r>
      <w:proofErr w:type="spellStart"/>
      <w:r w:rsidRPr="00A779B8">
        <w:rPr>
          <w:lang w:val="en-GB"/>
        </w:rPr>
        <w:t>dist</w:t>
      </w:r>
      <w:proofErr w:type="spellEnd"/>
      <w:r w:rsidRPr="00A779B8">
        <w:rPr>
          <w:lang w:val="en-GB"/>
        </w:rPr>
        <w:t>*d)</w:t>
      </w:r>
    </w:p>
    <w:p w:rsidR="00C76E16" w:rsidRPr="00A779B8" w:rsidRDefault="00C76E16" w:rsidP="00C76E16">
      <w:pPr>
        <w:pStyle w:val="SingleTxtG"/>
        <w:ind w:left="2268"/>
        <w:rPr>
          <w:lang w:val="fr-FR"/>
        </w:rPr>
      </w:pPr>
      <w:r w:rsidRPr="00A779B8">
        <w:rPr>
          <w:lang w:val="en-GB"/>
        </w:rPr>
        <w:tab/>
      </w:r>
      <w:r w:rsidRPr="00A779B8">
        <w:rPr>
          <w:lang w:val="fr-FR"/>
        </w:rPr>
        <w:t xml:space="preserve">où: </w:t>
      </w:r>
    </w:p>
    <w:tbl>
      <w:tblPr>
        <w:tblW w:w="6237" w:type="dxa"/>
        <w:tblInd w:w="2268" w:type="dxa"/>
        <w:tblLayout w:type="fixed"/>
        <w:tblCellMar>
          <w:left w:w="0" w:type="dxa"/>
          <w:right w:w="0" w:type="dxa"/>
        </w:tblCellMar>
        <w:tblLook w:val="01E0" w:firstRow="1" w:lastRow="1" w:firstColumn="1" w:lastColumn="1" w:noHBand="0" w:noVBand="0"/>
      </w:tblPr>
      <w:tblGrid>
        <w:gridCol w:w="570"/>
        <w:gridCol w:w="298"/>
        <w:gridCol w:w="5369"/>
      </w:tblGrid>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G</w:t>
            </w:r>
            <w:r w:rsidRPr="007E29C4">
              <w:rPr>
                <w:vertAlign w:val="subscript"/>
                <w:lang w:val="fr-FR"/>
              </w:rPr>
              <w:t>LPG</w:t>
            </w:r>
          </w:p>
        </w:tc>
        <w:tc>
          <w:tcPr>
            <w:tcW w:w="297" w:type="dxa"/>
            <w:shd w:val="clear" w:color="auto" w:fill="auto"/>
          </w:tcPr>
          <w:p w:rsidR="00C76E16" w:rsidRPr="007E29C4" w:rsidRDefault="00C76E16" w:rsidP="00DB4C2D">
            <w:pPr>
              <w:spacing w:after="120"/>
              <w:rPr>
                <w:lang w:val="fr-FR"/>
              </w:rPr>
            </w:pPr>
            <w:r w:rsidRPr="007E29C4">
              <w:rPr>
                <w:lang w:val="fr-FR"/>
              </w:rPr>
              <w:t>=</w:t>
            </w:r>
          </w:p>
        </w:tc>
        <w:tc>
          <w:tcPr>
            <w:tcW w:w="5346" w:type="dxa"/>
            <w:shd w:val="clear" w:color="auto" w:fill="auto"/>
          </w:tcPr>
          <w:p w:rsidR="00C76E16" w:rsidRPr="007E29C4" w:rsidRDefault="00C76E16" w:rsidP="00DB4C2D">
            <w:pPr>
              <w:spacing w:after="120"/>
              <w:rPr>
                <w:lang w:val="fr-FR"/>
              </w:rPr>
            </w:pPr>
            <w:r w:rsidRPr="007E29C4">
              <w:rPr>
                <w:lang w:val="fr-FR"/>
              </w:rPr>
              <w:t>la part (%) du GPL dans l</w:t>
            </w:r>
            <w:r w:rsidR="00DB4C2D">
              <w:rPr>
                <w:lang w:val="fr-FR"/>
              </w:rPr>
              <w:t>’</w:t>
            </w:r>
            <w:r w:rsidRPr="007E29C4">
              <w:rPr>
                <w:lang w:val="fr-FR"/>
              </w:rPr>
              <w:t>énergie consommée,</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M</w:t>
            </w:r>
            <w:r w:rsidRPr="007E29C4">
              <w:rPr>
                <w:vertAlign w:val="subscript"/>
                <w:lang w:val="fr-FR"/>
              </w:rPr>
              <w:t>LPG</w:t>
            </w:r>
          </w:p>
        </w:tc>
        <w:tc>
          <w:tcPr>
            <w:tcW w:w="297" w:type="dxa"/>
            <w:shd w:val="clear" w:color="auto" w:fill="auto"/>
          </w:tcPr>
          <w:p w:rsidR="00C76E16" w:rsidRPr="007E29C4" w:rsidRDefault="00C76E16" w:rsidP="00DB4C2D">
            <w:pPr>
              <w:spacing w:after="120"/>
              <w:rPr>
                <w:lang w:val="fr-FR"/>
              </w:rPr>
            </w:pPr>
            <w:r w:rsidRPr="007E29C4">
              <w:rPr>
                <w:lang w:val="fr-FR"/>
              </w:rPr>
              <w:t>=</w:t>
            </w:r>
          </w:p>
        </w:tc>
        <w:tc>
          <w:tcPr>
            <w:tcW w:w="5346" w:type="dxa"/>
            <w:shd w:val="clear" w:color="auto" w:fill="auto"/>
          </w:tcPr>
          <w:p w:rsidR="00C76E16" w:rsidRPr="007E29C4" w:rsidRDefault="00C76E16" w:rsidP="00DB4C2D">
            <w:pPr>
              <w:spacing w:after="120"/>
              <w:rPr>
                <w:lang w:val="fr-FR"/>
              </w:rPr>
            </w:pPr>
            <w:r w:rsidRPr="007E29C4">
              <w:rPr>
                <w:lang w:val="fr-FR"/>
              </w:rPr>
              <w:t>la masse de GPL consommée au cours du cycle d</w:t>
            </w:r>
            <w:r w:rsidR="00DB4C2D">
              <w:rPr>
                <w:lang w:val="fr-FR"/>
              </w:rPr>
              <w:t>’</w:t>
            </w:r>
            <w:r w:rsidRPr="007E29C4">
              <w:rPr>
                <w:lang w:val="fr-FR"/>
              </w:rPr>
              <w:t>essai (kg),</w:t>
            </w:r>
          </w:p>
        </w:tc>
      </w:tr>
      <w:tr w:rsidR="00C76E16" w:rsidRPr="007E29C4" w:rsidTr="00DB4C2D">
        <w:tc>
          <w:tcPr>
            <w:tcW w:w="567" w:type="dxa"/>
            <w:shd w:val="clear" w:color="auto" w:fill="auto"/>
          </w:tcPr>
          <w:p w:rsidR="00C76E16" w:rsidRPr="007E29C4" w:rsidRDefault="00C76E16" w:rsidP="00DB4C2D">
            <w:pPr>
              <w:spacing w:after="120"/>
              <w:rPr>
                <w:lang w:val="fr-FR"/>
              </w:rPr>
            </w:pPr>
            <w:proofErr w:type="spellStart"/>
            <w:r w:rsidRPr="007E29C4">
              <w:rPr>
                <w:lang w:val="fr-FR"/>
              </w:rPr>
              <w:t>FC</w:t>
            </w:r>
            <w:r w:rsidRPr="007E29C4">
              <w:rPr>
                <w:vertAlign w:val="subscript"/>
                <w:lang w:val="fr-FR"/>
              </w:rPr>
              <w:t>norm</w:t>
            </w:r>
            <w:proofErr w:type="spellEnd"/>
          </w:p>
        </w:tc>
        <w:tc>
          <w:tcPr>
            <w:tcW w:w="297" w:type="dxa"/>
            <w:shd w:val="clear" w:color="auto" w:fill="auto"/>
          </w:tcPr>
          <w:p w:rsidR="00C76E16" w:rsidRPr="007E29C4" w:rsidRDefault="00C76E16" w:rsidP="00DB4C2D">
            <w:pPr>
              <w:spacing w:after="120"/>
              <w:rPr>
                <w:lang w:val="fr-FR"/>
              </w:rPr>
            </w:pPr>
            <w:r w:rsidRPr="007E29C4">
              <w:rPr>
                <w:lang w:val="fr-FR"/>
              </w:rPr>
              <w:t>=</w:t>
            </w:r>
          </w:p>
        </w:tc>
        <w:tc>
          <w:tcPr>
            <w:tcW w:w="5346" w:type="dxa"/>
            <w:shd w:val="clear" w:color="auto" w:fill="auto"/>
          </w:tcPr>
          <w:p w:rsidR="00C76E16" w:rsidRPr="007E29C4" w:rsidRDefault="00C76E16" w:rsidP="00DB4C2D">
            <w:pPr>
              <w:spacing w:after="120"/>
              <w:rPr>
                <w:lang w:val="fr-FR"/>
              </w:rPr>
            </w:pPr>
            <w:r w:rsidRPr="007E29C4">
              <w:rPr>
                <w:lang w:val="fr-FR"/>
              </w:rPr>
              <w:t>la consommation de carburant (l/100km) calculée conformément aux dispositions de l</w:t>
            </w:r>
            <w:r w:rsidR="00DB4C2D">
              <w:rPr>
                <w:lang w:val="fr-FR"/>
              </w:rPr>
              <w:t>’</w:t>
            </w:r>
            <w:r w:rsidRPr="007E29C4">
              <w:rPr>
                <w:lang w:val="fr-FR"/>
              </w:rPr>
              <w:t>alinéa </w:t>
            </w:r>
            <w:r w:rsidRPr="007E29C4">
              <w:rPr>
                <w:i/>
                <w:lang w:val="fr-FR"/>
              </w:rPr>
              <w:t>b</w:t>
            </w:r>
            <w:r w:rsidRPr="007E29C4">
              <w:rPr>
                <w:lang w:val="fr-FR"/>
              </w:rPr>
              <w:t xml:space="preserve"> du paragraphe 1.4.3 de l</w:t>
            </w:r>
            <w:r w:rsidR="00DB4C2D">
              <w:rPr>
                <w:lang w:val="fr-FR"/>
              </w:rPr>
              <w:t>’</w:t>
            </w:r>
            <w:r w:rsidRPr="007E29C4">
              <w:rPr>
                <w:lang w:val="fr-FR"/>
              </w:rPr>
              <w:t>annexe 6 du Règlement n</w:t>
            </w:r>
            <w:r w:rsidRPr="007E29C4">
              <w:rPr>
                <w:vertAlign w:val="superscript"/>
                <w:lang w:val="fr-FR"/>
              </w:rPr>
              <w:t>o</w:t>
            </w:r>
            <w:r w:rsidRPr="007E29C4">
              <w:rPr>
                <w:lang w:val="fr-FR"/>
              </w:rPr>
              <w:t> 101. Le cas échéant, on doit calculer le facteur de correction </w:t>
            </w:r>
            <w:proofErr w:type="spellStart"/>
            <w:r w:rsidRPr="007E29C4">
              <w:rPr>
                <w:lang w:val="fr-FR"/>
              </w:rPr>
              <w:t>cf</w:t>
            </w:r>
            <w:proofErr w:type="spellEnd"/>
            <w:r w:rsidRPr="007E29C4">
              <w:rPr>
                <w:lang w:val="fr-FR"/>
              </w:rPr>
              <w:t xml:space="preserve"> dans l</w:t>
            </w:r>
            <w:r w:rsidR="00DB4C2D">
              <w:rPr>
                <w:lang w:val="fr-FR"/>
              </w:rPr>
              <w:t>’</w:t>
            </w:r>
            <w:r w:rsidRPr="007E29C4">
              <w:rPr>
                <w:lang w:val="fr-FR"/>
              </w:rPr>
              <w:t>équation utilisée pour déterminer </w:t>
            </w:r>
            <w:proofErr w:type="spellStart"/>
            <w:r w:rsidRPr="007E29C4">
              <w:rPr>
                <w:lang w:val="fr-FR"/>
              </w:rPr>
              <w:t>FC</w:t>
            </w:r>
            <w:r w:rsidRPr="007E29C4">
              <w:rPr>
                <w:vertAlign w:val="subscript"/>
                <w:lang w:val="fr-FR"/>
              </w:rPr>
              <w:t>norm</w:t>
            </w:r>
            <w:proofErr w:type="spellEnd"/>
            <w:r w:rsidRPr="007E29C4">
              <w:rPr>
                <w:lang w:val="fr-FR"/>
              </w:rPr>
              <w:t xml:space="preserve"> en utilisant le rapport H/C du carburant gazeux,</w:t>
            </w:r>
          </w:p>
        </w:tc>
      </w:tr>
      <w:tr w:rsidR="00C76E16" w:rsidRPr="007E29C4" w:rsidTr="00DB4C2D">
        <w:tc>
          <w:tcPr>
            <w:tcW w:w="567" w:type="dxa"/>
            <w:shd w:val="clear" w:color="auto" w:fill="auto"/>
          </w:tcPr>
          <w:p w:rsidR="00C76E16" w:rsidRPr="007E29C4" w:rsidRDefault="00C76E16" w:rsidP="00DB4C2D">
            <w:pPr>
              <w:spacing w:after="120"/>
              <w:rPr>
                <w:lang w:val="fr-FR"/>
              </w:rPr>
            </w:pPr>
            <w:proofErr w:type="spellStart"/>
            <w:r w:rsidRPr="007E29C4">
              <w:rPr>
                <w:lang w:val="fr-FR"/>
              </w:rPr>
              <w:t>dist</w:t>
            </w:r>
            <w:proofErr w:type="spellEnd"/>
          </w:p>
        </w:tc>
        <w:tc>
          <w:tcPr>
            <w:tcW w:w="297" w:type="dxa"/>
            <w:shd w:val="clear" w:color="auto" w:fill="auto"/>
          </w:tcPr>
          <w:p w:rsidR="00C76E16" w:rsidRPr="007E29C4" w:rsidRDefault="00C76E16" w:rsidP="00DB4C2D">
            <w:pPr>
              <w:spacing w:after="120"/>
              <w:rPr>
                <w:lang w:val="fr-FR"/>
              </w:rPr>
            </w:pPr>
            <w:r w:rsidRPr="007E29C4">
              <w:rPr>
                <w:lang w:val="fr-FR"/>
              </w:rPr>
              <w:t>=</w:t>
            </w:r>
          </w:p>
        </w:tc>
        <w:tc>
          <w:tcPr>
            <w:tcW w:w="5346" w:type="dxa"/>
            <w:shd w:val="clear" w:color="auto" w:fill="auto"/>
          </w:tcPr>
          <w:p w:rsidR="00C76E16" w:rsidRPr="007E29C4" w:rsidRDefault="00C76E16" w:rsidP="00DB4C2D">
            <w:pPr>
              <w:spacing w:after="120"/>
              <w:rPr>
                <w:lang w:val="fr-FR"/>
              </w:rPr>
            </w:pPr>
            <w:r w:rsidRPr="007E29C4">
              <w:rPr>
                <w:lang w:val="fr-FR"/>
              </w:rPr>
              <w:t>la distance parcourue durant le cycle d</w:t>
            </w:r>
            <w:r w:rsidR="00DB4C2D">
              <w:rPr>
                <w:lang w:val="fr-FR"/>
              </w:rPr>
              <w:t>’</w:t>
            </w:r>
            <w:r w:rsidRPr="007E29C4">
              <w:rPr>
                <w:lang w:val="fr-FR"/>
              </w:rPr>
              <w:t>essai (km),</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d</w:t>
            </w:r>
          </w:p>
        </w:tc>
        <w:tc>
          <w:tcPr>
            <w:tcW w:w="297" w:type="dxa"/>
            <w:shd w:val="clear" w:color="auto" w:fill="auto"/>
          </w:tcPr>
          <w:p w:rsidR="00C76E16" w:rsidRPr="007E29C4" w:rsidRDefault="00C76E16" w:rsidP="00DB4C2D">
            <w:pPr>
              <w:spacing w:after="120"/>
              <w:rPr>
                <w:lang w:val="fr-FR"/>
              </w:rPr>
            </w:pPr>
            <w:r w:rsidRPr="007E29C4">
              <w:rPr>
                <w:lang w:val="fr-FR"/>
              </w:rPr>
              <w:t>=</w:t>
            </w:r>
          </w:p>
        </w:tc>
        <w:tc>
          <w:tcPr>
            <w:tcW w:w="5346" w:type="dxa"/>
            <w:shd w:val="clear" w:color="auto" w:fill="auto"/>
          </w:tcPr>
          <w:p w:rsidR="00C76E16" w:rsidRPr="007E29C4" w:rsidRDefault="00C76E16" w:rsidP="00DB4C2D">
            <w:pPr>
              <w:spacing w:after="120"/>
              <w:rPr>
                <w:lang w:val="fr-FR"/>
              </w:rPr>
            </w:pPr>
            <w:r w:rsidRPr="007E29C4">
              <w:rPr>
                <w:lang w:val="fr-FR"/>
              </w:rPr>
              <w:t>la densité; d = 0,538 kg/l,</w:t>
            </w:r>
          </w:p>
        </w:tc>
      </w:tr>
    </w:tbl>
    <w:p w:rsidR="00C76E16" w:rsidRDefault="00C76E16" w:rsidP="00CB2B89">
      <w:pPr>
        <w:pStyle w:val="SingleTxtG"/>
        <w:spacing w:after="100"/>
        <w:ind w:left="2268" w:hanging="1134"/>
        <w:sectPr w:rsidR="00C76E16" w:rsidSect="00C108AC">
          <w:headerReference w:type="even" r:id="rId276"/>
          <w:headerReference w:type="default" r:id="rId277"/>
          <w:footnotePr>
            <w:numRestart w:val="eachSect"/>
          </w:footnotePr>
          <w:endnotePr>
            <w:numFmt w:val="decimal"/>
          </w:endnotePr>
          <w:pgSz w:w="11907" w:h="16840" w:code="9"/>
          <w:pgMar w:top="1701" w:right="1134" w:bottom="2268" w:left="1134" w:header="794" w:footer="1701" w:gutter="0"/>
          <w:cols w:space="720"/>
          <w:docGrid w:linePitch="272"/>
        </w:sectPr>
      </w:pPr>
    </w:p>
    <w:p w:rsidR="00C76E16" w:rsidRPr="00A779B8" w:rsidRDefault="00C76E16" w:rsidP="00C76E16">
      <w:pPr>
        <w:pStyle w:val="HChG"/>
        <w:rPr>
          <w:lang w:val="fr-FR"/>
        </w:rPr>
      </w:pPr>
      <w:r w:rsidRPr="00A779B8">
        <w:rPr>
          <w:lang w:val="fr-FR"/>
        </w:rPr>
        <w:lastRenderedPageBreak/>
        <w:t>Annexe 12 − Appendice 2</w:t>
      </w:r>
    </w:p>
    <w:p w:rsidR="00C76E16" w:rsidRPr="00A779B8" w:rsidRDefault="00C76E16" w:rsidP="00C76E16">
      <w:pPr>
        <w:pStyle w:val="HChG"/>
        <w:rPr>
          <w:lang w:val="fr-FR"/>
        </w:rPr>
      </w:pPr>
      <w:r w:rsidRPr="00A779B8">
        <w:rPr>
          <w:lang w:val="fr-FR"/>
        </w:rPr>
        <w:tab/>
      </w:r>
      <w:r w:rsidRPr="00A779B8">
        <w:rPr>
          <w:lang w:val="fr-FR"/>
        </w:rPr>
        <w:tab/>
        <w:t>Véhicules à bicarburation à gaz − Calcul de la part du GN/</w:t>
      </w:r>
      <w:proofErr w:type="spellStart"/>
      <w:r w:rsidRPr="00A779B8">
        <w:rPr>
          <w:lang w:val="fr-FR"/>
        </w:rPr>
        <w:t>biométhane</w:t>
      </w:r>
      <w:proofErr w:type="spellEnd"/>
      <w:r w:rsidRPr="00A779B8">
        <w:rPr>
          <w:lang w:val="fr-FR"/>
        </w:rPr>
        <w:t xml:space="preserve"> dans l</w:t>
      </w:r>
      <w:r w:rsidR="00DB4C2D">
        <w:rPr>
          <w:lang w:val="fr-FR"/>
        </w:rPr>
        <w:t>’</w:t>
      </w:r>
      <w:r w:rsidRPr="00A779B8">
        <w:rPr>
          <w:lang w:val="fr-FR"/>
        </w:rPr>
        <w:t>énergie consommée</w:t>
      </w:r>
    </w:p>
    <w:p w:rsidR="00C76E16" w:rsidRPr="00A779B8" w:rsidRDefault="00C76E16" w:rsidP="00C76E16">
      <w:pPr>
        <w:pStyle w:val="SingleTxtG"/>
        <w:ind w:left="2268" w:hanging="1134"/>
        <w:jc w:val="left"/>
        <w:rPr>
          <w:lang w:val="fr-FR"/>
        </w:rPr>
      </w:pPr>
      <w:r w:rsidRPr="00A779B8">
        <w:rPr>
          <w:lang w:val="fr-FR"/>
        </w:rPr>
        <w:t>1.</w:t>
      </w:r>
      <w:r w:rsidRPr="00A779B8">
        <w:rPr>
          <w:lang w:val="fr-FR"/>
        </w:rPr>
        <w:tab/>
        <w:t>Mesure de la masse de GNC consommée au cours du cycle d</w:t>
      </w:r>
      <w:r w:rsidR="00DB4C2D">
        <w:rPr>
          <w:lang w:val="fr-FR"/>
        </w:rPr>
        <w:t>’</w:t>
      </w:r>
      <w:r w:rsidRPr="00A779B8">
        <w:rPr>
          <w:lang w:val="fr-FR"/>
        </w:rPr>
        <w:t>essai du type I</w:t>
      </w:r>
    </w:p>
    <w:p w:rsidR="00C76E16" w:rsidRPr="00A779B8" w:rsidRDefault="00C76E16" w:rsidP="00C76E16">
      <w:pPr>
        <w:pStyle w:val="SingleTxtG"/>
        <w:ind w:left="2268"/>
        <w:rPr>
          <w:lang w:val="fr-FR"/>
        </w:rPr>
      </w:pPr>
      <w:r w:rsidRPr="00A779B8">
        <w:rPr>
          <w:lang w:val="fr-FR"/>
        </w:rPr>
        <w:tab/>
        <w:t>Pour mesurer la masse de GNC consommée au cours du cycle d</w:t>
      </w:r>
      <w:r w:rsidR="00DB4C2D">
        <w:rPr>
          <w:lang w:val="fr-FR"/>
        </w:rPr>
        <w:t>’</w:t>
      </w:r>
      <w:r w:rsidRPr="00A779B8">
        <w:rPr>
          <w:lang w:val="fr-FR"/>
        </w:rPr>
        <w:t>essai du type I, il convient de peser le réservoir de GNC en début et en fin d</w:t>
      </w:r>
      <w:r w:rsidR="00DB4C2D">
        <w:rPr>
          <w:lang w:val="fr-FR"/>
        </w:rPr>
        <w:t>’</w:t>
      </w:r>
      <w:r w:rsidRPr="00A779B8">
        <w:rPr>
          <w:lang w:val="fr-FR"/>
        </w:rPr>
        <w:t>essai en respectant les prescriptions suivantes.</w:t>
      </w:r>
    </w:p>
    <w:p w:rsidR="00C76E16" w:rsidRPr="00A779B8" w:rsidRDefault="00C76E16" w:rsidP="00C76E16">
      <w:pPr>
        <w:pStyle w:val="SingleTxtG"/>
        <w:ind w:left="2268"/>
        <w:rPr>
          <w:lang w:val="fr-FR"/>
        </w:rPr>
      </w:pPr>
      <w:r w:rsidRPr="00A779B8">
        <w:rPr>
          <w:lang w:val="fr-FR"/>
        </w:rPr>
        <w:t xml:space="preserve">La précision doit être de </w:t>
      </w:r>
      <w:r w:rsidRPr="00A779B8">
        <w:rPr>
          <w:lang w:val="fr-FR"/>
        </w:rPr>
        <w:sym w:font="Symbol" w:char="F0B1"/>
      </w:r>
      <w:r w:rsidRPr="00A779B8">
        <w:rPr>
          <w:lang w:val="fr-FR"/>
        </w:rPr>
        <w:t>2 % ou mieux dans la différence entre les lectures au début et à la fin de l</w:t>
      </w:r>
      <w:r w:rsidR="00DB4C2D">
        <w:rPr>
          <w:lang w:val="fr-FR"/>
        </w:rPr>
        <w:t>’</w:t>
      </w:r>
      <w:r w:rsidRPr="00A779B8">
        <w:rPr>
          <w:lang w:val="fr-FR"/>
        </w:rPr>
        <w:t>essai.</w:t>
      </w:r>
    </w:p>
    <w:p w:rsidR="00C76E16" w:rsidRPr="00A779B8" w:rsidRDefault="00C76E16" w:rsidP="00C76E16">
      <w:pPr>
        <w:pStyle w:val="SingleTxtG"/>
        <w:ind w:left="2268"/>
        <w:rPr>
          <w:lang w:val="fr-FR"/>
        </w:rPr>
      </w:pPr>
      <w:r w:rsidRPr="00A779B8">
        <w:rPr>
          <w:lang w:val="fr-FR"/>
        </w:rPr>
        <w:tab/>
        <w:t>Des précautions doivent être prises pour éviter les erreurs de mesure.</w:t>
      </w:r>
    </w:p>
    <w:p w:rsidR="00C76E16" w:rsidRPr="00A779B8" w:rsidRDefault="00C76E16" w:rsidP="00C76E16">
      <w:pPr>
        <w:pStyle w:val="SingleTxtG"/>
        <w:ind w:left="2268"/>
        <w:rPr>
          <w:lang w:val="fr-FR"/>
        </w:rPr>
      </w:pPr>
      <w:r w:rsidRPr="00A779B8">
        <w:rPr>
          <w:lang w:val="fr-FR"/>
        </w:rPr>
        <w:tab/>
        <w:t>Ces précautions doivent consister au minimum à soigneusement mettre en place l</w:t>
      </w:r>
      <w:r w:rsidR="00DB4C2D">
        <w:rPr>
          <w:lang w:val="fr-FR"/>
        </w:rPr>
        <w:t>’</w:t>
      </w:r>
      <w:r w:rsidRPr="00A779B8">
        <w:rPr>
          <w:lang w:val="fr-FR"/>
        </w:rPr>
        <w:t>instrument de mesure, conformément aux recommandations de son fabricant et dans le respect des règles de l</w:t>
      </w:r>
      <w:r w:rsidR="00DB4C2D">
        <w:rPr>
          <w:lang w:val="fr-FR"/>
        </w:rPr>
        <w:t>’</w:t>
      </w:r>
      <w:r w:rsidRPr="00A779B8">
        <w:rPr>
          <w:lang w:val="fr-FR"/>
        </w:rPr>
        <w:t>art.</w:t>
      </w:r>
    </w:p>
    <w:p w:rsidR="00C76E16" w:rsidRPr="00A779B8" w:rsidRDefault="00C76E16" w:rsidP="00C76E16">
      <w:pPr>
        <w:pStyle w:val="SingleTxtG"/>
        <w:ind w:left="2268"/>
        <w:rPr>
          <w:lang w:val="fr-FR"/>
        </w:rPr>
      </w:pPr>
      <w:r w:rsidRPr="00A779B8">
        <w:rPr>
          <w:lang w:val="fr-FR"/>
        </w:rPr>
        <w:tab/>
        <w:t>D</w:t>
      </w:r>
      <w:r w:rsidR="00DB4C2D">
        <w:rPr>
          <w:lang w:val="fr-FR"/>
        </w:rPr>
        <w:t>’</w:t>
      </w:r>
      <w:r w:rsidRPr="00A779B8">
        <w:rPr>
          <w:lang w:val="fr-FR"/>
        </w:rPr>
        <w:t>autres méthodes de mesure sont admises à condition que l</w:t>
      </w:r>
      <w:r w:rsidR="00DB4C2D">
        <w:rPr>
          <w:lang w:val="fr-FR"/>
        </w:rPr>
        <w:t>’</w:t>
      </w:r>
      <w:r w:rsidRPr="00A779B8">
        <w:rPr>
          <w:lang w:val="fr-FR"/>
        </w:rPr>
        <w:t>on puisse démontrer qu</w:t>
      </w:r>
      <w:r w:rsidR="00DB4C2D">
        <w:rPr>
          <w:lang w:val="fr-FR"/>
        </w:rPr>
        <w:t>’</w:t>
      </w:r>
      <w:r w:rsidRPr="00A779B8">
        <w:rPr>
          <w:lang w:val="fr-FR"/>
        </w:rPr>
        <w:t>on obtient une précision équivalente.</w:t>
      </w:r>
    </w:p>
    <w:p w:rsidR="00C76E16" w:rsidRPr="00A779B8" w:rsidRDefault="00C76E16" w:rsidP="00C76E16">
      <w:pPr>
        <w:pStyle w:val="SingleTxtG"/>
        <w:keepNext/>
        <w:ind w:left="2268" w:hanging="1134"/>
        <w:jc w:val="left"/>
        <w:rPr>
          <w:lang w:val="fr-FR"/>
        </w:rPr>
      </w:pPr>
      <w:r w:rsidRPr="00A779B8">
        <w:rPr>
          <w:lang w:val="fr-FR"/>
        </w:rPr>
        <w:t>2.</w:t>
      </w:r>
      <w:r w:rsidRPr="00A779B8">
        <w:rPr>
          <w:lang w:val="fr-FR"/>
        </w:rPr>
        <w:tab/>
        <w:t>Calcul de la part du GNC dans l</w:t>
      </w:r>
      <w:r w:rsidR="00DB4C2D">
        <w:rPr>
          <w:lang w:val="fr-FR"/>
        </w:rPr>
        <w:t>’</w:t>
      </w:r>
      <w:r w:rsidRPr="00A779B8">
        <w:rPr>
          <w:lang w:val="fr-FR"/>
        </w:rPr>
        <w:t>énergie consommée</w:t>
      </w:r>
    </w:p>
    <w:p w:rsidR="00C76E16" w:rsidRPr="00A779B8" w:rsidRDefault="00C76E16" w:rsidP="00C76E16">
      <w:pPr>
        <w:pStyle w:val="SingleTxtG"/>
        <w:ind w:left="2268"/>
        <w:rPr>
          <w:lang w:val="fr-FR"/>
        </w:rPr>
      </w:pPr>
      <w:r w:rsidRPr="00A779B8">
        <w:rPr>
          <w:lang w:val="fr-FR"/>
        </w:rPr>
        <w:tab/>
        <w:t>La consommation de carburant doit être calculée à partir des émissions d</w:t>
      </w:r>
      <w:r w:rsidR="00DB4C2D">
        <w:rPr>
          <w:lang w:val="fr-FR"/>
        </w:rPr>
        <w:t>’</w:t>
      </w:r>
      <w:r w:rsidRPr="00A779B8">
        <w:rPr>
          <w:lang w:val="fr-FR"/>
        </w:rPr>
        <w:t>hydrocarbures, de monoxyde de carbone et de dioxyde de carbone, déterminées sur la base des résultats des mesures, si l</w:t>
      </w:r>
      <w:r w:rsidR="00DB4C2D">
        <w:rPr>
          <w:lang w:val="fr-FR"/>
        </w:rPr>
        <w:t>’</w:t>
      </w:r>
      <w:r w:rsidRPr="00A779B8">
        <w:rPr>
          <w:lang w:val="fr-FR"/>
        </w:rPr>
        <w:t>on pose en principe que seul du GNC est consommé durant l</w:t>
      </w:r>
      <w:r w:rsidR="00DB4C2D">
        <w:rPr>
          <w:lang w:val="fr-FR"/>
        </w:rPr>
        <w:t>’</w:t>
      </w:r>
      <w:r w:rsidRPr="00A779B8">
        <w:rPr>
          <w:lang w:val="fr-FR"/>
        </w:rPr>
        <w:t>essai.</w:t>
      </w:r>
    </w:p>
    <w:p w:rsidR="00C76E16" w:rsidRPr="00A779B8" w:rsidRDefault="00C76E16" w:rsidP="00C76E16">
      <w:pPr>
        <w:pStyle w:val="SingleTxtG"/>
        <w:keepNext/>
        <w:ind w:left="2268"/>
        <w:rPr>
          <w:lang w:val="fr-FR"/>
        </w:rPr>
      </w:pPr>
      <w:r w:rsidRPr="00A779B8">
        <w:rPr>
          <w:lang w:val="fr-FR"/>
        </w:rPr>
        <w:tab/>
        <w:t>La part du GNC dans l</w:t>
      </w:r>
      <w:r w:rsidR="00DB4C2D">
        <w:rPr>
          <w:lang w:val="fr-FR"/>
        </w:rPr>
        <w:t>’</w:t>
      </w:r>
      <w:r w:rsidRPr="00A779B8">
        <w:rPr>
          <w:lang w:val="fr-FR"/>
        </w:rPr>
        <w:t>énergie consommée au cours du cycle est déterminée comme suit:</w:t>
      </w:r>
    </w:p>
    <w:p w:rsidR="00C76E16" w:rsidRPr="00A779B8" w:rsidRDefault="00C76E16" w:rsidP="00955AB5">
      <w:pPr>
        <w:pStyle w:val="SingleTxtG"/>
        <w:tabs>
          <w:tab w:val="left" w:pos="2835"/>
          <w:tab w:val="left" w:pos="3119"/>
        </w:tabs>
        <w:ind w:left="2268"/>
        <w:jc w:val="left"/>
        <w:rPr>
          <w:lang w:val="en-GB"/>
        </w:rPr>
      </w:pPr>
      <w:r w:rsidRPr="00A779B8">
        <w:rPr>
          <w:lang w:val="en-GB"/>
        </w:rPr>
        <w:t>G</w:t>
      </w:r>
      <w:r w:rsidRPr="00A779B8">
        <w:rPr>
          <w:vertAlign w:val="subscript"/>
          <w:lang w:val="en-GB"/>
        </w:rPr>
        <w:t>CNG</w:t>
      </w:r>
      <w:r w:rsidR="00955AB5">
        <w:rPr>
          <w:lang w:val="en-GB"/>
        </w:rPr>
        <w:tab/>
        <w:t>=</w:t>
      </w:r>
      <w:r w:rsidR="00955AB5">
        <w:rPr>
          <w:lang w:val="en-GB"/>
        </w:rPr>
        <w:tab/>
      </w:r>
      <w:r w:rsidRPr="00A779B8">
        <w:rPr>
          <w:lang w:val="en-GB"/>
        </w:rPr>
        <w:t>M</w:t>
      </w:r>
      <w:r w:rsidRPr="00A779B8">
        <w:rPr>
          <w:vertAlign w:val="subscript"/>
          <w:lang w:val="en-GB"/>
        </w:rPr>
        <w:t>CNG</w:t>
      </w:r>
      <w:r w:rsidRPr="00A779B8">
        <w:rPr>
          <w:lang w:val="en-GB"/>
        </w:rPr>
        <w:t>*</w:t>
      </w:r>
      <w:proofErr w:type="spellStart"/>
      <w:r w:rsidRPr="00A779B8">
        <w:rPr>
          <w:lang w:val="en-GB"/>
        </w:rPr>
        <w:t>cf</w:t>
      </w:r>
      <w:proofErr w:type="spellEnd"/>
      <w:r w:rsidRPr="00A779B8">
        <w:rPr>
          <w:lang w:val="en-GB"/>
        </w:rPr>
        <w:t>*10 000/(</w:t>
      </w:r>
      <w:proofErr w:type="spellStart"/>
      <w:r w:rsidRPr="00A779B8">
        <w:rPr>
          <w:lang w:val="en-GB"/>
        </w:rPr>
        <w:t>FC</w:t>
      </w:r>
      <w:r w:rsidRPr="00A779B8">
        <w:rPr>
          <w:vertAlign w:val="subscript"/>
          <w:lang w:val="en-GB"/>
        </w:rPr>
        <w:t>norm</w:t>
      </w:r>
      <w:proofErr w:type="spellEnd"/>
      <w:r w:rsidRPr="00A779B8">
        <w:rPr>
          <w:lang w:val="en-GB"/>
        </w:rPr>
        <w:t>*</w:t>
      </w:r>
      <w:proofErr w:type="spellStart"/>
      <w:r w:rsidRPr="00A779B8">
        <w:rPr>
          <w:lang w:val="en-GB"/>
        </w:rPr>
        <w:t>dist</w:t>
      </w:r>
      <w:proofErr w:type="spellEnd"/>
      <w:r w:rsidRPr="00A779B8">
        <w:rPr>
          <w:lang w:val="en-GB"/>
        </w:rPr>
        <w:t>*d)</w:t>
      </w:r>
    </w:p>
    <w:p w:rsidR="00C76E16" w:rsidRPr="00A779B8" w:rsidRDefault="00C76E16" w:rsidP="00C76E16">
      <w:pPr>
        <w:pStyle w:val="SingleTxtG"/>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Change w:id="316">
          <w:tblGrid>
            <w:gridCol w:w="594"/>
            <w:gridCol w:w="297"/>
            <w:gridCol w:w="5346"/>
          </w:tblGrid>
        </w:tblGridChange>
      </w:tblGrid>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G</w:t>
            </w:r>
            <w:r w:rsidRPr="007E29C4">
              <w:rPr>
                <w:vertAlign w:val="subscript"/>
                <w:lang w:val="fr-FR"/>
              </w:rPr>
              <w:t>CNG</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la part (%) du GNC dans l</w:t>
            </w:r>
            <w:r w:rsidR="00DB4C2D">
              <w:rPr>
                <w:lang w:val="fr-FR"/>
              </w:rPr>
              <w:t>’</w:t>
            </w:r>
            <w:r w:rsidRPr="007E29C4">
              <w:rPr>
                <w:lang w:val="fr-FR"/>
              </w:rPr>
              <w:t>énergie consommée,</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M</w:t>
            </w:r>
            <w:r w:rsidRPr="007E29C4">
              <w:rPr>
                <w:vertAlign w:val="subscript"/>
                <w:lang w:val="fr-FR"/>
              </w:rPr>
              <w:t>CNG</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la masse de GNC consommée au cours du cycle d</w:t>
            </w:r>
            <w:r w:rsidR="00DB4C2D">
              <w:rPr>
                <w:lang w:val="fr-FR"/>
              </w:rPr>
              <w:t>’</w:t>
            </w:r>
            <w:r w:rsidRPr="007E29C4">
              <w:rPr>
                <w:lang w:val="fr-FR"/>
              </w:rPr>
              <w:t>essai (kg),</w:t>
            </w:r>
          </w:p>
        </w:tc>
      </w:tr>
      <w:tr w:rsidR="00C76E16" w:rsidRPr="007E29C4" w:rsidTr="00DB4C2D">
        <w:tc>
          <w:tcPr>
            <w:tcW w:w="567" w:type="dxa"/>
            <w:shd w:val="clear" w:color="auto" w:fill="auto"/>
          </w:tcPr>
          <w:p w:rsidR="00C76E16" w:rsidRPr="007E29C4" w:rsidRDefault="00C76E16" w:rsidP="00DB4C2D">
            <w:pPr>
              <w:spacing w:after="120"/>
              <w:rPr>
                <w:lang w:val="fr-FR"/>
              </w:rPr>
            </w:pPr>
            <w:proofErr w:type="spellStart"/>
            <w:r w:rsidRPr="007E29C4">
              <w:rPr>
                <w:lang w:val="fr-FR"/>
              </w:rPr>
              <w:t>FC</w:t>
            </w:r>
            <w:r w:rsidRPr="007E29C4">
              <w:rPr>
                <w:vertAlign w:val="subscript"/>
                <w:lang w:val="fr-FR"/>
              </w:rPr>
              <w:t>norm</w:t>
            </w:r>
            <w:proofErr w:type="spellEnd"/>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la consommation de carburant (m</w:t>
            </w:r>
            <w:r w:rsidRPr="007E29C4">
              <w:rPr>
                <w:vertAlign w:val="superscript"/>
                <w:lang w:val="fr-FR"/>
              </w:rPr>
              <w:t>3</w:t>
            </w:r>
            <w:r w:rsidRPr="007E29C4">
              <w:rPr>
                <w:lang w:val="fr-FR"/>
              </w:rPr>
              <w:t>/100 km) calculée conformément aux dispositions de l</w:t>
            </w:r>
            <w:r w:rsidR="00DB4C2D">
              <w:rPr>
                <w:lang w:val="fr-FR"/>
              </w:rPr>
              <w:t>’</w:t>
            </w:r>
            <w:r w:rsidRPr="007E29C4">
              <w:rPr>
                <w:lang w:val="fr-FR"/>
              </w:rPr>
              <w:t>alinéa </w:t>
            </w:r>
            <w:r w:rsidRPr="007E29C4">
              <w:rPr>
                <w:i/>
                <w:lang w:val="fr-FR"/>
              </w:rPr>
              <w:t>c</w:t>
            </w:r>
            <w:r w:rsidRPr="007E29C4">
              <w:rPr>
                <w:lang w:val="fr-FR"/>
              </w:rPr>
              <w:t xml:space="preserve"> du paragraphe 1.4.3 de l</w:t>
            </w:r>
            <w:r w:rsidR="00DB4C2D">
              <w:rPr>
                <w:lang w:val="fr-FR"/>
              </w:rPr>
              <w:t>’</w:t>
            </w:r>
            <w:r w:rsidRPr="007E29C4">
              <w:rPr>
                <w:lang w:val="fr-FR"/>
              </w:rPr>
              <w:t>annexe 6 du Règlement n</w:t>
            </w:r>
            <w:r w:rsidRPr="007E29C4">
              <w:rPr>
                <w:vertAlign w:val="superscript"/>
                <w:lang w:val="fr-FR"/>
              </w:rPr>
              <w:t>o</w:t>
            </w:r>
            <w:r w:rsidRPr="007E29C4">
              <w:rPr>
                <w:lang w:val="fr-FR"/>
              </w:rPr>
              <w:t> 101,</w:t>
            </w:r>
          </w:p>
        </w:tc>
      </w:tr>
      <w:tr w:rsidR="00C76E16" w:rsidRPr="007E29C4" w:rsidTr="00DB4C2D">
        <w:tc>
          <w:tcPr>
            <w:tcW w:w="567" w:type="dxa"/>
            <w:shd w:val="clear" w:color="auto" w:fill="auto"/>
          </w:tcPr>
          <w:p w:rsidR="00C76E16" w:rsidRPr="007E29C4" w:rsidRDefault="00C76E16" w:rsidP="00DB4C2D">
            <w:pPr>
              <w:spacing w:after="120"/>
              <w:rPr>
                <w:lang w:val="fr-FR"/>
              </w:rPr>
            </w:pPr>
            <w:proofErr w:type="spellStart"/>
            <w:r w:rsidRPr="007E29C4">
              <w:rPr>
                <w:lang w:val="fr-FR"/>
              </w:rPr>
              <w:t>dist</w:t>
            </w:r>
            <w:proofErr w:type="spellEnd"/>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la distance parcourue durant le cycle d</w:t>
            </w:r>
            <w:r w:rsidR="00DB4C2D">
              <w:rPr>
                <w:lang w:val="fr-FR"/>
              </w:rPr>
              <w:t>’</w:t>
            </w:r>
            <w:r w:rsidRPr="007E29C4">
              <w:rPr>
                <w:lang w:val="fr-FR"/>
              </w:rPr>
              <w:t>essai (km),</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d</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la densité; d = 0,654 kg/m</w:t>
            </w:r>
            <w:r w:rsidRPr="007E29C4">
              <w:rPr>
                <w:vertAlign w:val="superscript"/>
                <w:lang w:val="fr-FR"/>
              </w:rPr>
              <w:t>3</w:t>
            </w:r>
            <w:r w:rsidRPr="007E29C4">
              <w:rPr>
                <w:lang w:val="fr-FR"/>
              </w:rPr>
              <w:t>,</w:t>
            </w:r>
          </w:p>
        </w:tc>
      </w:tr>
      <w:tr w:rsidR="00C76E16" w:rsidRPr="007E29C4" w:rsidTr="00DB4C2D">
        <w:tc>
          <w:tcPr>
            <w:tcW w:w="567" w:type="dxa"/>
            <w:shd w:val="clear" w:color="auto" w:fill="auto"/>
          </w:tcPr>
          <w:p w:rsidR="00C76E16" w:rsidRPr="007E29C4" w:rsidRDefault="00C76E16" w:rsidP="00DB4C2D">
            <w:pPr>
              <w:spacing w:after="120"/>
              <w:rPr>
                <w:lang w:val="fr-FR"/>
              </w:rPr>
            </w:pPr>
            <w:proofErr w:type="spellStart"/>
            <w:r w:rsidRPr="007E29C4">
              <w:rPr>
                <w:lang w:val="fr-FR"/>
              </w:rPr>
              <w:t>cf</w:t>
            </w:r>
            <w:proofErr w:type="spellEnd"/>
            <w:r w:rsidRPr="007E29C4">
              <w:rPr>
                <w:vertAlign w:val="subscript"/>
                <w:lang w:val="fr-FR"/>
              </w:rPr>
              <w:t> </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facteur de correction, défini comme suit:</w:t>
            </w:r>
          </w:p>
        </w:tc>
      </w:tr>
      <w:tr w:rsidR="00C76E16" w:rsidRPr="007E29C4" w:rsidTr="00DB4C2D">
        <w:tc>
          <w:tcPr>
            <w:tcW w:w="567" w:type="dxa"/>
            <w:shd w:val="clear" w:color="auto" w:fill="auto"/>
          </w:tcPr>
          <w:p w:rsidR="00C76E16" w:rsidRPr="007E29C4" w:rsidRDefault="00C76E16" w:rsidP="00DB4C2D">
            <w:pPr>
              <w:spacing w:after="120"/>
              <w:rPr>
                <w:lang w:val="fr-FR"/>
              </w:rPr>
            </w:pPr>
            <w:proofErr w:type="spellStart"/>
            <w:r w:rsidRPr="007E29C4">
              <w:rPr>
                <w:lang w:val="fr-FR"/>
              </w:rPr>
              <w:t>cf</w:t>
            </w:r>
            <w:proofErr w:type="spellEnd"/>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1 si le carburant de référence est G</w:t>
            </w:r>
            <w:r w:rsidRPr="00955AB5">
              <w:rPr>
                <w:vertAlign w:val="subscript"/>
                <w:lang w:val="fr-FR"/>
              </w:rPr>
              <w:t>20</w:t>
            </w:r>
            <w:r w:rsidRPr="007E29C4">
              <w:rPr>
                <w:lang w:val="fr-FR"/>
              </w:rPr>
              <w:t>,</w:t>
            </w:r>
          </w:p>
        </w:tc>
      </w:tr>
      <w:tr w:rsidR="00C76E16" w:rsidRPr="007E29C4" w:rsidTr="00DB4C2D">
        <w:tc>
          <w:tcPr>
            <w:tcW w:w="567" w:type="dxa"/>
            <w:shd w:val="clear" w:color="auto" w:fill="auto"/>
          </w:tcPr>
          <w:p w:rsidR="00C76E16" w:rsidRPr="007E29C4" w:rsidRDefault="00C76E16" w:rsidP="00DB4C2D">
            <w:pPr>
              <w:spacing w:after="120"/>
              <w:rPr>
                <w:lang w:val="fr-FR"/>
              </w:rPr>
            </w:pPr>
            <w:proofErr w:type="spellStart"/>
            <w:r w:rsidRPr="007E29C4">
              <w:rPr>
                <w:lang w:val="fr-FR"/>
              </w:rPr>
              <w:t>cf</w:t>
            </w:r>
            <w:proofErr w:type="spellEnd"/>
            <w:r w:rsidRPr="007E29C4">
              <w:rPr>
                <w:lang w:val="fr-FR"/>
              </w:rPr>
              <w:t> </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0,78 si le carburant de référence est G</w:t>
            </w:r>
            <w:r w:rsidRPr="00955AB5">
              <w:rPr>
                <w:vertAlign w:val="subscript"/>
                <w:lang w:val="fr-FR"/>
              </w:rPr>
              <w:t>25</w:t>
            </w:r>
            <w:r w:rsidRPr="007E29C4">
              <w:rPr>
                <w:lang w:val="fr-FR"/>
              </w:rPr>
              <w:t>.</w:t>
            </w:r>
          </w:p>
        </w:tc>
      </w:tr>
    </w:tbl>
    <w:p w:rsidR="00C76E16" w:rsidRDefault="00C76E16" w:rsidP="00CB2B89">
      <w:pPr>
        <w:pStyle w:val="SingleTxtG"/>
        <w:spacing w:after="100"/>
        <w:ind w:left="2268" w:hanging="1134"/>
        <w:sectPr w:rsidR="00C76E16" w:rsidSect="00C108AC">
          <w:headerReference w:type="even" r:id="rId278"/>
          <w:headerReference w:type="default" r:id="rId279"/>
          <w:footnotePr>
            <w:numRestart w:val="eachSect"/>
          </w:footnotePr>
          <w:endnotePr>
            <w:numFmt w:val="decimal"/>
          </w:endnotePr>
          <w:pgSz w:w="11907" w:h="16840" w:code="9"/>
          <w:pgMar w:top="1701" w:right="1134" w:bottom="2268" w:left="1134" w:header="794" w:footer="1701" w:gutter="0"/>
          <w:cols w:space="720"/>
          <w:docGrid w:linePitch="272"/>
        </w:sectPr>
      </w:pPr>
    </w:p>
    <w:p w:rsidR="00C76E16" w:rsidRPr="00A779B8" w:rsidRDefault="00C76E16" w:rsidP="00C76E16">
      <w:pPr>
        <w:pStyle w:val="HChG"/>
        <w:rPr>
          <w:lang w:val="fr-FR"/>
        </w:rPr>
      </w:pPr>
      <w:r w:rsidRPr="00A779B8">
        <w:rPr>
          <w:lang w:val="fr-FR"/>
        </w:rPr>
        <w:lastRenderedPageBreak/>
        <w:t>Annexe 13</w:t>
      </w:r>
    </w:p>
    <w:p w:rsidR="00C76E16" w:rsidRPr="00A779B8" w:rsidRDefault="00C76E16" w:rsidP="00C76E16">
      <w:pPr>
        <w:pStyle w:val="HChG"/>
        <w:rPr>
          <w:lang w:val="fr-FR"/>
        </w:rPr>
      </w:pPr>
      <w:r w:rsidRPr="00A779B8">
        <w:rPr>
          <w:lang w:val="fr-FR"/>
        </w:rPr>
        <w:tab/>
      </w:r>
      <w:r w:rsidRPr="00A779B8">
        <w:rPr>
          <w:lang w:val="fr-FR"/>
        </w:rPr>
        <w:tab/>
        <w:t>Méthode d</w:t>
      </w:r>
      <w:r w:rsidR="00DB4C2D">
        <w:rPr>
          <w:lang w:val="fr-FR"/>
        </w:rPr>
        <w:t>’</w:t>
      </w:r>
      <w:r w:rsidRPr="00A779B8">
        <w:rPr>
          <w:lang w:val="fr-FR"/>
        </w:rPr>
        <w:t>essai pour le contrôle des émissions</w:t>
      </w:r>
      <w:r w:rsidRPr="00A779B8">
        <w:rPr>
          <w:lang w:val="fr-FR"/>
        </w:rPr>
        <w:br/>
        <w:t>d</w:t>
      </w:r>
      <w:r w:rsidR="00DB4C2D">
        <w:rPr>
          <w:lang w:val="fr-FR"/>
        </w:rPr>
        <w:t>’</w:t>
      </w:r>
      <w:r w:rsidRPr="00A779B8">
        <w:rPr>
          <w:lang w:val="fr-FR"/>
        </w:rPr>
        <w:t>un véhicule équipé d</w:t>
      </w:r>
      <w:r w:rsidR="00DB4C2D">
        <w:rPr>
          <w:lang w:val="fr-FR"/>
        </w:rPr>
        <w:t>’</w:t>
      </w:r>
      <w:r w:rsidRPr="00A779B8">
        <w:rPr>
          <w:lang w:val="fr-FR"/>
        </w:rPr>
        <w:t>un dispositif</w:t>
      </w:r>
      <w:r w:rsidRPr="00A779B8">
        <w:rPr>
          <w:lang w:val="fr-FR"/>
        </w:rPr>
        <w:br/>
        <w:t>à régénération périodique</w:t>
      </w:r>
    </w:p>
    <w:p w:rsidR="00C76E16" w:rsidRPr="00A779B8" w:rsidRDefault="00C76E16" w:rsidP="00C76E16">
      <w:pPr>
        <w:pStyle w:val="SingleTxtG"/>
        <w:keepNext/>
        <w:ind w:left="2268" w:hanging="1134"/>
        <w:jc w:val="left"/>
        <w:rPr>
          <w:lang w:val="fr-FR"/>
        </w:rPr>
      </w:pPr>
      <w:r w:rsidRPr="00A779B8">
        <w:rPr>
          <w:lang w:val="fr-FR"/>
        </w:rPr>
        <w:t>1.</w:t>
      </w:r>
      <w:r w:rsidRPr="00A779B8">
        <w:rPr>
          <w:lang w:val="fr-FR"/>
        </w:rPr>
        <w:tab/>
      </w:r>
      <w:r w:rsidRPr="00A779B8">
        <w:rPr>
          <w:lang w:val="fr-FR"/>
        </w:rPr>
        <w:tab/>
        <w:t>Introduction</w:t>
      </w:r>
    </w:p>
    <w:p w:rsidR="00C76E16" w:rsidRPr="00A779B8" w:rsidRDefault="00C76E16" w:rsidP="00C76E16">
      <w:pPr>
        <w:pStyle w:val="SingleTxtG"/>
        <w:ind w:left="2268"/>
        <w:rPr>
          <w:lang w:val="fr-FR"/>
        </w:rPr>
      </w:pPr>
      <w:r w:rsidRPr="00A779B8">
        <w:rPr>
          <w:lang w:val="fr-FR"/>
        </w:rPr>
        <w:tab/>
        <w:t>La présente annexe fixe les prescriptions particulières en ce qui concerne l</w:t>
      </w:r>
      <w:r w:rsidR="00DB4C2D">
        <w:rPr>
          <w:lang w:val="fr-FR"/>
        </w:rPr>
        <w:t>’</w:t>
      </w:r>
      <w:r w:rsidRPr="00A779B8">
        <w:rPr>
          <w:lang w:val="fr-FR"/>
        </w:rPr>
        <w:t>homologation de type d</w:t>
      </w:r>
      <w:r w:rsidR="00DB4C2D">
        <w:rPr>
          <w:lang w:val="fr-FR"/>
        </w:rPr>
        <w:t>’</w:t>
      </w:r>
      <w:r w:rsidRPr="00A779B8">
        <w:rPr>
          <w:lang w:val="fr-FR"/>
        </w:rPr>
        <w:t>un véhicule équipé d</w:t>
      </w:r>
      <w:r w:rsidR="00DB4C2D">
        <w:rPr>
          <w:lang w:val="fr-FR"/>
        </w:rPr>
        <w:t>’</w:t>
      </w:r>
      <w:r w:rsidRPr="00A779B8">
        <w:rPr>
          <w:lang w:val="fr-FR"/>
        </w:rPr>
        <w:t>un dispositif à régénération périodique tel qu</w:t>
      </w:r>
      <w:r w:rsidR="00DB4C2D">
        <w:rPr>
          <w:lang w:val="fr-FR"/>
        </w:rPr>
        <w:t>’</w:t>
      </w:r>
      <w:r w:rsidRPr="00A779B8">
        <w:rPr>
          <w:lang w:val="fr-FR"/>
        </w:rPr>
        <w:t>il est défini au paragraphe 2.20 du présent Règlement.</w:t>
      </w:r>
    </w:p>
    <w:p w:rsidR="00C76E16" w:rsidRPr="00A779B8" w:rsidRDefault="00C76E16" w:rsidP="00C76E16">
      <w:pPr>
        <w:pStyle w:val="SingleTxtG"/>
        <w:keepNext/>
        <w:ind w:left="2268" w:hanging="1134"/>
        <w:jc w:val="left"/>
        <w:rPr>
          <w:lang w:val="fr-FR"/>
        </w:rPr>
      </w:pPr>
      <w:r w:rsidRPr="00A779B8">
        <w:rPr>
          <w:lang w:val="fr-FR"/>
        </w:rPr>
        <w:t>2.</w:t>
      </w:r>
      <w:r w:rsidRPr="00A779B8">
        <w:rPr>
          <w:lang w:val="fr-FR"/>
        </w:rPr>
        <w:tab/>
        <w:t>Domaine d</w:t>
      </w:r>
      <w:r w:rsidR="00DB4C2D">
        <w:rPr>
          <w:lang w:val="fr-FR"/>
        </w:rPr>
        <w:t>’</w:t>
      </w:r>
      <w:r w:rsidRPr="00A779B8">
        <w:rPr>
          <w:lang w:val="fr-FR"/>
        </w:rPr>
        <w:t>application et extension de l</w:t>
      </w:r>
      <w:r w:rsidR="00DB4C2D">
        <w:rPr>
          <w:lang w:val="fr-FR"/>
        </w:rPr>
        <w:t>’</w:t>
      </w:r>
      <w:r w:rsidRPr="00A779B8">
        <w:rPr>
          <w:lang w:val="fr-FR"/>
        </w:rPr>
        <w:t>homologation de type</w:t>
      </w:r>
    </w:p>
    <w:p w:rsidR="00C76E16" w:rsidRPr="00536F94" w:rsidRDefault="00C76E16" w:rsidP="00C76E16">
      <w:pPr>
        <w:pStyle w:val="SingleTxtG"/>
        <w:keepNext/>
        <w:ind w:left="2268" w:hanging="1134"/>
        <w:jc w:val="left"/>
        <w:rPr>
          <w:lang w:val="fr-FR"/>
        </w:rPr>
      </w:pPr>
      <w:r w:rsidRPr="00A779B8">
        <w:rPr>
          <w:lang w:val="fr-FR"/>
        </w:rPr>
        <w:t>2.1</w:t>
      </w:r>
      <w:r w:rsidRPr="00A779B8">
        <w:rPr>
          <w:lang w:val="fr-FR"/>
        </w:rPr>
        <w:tab/>
      </w:r>
      <w:r w:rsidRPr="00536F94">
        <w:rPr>
          <w:lang w:val="fr-FR"/>
        </w:rPr>
        <w:t>Familles de véhicules équipés d</w:t>
      </w:r>
      <w:r w:rsidR="00DB4C2D">
        <w:rPr>
          <w:lang w:val="fr-FR"/>
        </w:rPr>
        <w:t>’</w:t>
      </w:r>
      <w:r w:rsidRPr="00536F94">
        <w:rPr>
          <w:lang w:val="fr-FR"/>
        </w:rPr>
        <w:t>un dispositif à régénération périodique</w:t>
      </w:r>
    </w:p>
    <w:p w:rsidR="00C76E16" w:rsidRPr="00A779B8" w:rsidRDefault="00C76E16" w:rsidP="00C76E16">
      <w:pPr>
        <w:pStyle w:val="SingleTxtG"/>
        <w:ind w:left="2268"/>
        <w:rPr>
          <w:lang w:val="fr-FR"/>
        </w:rPr>
      </w:pPr>
      <w:r w:rsidRPr="00A779B8">
        <w:rPr>
          <w:lang w:val="fr-FR"/>
        </w:rPr>
        <w:tab/>
        <w:t>La méthode d</w:t>
      </w:r>
      <w:r w:rsidR="00DB4C2D">
        <w:rPr>
          <w:lang w:val="fr-FR"/>
        </w:rPr>
        <w:t>’</w:t>
      </w:r>
      <w:r w:rsidRPr="00A779B8">
        <w:rPr>
          <w:lang w:val="fr-FR"/>
        </w:rPr>
        <w:t>essai s</w:t>
      </w:r>
      <w:r w:rsidR="00DB4C2D">
        <w:rPr>
          <w:lang w:val="fr-FR"/>
        </w:rPr>
        <w:t>’</w:t>
      </w:r>
      <w:r w:rsidRPr="00A779B8">
        <w:rPr>
          <w:lang w:val="fr-FR"/>
        </w:rPr>
        <w:t>applique aux véhicules équipés d</w:t>
      </w:r>
      <w:r w:rsidR="00DB4C2D">
        <w:rPr>
          <w:lang w:val="fr-FR"/>
        </w:rPr>
        <w:t>’</w:t>
      </w:r>
      <w:r w:rsidRPr="00A779B8">
        <w:rPr>
          <w:lang w:val="fr-FR"/>
        </w:rPr>
        <w:t>un dispositif à régénération périodique tel qu</w:t>
      </w:r>
      <w:r w:rsidR="00DB4C2D">
        <w:rPr>
          <w:lang w:val="fr-FR"/>
        </w:rPr>
        <w:t>’</w:t>
      </w:r>
      <w:r w:rsidRPr="00A779B8">
        <w:rPr>
          <w:lang w:val="fr-FR"/>
        </w:rPr>
        <w:t>il est défini au paragraphe 2.20 du présent Règlement. Des familles de véhicules peuvent être établies aux fins de la présente annexe. En conséquence, les types de véhicules équipés d</w:t>
      </w:r>
      <w:r w:rsidR="00DB4C2D">
        <w:rPr>
          <w:lang w:val="fr-FR"/>
        </w:rPr>
        <w:t>’</w:t>
      </w:r>
      <w:r w:rsidRPr="00A779B8">
        <w:rPr>
          <w:lang w:val="fr-FR"/>
        </w:rPr>
        <w:t>un système à régénération dont les paramètres énumérés ci-après sont identiques ou se situent dans les tolérances indiquées sont considérés comme appartenant à la même famille pour les mesures s</w:t>
      </w:r>
      <w:r w:rsidR="00DB4C2D">
        <w:rPr>
          <w:lang w:val="fr-FR"/>
        </w:rPr>
        <w:t>’</w:t>
      </w:r>
      <w:r w:rsidRPr="00A779B8">
        <w:rPr>
          <w:lang w:val="fr-FR"/>
        </w:rPr>
        <w:t>appliquant spécifiquement aux dispositifs à régénération périodique décrits.</w:t>
      </w:r>
    </w:p>
    <w:p w:rsidR="00C76E16" w:rsidRPr="00A779B8" w:rsidRDefault="00C76E16" w:rsidP="00C76E16">
      <w:pPr>
        <w:pStyle w:val="SingleTxtG"/>
        <w:keepNext/>
        <w:ind w:left="2268" w:hanging="1134"/>
        <w:jc w:val="left"/>
        <w:rPr>
          <w:lang w:val="fr-FR"/>
        </w:rPr>
      </w:pPr>
      <w:r w:rsidRPr="00A779B8">
        <w:rPr>
          <w:lang w:val="fr-FR"/>
        </w:rPr>
        <w:t>2.1.1</w:t>
      </w:r>
      <w:r w:rsidRPr="00A779B8">
        <w:rPr>
          <w:lang w:val="fr-FR"/>
        </w:rPr>
        <w:tab/>
      </w:r>
      <w:r w:rsidRPr="00A779B8">
        <w:rPr>
          <w:lang w:val="fr-FR"/>
        </w:rPr>
        <w:tab/>
        <w:t>Paramètres identiques:</w:t>
      </w:r>
    </w:p>
    <w:p w:rsidR="00C76E16" w:rsidRPr="00A779B8" w:rsidRDefault="00C76E16" w:rsidP="00C76E16">
      <w:pPr>
        <w:pStyle w:val="SingleTxtG"/>
        <w:keepNext/>
        <w:ind w:left="2268"/>
        <w:rPr>
          <w:lang w:val="fr-FR"/>
        </w:rPr>
      </w:pPr>
      <w:r w:rsidRPr="00A779B8">
        <w:rPr>
          <w:lang w:val="fr-FR"/>
        </w:rPr>
        <w:t>Moteur:</w:t>
      </w:r>
    </w:p>
    <w:p w:rsidR="00C76E16" w:rsidRPr="00A779B8" w:rsidRDefault="00C76E16" w:rsidP="00C76E16">
      <w:pPr>
        <w:pStyle w:val="SingleTxtG"/>
        <w:ind w:left="2835" w:hanging="567"/>
        <w:rPr>
          <w:lang w:val="fr-FR"/>
        </w:rPr>
      </w:pPr>
      <w:r w:rsidRPr="00A779B8">
        <w:rPr>
          <w:lang w:val="fr-FR"/>
        </w:rPr>
        <w:t>a)</w:t>
      </w:r>
      <w:r w:rsidRPr="00A779B8">
        <w:rPr>
          <w:lang w:val="fr-FR"/>
        </w:rPr>
        <w:tab/>
        <w:t>Procédé de combustion.</w:t>
      </w:r>
    </w:p>
    <w:p w:rsidR="00C76E16" w:rsidRPr="00A779B8" w:rsidRDefault="00C76E16" w:rsidP="00C76E16">
      <w:pPr>
        <w:pStyle w:val="SingleTxtG"/>
        <w:keepNext/>
        <w:ind w:left="2280" w:hanging="12"/>
        <w:rPr>
          <w:lang w:val="fr-FR"/>
        </w:rPr>
      </w:pPr>
      <w:r w:rsidRPr="00A779B8">
        <w:rPr>
          <w:lang w:val="fr-FR"/>
        </w:rPr>
        <w:t>Dispositif à régénération périodique (catalyseur, filtre à particules):</w:t>
      </w:r>
    </w:p>
    <w:p w:rsidR="00C76E16" w:rsidRPr="00A779B8" w:rsidRDefault="00C76E16" w:rsidP="00C76E16">
      <w:pPr>
        <w:pStyle w:val="SingleTxtG"/>
        <w:ind w:left="2835" w:hanging="567"/>
        <w:rPr>
          <w:lang w:val="fr-FR"/>
        </w:rPr>
      </w:pPr>
      <w:r w:rsidRPr="00A779B8">
        <w:rPr>
          <w:lang w:val="fr-FR"/>
        </w:rPr>
        <w:t>a)</w:t>
      </w:r>
      <w:r w:rsidRPr="00A779B8">
        <w:rPr>
          <w:lang w:val="fr-FR"/>
        </w:rPr>
        <w:tab/>
        <w:t>Configuration (type d</w:t>
      </w:r>
      <w:r w:rsidR="00DB4C2D">
        <w:rPr>
          <w:lang w:val="fr-FR"/>
        </w:rPr>
        <w:t>’</w:t>
      </w:r>
      <w:r w:rsidRPr="00A779B8">
        <w:rPr>
          <w:lang w:val="fr-FR"/>
        </w:rPr>
        <w:t>enceinte, type de métal précieux, type de substrat, densité des canaux);</w:t>
      </w:r>
    </w:p>
    <w:p w:rsidR="00C76E16" w:rsidRPr="00A779B8" w:rsidRDefault="00C76E16" w:rsidP="00C76E16">
      <w:pPr>
        <w:pStyle w:val="SingleTxtG"/>
        <w:ind w:left="2835" w:hanging="567"/>
        <w:rPr>
          <w:lang w:val="fr-FR"/>
        </w:rPr>
      </w:pPr>
      <w:r w:rsidRPr="00A779B8">
        <w:rPr>
          <w:lang w:val="fr-FR"/>
        </w:rPr>
        <w:t>b)</w:t>
      </w:r>
      <w:r w:rsidRPr="00A779B8">
        <w:rPr>
          <w:lang w:val="fr-FR"/>
        </w:rPr>
        <w:tab/>
        <w:t>Type et principe de fonctionnement;</w:t>
      </w:r>
    </w:p>
    <w:p w:rsidR="00C76E16" w:rsidRPr="00A779B8" w:rsidRDefault="00C76E16" w:rsidP="00C76E16">
      <w:pPr>
        <w:pStyle w:val="SingleTxtG"/>
        <w:ind w:left="2835" w:hanging="567"/>
        <w:rPr>
          <w:lang w:val="fr-FR"/>
        </w:rPr>
      </w:pPr>
      <w:r w:rsidRPr="00A779B8">
        <w:rPr>
          <w:lang w:val="fr-FR"/>
        </w:rPr>
        <w:t>c)</w:t>
      </w:r>
      <w:r w:rsidRPr="00A779B8">
        <w:rPr>
          <w:lang w:val="fr-FR"/>
        </w:rPr>
        <w:tab/>
        <w:t>Système de dosage et d</w:t>
      </w:r>
      <w:r w:rsidR="00DB4C2D">
        <w:rPr>
          <w:lang w:val="fr-FR"/>
        </w:rPr>
        <w:t>’</w:t>
      </w:r>
      <w:r w:rsidRPr="00A779B8">
        <w:rPr>
          <w:lang w:val="fr-FR"/>
        </w:rPr>
        <w:t>additif;</w:t>
      </w:r>
    </w:p>
    <w:p w:rsidR="00C76E16" w:rsidRPr="00A779B8" w:rsidRDefault="00C76E16" w:rsidP="00C76E16">
      <w:pPr>
        <w:pStyle w:val="SingleTxtG"/>
        <w:ind w:left="2835" w:hanging="567"/>
        <w:rPr>
          <w:lang w:val="fr-FR"/>
        </w:rPr>
      </w:pPr>
      <w:r w:rsidRPr="00A779B8">
        <w:rPr>
          <w:lang w:val="fr-FR"/>
        </w:rPr>
        <w:t>d)</w:t>
      </w:r>
      <w:r w:rsidRPr="00A779B8">
        <w:rPr>
          <w:lang w:val="fr-FR"/>
        </w:rPr>
        <w:tab/>
        <w:t xml:space="preserve">Volume </w:t>
      </w:r>
      <w:r w:rsidRPr="00A779B8">
        <w:rPr>
          <w:lang w:val="fr-FR"/>
        </w:rPr>
        <w:sym w:font="Symbol" w:char="F0B1"/>
      </w:r>
      <w:r w:rsidRPr="00A779B8">
        <w:rPr>
          <w:lang w:val="fr-FR"/>
        </w:rPr>
        <w:t>10 %;</w:t>
      </w:r>
    </w:p>
    <w:p w:rsidR="00C76E16" w:rsidRPr="00A779B8" w:rsidRDefault="00C76E16" w:rsidP="00C76E16">
      <w:pPr>
        <w:pStyle w:val="SingleTxtG"/>
        <w:ind w:left="2835" w:hanging="567"/>
        <w:rPr>
          <w:lang w:val="fr-FR"/>
        </w:rPr>
      </w:pPr>
      <w:r w:rsidRPr="00A779B8">
        <w:rPr>
          <w:lang w:val="fr-FR"/>
        </w:rPr>
        <w:t>e)</w:t>
      </w:r>
      <w:r w:rsidRPr="00A779B8">
        <w:rPr>
          <w:lang w:val="fr-FR"/>
        </w:rPr>
        <w:tab/>
        <w:t xml:space="preserve">Emplacement (température </w:t>
      </w:r>
      <w:r w:rsidRPr="00A779B8">
        <w:rPr>
          <w:lang w:val="fr-FR"/>
        </w:rPr>
        <w:sym w:font="Symbol" w:char="F0B1"/>
      </w:r>
      <w:r w:rsidRPr="00A779B8">
        <w:rPr>
          <w:lang w:val="fr-FR"/>
        </w:rPr>
        <w:t>50 ºC à 120 km/h ou écart de 5 % par rapport à la température et/ou la pression maximale).</w:t>
      </w:r>
    </w:p>
    <w:p w:rsidR="00C76E16" w:rsidRPr="00536F94" w:rsidRDefault="00C76E16" w:rsidP="00C76E16">
      <w:pPr>
        <w:pStyle w:val="SingleTxtG"/>
        <w:keepNext/>
        <w:ind w:left="2268" w:hanging="1134"/>
        <w:jc w:val="left"/>
        <w:rPr>
          <w:lang w:val="fr-FR"/>
        </w:rPr>
      </w:pPr>
      <w:r w:rsidRPr="00A779B8">
        <w:rPr>
          <w:lang w:val="fr-FR"/>
        </w:rPr>
        <w:t>2.2</w:t>
      </w:r>
      <w:r w:rsidRPr="00A779B8">
        <w:rPr>
          <w:lang w:val="fr-FR"/>
        </w:rPr>
        <w:tab/>
      </w:r>
      <w:r w:rsidRPr="00A779B8">
        <w:rPr>
          <w:i/>
          <w:lang w:val="fr-FR"/>
        </w:rPr>
        <w:tab/>
      </w:r>
      <w:r w:rsidRPr="00536F94">
        <w:rPr>
          <w:lang w:val="fr-FR"/>
        </w:rPr>
        <w:t>Types de véhicules de différentes masses de référence</w:t>
      </w:r>
    </w:p>
    <w:p w:rsidR="00C76E16" w:rsidRPr="00A779B8" w:rsidRDefault="00C76E16" w:rsidP="00C76E16">
      <w:pPr>
        <w:pStyle w:val="SingleTxtG"/>
        <w:ind w:left="2268"/>
        <w:rPr>
          <w:lang w:val="fr-FR"/>
        </w:rPr>
      </w:pPr>
      <w:r w:rsidRPr="00A779B8">
        <w:rPr>
          <w:lang w:val="fr-FR"/>
        </w:rPr>
        <w:tab/>
        <w:t>Les coefficients K</w:t>
      </w:r>
      <w:r w:rsidRPr="00A779B8">
        <w:rPr>
          <w:vertAlign w:val="subscript"/>
          <w:lang w:val="fr-FR"/>
        </w:rPr>
        <w:t>i</w:t>
      </w:r>
      <w:r w:rsidRPr="00A779B8">
        <w:rPr>
          <w:lang w:val="fr-FR"/>
        </w:rPr>
        <w:t xml:space="preserve"> déterminés selon les procédures décrites dans la présente annexe pour l</w:t>
      </w:r>
      <w:r w:rsidR="00DB4C2D">
        <w:rPr>
          <w:lang w:val="fr-FR"/>
        </w:rPr>
        <w:t>’</w:t>
      </w:r>
      <w:r w:rsidRPr="00A779B8">
        <w:rPr>
          <w:lang w:val="fr-FR"/>
        </w:rPr>
        <w:t>homologation d</w:t>
      </w:r>
      <w:r w:rsidR="00DB4C2D">
        <w:rPr>
          <w:lang w:val="fr-FR"/>
        </w:rPr>
        <w:t>’</w:t>
      </w:r>
      <w:r w:rsidRPr="00A779B8">
        <w:rPr>
          <w:lang w:val="fr-FR"/>
        </w:rPr>
        <w:t>un type de véhicule équipé d</w:t>
      </w:r>
      <w:r w:rsidR="00DB4C2D">
        <w:rPr>
          <w:lang w:val="fr-FR"/>
        </w:rPr>
        <w:t>’</w:t>
      </w:r>
      <w:r w:rsidRPr="00A779B8">
        <w:rPr>
          <w:lang w:val="fr-FR"/>
        </w:rPr>
        <w:t>un dispositif à régénération périodique tel qu</w:t>
      </w:r>
      <w:r w:rsidR="00DB4C2D">
        <w:rPr>
          <w:lang w:val="fr-FR"/>
        </w:rPr>
        <w:t>’</w:t>
      </w:r>
      <w:r w:rsidRPr="00A779B8">
        <w:rPr>
          <w:lang w:val="fr-FR"/>
        </w:rPr>
        <w:t>il est défini au paragraphe 2.20 du présent Règlement, peuvent être étendus à d</w:t>
      </w:r>
      <w:r w:rsidR="00DB4C2D">
        <w:rPr>
          <w:lang w:val="fr-FR"/>
        </w:rPr>
        <w:t>’</w:t>
      </w:r>
      <w:r w:rsidRPr="00A779B8">
        <w:rPr>
          <w:lang w:val="fr-FR"/>
        </w:rPr>
        <w:t>autres véhicules de la même famille dont la masse de référence se situe dans les limites des deux classes d</w:t>
      </w:r>
      <w:r w:rsidR="00DB4C2D">
        <w:rPr>
          <w:lang w:val="fr-FR"/>
        </w:rPr>
        <w:t>’</w:t>
      </w:r>
      <w:r w:rsidRPr="00A779B8">
        <w:rPr>
          <w:lang w:val="fr-FR"/>
        </w:rPr>
        <w:t>inertie équivalentes supérieures ou dans toute autre classe d</w:t>
      </w:r>
      <w:r w:rsidR="00DB4C2D">
        <w:rPr>
          <w:lang w:val="fr-FR"/>
        </w:rPr>
        <w:t>’</w:t>
      </w:r>
      <w:r w:rsidRPr="00A779B8">
        <w:rPr>
          <w:lang w:val="fr-FR"/>
        </w:rPr>
        <w:t>inertie équivalente inférieure.</w:t>
      </w:r>
    </w:p>
    <w:p w:rsidR="00C76E16" w:rsidRPr="00A779B8" w:rsidRDefault="00C76E16" w:rsidP="00C76E16">
      <w:pPr>
        <w:pStyle w:val="SingleTxtG"/>
        <w:keepNext/>
        <w:ind w:left="2268" w:hanging="1134"/>
        <w:jc w:val="left"/>
        <w:rPr>
          <w:lang w:val="fr-FR"/>
        </w:rPr>
      </w:pPr>
      <w:r w:rsidRPr="00A779B8">
        <w:rPr>
          <w:lang w:val="fr-FR"/>
        </w:rPr>
        <w:lastRenderedPageBreak/>
        <w:t>3.</w:t>
      </w:r>
      <w:r w:rsidRPr="00A779B8">
        <w:rPr>
          <w:lang w:val="fr-FR"/>
        </w:rPr>
        <w:tab/>
      </w:r>
      <w:r w:rsidRPr="00A779B8">
        <w:rPr>
          <w:lang w:val="fr-FR"/>
        </w:rPr>
        <w:tab/>
        <w:t>Mode opératoire</w:t>
      </w:r>
    </w:p>
    <w:p w:rsidR="00C76E16" w:rsidRPr="00A779B8" w:rsidRDefault="00C76E16" w:rsidP="00C76E16">
      <w:pPr>
        <w:pStyle w:val="SingleTxtG"/>
        <w:keepLines/>
        <w:ind w:left="2268"/>
        <w:rPr>
          <w:lang w:val="fr-FR"/>
        </w:rPr>
      </w:pPr>
      <w:r w:rsidRPr="00A779B8">
        <w:rPr>
          <w:lang w:val="fr-FR"/>
        </w:rPr>
        <w:t>Le véhicule peut être muni d</w:t>
      </w:r>
      <w:r w:rsidR="00DB4C2D">
        <w:rPr>
          <w:lang w:val="fr-FR"/>
        </w:rPr>
        <w:t>’</w:t>
      </w:r>
      <w:r w:rsidRPr="00A779B8">
        <w:rPr>
          <w:lang w:val="fr-FR"/>
        </w:rPr>
        <w:t>un interrupteur permettant d</w:t>
      </w:r>
      <w:r w:rsidR="00DB4C2D">
        <w:rPr>
          <w:lang w:val="fr-FR"/>
        </w:rPr>
        <w:t>’</w:t>
      </w:r>
      <w:r w:rsidRPr="00A779B8">
        <w:rPr>
          <w:lang w:val="fr-FR"/>
        </w:rPr>
        <w:t>empêcher ou de permettre la phase de régénération, à condition que cette opération n</w:t>
      </w:r>
      <w:r w:rsidR="00DB4C2D">
        <w:rPr>
          <w:lang w:val="fr-FR"/>
        </w:rPr>
        <w:t>’</w:t>
      </w:r>
      <w:r w:rsidRPr="00A779B8">
        <w:rPr>
          <w:lang w:val="fr-FR"/>
        </w:rPr>
        <w:t>influe pas sur les réglages d</w:t>
      </w:r>
      <w:r w:rsidR="00DB4C2D">
        <w:rPr>
          <w:lang w:val="fr-FR"/>
        </w:rPr>
        <w:t>’</w:t>
      </w:r>
      <w:r w:rsidRPr="00A779B8">
        <w:rPr>
          <w:lang w:val="fr-FR"/>
        </w:rPr>
        <w:t>origine du moteur. Cet interrupteur doit seulement être utilisé pour empêcher la phase de régénération de se produire pendant la phase d</w:t>
      </w:r>
      <w:r w:rsidR="00DB4C2D">
        <w:rPr>
          <w:lang w:val="fr-FR"/>
        </w:rPr>
        <w:t>’</w:t>
      </w:r>
      <w:r w:rsidRPr="00A779B8">
        <w:rPr>
          <w:lang w:val="fr-FR"/>
        </w:rPr>
        <w:t xml:space="preserve">encrassement du dispositif de régénération et pendant les cycles de </w:t>
      </w:r>
      <w:proofErr w:type="spellStart"/>
      <w:r w:rsidRPr="00A779B8">
        <w:rPr>
          <w:lang w:val="fr-FR"/>
        </w:rPr>
        <w:t>préconditionnement</w:t>
      </w:r>
      <w:proofErr w:type="spellEnd"/>
      <w:r w:rsidRPr="00A779B8">
        <w:rPr>
          <w:lang w:val="fr-FR"/>
        </w:rPr>
        <w:t>. Par contre, il ne doit pas être utilisé pendant la mesure des émissions au cours de la phase de régénération; dans ce cas, l</w:t>
      </w:r>
      <w:r w:rsidR="00DB4C2D">
        <w:rPr>
          <w:lang w:val="fr-FR"/>
        </w:rPr>
        <w:t>’</w:t>
      </w:r>
      <w:r w:rsidRPr="00A779B8">
        <w:rPr>
          <w:lang w:val="fr-FR"/>
        </w:rPr>
        <w:t>essai d</w:t>
      </w:r>
      <w:r w:rsidR="00DB4C2D">
        <w:rPr>
          <w:lang w:val="fr-FR"/>
        </w:rPr>
        <w:t>’</w:t>
      </w:r>
      <w:r w:rsidRPr="00A779B8">
        <w:rPr>
          <w:lang w:val="fr-FR"/>
        </w:rPr>
        <w:t>émissions doit être exécuté avec le module de commande d</w:t>
      </w:r>
      <w:r w:rsidR="00DB4C2D">
        <w:rPr>
          <w:lang w:val="fr-FR"/>
        </w:rPr>
        <w:t>’</w:t>
      </w:r>
      <w:r w:rsidRPr="00A779B8">
        <w:rPr>
          <w:lang w:val="fr-FR"/>
        </w:rPr>
        <w:t>origine non modifié.</w:t>
      </w:r>
    </w:p>
    <w:p w:rsidR="00C76E16" w:rsidRPr="00536F94" w:rsidRDefault="00C76E16" w:rsidP="00C76E16">
      <w:pPr>
        <w:pStyle w:val="SingleTxtG"/>
        <w:keepNext/>
        <w:ind w:left="2268" w:hanging="1134"/>
        <w:jc w:val="left"/>
        <w:rPr>
          <w:lang w:val="fr-FR"/>
        </w:rPr>
      </w:pPr>
      <w:r w:rsidRPr="00A779B8">
        <w:rPr>
          <w:lang w:val="fr-FR"/>
        </w:rPr>
        <w:t>3.1</w:t>
      </w:r>
      <w:r w:rsidRPr="00A779B8">
        <w:rPr>
          <w:lang w:val="fr-FR"/>
        </w:rPr>
        <w:tab/>
      </w:r>
      <w:r w:rsidRPr="00536F94">
        <w:rPr>
          <w:lang w:val="fr-FR"/>
        </w:rPr>
        <w:tab/>
        <w:t>Mesure des émissions d</w:t>
      </w:r>
      <w:r w:rsidR="00DB4C2D">
        <w:rPr>
          <w:lang w:val="fr-FR"/>
        </w:rPr>
        <w:t>’</w:t>
      </w:r>
      <w:r w:rsidRPr="00536F94">
        <w:rPr>
          <w:lang w:val="fr-FR"/>
        </w:rPr>
        <w:t>échappement entre deux cycles</w:t>
      </w:r>
      <w:r w:rsidRPr="00536F94">
        <w:rPr>
          <w:lang w:val="fr-FR"/>
        </w:rPr>
        <w:br/>
        <w:t>où se produit une régénération</w:t>
      </w:r>
    </w:p>
    <w:p w:rsidR="00C76E16" w:rsidRPr="00A779B8" w:rsidRDefault="00C76E16" w:rsidP="00C76E16">
      <w:pPr>
        <w:pStyle w:val="SingleTxtG"/>
        <w:ind w:left="2268" w:hanging="1134"/>
        <w:rPr>
          <w:lang w:val="fr-FR"/>
        </w:rPr>
      </w:pPr>
      <w:r w:rsidRPr="00A779B8">
        <w:rPr>
          <w:lang w:val="fr-FR"/>
        </w:rPr>
        <w:t>3.1.1</w:t>
      </w:r>
      <w:r w:rsidRPr="00A779B8">
        <w:rPr>
          <w:lang w:val="fr-FR"/>
        </w:rPr>
        <w:tab/>
        <w:t>Les émissions moyennes entre phases de régénération et pendant la phase d</w:t>
      </w:r>
      <w:r w:rsidR="00DB4C2D">
        <w:rPr>
          <w:lang w:val="fr-FR"/>
        </w:rPr>
        <w:t>’</w:t>
      </w:r>
      <w:r w:rsidRPr="00A779B8">
        <w:rPr>
          <w:lang w:val="fr-FR"/>
        </w:rPr>
        <w:t>encrassement du dispositif de régénération doivent être déterminées à partir de la moyenne arithmétique de plusieurs cycles d</w:t>
      </w:r>
      <w:r w:rsidR="00DB4C2D">
        <w:rPr>
          <w:lang w:val="fr-FR"/>
        </w:rPr>
        <w:t>’</w:t>
      </w:r>
      <w:r w:rsidRPr="00A779B8">
        <w:rPr>
          <w:lang w:val="fr-FR"/>
        </w:rPr>
        <w:t>essai du type I ou cycles d</w:t>
      </w:r>
      <w:r w:rsidR="00DB4C2D">
        <w:rPr>
          <w:lang w:val="fr-FR"/>
        </w:rPr>
        <w:t>’</w:t>
      </w:r>
      <w:r w:rsidRPr="00A779B8">
        <w:rPr>
          <w:lang w:val="fr-FR"/>
        </w:rPr>
        <w:t>essai équivalents au banc-moteur effectués à intervalles sensiblement réguliers (s</w:t>
      </w:r>
      <w:r w:rsidR="00DB4C2D">
        <w:rPr>
          <w:lang w:val="fr-FR"/>
        </w:rPr>
        <w:t>’</w:t>
      </w:r>
      <w:r w:rsidRPr="00A779B8">
        <w:rPr>
          <w:lang w:val="fr-FR"/>
        </w:rPr>
        <w:t>il y en a plus de deux). Autre possibilité, le constructeur peut fournir des données montrant que les émissions demeurent constantes (</w:t>
      </w:r>
      <w:r w:rsidRPr="00A779B8">
        <w:rPr>
          <w:lang w:val="fr-FR"/>
        </w:rPr>
        <w:sym w:font="Symbol" w:char="F0B1"/>
      </w:r>
      <w:r w:rsidRPr="00A779B8">
        <w:rPr>
          <w:lang w:val="fr-FR"/>
        </w:rPr>
        <w:t>15 %) entre phases de régénération. Dans ce cas, on peut prendre comme résultat les émissions mesurées lors de l</w:t>
      </w:r>
      <w:r w:rsidR="00DB4C2D">
        <w:rPr>
          <w:lang w:val="fr-FR"/>
        </w:rPr>
        <w:t>’</w:t>
      </w:r>
      <w:r w:rsidRPr="00A779B8">
        <w:rPr>
          <w:lang w:val="fr-FR"/>
        </w:rPr>
        <w:t>essai normal du type I. Dans tout autre cas, on doit effectuer des mesures des émissions pendant au moins deux cycles d</w:t>
      </w:r>
      <w:r w:rsidR="00DB4C2D">
        <w:rPr>
          <w:lang w:val="fr-FR"/>
        </w:rPr>
        <w:t>’</w:t>
      </w:r>
      <w:r w:rsidRPr="00A779B8">
        <w:rPr>
          <w:lang w:val="fr-FR"/>
        </w:rPr>
        <w:t>essai du type I ou cycles d</w:t>
      </w:r>
      <w:r w:rsidR="00DB4C2D">
        <w:rPr>
          <w:lang w:val="fr-FR"/>
        </w:rPr>
        <w:t>’</w:t>
      </w:r>
      <w:r w:rsidRPr="00A779B8">
        <w:rPr>
          <w:lang w:val="fr-FR"/>
        </w:rPr>
        <w:t>essai équivalents au banc-moteur, l</w:t>
      </w:r>
      <w:r w:rsidR="00DB4C2D">
        <w:rPr>
          <w:lang w:val="fr-FR"/>
        </w:rPr>
        <w:t>’</w:t>
      </w:r>
      <w:r w:rsidRPr="00A779B8">
        <w:rPr>
          <w:lang w:val="fr-FR"/>
        </w:rPr>
        <w:t>un immédiatement après régénération (avant une nouvelle phase d</w:t>
      </w:r>
      <w:r w:rsidR="00DB4C2D">
        <w:rPr>
          <w:lang w:val="fr-FR"/>
        </w:rPr>
        <w:t>’</w:t>
      </w:r>
      <w:r w:rsidRPr="00A779B8">
        <w:rPr>
          <w:lang w:val="fr-FR"/>
        </w:rPr>
        <w:t>encrassement) et l</w:t>
      </w:r>
      <w:r w:rsidR="00DB4C2D">
        <w:rPr>
          <w:lang w:val="fr-FR"/>
        </w:rPr>
        <w:t>’</w:t>
      </w:r>
      <w:r w:rsidRPr="00A779B8">
        <w:rPr>
          <w:lang w:val="fr-FR"/>
        </w:rPr>
        <w:t>autre le plus tard possible avant une phase de régénération. Toutes les mesures d</w:t>
      </w:r>
      <w:r w:rsidR="00DB4C2D">
        <w:rPr>
          <w:lang w:val="fr-FR"/>
        </w:rPr>
        <w:t>’</w:t>
      </w:r>
      <w:r w:rsidRPr="00A779B8">
        <w:rPr>
          <w:lang w:val="fr-FR"/>
        </w:rPr>
        <w:t>émissions et tous les calculs doivent être effectués conformément aux paragraphes 6.4 à 6.6 de l</w:t>
      </w:r>
      <w:r w:rsidR="00DB4C2D">
        <w:rPr>
          <w:lang w:val="fr-FR"/>
        </w:rPr>
        <w:t>’</w:t>
      </w:r>
      <w:r w:rsidRPr="00A779B8">
        <w:rPr>
          <w:lang w:val="fr-FR"/>
        </w:rPr>
        <w:t>annexe 4a du présent Règlement. Les émissions moyennes doivent être calculées selon le paragraphe 3.3 de la présente annexe, pour les systèmes à régénération unique, et selon le paragraphe 3.4 de la présente annexe, pour les systèmes à régénération multiple.</w:t>
      </w:r>
    </w:p>
    <w:p w:rsidR="00C76E16" w:rsidRPr="00A779B8" w:rsidRDefault="00C76E16" w:rsidP="00C76E16">
      <w:pPr>
        <w:pStyle w:val="SingleTxtG"/>
        <w:ind w:left="2268" w:hanging="1134"/>
        <w:rPr>
          <w:lang w:val="fr-FR"/>
        </w:rPr>
      </w:pPr>
      <w:r w:rsidRPr="00A779B8">
        <w:rPr>
          <w:lang w:val="fr-FR"/>
        </w:rPr>
        <w:t>3.1.2</w:t>
      </w:r>
      <w:r w:rsidRPr="00A779B8">
        <w:rPr>
          <w:lang w:val="fr-FR"/>
        </w:rPr>
        <w:tab/>
        <w:t>L</w:t>
      </w:r>
      <w:r w:rsidR="00DB4C2D">
        <w:rPr>
          <w:lang w:val="fr-FR"/>
        </w:rPr>
        <w:t>’</w:t>
      </w:r>
      <w:r w:rsidRPr="00A779B8">
        <w:rPr>
          <w:lang w:val="fr-FR"/>
        </w:rPr>
        <w:t>opération d</w:t>
      </w:r>
      <w:r w:rsidR="00DB4C2D">
        <w:rPr>
          <w:lang w:val="fr-FR"/>
        </w:rPr>
        <w:t>’</w:t>
      </w:r>
      <w:r w:rsidRPr="00A779B8">
        <w:rPr>
          <w:lang w:val="fr-FR"/>
        </w:rPr>
        <w:t>encrassement et la détermination du coefficient K</w:t>
      </w:r>
      <w:r w:rsidRPr="00A779B8">
        <w:rPr>
          <w:vertAlign w:val="subscript"/>
          <w:lang w:val="fr-FR"/>
        </w:rPr>
        <w:t>i</w:t>
      </w:r>
      <w:r w:rsidRPr="00A779B8">
        <w:rPr>
          <w:lang w:val="fr-FR"/>
        </w:rPr>
        <w:t xml:space="preserve"> doivent s</w:t>
      </w:r>
      <w:r w:rsidR="00DB4C2D">
        <w:rPr>
          <w:lang w:val="fr-FR"/>
        </w:rPr>
        <w:t>’</w:t>
      </w:r>
      <w:r w:rsidRPr="00A779B8">
        <w:rPr>
          <w:lang w:val="fr-FR"/>
        </w:rPr>
        <w:t>effectuer au cours d</w:t>
      </w:r>
      <w:r w:rsidR="00DB4C2D">
        <w:rPr>
          <w:lang w:val="fr-FR"/>
        </w:rPr>
        <w:t>’</w:t>
      </w:r>
      <w:r w:rsidRPr="00A779B8">
        <w:rPr>
          <w:lang w:val="fr-FR"/>
        </w:rPr>
        <w:t>un cycle de fonctionnement du type I ou d</w:t>
      </w:r>
      <w:r w:rsidR="00DB4C2D">
        <w:rPr>
          <w:lang w:val="fr-FR"/>
        </w:rPr>
        <w:t>’</w:t>
      </w:r>
      <w:r w:rsidRPr="00A779B8">
        <w:rPr>
          <w:lang w:val="fr-FR"/>
        </w:rPr>
        <w:t>un cycle d</w:t>
      </w:r>
      <w:r w:rsidR="00DB4C2D">
        <w:rPr>
          <w:lang w:val="fr-FR"/>
        </w:rPr>
        <w:t>’</w:t>
      </w:r>
      <w:r w:rsidRPr="00A779B8">
        <w:rPr>
          <w:lang w:val="fr-FR"/>
        </w:rPr>
        <w:t>essai équivalent sur banc dynamométrique à rouleaux ou sur banc d</w:t>
      </w:r>
      <w:r w:rsidR="00DB4C2D">
        <w:rPr>
          <w:lang w:val="fr-FR"/>
        </w:rPr>
        <w:t>’</w:t>
      </w:r>
      <w:r w:rsidRPr="00A779B8">
        <w:rPr>
          <w:lang w:val="fr-FR"/>
        </w:rPr>
        <w:t>essai. Ces cycles peuvent être effectués en séquence continue (c</w:t>
      </w:r>
      <w:r w:rsidR="00DB4C2D">
        <w:rPr>
          <w:lang w:val="fr-FR"/>
        </w:rPr>
        <w:t>’</w:t>
      </w:r>
      <w:r w:rsidRPr="00A779B8">
        <w:rPr>
          <w:lang w:val="fr-FR"/>
        </w:rPr>
        <w:t>est-à-dire sans qu</w:t>
      </w:r>
      <w:r w:rsidR="00DB4C2D">
        <w:rPr>
          <w:lang w:val="fr-FR"/>
        </w:rPr>
        <w:t>’</w:t>
      </w:r>
      <w:r w:rsidRPr="00A779B8">
        <w:rPr>
          <w:lang w:val="fr-FR"/>
        </w:rPr>
        <w:t>il soit nécessaire d</w:t>
      </w:r>
      <w:r w:rsidR="00DB4C2D">
        <w:rPr>
          <w:lang w:val="fr-FR"/>
        </w:rPr>
        <w:t>’</w:t>
      </w:r>
      <w:r w:rsidRPr="00A779B8">
        <w:rPr>
          <w:lang w:val="fr-FR"/>
        </w:rPr>
        <w:t>arrêter le moteur entre cycles). Après un nombre quelconque de cycles complets, le véhicule peut être enlevé du banc à rouleaux, et l</w:t>
      </w:r>
      <w:r w:rsidR="00DB4C2D">
        <w:rPr>
          <w:lang w:val="fr-FR"/>
        </w:rPr>
        <w:t>’</w:t>
      </w:r>
      <w:r w:rsidRPr="00A779B8">
        <w:rPr>
          <w:lang w:val="fr-FR"/>
        </w:rPr>
        <w:t>essai peut être repris ultérieurement.</w:t>
      </w:r>
    </w:p>
    <w:p w:rsidR="00C76E16" w:rsidRPr="00A779B8" w:rsidRDefault="00C76E16" w:rsidP="00C76E16">
      <w:pPr>
        <w:pStyle w:val="SingleTxtG"/>
        <w:ind w:left="2268" w:hanging="1134"/>
        <w:rPr>
          <w:lang w:val="fr-FR"/>
        </w:rPr>
      </w:pPr>
      <w:r w:rsidRPr="00A779B8">
        <w:rPr>
          <w:lang w:val="fr-FR"/>
        </w:rPr>
        <w:t>3.1.3</w:t>
      </w:r>
      <w:r w:rsidRPr="00A779B8">
        <w:rPr>
          <w:lang w:val="fr-FR"/>
        </w:rPr>
        <w:tab/>
        <w:t>Le nombre de cycles (D) entre deux cycles où se produit une régénération, le nombre de cycles sur lesquels porte la mesure des émissions (n) et chaque mesure d</w:t>
      </w:r>
      <w:r w:rsidR="00DB4C2D">
        <w:rPr>
          <w:lang w:val="fr-FR"/>
        </w:rPr>
        <w:t>’</w:t>
      </w:r>
      <w:r w:rsidRPr="00A779B8">
        <w:rPr>
          <w:lang w:val="fr-FR"/>
        </w:rPr>
        <w:t>émissions (M</w:t>
      </w:r>
      <w:r w:rsidR="00DB4C2D">
        <w:rPr>
          <w:lang w:val="fr-FR"/>
        </w:rPr>
        <w:t>’</w:t>
      </w:r>
      <w:proofErr w:type="spellStart"/>
      <w:r w:rsidRPr="00A779B8">
        <w:rPr>
          <w:vertAlign w:val="subscript"/>
          <w:lang w:val="fr-FR"/>
        </w:rPr>
        <w:t>sij</w:t>
      </w:r>
      <w:proofErr w:type="spellEnd"/>
      <w:r w:rsidRPr="00A779B8">
        <w:rPr>
          <w:lang w:val="fr-FR"/>
        </w:rPr>
        <w:t>) sont à enregistrer aux points 3.2.12.2.1.11.1 à 3.2.12.2.1.11.4 ou 3.2.12.2.6.4.1 à 3.2.12.2.6.4.4 de l</w:t>
      </w:r>
      <w:r w:rsidR="00DB4C2D">
        <w:rPr>
          <w:lang w:val="fr-FR"/>
        </w:rPr>
        <w:t>’</w:t>
      </w:r>
      <w:r w:rsidRPr="00A779B8">
        <w:rPr>
          <w:lang w:val="fr-FR"/>
        </w:rPr>
        <w:t>annexe 1 du présent Règlement, dans la mesure où ils s</w:t>
      </w:r>
      <w:r w:rsidR="00DB4C2D">
        <w:rPr>
          <w:lang w:val="fr-FR"/>
        </w:rPr>
        <w:t>’</w:t>
      </w:r>
      <w:r w:rsidRPr="00A779B8">
        <w:rPr>
          <w:lang w:val="fr-FR"/>
        </w:rPr>
        <w:t>appliquent.</w:t>
      </w:r>
    </w:p>
    <w:p w:rsidR="00C76E16" w:rsidRPr="00536F94" w:rsidRDefault="00C76E16" w:rsidP="00C76E16">
      <w:pPr>
        <w:pStyle w:val="SingleTxtG"/>
        <w:keepNext/>
        <w:ind w:left="2268" w:hanging="1134"/>
        <w:jc w:val="left"/>
        <w:rPr>
          <w:lang w:val="fr-FR"/>
        </w:rPr>
      </w:pPr>
      <w:r w:rsidRPr="00A779B8">
        <w:rPr>
          <w:lang w:val="fr-FR"/>
        </w:rPr>
        <w:t>3.2</w:t>
      </w:r>
      <w:r w:rsidRPr="00A779B8">
        <w:rPr>
          <w:lang w:val="fr-FR"/>
        </w:rPr>
        <w:tab/>
      </w:r>
      <w:r w:rsidRPr="00536F94">
        <w:rPr>
          <w:lang w:val="fr-FR"/>
        </w:rPr>
        <w:t>Mesure des émissions pendant la phase de régénération</w:t>
      </w:r>
    </w:p>
    <w:p w:rsidR="00C76E16" w:rsidRPr="00A779B8" w:rsidRDefault="00C76E16" w:rsidP="00C76E16">
      <w:pPr>
        <w:pStyle w:val="SingleTxtG"/>
        <w:ind w:left="2268" w:hanging="1134"/>
        <w:rPr>
          <w:lang w:val="fr-FR"/>
        </w:rPr>
      </w:pPr>
      <w:r w:rsidRPr="00A779B8">
        <w:rPr>
          <w:lang w:val="fr-FR"/>
        </w:rPr>
        <w:t>3.2.1</w:t>
      </w:r>
      <w:r w:rsidRPr="00A779B8">
        <w:rPr>
          <w:lang w:val="fr-FR"/>
        </w:rPr>
        <w:tab/>
        <w:t>La préparation du véhicule, si nécessaire, pour l</w:t>
      </w:r>
      <w:r w:rsidR="00DB4C2D">
        <w:rPr>
          <w:lang w:val="fr-FR"/>
        </w:rPr>
        <w:t>’</w:t>
      </w:r>
      <w:r w:rsidRPr="00A779B8">
        <w:rPr>
          <w:lang w:val="fr-FR"/>
        </w:rPr>
        <w:t>essai de mesure des émissions pendant une phase de régénération peut être effectuée au moyen de cycles conformes au paragraphe 6.3 de l</w:t>
      </w:r>
      <w:r w:rsidR="00DB4C2D">
        <w:rPr>
          <w:lang w:val="fr-FR"/>
        </w:rPr>
        <w:t>’</w:t>
      </w:r>
      <w:r w:rsidRPr="00A779B8">
        <w:rPr>
          <w:lang w:val="fr-FR"/>
        </w:rPr>
        <w:t>annexe 4a du présent Règlement ou de cycles d</w:t>
      </w:r>
      <w:r w:rsidR="00DB4C2D">
        <w:rPr>
          <w:lang w:val="fr-FR"/>
        </w:rPr>
        <w:t>’</w:t>
      </w:r>
      <w:r w:rsidRPr="00A779B8">
        <w:rPr>
          <w:lang w:val="fr-FR"/>
        </w:rPr>
        <w:t>essai équivalents au banc-moteur, selon la méthode choisie pour la phase d</w:t>
      </w:r>
      <w:r w:rsidR="00DB4C2D">
        <w:rPr>
          <w:lang w:val="fr-FR"/>
        </w:rPr>
        <w:t>’</w:t>
      </w:r>
      <w:r w:rsidRPr="00A779B8">
        <w:rPr>
          <w:lang w:val="fr-FR"/>
        </w:rPr>
        <w:t>encrassement conformément au paragraphe 3.1.2 de la présente annexe.</w:t>
      </w:r>
    </w:p>
    <w:p w:rsidR="00C76E16" w:rsidRPr="00A779B8" w:rsidRDefault="00C76E16" w:rsidP="00C76E16">
      <w:pPr>
        <w:pStyle w:val="SingleTxtG"/>
        <w:spacing w:after="100"/>
        <w:ind w:left="2268" w:hanging="1134"/>
        <w:rPr>
          <w:lang w:val="fr-FR"/>
        </w:rPr>
      </w:pPr>
      <w:r w:rsidRPr="00A779B8">
        <w:rPr>
          <w:lang w:val="fr-FR"/>
        </w:rPr>
        <w:lastRenderedPageBreak/>
        <w:t>3.2.2</w:t>
      </w:r>
      <w:r w:rsidRPr="00A779B8">
        <w:rPr>
          <w:lang w:val="fr-FR"/>
        </w:rPr>
        <w:tab/>
        <w:t>Les conditions relatives à l</w:t>
      </w:r>
      <w:r w:rsidR="00DB4C2D">
        <w:rPr>
          <w:lang w:val="fr-FR"/>
        </w:rPr>
        <w:t>’</w:t>
      </w:r>
      <w:r w:rsidRPr="00A779B8">
        <w:rPr>
          <w:lang w:val="fr-FR"/>
        </w:rPr>
        <w:t>essai et au véhicule énoncées à l</w:t>
      </w:r>
      <w:r w:rsidR="00DB4C2D">
        <w:rPr>
          <w:lang w:val="fr-FR"/>
        </w:rPr>
        <w:t>’</w:t>
      </w:r>
      <w:r w:rsidRPr="00A779B8">
        <w:rPr>
          <w:lang w:val="fr-FR"/>
        </w:rPr>
        <w:t>annexe 4a du présent Règlement pour l</w:t>
      </w:r>
      <w:r w:rsidR="00DB4C2D">
        <w:rPr>
          <w:lang w:val="fr-FR"/>
        </w:rPr>
        <w:t>’</w:t>
      </w:r>
      <w:r w:rsidRPr="00A779B8">
        <w:rPr>
          <w:lang w:val="fr-FR"/>
        </w:rPr>
        <w:t>essai du type I s</w:t>
      </w:r>
      <w:r w:rsidR="00DB4C2D">
        <w:rPr>
          <w:lang w:val="fr-FR"/>
        </w:rPr>
        <w:t>’</w:t>
      </w:r>
      <w:r w:rsidRPr="00A779B8">
        <w:rPr>
          <w:lang w:val="fr-FR"/>
        </w:rPr>
        <w:t>appliquent avant l</w:t>
      </w:r>
      <w:r w:rsidR="00DB4C2D">
        <w:rPr>
          <w:lang w:val="fr-FR"/>
        </w:rPr>
        <w:t>’</w:t>
      </w:r>
      <w:r w:rsidRPr="00A779B8">
        <w:rPr>
          <w:lang w:val="fr-FR"/>
        </w:rPr>
        <w:t>exécution du premier essai d</w:t>
      </w:r>
      <w:r w:rsidR="00DB4C2D">
        <w:rPr>
          <w:lang w:val="fr-FR"/>
        </w:rPr>
        <w:t>’</w:t>
      </w:r>
      <w:r w:rsidRPr="00A779B8">
        <w:rPr>
          <w:lang w:val="fr-FR"/>
        </w:rPr>
        <w:t>émission valide.</w:t>
      </w:r>
    </w:p>
    <w:p w:rsidR="00C76E16" w:rsidRPr="00A779B8" w:rsidRDefault="00C76E16" w:rsidP="00C76E16">
      <w:pPr>
        <w:pStyle w:val="SingleTxtG"/>
        <w:keepNext/>
        <w:spacing w:after="100"/>
        <w:ind w:left="2268" w:hanging="1134"/>
        <w:rPr>
          <w:lang w:val="fr-FR"/>
        </w:rPr>
      </w:pPr>
      <w:r w:rsidRPr="00A779B8">
        <w:rPr>
          <w:lang w:val="fr-FR"/>
        </w:rPr>
        <w:t>3.2.3</w:t>
      </w:r>
      <w:r w:rsidRPr="00A779B8">
        <w:rPr>
          <w:lang w:val="fr-FR"/>
        </w:rPr>
        <w:tab/>
        <w:t>Une phase de régénération ne doit pas se produire pendant la préparation du véhicule. Ce résultat peut être obtenu par l</w:t>
      </w:r>
      <w:r w:rsidR="00DB4C2D">
        <w:rPr>
          <w:lang w:val="fr-FR"/>
        </w:rPr>
        <w:t>’</w:t>
      </w:r>
      <w:r w:rsidRPr="00A779B8">
        <w:rPr>
          <w:lang w:val="fr-FR"/>
        </w:rPr>
        <w:t>une des méthodes suivantes:</w:t>
      </w:r>
    </w:p>
    <w:p w:rsidR="00C76E16" w:rsidRPr="00A779B8" w:rsidRDefault="00C76E16" w:rsidP="00C76E16">
      <w:pPr>
        <w:pStyle w:val="SingleTxtG"/>
        <w:spacing w:after="100"/>
        <w:ind w:left="2268" w:hanging="1134"/>
        <w:rPr>
          <w:lang w:val="fr-FR"/>
        </w:rPr>
      </w:pPr>
      <w:r w:rsidRPr="00A779B8">
        <w:rPr>
          <w:lang w:val="fr-FR"/>
        </w:rPr>
        <w:t>3.2.3.1</w:t>
      </w:r>
      <w:r w:rsidRPr="00A779B8">
        <w:rPr>
          <w:lang w:val="fr-FR"/>
        </w:rPr>
        <w:tab/>
        <w:t>Un dispositif de régénération «</w:t>
      </w:r>
      <w:r w:rsidRPr="00A779B8">
        <w:rPr>
          <w:i/>
          <w:lang w:val="fr-FR"/>
        </w:rPr>
        <w:t>factice</w:t>
      </w:r>
      <w:r w:rsidRPr="00A779B8">
        <w:rPr>
          <w:lang w:val="fr-FR"/>
        </w:rPr>
        <w:t xml:space="preserve">» ou partiel peut être installé pour les cycles de </w:t>
      </w:r>
      <w:proofErr w:type="spellStart"/>
      <w:r w:rsidRPr="00A779B8">
        <w:rPr>
          <w:lang w:val="fr-FR"/>
        </w:rPr>
        <w:t>préconditionnement</w:t>
      </w:r>
      <w:proofErr w:type="spellEnd"/>
      <w:r w:rsidRPr="00A779B8">
        <w:rPr>
          <w:lang w:val="fr-FR"/>
        </w:rPr>
        <w:t>;</w:t>
      </w:r>
    </w:p>
    <w:p w:rsidR="00C76E16" w:rsidRPr="00A779B8" w:rsidRDefault="00C76E16" w:rsidP="00C76E16">
      <w:pPr>
        <w:pStyle w:val="SingleTxtG"/>
        <w:spacing w:after="100"/>
        <w:ind w:left="2268" w:hanging="1134"/>
        <w:rPr>
          <w:lang w:val="fr-FR"/>
        </w:rPr>
      </w:pPr>
      <w:r w:rsidRPr="00A779B8">
        <w:rPr>
          <w:lang w:val="fr-FR"/>
        </w:rPr>
        <w:t>3.2.3.2</w:t>
      </w:r>
      <w:r w:rsidRPr="00A779B8">
        <w:rPr>
          <w:lang w:val="fr-FR"/>
        </w:rPr>
        <w:tab/>
        <w:t>Une autre méthode peut être choisie d</w:t>
      </w:r>
      <w:r w:rsidR="00DB4C2D">
        <w:rPr>
          <w:lang w:val="fr-FR"/>
        </w:rPr>
        <w:t>’</w:t>
      </w:r>
      <w:r w:rsidRPr="00A779B8">
        <w:rPr>
          <w:lang w:val="fr-FR"/>
        </w:rPr>
        <w:t>entente entre le constructeur et l</w:t>
      </w:r>
      <w:r w:rsidR="00DB4C2D">
        <w:rPr>
          <w:lang w:val="fr-FR"/>
        </w:rPr>
        <w:t>’</w:t>
      </w:r>
      <w:r w:rsidRPr="00A779B8">
        <w:rPr>
          <w:lang w:val="fr-FR"/>
        </w:rPr>
        <w:t>autorité d</w:t>
      </w:r>
      <w:r w:rsidR="00DB4C2D">
        <w:rPr>
          <w:lang w:val="fr-FR"/>
        </w:rPr>
        <w:t>’</w:t>
      </w:r>
      <w:r w:rsidRPr="00A779B8">
        <w:rPr>
          <w:lang w:val="fr-FR"/>
        </w:rPr>
        <w:t>homologation de type.</w:t>
      </w:r>
    </w:p>
    <w:p w:rsidR="00C76E16" w:rsidRPr="00A779B8" w:rsidRDefault="00C76E16" w:rsidP="00C76E16">
      <w:pPr>
        <w:pStyle w:val="SingleTxtG"/>
        <w:spacing w:after="100"/>
        <w:ind w:left="2268" w:hanging="1134"/>
        <w:rPr>
          <w:lang w:val="fr-FR"/>
        </w:rPr>
      </w:pPr>
      <w:r w:rsidRPr="00A779B8">
        <w:rPr>
          <w:lang w:val="fr-FR"/>
        </w:rPr>
        <w:t>3.2.4</w:t>
      </w:r>
      <w:r w:rsidRPr="00A779B8">
        <w:rPr>
          <w:lang w:val="fr-FR"/>
        </w:rPr>
        <w:tab/>
        <w:t>Un essai d</w:t>
      </w:r>
      <w:r w:rsidR="00DB4C2D">
        <w:rPr>
          <w:lang w:val="fr-FR"/>
        </w:rPr>
        <w:t>’</w:t>
      </w:r>
      <w:r w:rsidRPr="00A779B8">
        <w:rPr>
          <w:lang w:val="fr-FR"/>
        </w:rPr>
        <w:t>émissions d</w:t>
      </w:r>
      <w:r w:rsidR="00DB4C2D">
        <w:rPr>
          <w:lang w:val="fr-FR"/>
        </w:rPr>
        <w:t>’</w:t>
      </w:r>
      <w:r w:rsidRPr="00A779B8">
        <w:rPr>
          <w:lang w:val="fr-FR"/>
        </w:rPr>
        <w:t>échappement lors du démarrage à froid incluant une phase de régénération doit être effectué conformément au cycle d</w:t>
      </w:r>
      <w:r w:rsidR="00DB4C2D">
        <w:rPr>
          <w:lang w:val="fr-FR"/>
        </w:rPr>
        <w:t>’</w:t>
      </w:r>
      <w:r w:rsidRPr="00A779B8">
        <w:rPr>
          <w:lang w:val="fr-FR"/>
        </w:rPr>
        <w:t>essai du type I ou d</w:t>
      </w:r>
      <w:r w:rsidR="00DB4C2D">
        <w:rPr>
          <w:lang w:val="fr-FR"/>
        </w:rPr>
        <w:t>’</w:t>
      </w:r>
      <w:r w:rsidRPr="00A779B8">
        <w:rPr>
          <w:lang w:val="fr-FR"/>
        </w:rPr>
        <w:t>un cycle d</w:t>
      </w:r>
      <w:r w:rsidR="00DB4C2D">
        <w:rPr>
          <w:lang w:val="fr-FR"/>
        </w:rPr>
        <w:t>’</w:t>
      </w:r>
      <w:r w:rsidRPr="00A779B8">
        <w:rPr>
          <w:lang w:val="fr-FR"/>
        </w:rPr>
        <w:t>essai équivalent au banc-moteur. Si les essais d</w:t>
      </w:r>
      <w:r w:rsidR="00DB4C2D">
        <w:rPr>
          <w:lang w:val="fr-FR"/>
        </w:rPr>
        <w:t>’</w:t>
      </w:r>
      <w:r w:rsidRPr="00A779B8">
        <w:rPr>
          <w:lang w:val="fr-FR"/>
        </w:rPr>
        <w:t>émissions entre deux cycles où se produit une phase de régénération sont exécutés sur un banc d</w:t>
      </w:r>
      <w:r w:rsidR="00DB4C2D">
        <w:rPr>
          <w:lang w:val="fr-FR"/>
        </w:rPr>
        <w:t>’</w:t>
      </w:r>
      <w:r w:rsidRPr="00A779B8">
        <w:rPr>
          <w:lang w:val="fr-FR"/>
        </w:rPr>
        <w:t>essai moteur, l</w:t>
      </w:r>
      <w:r w:rsidR="00DB4C2D">
        <w:rPr>
          <w:lang w:val="fr-FR"/>
        </w:rPr>
        <w:t>’</w:t>
      </w:r>
      <w:r w:rsidRPr="00A779B8">
        <w:rPr>
          <w:lang w:val="fr-FR"/>
        </w:rPr>
        <w:t>essai d</w:t>
      </w:r>
      <w:r w:rsidR="00DB4C2D">
        <w:rPr>
          <w:lang w:val="fr-FR"/>
        </w:rPr>
        <w:t>’</w:t>
      </w:r>
      <w:r w:rsidRPr="00A779B8">
        <w:rPr>
          <w:lang w:val="fr-FR"/>
        </w:rPr>
        <w:t>émissions incluant une phase de régénération doit aussi être effectué sur un banc-moteur.</w:t>
      </w:r>
    </w:p>
    <w:p w:rsidR="00C76E16" w:rsidRPr="00A779B8" w:rsidRDefault="00C76E16" w:rsidP="00C76E16">
      <w:pPr>
        <w:pStyle w:val="SingleTxtG"/>
        <w:spacing w:after="100"/>
        <w:ind w:left="2268" w:hanging="1134"/>
        <w:rPr>
          <w:lang w:val="fr-FR"/>
        </w:rPr>
      </w:pPr>
      <w:r w:rsidRPr="00A779B8">
        <w:rPr>
          <w:lang w:val="fr-FR"/>
        </w:rPr>
        <w:t>3.2.5</w:t>
      </w:r>
      <w:r w:rsidRPr="00A779B8">
        <w:rPr>
          <w:lang w:val="fr-FR"/>
        </w:rPr>
        <w:tab/>
        <w:t>Si la phase de régénération occupe plus d</w:t>
      </w:r>
      <w:r w:rsidR="00DB4C2D">
        <w:rPr>
          <w:lang w:val="fr-FR"/>
        </w:rPr>
        <w:t>’</w:t>
      </w:r>
      <w:r w:rsidRPr="00A779B8">
        <w:rPr>
          <w:lang w:val="fr-FR"/>
        </w:rPr>
        <w:t>un cycle d</w:t>
      </w:r>
      <w:r w:rsidR="00DB4C2D">
        <w:rPr>
          <w:lang w:val="fr-FR"/>
        </w:rPr>
        <w:t>’</w:t>
      </w:r>
      <w:r w:rsidRPr="00A779B8">
        <w:rPr>
          <w:lang w:val="fr-FR"/>
        </w:rPr>
        <w:t>essai, un ou plusieurs nouveaux cycles d</w:t>
      </w:r>
      <w:r w:rsidR="00DB4C2D">
        <w:rPr>
          <w:lang w:val="fr-FR"/>
        </w:rPr>
        <w:t>’</w:t>
      </w:r>
      <w:r w:rsidRPr="00A779B8">
        <w:rPr>
          <w:lang w:val="fr-FR"/>
        </w:rPr>
        <w:t>essai complet doivent immédiatement être exécutés, sans arrêt du moteur, jusqu</w:t>
      </w:r>
      <w:r w:rsidR="00DB4C2D">
        <w:rPr>
          <w:lang w:val="fr-FR"/>
        </w:rPr>
        <w:t>’</w:t>
      </w:r>
      <w:r w:rsidRPr="00A779B8">
        <w:rPr>
          <w:lang w:val="fr-FR"/>
        </w:rPr>
        <w:t>à ce que la phase complète de régénération soit terminée (des cycles complets doivent être effectués). Le délai entre deux cycles, pour changement du filtre à particules par exemple, doit être aussi court que possible. Le moteur doit être arrêté pendant cette période.</w:t>
      </w:r>
    </w:p>
    <w:p w:rsidR="00C76E16" w:rsidRPr="00A779B8" w:rsidRDefault="00C76E16" w:rsidP="00C76E16">
      <w:pPr>
        <w:pStyle w:val="SingleTxtG"/>
        <w:spacing w:after="100"/>
        <w:ind w:left="2268" w:hanging="1134"/>
        <w:rPr>
          <w:lang w:val="fr-FR"/>
        </w:rPr>
      </w:pPr>
      <w:r w:rsidRPr="00A779B8">
        <w:rPr>
          <w:lang w:val="fr-FR"/>
        </w:rPr>
        <w:t>3.2.6</w:t>
      </w:r>
      <w:r w:rsidRPr="00A779B8">
        <w:rPr>
          <w:lang w:val="fr-FR"/>
        </w:rPr>
        <w:tab/>
        <w:t>Les valeurs d</w:t>
      </w:r>
      <w:r w:rsidR="00DB4C2D">
        <w:rPr>
          <w:lang w:val="fr-FR"/>
        </w:rPr>
        <w:t>’</w:t>
      </w:r>
      <w:r w:rsidRPr="00A779B8">
        <w:rPr>
          <w:lang w:val="fr-FR"/>
        </w:rPr>
        <w:t>émissions </w:t>
      </w:r>
      <w:proofErr w:type="spellStart"/>
      <w:r w:rsidRPr="00A779B8">
        <w:rPr>
          <w:lang w:val="fr-FR"/>
        </w:rPr>
        <w:t>M</w:t>
      </w:r>
      <w:r w:rsidRPr="00A779B8">
        <w:rPr>
          <w:vertAlign w:val="subscript"/>
          <w:lang w:val="fr-FR"/>
        </w:rPr>
        <w:t>ri</w:t>
      </w:r>
      <w:proofErr w:type="spellEnd"/>
      <w:r w:rsidRPr="00A779B8">
        <w:rPr>
          <w:lang w:val="fr-FR"/>
        </w:rPr>
        <w:t xml:space="preserve"> pendant une phase de régénération sont calculées conformément au paragraphe 6.6 de l</w:t>
      </w:r>
      <w:r w:rsidR="00DB4C2D">
        <w:rPr>
          <w:lang w:val="fr-FR"/>
        </w:rPr>
        <w:t>’</w:t>
      </w:r>
      <w:r w:rsidRPr="00A779B8">
        <w:rPr>
          <w:lang w:val="fr-FR"/>
        </w:rPr>
        <w:t>annexe 4a du présent Règlement. Le nombre de cycles de fonctionnement d) pour une régénération complète est enregistré.</w:t>
      </w:r>
    </w:p>
    <w:p w:rsidR="00C76E16" w:rsidRPr="00536F94" w:rsidRDefault="00C76E16" w:rsidP="00C76E16">
      <w:pPr>
        <w:pStyle w:val="SingleTxtG"/>
        <w:keepNext/>
        <w:spacing w:after="100"/>
        <w:ind w:left="2268" w:hanging="1134"/>
        <w:jc w:val="left"/>
        <w:rPr>
          <w:lang w:val="fr-FR"/>
        </w:rPr>
      </w:pPr>
      <w:r w:rsidRPr="00A779B8">
        <w:rPr>
          <w:lang w:val="fr-FR"/>
        </w:rPr>
        <w:t>3.3</w:t>
      </w:r>
      <w:r w:rsidRPr="00A779B8">
        <w:rPr>
          <w:lang w:val="fr-FR"/>
        </w:rPr>
        <w:tab/>
      </w:r>
      <w:r w:rsidRPr="00536F94">
        <w:rPr>
          <w:lang w:val="fr-FR"/>
        </w:rPr>
        <w:t>Calcul des émissions d</w:t>
      </w:r>
      <w:r w:rsidR="00DB4C2D">
        <w:rPr>
          <w:lang w:val="fr-FR"/>
        </w:rPr>
        <w:t>’</w:t>
      </w:r>
      <w:r w:rsidRPr="00536F94">
        <w:rPr>
          <w:lang w:val="fr-FR"/>
        </w:rPr>
        <w:t>échappement combinées d</w:t>
      </w:r>
      <w:r w:rsidR="00DB4C2D">
        <w:rPr>
          <w:lang w:val="fr-FR"/>
        </w:rPr>
        <w:t>’</w:t>
      </w:r>
      <w:r w:rsidRPr="00536F94">
        <w:rPr>
          <w:lang w:val="fr-FR"/>
        </w:rPr>
        <w:t>un dispositif à régénération unique</w:t>
      </w:r>
    </w:p>
    <w:p w:rsidR="00C76E16" w:rsidRPr="00A779B8" w:rsidRDefault="00C76E16" w:rsidP="00C76E16">
      <w:pPr>
        <w:ind w:left="2835" w:right="1134" w:hanging="567"/>
        <w:rPr>
          <w:lang w:val="fr-FR"/>
        </w:rPr>
      </w:pPr>
      <w:r w:rsidRPr="00A779B8">
        <w:rPr>
          <w:lang w:val="fr-FR"/>
        </w:rPr>
        <w:t>1)</w:t>
      </w:r>
      <w:r w:rsidRPr="00A779B8">
        <w:rPr>
          <w:lang w:val="fr-FR"/>
        </w:rPr>
        <w:tab/>
      </w:r>
      <w:r w:rsidR="009D55DD">
        <w:rPr>
          <w:noProof/>
          <w:position w:val="-20"/>
          <w:lang w:val="en-US"/>
        </w:rPr>
        <w:drawing>
          <wp:inline distT="0" distB="0" distL="0" distR="0">
            <wp:extent cx="784860" cy="594995"/>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84860" cy="594995"/>
                    </a:xfrm>
                    <a:prstGeom prst="rect">
                      <a:avLst/>
                    </a:prstGeom>
                    <a:noFill/>
                    <a:ln>
                      <a:noFill/>
                    </a:ln>
                  </pic:spPr>
                </pic:pic>
              </a:graphicData>
            </a:graphic>
          </wp:inline>
        </w:drawing>
      </w:r>
      <w:r w:rsidRPr="00A779B8">
        <w:rPr>
          <w:lang w:val="fr-FR"/>
        </w:rPr>
        <w:tab/>
        <w:t xml:space="preserve">n </w:t>
      </w:r>
      <w:r w:rsidRPr="00A779B8">
        <w:rPr>
          <w:lang w:val="fr-FR"/>
        </w:rPr>
        <w:sym w:font="Symbol" w:char="F0B3"/>
      </w:r>
      <w:r w:rsidRPr="00A779B8">
        <w:rPr>
          <w:lang w:val="fr-FR"/>
        </w:rPr>
        <w:t xml:space="preserve"> 2</w:t>
      </w:r>
    </w:p>
    <w:p w:rsidR="00C76E16" w:rsidRPr="00A779B8" w:rsidRDefault="00C76E16" w:rsidP="00C76E16">
      <w:pPr>
        <w:ind w:left="2835" w:right="1134" w:hanging="567"/>
        <w:rPr>
          <w:lang w:val="fr-FR"/>
        </w:rPr>
      </w:pPr>
      <w:r w:rsidRPr="00A779B8">
        <w:rPr>
          <w:lang w:val="fr-FR"/>
        </w:rPr>
        <w:t>2)</w:t>
      </w:r>
      <w:r w:rsidRPr="00A779B8">
        <w:rPr>
          <w:lang w:val="fr-FR"/>
        </w:rPr>
        <w:tab/>
      </w:r>
      <w:r w:rsidR="009D55DD">
        <w:rPr>
          <w:noProof/>
          <w:position w:val="-22"/>
          <w:lang w:val="en-US"/>
        </w:rPr>
        <w:drawing>
          <wp:inline distT="0" distB="0" distL="0" distR="0">
            <wp:extent cx="776605" cy="603885"/>
            <wp:effectExtent l="0" t="0" r="4445" b="571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76605" cy="603885"/>
                    </a:xfrm>
                    <a:prstGeom prst="rect">
                      <a:avLst/>
                    </a:prstGeom>
                    <a:noFill/>
                    <a:ln>
                      <a:noFill/>
                    </a:ln>
                  </pic:spPr>
                </pic:pic>
              </a:graphicData>
            </a:graphic>
          </wp:inline>
        </w:drawing>
      </w:r>
    </w:p>
    <w:p w:rsidR="00C76E16" w:rsidRPr="00A779B8" w:rsidRDefault="00C76E16" w:rsidP="00C76E16">
      <w:pPr>
        <w:spacing w:after="120"/>
        <w:ind w:left="2835" w:right="1134" w:hanging="567"/>
        <w:rPr>
          <w:lang w:val="fr-FR"/>
        </w:rPr>
      </w:pPr>
      <w:r w:rsidRPr="00A779B8">
        <w:rPr>
          <w:lang w:val="fr-FR"/>
        </w:rPr>
        <w:t>3)</w:t>
      </w:r>
      <w:r w:rsidRPr="00A779B8">
        <w:rPr>
          <w:lang w:val="fr-FR"/>
        </w:rPr>
        <w:tab/>
      </w:r>
      <w:r w:rsidR="009D55DD">
        <w:rPr>
          <w:noProof/>
          <w:position w:val="-26"/>
          <w:lang w:val="en-US"/>
        </w:rPr>
        <w:drawing>
          <wp:inline distT="0" distB="0" distL="0" distR="0">
            <wp:extent cx="1388745" cy="387985"/>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388745" cy="387985"/>
                    </a:xfrm>
                    <a:prstGeom prst="rect">
                      <a:avLst/>
                    </a:prstGeom>
                    <a:noFill/>
                    <a:ln>
                      <a:noFill/>
                    </a:ln>
                  </pic:spPr>
                </pic:pic>
              </a:graphicData>
            </a:graphic>
          </wp:inline>
        </w:drawing>
      </w:r>
    </w:p>
    <w:p w:rsidR="00C76E16" w:rsidRPr="00A779B8" w:rsidRDefault="00C76E16" w:rsidP="00C76E16">
      <w:pPr>
        <w:pStyle w:val="SingleTxtG"/>
        <w:ind w:left="3402" w:hanging="1134"/>
        <w:rPr>
          <w:lang w:val="fr-FR"/>
        </w:rPr>
      </w:pPr>
      <w:r w:rsidRPr="00A779B8">
        <w:rPr>
          <w:lang w:val="fr-FR"/>
        </w:rPr>
        <w:t>où, pour chaque polluant i considéré:</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Change w:id="317">
          <w:tblGrid>
            <w:gridCol w:w="594"/>
            <w:gridCol w:w="297"/>
            <w:gridCol w:w="5346"/>
          </w:tblGrid>
        </w:tblGridChange>
      </w:tblGrid>
      <w:tr w:rsidR="00C76E16" w:rsidRPr="007E29C4" w:rsidTr="00DB4C2D">
        <w:tc>
          <w:tcPr>
            <w:tcW w:w="567" w:type="dxa"/>
            <w:shd w:val="clear" w:color="auto" w:fill="auto"/>
          </w:tcPr>
          <w:p w:rsidR="00C76E16" w:rsidRPr="007E29C4" w:rsidRDefault="00C76E16" w:rsidP="00DB4C2D">
            <w:pPr>
              <w:spacing w:after="100"/>
              <w:rPr>
                <w:lang w:val="fr-FR"/>
              </w:rPr>
            </w:pPr>
            <w:r w:rsidRPr="007E29C4">
              <w:rPr>
                <w:lang w:val="fr-FR"/>
              </w:rPr>
              <w:t>M</w:t>
            </w:r>
            <w:r w:rsidR="00DB4C2D">
              <w:rPr>
                <w:lang w:val="fr-FR"/>
              </w:rPr>
              <w:t>’</w:t>
            </w:r>
            <w:proofErr w:type="spellStart"/>
            <w:r w:rsidRPr="007E29C4">
              <w:rPr>
                <w:vertAlign w:val="subscript"/>
                <w:lang w:val="fr-FR"/>
              </w:rPr>
              <w:t>sij</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de polluant i, en g/km, sur un cycle d</w:t>
            </w:r>
            <w:r w:rsidR="00DB4C2D">
              <w:rPr>
                <w:lang w:val="fr-FR"/>
              </w:rPr>
              <w:t>’</w:t>
            </w:r>
            <w:r w:rsidRPr="007E29C4">
              <w:rPr>
                <w:lang w:val="fr-FR"/>
              </w:rPr>
              <w:t>essai du type I (ou cycle d</w:t>
            </w:r>
            <w:r w:rsidR="00DB4C2D">
              <w:rPr>
                <w:lang w:val="fr-FR"/>
              </w:rPr>
              <w:t>’</w:t>
            </w:r>
            <w:r w:rsidRPr="007E29C4">
              <w:rPr>
                <w:lang w:val="fr-FR"/>
              </w:rPr>
              <w:t>essai équivalent au banc-moteur), sans régénération,</w:t>
            </w:r>
          </w:p>
        </w:tc>
      </w:tr>
      <w:tr w:rsidR="00C76E16" w:rsidRPr="007E29C4" w:rsidTr="00DB4C2D">
        <w:tc>
          <w:tcPr>
            <w:tcW w:w="567" w:type="dxa"/>
            <w:shd w:val="clear" w:color="auto" w:fill="auto"/>
          </w:tcPr>
          <w:p w:rsidR="00C76E16" w:rsidRPr="007E29C4" w:rsidRDefault="00C76E16" w:rsidP="00DB4C2D">
            <w:pPr>
              <w:spacing w:after="100"/>
              <w:rPr>
                <w:lang w:val="fr-FR"/>
              </w:rPr>
            </w:pPr>
            <w:r w:rsidRPr="007E29C4">
              <w:rPr>
                <w:lang w:val="fr-FR"/>
              </w:rPr>
              <w:t>M</w:t>
            </w:r>
            <w:r w:rsidR="00DB4C2D">
              <w:rPr>
                <w:lang w:val="fr-FR"/>
              </w:rPr>
              <w:t>’</w:t>
            </w:r>
            <w:proofErr w:type="spellStart"/>
            <w:r w:rsidRPr="007E29C4">
              <w:rPr>
                <w:vertAlign w:val="subscript"/>
                <w:lang w:val="fr-FR"/>
              </w:rPr>
              <w:t>rij</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de polluant i, en g/km, sur un cycle d</w:t>
            </w:r>
            <w:r w:rsidR="00DB4C2D">
              <w:rPr>
                <w:lang w:val="fr-FR"/>
              </w:rPr>
              <w:t>’</w:t>
            </w:r>
            <w:r w:rsidRPr="007E29C4">
              <w:rPr>
                <w:lang w:val="fr-FR"/>
              </w:rPr>
              <w:t>essai du type I (ou cycle d</w:t>
            </w:r>
            <w:r w:rsidR="00DB4C2D">
              <w:rPr>
                <w:lang w:val="fr-FR"/>
              </w:rPr>
              <w:t>’</w:t>
            </w:r>
            <w:r w:rsidRPr="007E29C4">
              <w:rPr>
                <w:lang w:val="fr-FR"/>
              </w:rPr>
              <w:t>essai équivalent au banc-moteur), pendant la régénération (si d &gt; 1, le premier essai du type I est effectué à froid, et les cycles suivants à chaud),</w:t>
            </w:r>
          </w:p>
        </w:tc>
      </w:tr>
      <w:tr w:rsidR="00C76E16" w:rsidRPr="007E29C4" w:rsidTr="00DB4C2D">
        <w:tc>
          <w:tcPr>
            <w:tcW w:w="567" w:type="dxa"/>
            <w:shd w:val="clear" w:color="auto" w:fill="auto"/>
          </w:tcPr>
          <w:p w:rsidR="00C76E16" w:rsidRPr="007E29C4" w:rsidRDefault="00C76E16" w:rsidP="00DB4C2D">
            <w:pPr>
              <w:spacing w:after="100"/>
              <w:rPr>
                <w:lang w:val="fr-FR"/>
              </w:rPr>
            </w:pPr>
            <w:proofErr w:type="spellStart"/>
            <w:r w:rsidRPr="007E29C4">
              <w:rPr>
                <w:lang w:val="fr-FR"/>
              </w:rPr>
              <w:t>M</w:t>
            </w:r>
            <w:r w:rsidRPr="007E29C4">
              <w:rPr>
                <w:vertAlign w:val="subscript"/>
                <w:lang w:val="fr-FR"/>
              </w:rPr>
              <w:t>si</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moyennes de polluant i, en g/km, sans régénération,</w:t>
            </w:r>
          </w:p>
        </w:tc>
      </w:tr>
      <w:tr w:rsidR="00C76E16" w:rsidRPr="007E29C4" w:rsidTr="00DB4C2D">
        <w:tc>
          <w:tcPr>
            <w:tcW w:w="567" w:type="dxa"/>
            <w:shd w:val="clear" w:color="auto" w:fill="auto"/>
          </w:tcPr>
          <w:p w:rsidR="00C76E16" w:rsidRPr="007E29C4" w:rsidRDefault="00C76E16" w:rsidP="00DB4C2D">
            <w:pPr>
              <w:spacing w:after="100"/>
              <w:rPr>
                <w:lang w:val="fr-FR"/>
              </w:rPr>
            </w:pPr>
            <w:proofErr w:type="spellStart"/>
            <w:r w:rsidRPr="007E29C4">
              <w:rPr>
                <w:lang w:val="fr-FR"/>
              </w:rPr>
              <w:lastRenderedPageBreak/>
              <w:t>M</w:t>
            </w:r>
            <w:r w:rsidRPr="007E29C4">
              <w:rPr>
                <w:vertAlign w:val="subscript"/>
                <w:lang w:val="fr-FR"/>
              </w:rPr>
              <w:t>ri</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moyennes de polluant i, en g/km, pendant la régénération,</w:t>
            </w:r>
          </w:p>
        </w:tc>
      </w:tr>
      <w:tr w:rsidR="00C76E16" w:rsidRPr="007E29C4" w:rsidTr="00DB4C2D">
        <w:tc>
          <w:tcPr>
            <w:tcW w:w="567" w:type="dxa"/>
            <w:shd w:val="clear" w:color="auto" w:fill="auto"/>
          </w:tcPr>
          <w:p w:rsidR="00C76E16" w:rsidRPr="007E29C4" w:rsidRDefault="00C76E16" w:rsidP="00DB4C2D">
            <w:pPr>
              <w:spacing w:after="100"/>
              <w:rPr>
                <w:lang w:val="fr-FR"/>
              </w:rPr>
            </w:pPr>
            <w:proofErr w:type="spellStart"/>
            <w:r w:rsidRPr="007E29C4">
              <w:rPr>
                <w:lang w:val="fr-FR"/>
              </w:rPr>
              <w:t>M</w:t>
            </w:r>
            <w:r w:rsidRPr="007E29C4">
              <w:rPr>
                <w:vertAlign w:val="subscript"/>
                <w:lang w:val="fr-FR"/>
              </w:rPr>
              <w:t>pi</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moyennes de polluant i, en g/km,</w:t>
            </w:r>
          </w:p>
        </w:tc>
      </w:tr>
      <w:tr w:rsidR="00C76E16" w:rsidRPr="007E29C4" w:rsidTr="00DB4C2D">
        <w:tc>
          <w:tcPr>
            <w:tcW w:w="567" w:type="dxa"/>
            <w:shd w:val="clear" w:color="auto" w:fill="auto"/>
          </w:tcPr>
          <w:p w:rsidR="00C76E16" w:rsidRPr="007E29C4" w:rsidRDefault="00C76E16" w:rsidP="00DB4C2D">
            <w:pPr>
              <w:keepNext/>
              <w:spacing w:after="100"/>
              <w:rPr>
                <w:lang w:val="fr-FR"/>
              </w:rPr>
            </w:pPr>
            <w:r w:rsidRPr="007E29C4">
              <w:rPr>
                <w:lang w:val="fr-FR"/>
              </w:rPr>
              <w:t>n</w:t>
            </w:r>
          </w:p>
        </w:tc>
        <w:tc>
          <w:tcPr>
            <w:tcW w:w="284" w:type="dxa"/>
            <w:shd w:val="clear" w:color="auto" w:fill="auto"/>
          </w:tcPr>
          <w:p w:rsidR="00C76E16" w:rsidRPr="007E29C4" w:rsidRDefault="00C76E16" w:rsidP="00DB4C2D">
            <w:pPr>
              <w:keepNext/>
              <w:spacing w:after="100"/>
              <w:rPr>
                <w:lang w:val="fr-FR"/>
              </w:rPr>
            </w:pPr>
            <w:r w:rsidRPr="007E29C4">
              <w:rPr>
                <w:lang w:val="fr-FR"/>
              </w:rPr>
              <w:t>=</w:t>
            </w:r>
          </w:p>
        </w:tc>
        <w:tc>
          <w:tcPr>
            <w:tcW w:w="5103" w:type="dxa"/>
            <w:shd w:val="clear" w:color="auto" w:fill="auto"/>
          </w:tcPr>
          <w:p w:rsidR="00C76E16" w:rsidRPr="007E29C4" w:rsidRDefault="00C76E16" w:rsidP="00DB4C2D">
            <w:pPr>
              <w:keepNext/>
              <w:spacing w:after="100"/>
              <w:rPr>
                <w:lang w:val="fr-FR"/>
              </w:rPr>
            </w:pPr>
            <w:r w:rsidRPr="007E29C4">
              <w:rPr>
                <w:lang w:val="fr-FR"/>
              </w:rPr>
              <w:t>nombre de points où des mesures des émissions</w:t>
            </w:r>
            <w:r w:rsidRPr="007E29C4">
              <w:rPr>
                <w:lang w:val="fr-FR"/>
              </w:rPr>
              <w:br/>
              <w:t>(cycle d</w:t>
            </w:r>
            <w:r w:rsidR="00DB4C2D">
              <w:rPr>
                <w:lang w:val="fr-FR"/>
              </w:rPr>
              <w:t>’</w:t>
            </w:r>
            <w:r w:rsidRPr="007E29C4">
              <w:rPr>
                <w:lang w:val="fr-FR"/>
              </w:rPr>
              <w:t>essai du type I ou cycle d</w:t>
            </w:r>
            <w:r w:rsidR="00DB4C2D">
              <w:rPr>
                <w:lang w:val="fr-FR"/>
              </w:rPr>
              <w:t>’</w:t>
            </w:r>
            <w:r w:rsidRPr="007E29C4">
              <w:rPr>
                <w:lang w:val="fr-FR"/>
              </w:rPr>
              <w:t>essai équivalent</w:t>
            </w:r>
            <w:r w:rsidRPr="007E29C4">
              <w:rPr>
                <w:lang w:val="fr-FR"/>
              </w:rPr>
              <w:br/>
              <w:t>au banc-moteur) sont effectuées entre deux cycles</w:t>
            </w:r>
            <w:r w:rsidRPr="007E29C4">
              <w:rPr>
                <w:lang w:val="fr-FR"/>
              </w:rPr>
              <w:br/>
              <w:t>où se produit une régénération, ≥2,</w:t>
            </w:r>
          </w:p>
        </w:tc>
      </w:tr>
      <w:tr w:rsidR="00C76E16" w:rsidRPr="007E29C4" w:rsidTr="00DB4C2D">
        <w:tc>
          <w:tcPr>
            <w:tcW w:w="567" w:type="dxa"/>
            <w:shd w:val="clear" w:color="auto" w:fill="auto"/>
          </w:tcPr>
          <w:p w:rsidR="00C76E16" w:rsidRPr="007E29C4" w:rsidRDefault="00C76E16" w:rsidP="00DB4C2D">
            <w:pPr>
              <w:spacing w:after="100"/>
              <w:rPr>
                <w:lang w:val="fr-FR"/>
              </w:rPr>
            </w:pPr>
            <w:r w:rsidRPr="007E29C4">
              <w:rPr>
                <w:lang w:val="fr-FR"/>
              </w:rPr>
              <w:t>d</w:t>
            </w:r>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nombre de cycles d</w:t>
            </w:r>
            <w:r w:rsidR="00DB4C2D">
              <w:rPr>
                <w:lang w:val="fr-FR"/>
              </w:rPr>
              <w:t>’</w:t>
            </w:r>
            <w:r w:rsidRPr="007E29C4">
              <w:rPr>
                <w:lang w:val="fr-FR"/>
              </w:rPr>
              <w:t>essai occupés par la régénération,</w:t>
            </w:r>
          </w:p>
        </w:tc>
      </w:tr>
      <w:tr w:rsidR="00C76E16" w:rsidRPr="007E29C4" w:rsidTr="00DB4C2D">
        <w:tc>
          <w:tcPr>
            <w:tcW w:w="567" w:type="dxa"/>
            <w:shd w:val="clear" w:color="auto" w:fill="auto"/>
          </w:tcPr>
          <w:p w:rsidR="00C76E16" w:rsidRPr="007E29C4" w:rsidRDefault="00C76E16" w:rsidP="00DB4C2D">
            <w:pPr>
              <w:spacing w:after="100"/>
              <w:rPr>
                <w:lang w:val="fr-FR"/>
              </w:rPr>
            </w:pPr>
            <w:r w:rsidRPr="007E29C4">
              <w:rPr>
                <w:lang w:val="fr-FR"/>
              </w:rPr>
              <w:t>D</w:t>
            </w:r>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nombre de cycles d</w:t>
            </w:r>
            <w:r w:rsidR="00DB4C2D">
              <w:rPr>
                <w:lang w:val="fr-FR"/>
              </w:rPr>
              <w:t>’</w:t>
            </w:r>
            <w:r w:rsidRPr="007E29C4">
              <w:rPr>
                <w:lang w:val="fr-FR"/>
              </w:rPr>
              <w:t>essai entre deux cycles où se produit une régénération.</w:t>
            </w:r>
          </w:p>
        </w:tc>
      </w:tr>
    </w:tbl>
    <w:p w:rsidR="00C76E16" w:rsidRPr="00A779B8" w:rsidRDefault="00C76E16" w:rsidP="00C76E16">
      <w:pPr>
        <w:pStyle w:val="SingleTxtG"/>
        <w:spacing w:before="120"/>
        <w:ind w:left="2268"/>
        <w:rPr>
          <w:lang w:val="fr-FR"/>
        </w:rPr>
      </w:pPr>
      <w:r w:rsidRPr="00A779B8">
        <w:rPr>
          <w:lang w:val="fr-FR"/>
        </w:rPr>
        <w:t>La figure A13/1 illustre le mode opératoire, avec les paramètres mesurés.</w:t>
      </w:r>
    </w:p>
    <w:p w:rsidR="00C76E16" w:rsidRPr="00A779B8" w:rsidRDefault="00C76E16" w:rsidP="00C76E16">
      <w:pPr>
        <w:pStyle w:val="Titre1"/>
        <w:spacing w:after="120"/>
        <w:rPr>
          <w:b/>
          <w:lang w:val="fr-FR"/>
        </w:rPr>
      </w:pPr>
      <w:r w:rsidRPr="00A779B8">
        <w:rPr>
          <w:lang w:val="fr-FR"/>
        </w:rPr>
        <w:t>Figure A13/1</w:t>
      </w:r>
      <w:r w:rsidRPr="00A779B8">
        <w:rPr>
          <w:lang w:val="fr-FR"/>
        </w:rPr>
        <w:br/>
      </w:r>
      <w:r w:rsidRPr="00A779B8">
        <w:rPr>
          <w:b/>
          <w:lang w:val="fr-FR"/>
        </w:rPr>
        <w:t>Paramètres mesurés lors des essais d</w:t>
      </w:r>
      <w:r w:rsidR="00DB4C2D">
        <w:rPr>
          <w:b/>
          <w:lang w:val="fr-FR"/>
        </w:rPr>
        <w:t>’</w:t>
      </w:r>
      <w:r w:rsidRPr="00A779B8">
        <w:rPr>
          <w:b/>
          <w:lang w:val="fr-FR"/>
        </w:rPr>
        <w:t xml:space="preserve">émissions pendant et entre les cycles </w:t>
      </w:r>
      <w:r w:rsidRPr="00A779B8">
        <w:rPr>
          <w:b/>
          <w:lang w:val="fr-FR"/>
        </w:rPr>
        <w:br/>
        <w:t>où se produit une régénération (il s</w:t>
      </w:r>
      <w:r w:rsidR="00DB4C2D">
        <w:rPr>
          <w:b/>
          <w:lang w:val="fr-FR"/>
        </w:rPr>
        <w:t>’</w:t>
      </w:r>
      <w:r w:rsidRPr="00A779B8">
        <w:rPr>
          <w:b/>
          <w:lang w:val="fr-FR"/>
        </w:rPr>
        <w:t>agit d</w:t>
      </w:r>
      <w:r w:rsidR="00DB4C2D">
        <w:rPr>
          <w:b/>
          <w:lang w:val="fr-FR"/>
        </w:rPr>
        <w:t>’</w:t>
      </w:r>
      <w:r w:rsidRPr="00A779B8">
        <w:rPr>
          <w:b/>
          <w:lang w:val="fr-FR"/>
        </w:rPr>
        <w:t xml:space="preserve">un exemple: les émissions </w:t>
      </w:r>
      <w:r w:rsidRPr="00A779B8">
        <w:rPr>
          <w:b/>
          <w:lang w:val="fr-FR"/>
        </w:rPr>
        <w:br/>
        <w:t>pendant la période «D» peuvent en réalité augmenter ou diminuer)</w:t>
      </w:r>
    </w:p>
    <w:bookmarkStart w:id="318" w:name="_MON_1432545636"/>
    <w:bookmarkStart w:id="319" w:name="_MON_1432545654"/>
    <w:bookmarkStart w:id="320" w:name="_MON_1432545667"/>
    <w:bookmarkStart w:id="321" w:name="_MON_1433158687"/>
    <w:bookmarkStart w:id="322" w:name="_MON_1433159623"/>
    <w:bookmarkStart w:id="323" w:name="_MON_1433161590"/>
    <w:bookmarkStart w:id="324" w:name="_MON_1433317913"/>
    <w:bookmarkStart w:id="325" w:name="_MON_1433317977"/>
    <w:bookmarkStart w:id="326" w:name="_MON_1448431000"/>
    <w:bookmarkStart w:id="327" w:name="_MON_1448431025"/>
    <w:bookmarkStart w:id="328" w:name="_MON_1448966977"/>
    <w:bookmarkStart w:id="329" w:name="_MON_1448967184"/>
    <w:bookmarkStart w:id="330" w:name="_MON_1448967229"/>
    <w:bookmarkStart w:id="331" w:name="_MON_1448968352"/>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rsidR="00C76E16" w:rsidRPr="00A779B8" w:rsidRDefault="00C76E16" w:rsidP="00C76E16">
      <w:pPr>
        <w:ind w:left="1134"/>
        <w:rPr>
          <w:lang w:val="fr-FR"/>
        </w:rPr>
      </w:pPr>
      <w:r w:rsidRPr="00A779B8">
        <w:rPr>
          <w:lang w:val="fr-FR"/>
        </w:rPr>
        <w:object w:dxaOrig="8505" w:dyaOrig="4850">
          <v:shape id="_x0000_i1133" type="#_x0000_t75" style="width:365.45pt;height:181.35pt" o:ole="">
            <v:imagedata r:id="rId283" o:title=""/>
            <w10:bordertop type="single" width="4"/>
            <w10:borderleft type="single" width="4"/>
            <w10:borderbottom type="single" width="4"/>
            <w10:borderright type="single" width="4"/>
          </v:shape>
          <o:OLEObject Type="Embed" ProgID="Word.Picture.8" ShapeID="_x0000_i1133" DrawAspect="Content" ObjectID="_1490178474" r:id="rId284"/>
        </w:object>
      </w:r>
    </w:p>
    <w:p w:rsidR="00C76E16" w:rsidRPr="00A779B8" w:rsidRDefault="00C76E16" w:rsidP="00C76E16">
      <w:pPr>
        <w:pStyle w:val="SingleTxtG"/>
        <w:keepNext/>
        <w:spacing w:before="240"/>
        <w:ind w:left="2268" w:hanging="1134"/>
        <w:rPr>
          <w:lang w:val="fr-FR"/>
        </w:rPr>
      </w:pPr>
      <w:r w:rsidRPr="00A779B8">
        <w:rPr>
          <w:lang w:val="fr-FR"/>
        </w:rPr>
        <w:t>3.3.1</w:t>
      </w:r>
      <w:r w:rsidRPr="00A779B8">
        <w:rPr>
          <w:lang w:val="fr-FR"/>
        </w:rPr>
        <w:tab/>
        <w:t>Calcul du coefficient de régénération K pour chaque polluant i considéré</w:t>
      </w:r>
    </w:p>
    <w:p w:rsidR="00C76E16" w:rsidRPr="00A779B8" w:rsidRDefault="00C76E16" w:rsidP="00C76E16">
      <w:pPr>
        <w:pStyle w:val="SingleTxtG"/>
        <w:ind w:left="2268"/>
        <w:jc w:val="left"/>
        <w:rPr>
          <w:vertAlign w:val="subscript"/>
          <w:lang w:val="fr-FR"/>
        </w:rPr>
      </w:pPr>
      <w:r w:rsidRPr="00A779B8">
        <w:rPr>
          <w:lang w:val="fr-FR"/>
        </w:rPr>
        <w:t>K</w:t>
      </w:r>
      <w:r w:rsidRPr="00A779B8">
        <w:rPr>
          <w:vertAlign w:val="subscript"/>
          <w:lang w:val="fr-FR"/>
        </w:rPr>
        <w:t>i</w:t>
      </w:r>
      <w:r w:rsidRPr="00A779B8">
        <w:rPr>
          <w:lang w:val="fr-FR"/>
        </w:rPr>
        <w:t> = </w:t>
      </w:r>
      <w:proofErr w:type="spellStart"/>
      <w:r w:rsidRPr="00A779B8">
        <w:rPr>
          <w:lang w:val="fr-FR"/>
        </w:rPr>
        <w:t>M</w:t>
      </w:r>
      <w:r w:rsidRPr="00A779B8">
        <w:rPr>
          <w:vertAlign w:val="subscript"/>
          <w:lang w:val="fr-FR"/>
        </w:rPr>
        <w:t>pi</w:t>
      </w:r>
      <w:proofErr w:type="spellEnd"/>
      <w:r w:rsidRPr="00A779B8">
        <w:rPr>
          <w:vertAlign w:val="subscript"/>
          <w:lang w:val="fr-FR"/>
        </w:rPr>
        <w:t xml:space="preserve"> </w:t>
      </w:r>
      <w:r w:rsidRPr="00A779B8">
        <w:rPr>
          <w:lang w:val="fr-FR"/>
        </w:rPr>
        <w:t>/</w:t>
      </w:r>
      <w:proofErr w:type="spellStart"/>
      <w:r w:rsidRPr="00A779B8">
        <w:rPr>
          <w:lang w:val="fr-FR"/>
        </w:rPr>
        <w:t>M</w:t>
      </w:r>
      <w:r w:rsidRPr="00A779B8">
        <w:rPr>
          <w:vertAlign w:val="subscript"/>
          <w:lang w:val="fr-FR"/>
        </w:rPr>
        <w:t>si</w:t>
      </w:r>
      <w:proofErr w:type="spellEnd"/>
    </w:p>
    <w:p w:rsidR="00C76E16" w:rsidRPr="00A779B8" w:rsidRDefault="00C76E16" w:rsidP="00C76E16">
      <w:pPr>
        <w:pStyle w:val="SingleTxtG"/>
        <w:ind w:left="2268"/>
        <w:rPr>
          <w:lang w:val="fr-FR"/>
        </w:rPr>
      </w:pPr>
      <w:r w:rsidRPr="00A779B8">
        <w:rPr>
          <w:lang w:val="fr-FR"/>
        </w:rPr>
        <w:tab/>
        <w:t>Les résultats en ce qui concerne </w:t>
      </w:r>
      <w:proofErr w:type="spellStart"/>
      <w:r w:rsidRPr="00A779B8">
        <w:rPr>
          <w:lang w:val="fr-FR"/>
        </w:rPr>
        <w:t>M</w:t>
      </w:r>
      <w:r w:rsidRPr="00A779B8">
        <w:rPr>
          <w:vertAlign w:val="subscript"/>
          <w:lang w:val="fr-FR"/>
        </w:rPr>
        <w:t>si</w:t>
      </w:r>
      <w:proofErr w:type="spellEnd"/>
      <w:r w:rsidRPr="00A779B8">
        <w:rPr>
          <w:lang w:val="fr-FR"/>
        </w:rPr>
        <w:t xml:space="preserve">, </w:t>
      </w:r>
      <w:proofErr w:type="spellStart"/>
      <w:r w:rsidRPr="00A779B8">
        <w:rPr>
          <w:lang w:val="fr-FR"/>
        </w:rPr>
        <w:t>M</w:t>
      </w:r>
      <w:r w:rsidRPr="00A779B8">
        <w:rPr>
          <w:vertAlign w:val="subscript"/>
          <w:lang w:val="fr-FR"/>
        </w:rPr>
        <w:t>pi</w:t>
      </w:r>
      <w:proofErr w:type="spellEnd"/>
      <w:r w:rsidRPr="00A779B8">
        <w:rPr>
          <w:lang w:val="fr-FR"/>
        </w:rPr>
        <w:t xml:space="preserve"> et K</w:t>
      </w:r>
      <w:r w:rsidRPr="00A779B8">
        <w:rPr>
          <w:vertAlign w:val="subscript"/>
          <w:lang w:val="fr-FR"/>
        </w:rPr>
        <w:t>i</w:t>
      </w:r>
      <w:r w:rsidRPr="00A779B8">
        <w:rPr>
          <w:lang w:val="fr-FR"/>
        </w:rPr>
        <w:t xml:space="preserve"> doivent être enregistrés dans le procès-verbal d</w:t>
      </w:r>
      <w:r w:rsidR="00DB4C2D">
        <w:rPr>
          <w:lang w:val="fr-FR"/>
        </w:rPr>
        <w:t>’</w:t>
      </w:r>
      <w:r w:rsidRPr="00A779B8">
        <w:rPr>
          <w:lang w:val="fr-FR"/>
        </w:rPr>
        <w:t>essai délivré par le service technique.</w:t>
      </w:r>
    </w:p>
    <w:p w:rsidR="00C76E16" w:rsidRPr="00A779B8" w:rsidRDefault="00C76E16" w:rsidP="00C76E16">
      <w:pPr>
        <w:pStyle w:val="SingleTxtG"/>
        <w:ind w:left="2268"/>
        <w:rPr>
          <w:lang w:val="fr-FR"/>
        </w:rPr>
      </w:pPr>
      <w:r w:rsidRPr="00A779B8">
        <w:rPr>
          <w:lang w:val="fr-FR"/>
        </w:rPr>
        <w:tab/>
        <w:t>K</w:t>
      </w:r>
      <w:r w:rsidRPr="00A779B8">
        <w:rPr>
          <w:vertAlign w:val="subscript"/>
          <w:lang w:val="fr-FR"/>
        </w:rPr>
        <w:t>i</w:t>
      </w:r>
      <w:r w:rsidRPr="00A779B8">
        <w:rPr>
          <w:lang w:val="fr-FR"/>
        </w:rPr>
        <w:t> peut être déterminé après exécution d</w:t>
      </w:r>
      <w:r w:rsidR="00DB4C2D">
        <w:rPr>
          <w:lang w:val="fr-FR"/>
        </w:rPr>
        <w:t>’</w:t>
      </w:r>
      <w:r w:rsidRPr="00A779B8">
        <w:rPr>
          <w:lang w:val="fr-FR"/>
        </w:rPr>
        <w:t>une seule séquence.</w:t>
      </w:r>
    </w:p>
    <w:p w:rsidR="00C76E16" w:rsidRPr="00A779B8" w:rsidRDefault="00C76E16" w:rsidP="00C76E16">
      <w:pPr>
        <w:pStyle w:val="SingleTxtG"/>
        <w:keepNext/>
        <w:ind w:left="2268" w:hanging="1134"/>
        <w:rPr>
          <w:lang w:val="fr-FR"/>
        </w:rPr>
      </w:pPr>
      <w:r w:rsidRPr="00A779B8">
        <w:rPr>
          <w:lang w:val="fr-FR"/>
        </w:rPr>
        <w:t>3.4</w:t>
      </w:r>
      <w:r w:rsidRPr="00A779B8">
        <w:rPr>
          <w:lang w:val="fr-FR"/>
        </w:rPr>
        <w:tab/>
        <w:t>Calcul des émissions d</w:t>
      </w:r>
      <w:r w:rsidR="00DB4C2D">
        <w:rPr>
          <w:lang w:val="fr-FR"/>
        </w:rPr>
        <w:t>’</w:t>
      </w:r>
      <w:r w:rsidRPr="00A779B8">
        <w:rPr>
          <w:lang w:val="fr-FR"/>
        </w:rPr>
        <w:t>échappement combinées des dispositifs à régénération périodique multiple</w:t>
      </w:r>
    </w:p>
    <w:p w:rsidR="00C76E16" w:rsidRPr="00A779B8" w:rsidRDefault="00C76E16" w:rsidP="00C76E16">
      <w:pPr>
        <w:ind w:left="2835" w:right="1134" w:hanging="567"/>
        <w:rPr>
          <w:lang w:val="fr-FR"/>
        </w:rPr>
      </w:pPr>
      <w:r w:rsidRPr="00A779B8">
        <w:rPr>
          <w:lang w:val="fr-FR"/>
        </w:rPr>
        <w:t>1)</w:t>
      </w:r>
      <w:r w:rsidRPr="00A779B8">
        <w:rPr>
          <w:lang w:val="fr-FR"/>
        </w:rPr>
        <w:tab/>
      </w:r>
      <w:r w:rsidR="009D55DD">
        <w:rPr>
          <w:noProof/>
          <w:position w:val="-26"/>
          <w:lang w:val="en-US"/>
        </w:rPr>
        <w:drawing>
          <wp:inline distT="0" distB="0" distL="0" distR="0">
            <wp:extent cx="940435" cy="560705"/>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40435" cy="560705"/>
                    </a:xfrm>
                    <a:prstGeom prst="rect">
                      <a:avLst/>
                    </a:prstGeom>
                    <a:noFill/>
                    <a:ln>
                      <a:noFill/>
                    </a:ln>
                  </pic:spPr>
                </pic:pic>
              </a:graphicData>
            </a:graphic>
          </wp:inline>
        </w:drawing>
      </w:r>
      <w:r w:rsidRPr="00A779B8">
        <w:rPr>
          <w:lang w:val="fr-FR"/>
        </w:rPr>
        <w:t xml:space="preserve"> </w:t>
      </w:r>
      <w:proofErr w:type="spellStart"/>
      <w:r w:rsidRPr="00A779B8">
        <w:rPr>
          <w:lang w:val="fr-FR"/>
        </w:rPr>
        <w:t>n</w:t>
      </w:r>
      <w:r w:rsidRPr="00A779B8">
        <w:rPr>
          <w:vertAlign w:val="subscript"/>
          <w:lang w:val="fr-FR"/>
        </w:rPr>
        <w:t>k</w:t>
      </w:r>
      <w:proofErr w:type="spellEnd"/>
      <w:r w:rsidRPr="00A779B8">
        <w:rPr>
          <w:lang w:val="fr-FR"/>
        </w:rPr>
        <w:t xml:space="preserve"> ≥ 2</w:t>
      </w:r>
    </w:p>
    <w:p w:rsidR="00C76E16" w:rsidRPr="00A779B8" w:rsidRDefault="00C76E16" w:rsidP="00C76E16">
      <w:pPr>
        <w:ind w:left="2835" w:right="1134" w:hanging="567"/>
        <w:rPr>
          <w:lang w:val="fr-FR"/>
        </w:rPr>
      </w:pPr>
      <w:r w:rsidRPr="00A779B8">
        <w:rPr>
          <w:lang w:val="fr-FR"/>
        </w:rPr>
        <w:t>2)</w:t>
      </w:r>
      <w:r w:rsidRPr="00A779B8">
        <w:rPr>
          <w:lang w:val="fr-FR"/>
        </w:rPr>
        <w:tab/>
      </w:r>
      <w:r w:rsidR="009D55DD">
        <w:rPr>
          <w:noProof/>
          <w:position w:val="-28"/>
          <w:lang w:val="en-US"/>
        </w:rPr>
        <w:drawing>
          <wp:inline distT="0" distB="0" distL="0" distR="0">
            <wp:extent cx="931545" cy="594995"/>
            <wp:effectExtent l="0" t="0" r="190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31545" cy="594995"/>
                    </a:xfrm>
                    <a:prstGeom prst="rect">
                      <a:avLst/>
                    </a:prstGeom>
                    <a:noFill/>
                    <a:ln>
                      <a:noFill/>
                    </a:ln>
                  </pic:spPr>
                </pic:pic>
              </a:graphicData>
            </a:graphic>
          </wp:inline>
        </w:drawing>
      </w:r>
    </w:p>
    <w:p w:rsidR="00C76E16" w:rsidRPr="00A779B8" w:rsidRDefault="00C76E16" w:rsidP="00C76E16">
      <w:pPr>
        <w:ind w:left="2835" w:right="1134" w:hanging="567"/>
        <w:rPr>
          <w:lang w:val="fr-FR"/>
        </w:rPr>
      </w:pPr>
      <w:r w:rsidRPr="00A779B8">
        <w:rPr>
          <w:lang w:val="fr-FR"/>
        </w:rPr>
        <w:lastRenderedPageBreak/>
        <w:t>3)</w:t>
      </w:r>
      <w:r w:rsidRPr="00A779B8">
        <w:rPr>
          <w:lang w:val="fr-FR"/>
        </w:rPr>
        <w:tab/>
      </w:r>
      <w:r w:rsidR="009D55DD">
        <w:rPr>
          <w:noProof/>
          <w:position w:val="-60"/>
          <w:lang w:val="en-US"/>
        </w:rPr>
        <w:drawing>
          <wp:inline distT="0" distB="0" distL="0" distR="0">
            <wp:extent cx="1052195" cy="80200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52195" cy="802005"/>
                    </a:xfrm>
                    <a:prstGeom prst="rect">
                      <a:avLst/>
                    </a:prstGeom>
                    <a:noFill/>
                    <a:ln>
                      <a:noFill/>
                    </a:ln>
                  </pic:spPr>
                </pic:pic>
              </a:graphicData>
            </a:graphic>
          </wp:inline>
        </w:drawing>
      </w:r>
    </w:p>
    <w:p w:rsidR="00C76E16" w:rsidRPr="00A779B8" w:rsidRDefault="00C76E16" w:rsidP="00C76E16">
      <w:pPr>
        <w:ind w:left="2835" w:right="1134" w:hanging="567"/>
        <w:rPr>
          <w:lang w:val="fr-FR"/>
        </w:rPr>
      </w:pPr>
      <w:r w:rsidRPr="00A779B8">
        <w:rPr>
          <w:lang w:val="fr-FR"/>
        </w:rPr>
        <w:t>4)</w:t>
      </w:r>
      <w:r w:rsidRPr="00A779B8">
        <w:rPr>
          <w:lang w:val="fr-FR"/>
        </w:rPr>
        <w:tab/>
      </w:r>
      <w:r w:rsidR="009D55DD">
        <w:rPr>
          <w:noProof/>
          <w:position w:val="-60"/>
          <w:lang w:val="en-US"/>
        </w:rPr>
        <w:drawing>
          <wp:inline distT="0" distB="0" distL="0" distR="0">
            <wp:extent cx="1000760" cy="82804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00760" cy="828040"/>
                    </a:xfrm>
                    <a:prstGeom prst="rect">
                      <a:avLst/>
                    </a:prstGeom>
                    <a:noFill/>
                    <a:ln>
                      <a:noFill/>
                    </a:ln>
                  </pic:spPr>
                </pic:pic>
              </a:graphicData>
            </a:graphic>
          </wp:inline>
        </w:drawing>
      </w:r>
    </w:p>
    <w:p w:rsidR="00C76E16" w:rsidRPr="00A779B8" w:rsidRDefault="00C76E16" w:rsidP="00C76E16">
      <w:pPr>
        <w:ind w:left="2835" w:right="1134" w:hanging="567"/>
        <w:rPr>
          <w:lang w:val="fr-FR"/>
        </w:rPr>
      </w:pPr>
      <w:r w:rsidRPr="00A779B8">
        <w:rPr>
          <w:lang w:val="fr-FR"/>
        </w:rPr>
        <w:t>5)</w:t>
      </w:r>
      <w:r w:rsidRPr="00A779B8">
        <w:rPr>
          <w:lang w:val="fr-FR"/>
        </w:rPr>
        <w:tab/>
      </w:r>
      <w:r w:rsidR="009D55DD">
        <w:rPr>
          <w:noProof/>
          <w:position w:val="-60"/>
          <w:lang w:val="en-US"/>
        </w:rPr>
        <w:drawing>
          <wp:inline distT="0" distB="0" distL="0" distR="0">
            <wp:extent cx="1691005" cy="82804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691005" cy="828040"/>
                    </a:xfrm>
                    <a:prstGeom prst="rect">
                      <a:avLst/>
                    </a:prstGeom>
                    <a:noFill/>
                    <a:ln>
                      <a:noFill/>
                    </a:ln>
                  </pic:spPr>
                </pic:pic>
              </a:graphicData>
            </a:graphic>
          </wp:inline>
        </w:drawing>
      </w:r>
    </w:p>
    <w:p w:rsidR="00C76E16" w:rsidRPr="00A779B8" w:rsidRDefault="00C76E16" w:rsidP="00C76E16">
      <w:pPr>
        <w:ind w:left="2835" w:right="1134" w:hanging="567"/>
        <w:rPr>
          <w:lang w:val="fr-FR"/>
        </w:rPr>
      </w:pPr>
      <w:r w:rsidRPr="00A779B8">
        <w:rPr>
          <w:lang w:val="fr-FR"/>
        </w:rPr>
        <w:t>6)</w:t>
      </w:r>
      <w:r w:rsidRPr="00A779B8">
        <w:rPr>
          <w:lang w:val="fr-FR"/>
        </w:rPr>
        <w:tab/>
      </w:r>
      <w:r w:rsidR="009D55DD">
        <w:rPr>
          <w:noProof/>
          <w:position w:val="-60"/>
          <w:lang w:val="en-US"/>
        </w:rPr>
        <w:drawing>
          <wp:inline distT="0" distB="0" distL="0" distR="0">
            <wp:extent cx="1691005" cy="828040"/>
            <wp:effectExtent l="0" t="0" r="4445"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691005" cy="828040"/>
                    </a:xfrm>
                    <a:prstGeom prst="rect">
                      <a:avLst/>
                    </a:prstGeom>
                    <a:noFill/>
                    <a:ln>
                      <a:noFill/>
                    </a:ln>
                  </pic:spPr>
                </pic:pic>
              </a:graphicData>
            </a:graphic>
          </wp:inline>
        </w:drawing>
      </w:r>
    </w:p>
    <w:p w:rsidR="00C76E16" w:rsidRPr="00A779B8" w:rsidRDefault="00C76E16" w:rsidP="00C76E16">
      <w:pPr>
        <w:ind w:left="2835" w:right="1134" w:hanging="567"/>
        <w:rPr>
          <w:lang w:val="fr-FR"/>
        </w:rPr>
      </w:pPr>
      <w:r w:rsidRPr="00A779B8">
        <w:rPr>
          <w:lang w:val="fr-FR"/>
        </w:rPr>
        <w:t>7)</w:t>
      </w:r>
      <w:r w:rsidRPr="00A779B8">
        <w:rPr>
          <w:lang w:val="fr-FR"/>
        </w:rPr>
        <w:tab/>
      </w:r>
      <w:r w:rsidR="009D55DD">
        <w:rPr>
          <w:noProof/>
          <w:position w:val="-26"/>
          <w:lang w:val="en-US"/>
        </w:rPr>
        <w:drawing>
          <wp:inline distT="0" distB="0" distL="0" distR="0">
            <wp:extent cx="543560" cy="387985"/>
            <wp:effectExtent l="0" t="0" r="889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43560" cy="387985"/>
                    </a:xfrm>
                    <a:prstGeom prst="rect">
                      <a:avLst/>
                    </a:prstGeom>
                    <a:noFill/>
                    <a:ln>
                      <a:noFill/>
                    </a:ln>
                  </pic:spPr>
                </pic:pic>
              </a:graphicData>
            </a:graphic>
          </wp:inline>
        </w:drawing>
      </w:r>
      <w:r w:rsidR="009D55DD">
        <w:rPr>
          <w:noProof/>
          <w:position w:val="-10"/>
          <w:lang w:val="en-US"/>
        </w:rPr>
        <w:drawing>
          <wp:inline distT="0" distB="0" distL="0" distR="0">
            <wp:extent cx="120650" cy="21590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20650" cy="215900"/>
                    </a:xfrm>
                    <a:prstGeom prst="rect">
                      <a:avLst/>
                    </a:prstGeom>
                    <a:noFill/>
                    <a:ln>
                      <a:noFill/>
                    </a:ln>
                  </pic:spPr>
                </pic:pic>
              </a:graphicData>
            </a:graphic>
          </wp:inline>
        </w:drawing>
      </w:r>
    </w:p>
    <w:p w:rsidR="00C76E16" w:rsidRPr="00A779B8" w:rsidRDefault="00C76E16" w:rsidP="00C76E16">
      <w:pPr>
        <w:keepNext/>
        <w:spacing w:after="120"/>
        <w:ind w:left="2835" w:right="1134" w:hanging="567"/>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7"/>
        <w:gridCol w:w="5346"/>
      </w:tblGrid>
      <w:tr w:rsidR="00C76E16" w:rsidRPr="007E29C4" w:rsidTr="00DB4C2D">
        <w:tc>
          <w:tcPr>
            <w:tcW w:w="567" w:type="dxa"/>
            <w:shd w:val="clear" w:color="auto" w:fill="auto"/>
          </w:tcPr>
          <w:p w:rsidR="00C76E16" w:rsidRPr="007E29C4" w:rsidRDefault="00C76E16" w:rsidP="00DB4C2D">
            <w:pPr>
              <w:spacing w:after="100"/>
              <w:rPr>
                <w:lang w:val="fr-FR"/>
              </w:rPr>
            </w:pPr>
            <w:proofErr w:type="spellStart"/>
            <w:r w:rsidRPr="007E29C4">
              <w:rPr>
                <w:lang w:val="fr-FR"/>
              </w:rPr>
              <w:t>M</w:t>
            </w:r>
            <w:r w:rsidRPr="007E29C4">
              <w:rPr>
                <w:vertAlign w:val="subscript"/>
                <w:lang w:val="fr-FR"/>
              </w:rPr>
              <w:t>si</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pendant toutes les phases k, de polluant i, en g/km, sans régénération,</w:t>
            </w:r>
          </w:p>
        </w:tc>
      </w:tr>
      <w:tr w:rsidR="00C76E16" w:rsidRPr="007E29C4" w:rsidTr="00DB4C2D">
        <w:tc>
          <w:tcPr>
            <w:tcW w:w="567" w:type="dxa"/>
            <w:shd w:val="clear" w:color="auto" w:fill="auto"/>
          </w:tcPr>
          <w:p w:rsidR="00C76E16" w:rsidRPr="007E29C4" w:rsidRDefault="00C76E16" w:rsidP="00DB4C2D">
            <w:pPr>
              <w:spacing w:after="100"/>
              <w:rPr>
                <w:lang w:val="fr-FR"/>
              </w:rPr>
            </w:pPr>
            <w:proofErr w:type="spellStart"/>
            <w:r w:rsidRPr="007E29C4">
              <w:rPr>
                <w:lang w:val="fr-FR"/>
              </w:rPr>
              <w:t>M</w:t>
            </w:r>
            <w:r w:rsidRPr="007E29C4">
              <w:rPr>
                <w:vertAlign w:val="subscript"/>
                <w:lang w:val="fr-FR"/>
              </w:rPr>
              <w:t>ri</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pendant toutes les phases k, de polluant i, en g/km, pendant la régénération,</w:t>
            </w:r>
          </w:p>
        </w:tc>
      </w:tr>
      <w:tr w:rsidR="00C76E16" w:rsidRPr="007E29C4" w:rsidTr="00DB4C2D">
        <w:tc>
          <w:tcPr>
            <w:tcW w:w="567" w:type="dxa"/>
            <w:shd w:val="clear" w:color="auto" w:fill="auto"/>
          </w:tcPr>
          <w:p w:rsidR="00C76E16" w:rsidRPr="007E29C4" w:rsidRDefault="00C76E16" w:rsidP="00DB4C2D">
            <w:pPr>
              <w:spacing w:after="100"/>
              <w:rPr>
                <w:lang w:val="fr-FR"/>
              </w:rPr>
            </w:pPr>
            <w:proofErr w:type="spellStart"/>
            <w:r w:rsidRPr="007E29C4">
              <w:rPr>
                <w:lang w:val="fr-FR"/>
              </w:rPr>
              <w:t>M</w:t>
            </w:r>
            <w:r w:rsidRPr="007E29C4">
              <w:rPr>
                <w:vertAlign w:val="subscript"/>
                <w:lang w:val="fr-FR"/>
              </w:rPr>
              <w:t>pi</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pendant toutes les phases k, de polluant i, en g/km,</w:t>
            </w:r>
          </w:p>
        </w:tc>
      </w:tr>
      <w:tr w:rsidR="00C76E16" w:rsidRPr="007E29C4" w:rsidTr="00DB4C2D">
        <w:tc>
          <w:tcPr>
            <w:tcW w:w="567" w:type="dxa"/>
            <w:shd w:val="clear" w:color="auto" w:fill="auto"/>
          </w:tcPr>
          <w:p w:rsidR="00C76E16" w:rsidRPr="007E29C4" w:rsidRDefault="00C76E16" w:rsidP="00DB4C2D">
            <w:pPr>
              <w:spacing w:after="100"/>
              <w:rPr>
                <w:lang w:val="fr-FR"/>
              </w:rPr>
            </w:pPr>
            <w:proofErr w:type="spellStart"/>
            <w:r w:rsidRPr="007E29C4">
              <w:rPr>
                <w:lang w:val="fr-FR"/>
              </w:rPr>
              <w:t>M</w:t>
            </w:r>
            <w:r w:rsidRPr="007E29C4">
              <w:rPr>
                <w:vertAlign w:val="subscript"/>
                <w:lang w:val="fr-FR"/>
              </w:rPr>
              <w:t>sik</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pendant la phase k, de polluant i, en g/km, sans régénération,</w:t>
            </w:r>
          </w:p>
        </w:tc>
      </w:tr>
      <w:tr w:rsidR="00C76E16" w:rsidRPr="007E29C4" w:rsidTr="00DB4C2D">
        <w:tc>
          <w:tcPr>
            <w:tcW w:w="567" w:type="dxa"/>
            <w:shd w:val="clear" w:color="auto" w:fill="auto"/>
          </w:tcPr>
          <w:p w:rsidR="00C76E16" w:rsidRPr="007E29C4" w:rsidRDefault="00C76E16" w:rsidP="00DB4C2D">
            <w:pPr>
              <w:spacing w:after="100"/>
              <w:rPr>
                <w:lang w:val="fr-FR"/>
              </w:rPr>
            </w:pPr>
            <w:proofErr w:type="spellStart"/>
            <w:r w:rsidRPr="007E29C4">
              <w:rPr>
                <w:lang w:val="fr-FR"/>
              </w:rPr>
              <w:t>M</w:t>
            </w:r>
            <w:r w:rsidRPr="007E29C4">
              <w:rPr>
                <w:vertAlign w:val="subscript"/>
                <w:lang w:val="fr-FR"/>
              </w:rPr>
              <w:t>rik</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pendant la phase k, de polluant i, en g/km, pendant la régénération,</w:t>
            </w:r>
          </w:p>
        </w:tc>
      </w:tr>
      <w:tr w:rsidR="00C76E16" w:rsidRPr="007E29C4" w:rsidTr="00DB4C2D">
        <w:tc>
          <w:tcPr>
            <w:tcW w:w="567" w:type="dxa"/>
            <w:shd w:val="clear" w:color="auto" w:fill="auto"/>
          </w:tcPr>
          <w:p w:rsidR="00C76E16" w:rsidRPr="007E29C4" w:rsidRDefault="00C76E16" w:rsidP="00DB4C2D">
            <w:pPr>
              <w:spacing w:after="100"/>
              <w:rPr>
                <w:lang w:val="fr-FR"/>
              </w:rPr>
            </w:pPr>
            <w:r w:rsidRPr="007E29C4">
              <w:rPr>
                <w:lang w:val="fr-FR"/>
              </w:rPr>
              <w:t>M</w:t>
            </w:r>
            <w:r w:rsidR="00DB4C2D">
              <w:rPr>
                <w:lang w:val="fr-FR"/>
              </w:rPr>
              <w:t>’</w:t>
            </w:r>
            <w:proofErr w:type="spellStart"/>
            <w:r w:rsidRPr="007E29C4">
              <w:rPr>
                <w:vertAlign w:val="subscript"/>
                <w:lang w:val="fr-FR"/>
              </w:rPr>
              <w:t>sik,j</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pendant la phase k, de polluant i, en g/km, pendant un cycle d</w:t>
            </w:r>
            <w:r w:rsidR="00DB4C2D">
              <w:rPr>
                <w:lang w:val="fr-FR"/>
              </w:rPr>
              <w:t>’</w:t>
            </w:r>
            <w:r w:rsidRPr="007E29C4">
              <w:rPr>
                <w:lang w:val="fr-FR"/>
              </w:rPr>
              <w:t>essai du type I (ou cycle d</w:t>
            </w:r>
            <w:r w:rsidR="00DB4C2D">
              <w:rPr>
                <w:lang w:val="fr-FR"/>
              </w:rPr>
              <w:t>’</w:t>
            </w:r>
            <w:r w:rsidRPr="007E29C4">
              <w:rPr>
                <w:lang w:val="fr-FR"/>
              </w:rPr>
              <w:t>essai équivalent au banc-moteur) sans régénération, mesurées au point j; 1 ≤ j ≤ </w:t>
            </w:r>
            <w:proofErr w:type="spellStart"/>
            <w:r w:rsidRPr="007E29C4">
              <w:rPr>
                <w:lang w:val="fr-FR"/>
              </w:rPr>
              <w:t>n</w:t>
            </w:r>
            <w:r w:rsidRPr="007D1A6E">
              <w:rPr>
                <w:vertAlign w:val="subscript"/>
                <w:lang w:val="fr-FR"/>
              </w:rPr>
              <w:t>k</w:t>
            </w:r>
            <w:proofErr w:type="spellEnd"/>
            <w:r w:rsidRPr="007E29C4">
              <w:rPr>
                <w:lang w:val="fr-FR"/>
              </w:rPr>
              <w:t>,</w:t>
            </w:r>
          </w:p>
        </w:tc>
      </w:tr>
      <w:tr w:rsidR="00C76E16" w:rsidRPr="007E29C4" w:rsidTr="00DB4C2D">
        <w:tc>
          <w:tcPr>
            <w:tcW w:w="567" w:type="dxa"/>
            <w:shd w:val="clear" w:color="auto" w:fill="auto"/>
          </w:tcPr>
          <w:p w:rsidR="00C76E16" w:rsidRPr="007E29C4" w:rsidRDefault="00C76E16" w:rsidP="00DB4C2D">
            <w:pPr>
              <w:spacing w:after="100"/>
              <w:rPr>
                <w:lang w:val="fr-FR"/>
              </w:rPr>
            </w:pPr>
            <w:r w:rsidRPr="007E29C4">
              <w:rPr>
                <w:lang w:val="fr-FR"/>
              </w:rPr>
              <w:t>M</w:t>
            </w:r>
            <w:r w:rsidR="00DB4C2D">
              <w:rPr>
                <w:lang w:val="fr-FR"/>
              </w:rPr>
              <w:t>’</w:t>
            </w:r>
            <w:proofErr w:type="spellStart"/>
            <w:r w:rsidRPr="007E29C4">
              <w:rPr>
                <w:vertAlign w:val="subscript"/>
                <w:lang w:val="fr-FR"/>
              </w:rPr>
              <w:t>rik,j</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émissions massiques, pendant la phase k, de polluant i, en g/km, pendant un cycle d</w:t>
            </w:r>
            <w:r w:rsidR="00DB4C2D">
              <w:rPr>
                <w:lang w:val="fr-FR"/>
              </w:rPr>
              <w:t>’</w:t>
            </w:r>
            <w:r w:rsidRPr="007E29C4">
              <w:rPr>
                <w:lang w:val="fr-FR"/>
              </w:rPr>
              <w:t>essai du type I (ou cycle d</w:t>
            </w:r>
            <w:r w:rsidR="00DB4C2D">
              <w:rPr>
                <w:lang w:val="fr-FR"/>
              </w:rPr>
              <w:t>’</w:t>
            </w:r>
            <w:r w:rsidRPr="007E29C4">
              <w:rPr>
                <w:lang w:val="fr-FR"/>
              </w:rPr>
              <w:t>essai équivalent au banc-moteur), pendant la régénération (lorsque j &gt; 1, le premier essai du type I se fait à froid et les cycles suivants à chaud), mesurées au point j; 1 ≤ j ≤ </w:t>
            </w:r>
            <w:proofErr w:type="spellStart"/>
            <w:r w:rsidRPr="007E29C4">
              <w:rPr>
                <w:lang w:val="fr-FR"/>
              </w:rPr>
              <w:t>n</w:t>
            </w:r>
            <w:r w:rsidRPr="007D1A6E">
              <w:rPr>
                <w:vertAlign w:val="subscript"/>
                <w:lang w:val="fr-FR"/>
              </w:rPr>
              <w:t>k</w:t>
            </w:r>
            <w:proofErr w:type="spellEnd"/>
            <w:r w:rsidRPr="007E29C4">
              <w:rPr>
                <w:lang w:val="fr-FR"/>
              </w:rPr>
              <w:t>,</w:t>
            </w:r>
          </w:p>
        </w:tc>
      </w:tr>
      <w:tr w:rsidR="00C76E16" w:rsidRPr="007E29C4" w:rsidTr="00DB4C2D">
        <w:tc>
          <w:tcPr>
            <w:tcW w:w="567" w:type="dxa"/>
            <w:shd w:val="clear" w:color="auto" w:fill="auto"/>
          </w:tcPr>
          <w:p w:rsidR="00C76E16" w:rsidRPr="007E29C4" w:rsidRDefault="00C76E16" w:rsidP="00DB4C2D">
            <w:pPr>
              <w:spacing w:after="100"/>
              <w:rPr>
                <w:lang w:val="fr-FR"/>
              </w:rPr>
            </w:pPr>
            <w:proofErr w:type="spellStart"/>
            <w:r w:rsidRPr="007E29C4">
              <w:rPr>
                <w:lang w:val="fr-FR"/>
              </w:rPr>
              <w:t>n</w:t>
            </w:r>
            <w:r w:rsidRPr="007E29C4">
              <w:rPr>
                <w:vertAlign w:val="subscript"/>
                <w:lang w:val="fr-FR"/>
              </w:rPr>
              <w:t>k</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nombre de points, pendant la phase k, où sont faites les mesures d</w:t>
            </w:r>
            <w:r w:rsidR="00DB4C2D">
              <w:rPr>
                <w:lang w:val="fr-FR"/>
              </w:rPr>
              <w:t>’</w:t>
            </w:r>
            <w:r w:rsidRPr="007E29C4">
              <w:rPr>
                <w:lang w:val="fr-FR"/>
              </w:rPr>
              <w:t>émission (cycle d</w:t>
            </w:r>
            <w:r w:rsidR="00DB4C2D">
              <w:rPr>
                <w:lang w:val="fr-FR"/>
              </w:rPr>
              <w:t>’</w:t>
            </w:r>
            <w:r w:rsidRPr="007E29C4">
              <w:rPr>
                <w:lang w:val="fr-FR"/>
              </w:rPr>
              <w:t>essai du type I ou cycle d</w:t>
            </w:r>
            <w:r w:rsidR="00DB4C2D">
              <w:rPr>
                <w:lang w:val="fr-FR"/>
              </w:rPr>
              <w:t>’</w:t>
            </w:r>
            <w:r w:rsidRPr="007E29C4">
              <w:rPr>
                <w:lang w:val="fr-FR"/>
              </w:rPr>
              <w:t>essai équivalent au banc-moteur) entre deux cycles pendant lesquels se produisent des phases de régénération, ≥2,</w:t>
            </w:r>
          </w:p>
        </w:tc>
      </w:tr>
      <w:tr w:rsidR="00C76E16" w:rsidRPr="007E29C4" w:rsidTr="00DB4C2D">
        <w:tc>
          <w:tcPr>
            <w:tcW w:w="567" w:type="dxa"/>
            <w:shd w:val="clear" w:color="auto" w:fill="auto"/>
          </w:tcPr>
          <w:p w:rsidR="00C76E16" w:rsidRPr="007E29C4" w:rsidRDefault="00C76E16" w:rsidP="00DB4C2D">
            <w:pPr>
              <w:keepNext/>
              <w:spacing w:after="100"/>
              <w:rPr>
                <w:lang w:val="fr-FR"/>
              </w:rPr>
            </w:pPr>
            <w:proofErr w:type="spellStart"/>
            <w:r w:rsidRPr="007E29C4">
              <w:rPr>
                <w:lang w:val="fr-FR"/>
              </w:rPr>
              <w:lastRenderedPageBreak/>
              <w:t>d</w:t>
            </w:r>
            <w:r w:rsidRPr="007E29C4">
              <w:rPr>
                <w:vertAlign w:val="subscript"/>
                <w:lang w:val="fr-FR"/>
              </w:rPr>
              <w:t>k</w:t>
            </w:r>
            <w:proofErr w:type="spellEnd"/>
          </w:p>
        </w:tc>
        <w:tc>
          <w:tcPr>
            <w:tcW w:w="284" w:type="dxa"/>
            <w:shd w:val="clear" w:color="auto" w:fill="auto"/>
          </w:tcPr>
          <w:p w:rsidR="00C76E16" w:rsidRPr="007E29C4" w:rsidRDefault="00C76E16" w:rsidP="00DB4C2D">
            <w:pPr>
              <w:keepNext/>
              <w:spacing w:after="100"/>
              <w:rPr>
                <w:lang w:val="fr-FR"/>
              </w:rPr>
            </w:pPr>
            <w:r w:rsidRPr="007E29C4">
              <w:rPr>
                <w:lang w:val="fr-FR"/>
              </w:rPr>
              <w:t>=</w:t>
            </w:r>
          </w:p>
        </w:tc>
        <w:tc>
          <w:tcPr>
            <w:tcW w:w="5103" w:type="dxa"/>
            <w:shd w:val="clear" w:color="auto" w:fill="auto"/>
          </w:tcPr>
          <w:p w:rsidR="00C76E16" w:rsidRPr="007E29C4" w:rsidRDefault="00C76E16" w:rsidP="00DB4C2D">
            <w:pPr>
              <w:keepNext/>
              <w:spacing w:after="100"/>
              <w:rPr>
                <w:lang w:val="fr-FR"/>
              </w:rPr>
            </w:pPr>
            <w:r w:rsidRPr="007E29C4">
              <w:rPr>
                <w:lang w:val="fr-FR"/>
              </w:rPr>
              <w:t>nombre de cycles d</w:t>
            </w:r>
            <w:r w:rsidR="00DB4C2D">
              <w:rPr>
                <w:lang w:val="fr-FR"/>
              </w:rPr>
              <w:t>’</w:t>
            </w:r>
            <w:r w:rsidRPr="007E29C4">
              <w:rPr>
                <w:lang w:val="fr-FR"/>
              </w:rPr>
              <w:t>essai, pendant la phase k, nécessaires à la régénération,</w:t>
            </w:r>
          </w:p>
        </w:tc>
      </w:tr>
      <w:tr w:rsidR="00C76E16" w:rsidRPr="007E29C4" w:rsidTr="00DB4C2D">
        <w:tc>
          <w:tcPr>
            <w:tcW w:w="567" w:type="dxa"/>
            <w:shd w:val="clear" w:color="auto" w:fill="auto"/>
          </w:tcPr>
          <w:p w:rsidR="00C76E16" w:rsidRPr="007E29C4" w:rsidRDefault="00C76E16" w:rsidP="00DB4C2D">
            <w:pPr>
              <w:spacing w:after="100"/>
              <w:rPr>
                <w:lang w:val="fr-FR"/>
              </w:rPr>
            </w:pPr>
            <w:proofErr w:type="spellStart"/>
            <w:r w:rsidRPr="007E29C4">
              <w:rPr>
                <w:lang w:val="fr-FR"/>
              </w:rPr>
              <w:t>D</w:t>
            </w:r>
            <w:r w:rsidRPr="007E29C4">
              <w:rPr>
                <w:vertAlign w:val="subscript"/>
                <w:lang w:val="fr-FR"/>
              </w:rPr>
              <w:t>k</w:t>
            </w:r>
            <w:proofErr w:type="spellEnd"/>
          </w:p>
        </w:tc>
        <w:tc>
          <w:tcPr>
            <w:tcW w:w="284" w:type="dxa"/>
            <w:shd w:val="clear" w:color="auto" w:fill="auto"/>
          </w:tcPr>
          <w:p w:rsidR="00C76E16" w:rsidRPr="007E29C4" w:rsidRDefault="00C76E16" w:rsidP="00DB4C2D">
            <w:pPr>
              <w:spacing w:after="100"/>
              <w:rPr>
                <w:lang w:val="fr-FR"/>
              </w:rPr>
            </w:pPr>
            <w:r w:rsidRPr="007E29C4">
              <w:rPr>
                <w:lang w:val="fr-FR"/>
              </w:rPr>
              <w:t>=</w:t>
            </w:r>
          </w:p>
        </w:tc>
        <w:tc>
          <w:tcPr>
            <w:tcW w:w="5103" w:type="dxa"/>
            <w:shd w:val="clear" w:color="auto" w:fill="auto"/>
          </w:tcPr>
          <w:p w:rsidR="00C76E16" w:rsidRPr="007E29C4" w:rsidRDefault="00C76E16" w:rsidP="00DB4C2D">
            <w:pPr>
              <w:spacing w:after="100"/>
              <w:rPr>
                <w:lang w:val="fr-FR"/>
              </w:rPr>
            </w:pPr>
            <w:r w:rsidRPr="007E29C4">
              <w:rPr>
                <w:lang w:val="fr-FR"/>
              </w:rPr>
              <w:t>nombre de cycles d</w:t>
            </w:r>
            <w:r w:rsidR="00DB4C2D">
              <w:rPr>
                <w:lang w:val="fr-FR"/>
              </w:rPr>
              <w:t>’</w:t>
            </w:r>
            <w:r w:rsidRPr="007E29C4">
              <w:rPr>
                <w:lang w:val="fr-FR"/>
              </w:rPr>
              <w:t>essai, pendant la phase k, entre deux cycles où se produisent des phases de régénération.</w:t>
            </w:r>
          </w:p>
        </w:tc>
      </w:tr>
    </w:tbl>
    <w:p w:rsidR="00C76E16" w:rsidRPr="00A779B8" w:rsidRDefault="00C76E16" w:rsidP="00C76E16">
      <w:pPr>
        <w:pStyle w:val="SingleTxtG"/>
        <w:keepNext/>
        <w:ind w:left="2268"/>
        <w:rPr>
          <w:lang w:val="fr-FR"/>
        </w:rPr>
      </w:pPr>
      <w:r w:rsidRPr="00A779B8">
        <w:rPr>
          <w:lang w:val="fr-FR"/>
        </w:rPr>
        <w:t>La figure A13/2 représente les paramètres mesurés.</w:t>
      </w:r>
    </w:p>
    <w:p w:rsidR="00C76E16" w:rsidRPr="00A779B8" w:rsidRDefault="00C76E16" w:rsidP="00C76E16">
      <w:pPr>
        <w:pStyle w:val="Titre1"/>
        <w:spacing w:after="120"/>
        <w:rPr>
          <w:b/>
          <w:lang w:val="fr-FR"/>
        </w:rPr>
      </w:pPr>
      <w:r w:rsidRPr="00A779B8">
        <w:rPr>
          <w:lang w:val="fr-FR"/>
        </w:rPr>
        <w:t>Figure A13/2</w:t>
      </w:r>
      <w:r w:rsidRPr="00A779B8">
        <w:rPr>
          <w:lang w:val="fr-FR"/>
        </w:rPr>
        <w:br/>
      </w:r>
      <w:r w:rsidRPr="00A779B8">
        <w:rPr>
          <w:b/>
          <w:lang w:val="fr-FR"/>
        </w:rPr>
        <w:t>Paramètres mesurés lors des essais d</w:t>
      </w:r>
      <w:r w:rsidR="00DB4C2D">
        <w:rPr>
          <w:b/>
          <w:lang w:val="fr-FR"/>
        </w:rPr>
        <w:t>’</w:t>
      </w:r>
      <w:r w:rsidRPr="00A779B8">
        <w:rPr>
          <w:b/>
          <w:lang w:val="fr-FR"/>
        </w:rPr>
        <w:t xml:space="preserve">émissions pendant et entre les cycles </w:t>
      </w:r>
      <w:r w:rsidRPr="00A779B8">
        <w:rPr>
          <w:b/>
          <w:lang w:val="fr-FR"/>
        </w:rPr>
        <w:br/>
        <w:t>où se produit une régénération (il ne s</w:t>
      </w:r>
      <w:r w:rsidR="00DB4C2D">
        <w:rPr>
          <w:b/>
          <w:lang w:val="fr-FR"/>
        </w:rPr>
        <w:t>’</w:t>
      </w:r>
      <w:r w:rsidRPr="00A779B8">
        <w:rPr>
          <w:b/>
          <w:lang w:val="fr-FR"/>
        </w:rPr>
        <w:t>agit que d</w:t>
      </w:r>
      <w:r w:rsidR="00DB4C2D">
        <w:rPr>
          <w:b/>
          <w:lang w:val="fr-FR"/>
        </w:rPr>
        <w:t>’</w:t>
      </w:r>
      <w:r w:rsidRPr="00A779B8">
        <w:rPr>
          <w:b/>
          <w:lang w:val="fr-FR"/>
        </w:rPr>
        <w:t>un exemple)</w:t>
      </w:r>
    </w:p>
    <w:bookmarkStart w:id="332" w:name="_MON_1432545785"/>
    <w:bookmarkStart w:id="333" w:name="_MON_1433159583"/>
    <w:bookmarkStart w:id="334" w:name="_MON_1433159670"/>
    <w:bookmarkStart w:id="335" w:name="_MON_1433161591"/>
    <w:bookmarkStart w:id="336" w:name="_MON_1448431787"/>
    <w:bookmarkEnd w:id="332"/>
    <w:bookmarkEnd w:id="333"/>
    <w:bookmarkEnd w:id="334"/>
    <w:bookmarkEnd w:id="335"/>
    <w:bookmarkEnd w:id="336"/>
    <w:p w:rsidR="00C76E16" w:rsidRPr="00A779B8" w:rsidRDefault="00C76E16" w:rsidP="00C76E16">
      <w:pPr>
        <w:ind w:left="1134"/>
        <w:rPr>
          <w:lang w:val="fr-FR"/>
        </w:rPr>
      </w:pPr>
      <w:r w:rsidRPr="00A779B8">
        <w:rPr>
          <w:lang w:val="fr-FR"/>
        </w:rPr>
        <w:object w:dxaOrig="7938" w:dyaOrig="5842">
          <v:shape id="_x0000_i1142" type="#_x0000_t75" style="width:365.45pt;height:235pt" o:ole="">
            <v:imagedata r:id="rId293" o:title="" cropbottom="3180f"/>
            <o:lock v:ext="edit" aspectratio="f"/>
            <w10:bordertop type="single" width="4"/>
            <w10:borderleft type="single" width="4"/>
            <w10:borderbottom type="single" width="4"/>
            <w10:borderright type="single" width="4"/>
          </v:shape>
          <o:OLEObject Type="Embed" ProgID="Word.Picture.8" ShapeID="_x0000_i1142" DrawAspect="Content" ObjectID="_1490178475" r:id="rId294"/>
        </w:object>
      </w:r>
    </w:p>
    <w:p w:rsidR="00C76E16" w:rsidRPr="00A779B8" w:rsidRDefault="00C76E16" w:rsidP="00C76E16">
      <w:pPr>
        <w:pStyle w:val="SingleTxtG"/>
        <w:spacing w:before="240"/>
        <w:rPr>
          <w:lang w:val="fr-FR"/>
        </w:rPr>
      </w:pPr>
      <w:r w:rsidRPr="00A779B8">
        <w:rPr>
          <w:lang w:val="fr-FR"/>
        </w:rPr>
        <w:t>Pour plus de détails sur l</w:t>
      </w:r>
      <w:r w:rsidR="00DB4C2D">
        <w:rPr>
          <w:lang w:val="fr-FR"/>
        </w:rPr>
        <w:t>’</w:t>
      </w:r>
      <w:r w:rsidRPr="00A779B8">
        <w:rPr>
          <w:lang w:val="fr-FR"/>
        </w:rPr>
        <w:t>exemple de procédé voir la figure A13/3.</w:t>
      </w:r>
    </w:p>
    <w:p w:rsidR="00C76E16" w:rsidRPr="00A779B8" w:rsidRDefault="00C76E16" w:rsidP="00C76E16">
      <w:pPr>
        <w:pStyle w:val="Titre1"/>
        <w:spacing w:before="120" w:after="120"/>
        <w:rPr>
          <w:b/>
          <w:lang w:val="fr-FR"/>
        </w:rPr>
      </w:pPr>
      <w:r w:rsidRPr="00A779B8">
        <w:rPr>
          <w:lang w:val="fr-FR"/>
        </w:rPr>
        <w:t>Figure A13/3</w:t>
      </w:r>
      <w:r w:rsidRPr="00A779B8">
        <w:rPr>
          <w:lang w:val="fr-FR"/>
        </w:rPr>
        <w:br/>
      </w:r>
      <w:r w:rsidRPr="00A779B8">
        <w:rPr>
          <w:b/>
          <w:lang w:val="fr-FR"/>
        </w:rPr>
        <w:t>Paramètres mesurés lors des essais d</w:t>
      </w:r>
      <w:r w:rsidR="00DB4C2D">
        <w:rPr>
          <w:b/>
          <w:lang w:val="fr-FR"/>
        </w:rPr>
        <w:t>’</w:t>
      </w:r>
      <w:r w:rsidRPr="00A779B8">
        <w:rPr>
          <w:b/>
          <w:lang w:val="fr-FR"/>
        </w:rPr>
        <w:t xml:space="preserve">émissions pendant et entre les cycles </w:t>
      </w:r>
      <w:r w:rsidRPr="00A779B8">
        <w:rPr>
          <w:b/>
          <w:lang w:val="fr-FR"/>
        </w:rPr>
        <w:br/>
        <w:t>où se produit une régénération (il ne s</w:t>
      </w:r>
      <w:r w:rsidR="00DB4C2D">
        <w:rPr>
          <w:b/>
          <w:lang w:val="fr-FR"/>
        </w:rPr>
        <w:t>’</w:t>
      </w:r>
      <w:r w:rsidRPr="00A779B8">
        <w:rPr>
          <w:b/>
          <w:lang w:val="fr-FR"/>
        </w:rPr>
        <w:t>agit que d</w:t>
      </w:r>
      <w:r w:rsidR="00DB4C2D">
        <w:rPr>
          <w:b/>
          <w:lang w:val="fr-FR"/>
        </w:rPr>
        <w:t>’</w:t>
      </w:r>
      <w:r w:rsidRPr="00A779B8">
        <w:rPr>
          <w:b/>
          <w:lang w:val="fr-FR"/>
        </w:rPr>
        <w:t>un exemple)</w:t>
      </w:r>
    </w:p>
    <w:bookmarkStart w:id="337" w:name="_MON_1432545834"/>
    <w:bookmarkEnd w:id="337"/>
    <w:p w:rsidR="00C76E16" w:rsidRPr="00A779B8" w:rsidRDefault="00C76E16" w:rsidP="00C76E16">
      <w:pPr>
        <w:ind w:left="1134"/>
        <w:rPr>
          <w:lang w:val="fr-FR"/>
        </w:rPr>
      </w:pPr>
      <w:r w:rsidRPr="00A779B8">
        <w:rPr>
          <w:lang w:val="fr-FR"/>
        </w:rPr>
        <w:object w:dxaOrig="6630" w:dyaOrig="4319">
          <v:shape id="_x0000_i1143" type="#_x0000_t75" style="width:365.45pt;height:179.3pt" o:ole="" o:bordertopcolor="this" o:borderleftcolor="this" o:borderbottomcolor="this" o:borderrightcolor="this">
            <v:imagedata r:id="rId295" o:title="" croptop="-4301f" cropleft="-2802f" cropright="-2802f"/>
            <w10:bordertop type="single" width="4"/>
            <w10:borderleft type="single" width="4"/>
            <w10:borderbottom type="single" width="4"/>
            <w10:borderright type="single" width="4"/>
          </v:shape>
          <o:OLEObject Type="Embed" ProgID="Word.Picture.8" ShapeID="_x0000_i1143" DrawAspect="Content" ObjectID="_1490178476" r:id="rId296"/>
        </w:object>
      </w:r>
    </w:p>
    <w:p w:rsidR="00C76E16" w:rsidRPr="00A779B8" w:rsidRDefault="00C76E16" w:rsidP="00C76E16">
      <w:pPr>
        <w:pStyle w:val="SingleTxtG"/>
        <w:spacing w:before="180" w:after="100"/>
        <w:rPr>
          <w:lang w:val="fr-FR"/>
        </w:rPr>
      </w:pPr>
      <w:r w:rsidRPr="00A779B8">
        <w:rPr>
          <w:lang w:val="fr-FR"/>
        </w:rPr>
        <w:t>Ci-après est donnée l</w:t>
      </w:r>
      <w:r w:rsidR="00DB4C2D">
        <w:rPr>
          <w:lang w:val="fr-FR"/>
        </w:rPr>
        <w:t>’</w:t>
      </w:r>
      <w:r w:rsidRPr="00A779B8">
        <w:rPr>
          <w:lang w:val="fr-FR"/>
        </w:rPr>
        <w:t>explication détaillée du cas à la fois simple et réaliste qu</w:t>
      </w:r>
      <w:r w:rsidR="00DB4C2D">
        <w:rPr>
          <w:lang w:val="fr-FR"/>
        </w:rPr>
        <w:t>’</w:t>
      </w:r>
      <w:r w:rsidRPr="00A779B8">
        <w:rPr>
          <w:lang w:val="fr-FR"/>
        </w:rPr>
        <w:t>est l</w:t>
      </w:r>
      <w:r w:rsidR="00DB4C2D">
        <w:rPr>
          <w:lang w:val="fr-FR"/>
        </w:rPr>
        <w:t>’</w:t>
      </w:r>
      <w:r w:rsidRPr="00A779B8">
        <w:rPr>
          <w:lang w:val="fr-FR"/>
        </w:rPr>
        <w:t>exemple de la figure A13/3 ci-dessus.</w:t>
      </w:r>
    </w:p>
    <w:p w:rsidR="00C76E16" w:rsidRPr="00A779B8" w:rsidRDefault="00C76E16" w:rsidP="00C76E16">
      <w:pPr>
        <w:pStyle w:val="SingleTxtG"/>
        <w:keepNext/>
        <w:spacing w:after="100" w:line="236" w:lineRule="atLeast"/>
        <w:ind w:left="2268" w:hanging="1134"/>
        <w:rPr>
          <w:lang w:val="fr-FR"/>
        </w:rPr>
      </w:pPr>
      <w:r w:rsidRPr="00A779B8">
        <w:rPr>
          <w:lang w:val="fr-FR"/>
        </w:rPr>
        <w:lastRenderedPageBreak/>
        <w:t>1.</w:t>
      </w:r>
      <w:r w:rsidRPr="00A779B8">
        <w:rPr>
          <w:lang w:val="fr-FR"/>
        </w:rPr>
        <w:tab/>
        <w:t>«</w:t>
      </w:r>
      <w:r>
        <w:rPr>
          <w:lang w:val="fr-FR"/>
        </w:rPr>
        <w:t>Filtre à particules diesel (</w:t>
      </w:r>
      <w:r w:rsidRPr="00046F06">
        <w:rPr>
          <w:lang w:val="fr-FR"/>
        </w:rPr>
        <w:t>DPF</w:t>
      </w:r>
      <w:r>
        <w:rPr>
          <w:lang w:val="fr-FR"/>
        </w:rPr>
        <w:t>)</w:t>
      </w:r>
      <w:r w:rsidRPr="00A779B8">
        <w:rPr>
          <w:lang w:val="fr-FR"/>
        </w:rPr>
        <w:t>»: régénération à intervalles réguliers et émissions équivalentes (</w:t>
      </w:r>
      <w:r w:rsidRPr="00A779B8">
        <w:rPr>
          <w:lang w:val="fr-FR"/>
        </w:rPr>
        <w:sym w:font="Symbol" w:char="F0B1"/>
      </w:r>
      <w:r w:rsidRPr="00A779B8">
        <w:rPr>
          <w:lang w:val="fr-FR"/>
        </w:rPr>
        <w:t>15 %) entre les phases de régénération.</w:t>
      </w:r>
    </w:p>
    <w:p w:rsidR="00C76E16" w:rsidRPr="00A779B8" w:rsidRDefault="00C76E16" w:rsidP="00C76E16">
      <w:pPr>
        <w:pStyle w:val="SingleTxtG"/>
        <w:spacing w:after="100" w:line="236" w:lineRule="atLeast"/>
        <w:ind w:left="2268"/>
        <w:rPr>
          <w:lang w:val="en-GB"/>
        </w:rPr>
      </w:pPr>
      <w:r w:rsidRPr="00A779B8">
        <w:rPr>
          <w:lang w:val="fr-FR"/>
        </w:rPr>
        <w:tab/>
      </w:r>
      <w:proofErr w:type="spellStart"/>
      <w:r w:rsidRPr="00A779B8">
        <w:rPr>
          <w:lang w:val="en-GB"/>
        </w:rPr>
        <w:t>D</w:t>
      </w:r>
      <w:r w:rsidRPr="00A779B8">
        <w:rPr>
          <w:vertAlign w:val="subscript"/>
          <w:lang w:val="en-GB"/>
        </w:rPr>
        <w:t>k</w:t>
      </w:r>
      <w:proofErr w:type="spellEnd"/>
      <w:r w:rsidRPr="00A779B8">
        <w:rPr>
          <w:lang w:val="en-GB"/>
        </w:rPr>
        <w:t> = D</w:t>
      </w:r>
      <w:r w:rsidRPr="00A779B8">
        <w:rPr>
          <w:vertAlign w:val="subscript"/>
          <w:lang w:val="en-GB"/>
        </w:rPr>
        <w:t>k+1</w:t>
      </w:r>
      <w:r w:rsidRPr="00A779B8">
        <w:rPr>
          <w:lang w:val="en-GB"/>
        </w:rPr>
        <w:t> = D</w:t>
      </w:r>
      <w:r w:rsidRPr="00A779B8">
        <w:rPr>
          <w:vertAlign w:val="subscript"/>
          <w:lang w:val="en-GB"/>
        </w:rPr>
        <w:t>1</w:t>
      </w:r>
    </w:p>
    <w:p w:rsidR="00C76E16" w:rsidRPr="00A779B8" w:rsidRDefault="00C76E16" w:rsidP="00C76E16">
      <w:pPr>
        <w:pStyle w:val="SingleTxtG"/>
        <w:spacing w:after="100" w:line="236" w:lineRule="atLeast"/>
        <w:ind w:left="2268"/>
        <w:rPr>
          <w:lang w:val="en-GB"/>
        </w:rPr>
      </w:pPr>
      <w:r w:rsidRPr="00A779B8">
        <w:rPr>
          <w:lang w:val="en-GB"/>
        </w:rPr>
        <w:tab/>
      </w:r>
      <w:proofErr w:type="spellStart"/>
      <w:r w:rsidRPr="00A779B8">
        <w:rPr>
          <w:lang w:val="en-GB"/>
        </w:rPr>
        <w:t>d</w:t>
      </w:r>
      <w:r w:rsidRPr="00A779B8">
        <w:rPr>
          <w:vertAlign w:val="subscript"/>
          <w:lang w:val="en-GB"/>
        </w:rPr>
        <w:t>k</w:t>
      </w:r>
      <w:proofErr w:type="spellEnd"/>
      <w:r w:rsidRPr="00A779B8">
        <w:rPr>
          <w:lang w:val="en-GB"/>
        </w:rPr>
        <w:t> = d</w:t>
      </w:r>
      <w:r w:rsidRPr="00A779B8">
        <w:rPr>
          <w:vertAlign w:val="subscript"/>
          <w:lang w:val="en-GB"/>
        </w:rPr>
        <w:t>k+1</w:t>
      </w:r>
      <w:r w:rsidRPr="00A779B8">
        <w:rPr>
          <w:lang w:val="en-GB"/>
        </w:rPr>
        <w:t> = d</w:t>
      </w:r>
      <w:r w:rsidRPr="00A779B8">
        <w:rPr>
          <w:vertAlign w:val="subscript"/>
          <w:lang w:val="en-GB"/>
        </w:rPr>
        <w:t>1</w:t>
      </w:r>
    </w:p>
    <w:p w:rsidR="00C76E16" w:rsidRPr="00A779B8" w:rsidRDefault="00C76E16" w:rsidP="00C76E16">
      <w:pPr>
        <w:pStyle w:val="SingleTxtG"/>
        <w:spacing w:after="100" w:line="236" w:lineRule="atLeast"/>
        <w:ind w:left="2268"/>
        <w:rPr>
          <w:vertAlign w:val="subscript"/>
          <w:lang w:val="en-GB"/>
        </w:rPr>
      </w:pPr>
      <w:r w:rsidRPr="00A779B8">
        <w:rPr>
          <w:lang w:val="en-GB"/>
        </w:rPr>
        <w:tab/>
      </w:r>
      <w:proofErr w:type="spellStart"/>
      <w:r w:rsidRPr="00A779B8">
        <w:rPr>
          <w:lang w:val="en-GB"/>
        </w:rPr>
        <w:t>M</w:t>
      </w:r>
      <w:r w:rsidRPr="00A779B8">
        <w:rPr>
          <w:vertAlign w:val="subscript"/>
          <w:lang w:val="en-GB"/>
        </w:rPr>
        <w:t>rik</w:t>
      </w:r>
      <w:proofErr w:type="spellEnd"/>
      <w:r w:rsidRPr="00A779B8">
        <w:rPr>
          <w:vertAlign w:val="subscript"/>
          <w:lang w:val="en-GB"/>
        </w:rPr>
        <w:t> </w:t>
      </w:r>
      <w:r w:rsidRPr="00A779B8">
        <w:rPr>
          <w:lang w:val="en-GB"/>
        </w:rPr>
        <w:t>– </w:t>
      </w:r>
      <w:proofErr w:type="spellStart"/>
      <w:r w:rsidRPr="00A779B8">
        <w:rPr>
          <w:lang w:val="en-GB"/>
        </w:rPr>
        <w:t>M</w:t>
      </w:r>
      <w:r w:rsidRPr="00A779B8">
        <w:rPr>
          <w:vertAlign w:val="subscript"/>
          <w:lang w:val="en-GB"/>
        </w:rPr>
        <w:t>sik</w:t>
      </w:r>
      <w:proofErr w:type="spellEnd"/>
      <w:r w:rsidRPr="00A779B8">
        <w:rPr>
          <w:lang w:val="en-GB"/>
        </w:rPr>
        <w:t> = M</w:t>
      </w:r>
      <w:r w:rsidRPr="00A779B8">
        <w:rPr>
          <w:vertAlign w:val="subscript"/>
          <w:lang w:val="en-GB"/>
        </w:rPr>
        <w:t>rik+1</w:t>
      </w:r>
      <w:r w:rsidRPr="00A779B8">
        <w:rPr>
          <w:lang w:val="en-GB"/>
        </w:rPr>
        <w:t> – M</w:t>
      </w:r>
      <w:r w:rsidRPr="00A779B8">
        <w:rPr>
          <w:vertAlign w:val="subscript"/>
          <w:lang w:val="en-GB"/>
        </w:rPr>
        <w:t>sik+1</w:t>
      </w:r>
    </w:p>
    <w:p w:rsidR="00C76E16" w:rsidRPr="00A779B8" w:rsidRDefault="00C76E16" w:rsidP="00C76E16">
      <w:pPr>
        <w:pStyle w:val="SingleTxtG"/>
        <w:spacing w:after="100" w:line="236" w:lineRule="atLeast"/>
        <w:ind w:left="2268"/>
        <w:rPr>
          <w:lang w:val="en-GB"/>
        </w:rPr>
      </w:pPr>
      <w:r w:rsidRPr="00A779B8">
        <w:rPr>
          <w:lang w:val="en-GB"/>
        </w:rPr>
        <w:tab/>
      </w:r>
      <w:proofErr w:type="spellStart"/>
      <w:r w:rsidRPr="00A779B8">
        <w:rPr>
          <w:lang w:val="en-GB"/>
        </w:rPr>
        <w:t>n</w:t>
      </w:r>
      <w:r w:rsidRPr="00A779B8">
        <w:rPr>
          <w:vertAlign w:val="subscript"/>
          <w:lang w:val="en-GB"/>
        </w:rPr>
        <w:t>k</w:t>
      </w:r>
      <w:proofErr w:type="spellEnd"/>
      <w:r w:rsidRPr="00A779B8">
        <w:rPr>
          <w:lang w:val="en-GB"/>
        </w:rPr>
        <w:t> = n</w:t>
      </w:r>
    </w:p>
    <w:p w:rsidR="00C76E16" w:rsidRPr="00A779B8" w:rsidRDefault="00C76E16" w:rsidP="00C76E16">
      <w:pPr>
        <w:pStyle w:val="SingleTxtG"/>
        <w:keepNext/>
        <w:spacing w:after="100" w:line="236" w:lineRule="atLeast"/>
        <w:ind w:left="2268" w:hanging="1134"/>
        <w:rPr>
          <w:lang w:val="fr-FR"/>
        </w:rPr>
      </w:pPr>
      <w:r w:rsidRPr="00A779B8">
        <w:rPr>
          <w:lang w:val="fr-FR"/>
        </w:rPr>
        <w:t>2.</w:t>
      </w:r>
      <w:r w:rsidRPr="00A779B8">
        <w:rPr>
          <w:lang w:val="fr-FR"/>
        </w:rPr>
        <w:tab/>
        <w:t>«</w:t>
      </w:r>
      <w:proofErr w:type="spellStart"/>
      <w:r w:rsidRPr="00046F06">
        <w:rPr>
          <w:lang w:val="fr-FR"/>
        </w:rPr>
        <w:t>DeNO</w:t>
      </w:r>
      <w:r w:rsidRPr="00046F06">
        <w:rPr>
          <w:vertAlign w:val="subscript"/>
          <w:lang w:val="fr-FR"/>
        </w:rPr>
        <w:t>x</w:t>
      </w:r>
      <w:proofErr w:type="spellEnd"/>
      <w:r w:rsidRPr="00A779B8">
        <w:rPr>
          <w:lang w:val="fr-FR"/>
        </w:rPr>
        <w:t>»: la désulfuration (extraction du SO</w:t>
      </w:r>
      <w:r w:rsidRPr="00A779B8">
        <w:rPr>
          <w:vertAlign w:val="subscript"/>
          <w:lang w:val="fr-FR"/>
        </w:rPr>
        <w:t>2</w:t>
      </w:r>
      <w:r w:rsidRPr="00A779B8">
        <w:rPr>
          <w:lang w:val="fr-FR"/>
        </w:rPr>
        <w:t>) commence avant que l</w:t>
      </w:r>
      <w:r w:rsidR="00DB4C2D">
        <w:rPr>
          <w:lang w:val="fr-FR"/>
        </w:rPr>
        <w:t>’</w:t>
      </w:r>
      <w:r w:rsidRPr="00A779B8">
        <w:rPr>
          <w:lang w:val="fr-FR"/>
        </w:rPr>
        <w:t>incidence du soufre sur les émissions soit décelable (</w:t>
      </w:r>
      <w:r w:rsidRPr="00A779B8">
        <w:rPr>
          <w:lang w:val="fr-FR"/>
        </w:rPr>
        <w:sym w:font="Symbol" w:char="F0B1"/>
      </w:r>
      <w:r w:rsidRPr="00A779B8">
        <w:rPr>
          <w:lang w:val="fr-FR"/>
        </w:rPr>
        <w:t>15 % des émissions mesurées).</w:t>
      </w:r>
    </w:p>
    <w:p w:rsidR="00C76E16" w:rsidRPr="00A779B8" w:rsidRDefault="00C76E16" w:rsidP="00C76E16">
      <w:pPr>
        <w:pStyle w:val="SingleTxtG"/>
        <w:tabs>
          <w:tab w:val="left" w:pos="3900"/>
        </w:tabs>
        <w:spacing w:after="100" w:line="236" w:lineRule="atLeast"/>
        <w:ind w:left="2268"/>
        <w:jc w:val="left"/>
        <w:rPr>
          <w:vertAlign w:val="subscript"/>
          <w:lang w:val="fr-FR"/>
        </w:rPr>
      </w:pPr>
      <w:r w:rsidRPr="00A779B8">
        <w:rPr>
          <w:lang w:val="fr-FR"/>
        </w:rPr>
        <w:t>M</w:t>
      </w:r>
      <w:r w:rsidR="00DB4C2D">
        <w:rPr>
          <w:lang w:val="fr-FR"/>
        </w:rPr>
        <w:t>’</w:t>
      </w:r>
      <w:proofErr w:type="spellStart"/>
      <w:r w:rsidRPr="00A779B8">
        <w:rPr>
          <w:vertAlign w:val="subscript"/>
          <w:lang w:val="fr-FR"/>
        </w:rPr>
        <w:t>sik,j</w:t>
      </w:r>
      <w:proofErr w:type="spellEnd"/>
      <w:r w:rsidRPr="00A779B8">
        <w:rPr>
          <w:vertAlign w:val="subscript"/>
          <w:lang w:val="fr-FR"/>
        </w:rPr>
        <w:t>=1</w:t>
      </w:r>
      <w:r w:rsidRPr="00A779B8">
        <w:rPr>
          <w:lang w:val="fr-FR"/>
        </w:rPr>
        <w:t> = </w:t>
      </w:r>
      <w:proofErr w:type="spellStart"/>
      <w:r w:rsidRPr="00A779B8">
        <w:rPr>
          <w:lang w:val="fr-FR"/>
        </w:rPr>
        <w:t>const</w:t>
      </w:r>
      <w:proofErr w:type="spellEnd"/>
      <w:r w:rsidRPr="00A779B8">
        <w:rPr>
          <w:lang w:val="fr-FR"/>
        </w:rPr>
        <w:t>. </w:t>
      </w:r>
      <w:r w:rsidRPr="00A779B8">
        <w:rPr>
          <w:lang w:val="fr-FR"/>
        </w:rPr>
        <w:sym w:font="Wingdings" w:char="F0E0"/>
      </w:r>
      <w:r w:rsidRPr="00A779B8">
        <w:rPr>
          <w:lang w:val="fr-FR"/>
        </w:rPr>
        <w:t> </w:t>
      </w:r>
      <w:proofErr w:type="spellStart"/>
      <w:r w:rsidRPr="00A779B8">
        <w:rPr>
          <w:lang w:val="fr-FR"/>
        </w:rPr>
        <w:t>M</w:t>
      </w:r>
      <w:r w:rsidRPr="00A779B8">
        <w:rPr>
          <w:vertAlign w:val="subscript"/>
          <w:lang w:val="fr-FR"/>
        </w:rPr>
        <w:t>sik</w:t>
      </w:r>
      <w:proofErr w:type="spellEnd"/>
      <w:r w:rsidRPr="00A779B8">
        <w:rPr>
          <w:lang w:val="fr-FR"/>
        </w:rPr>
        <w:t> = M</w:t>
      </w:r>
      <w:r w:rsidRPr="00A779B8">
        <w:rPr>
          <w:vertAlign w:val="subscript"/>
          <w:lang w:val="fr-FR"/>
        </w:rPr>
        <w:t>sik+1</w:t>
      </w:r>
      <w:r w:rsidRPr="00A779B8">
        <w:rPr>
          <w:lang w:val="fr-FR"/>
        </w:rPr>
        <w:t> = M</w:t>
      </w:r>
      <w:r w:rsidRPr="00A779B8">
        <w:rPr>
          <w:vertAlign w:val="subscript"/>
          <w:lang w:val="fr-FR"/>
        </w:rPr>
        <w:t>si2</w:t>
      </w:r>
      <w:r w:rsidRPr="00A779B8">
        <w:rPr>
          <w:vertAlign w:val="subscript"/>
          <w:lang w:val="fr-FR"/>
        </w:rPr>
        <w:br/>
      </w:r>
      <w:r w:rsidRPr="00A779B8">
        <w:rPr>
          <w:vertAlign w:val="subscript"/>
          <w:lang w:val="fr-FR"/>
        </w:rPr>
        <w:tab/>
      </w:r>
      <w:proofErr w:type="spellStart"/>
      <w:r w:rsidRPr="00A779B8">
        <w:rPr>
          <w:lang w:val="fr-FR"/>
        </w:rPr>
        <w:t>M</w:t>
      </w:r>
      <w:r w:rsidRPr="00A779B8">
        <w:rPr>
          <w:vertAlign w:val="subscript"/>
          <w:lang w:val="fr-FR"/>
        </w:rPr>
        <w:t>rik</w:t>
      </w:r>
      <w:proofErr w:type="spellEnd"/>
      <w:r w:rsidRPr="00A779B8">
        <w:rPr>
          <w:lang w:val="fr-FR"/>
        </w:rPr>
        <w:t> = M</w:t>
      </w:r>
      <w:r w:rsidRPr="00A779B8">
        <w:rPr>
          <w:vertAlign w:val="subscript"/>
          <w:lang w:val="fr-FR"/>
        </w:rPr>
        <w:t>rik+1</w:t>
      </w:r>
      <w:r w:rsidRPr="00A779B8">
        <w:rPr>
          <w:lang w:val="fr-FR"/>
        </w:rPr>
        <w:t> = M</w:t>
      </w:r>
      <w:r w:rsidRPr="00A779B8">
        <w:rPr>
          <w:vertAlign w:val="subscript"/>
          <w:lang w:val="fr-FR"/>
        </w:rPr>
        <w:t>ri2</w:t>
      </w:r>
    </w:p>
    <w:p w:rsidR="00C76E16" w:rsidRPr="00A779B8" w:rsidRDefault="00C76E16" w:rsidP="00C76E16">
      <w:pPr>
        <w:pStyle w:val="SingleTxtG"/>
        <w:spacing w:after="100" w:line="236" w:lineRule="atLeast"/>
        <w:ind w:left="2268"/>
        <w:jc w:val="left"/>
        <w:rPr>
          <w:lang w:val="fr-FR"/>
        </w:rPr>
      </w:pPr>
      <w:r w:rsidRPr="00A779B8">
        <w:rPr>
          <w:lang w:val="fr-FR"/>
        </w:rPr>
        <w:tab/>
        <w:t>Pour l</w:t>
      </w:r>
      <w:r w:rsidR="00DB4C2D">
        <w:rPr>
          <w:lang w:val="fr-FR"/>
        </w:rPr>
        <w:t>’</w:t>
      </w:r>
      <w:r w:rsidRPr="00A779B8">
        <w:rPr>
          <w:lang w:val="fr-FR"/>
        </w:rPr>
        <w:t>extraction du SO</w:t>
      </w:r>
      <w:r w:rsidRPr="00A779B8">
        <w:rPr>
          <w:vertAlign w:val="subscript"/>
          <w:lang w:val="fr-FR"/>
        </w:rPr>
        <w:t>2</w:t>
      </w:r>
      <w:r w:rsidRPr="00A779B8">
        <w:rPr>
          <w:lang w:val="fr-FR"/>
        </w:rPr>
        <w:t>: M</w:t>
      </w:r>
      <w:r w:rsidRPr="00A779B8">
        <w:rPr>
          <w:vertAlign w:val="subscript"/>
          <w:lang w:val="fr-FR"/>
        </w:rPr>
        <w:t>ri2</w:t>
      </w:r>
      <w:r w:rsidRPr="00A779B8">
        <w:rPr>
          <w:lang w:val="fr-FR"/>
        </w:rPr>
        <w:t>, M</w:t>
      </w:r>
      <w:r w:rsidRPr="00A779B8">
        <w:rPr>
          <w:vertAlign w:val="subscript"/>
          <w:lang w:val="fr-FR"/>
        </w:rPr>
        <w:t>si2</w:t>
      </w:r>
      <w:r w:rsidRPr="00A779B8">
        <w:rPr>
          <w:lang w:val="fr-FR"/>
        </w:rPr>
        <w:t>, d</w:t>
      </w:r>
      <w:r w:rsidRPr="00A779B8">
        <w:rPr>
          <w:vertAlign w:val="subscript"/>
          <w:lang w:val="fr-FR"/>
        </w:rPr>
        <w:t>2</w:t>
      </w:r>
      <w:r w:rsidRPr="00A779B8">
        <w:rPr>
          <w:lang w:val="fr-FR"/>
        </w:rPr>
        <w:t>, D</w:t>
      </w:r>
      <w:r w:rsidRPr="00A779B8">
        <w:rPr>
          <w:vertAlign w:val="subscript"/>
          <w:lang w:val="fr-FR"/>
        </w:rPr>
        <w:t xml:space="preserve">2, </w:t>
      </w:r>
      <w:r w:rsidRPr="00A779B8">
        <w:rPr>
          <w:lang w:val="fr-FR"/>
        </w:rPr>
        <w:t>n</w:t>
      </w:r>
      <w:r w:rsidRPr="00A779B8">
        <w:rPr>
          <w:vertAlign w:val="subscript"/>
          <w:lang w:val="fr-FR"/>
        </w:rPr>
        <w:t>2 </w:t>
      </w:r>
      <w:r w:rsidRPr="00A779B8">
        <w:rPr>
          <w:lang w:val="fr-FR"/>
        </w:rPr>
        <w:t>= 1</w:t>
      </w:r>
    </w:p>
    <w:p w:rsidR="00C76E16" w:rsidRPr="00A779B8" w:rsidRDefault="00C76E16" w:rsidP="00C76E16">
      <w:pPr>
        <w:pStyle w:val="SingleTxtG"/>
        <w:keepNext/>
        <w:spacing w:after="100" w:line="236" w:lineRule="atLeast"/>
        <w:ind w:left="2268" w:hanging="1134"/>
        <w:rPr>
          <w:lang w:val="fr-FR"/>
        </w:rPr>
      </w:pPr>
      <w:r w:rsidRPr="00A779B8">
        <w:rPr>
          <w:lang w:val="fr-FR"/>
        </w:rPr>
        <w:t>3.</w:t>
      </w:r>
      <w:r w:rsidRPr="00A779B8">
        <w:rPr>
          <w:lang w:val="fr-FR"/>
        </w:rPr>
        <w:tab/>
        <w:t>Système complet (DPF + </w:t>
      </w:r>
      <w:proofErr w:type="spellStart"/>
      <w:r w:rsidRPr="00A779B8">
        <w:rPr>
          <w:lang w:val="fr-FR"/>
        </w:rPr>
        <w:t>DeNO</w:t>
      </w:r>
      <w:r w:rsidRPr="00A779B8">
        <w:rPr>
          <w:vertAlign w:val="subscript"/>
          <w:lang w:val="fr-FR"/>
        </w:rPr>
        <w:t>x</w:t>
      </w:r>
      <w:proofErr w:type="spellEnd"/>
      <w:r w:rsidRPr="00A779B8">
        <w:rPr>
          <w:lang w:val="fr-FR"/>
        </w:rPr>
        <w:t>):</w:t>
      </w:r>
    </w:p>
    <w:p w:rsidR="00C76E16" w:rsidRPr="00A779B8" w:rsidRDefault="009D55DD" w:rsidP="00C76E16">
      <w:pPr>
        <w:pStyle w:val="SingleTxtG"/>
        <w:spacing w:after="0" w:line="236" w:lineRule="atLeast"/>
        <w:ind w:left="2268"/>
        <w:rPr>
          <w:lang w:val="fr-FR"/>
        </w:rPr>
      </w:pPr>
      <w:r>
        <w:rPr>
          <w:noProof/>
          <w:position w:val="-26"/>
          <w:lang w:val="en-US"/>
        </w:rPr>
        <w:drawing>
          <wp:inline distT="0" distB="0" distL="0" distR="0">
            <wp:extent cx="1337310" cy="319405"/>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337310" cy="319405"/>
                    </a:xfrm>
                    <a:prstGeom prst="rect">
                      <a:avLst/>
                    </a:prstGeom>
                    <a:noFill/>
                    <a:ln>
                      <a:noFill/>
                    </a:ln>
                  </pic:spPr>
                </pic:pic>
              </a:graphicData>
            </a:graphic>
          </wp:inline>
        </w:drawing>
      </w:r>
    </w:p>
    <w:p w:rsidR="00C76E16" w:rsidRPr="00A779B8" w:rsidRDefault="00C76E16" w:rsidP="00C76E16">
      <w:pPr>
        <w:pStyle w:val="SingleTxtG"/>
        <w:spacing w:after="0" w:line="236" w:lineRule="atLeast"/>
        <w:ind w:left="2268"/>
        <w:rPr>
          <w:sz w:val="16"/>
          <w:szCs w:val="16"/>
          <w:lang w:val="fr-FR"/>
        </w:rPr>
      </w:pPr>
      <w:r w:rsidRPr="00A779B8">
        <w:rPr>
          <w:lang w:val="fr-FR"/>
        </w:rPr>
        <w:tab/>
      </w:r>
      <w:r w:rsidRPr="00A779B8">
        <w:rPr>
          <w:position w:val="-26"/>
          <w:lang w:val="fr-FR"/>
        </w:rPr>
        <w:object w:dxaOrig="2340" w:dyaOrig="600">
          <v:shape id="_x0000_i1145" type="#_x0000_t75" style="width:107.3pt;height:27.15pt" o:ole="" fillcolor="window">
            <v:imagedata r:id="rId298" o:title=""/>
          </v:shape>
          <o:OLEObject Type="Embed" ProgID="Equation.3" ShapeID="_x0000_i1145" DrawAspect="Content" ObjectID="_1490178477" r:id="rId299"/>
        </w:object>
      </w:r>
      <w:r w:rsidRPr="00A779B8">
        <w:rPr>
          <w:lang w:val="fr-FR"/>
        </w:rPr>
        <w:tab/>
      </w:r>
      <w:r w:rsidRPr="00A779B8">
        <w:rPr>
          <w:position w:val="-30"/>
          <w:lang w:val="fr-FR"/>
        </w:rPr>
        <w:object w:dxaOrig="7580" w:dyaOrig="700">
          <v:shape id="_x0000_i1146" type="#_x0000_t75" style="width:310.4pt;height:27.85pt" o:ole="" fillcolor="window">
            <v:imagedata r:id="rId300" o:title=""/>
          </v:shape>
          <o:OLEObject Type="Embed" ProgID="Equation.3" ShapeID="_x0000_i1146" DrawAspect="Content" ObjectID="_1490178478" r:id="rId301"/>
        </w:object>
      </w:r>
    </w:p>
    <w:p w:rsidR="00C76E16" w:rsidRPr="00A779B8" w:rsidRDefault="00C76E16" w:rsidP="00C76E16">
      <w:pPr>
        <w:pStyle w:val="SingleTxtG"/>
        <w:keepLines/>
        <w:spacing w:before="240" w:after="100" w:line="236" w:lineRule="atLeast"/>
        <w:ind w:left="2268"/>
        <w:rPr>
          <w:lang w:val="fr-FR"/>
        </w:rPr>
      </w:pPr>
      <w:r w:rsidRPr="00A779B8">
        <w:rPr>
          <w:lang w:val="fr-FR"/>
        </w:rPr>
        <w:tab/>
        <w:t>Le calcul du facteur K</w:t>
      </w:r>
      <w:r w:rsidRPr="00A779B8">
        <w:rPr>
          <w:vertAlign w:val="subscript"/>
          <w:lang w:val="fr-FR"/>
        </w:rPr>
        <w:t>i</w:t>
      </w:r>
      <w:r w:rsidRPr="00A779B8">
        <w:rPr>
          <w:lang w:val="fr-FR"/>
        </w:rPr>
        <w:t xml:space="preserve"> pour les dispositifs à régénération périodique multiple n</w:t>
      </w:r>
      <w:r w:rsidR="00DB4C2D">
        <w:rPr>
          <w:lang w:val="fr-FR"/>
        </w:rPr>
        <w:t>’</w:t>
      </w:r>
      <w:r w:rsidRPr="00A779B8">
        <w:rPr>
          <w:lang w:val="fr-FR"/>
        </w:rPr>
        <w:t>est possible qu</w:t>
      </w:r>
      <w:r w:rsidR="00DB4C2D">
        <w:rPr>
          <w:lang w:val="fr-FR"/>
        </w:rPr>
        <w:t>’</w:t>
      </w:r>
      <w:r w:rsidRPr="00A779B8">
        <w:rPr>
          <w:lang w:val="fr-FR"/>
        </w:rPr>
        <w:t xml:space="preserve">après un certain nombre de phases de régénération pour </w:t>
      </w:r>
      <w:r w:rsidRPr="00A779B8">
        <w:rPr>
          <w:spacing w:val="-2"/>
          <w:lang w:val="fr-FR"/>
        </w:rPr>
        <w:t>chaque dispositif. À l</w:t>
      </w:r>
      <w:r w:rsidR="00DB4C2D">
        <w:rPr>
          <w:spacing w:val="-2"/>
          <w:lang w:val="fr-FR"/>
        </w:rPr>
        <w:t>’</w:t>
      </w:r>
      <w:r w:rsidRPr="00A779B8">
        <w:rPr>
          <w:spacing w:val="-2"/>
          <w:lang w:val="fr-FR"/>
        </w:rPr>
        <w:t>issue de la procédure complète (A à B, voir fig. A13/2),</w:t>
      </w:r>
      <w:r w:rsidRPr="00A779B8">
        <w:rPr>
          <w:lang w:val="fr-FR"/>
        </w:rPr>
        <w:t xml:space="preserve"> on devrait retrouver les conditions de départ A.</w:t>
      </w:r>
    </w:p>
    <w:p w:rsidR="00C76E16" w:rsidRPr="00A779B8" w:rsidRDefault="00C76E16" w:rsidP="00C76E16">
      <w:pPr>
        <w:pStyle w:val="SingleTxtG"/>
        <w:keepNext/>
        <w:spacing w:after="100" w:line="236" w:lineRule="atLeast"/>
        <w:ind w:left="2268" w:hanging="1134"/>
        <w:jc w:val="left"/>
        <w:rPr>
          <w:lang w:val="fr-FR"/>
        </w:rPr>
      </w:pPr>
      <w:r w:rsidRPr="00A779B8">
        <w:rPr>
          <w:lang w:val="fr-FR"/>
        </w:rPr>
        <w:t>3.4.1</w:t>
      </w:r>
      <w:r w:rsidRPr="00A779B8">
        <w:rPr>
          <w:lang w:val="fr-FR"/>
        </w:rPr>
        <w:tab/>
        <w:t>Extension de l</w:t>
      </w:r>
      <w:r w:rsidR="00DB4C2D">
        <w:rPr>
          <w:lang w:val="fr-FR"/>
        </w:rPr>
        <w:t>’</w:t>
      </w:r>
      <w:r w:rsidRPr="00A779B8">
        <w:rPr>
          <w:lang w:val="fr-FR"/>
        </w:rPr>
        <w:t>homologation pour un dispositif à régénération périodique multiple</w:t>
      </w:r>
    </w:p>
    <w:p w:rsidR="00C76E16" w:rsidRPr="00A779B8" w:rsidRDefault="00C76E16" w:rsidP="00C76E16">
      <w:pPr>
        <w:pStyle w:val="SingleTxtG"/>
        <w:spacing w:after="100" w:line="236" w:lineRule="atLeast"/>
        <w:ind w:left="2268" w:hanging="1134"/>
        <w:rPr>
          <w:lang w:val="fr-FR"/>
        </w:rPr>
      </w:pPr>
      <w:r w:rsidRPr="00A779B8">
        <w:rPr>
          <w:lang w:val="fr-FR"/>
        </w:rPr>
        <w:t>3.4.1.1</w:t>
      </w:r>
      <w:r w:rsidRPr="00A779B8">
        <w:rPr>
          <w:lang w:val="fr-FR"/>
        </w:rPr>
        <w:tab/>
        <w:t>Si le ou les paramètres techniques et/ou la stratégie de régénération d</w:t>
      </w:r>
      <w:r w:rsidR="00DB4C2D">
        <w:rPr>
          <w:lang w:val="fr-FR"/>
        </w:rPr>
        <w:t>’</w:t>
      </w:r>
      <w:r w:rsidRPr="00A779B8">
        <w:rPr>
          <w:lang w:val="fr-FR"/>
        </w:rPr>
        <w:t>un dispositif à régénération multiple pour toutes les phases comprises dans ce système combiné sont modifiés, l</w:t>
      </w:r>
      <w:r w:rsidR="00DB4C2D">
        <w:rPr>
          <w:lang w:val="fr-FR"/>
        </w:rPr>
        <w:t>’</w:t>
      </w:r>
      <w:r w:rsidRPr="00A779B8">
        <w:rPr>
          <w:lang w:val="fr-FR"/>
        </w:rPr>
        <w:t>ensemble de la procédure, y compris tous les dispositifs de régénération, devrait consister à effectuer des mesures pour mettre à jour le facteur multiple K</w:t>
      </w:r>
      <w:r w:rsidRPr="00A779B8">
        <w:rPr>
          <w:vertAlign w:val="subscript"/>
          <w:lang w:val="fr-FR"/>
        </w:rPr>
        <w:t>i</w:t>
      </w:r>
      <w:r w:rsidRPr="00A779B8">
        <w:rPr>
          <w:lang w:val="fr-FR"/>
        </w:rPr>
        <w:t>.</w:t>
      </w:r>
    </w:p>
    <w:p w:rsidR="00C76E16" w:rsidRPr="00A779B8" w:rsidRDefault="00C76E16" w:rsidP="00C76E16">
      <w:pPr>
        <w:pStyle w:val="SingleTxtG"/>
        <w:keepNext/>
        <w:spacing w:after="100" w:line="236" w:lineRule="atLeast"/>
        <w:ind w:left="2268" w:hanging="1134"/>
        <w:rPr>
          <w:lang w:val="fr-FR"/>
        </w:rPr>
      </w:pPr>
      <w:r w:rsidRPr="00A779B8">
        <w:rPr>
          <w:lang w:val="fr-FR"/>
        </w:rPr>
        <w:t>3.4.1.2</w:t>
      </w:r>
      <w:r w:rsidRPr="00A779B8">
        <w:rPr>
          <w:lang w:val="fr-FR"/>
        </w:rPr>
        <w:tab/>
        <w:t>Si un seul élément d</w:t>
      </w:r>
      <w:r w:rsidR="00DB4C2D">
        <w:rPr>
          <w:lang w:val="fr-FR"/>
        </w:rPr>
        <w:t>’</w:t>
      </w:r>
      <w:r w:rsidRPr="00A779B8">
        <w:rPr>
          <w:lang w:val="fr-FR"/>
        </w:rPr>
        <w:t>un dispositif à régénération multiple n</w:t>
      </w:r>
      <w:r w:rsidR="00DB4C2D">
        <w:rPr>
          <w:lang w:val="fr-FR"/>
        </w:rPr>
        <w:t>’</w:t>
      </w:r>
      <w:r w:rsidRPr="00A779B8">
        <w:rPr>
          <w:lang w:val="fr-FR"/>
        </w:rPr>
        <w:t>était modifié qu</w:t>
      </w:r>
      <w:r w:rsidR="00DB4C2D">
        <w:rPr>
          <w:lang w:val="fr-FR"/>
        </w:rPr>
        <w:t>’</w:t>
      </w:r>
      <w:r w:rsidRPr="00A779B8">
        <w:rPr>
          <w:lang w:val="fr-FR"/>
        </w:rPr>
        <w:t>en ce qui concerne ses paramètres de stratégie (c</w:t>
      </w:r>
      <w:r w:rsidR="00DB4C2D">
        <w:rPr>
          <w:lang w:val="fr-FR"/>
        </w:rPr>
        <w:t>’</w:t>
      </w:r>
      <w:r w:rsidRPr="00A779B8">
        <w:rPr>
          <w:lang w:val="fr-FR"/>
        </w:rPr>
        <w:t>est-à-dire «D» et/ou «d» pour le DPF) et si le constructeur pouvait présenter au service technique des données prouvant que:</w:t>
      </w:r>
    </w:p>
    <w:p w:rsidR="00C76E16" w:rsidRPr="00A779B8" w:rsidRDefault="00C76E16" w:rsidP="00C76E16">
      <w:pPr>
        <w:pStyle w:val="SingleTxtG"/>
        <w:spacing w:after="100" w:line="236" w:lineRule="atLeast"/>
        <w:ind w:left="2835" w:hanging="567"/>
        <w:rPr>
          <w:lang w:val="fr-FR"/>
        </w:rPr>
      </w:pPr>
      <w:r w:rsidRPr="00A779B8">
        <w:rPr>
          <w:lang w:val="fr-FR"/>
        </w:rPr>
        <w:t>a)</w:t>
      </w:r>
      <w:r w:rsidRPr="00A779B8">
        <w:rPr>
          <w:lang w:val="fr-FR"/>
        </w:rPr>
        <w:tab/>
        <w:t>Il n</w:t>
      </w:r>
      <w:r w:rsidR="00DB4C2D">
        <w:rPr>
          <w:lang w:val="fr-FR"/>
        </w:rPr>
        <w:t>’</w:t>
      </w:r>
      <w:r w:rsidRPr="00A779B8">
        <w:rPr>
          <w:lang w:val="fr-FR"/>
        </w:rPr>
        <w:t>existe aucune interaction détectable avec le ou les autres éléments du dispositif; et</w:t>
      </w:r>
    </w:p>
    <w:p w:rsidR="00C76E16" w:rsidRPr="00A779B8" w:rsidRDefault="00C76E16" w:rsidP="00C76E16">
      <w:pPr>
        <w:pStyle w:val="SingleTxtG"/>
        <w:spacing w:after="100" w:line="236" w:lineRule="atLeast"/>
        <w:ind w:left="2835" w:hanging="567"/>
        <w:rPr>
          <w:lang w:val="fr-FR"/>
        </w:rPr>
      </w:pPr>
      <w:r w:rsidRPr="00A779B8">
        <w:rPr>
          <w:lang w:val="fr-FR"/>
        </w:rPr>
        <w:t>b)</w:t>
      </w:r>
      <w:r w:rsidRPr="00A779B8">
        <w:rPr>
          <w:lang w:val="fr-FR"/>
        </w:rPr>
        <w:tab/>
        <w:t>Les paramètres importants (c</w:t>
      </w:r>
      <w:r w:rsidR="00DB4C2D">
        <w:rPr>
          <w:lang w:val="fr-FR"/>
        </w:rPr>
        <w:t>’</w:t>
      </w:r>
      <w:r w:rsidRPr="00A779B8">
        <w:rPr>
          <w:lang w:val="fr-FR"/>
        </w:rPr>
        <w:t>est-à-dire la construction, le principe de fonctionnement, le volume, l</w:t>
      </w:r>
      <w:r w:rsidR="00DB4C2D">
        <w:rPr>
          <w:lang w:val="fr-FR"/>
        </w:rPr>
        <w:t>’</w:t>
      </w:r>
      <w:r w:rsidRPr="00A779B8">
        <w:rPr>
          <w:lang w:val="fr-FR"/>
        </w:rPr>
        <w:t>emplacement, etc.) sont identiques.</w:t>
      </w:r>
    </w:p>
    <w:p w:rsidR="00C76E16" w:rsidRPr="00A779B8" w:rsidRDefault="00C76E16" w:rsidP="00C76E16">
      <w:pPr>
        <w:pStyle w:val="SingleTxtG"/>
        <w:spacing w:after="100" w:line="236" w:lineRule="atLeast"/>
        <w:ind w:left="2268"/>
        <w:rPr>
          <w:lang w:val="fr-FR"/>
        </w:rPr>
      </w:pPr>
      <w:r w:rsidRPr="00A779B8">
        <w:rPr>
          <w:lang w:val="fr-FR"/>
        </w:rPr>
        <w:tab/>
        <w:t>La procédure nécessaire de mise à jour du facteur K</w:t>
      </w:r>
      <w:r w:rsidRPr="00A779B8">
        <w:rPr>
          <w:vertAlign w:val="subscript"/>
          <w:lang w:val="fr-FR"/>
        </w:rPr>
        <w:t>i</w:t>
      </w:r>
      <w:r w:rsidRPr="00A779B8">
        <w:rPr>
          <w:lang w:val="fr-FR"/>
        </w:rPr>
        <w:t xml:space="preserve"> pourrait être simplifiée.</w:t>
      </w:r>
    </w:p>
    <w:p w:rsidR="00C76E16" w:rsidRDefault="00C76E16" w:rsidP="00C76E16">
      <w:pPr>
        <w:pStyle w:val="SingleTxtG"/>
        <w:ind w:left="2268"/>
        <w:rPr>
          <w:lang w:val="fr-FR"/>
        </w:rPr>
        <w:sectPr w:rsidR="00C76E16" w:rsidSect="00C108AC">
          <w:headerReference w:type="even" r:id="rId302"/>
          <w:headerReference w:type="default" r:id="rId303"/>
          <w:footnotePr>
            <w:numRestart w:val="eachSect"/>
          </w:footnotePr>
          <w:endnotePr>
            <w:numFmt w:val="decimal"/>
          </w:endnotePr>
          <w:pgSz w:w="11907" w:h="16840" w:code="9"/>
          <w:pgMar w:top="1701" w:right="1134" w:bottom="2268" w:left="1134" w:header="794" w:footer="1701" w:gutter="0"/>
          <w:cols w:space="720"/>
          <w:docGrid w:linePitch="272"/>
        </w:sectPr>
      </w:pPr>
      <w:r w:rsidRPr="00A779B8">
        <w:rPr>
          <w:lang w:val="fr-FR"/>
        </w:rPr>
        <w:tab/>
        <w:t xml:space="preserve">Comme convenu entre le constructeur et le service technique il suffirait dans un tel cas de procéder à une </w:t>
      </w:r>
      <w:r w:rsidRPr="00C76E16">
        <w:t>seule</w:t>
      </w:r>
      <w:r w:rsidRPr="00A779B8">
        <w:rPr>
          <w:lang w:val="fr-FR"/>
        </w:rPr>
        <w:t xml:space="preserve"> phase d</w:t>
      </w:r>
      <w:r w:rsidR="00DB4C2D">
        <w:rPr>
          <w:lang w:val="fr-FR"/>
        </w:rPr>
        <w:t>’</w:t>
      </w:r>
      <w:r w:rsidRPr="00A779B8">
        <w:rPr>
          <w:lang w:val="fr-FR"/>
        </w:rPr>
        <w:t>échantillonnage/stockage et de régénération et les résultats des essais (</w:t>
      </w:r>
      <w:proofErr w:type="spellStart"/>
      <w:r w:rsidRPr="00A779B8">
        <w:rPr>
          <w:lang w:val="fr-FR"/>
        </w:rPr>
        <w:t>M</w:t>
      </w:r>
      <w:r w:rsidRPr="00A779B8">
        <w:rPr>
          <w:vertAlign w:val="subscript"/>
          <w:lang w:val="fr-FR"/>
        </w:rPr>
        <w:t>si</w:t>
      </w:r>
      <w:proofErr w:type="spellEnd"/>
      <w:r w:rsidRPr="00A779B8">
        <w:rPr>
          <w:lang w:val="fr-FR"/>
        </w:rPr>
        <w:t xml:space="preserve"> et </w:t>
      </w:r>
      <w:proofErr w:type="spellStart"/>
      <w:r w:rsidRPr="00A779B8">
        <w:rPr>
          <w:lang w:val="fr-FR"/>
        </w:rPr>
        <w:t>M</w:t>
      </w:r>
      <w:r w:rsidRPr="00A779B8">
        <w:rPr>
          <w:vertAlign w:val="subscript"/>
          <w:lang w:val="fr-FR"/>
        </w:rPr>
        <w:t>ri</w:t>
      </w:r>
      <w:proofErr w:type="spellEnd"/>
      <w:r w:rsidRPr="00A779B8">
        <w:rPr>
          <w:lang w:val="fr-FR"/>
        </w:rPr>
        <w:t>) associés aux nouveaux paramètres (D et/ou d) pourraient être introduits dans la ou les formules pertinentes pour mettre à jour le facteur multiple K</w:t>
      </w:r>
      <w:r w:rsidRPr="00A779B8">
        <w:rPr>
          <w:vertAlign w:val="subscript"/>
          <w:lang w:val="fr-FR"/>
        </w:rPr>
        <w:t>i</w:t>
      </w:r>
      <w:r w:rsidRPr="00A779B8">
        <w:rPr>
          <w:lang w:val="fr-FR"/>
        </w:rPr>
        <w:t xml:space="preserve"> de façon mathématique, par substitution de la ou des formules de base du facteur K</w:t>
      </w:r>
      <w:r w:rsidRPr="00A779B8">
        <w:rPr>
          <w:vertAlign w:val="subscript"/>
          <w:lang w:val="fr-FR"/>
        </w:rPr>
        <w:t>i</w:t>
      </w:r>
      <w:r w:rsidRPr="00A779B8">
        <w:rPr>
          <w:lang w:val="fr-FR"/>
        </w:rPr>
        <w:t>.</w:t>
      </w:r>
    </w:p>
    <w:p w:rsidR="00C76E16" w:rsidRPr="00A779B8" w:rsidRDefault="00C76E16" w:rsidP="00C76E16">
      <w:pPr>
        <w:pStyle w:val="HChG"/>
        <w:rPr>
          <w:lang w:val="fr-FR"/>
        </w:rPr>
      </w:pPr>
      <w:r w:rsidRPr="00A779B8">
        <w:rPr>
          <w:lang w:val="fr-FR"/>
        </w:rPr>
        <w:lastRenderedPageBreak/>
        <w:t>Annexe 14</w:t>
      </w:r>
    </w:p>
    <w:p w:rsidR="00C76E16" w:rsidRPr="00A779B8" w:rsidRDefault="00C76E16" w:rsidP="00C76E16">
      <w:pPr>
        <w:pStyle w:val="HChG"/>
        <w:rPr>
          <w:lang w:val="fr-FR"/>
        </w:rPr>
      </w:pPr>
      <w:r w:rsidRPr="00A779B8">
        <w:rPr>
          <w:lang w:val="fr-FR"/>
        </w:rPr>
        <w:tab/>
      </w:r>
      <w:r w:rsidRPr="00A779B8">
        <w:rPr>
          <w:lang w:val="fr-FR"/>
        </w:rPr>
        <w:tab/>
        <w:t>Méthode d</w:t>
      </w:r>
      <w:r w:rsidR="00DB4C2D">
        <w:rPr>
          <w:lang w:val="fr-FR"/>
        </w:rPr>
        <w:t>’</w:t>
      </w:r>
      <w:r w:rsidRPr="00A779B8">
        <w:rPr>
          <w:lang w:val="fr-FR"/>
        </w:rPr>
        <w:t>essai pou</w:t>
      </w:r>
      <w:r w:rsidR="004747BB">
        <w:rPr>
          <w:lang w:val="fr-FR"/>
        </w:rPr>
        <w:t>r la mesure des émissions</w:t>
      </w:r>
      <w:r w:rsidRPr="00A779B8">
        <w:rPr>
          <w:lang w:val="fr-FR"/>
        </w:rPr>
        <w:br/>
        <w:t>des véhicules électriques hybrides</w:t>
      </w:r>
    </w:p>
    <w:p w:rsidR="00C76E16" w:rsidRPr="00A779B8" w:rsidRDefault="00C76E16" w:rsidP="00C76E16">
      <w:pPr>
        <w:pStyle w:val="SingleTxtG"/>
        <w:keepNext/>
        <w:ind w:left="2268" w:hanging="1134"/>
        <w:jc w:val="left"/>
        <w:rPr>
          <w:lang w:val="fr-FR"/>
        </w:rPr>
      </w:pPr>
      <w:r w:rsidRPr="00A779B8">
        <w:rPr>
          <w:lang w:val="fr-FR"/>
        </w:rPr>
        <w:t>1.</w:t>
      </w:r>
      <w:r w:rsidRPr="00A779B8">
        <w:rPr>
          <w:lang w:val="fr-FR"/>
        </w:rPr>
        <w:tab/>
        <w:t>Introduction</w:t>
      </w:r>
    </w:p>
    <w:p w:rsidR="00C76E16" w:rsidRPr="00A779B8" w:rsidRDefault="00C76E16" w:rsidP="00C76E16">
      <w:pPr>
        <w:pStyle w:val="SingleTxtG"/>
        <w:ind w:left="2268" w:hanging="1134"/>
        <w:rPr>
          <w:lang w:val="fr-FR"/>
        </w:rPr>
      </w:pPr>
      <w:r w:rsidRPr="00A779B8">
        <w:rPr>
          <w:lang w:val="fr-FR"/>
        </w:rPr>
        <w:t>1.1</w:t>
      </w:r>
      <w:r w:rsidRPr="00A779B8">
        <w:rPr>
          <w:lang w:val="fr-FR"/>
        </w:rPr>
        <w:tab/>
        <w:t>La présente annexe définit les dispositions spécifiques relatives à l</w:t>
      </w:r>
      <w:r w:rsidR="00DB4C2D">
        <w:rPr>
          <w:lang w:val="fr-FR"/>
        </w:rPr>
        <w:t>’</w:t>
      </w:r>
      <w:r w:rsidRPr="00A779B8">
        <w:rPr>
          <w:lang w:val="fr-FR"/>
        </w:rPr>
        <w:t>homologation de type d</w:t>
      </w:r>
      <w:r w:rsidR="00DB4C2D">
        <w:rPr>
          <w:lang w:val="fr-FR"/>
        </w:rPr>
        <w:t>’</w:t>
      </w:r>
      <w:r w:rsidRPr="00A779B8">
        <w:rPr>
          <w:lang w:val="fr-FR"/>
        </w:rPr>
        <w:t>un véhicule électrique hybride tel qu</w:t>
      </w:r>
      <w:r w:rsidR="00DB4C2D">
        <w:rPr>
          <w:lang w:val="fr-FR"/>
        </w:rPr>
        <w:t>’</w:t>
      </w:r>
      <w:r w:rsidRPr="00A779B8">
        <w:rPr>
          <w:lang w:val="fr-FR"/>
        </w:rPr>
        <w:t>il est défini au paragraphe 2.21.2 du présent Règlement.</w:t>
      </w:r>
    </w:p>
    <w:p w:rsidR="00C76E16" w:rsidRPr="00A779B8" w:rsidRDefault="00C76E16" w:rsidP="00C76E16">
      <w:pPr>
        <w:pStyle w:val="SingleTxtG"/>
        <w:ind w:left="2268" w:hanging="1134"/>
        <w:rPr>
          <w:lang w:val="fr-FR"/>
        </w:rPr>
      </w:pPr>
      <w:r w:rsidRPr="00A779B8">
        <w:rPr>
          <w:lang w:val="fr-FR"/>
        </w:rPr>
        <w:t>1.2</w:t>
      </w:r>
      <w:r w:rsidRPr="00A779B8">
        <w:rPr>
          <w:lang w:val="fr-FR"/>
        </w:rPr>
        <w:tab/>
        <w:t>À titre de principe général, pour les essais du type I, II, III, IV, V, VI et des systèmes d</w:t>
      </w:r>
      <w:r w:rsidR="00DB4C2D">
        <w:rPr>
          <w:lang w:val="fr-FR"/>
        </w:rPr>
        <w:t>’</w:t>
      </w:r>
      <w:r w:rsidRPr="00A779B8">
        <w:rPr>
          <w:lang w:val="fr-FR"/>
        </w:rPr>
        <w:t>autodiagnostic, les essais des véhicules électriques hybrides doivent être effectués conformément aux annexes 4a, 5, 6, 7, 9, 8 et 11 du présent Règlement, sauf en cas de modifications apportées par la présente annexe.</w:t>
      </w:r>
    </w:p>
    <w:p w:rsidR="00C76E16" w:rsidRPr="00A779B8" w:rsidRDefault="00C76E16" w:rsidP="00C76E16">
      <w:pPr>
        <w:pStyle w:val="SingleTxtG"/>
        <w:ind w:left="2268" w:hanging="1134"/>
        <w:rPr>
          <w:lang w:val="fr-FR"/>
        </w:rPr>
      </w:pPr>
      <w:r w:rsidRPr="00A779B8">
        <w:rPr>
          <w:lang w:val="fr-FR"/>
        </w:rPr>
        <w:t>1.3</w:t>
      </w:r>
      <w:r w:rsidRPr="00A779B8">
        <w:rPr>
          <w:lang w:val="fr-FR"/>
        </w:rPr>
        <w:tab/>
        <w:t>Pour l</w:t>
      </w:r>
      <w:r w:rsidR="00DB4C2D">
        <w:rPr>
          <w:lang w:val="fr-FR"/>
        </w:rPr>
        <w:t>’</w:t>
      </w:r>
      <w:r w:rsidRPr="00A779B8">
        <w:rPr>
          <w:lang w:val="fr-FR"/>
        </w:rPr>
        <w:t>essai du type I uniquement, les essais portant sur les véhicules rechargeables de l</w:t>
      </w:r>
      <w:r w:rsidR="00DB4C2D">
        <w:rPr>
          <w:lang w:val="fr-FR"/>
        </w:rPr>
        <w:t>’</w:t>
      </w:r>
      <w:r w:rsidRPr="00A779B8">
        <w:rPr>
          <w:lang w:val="fr-FR"/>
        </w:rPr>
        <w:t xml:space="preserve">extérieur (suivant le classement par catégories du paragraphe 2 de la présente annexe) doivent être exécutés conformément à la condition A et à la condition B. Les résultats des essais exécutés selon les deux conditions A et B et les valeurs pondérées doivent être consignées sur la fiche de communication. </w:t>
      </w:r>
    </w:p>
    <w:p w:rsidR="00C76E16" w:rsidRPr="00A779B8" w:rsidRDefault="00C76E16" w:rsidP="00C76E16">
      <w:pPr>
        <w:pStyle w:val="SingleTxtG"/>
        <w:ind w:left="2268" w:hanging="1134"/>
        <w:rPr>
          <w:lang w:val="fr-FR"/>
        </w:rPr>
      </w:pPr>
      <w:r w:rsidRPr="00A779B8">
        <w:rPr>
          <w:lang w:val="fr-FR"/>
        </w:rPr>
        <w:t>1.4</w:t>
      </w:r>
      <w:r w:rsidRPr="00A779B8">
        <w:rPr>
          <w:lang w:val="fr-FR"/>
        </w:rPr>
        <w:tab/>
        <w:t>Les résultats des essais sur les émissions doivent respecter les limites indiquées dans toutes les conditions d</w:t>
      </w:r>
      <w:r w:rsidR="00DB4C2D">
        <w:rPr>
          <w:lang w:val="fr-FR"/>
        </w:rPr>
        <w:t>’</w:t>
      </w:r>
      <w:r w:rsidRPr="00A779B8">
        <w:rPr>
          <w:lang w:val="fr-FR"/>
        </w:rPr>
        <w:t>essai spécifiées dans le présent Règlement.</w:t>
      </w:r>
    </w:p>
    <w:p w:rsidR="00C76E16" w:rsidRPr="00A779B8" w:rsidRDefault="00C76E16" w:rsidP="00C76E16">
      <w:pPr>
        <w:pStyle w:val="SingleTxtG"/>
        <w:ind w:left="2268" w:hanging="1134"/>
        <w:rPr>
          <w:lang w:val="fr-FR"/>
        </w:rPr>
      </w:pPr>
      <w:r w:rsidRPr="00A779B8">
        <w:rPr>
          <w:lang w:val="fr-FR"/>
        </w:rPr>
        <w:t>2.</w:t>
      </w:r>
      <w:r w:rsidRPr="00A779B8">
        <w:rPr>
          <w:lang w:val="fr-FR"/>
        </w:rPr>
        <w:tab/>
      </w:r>
      <w:r w:rsidRPr="00A779B8">
        <w:rPr>
          <w:lang w:val="fr-FR"/>
        </w:rPr>
        <w:tab/>
        <w:t>Catégories de véhicules électriques hybrides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01"/>
        <w:gridCol w:w="1009"/>
        <w:gridCol w:w="1009"/>
        <w:gridCol w:w="1009"/>
        <w:gridCol w:w="1009"/>
      </w:tblGrid>
      <w:tr w:rsidR="00C76E16" w:rsidRPr="007E29C4" w:rsidTr="00DB4C2D">
        <w:tc>
          <w:tcPr>
            <w:tcW w:w="2495" w:type="dxa"/>
            <w:shd w:val="clear" w:color="auto" w:fill="auto"/>
            <w:vAlign w:val="center"/>
          </w:tcPr>
          <w:p w:rsidR="00C76E16" w:rsidRPr="007E29C4" w:rsidRDefault="00C76E16" w:rsidP="00DB4C2D">
            <w:pPr>
              <w:spacing w:before="60" w:after="60" w:line="200" w:lineRule="exact"/>
              <w:jc w:val="center"/>
              <w:rPr>
                <w:sz w:val="16"/>
                <w:szCs w:val="16"/>
                <w:lang w:val="fr-FR"/>
              </w:rPr>
            </w:pPr>
            <w:r w:rsidRPr="007E29C4">
              <w:rPr>
                <w:i/>
                <w:sz w:val="16"/>
                <w:szCs w:val="16"/>
                <w:lang w:val="fr-FR"/>
              </w:rPr>
              <w:t>Charge du véhicule</w:t>
            </w:r>
          </w:p>
        </w:tc>
        <w:tc>
          <w:tcPr>
            <w:tcW w:w="2268" w:type="dxa"/>
            <w:gridSpan w:val="2"/>
            <w:shd w:val="clear" w:color="auto" w:fill="auto"/>
            <w:vAlign w:val="center"/>
          </w:tcPr>
          <w:p w:rsidR="00C76E16" w:rsidRPr="007E29C4" w:rsidRDefault="00C76E16" w:rsidP="00DB4C2D">
            <w:pPr>
              <w:spacing w:before="60" w:after="60" w:line="200" w:lineRule="exact"/>
              <w:jc w:val="center"/>
              <w:rPr>
                <w:sz w:val="16"/>
                <w:szCs w:val="16"/>
                <w:lang w:val="fr-FR"/>
              </w:rPr>
            </w:pPr>
            <w:r w:rsidRPr="007E29C4">
              <w:rPr>
                <w:i/>
                <w:sz w:val="16"/>
                <w:szCs w:val="16"/>
                <w:lang w:val="fr-FR"/>
              </w:rPr>
              <w:t>Recharge de l</w:t>
            </w:r>
            <w:r w:rsidR="00DB4C2D">
              <w:rPr>
                <w:i/>
                <w:sz w:val="16"/>
                <w:szCs w:val="16"/>
                <w:lang w:val="fr-FR"/>
              </w:rPr>
              <w:t>’</w:t>
            </w:r>
            <w:r w:rsidRPr="007E29C4">
              <w:rPr>
                <w:i/>
                <w:sz w:val="16"/>
                <w:szCs w:val="16"/>
                <w:lang w:val="fr-FR"/>
              </w:rPr>
              <w:t>extérieur</w:t>
            </w:r>
            <w:r w:rsidRPr="007E29C4">
              <w:rPr>
                <w:i/>
                <w:sz w:val="16"/>
                <w:szCs w:val="16"/>
                <w:lang w:val="fr-FR"/>
              </w:rPr>
              <w:br/>
              <w:t>du véhicule</w:t>
            </w:r>
            <w:r w:rsidRPr="007E29C4">
              <w:rPr>
                <w:sz w:val="16"/>
                <w:szCs w:val="16"/>
                <w:vertAlign w:val="superscript"/>
                <w:lang w:val="fr-FR"/>
              </w:rPr>
              <w:t xml:space="preserve">1 </w:t>
            </w:r>
            <w:r w:rsidRPr="007E29C4">
              <w:rPr>
                <w:i/>
                <w:sz w:val="16"/>
                <w:szCs w:val="16"/>
                <w:lang w:val="fr-FR"/>
              </w:rPr>
              <w:t>(OVC)</w:t>
            </w:r>
          </w:p>
        </w:tc>
        <w:tc>
          <w:tcPr>
            <w:tcW w:w="2268" w:type="dxa"/>
            <w:gridSpan w:val="2"/>
            <w:shd w:val="clear" w:color="auto" w:fill="auto"/>
            <w:vAlign w:val="center"/>
          </w:tcPr>
          <w:p w:rsidR="00C76E16" w:rsidRPr="007E29C4" w:rsidRDefault="00C76E16" w:rsidP="00DB4C2D">
            <w:pPr>
              <w:spacing w:before="60" w:after="60" w:line="200" w:lineRule="exact"/>
              <w:jc w:val="center"/>
              <w:rPr>
                <w:sz w:val="16"/>
                <w:szCs w:val="16"/>
                <w:lang w:val="fr-FR"/>
              </w:rPr>
            </w:pPr>
            <w:r w:rsidRPr="007E29C4">
              <w:rPr>
                <w:i/>
                <w:sz w:val="16"/>
                <w:szCs w:val="16"/>
                <w:lang w:val="fr-FR"/>
              </w:rPr>
              <w:t>Recharge non effectuée de l</w:t>
            </w:r>
            <w:r w:rsidR="00DB4C2D">
              <w:rPr>
                <w:i/>
                <w:sz w:val="16"/>
                <w:szCs w:val="16"/>
                <w:lang w:val="fr-FR"/>
              </w:rPr>
              <w:t>’</w:t>
            </w:r>
            <w:r w:rsidRPr="007E29C4">
              <w:rPr>
                <w:i/>
                <w:sz w:val="16"/>
                <w:szCs w:val="16"/>
                <w:lang w:val="fr-FR"/>
              </w:rPr>
              <w:t>extérieur du véhicule</w:t>
            </w:r>
            <w:r w:rsidRPr="007E29C4">
              <w:rPr>
                <w:sz w:val="16"/>
                <w:szCs w:val="16"/>
                <w:vertAlign w:val="superscript"/>
                <w:lang w:val="fr-FR"/>
              </w:rPr>
              <w:t>2</w:t>
            </w:r>
            <w:r w:rsidRPr="007E29C4">
              <w:rPr>
                <w:i/>
                <w:sz w:val="16"/>
                <w:szCs w:val="16"/>
                <w:lang w:val="fr-FR"/>
              </w:rPr>
              <w:t xml:space="preserve"> (NOVC)</w:t>
            </w:r>
          </w:p>
        </w:tc>
      </w:tr>
      <w:tr w:rsidR="00C76E16" w:rsidRPr="007E29C4" w:rsidTr="00DB4C2D">
        <w:tc>
          <w:tcPr>
            <w:tcW w:w="2495" w:type="dxa"/>
            <w:shd w:val="clear" w:color="auto" w:fill="auto"/>
          </w:tcPr>
          <w:p w:rsidR="00C76E16" w:rsidRPr="007E29C4" w:rsidRDefault="00C76E16" w:rsidP="00DB4C2D">
            <w:pPr>
              <w:spacing w:before="60" w:after="60" w:line="220" w:lineRule="atLeast"/>
              <w:rPr>
                <w:sz w:val="18"/>
                <w:szCs w:val="18"/>
                <w:lang w:val="fr-FR"/>
              </w:rPr>
            </w:pPr>
            <w:r w:rsidRPr="007E29C4">
              <w:rPr>
                <w:sz w:val="18"/>
                <w:szCs w:val="18"/>
                <w:lang w:val="fr-FR"/>
              </w:rPr>
              <w:t>Commutateur de mode de fonctionnement</w:t>
            </w:r>
          </w:p>
        </w:tc>
        <w:tc>
          <w:tcPr>
            <w:tcW w:w="1134" w:type="dxa"/>
            <w:shd w:val="clear" w:color="auto" w:fill="auto"/>
          </w:tcPr>
          <w:p w:rsidR="00C76E16" w:rsidRPr="007E29C4" w:rsidRDefault="00C76E16" w:rsidP="00DB4C2D">
            <w:pPr>
              <w:spacing w:before="60" w:after="60" w:line="220" w:lineRule="atLeast"/>
              <w:rPr>
                <w:sz w:val="18"/>
                <w:szCs w:val="18"/>
                <w:lang w:val="fr-FR"/>
              </w:rPr>
            </w:pPr>
            <w:r w:rsidRPr="007E29C4">
              <w:rPr>
                <w:sz w:val="18"/>
                <w:szCs w:val="18"/>
                <w:lang w:val="fr-FR"/>
              </w:rPr>
              <w:t>Sans</w:t>
            </w:r>
          </w:p>
        </w:tc>
        <w:tc>
          <w:tcPr>
            <w:tcW w:w="1134" w:type="dxa"/>
            <w:shd w:val="clear" w:color="auto" w:fill="auto"/>
          </w:tcPr>
          <w:p w:rsidR="00C76E16" w:rsidRPr="007E29C4" w:rsidRDefault="00C76E16" w:rsidP="00DB4C2D">
            <w:pPr>
              <w:spacing w:before="60" w:after="60" w:line="220" w:lineRule="atLeast"/>
              <w:rPr>
                <w:sz w:val="18"/>
                <w:szCs w:val="18"/>
                <w:lang w:val="fr-FR"/>
              </w:rPr>
            </w:pPr>
            <w:r w:rsidRPr="007E29C4">
              <w:rPr>
                <w:sz w:val="18"/>
                <w:szCs w:val="18"/>
                <w:lang w:val="fr-FR"/>
              </w:rPr>
              <w:t>Avec</w:t>
            </w:r>
          </w:p>
        </w:tc>
        <w:tc>
          <w:tcPr>
            <w:tcW w:w="1134" w:type="dxa"/>
            <w:shd w:val="clear" w:color="auto" w:fill="auto"/>
          </w:tcPr>
          <w:p w:rsidR="00C76E16" w:rsidRPr="007E29C4" w:rsidRDefault="00C76E16" w:rsidP="00DB4C2D">
            <w:pPr>
              <w:spacing w:before="60" w:after="60" w:line="220" w:lineRule="atLeast"/>
              <w:rPr>
                <w:sz w:val="18"/>
                <w:szCs w:val="18"/>
                <w:lang w:val="fr-FR"/>
              </w:rPr>
            </w:pPr>
            <w:r w:rsidRPr="007E29C4">
              <w:rPr>
                <w:sz w:val="18"/>
                <w:szCs w:val="18"/>
                <w:lang w:val="fr-FR"/>
              </w:rPr>
              <w:t>Sans</w:t>
            </w:r>
          </w:p>
        </w:tc>
        <w:tc>
          <w:tcPr>
            <w:tcW w:w="1134" w:type="dxa"/>
            <w:shd w:val="clear" w:color="auto" w:fill="auto"/>
          </w:tcPr>
          <w:p w:rsidR="00C76E16" w:rsidRPr="007E29C4" w:rsidRDefault="00C76E16" w:rsidP="00DB4C2D">
            <w:pPr>
              <w:spacing w:before="60" w:after="60" w:line="220" w:lineRule="atLeast"/>
              <w:rPr>
                <w:sz w:val="18"/>
                <w:szCs w:val="18"/>
                <w:lang w:val="fr-FR"/>
              </w:rPr>
            </w:pPr>
            <w:r w:rsidRPr="007E29C4">
              <w:rPr>
                <w:sz w:val="18"/>
                <w:szCs w:val="18"/>
                <w:lang w:val="fr-FR"/>
              </w:rPr>
              <w:t>Avec</w:t>
            </w:r>
          </w:p>
        </w:tc>
      </w:tr>
    </w:tbl>
    <w:p w:rsidR="00C76E16" w:rsidRPr="00A779B8" w:rsidRDefault="00C76E16" w:rsidP="00C76E16">
      <w:pPr>
        <w:tabs>
          <w:tab w:val="left" w:pos="1701"/>
        </w:tabs>
        <w:spacing w:before="120"/>
        <w:ind w:left="2268" w:right="1134" w:firstLine="170"/>
        <w:rPr>
          <w:sz w:val="18"/>
          <w:szCs w:val="18"/>
          <w:lang w:val="fr-FR"/>
        </w:rPr>
      </w:pPr>
      <w:r w:rsidRPr="00A779B8">
        <w:rPr>
          <w:i/>
          <w:sz w:val="18"/>
          <w:szCs w:val="18"/>
          <w:vertAlign w:val="superscript"/>
          <w:lang w:val="fr-FR"/>
        </w:rPr>
        <w:t>1</w:t>
      </w:r>
      <w:r w:rsidRPr="00A779B8">
        <w:rPr>
          <w:sz w:val="18"/>
          <w:szCs w:val="18"/>
          <w:lang w:val="fr-FR"/>
        </w:rPr>
        <w:t xml:space="preserve">  Dénommé également «chargeable de l</w:t>
      </w:r>
      <w:r w:rsidR="00DB4C2D">
        <w:rPr>
          <w:sz w:val="18"/>
          <w:szCs w:val="18"/>
          <w:lang w:val="fr-FR"/>
        </w:rPr>
        <w:t>’</w:t>
      </w:r>
      <w:r w:rsidRPr="00A779B8">
        <w:rPr>
          <w:sz w:val="18"/>
          <w:szCs w:val="18"/>
          <w:lang w:val="fr-FR"/>
        </w:rPr>
        <w:t>extérieur».</w:t>
      </w:r>
    </w:p>
    <w:p w:rsidR="00C76E16" w:rsidRPr="00A779B8" w:rsidRDefault="00C76E16" w:rsidP="00C76E16">
      <w:pPr>
        <w:tabs>
          <w:tab w:val="left" w:pos="1701"/>
        </w:tabs>
        <w:spacing w:after="240"/>
        <w:ind w:left="2268" w:right="1134" w:firstLine="170"/>
        <w:rPr>
          <w:sz w:val="18"/>
          <w:szCs w:val="18"/>
          <w:lang w:val="fr-FR"/>
        </w:rPr>
      </w:pPr>
      <w:r w:rsidRPr="00A779B8">
        <w:rPr>
          <w:i/>
          <w:sz w:val="18"/>
          <w:szCs w:val="18"/>
          <w:vertAlign w:val="superscript"/>
          <w:lang w:val="fr-FR"/>
        </w:rPr>
        <w:t>2</w:t>
      </w:r>
      <w:r w:rsidRPr="00A779B8">
        <w:rPr>
          <w:sz w:val="18"/>
          <w:szCs w:val="18"/>
          <w:lang w:val="fr-FR"/>
        </w:rPr>
        <w:t xml:space="preserve">  Dénommé également «non chargeable de l</w:t>
      </w:r>
      <w:r w:rsidR="00DB4C2D">
        <w:rPr>
          <w:sz w:val="18"/>
          <w:szCs w:val="18"/>
          <w:lang w:val="fr-FR"/>
        </w:rPr>
        <w:t>’</w:t>
      </w:r>
      <w:r w:rsidRPr="00A779B8">
        <w:rPr>
          <w:sz w:val="18"/>
          <w:szCs w:val="18"/>
          <w:lang w:val="fr-FR"/>
        </w:rPr>
        <w:t>extérieur».</w:t>
      </w:r>
    </w:p>
    <w:p w:rsidR="00C76E16" w:rsidRPr="00A779B8" w:rsidRDefault="00C76E16" w:rsidP="00C76E16">
      <w:pPr>
        <w:pStyle w:val="SingleTxtG"/>
        <w:keepNext/>
        <w:spacing w:before="240"/>
        <w:ind w:left="2268" w:hanging="1134"/>
        <w:jc w:val="left"/>
        <w:rPr>
          <w:lang w:val="fr-FR"/>
        </w:rPr>
      </w:pPr>
      <w:r w:rsidRPr="00A779B8">
        <w:rPr>
          <w:lang w:val="fr-FR"/>
        </w:rPr>
        <w:t>3.</w:t>
      </w:r>
      <w:r w:rsidRPr="00A779B8">
        <w:rPr>
          <w:lang w:val="fr-FR"/>
        </w:rPr>
        <w:tab/>
        <w:t>Méthodes d</w:t>
      </w:r>
      <w:r w:rsidR="00DB4C2D">
        <w:rPr>
          <w:lang w:val="fr-FR"/>
        </w:rPr>
        <w:t>’</w:t>
      </w:r>
      <w:r w:rsidRPr="00A779B8">
        <w:rPr>
          <w:lang w:val="fr-FR"/>
        </w:rPr>
        <w:t>essai du type I</w:t>
      </w:r>
    </w:p>
    <w:p w:rsidR="00C76E16" w:rsidRPr="00A779B8" w:rsidRDefault="00C76E16" w:rsidP="00C76E16">
      <w:pPr>
        <w:pStyle w:val="SingleTxtG"/>
        <w:keepNext/>
        <w:ind w:left="2268" w:hanging="1134"/>
        <w:jc w:val="left"/>
        <w:rPr>
          <w:lang w:val="fr-FR"/>
        </w:rPr>
      </w:pPr>
      <w:r w:rsidRPr="00A779B8">
        <w:rPr>
          <w:lang w:val="fr-FR"/>
        </w:rPr>
        <w:t>3.1</w:t>
      </w:r>
      <w:r w:rsidRPr="00A779B8">
        <w:rPr>
          <w:lang w:val="fr-FR"/>
        </w:rPr>
        <w:tab/>
        <w:t>Véhicule électrique hybride à recharge extérieure sans sélecteur de mode</w:t>
      </w:r>
    </w:p>
    <w:p w:rsidR="00C76E16" w:rsidRPr="00A779B8" w:rsidRDefault="00C76E16" w:rsidP="00C76E16">
      <w:pPr>
        <w:pStyle w:val="SingleTxtG"/>
        <w:keepNext/>
        <w:ind w:left="2268" w:hanging="1134"/>
        <w:jc w:val="left"/>
        <w:rPr>
          <w:lang w:val="fr-FR"/>
        </w:rPr>
      </w:pPr>
      <w:r w:rsidRPr="00A779B8">
        <w:rPr>
          <w:lang w:val="fr-FR"/>
        </w:rPr>
        <w:t>3.1.1</w:t>
      </w:r>
      <w:r w:rsidRPr="00A779B8">
        <w:rPr>
          <w:lang w:val="fr-FR"/>
        </w:rPr>
        <w:tab/>
        <w:t>Deux essais doivent être effectués dans les conditions suivantes:</w:t>
      </w:r>
    </w:p>
    <w:p w:rsidR="00C76E16" w:rsidRPr="00697E8D" w:rsidRDefault="00C76E16" w:rsidP="00C76E16">
      <w:pPr>
        <w:pStyle w:val="SingleTxtG"/>
        <w:ind w:left="2280" w:hanging="12"/>
        <w:rPr>
          <w:lang w:val="fr-FR"/>
        </w:rPr>
      </w:pPr>
      <w:r w:rsidRPr="00697E8D">
        <w:rPr>
          <w:lang w:val="fr-FR"/>
        </w:rPr>
        <w:t>Condition A:</w:t>
      </w:r>
      <w:r w:rsidRPr="00697E8D">
        <w:rPr>
          <w:lang w:val="fr-FR"/>
        </w:rPr>
        <w:tab/>
        <w:t>L</w:t>
      </w:r>
      <w:r w:rsidR="00DB4C2D">
        <w:rPr>
          <w:lang w:val="fr-FR"/>
        </w:rPr>
        <w:t>’</w:t>
      </w:r>
      <w:r w:rsidRPr="00697E8D">
        <w:rPr>
          <w:lang w:val="fr-FR"/>
        </w:rPr>
        <w:t>essai doit être effectué alors que le dispositif de stockage d</w:t>
      </w:r>
      <w:r w:rsidR="00DB4C2D">
        <w:rPr>
          <w:lang w:val="fr-FR"/>
        </w:rPr>
        <w:t>’</w:t>
      </w:r>
      <w:r w:rsidRPr="00697E8D">
        <w:rPr>
          <w:lang w:val="fr-FR"/>
        </w:rPr>
        <w:t>énergie est entièrement chargé.</w:t>
      </w:r>
    </w:p>
    <w:p w:rsidR="00C76E16" w:rsidRPr="00A779B8" w:rsidRDefault="00C76E16" w:rsidP="00C76E16">
      <w:pPr>
        <w:pStyle w:val="SingleTxtG"/>
        <w:ind w:left="2280" w:hanging="12"/>
        <w:rPr>
          <w:lang w:val="fr-FR"/>
        </w:rPr>
      </w:pPr>
      <w:r w:rsidRPr="00697E8D">
        <w:rPr>
          <w:lang w:val="fr-FR"/>
        </w:rPr>
        <w:t>Condition B:</w:t>
      </w:r>
      <w:r w:rsidRPr="00697E8D">
        <w:rPr>
          <w:lang w:val="fr-FR"/>
        </w:rPr>
        <w:tab/>
        <w:t>L</w:t>
      </w:r>
      <w:r w:rsidR="00DB4C2D">
        <w:rPr>
          <w:lang w:val="fr-FR"/>
        </w:rPr>
        <w:t>’</w:t>
      </w:r>
      <w:r w:rsidRPr="00697E8D">
        <w:rPr>
          <w:lang w:val="fr-FR"/>
        </w:rPr>
        <w:t>essai doit être effectué alors que le dispositif de stockage d</w:t>
      </w:r>
      <w:r w:rsidR="00DB4C2D">
        <w:rPr>
          <w:lang w:val="fr-FR"/>
        </w:rPr>
        <w:t>’</w:t>
      </w:r>
      <w:r w:rsidRPr="00697E8D">
        <w:rPr>
          <w:lang w:val="fr-FR"/>
        </w:rPr>
        <w:t>énergie est à</w:t>
      </w:r>
      <w:r w:rsidRPr="00A779B8">
        <w:rPr>
          <w:lang w:val="fr-FR"/>
        </w:rPr>
        <w:t xml:space="preserve"> l</w:t>
      </w:r>
      <w:r w:rsidR="00DB4C2D">
        <w:rPr>
          <w:lang w:val="fr-FR"/>
        </w:rPr>
        <w:t>’</w:t>
      </w:r>
      <w:r w:rsidRPr="00A779B8">
        <w:rPr>
          <w:lang w:val="fr-FR"/>
        </w:rPr>
        <w:t>état de charge minimal (décharge maximale de la capacité).</w:t>
      </w:r>
    </w:p>
    <w:p w:rsidR="00C76E16" w:rsidRPr="00A779B8" w:rsidRDefault="00C76E16" w:rsidP="00C76E16">
      <w:pPr>
        <w:pStyle w:val="SingleTxtG"/>
        <w:ind w:left="2268"/>
        <w:rPr>
          <w:lang w:val="fr-FR"/>
        </w:rPr>
      </w:pPr>
      <w:r w:rsidRPr="00A779B8">
        <w:rPr>
          <w:lang w:val="fr-FR"/>
        </w:rPr>
        <w:tab/>
        <w:t>Le profil de l</w:t>
      </w:r>
      <w:r w:rsidR="00DB4C2D">
        <w:rPr>
          <w:lang w:val="fr-FR"/>
        </w:rPr>
        <w:t>’</w:t>
      </w:r>
      <w:r w:rsidRPr="00A779B8">
        <w:rPr>
          <w:lang w:val="fr-FR"/>
        </w:rPr>
        <w:t>état de charge du dispositif électrique de stockage d</w:t>
      </w:r>
      <w:r w:rsidR="00DB4C2D">
        <w:rPr>
          <w:lang w:val="fr-FR"/>
        </w:rPr>
        <w:t>’</w:t>
      </w:r>
      <w:r w:rsidRPr="00A779B8">
        <w:rPr>
          <w:lang w:val="fr-FR"/>
        </w:rPr>
        <w:t>énergie pendant les différentes phases de l</w:t>
      </w:r>
      <w:r w:rsidR="00DB4C2D">
        <w:rPr>
          <w:lang w:val="fr-FR"/>
        </w:rPr>
        <w:t>’</w:t>
      </w:r>
      <w:r w:rsidRPr="00A779B8">
        <w:rPr>
          <w:lang w:val="fr-FR"/>
        </w:rPr>
        <w:t>essai du type I est présenté dans l</w:t>
      </w:r>
      <w:r w:rsidR="00DB4C2D">
        <w:rPr>
          <w:lang w:val="fr-FR"/>
        </w:rPr>
        <w:t>’</w:t>
      </w:r>
      <w:r w:rsidRPr="00A779B8">
        <w:rPr>
          <w:lang w:val="fr-FR"/>
        </w:rPr>
        <w:t>appendice 1 de la présente annexe.</w:t>
      </w:r>
    </w:p>
    <w:p w:rsidR="00C76E16" w:rsidRPr="00E96A62" w:rsidRDefault="00C76E16" w:rsidP="00C76E16">
      <w:pPr>
        <w:pStyle w:val="SingleTxtG"/>
        <w:keepNext/>
        <w:keepLines/>
        <w:ind w:left="2268" w:hanging="1134"/>
        <w:rPr>
          <w:lang w:val="fr-FR"/>
        </w:rPr>
      </w:pPr>
      <w:r w:rsidRPr="00A779B8">
        <w:rPr>
          <w:lang w:val="fr-FR"/>
        </w:rPr>
        <w:lastRenderedPageBreak/>
        <w:t>3.1.2</w:t>
      </w:r>
      <w:r w:rsidRPr="00A779B8">
        <w:rPr>
          <w:lang w:val="fr-FR"/>
        </w:rPr>
        <w:tab/>
      </w:r>
      <w:r w:rsidRPr="00E96A62">
        <w:rPr>
          <w:lang w:val="fr-FR"/>
        </w:rPr>
        <w:tab/>
        <w:t>Condition A</w:t>
      </w:r>
    </w:p>
    <w:p w:rsidR="00C76E16" w:rsidRPr="00A779B8" w:rsidRDefault="00C76E16" w:rsidP="00C76E16">
      <w:pPr>
        <w:pStyle w:val="SingleTxtG"/>
        <w:keepNext/>
        <w:keepLines/>
        <w:ind w:left="2268" w:hanging="1134"/>
        <w:rPr>
          <w:lang w:val="fr-FR"/>
        </w:rPr>
      </w:pPr>
      <w:r w:rsidRPr="00A779B8">
        <w:rPr>
          <w:lang w:val="fr-FR"/>
        </w:rPr>
        <w:t>3.1.2.1</w:t>
      </w:r>
      <w:r w:rsidRPr="00A779B8">
        <w:rPr>
          <w:lang w:val="fr-FR"/>
        </w:rPr>
        <w:tab/>
        <w:t>On doit commencer par décharger le dispositif de stockage d</w:t>
      </w:r>
      <w:r w:rsidR="00DB4C2D">
        <w:rPr>
          <w:lang w:val="fr-FR"/>
        </w:rPr>
        <w:t>’</w:t>
      </w:r>
      <w:r w:rsidRPr="00A779B8">
        <w:rPr>
          <w:lang w:val="fr-FR"/>
        </w:rPr>
        <w:t>énergie en faisant rouler le véhicule (sur piste d</w:t>
      </w:r>
      <w:r w:rsidR="00DB4C2D">
        <w:rPr>
          <w:lang w:val="fr-FR"/>
        </w:rPr>
        <w:t>’</w:t>
      </w:r>
      <w:r w:rsidRPr="00A779B8">
        <w:rPr>
          <w:lang w:val="fr-FR"/>
        </w:rPr>
        <w:t>essai, banc dynamométrique, etc.):</w:t>
      </w:r>
    </w:p>
    <w:p w:rsidR="00C76E16" w:rsidRPr="00A779B8" w:rsidRDefault="00C76E16" w:rsidP="00C76E16">
      <w:pPr>
        <w:pStyle w:val="SingleTxtG"/>
        <w:ind w:left="2835" w:hanging="567"/>
        <w:rPr>
          <w:lang w:val="fr-FR"/>
        </w:rPr>
      </w:pPr>
      <w:r w:rsidRPr="00A779B8">
        <w:rPr>
          <w:lang w:val="fr-FR"/>
        </w:rPr>
        <w:t>a)</w:t>
      </w:r>
      <w:r w:rsidRPr="00A779B8">
        <w:rPr>
          <w:lang w:val="fr-FR"/>
        </w:rPr>
        <w:tab/>
        <w:t>À une vitesse constante de 50 km/h jusqu</w:t>
      </w:r>
      <w:r w:rsidR="00DB4C2D">
        <w:rPr>
          <w:lang w:val="fr-FR"/>
        </w:rPr>
        <w:t>’</w:t>
      </w:r>
      <w:r w:rsidRPr="00A779B8">
        <w:rPr>
          <w:lang w:val="fr-FR"/>
        </w:rPr>
        <w:t>à ce que son moteur thermique démarre;</w:t>
      </w:r>
    </w:p>
    <w:p w:rsidR="00C76E16" w:rsidRPr="00A779B8" w:rsidRDefault="00C76E16" w:rsidP="00C76E16">
      <w:pPr>
        <w:pStyle w:val="SingleTxtG"/>
        <w:ind w:left="2835" w:hanging="567"/>
        <w:rPr>
          <w:lang w:val="fr-FR"/>
        </w:rPr>
      </w:pPr>
      <w:r w:rsidRPr="00A779B8">
        <w:rPr>
          <w:lang w:val="fr-FR"/>
        </w:rPr>
        <w:t>b)</w:t>
      </w:r>
      <w:r w:rsidRPr="00A779B8">
        <w:rPr>
          <w:lang w:val="fr-FR"/>
        </w:rPr>
        <w:tab/>
        <w:t>Ou, si le véhicule ne peut atteindre une vitesse constante de 50 km/h sans démarrage du moteur thermique, à une vitesse constante moindre pendant une durée définie ou sur une distance définie (à convenir entre le service technique et le fabricant), sans que le moteur thermique ne démarre;</w:t>
      </w:r>
    </w:p>
    <w:p w:rsidR="00C76E16" w:rsidRPr="00A779B8" w:rsidRDefault="00C76E16" w:rsidP="00C76E16">
      <w:pPr>
        <w:pStyle w:val="SingleTxtG"/>
        <w:ind w:left="2835" w:hanging="567"/>
        <w:rPr>
          <w:lang w:val="fr-FR"/>
        </w:rPr>
      </w:pPr>
      <w:r w:rsidRPr="00A779B8">
        <w:rPr>
          <w:lang w:val="fr-FR"/>
        </w:rPr>
        <w:t>c)</w:t>
      </w:r>
      <w:r w:rsidRPr="00A779B8">
        <w:rPr>
          <w:lang w:val="fr-FR"/>
        </w:rPr>
        <w:tab/>
        <w:t>Ou encore suivant les recommandations du constructeur.</w:t>
      </w:r>
    </w:p>
    <w:p w:rsidR="00C76E16" w:rsidRPr="00A779B8" w:rsidRDefault="00C76E16" w:rsidP="00C76E16">
      <w:pPr>
        <w:pStyle w:val="SingleTxtG"/>
        <w:ind w:left="2268"/>
        <w:rPr>
          <w:lang w:val="fr-FR"/>
        </w:rPr>
      </w:pPr>
      <w:r w:rsidRPr="00A779B8">
        <w:rPr>
          <w:lang w:val="fr-FR"/>
        </w:rPr>
        <w:tab/>
        <w:t>Le moteur thermique doit être arrêté 10 s après son démarrage automatique.</w:t>
      </w:r>
    </w:p>
    <w:p w:rsidR="00C76E16" w:rsidRPr="00A779B8" w:rsidRDefault="00C76E16" w:rsidP="00C76E16">
      <w:pPr>
        <w:pStyle w:val="SingleTxtG"/>
        <w:keepNext/>
        <w:ind w:left="2268" w:hanging="1134"/>
        <w:jc w:val="left"/>
        <w:rPr>
          <w:lang w:val="fr-FR"/>
        </w:rPr>
      </w:pPr>
      <w:r w:rsidRPr="00A779B8">
        <w:rPr>
          <w:lang w:val="fr-FR"/>
        </w:rPr>
        <w:t>3.1.2.2</w:t>
      </w:r>
      <w:r w:rsidRPr="00A779B8">
        <w:rPr>
          <w:lang w:val="fr-FR"/>
        </w:rPr>
        <w:tab/>
        <w:t>Conditionnement du véhicule</w:t>
      </w:r>
    </w:p>
    <w:p w:rsidR="00C76E16" w:rsidRPr="00A779B8" w:rsidRDefault="00C76E16" w:rsidP="00C76E16">
      <w:pPr>
        <w:pStyle w:val="SingleTxtG"/>
        <w:ind w:left="2268" w:hanging="1134"/>
        <w:rPr>
          <w:lang w:val="fr-FR"/>
        </w:rPr>
      </w:pPr>
      <w:r w:rsidRPr="00A779B8">
        <w:rPr>
          <w:lang w:val="fr-FR"/>
        </w:rPr>
        <w:t>3.1.2.2.1</w:t>
      </w:r>
      <w:r w:rsidRPr="00A779B8">
        <w:rPr>
          <w:lang w:val="fr-FR"/>
        </w:rPr>
        <w:tab/>
        <w:t>Pour les véhicules à moteur à allumage par compression, on doit effectuer le cycle de la deuxième partie décrit au tableau A4a/2 (et à la figure A4a/3) de l</w:t>
      </w:r>
      <w:r w:rsidR="00DB4C2D">
        <w:rPr>
          <w:lang w:val="fr-FR"/>
        </w:rPr>
        <w:t>’</w:t>
      </w:r>
      <w:r w:rsidRPr="00A779B8">
        <w:rPr>
          <w:lang w:val="fr-FR"/>
        </w:rPr>
        <w:t>annexe 4a du présent Règlement. Trois cycles consécutifs doivent être exécutés conformément au paragraphe 3.1.2.5.3 de la présente annexe.</w:t>
      </w:r>
    </w:p>
    <w:p w:rsidR="00C76E16" w:rsidRPr="00A779B8" w:rsidRDefault="00C76E16" w:rsidP="00C76E16">
      <w:pPr>
        <w:pStyle w:val="SingleTxtG"/>
        <w:ind w:left="2268" w:hanging="1134"/>
        <w:rPr>
          <w:lang w:val="fr-FR"/>
        </w:rPr>
      </w:pPr>
      <w:r w:rsidRPr="00A779B8">
        <w:rPr>
          <w:lang w:val="fr-FR"/>
        </w:rPr>
        <w:t>3.1.2.2.2</w:t>
      </w:r>
      <w:r w:rsidRPr="00A779B8">
        <w:rPr>
          <w:lang w:val="fr-FR"/>
        </w:rPr>
        <w:tab/>
        <w:t>Les véhicules équipés d</w:t>
      </w:r>
      <w:r w:rsidR="00DB4C2D">
        <w:rPr>
          <w:lang w:val="fr-FR"/>
        </w:rPr>
        <w:t>’</w:t>
      </w:r>
      <w:r w:rsidRPr="00A779B8">
        <w:rPr>
          <w:lang w:val="fr-FR"/>
        </w:rPr>
        <w:t xml:space="preserve">un moteur à allumage commandé doivent être </w:t>
      </w:r>
      <w:proofErr w:type="spellStart"/>
      <w:r w:rsidRPr="00A779B8">
        <w:rPr>
          <w:lang w:val="fr-FR"/>
        </w:rPr>
        <w:t>préconditionnés</w:t>
      </w:r>
      <w:proofErr w:type="spellEnd"/>
      <w:r w:rsidRPr="00A779B8">
        <w:rPr>
          <w:lang w:val="fr-FR"/>
        </w:rPr>
        <w:t xml:space="preserve"> avec un cycle de la première partie et deux cycles de la seconde partie conformément au paragraphe 3.1.2.5.3 ci-après.</w:t>
      </w:r>
    </w:p>
    <w:p w:rsidR="00C76E16" w:rsidRPr="00A779B8" w:rsidRDefault="00C76E16" w:rsidP="00C76E16">
      <w:pPr>
        <w:pStyle w:val="SingleTxtG"/>
        <w:ind w:left="2268" w:hanging="1134"/>
        <w:rPr>
          <w:lang w:val="fr-FR"/>
        </w:rPr>
      </w:pPr>
      <w:r w:rsidRPr="00A779B8">
        <w:rPr>
          <w:lang w:val="fr-FR"/>
        </w:rPr>
        <w:t>3.1.2.3</w:t>
      </w:r>
      <w:r w:rsidRPr="00A779B8">
        <w:rPr>
          <w:lang w:val="fr-FR"/>
        </w:rPr>
        <w:tab/>
        <w:t xml:space="preserve">Après ce </w:t>
      </w:r>
      <w:proofErr w:type="spellStart"/>
      <w:r w:rsidRPr="00A779B8">
        <w:rPr>
          <w:lang w:val="fr-FR"/>
        </w:rPr>
        <w:t>préconditionnement</w:t>
      </w:r>
      <w:proofErr w:type="spellEnd"/>
      <w:r w:rsidRPr="00A779B8">
        <w:rPr>
          <w:lang w:val="fr-FR"/>
        </w:rPr>
        <w:t>, et avant l</w:t>
      </w:r>
      <w:r w:rsidR="00DB4C2D">
        <w:rPr>
          <w:lang w:val="fr-FR"/>
        </w:rPr>
        <w:t>’</w:t>
      </w:r>
      <w:r w:rsidRPr="00A779B8">
        <w:rPr>
          <w:lang w:val="fr-FR"/>
        </w:rPr>
        <w:t>essai, le véhicule doit être maintenu dans un local dont la température demeure relativement constante entre 293 et 303 K (20 °C et 30 °C). Ce conditionnement doit être effectué pendant au moins 6 h et se poursuivre jusqu</w:t>
      </w:r>
      <w:r w:rsidR="00DB4C2D">
        <w:rPr>
          <w:lang w:val="fr-FR"/>
        </w:rPr>
        <w:t>’</w:t>
      </w:r>
      <w:r w:rsidRPr="00A779B8">
        <w:rPr>
          <w:lang w:val="fr-FR"/>
        </w:rPr>
        <w:t>à ce que la température de l</w:t>
      </w:r>
      <w:r w:rsidR="00DB4C2D">
        <w:rPr>
          <w:lang w:val="fr-FR"/>
        </w:rPr>
        <w:t>’</w:t>
      </w:r>
      <w:r w:rsidRPr="00A779B8">
        <w:rPr>
          <w:lang w:val="fr-FR"/>
        </w:rPr>
        <w:t xml:space="preserve">huile du moteur et du liquide de refroidissement, le cas échéant, soit égale à la température du local </w:t>
      </w:r>
      <w:r w:rsidRPr="00A779B8">
        <w:rPr>
          <w:lang w:val="fr-FR"/>
        </w:rPr>
        <w:sym w:font="Symbol" w:char="F0B1"/>
      </w:r>
      <w:r w:rsidRPr="00A779B8">
        <w:rPr>
          <w:lang w:val="fr-FR"/>
        </w:rPr>
        <w:t>2 K, et que le dispositif de stockage d</w:t>
      </w:r>
      <w:r w:rsidR="00DB4C2D">
        <w:rPr>
          <w:lang w:val="fr-FR"/>
        </w:rPr>
        <w:t>’</w:t>
      </w:r>
      <w:r w:rsidRPr="00A779B8">
        <w:rPr>
          <w:lang w:val="fr-FR"/>
        </w:rPr>
        <w:t>énergie soit entièrement rechargé conformément aux prescriptions du paragraphe 3.1.2.4 de la présente annexe.</w:t>
      </w:r>
    </w:p>
    <w:p w:rsidR="00C76E16" w:rsidRPr="00A779B8" w:rsidRDefault="00C76E16" w:rsidP="00C76E16">
      <w:pPr>
        <w:pStyle w:val="SingleTxtG"/>
        <w:keepNext/>
        <w:ind w:left="2268" w:hanging="1134"/>
        <w:rPr>
          <w:lang w:val="fr-FR"/>
        </w:rPr>
      </w:pPr>
      <w:r w:rsidRPr="00A779B8">
        <w:rPr>
          <w:lang w:val="fr-FR"/>
        </w:rPr>
        <w:t>3.1.2.4</w:t>
      </w:r>
      <w:r w:rsidRPr="00A779B8">
        <w:rPr>
          <w:lang w:val="fr-FR"/>
        </w:rPr>
        <w:tab/>
        <w:t>Pendant la phase d</w:t>
      </w:r>
      <w:r w:rsidR="00DB4C2D">
        <w:rPr>
          <w:lang w:val="fr-FR"/>
        </w:rPr>
        <w:t>’</w:t>
      </w:r>
      <w:r w:rsidRPr="00A779B8">
        <w:rPr>
          <w:lang w:val="fr-FR"/>
        </w:rPr>
        <w:t>égalisation des températures, le dispositif de stockage d</w:t>
      </w:r>
      <w:r w:rsidR="00DB4C2D">
        <w:rPr>
          <w:lang w:val="fr-FR"/>
        </w:rPr>
        <w:t>’</w:t>
      </w:r>
      <w:r w:rsidRPr="00A779B8">
        <w:rPr>
          <w:lang w:val="fr-FR"/>
        </w:rPr>
        <w:t>énergie doit être rechargé au moyen:</w:t>
      </w:r>
    </w:p>
    <w:p w:rsidR="00C76E16" w:rsidRPr="00A779B8" w:rsidRDefault="00C76E16" w:rsidP="00C76E16">
      <w:pPr>
        <w:pStyle w:val="SingleTxtG"/>
        <w:ind w:left="2835" w:hanging="567"/>
        <w:rPr>
          <w:lang w:val="fr-FR"/>
        </w:rPr>
      </w:pPr>
      <w:r w:rsidRPr="00A779B8">
        <w:rPr>
          <w:lang w:val="fr-FR"/>
        </w:rPr>
        <w:t>a)</w:t>
      </w:r>
      <w:r w:rsidRPr="00A779B8">
        <w:rPr>
          <w:lang w:val="fr-FR"/>
        </w:rPr>
        <w:tab/>
        <w:t>Du chargeur de bord s</w:t>
      </w:r>
      <w:r w:rsidR="00DB4C2D">
        <w:rPr>
          <w:lang w:val="fr-FR"/>
        </w:rPr>
        <w:t>’</w:t>
      </w:r>
      <w:r w:rsidRPr="00A779B8">
        <w:rPr>
          <w:lang w:val="fr-FR"/>
        </w:rPr>
        <w:t>il est installé; ou</w:t>
      </w:r>
    </w:p>
    <w:p w:rsidR="00C76E16" w:rsidRPr="00A779B8" w:rsidRDefault="00C76E16" w:rsidP="00C76E16">
      <w:pPr>
        <w:pStyle w:val="SingleTxtG"/>
        <w:ind w:left="2835" w:hanging="567"/>
        <w:rPr>
          <w:lang w:val="fr-FR"/>
        </w:rPr>
      </w:pPr>
      <w:r w:rsidRPr="00A779B8">
        <w:rPr>
          <w:lang w:val="fr-FR"/>
        </w:rPr>
        <w:t>b)</w:t>
      </w:r>
      <w:r w:rsidRPr="00A779B8">
        <w:rPr>
          <w:lang w:val="fr-FR"/>
        </w:rPr>
        <w:tab/>
        <w:t>Du chargeur extérieur recommandé par le constructeur en charge normale de nuit.</w:t>
      </w:r>
    </w:p>
    <w:p w:rsidR="00C76E16" w:rsidRPr="00A779B8" w:rsidRDefault="00C76E16" w:rsidP="00C76E16">
      <w:pPr>
        <w:pStyle w:val="SingleTxtG"/>
        <w:ind w:left="2268"/>
        <w:rPr>
          <w:lang w:val="fr-FR"/>
        </w:rPr>
      </w:pPr>
      <w:r w:rsidRPr="00A779B8">
        <w:rPr>
          <w:lang w:val="fr-FR"/>
        </w:rPr>
        <w:tab/>
        <w:t>Cette méthode exclut tous les types de recharges spéciales qui pourraient être provoquées automatiquement ou manuellement, comme par exemple les recharges d</w:t>
      </w:r>
      <w:r w:rsidR="00DB4C2D">
        <w:rPr>
          <w:lang w:val="fr-FR"/>
        </w:rPr>
        <w:t>’</w:t>
      </w:r>
      <w:r w:rsidRPr="00A779B8">
        <w:rPr>
          <w:lang w:val="fr-FR"/>
        </w:rPr>
        <w:t>égalisation ou d</w:t>
      </w:r>
      <w:r w:rsidR="00DB4C2D">
        <w:rPr>
          <w:lang w:val="fr-FR"/>
        </w:rPr>
        <w:t>’</w:t>
      </w:r>
      <w:r w:rsidRPr="00A779B8">
        <w:rPr>
          <w:lang w:val="fr-FR"/>
        </w:rPr>
        <w:t>entretien.</w:t>
      </w:r>
    </w:p>
    <w:p w:rsidR="00C76E16" w:rsidRPr="00A779B8" w:rsidRDefault="00C76E16" w:rsidP="00C76E16">
      <w:pPr>
        <w:pStyle w:val="SingleTxtG"/>
        <w:ind w:left="2268"/>
        <w:rPr>
          <w:lang w:val="fr-FR"/>
        </w:rPr>
      </w:pPr>
      <w:r w:rsidRPr="00A779B8">
        <w:rPr>
          <w:lang w:val="fr-FR"/>
        </w:rPr>
        <w:tab/>
        <w:t>Le constructeur doit déclarer qu</w:t>
      </w:r>
      <w:r w:rsidR="00DB4C2D">
        <w:rPr>
          <w:lang w:val="fr-FR"/>
        </w:rPr>
        <w:t>’</w:t>
      </w:r>
      <w:r w:rsidRPr="00A779B8">
        <w:rPr>
          <w:lang w:val="fr-FR"/>
        </w:rPr>
        <w:t>il n</w:t>
      </w:r>
      <w:r w:rsidR="00DB4C2D">
        <w:rPr>
          <w:lang w:val="fr-FR"/>
        </w:rPr>
        <w:t>’</w:t>
      </w:r>
      <w:r w:rsidRPr="00A779B8">
        <w:rPr>
          <w:lang w:val="fr-FR"/>
        </w:rPr>
        <w:t>y a pas eu d</w:t>
      </w:r>
      <w:r w:rsidR="00DB4C2D">
        <w:rPr>
          <w:lang w:val="fr-FR"/>
        </w:rPr>
        <w:t>’</w:t>
      </w:r>
      <w:r w:rsidRPr="00A779B8">
        <w:rPr>
          <w:lang w:val="fr-FR"/>
        </w:rPr>
        <w:t>opération de recharge spéciale au cours de l</w:t>
      </w:r>
      <w:r w:rsidR="00DB4C2D">
        <w:rPr>
          <w:lang w:val="fr-FR"/>
        </w:rPr>
        <w:t>’</w:t>
      </w:r>
      <w:r w:rsidRPr="00A779B8">
        <w:rPr>
          <w:lang w:val="fr-FR"/>
        </w:rPr>
        <w:t>essai.</w:t>
      </w:r>
    </w:p>
    <w:p w:rsidR="00C76E16" w:rsidRPr="00A779B8" w:rsidRDefault="00C76E16" w:rsidP="00C76E16">
      <w:pPr>
        <w:pStyle w:val="SingleTxtG"/>
        <w:keepNext/>
        <w:ind w:left="2268" w:hanging="1134"/>
        <w:jc w:val="left"/>
        <w:rPr>
          <w:lang w:val="fr-FR"/>
        </w:rPr>
      </w:pPr>
      <w:r w:rsidRPr="00A779B8">
        <w:rPr>
          <w:lang w:val="fr-FR"/>
        </w:rPr>
        <w:t>3.1.2.5</w:t>
      </w:r>
      <w:r w:rsidRPr="00A779B8">
        <w:rPr>
          <w:lang w:val="fr-FR"/>
        </w:rPr>
        <w:tab/>
        <w:t>Mode opératoire</w:t>
      </w:r>
    </w:p>
    <w:p w:rsidR="00C76E16" w:rsidRPr="00A779B8" w:rsidRDefault="00C76E16" w:rsidP="00C76E16">
      <w:pPr>
        <w:pStyle w:val="SingleTxtG"/>
        <w:ind w:left="2268" w:hanging="1134"/>
        <w:rPr>
          <w:lang w:val="fr-FR"/>
        </w:rPr>
      </w:pPr>
      <w:r w:rsidRPr="00A779B8">
        <w:rPr>
          <w:lang w:val="fr-FR"/>
        </w:rPr>
        <w:t>3.1.2.5.1</w:t>
      </w:r>
      <w:r w:rsidRPr="00A779B8">
        <w:rPr>
          <w:lang w:val="fr-FR"/>
        </w:rPr>
        <w:tab/>
        <w:t>On doit faire démarrer le véhicule en utilisant les moyens normalement mis à la disposition du conducteur. Le premier cycle commence par le début de l</w:t>
      </w:r>
      <w:r w:rsidR="00DB4C2D">
        <w:rPr>
          <w:lang w:val="fr-FR"/>
        </w:rPr>
        <w:t>’</w:t>
      </w:r>
      <w:r w:rsidRPr="00A779B8">
        <w:rPr>
          <w:lang w:val="fr-FR"/>
        </w:rPr>
        <w:t>opération de démarrage du véhicule.</w:t>
      </w:r>
    </w:p>
    <w:p w:rsidR="00C76E16" w:rsidRPr="00A779B8" w:rsidRDefault="00C76E16" w:rsidP="00C76E16">
      <w:pPr>
        <w:pStyle w:val="SingleTxtG"/>
        <w:ind w:left="2268" w:hanging="1134"/>
        <w:rPr>
          <w:lang w:val="fr-FR"/>
        </w:rPr>
      </w:pPr>
      <w:r w:rsidRPr="00A779B8">
        <w:rPr>
          <w:lang w:val="fr-FR"/>
        </w:rPr>
        <w:t>3.1.2.5.2</w:t>
      </w:r>
      <w:r w:rsidRPr="00A779B8">
        <w:rPr>
          <w:lang w:val="fr-FR"/>
        </w:rPr>
        <w:tab/>
        <w:t>Les modes opératoires définis dans les paragraphes 3.1.2.5.2.1 ou 3.1.2.5.2.2 ci-dessous peuvent être appliqués, en fonction du mode choisi au paragraphe 3.2.3.2 de l</w:t>
      </w:r>
      <w:r w:rsidR="00DB4C2D">
        <w:rPr>
          <w:lang w:val="fr-FR"/>
        </w:rPr>
        <w:t>’</w:t>
      </w:r>
      <w:r w:rsidRPr="00A779B8">
        <w:rPr>
          <w:lang w:val="fr-FR"/>
        </w:rPr>
        <w:t>annexe 8 du Règlement n</w:t>
      </w:r>
      <w:r w:rsidRPr="00A779B8">
        <w:rPr>
          <w:vertAlign w:val="superscript"/>
          <w:lang w:val="fr-FR"/>
        </w:rPr>
        <w:t>o</w:t>
      </w:r>
      <w:r w:rsidRPr="00A779B8">
        <w:rPr>
          <w:lang w:val="fr-FR"/>
        </w:rPr>
        <w:t> 10</w:t>
      </w:r>
      <w:r w:rsidR="00876FA8">
        <w:rPr>
          <w:lang w:val="fr-FR"/>
        </w:rPr>
        <w:t>1.</w:t>
      </w:r>
    </w:p>
    <w:p w:rsidR="00C76E16" w:rsidRPr="00A779B8" w:rsidRDefault="00C76E16" w:rsidP="00C76E16">
      <w:pPr>
        <w:pStyle w:val="SingleTxtG"/>
        <w:ind w:left="2268" w:hanging="1134"/>
        <w:rPr>
          <w:lang w:val="fr-FR"/>
        </w:rPr>
      </w:pPr>
      <w:r w:rsidRPr="00A779B8">
        <w:rPr>
          <w:lang w:val="fr-FR"/>
        </w:rPr>
        <w:lastRenderedPageBreak/>
        <w:t>3.1.2.5.2.1</w:t>
      </w:r>
      <w:r w:rsidRPr="00A779B8">
        <w:rPr>
          <w:lang w:val="fr-FR"/>
        </w:rPr>
        <w:tab/>
        <w:t>Le prélèvement doit commencer avant ou au début de l</w:t>
      </w:r>
      <w:r w:rsidR="00DB4C2D">
        <w:rPr>
          <w:lang w:val="fr-FR"/>
        </w:rPr>
        <w:t>’</w:t>
      </w:r>
      <w:r w:rsidRPr="00A779B8">
        <w:rPr>
          <w:lang w:val="fr-FR"/>
        </w:rPr>
        <w:t>opération de démarrage du véhicule et s</w:t>
      </w:r>
      <w:r w:rsidR="00DB4C2D">
        <w:rPr>
          <w:lang w:val="fr-FR"/>
        </w:rPr>
        <w:t>’</w:t>
      </w:r>
      <w:r w:rsidRPr="00A779B8">
        <w:rPr>
          <w:lang w:val="fr-FR"/>
        </w:rPr>
        <w:t>achever à la fin de la période finale de ralenti dans le cycle extra-urbain (partie Deux, fin du prélèvement).</w:t>
      </w:r>
    </w:p>
    <w:p w:rsidR="00C76E16" w:rsidRPr="00A779B8" w:rsidRDefault="00C76E16" w:rsidP="00C76E16">
      <w:pPr>
        <w:pStyle w:val="SingleTxtG"/>
        <w:ind w:left="2268" w:hanging="1134"/>
        <w:rPr>
          <w:lang w:val="fr-FR"/>
        </w:rPr>
      </w:pPr>
      <w:r w:rsidRPr="00A779B8">
        <w:rPr>
          <w:lang w:val="fr-FR"/>
        </w:rPr>
        <w:t>3.1.2.5.2.2</w:t>
      </w:r>
      <w:r w:rsidRPr="00A779B8">
        <w:rPr>
          <w:lang w:val="fr-FR"/>
        </w:rPr>
        <w:tab/>
        <w:t>Le prélèvement doit commencer avant ou au début de l</w:t>
      </w:r>
      <w:r w:rsidR="00DB4C2D">
        <w:rPr>
          <w:lang w:val="fr-FR"/>
        </w:rPr>
        <w:t>’</w:t>
      </w:r>
      <w:r w:rsidRPr="00A779B8">
        <w:rPr>
          <w:lang w:val="fr-FR"/>
        </w:rPr>
        <w:t>opération de démarrage du véhicule et continuer pendant un certain nombre de cycles répétés d</w:t>
      </w:r>
      <w:r w:rsidR="00DB4C2D">
        <w:rPr>
          <w:lang w:val="fr-FR"/>
        </w:rPr>
        <w:t>’</w:t>
      </w:r>
      <w:r w:rsidRPr="00A779B8">
        <w:rPr>
          <w:lang w:val="fr-FR"/>
        </w:rPr>
        <w:t>essai. Il doit s</w:t>
      </w:r>
      <w:r w:rsidR="00DB4C2D">
        <w:rPr>
          <w:lang w:val="fr-FR"/>
        </w:rPr>
        <w:t>’</w:t>
      </w:r>
      <w:r w:rsidRPr="00A779B8">
        <w:rPr>
          <w:lang w:val="fr-FR"/>
        </w:rPr>
        <w:t>achever à la fin de la période finale de ralenti du premier cycle extra-urbain (seconde partie) au cours duquel la batterie a atteint le niveau de charge minimal, selon le critère défini ci-après (fin du prélèvement).</w:t>
      </w:r>
    </w:p>
    <w:p w:rsidR="00C76E16" w:rsidRPr="00A779B8" w:rsidRDefault="00C76E16" w:rsidP="00C76E16">
      <w:pPr>
        <w:pStyle w:val="SingleTxtG"/>
        <w:spacing w:line="220" w:lineRule="atLeast"/>
        <w:ind w:left="2268"/>
        <w:rPr>
          <w:lang w:val="fr-FR"/>
        </w:rPr>
      </w:pPr>
      <w:r w:rsidRPr="00A779B8">
        <w:rPr>
          <w:lang w:val="fr-FR"/>
        </w:rPr>
        <w:tab/>
        <w:t>Le bilan électrique Q [Ah] doit être mesuré pendant chaque cycle combiné, selon le mode opératoire décrit à l</w:t>
      </w:r>
      <w:r w:rsidR="00DB4C2D">
        <w:rPr>
          <w:lang w:val="fr-FR"/>
        </w:rPr>
        <w:t>’</w:t>
      </w:r>
      <w:r w:rsidRPr="00A779B8">
        <w:rPr>
          <w:lang w:val="fr-FR"/>
        </w:rPr>
        <w:t>appendice 2 de l</w:t>
      </w:r>
      <w:r w:rsidR="00DB4C2D">
        <w:rPr>
          <w:lang w:val="fr-FR"/>
        </w:rPr>
        <w:t>’</w:t>
      </w:r>
      <w:r w:rsidRPr="00A779B8">
        <w:rPr>
          <w:lang w:val="fr-FR"/>
        </w:rPr>
        <w:t xml:space="preserve">annexe 8 du Règlement </w:t>
      </w:r>
      <w:r w:rsidRPr="00A779B8">
        <w:rPr>
          <w:rFonts w:eastAsia="MS Mincho"/>
          <w:lang w:val="fr-FR"/>
        </w:rPr>
        <w:t>n</w:t>
      </w:r>
      <w:r w:rsidRPr="00A779B8">
        <w:rPr>
          <w:rFonts w:eastAsia="MS Mincho"/>
          <w:vertAlign w:val="superscript"/>
          <w:lang w:val="fr-FR"/>
        </w:rPr>
        <w:t>o</w:t>
      </w:r>
      <w:r w:rsidRPr="00A779B8">
        <w:rPr>
          <w:rFonts w:eastAsia="MS Mincho"/>
          <w:lang w:val="fr-FR"/>
        </w:rPr>
        <w:t> </w:t>
      </w:r>
      <w:r w:rsidRPr="00A779B8">
        <w:rPr>
          <w:lang w:val="fr-FR"/>
        </w:rPr>
        <w:t>101, et utilisé pour déterminer l</w:t>
      </w:r>
      <w:r w:rsidR="00DB4C2D">
        <w:rPr>
          <w:lang w:val="fr-FR"/>
        </w:rPr>
        <w:t>’</w:t>
      </w:r>
      <w:r w:rsidRPr="00A779B8">
        <w:rPr>
          <w:lang w:val="fr-FR"/>
        </w:rPr>
        <w:t>instant où le niveau de charge minimal de la batterie a été atteint.</w:t>
      </w:r>
    </w:p>
    <w:p w:rsidR="00C76E16" w:rsidRPr="00A779B8" w:rsidRDefault="00C76E16" w:rsidP="00C76E16">
      <w:pPr>
        <w:pStyle w:val="SingleTxtG"/>
        <w:spacing w:line="220" w:lineRule="atLeast"/>
        <w:ind w:left="2268"/>
        <w:rPr>
          <w:lang w:val="fr-FR"/>
        </w:rPr>
      </w:pPr>
      <w:r w:rsidRPr="00A779B8">
        <w:rPr>
          <w:lang w:val="fr-FR"/>
        </w:rPr>
        <w:tab/>
        <w:t>On considère que le niveau de charge minimal de la batterie a été atteint pendant le cycle combiné N si le bilan électrique mesuré au cours du cycle combiné N+1 n</w:t>
      </w:r>
      <w:r w:rsidR="00DB4C2D">
        <w:rPr>
          <w:lang w:val="fr-FR"/>
        </w:rPr>
        <w:t>’</w:t>
      </w:r>
      <w:r w:rsidRPr="00A779B8">
        <w:rPr>
          <w:lang w:val="fr-FR"/>
        </w:rPr>
        <w:t>indique pas une décharge supérieure à 3 % de la capacité nominale de la batterie (en Ah) à son niveau de charge maximal, indiqué par le constructeur. À sa demande, des cycles d</w:t>
      </w:r>
      <w:r w:rsidR="00DB4C2D">
        <w:rPr>
          <w:lang w:val="fr-FR"/>
        </w:rPr>
        <w:t>’</w:t>
      </w:r>
      <w:r w:rsidRPr="00A779B8">
        <w:rPr>
          <w:lang w:val="fr-FR"/>
        </w:rPr>
        <w:t>essai supplémentaires peuvent être exécutés et leurs résultats incorporés dans les calculs définis aux paragraphes 3.1.2.5.5 et 3.1.4.2 de la présente annexe à condition que le bilan électrique pour chaque cycle d</w:t>
      </w:r>
      <w:r w:rsidR="00DB4C2D">
        <w:rPr>
          <w:lang w:val="fr-FR"/>
        </w:rPr>
        <w:t>’</w:t>
      </w:r>
      <w:r w:rsidRPr="00A779B8">
        <w:rPr>
          <w:lang w:val="fr-FR"/>
        </w:rPr>
        <w:t>essai supplémentaire indique une décharge de la batterie moindre qu</w:t>
      </w:r>
      <w:r w:rsidR="00DB4C2D">
        <w:rPr>
          <w:lang w:val="fr-FR"/>
        </w:rPr>
        <w:t>’</w:t>
      </w:r>
      <w:r w:rsidRPr="00A779B8">
        <w:rPr>
          <w:lang w:val="fr-FR"/>
        </w:rPr>
        <w:t>au cours du cycle précédent.</w:t>
      </w:r>
    </w:p>
    <w:p w:rsidR="00C76E16" w:rsidRPr="00A779B8" w:rsidRDefault="00C76E16" w:rsidP="00C76E16">
      <w:pPr>
        <w:pStyle w:val="SingleTxtG"/>
        <w:spacing w:line="220" w:lineRule="atLeast"/>
        <w:ind w:left="2268"/>
        <w:rPr>
          <w:lang w:val="fr-FR"/>
        </w:rPr>
      </w:pPr>
      <w:r w:rsidRPr="00A779B8">
        <w:rPr>
          <w:lang w:val="fr-FR"/>
        </w:rPr>
        <w:tab/>
        <w:t>Entre deux cycles, on admet une période de stabilisation en température à chaud pouvant durer jusqu</w:t>
      </w:r>
      <w:r w:rsidR="00DB4C2D">
        <w:rPr>
          <w:lang w:val="fr-FR"/>
        </w:rPr>
        <w:t>’</w:t>
      </w:r>
      <w:r w:rsidRPr="00A779B8">
        <w:rPr>
          <w:lang w:val="fr-FR"/>
        </w:rPr>
        <w:t>à 10 min. La chaîne de traction doit être mise hors tension au cours de cette période.</w:t>
      </w:r>
    </w:p>
    <w:p w:rsidR="00C76E16" w:rsidRPr="00A779B8" w:rsidRDefault="00C76E16" w:rsidP="00C76E16">
      <w:pPr>
        <w:pStyle w:val="SingleTxtG"/>
        <w:spacing w:line="220" w:lineRule="atLeast"/>
        <w:ind w:left="2268" w:hanging="1134"/>
        <w:rPr>
          <w:lang w:val="fr-FR"/>
        </w:rPr>
      </w:pPr>
      <w:r w:rsidRPr="00A779B8">
        <w:rPr>
          <w:lang w:val="fr-FR"/>
        </w:rPr>
        <w:t>3.1.2.5.3</w:t>
      </w:r>
      <w:r w:rsidRPr="00A779B8">
        <w:rPr>
          <w:lang w:val="fr-FR"/>
        </w:rPr>
        <w:tab/>
        <w:t>Le véhicule doit être conduit conformément aux dispositions de l</w:t>
      </w:r>
      <w:r w:rsidR="00DB4C2D">
        <w:rPr>
          <w:lang w:val="fr-FR"/>
        </w:rPr>
        <w:t>’</w:t>
      </w:r>
      <w:r w:rsidRPr="00A779B8">
        <w:rPr>
          <w:lang w:val="fr-FR"/>
        </w:rPr>
        <w:t>annexe 4a du présent Règlement ou, en cas d</w:t>
      </w:r>
      <w:r w:rsidR="00DB4C2D">
        <w:rPr>
          <w:lang w:val="fr-FR"/>
        </w:rPr>
        <w:t>’</w:t>
      </w:r>
      <w:r w:rsidRPr="00A779B8">
        <w:rPr>
          <w:lang w:val="fr-FR"/>
        </w:rPr>
        <w:t>instructions particulières du constructeur concernant le passage des rapports, conformément à ces instructions qui figurent dans le manuel d</w:t>
      </w:r>
      <w:r w:rsidR="00DB4C2D">
        <w:rPr>
          <w:lang w:val="fr-FR"/>
        </w:rPr>
        <w:t>’</w:t>
      </w:r>
      <w:r w:rsidRPr="00A779B8">
        <w:rPr>
          <w:lang w:val="fr-FR"/>
        </w:rPr>
        <w:t>entretien du véhicule et sont indiquées sur le tableau de bord (pour l</w:t>
      </w:r>
      <w:r w:rsidR="00DB4C2D">
        <w:rPr>
          <w:lang w:val="fr-FR"/>
        </w:rPr>
        <w:t>’</w:t>
      </w:r>
      <w:r w:rsidRPr="00A779B8">
        <w:rPr>
          <w:lang w:val="fr-FR"/>
        </w:rPr>
        <w:t>information du conducteur). Pour ce type de véhicules, les points de changement de vitesse prescrits à l</w:t>
      </w:r>
      <w:r w:rsidR="00DB4C2D">
        <w:rPr>
          <w:lang w:val="fr-FR"/>
        </w:rPr>
        <w:t>’</w:t>
      </w:r>
      <w:r w:rsidRPr="00A779B8">
        <w:rPr>
          <w:lang w:val="fr-FR"/>
        </w:rPr>
        <w:t>annexe 4a du présent Règlement ne s</w:t>
      </w:r>
      <w:r w:rsidR="00DB4C2D">
        <w:rPr>
          <w:lang w:val="fr-FR"/>
        </w:rPr>
        <w:t>’</w:t>
      </w:r>
      <w:r w:rsidRPr="00A779B8">
        <w:rPr>
          <w:lang w:val="fr-FR"/>
        </w:rPr>
        <w:t>appliquent pas. Pour le profil de la courbe de fonctionnement, on doit appliquer la description figurant au paragraphe 6.1.3 de l</w:t>
      </w:r>
      <w:r w:rsidR="00DB4C2D">
        <w:rPr>
          <w:lang w:val="fr-FR"/>
        </w:rPr>
        <w:t>’</w:t>
      </w:r>
      <w:r w:rsidRPr="00A779B8">
        <w:rPr>
          <w:lang w:val="fr-FR"/>
        </w:rPr>
        <w:t>annexe 4a du présent Règlement.</w:t>
      </w:r>
    </w:p>
    <w:p w:rsidR="00C76E16" w:rsidRPr="00A779B8" w:rsidRDefault="00C76E16" w:rsidP="00C76E16">
      <w:pPr>
        <w:pStyle w:val="SingleTxtG"/>
        <w:spacing w:line="220" w:lineRule="atLeast"/>
        <w:ind w:left="2268" w:hanging="1134"/>
        <w:rPr>
          <w:lang w:val="fr-FR"/>
        </w:rPr>
      </w:pPr>
      <w:r w:rsidRPr="00A779B8">
        <w:rPr>
          <w:lang w:val="fr-FR"/>
        </w:rPr>
        <w:t>3.1.2.5.4</w:t>
      </w:r>
      <w:r w:rsidRPr="00A779B8">
        <w:rPr>
          <w:lang w:val="fr-FR"/>
        </w:rPr>
        <w:tab/>
        <w:t>Les gaz d</w:t>
      </w:r>
      <w:r w:rsidR="00DB4C2D">
        <w:rPr>
          <w:lang w:val="fr-FR"/>
        </w:rPr>
        <w:t>’</w:t>
      </w:r>
      <w:r w:rsidRPr="00A779B8">
        <w:rPr>
          <w:lang w:val="fr-FR"/>
        </w:rPr>
        <w:t>échappement doivent être analysés conformément aux dispositions de l</w:t>
      </w:r>
      <w:r w:rsidR="00DB4C2D">
        <w:rPr>
          <w:lang w:val="fr-FR"/>
        </w:rPr>
        <w:t>’</w:t>
      </w:r>
      <w:r w:rsidRPr="00A779B8">
        <w:rPr>
          <w:lang w:val="fr-FR"/>
        </w:rPr>
        <w:t>annexe 4a du présent Règlement.</w:t>
      </w:r>
    </w:p>
    <w:p w:rsidR="00C76E16" w:rsidRPr="00A779B8" w:rsidRDefault="00C76E16" w:rsidP="00C76E16">
      <w:pPr>
        <w:pStyle w:val="SingleTxtG"/>
        <w:ind w:left="2268" w:hanging="1134"/>
        <w:rPr>
          <w:lang w:val="fr-FR"/>
        </w:rPr>
      </w:pPr>
      <w:r w:rsidRPr="00A779B8">
        <w:rPr>
          <w:lang w:val="fr-FR"/>
        </w:rPr>
        <w:t>3.1.2.5.5</w:t>
      </w:r>
      <w:r w:rsidRPr="00A779B8">
        <w:rPr>
          <w:lang w:val="fr-FR"/>
        </w:rPr>
        <w:tab/>
        <w:t>Les résultats d</w:t>
      </w:r>
      <w:r w:rsidR="00DB4C2D">
        <w:rPr>
          <w:lang w:val="fr-FR"/>
        </w:rPr>
        <w:t>’</w:t>
      </w:r>
      <w:r w:rsidRPr="00A779B8">
        <w:rPr>
          <w:lang w:val="fr-FR"/>
        </w:rPr>
        <w:t>essai doivent être comparés aux limites prescrites au paragraphe 5.3.1.4 du présent Règlement et les émissions moyennes de chaque polluant selon la condition A, en grammes par kilomètre, doivent être calculées (M</w:t>
      </w:r>
      <w:r w:rsidRPr="00A779B8">
        <w:rPr>
          <w:vertAlign w:val="subscript"/>
          <w:lang w:val="fr-FR"/>
        </w:rPr>
        <w:t>1i</w:t>
      </w:r>
      <w:r w:rsidRPr="00A779B8">
        <w:rPr>
          <w:lang w:val="fr-FR"/>
        </w:rPr>
        <w:t>).</w:t>
      </w:r>
    </w:p>
    <w:p w:rsidR="00C76E16" w:rsidRPr="00A779B8" w:rsidRDefault="00C76E16" w:rsidP="00C76E16">
      <w:pPr>
        <w:pStyle w:val="SingleTxtG"/>
        <w:spacing w:line="220" w:lineRule="atLeast"/>
        <w:ind w:left="2268"/>
        <w:rPr>
          <w:lang w:val="fr-FR"/>
        </w:rPr>
      </w:pPr>
      <w:r w:rsidRPr="00A779B8">
        <w:rPr>
          <w:lang w:val="fr-FR"/>
        </w:rPr>
        <w:tab/>
        <w:t>Si l</w:t>
      </w:r>
      <w:r w:rsidR="00DB4C2D">
        <w:rPr>
          <w:lang w:val="fr-FR"/>
        </w:rPr>
        <w:t>’</w:t>
      </w:r>
      <w:r w:rsidRPr="00A779B8">
        <w:rPr>
          <w:lang w:val="fr-FR"/>
        </w:rPr>
        <w:t>essai est exécuté conformément au paragraphe 3.1.2.5.2.1 de la présente annexe, (M</w:t>
      </w:r>
      <w:r w:rsidRPr="00A779B8">
        <w:rPr>
          <w:vertAlign w:val="subscript"/>
          <w:lang w:val="fr-FR"/>
        </w:rPr>
        <w:t>1i</w:t>
      </w:r>
      <w:r w:rsidRPr="00A779B8">
        <w:rPr>
          <w:lang w:val="fr-FR"/>
        </w:rPr>
        <w:t>) est simplement le résultat de l</w:t>
      </w:r>
      <w:r w:rsidR="00DB4C2D">
        <w:rPr>
          <w:lang w:val="fr-FR"/>
        </w:rPr>
        <w:t>’</w:t>
      </w:r>
      <w:r w:rsidRPr="00A779B8">
        <w:rPr>
          <w:lang w:val="fr-FR"/>
        </w:rPr>
        <w:t>unique cycle combiné.</w:t>
      </w:r>
    </w:p>
    <w:p w:rsidR="00C76E16" w:rsidRPr="00A779B8" w:rsidRDefault="00C76E16" w:rsidP="00C76E16">
      <w:pPr>
        <w:pStyle w:val="SingleTxtG"/>
        <w:keepNext/>
        <w:spacing w:line="220" w:lineRule="atLeast"/>
        <w:ind w:left="2268"/>
        <w:rPr>
          <w:lang w:val="fr-FR"/>
        </w:rPr>
      </w:pPr>
      <w:r w:rsidRPr="00A779B8">
        <w:rPr>
          <w:lang w:val="fr-FR"/>
        </w:rPr>
        <w:lastRenderedPageBreak/>
        <w:tab/>
        <w:t>Si l</w:t>
      </w:r>
      <w:r w:rsidR="00DB4C2D">
        <w:rPr>
          <w:lang w:val="fr-FR"/>
        </w:rPr>
        <w:t>’</w:t>
      </w:r>
      <w:r w:rsidRPr="00A779B8">
        <w:rPr>
          <w:lang w:val="fr-FR"/>
        </w:rPr>
        <w:t>essai est exécuté conformément au paragraphe 3.1.2.5.2.2 de la présente annexe, le résultat d</w:t>
      </w:r>
      <w:r w:rsidR="00DB4C2D">
        <w:rPr>
          <w:lang w:val="fr-FR"/>
        </w:rPr>
        <w:t>’</w:t>
      </w:r>
      <w:r w:rsidRPr="00A779B8">
        <w:rPr>
          <w:lang w:val="fr-FR"/>
        </w:rPr>
        <w:t>essai de chaque cycle combiné (M</w:t>
      </w:r>
      <w:r w:rsidRPr="00A779B8">
        <w:rPr>
          <w:vertAlign w:val="subscript"/>
          <w:lang w:val="fr-FR"/>
        </w:rPr>
        <w:t>1ia</w:t>
      </w:r>
      <w:r w:rsidRPr="00A779B8">
        <w:rPr>
          <w:lang w:val="fr-FR"/>
        </w:rPr>
        <w:t>), multiplié par les facteurs appropriés de détérioration et les facteurs K</w:t>
      </w:r>
      <w:r w:rsidRPr="00A779B8">
        <w:rPr>
          <w:vertAlign w:val="subscript"/>
          <w:lang w:val="fr-FR"/>
        </w:rPr>
        <w:t>i</w:t>
      </w:r>
      <w:r w:rsidRPr="00A779B8">
        <w:rPr>
          <w:lang w:val="fr-FR"/>
        </w:rPr>
        <w:t>, doit être inférieur aux limites prescrites dans le paragraphe 5.3.1.4 du présent Règlement. Aux fins du calcul selon le paragraphe 3.1.4 de la présente annexe, M</w:t>
      </w:r>
      <w:r w:rsidRPr="00A779B8">
        <w:rPr>
          <w:vertAlign w:val="subscript"/>
          <w:lang w:val="fr-FR"/>
        </w:rPr>
        <w:t>1i</w:t>
      </w:r>
      <w:r w:rsidRPr="00A779B8">
        <w:rPr>
          <w:lang w:val="fr-FR"/>
        </w:rPr>
        <w:t> est défini comme suit:</w:t>
      </w:r>
    </w:p>
    <w:p w:rsidR="00C76E16" w:rsidRPr="00A779B8" w:rsidRDefault="009D55DD" w:rsidP="00C76E16">
      <w:pPr>
        <w:spacing w:after="240"/>
        <w:ind w:left="2268" w:right="1134"/>
        <w:rPr>
          <w:lang w:val="fr-FR"/>
        </w:rPr>
      </w:pPr>
      <w:r>
        <w:rPr>
          <w:noProof/>
          <w:position w:val="-28"/>
          <w:lang w:val="en-US"/>
        </w:rPr>
        <w:drawing>
          <wp:inline distT="0" distB="0" distL="0" distR="0">
            <wp:extent cx="1069975" cy="353695"/>
            <wp:effectExtent l="0" t="0" r="0" b="825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69975" cy="353695"/>
                    </a:xfrm>
                    <a:prstGeom prst="rect">
                      <a:avLst/>
                    </a:prstGeom>
                    <a:noFill/>
                    <a:ln>
                      <a:noFill/>
                    </a:ln>
                  </pic:spPr>
                </pic:pic>
              </a:graphicData>
            </a:graphic>
          </wp:inline>
        </w:drawing>
      </w:r>
    </w:p>
    <w:p w:rsidR="00C76E16" w:rsidRPr="00A779B8" w:rsidRDefault="00C76E16" w:rsidP="00C76E16">
      <w:pPr>
        <w:pStyle w:val="SingleTxtG"/>
        <w:keepNext/>
        <w:spacing w:line="220" w:lineRule="atLeast"/>
        <w:ind w:left="2268"/>
        <w:rPr>
          <w:lang w:val="fr-FR"/>
        </w:rPr>
      </w:pPr>
      <w:r w:rsidRPr="00A779B8">
        <w:rPr>
          <w:lang w:val="fr-FR"/>
        </w:rPr>
        <w:tab/>
        <w:t>où:</w:t>
      </w:r>
    </w:p>
    <w:tbl>
      <w:tblPr>
        <w:tblW w:w="6237" w:type="dxa"/>
        <w:tblInd w:w="2268" w:type="dxa"/>
        <w:tblLayout w:type="fixed"/>
        <w:tblCellMar>
          <w:left w:w="0" w:type="dxa"/>
          <w:right w:w="0" w:type="dxa"/>
        </w:tblCellMar>
        <w:tblLook w:val="01E0" w:firstRow="1" w:lastRow="1" w:firstColumn="1" w:lastColumn="1" w:noHBand="0" w:noVBand="0"/>
      </w:tblPr>
      <w:tblGrid>
        <w:gridCol w:w="593"/>
        <w:gridCol w:w="311"/>
        <w:gridCol w:w="5333"/>
      </w:tblGrid>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i</w:t>
            </w:r>
          </w:p>
        </w:tc>
        <w:tc>
          <w:tcPr>
            <w:tcW w:w="298"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le polluant,</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a</w:t>
            </w:r>
          </w:p>
        </w:tc>
        <w:tc>
          <w:tcPr>
            <w:tcW w:w="298"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le cycle.</w:t>
            </w:r>
          </w:p>
        </w:tc>
      </w:tr>
    </w:tbl>
    <w:p w:rsidR="00C76E16" w:rsidRPr="00A779B8" w:rsidRDefault="00C76E16" w:rsidP="00C76E16">
      <w:pPr>
        <w:pStyle w:val="SingleTxtG"/>
        <w:keepNext/>
        <w:spacing w:after="100"/>
        <w:ind w:left="2268" w:hanging="1134"/>
        <w:jc w:val="left"/>
        <w:rPr>
          <w:lang w:val="fr-FR"/>
        </w:rPr>
      </w:pPr>
      <w:r w:rsidRPr="00A779B8">
        <w:rPr>
          <w:lang w:val="fr-FR"/>
        </w:rPr>
        <w:t>3.1.3</w:t>
      </w:r>
      <w:r w:rsidRPr="00A779B8">
        <w:rPr>
          <w:lang w:val="fr-FR"/>
        </w:rPr>
        <w:tab/>
      </w:r>
      <w:r w:rsidRPr="002B4DBA">
        <w:rPr>
          <w:lang w:val="fr-FR"/>
        </w:rPr>
        <w:t>Condition B</w:t>
      </w:r>
    </w:p>
    <w:p w:rsidR="00C76E16" w:rsidRPr="00A779B8" w:rsidRDefault="00C76E16" w:rsidP="00C76E16">
      <w:pPr>
        <w:pStyle w:val="SingleTxtG"/>
        <w:keepNext/>
        <w:spacing w:after="100"/>
        <w:ind w:left="2268" w:hanging="1134"/>
        <w:jc w:val="left"/>
        <w:rPr>
          <w:lang w:val="fr-FR"/>
        </w:rPr>
      </w:pPr>
      <w:r w:rsidRPr="00A779B8">
        <w:rPr>
          <w:lang w:val="fr-FR"/>
        </w:rPr>
        <w:t>3.1.3.1</w:t>
      </w:r>
      <w:r w:rsidRPr="00A779B8">
        <w:rPr>
          <w:lang w:val="fr-FR"/>
        </w:rPr>
        <w:tab/>
        <w:t>Conditionnement du véhicule</w:t>
      </w:r>
    </w:p>
    <w:p w:rsidR="00C76E16" w:rsidRPr="00A779B8" w:rsidRDefault="00C76E16" w:rsidP="00C76E16">
      <w:pPr>
        <w:pStyle w:val="SingleTxtG"/>
        <w:spacing w:after="100"/>
        <w:ind w:left="2268" w:hanging="1134"/>
        <w:rPr>
          <w:lang w:val="fr-FR"/>
        </w:rPr>
      </w:pPr>
      <w:r w:rsidRPr="00A779B8">
        <w:rPr>
          <w:lang w:val="fr-FR"/>
        </w:rPr>
        <w:t>3.1.3.1.1</w:t>
      </w:r>
      <w:r w:rsidRPr="00A779B8">
        <w:rPr>
          <w:lang w:val="fr-FR"/>
        </w:rPr>
        <w:tab/>
        <w:t>Pour les véhicules à moteur à allumage par compression, on doit appliquer le cycle de la seconde partie décrit dans le tableau A4a/2 et à la figure A4a/3 de l</w:t>
      </w:r>
      <w:r w:rsidR="00DB4C2D">
        <w:rPr>
          <w:lang w:val="fr-FR"/>
        </w:rPr>
        <w:t>’</w:t>
      </w:r>
      <w:r w:rsidRPr="00A779B8">
        <w:rPr>
          <w:lang w:val="fr-FR"/>
        </w:rPr>
        <w:t>annexe</w:t>
      </w:r>
      <w:r w:rsidRPr="00A779B8">
        <w:rPr>
          <w:vertAlign w:val="subscript"/>
          <w:lang w:val="fr-FR"/>
        </w:rPr>
        <w:t> </w:t>
      </w:r>
      <w:r w:rsidRPr="00A779B8">
        <w:rPr>
          <w:lang w:val="fr-FR"/>
        </w:rPr>
        <w:t>4a du présent Règlement. Trois cycles consécutifs doivent être effectués conformément au paragraphe 3.1.3.4.3 de la présente annexe.</w:t>
      </w:r>
    </w:p>
    <w:p w:rsidR="00C76E16" w:rsidRPr="00A779B8" w:rsidRDefault="00C76E16" w:rsidP="00C76E16">
      <w:pPr>
        <w:pStyle w:val="SingleTxtG"/>
        <w:spacing w:after="100"/>
        <w:ind w:left="2268" w:hanging="1134"/>
        <w:rPr>
          <w:lang w:val="fr-FR"/>
        </w:rPr>
      </w:pPr>
      <w:r w:rsidRPr="00A779B8">
        <w:rPr>
          <w:lang w:val="fr-FR"/>
        </w:rPr>
        <w:t>3.1.3.1.2</w:t>
      </w:r>
      <w:r w:rsidRPr="00A779B8">
        <w:rPr>
          <w:lang w:val="fr-FR"/>
        </w:rPr>
        <w:tab/>
        <w:t>Les véhicules équipés d</w:t>
      </w:r>
      <w:r w:rsidR="00DB4C2D">
        <w:rPr>
          <w:lang w:val="fr-FR"/>
        </w:rPr>
        <w:t>’</w:t>
      </w:r>
      <w:r w:rsidRPr="00A779B8">
        <w:rPr>
          <w:lang w:val="fr-FR"/>
        </w:rPr>
        <w:t xml:space="preserve">un moteur à allumage commandé doivent être </w:t>
      </w:r>
      <w:proofErr w:type="spellStart"/>
      <w:r w:rsidRPr="00A779B8">
        <w:rPr>
          <w:lang w:val="fr-FR"/>
        </w:rPr>
        <w:t>préconditionnés</w:t>
      </w:r>
      <w:proofErr w:type="spellEnd"/>
      <w:r w:rsidRPr="00A779B8">
        <w:rPr>
          <w:lang w:val="fr-FR"/>
        </w:rPr>
        <w:t xml:space="preserve"> avec un cycle de la première partie et deux cycles de la seconde partie conformément au paragraphe 3.1.3.4.3 de la présente annexe.</w:t>
      </w:r>
    </w:p>
    <w:p w:rsidR="00C76E16" w:rsidRPr="00A779B8" w:rsidRDefault="00C76E16" w:rsidP="00C76E16">
      <w:pPr>
        <w:pStyle w:val="SingleTxtG"/>
        <w:keepNext/>
        <w:spacing w:after="100"/>
        <w:ind w:left="2268" w:hanging="1134"/>
        <w:rPr>
          <w:lang w:val="fr-FR"/>
        </w:rPr>
      </w:pPr>
      <w:r w:rsidRPr="00A779B8">
        <w:rPr>
          <w:lang w:val="fr-FR"/>
        </w:rPr>
        <w:t>3.1.3.2</w:t>
      </w:r>
      <w:r w:rsidRPr="00A779B8">
        <w:rPr>
          <w:lang w:val="fr-FR"/>
        </w:rPr>
        <w:tab/>
        <w:t>Il faut décharger le dispositif de stockage d</w:t>
      </w:r>
      <w:r w:rsidR="00DB4C2D">
        <w:rPr>
          <w:lang w:val="fr-FR"/>
        </w:rPr>
        <w:t>’</w:t>
      </w:r>
      <w:r w:rsidRPr="00A779B8">
        <w:rPr>
          <w:lang w:val="fr-FR"/>
        </w:rPr>
        <w:t>énergie du véhicule en le faisant rouler (sur la piste d</w:t>
      </w:r>
      <w:r w:rsidR="00DB4C2D">
        <w:rPr>
          <w:lang w:val="fr-FR"/>
        </w:rPr>
        <w:t>’</w:t>
      </w:r>
      <w:r w:rsidRPr="00A779B8">
        <w:rPr>
          <w:lang w:val="fr-FR"/>
        </w:rPr>
        <w:t>essai, au banc dynamométrique, etc.):</w:t>
      </w:r>
    </w:p>
    <w:p w:rsidR="00C76E16" w:rsidRPr="00A779B8" w:rsidRDefault="00C76E16" w:rsidP="00C76E16">
      <w:pPr>
        <w:pStyle w:val="SingleTxtG"/>
        <w:spacing w:after="100"/>
        <w:ind w:left="2835" w:hanging="567"/>
        <w:rPr>
          <w:lang w:val="fr-FR"/>
        </w:rPr>
      </w:pPr>
      <w:r w:rsidRPr="00A779B8">
        <w:rPr>
          <w:lang w:val="fr-FR"/>
        </w:rPr>
        <w:t>a)</w:t>
      </w:r>
      <w:r w:rsidRPr="00A779B8">
        <w:rPr>
          <w:lang w:val="fr-FR"/>
        </w:rPr>
        <w:tab/>
        <w:t>À une vitesse constante de 50 km/h jusqu</w:t>
      </w:r>
      <w:r w:rsidR="00DB4C2D">
        <w:rPr>
          <w:lang w:val="fr-FR"/>
        </w:rPr>
        <w:t>’</w:t>
      </w:r>
      <w:r w:rsidRPr="00A779B8">
        <w:rPr>
          <w:lang w:val="fr-FR"/>
        </w:rPr>
        <w:t>à ce que son moteur thermique démarre;</w:t>
      </w:r>
    </w:p>
    <w:p w:rsidR="00C76E16" w:rsidRPr="00A779B8" w:rsidRDefault="00C76E16" w:rsidP="00C76E16">
      <w:pPr>
        <w:pStyle w:val="SingleTxtG"/>
        <w:spacing w:after="100"/>
        <w:ind w:left="2835" w:hanging="567"/>
        <w:rPr>
          <w:lang w:val="fr-FR"/>
        </w:rPr>
      </w:pPr>
      <w:r w:rsidRPr="00A779B8">
        <w:rPr>
          <w:lang w:val="fr-FR"/>
        </w:rPr>
        <w:t>b)</w:t>
      </w:r>
      <w:r w:rsidRPr="00A779B8">
        <w:rPr>
          <w:lang w:val="fr-FR"/>
        </w:rPr>
        <w:tab/>
        <w:t>Ou, si le véhicule ne peut atteindre une vitesse constante de 50 km/h sans démarrage du moteur thermique, à une vitesse constante moindre pendant une durée définie ou sur une distance définie (à convenir entre le service technique et le fabricant), sans que le moteur thermique ne démarre;</w:t>
      </w:r>
    </w:p>
    <w:p w:rsidR="00C76E16" w:rsidRPr="00A779B8" w:rsidRDefault="00C76E16" w:rsidP="00C76E16">
      <w:pPr>
        <w:pStyle w:val="SingleTxtG"/>
        <w:spacing w:after="100"/>
        <w:ind w:left="2835" w:hanging="567"/>
        <w:rPr>
          <w:lang w:val="fr-FR"/>
        </w:rPr>
      </w:pPr>
      <w:r w:rsidRPr="00A779B8">
        <w:rPr>
          <w:lang w:val="fr-FR"/>
        </w:rPr>
        <w:t>c)</w:t>
      </w:r>
      <w:r w:rsidRPr="00A779B8">
        <w:rPr>
          <w:lang w:val="fr-FR"/>
        </w:rPr>
        <w:tab/>
        <w:t>Ou encore suivant les recommandations du constructeur.</w:t>
      </w:r>
    </w:p>
    <w:p w:rsidR="00C76E16" w:rsidRPr="00A779B8" w:rsidRDefault="00C76E16" w:rsidP="00C76E16">
      <w:pPr>
        <w:pStyle w:val="SingleTxtG"/>
        <w:spacing w:after="100"/>
        <w:ind w:left="2268"/>
        <w:rPr>
          <w:lang w:val="fr-FR"/>
        </w:rPr>
      </w:pPr>
      <w:r w:rsidRPr="00A779B8">
        <w:rPr>
          <w:lang w:val="fr-FR"/>
        </w:rPr>
        <w:tab/>
        <w:t>Le moteur thermique doit être arrêté dans les 10 s suivant son démarrage automatique.</w:t>
      </w:r>
    </w:p>
    <w:p w:rsidR="00C76E16" w:rsidRPr="00A779B8" w:rsidRDefault="00C76E16" w:rsidP="00C76E16">
      <w:pPr>
        <w:pStyle w:val="SingleTxtG"/>
        <w:spacing w:after="100"/>
        <w:ind w:left="2268" w:hanging="1134"/>
        <w:rPr>
          <w:lang w:val="fr-FR"/>
        </w:rPr>
      </w:pPr>
      <w:r w:rsidRPr="00A779B8">
        <w:rPr>
          <w:lang w:val="fr-FR"/>
        </w:rPr>
        <w:t>3.1.3.3</w:t>
      </w:r>
      <w:r w:rsidRPr="00A779B8">
        <w:rPr>
          <w:lang w:val="fr-FR"/>
        </w:rPr>
        <w:tab/>
        <w:t xml:space="preserve">Après ce </w:t>
      </w:r>
      <w:proofErr w:type="spellStart"/>
      <w:r w:rsidRPr="00A779B8">
        <w:rPr>
          <w:lang w:val="fr-FR"/>
        </w:rPr>
        <w:t>préconditionnement</w:t>
      </w:r>
      <w:proofErr w:type="spellEnd"/>
      <w:r w:rsidRPr="00A779B8">
        <w:rPr>
          <w:lang w:val="fr-FR"/>
        </w:rPr>
        <w:t>, et avant l</w:t>
      </w:r>
      <w:r w:rsidR="00DB4C2D">
        <w:rPr>
          <w:lang w:val="fr-FR"/>
        </w:rPr>
        <w:t>’</w:t>
      </w:r>
      <w:r w:rsidRPr="00A779B8">
        <w:rPr>
          <w:lang w:val="fr-FR"/>
        </w:rPr>
        <w:t>essai, le véhicule doit être maintenu dans un local dont la température demeure relativement constante entre 293 et 303 K (20 °C et 30 °C). Ce conditionnement doit être effectué pendant au moins 6 h et se poursuivre jusqu</w:t>
      </w:r>
      <w:r w:rsidR="00DB4C2D">
        <w:rPr>
          <w:lang w:val="fr-FR"/>
        </w:rPr>
        <w:t>’</w:t>
      </w:r>
      <w:r w:rsidRPr="00A779B8">
        <w:rPr>
          <w:lang w:val="fr-FR"/>
        </w:rPr>
        <w:t>à ce que la température de l</w:t>
      </w:r>
      <w:r w:rsidR="00DB4C2D">
        <w:rPr>
          <w:lang w:val="fr-FR"/>
        </w:rPr>
        <w:t>’</w:t>
      </w:r>
      <w:r w:rsidRPr="00A779B8">
        <w:rPr>
          <w:lang w:val="fr-FR"/>
        </w:rPr>
        <w:t xml:space="preserve">huile du moteur et du liquide de refroidissement, le cas échéant, soit égale à la température du local </w:t>
      </w:r>
      <w:r w:rsidRPr="00A779B8">
        <w:rPr>
          <w:lang w:val="fr-FR"/>
        </w:rPr>
        <w:sym w:font="Symbol" w:char="F0B1"/>
      </w:r>
      <w:r w:rsidRPr="00A779B8">
        <w:rPr>
          <w:lang w:val="fr-FR"/>
        </w:rPr>
        <w:t>2 K.</w:t>
      </w:r>
    </w:p>
    <w:p w:rsidR="00C76E16" w:rsidRPr="00A779B8" w:rsidRDefault="00C76E16" w:rsidP="00C76E16">
      <w:pPr>
        <w:pStyle w:val="SingleTxtG"/>
        <w:keepNext/>
        <w:spacing w:after="100"/>
        <w:ind w:left="2268" w:hanging="1134"/>
        <w:jc w:val="left"/>
        <w:rPr>
          <w:lang w:val="fr-FR"/>
        </w:rPr>
      </w:pPr>
      <w:r w:rsidRPr="00A779B8">
        <w:rPr>
          <w:lang w:val="fr-FR"/>
        </w:rPr>
        <w:t>3.1.3.4</w:t>
      </w:r>
      <w:r w:rsidRPr="00A779B8">
        <w:rPr>
          <w:lang w:val="fr-FR"/>
        </w:rPr>
        <w:tab/>
        <w:t>Mode opératoire</w:t>
      </w:r>
    </w:p>
    <w:p w:rsidR="00C76E16" w:rsidRPr="00A779B8" w:rsidRDefault="00C76E16" w:rsidP="00C76E16">
      <w:pPr>
        <w:pStyle w:val="SingleTxtG"/>
        <w:spacing w:after="100"/>
        <w:ind w:left="2268" w:hanging="1134"/>
        <w:rPr>
          <w:lang w:val="fr-FR"/>
        </w:rPr>
      </w:pPr>
      <w:r w:rsidRPr="00A779B8">
        <w:rPr>
          <w:lang w:val="fr-FR"/>
        </w:rPr>
        <w:t>3.1.3.4.1</w:t>
      </w:r>
      <w:r w:rsidRPr="00A779B8">
        <w:rPr>
          <w:lang w:val="fr-FR"/>
        </w:rPr>
        <w:tab/>
        <w:t>On doit faire démarrer le véhicule en utilisant les moyens normalement mis à la disposition du conducteur. Le premier cycle commence par le début de l</w:t>
      </w:r>
      <w:r w:rsidR="00DB4C2D">
        <w:rPr>
          <w:lang w:val="fr-FR"/>
        </w:rPr>
        <w:t>’</w:t>
      </w:r>
      <w:r w:rsidRPr="00A779B8">
        <w:rPr>
          <w:lang w:val="fr-FR"/>
        </w:rPr>
        <w:t>opération de démarrage du véhicule.</w:t>
      </w:r>
    </w:p>
    <w:p w:rsidR="00C76E16" w:rsidRPr="00A779B8" w:rsidRDefault="00C76E16" w:rsidP="00C76E16">
      <w:pPr>
        <w:pStyle w:val="SingleTxtG"/>
        <w:spacing w:after="100"/>
        <w:ind w:left="2268" w:hanging="1134"/>
        <w:rPr>
          <w:lang w:val="fr-FR"/>
        </w:rPr>
      </w:pPr>
      <w:r w:rsidRPr="00A779B8">
        <w:rPr>
          <w:lang w:val="fr-FR"/>
        </w:rPr>
        <w:lastRenderedPageBreak/>
        <w:t>3.1.3.4.2</w:t>
      </w:r>
      <w:r w:rsidRPr="00A779B8">
        <w:rPr>
          <w:lang w:val="fr-FR"/>
        </w:rPr>
        <w:tab/>
        <w:t>Le prélèvement doit commencer avant ou au début de l</w:t>
      </w:r>
      <w:r w:rsidR="00DB4C2D">
        <w:rPr>
          <w:lang w:val="fr-FR"/>
        </w:rPr>
        <w:t>’</w:t>
      </w:r>
      <w:r w:rsidRPr="00A779B8">
        <w:rPr>
          <w:lang w:val="fr-FR"/>
        </w:rPr>
        <w:t>opération de démarrage du véhicule et s</w:t>
      </w:r>
      <w:r w:rsidR="00DB4C2D">
        <w:rPr>
          <w:lang w:val="fr-FR"/>
        </w:rPr>
        <w:t>’</w:t>
      </w:r>
      <w:r w:rsidRPr="00A779B8">
        <w:rPr>
          <w:lang w:val="fr-FR"/>
        </w:rPr>
        <w:t>achever à la fin de la période finale de ralenti dans le cycle de conduite extra-urbain (partie Deux, fin du prélèvement).</w:t>
      </w:r>
    </w:p>
    <w:p w:rsidR="00C76E16" w:rsidRPr="00A779B8" w:rsidRDefault="00C76E16" w:rsidP="00C76E16">
      <w:pPr>
        <w:pStyle w:val="SingleTxtG"/>
        <w:spacing w:after="100"/>
        <w:ind w:left="2268" w:hanging="1134"/>
        <w:rPr>
          <w:lang w:val="fr-FR"/>
        </w:rPr>
      </w:pPr>
      <w:r w:rsidRPr="00A779B8">
        <w:rPr>
          <w:lang w:val="fr-FR"/>
        </w:rPr>
        <w:t>3.1.3.4.3</w:t>
      </w:r>
      <w:r w:rsidRPr="00A779B8">
        <w:rPr>
          <w:lang w:val="fr-FR"/>
        </w:rPr>
        <w:tab/>
        <w:t>Le véhicule doit être conduit conformément à l</w:t>
      </w:r>
      <w:r w:rsidR="00DB4C2D">
        <w:rPr>
          <w:lang w:val="fr-FR"/>
        </w:rPr>
        <w:t>’</w:t>
      </w:r>
      <w:r w:rsidRPr="00A779B8">
        <w:rPr>
          <w:lang w:val="fr-FR"/>
        </w:rPr>
        <w:t>annexe 4a du présent Règlement ou, en cas d</w:t>
      </w:r>
      <w:r w:rsidR="00DB4C2D">
        <w:rPr>
          <w:lang w:val="fr-FR"/>
        </w:rPr>
        <w:t>’</w:t>
      </w:r>
      <w:r w:rsidRPr="00A779B8">
        <w:rPr>
          <w:lang w:val="fr-FR"/>
        </w:rPr>
        <w:t>instructions particulières du constructeur concernant le passage des rapports, conformément à ces instructions qui figurent dans le manuel d</w:t>
      </w:r>
      <w:r w:rsidR="00DB4C2D">
        <w:rPr>
          <w:lang w:val="fr-FR"/>
        </w:rPr>
        <w:t>’</w:t>
      </w:r>
      <w:r w:rsidRPr="00A779B8">
        <w:rPr>
          <w:lang w:val="fr-FR"/>
        </w:rPr>
        <w:t>entretien du véhicule et qui sont indiquées sur le tableau de bord (pour l</w:t>
      </w:r>
      <w:r w:rsidR="00DB4C2D">
        <w:rPr>
          <w:lang w:val="fr-FR"/>
        </w:rPr>
        <w:t>’</w:t>
      </w:r>
      <w:r w:rsidRPr="00A779B8">
        <w:rPr>
          <w:lang w:val="fr-FR"/>
        </w:rPr>
        <w:t>information du conducteur). Pour ce type de véhicules, les points de changement de vitesse prescrits dans l</w:t>
      </w:r>
      <w:r w:rsidR="00DB4C2D">
        <w:rPr>
          <w:lang w:val="fr-FR"/>
        </w:rPr>
        <w:t>’</w:t>
      </w:r>
      <w:r w:rsidRPr="00A779B8">
        <w:rPr>
          <w:lang w:val="fr-FR"/>
        </w:rPr>
        <w:t>annexe 4a du présent Règlement ne s</w:t>
      </w:r>
      <w:r w:rsidR="00DB4C2D">
        <w:rPr>
          <w:lang w:val="fr-FR"/>
        </w:rPr>
        <w:t>’</w:t>
      </w:r>
      <w:r w:rsidRPr="00A779B8">
        <w:rPr>
          <w:lang w:val="fr-FR"/>
        </w:rPr>
        <w:t>appliquent pas. Pour le profil de la courbe de fonctionnement, on doit appliquer la description figurant au paragraphe 6.1.3 de l</w:t>
      </w:r>
      <w:r w:rsidR="00DB4C2D">
        <w:rPr>
          <w:lang w:val="fr-FR"/>
        </w:rPr>
        <w:t>’</w:t>
      </w:r>
      <w:r w:rsidRPr="00A779B8">
        <w:rPr>
          <w:lang w:val="fr-FR"/>
        </w:rPr>
        <w:t>annexe 4a du présent Règlement.</w:t>
      </w:r>
    </w:p>
    <w:p w:rsidR="00C76E16" w:rsidRPr="00A779B8" w:rsidRDefault="00C76E16" w:rsidP="00C76E16">
      <w:pPr>
        <w:pStyle w:val="SingleTxtG"/>
        <w:ind w:left="2268" w:hanging="1134"/>
        <w:rPr>
          <w:lang w:val="fr-FR"/>
        </w:rPr>
      </w:pPr>
      <w:r w:rsidRPr="00A779B8">
        <w:rPr>
          <w:lang w:val="fr-FR"/>
        </w:rPr>
        <w:t>3.1.3.4.4</w:t>
      </w:r>
      <w:r w:rsidRPr="00A779B8">
        <w:rPr>
          <w:lang w:val="fr-FR"/>
        </w:rPr>
        <w:tab/>
        <w:t>Les gaz d</w:t>
      </w:r>
      <w:r w:rsidR="00DB4C2D">
        <w:rPr>
          <w:lang w:val="fr-FR"/>
        </w:rPr>
        <w:t>’</w:t>
      </w:r>
      <w:r w:rsidRPr="00A779B8">
        <w:rPr>
          <w:lang w:val="fr-FR"/>
        </w:rPr>
        <w:t>échappement sont analysés conformément aux dispositions de l</w:t>
      </w:r>
      <w:r w:rsidR="00DB4C2D">
        <w:rPr>
          <w:lang w:val="fr-FR"/>
        </w:rPr>
        <w:t>’</w:t>
      </w:r>
      <w:r w:rsidRPr="00A779B8">
        <w:rPr>
          <w:lang w:val="fr-FR"/>
        </w:rPr>
        <w:t>annexe 4a du présent Règlement.</w:t>
      </w:r>
    </w:p>
    <w:p w:rsidR="00C76E16" w:rsidRPr="00A779B8" w:rsidRDefault="00C76E16" w:rsidP="00C76E16">
      <w:pPr>
        <w:pStyle w:val="SingleTxtG"/>
        <w:ind w:left="2268" w:hanging="1134"/>
        <w:rPr>
          <w:lang w:val="fr-FR"/>
        </w:rPr>
      </w:pPr>
      <w:r w:rsidRPr="00A779B8">
        <w:rPr>
          <w:lang w:val="fr-FR"/>
        </w:rPr>
        <w:t>3.1.3.5</w:t>
      </w:r>
      <w:r w:rsidRPr="00A779B8">
        <w:rPr>
          <w:lang w:val="fr-FR"/>
        </w:rPr>
        <w:tab/>
        <w:t>Les résultats d</w:t>
      </w:r>
      <w:r w:rsidR="00DB4C2D">
        <w:rPr>
          <w:lang w:val="fr-FR"/>
        </w:rPr>
        <w:t>’</w:t>
      </w:r>
      <w:r w:rsidRPr="00A779B8">
        <w:rPr>
          <w:lang w:val="fr-FR"/>
        </w:rPr>
        <w:t>essai doivent être comparés aux limites prescrites au paragraphe 5.3.1.4 du présent Règlement et les émissions moyennes de chaque polluant selon la condition B doivent être calculées (M</w:t>
      </w:r>
      <w:r w:rsidRPr="00A779B8">
        <w:rPr>
          <w:vertAlign w:val="subscript"/>
          <w:lang w:val="fr-FR"/>
        </w:rPr>
        <w:t>2i</w:t>
      </w:r>
      <w:r w:rsidRPr="00A779B8">
        <w:rPr>
          <w:lang w:val="fr-FR"/>
        </w:rPr>
        <w:t>). Les résultats d</w:t>
      </w:r>
      <w:r w:rsidR="00DB4C2D">
        <w:rPr>
          <w:lang w:val="fr-FR"/>
        </w:rPr>
        <w:t>’</w:t>
      </w:r>
      <w:r w:rsidRPr="00A779B8">
        <w:rPr>
          <w:lang w:val="fr-FR"/>
        </w:rPr>
        <w:t>essai M</w:t>
      </w:r>
      <w:r w:rsidRPr="00A779B8">
        <w:rPr>
          <w:vertAlign w:val="subscript"/>
          <w:lang w:val="fr-FR"/>
        </w:rPr>
        <w:t>2i</w:t>
      </w:r>
      <w:r w:rsidRPr="00A779B8">
        <w:rPr>
          <w:lang w:val="fr-FR"/>
        </w:rPr>
        <w:t>, multipliés par les facteurs appropriés de détérioration et les facteurs K</w:t>
      </w:r>
      <w:r w:rsidRPr="00A779B8">
        <w:rPr>
          <w:vertAlign w:val="subscript"/>
          <w:lang w:val="fr-FR"/>
        </w:rPr>
        <w:t>i</w:t>
      </w:r>
      <w:r w:rsidRPr="00A779B8">
        <w:rPr>
          <w:lang w:val="fr-FR"/>
        </w:rPr>
        <w:t>, doivent être inférieurs aux limites prescrites dans le paragraphe 5.3.1.4 du présent Règlement.</w:t>
      </w:r>
    </w:p>
    <w:p w:rsidR="00C76E16" w:rsidRPr="00A779B8" w:rsidRDefault="00C76E16" w:rsidP="00C76E16">
      <w:pPr>
        <w:pStyle w:val="SingleTxtG"/>
        <w:keepNext/>
        <w:ind w:left="2268" w:hanging="1134"/>
        <w:jc w:val="left"/>
        <w:rPr>
          <w:lang w:val="fr-FR"/>
        </w:rPr>
      </w:pPr>
      <w:r w:rsidRPr="00A779B8">
        <w:rPr>
          <w:lang w:val="fr-FR"/>
        </w:rPr>
        <w:t>3.1.4</w:t>
      </w:r>
      <w:r w:rsidRPr="00A779B8">
        <w:rPr>
          <w:lang w:val="fr-FR"/>
        </w:rPr>
        <w:tab/>
        <w:t>Résultats d</w:t>
      </w:r>
      <w:r w:rsidR="00DB4C2D">
        <w:rPr>
          <w:lang w:val="fr-FR"/>
        </w:rPr>
        <w:t>’</w:t>
      </w:r>
      <w:r w:rsidRPr="00A779B8">
        <w:rPr>
          <w:lang w:val="fr-FR"/>
        </w:rPr>
        <w:t>essai</w:t>
      </w:r>
    </w:p>
    <w:p w:rsidR="00C76E16" w:rsidRPr="00A779B8" w:rsidRDefault="00C76E16" w:rsidP="00C76E16">
      <w:pPr>
        <w:pStyle w:val="SingleTxtG"/>
        <w:keepNext/>
        <w:ind w:left="2268" w:hanging="1134"/>
        <w:rPr>
          <w:lang w:val="fr-FR"/>
        </w:rPr>
      </w:pPr>
      <w:r w:rsidRPr="00A779B8">
        <w:rPr>
          <w:lang w:val="fr-FR"/>
        </w:rPr>
        <w:t>3.1.4.1</w:t>
      </w:r>
      <w:r w:rsidRPr="00A779B8">
        <w:rPr>
          <w:lang w:val="fr-FR"/>
        </w:rPr>
        <w:tab/>
        <w:t>En cas d</w:t>
      </w:r>
      <w:r w:rsidR="00DB4C2D">
        <w:rPr>
          <w:lang w:val="fr-FR"/>
        </w:rPr>
        <w:t>’</w:t>
      </w:r>
      <w:r w:rsidRPr="00A779B8">
        <w:rPr>
          <w:lang w:val="fr-FR"/>
        </w:rPr>
        <w:t>essai effectué conformément au paragraphe 3.1.2.5.2.1 de la présente annexe.</w:t>
      </w:r>
    </w:p>
    <w:p w:rsidR="00C76E16" w:rsidRPr="00A779B8" w:rsidRDefault="00C76E16" w:rsidP="00C76E16">
      <w:pPr>
        <w:pStyle w:val="SingleTxtG"/>
        <w:keepNext/>
        <w:ind w:left="2268"/>
        <w:rPr>
          <w:lang w:val="fr-FR"/>
        </w:rPr>
      </w:pPr>
      <w:r w:rsidRPr="00A779B8">
        <w:rPr>
          <w:lang w:val="fr-FR"/>
        </w:rPr>
        <w:tab/>
        <w:t>En vue d</w:t>
      </w:r>
      <w:r w:rsidR="00DB4C2D">
        <w:rPr>
          <w:lang w:val="fr-FR"/>
        </w:rPr>
        <w:t>’</w:t>
      </w:r>
      <w:r w:rsidRPr="00A779B8">
        <w:rPr>
          <w:lang w:val="fr-FR"/>
        </w:rPr>
        <w:t>être communiquées, les valeurs pondérées doivent être calculées selon la formule suivante:</w:t>
      </w:r>
    </w:p>
    <w:p w:rsidR="00C76E16" w:rsidRPr="00A779B8" w:rsidRDefault="00C76E16" w:rsidP="00C76E16">
      <w:pPr>
        <w:pStyle w:val="SingleTxtG"/>
        <w:ind w:left="2268"/>
        <w:rPr>
          <w:lang w:val="fr-FR"/>
        </w:rPr>
      </w:pPr>
      <w:r w:rsidRPr="00A779B8">
        <w:rPr>
          <w:lang w:val="fr-FR"/>
        </w:rPr>
        <w:tab/>
        <w:t>M</w:t>
      </w:r>
      <w:r w:rsidRPr="00A779B8">
        <w:rPr>
          <w:vertAlign w:val="subscript"/>
          <w:lang w:val="fr-FR"/>
        </w:rPr>
        <w:t>i</w:t>
      </w:r>
      <w:r w:rsidRPr="00A779B8">
        <w:rPr>
          <w:lang w:val="fr-FR"/>
        </w:rPr>
        <w:t> = (D</w:t>
      </w:r>
      <w:r w:rsidRPr="002B4DBA">
        <w:rPr>
          <w:lang w:val="fr-FR"/>
        </w:rPr>
        <w:t>e</w:t>
      </w:r>
      <w:r w:rsidRPr="00A779B8">
        <w:rPr>
          <w:lang w:val="fr-FR"/>
        </w:rPr>
        <w:t> ∙ M</w:t>
      </w:r>
      <w:r w:rsidRPr="00A779B8">
        <w:rPr>
          <w:vertAlign w:val="subscript"/>
          <w:lang w:val="fr-FR"/>
        </w:rPr>
        <w:t>1i</w:t>
      </w:r>
      <w:r w:rsidRPr="00A779B8">
        <w:rPr>
          <w:lang w:val="fr-FR"/>
        </w:rPr>
        <w:t> + </w:t>
      </w:r>
      <w:proofErr w:type="spellStart"/>
      <w:r w:rsidRPr="00A779B8">
        <w:rPr>
          <w:lang w:val="fr-FR"/>
        </w:rPr>
        <w:t>D</w:t>
      </w:r>
      <w:r w:rsidRPr="002B4DBA">
        <w:rPr>
          <w:lang w:val="fr-FR"/>
        </w:rPr>
        <w:t>av</w:t>
      </w:r>
      <w:proofErr w:type="spellEnd"/>
      <w:r w:rsidRPr="00A779B8">
        <w:rPr>
          <w:lang w:val="fr-FR"/>
        </w:rPr>
        <w:t> ∙ M</w:t>
      </w:r>
      <w:r w:rsidRPr="00A779B8">
        <w:rPr>
          <w:vertAlign w:val="subscript"/>
          <w:lang w:val="fr-FR"/>
        </w:rPr>
        <w:t>2i</w:t>
      </w:r>
      <w:r w:rsidRPr="00A779B8">
        <w:rPr>
          <w:lang w:val="fr-FR"/>
        </w:rPr>
        <w:t>)/(D</w:t>
      </w:r>
      <w:r w:rsidRPr="002B4DBA">
        <w:rPr>
          <w:lang w:val="fr-FR"/>
        </w:rPr>
        <w:t>e</w:t>
      </w:r>
      <w:r w:rsidRPr="00A779B8">
        <w:rPr>
          <w:lang w:val="fr-FR"/>
        </w:rPr>
        <w:t> + </w:t>
      </w:r>
      <w:proofErr w:type="spellStart"/>
      <w:r w:rsidRPr="00A779B8">
        <w:rPr>
          <w:lang w:val="fr-FR"/>
        </w:rPr>
        <w:t>D</w:t>
      </w:r>
      <w:r w:rsidRPr="002B4DBA">
        <w:rPr>
          <w:lang w:val="fr-FR"/>
        </w:rPr>
        <w:t>av</w:t>
      </w:r>
      <w:proofErr w:type="spellEnd"/>
      <w:r w:rsidRPr="00A779B8">
        <w:rPr>
          <w:lang w:val="fr-FR"/>
        </w:rPr>
        <w:t>)</w:t>
      </w:r>
    </w:p>
    <w:p w:rsidR="00C76E16" w:rsidRPr="00A779B8" w:rsidRDefault="00C76E16" w:rsidP="00C76E16">
      <w:pPr>
        <w:pStyle w:val="SingleTxtG"/>
        <w:keepNex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8"/>
        <w:gridCol w:w="5345"/>
      </w:tblGrid>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M</w:t>
            </w:r>
            <w:r w:rsidRPr="007E29C4">
              <w:rPr>
                <w:vertAlign w:val="subscript"/>
                <w:lang w:val="fr-FR"/>
              </w:rPr>
              <w:t>i</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2" w:type="dxa"/>
            <w:shd w:val="clear" w:color="auto" w:fill="auto"/>
          </w:tcPr>
          <w:p w:rsidR="00C76E16" w:rsidRPr="007E29C4" w:rsidRDefault="00C76E16" w:rsidP="00DB4C2D">
            <w:pPr>
              <w:spacing w:after="120"/>
              <w:rPr>
                <w:lang w:val="fr-FR"/>
              </w:rPr>
            </w:pPr>
            <w:r w:rsidRPr="007E29C4">
              <w:rPr>
                <w:lang w:val="fr-FR"/>
              </w:rPr>
              <w:t>émission massique du polluant i en grammes par kilomètre,</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M</w:t>
            </w:r>
            <w:r w:rsidRPr="007E29C4">
              <w:rPr>
                <w:vertAlign w:val="subscript"/>
                <w:lang w:val="fr-FR"/>
              </w:rPr>
              <w:t>1i</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2" w:type="dxa"/>
            <w:shd w:val="clear" w:color="auto" w:fill="auto"/>
          </w:tcPr>
          <w:p w:rsidR="00C76E16" w:rsidRPr="007E29C4" w:rsidRDefault="00C76E16" w:rsidP="002B4DBA">
            <w:pPr>
              <w:spacing w:after="120"/>
              <w:jc w:val="both"/>
              <w:rPr>
                <w:lang w:val="fr-FR"/>
              </w:rPr>
            </w:pPr>
            <w:r w:rsidRPr="007E29C4">
              <w:rPr>
                <w:lang w:val="fr-FR"/>
              </w:rPr>
              <w:t>émission massique moyenne du polluant i en grammes par kilomètre avec un dispositif de stockage d</w:t>
            </w:r>
            <w:r w:rsidR="00DB4C2D">
              <w:rPr>
                <w:lang w:val="fr-FR"/>
              </w:rPr>
              <w:t>’</w:t>
            </w:r>
            <w:r w:rsidRPr="007E29C4">
              <w:rPr>
                <w:lang w:val="fr-FR"/>
              </w:rPr>
              <w:t xml:space="preserve">énergie </w:t>
            </w:r>
            <w:proofErr w:type="spellStart"/>
            <w:r w:rsidRPr="007E29C4">
              <w:rPr>
                <w:lang w:val="fr-FR"/>
              </w:rPr>
              <w:t>complètement</w:t>
            </w:r>
            <w:proofErr w:type="spellEnd"/>
            <w:r w:rsidRPr="007E29C4">
              <w:rPr>
                <w:lang w:val="fr-FR"/>
              </w:rPr>
              <w:t xml:space="preserve"> chargé, calculée selon le paragraphe 3.1.2.5.5 de la présente annexe,</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M</w:t>
            </w:r>
            <w:r w:rsidRPr="007E29C4">
              <w:rPr>
                <w:vertAlign w:val="subscript"/>
                <w:lang w:val="fr-FR"/>
              </w:rPr>
              <w:t>2i</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2" w:type="dxa"/>
            <w:shd w:val="clear" w:color="auto" w:fill="auto"/>
          </w:tcPr>
          <w:p w:rsidR="00C76E16" w:rsidRPr="007E29C4" w:rsidRDefault="00C76E16" w:rsidP="002B4DBA">
            <w:pPr>
              <w:spacing w:after="120"/>
              <w:jc w:val="both"/>
              <w:rPr>
                <w:lang w:val="fr-FR"/>
              </w:rPr>
            </w:pPr>
            <w:r w:rsidRPr="007E29C4">
              <w:rPr>
                <w:lang w:val="fr-FR"/>
              </w:rPr>
              <w:t>émission massique moyenne du polluant i en grammes par kilomètre avec un dispositif de stockage d</w:t>
            </w:r>
            <w:r w:rsidR="00DB4C2D">
              <w:rPr>
                <w:lang w:val="fr-FR"/>
              </w:rPr>
              <w:t>’</w:t>
            </w:r>
            <w:r w:rsidRPr="007E29C4">
              <w:rPr>
                <w:lang w:val="fr-FR"/>
              </w:rPr>
              <w:t>énergie au niveau de charge minimal (décharge maximale de la capacité), calculée selon le paragraphe 3.1.3.5 de la présente annexe,</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De</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2" w:type="dxa"/>
            <w:shd w:val="clear" w:color="auto" w:fill="auto"/>
          </w:tcPr>
          <w:p w:rsidR="00C76E16" w:rsidRPr="007E29C4" w:rsidRDefault="00C76E16" w:rsidP="002B4DBA">
            <w:pPr>
              <w:spacing w:after="120"/>
              <w:jc w:val="both"/>
              <w:rPr>
                <w:lang w:val="fr-FR"/>
              </w:rPr>
            </w:pPr>
            <w:r w:rsidRPr="007E29C4">
              <w:rPr>
                <w:lang w:val="fr-FR"/>
              </w:rPr>
              <w:t>autonomie du véhicule électrique, selon le mode opératoire décrit dans l</w:t>
            </w:r>
            <w:r w:rsidR="00DB4C2D">
              <w:rPr>
                <w:lang w:val="fr-FR"/>
              </w:rPr>
              <w:t>’</w:t>
            </w:r>
            <w:r w:rsidRPr="007E29C4">
              <w:rPr>
                <w:lang w:val="fr-FR"/>
              </w:rPr>
              <w:t xml:space="preserve">annexe 9 du Règlement </w:t>
            </w:r>
            <w:r w:rsidRPr="007E29C4">
              <w:rPr>
                <w:rFonts w:eastAsia="MS Mincho"/>
                <w:lang w:val="fr-FR"/>
              </w:rPr>
              <w:t>n</w:t>
            </w:r>
            <w:r w:rsidRPr="007E29C4">
              <w:rPr>
                <w:rFonts w:eastAsia="MS Mincho"/>
                <w:vertAlign w:val="superscript"/>
                <w:lang w:val="fr-FR"/>
              </w:rPr>
              <w:t>o</w:t>
            </w:r>
            <w:r w:rsidRPr="007E29C4">
              <w:rPr>
                <w:lang w:val="fr-FR"/>
              </w:rPr>
              <w:t> 101, pour lequel le constructeur doit fournir les moyens nécessaires pour effectuer la mesure sur le véhicule fonctionnant en mode électrique pur,</w:t>
            </w:r>
          </w:p>
        </w:tc>
      </w:tr>
      <w:tr w:rsidR="00C76E16" w:rsidRPr="007E29C4" w:rsidTr="00DB4C2D">
        <w:tc>
          <w:tcPr>
            <w:tcW w:w="567" w:type="dxa"/>
            <w:shd w:val="clear" w:color="auto" w:fill="auto"/>
          </w:tcPr>
          <w:p w:rsidR="00C76E16" w:rsidRPr="007E29C4" w:rsidRDefault="00C76E16" w:rsidP="00DB4C2D">
            <w:pPr>
              <w:spacing w:after="120"/>
              <w:rPr>
                <w:lang w:val="fr-FR"/>
              </w:rPr>
            </w:pPr>
            <w:proofErr w:type="spellStart"/>
            <w:r w:rsidRPr="007E29C4">
              <w:rPr>
                <w:lang w:val="fr-FR"/>
              </w:rPr>
              <w:t>Dav</w:t>
            </w:r>
            <w:proofErr w:type="spellEnd"/>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2" w:type="dxa"/>
            <w:shd w:val="clear" w:color="auto" w:fill="auto"/>
          </w:tcPr>
          <w:p w:rsidR="00C76E16" w:rsidRPr="007E29C4" w:rsidRDefault="00C76E16" w:rsidP="002B4DBA">
            <w:pPr>
              <w:spacing w:after="120"/>
              <w:jc w:val="both"/>
              <w:rPr>
                <w:lang w:val="fr-FR"/>
              </w:rPr>
            </w:pPr>
            <w:r w:rsidRPr="007E29C4">
              <w:rPr>
                <w:lang w:val="fr-FR"/>
              </w:rPr>
              <w:t xml:space="preserve">25 km (distance moyenne parcourue entre deux recharges </w:t>
            </w:r>
            <w:r w:rsidRPr="007E29C4">
              <w:rPr>
                <w:lang w:val="fr-FR"/>
              </w:rPr>
              <w:br/>
              <w:t>de la batterie).</w:t>
            </w:r>
          </w:p>
        </w:tc>
      </w:tr>
    </w:tbl>
    <w:p w:rsidR="00C76E16" w:rsidRPr="00A779B8" w:rsidRDefault="00C76E16" w:rsidP="00C76E16">
      <w:pPr>
        <w:pStyle w:val="SingleTxtG"/>
        <w:spacing w:before="120" w:after="100"/>
        <w:ind w:left="2268" w:hanging="1134"/>
        <w:rPr>
          <w:lang w:val="fr-FR"/>
        </w:rPr>
      </w:pPr>
      <w:r w:rsidRPr="00A779B8">
        <w:rPr>
          <w:lang w:val="fr-FR"/>
        </w:rPr>
        <w:t>3.1.4.2</w:t>
      </w:r>
      <w:r w:rsidRPr="00A779B8">
        <w:rPr>
          <w:lang w:val="fr-FR"/>
        </w:rPr>
        <w:tab/>
        <w:t>En cas d</w:t>
      </w:r>
      <w:r w:rsidR="00DB4C2D">
        <w:rPr>
          <w:lang w:val="fr-FR"/>
        </w:rPr>
        <w:t>’</w:t>
      </w:r>
      <w:r w:rsidRPr="00A779B8">
        <w:rPr>
          <w:lang w:val="fr-FR"/>
        </w:rPr>
        <w:t>essai effectué conformément au paragraphe 3.1.2.5.2.2 de la présente annexe.</w:t>
      </w:r>
    </w:p>
    <w:p w:rsidR="00C76E16" w:rsidRPr="00A779B8" w:rsidRDefault="00C76E16" w:rsidP="00C76E16">
      <w:pPr>
        <w:pStyle w:val="SingleTxtG"/>
        <w:keepNext/>
        <w:spacing w:after="100" w:line="220" w:lineRule="atLeast"/>
        <w:ind w:left="2268"/>
        <w:rPr>
          <w:lang w:val="fr-FR"/>
        </w:rPr>
      </w:pPr>
      <w:r w:rsidRPr="00A779B8">
        <w:rPr>
          <w:lang w:val="fr-FR"/>
        </w:rPr>
        <w:lastRenderedPageBreak/>
        <w:tab/>
        <w:t>En vue d</w:t>
      </w:r>
      <w:r w:rsidR="00DB4C2D">
        <w:rPr>
          <w:lang w:val="fr-FR"/>
        </w:rPr>
        <w:t>’</w:t>
      </w:r>
      <w:r w:rsidRPr="00A779B8">
        <w:rPr>
          <w:lang w:val="fr-FR"/>
        </w:rPr>
        <w:t xml:space="preserve">être communiquées, les valeurs pondérées doivent être calculées selon la formule suivante: </w:t>
      </w:r>
    </w:p>
    <w:p w:rsidR="00C76E16" w:rsidRPr="00A779B8" w:rsidRDefault="00C76E16" w:rsidP="00C76E16">
      <w:pPr>
        <w:pStyle w:val="SingleTxtG"/>
        <w:spacing w:after="100"/>
        <w:ind w:left="2268"/>
        <w:rPr>
          <w:lang w:val="en-GB"/>
        </w:rPr>
      </w:pPr>
      <w:r w:rsidRPr="00A779B8">
        <w:rPr>
          <w:lang w:val="fr-FR"/>
        </w:rPr>
        <w:tab/>
      </w:r>
      <w:proofErr w:type="spellStart"/>
      <w:r w:rsidRPr="00A779B8">
        <w:rPr>
          <w:lang w:val="en-GB"/>
        </w:rPr>
        <w:t>M</w:t>
      </w:r>
      <w:r w:rsidRPr="00A779B8">
        <w:rPr>
          <w:vertAlign w:val="subscript"/>
          <w:lang w:val="en-GB"/>
        </w:rPr>
        <w:t>i</w:t>
      </w:r>
      <w:proofErr w:type="spellEnd"/>
      <w:r w:rsidRPr="00A779B8">
        <w:rPr>
          <w:lang w:val="en-GB"/>
        </w:rPr>
        <w:t> = (</w:t>
      </w:r>
      <w:proofErr w:type="spellStart"/>
      <w:r w:rsidRPr="00A779B8">
        <w:rPr>
          <w:lang w:val="en-GB"/>
        </w:rPr>
        <w:t>D</w:t>
      </w:r>
      <w:r w:rsidRPr="002B4DBA">
        <w:rPr>
          <w:lang w:val="en-GB"/>
        </w:rPr>
        <w:t>ovc</w:t>
      </w:r>
      <w:proofErr w:type="spellEnd"/>
      <w:r w:rsidRPr="00A779B8">
        <w:rPr>
          <w:lang w:val="en-GB"/>
        </w:rPr>
        <w:t> ∙ M</w:t>
      </w:r>
      <w:r w:rsidRPr="00A779B8">
        <w:rPr>
          <w:vertAlign w:val="subscript"/>
          <w:lang w:val="en-GB"/>
        </w:rPr>
        <w:t>1i</w:t>
      </w:r>
      <w:r w:rsidRPr="00A779B8">
        <w:rPr>
          <w:position w:val="-10"/>
          <w:vertAlign w:val="subscript"/>
          <w:lang w:val="en-GB"/>
        </w:rPr>
        <w:t xml:space="preserve"> </w:t>
      </w:r>
      <w:r w:rsidRPr="00A779B8">
        <w:rPr>
          <w:lang w:val="en-GB"/>
        </w:rPr>
        <w:t xml:space="preserve">+ </w:t>
      </w:r>
      <w:proofErr w:type="spellStart"/>
      <w:r w:rsidRPr="00A779B8">
        <w:rPr>
          <w:lang w:val="en-GB"/>
        </w:rPr>
        <w:t>D</w:t>
      </w:r>
      <w:r w:rsidRPr="002B4DBA">
        <w:rPr>
          <w:lang w:val="en-GB"/>
        </w:rPr>
        <w:t>av</w:t>
      </w:r>
      <w:proofErr w:type="spellEnd"/>
      <w:r w:rsidRPr="00A779B8">
        <w:rPr>
          <w:lang w:val="en-GB"/>
        </w:rPr>
        <w:t> ∙ M</w:t>
      </w:r>
      <w:r w:rsidRPr="00A779B8">
        <w:rPr>
          <w:vertAlign w:val="subscript"/>
          <w:lang w:val="en-GB"/>
        </w:rPr>
        <w:t>2i</w:t>
      </w:r>
      <w:r w:rsidRPr="00A779B8">
        <w:rPr>
          <w:lang w:val="en-GB"/>
        </w:rPr>
        <w:t>)/(</w:t>
      </w:r>
      <w:proofErr w:type="spellStart"/>
      <w:r w:rsidRPr="00A779B8">
        <w:rPr>
          <w:lang w:val="en-GB"/>
        </w:rPr>
        <w:t>D</w:t>
      </w:r>
      <w:r w:rsidRPr="002B4DBA">
        <w:rPr>
          <w:lang w:val="en-GB"/>
        </w:rPr>
        <w:t>ovc</w:t>
      </w:r>
      <w:proofErr w:type="spellEnd"/>
      <w:r w:rsidRPr="00A779B8">
        <w:rPr>
          <w:lang w:val="en-GB"/>
        </w:rPr>
        <w:t> + </w:t>
      </w:r>
      <w:proofErr w:type="spellStart"/>
      <w:r w:rsidRPr="00A779B8">
        <w:rPr>
          <w:lang w:val="en-GB"/>
        </w:rPr>
        <w:t>D</w:t>
      </w:r>
      <w:r w:rsidRPr="002B4DBA">
        <w:rPr>
          <w:lang w:val="en-GB"/>
        </w:rPr>
        <w:t>av</w:t>
      </w:r>
      <w:proofErr w:type="spellEnd"/>
      <w:r w:rsidRPr="00A779B8">
        <w:rPr>
          <w:lang w:val="en-GB"/>
        </w:rPr>
        <w:t>)</w:t>
      </w:r>
    </w:p>
    <w:p w:rsidR="00C76E16" w:rsidRPr="00A779B8" w:rsidRDefault="00C76E16" w:rsidP="00C76E16">
      <w:pPr>
        <w:pStyle w:val="SingleTxtG"/>
        <w:keepNext/>
        <w:spacing w:after="100"/>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8"/>
        <w:gridCol w:w="5345"/>
      </w:tblGrid>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M</w:t>
            </w:r>
            <w:r w:rsidRPr="007E29C4">
              <w:rPr>
                <w:vertAlign w:val="subscript"/>
                <w:lang w:val="fr-FR"/>
              </w:rPr>
              <w:t>i</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2" w:type="dxa"/>
            <w:shd w:val="clear" w:color="auto" w:fill="auto"/>
          </w:tcPr>
          <w:p w:rsidR="00C76E16" w:rsidRPr="007E29C4" w:rsidRDefault="00C76E16" w:rsidP="00DB4C2D">
            <w:pPr>
              <w:spacing w:after="120"/>
              <w:rPr>
                <w:lang w:val="fr-FR"/>
              </w:rPr>
            </w:pPr>
            <w:r w:rsidRPr="007E29C4">
              <w:rPr>
                <w:lang w:val="fr-FR"/>
              </w:rPr>
              <w:t>émission massique du polluant i en g par km,</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M</w:t>
            </w:r>
            <w:r w:rsidRPr="007E29C4">
              <w:rPr>
                <w:vertAlign w:val="subscript"/>
                <w:lang w:val="fr-FR"/>
              </w:rPr>
              <w:t>1i</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2" w:type="dxa"/>
            <w:shd w:val="clear" w:color="auto" w:fill="auto"/>
          </w:tcPr>
          <w:p w:rsidR="00C76E16" w:rsidRPr="007E29C4" w:rsidRDefault="00C76E16" w:rsidP="00DB4C2D">
            <w:pPr>
              <w:spacing w:after="120"/>
              <w:rPr>
                <w:lang w:val="fr-FR"/>
              </w:rPr>
            </w:pPr>
            <w:r w:rsidRPr="007E29C4">
              <w:rPr>
                <w:lang w:val="fr-FR"/>
              </w:rPr>
              <w:t>émission massique moyenne du polluant i en g par km avec un dispositif de stockage d</w:t>
            </w:r>
            <w:r w:rsidR="00DB4C2D">
              <w:rPr>
                <w:lang w:val="fr-FR"/>
              </w:rPr>
              <w:t>’</w:t>
            </w:r>
            <w:r w:rsidRPr="007E29C4">
              <w:rPr>
                <w:lang w:val="fr-FR"/>
              </w:rPr>
              <w:t xml:space="preserve">énergie </w:t>
            </w:r>
            <w:proofErr w:type="spellStart"/>
            <w:r w:rsidRPr="007E29C4">
              <w:rPr>
                <w:lang w:val="fr-FR"/>
              </w:rPr>
              <w:t>complètement</w:t>
            </w:r>
            <w:proofErr w:type="spellEnd"/>
            <w:r w:rsidRPr="007E29C4">
              <w:rPr>
                <w:lang w:val="fr-FR"/>
              </w:rPr>
              <w:t xml:space="preserve"> chargé, calculée selon le paragraphe 3.1.2.5.5 de la présente annexe,</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M</w:t>
            </w:r>
            <w:r w:rsidRPr="007E29C4">
              <w:rPr>
                <w:vertAlign w:val="subscript"/>
                <w:lang w:val="fr-FR"/>
              </w:rPr>
              <w:t>2i</w:t>
            </w:r>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2" w:type="dxa"/>
            <w:shd w:val="clear" w:color="auto" w:fill="auto"/>
          </w:tcPr>
          <w:p w:rsidR="00C76E16" w:rsidRPr="007E29C4" w:rsidRDefault="00C76E16" w:rsidP="00DB4C2D">
            <w:pPr>
              <w:spacing w:after="120"/>
              <w:rPr>
                <w:lang w:val="fr-FR"/>
              </w:rPr>
            </w:pPr>
            <w:r w:rsidRPr="007E29C4">
              <w:rPr>
                <w:lang w:val="fr-FR"/>
              </w:rPr>
              <w:t>émission massique moyenne du polluant i en g par km avec un dispositif de stockage d</w:t>
            </w:r>
            <w:r w:rsidR="00DB4C2D">
              <w:rPr>
                <w:lang w:val="fr-FR"/>
              </w:rPr>
              <w:t>’</w:t>
            </w:r>
            <w:r w:rsidRPr="007E29C4">
              <w:rPr>
                <w:lang w:val="fr-FR"/>
              </w:rPr>
              <w:t>énergie au niveau de charge minimal (décharge maximale de la capacité), calculée selon le paragraphe 3.1.3.5 de la présente annexe,</w:t>
            </w:r>
          </w:p>
        </w:tc>
      </w:tr>
      <w:tr w:rsidR="00C76E16" w:rsidRPr="007E29C4" w:rsidTr="00DB4C2D">
        <w:tc>
          <w:tcPr>
            <w:tcW w:w="567" w:type="dxa"/>
            <w:shd w:val="clear" w:color="auto" w:fill="auto"/>
          </w:tcPr>
          <w:p w:rsidR="00C76E16" w:rsidRPr="007E29C4" w:rsidRDefault="00C76E16" w:rsidP="00DB4C2D">
            <w:pPr>
              <w:spacing w:after="120"/>
              <w:rPr>
                <w:lang w:val="fr-FR"/>
              </w:rPr>
            </w:pPr>
            <w:proofErr w:type="spellStart"/>
            <w:r w:rsidRPr="007E29C4">
              <w:rPr>
                <w:lang w:val="fr-FR"/>
              </w:rPr>
              <w:t>Dovc</w:t>
            </w:r>
            <w:proofErr w:type="spellEnd"/>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2" w:type="dxa"/>
            <w:shd w:val="clear" w:color="auto" w:fill="auto"/>
          </w:tcPr>
          <w:p w:rsidR="00C76E16" w:rsidRPr="007E29C4" w:rsidRDefault="00C76E16" w:rsidP="00DB4C2D">
            <w:pPr>
              <w:spacing w:after="120"/>
              <w:rPr>
                <w:lang w:val="fr-FR"/>
              </w:rPr>
            </w:pPr>
            <w:r w:rsidRPr="007E29C4">
              <w:rPr>
                <w:lang w:val="fr-FR"/>
              </w:rPr>
              <w:t>autonomie du véhicule entre recharges extérieures, déterminée selon le mode opératoire décrit dans l</w:t>
            </w:r>
            <w:r w:rsidR="00DB4C2D">
              <w:rPr>
                <w:lang w:val="fr-FR"/>
              </w:rPr>
              <w:t>’</w:t>
            </w:r>
            <w:r w:rsidRPr="007E29C4">
              <w:rPr>
                <w:lang w:val="fr-FR"/>
              </w:rPr>
              <w:t xml:space="preserve">annexe 9 du Règlement </w:t>
            </w:r>
            <w:r w:rsidRPr="007E29C4">
              <w:rPr>
                <w:rFonts w:eastAsia="MS Mincho"/>
                <w:lang w:val="fr-FR"/>
              </w:rPr>
              <w:t>n</w:t>
            </w:r>
            <w:r w:rsidRPr="007E29C4">
              <w:rPr>
                <w:rFonts w:eastAsia="MS Mincho"/>
                <w:vertAlign w:val="superscript"/>
                <w:lang w:val="fr-FR"/>
              </w:rPr>
              <w:t>o</w:t>
            </w:r>
            <w:r w:rsidRPr="007E29C4">
              <w:rPr>
                <w:rFonts w:eastAsia="MS Mincho"/>
                <w:lang w:val="fr-FR"/>
              </w:rPr>
              <w:t> </w:t>
            </w:r>
            <w:r w:rsidRPr="007E29C4">
              <w:rPr>
                <w:lang w:val="fr-FR"/>
              </w:rPr>
              <w:t>101,</w:t>
            </w:r>
          </w:p>
        </w:tc>
      </w:tr>
      <w:tr w:rsidR="00C76E16" w:rsidRPr="007E29C4" w:rsidTr="00DB4C2D">
        <w:tc>
          <w:tcPr>
            <w:tcW w:w="567" w:type="dxa"/>
            <w:shd w:val="clear" w:color="auto" w:fill="auto"/>
          </w:tcPr>
          <w:p w:rsidR="00C76E16" w:rsidRPr="007E29C4" w:rsidRDefault="00C76E16" w:rsidP="00DB4C2D">
            <w:pPr>
              <w:spacing w:after="120"/>
              <w:rPr>
                <w:lang w:val="fr-FR"/>
              </w:rPr>
            </w:pPr>
            <w:proofErr w:type="spellStart"/>
            <w:r w:rsidRPr="007E29C4">
              <w:rPr>
                <w:lang w:val="fr-FR"/>
              </w:rPr>
              <w:t>Dav</w:t>
            </w:r>
            <w:proofErr w:type="spellEnd"/>
          </w:p>
        </w:tc>
        <w:tc>
          <w:tcPr>
            <w:tcW w:w="284" w:type="dxa"/>
            <w:shd w:val="clear" w:color="auto" w:fill="auto"/>
          </w:tcPr>
          <w:p w:rsidR="00C76E16" w:rsidRPr="007E29C4" w:rsidRDefault="00C76E16" w:rsidP="00DB4C2D">
            <w:pPr>
              <w:spacing w:after="120"/>
              <w:rPr>
                <w:lang w:val="fr-FR"/>
              </w:rPr>
            </w:pPr>
            <w:r w:rsidRPr="007E29C4">
              <w:rPr>
                <w:lang w:val="fr-FR"/>
              </w:rPr>
              <w:t>=</w:t>
            </w:r>
          </w:p>
        </w:tc>
        <w:tc>
          <w:tcPr>
            <w:tcW w:w="5102" w:type="dxa"/>
            <w:shd w:val="clear" w:color="auto" w:fill="auto"/>
          </w:tcPr>
          <w:p w:rsidR="00C76E16" w:rsidRPr="007E29C4" w:rsidRDefault="00C76E16" w:rsidP="00DB4C2D">
            <w:pPr>
              <w:spacing w:after="120"/>
              <w:rPr>
                <w:lang w:val="fr-FR"/>
              </w:rPr>
            </w:pPr>
            <w:r w:rsidRPr="007E29C4">
              <w:rPr>
                <w:lang w:val="fr-FR"/>
              </w:rPr>
              <w:t>25 km (distance moyenne parcourue entre deux recharges de la batterie).</w:t>
            </w:r>
          </w:p>
        </w:tc>
      </w:tr>
    </w:tbl>
    <w:p w:rsidR="00C76E16" w:rsidRPr="00A779B8" w:rsidRDefault="00C76E16" w:rsidP="00C76E16">
      <w:pPr>
        <w:pStyle w:val="SingleTxtG"/>
        <w:keepNext/>
        <w:spacing w:before="120"/>
        <w:ind w:left="2268" w:hanging="1134"/>
        <w:jc w:val="left"/>
        <w:rPr>
          <w:lang w:val="fr-FR"/>
        </w:rPr>
      </w:pPr>
      <w:r w:rsidRPr="00A779B8">
        <w:rPr>
          <w:lang w:val="fr-FR"/>
        </w:rPr>
        <w:t>3.2</w:t>
      </w:r>
      <w:r w:rsidRPr="00A779B8">
        <w:rPr>
          <w:lang w:val="fr-FR"/>
        </w:rPr>
        <w:tab/>
        <w:t xml:space="preserve">Véhicule électrique hybride à recharge extérieure avec sélecteur de mode </w:t>
      </w:r>
    </w:p>
    <w:p w:rsidR="00C76E16" w:rsidRPr="00A779B8" w:rsidRDefault="00C76E16" w:rsidP="00C76E16">
      <w:pPr>
        <w:pStyle w:val="SingleTxtG"/>
        <w:keepNext/>
        <w:ind w:left="2268" w:hanging="1134"/>
        <w:rPr>
          <w:lang w:val="fr-FR"/>
        </w:rPr>
      </w:pPr>
      <w:r w:rsidRPr="00A779B8">
        <w:rPr>
          <w:lang w:val="fr-FR"/>
        </w:rPr>
        <w:t>3.2.1</w:t>
      </w:r>
      <w:r w:rsidRPr="00A779B8">
        <w:rPr>
          <w:lang w:val="fr-FR"/>
        </w:rPr>
        <w:tab/>
        <w:t>Deux essais doivent être effectués dans les conditions suivantes:</w:t>
      </w:r>
    </w:p>
    <w:p w:rsidR="00C76E16" w:rsidRPr="00A779B8" w:rsidRDefault="00C76E16" w:rsidP="00C76E16">
      <w:pPr>
        <w:pStyle w:val="SingleTxtG"/>
        <w:tabs>
          <w:tab w:val="left" w:pos="2268"/>
        </w:tabs>
        <w:ind w:left="2280" w:hanging="1146"/>
        <w:rPr>
          <w:lang w:val="fr-FR"/>
        </w:rPr>
      </w:pPr>
      <w:r w:rsidRPr="00A779B8">
        <w:rPr>
          <w:lang w:val="fr-FR"/>
        </w:rPr>
        <w:t>3.2.1.1</w:t>
      </w:r>
      <w:r w:rsidRPr="00A779B8">
        <w:rPr>
          <w:lang w:val="fr-FR"/>
        </w:rPr>
        <w:tab/>
      </w:r>
      <w:r w:rsidRPr="00A779B8">
        <w:rPr>
          <w:i/>
          <w:lang w:val="fr-FR"/>
        </w:rPr>
        <w:t>Condition A</w:t>
      </w:r>
      <w:r w:rsidRPr="00A779B8">
        <w:rPr>
          <w:lang w:val="fr-FR"/>
        </w:rPr>
        <w:t>:</w:t>
      </w:r>
      <w:r w:rsidRPr="00A779B8">
        <w:rPr>
          <w:lang w:val="fr-FR"/>
        </w:rPr>
        <w:tab/>
        <w:t>L</w:t>
      </w:r>
      <w:r w:rsidR="00DB4C2D">
        <w:rPr>
          <w:lang w:val="fr-FR"/>
        </w:rPr>
        <w:t>’</w:t>
      </w:r>
      <w:r w:rsidRPr="00A779B8">
        <w:rPr>
          <w:lang w:val="fr-FR"/>
        </w:rPr>
        <w:t>essai doit être effectué avec un dispositif de stockage d</w:t>
      </w:r>
      <w:r w:rsidR="00DB4C2D">
        <w:rPr>
          <w:lang w:val="fr-FR"/>
        </w:rPr>
        <w:t>’</w:t>
      </w:r>
      <w:r w:rsidRPr="00A779B8">
        <w:rPr>
          <w:lang w:val="fr-FR"/>
        </w:rPr>
        <w:t xml:space="preserve">énergie </w:t>
      </w:r>
      <w:proofErr w:type="spellStart"/>
      <w:r w:rsidRPr="00A779B8">
        <w:rPr>
          <w:lang w:val="fr-FR"/>
        </w:rPr>
        <w:t>complètement</w:t>
      </w:r>
      <w:proofErr w:type="spellEnd"/>
      <w:r w:rsidRPr="00A779B8">
        <w:rPr>
          <w:lang w:val="fr-FR"/>
        </w:rPr>
        <w:t xml:space="preserve"> chargé.</w:t>
      </w:r>
    </w:p>
    <w:p w:rsidR="00C76E16" w:rsidRPr="00A779B8" w:rsidRDefault="00C76E16" w:rsidP="00C76E16">
      <w:pPr>
        <w:pStyle w:val="SingleTxtG"/>
        <w:tabs>
          <w:tab w:val="left" w:pos="2268"/>
        </w:tabs>
        <w:ind w:left="2280" w:hanging="1146"/>
        <w:rPr>
          <w:lang w:val="fr-FR"/>
        </w:rPr>
      </w:pPr>
      <w:r w:rsidRPr="00A779B8">
        <w:rPr>
          <w:lang w:val="fr-FR"/>
        </w:rPr>
        <w:t>3.2.1.2</w:t>
      </w:r>
      <w:r w:rsidRPr="00A779B8">
        <w:rPr>
          <w:lang w:val="fr-FR"/>
        </w:rPr>
        <w:tab/>
      </w:r>
      <w:r w:rsidRPr="00A779B8">
        <w:rPr>
          <w:i/>
          <w:lang w:val="fr-FR"/>
        </w:rPr>
        <w:t>Condition B</w:t>
      </w:r>
      <w:r w:rsidRPr="00A779B8">
        <w:rPr>
          <w:lang w:val="fr-FR"/>
        </w:rPr>
        <w:t>:</w:t>
      </w:r>
      <w:r w:rsidRPr="00A779B8">
        <w:rPr>
          <w:lang w:val="fr-FR"/>
        </w:rPr>
        <w:tab/>
        <w:t>L</w:t>
      </w:r>
      <w:r w:rsidR="00DB4C2D">
        <w:rPr>
          <w:lang w:val="fr-FR"/>
        </w:rPr>
        <w:t>’</w:t>
      </w:r>
      <w:r w:rsidRPr="00A779B8">
        <w:rPr>
          <w:lang w:val="fr-FR"/>
        </w:rPr>
        <w:t>essai doit être effectué avec un dispositif de stockage d</w:t>
      </w:r>
      <w:r w:rsidR="00DB4C2D">
        <w:rPr>
          <w:lang w:val="fr-FR"/>
        </w:rPr>
        <w:t>’</w:t>
      </w:r>
      <w:r w:rsidRPr="00A779B8">
        <w:rPr>
          <w:lang w:val="fr-FR"/>
        </w:rPr>
        <w:t>énergie à l</w:t>
      </w:r>
      <w:r w:rsidR="00DB4C2D">
        <w:rPr>
          <w:lang w:val="fr-FR"/>
        </w:rPr>
        <w:t>’</w:t>
      </w:r>
      <w:r w:rsidRPr="00A779B8">
        <w:rPr>
          <w:lang w:val="fr-FR"/>
        </w:rPr>
        <w:t>état de charge minimal (décharge maximale de la capacité).</w:t>
      </w:r>
    </w:p>
    <w:p w:rsidR="00C76E16" w:rsidRPr="00A779B8" w:rsidRDefault="00C76E16" w:rsidP="00C76E16">
      <w:pPr>
        <w:pStyle w:val="SingleTxtG"/>
        <w:keepNext/>
        <w:ind w:left="2268" w:hanging="1134"/>
        <w:rPr>
          <w:lang w:val="fr-FR"/>
        </w:rPr>
      </w:pPr>
      <w:r w:rsidRPr="00A779B8">
        <w:rPr>
          <w:lang w:val="fr-FR"/>
        </w:rPr>
        <w:t>3.2.1.3</w:t>
      </w:r>
      <w:r w:rsidRPr="00A779B8">
        <w:rPr>
          <w:lang w:val="fr-FR"/>
        </w:rPr>
        <w:tab/>
        <w:t>Le sélecteur de mode de fonctionnement doit être positionné conformément au tableau ci-après.</w:t>
      </w:r>
    </w:p>
    <w:p w:rsidR="00C76E16" w:rsidRPr="00A779B8" w:rsidRDefault="00C76E16" w:rsidP="00C76E16">
      <w:pPr>
        <w:pStyle w:val="Titre1"/>
        <w:spacing w:after="120"/>
        <w:ind w:left="0"/>
        <w:rPr>
          <w:lang w:val="fr-FR"/>
        </w:rPr>
      </w:pPr>
      <w:r w:rsidRPr="00A779B8">
        <w:rPr>
          <w:lang w:val="fr-FR"/>
        </w:rPr>
        <w:t>Tableau A14/1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20"/>
        <w:gridCol w:w="1797"/>
        <w:gridCol w:w="1798"/>
        <w:gridCol w:w="1798"/>
        <w:gridCol w:w="1798"/>
      </w:tblGrid>
      <w:tr w:rsidR="00C76E16" w:rsidRPr="00A779B8" w:rsidTr="00DB4C2D">
        <w:trPr>
          <w:jc w:val="center"/>
        </w:trPr>
        <w:tc>
          <w:tcPr>
            <w:tcW w:w="2420" w:type="dxa"/>
            <w:vMerge w:val="restart"/>
          </w:tcPr>
          <w:p w:rsidR="00C76E16" w:rsidRPr="00A779B8" w:rsidRDefault="009D55DD" w:rsidP="00DB4C2D">
            <w:pPr>
              <w:spacing w:before="60" w:after="60" w:line="200" w:lineRule="exact"/>
              <w:ind w:left="1134" w:right="113"/>
              <w:jc w:val="right"/>
              <w:rPr>
                <w:i/>
                <w:sz w:val="16"/>
                <w:szCs w:val="16"/>
                <w:lang w:val="fr-FR"/>
              </w:rPr>
            </w:pPr>
            <w:r>
              <w:rPr>
                <w:i/>
                <w:noProof/>
                <w:sz w:val="16"/>
                <w:szCs w:val="16"/>
                <w:lang w:val="en-US"/>
              </w:rPr>
              <mc:AlternateContent>
                <mc:Choice Requires="wps">
                  <w:drawing>
                    <wp:anchor distT="0" distB="0" distL="114300" distR="114300" simplePos="0" relativeHeight="251658240" behindDoc="0" locked="0" layoutInCell="1" allowOverlap="1">
                      <wp:simplePos x="0" y="0"/>
                      <wp:positionH relativeFrom="column">
                        <wp:posOffset>-39370</wp:posOffset>
                      </wp:positionH>
                      <wp:positionV relativeFrom="paragraph">
                        <wp:posOffset>13335</wp:posOffset>
                      </wp:positionV>
                      <wp:extent cx="1526540" cy="710565"/>
                      <wp:effectExtent l="8255" t="13335" r="8255" b="9525"/>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6540" cy="710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05pt" to="117.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"/>
                  </w:pict>
                </mc:Fallback>
              </mc:AlternateContent>
            </w:r>
            <w:r w:rsidR="00C76E16" w:rsidRPr="00A779B8">
              <w:rPr>
                <w:i/>
                <w:sz w:val="16"/>
                <w:szCs w:val="16"/>
                <w:lang w:val="fr-FR"/>
              </w:rPr>
              <w:t>Modes</w:t>
            </w:r>
            <w:r w:rsidR="00C76E16" w:rsidRPr="00A779B8">
              <w:rPr>
                <w:i/>
                <w:sz w:val="16"/>
                <w:szCs w:val="16"/>
                <w:lang w:val="fr-FR"/>
              </w:rPr>
              <w:br/>
              <w:t>hybrides</w:t>
            </w:r>
          </w:p>
          <w:p w:rsidR="00C76E16" w:rsidRPr="00A779B8" w:rsidRDefault="00C76E16" w:rsidP="00DB4C2D">
            <w:pPr>
              <w:spacing w:before="60" w:after="60" w:line="200" w:lineRule="exact"/>
              <w:rPr>
                <w:i/>
                <w:sz w:val="16"/>
                <w:szCs w:val="16"/>
                <w:lang w:val="fr-FR"/>
              </w:rPr>
            </w:pPr>
            <w:r w:rsidRPr="00A779B8">
              <w:rPr>
                <w:i/>
                <w:sz w:val="16"/>
                <w:szCs w:val="16"/>
                <w:lang w:val="fr-FR"/>
              </w:rPr>
              <w:t xml:space="preserve">Niveau </w:t>
            </w:r>
            <w:r w:rsidRPr="00A779B8">
              <w:rPr>
                <w:i/>
                <w:sz w:val="16"/>
                <w:szCs w:val="16"/>
                <w:lang w:val="fr-FR"/>
              </w:rPr>
              <w:br/>
              <w:t>de charge</w:t>
            </w:r>
            <w:r w:rsidRPr="00A779B8">
              <w:rPr>
                <w:i/>
                <w:sz w:val="16"/>
                <w:szCs w:val="16"/>
                <w:lang w:val="fr-FR"/>
              </w:rPr>
              <w:br/>
              <w:t>de la batterie</w:t>
            </w:r>
          </w:p>
        </w:tc>
        <w:tc>
          <w:tcPr>
            <w:tcW w:w="1797" w:type="dxa"/>
            <w:tcBorders>
              <w:bottom w:val="nil"/>
            </w:tcBorders>
          </w:tcPr>
          <w:p w:rsidR="00C76E16" w:rsidRPr="00A779B8" w:rsidRDefault="00C76E16" w:rsidP="00DB4C2D">
            <w:pPr>
              <w:tabs>
                <w:tab w:val="left" w:pos="264"/>
              </w:tabs>
              <w:spacing w:before="60" w:line="200" w:lineRule="exact"/>
              <w:ind w:left="113" w:hanging="113"/>
              <w:rPr>
                <w:i/>
                <w:sz w:val="16"/>
                <w:szCs w:val="16"/>
                <w:lang w:val="fr-FR"/>
              </w:rPr>
            </w:pPr>
            <w:r w:rsidRPr="00A779B8">
              <w:rPr>
                <w:i/>
                <w:sz w:val="16"/>
                <w:szCs w:val="16"/>
                <w:lang w:val="fr-FR"/>
              </w:rPr>
              <w:t>-</w:t>
            </w:r>
            <w:r w:rsidRPr="00A779B8">
              <w:rPr>
                <w:i/>
                <w:sz w:val="16"/>
                <w:szCs w:val="16"/>
                <w:lang w:val="fr-FR"/>
              </w:rPr>
              <w:tab/>
              <w:t>Électrique pur</w:t>
            </w:r>
          </w:p>
          <w:p w:rsidR="00C76E16" w:rsidRPr="00A779B8" w:rsidRDefault="00C76E16" w:rsidP="00DB4C2D">
            <w:pPr>
              <w:tabs>
                <w:tab w:val="left" w:pos="264"/>
              </w:tabs>
              <w:spacing w:after="60" w:line="200" w:lineRule="exact"/>
              <w:ind w:left="113" w:hanging="113"/>
              <w:rPr>
                <w:i/>
                <w:sz w:val="16"/>
                <w:szCs w:val="16"/>
                <w:lang w:val="fr-FR"/>
              </w:rPr>
            </w:pPr>
            <w:r w:rsidRPr="00A779B8">
              <w:rPr>
                <w:i/>
                <w:sz w:val="16"/>
                <w:szCs w:val="16"/>
                <w:lang w:val="fr-FR"/>
              </w:rPr>
              <w:t>-</w:t>
            </w:r>
            <w:r w:rsidRPr="00A779B8">
              <w:rPr>
                <w:i/>
                <w:sz w:val="16"/>
                <w:szCs w:val="16"/>
                <w:lang w:val="fr-FR"/>
              </w:rPr>
              <w:tab/>
              <w:t>Hybride</w:t>
            </w:r>
          </w:p>
        </w:tc>
        <w:tc>
          <w:tcPr>
            <w:tcW w:w="1798" w:type="dxa"/>
            <w:tcBorders>
              <w:bottom w:val="nil"/>
            </w:tcBorders>
          </w:tcPr>
          <w:p w:rsidR="00C76E16" w:rsidRPr="00A779B8" w:rsidRDefault="00C76E16" w:rsidP="00DB4C2D">
            <w:pPr>
              <w:tabs>
                <w:tab w:val="left" w:pos="264"/>
              </w:tabs>
              <w:spacing w:before="60" w:line="200" w:lineRule="exact"/>
              <w:ind w:left="113" w:hanging="113"/>
              <w:rPr>
                <w:i/>
                <w:sz w:val="16"/>
                <w:szCs w:val="16"/>
                <w:lang w:val="fr-FR"/>
              </w:rPr>
            </w:pPr>
            <w:r w:rsidRPr="00A779B8">
              <w:rPr>
                <w:i/>
                <w:sz w:val="16"/>
                <w:szCs w:val="16"/>
                <w:lang w:val="fr-FR"/>
              </w:rPr>
              <w:t>-</w:t>
            </w:r>
            <w:r w:rsidRPr="00A779B8">
              <w:rPr>
                <w:i/>
                <w:sz w:val="16"/>
                <w:szCs w:val="16"/>
                <w:lang w:val="fr-FR"/>
              </w:rPr>
              <w:tab/>
              <w:t>Thermique pur</w:t>
            </w:r>
          </w:p>
          <w:p w:rsidR="00C76E16" w:rsidRPr="00A779B8" w:rsidRDefault="00C76E16" w:rsidP="00DB4C2D">
            <w:pPr>
              <w:tabs>
                <w:tab w:val="left" w:pos="264"/>
              </w:tabs>
              <w:spacing w:after="60" w:line="200" w:lineRule="exact"/>
              <w:ind w:left="113" w:hanging="113"/>
              <w:rPr>
                <w:i/>
                <w:sz w:val="16"/>
                <w:szCs w:val="16"/>
                <w:lang w:val="fr-FR"/>
              </w:rPr>
            </w:pPr>
            <w:r w:rsidRPr="00A779B8">
              <w:rPr>
                <w:i/>
                <w:sz w:val="16"/>
                <w:szCs w:val="16"/>
                <w:lang w:val="fr-FR"/>
              </w:rPr>
              <w:t>-</w:t>
            </w:r>
            <w:r w:rsidRPr="00A779B8">
              <w:rPr>
                <w:i/>
                <w:sz w:val="16"/>
                <w:szCs w:val="16"/>
                <w:lang w:val="fr-FR"/>
              </w:rPr>
              <w:tab/>
              <w:t>Hybride</w:t>
            </w:r>
          </w:p>
        </w:tc>
        <w:tc>
          <w:tcPr>
            <w:tcW w:w="1798" w:type="dxa"/>
            <w:tcBorders>
              <w:bottom w:val="nil"/>
            </w:tcBorders>
          </w:tcPr>
          <w:p w:rsidR="00C76E16" w:rsidRPr="00A779B8" w:rsidRDefault="00C76E16" w:rsidP="00DB4C2D">
            <w:pPr>
              <w:tabs>
                <w:tab w:val="left" w:pos="264"/>
              </w:tabs>
              <w:spacing w:before="60" w:line="200" w:lineRule="exact"/>
              <w:ind w:left="113" w:hanging="113"/>
              <w:rPr>
                <w:i/>
                <w:sz w:val="16"/>
                <w:szCs w:val="16"/>
                <w:lang w:val="fr-FR"/>
              </w:rPr>
            </w:pPr>
            <w:r w:rsidRPr="00A779B8">
              <w:rPr>
                <w:i/>
                <w:sz w:val="16"/>
                <w:szCs w:val="16"/>
                <w:lang w:val="fr-FR"/>
              </w:rPr>
              <w:t>-</w:t>
            </w:r>
            <w:r w:rsidRPr="00A779B8">
              <w:rPr>
                <w:i/>
                <w:sz w:val="16"/>
                <w:szCs w:val="16"/>
                <w:lang w:val="fr-FR"/>
              </w:rPr>
              <w:tab/>
              <w:t>Électrique pur</w:t>
            </w:r>
          </w:p>
          <w:p w:rsidR="00C76E16" w:rsidRPr="00A779B8" w:rsidRDefault="00C76E16" w:rsidP="00DB4C2D">
            <w:pPr>
              <w:tabs>
                <w:tab w:val="left" w:pos="264"/>
              </w:tabs>
              <w:spacing w:line="200" w:lineRule="exact"/>
              <w:ind w:left="113" w:hanging="113"/>
              <w:rPr>
                <w:i/>
                <w:sz w:val="16"/>
                <w:szCs w:val="16"/>
                <w:lang w:val="fr-FR"/>
              </w:rPr>
            </w:pPr>
            <w:r w:rsidRPr="00A779B8">
              <w:rPr>
                <w:i/>
                <w:sz w:val="16"/>
                <w:szCs w:val="16"/>
                <w:lang w:val="fr-FR"/>
              </w:rPr>
              <w:t>-</w:t>
            </w:r>
            <w:r w:rsidRPr="00A779B8">
              <w:rPr>
                <w:i/>
                <w:sz w:val="16"/>
                <w:szCs w:val="16"/>
                <w:lang w:val="fr-FR"/>
              </w:rPr>
              <w:tab/>
              <w:t xml:space="preserve">Thermique pur </w:t>
            </w:r>
          </w:p>
          <w:p w:rsidR="00C76E16" w:rsidRPr="00A779B8" w:rsidRDefault="00C76E16" w:rsidP="00DB4C2D">
            <w:pPr>
              <w:tabs>
                <w:tab w:val="left" w:pos="264"/>
              </w:tabs>
              <w:spacing w:after="60" w:line="200" w:lineRule="exact"/>
              <w:ind w:left="113" w:hanging="113"/>
              <w:rPr>
                <w:i/>
                <w:sz w:val="16"/>
                <w:szCs w:val="16"/>
                <w:lang w:val="fr-FR"/>
              </w:rPr>
            </w:pPr>
            <w:r w:rsidRPr="00A779B8">
              <w:rPr>
                <w:i/>
                <w:sz w:val="16"/>
                <w:szCs w:val="16"/>
                <w:lang w:val="fr-FR"/>
              </w:rPr>
              <w:t>-</w:t>
            </w:r>
            <w:r w:rsidRPr="00A779B8">
              <w:rPr>
                <w:i/>
                <w:sz w:val="16"/>
                <w:szCs w:val="16"/>
                <w:lang w:val="fr-FR"/>
              </w:rPr>
              <w:tab/>
              <w:t>Hybride</w:t>
            </w:r>
          </w:p>
        </w:tc>
        <w:tc>
          <w:tcPr>
            <w:tcW w:w="1798" w:type="dxa"/>
            <w:tcBorders>
              <w:bottom w:val="nil"/>
            </w:tcBorders>
          </w:tcPr>
          <w:p w:rsidR="00C76E16" w:rsidRPr="00A779B8" w:rsidRDefault="00C76E16" w:rsidP="00DB4C2D">
            <w:pPr>
              <w:tabs>
                <w:tab w:val="left" w:pos="264"/>
              </w:tabs>
              <w:spacing w:before="60" w:line="200" w:lineRule="exact"/>
              <w:ind w:left="113" w:hanging="113"/>
              <w:rPr>
                <w:i/>
                <w:sz w:val="16"/>
                <w:szCs w:val="16"/>
                <w:lang w:val="fr-FR"/>
              </w:rPr>
            </w:pPr>
            <w:r w:rsidRPr="00A779B8">
              <w:rPr>
                <w:i/>
                <w:sz w:val="16"/>
                <w:szCs w:val="16"/>
                <w:lang w:val="fr-FR"/>
              </w:rPr>
              <w:t>-</w:t>
            </w:r>
            <w:r w:rsidRPr="00A779B8">
              <w:rPr>
                <w:i/>
                <w:sz w:val="16"/>
                <w:szCs w:val="16"/>
                <w:lang w:val="fr-FR"/>
              </w:rPr>
              <w:tab/>
              <w:t xml:space="preserve">Mode hybride </w:t>
            </w:r>
            <w:r w:rsidRPr="00A779B8">
              <w:rPr>
                <w:rFonts w:eastAsia="MS Mincho"/>
                <w:i/>
                <w:sz w:val="16"/>
                <w:szCs w:val="16"/>
                <w:lang w:val="fr-FR"/>
              </w:rPr>
              <w:t>n</w:t>
            </w:r>
            <w:r w:rsidRPr="00A779B8">
              <w:rPr>
                <w:rFonts w:eastAsia="MS Mincho"/>
                <w:sz w:val="16"/>
                <w:szCs w:val="16"/>
                <w:vertAlign w:val="superscript"/>
                <w:lang w:val="fr-FR"/>
              </w:rPr>
              <w:t>1</w:t>
            </w:r>
          </w:p>
          <w:p w:rsidR="00C76E16" w:rsidRPr="00A779B8" w:rsidRDefault="00C76E16" w:rsidP="00DB4C2D">
            <w:pPr>
              <w:tabs>
                <w:tab w:val="left" w:pos="264"/>
              </w:tabs>
              <w:spacing w:line="200" w:lineRule="exact"/>
              <w:ind w:left="113" w:hanging="113"/>
              <w:rPr>
                <w:i/>
                <w:sz w:val="16"/>
                <w:szCs w:val="16"/>
                <w:lang w:val="fr-FR"/>
              </w:rPr>
            </w:pPr>
            <w:r w:rsidRPr="00A779B8">
              <w:rPr>
                <w:rFonts w:eastAsia="MS Mincho"/>
                <w:i/>
                <w:sz w:val="16"/>
                <w:szCs w:val="16"/>
                <w:lang w:val="fr-FR"/>
              </w:rPr>
              <w:t>…</w:t>
            </w:r>
          </w:p>
          <w:p w:rsidR="00C76E16" w:rsidRPr="00A779B8" w:rsidRDefault="00C76E16" w:rsidP="00DB4C2D">
            <w:pPr>
              <w:tabs>
                <w:tab w:val="left" w:pos="264"/>
              </w:tabs>
              <w:spacing w:after="60" w:line="200" w:lineRule="exact"/>
              <w:ind w:left="113" w:hanging="113"/>
              <w:rPr>
                <w:i/>
                <w:sz w:val="16"/>
                <w:szCs w:val="16"/>
                <w:lang w:val="fr-FR"/>
              </w:rPr>
            </w:pPr>
            <w:r w:rsidRPr="00A779B8">
              <w:rPr>
                <w:i/>
                <w:sz w:val="16"/>
                <w:szCs w:val="16"/>
                <w:lang w:val="fr-FR"/>
              </w:rPr>
              <w:t>-</w:t>
            </w:r>
            <w:r w:rsidRPr="00A779B8">
              <w:rPr>
                <w:i/>
                <w:sz w:val="16"/>
                <w:szCs w:val="16"/>
                <w:lang w:val="fr-FR"/>
              </w:rPr>
              <w:tab/>
              <w:t>Mode hybride m</w:t>
            </w:r>
            <w:r w:rsidRPr="00A779B8">
              <w:rPr>
                <w:sz w:val="16"/>
                <w:szCs w:val="16"/>
                <w:vertAlign w:val="superscript"/>
                <w:lang w:val="fr-FR"/>
              </w:rPr>
              <w:t>1</w:t>
            </w:r>
          </w:p>
        </w:tc>
      </w:tr>
      <w:tr w:rsidR="00C76E16" w:rsidRPr="00A779B8" w:rsidTr="00DB4C2D">
        <w:trPr>
          <w:jc w:val="center"/>
        </w:trPr>
        <w:tc>
          <w:tcPr>
            <w:tcW w:w="2420" w:type="dxa"/>
            <w:vMerge/>
          </w:tcPr>
          <w:p w:rsidR="00C76E16" w:rsidRPr="00A779B8" w:rsidRDefault="00C76E16" w:rsidP="00DB4C2D">
            <w:pPr>
              <w:spacing w:before="60" w:after="60" w:line="200" w:lineRule="exact"/>
              <w:rPr>
                <w:i/>
                <w:sz w:val="16"/>
                <w:szCs w:val="16"/>
                <w:lang w:val="fr-FR"/>
              </w:rPr>
            </w:pPr>
          </w:p>
        </w:tc>
        <w:tc>
          <w:tcPr>
            <w:tcW w:w="1797" w:type="dxa"/>
            <w:tcBorders>
              <w:top w:val="nil"/>
            </w:tcBorders>
          </w:tcPr>
          <w:p w:rsidR="00C76E16" w:rsidRPr="00A779B8" w:rsidRDefault="00C76E16" w:rsidP="00DB4C2D">
            <w:pPr>
              <w:spacing w:before="60" w:after="60" w:line="200" w:lineRule="exact"/>
              <w:rPr>
                <w:i/>
                <w:sz w:val="16"/>
                <w:szCs w:val="16"/>
                <w:lang w:val="fr-FR"/>
              </w:rPr>
            </w:pPr>
            <w:r w:rsidRPr="00A779B8">
              <w:rPr>
                <w:i/>
                <w:sz w:val="16"/>
                <w:szCs w:val="16"/>
                <w:lang w:val="fr-FR"/>
              </w:rPr>
              <w:t>Sélecteur en position</w:t>
            </w:r>
          </w:p>
        </w:tc>
        <w:tc>
          <w:tcPr>
            <w:tcW w:w="1798" w:type="dxa"/>
            <w:tcBorders>
              <w:top w:val="nil"/>
            </w:tcBorders>
          </w:tcPr>
          <w:p w:rsidR="00C76E16" w:rsidRPr="00A779B8" w:rsidRDefault="00C76E16" w:rsidP="00DB4C2D">
            <w:pPr>
              <w:spacing w:before="60" w:after="60" w:line="200" w:lineRule="exact"/>
              <w:rPr>
                <w:i/>
                <w:sz w:val="16"/>
                <w:szCs w:val="16"/>
                <w:lang w:val="fr-FR"/>
              </w:rPr>
            </w:pPr>
            <w:r w:rsidRPr="00A779B8">
              <w:rPr>
                <w:i/>
                <w:sz w:val="16"/>
                <w:szCs w:val="16"/>
                <w:lang w:val="fr-FR"/>
              </w:rPr>
              <w:t>Sélecteur en position</w:t>
            </w:r>
          </w:p>
        </w:tc>
        <w:tc>
          <w:tcPr>
            <w:tcW w:w="1798" w:type="dxa"/>
            <w:tcBorders>
              <w:top w:val="nil"/>
            </w:tcBorders>
          </w:tcPr>
          <w:p w:rsidR="00C76E16" w:rsidRPr="00A779B8" w:rsidRDefault="00C76E16" w:rsidP="00DB4C2D">
            <w:pPr>
              <w:spacing w:before="60" w:after="60" w:line="200" w:lineRule="exact"/>
              <w:rPr>
                <w:i/>
                <w:sz w:val="16"/>
                <w:szCs w:val="16"/>
                <w:lang w:val="fr-FR"/>
              </w:rPr>
            </w:pPr>
            <w:r w:rsidRPr="00A779B8">
              <w:rPr>
                <w:i/>
                <w:sz w:val="16"/>
                <w:szCs w:val="16"/>
                <w:lang w:val="fr-FR"/>
              </w:rPr>
              <w:t>Sélecteur en position</w:t>
            </w:r>
          </w:p>
        </w:tc>
        <w:tc>
          <w:tcPr>
            <w:tcW w:w="1798" w:type="dxa"/>
            <w:tcBorders>
              <w:top w:val="nil"/>
            </w:tcBorders>
          </w:tcPr>
          <w:p w:rsidR="00C76E16" w:rsidRPr="00A779B8" w:rsidRDefault="00C76E16" w:rsidP="00DB4C2D">
            <w:pPr>
              <w:spacing w:before="60" w:after="60" w:line="200" w:lineRule="exact"/>
              <w:rPr>
                <w:i/>
                <w:sz w:val="16"/>
                <w:szCs w:val="16"/>
                <w:lang w:val="fr-FR"/>
              </w:rPr>
            </w:pPr>
            <w:r w:rsidRPr="00A779B8">
              <w:rPr>
                <w:i/>
                <w:sz w:val="16"/>
                <w:szCs w:val="16"/>
                <w:lang w:val="fr-FR"/>
              </w:rPr>
              <w:t>Sélecteur en position</w:t>
            </w:r>
          </w:p>
        </w:tc>
      </w:tr>
      <w:tr w:rsidR="00C76E16" w:rsidRPr="00A779B8" w:rsidTr="00DB4C2D">
        <w:trPr>
          <w:jc w:val="center"/>
        </w:trPr>
        <w:tc>
          <w:tcPr>
            <w:tcW w:w="2420" w:type="dxa"/>
          </w:tcPr>
          <w:p w:rsidR="00C76E16" w:rsidRPr="00A779B8" w:rsidRDefault="00C76E16" w:rsidP="00DB4C2D">
            <w:pPr>
              <w:spacing w:before="60" w:after="60" w:line="220" w:lineRule="atLeast"/>
              <w:rPr>
                <w:sz w:val="18"/>
                <w:szCs w:val="18"/>
                <w:lang w:val="fr-FR"/>
              </w:rPr>
            </w:pPr>
            <w:r w:rsidRPr="00A779B8">
              <w:rPr>
                <w:sz w:val="18"/>
                <w:szCs w:val="18"/>
                <w:lang w:val="fr-FR"/>
              </w:rPr>
              <w:t xml:space="preserve">Condition A batterie </w:t>
            </w:r>
            <w:proofErr w:type="spellStart"/>
            <w:r w:rsidRPr="00A779B8">
              <w:rPr>
                <w:sz w:val="18"/>
                <w:szCs w:val="18"/>
                <w:lang w:val="fr-FR"/>
              </w:rPr>
              <w:t>complètement</w:t>
            </w:r>
            <w:proofErr w:type="spellEnd"/>
            <w:r w:rsidRPr="00A779B8">
              <w:rPr>
                <w:sz w:val="18"/>
                <w:szCs w:val="18"/>
                <w:lang w:val="fr-FR"/>
              </w:rPr>
              <w:t xml:space="preserve"> chargée</w:t>
            </w:r>
          </w:p>
        </w:tc>
        <w:tc>
          <w:tcPr>
            <w:tcW w:w="1797" w:type="dxa"/>
          </w:tcPr>
          <w:p w:rsidR="00C76E16" w:rsidRPr="00A779B8" w:rsidRDefault="00C76E16" w:rsidP="00DB4C2D">
            <w:pPr>
              <w:spacing w:before="60" w:after="60" w:line="220" w:lineRule="atLeast"/>
              <w:rPr>
                <w:sz w:val="18"/>
                <w:szCs w:val="18"/>
                <w:lang w:val="fr-FR"/>
              </w:rPr>
            </w:pPr>
            <w:r w:rsidRPr="00A779B8">
              <w:rPr>
                <w:sz w:val="18"/>
                <w:szCs w:val="18"/>
                <w:lang w:val="fr-FR"/>
              </w:rPr>
              <w:t>Hybride</w:t>
            </w:r>
          </w:p>
        </w:tc>
        <w:tc>
          <w:tcPr>
            <w:tcW w:w="1798" w:type="dxa"/>
          </w:tcPr>
          <w:p w:rsidR="00C76E16" w:rsidRPr="00A779B8" w:rsidRDefault="00C76E16" w:rsidP="00DB4C2D">
            <w:pPr>
              <w:spacing w:before="60" w:after="60" w:line="220" w:lineRule="atLeast"/>
              <w:rPr>
                <w:sz w:val="18"/>
                <w:szCs w:val="18"/>
                <w:lang w:val="fr-FR"/>
              </w:rPr>
            </w:pPr>
            <w:r w:rsidRPr="00A779B8">
              <w:rPr>
                <w:sz w:val="18"/>
                <w:szCs w:val="18"/>
                <w:lang w:val="fr-FR"/>
              </w:rPr>
              <w:t>Hybride</w:t>
            </w:r>
          </w:p>
        </w:tc>
        <w:tc>
          <w:tcPr>
            <w:tcW w:w="1798" w:type="dxa"/>
          </w:tcPr>
          <w:p w:rsidR="00C76E16" w:rsidRPr="00A779B8" w:rsidRDefault="00C76E16" w:rsidP="00DB4C2D">
            <w:pPr>
              <w:spacing w:before="60" w:after="60" w:line="220" w:lineRule="atLeast"/>
              <w:rPr>
                <w:sz w:val="18"/>
                <w:szCs w:val="18"/>
                <w:lang w:val="fr-FR"/>
              </w:rPr>
            </w:pPr>
            <w:r w:rsidRPr="00A779B8">
              <w:rPr>
                <w:sz w:val="18"/>
                <w:szCs w:val="18"/>
                <w:lang w:val="fr-FR"/>
              </w:rPr>
              <w:t>Hybride</w:t>
            </w:r>
          </w:p>
        </w:tc>
        <w:tc>
          <w:tcPr>
            <w:tcW w:w="1798" w:type="dxa"/>
          </w:tcPr>
          <w:p w:rsidR="00C76E16" w:rsidRPr="00A779B8" w:rsidRDefault="00C76E16" w:rsidP="00DB4C2D">
            <w:pPr>
              <w:spacing w:before="60" w:after="60" w:line="220" w:lineRule="atLeast"/>
              <w:rPr>
                <w:sz w:val="18"/>
                <w:szCs w:val="18"/>
                <w:lang w:val="fr-FR"/>
              </w:rPr>
            </w:pPr>
            <w:r w:rsidRPr="00A779B8">
              <w:rPr>
                <w:sz w:val="18"/>
                <w:szCs w:val="18"/>
                <w:lang w:val="fr-FR"/>
              </w:rPr>
              <w:t>Hybride, électrique prédominant</w:t>
            </w:r>
            <w:r w:rsidRPr="00A779B8">
              <w:rPr>
                <w:i/>
                <w:sz w:val="18"/>
                <w:szCs w:val="18"/>
                <w:vertAlign w:val="superscript"/>
                <w:lang w:val="fr-FR"/>
              </w:rPr>
              <w:t>2</w:t>
            </w:r>
          </w:p>
        </w:tc>
      </w:tr>
      <w:tr w:rsidR="00C76E16" w:rsidRPr="00A779B8" w:rsidTr="00DB4C2D">
        <w:trPr>
          <w:jc w:val="center"/>
        </w:trPr>
        <w:tc>
          <w:tcPr>
            <w:tcW w:w="2420" w:type="dxa"/>
          </w:tcPr>
          <w:p w:rsidR="00C76E16" w:rsidRPr="00A779B8" w:rsidRDefault="00C76E16" w:rsidP="00DB4C2D">
            <w:pPr>
              <w:spacing w:before="60" w:after="60" w:line="220" w:lineRule="atLeast"/>
              <w:rPr>
                <w:sz w:val="18"/>
                <w:szCs w:val="18"/>
                <w:lang w:val="fr-FR"/>
              </w:rPr>
            </w:pPr>
            <w:r w:rsidRPr="00A779B8">
              <w:rPr>
                <w:sz w:val="18"/>
                <w:szCs w:val="18"/>
                <w:lang w:val="fr-FR"/>
              </w:rPr>
              <w:t>Condition B</w:t>
            </w:r>
            <w:r w:rsidRPr="00A779B8">
              <w:rPr>
                <w:sz w:val="18"/>
                <w:szCs w:val="18"/>
                <w:lang w:val="fr-FR"/>
              </w:rPr>
              <w:br/>
              <w:t>niveau de charge minimal</w:t>
            </w:r>
          </w:p>
        </w:tc>
        <w:tc>
          <w:tcPr>
            <w:tcW w:w="1797" w:type="dxa"/>
          </w:tcPr>
          <w:p w:rsidR="00C76E16" w:rsidRPr="00A779B8" w:rsidRDefault="00C76E16" w:rsidP="00DB4C2D">
            <w:pPr>
              <w:spacing w:before="60" w:after="60" w:line="220" w:lineRule="atLeast"/>
              <w:rPr>
                <w:sz w:val="18"/>
                <w:szCs w:val="18"/>
                <w:lang w:val="fr-FR"/>
              </w:rPr>
            </w:pPr>
            <w:r w:rsidRPr="00A779B8">
              <w:rPr>
                <w:sz w:val="18"/>
                <w:szCs w:val="18"/>
                <w:lang w:val="fr-FR"/>
              </w:rPr>
              <w:t>Hybride</w:t>
            </w:r>
          </w:p>
        </w:tc>
        <w:tc>
          <w:tcPr>
            <w:tcW w:w="1798" w:type="dxa"/>
          </w:tcPr>
          <w:p w:rsidR="00C76E16" w:rsidRPr="00A779B8" w:rsidRDefault="00C76E16" w:rsidP="00DB4C2D">
            <w:pPr>
              <w:spacing w:before="60" w:after="60" w:line="220" w:lineRule="atLeast"/>
              <w:rPr>
                <w:sz w:val="18"/>
                <w:szCs w:val="18"/>
                <w:lang w:val="fr-FR"/>
              </w:rPr>
            </w:pPr>
            <w:r w:rsidRPr="00A779B8">
              <w:rPr>
                <w:sz w:val="18"/>
                <w:szCs w:val="18"/>
                <w:lang w:val="fr-FR"/>
              </w:rPr>
              <w:t xml:space="preserve">Thermique </w:t>
            </w:r>
          </w:p>
        </w:tc>
        <w:tc>
          <w:tcPr>
            <w:tcW w:w="1798" w:type="dxa"/>
          </w:tcPr>
          <w:p w:rsidR="00C76E16" w:rsidRPr="00A779B8" w:rsidRDefault="00C76E16" w:rsidP="00DB4C2D">
            <w:pPr>
              <w:spacing w:before="60" w:after="60" w:line="220" w:lineRule="atLeast"/>
              <w:rPr>
                <w:sz w:val="18"/>
                <w:szCs w:val="18"/>
                <w:lang w:val="fr-FR"/>
              </w:rPr>
            </w:pPr>
            <w:r w:rsidRPr="00A779B8">
              <w:rPr>
                <w:sz w:val="18"/>
                <w:szCs w:val="18"/>
                <w:lang w:val="fr-FR"/>
              </w:rPr>
              <w:t xml:space="preserve">Thermique </w:t>
            </w:r>
          </w:p>
        </w:tc>
        <w:tc>
          <w:tcPr>
            <w:tcW w:w="1798" w:type="dxa"/>
          </w:tcPr>
          <w:p w:rsidR="00C76E16" w:rsidRPr="00A779B8" w:rsidRDefault="00C76E16" w:rsidP="00DB4C2D">
            <w:pPr>
              <w:spacing w:before="60" w:after="60" w:line="220" w:lineRule="atLeast"/>
              <w:rPr>
                <w:sz w:val="18"/>
                <w:szCs w:val="18"/>
                <w:lang w:val="fr-FR"/>
              </w:rPr>
            </w:pPr>
            <w:r w:rsidRPr="00A779B8">
              <w:rPr>
                <w:sz w:val="18"/>
                <w:szCs w:val="18"/>
                <w:lang w:val="fr-FR"/>
              </w:rPr>
              <w:t>Thermique prédominant</w:t>
            </w:r>
            <w:r w:rsidRPr="00A779B8">
              <w:rPr>
                <w:i/>
                <w:sz w:val="18"/>
                <w:szCs w:val="18"/>
                <w:vertAlign w:val="superscript"/>
                <w:lang w:val="fr-FR"/>
              </w:rPr>
              <w:t>3</w:t>
            </w:r>
          </w:p>
        </w:tc>
      </w:tr>
    </w:tbl>
    <w:p w:rsidR="00C76E16" w:rsidRPr="00A779B8" w:rsidRDefault="00C76E16" w:rsidP="00C76E16">
      <w:pPr>
        <w:pStyle w:val="SingleTxtG"/>
        <w:keepLines/>
        <w:tabs>
          <w:tab w:val="left" w:pos="2268"/>
        </w:tabs>
        <w:spacing w:before="120" w:after="0"/>
        <w:ind w:left="454" w:right="0" w:hanging="284"/>
        <w:jc w:val="left"/>
        <w:rPr>
          <w:sz w:val="18"/>
          <w:szCs w:val="18"/>
          <w:lang w:val="fr-FR"/>
        </w:rPr>
      </w:pPr>
      <w:r w:rsidRPr="00A779B8">
        <w:rPr>
          <w:i/>
          <w:sz w:val="18"/>
          <w:szCs w:val="18"/>
          <w:vertAlign w:val="superscript"/>
          <w:lang w:val="fr-FR"/>
        </w:rPr>
        <w:t>1</w:t>
      </w:r>
      <w:r w:rsidRPr="00A779B8">
        <w:rPr>
          <w:sz w:val="18"/>
          <w:szCs w:val="18"/>
          <w:lang w:val="fr-FR"/>
        </w:rPr>
        <w:tab/>
        <w:t>Par exemple: mode sport, économique, urbain, extra-urbain...</w:t>
      </w:r>
    </w:p>
    <w:p w:rsidR="00C76E16" w:rsidRPr="00A779B8" w:rsidRDefault="00C76E16" w:rsidP="00C76E16">
      <w:pPr>
        <w:keepNext/>
        <w:spacing w:line="220" w:lineRule="exact"/>
        <w:ind w:left="454" w:hanging="284"/>
        <w:rPr>
          <w:sz w:val="18"/>
          <w:szCs w:val="18"/>
          <w:lang w:val="fr-FR"/>
        </w:rPr>
      </w:pPr>
      <w:r w:rsidRPr="00A779B8">
        <w:rPr>
          <w:i/>
          <w:sz w:val="18"/>
          <w:szCs w:val="18"/>
          <w:vertAlign w:val="superscript"/>
          <w:lang w:val="fr-FR"/>
        </w:rPr>
        <w:t>2</w:t>
      </w:r>
      <w:r w:rsidRPr="00A779B8">
        <w:rPr>
          <w:sz w:val="18"/>
          <w:szCs w:val="18"/>
          <w:lang w:val="fr-FR"/>
        </w:rPr>
        <w:tab/>
      </w:r>
      <w:r w:rsidRPr="00A779B8">
        <w:rPr>
          <w:i/>
          <w:sz w:val="18"/>
          <w:szCs w:val="18"/>
          <w:lang w:val="fr-FR"/>
        </w:rPr>
        <w:t>Mode hybride surtout électrique</w:t>
      </w:r>
      <w:r w:rsidRPr="00A779B8">
        <w:rPr>
          <w:sz w:val="18"/>
          <w:szCs w:val="18"/>
          <w:lang w:val="fr-FR"/>
        </w:rPr>
        <w:t>:</w:t>
      </w:r>
      <w:r w:rsidRPr="00A779B8">
        <w:rPr>
          <w:sz w:val="18"/>
          <w:szCs w:val="18"/>
          <w:lang w:val="fr-FR"/>
        </w:rPr>
        <w:br/>
        <w:t>Mode hybride pour lequel on constate la consommation d</w:t>
      </w:r>
      <w:r w:rsidR="00DB4C2D">
        <w:rPr>
          <w:sz w:val="18"/>
          <w:szCs w:val="18"/>
          <w:lang w:val="fr-FR"/>
        </w:rPr>
        <w:t>’</w:t>
      </w:r>
      <w:r w:rsidRPr="00A779B8">
        <w:rPr>
          <w:sz w:val="18"/>
          <w:szCs w:val="18"/>
          <w:lang w:val="fr-FR"/>
        </w:rPr>
        <w:t>électricité la plus élevée de tous les modes hybrides sélectionnables au cours d</w:t>
      </w:r>
      <w:r w:rsidR="00DB4C2D">
        <w:rPr>
          <w:sz w:val="18"/>
          <w:szCs w:val="18"/>
          <w:lang w:val="fr-FR"/>
        </w:rPr>
        <w:t>’</w:t>
      </w:r>
      <w:r w:rsidRPr="00A779B8">
        <w:rPr>
          <w:sz w:val="18"/>
          <w:szCs w:val="18"/>
          <w:lang w:val="fr-FR"/>
        </w:rPr>
        <w:t>un essai conforme à la condition A du paragraphe 4 de l</w:t>
      </w:r>
      <w:r w:rsidR="00DB4C2D">
        <w:rPr>
          <w:sz w:val="18"/>
          <w:szCs w:val="18"/>
          <w:lang w:val="fr-FR"/>
        </w:rPr>
        <w:t>’</w:t>
      </w:r>
      <w:r w:rsidRPr="00A779B8">
        <w:rPr>
          <w:sz w:val="18"/>
          <w:szCs w:val="18"/>
          <w:lang w:val="fr-FR"/>
        </w:rPr>
        <w:t xml:space="preserve">annexe 8 du Règlement </w:t>
      </w:r>
      <w:r w:rsidRPr="00A779B8">
        <w:rPr>
          <w:rFonts w:eastAsia="MS Mincho"/>
          <w:sz w:val="18"/>
          <w:szCs w:val="18"/>
          <w:lang w:val="fr-FR"/>
        </w:rPr>
        <w:t>n</w:t>
      </w:r>
      <w:r w:rsidRPr="00A779B8">
        <w:rPr>
          <w:rFonts w:eastAsia="MS Mincho"/>
          <w:sz w:val="18"/>
          <w:szCs w:val="18"/>
          <w:vertAlign w:val="superscript"/>
          <w:lang w:val="fr-FR"/>
        </w:rPr>
        <w:t>o</w:t>
      </w:r>
      <w:r w:rsidRPr="00A779B8">
        <w:rPr>
          <w:sz w:val="18"/>
          <w:szCs w:val="18"/>
          <w:lang w:val="fr-FR"/>
        </w:rPr>
        <w:t> 101, à définir sur la base des informations fournies par le constructeur et en accord avec le service technique.</w:t>
      </w:r>
    </w:p>
    <w:p w:rsidR="00C76E16" w:rsidRDefault="00C76E16" w:rsidP="00C76E16">
      <w:pPr>
        <w:pStyle w:val="SingleTxtG"/>
        <w:keepLines/>
        <w:tabs>
          <w:tab w:val="left" w:pos="2268"/>
        </w:tabs>
        <w:ind w:left="454" w:right="0" w:hanging="284"/>
        <w:jc w:val="left"/>
        <w:rPr>
          <w:sz w:val="18"/>
          <w:szCs w:val="18"/>
          <w:lang w:val="fr-FR"/>
        </w:rPr>
      </w:pPr>
      <w:r w:rsidRPr="00A779B8">
        <w:rPr>
          <w:i/>
          <w:sz w:val="18"/>
          <w:szCs w:val="18"/>
          <w:vertAlign w:val="superscript"/>
          <w:lang w:val="fr-FR"/>
        </w:rPr>
        <w:t>3</w:t>
      </w:r>
      <w:r w:rsidRPr="00A779B8">
        <w:rPr>
          <w:sz w:val="18"/>
          <w:szCs w:val="18"/>
          <w:lang w:val="fr-FR"/>
        </w:rPr>
        <w:tab/>
      </w:r>
      <w:r w:rsidRPr="00A779B8">
        <w:rPr>
          <w:i/>
          <w:sz w:val="18"/>
          <w:szCs w:val="18"/>
          <w:lang w:val="fr-FR"/>
        </w:rPr>
        <w:t>Mode hybride surtout thermique</w:t>
      </w:r>
      <w:r w:rsidRPr="00A779B8">
        <w:rPr>
          <w:sz w:val="18"/>
          <w:szCs w:val="18"/>
          <w:lang w:val="fr-FR"/>
        </w:rPr>
        <w:t>:</w:t>
      </w:r>
      <w:r w:rsidRPr="00A779B8">
        <w:rPr>
          <w:sz w:val="18"/>
          <w:szCs w:val="18"/>
          <w:lang w:val="fr-FR"/>
        </w:rPr>
        <w:br/>
        <w:t>Mode hybride pour lequel on constate la consommation de carburant la plus élevée de tous les modes hybrides sélectionnables au cours d</w:t>
      </w:r>
      <w:r w:rsidR="00DB4C2D">
        <w:rPr>
          <w:sz w:val="18"/>
          <w:szCs w:val="18"/>
          <w:lang w:val="fr-FR"/>
        </w:rPr>
        <w:t>’</w:t>
      </w:r>
      <w:r w:rsidRPr="00A779B8">
        <w:rPr>
          <w:sz w:val="18"/>
          <w:szCs w:val="18"/>
          <w:lang w:val="fr-FR"/>
        </w:rPr>
        <w:t>un essai conforme à la condition B du paragraphe 4 de l</w:t>
      </w:r>
      <w:r w:rsidR="00DB4C2D">
        <w:rPr>
          <w:sz w:val="18"/>
          <w:szCs w:val="18"/>
          <w:lang w:val="fr-FR"/>
        </w:rPr>
        <w:t>’</w:t>
      </w:r>
      <w:r w:rsidRPr="00A779B8">
        <w:rPr>
          <w:sz w:val="18"/>
          <w:szCs w:val="18"/>
          <w:lang w:val="fr-FR"/>
        </w:rPr>
        <w:t xml:space="preserve">annexe 8 du Règlement </w:t>
      </w:r>
      <w:r w:rsidRPr="00A779B8">
        <w:rPr>
          <w:rFonts w:eastAsia="MS Mincho"/>
          <w:sz w:val="18"/>
          <w:szCs w:val="18"/>
          <w:lang w:val="fr-FR"/>
        </w:rPr>
        <w:t>n</w:t>
      </w:r>
      <w:r w:rsidRPr="00A779B8">
        <w:rPr>
          <w:rFonts w:eastAsia="MS Mincho"/>
          <w:sz w:val="18"/>
          <w:szCs w:val="18"/>
          <w:vertAlign w:val="superscript"/>
          <w:lang w:val="fr-FR"/>
        </w:rPr>
        <w:t>o</w:t>
      </w:r>
      <w:r w:rsidRPr="00A779B8">
        <w:rPr>
          <w:sz w:val="18"/>
          <w:szCs w:val="18"/>
          <w:lang w:val="fr-FR"/>
        </w:rPr>
        <w:t> 101, à définir sur la base des informations fournies par le constructeur et en accord avec le service technique.</w:t>
      </w:r>
    </w:p>
    <w:p w:rsidR="00C76E16" w:rsidRPr="00F74D15" w:rsidRDefault="00C76E16" w:rsidP="00C76E16">
      <w:pPr>
        <w:pStyle w:val="SingleTxtG"/>
        <w:keepLines/>
        <w:tabs>
          <w:tab w:val="left" w:pos="2268"/>
        </w:tabs>
        <w:spacing w:before="240"/>
        <w:ind w:left="3402" w:hanging="2268"/>
        <w:jc w:val="left"/>
        <w:rPr>
          <w:lang w:val="fr-FR"/>
        </w:rPr>
      </w:pPr>
      <w:r w:rsidRPr="00A779B8">
        <w:rPr>
          <w:lang w:val="fr-FR"/>
        </w:rPr>
        <w:lastRenderedPageBreak/>
        <w:t>3.2.2</w:t>
      </w:r>
      <w:r w:rsidRPr="00A779B8">
        <w:rPr>
          <w:lang w:val="fr-FR"/>
        </w:rPr>
        <w:tab/>
      </w:r>
      <w:r w:rsidRPr="00F74D15">
        <w:rPr>
          <w:lang w:val="fr-FR"/>
        </w:rPr>
        <w:t>Condition A</w:t>
      </w:r>
    </w:p>
    <w:p w:rsidR="00C76E16" w:rsidRPr="00A779B8" w:rsidRDefault="00C76E16" w:rsidP="00C76E16">
      <w:pPr>
        <w:pStyle w:val="SingleTxtG"/>
        <w:ind w:left="2268" w:hanging="1134"/>
        <w:rPr>
          <w:lang w:val="fr-FR"/>
        </w:rPr>
      </w:pPr>
      <w:r w:rsidRPr="00A779B8">
        <w:rPr>
          <w:lang w:val="fr-FR"/>
        </w:rPr>
        <w:t>3.2.2.1</w:t>
      </w:r>
      <w:r w:rsidRPr="00A779B8">
        <w:rPr>
          <w:lang w:val="fr-FR"/>
        </w:rPr>
        <w:tab/>
        <w:t>Si l</w:t>
      </w:r>
      <w:r w:rsidR="00DB4C2D">
        <w:rPr>
          <w:lang w:val="fr-FR"/>
        </w:rPr>
        <w:t>’</w:t>
      </w:r>
      <w:r w:rsidRPr="00A779B8">
        <w:rPr>
          <w:lang w:val="fr-FR"/>
        </w:rPr>
        <w:t>autonomie du véhicule en mode purement électrique est supérieure à un cycle complet, à la demande du constructeur, l</w:t>
      </w:r>
      <w:r w:rsidR="00DB4C2D">
        <w:rPr>
          <w:lang w:val="fr-FR"/>
        </w:rPr>
        <w:t>’</w:t>
      </w:r>
      <w:r w:rsidRPr="00A779B8">
        <w:rPr>
          <w:lang w:val="fr-FR"/>
        </w:rPr>
        <w:t xml:space="preserve">essai du type I peut être effectué en mode purement électrique. Dans ce cas, le </w:t>
      </w:r>
      <w:proofErr w:type="spellStart"/>
      <w:r w:rsidRPr="00A779B8">
        <w:rPr>
          <w:lang w:val="fr-FR"/>
        </w:rPr>
        <w:t>préconditionnement</w:t>
      </w:r>
      <w:proofErr w:type="spellEnd"/>
      <w:r w:rsidRPr="00A779B8">
        <w:rPr>
          <w:lang w:val="fr-FR"/>
        </w:rPr>
        <w:t xml:space="preserve"> du moteur prescrit au paragraphe 3.2.2.3.1 ou au paragraphe 3.2.2.3.2 de la présente annexe peut être omis.</w:t>
      </w:r>
    </w:p>
    <w:p w:rsidR="00C76E16" w:rsidRPr="00A779B8" w:rsidRDefault="00C76E16" w:rsidP="00C76E16">
      <w:pPr>
        <w:pStyle w:val="SingleTxtG"/>
        <w:ind w:left="2268" w:hanging="1134"/>
        <w:rPr>
          <w:lang w:val="fr-FR"/>
        </w:rPr>
      </w:pPr>
      <w:r w:rsidRPr="00A779B8">
        <w:rPr>
          <w:lang w:val="fr-FR"/>
        </w:rPr>
        <w:t>3.2.2.2</w:t>
      </w:r>
      <w:r w:rsidRPr="00A779B8">
        <w:rPr>
          <w:lang w:val="fr-FR"/>
        </w:rPr>
        <w:tab/>
        <w:t>On doit commencer par décharger le dispositif de stockage d</w:t>
      </w:r>
      <w:r w:rsidR="00DB4C2D">
        <w:rPr>
          <w:lang w:val="fr-FR"/>
        </w:rPr>
        <w:t>’</w:t>
      </w:r>
      <w:r w:rsidRPr="00A779B8">
        <w:rPr>
          <w:lang w:val="fr-FR"/>
        </w:rPr>
        <w:t>énergie du véhicule en le faisant rouler alors que le commutateur est en mode purement électrique (sur la piste d</w:t>
      </w:r>
      <w:r w:rsidR="00DB4C2D">
        <w:rPr>
          <w:lang w:val="fr-FR"/>
        </w:rPr>
        <w:t>’</w:t>
      </w:r>
      <w:r w:rsidRPr="00A779B8">
        <w:rPr>
          <w:lang w:val="fr-FR"/>
        </w:rPr>
        <w:t xml:space="preserve">essai, au banc dynamométrique, etc.) à une vitesse constante de 70 </w:t>
      </w:r>
      <w:r w:rsidRPr="00A779B8">
        <w:rPr>
          <w:lang w:val="fr-FR"/>
        </w:rPr>
        <w:sym w:font="Symbol" w:char="F0B1"/>
      </w:r>
      <w:r w:rsidRPr="00A779B8">
        <w:rPr>
          <w:lang w:val="fr-FR"/>
        </w:rPr>
        <w:t> 5 % de la vitesse maximale du véhicule pendant 30 min (déterminée conformément au Règlement n</w:t>
      </w:r>
      <w:r w:rsidRPr="00A779B8">
        <w:rPr>
          <w:vertAlign w:val="superscript"/>
          <w:lang w:val="fr-FR"/>
        </w:rPr>
        <w:t>o</w:t>
      </w:r>
      <w:r w:rsidRPr="00A779B8">
        <w:rPr>
          <w:lang w:val="fr-FR"/>
        </w:rPr>
        <w:t> 101).</w:t>
      </w:r>
    </w:p>
    <w:p w:rsidR="00C76E16" w:rsidRPr="00A779B8" w:rsidRDefault="00C76E16" w:rsidP="00C76E16">
      <w:pPr>
        <w:pStyle w:val="SingleTxtG"/>
        <w:keepNext/>
        <w:keepLines/>
        <w:ind w:left="2268"/>
        <w:rPr>
          <w:lang w:val="fr-FR"/>
        </w:rPr>
      </w:pPr>
      <w:r w:rsidRPr="00A779B8">
        <w:rPr>
          <w:lang w:val="fr-FR"/>
        </w:rPr>
        <w:tab/>
        <w:t>La décharge est arrêtée:</w:t>
      </w:r>
    </w:p>
    <w:p w:rsidR="00C76E16" w:rsidRPr="00A779B8" w:rsidRDefault="00C76E16" w:rsidP="00C76E16">
      <w:pPr>
        <w:pStyle w:val="SingleTxtG"/>
        <w:ind w:left="2835" w:hanging="567"/>
        <w:rPr>
          <w:lang w:val="fr-FR"/>
        </w:rPr>
      </w:pPr>
      <w:r w:rsidRPr="00A779B8">
        <w:rPr>
          <w:lang w:val="fr-FR"/>
        </w:rPr>
        <w:t>a)</w:t>
      </w:r>
      <w:r w:rsidRPr="00A779B8">
        <w:rPr>
          <w:lang w:val="fr-FR"/>
        </w:rPr>
        <w:tab/>
        <w:t>Lorsque le véhicule ne peut plus rouler à 65 % de la vitesse maximale sur 30 min; ou</w:t>
      </w:r>
    </w:p>
    <w:p w:rsidR="00C76E16" w:rsidRPr="00A779B8" w:rsidRDefault="00C76E16" w:rsidP="00C76E16">
      <w:pPr>
        <w:pStyle w:val="SingleTxtG"/>
        <w:ind w:left="2835" w:hanging="567"/>
        <w:rPr>
          <w:lang w:val="fr-FR"/>
        </w:rPr>
      </w:pPr>
      <w:r w:rsidRPr="00A779B8">
        <w:rPr>
          <w:lang w:val="fr-FR"/>
        </w:rPr>
        <w:t>b)</w:t>
      </w:r>
      <w:r w:rsidRPr="00A779B8">
        <w:rPr>
          <w:lang w:val="fr-FR"/>
        </w:rPr>
        <w:tab/>
        <w:t>Lorsque les instruments de bord montés en série indiquent au conducteur qu</w:t>
      </w:r>
      <w:r w:rsidR="00DB4C2D">
        <w:rPr>
          <w:lang w:val="fr-FR"/>
        </w:rPr>
        <w:t>’</w:t>
      </w:r>
      <w:r w:rsidRPr="00A779B8">
        <w:rPr>
          <w:lang w:val="fr-FR"/>
        </w:rPr>
        <w:t>il doit arrêter le véhicule; ou</w:t>
      </w:r>
    </w:p>
    <w:p w:rsidR="00C76E16" w:rsidRPr="00A779B8" w:rsidRDefault="00C76E16" w:rsidP="00C76E16">
      <w:pPr>
        <w:pStyle w:val="SingleTxtG"/>
        <w:ind w:left="2835" w:hanging="567"/>
        <w:rPr>
          <w:lang w:val="fr-FR"/>
        </w:rPr>
      </w:pPr>
      <w:r w:rsidRPr="00A779B8">
        <w:rPr>
          <w:lang w:val="fr-FR"/>
        </w:rPr>
        <w:t>c)</w:t>
      </w:r>
      <w:r w:rsidRPr="00A779B8">
        <w:rPr>
          <w:lang w:val="fr-FR"/>
        </w:rPr>
        <w:tab/>
        <w:t>Lorsque le véhicule a parcouru une distance de 100 km.</w:t>
      </w:r>
    </w:p>
    <w:p w:rsidR="00C76E16" w:rsidRPr="00A779B8" w:rsidRDefault="00C76E16" w:rsidP="00C76E16">
      <w:pPr>
        <w:pStyle w:val="SingleTxtG"/>
        <w:keepNext/>
        <w:keepLines/>
        <w:ind w:left="2268"/>
        <w:rPr>
          <w:lang w:val="fr-FR"/>
        </w:rPr>
      </w:pPr>
      <w:r w:rsidRPr="00A779B8">
        <w:rPr>
          <w:lang w:val="fr-FR"/>
        </w:rPr>
        <w:tab/>
        <w:t>Si le véhicule n</w:t>
      </w:r>
      <w:r w:rsidR="00DB4C2D">
        <w:rPr>
          <w:lang w:val="fr-FR"/>
        </w:rPr>
        <w:t>’</w:t>
      </w:r>
      <w:r w:rsidRPr="00A779B8">
        <w:rPr>
          <w:lang w:val="fr-FR"/>
        </w:rPr>
        <w:t>est pas doté d</w:t>
      </w:r>
      <w:r w:rsidR="00DB4C2D">
        <w:rPr>
          <w:lang w:val="fr-FR"/>
        </w:rPr>
        <w:t>’</w:t>
      </w:r>
      <w:r w:rsidRPr="00A779B8">
        <w:rPr>
          <w:lang w:val="fr-FR"/>
        </w:rPr>
        <w:t>un mode électrique pur, on doit décharger le dispositif de stockage d</w:t>
      </w:r>
      <w:r w:rsidR="00DB4C2D">
        <w:rPr>
          <w:lang w:val="fr-FR"/>
        </w:rPr>
        <w:t>’</w:t>
      </w:r>
      <w:r w:rsidRPr="00A779B8">
        <w:rPr>
          <w:lang w:val="fr-FR"/>
        </w:rPr>
        <w:t>énergie en faisant rouler le véhicule (sur une piste d</w:t>
      </w:r>
      <w:r w:rsidR="00DB4C2D">
        <w:rPr>
          <w:lang w:val="fr-FR"/>
        </w:rPr>
        <w:t>’</w:t>
      </w:r>
      <w:r w:rsidRPr="00A779B8">
        <w:rPr>
          <w:lang w:val="fr-FR"/>
        </w:rPr>
        <w:t>essai, un banc dynamométrique, etc.):</w:t>
      </w:r>
    </w:p>
    <w:p w:rsidR="00C76E16" w:rsidRPr="00A779B8" w:rsidRDefault="00C76E16" w:rsidP="00C76E16">
      <w:pPr>
        <w:pStyle w:val="SingleTxtG"/>
        <w:ind w:left="2835" w:hanging="567"/>
        <w:rPr>
          <w:lang w:val="fr-FR"/>
        </w:rPr>
      </w:pPr>
      <w:r w:rsidRPr="00A779B8">
        <w:rPr>
          <w:lang w:val="fr-FR"/>
        </w:rPr>
        <w:t>a)</w:t>
      </w:r>
      <w:r w:rsidRPr="00A779B8">
        <w:rPr>
          <w:lang w:val="fr-FR"/>
        </w:rPr>
        <w:tab/>
        <w:t>À une vitesse constante de 50 km/h jusqu</w:t>
      </w:r>
      <w:r w:rsidR="00DB4C2D">
        <w:rPr>
          <w:lang w:val="fr-FR"/>
        </w:rPr>
        <w:t>’</w:t>
      </w:r>
      <w:r w:rsidRPr="00A779B8">
        <w:rPr>
          <w:lang w:val="fr-FR"/>
        </w:rPr>
        <w:t xml:space="preserve">à ce que son moteur thermique démarre; </w:t>
      </w:r>
    </w:p>
    <w:p w:rsidR="00C76E16" w:rsidRPr="00A779B8" w:rsidRDefault="00C76E16" w:rsidP="00C76E16">
      <w:pPr>
        <w:pStyle w:val="SingleTxtG"/>
        <w:ind w:left="2835" w:hanging="567"/>
        <w:rPr>
          <w:lang w:val="fr-FR"/>
        </w:rPr>
      </w:pPr>
      <w:r w:rsidRPr="00A779B8">
        <w:rPr>
          <w:lang w:val="fr-FR"/>
        </w:rPr>
        <w:t>b)</w:t>
      </w:r>
      <w:r w:rsidRPr="00A779B8">
        <w:rPr>
          <w:lang w:val="fr-FR"/>
        </w:rPr>
        <w:tab/>
        <w:t>Ou, si le véhicule ne peut atteindre une vitesse constante de 50 km/h sans démarrage du moteur thermique, à une vitesse constante moindre pendant une durée définie ou sur une distance définie (à convenir entre le service technique et le fabricant), sans que le moteur thermique ne démarre;</w:t>
      </w:r>
    </w:p>
    <w:p w:rsidR="00C76E16" w:rsidRPr="00A779B8" w:rsidRDefault="00C76E16" w:rsidP="00C76E16">
      <w:pPr>
        <w:pStyle w:val="SingleTxtG"/>
        <w:ind w:left="2835" w:hanging="567"/>
        <w:rPr>
          <w:lang w:val="fr-FR"/>
        </w:rPr>
      </w:pPr>
      <w:r w:rsidRPr="00A779B8">
        <w:rPr>
          <w:lang w:val="fr-FR"/>
        </w:rPr>
        <w:t>c)</w:t>
      </w:r>
      <w:r w:rsidRPr="00A779B8">
        <w:rPr>
          <w:lang w:val="fr-FR"/>
        </w:rPr>
        <w:tab/>
        <w:t>Ou encore suivant les recommandations du constructeur.</w:t>
      </w:r>
    </w:p>
    <w:p w:rsidR="00C76E16" w:rsidRPr="00A779B8" w:rsidRDefault="00C76E16" w:rsidP="00C76E16">
      <w:pPr>
        <w:pStyle w:val="SingleTxtG"/>
        <w:ind w:left="2268"/>
        <w:rPr>
          <w:lang w:val="fr-FR"/>
        </w:rPr>
      </w:pPr>
      <w:r w:rsidRPr="00A779B8">
        <w:rPr>
          <w:lang w:val="fr-FR"/>
        </w:rPr>
        <w:tab/>
        <w:t>Le moteur thermique doit être arrêté dans les 10 s suivant son démarrage automatique.</w:t>
      </w:r>
    </w:p>
    <w:p w:rsidR="00C76E16" w:rsidRPr="00A779B8" w:rsidRDefault="00C76E16" w:rsidP="00C76E16">
      <w:pPr>
        <w:pStyle w:val="SingleTxtG"/>
        <w:keepNext/>
        <w:ind w:left="2268" w:hanging="1134"/>
        <w:jc w:val="left"/>
        <w:rPr>
          <w:lang w:val="fr-FR"/>
        </w:rPr>
      </w:pPr>
      <w:r w:rsidRPr="00A779B8">
        <w:rPr>
          <w:lang w:val="fr-FR"/>
        </w:rPr>
        <w:t>3.2.2.3</w:t>
      </w:r>
      <w:r w:rsidRPr="00A779B8">
        <w:rPr>
          <w:lang w:val="fr-FR"/>
        </w:rPr>
        <w:tab/>
        <w:t>Conditionnement du véhicule</w:t>
      </w:r>
    </w:p>
    <w:p w:rsidR="00C76E16" w:rsidRPr="00A779B8" w:rsidRDefault="00C76E16" w:rsidP="00C76E16">
      <w:pPr>
        <w:pStyle w:val="SingleTxtG"/>
        <w:ind w:left="2268" w:hanging="1134"/>
        <w:rPr>
          <w:lang w:val="fr-FR"/>
        </w:rPr>
      </w:pPr>
      <w:r w:rsidRPr="00A779B8">
        <w:rPr>
          <w:lang w:val="fr-FR"/>
        </w:rPr>
        <w:t>3.2.2.3.1</w:t>
      </w:r>
      <w:r w:rsidRPr="00A779B8">
        <w:rPr>
          <w:lang w:val="fr-FR"/>
        </w:rPr>
        <w:tab/>
        <w:t>Pour les véhicules à moteur à allumage par compression, on doit utiliser le cycle de la seconde partie décrit dans le tableau A4a/2 (et la figure A4a/3) de l</w:t>
      </w:r>
      <w:r w:rsidR="00DB4C2D">
        <w:rPr>
          <w:lang w:val="fr-FR"/>
        </w:rPr>
        <w:t>’</w:t>
      </w:r>
      <w:r w:rsidRPr="00A779B8">
        <w:rPr>
          <w:lang w:val="fr-FR"/>
        </w:rPr>
        <w:t>annexe 4a du présent Règlement. On doit effectuer trois cycles consécutifs conformément au paragraphe 3.2.2.6.3 de la présente annexe.</w:t>
      </w:r>
    </w:p>
    <w:p w:rsidR="00C76E16" w:rsidRPr="00A779B8" w:rsidRDefault="00C76E16" w:rsidP="00C76E16">
      <w:pPr>
        <w:pStyle w:val="SingleTxtG"/>
        <w:ind w:left="2268" w:hanging="1134"/>
        <w:rPr>
          <w:lang w:val="fr-FR"/>
        </w:rPr>
      </w:pPr>
      <w:r w:rsidRPr="00A779B8">
        <w:rPr>
          <w:lang w:val="fr-FR"/>
        </w:rPr>
        <w:t>3.2.2.3.2</w:t>
      </w:r>
      <w:r w:rsidRPr="00A779B8">
        <w:rPr>
          <w:lang w:val="fr-FR"/>
        </w:rPr>
        <w:tab/>
        <w:t>Les véhicules équipés d</w:t>
      </w:r>
      <w:r w:rsidR="00DB4C2D">
        <w:rPr>
          <w:lang w:val="fr-FR"/>
        </w:rPr>
        <w:t>’</w:t>
      </w:r>
      <w:r w:rsidRPr="00A779B8">
        <w:rPr>
          <w:lang w:val="fr-FR"/>
        </w:rPr>
        <w:t xml:space="preserve">un moteur à allumage commandé doivent être </w:t>
      </w:r>
      <w:proofErr w:type="spellStart"/>
      <w:r w:rsidRPr="00A779B8">
        <w:rPr>
          <w:lang w:val="fr-FR"/>
        </w:rPr>
        <w:t>préconditionnés</w:t>
      </w:r>
      <w:proofErr w:type="spellEnd"/>
      <w:r w:rsidRPr="00A779B8">
        <w:rPr>
          <w:lang w:val="fr-FR"/>
        </w:rPr>
        <w:t xml:space="preserve"> avec un cycle de fonctionnement de la première partie et deux cycles de la seconde partie conformément au paragraphe 3.2.2.6.3 de la présente annexe.</w:t>
      </w:r>
    </w:p>
    <w:p w:rsidR="00C76E16" w:rsidRPr="00A779B8" w:rsidRDefault="00C76E16" w:rsidP="00C76E16">
      <w:pPr>
        <w:pStyle w:val="SingleTxtG"/>
        <w:ind w:left="2268" w:hanging="1134"/>
        <w:rPr>
          <w:lang w:val="fr-FR"/>
        </w:rPr>
      </w:pPr>
      <w:r w:rsidRPr="00A779B8">
        <w:rPr>
          <w:lang w:val="fr-FR"/>
        </w:rPr>
        <w:t>3.2.2.4</w:t>
      </w:r>
      <w:r w:rsidRPr="00A779B8">
        <w:rPr>
          <w:lang w:val="fr-FR"/>
        </w:rPr>
        <w:tab/>
        <w:t xml:space="preserve">Après ce </w:t>
      </w:r>
      <w:proofErr w:type="spellStart"/>
      <w:r w:rsidRPr="00A779B8">
        <w:rPr>
          <w:lang w:val="fr-FR"/>
        </w:rPr>
        <w:t>préconditionnement</w:t>
      </w:r>
      <w:proofErr w:type="spellEnd"/>
      <w:r w:rsidRPr="00A779B8">
        <w:rPr>
          <w:lang w:val="fr-FR"/>
        </w:rPr>
        <w:t xml:space="preserve"> et avant l</w:t>
      </w:r>
      <w:r w:rsidR="00DB4C2D">
        <w:rPr>
          <w:lang w:val="fr-FR"/>
        </w:rPr>
        <w:t>’</w:t>
      </w:r>
      <w:r w:rsidRPr="00A779B8">
        <w:rPr>
          <w:lang w:val="fr-FR"/>
        </w:rPr>
        <w:t>essai le véhicule doit être maintenu dans un local dont la température demeure relativement constante entre 293 et 303 K (20 °C et 30 °C). Ce conditionnement doit être effectué pendant au moins 6 h et se poursuivre jusqu</w:t>
      </w:r>
      <w:r w:rsidR="00DB4C2D">
        <w:rPr>
          <w:lang w:val="fr-FR"/>
        </w:rPr>
        <w:t>’</w:t>
      </w:r>
      <w:r w:rsidRPr="00A779B8">
        <w:rPr>
          <w:lang w:val="fr-FR"/>
        </w:rPr>
        <w:t>à ce que la température de l</w:t>
      </w:r>
      <w:r w:rsidR="00DB4C2D">
        <w:rPr>
          <w:lang w:val="fr-FR"/>
        </w:rPr>
        <w:t>’</w:t>
      </w:r>
      <w:r w:rsidRPr="00A779B8">
        <w:rPr>
          <w:lang w:val="fr-FR"/>
        </w:rPr>
        <w:t xml:space="preserve">huile du moteur et du liquide de refroidissement, le cas échéant, soit égale à la température du local </w:t>
      </w:r>
      <w:r w:rsidRPr="00A779B8">
        <w:rPr>
          <w:lang w:val="fr-FR"/>
        </w:rPr>
        <w:sym w:font="Symbol" w:char="F0B1"/>
      </w:r>
      <w:r w:rsidRPr="00A779B8">
        <w:rPr>
          <w:lang w:val="fr-FR"/>
        </w:rPr>
        <w:t>2 K et que le dispositif de stockage d</w:t>
      </w:r>
      <w:r w:rsidR="00DB4C2D">
        <w:rPr>
          <w:lang w:val="fr-FR"/>
        </w:rPr>
        <w:t>’</w:t>
      </w:r>
      <w:r w:rsidRPr="00A779B8">
        <w:rPr>
          <w:lang w:val="fr-FR"/>
        </w:rPr>
        <w:t xml:space="preserve">énergie soit </w:t>
      </w:r>
      <w:proofErr w:type="spellStart"/>
      <w:r w:rsidRPr="00A779B8">
        <w:rPr>
          <w:lang w:val="fr-FR"/>
        </w:rPr>
        <w:t>complètement</w:t>
      </w:r>
      <w:proofErr w:type="spellEnd"/>
      <w:r w:rsidRPr="00A779B8">
        <w:rPr>
          <w:lang w:val="fr-FR"/>
        </w:rPr>
        <w:t xml:space="preserve"> chargé conformément aux prescriptions du paragraphe 3.2.2.5 ci-dessous.</w:t>
      </w:r>
    </w:p>
    <w:p w:rsidR="00C76E16" w:rsidRPr="00A779B8" w:rsidRDefault="00C76E16" w:rsidP="00C76E16">
      <w:pPr>
        <w:pStyle w:val="SingleTxtG"/>
        <w:keepNext/>
        <w:ind w:left="2268" w:hanging="1134"/>
        <w:rPr>
          <w:lang w:val="fr-FR"/>
        </w:rPr>
      </w:pPr>
      <w:r w:rsidRPr="00A779B8">
        <w:rPr>
          <w:lang w:val="fr-FR"/>
        </w:rPr>
        <w:lastRenderedPageBreak/>
        <w:t>3.2.2.5</w:t>
      </w:r>
      <w:r w:rsidRPr="00A779B8">
        <w:rPr>
          <w:lang w:val="fr-FR"/>
        </w:rPr>
        <w:tab/>
        <w:t>Pendant la phase de stabilisation en température, le dispositif de stockage d</w:t>
      </w:r>
      <w:r w:rsidR="00DB4C2D">
        <w:rPr>
          <w:lang w:val="fr-FR"/>
        </w:rPr>
        <w:t>’</w:t>
      </w:r>
      <w:r w:rsidRPr="00A779B8">
        <w:rPr>
          <w:lang w:val="fr-FR"/>
        </w:rPr>
        <w:t>énergie doit être rechargé au moyen:</w:t>
      </w:r>
    </w:p>
    <w:p w:rsidR="00C76E16" w:rsidRPr="00A779B8" w:rsidRDefault="00C76E16" w:rsidP="00C76E16">
      <w:pPr>
        <w:pStyle w:val="SingleTxtG"/>
        <w:ind w:left="2835" w:hanging="567"/>
        <w:rPr>
          <w:lang w:val="fr-FR"/>
        </w:rPr>
      </w:pPr>
      <w:r w:rsidRPr="00A779B8">
        <w:rPr>
          <w:lang w:val="fr-FR"/>
        </w:rPr>
        <w:t>a)</w:t>
      </w:r>
      <w:r w:rsidRPr="00A779B8">
        <w:rPr>
          <w:lang w:val="fr-FR"/>
        </w:rPr>
        <w:tab/>
        <w:t>Du chargeur de bord s</w:t>
      </w:r>
      <w:r w:rsidR="00DB4C2D">
        <w:rPr>
          <w:lang w:val="fr-FR"/>
        </w:rPr>
        <w:t>’</w:t>
      </w:r>
      <w:r w:rsidRPr="00A779B8">
        <w:rPr>
          <w:lang w:val="fr-FR"/>
        </w:rPr>
        <w:t>il est installé; ou</w:t>
      </w:r>
    </w:p>
    <w:p w:rsidR="00C76E16" w:rsidRPr="00A779B8" w:rsidRDefault="00C76E16" w:rsidP="00C76E16">
      <w:pPr>
        <w:pStyle w:val="SingleTxtG"/>
        <w:ind w:left="2835" w:hanging="567"/>
        <w:rPr>
          <w:lang w:val="fr-FR"/>
        </w:rPr>
      </w:pPr>
      <w:r w:rsidRPr="00A779B8">
        <w:rPr>
          <w:lang w:val="fr-FR"/>
        </w:rPr>
        <w:t>b)</w:t>
      </w:r>
      <w:r w:rsidRPr="00A779B8">
        <w:rPr>
          <w:lang w:val="fr-FR"/>
        </w:rPr>
        <w:tab/>
        <w:t>Du chargeur extérieur recommandé par le fabricant, en charge normale de nuit.</w:t>
      </w:r>
    </w:p>
    <w:p w:rsidR="00C76E16" w:rsidRPr="00A779B8" w:rsidRDefault="00C76E16" w:rsidP="00C76E16">
      <w:pPr>
        <w:pStyle w:val="SingleTxtG"/>
        <w:ind w:left="2268"/>
        <w:rPr>
          <w:lang w:val="fr-FR"/>
        </w:rPr>
      </w:pPr>
      <w:r w:rsidRPr="00A779B8">
        <w:rPr>
          <w:lang w:val="fr-FR"/>
        </w:rPr>
        <w:tab/>
        <w:t>Cette méthode exclut tous les types de recharges spéciales qui pourraient être commandées automatiquement ou manuellement, comme par exemple les recharges d</w:t>
      </w:r>
      <w:r w:rsidR="00DB4C2D">
        <w:rPr>
          <w:lang w:val="fr-FR"/>
        </w:rPr>
        <w:t>’</w:t>
      </w:r>
      <w:r w:rsidRPr="00A779B8">
        <w:rPr>
          <w:lang w:val="fr-FR"/>
        </w:rPr>
        <w:t>égalisation ou d</w:t>
      </w:r>
      <w:r w:rsidR="00DB4C2D">
        <w:rPr>
          <w:lang w:val="fr-FR"/>
        </w:rPr>
        <w:t>’</w:t>
      </w:r>
      <w:r w:rsidRPr="00A779B8">
        <w:rPr>
          <w:lang w:val="fr-FR"/>
        </w:rPr>
        <w:t>entretien.</w:t>
      </w:r>
    </w:p>
    <w:p w:rsidR="00C76E16" w:rsidRPr="00A779B8" w:rsidRDefault="00C76E16" w:rsidP="00C76E16">
      <w:pPr>
        <w:pStyle w:val="SingleTxtG"/>
        <w:ind w:left="2268"/>
        <w:rPr>
          <w:lang w:val="fr-FR"/>
        </w:rPr>
      </w:pPr>
      <w:r w:rsidRPr="00A779B8">
        <w:rPr>
          <w:lang w:val="fr-FR"/>
        </w:rPr>
        <w:tab/>
        <w:t>Le constructeur doit déclarer qu</w:t>
      </w:r>
      <w:r w:rsidR="00DB4C2D">
        <w:rPr>
          <w:lang w:val="fr-FR"/>
        </w:rPr>
        <w:t>’</w:t>
      </w:r>
      <w:r w:rsidRPr="00A779B8">
        <w:rPr>
          <w:lang w:val="fr-FR"/>
        </w:rPr>
        <w:t>il n</w:t>
      </w:r>
      <w:r w:rsidR="00DB4C2D">
        <w:rPr>
          <w:lang w:val="fr-FR"/>
        </w:rPr>
        <w:t>’</w:t>
      </w:r>
      <w:r w:rsidRPr="00A779B8">
        <w:rPr>
          <w:lang w:val="fr-FR"/>
        </w:rPr>
        <w:t>y a pas eu d</w:t>
      </w:r>
      <w:r w:rsidR="00DB4C2D">
        <w:rPr>
          <w:lang w:val="fr-FR"/>
        </w:rPr>
        <w:t>’</w:t>
      </w:r>
      <w:r w:rsidRPr="00A779B8">
        <w:rPr>
          <w:lang w:val="fr-FR"/>
        </w:rPr>
        <w:t>opération de recharge spéciale au cours de l</w:t>
      </w:r>
      <w:r w:rsidR="00DB4C2D">
        <w:rPr>
          <w:lang w:val="fr-FR"/>
        </w:rPr>
        <w:t>’</w:t>
      </w:r>
      <w:r w:rsidRPr="00A779B8">
        <w:rPr>
          <w:lang w:val="fr-FR"/>
        </w:rPr>
        <w:t>essai.</w:t>
      </w:r>
    </w:p>
    <w:p w:rsidR="00C76E16" w:rsidRPr="00A779B8" w:rsidRDefault="00C76E16" w:rsidP="00C76E16">
      <w:pPr>
        <w:pStyle w:val="SingleTxtG"/>
        <w:keepNext/>
        <w:ind w:left="2268" w:hanging="1134"/>
        <w:jc w:val="left"/>
        <w:rPr>
          <w:lang w:val="fr-FR"/>
        </w:rPr>
      </w:pPr>
      <w:r w:rsidRPr="00A779B8">
        <w:rPr>
          <w:lang w:val="fr-FR"/>
        </w:rPr>
        <w:t>3.2.2.6</w:t>
      </w:r>
      <w:r w:rsidRPr="00A779B8">
        <w:rPr>
          <w:lang w:val="fr-FR"/>
        </w:rPr>
        <w:tab/>
        <w:t>Mode opératoire</w:t>
      </w:r>
    </w:p>
    <w:p w:rsidR="00C76E16" w:rsidRPr="00A779B8" w:rsidRDefault="00C76E16" w:rsidP="00C76E16">
      <w:pPr>
        <w:pStyle w:val="SingleTxtG"/>
        <w:ind w:left="2268" w:hanging="1134"/>
        <w:rPr>
          <w:lang w:val="fr-FR"/>
        </w:rPr>
      </w:pPr>
      <w:r w:rsidRPr="00A779B8">
        <w:rPr>
          <w:lang w:val="fr-FR"/>
        </w:rPr>
        <w:t>3.2.2.6.1</w:t>
      </w:r>
      <w:r w:rsidRPr="00A779B8">
        <w:rPr>
          <w:lang w:val="fr-FR"/>
        </w:rPr>
        <w:tab/>
        <w:t>On doit faire démarrer le véhicule en utilisant les moyens normalement mis à la disposition du conducteur. Le premier cycle commence par le début de l</w:t>
      </w:r>
      <w:r w:rsidR="00DB4C2D">
        <w:rPr>
          <w:lang w:val="fr-FR"/>
        </w:rPr>
        <w:t>’</w:t>
      </w:r>
      <w:r w:rsidRPr="00A779B8">
        <w:rPr>
          <w:lang w:val="fr-FR"/>
        </w:rPr>
        <w:t>opération de démarrage du véhicule.</w:t>
      </w:r>
    </w:p>
    <w:p w:rsidR="00C76E16" w:rsidRPr="00A779B8" w:rsidRDefault="00C76E16" w:rsidP="00C76E16">
      <w:pPr>
        <w:pStyle w:val="SingleTxtG"/>
        <w:ind w:left="2268" w:hanging="1134"/>
        <w:rPr>
          <w:lang w:val="fr-FR"/>
        </w:rPr>
      </w:pPr>
      <w:r w:rsidRPr="00A779B8">
        <w:rPr>
          <w:lang w:val="fr-FR"/>
        </w:rPr>
        <w:t>3.2.2.6.2</w:t>
      </w:r>
      <w:r w:rsidRPr="00A779B8">
        <w:rPr>
          <w:lang w:val="fr-FR"/>
        </w:rPr>
        <w:tab/>
        <w:t>Les modes opératoires définis dans les paragraphes 3.2.2.6.2.1 ou 3.2.2.6.2.2 ci-dessous peuvent être utilisés, en fonction du mode choisi au paragraphe 4.2.4.2 de l</w:t>
      </w:r>
      <w:r w:rsidR="00DB4C2D">
        <w:rPr>
          <w:lang w:val="fr-FR"/>
        </w:rPr>
        <w:t>’</w:t>
      </w:r>
      <w:r w:rsidRPr="00A779B8">
        <w:rPr>
          <w:lang w:val="fr-FR"/>
        </w:rPr>
        <w:t>annexe 8 du Règlement n</w:t>
      </w:r>
      <w:r w:rsidRPr="00A779B8">
        <w:rPr>
          <w:vertAlign w:val="superscript"/>
          <w:lang w:val="fr-FR"/>
        </w:rPr>
        <w:t>o</w:t>
      </w:r>
      <w:r w:rsidRPr="00A779B8">
        <w:rPr>
          <w:lang w:val="fr-FR"/>
        </w:rPr>
        <w:t xml:space="preserve"> 101. </w:t>
      </w:r>
    </w:p>
    <w:p w:rsidR="00C76E16" w:rsidRPr="00A779B8" w:rsidRDefault="00C76E16" w:rsidP="00C76E16">
      <w:pPr>
        <w:pStyle w:val="SingleTxtG"/>
        <w:ind w:left="2268" w:hanging="1134"/>
        <w:rPr>
          <w:lang w:val="fr-FR"/>
        </w:rPr>
      </w:pPr>
      <w:r w:rsidRPr="00A779B8">
        <w:rPr>
          <w:lang w:val="fr-FR"/>
        </w:rPr>
        <w:t>3.2.2.6.2.1</w:t>
      </w:r>
      <w:r w:rsidRPr="00A779B8">
        <w:rPr>
          <w:lang w:val="fr-FR"/>
        </w:rPr>
        <w:tab/>
        <w:t>Le prélèvement doit commencer avant ou au début de l</w:t>
      </w:r>
      <w:r w:rsidR="00DB4C2D">
        <w:rPr>
          <w:lang w:val="fr-FR"/>
        </w:rPr>
        <w:t>’</w:t>
      </w:r>
      <w:r w:rsidRPr="00A779B8">
        <w:rPr>
          <w:lang w:val="fr-FR"/>
        </w:rPr>
        <w:t>opération de démarrage du véhicule et s</w:t>
      </w:r>
      <w:r w:rsidR="00DB4C2D">
        <w:rPr>
          <w:lang w:val="fr-FR"/>
        </w:rPr>
        <w:t>’</w:t>
      </w:r>
      <w:r w:rsidRPr="00A779B8">
        <w:rPr>
          <w:lang w:val="fr-FR"/>
        </w:rPr>
        <w:t>achever à la fin de la période finale de ralenti dans le cycle de conduite extra-urbain (seconde partie, fin du prélèvement).</w:t>
      </w:r>
    </w:p>
    <w:p w:rsidR="00C76E16" w:rsidRPr="00A779B8" w:rsidRDefault="00C76E16" w:rsidP="00C76E16">
      <w:pPr>
        <w:pStyle w:val="SingleTxtG"/>
        <w:ind w:left="2268" w:hanging="1134"/>
        <w:rPr>
          <w:lang w:val="fr-FR"/>
        </w:rPr>
      </w:pPr>
      <w:r w:rsidRPr="00A779B8">
        <w:rPr>
          <w:lang w:val="fr-FR"/>
        </w:rPr>
        <w:t>3.2.2.6.2.2</w:t>
      </w:r>
      <w:r w:rsidRPr="00A779B8">
        <w:rPr>
          <w:lang w:val="fr-FR"/>
        </w:rPr>
        <w:tab/>
        <w:t>Le prélèvement doit commencer avant ou au début de l</w:t>
      </w:r>
      <w:r w:rsidR="00DB4C2D">
        <w:rPr>
          <w:lang w:val="fr-FR"/>
        </w:rPr>
        <w:t>’</w:t>
      </w:r>
      <w:r w:rsidRPr="00A779B8">
        <w:rPr>
          <w:lang w:val="fr-FR"/>
        </w:rPr>
        <w:t>opération de démarrage du véhicule et continuer pendant un certain nombre de cycles d</w:t>
      </w:r>
      <w:r w:rsidR="00DB4C2D">
        <w:rPr>
          <w:lang w:val="fr-FR"/>
        </w:rPr>
        <w:t>’</w:t>
      </w:r>
      <w:r w:rsidRPr="00A779B8">
        <w:rPr>
          <w:lang w:val="fr-FR"/>
        </w:rPr>
        <w:t>essai répétés. Il doit s</w:t>
      </w:r>
      <w:r w:rsidR="00DB4C2D">
        <w:rPr>
          <w:lang w:val="fr-FR"/>
        </w:rPr>
        <w:t>’</w:t>
      </w:r>
      <w:r w:rsidRPr="00A779B8">
        <w:rPr>
          <w:lang w:val="fr-FR"/>
        </w:rPr>
        <w:t>achever à la fin de la période finale de ralenti du premier cycle extra-urbain (seconde partie) au cours duquel la batterie a atteint le niveau minimal de charge, selon le critère défini ci-après (fin du prélèvement).</w:t>
      </w:r>
    </w:p>
    <w:p w:rsidR="00C76E16" w:rsidRPr="00A779B8" w:rsidRDefault="00C76E16" w:rsidP="00C76E16">
      <w:pPr>
        <w:pStyle w:val="SingleTxtG"/>
        <w:ind w:left="2268"/>
        <w:rPr>
          <w:lang w:val="fr-FR"/>
        </w:rPr>
      </w:pPr>
      <w:r w:rsidRPr="00A779B8">
        <w:rPr>
          <w:lang w:val="fr-FR"/>
        </w:rPr>
        <w:tab/>
        <w:t>Le bilan électrique Q [Ah] doit être mesuré pendant chaque cycle combiné, selon le mode opératoire décrit à l</w:t>
      </w:r>
      <w:r w:rsidR="00DB4C2D">
        <w:rPr>
          <w:lang w:val="fr-FR"/>
        </w:rPr>
        <w:t>’</w:t>
      </w:r>
      <w:r w:rsidRPr="00A779B8">
        <w:rPr>
          <w:lang w:val="fr-FR"/>
        </w:rPr>
        <w:t>appendice 2 de l</w:t>
      </w:r>
      <w:r w:rsidR="00DB4C2D">
        <w:rPr>
          <w:lang w:val="fr-FR"/>
        </w:rPr>
        <w:t>’</w:t>
      </w:r>
      <w:r w:rsidRPr="00A779B8">
        <w:rPr>
          <w:lang w:val="fr-FR"/>
        </w:rPr>
        <w:t xml:space="preserve">annexe 8 du Règlement </w:t>
      </w:r>
      <w:r w:rsidRPr="00A779B8">
        <w:rPr>
          <w:rFonts w:eastAsia="MS Mincho"/>
          <w:lang w:val="fr-FR"/>
        </w:rPr>
        <w:t>n</w:t>
      </w:r>
      <w:r w:rsidRPr="00A779B8">
        <w:rPr>
          <w:rFonts w:eastAsia="MS Mincho"/>
          <w:vertAlign w:val="superscript"/>
          <w:lang w:val="fr-FR"/>
        </w:rPr>
        <w:t>o</w:t>
      </w:r>
      <w:r w:rsidRPr="00A779B8">
        <w:rPr>
          <w:lang w:val="fr-FR"/>
        </w:rPr>
        <w:t> 101 et utilisé pour déterminer l</w:t>
      </w:r>
      <w:r w:rsidR="00DB4C2D">
        <w:rPr>
          <w:lang w:val="fr-FR"/>
        </w:rPr>
        <w:t>’</w:t>
      </w:r>
      <w:r w:rsidRPr="00A779B8">
        <w:rPr>
          <w:lang w:val="fr-FR"/>
        </w:rPr>
        <w:t>instant où le niveau de charge minimal de la batterie a été atteint.</w:t>
      </w:r>
    </w:p>
    <w:p w:rsidR="00C76E16" w:rsidRPr="00A779B8" w:rsidRDefault="00C76E16" w:rsidP="00C76E16">
      <w:pPr>
        <w:pStyle w:val="SingleTxtG"/>
        <w:ind w:left="2268"/>
        <w:rPr>
          <w:lang w:val="fr-FR"/>
        </w:rPr>
      </w:pPr>
      <w:r w:rsidRPr="00A779B8">
        <w:rPr>
          <w:lang w:val="fr-FR"/>
        </w:rPr>
        <w:tab/>
        <w:t>On considère que le niveau de charge minimal de la batterie a été atteint pendant le cycle combiné N si le bilan électrique mesuré au cours du cycle combiné N+1 n</w:t>
      </w:r>
      <w:r w:rsidR="00DB4C2D">
        <w:rPr>
          <w:lang w:val="fr-FR"/>
        </w:rPr>
        <w:t>’</w:t>
      </w:r>
      <w:r w:rsidRPr="00A779B8">
        <w:rPr>
          <w:lang w:val="fr-FR"/>
        </w:rPr>
        <w:t>indique pas une décharge supérieure à 3 % de la capacité nominale de la batterie (en Ah) à son niveau de charge maximal, indiqué par le constructeur. À sa demande, des cycles d</w:t>
      </w:r>
      <w:r w:rsidR="00DB4C2D">
        <w:rPr>
          <w:lang w:val="fr-FR"/>
        </w:rPr>
        <w:t>’</w:t>
      </w:r>
      <w:r w:rsidRPr="00A779B8">
        <w:rPr>
          <w:lang w:val="fr-FR"/>
        </w:rPr>
        <w:t>essai supplémentaires peuvent être exécutés et leurs résultats incorporés dans les calculs définis aux paragraphes 3.2.2.7 et 3.2.4 de la présente annexe à condition que le bilan électrique pour chaque cycle d</w:t>
      </w:r>
      <w:r w:rsidR="00DB4C2D">
        <w:rPr>
          <w:lang w:val="fr-FR"/>
        </w:rPr>
        <w:t>’</w:t>
      </w:r>
      <w:r w:rsidRPr="00A779B8">
        <w:rPr>
          <w:lang w:val="fr-FR"/>
        </w:rPr>
        <w:t>essai supplémentaire indique une décharge de la batterie moindre qu</w:t>
      </w:r>
      <w:r w:rsidR="00DB4C2D">
        <w:rPr>
          <w:lang w:val="fr-FR"/>
        </w:rPr>
        <w:t>’</w:t>
      </w:r>
      <w:r w:rsidRPr="00A779B8">
        <w:rPr>
          <w:lang w:val="fr-FR"/>
        </w:rPr>
        <w:t>au cours du cycle précédent.</w:t>
      </w:r>
    </w:p>
    <w:p w:rsidR="00C76E16" w:rsidRPr="00A779B8" w:rsidRDefault="00C76E16" w:rsidP="00C76E16">
      <w:pPr>
        <w:pStyle w:val="SingleTxtG"/>
        <w:ind w:left="2268"/>
        <w:rPr>
          <w:lang w:val="fr-FR"/>
        </w:rPr>
      </w:pPr>
      <w:r w:rsidRPr="00A779B8">
        <w:rPr>
          <w:lang w:val="fr-FR"/>
        </w:rPr>
        <w:tab/>
        <w:t>Entre deux cycles, on admet une période de stabilisation en température pouvant durer jusqu</w:t>
      </w:r>
      <w:r w:rsidR="00DB4C2D">
        <w:rPr>
          <w:lang w:val="fr-FR"/>
        </w:rPr>
        <w:t>’</w:t>
      </w:r>
      <w:r w:rsidRPr="00A779B8">
        <w:rPr>
          <w:lang w:val="fr-FR"/>
        </w:rPr>
        <w:t>à 10 min. La chaîne de traction doit être mise hors tension au cours de cette période.</w:t>
      </w:r>
    </w:p>
    <w:p w:rsidR="00C76E16" w:rsidRPr="00A779B8" w:rsidRDefault="00C76E16" w:rsidP="00C76E16">
      <w:pPr>
        <w:pStyle w:val="SingleTxtG"/>
        <w:ind w:left="2268" w:hanging="1134"/>
        <w:rPr>
          <w:lang w:val="fr-FR"/>
        </w:rPr>
      </w:pPr>
      <w:r w:rsidRPr="00A779B8">
        <w:rPr>
          <w:lang w:val="fr-FR"/>
        </w:rPr>
        <w:t>3.2.2.6.3</w:t>
      </w:r>
      <w:r w:rsidRPr="00A779B8">
        <w:rPr>
          <w:lang w:val="fr-FR"/>
        </w:rPr>
        <w:tab/>
        <w:t>Le véhicule doit être conduit conformément à l</w:t>
      </w:r>
      <w:r w:rsidR="00DB4C2D">
        <w:rPr>
          <w:lang w:val="fr-FR"/>
        </w:rPr>
        <w:t>’</w:t>
      </w:r>
      <w:r w:rsidRPr="00A779B8">
        <w:rPr>
          <w:lang w:val="fr-FR"/>
        </w:rPr>
        <w:t>annexe 4a du présent Règlement ou, en cas d</w:t>
      </w:r>
      <w:r w:rsidR="00DB4C2D">
        <w:rPr>
          <w:lang w:val="fr-FR"/>
        </w:rPr>
        <w:t>’</w:t>
      </w:r>
      <w:r w:rsidRPr="00A779B8">
        <w:rPr>
          <w:lang w:val="fr-FR"/>
        </w:rPr>
        <w:t>instructions particulières du constructeur concernant le passage des rapports, conformément à ces instructions qui figurent dans le manuel d</w:t>
      </w:r>
      <w:r w:rsidR="00DB4C2D">
        <w:rPr>
          <w:lang w:val="fr-FR"/>
        </w:rPr>
        <w:t>’</w:t>
      </w:r>
      <w:r w:rsidRPr="00A779B8">
        <w:rPr>
          <w:lang w:val="fr-FR"/>
        </w:rPr>
        <w:t>entretien du véhicule et sont indiquées sur le tableau de bord (pour l</w:t>
      </w:r>
      <w:r w:rsidR="00DB4C2D">
        <w:rPr>
          <w:lang w:val="fr-FR"/>
        </w:rPr>
        <w:t>’</w:t>
      </w:r>
      <w:r w:rsidRPr="00A779B8">
        <w:rPr>
          <w:lang w:val="fr-FR"/>
        </w:rPr>
        <w:t xml:space="preserve">information du conducteur). Pour ce type de véhicules, les points de </w:t>
      </w:r>
      <w:r w:rsidRPr="00A779B8">
        <w:rPr>
          <w:lang w:val="fr-FR"/>
        </w:rPr>
        <w:lastRenderedPageBreak/>
        <w:t>changement de vitesse prescrits dans l</w:t>
      </w:r>
      <w:r w:rsidR="00DB4C2D">
        <w:rPr>
          <w:lang w:val="fr-FR"/>
        </w:rPr>
        <w:t>’</w:t>
      </w:r>
      <w:r w:rsidRPr="00A779B8">
        <w:rPr>
          <w:lang w:val="fr-FR"/>
        </w:rPr>
        <w:t>annexe 4a du présent Règlement ne s</w:t>
      </w:r>
      <w:r w:rsidR="00DB4C2D">
        <w:rPr>
          <w:lang w:val="fr-FR"/>
        </w:rPr>
        <w:t>’</w:t>
      </w:r>
      <w:r w:rsidRPr="00A779B8">
        <w:rPr>
          <w:lang w:val="fr-FR"/>
        </w:rPr>
        <w:t>appliquent pas. Pour le profil de la courbe de fonctionnement, on doit appliquer la description figurant au paragraphe 6.1.3 de l</w:t>
      </w:r>
      <w:r w:rsidR="00DB4C2D">
        <w:rPr>
          <w:lang w:val="fr-FR"/>
        </w:rPr>
        <w:t>’</w:t>
      </w:r>
      <w:r w:rsidRPr="00A779B8">
        <w:rPr>
          <w:lang w:val="fr-FR"/>
        </w:rPr>
        <w:t>annexe 4a du présent Règlement.</w:t>
      </w:r>
    </w:p>
    <w:p w:rsidR="00C76E16" w:rsidRPr="00A779B8" w:rsidRDefault="00C76E16" w:rsidP="00C76E16">
      <w:pPr>
        <w:pStyle w:val="SingleTxtG"/>
        <w:keepNext/>
        <w:ind w:left="2268" w:hanging="1134"/>
        <w:rPr>
          <w:lang w:val="fr-FR"/>
        </w:rPr>
      </w:pPr>
      <w:r w:rsidRPr="00A779B8">
        <w:rPr>
          <w:lang w:val="fr-FR"/>
        </w:rPr>
        <w:t>3.2.2.6.4</w:t>
      </w:r>
      <w:r w:rsidRPr="00A779B8">
        <w:rPr>
          <w:lang w:val="fr-FR"/>
        </w:rPr>
        <w:tab/>
        <w:t>Les gaz d</w:t>
      </w:r>
      <w:r w:rsidR="00DB4C2D">
        <w:rPr>
          <w:lang w:val="fr-FR"/>
        </w:rPr>
        <w:t>’</w:t>
      </w:r>
      <w:r w:rsidRPr="00A779B8">
        <w:rPr>
          <w:lang w:val="fr-FR"/>
        </w:rPr>
        <w:t>échappement doivent être analysés conformément à l</w:t>
      </w:r>
      <w:r w:rsidR="00DB4C2D">
        <w:rPr>
          <w:lang w:val="fr-FR"/>
        </w:rPr>
        <w:t>’</w:t>
      </w:r>
      <w:r w:rsidRPr="00A779B8">
        <w:rPr>
          <w:lang w:val="fr-FR"/>
        </w:rPr>
        <w:t>annexe 4a du présent Règlement.</w:t>
      </w:r>
    </w:p>
    <w:p w:rsidR="00C76E16" w:rsidRPr="00A779B8" w:rsidRDefault="00C76E16" w:rsidP="00C76E16">
      <w:pPr>
        <w:pStyle w:val="SingleTxtG"/>
        <w:ind w:left="2268" w:hanging="1134"/>
        <w:rPr>
          <w:lang w:val="fr-FR"/>
        </w:rPr>
      </w:pPr>
      <w:r w:rsidRPr="00A779B8">
        <w:rPr>
          <w:lang w:val="fr-FR"/>
        </w:rPr>
        <w:t>3.2.2.7</w:t>
      </w:r>
      <w:r w:rsidRPr="00A779B8">
        <w:rPr>
          <w:lang w:val="fr-FR"/>
        </w:rPr>
        <w:tab/>
        <w:t>Les résultats d</w:t>
      </w:r>
      <w:r w:rsidR="00DB4C2D">
        <w:rPr>
          <w:lang w:val="fr-FR"/>
        </w:rPr>
        <w:t>’</w:t>
      </w:r>
      <w:r w:rsidRPr="00A779B8">
        <w:rPr>
          <w:lang w:val="fr-FR"/>
        </w:rPr>
        <w:t>essai doivent être comparés aux limites prescrites au paragraphe 5.3.1.4 du présent Règlement et les émissions moyennes de chaque polluant selon la condition A, en grammes par kilomètre, doivent être calculées (M</w:t>
      </w:r>
      <w:r w:rsidRPr="00A779B8">
        <w:rPr>
          <w:vertAlign w:val="subscript"/>
          <w:lang w:val="fr-FR"/>
        </w:rPr>
        <w:t>1i</w:t>
      </w:r>
      <w:r w:rsidRPr="00A779B8">
        <w:rPr>
          <w:lang w:val="fr-FR"/>
        </w:rPr>
        <w:t>).</w:t>
      </w:r>
    </w:p>
    <w:p w:rsidR="00C76E16" w:rsidRPr="00A779B8" w:rsidRDefault="00C76E16" w:rsidP="00C76E16">
      <w:pPr>
        <w:pStyle w:val="SingleTxtG"/>
        <w:ind w:left="2268"/>
        <w:rPr>
          <w:lang w:val="fr-FR"/>
        </w:rPr>
      </w:pPr>
      <w:r w:rsidRPr="00A779B8">
        <w:rPr>
          <w:lang w:val="fr-FR"/>
        </w:rPr>
        <w:tab/>
        <w:t>Si l</w:t>
      </w:r>
      <w:r w:rsidR="00DB4C2D">
        <w:rPr>
          <w:lang w:val="fr-FR"/>
        </w:rPr>
        <w:t>’</w:t>
      </w:r>
      <w:r w:rsidRPr="00A779B8">
        <w:rPr>
          <w:lang w:val="fr-FR"/>
        </w:rPr>
        <w:t>essai est exécuté conformément au paragraphe 3.2.2.6.2.1 de la présente annexe, (M</w:t>
      </w:r>
      <w:r w:rsidRPr="00A779B8">
        <w:rPr>
          <w:vertAlign w:val="subscript"/>
          <w:lang w:val="fr-FR"/>
        </w:rPr>
        <w:t>1i</w:t>
      </w:r>
      <w:r w:rsidRPr="00A779B8">
        <w:rPr>
          <w:lang w:val="fr-FR"/>
        </w:rPr>
        <w:t>) est simplement le résultat de l</w:t>
      </w:r>
      <w:r w:rsidR="00DB4C2D">
        <w:rPr>
          <w:lang w:val="fr-FR"/>
        </w:rPr>
        <w:t>’</w:t>
      </w:r>
      <w:r w:rsidRPr="00A779B8">
        <w:rPr>
          <w:lang w:val="fr-FR"/>
        </w:rPr>
        <w:t>unique cycle combiné.</w:t>
      </w:r>
    </w:p>
    <w:p w:rsidR="00C76E16" w:rsidRPr="00A779B8" w:rsidRDefault="00C76E16" w:rsidP="00C76E16">
      <w:pPr>
        <w:pStyle w:val="SingleTxtG"/>
        <w:ind w:left="2268"/>
        <w:rPr>
          <w:lang w:val="fr-FR"/>
        </w:rPr>
      </w:pPr>
      <w:r w:rsidRPr="00A779B8">
        <w:rPr>
          <w:lang w:val="fr-FR"/>
        </w:rPr>
        <w:tab/>
        <w:t>Si l</w:t>
      </w:r>
      <w:r w:rsidR="00DB4C2D">
        <w:rPr>
          <w:lang w:val="fr-FR"/>
        </w:rPr>
        <w:t>’</w:t>
      </w:r>
      <w:r w:rsidRPr="00A779B8">
        <w:rPr>
          <w:lang w:val="fr-FR"/>
        </w:rPr>
        <w:t>essai est exécuté conformément au paragraphe 3.2.2.6.2.2, le résultat d</w:t>
      </w:r>
      <w:r w:rsidR="00DB4C2D">
        <w:rPr>
          <w:lang w:val="fr-FR"/>
        </w:rPr>
        <w:t>’</w:t>
      </w:r>
      <w:r w:rsidRPr="00A779B8">
        <w:rPr>
          <w:lang w:val="fr-FR"/>
        </w:rPr>
        <w:t>essai de chaque cycle combiné (M</w:t>
      </w:r>
      <w:r w:rsidRPr="00A779B8">
        <w:rPr>
          <w:vertAlign w:val="subscript"/>
          <w:lang w:val="fr-FR"/>
        </w:rPr>
        <w:t>1ia</w:t>
      </w:r>
      <w:r w:rsidRPr="00A779B8">
        <w:rPr>
          <w:lang w:val="fr-FR"/>
        </w:rPr>
        <w:t>), multiplié par les facteurs appropriés de détérioration et les facteurs K</w:t>
      </w:r>
      <w:r w:rsidRPr="00A779B8">
        <w:rPr>
          <w:vertAlign w:val="subscript"/>
          <w:lang w:val="fr-FR"/>
        </w:rPr>
        <w:t>i</w:t>
      </w:r>
      <w:r w:rsidRPr="00A779B8">
        <w:rPr>
          <w:lang w:val="fr-FR"/>
        </w:rPr>
        <w:t>, doit être inférieur aux limites prescrites dans le paragraphe 5.3.1.4 du présent Règlement. Aux fins du calcul dans le paragraphe 3.2.4, M</w:t>
      </w:r>
      <w:r w:rsidRPr="00A779B8">
        <w:rPr>
          <w:vertAlign w:val="subscript"/>
          <w:lang w:val="fr-FR"/>
        </w:rPr>
        <w:t>1i</w:t>
      </w:r>
      <w:r w:rsidRPr="00A779B8">
        <w:rPr>
          <w:lang w:val="fr-FR"/>
        </w:rPr>
        <w:t xml:space="preserve"> est défini comme suit:</w:t>
      </w:r>
    </w:p>
    <w:p w:rsidR="00C76E16" w:rsidRPr="00A779B8" w:rsidRDefault="009D55DD" w:rsidP="00C76E16">
      <w:pPr>
        <w:spacing w:after="120"/>
        <w:ind w:left="2268"/>
        <w:rPr>
          <w:lang w:val="fr-FR"/>
        </w:rPr>
      </w:pPr>
      <w:r>
        <w:rPr>
          <w:noProof/>
          <w:position w:val="-28"/>
          <w:lang w:val="en-US"/>
        </w:rPr>
        <w:drawing>
          <wp:inline distT="0" distB="0" distL="0" distR="0">
            <wp:extent cx="1069975" cy="353695"/>
            <wp:effectExtent l="0" t="0" r="0" b="825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69975" cy="353695"/>
                    </a:xfrm>
                    <a:prstGeom prst="rect">
                      <a:avLst/>
                    </a:prstGeom>
                    <a:noFill/>
                    <a:ln>
                      <a:noFill/>
                    </a:ln>
                  </pic:spPr>
                </pic:pic>
              </a:graphicData>
            </a:graphic>
          </wp:inline>
        </w:drawing>
      </w:r>
    </w:p>
    <w:p w:rsidR="00C76E16" w:rsidRPr="00A779B8" w:rsidRDefault="00C76E16" w:rsidP="00C76E16">
      <w:pPr>
        <w:pStyle w:val="SingleTxtG"/>
        <w:keepNext/>
        <w:spacing w:line="220" w:lineRule="atLeast"/>
        <w:ind w:left="2268"/>
        <w:rPr>
          <w:lang w:val="fr-FR"/>
        </w:rPr>
      </w:pPr>
      <w:r w:rsidRPr="00A779B8">
        <w:rPr>
          <w:lang w:val="fr-FR"/>
        </w:rPr>
        <w:tab/>
        <w:t>où:</w:t>
      </w:r>
    </w:p>
    <w:tbl>
      <w:tblPr>
        <w:tblW w:w="6237" w:type="dxa"/>
        <w:tblInd w:w="2268" w:type="dxa"/>
        <w:tblLayout w:type="fixed"/>
        <w:tblCellMar>
          <w:left w:w="0" w:type="dxa"/>
          <w:right w:w="0" w:type="dxa"/>
        </w:tblCellMar>
        <w:tblLook w:val="01E0" w:firstRow="1" w:lastRow="1" w:firstColumn="1" w:lastColumn="1" w:noHBand="0" w:noVBand="0"/>
      </w:tblPr>
      <w:tblGrid>
        <w:gridCol w:w="593"/>
        <w:gridCol w:w="311"/>
        <w:gridCol w:w="5333"/>
      </w:tblGrid>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i</w:t>
            </w:r>
          </w:p>
        </w:tc>
        <w:tc>
          <w:tcPr>
            <w:tcW w:w="298"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le polluant,</w:t>
            </w:r>
          </w:p>
        </w:tc>
      </w:tr>
      <w:tr w:rsidR="00C76E16" w:rsidRPr="007E29C4" w:rsidTr="00DB4C2D">
        <w:tc>
          <w:tcPr>
            <w:tcW w:w="567" w:type="dxa"/>
            <w:shd w:val="clear" w:color="auto" w:fill="auto"/>
          </w:tcPr>
          <w:p w:rsidR="00C76E16" w:rsidRPr="007E29C4" w:rsidRDefault="00C76E16" w:rsidP="00DB4C2D">
            <w:pPr>
              <w:spacing w:after="120"/>
              <w:rPr>
                <w:lang w:val="fr-FR"/>
              </w:rPr>
            </w:pPr>
            <w:r w:rsidRPr="007E29C4">
              <w:rPr>
                <w:lang w:val="fr-FR"/>
              </w:rPr>
              <w:t>a</w:t>
            </w:r>
          </w:p>
        </w:tc>
        <w:tc>
          <w:tcPr>
            <w:tcW w:w="298" w:type="dxa"/>
            <w:shd w:val="clear" w:color="auto" w:fill="auto"/>
          </w:tcPr>
          <w:p w:rsidR="00C76E16" w:rsidRPr="007E29C4" w:rsidRDefault="00C76E16" w:rsidP="00DB4C2D">
            <w:pPr>
              <w:spacing w:after="120"/>
              <w:rPr>
                <w:lang w:val="fr-FR"/>
              </w:rPr>
            </w:pPr>
            <w:r w:rsidRPr="007E29C4">
              <w:rPr>
                <w:lang w:val="fr-FR"/>
              </w:rPr>
              <w:t>=</w:t>
            </w:r>
          </w:p>
        </w:tc>
        <w:tc>
          <w:tcPr>
            <w:tcW w:w="5103" w:type="dxa"/>
            <w:shd w:val="clear" w:color="auto" w:fill="auto"/>
          </w:tcPr>
          <w:p w:rsidR="00C76E16" w:rsidRPr="007E29C4" w:rsidRDefault="00C76E16" w:rsidP="00DB4C2D">
            <w:pPr>
              <w:spacing w:after="120"/>
              <w:rPr>
                <w:lang w:val="fr-FR"/>
              </w:rPr>
            </w:pPr>
            <w:r w:rsidRPr="007E29C4">
              <w:rPr>
                <w:lang w:val="fr-FR"/>
              </w:rPr>
              <w:t>le cycle.</w:t>
            </w:r>
          </w:p>
        </w:tc>
      </w:tr>
    </w:tbl>
    <w:p w:rsidR="00C76E16" w:rsidRPr="00411D43" w:rsidRDefault="00C76E16" w:rsidP="00C76E16">
      <w:pPr>
        <w:pStyle w:val="SingleTxtG"/>
        <w:keepNext/>
        <w:ind w:left="2268" w:hanging="1134"/>
        <w:jc w:val="left"/>
        <w:rPr>
          <w:lang w:val="fr-FR"/>
        </w:rPr>
      </w:pPr>
      <w:r w:rsidRPr="00A779B8">
        <w:rPr>
          <w:lang w:val="fr-FR"/>
        </w:rPr>
        <w:t>3.2.3</w:t>
      </w:r>
      <w:r w:rsidRPr="00A779B8">
        <w:rPr>
          <w:lang w:val="fr-FR"/>
        </w:rPr>
        <w:tab/>
      </w:r>
      <w:r w:rsidRPr="00411D43">
        <w:rPr>
          <w:lang w:val="fr-FR"/>
        </w:rPr>
        <w:t>Condition B</w:t>
      </w:r>
    </w:p>
    <w:p w:rsidR="00C76E16" w:rsidRPr="00A779B8" w:rsidRDefault="00C76E16" w:rsidP="00C76E16">
      <w:pPr>
        <w:pStyle w:val="SingleTxtG"/>
        <w:keepNext/>
        <w:ind w:left="2268" w:hanging="1134"/>
        <w:jc w:val="left"/>
        <w:rPr>
          <w:lang w:val="fr-FR"/>
        </w:rPr>
      </w:pPr>
      <w:r w:rsidRPr="00A779B8">
        <w:rPr>
          <w:lang w:val="fr-FR"/>
        </w:rPr>
        <w:t>3.2.3.1</w:t>
      </w:r>
      <w:r w:rsidRPr="00A779B8">
        <w:rPr>
          <w:lang w:val="fr-FR"/>
        </w:rPr>
        <w:tab/>
        <w:t>Conditionnement du véhicule</w:t>
      </w:r>
    </w:p>
    <w:p w:rsidR="00C76E16" w:rsidRPr="00A779B8" w:rsidRDefault="00C76E16" w:rsidP="00C76E16">
      <w:pPr>
        <w:pStyle w:val="SingleTxtG"/>
        <w:ind w:left="2268" w:hanging="1134"/>
        <w:rPr>
          <w:lang w:val="fr-FR"/>
        </w:rPr>
      </w:pPr>
      <w:r w:rsidRPr="00A779B8">
        <w:rPr>
          <w:lang w:val="fr-FR"/>
        </w:rPr>
        <w:t>3.2.3.1.1</w:t>
      </w:r>
      <w:r w:rsidRPr="00A779B8">
        <w:rPr>
          <w:lang w:val="fr-FR"/>
        </w:rPr>
        <w:tab/>
        <w:t>Pour les véhicules à moteur à allumage par compression, on doit appliquer le cycle de la seconde partie décrit dans le tableau A4a/2 et la figure A4a/2 de l</w:t>
      </w:r>
      <w:r w:rsidR="00DB4C2D">
        <w:rPr>
          <w:lang w:val="fr-FR"/>
        </w:rPr>
        <w:t>’</w:t>
      </w:r>
      <w:r w:rsidRPr="00A779B8">
        <w:rPr>
          <w:lang w:val="fr-FR"/>
        </w:rPr>
        <w:t>annexe 4a du présent Règlement. Trois cycles consécutifs doivent être effectués conformément au paragraphe 3.2.3.4.3 de la présente annexe.</w:t>
      </w:r>
    </w:p>
    <w:p w:rsidR="00C76E16" w:rsidRPr="00A779B8" w:rsidRDefault="00C76E16" w:rsidP="00C76E16">
      <w:pPr>
        <w:pStyle w:val="SingleTxtG"/>
        <w:ind w:left="2268" w:hanging="1134"/>
        <w:rPr>
          <w:lang w:val="fr-FR"/>
        </w:rPr>
      </w:pPr>
      <w:r w:rsidRPr="00A779B8">
        <w:rPr>
          <w:lang w:val="fr-FR"/>
        </w:rPr>
        <w:t>3.2.3.1.2</w:t>
      </w:r>
      <w:r w:rsidRPr="00A779B8">
        <w:rPr>
          <w:lang w:val="fr-FR"/>
        </w:rPr>
        <w:tab/>
        <w:t>Les véhicules équipés d</w:t>
      </w:r>
      <w:r w:rsidR="00DB4C2D">
        <w:rPr>
          <w:lang w:val="fr-FR"/>
        </w:rPr>
        <w:t>’</w:t>
      </w:r>
      <w:r w:rsidRPr="00A779B8">
        <w:rPr>
          <w:lang w:val="fr-FR"/>
        </w:rPr>
        <w:t xml:space="preserve">un moteur à allumage commandé doivent être </w:t>
      </w:r>
      <w:proofErr w:type="spellStart"/>
      <w:r w:rsidRPr="00A779B8">
        <w:rPr>
          <w:lang w:val="fr-FR"/>
        </w:rPr>
        <w:t>préconditionnés</w:t>
      </w:r>
      <w:proofErr w:type="spellEnd"/>
      <w:r w:rsidRPr="00A779B8">
        <w:rPr>
          <w:lang w:val="fr-FR"/>
        </w:rPr>
        <w:t xml:space="preserve"> avec un cycle de la première partie et deux cycles de la seconde partie conformément au paragraphe 3.2.3.4.3 de la présente annexe.</w:t>
      </w:r>
    </w:p>
    <w:p w:rsidR="00C76E16" w:rsidRPr="00A779B8" w:rsidRDefault="00C76E16" w:rsidP="00C76E16">
      <w:pPr>
        <w:pStyle w:val="SingleTxtG"/>
        <w:ind w:left="2268" w:hanging="1134"/>
        <w:rPr>
          <w:lang w:val="fr-FR"/>
        </w:rPr>
      </w:pPr>
      <w:r w:rsidRPr="00A779B8">
        <w:rPr>
          <w:lang w:val="fr-FR"/>
        </w:rPr>
        <w:t>3.2.3.2</w:t>
      </w:r>
      <w:r w:rsidRPr="00A779B8">
        <w:rPr>
          <w:lang w:val="fr-FR"/>
        </w:rPr>
        <w:tab/>
        <w:t>Le dispositif de stockage d</w:t>
      </w:r>
      <w:r w:rsidR="00DB4C2D">
        <w:rPr>
          <w:lang w:val="fr-FR"/>
        </w:rPr>
        <w:t>’</w:t>
      </w:r>
      <w:r w:rsidRPr="00A779B8">
        <w:rPr>
          <w:lang w:val="fr-FR"/>
        </w:rPr>
        <w:t>énergie du véhicule doit être déchargé conformément au paragraphe 3.2.2.2 de la présente annexe.</w:t>
      </w:r>
    </w:p>
    <w:p w:rsidR="00C76E16" w:rsidRPr="00A779B8" w:rsidRDefault="00C76E16" w:rsidP="00C76E16">
      <w:pPr>
        <w:pStyle w:val="SingleTxtG"/>
        <w:ind w:left="2268" w:hanging="1134"/>
        <w:rPr>
          <w:lang w:val="fr-FR"/>
        </w:rPr>
      </w:pPr>
      <w:r w:rsidRPr="00A779B8">
        <w:rPr>
          <w:lang w:val="fr-FR"/>
        </w:rPr>
        <w:t>3.2.3.3</w:t>
      </w:r>
      <w:r w:rsidRPr="00A779B8">
        <w:rPr>
          <w:lang w:val="fr-FR"/>
        </w:rPr>
        <w:tab/>
        <w:t xml:space="preserve">Après ce </w:t>
      </w:r>
      <w:proofErr w:type="spellStart"/>
      <w:r w:rsidRPr="00A779B8">
        <w:rPr>
          <w:lang w:val="fr-FR"/>
        </w:rPr>
        <w:t>préconditionnement</w:t>
      </w:r>
      <w:proofErr w:type="spellEnd"/>
      <w:r w:rsidRPr="00A779B8">
        <w:rPr>
          <w:lang w:val="fr-FR"/>
        </w:rPr>
        <w:t>, et avant l</w:t>
      </w:r>
      <w:r w:rsidR="00DB4C2D">
        <w:rPr>
          <w:lang w:val="fr-FR"/>
        </w:rPr>
        <w:t>’</w:t>
      </w:r>
      <w:r w:rsidRPr="00A779B8">
        <w:rPr>
          <w:lang w:val="fr-FR"/>
        </w:rPr>
        <w:t>essai, le véhicule doit être maintenu dans un local dont la température demeure relativement constante entre 293 et 303 K (20 °C et 30 °C). Ce conditionnement doit être effectué pendant au moins 6 h et se poursuivre jusqu</w:t>
      </w:r>
      <w:r w:rsidR="00DB4C2D">
        <w:rPr>
          <w:lang w:val="fr-FR"/>
        </w:rPr>
        <w:t>’</w:t>
      </w:r>
      <w:r w:rsidRPr="00A779B8">
        <w:rPr>
          <w:lang w:val="fr-FR"/>
        </w:rPr>
        <w:t>à ce que la température de l</w:t>
      </w:r>
      <w:r w:rsidR="00DB4C2D">
        <w:rPr>
          <w:lang w:val="fr-FR"/>
        </w:rPr>
        <w:t>’</w:t>
      </w:r>
      <w:r w:rsidRPr="00A779B8">
        <w:rPr>
          <w:lang w:val="fr-FR"/>
        </w:rPr>
        <w:t>huile du moteur et du liquide de refroidissement, le cas échéant, soit égale à la température du local </w:t>
      </w:r>
      <w:r w:rsidRPr="00A779B8">
        <w:rPr>
          <w:lang w:val="fr-FR"/>
        </w:rPr>
        <w:sym w:font="Symbol" w:char="F0B1"/>
      </w:r>
      <w:r w:rsidRPr="00A779B8">
        <w:rPr>
          <w:lang w:val="fr-FR"/>
        </w:rPr>
        <w:t>2 K.</w:t>
      </w:r>
    </w:p>
    <w:p w:rsidR="00C76E16" w:rsidRPr="00A779B8" w:rsidRDefault="00C76E16" w:rsidP="00C76E16">
      <w:pPr>
        <w:pStyle w:val="SingleTxtG"/>
        <w:keepNext/>
        <w:ind w:left="2268" w:hanging="1134"/>
        <w:jc w:val="left"/>
        <w:rPr>
          <w:lang w:val="fr-FR"/>
        </w:rPr>
      </w:pPr>
      <w:r w:rsidRPr="00A779B8">
        <w:rPr>
          <w:lang w:val="fr-FR"/>
        </w:rPr>
        <w:t>3.2.3.4</w:t>
      </w:r>
      <w:r w:rsidRPr="00A779B8">
        <w:rPr>
          <w:lang w:val="fr-FR"/>
        </w:rPr>
        <w:tab/>
        <w:t>Mode opératoire</w:t>
      </w:r>
    </w:p>
    <w:p w:rsidR="00C76E16" w:rsidRPr="00A779B8" w:rsidRDefault="00C76E16" w:rsidP="00C76E16">
      <w:pPr>
        <w:pStyle w:val="SingleTxtG"/>
        <w:ind w:left="2268" w:hanging="1134"/>
        <w:rPr>
          <w:lang w:val="fr-FR"/>
        </w:rPr>
      </w:pPr>
      <w:r w:rsidRPr="00A779B8">
        <w:rPr>
          <w:lang w:val="fr-FR"/>
        </w:rPr>
        <w:t>3.2.3.4.1</w:t>
      </w:r>
      <w:r w:rsidRPr="00A779B8">
        <w:rPr>
          <w:lang w:val="fr-FR"/>
        </w:rPr>
        <w:tab/>
        <w:t>On doit faire démarrer le véhicule en utilisant les moyens normalement mis à la disposition du conducteur. Le premier cycle commence par le début de l</w:t>
      </w:r>
      <w:r w:rsidR="00DB4C2D">
        <w:rPr>
          <w:lang w:val="fr-FR"/>
        </w:rPr>
        <w:t>’</w:t>
      </w:r>
      <w:r w:rsidRPr="00A779B8">
        <w:rPr>
          <w:lang w:val="fr-FR"/>
        </w:rPr>
        <w:t>opération de démarrage du véhicule.</w:t>
      </w:r>
    </w:p>
    <w:p w:rsidR="00C76E16" w:rsidRPr="00A779B8" w:rsidRDefault="00C76E16" w:rsidP="00C76E16">
      <w:pPr>
        <w:pStyle w:val="SingleTxtG"/>
        <w:ind w:left="2268" w:hanging="1134"/>
        <w:rPr>
          <w:lang w:val="fr-FR"/>
        </w:rPr>
      </w:pPr>
      <w:r w:rsidRPr="00A779B8">
        <w:rPr>
          <w:lang w:val="fr-FR"/>
        </w:rPr>
        <w:lastRenderedPageBreak/>
        <w:t>3.2.3.4.2</w:t>
      </w:r>
      <w:r w:rsidRPr="00A779B8">
        <w:rPr>
          <w:lang w:val="fr-FR"/>
        </w:rPr>
        <w:tab/>
        <w:t>Le prélèvement doit commencer avant ou au début de l</w:t>
      </w:r>
      <w:r w:rsidR="00DB4C2D">
        <w:rPr>
          <w:lang w:val="fr-FR"/>
        </w:rPr>
        <w:t>’</w:t>
      </w:r>
      <w:r w:rsidRPr="00A779B8">
        <w:rPr>
          <w:lang w:val="fr-FR"/>
        </w:rPr>
        <w:t>opération de démarrage du véhicule et s</w:t>
      </w:r>
      <w:r w:rsidR="00DB4C2D">
        <w:rPr>
          <w:lang w:val="fr-FR"/>
        </w:rPr>
        <w:t>’</w:t>
      </w:r>
      <w:r w:rsidRPr="00A779B8">
        <w:rPr>
          <w:lang w:val="fr-FR"/>
        </w:rPr>
        <w:t>achever à la fin de la période finale de ralenti dans le cycle de conduite extra-urbain (seconde partie, fin du prélèvement).</w:t>
      </w:r>
    </w:p>
    <w:p w:rsidR="00C76E16" w:rsidRPr="00A779B8" w:rsidRDefault="00C76E16" w:rsidP="00C76E16">
      <w:pPr>
        <w:pStyle w:val="SingleTxtG"/>
        <w:ind w:left="2268" w:hanging="1134"/>
        <w:rPr>
          <w:lang w:val="fr-FR"/>
        </w:rPr>
      </w:pPr>
      <w:r w:rsidRPr="00A779B8">
        <w:rPr>
          <w:lang w:val="fr-FR"/>
        </w:rPr>
        <w:t>3.2.3.4.3</w:t>
      </w:r>
      <w:r w:rsidRPr="00A779B8">
        <w:rPr>
          <w:lang w:val="fr-FR"/>
        </w:rPr>
        <w:tab/>
        <w:t>Le véhicule doit être conduit conformément à l</w:t>
      </w:r>
      <w:r w:rsidR="00DB4C2D">
        <w:rPr>
          <w:lang w:val="fr-FR"/>
        </w:rPr>
        <w:t>’</w:t>
      </w:r>
      <w:r w:rsidRPr="00A779B8">
        <w:rPr>
          <w:lang w:val="fr-FR"/>
        </w:rPr>
        <w:t>annexe 4a du présent Règlement ou, en cas d</w:t>
      </w:r>
      <w:r w:rsidR="00DB4C2D">
        <w:rPr>
          <w:lang w:val="fr-FR"/>
        </w:rPr>
        <w:t>’</w:t>
      </w:r>
      <w:r w:rsidRPr="00A779B8">
        <w:rPr>
          <w:lang w:val="fr-FR"/>
        </w:rPr>
        <w:t>instructions particulières du constructeur concernant le passage des rapports, conformément à ces instructions qui figurent dans le manuel d</w:t>
      </w:r>
      <w:r w:rsidR="00DB4C2D">
        <w:rPr>
          <w:lang w:val="fr-FR"/>
        </w:rPr>
        <w:t>’</w:t>
      </w:r>
      <w:r w:rsidRPr="00A779B8">
        <w:rPr>
          <w:lang w:val="fr-FR"/>
        </w:rPr>
        <w:t>entretien du véhicule et sont indiquées sur le tableau de bord (pour l</w:t>
      </w:r>
      <w:r w:rsidR="00DB4C2D">
        <w:rPr>
          <w:lang w:val="fr-FR"/>
        </w:rPr>
        <w:t>’</w:t>
      </w:r>
      <w:r w:rsidRPr="00A779B8">
        <w:rPr>
          <w:lang w:val="fr-FR"/>
        </w:rPr>
        <w:t>information du conducteur). Pour ce type de véhicules, les points de changement de vitesse prescrits dans l</w:t>
      </w:r>
      <w:r w:rsidR="00DB4C2D">
        <w:rPr>
          <w:lang w:val="fr-FR"/>
        </w:rPr>
        <w:t>’</w:t>
      </w:r>
      <w:r w:rsidRPr="00A779B8">
        <w:rPr>
          <w:lang w:val="fr-FR"/>
        </w:rPr>
        <w:t>annexe 4a du présent Règlement ne s</w:t>
      </w:r>
      <w:r w:rsidR="00DB4C2D">
        <w:rPr>
          <w:lang w:val="fr-FR"/>
        </w:rPr>
        <w:t>’</w:t>
      </w:r>
      <w:r w:rsidRPr="00A779B8">
        <w:rPr>
          <w:lang w:val="fr-FR"/>
        </w:rPr>
        <w:t>appliquent pas. Pour le profil de la courbe de fonctionnement, on doit appliquer la description figurant au paragraphe 6.1.3 de l</w:t>
      </w:r>
      <w:r w:rsidR="00DB4C2D">
        <w:rPr>
          <w:lang w:val="fr-FR"/>
        </w:rPr>
        <w:t>’</w:t>
      </w:r>
      <w:r w:rsidRPr="00A779B8">
        <w:rPr>
          <w:lang w:val="fr-FR"/>
        </w:rPr>
        <w:t>annexe 4a du présent Règlement.</w:t>
      </w:r>
    </w:p>
    <w:p w:rsidR="00C76E16" w:rsidRPr="00A779B8" w:rsidRDefault="00C76E16" w:rsidP="00C76E16">
      <w:pPr>
        <w:pStyle w:val="SingleTxtG"/>
        <w:ind w:left="2268" w:hanging="1134"/>
        <w:rPr>
          <w:lang w:val="fr-FR"/>
        </w:rPr>
      </w:pPr>
      <w:r w:rsidRPr="00A779B8">
        <w:rPr>
          <w:lang w:val="fr-FR"/>
        </w:rPr>
        <w:t>3.2.3.4.4</w:t>
      </w:r>
      <w:r w:rsidRPr="00A779B8">
        <w:rPr>
          <w:lang w:val="fr-FR"/>
        </w:rPr>
        <w:tab/>
        <w:t>Les gaz d</w:t>
      </w:r>
      <w:r w:rsidR="00DB4C2D">
        <w:rPr>
          <w:lang w:val="fr-FR"/>
        </w:rPr>
        <w:t>’</w:t>
      </w:r>
      <w:r w:rsidRPr="00A779B8">
        <w:rPr>
          <w:lang w:val="fr-FR"/>
        </w:rPr>
        <w:t>échappement doivent être analysés conformément aux dispositions de l</w:t>
      </w:r>
      <w:r w:rsidR="00DB4C2D">
        <w:rPr>
          <w:lang w:val="fr-FR"/>
        </w:rPr>
        <w:t>’</w:t>
      </w:r>
      <w:r w:rsidRPr="00A779B8">
        <w:rPr>
          <w:lang w:val="fr-FR"/>
        </w:rPr>
        <w:t>annexe 4a du présent Règlement.</w:t>
      </w:r>
    </w:p>
    <w:p w:rsidR="00C76E16" w:rsidRPr="00A779B8" w:rsidRDefault="00C76E16" w:rsidP="00C76E16">
      <w:pPr>
        <w:pStyle w:val="SingleTxtG"/>
        <w:spacing w:after="100" w:line="236" w:lineRule="atLeast"/>
        <w:ind w:left="2268" w:hanging="1134"/>
        <w:rPr>
          <w:lang w:val="fr-FR"/>
        </w:rPr>
      </w:pPr>
      <w:r w:rsidRPr="00A779B8">
        <w:rPr>
          <w:lang w:val="fr-FR"/>
        </w:rPr>
        <w:t>3.2.3.5</w:t>
      </w:r>
      <w:r w:rsidRPr="00A779B8">
        <w:rPr>
          <w:lang w:val="fr-FR"/>
        </w:rPr>
        <w:tab/>
        <w:t>Les résultats d</w:t>
      </w:r>
      <w:r w:rsidR="00DB4C2D">
        <w:rPr>
          <w:lang w:val="fr-FR"/>
        </w:rPr>
        <w:t>’</w:t>
      </w:r>
      <w:r w:rsidRPr="00A779B8">
        <w:rPr>
          <w:lang w:val="fr-FR"/>
        </w:rPr>
        <w:t>essai doivent être comparés aux limites prescrites au paragraphe 5.3.1.4 du présent Règlement et les émissions moyennes de chaque polluant selon la condition B doivent être calculées (M</w:t>
      </w:r>
      <w:r w:rsidRPr="00A779B8">
        <w:rPr>
          <w:vertAlign w:val="subscript"/>
          <w:lang w:val="fr-FR"/>
        </w:rPr>
        <w:t>2i</w:t>
      </w:r>
      <w:r w:rsidRPr="00A779B8">
        <w:rPr>
          <w:lang w:val="fr-FR"/>
        </w:rPr>
        <w:t>). Les résultats d</w:t>
      </w:r>
      <w:r w:rsidR="00DB4C2D">
        <w:rPr>
          <w:lang w:val="fr-FR"/>
        </w:rPr>
        <w:t>’</w:t>
      </w:r>
      <w:r w:rsidRPr="00A779B8">
        <w:rPr>
          <w:lang w:val="fr-FR"/>
        </w:rPr>
        <w:t>essai M</w:t>
      </w:r>
      <w:r w:rsidRPr="00A779B8">
        <w:rPr>
          <w:vertAlign w:val="subscript"/>
          <w:lang w:val="fr-FR"/>
        </w:rPr>
        <w:t>2i</w:t>
      </w:r>
      <w:r w:rsidRPr="00A779B8">
        <w:rPr>
          <w:lang w:val="fr-FR"/>
        </w:rPr>
        <w:t>, multipliés par les facteurs appropriés de détérioration et les facteurs K</w:t>
      </w:r>
      <w:r w:rsidRPr="00A779B8">
        <w:rPr>
          <w:vertAlign w:val="subscript"/>
          <w:lang w:val="fr-FR"/>
        </w:rPr>
        <w:t>i</w:t>
      </w:r>
      <w:r w:rsidRPr="00A779B8">
        <w:rPr>
          <w:lang w:val="fr-FR"/>
        </w:rPr>
        <w:t>, doivent être inférieurs aux limites prescrites dans le paragraphe 5.3.1.4 du présent Règlement.</w:t>
      </w:r>
    </w:p>
    <w:p w:rsidR="00C76E16" w:rsidRPr="00A779B8" w:rsidRDefault="00C76E16" w:rsidP="00C76E16">
      <w:pPr>
        <w:pStyle w:val="SingleTxtG"/>
        <w:keepNext/>
        <w:spacing w:after="100" w:line="236" w:lineRule="atLeast"/>
        <w:ind w:left="2268" w:hanging="1134"/>
        <w:jc w:val="left"/>
        <w:rPr>
          <w:lang w:val="fr-FR"/>
        </w:rPr>
      </w:pPr>
      <w:r w:rsidRPr="00A779B8">
        <w:rPr>
          <w:lang w:val="fr-FR"/>
        </w:rPr>
        <w:t>3.2.4</w:t>
      </w:r>
      <w:r w:rsidRPr="00A779B8">
        <w:rPr>
          <w:lang w:val="fr-FR"/>
        </w:rPr>
        <w:tab/>
        <w:t>Résultats d</w:t>
      </w:r>
      <w:r w:rsidR="00DB4C2D">
        <w:rPr>
          <w:lang w:val="fr-FR"/>
        </w:rPr>
        <w:t>’</w:t>
      </w:r>
      <w:r w:rsidRPr="00A779B8">
        <w:rPr>
          <w:lang w:val="fr-FR"/>
        </w:rPr>
        <w:t>essai</w:t>
      </w:r>
    </w:p>
    <w:p w:rsidR="00C76E16" w:rsidRPr="00A779B8" w:rsidRDefault="00C76E16" w:rsidP="00C76E16">
      <w:pPr>
        <w:pStyle w:val="SingleTxtG"/>
        <w:spacing w:after="100" w:line="236" w:lineRule="atLeast"/>
        <w:ind w:left="2268" w:hanging="1134"/>
        <w:rPr>
          <w:lang w:val="fr-FR"/>
        </w:rPr>
      </w:pPr>
      <w:r w:rsidRPr="00A779B8">
        <w:rPr>
          <w:lang w:val="fr-FR"/>
        </w:rPr>
        <w:t>3.2.4.1</w:t>
      </w:r>
      <w:r w:rsidRPr="00A779B8">
        <w:rPr>
          <w:lang w:val="fr-FR"/>
        </w:rPr>
        <w:tab/>
        <w:t>En cas d</w:t>
      </w:r>
      <w:r w:rsidR="00DB4C2D">
        <w:rPr>
          <w:lang w:val="fr-FR"/>
        </w:rPr>
        <w:t>’</w:t>
      </w:r>
      <w:r w:rsidRPr="00A779B8">
        <w:rPr>
          <w:lang w:val="fr-FR"/>
        </w:rPr>
        <w:t>essai effectué conformément au paragraphe 3.2.2.6.2.1 de la présente annexe.</w:t>
      </w:r>
    </w:p>
    <w:p w:rsidR="00C76E16" w:rsidRPr="00A779B8" w:rsidRDefault="00C76E16" w:rsidP="00C76E16">
      <w:pPr>
        <w:pStyle w:val="SingleTxtG"/>
        <w:spacing w:after="100" w:line="236" w:lineRule="atLeast"/>
        <w:ind w:left="2268"/>
        <w:rPr>
          <w:lang w:val="fr-FR"/>
        </w:rPr>
      </w:pPr>
      <w:r w:rsidRPr="00A779B8">
        <w:rPr>
          <w:lang w:val="fr-FR"/>
        </w:rPr>
        <w:tab/>
        <w:t>En vue d</w:t>
      </w:r>
      <w:r w:rsidR="00DB4C2D">
        <w:rPr>
          <w:lang w:val="fr-FR"/>
        </w:rPr>
        <w:t>’</w:t>
      </w:r>
      <w:r w:rsidRPr="00A779B8">
        <w:rPr>
          <w:lang w:val="fr-FR"/>
        </w:rPr>
        <w:t>être communiquées, les valeurs pondérées doivent être calculées selon la formule suivante:</w:t>
      </w:r>
    </w:p>
    <w:p w:rsidR="00C76E16" w:rsidRPr="00A779B8" w:rsidRDefault="00C76E16" w:rsidP="00C76E16">
      <w:pPr>
        <w:pStyle w:val="SingleTxtG"/>
        <w:spacing w:after="100" w:line="236" w:lineRule="atLeast"/>
        <w:ind w:left="2268"/>
        <w:rPr>
          <w:lang w:val="fr-FR"/>
        </w:rPr>
      </w:pPr>
      <w:r w:rsidRPr="00A779B8">
        <w:rPr>
          <w:lang w:val="fr-FR"/>
        </w:rPr>
        <w:tab/>
        <w:t>M</w:t>
      </w:r>
      <w:r w:rsidRPr="00A779B8">
        <w:rPr>
          <w:vertAlign w:val="subscript"/>
          <w:lang w:val="fr-FR"/>
        </w:rPr>
        <w:t>i</w:t>
      </w:r>
      <w:r w:rsidRPr="00A779B8">
        <w:rPr>
          <w:lang w:val="fr-FR"/>
        </w:rPr>
        <w:t xml:space="preserve"> = (De ∙ M</w:t>
      </w:r>
      <w:r w:rsidRPr="00A779B8">
        <w:rPr>
          <w:vertAlign w:val="subscript"/>
          <w:lang w:val="fr-FR"/>
        </w:rPr>
        <w:t>1i</w:t>
      </w:r>
      <w:r w:rsidRPr="00A779B8">
        <w:rPr>
          <w:lang w:val="fr-FR"/>
        </w:rPr>
        <w:t xml:space="preserve"> + </w:t>
      </w:r>
      <w:proofErr w:type="spellStart"/>
      <w:r w:rsidRPr="00A779B8">
        <w:rPr>
          <w:lang w:val="fr-FR"/>
        </w:rPr>
        <w:t>Dav</w:t>
      </w:r>
      <w:proofErr w:type="spellEnd"/>
      <w:r w:rsidRPr="00A779B8">
        <w:rPr>
          <w:lang w:val="fr-FR"/>
        </w:rPr>
        <w:t> ∙ M</w:t>
      </w:r>
      <w:r w:rsidRPr="00A779B8">
        <w:rPr>
          <w:vertAlign w:val="subscript"/>
          <w:lang w:val="fr-FR"/>
        </w:rPr>
        <w:t>2i</w:t>
      </w:r>
      <w:r w:rsidRPr="00A779B8">
        <w:rPr>
          <w:lang w:val="fr-FR"/>
        </w:rPr>
        <w:t>)/(De</w:t>
      </w:r>
      <w:r w:rsidRPr="00A779B8">
        <w:rPr>
          <w:vertAlign w:val="subscript"/>
          <w:lang w:val="fr-FR"/>
        </w:rPr>
        <w:t xml:space="preserve"> </w:t>
      </w:r>
      <w:r w:rsidRPr="00A779B8">
        <w:rPr>
          <w:lang w:val="fr-FR"/>
        </w:rPr>
        <w:t xml:space="preserve">+ </w:t>
      </w:r>
      <w:proofErr w:type="spellStart"/>
      <w:r w:rsidRPr="00A779B8">
        <w:rPr>
          <w:lang w:val="fr-FR"/>
        </w:rPr>
        <w:t>Dav</w:t>
      </w:r>
      <w:proofErr w:type="spellEnd"/>
      <w:r w:rsidRPr="00A779B8">
        <w:rPr>
          <w:lang w:val="fr-FR"/>
        </w:rPr>
        <w:t>)</w:t>
      </w:r>
    </w:p>
    <w:p w:rsidR="00C76E16" w:rsidRPr="00A779B8" w:rsidRDefault="00C76E16" w:rsidP="00C76E16">
      <w:pPr>
        <w:pStyle w:val="SingleTxtG"/>
        <w:keepNext/>
        <w:spacing w:after="100" w:line="234" w:lineRule="atLeast"/>
        <w:ind w:left="2268"/>
        <w:rPr>
          <w:lang w:val="fr-FR"/>
        </w:rPr>
      </w:pPr>
      <w:r w:rsidRPr="00A779B8">
        <w:rPr>
          <w:lang w:val="fr-FR"/>
        </w:rPr>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8"/>
        <w:gridCol w:w="5345"/>
      </w:tblGrid>
      <w:tr w:rsidR="00C76E16" w:rsidRPr="007E29C4" w:rsidTr="00DB4C2D">
        <w:tc>
          <w:tcPr>
            <w:tcW w:w="567" w:type="dxa"/>
            <w:shd w:val="clear" w:color="auto" w:fill="auto"/>
          </w:tcPr>
          <w:p w:rsidR="00C76E16" w:rsidRPr="007E29C4" w:rsidRDefault="00C76E16" w:rsidP="00DB4C2D">
            <w:pPr>
              <w:spacing w:after="100" w:line="234" w:lineRule="atLeast"/>
              <w:rPr>
                <w:lang w:val="fr-FR"/>
              </w:rPr>
            </w:pPr>
            <w:r w:rsidRPr="007E29C4">
              <w:rPr>
                <w:lang w:val="fr-FR"/>
              </w:rPr>
              <w:t>M</w:t>
            </w:r>
            <w:r w:rsidRPr="007E29C4">
              <w:rPr>
                <w:vertAlign w:val="subscript"/>
                <w:lang w:val="fr-FR"/>
              </w:rPr>
              <w:t>i</w:t>
            </w:r>
          </w:p>
        </w:tc>
        <w:tc>
          <w:tcPr>
            <w:tcW w:w="284" w:type="dxa"/>
            <w:shd w:val="clear" w:color="auto" w:fill="auto"/>
          </w:tcPr>
          <w:p w:rsidR="00C76E16" w:rsidRPr="007E29C4" w:rsidRDefault="00C76E16" w:rsidP="00DB4C2D">
            <w:pPr>
              <w:spacing w:after="100" w:line="234" w:lineRule="atLeast"/>
              <w:rPr>
                <w:lang w:val="fr-FR"/>
              </w:rPr>
            </w:pPr>
            <w:r w:rsidRPr="007E29C4">
              <w:rPr>
                <w:lang w:val="fr-FR"/>
              </w:rPr>
              <w:t>=</w:t>
            </w:r>
          </w:p>
        </w:tc>
        <w:tc>
          <w:tcPr>
            <w:tcW w:w="5102" w:type="dxa"/>
            <w:shd w:val="clear" w:color="auto" w:fill="auto"/>
          </w:tcPr>
          <w:p w:rsidR="00C76E16" w:rsidRPr="007E29C4" w:rsidRDefault="00C76E16" w:rsidP="00DB4C2D">
            <w:pPr>
              <w:spacing w:after="100" w:line="234" w:lineRule="atLeast"/>
              <w:rPr>
                <w:lang w:val="fr-FR"/>
              </w:rPr>
            </w:pPr>
            <w:r w:rsidRPr="007E29C4">
              <w:rPr>
                <w:lang w:val="fr-FR"/>
              </w:rPr>
              <w:t>émission massique du polluant i en grammes par kilomètre,</w:t>
            </w:r>
          </w:p>
        </w:tc>
      </w:tr>
      <w:tr w:rsidR="00C76E16" w:rsidRPr="007E29C4" w:rsidTr="00DB4C2D">
        <w:tc>
          <w:tcPr>
            <w:tcW w:w="567" w:type="dxa"/>
            <w:shd w:val="clear" w:color="auto" w:fill="auto"/>
          </w:tcPr>
          <w:p w:rsidR="00C76E16" w:rsidRPr="007E29C4" w:rsidRDefault="00C76E16" w:rsidP="00DB4C2D">
            <w:pPr>
              <w:spacing w:after="100" w:line="234" w:lineRule="atLeast"/>
              <w:rPr>
                <w:lang w:val="fr-FR"/>
              </w:rPr>
            </w:pPr>
            <w:r w:rsidRPr="007E29C4">
              <w:rPr>
                <w:lang w:val="fr-FR"/>
              </w:rPr>
              <w:t>M</w:t>
            </w:r>
            <w:r w:rsidRPr="007E29C4">
              <w:rPr>
                <w:vertAlign w:val="subscript"/>
                <w:lang w:val="fr-FR"/>
              </w:rPr>
              <w:t>1i</w:t>
            </w:r>
          </w:p>
        </w:tc>
        <w:tc>
          <w:tcPr>
            <w:tcW w:w="284" w:type="dxa"/>
            <w:shd w:val="clear" w:color="auto" w:fill="auto"/>
          </w:tcPr>
          <w:p w:rsidR="00C76E16" w:rsidRPr="007E29C4" w:rsidRDefault="00C76E16" w:rsidP="00DB4C2D">
            <w:pPr>
              <w:spacing w:after="100" w:line="234" w:lineRule="atLeast"/>
              <w:rPr>
                <w:lang w:val="fr-FR"/>
              </w:rPr>
            </w:pPr>
            <w:r w:rsidRPr="007E29C4">
              <w:rPr>
                <w:lang w:val="fr-FR"/>
              </w:rPr>
              <w:t>=</w:t>
            </w:r>
          </w:p>
        </w:tc>
        <w:tc>
          <w:tcPr>
            <w:tcW w:w="5102" w:type="dxa"/>
            <w:shd w:val="clear" w:color="auto" w:fill="auto"/>
          </w:tcPr>
          <w:p w:rsidR="00C76E16" w:rsidRPr="007E29C4" w:rsidRDefault="00C76E16" w:rsidP="00DB4C2D">
            <w:pPr>
              <w:spacing w:after="100" w:line="234" w:lineRule="atLeast"/>
              <w:rPr>
                <w:lang w:val="fr-FR"/>
              </w:rPr>
            </w:pPr>
            <w:r w:rsidRPr="007E29C4">
              <w:rPr>
                <w:lang w:val="fr-FR"/>
              </w:rPr>
              <w:t>émission massique moyenne du polluant i en grammes par kilomètre avec un dispositif de stockage d</w:t>
            </w:r>
            <w:r w:rsidR="00DB4C2D">
              <w:rPr>
                <w:lang w:val="fr-FR"/>
              </w:rPr>
              <w:t>’</w:t>
            </w:r>
            <w:r w:rsidRPr="007E29C4">
              <w:rPr>
                <w:lang w:val="fr-FR"/>
              </w:rPr>
              <w:t>énergie entièrement chargé, calculée selon le paragraphe 3.2.2.7 de la présente annexe,</w:t>
            </w:r>
          </w:p>
        </w:tc>
      </w:tr>
      <w:tr w:rsidR="00C76E16" w:rsidRPr="007E29C4" w:rsidTr="00DB4C2D">
        <w:tc>
          <w:tcPr>
            <w:tcW w:w="567" w:type="dxa"/>
            <w:shd w:val="clear" w:color="auto" w:fill="auto"/>
          </w:tcPr>
          <w:p w:rsidR="00C76E16" w:rsidRPr="007E29C4" w:rsidRDefault="00C76E16" w:rsidP="00DB4C2D">
            <w:pPr>
              <w:spacing w:after="100" w:line="234" w:lineRule="atLeast"/>
              <w:rPr>
                <w:lang w:val="fr-FR"/>
              </w:rPr>
            </w:pPr>
            <w:r w:rsidRPr="007E29C4">
              <w:rPr>
                <w:lang w:val="fr-FR"/>
              </w:rPr>
              <w:t>M</w:t>
            </w:r>
            <w:r w:rsidRPr="007E29C4">
              <w:rPr>
                <w:vertAlign w:val="subscript"/>
                <w:lang w:val="fr-FR"/>
              </w:rPr>
              <w:t>2i</w:t>
            </w:r>
          </w:p>
        </w:tc>
        <w:tc>
          <w:tcPr>
            <w:tcW w:w="284" w:type="dxa"/>
            <w:shd w:val="clear" w:color="auto" w:fill="auto"/>
          </w:tcPr>
          <w:p w:rsidR="00C76E16" w:rsidRPr="007E29C4" w:rsidRDefault="00C76E16" w:rsidP="00DB4C2D">
            <w:pPr>
              <w:spacing w:after="100" w:line="234" w:lineRule="atLeast"/>
              <w:rPr>
                <w:lang w:val="fr-FR"/>
              </w:rPr>
            </w:pPr>
            <w:r w:rsidRPr="007E29C4">
              <w:rPr>
                <w:lang w:val="fr-FR"/>
              </w:rPr>
              <w:t>=</w:t>
            </w:r>
          </w:p>
        </w:tc>
        <w:tc>
          <w:tcPr>
            <w:tcW w:w="5102" w:type="dxa"/>
            <w:shd w:val="clear" w:color="auto" w:fill="auto"/>
          </w:tcPr>
          <w:p w:rsidR="00C76E16" w:rsidRPr="007E29C4" w:rsidRDefault="00C76E16" w:rsidP="00DB4C2D">
            <w:pPr>
              <w:spacing w:after="100" w:line="234" w:lineRule="atLeast"/>
              <w:rPr>
                <w:lang w:val="fr-FR"/>
              </w:rPr>
            </w:pPr>
            <w:r w:rsidRPr="007E29C4">
              <w:rPr>
                <w:lang w:val="fr-FR"/>
              </w:rPr>
              <w:t>émission massique moyenne du polluant i en grammes par kilomètre avec un dispositif de stockage d</w:t>
            </w:r>
            <w:r w:rsidR="00DB4C2D">
              <w:rPr>
                <w:lang w:val="fr-FR"/>
              </w:rPr>
              <w:t>’</w:t>
            </w:r>
            <w:r w:rsidRPr="007E29C4">
              <w:rPr>
                <w:lang w:val="fr-FR"/>
              </w:rPr>
              <w:t>énergie au niveau de charge minimal (décharge maximale de la capacité), calculée au paragraphe 3.2.3.5 de la présente annexe,</w:t>
            </w:r>
          </w:p>
        </w:tc>
      </w:tr>
      <w:tr w:rsidR="00C76E16" w:rsidRPr="007E29C4" w:rsidTr="00DB4C2D">
        <w:tc>
          <w:tcPr>
            <w:tcW w:w="567" w:type="dxa"/>
            <w:shd w:val="clear" w:color="auto" w:fill="auto"/>
          </w:tcPr>
          <w:p w:rsidR="00C76E16" w:rsidRPr="007E29C4" w:rsidRDefault="00C76E16" w:rsidP="00DB4C2D">
            <w:pPr>
              <w:spacing w:after="100" w:line="234" w:lineRule="atLeast"/>
              <w:rPr>
                <w:lang w:val="fr-FR"/>
              </w:rPr>
            </w:pPr>
            <w:r w:rsidRPr="007E29C4">
              <w:rPr>
                <w:lang w:val="fr-FR"/>
              </w:rPr>
              <w:t>De</w:t>
            </w:r>
          </w:p>
        </w:tc>
        <w:tc>
          <w:tcPr>
            <w:tcW w:w="284" w:type="dxa"/>
            <w:shd w:val="clear" w:color="auto" w:fill="auto"/>
          </w:tcPr>
          <w:p w:rsidR="00C76E16" w:rsidRPr="007E29C4" w:rsidRDefault="00C76E16" w:rsidP="00DB4C2D">
            <w:pPr>
              <w:spacing w:after="100" w:line="234" w:lineRule="atLeast"/>
              <w:rPr>
                <w:lang w:val="fr-FR"/>
              </w:rPr>
            </w:pPr>
            <w:r w:rsidRPr="007E29C4">
              <w:rPr>
                <w:lang w:val="fr-FR"/>
              </w:rPr>
              <w:t>=</w:t>
            </w:r>
          </w:p>
        </w:tc>
        <w:tc>
          <w:tcPr>
            <w:tcW w:w="5102" w:type="dxa"/>
            <w:shd w:val="clear" w:color="auto" w:fill="auto"/>
          </w:tcPr>
          <w:p w:rsidR="00C76E16" w:rsidRPr="007E29C4" w:rsidRDefault="00C76E16" w:rsidP="00DB4C2D">
            <w:pPr>
              <w:spacing w:after="100" w:line="234" w:lineRule="atLeast"/>
              <w:rPr>
                <w:lang w:val="fr-FR"/>
              </w:rPr>
            </w:pPr>
            <w:r w:rsidRPr="007E29C4">
              <w:rPr>
                <w:lang w:val="fr-FR"/>
              </w:rPr>
              <w:t>autonomie du véhicule en mode électrique pur, selon le mode opératoire décrit dans l</w:t>
            </w:r>
            <w:r w:rsidR="00DB4C2D">
              <w:rPr>
                <w:lang w:val="fr-FR"/>
              </w:rPr>
              <w:t>’</w:t>
            </w:r>
            <w:r w:rsidRPr="007E29C4">
              <w:rPr>
                <w:lang w:val="fr-FR"/>
              </w:rPr>
              <w:t>annexe 9 du Règlement </w:t>
            </w:r>
            <w:r w:rsidRPr="007E29C4">
              <w:rPr>
                <w:rFonts w:eastAsia="MS Mincho"/>
                <w:lang w:val="fr-FR"/>
              </w:rPr>
              <w:t>n</w:t>
            </w:r>
            <w:r w:rsidRPr="007E29C4">
              <w:rPr>
                <w:rFonts w:eastAsia="MS Mincho"/>
                <w:vertAlign w:val="superscript"/>
                <w:lang w:val="fr-FR"/>
              </w:rPr>
              <w:t>o</w:t>
            </w:r>
            <w:r w:rsidRPr="007E29C4">
              <w:rPr>
                <w:lang w:val="fr-FR"/>
              </w:rPr>
              <w:t> 101. S</w:t>
            </w:r>
            <w:r w:rsidR="00DB4C2D">
              <w:rPr>
                <w:lang w:val="fr-FR"/>
              </w:rPr>
              <w:t>’</w:t>
            </w:r>
            <w:r w:rsidRPr="007E29C4">
              <w:rPr>
                <w:lang w:val="fr-FR"/>
              </w:rPr>
              <w:t>il n</w:t>
            </w:r>
            <w:r w:rsidR="00DB4C2D">
              <w:rPr>
                <w:lang w:val="fr-FR"/>
              </w:rPr>
              <w:t>’</w:t>
            </w:r>
            <w:r w:rsidRPr="007E29C4">
              <w:rPr>
                <w:lang w:val="fr-FR"/>
              </w:rPr>
              <w:t>y a pas de mode électrique pur, le constructeur doit fournir les moyens nécessaires pour effectuer la mesure sur le véhicule fonctionnant en mode électrique pur,</w:t>
            </w:r>
          </w:p>
        </w:tc>
      </w:tr>
      <w:tr w:rsidR="00C76E16" w:rsidRPr="007E29C4" w:rsidTr="00DB4C2D">
        <w:tc>
          <w:tcPr>
            <w:tcW w:w="567" w:type="dxa"/>
            <w:shd w:val="clear" w:color="auto" w:fill="auto"/>
          </w:tcPr>
          <w:p w:rsidR="00C76E16" w:rsidRPr="007E29C4" w:rsidRDefault="00C76E16" w:rsidP="00DB4C2D">
            <w:pPr>
              <w:spacing w:after="100" w:line="234" w:lineRule="atLeast"/>
              <w:rPr>
                <w:lang w:val="fr-FR"/>
              </w:rPr>
            </w:pPr>
            <w:proofErr w:type="spellStart"/>
            <w:r w:rsidRPr="007E29C4">
              <w:rPr>
                <w:lang w:val="fr-FR"/>
              </w:rPr>
              <w:t>Dav</w:t>
            </w:r>
            <w:proofErr w:type="spellEnd"/>
          </w:p>
        </w:tc>
        <w:tc>
          <w:tcPr>
            <w:tcW w:w="284" w:type="dxa"/>
            <w:shd w:val="clear" w:color="auto" w:fill="auto"/>
          </w:tcPr>
          <w:p w:rsidR="00C76E16" w:rsidRPr="007E29C4" w:rsidRDefault="00C76E16" w:rsidP="00DB4C2D">
            <w:pPr>
              <w:spacing w:after="100" w:line="234" w:lineRule="atLeast"/>
              <w:rPr>
                <w:lang w:val="fr-FR"/>
              </w:rPr>
            </w:pPr>
            <w:r w:rsidRPr="007E29C4">
              <w:rPr>
                <w:lang w:val="fr-FR"/>
              </w:rPr>
              <w:t>=</w:t>
            </w:r>
          </w:p>
        </w:tc>
        <w:tc>
          <w:tcPr>
            <w:tcW w:w="5102" w:type="dxa"/>
            <w:shd w:val="clear" w:color="auto" w:fill="auto"/>
          </w:tcPr>
          <w:p w:rsidR="00C76E16" w:rsidRPr="007E29C4" w:rsidRDefault="00C76E16" w:rsidP="00DB4C2D">
            <w:pPr>
              <w:spacing w:after="100" w:line="234" w:lineRule="atLeast"/>
              <w:rPr>
                <w:lang w:val="fr-FR"/>
              </w:rPr>
            </w:pPr>
            <w:r w:rsidRPr="007E29C4">
              <w:rPr>
                <w:lang w:val="fr-FR"/>
              </w:rPr>
              <w:t>25 km (distance moyenne parcourue entre deux recharges de la batterie).</w:t>
            </w:r>
          </w:p>
        </w:tc>
      </w:tr>
    </w:tbl>
    <w:p w:rsidR="00C76E16" w:rsidRPr="00A779B8" w:rsidRDefault="00C76E16" w:rsidP="00C76E16">
      <w:pPr>
        <w:pStyle w:val="SingleTxtG"/>
        <w:keepNext/>
        <w:spacing w:after="100" w:line="236" w:lineRule="atLeast"/>
        <w:ind w:left="2268" w:hanging="1134"/>
        <w:rPr>
          <w:lang w:val="fr-FR"/>
        </w:rPr>
      </w:pPr>
      <w:r w:rsidRPr="00A779B8">
        <w:rPr>
          <w:lang w:val="fr-FR"/>
        </w:rPr>
        <w:t>3.2.4.2</w:t>
      </w:r>
      <w:r w:rsidRPr="00A779B8">
        <w:rPr>
          <w:lang w:val="fr-FR"/>
        </w:rPr>
        <w:tab/>
        <w:t>En cas d</w:t>
      </w:r>
      <w:r w:rsidR="00DB4C2D">
        <w:rPr>
          <w:lang w:val="fr-FR"/>
        </w:rPr>
        <w:t>’</w:t>
      </w:r>
      <w:r w:rsidRPr="00A779B8">
        <w:rPr>
          <w:lang w:val="fr-FR"/>
        </w:rPr>
        <w:t>essai effectué conformément au paragraphe 3.2.2.6.2.2.</w:t>
      </w:r>
    </w:p>
    <w:p w:rsidR="00C76E16" w:rsidRPr="00A779B8" w:rsidRDefault="00C76E16" w:rsidP="00C76E16">
      <w:pPr>
        <w:pStyle w:val="SingleTxtG"/>
        <w:keepNext/>
        <w:spacing w:after="100" w:line="236" w:lineRule="atLeast"/>
        <w:ind w:left="2268"/>
        <w:rPr>
          <w:lang w:val="fr-FR"/>
        </w:rPr>
      </w:pPr>
      <w:r w:rsidRPr="00A779B8">
        <w:rPr>
          <w:lang w:val="fr-FR"/>
        </w:rPr>
        <w:tab/>
        <w:t>En vue d</w:t>
      </w:r>
      <w:r w:rsidR="00DB4C2D">
        <w:rPr>
          <w:lang w:val="fr-FR"/>
        </w:rPr>
        <w:t>’</w:t>
      </w:r>
      <w:r w:rsidRPr="00A779B8">
        <w:rPr>
          <w:lang w:val="fr-FR"/>
        </w:rPr>
        <w:t xml:space="preserve">être communiquées, les valeurs pondérées doivent être calculées selon la formule suivante: </w:t>
      </w:r>
    </w:p>
    <w:p w:rsidR="00C76E16" w:rsidRPr="00A779B8" w:rsidRDefault="00C76E16" w:rsidP="00C76E16">
      <w:pPr>
        <w:pStyle w:val="SingleTxtG"/>
        <w:spacing w:after="100" w:line="236" w:lineRule="atLeast"/>
        <w:ind w:left="2268"/>
        <w:rPr>
          <w:lang w:val="en-GB"/>
        </w:rPr>
      </w:pPr>
      <w:r w:rsidRPr="00A779B8">
        <w:rPr>
          <w:lang w:val="fr-FR"/>
        </w:rPr>
        <w:tab/>
      </w:r>
      <w:proofErr w:type="spellStart"/>
      <w:r w:rsidRPr="00A779B8">
        <w:rPr>
          <w:lang w:val="en-GB"/>
        </w:rPr>
        <w:t>M</w:t>
      </w:r>
      <w:r w:rsidRPr="00A779B8">
        <w:rPr>
          <w:vertAlign w:val="subscript"/>
          <w:lang w:val="en-GB"/>
        </w:rPr>
        <w:t>i</w:t>
      </w:r>
      <w:proofErr w:type="spellEnd"/>
      <w:r w:rsidRPr="00A779B8">
        <w:rPr>
          <w:lang w:val="en-GB"/>
        </w:rPr>
        <w:t> = (</w:t>
      </w:r>
      <w:proofErr w:type="spellStart"/>
      <w:r w:rsidRPr="00A779B8">
        <w:rPr>
          <w:lang w:val="en-GB"/>
        </w:rPr>
        <w:t>Dovc</w:t>
      </w:r>
      <w:proofErr w:type="spellEnd"/>
      <w:r w:rsidRPr="00A779B8">
        <w:rPr>
          <w:lang w:val="en-GB"/>
        </w:rPr>
        <w:t> ∙ M</w:t>
      </w:r>
      <w:r w:rsidRPr="00A779B8">
        <w:rPr>
          <w:vertAlign w:val="subscript"/>
          <w:lang w:val="en-GB"/>
        </w:rPr>
        <w:t>1i</w:t>
      </w:r>
      <w:r w:rsidRPr="00A779B8">
        <w:rPr>
          <w:lang w:val="en-GB"/>
        </w:rPr>
        <w:t> + </w:t>
      </w:r>
      <w:proofErr w:type="spellStart"/>
      <w:r w:rsidRPr="00A779B8">
        <w:rPr>
          <w:lang w:val="en-GB"/>
        </w:rPr>
        <w:t>Dav</w:t>
      </w:r>
      <w:proofErr w:type="spellEnd"/>
      <w:r w:rsidRPr="00A779B8">
        <w:rPr>
          <w:lang w:val="en-GB"/>
        </w:rPr>
        <w:t> ∙ M</w:t>
      </w:r>
      <w:r w:rsidRPr="00A779B8">
        <w:rPr>
          <w:vertAlign w:val="subscript"/>
          <w:lang w:val="en-GB"/>
        </w:rPr>
        <w:t>2i</w:t>
      </w:r>
      <w:r w:rsidRPr="00A779B8">
        <w:rPr>
          <w:lang w:val="en-GB"/>
        </w:rPr>
        <w:t>)/(</w:t>
      </w:r>
      <w:proofErr w:type="spellStart"/>
      <w:r w:rsidRPr="00A779B8">
        <w:rPr>
          <w:lang w:val="en-GB"/>
        </w:rPr>
        <w:t>Dovc</w:t>
      </w:r>
      <w:proofErr w:type="spellEnd"/>
      <w:r w:rsidRPr="00A779B8">
        <w:rPr>
          <w:lang w:val="en-GB"/>
        </w:rPr>
        <w:t> + </w:t>
      </w:r>
      <w:proofErr w:type="spellStart"/>
      <w:r w:rsidRPr="00A779B8">
        <w:rPr>
          <w:lang w:val="en-GB"/>
        </w:rPr>
        <w:t>Dav</w:t>
      </w:r>
      <w:proofErr w:type="spellEnd"/>
      <w:r w:rsidRPr="00A779B8">
        <w:rPr>
          <w:lang w:val="en-GB"/>
        </w:rPr>
        <w:t>)</w:t>
      </w:r>
    </w:p>
    <w:p w:rsidR="00C76E16" w:rsidRPr="00A779B8" w:rsidRDefault="00C76E16" w:rsidP="00C76E16">
      <w:pPr>
        <w:pStyle w:val="SingleTxtG"/>
        <w:keepNext/>
        <w:spacing w:after="100" w:line="236" w:lineRule="atLeast"/>
        <w:ind w:left="2268"/>
        <w:rPr>
          <w:lang w:val="fr-FR"/>
        </w:rPr>
      </w:pPr>
      <w:r w:rsidRPr="00A779B8">
        <w:rPr>
          <w:lang w:val="fr-FR"/>
        </w:rPr>
        <w:lastRenderedPageBreak/>
        <w:t>où:</w:t>
      </w:r>
    </w:p>
    <w:tbl>
      <w:tblPr>
        <w:tblW w:w="6237" w:type="dxa"/>
        <w:tblInd w:w="2268" w:type="dxa"/>
        <w:tblLayout w:type="fixed"/>
        <w:tblCellMar>
          <w:left w:w="0" w:type="dxa"/>
          <w:right w:w="0" w:type="dxa"/>
        </w:tblCellMar>
        <w:tblLook w:val="01E0" w:firstRow="1" w:lastRow="1" w:firstColumn="1" w:lastColumn="1" w:noHBand="0" w:noVBand="0"/>
      </w:tblPr>
      <w:tblGrid>
        <w:gridCol w:w="594"/>
        <w:gridCol w:w="298"/>
        <w:gridCol w:w="5345"/>
      </w:tblGrid>
      <w:tr w:rsidR="00C76E16" w:rsidRPr="007E29C4" w:rsidTr="00DB4C2D">
        <w:tc>
          <w:tcPr>
            <w:tcW w:w="567" w:type="dxa"/>
            <w:shd w:val="clear" w:color="auto" w:fill="auto"/>
          </w:tcPr>
          <w:p w:rsidR="00C76E16" w:rsidRPr="007E29C4" w:rsidRDefault="00C76E16" w:rsidP="00DB4C2D">
            <w:pPr>
              <w:spacing w:after="80" w:line="234" w:lineRule="atLeast"/>
              <w:rPr>
                <w:lang w:val="fr-FR"/>
              </w:rPr>
            </w:pPr>
            <w:r w:rsidRPr="007E29C4">
              <w:rPr>
                <w:lang w:val="fr-FR"/>
              </w:rPr>
              <w:t>M</w:t>
            </w:r>
            <w:r w:rsidRPr="007E29C4">
              <w:rPr>
                <w:vertAlign w:val="subscript"/>
                <w:lang w:val="fr-FR"/>
              </w:rPr>
              <w:t>i</w:t>
            </w:r>
          </w:p>
        </w:tc>
        <w:tc>
          <w:tcPr>
            <w:tcW w:w="284" w:type="dxa"/>
            <w:shd w:val="clear" w:color="auto" w:fill="auto"/>
          </w:tcPr>
          <w:p w:rsidR="00C76E16" w:rsidRPr="007E29C4" w:rsidRDefault="00C76E16" w:rsidP="00DB4C2D">
            <w:pPr>
              <w:spacing w:after="80" w:line="234" w:lineRule="atLeast"/>
              <w:rPr>
                <w:lang w:val="fr-FR"/>
              </w:rPr>
            </w:pPr>
            <w:r w:rsidRPr="007E29C4">
              <w:rPr>
                <w:lang w:val="fr-FR"/>
              </w:rPr>
              <w:t>=</w:t>
            </w:r>
          </w:p>
        </w:tc>
        <w:tc>
          <w:tcPr>
            <w:tcW w:w="5102" w:type="dxa"/>
            <w:shd w:val="clear" w:color="auto" w:fill="auto"/>
          </w:tcPr>
          <w:p w:rsidR="00C76E16" w:rsidRPr="007E29C4" w:rsidRDefault="00C76E16" w:rsidP="00DB4C2D">
            <w:pPr>
              <w:spacing w:after="80" w:line="234" w:lineRule="atLeast"/>
              <w:rPr>
                <w:lang w:val="fr-FR"/>
              </w:rPr>
            </w:pPr>
            <w:r w:rsidRPr="007E29C4">
              <w:rPr>
                <w:lang w:val="fr-FR"/>
              </w:rPr>
              <w:t>émission massique du polluant i en g/km,</w:t>
            </w:r>
          </w:p>
        </w:tc>
      </w:tr>
      <w:tr w:rsidR="00C76E16" w:rsidRPr="007E29C4" w:rsidTr="00DB4C2D">
        <w:tc>
          <w:tcPr>
            <w:tcW w:w="567" w:type="dxa"/>
            <w:shd w:val="clear" w:color="auto" w:fill="auto"/>
          </w:tcPr>
          <w:p w:rsidR="00C76E16" w:rsidRPr="007E29C4" w:rsidRDefault="00C76E16" w:rsidP="00DB4C2D">
            <w:pPr>
              <w:spacing w:after="80" w:line="234" w:lineRule="atLeast"/>
              <w:rPr>
                <w:lang w:val="fr-FR"/>
              </w:rPr>
            </w:pPr>
            <w:r w:rsidRPr="007E29C4">
              <w:rPr>
                <w:lang w:val="fr-FR"/>
              </w:rPr>
              <w:t>M</w:t>
            </w:r>
            <w:r w:rsidRPr="007E29C4">
              <w:rPr>
                <w:vertAlign w:val="subscript"/>
                <w:lang w:val="fr-FR"/>
              </w:rPr>
              <w:t>1i</w:t>
            </w:r>
          </w:p>
        </w:tc>
        <w:tc>
          <w:tcPr>
            <w:tcW w:w="284" w:type="dxa"/>
            <w:shd w:val="clear" w:color="auto" w:fill="auto"/>
          </w:tcPr>
          <w:p w:rsidR="00C76E16" w:rsidRPr="007E29C4" w:rsidRDefault="00C76E16" w:rsidP="00DB4C2D">
            <w:pPr>
              <w:spacing w:after="80" w:line="234" w:lineRule="atLeast"/>
              <w:rPr>
                <w:lang w:val="fr-FR"/>
              </w:rPr>
            </w:pPr>
            <w:r w:rsidRPr="007E29C4">
              <w:rPr>
                <w:lang w:val="fr-FR"/>
              </w:rPr>
              <w:t>=</w:t>
            </w:r>
          </w:p>
        </w:tc>
        <w:tc>
          <w:tcPr>
            <w:tcW w:w="5102" w:type="dxa"/>
            <w:shd w:val="clear" w:color="auto" w:fill="auto"/>
          </w:tcPr>
          <w:p w:rsidR="00C76E16" w:rsidRPr="007E29C4" w:rsidRDefault="00C76E16" w:rsidP="00DB4C2D">
            <w:pPr>
              <w:spacing w:after="80" w:line="234" w:lineRule="atLeast"/>
              <w:rPr>
                <w:lang w:val="fr-FR"/>
              </w:rPr>
            </w:pPr>
            <w:r w:rsidRPr="007E29C4">
              <w:rPr>
                <w:lang w:val="fr-FR"/>
              </w:rPr>
              <w:t>émission massique moyenne du polluant i en g/km avec un dispositif de stockage d</w:t>
            </w:r>
            <w:r w:rsidR="00DB4C2D">
              <w:rPr>
                <w:lang w:val="fr-FR"/>
              </w:rPr>
              <w:t>’</w:t>
            </w:r>
            <w:r w:rsidRPr="007E29C4">
              <w:rPr>
                <w:lang w:val="fr-FR"/>
              </w:rPr>
              <w:t xml:space="preserve">énergie </w:t>
            </w:r>
            <w:proofErr w:type="spellStart"/>
            <w:r w:rsidRPr="007E29C4">
              <w:rPr>
                <w:lang w:val="fr-FR"/>
              </w:rPr>
              <w:t>complètement</w:t>
            </w:r>
            <w:proofErr w:type="spellEnd"/>
            <w:r w:rsidRPr="007E29C4">
              <w:rPr>
                <w:lang w:val="fr-FR"/>
              </w:rPr>
              <w:t xml:space="preserve"> chargé, calculée selon le paragraphe 3.2.2.7 de la présente annexe,</w:t>
            </w:r>
          </w:p>
        </w:tc>
      </w:tr>
      <w:tr w:rsidR="00C76E16" w:rsidRPr="007E29C4" w:rsidTr="00DB4C2D">
        <w:tc>
          <w:tcPr>
            <w:tcW w:w="567" w:type="dxa"/>
            <w:shd w:val="clear" w:color="auto" w:fill="auto"/>
          </w:tcPr>
          <w:p w:rsidR="00C76E16" w:rsidRPr="007E29C4" w:rsidRDefault="00C76E16" w:rsidP="00DB4C2D">
            <w:pPr>
              <w:spacing w:after="80" w:line="234" w:lineRule="atLeast"/>
              <w:rPr>
                <w:lang w:val="fr-FR"/>
              </w:rPr>
            </w:pPr>
            <w:r w:rsidRPr="007E29C4">
              <w:rPr>
                <w:lang w:val="fr-FR"/>
              </w:rPr>
              <w:t>M</w:t>
            </w:r>
            <w:r w:rsidRPr="007E29C4">
              <w:rPr>
                <w:vertAlign w:val="subscript"/>
                <w:lang w:val="fr-FR"/>
              </w:rPr>
              <w:t>2i</w:t>
            </w:r>
          </w:p>
        </w:tc>
        <w:tc>
          <w:tcPr>
            <w:tcW w:w="284" w:type="dxa"/>
            <w:shd w:val="clear" w:color="auto" w:fill="auto"/>
          </w:tcPr>
          <w:p w:rsidR="00C76E16" w:rsidRPr="007E29C4" w:rsidRDefault="00C76E16" w:rsidP="00DB4C2D">
            <w:pPr>
              <w:spacing w:after="80" w:line="234" w:lineRule="atLeast"/>
              <w:rPr>
                <w:lang w:val="fr-FR"/>
              </w:rPr>
            </w:pPr>
            <w:r w:rsidRPr="007E29C4">
              <w:rPr>
                <w:lang w:val="fr-FR"/>
              </w:rPr>
              <w:t>=</w:t>
            </w:r>
          </w:p>
        </w:tc>
        <w:tc>
          <w:tcPr>
            <w:tcW w:w="5102" w:type="dxa"/>
            <w:shd w:val="clear" w:color="auto" w:fill="auto"/>
          </w:tcPr>
          <w:p w:rsidR="00C76E16" w:rsidRPr="007E29C4" w:rsidRDefault="00C76E16" w:rsidP="00DB4C2D">
            <w:pPr>
              <w:spacing w:after="80" w:line="234" w:lineRule="atLeast"/>
              <w:rPr>
                <w:lang w:val="fr-FR"/>
              </w:rPr>
            </w:pPr>
            <w:r w:rsidRPr="007E29C4">
              <w:rPr>
                <w:lang w:val="fr-FR"/>
              </w:rPr>
              <w:t>émission massique moyenne du polluant i en g/km avec un dispositif de stockage d</w:t>
            </w:r>
            <w:r w:rsidR="00DB4C2D">
              <w:rPr>
                <w:lang w:val="fr-FR"/>
              </w:rPr>
              <w:t>’</w:t>
            </w:r>
            <w:r w:rsidRPr="007E29C4">
              <w:rPr>
                <w:lang w:val="fr-FR"/>
              </w:rPr>
              <w:t>énergie au niveau de charge minimal (décharge maximale de la capacité), calculée au paragraphe 3.2.3.5 de la présente annexe,</w:t>
            </w:r>
          </w:p>
        </w:tc>
      </w:tr>
      <w:tr w:rsidR="00C76E16" w:rsidRPr="007E29C4" w:rsidTr="00DB4C2D">
        <w:tc>
          <w:tcPr>
            <w:tcW w:w="567" w:type="dxa"/>
            <w:shd w:val="clear" w:color="auto" w:fill="auto"/>
          </w:tcPr>
          <w:p w:rsidR="00C76E16" w:rsidRPr="007E29C4" w:rsidRDefault="00C76E16" w:rsidP="00DB4C2D">
            <w:pPr>
              <w:spacing w:after="80" w:line="234" w:lineRule="atLeast"/>
              <w:rPr>
                <w:lang w:val="fr-FR"/>
              </w:rPr>
            </w:pPr>
            <w:proofErr w:type="spellStart"/>
            <w:r w:rsidRPr="007E29C4">
              <w:rPr>
                <w:lang w:val="fr-FR"/>
              </w:rPr>
              <w:t>Dovc</w:t>
            </w:r>
            <w:proofErr w:type="spellEnd"/>
          </w:p>
        </w:tc>
        <w:tc>
          <w:tcPr>
            <w:tcW w:w="284" w:type="dxa"/>
            <w:shd w:val="clear" w:color="auto" w:fill="auto"/>
          </w:tcPr>
          <w:p w:rsidR="00C76E16" w:rsidRPr="007E29C4" w:rsidRDefault="00C76E16" w:rsidP="00DB4C2D">
            <w:pPr>
              <w:spacing w:after="80" w:line="234" w:lineRule="atLeast"/>
              <w:rPr>
                <w:lang w:val="fr-FR"/>
              </w:rPr>
            </w:pPr>
            <w:r w:rsidRPr="007E29C4">
              <w:rPr>
                <w:lang w:val="fr-FR"/>
              </w:rPr>
              <w:t>=</w:t>
            </w:r>
          </w:p>
        </w:tc>
        <w:tc>
          <w:tcPr>
            <w:tcW w:w="5102" w:type="dxa"/>
            <w:shd w:val="clear" w:color="auto" w:fill="auto"/>
          </w:tcPr>
          <w:p w:rsidR="00C76E16" w:rsidRPr="007E29C4" w:rsidRDefault="00C76E16" w:rsidP="00DB4C2D">
            <w:pPr>
              <w:spacing w:after="80" w:line="234" w:lineRule="atLeast"/>
              <w:rPr>
                <w:lang w:val="fr-FR"/>
              </w:rPr>
            </w:pPr>
            <w:r w:rsidRPr="007E29C4">
              <w:rPr>
                <w:lang w:val="fr-FR"/>
              </w:rPr>
              <w:t>autonomie du véhicule électrique entre recharges extérieures, déterminée selon le mode opératoire décrit dans l</w:t>
            </w:r>
            <w:r w:rsidR="00DB4C2D">
              <w:rPr>
                <w:lang w:val="fr-FR"/>
              </w:rPr>
              <w:t>’</w:t>
            </w:r>
            <w:r w:rsidRPr="007E29C4">
              <w:rPr>
                <w:lang w:val="fr-FR"/>
              </w:rPr>
              <w:t>annexe 9 du Règlement </w:t>
            </w:r>
            <w:r w:rsidRPr="007E29C4">
              <w:rPr>
                <w:rFonts w:eastAsia="MS Mincho"/>
                <w:lang w:val="fr-FR"/>
              </w:rPr>
              <w:t>n</w:t>
            </w:r>
            <w:r w:rsidRPr="007E29C4">
              <w:rPr>
                <w:rFonts w:eastAsia="MS Mincho"/>
                <w:vertAlign w:val="superscript"/>
                <w:lang w:val="fr-FR"/>
              </w:rPr>
              <w:t>o</w:t>
            </w:r>
            <w:r w:rsidRPr="007E29C4">
              <w:rPr>
                <w:lang w:val="fr-FR"/>
              </w:rPr>
              <w:t> 101,</w:t>
            </w:r>
          </w:p>
        </w:tc>
      </w:tr>
      <w:tr w:rsidR="00C76E16" w:rsidRPr="007E29C4" w:rsidTr="00DB4C2D">
        <w:tc>
          <w:tcPr>
            <w:tcW w:w="567" w:type="dxa"/>
            <w:shd w:val="clear" w:color="auto" w:fill="auto"/>
          </w:tcPr>
          <w:p w:rsidR="00C76E16" w:rsidRPr="007E29C4" w:rsidRDefault="00C76E16" w:rsidP="00DB4C2D">
            <w:pPr>
              <w:spacing w:after="80" w:line="234" w:lineRule="atLeast"/>
              <w:rPr>
                <w:lang w:val="fr-FR"/>
              </w:rPr>
            </w:pPr>
            <w:proofErr w:type="spellStart"/>
            <w:r w:rsidRPr="007E29C4">
              <w:rPr>
                <w:lang w:val="fr-FR"/>
              </w:rPr>
              <w:t>Dav</w:t>
            </w:r>
            <w:proofErr w:type="spellEnd"/>
          </w:p>
        </w:tc>
        <w:tc>
          <w:tcPr>
            <w:tcW w:w="284" w:type="dxa"/>
            <w:shd w:val="clear" w:color="auto" w:fill="auto"/>
          </w:tcPr>
          <w:p w:rsidR="00C76E16" w:rsidRPr="007E29C4" w:rsidRDefault="00C76E16" w:rsidP="00DB4C2D">
            <w:pPr>
              <w:spacing w:after="80" w:line="234" w:lineRule="atLeast"/>
              <w:rPr>
                <w:lang w:val="fr-FR"/>
              </w:rPr>
            </w:pPr>
            <w:r w:rsidRPr="007E29C4">
              <w:rPr>
                <w:lang w:val="fr-FR"/>
              </w:rPr>
              <w:t>=</w:t>
            </w:r>
          </w:p>
        </w:tc>
        <w:tc>
          <w:tcPr>
            <w:tcW w:w="5102" w:type="dxa"/>
            <w:shd w:val="clear" w:color="auto" w:fill="auto"/>
          </w:tcPr>
          <w:p w:rsidR="00C76E16" w:rsidRPr="007E29C4" w:rsidRDefault="00C76E16" w:rsidP="00DB4C2D">
            <w:pPr>
              <w:spacing w:after="80" w:line="234" w:lineRule="atLeast"/>
              <w:rPr>
                <w:lang w:val="fr-FR"/>
              </w:rPr>
            </w:pPr>
            <w:r w:rsidRPr="007E29C4">
              <w:rPr>
                <w:lang w:val="fr-FR"/>
              </w:rPr>
              <w:t>25 km (distance moyenne parcourue entre deux recharges de la batterie).</w:t>
            </w:r>
          </w:p>
        </w:tc>
      </w:tr>
    </w:tbl>
    <w:p w:rsidR="00C76E16" w:rsidRPr="00A779B8" w:rsidRDefault="00C76E16" w:rsidP="00C76E16">
      <w:pPr>
        <w:pStyle w:val="SingleTxtG"/>
        <w:keepNext/>
        <w:spacing w:before="120" w:after="100" w:line="236" w:lineRule="atLeast"/>
        <w:ind w:left="2268" w:hanging="1134"/>
        <w:jc w:val="left"/>
        <w:rPr>
          <w:lang w:val="fr-FR"/>
        </w:rPr>
      </w:pPr>
      <w:r w:rsidRPr="00A779B8">
        <w:rPr>
          <w:lang w:val="fr-FR"/>
        </w:rPr>
        <w:t>3.3</w:t>
      </w:r>
      <w:r w:rsidRPr="00A779B8">
        <w:rPr>
          <w:lang w:val="fr-FR"/>
        </w:rPr>
        <w:tab/>
        <w:t>Véhicule électrique hybride non rechargeable de l</w:t>
      </w:r>
      <w:r w:rsidR="00DB4C2D">
        <w:rPr>
          <w:lang w:val="fr-FR"/>
        </w:rPr>
        <w:t>’</w:t>
      </w:r>
      <w:r w:rsidRPr="00A779B8">
        <w:rPr>
          <w:lang w:val="fr-FR"/>
        </w:rPr>
        <w:t xml:space="preserve">extérieur (NOVC) sans commutateur de mode de fonctionnement </w:t>
      </w:r>
    </w:p>
    <w:p w:rsidR="00C76E16" w:rsidRPr="00A779B8" w:rsidRDefault="00C76E16" w:rsidP="00C76E16">
      <w:pPr>
        <w:pStyle w:val="SingleTxtG"/>
        <w:spacing w:after="100" w:line="236" w:lineRule="atLeast"/>
        <w:ind w:left="2268" w:hanging="1134"/>
        <w:rPr>
          <w:lang w:val="fr-FR"/>
        </w:rPr>
      </w:pPr>
      <w:r w:rsidRPr="00A779B8">
        <w:rPr>
          <w:lang w:val="fr-FR"/>
        </w:rPr>
        <w:t>3.3.1</w:t>
      </w:r>
      <w:r w:rsidRPr="00A779B8">
        <w:rPr>
          <w:lang w:val="fr-FR"/>
        </w:rPr>
        <w:tab/>
        <w:t>Pour ce type de véhicule l</w:t>
      </w:r>
      <w:r w:rsidR="00DB4C2D">
        <w:rPr>
          <w:lang w:val="fr-FR"/>
        </w:rPr>
        <w:t>’</w:t>
      </w:r>
      <w:r w:rsidRPr="00A779B8">
        <w:rPr>
          <w:lang w:val="fr-FR"/>
        </w:rPr>
        <w:t>essai doit être effectué conformément à l</w:t>
      </w:r>
      <w:r w:rsidR="00DB4C2D">
        <w:rPr>
          <w:lang w:val="fr-FR"/>
        </w:rPr>
        <w:t>’</w:t>
      </w:r>
      <w:r w:rsidRPr="00A779B8">
        <w:rPr>
          <w:lang w:val="fr-FR"/>
        </w:rPr>
        <w:t>annexe 4a.</w:t>
      </w:r>
    </w:p>
    <w:p w:rsidR="00C76E16" w:rsidRPr="00A779B8" w:rsidRDefault="00C76E16" w:rsidP="00C76E16">
      <w:pPr>
        <w:pStyle w:val="SingleTxtG"/>
        <w:spacing w:after="100" w:line="236" w:lineRule="atLeast"/>
        <w:ind w:left="2268" w:hanging="1134"/>
        <w:rPr>
          <w:lang w:val="fr-FR"/>
        </w:rPr>
      </w:pPr>
      <w:r w:rsidRPr="00A779B8">
        <w:rPr>
          <w:lang w:val="fr-FR"/>
        </w:rPr>
        <w:t>3.3.2</w:t>
      </w:r>
      <w:r w:rsidRPr="00A779B8">
        <w:rPr>
          <w:lang w:val="fr-FR"/>
        </w:rPr>
        <w:tab/>
        <w:t xml:space="preserve">Pour le </w:t>
      </w:r>
      <w:proofErr w:type="spellStart"/>
      <w:r w:rsidRPr="00A779B8">
        <w:rPr>
          <w:lang w:val="fr-FR"/>
        </w:rPr>
        <w:t>préconditionnement</w:t>
      </w:r>
      <w:proofErr w:type="spellEnd"/>
      <w:r w:rsidRPr="00A779B8">
        <w:rPr>
          <w:lang w:val="fr-FR"/>
        </w:rPr>
        <w:t>, on doit procéder à au moins deux cycles consécutifs complets (un de la première partie et un de la seconde partie) sans phase d</w:t>
      </w:r>
      <w:r w:rsidR="00DB4C2D">
        <w:rPr>
          <w:lang w:val="fr-FR"/>
        </w:rPr>
        <w:t>’</w:t>
      </w:r>
      <w:r w:rsidRPr="00A779B8">
        <w:rPr>
          <w:lang w:val="fr-FR"/>
        </w:rPr>
        <w:t>égalisation des températures.</w:t>
      </w:r>
    </w:p>
    <w:p w:rsidR="00C76E16" w:rsidRPr="00A779B8" w:rsidRDefault="00C76E16" w:rsidP="00C76E16">
      <w:pPr>
        <w:pStyle w:val="SingleTxtG"/>
        <w:spacing w:after="100" w:line="236" w:lineRule="atLeast"/>
        <w:ind w:left="2268" w:hanging="1134"/>
        <w:rPr>
          <w:lang w:val="fr-FR"/>
        </w:rPr>
      </w:pPr>
      <w:r w:rsidRPr="00A779B8">
        <w:rPr>
          <w:lang w:val="fr-FR"/>
        </w:rPr>
        <w:t>3.3.3</w:t>
      </w:r>
      <w:r w:rsidRPr="00A779B8">
        <w:rPr>
          <w:lang w:val="fr-FR"/>
        </w:rPr>
        <w:tab/>
        <w:t>Le véhicule doit être conduit conformément à l</w:t>
      </w:r>
      <w:r w:rsidR="00DB4C2D">
        <w:rPr>
          <w:lang w:val="fr-FR"/>
        </w:rPr>
        <w:t>’</w:t>
      </w:r>
      <w:r w:rsidRPr="00A779B8">
        <w:rPr>
          <w:lang w:val="fr-FR"/>
        </w:rPr>
        <w:t>annexe 4a ou, en cas d</w:t>
      </w:r>
      <w:r w:rsidR="00DB4C2D">
        <w:rPr>
          <w:lang w:val="fr-FR"/>
        </w:rPr>
        <w:t>’</w:t>
      </w:r>
      <w:r w:rsidRPr="00A779B8">
        <w:rPr>
          <w:lang w:val="fr-FR"/>
        </w:rPr>
        <w:t>instructions particulières du constructeur concernant le passage des rapports, conformément à ces instructions qui figurent dans le manuel d</w:t>
      </w:r>
      <w:r w:rsidR="00DB4C2D">
        <w:rPr>
          <w:lang w:val="fr-FR"/>
        </w:rPr>
        <w:t>’</w:t>
      </w:r>
      <w:r w:rsidRPr="00A779B8">
        <w:rPr>
          <w:lang w:val="fr-FR"/>
        </w:rPr>
        <w:t>entretien du véhicule et sont indiquées sur le tableau de bord (pour l</w:t>
      </w:r>
      <w:r w:rsidR="00DB4C2D">
        <w:rPr>
          <w:lang w:val="fr-FR"/>
        </w:rPr>
        <w:t>’</w:t>
      </w:r>
      <w:r w:rsidRPr="00A779B8">
        <w:rPr>
          <w:lang w:val="fr-FR"/>
        </w:rPr>
        <w:t>information du conducteur). Pour ce type de véhicules, les points de changement de vitesse prescrits dans l</w:t>
      </w:r>
      <w:r w:rsidR="00DB4C2D">
        <w:rPr>
          <w:lang w:val="fr-FR"/>
        </w:rPr>
        <w:t>’</w:t>
      </w:r>
      <w:r w:rsidRPr="00A779B8">
        <w:rPr>
          <w:lang w:val="fr-FR"/>
        </w:rPr>
        <w:t>annexe 4a ne s</w:t>
      </w:r>
      <w:r w:rsidR="00DB4C2D">
        <w:rPr>
          <w:lang w:val="fr-FR"/>
        </w:rPr>
        <w:t>’</w:t>
      </w:r>
      <w:r w:rsidRPr="00A779B8">
        <w:rPr>
          <w:lang w:val="fr-FR"/>
        </w:rPr>
        <w:t>appliquent pas. Pour le profil de la courbe de fonctionnement, on doit appliquer la description figurant au paragraphe 6.1.3 de l</w:t>
      </w:r>
      <w:r w:rsidR="00DB4C2D">
        <w:rPr>
          <w:lang w:val="fr-FR"/>
        </w:rPr>
        <w:t>’</w:t>
      </w:r>
      <w:r w:rsidRPr="00A779B8">
        <w:rPr>
          <w:lang w:val="fr-FR"/>
        </w:rPr>
        <w:t>annexe 4a.</w:t>
      </w:r>
    </w:p>
    <w:p w:rsidR="00C76E16" w:rsidRPr="00A779B8" w:rsidRDefault="00C76E16" w:rsidP="00C76E16">
      <w:pPr>
        <w:pStyle w:val="SingleTxtG"/>
        <w:keepNext/>
        <w:spacing w:after="100" w:line="236" w:lineRule="atLeast"/>
        <w:ind w:left="2268" w:hanging="1134"/>
        <w:jc w:val="left"/>
        <w:rPr>
          <w:lang w:val="fr-FR"/>
        </w:rPr>
      </w:pPr>
      <w:r w:rsidRPr="00A779B8">
        <w:rPr>
          <w:lang w:val="fr-FR"/>
        </w:rPr>
        <w:t>3.4</w:t>
      </w:r>
      <w:r w:rsidRPr="00A779B8">
        <w:rPr>
          <w:lang w:val="fr-FR"/>
        </w:rPr>
        <w:tab/>
        <w:t>Véhicule électrique hybride non rechargeable de l</w:t>
      </w:r>
      <w:r w:rsidR="00DB4C2D">
        <w:rPr>
          <w:lang w:val="fr-FR"/>
        </w:rPr>
        <w:t>’</w:t>
      </w:r>
      <w:r w:rsidRPr="00A779B8">
        <w:rPr>
          <w:lang w:val="fr-FR"/>
        </w:rPr>
        <w:t xml:space="preserve">extérieur (NOVC) avec commutateur de mode de fonctionnement </w:t>
      </w:r>
    </w:p>
    <w:p w:rsidR="00C76E16" w:rsidRPr="00A779B8" w:rsidRDefault="00C76E16" w:rsidP="00C76E16">
      <w:pPr>
        <w:pStyle w:val="SingleTxtG"/>
        <w:spacing w:after="100" w:line="236" w:lineRule="atLeast"/>
        <w:ind w:left="2268" w:hanging="1134"/>
        <w:rPr>
          <w:lang w:val="fr-FR"/>
        </w:rPr>
      </w:pPr>
      <w:r w:rsidRPr="00A779B8">
        <w:rPr>
          <w:lang w:val="fr-FR"/>
        </w:rPr>
        <w:t>3.4.1</w:t>
      </w:r>
      <w:r w:rsidRPr="00A779B8">
        <w:rPr>
          <w:lang w:val="fr-FR"/>
        </w:rPr>
        <w:tab/>
        <w:t xml:space="preserve">Ces véhicules sont </w:t>
      </w:r>
      <w:proofErr w:type="spellStart"/>
      <w:r w:rsidRPr="00A779B8">
        <w:rPr>
          <w:lang w:val="fr-FR"/>
        </w:rPr>
        <w:t>préconditionnés</w:t>
      </w:r>
      <w:proofErr w:type="spellEnd"/>
      <w:r w:rsidRPr="00A779B8">
        <w:rPr>
          <w:lang w:val="fr-FR"/>
        </w:rPr>
        <w:t xml:space="preserve"> et essayés en mode hybride conformément à l</w:t>
      </w:r>
      <w:r w:rsidR="00DB4C2D">
        <w:rPr>
          <w:lang w:val="fr-FR"/>
        </w:rPr>
        <w:t>’</w:t>
      </w:r>
      <w:r w:rsidRPr="00A779B8">
        <w:rPr>
          <w:lang w:val="fr-FR"/>
        </w:rPr>
        <w:t>annexe 4a. S</w:t>
      </w:r>
      <w:r w:rsidR="00DB4C2D">
        <w:rPr>
          <w:lang w:val="fr-FR"/>
        </w:rPr>
        <w:t>’</w:t>
      </w:r>
      <w:r w:rsidRPr="00A779B8">
        <w:rPr>
          <w:lang w:val="fr-FR"/>
        </w:rPr>
        <w:t>ils disposent de plusieurs modes hybrides, l</w:t>
      </w:r>
      <w:r w:rsidR="00DB4C2D">
        <w:rPr>
          <w:lang w:val="fr-FR"/>
        </w:rPr>
        <w:t>’</w:t>
      </w:r>
      <w:r w:rsidRPr="00A779B8">
        <w:rPr>
          <w:lang w:val="fr-FR"/>
        </w:rPr>
        <w:t>essai doit être effectué dans le mode établi automatiquement une fois tournée la clef de contact (mode normal). Sur la base des renseignements fournis par le constructeur, le service technique doit veiller à ce que les valeurs limites soient respectées dans tous les modes hybrides.</w:t>
      </w:r>
    </w:p>
    <w:p w:rsidR="00C76E16" w:rsidRPr="00A779B8" w:rsidRDefault="00C76E16" w:rsidP="00C76E16">
      <w:pPr>
        <w:pStyle w:val="SingleTxtG"/>
        <w:spacing w:after="100" w:line="236" w:lineRule="atLeast"/>
        <w:ind w:left="2268" w:hanging="1134"/>
        <w:rPr>
          <w:lang w:val="fr-FR"/>
        </w:rPr>
      </w:pPr>
      <w:r w:rsidRPr="00A779B8">
        <w:rPr>
          <w:lang w:val="fr-FR"/>
        </w:rPr>
        <w:t>3.4.2</w:t>
      </w:r>
      <w:r w:rsidRPr="00A779B8">
        <w:rPr>
          <w:lang w:val="fr-FR"/>
        </w:rPr>
        <w:tab/>
        <w:t xml:space="preserve">Pour le </w:t>
      </w:r>
      <w:proofErr w:type="spellStart"/>
      <w:r w:rsidRPr="00A779B8">
        <w:rPr>
          <w:lang w:val="fr-FR"/>
        </w:rPr>
        <w:t>préconditionnement</w:t>
      </w:r>
      <w:proofErr w:type="spellEnd"/>
      <w:r w:rsidRPr="00A779B8">
        <w:rPr>
          <w:lang w:val="fr-FR"/>
        </w:rPr>
        <w:t>, on doit procéder à au moins deux cycles consécutifs complets (un de la première partie et un de la seconde partie) sans phase d</w:t>
      </w:r>
      <w:r w:rsidR="00DB4C2D">
        <w:rPr>
          <w:lang w:val="fr-FR"/>
        </w:rPr>
        <w:t>’</w:t>
      </w:r>
      <w:r w:rsidRPr="00A779B8">
        <w:rPr>
          <w:lang w:val="fr-FR"/>
        </w:rPr>
        <w:t>égalisation des températures.</w:t>
      </w:r>
    </w:p>
    <w:p w:rsidR="00C76E16" w:rsidRPr="00A779B8" w:rsidRDefault="00C76E16" w:rsidP="00C76E16">
      <w:pPr>
        <w:pStyle w:val="SingleTxtG"/>
        <w:spacing w:after="100" w:line="236" w:lineRule="atLeast"/>
        <w:ind w:left="2268" w:hanging="1134"/>
        <w:rPr>
          <w:lang w:val="fr-FR"/>
        </w:rPr>
      </w:pPr>
      <w:r w:rsidRPr="00A779B8">
        <w:rPr>
          <w:lang w:val="fr-FR"/>
        </w:rPr>
        <w:t>3.4.3</w:t>
      </w:r>
      <w:r w:rsidRPr="00A779B8">
        <w:rPr>
          <w:lang w:val="fr-FR"/>
        </w:rPr>
        <w:tab/>
        <w:t>Le véhicule doit être conduit conformément à l</w:t>
      </w:r>
      <w:r w:rsidR="00DB4C2D">
        <w:rPr>
          <w:lang w:val="fr-FR"/>
        </w:rPr>
        <w:t>’</w:t>
      </w:r>
      <w:r w:rsidRPr="00A779B8">
        <w:rPr>
          <w:lang w:val="fr-FR"/>
        </w:rPr>
        <w:t>annexe 4a du présent Règlement ou, en cas d</w:t>
      </w:r>
      <w:r w:rsidR="00DB4C2D">
        <w:rPr>
          <w:lang w:val="fr-FR"/>
        </w:rPr>
        <w:t>’</w:t>
      </w:r>
      <w:r w:rsidRPr="00A779B8">
        <w:rPr>
          <w:lang w:val="fr-FR"/>
        </w:rPr>
        <w:t>instructions particulières du constructeur concernant le passage des rapports, conformément à ces instructions qui figurent dans le manuel d</w:t>
      </w:r>
      <w:r w:rsidR="00DB4C2D">
        <w:rPr>
          <w:lang w:val="fr-FR"/>
        </w:rPr>
        <w:t>’</w:t>
      </w:r>
      <w:r w:rsidRPr="00A779B8">
        <w:rPr>
          <w:lang w:val="fr-FR"/>
        </w:rPr>
        <w:t>entretien du véhicule et sont indiquées sur le tableau de bord (pour l</w:t>
      </w:r>
      <w:r w:rsidR="00DB4C2D">
        <w:rPr>
          <w:lang w:val="fr-FR"/>
        </w:rPr>
        <w:t>’</w:t>
      </w:r>
      <w:r w:rsidRPr="00A779B8">
        <w:rPr>
          <w:lang w:val="fr-FR"/>
        </w:rPr>
        <w:t>information du conducteur). Pour ce type de véhicules, les points de changement de vitesse prescrits dans l</w:t>
      </w:r>
      <w:r w:rsidR="00DB4C2D">
        <w:rPr>
          <w:lang w:val="fr-FR"/>
        </w:rPr>
        <w:t>’</w:t>
      </w:r>
      <w:r w:rsidRPr="00A779B8">
        <w:rPr>
          <w:lang w:val="fr-FR"/>
        </w:rPr>
        <w:t>annexe 4a du présent Règlement ne s</w:t>
      </w:r>
      <w:r w:rsidR="00DB4C2D">
        <w:rPr>
          <w:lang w:val="fr-FR"/>
        </w:rPr>
        <w:t>’</w:t>
      </w:r>
      <w:r w:rsidRPr="00A779B8">
        <w:rPr>
          <w:lang w:val="fr-FR"/>
        </w:rPr>
        <w:t>appliquent pas. Pour le profil de la courbe de fonctionnement, on doit appliquer la description figurant au paragraphe 6.1.3 de l</w:t>
      </w:r>
      <w:r w:rsidR="00DB4C2D">
        <w:rPr>
          <w:lang w:val="fr-FR"/>
        </w:rPr>
        <w:t>’</w:t>
      </w:r>
      <w:r w:rsidRPr="00A779B8">
        <w:rPr>
          <w:lang w:val="fr-FR"/>
        </w:rPr>
        <w:t>annexe 4a du présent Règlement.</w:t>
      </w:r>
    </w:p>
    <w:p w:rsidR="00C76E16" w:rsidRPr="00A779B8" w:rsidRDefault="00C76E16" w:rsidP="00C76E16">
      <w:pPr>
        <w:pStyle w:val="SingleTxtG"/>
        <w:keepNext/>
        <w:ind w:left="2268" w:hanging="1134"/>
        <w:jc w:val="left"/>
        <w:rPr>
          <w:lang w:val="fr-FR"/>
        </w:rPr>
      </w:pPr>
      <w:r w:rsidRPr="00A779B8">
        <w:rPr>
          <w:lang w:val="fr-FR"/>
        </w:rPr>
        <w:lastRenderedPageBreak/>
        <w:t>4.</w:t>
      </w:r>
      <w:r w:rsidRPr="00A779B8">
        <w:rPr>
          <w:lang w:val="fr-FR"/>
        </w:rPr>
        <w:tab/>
        <w:t>Méthodes d</w:t>
      </w:r>
      <w:r w:rsidR="00DB4C2D">
        <w:rPr>
          <w:lang w:val="fr-FR"/>
        </w:rPr>
        <w:t>’</w:t>
      </w:r>
      <w:r w:rsidRPr="00A779B8">
        <w:rPr>
          <w:lang w:val="fr-FR"/>
        </w:rPr>
        <w:t xml:space="preserve">essai du type II </w:t>
      </w:r>
    </w:p>
    <w:p w:rsidR="00C76E16" w:rsidRPr="00A779B8" w:rsidRDefault="00C76E16" w:rsidP="00C76E16">
      <w:pPr>
        <w:pStyle w:val="SingleTxtG"/>
        <w:ind w:left="2268" w:hanging="1134"/>
        <w:rPr>
          <w:lang w:val="fr-FR"/>
        </w:rPr>
      </w:pPr>
      <w:r w:rsidRPr="00A779B8">
        <w:rPr>
          <w:lang w:val="fr-FR"/>
        </w:rPr>
        <w:t>4.1</w:t>
      </w:r>
      <w:r w:rsidRPr="00A779B8">
        <w:rPr>
          <w:lang w:val="fr-FR"/>
        </w:rPr>
        <w:tab/>
        <w:t>Les véhicules doivent être soumis aux essais de l</w:t>
      </w:r>
      <w:r w:rsidR="00DB4C2D">
        <w:rPr>
          <w:lang w:val="fr-FR"/>
        </w:rPr>
        <w:t>’</w:t>
      </w:r>
      <w:r w:rsidRPr="00A779B8">
        <w:rPr>
          <w:lang w:val="fr-FR"/>
        </w:rPr>
        <w:t>annexe 5 alors que leur moteur thermique fonctionne. Le constructeur doit définir un «mode de service» rendant possible l</w:t>
      </w:r>
      <w:r w:rsidR="00DB4C2D">
        <w:rPr>
          <w:lang w:val="fr-FR"/>
        </w:rPr>
        <w:t>’</w:t>
      </w:r>
      <w:r w:rsidRPr="00A779B8">
        <w:rPr>
          <w:lang w:val="fr-FR"/>
        </w:rPr>
        <w:t>exécution de cet essai.</w:t>
      </w:r>
    </w:p>
    <w:p w:rsidR="00C76E16" w:rsidRPr="00A779B8" w:rsidRDefault="00C76E16" w:rsidP="00C76E16">
      <w:pPr>
        <w:pStyle w:val="SingleTxtG"/>
        <w:ind w:left="2268"/>
        <w:rPr>
          <w:lang w:val="fr-FR"/>
        </w:rPr>
      </w:pPr>
      <w:r w:rsidRPr="00A779B8">
        <w:rPr>
          <w:lang w:val="fr-FR"/>
        </w:rPr>
        <w:tab/>
        <w:t>Si nécessaire, on doit appliquer le mode opératoire spécial défini au paragraphe 5.1.6 du présent Règlement.</w:t>
      </w:r>
    </w:p>
    <w:p w:rsidR="00C76E16" w:rsidRPr="00A779B8" w:rsidRDefault="00C76E16" w:rsidP="00C76E16">
      <w:pPr>
        <w:pStyle w:val="SingleTxtG"/>
        <w:keepNext/>
        <w:ind w:left="2268" w:hanging="1134"/>
        <w:jc w:val="left"/>
        <w:rPr>
          <w:lang w:val="fr-FR"/>
        </w:rPr>
      </w:pPr>
      <w:r w:rsidRPr="00A779B8">
        <w:rPr>
          <w:lang w:val="fr-FR"/>
        </w:rPr>
        <w:t>5.</w:t>
      </w:r>
      <w:r w:rsidRPr="00A779B8">
        <w:rPr>
          <w:lang w:val="fr-FR"/>
        </w:rPr>
        <w:tab/>
        <w:t>Méthodes d</w:t>
      </w:r>
      <w:r w:rsidR="00DB4C2D">
        <w:rPr>
          <w:lang w:val="fr-FR"/>
        </w:rPr>
        <w:t>’</w:t>
      </w:r>
      <w:r w:rsidRPr="00A779B8">
        <w:rPr>
          <w:lang w:val="fr-FR"/>
        </w:rPr>
        <w:t>essai du type III</w:t>
      </w:r>
    </w:p>
    <w:p w:rsidR="00C76E16" w:rsidRPr="00A779B8" w:rsidRDefault="00C76E16" w:rsidP="00C76E16">
      <w:pPr>
        <w:pStyle w:val="SingleTxtG"/>
        <w:ind w:left="2268" w:hanging="1134"/>
        <w:rPr>
          <w:lang w:val="fr-FR"/>
        </w:rPr>
      </w:pPr>
      <w:r w:rsidRPr="00A779B8">
        <w:rPr>
          <w:lang w:val="fr-FR"/>
        </w:rPr>
        <w:t>5.1</w:t>
      </w:r>
      <w:r w:rsidRPr="00A779B8">
        <w:rPr>
          <w:lang w:val="fr-FR"/>
        </w:rPr>
        <w:tab/>
        <w:t>Les véhicules doivent être soumis aux essais de l</w:t>
      </w:r>
      <w:r w:rsidR="00DB4C2D">
        <w:rPr>
          <w:lang w:val="fr-FR"/>
        </w:rPr>
        <w:t>’</w:t>
      </w:r>
      <w:r w:rsidRPr="00A779B8">
        <w:rPr>
          <w:lang w:val="fr-FR"/>
        </w:rPr>
        <w:t>annexe 6 alors que leur moteur thermique fonctionne. Le constructeur doit définir un «mode de service» rendant possible l</w:t>
      </w:r>
      <w:r w:rsidR="00DB4C2D">
        <w:rPr>
          <w:lang w:val="fr-FR"/>
        </w:rPr>
        <w:t>’</w:t>
      </w:r>
      <w:r w:rsidRPr="00A779B8">
        <w:rPr>
          <w:lang w:val="fr-FR"/>
        </w:rPr>
        <w:t>exécution de cet essai.</w:t>
      </w:r>
    </w:p>
    <w:p w:rsidR="00C76E16" w:rsidRPr="00A779B8" w:rsidRDefault="00C76E16" w:rsidP="00C76E16">
      <w:pPr>
        <w:pStyle w:val="SingleTxtG"/>
        <w:keepLines/>
        <w:ind w:left="2268" w:hanging="1134"/>
        <w:rPr>
          <w:lang w:val="fr-FR"/>
        </w:rPr>
      </w:pPr>
      <w:r w:rsidRPr="00A779B8">
        <w:rPr>
          <w:lang w:val="fr-FR"/>
        </w:rPr>
        <w:t>5.2</w:t>
      </w:r>
      <w:r w:rsidRPr="00A779B8">
        <w:rPr>
          <w:lang w:val="fr-FR"/>
        </w:rPr>
        <w:tab/>
        <w:t>Les essais ne doivent être effectués que pour les conditions 1 et 2 du paragraphe 3.2 de l</w:t>
      </w:r>
      <w:r w:rsidR="00DB4C2D">
        <w:rPr>
          <w:lang w:val="fr-FR"/>
        </w:rPr>
        <w:t>’</w:t>
      </w:r>
      <w:r w:rsidRPr="00A779B8">
        <w:rPr>
          <w:lang w:val="fr-FR"/>
        </w:rPr>
        <w:t>annexe 6. Si, pour une raison quelconque, il n</w:t>
      </w:r>
      <w:r w:rsidR="00DB4C2D">
        <w:rPr>
          <w:lang w:val="fr-FR"/>
        </w:rPr>
        <w:t>’</w:t>
      </w:r>
      <w:r w:rsidRPr="00A779B8">
        <w:rPr>
          <w:lang w:val="fr-FR"/>
        </w:rPr>
        <w:t>est pas possible d</w:t>
      </w:r>
      <w:r w:rsidR="00DB4C2D">
        <w:rPr>
          <w:lang w:val="fr-FR"/>
        </w:rPr>
        <w:t>’</w:t>
      </w:r>
      <w:r w:rsidRPr="00A779B8">
        <w:rPr>
          <w:lang w:val="fr-FR"/>
        </w:rPr>
        <w:t>effectuer un essai pour la condition 2, on doit procéder à un autre essai à une autre vitesse constante (avec le moteur thermique fonctionnant en charge).</w:t>
      </w:r>
    </w:p>
    <w:p w:rsidR="00C76E16" w:rsidRPr="00A779B8" w:rsidRDefault="00C76E16" w:rsidP="00C76E16">
      <w:pPr>
        <w:pStyle w:val="SingleTxtG"/>
        <w:keepNext/>
        <w:ind w:left="2268" w:hanging="1134"/>
        <w:jc w:val="left"/>
        <w:rPr>
          <w:lang w:val="fr-FR"/>
        </w:rPr>
      </w:pPr>
      <w:r w:rsidRPr="00A779B8">
        <w:rPr>
          <w:lang w:val="fr-FR"/>
        </w:rPr>
        <w:t>6.</w:t>
      </w:r>
      <w:r w:rsidRPr="00A779B8">
        <w:rPr>
          <w:lang w:val="fr-FR"/>
        </w:rPr>
        <w:tab/>
        <w:t>Méthodes d</w:t>
      </w:r>
      <w:r w:rsidR="00DB4C2D">
        <w:rPr>
          <w:lang w:val="fr-FR"/>
        </w:rPr>
        <w:t>’</w:t>
      </w:r>
      <w:r w:rsidRPr="00A779B8">
        <w:rPr>
          <w:lang w:val="fr-FR"/>
        </w:rPr>
        <w:t>essai du type IV</w:t>
      </w:r>
    </w:p>
    <w:p w:rsidR="00C76E16" w:rsidRPr="00A779B8" w:rsidRDefault="00C76E16" w:rsidP="00C76E16">
      <w:pPr>
        <w:pStyle w:val="SingleTxtG"/>
        <w:keepNext/>
        <w:ind w:left="2268" w:hanging="1134"/>
        <w:rPr>
          <w:lang w:val="fr-FR"/>
        </w:rPr>
      </w:pPr>
      <w:r w:rsidRPr="00A779B8">
        <w:rPr>
          <w:lang w:val="fr-FR"/>
        </w:rPr>
        <w:t>6.1</w:t>
      </w:r>
      <w:r w:rsidRPr="00A779B8">
        <w:rPr>
          <w:lang w:val="fr-FR"/>
        </w:rPr>
        <w:tab/>
        <w:t>Les véhicules doivent être essayés conformément à l</w:t>
      </w:r>
      <w:r w:rsidR="00DB4C2D">
        <w:rPr>
          <w:lang w:val="fr-FR"/>
        </w:rPr>
        <w:t>’</w:t>
      </w:r>
      <w:r w:rsidRPr="00A779B8">
        <w:rPr>
          <w:lang w:val="fr-FR"/>
        </w:rPr>
        <w:t>annexe 7 du présent Règlement.</w:t>
      </w:r>
    </w:p>
    <w:p w:rsidR="00C76E16" w:rsidRPr="00A779B8" w:rsidRDefault="00C76E16" w:rsidP="00C76E16">
      <w:pPr>
        <w:pStyle w:val="SingleTxtG"/>
        <w:ind w:left="2268" w:hanging="1134"/>
        <w:rPr>
          <w:lang w:val="fr-FR"/>
        </w:rPr>
      </w:pPr>
      <w:r w:rsidRPr="00A779B8">
        <w:rPr>
          <w:lang w:val="fr-FR"/>
        </w:rPr>
        <w:t>6.2</w:t>
      </w:r>
      <w:r w:rsidRPr="00A779B8">
        <w:rPr>
          <w:lang w:val="fr-FR"/>
        </w:rPr>
        <w:tab/>
        <w:t>Avant d</w:t>
      </w:r>
      <w:r w:rsidR="00DB4C2D">
        <w:rPr>
          <w:lang w:val="fr-FR"/>
        </w:rPr>
        <w:t>’</w:t>
      </w:r>
      <w:r w:rsidRPr="00A779B8">
        <w:rPr>
          <w:lang w:val="fr-FR"/>
        </w:rPr>
        <w:t>appliquer la procédure d</w:t>
      </w:r>
      <w:r w:rsidR="00DB4C2D">
        <w:rPr>
          <w:lang w:val="fr-FR"/>
        </w:rPr>
        <w:t>’</w:t>
      </w:r>
      <w:r w:rsidRPr="00A779B8">
        <w:rPr>
          <w:lang w:val="fr-FR"/>
        </w:rPr>
        <w:t>essai (par. 5.1 de l</w:t>
      </w:r>
      <w:r w:rsidR="00DB4C2D">
        <w:rPr>
          <w:lang w:val="fr-FR"/>
        </w:rPr>
        <w:t>’</w:t>
      </w:r>
      <w:r w:rsidRPr="00A779B8">
        <w:rPr>
          <w:lang w:val="fr-FR"/>
        </w:rPr>
        <w:t xml:space="preserve">annexe 7 du présent Règlement), les véhicules doivent être </w:t>
      </w:r>
      <w:proofErr w:type="spellStart"/>
      <w:r w:rsidRPr="00A779B8">
        <w:rPr>
          <w:lang w:val="fr-FR"/>
        </w:rPr>
        <w:t>préconditionnés</w:t>
      </w:r>
      <w:proofErr w:type="spellEnd"/>
      <w:r w:rsidRPr="00A779B8">
        <w:rPr>
          <w:lang w:val="fr-FR"/>
        </w:rPr>
        <w:t xml:space="preserve"> comme suit:</w:t>
      </w:r>
    </w:p>
    <w:p w:rsidR="00C76E16" w:rsidRPr="00A779B8" w:rsidRDefault="00C76E16" w:rsidP="00C76E16">
      <w:pPr>
        <w:pStyle w:val="SingleTxtG"/>
        <w:ind w:left="2268" w:hanging="1134"/>
        <w:rPr>
          <w:lang w:val="fr-FR"/>
        </w:rPr>
      </w:pPr>
      <w:r w:rsidRPr="00A779B8">
        <w:rPr>
          <w:lang w:val="fr-FR"/>
        </w:rPr>
        <w:t>6.2.1</w:t>
      </w:r>
      <w:r w:rsidRPr="00A779B8">
        <w:rPr>
          <w:lang w:val="fr-FR"/>
        </w:rPr>
        <w:tab/>
        <w:t>Pour les véhicules rechargeables de l</w:t>
      </w:r>
      <w:r w:rsidR="00DB4C2D">
        <w:rPr>
          <w:lang w:val="fr-FR"/>
        </w:rPr>
        <w:t>’</w:t>
      </w:r>
      <w:r w:rsidRPr="00A779B8">
        <w:rPr>
          <w:lang w:val="fr-FR"/>
        </w:rPr>
        <w:t>extérieur (OVC):</w:t>
      </w:r>
    </w:p>
    <w:p w:rsidR="00C76E16" w:rsidRPr="00A779B8" w:rsidRDefault="00C76E16" w:rsidP="00C76E16">
      <w:pPr>
        <w:pStyle w:val="SingleTxtG"/>
        <w:ind w:left="2268" w:hanging="1134"/>
        <w:rPr>
          <w:lang w:val="fr-FR"/>
        </w:rPr>
      </w:pPr>
      <w:r w:rsidRPr="00A779B8">
        <w:rPr>
          <w:lang w:val="fr-FR"/>
        </w:rPr>
        <w:t>6.2.1.1</w:t>
      </w:r>
      <w:r w:rsidRPr="00A779B8">
        <w:rPr>
          <w:lang w:val="fr-FR"/>
        </w:rPr>
        <w:tab/>
      </w:r>
      <w:r w:rsidRPr="00D86D1C">
        <w:rPr>
          <w:lang w:val="fr-FR"/>
        </w:rPr>
        <w:t>Véhicules OVC sans commutateur de mode de fonctionnement:</w:t>
      </w:r>
      <w:r w:rsidRPr="00A779B8">
        <w:rPr>
          <w:lang w:val="fr-FR"/>
        </w:rPr>
        <w:t xml:space="preserve"> on doit commencer par décharger le dispositif de stockage d</w:t>
      </w:r>
      <w:r w:rsidR="00DB4C2D">
        <w:rPr>
          <w:lang w:val="fr-FR"/>
        </w:rPr>
        <w:t>’</w:t>
      </w:r>
      <w:r w:rsidRPr="00A779B8">
        <w:rPr>
          <w:lang w:val="fr-FR"/>
        </w:rPr>
        <w:t>énergie en faisant rouler le véhicule (sur la piste d</w:t>
      </w:r>
      <w:r w:rsidR="00DB4C2D">
        <w:rPr>
          <w:lang w:val="fr-FR"/>
        </w:rPr>
        <w:t>’</w:t>
      </w:r>
      <w:r w:rsidRPr="00A779B8">
        <w:rPr>
          <w:lang w:val="fr-FR"/>
        </w:rPr>
        <w:t>essai, au banc dynamométrique, etc.):</w:t>
      </w:r>
    </w:p>
    <w:p w:rsidR="00C76E16" w:rsidRPr="00A779B8" w:rsidRDefault="00C76E16" w:rsidP="00C76E16">
      <w:pPr>
        <w:pStyle w:val="SingleTxtG"/>
        <w:spacing w:after="100"/>
        <w:ind w:left="2835" w:hanging="567"/>
        <w:rPr>
          <w:lang w:val="fr-FR"/>
        </w:rPr>
      </w:pPr>
      <w:r w:rsidRPr="00A779B8">
        <w:rPr>
          <w:lang w:val="fr-FR"/>
        </w:rPr>
        <w:t>a)</w:t>
      </w:r>
      <w:r w:rsidRPr="00A779B8">
        <w:rPr>
          <w:lang w:val="fr-FR"/>
        </w:rPr>
        <w:tab/>
        <w:t>À une vitesse constante de 50 km/h jusqu</w:t>
      </w:r>
      <w:r w:rsidR="00DB4C2D">
        <w:rPr>
          <w:lang w:val="fr-FR"/>
        </w:rPr>
        <w:t>’</w:t>
      </w:r>
      <w:r w:rsidRPr="00A779B8">
        <w:rPr>
          <w:lang w:val="fr-FR"/>
        </w:rPr>
        <w:t>à ce que son moteur thermique démarre;</w:t>
      </w:r>
    </w:p>
    <w:p w:rsidR="00C76E16" w:rsidRPr="00A779B8" w:rsidRDefault="00C76E16" w:rsidP="00C76E16">
      <w:pPr>
        <w:pStyle w:val="SingleTxtG"/>
        <w:spacing w:after="100"/>
        <w:ind w:left="2835" w:hanging="567"/>
        <w:rPr>
          <w:lang w:val="fr-FR"/>
        </w:rPr>
      </w:pPr>
      <w:r w:rsidRPr="00A779B8">
        <w:rPr>
          <w:lang w:val="fr-FR"/>
        </w:rPr>
        <w:t>b)</w:t>
      </w:r>
      <w:r w:rsidRPr="00A779B8">
        <w:rPr>
          <w:lang w:val="fr-FR"/>
        </w:rPr>
        <w:tab/>
        <w:t>Ou, si le véhicule ne peut atteindre une vitesse constante de 50 km/h sans démarrage du moteur thermique, à une vitesse constante moindre pendant une durée définie ou sur une distance définie (à convenir entre le service technique et le fabricant), sans que le moteur thermique ne démarre;</w:t>
      </w:r>
    </w:p>
    <w:p w:rsidR="00C76E16" w:rsidRPr="00A779B8" w:rsidRDefault="00C76E16" w:rsidP="00C76E16">
      <w:pPr>
        <w:pStyle w:val="SingleTxtG"/>
        <w:spacing w:after="100"/>
        <w:ind w:left="2835" w:hanging="567"/>
        <w:rPr>
          <w:lang w:val="fr-FR"/>
        </w:rPr>
      </w:pPr>
      <w:r w:rsidRPr="00A779B8">
        <w:rPr>
          <w:lang w:val="fr-FR"/>
        </w:rPr>
        <w:t>c)</w:t>
      </w:r>
      <w:r w:rsidRPr="00A779B8">
        <w:rPr>
          <w:lang w:val="fr-FR"/>
        </w:rPr>
        <w:tab/>
        <w:t>Ou encore suivant les recommandations du constructeur.</w:t>
      </w:r>
    </w:p>
    <w:p w:rsidR="00C76E16" w:rsidRPr="00A779B8" w:rsidRDefault="00C76E16" w:rsidP="00C76E16">
      <w:pPr>
        <w:pStyle w:val="SingleTxtG"/>
        <w:ind w:left="2268"/>
        <w:rPr>
          <w:lang w:val="fr-FR"/>
        </w:rPr>
      </w:pPr>
      <w:r w:rsidRPr="00A779B8">
        <w:rPr>
          <w:lang w:val="fr-FR"/>
        </w:rPr>
        <w:t>Le moteur thermique doit être arrêté dans les 10 s suivant son démarrage automatique.</w:t>
      </w:r>
    </w:p>
    <w:p w:rsidR="00C76E16" w:rsidRPr="00A779B8" w:rsidRDefault="00C76E16" w:rsidP="00C76E16">
      <w:pPr>
        <w:pStyle w:val="SingleTxtG"/>
        <w:ind w:left="2268" w:hanging="1134"/>
        <w:rPr>
          <w:lang w:val="fr-FR"/>
        </w:rPr>
      </w:pPr>
      <w:r w:rsidRPr="00A779B8">
        <w:rPr>
          <w:lang w:val="fr-FR"/>
        </w:rPr>
        <w:t>6.2.1.2</w:t>
      </w:r>
      <w:r w:rsidRPr="00A779B8">
        <w:rPr>
          <w:lang w:val="fr-FR"/>
        </w:rPr>
        <w:tab/>
      </w:r>
      <w:r w:rsidRPr="00D86D1C">
        <w:rPr>
          <w:lang w:val="fr-FR"/>
        </w:rPr>
        <w:t>Véhicules OVC avec commutateur de mode de fonctionnement:</w:t>
      </w:r>
      <w:r w:rsidRPr="00A779B8">
        <w:rPr>
          <w:lang w:val="fr-FR"/>
        </w:rPr>
        <w:t xml:space="preserve"> on doit commencer par décharger le dispositif de stockage d</w:t>
      </w:r>
      <w:r w:rsidR="00DB4C2D">
        <w:rPr>
          <w:lang w:val="fr-FR"/>
        </w:rPr>
        <w:t>’</w:t>
      </w:r>
      <w:r w:rsidRPr="00A779B8">
        <w:rPr>
          <w:lang w:val="fr-FR"/>
        </w:rPr>
        <w:t>énergie en faisant rouler le véhicule avec le commutateur sur mode purement électrique (sur la piste d</w:t>
      </w:r>
      <w:r w:rsidR="00DB4C2D">
        <w:rPr>
          <w:lang w:val="fr-FR"/>
        </w:rPr>
        <w:t>’</w:t>
      </w:r>
      <w:r w:rsidRPr="00A779B8">
        <w:rPr>
          <w:lang w:val="fr-FR"/>
        </w:rPr>
        <w:t xml:space="preserve">essai, au banc dynamométrique, etc.) à une vitesse constante égale à 70 % </w:t>
      </w:r>
      <w:r w:rsidRPr="00A779B8">
        <w:rPr>
          <w:lang w:val="fr-FR"/>
        </w:rPr>
        <w:sym w:font="Symbol" w:char="F0B1"/>
      </w:r>
      <w:r w:rsidRPr="00A779B8">
        <w:rPr>
          <w:lang w:val="fr-FR"/>
        </w:rPr>
        <w:t> 5 % de la vitesse maximale du véhicule atteinte pendant 30 min.</w:t>
      </w:r>
    </w:p>
    <w:p w:rsidR="00C76E16" w:rsidRPr="00A779B8" w:rsidRDefault="00C76E16" w:rsidP="00C76E16">
      <w:pPr>
        <w:pStyle w:val="SingleTxtG"/>
        <w:keepNext/>
        <w:spacing w:after="100"/>
        <w:ind w:left="2268"/>
        <w:rPr>
          <w:lang w:val="fr-FR"/>
        </w:rPr>
      </w:pPr>
      <w:r w:rsidRPr="00A779B8">
        <w:rPr>
          <w:lang w:val="fr-FR"/>
        </w:rPr>
        <w:tab/>
        <w:t>La décharge est arrêtée:</w:t>
      </w:r>
    </w:p>
    <w:p w:rsidR="00C76E16" w:rsidRPr="00A779B8" w:rsidRDefault="00C76E16" w:rsidP="00C76E16">
      <w:pPr>
        <w:pStyle w:val="SingleTxtG"/>
        <w:spacing w:after="100"/>
        <w:ind w:left="2835" w:hanging="567"/>
        <w:rPr>
          <w:lang w:val="fr-FR"/>
        </w:rPr>
      </w:pPr>
      <w:r w:rsidRPr="00A779B8">
        <w:rPr>
          <w:lang w:val="fr-FR"/>
        </w:rPr>
        <w:t>a)</w:t>
      </w:r>
      <w:r w:rsidRPr="00A779B8">
        <w:rPr>
          <w:lang w:val="fr-FR"/>
        </w:rPr>
        <w:tab/>
        <w:t>Lorsque le véhicule ne peut rouler à 65 % de la vitesse maximale atteinte pendant 30 min; ou</w:t>
      </w:r>
    </w:p>
    <w:p w:rsidR="00C76E16" w:rsidRPr="00A779B8" w:rsidRDefault="00C76E16" w:rsidP="00C76E16">
      <w:pPr>
        <w:pStyle w:val="SingleTxtG"/>
        <w:spacing w:after="100"/>
        <w:ind w:left="2835" w:hanging="567"/>
        <w:rPr>
          <w:lang w:val="fr-FR"/>
        </w:rPr>
      </w:pPr>
      <w:r w:rsidRPr="00A779B8">
        <w:rPr>
          <w:lang w:val="fr-FR"/>
        </w:rPr>
        <w:t>b)</w:t>
      </w:r>
      <w:r w:rsidRPr="00A779B8">
        <w:rPr>
          <w:lang w:val="fr-FR"/>
        </w:rPr>
        <w:tab/>
        <w:t>Lorsque les instruments de bord montés en série indiquent au conducteur qu</w:t>
      </w:r>
      <w:r w:rsidR="00DB4C2D">
        <w:rPr>
          <w:lang w:val="fr-FR"/>
        </w:rPr>
        <w:t>’</w:t>
      </w:r>
      <w:r w:rsidRPr="00A779B8">
        <w:rPr>
          <w:lang w:val="fr-FR"/>
        </w:rPr>
        <w:t>il doit arrêter le véhicule; ou</w:t>
      </w:r>
    </w:p>
    <w:p w:rsidR="00C76E16" w:rsidRPr="00A779B8" w:rsidRDefault="00C76E16" w:rsidP="00C76E16">
      <w:pPr>
        <w:pStyle w:val="SingleTxtG"/>
        <w:spacing w:after="100"/>
        <w:ind w:left="2835" w:hanging="567"/>
        <w:rPr>
          <w:lang w:val="fr-FR"/>
        </w:rPr>
      </w:pPr>
      <w:r w:rsidRPr="00A779B8">
        <w:rPr>
          <w:lang w:val="fr-FR"/>
        </w:rPr>
        <w:lastRenderedPageBreak/>
        <w:t>c)</w:t>
      </w:r>
      <w:r w:rsidRPr="00A779B8">
        <w:rPr>
          <w:lang w:val="fr-FR"/>
        </w:rPr>
        <w:tab/>
        <w:t>Lorsque le véhicule a parcouru 100 km.</w:t>
      </w:r>
    </w:p>
    <w:p w:rsidR="00C76E16" w:rsidRPr="00A779B8" w:rsidRDefault="00C76E16" w:rsidP="00C76E16">
      <w:pPr>
        <w:pStyle w:val="SingleTxtG"/>
        <w:keepNext/>
        <w:ind w:left="2268"/>
        <w:rPr>
          <w:lang w:val="fr-FR"/>
        </w:rPr>
      </w:pPr>
      <w:r w:rsidRPr="00A779B8">
        <w:rPr>
          <w:lang w:val="fr-FR"/>
        </w:rPr>
        <w:tab/>
        <w:t>Si le véhicule ne fonctionne pas en mode purement électrique, le dispositif de stockage d</w:t>
      </w:r>
      <w:r w:rsidR="00DB4C2D">
        <w:rPr>
          <w:lang w:val="fr-FR"/>
        </w:rPr>
        <w:t>’</w:t>
      </w:r>
      <w:r w:rsidRPr="00A779B8">
        <w:rPr>
          <w:lang w:val="fr-FR"/>
        </w:rPr>
        <w:t>énergie doit être déchargé en faisant marcher le véhicule (sur une piste d</w:t>
      </w:r>
      <w:r w:rsidR="00DB4C2D">
        <w:rPr>
          <w:lang w:val="fr-FR"/>
        </w:rPr>
        <w:t>’</w:t>
      </w:r>
      <w:r w:rsidRPr="00A779B8">
        <w:rPr>
          <w:lang w:val="fr-FR"/>
        </w:rPr>
        <w:t>essai, un banc dynamométrique, etc.):</w:t>
      </w:r>
    </w:p>
    <w:p w:rsidR="00C76E16" w:rsidRPr="00A779B8" w:rsidRDefault="00C76E16" w:rsidP="00C76E16">
      <w:pPr>
        <w:pStyle w:val="SingleTxtG"/>
        <w:spacing w:after="100"/>
        <w:ind w:left="2835" w:hanging="567"/>
        <w:rPr>
          <w:lang w:val="fr-FR"/>
        </w:rPr>
      </w:pPr>
      <w:r w:rsidRPr="00A779B8">
        <w:rPr>
          <w:lang w:val="fr-FR"/>
        </w:rPr>
        <w:t>a)</w:t>
      </w:r>
      <w:r w:rsidRPr="00A779B8">
        <w:rPr>
          <w:lang w:val="fr-FR"/>
        </w:rPr>
        <w:tab/>
        <w:t>À une vitesse constante de 50 km/h jusqu</w:t>
      </w:r>
      <w:r w:rsidR="00DB4C2D">
        <w:rPr>
          <w:lang w:val="fr-FR"/>
        </w:rPr>
        <w:t>’</w:t>
      </w:r>
      <w:r w:rsidRPr="00A779B8">
        <w:rPr>
          <w:lang w:val="fr-FR"/>
        </w:rPr>
        <w:t>à ce que son moteur thermique démarre;</w:t>
      </w:r>
    </w:p>
    <w:p w:rsidR="00C76E16" w:rsidRPr="00A779B8" w:rsidRDefault="00C76E16" w:rsidP="00C76E16">
      <w:pPr>
        <w:pStyle w:val="SingleTxtG"/>
        <w:spacing w:after="100"/>
        <w:ind w:left="2835" w:hanging="567"/>
        <w:rPr>
          <w:lang w:val="fr-FR"/>
        </w:rPr>
      </w:pPr>
      <w:r w:rsidRPr="00A779B8">
        <w:rPr>
          <w:lang w:val="fr-FR"/>
        </w:rPr>
        <w:t>b)</w:t>
      </w:r>
      <w:r w:rsidRPr="00A779B8">
        <w:rPr>
          <w:lang w:val="fr-FR"/>
        </w:rPr>
        <w:tab/>
        <w:t>Ou, si le véhicule ne peut atteindre une vitesse constante de 50 km/h sans que le moteur thermique démarre, à une vitesse constante moindre pendant une durée définie ou sur une distance définie (à convenir entre le service technique et le fabricant), sans que le moteur thermique ne démarre;</w:t>
      </w:r>
    </w:p>
    <w:p w:rsidR="00C76E16" w:rsidRPr="00A779B8" w:rsidRDefault="00C76E16" w:rsidP="00C76E16">
      <w:pPr>
        <w:pStyle w:val="SingleTxtG"/>
        <w:ind w:left="2835" w:hanging="567"/>
        <w:rPr>
          <w:lang w:val="fr-FR"/>
        </w:rPr>
      </w:pPr>
      <w:r w:rsidRPr="00A779B8">
        <w:rPr>
          <w:lang w:val="fr-FR"/>
        </w:rPr>
        <w:t>c)</w:t>
      </w:r>
      <w:r w:rsidRPr="00A779B8">
        <w:rPr>
          <w:lang w:val="fr-FR"/>
        </w:rPr>
        <w:tab/>
        <w:t>Ou encore suivant les recommandations du constructeur.</w:t>
      </w:r>
    </w:p>
    <w:p w:rsidR="00C76E16" w:rsidRPr="00A779B8" w:rsidRDefault="00C76E16" w:rsidP="00C76E16">
      <w:pPr>
        <w:pStyle w:val="SingleTxtG"/>
        <w:ind w:left="2268"/>
        <w:rPr>
          <w:lang w:val="fr-FR"/>
        </w:rPr>
      </w:pPr>
      <w:r w:rsidRPr="00A779B8">
        <w:rPr>
          <w:lang w:val="fr-FR"/>
        </w:rPr>
        <w:tab/>
        <w:t>Le moteur thermique doit être arrêté dans les 10 s suivant son démarrage automatique.</w:t>
      </w:r>
    </w:p>
    <w:p w:rsidR="00C76E16" w:rsidRPr="00A779B8" w:rsidRDefault="00C76E16" w:rsidP="00C76E16">
      <w:pPr>
        <w:pStyle w:val="SingleTxtG"/>
        <w:keepNext/>
        <w:ind w:left="2268" w:hanging="1134"/>
        <w:rPr>
          <w:lang w:val="fr-FR"/>
        </w:rPr>
      </w:pPr>
      <w:r w:rsidRPr="00A779B8">
        <w:rPr>
          <w:lang w:val="fr-FR"/>
        </w:rPr>
        <w:t>6.2.2</w:t>
      </w:r>
      <w:r w:rsidRPr="00A779B8">
        <w:rPr>
          <w:lang w:val="fr-FR"/>
        </w:rPr>
        <w:tab/>
        <w:t>Pour les véhicules non rechargeables de l</w:t>
      </w:r>
      <w:r w:rsidR="00DB4C2D">
        <w:rPr>
          <w:lang w:val="fr-FR"/>
        </w:rPr>
        <w:t>’</w:t>
      </w:r>
      <w:r w:rsidRPr="00A779B8">
        <w:rPr>
          <w:lang w:val="fr-FR"/>
        </w:rPr>
        <w:t>extérieur (NOVC):</w:t>
      </w:r>
    </w:p>
    <w:p w:rsidR="00C76E16" w:rsidRPr="00DB1DD3" w:rsidRDefault="00C76E16" w:rsidP="00C76E16">
      <w:pPr>
        <w:pStyle w:val="SingleTxtG"/>
        <w:ind w:left="2268" w:hanging="1134"/>
        <w:rPr>
          <w:lang w:val="fr-FR"/>
        </w:rPr>
      </w:pPr>
      <w:r w:rsidRPr="00A779B8">
        <w:rPr>
          <w:lang w:val="fr-FR"/>
        </w:rPr>
        <w:t>6.2.2.1</w:t>
      </w:r>
      <w:r w:rsidRPr="00A779B8">
        <w:rPr>
          <w:lang w:val="fr-FR"/>
        </w:rPr>
        <w:tab/>
      </w:r>
      <w:r w:rsidRPr="00DB1DD3">
        <w:rPr>
          <w:lang w:val="fr-FR"/>
        </w:rPr>
        <w:t xml:space="preserve">Véhicules NOVC sans commutateur de mode de fonctionnement: on doit commencer par un </w:t>
      </w:r>
      <w:proofErr w:type="spellStart"/>
      <w:r w:rsidRPr="00DB1DD3">
        <w:rPr>
          <w:lang w:val="fr-FR"/>
        </w:rPr>
        <w:t>préconditionnement</w:t>
      </w:r>
      <w:proofErr w:type="spellEnd"/>
      <w:r w:rsidRPr="00DB1DD3">
        <w:rPr>
          <w:lang w:val="fr-FR"/>
        </w:rPr>
        <w:t xml:space="preserve"> d</w:t>
      </w:r>
      <w:r w:rsidR="00DB4C2D">
        <w:rPr>
          <w:lang w:val="fr-FR"/>
        </w:rPr>
        <w:t>’</w:t>
      </w:r>
      <w:r w:rsidRPr="00DB1DD3">
        <w:rPr>
          <w:lang w:val="fr-FR"/>
        </w:rPr>
        <w:t>au moins deux cycles consécutifs complets (un de la première partie et un de la seconde partie) sans phase d</w:t>
      </w:r>
      <w:r w:rsidR="00DB4C2D">
        <w:rPr>
          <w:lang w:val="fr-FR"/>
        </w:rPr>
        <w:t>’</w:t>
      </w:r>
      <w:r w:rsidRPr="00DB1DD3">
        <w:rPr>
          <w:lang w:val="fr-FR"/>
        </w:rPr>
        <w:t>égalisation des températures.</w:t>
      </w:r>
    </w:p>
    <w:p w:rsidR="00C76E16" w:rsidRPr="00A779B8" w:rsidRDefault="00C76E16" w:rsidP="00C76E16">
      <w:pPr>
        <w:pStyle w:val="SingleTxtG"/>
        <w:ind w:left="2268" w:hanging="1134"/>
        <w:rPr>
          <w:lang w:val="fr-FR"/>
        </w:rPr>
      </w:pPr>
      <w:r w:rsidRPr="00DB1DD3">
        <w:rPr>
          <w:lang w:val="fr-FR"/>
        </w:rPr>
        <w:t>6.2.2.2</w:t>
      </w:r>
      <w:r w:rsidRPr="00DB1DD3">
        <w:rPr>
          <w:lang w:val="fr-FR"/>
        </w:rPr>
        <w:tab/>
        <w:t xml:space="preserve">Véhicules NOVC avec commutateur de mode de fonctionnement: on doit commencer par un </w:t>
      </w:r>
      <w:proofErr w:type="spellStart"/>
      <w:r w:rsidRPr="00DB1DD3">
        <w:rPr>
          <w:lang w:val="fr-FR"/>
        </w:rPr>
        <w:t>préconditionnement</w:t>
      </w:r>
      <w:proofErr w:type="spellEnd"/>
      <w:r w:rsidRPr="00DB1DD3">
        <w:rPr>
          <w:lang w:val="fr-FR"/>
        </w:rPr>
        <w:t xml:space="preserve"> d</w:t>
      </w:r>
      <w:r w:rsidR="00DB4C2D">
        <w:rPr>
          <w:lang w:val="fr-FR"/>
        </w:rPr>
        <w:t>’</w:t>
      </w:r>
      <w:r w:rsidRPr="00DB1DD3">
        <w:rPr>
          <w:lang w:val="fr-FR"/>
        </w:rPr>
        <w:t>au moins deux cycles consécutifs complets (un de la première partie et un de la seconde partie) sans phase d</w:t>
      </w:r>
      <w:r w:rsidR="00DB4C2D">
        <w:rPr>
          <w:lang w:val="fr-FR"/>
        </w:rPr>
        <w:t>’</w:t>
      </w:r>
      <w:r w:rsidRPr="00DB1DD3">
        <w:rPr>
          <w:lang w:val="fr-FR"/>
        </w:rPr>
        <w:t>égalisation des températures, effectué avec le véhicule</w:t>
      </w:r>
      <w:r w:rsidRPr="00A779B8">
        <w:rPr>
          <w:lang w:val="fr-FR"/>
        </w:rPr>
        <w:t xml:space="preserve"> fonctionnant en mode hybride. Si plusieurs modes hybrides sont disponibles, l</w:t>
      </w:r>
      <w:r w:rsidR="00DB4C2D">
        <w:rPr>
          <w:lang w:val="fr-FR"/>
        </w:rPr>
        <w:t>’</w:t>
      </w:r>
      <w:r w:rsidRPr="00A779B8">
        <w:rPr>
          <w:lang w:val="fr-FR"/>
        </w:rPr>
        <w:t>essai doit être effectué dans le mode établi automatiquement une fois tournée la clef de contact (mode normal).</w:t>
      </w:r>
    </w:p>
    <w:p w:rsidR="00C76E16" w:rsidRPr="00A779B8" w:rsidRDefault="00C76E16" w:rsidP="00C76E16">
      <w:pPr>
        <w:pStyle w:val="SingleTxtG"/>
        <w:ind w:left="2268" w:hanging="1134"/>
        <w:rPr>
          <w:lang w:val="fr-FR"/>
        </w:rPr>
      </w:pPr>
      <w:r w:rsidRPr="00A779B8">
        <w:rPr>
          <w:lang w:val="fr-FR"/>
        </w:rPr>
        <w:t>6.3</w:t>
      </w:r>
      <w:r w:rsidRPr="00A779B8">
        <w:rPr>
          <w:lang w:val="fr-FR"/>
        </w:rPr>
        <w:tab/>
        <w:t xml:space="preserve">Le parcours de </w:t>
      </w:r>
      <w:proofErr w:type="spellStart"/>
      <w:r w:rsidRPr="00A779B8">
        <w:rPr>
          <w:lang w:val="fr-FR"/>
        </w:rPr>
        <w:t>préconditionnement</w:t>
      </w:r>
      <w:proofErr w:type="spellEnd"/>
      <w:r w:rsidRPr="00A779B8">
        <w:rPr>
          <w:lang w:val="fr-FR"/>
        </w:rPr>
        <w:t xml:space="preserve"> et l</w:t>
      </w:r>
      <w:r w:rsidR="00DB4C2D">
        <w:rPr>
          <w:lang w:val="fr-FR"/>
        </w:rPr>
        <w:t>’</w:t>
      </w:r>
      <w:r w:rsidRPr="00A779B8">
        <w:rPr>
          <w:lang w:val="fr-FR"/>
        </w:rPr>
        <w:t>essai sur banc dynamométrique doivent être effectués conformément aux paragraphes 5.2 et 5.4 de l</w:t>
      </w:r>
      <w:r w:rsidR="00DB4C2D">
        <w:rPr>
          <w:lang w:val="fr-FR"/>
        </w:rPr>
        <w:t>’</w:t>
      </w:r>
      <w:r w:rsidRPr="00A779B8">
        <w:rPr>
          <w:lang w:val="fr-FR"/>
        </w:rPr>
        <w:t>annexe 7 du présent Règlement.</w:t>
      </w:r>
    </w:p>
    <w:p w:rsidR="00C76E16" w:rsidRPr="00DB1DD3" w:rsidRDefault="00C76E16" w:rsidP="00C76E16">
      <w:pPr>
        <w:pStyle w:val="SingleTxtG"/>
        <w:ind w:left="2268" w:hanging="1134"/>
        <w:rPr>
          <w:lang w:val="fr-FR"/>
        </w:rPr>
      </w:pPr>
      <w:r w:rsidRPr="00A779B8">
        <w:rPr>
          <w:lang w:val="fr-FR"/>
        </w:rPr>
        <w:t>6.3.1</w:t>
      </w:r>
      <w:r w:rsidRPr="00A779B8">
        <w:rPr>
          <w:lang w:val="fr-FR"/>
        </w:rPr>
        <w:tab/>
      </w:r>
      <w:r w:rsidRPr="00DB1DD3">
        <w:rPr>
          <w:lang w:val="fr-FR"/>
        </w:rPr>
        <w:t>Pour les véhicules OVC: dans les mêmes conditions que celles prévues par la condition B de l</w:t>
      </w:r>
      <w:r w:rsidR="00DB4C2D">
        <w:rPr>
          <w:lang w:val="fr-FR"/>
        </w:rPr>
        <w:t>’</w:t>
      </w:r>
      <w:r w:rsidRPr="00DB1DD3">
        <w:rPr>
          <w:lang w:val="fr-FR"/>
        </w:rPr>
        <w:t>essai du type I (par. 3.1.3 et 3.2.3 de la présente annexe).</w:t>
      </w:r>
    </w:p>
    <w:p w:rsidR="00C76E16" w:rsidRPr="00DB1DD3" w:rsidRDefault="00C76E16" w:rsidP="00C76E16">
      <w:pPr>
        <w:pStyle w:val="SingleTxtG"/>
        <w:ind w:left="2268" w:hanging="1134"/>
        <w:rPr>
          <w:lang w:val="fr-FR"/>
        </w:rPr>
      </w:pPr>
      <w:r w:rsidRPr="00DB1DD3">
        <w:rPr>
          <w:lang w:val="fr-FR"/>
        </w:rPr>
        <w:t>6.3.2</w:t>
      </w:r>
      <w:r w:rsidRPr="00DB1DD3">
        <w:rPr>
          <w:lang w:val="fr-FR"/>
        </w:rPr>
        <w:tab/>
        <w:t>Pour les véhicules NOVC: dans les mêmes conditions que dans l</w:t>
      </w:r>
      <w:r w:rsidR="00DB4C2D">
        <w:rPr>
          <w:lang w:val="fr-FR"/>
        </w:rPr>
        <w:t>’</w:t>
      </w:r>
      <w:r w:rsidRPr="00DB1DD3">
        <w:rPr>
          <w:lang w:val="fr-FR"/>
        </w:rPr>
        <w:t>essai du type I.</w:t>
      </w:r>
    </w:p>
    <w:p w:rsidR="00C76E16" w:rsidRPr="00A779B8" w:rsidRDefault="00C76E16" w:rsidP="00C76E16">
      <w:pPr>
        <w:pStyle w:val="SingleTxtG"/>
        <w:keepNext/>
        <w:ind w:left="2268" w:hanging="1134"/>
        <w:jc w:val="left"/>
        <w:rPr>
          <w:lang w:val="fr-FR"/>
        </w:rPr>
      </w:pPr>
      <w:r w:rsidRPr="00A779B8">
        <w:rPr>
          <w:lang w:val="fr-FR"/>
        </w:rPr>
        <w:t>7.</w:t>
      </w:r>
      <w:r w:rsidRPr="00A779B8">
        <w:rPr>
          <w:lang w:val="fr-FR"/>
        </w:rPr>
        <w:tab/>
        <w:t>Méthodes d</w:t>
      </w:r>
      <w:r w:rsidR="00DB4C2D">
        <w:rPr>
          <w:lang w:val="fr-FR"/>
        </w:rPr>
        <w:t>’</w:t>
      </w:r>
      <w:r w:rsidRPr="00A779B8">
        <w:rPr>
          <w:lang w:val="fr-FR"/>
        </w:rPr>
        <w:t>essai du type V</w:t>
      </w:r>
    </w:p>
    <w:p w:rsidR="00C76E16" w:rsidRPr="00A779B8" w:rsidRDefault="00C76E16" w:rsidP="00C76E16">
      <w:pPr>
        <w:pStyle w:val="SingleTxtG"/>
        <w:ind w:left="2268" w:hanging="1134"/>
        <w:rPr>
          <w:lang w:val="fr-FR"/>
        </w:rPr>
      </w:pPr>
      <w:r w:rsidRPr="00A779B8">
        <w:rPr>
          <w:lang w:val="fr-FR"/>
        </w:rPr>
        <w:t>7.1</w:t>
      </w:r>
      <w:r w:rsidRPr="00A779B8">
        <w:rPr>
          <w:lang w:val="fr-FR"/>
        </w:rPr>
        <w:tab/>
        <w:t>Les véhicules doivent être essayés conformément à l</w:t>
      </w:r>
      <w:r w:rsidR="00DB4C2D">
        <w:rPr>
          <w:lang w:val="fr-FR"/>
        </w:rPr>
        <w:t>’</w:t>
      </w:r>
      <w:r w:rsidRPr="00A779B8">
        <w:rPr>
          <w:lang w:val="fr-FR"/>
        </w:rPr>
        <w:t>annexe 9 du présent Règlement.</w:t>
      </w:r>
    </w:p>
    <w:p w:rsidR="00C76E16" w:rsidRPr="00DB1DD3" w:rsidRDefault="00C76E16" w:rsidP="00C76E16">
      <w:pPr>
        <w:pStyle w:val="SingleTxtG"/>
        <w:keepNext/>
        <w:ind w:left="2268" w:hanging="1134"/>
        <w:rPr>
          <w:lang w:val="fr-FR"/>
        </w:rPr>
      </w:pPr>
      <w:r w:rsidRPr="00A779B8">
        <w:rPr>
          <w:lang w:val="fr-FR"/>
        </w:rPr>
        <w:t>7.2</w:t>
      </w:r>
      <w:r w:rsidRPr="00A779B8">
        <w:rPr>
          <w:lang w:val="fr-FR"/>
        </w:rPr>
        <w:tab/>
      </w:r>
      <w:r w:rsidRPr="00DB1DD3">
        <w:rPr>
          <w:lang w:val="fr-FR"/>
        </w:rPr>
        <w:t>Pour les véhicules OVC:</w:t>
      </w:r>
    </w:p>
    <w:p w:rsidR="00C76E16" w:rsidRPr="00A779B8" w:rsidRDefault="00C76E16" w:rsidP="00C76E16">
      <w:pPr>
        <w:pStyle w:val="SingleTxtG"/>
        <w:ind w:left="2268"/>
        <w:rPr>
          <w:lang w:val="fr-FR"/>
        </w:rPr>
      </w:pPr>
      <w:r w:rsidRPr="00A779B8">
        <w:rPr>
          <w:lang w:val="fr-FR"/>
        </w:rPr>
        <w:tab/>
        <w:t>Le dispositif de stockage d</w:t>
      </w:r>
      <w:r w:rsidR="00DB4C2D">
        <w:rPr>
          <w:lang w:val="fr-FR"/>
        </w:rPr>
        <w:t>’</w:t>
      </w:r>
      <w:r w:rsidRPr="00A779B8">
        <w:rPr>
          <w:lang w:val="fr-FR"/>
        </w:rPr>
        <w:t>énergie peut être chargé deux fois par jour pendant que le compteur kilométrique du véhicule tourne.</w:t>
      </w:r>
    </w:p>
    <w:p w:rsidR="00C76E16" w:rsidRPr="00A779B8" w:rsidRDefault="00C76E16" w:rsidP="00C76E16">
      <w:pPr>
        <w:pStyle w:val="SingleTxtG"/>
        <w:ind w:left="2268"/>
        <w:rPr>
          <w:lang w:val="fr-FR"/>
        </w:rPr>
      </w:pPr>
      <w:r w:rsidRPr="00A779B8">
        <w:rPr>
          <w:lang w:val="fr-FR"/>
        </w:rPr>
        <w:tab/>
        <w:t>Dans le cas des véhicules OVC équipés d</w:t>
      </w:r>
      <w:r w:rsidR="00DB4C2D">
        <w:rPr>
          <w:lang w:val="fr-FR"/>
        </w:rPr>
        <w:t>’</w:t>
      </w:r>
      <w:r w:rsidRPr="00A779B8">
        <w:rPr>
          <w:lang w:val="fr-FR"/>
        </w:rPr>
        <w:t>un commutateur de mode de fonctionnement, le kilométrage parcouru doit l</w:t>
      </w:r>
      <w:r w:rsidR="00DB4C2D">
        <w:rPr>
          <w:lang w:val="fr-FR"/>
        </w:rPr>
        <w:t>’</w:t>
      </w:r>
      <w:r w:rsidRPr="00A779B8">
        <w:rPr>
          <w:lang w:val="fr-FR"/>
        </w:rPr>
        <w:t>être dans le mode automatiquement établi une fois tournée la clef de contact (mode normal).</w:t>
      </w:r>
    </w:p>
    <w:p w:rsidR="00C76E16" w:rsidRPr="00A779B8" w:rsidRDefault="00C76E16" w:rsidP="00C76E16">
      <w:pPr>
        <w:pStyle w:val="SingleTxtG"/>
        <w:ind w:left="2268"/>
        <w:rPr>
          <w:lang w:val="fr-FR"/>
        </w:rPr>
      </w:pPr>
      <w:r w:rsidRPr="00A779B8">
        <w:rPr>
          <w:lang w:val="fr-FR"/>
        </w:rPr>
        <w:tab/>
        <w:t>Pendant que le compteur kilométrique tourne, il est possible de passer à un autre mode si nécessaire pour poursuivre la comptabilisation des kilomètres avec l</w:t>
      </w:r>
      <w:r w:rsidR="00DB4C2D">
        <w:rPr>
          <w:lang w:val="fr-FR"/>
        </w:rPr>
        <w:t>’</w:t>
      </w:r>
      <w:r w:rsidRPr="00A779B8">
        <w:rPr>
          <w:lang w:val="fr-FR"/>
        </w:rPr>
        <w:t>accord du service technique.</w:t>
      </w:r>
    </w:p>
    <w:p w:rsidR="00C76E16" w:rsidRPr="00A779B8" w:rsidRDefault="00C76E16" w:rsidP="00C76E16">
      <w:pPr>
        <w:pStyle w:val="SingleTxtG"/>
        <w:ind w:left="2268"/>
        <w:rPr>
          <w:lang w:val="fr-FR"/>
        </w:rPr>
      </w:pPr>
      <w:r w:rsidRPr="00A779B8">
        <w:rPr>
          <w:lang w:val="fr-FR"/>
        </w:rPr>
        <w:lastRenderedPageBreak/>
        <w:tab/>
        <w:t>Les mesures des émissions de polluants doivent être effectuées dans les mêmes conditions que celles spécifiées par la condition B de l</w:t>
      </w:r>
      <w:r w:rsidR="00DB4C2D">
        <w:rPr>
          <w:lang w:val="fr-FR"/>
        </w:rPr>
        <w:t>’</w:t>
      </w:r>
      <w:r w:rsidRPr="00A779B8">
        <w:rPr>
          <w:lang w:val="fr-FR"/>
        </w:rPr>
        <w:t>essai du type I (par. 3.1.3 et 3.2.3 de la présente annexe).</w:t>
      </w:r>
    </w:p>
    <w:p w:rsidR="00C76E16" w:rsidRPr="00DB1DD3" w:rsidRDefault="00C76E16" w:rsidP="00C76E16">
      <w:pPr>
        <w:pStyle w:val="SingleTxtG"/>
        <w:keepNext/>
        <w:keepLines/>
        <w:ind w:left="2268" w:hanging="1134"/>
        <w:rPr>
          <w:lang w:val="fr-FR"/>
        </w:rPr>
      </w:pPr>
      <w:r w:rsidRPr="00A779B8">
        <w:rPr>
          <w:lang w:val="fr-FR"/>
        </w:rPr>
        <w:t>7.3</w:t>
      </w:r>
      <w:r w:rsidRPr="00A779B8">
        <w:rPr>
          <w:lang w:val="fr-FR"/>
        </w:rPr>
        <w:tab/>
      </w:r>
      <w:r w:rsidRPr="00DB1DD3">
        <w:rPr>
          <w:lang w:val="fr-FR"/>
        </w:rPr>
        <w:t>Pour les véhicules NOVC:</w:t>
      </w:r>
    </w:p>
    <w:p w:rsidR="00C76E16" w:rsidRPr="00A779B8" w:rsidRDefault="00C76E16" w:rsidP="00C76E16">
      <w:pPr>
        <w:pStyle w:val="SingleTxtG"/>
        <w:ind w:left="2268"/>
        <w:rPr>
          <w:lang w:val="fr-FR"/>
        </w:rPr>
      </w:pPr>
      <w:r w:rsidRPr="00A779B8">
        <w:rPr>
          <w:lang w:val="fr-FR"/>
        </w:rPr>
        <w:tab/>
        <w:t>Dans le cas des véhicules NOVC équipés d</w:t>
      </w:r>
      <w:r w:rsidR="00DB4C2D">
        <w:rPr>
          <w:lang w:val="fr-FR"/>
        </w:rPr>
        <w:t>’</w:t>
      </w:r>
      <w:r w:rsidRPr="00A779B8">
        <w:rPr>
          <w:lang w:val="fr-FR"/>
        </w:rPr>
        <w:t>un commutateur de mode de fonctionnement, le kilométrage parcouru devra l</w:t>
      </w:r>
      <w:r w:rsidR="00DB4C2D">
        <w:rPr>
          <w:lang w:val="fr-FR"/>
        </w:rPr>
        <w:t>’</w:t>
      </w:r>
      <w:r w:rsidRPr="00A779B8">
        <w:rPr>
          <w:lang w:val="fr-FR"/>
        </w:rPr>
        <w:t>être dans le mode automatiquement établi une fois tournée la clef de contact (mode normal).</w:t>
      </w:r>
    </w:p>
    <w:p w:rsidR="00C76E16" w:rsidRPr="00A779B8" w:rsidRDefault="00C76E16" w:rsidP="00C76E16">
      <w:pPr>
        <w:pStyle w:val="SingleTxtG"/>
        <w:ind w:left="2268"/>
        <w:rPr>
          <w:lang w:val="fr-FR"/>
        </w:rPr>
      </w:pPr>
      <w:r w:rsidRPr="00A779B8">
        <w:rPr>
          <w:lang w:val="fr-FR"/>
        </w:rPr>
        <w:tab/>
        <w:t>Les mesures des émissions de polluants doivent être effectuées dans les mêmes conditions que dans l</w:t>
      </w:r>
      <w:r w:rsidR="00DB4C2D">
        <w:rPr>
          <w:lang w:val="fr-FR"/>
        </w:rPr>
        <w:t>’</w:t>
      </w:r>
      <w:r w:rsidRPr="00A779B8">
        <w:rPr>
          <w:lang w:val="fr-FR"/>
        </w:rPr>
        <w:t>essai du type I.</w:t>
      </w:r>
    </w:p>
    <w:p w:rsidR="00C76E16" w:rsidRPr="00A779B8" w:rsidRDefault="00C76E16" w:rsidP="00C76E16">
      <w:pPr>
        <w:pStyle w:val="SingleTxtG"/>
        <w:keepNext/>
        <w:ind w:left="2268" w:hanging="1134"/>
        <w:jc w:val="left"/>
        <w:rPr>
          <w:lang w:val="fr-FR"/>
        </w:rPr>
      </w:pPr>
      <w:r w:rsidRPr="00A779B8">
        <w:rPr>
          <w:lang w:val="fr-FR"/>
        </w:rPr>
        <w:t>8.</w:t>
      </w:r>
      <w:r w:rsidRPr="00A779B8">
        <w:rPr>
          <w:lang w:val="fr-FR"/>
        </w:rPr>
        <w:tab/>
        <w:t>Méthodes d</w:t>
      </w:r>
      <w:r w:rsidR="00DB4C2D">
        <w:rPr>
          <w:lang w:val="fr-FR"/>
        </w:rPr>
        <w:t>’</w:t>
      </w:r>
      <w:r w:rsidRPr="00A779B8">
        <w:rPr>
          <w:lang w:val="fr-FR"/>
        </w:rPr>
        <w:t>essai du type VI</w:t>
      </w:r>
    </w:p>
    <w:p w:rsidR="00C76E16" w:rsidRPr="00A779B8" w:rsidRDefault="00C76E16" w:rsidP="00C76E16">
      <w:pPr>
        <w:pStyle w:val="SingleTxtG"/>
        <w:ind w:left="2268" w:hanging="1134"/>
        <w:rPr>
          <w:lang w:val="fr-FR"/>
        </w:rPr>
      </w:pPr>
      <w:r w:rsidRPr="00A779B8">
        <w:rPr>
          <w:lang w:val="fr-FR"/>
        </w:rPr>
        <w:t>8.1</w:t>
      </w:r>
      <w:r w:rsidRPr="00A779B8">
        <w:rPr>
          <w:lang w:val="fr-FR"/>
        </w:rPr>
        <w:tab/>
        <w:t>Les véhicules doivent être essayés conformément à l</w:t>
      </w:r>
      <w:r w:rsidR="00DB4C2D">
        <w:rPr>
          <w:lang w:val="fr-FR"/>
        </w:rPr>
        <w:t>’</w:t>
      </w:r>
      <w:r w:rsidRPr="00A779B8">
        <w:rPr>
          <w:lang w:val="fr-FR"/>
        </w:rPr>
        <w:t>annexe 8 du présent Règlement.</w:t>
      </w:r>
    </w:p>
    <w:p w:rsidR="00C76E16" w:rsidRPr="00A779B8" w:rsidRDefault="00C76E16" w:rsidP="00DB4C2D">
      <w:pPr>
        <w:pStyle w:val="SingleTxtG"/>
        <w:ind w:left="2268" w:hanging="1134"/>
        <w:rPr>
          <w:lang w:val="fr-FR"/>
        </w:rPr>
      </w:pPr>
      <w:r w:rsidRPr="00A779B8">
        <w:rPr>
          <w:lang w:val="fr-FR"/>
        </w:rPr>
        <w:t>8.2</w:t>
      </w:r>
      <w:r w:rsidRPr="00A779B8">
        <w:rPr>
          <w:lang w:val="fr-FR"/>
        </w:rPr>
        <w:tab/>
        <w:t>Pour les véhicules OVC, les mesures des émissions de polluants doivent être effectuées dans les mêmes conditions que celles spécifiées pour la condition B de l</w:t>
      </w:r>
      <w:r w:rsidR="00DB4C2D">
        <w:rPr>
          <w:lang w:val="fr-FR"/>
        </w:rPr>
        <w:t>’</w:t>
      </w:r>
      <w:r w:rsidRPr="00A779B8">
        <w:rPr>
          <w:lang w:val="fr-FR"/>
        </w:rPr>
        <w:t>essai du type I (par. 3.1.3 et 3.2.3 de la présente annexe).</w:t>
      </w:r>
    </w:p>
    <w:p w:rsidR="00C76E16" w:rsidRPr="00A779B8" w:rsidRDefault="00C76E16" w:rsidP="00C76E16">
      <w:pPr>
        <w:pStyle w:val="SingleTxtG"/>
        <w:ind w:left="2268" w:hanging="1134"/>
        <w:rPr>
          <w:lang w:val="fr-FR"/>
        </w:rPr>
      </w:pPr>
      <w:r w:rsidRPr="00A779B8">
        <w:rPr>
          <w:lang w:val="fr-FR"/>
        </w:rPr>
        <w:t>8.3</w:t>
      </w:r>
      <w:r w:rsidRPr="00A779B8">
        <w:rPr>
          <w:lang w:val="fr-FR"/>
        </w:rPr>
        <w:tab/>
        <w:t>Pour les véhicules NOVC, les mesures des émissions de polluants doivent être effectuées dans les mêmes conditions que dans l</w:t>
      </w:r>
      <w:r w:rsidR="00DB4C2D">
        <w:rPr>
          <w:lang w:val="fr-FR"/>
        </w:rPr>
        <w:t>’</w:t>
      </w:r>
      <w:r w:rsidRPr="00A779B8">
        <w:rPr>
          <w:lang w:val="fr-FR"/>
        </w:rPr>
        <w:t>essai du type I.</w:t>
      </w:r>
    </w:p>
    <w:p w:rsidR="00C76E16" w:rsidRPr="00A779B8" w:rsidRDefault="00C76E16" w:rsidP="00C76E16">
      <w:pPr>
        <w:pStyle w:val="SingleTxtG"/>
        <w:keepNext/>
        <w:ind w:left="2268" w:hanging="1134"/>
        <w:jc w:val="left"/>
        <w:rPr>
          <w:lang w:val="fr-FR"/>
        </w:rPr>
      </w:pPr>
      <w:r w:rsidRPr="00A779B8">
        <w:rPr>
          <w:lang w:val="fr-FR"/>
        </w:rPr>
        <w:t>9.</w:t>
      </w:r>
      <w:r w:rsidRPr="00A779B8">
        <w:rPr>
          <w:lang w:val="fr-FR"/>
        </w:rPr>
        <w:tab/>
        <w:t>Méthodes d</w:t>
      </w:r>
      <w:r w:rsidR="00DB4C2D">
        <w:rPr>
          <w:lang w:val="fr-FR"/>
        </w:rPr>
        <w:t>’</w:t>
      </w:r>
      <w:r w:rsidRPr="00A779B8">
        <w:rPr>
          <w:lang w:val="fr-FR"/>
        </w:rPr>
        <w:t xml:space="preserve">essai des </w:t>
      </w:r>
      <w:r>
        <w:rPr>
          <w:lang w:val="fr-FR"/>
        </w:rPr>
        <w:t>OBD</w:t>
      </w:r>
      <w:r w:rsidRPr="00A779B8">
        <w:rPr>
          <w:lang w:val="fr-FR"/>
        </w:rPr>
        <w:t xml:space="preserve"> </w:t>
      </w:r>
      <w:bookmarkStart w:id="338" w:name="_GoBack"/>
      <w:bookmarkEnd w:id="338"/>
    </w:p>
    <w:p w:rsidR="00C76E16" w:rsidRPr="00A779B8" w:rsidRDefault="00C76E16" w:rsidP="00C76E16">
      <w:pPr>
        <w:pStyle w:val="SingleTxtG"/>
        <w:ind w:left="2268" w:hanging="1134"/>
        <w:rPr>
          <w:lang w:val="fr-FR"/>
        </w:rPr>
      </w:pPr>
      <w:r w:rsidRPr="00A779B8">
        <w:rPr>
          <w:lang w:val="fr-FR"/>
        </w:rPr>
        <w:t>9.1</w:t>
      </w:r>
      <w:r w:rsidRPr="00A779B8">
        <w:rPr>
          <w:lang w:val="fr-FR"/>
        </w:rPr>
        <w:tab/>
        <w:t>Les véhicules doivent être essayés conformément à l</w:t>
      </w:r>
      <w:r w:rsidR="00DB4C2D">
        <w:rPr>
          <w:lang w:val="fr-FR"/>
        </w:rPr>
        <w:t>’</w:t>
      </w:r>
      <w:r w:rsidRPr="00A779B8">
        <w:rPr>
          <w:lang w:val="fr-FR"/>
        </w:rPr>
        <w:t>annexe 11 du présent Règlement.</w:t>
      </w:r>
    </w:p>
    <w:p w:rsidR="00C76E16" w:rsidRPr="00A779B8" w:rsidRDefault="00C76E16" w:rsidP="00C76E16">
      <w:pPr>
        <w:pStyle w:val="SingleTxtG"/>
        <w:ind w:left="2268" w:hanging="1134"/>
        <w:rPr>
          <w:lang w:val="fr-FR"/>
        </w:rPr>
      </w:pPr>
      <w:r w:rsidRPr="00A779B8">
        <w:rPr>
          <w:lang w:val="fr-FR"/>
        </w:rPr>
        <w:t>9.2</w:t>
      </w:r>
      <w:r w:rsidRPr="00A779B8">
        <w:rPr>
          <w:lang w:val="fr-FR"/>
        </w:rPr>
        <w:tab/>
        <w:t>Pour les véhicules OVC, les mesures des émissions de polluants doivent être effectuées dans les mêmes conditions que celles spécifiées pour la condition B de l</w:t>
      </w:r>
      <w:r w:rsidR="00DB4C2D">
        <w:rPr>
          <w:lang w:val="fr-FR"/>
        </w:rPr>
        <w:t>’</w:t>
      </w:r>
      <w:r w:rsidRPr="00A779B8">
        <w:rPr>
          <w:lang w:val="fr-FR"/>
        </w:rPr>
        <w:t>essai du type I (par. 3.1.3 et 3.2.3 de la présente annexe).</w:t>
      </w:r>
    </w:p>
    <w:p w:rsidR="00C76E16" w:rsidRDefault="00C76E16" w:rsidP="00425CBA">
      <w:pPr>
        <w:pStyle w:val="SingleTxtG"/>
        <w:ind w:left="2268" w:hanging="1134"/>
        <w:rPr>
          <w:lang w:val="fr-FR"/>
        </w:rPr>
      </w:pPr>
      <w:r w:rsidRPr="00A779B8">
        <w:rPr>
          <w:lang w:val="fr-FR"/>
        </w:rPr>
        <w:t>9.3</w:t>
      </w:r>
      <w:r w:rsidRPr="00A779B8">
        <w:rPr>
          <w:lang w:val="fr-FR"/>
        </w:rPr>
        <w:tab/>
        <w:t>Pour les véhicules NOVC, les mesures des émissions de polluants doivent être effectuées dans les mêmes conditions que dans l</w:t>
      </w:r>
      <w:r w:rsidR="00DB4C2D">
        <w:rPr>
          <w:lang w:val="fr-FR"/>
        </w:rPr>
        <w:t>’</w:t>
      </w:r>
      <w:r w:rsidRPr="00A779B8">
        <w:rPr>
          <w:lang w:val="fr-FR"/>
        </w:rPr>
        <w:t>essai du type I.</w:t>
      </w:r>
    </w:p>
    <w:p w:rsidR="00425CBA" w:rsidRDefault="00425CBA" w:rsidP="00425CBA">
      <w:pPr>
        <w:pStyle w:val="SingleTxtG"/>
        <w:ind w:left="2268" w:hanging="1134"/>
        <w:rPr>
          <w:lang w:val="fr-FR"/>
        </w:rPr>
        <w:sectPr w:rsidR="00425CBA" w:rsidSect="00C108AC">
          <w:headerReference w:type="even" r:id="rId305"/>
          <w:headerReference w:type="default" r:id="rId306"/>
          <w:footnotePr>
            <w:numRestart w:val="eachSect"/>
          </w:footnotePr>
          <w:endnotePr>
            <w:numFmt w:val="decimal"/>
          </w:endnotePr>
          <w:pgSz w:w="11907" w:h="16840" w:code="9"/>
          <w:pgMar w:top="1701" w:right="1134" w:bottom="2268" w:left="1134" w:header="794" w:footer="1701" w:gutter="0"/>
          <w:cols w:space="720"/>
          <w:docGrid w:linePitch="272"/>
        </w:sectPr>
      </w:pPr>
    </w:p>
    <w:p w:rsidR="00425CBA" w:rsidRPr="00A779B8" w:rsidRDefault="00425CBA" w:rsidP="000C0DDA">
      <w:pPr>
        <w:pStyle w:val="HChG"/>
        <w:spacing w:before="240" w:line="280" w:lineRule="exact"/>
        <w:rPr>
          <w:lang w:val="fr-FR"/>
        </w:rPr>
      </w:pPr>
      <w:r w:rsidRPr="00A779B8">
        <w:rPr>
          <w:lang w:val="fr-FR"/>
        </w:rPr>
        <w:lastRenderedPageBreak/>
        <w:t>Annexe 14 − Appendice 1</w:t>
      </w:r>
    </w:p>
    <w:p w:rsidR="00425CBA" w:rsidRPr="00A779B8" w:rsidRDefault="00425CBA" w:rsidP="000C0DDA">
      <w:pPr>
        <w:pStyle w:val="HChG"/>
        <w:spacing w:before="240" w:line="280" w:lineRule="exact"/>
        <w:rPr>
          <w:lang w:val="fr-FR"/>
        </w:rPr>
      </w:pPr>
      <w:r w:rsidRPr="00A779B8">
        <w:rPr>
          <w:lang w:val="fr-FR"/>
        </w:rPr>
        <w:tab/>
      </w:r>
      <w:r w:rsidRPr="00A779B8">
        <w:rPr>
          <w:lang w:val="fr-FR"/>
        </w:rPr>
        <w:tab/>
        <w:t>Profil de l</w:t>
      </w:r>
      <w:r w:rsidR="00DB4C2D">
        <w:rPr>
          <w:lang w:val="fr-FR"/>
        </w:rPr>
        <w:t>’</w:t>
      </w:r>
      <w:r w:rsidRPr="00A779B8">
        <w:rPr>
          <w:lang w:val="fr-FR"/>
        </w:rPr>
        <w:t>état de charge du dispositif de stockage d</w:t>
      </w:r>
      <w:r w:rsidR="00DB4C2D">
        <w:rPr>
          <w:lang w:val="fr-FR"/>
        </w:rPr>
        <w:t>’</w:t>
      </w:r>
      <w:r w:rsidRPr="00A779B8">
        <w:rPr>
          <w:lang w:val="fr-FR"/>
        </w:rPr>
        <w:t>énergie pour l</w:t>
      </w:r>
      <w:r w:rsidR="00DB4C2D">
        <w:rPr>
          <w:lang w:val="fr-FR"/>
        </w:rPr>
        <w:t>’</w:t>
      </w:r>
      <w:r w:rsidRPr="00A779B8">
        <w:rPr>
          <w:lang w:val="fr-FR"/>
        </w:rPr>
        <w:t>essai du type I des véhicules OVC</w:t>
      </w:r>
    </w:p>
    <w:p w:rsidR="00425CBA" w:rsidRPr="00A779B8" w:rsidRDefault="00425CBA" w:rsidP="000C0DDA">
      <w:pPr>
        <w:pStyle w:val="H4G"/>
        <w:spacing w:line="220" w:lineRule="exact"/>
        <w:rPr>
          <w:lang w:val="fr-FR"/>
        </w:rPr>
      </w:pPr>
      <w:r w:rsidRPr="00A779B8">
        <w:rPr>
          <w:lang w:val="fr-FR"/>
        </w:rPr>
        <w:tab/>
      </w:r>
      <w:r w:rsidRPr="00A779B8">
        <w:rPr>
          <w:lang w:val="fr-FR"/>
        </w:rPr>
        <w:tab/>
        <w:t>Condition A de l</w:t>
      </w:r>
      <w:r w:rsidR="00DB4C2D">
        <w:rPr>
          <w:lang w:val="fr-FR"/>
        </w:rPr>
        <w:t>’</w:t>
      </w:r>
      <w:r w:rsidRPr="00A779B8">
        <w:rPr>
          <w:lang w:val="fr-FR"/>
        </w:rPr>
        <w:t>essai du type I</w:t>
      </w:r>
    </w:p>
    <w:bookmarkStart w:id="339" w:name="_MON_1093332623"/>
    <w:bookmarkStart w:id="340" w:name="_MON_1093332651"/>
    <w:bookmarkStart w:id="341" w:name="_MON_1093332688"/>
    <w:bookmarkStart w:id="342" w:name="_MON_1093332715"/>
    <w:bookmarkStart w:id="343" w:name="_MON_1093332738"/>
    <w:bookmarkStart w:id="344" w:name="_MON_1093332805"/>
    <w:bookmarkStart w:id="345" w:name="_MON_1093332885"/>
    <w:bookmarkStart w:id="346" w:name="_MON_1093332967"/>
    <w:bookmarkStart w:id="347" w:name="_MON_1093332995"/>
    <w:bookmarkStart w:id="348" w:name="_MON_1101293723"/>
    <w:bookmarkEnd w:id="339"/>
    <w:bookmarkEnd w:id="340"/>
    <w:bookmarkEnd w:id="341"/>
    <w:bookmarkEnd w:id="342"/>
    <w:bookmarkEnd w:id="343"/>
    <w:bookmarkEnd w:id="344"/>
    <w:bookmarkEnd w:id="345"/>
    <w:bookmarkEnd w:id="346"/>
    <w:bookmarkEnd w:id="347"/>
    <w:bookmarkEnd w:id="348"/>
    <w:p w:rsidR="00425CBA" w:rsidRPr="00A779B8" w:rsidRDefault="00425CBA" w:rsidP="000C0DDA">
      <w:pPr>
        <w:spacing w:line="220" w:lineRule="atLeast"/>
        <w:ind w:left="1134"/>
        <w:jc w:val="both"/>
        <w:rPr>
          <w:lang w:val="fr-FR"/>
        </w:rPr>
      </w:pPr>
      <w:r w:rsidRPr="00A779B8">
        <w:rPr>
          <w:lang w:val="fr-FR"/>
        </w:rPr>
        <w:object w:dxaOrig="8289" w:dyaOrig="2497">
          <v:shape id="_x0000_i1149" type="#_x0000_t75" style="width:365.45pt;height:123.6pt" o:ole="" o:bordertopcolor="this" o:borderleftcolor="this" o:borderbottomcolor="this" o:borderrightcolor="this" fillcolor="window">
            <v:imagedata r:id="rId307" o:title="" croptop="-7441f" cropbottom="-7441f" cropleft="-2241f" cropright="-2241f"/>
            <o:lock v:ext="edit" aspectratio="f"/>
            <w10:bordertop type="single" width="4"/>
            <w10:borderleft type="single" width="4"/>
            <w10:borderbottom type="single" width="4"/>
            <w10:borderright type="single" width="4"/>
          </v:shape>
          <o:OLEObject Type="Embed" ProgID="Word.Picture.8" ShapeID="_x0000_i1149" DrawAspect="Content" ObjectID="_1490178479" r:id="rId308"/>
        </w:object>
      </w:r>
    </w:p>
    <w:p w:rsidR="00425CBA" w:rsidRPr="00A779B8" w:rsidRDefault="00425CBA" w:rsidP="000C0DDA">
      <w:pPr>
        <w:pStyle w:val="SingleTxtG"/>
        <w:keepNext/>
        <w:spacing w:before="180" w:after="60" w:line="220" w:lineRule="atLeast"/>
        <w:rPr>
          <w:lang w:val="fr-FR"/>
        </w:rPr>
      </w:pPr>
      <w:r w:rsidRPr="00A779B8">
        <w:rPr>
          <w:lang w:val="fr-FR"/>
        </w:rPr>
        <w:t>Condition A:</w:t>
      </w:r>
    </w:p>
    <w:p w:rsidR="00425CBA" w:rsidRPr="00A779B8" w:rsidRDefault="00425CBA" w:rsidP="000C0DDA">
      <w:pPr>
        <w:pStyle w:val="SingleTxtG"/>
        <w:spacing w:after="60" w:line="220" w:lineRule="atLeast"/>
        <w:rPr>
          <w:lang w:val="fr-FR"/>
        </w:rPr>
      </w:pPr>
      <w:r w:rsidRPr="00A779B8">
        <w:rPr>
          <w:lang w:val="fr-FR"/>
        </w:rPr>
        <w:t>(1)</w:t>
      </w:r>
      <w:r w:rsidRPr="00A779B8">
        <w:rPr>
          <w:lang w:val="fr-FR"/>
        </w:rPr>
        <w:tab/>
        <w:t>État de charge initial du dispositif de stockage d</w:t>
      </w:r>
      <w:r w:rsidR="00DB4C2D">
        <w:rPr>
          <w:lang w:val="fr-FR"/>
        </w:rPr>
        <w:t>’</w:t>
      </w:r>
      <w:r w:rsidRPr="00A779B8">
        <w:rPr>
          <w:lang w:val="fr-FR"/>
        </w:rPr>
        <w:t>énergie.</w:t>
      </w:r>
    </w:p>
    <w:p w:rsidR="00425CBA" w:rsidRPr="00A779B8" w:rsidRDefault="00425CBA" w:rsidP="000C0DDA">
      <w:pPr>
        <w:pStyle w:val="SingleTxtG"/>
        <w:spacing w:after="60" w:line="220" w:lineRule="atLeast"/>
        <w:rPr>
          <w:lang w:val="fr-FR"/>
        </w:rPr>
      </w:pPr>
      <w:r w:rsidRPr="00A779B8">
        <w:rPr>
          <w:lang w:val="fr-FR"/>
        </w:rPr>
        <w:t>(2)</w:t>
      </w:r>
      <w:r w:rsidRPr="00A779B8">
        <w:rPr>
          <w:lang w:val="fr-FR"/>
        </w:rPr>
        <w:tab/>
        <w:t>Décharge conformément au paragraphe 3.1.2.1 ou 3.2.2.2 de la présente annexe.</w:t>
      </w:r>
    </w:p>
    <w:p w:rsidR="00425CBA" w:rsidRPr="00A779B8" w:rsidRDefault="00425CBA" w:rsidP="000C0DDA">
      <w:pPr>
        <w:pStyle w:val="SingleTxtG"/>
        <w:spacing w:after="60" w:line="220" w:lineRule="atLeast"/>
        <w:ind w:left="1701" w:hanging="567"/>
        <w:rPr>
          <w:lang w:val="fr-FR"/>
        </w:rPr>
      </w:pPr>
      <w:r w:rsidRPr="00A779B8">
        <w:rPr>
          <w:lang w:val="fr-FR"/>
        </w:rPr>
        <w:t>(3)</w:t>
      </w:r>
      <w:r w:rsidRPr="00A779B8">
        <w:rPr>
          <w:lang w:val="fr-FR"/>
        </w:rPr>
        <w:tab/>
        <w:t>Conditionnement du véhicule conformément au paragraphe 3.1.2.2. ou 3.2.2.3 de la présente annexe.</w:t>
      </w:r>
    </w:p>
    <w:p w:rsidR="00425CBA" w:rsidRPr="00A779B8" w:rsidRDefault="00425CBA" w:rsidP="000C0DDA">
      <w:pPr>
        <w:pStyle w:val="SingleTxtG"/>
        <w:spacing w:after="60" w:line="220" w:lineRule="atLeast"/>
        <w:ind w:left="1701" w:hanging="567"/>
        <w:rPr>
          <w:lang w:val="fr-FR"/>
        </w:rPr>
      </w:pPr>
      <w:r w:rsidRPr="00A779B8">
        <w:rPr>
          <w:lang w:val="fr-FR"/>
        </w:rPr>
        <w:t>(4)</w:t>
      </w:r>
      <w:r w:rsidRPr="00A779B8">
        <w:rPr>
          <w:lang w:val="fr-FR"/>
        </w:rPr>
        <w:tab/>
        <w:t>Charge pendant la phase d</w:t>
      </w:r>
      <w:r w:rsidR="00DB4C2D">
        <w:rPr>
          <w:lang w:val="fr-FR"/>
        </w:rPr>
        <w:t>’</w:t>
      </w:r>
      <w:r w:rsidRPr="00A779B8">
        <w:rPr>
          <w:lang w:val="fr-FR"/>
        </w:rPr>
        <w:t>égalisation des températures conformément aux paragraphes 3.1.2.3 et 3.1.2.4 de la présente annexe, ou aux paragraphes 3.2.2.4 et 3.2.2.5 de la présente annexe.</w:t>
      </w:r>
    </w:p>
    <w:p w:rsidR="00425CBA" w:rsidRPr="00A779B8" w:rsidRDefault="00425CBA" w:rsidP="000C0DDA">
      <w:pPr>
        <w:pStyle w:val="SingleTxtG"/>
        <w:spacing w:after="60" w:line="220" w:lineRule="atLeast"/>
        <w:rPr>
          <w:lang w:val="fr-FR"/>
        </w:rPr>
      </w:pPr>
      <w:r w:rsidRPr="00A779B8">
        <w:rPr>
          <w:lang w:val="fr-FR"/>
        </w:rPr>
        <w:t>(5)</w:t>
      </w:r>
      <w:r w:rsidRPr="00A779B8">
        <w:rPr>
          <w:lang w:val="fr-FR"/>
        </w:rPr>
        <w:tab/>
        <w:t>Essai conformément au paragraphe 3.1.2.5 ou 3.2.2.6 de la présente annexe.</w:t>
      </w:r>
    </w:p>
    <w:p w:rsidR="00425CBA" w:rsidRPr="00A779B8" w:rsidRDefault="00425CBA" w:rsidP="000C0DDA">
      <w:pPr>
        <w:pStyle w:val="H4G"/>
        <w:spacing w:line="220" w:lineRule="exact"/>
        <w:rPr>
          <w:lang w:val="fr-FR"/>
        </w:rPr>
      </w:pPr>
      <w:r w:rsidRPr="00A779B8">
        <w:rPr>
          <w:lang w:val="fr-FR"/>
        </w:rPr>
        <w:tab/>
      </w:r>
      <w:r w:rsidRPr="00A779B8">
        <w:rPr>
          <w:lang w:val="fr-FR"/>
        </w:rPr>
        <w:tab/>
        <w:t>Condition B de l</w:t>
      </w:r>
      <w:r w:rsidR="00DB4C2D">
        <w:rPr>
          <w:lang w:val="fr-FR"/>
        </w:rPr>
        <w:t>’</w:t>
      </w:r>
      <w:r w:rsidRPr="00A779B8">
        <w:rPr>
          <w:lang w:val="fr-FR"/>
        </w:rPr>
        <w:t>essai du type I</w:t>
      </w:r>
    </w:p>
    <w:p w:rsidR="00425CBA" w:rsidRPr="00A779B8" w:rsidRDefault="009D55DD" w:rsidP="00BF328A">
      <w:pPr>
        <w:spacing w:line="220" w:lineRule="atLeast"/>
        <w:ind w:left="1134"/>
        <w:jc w:val="both"/>
        <w:rPr>
          <w:lang w:val="fr-FR"/>
        </w:rPr>
      </w:pPr>
      <w:r>
        <w:rPr>
          <w:b/>
          <w:bCs/>
          <w:noProof/>
          <w:lang w:val="en-US"/>
        </w:rPr>
        <w:drawing>
          <wp:inline distT="0" distB="0" distL="0" distR="0">
            <wp:extent cx="4641215" cy="1587500"/>
            <wp:effectExtent l="19050" t="19050" r="26035" b="1270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rrowheads="1"/>
                    </pic:cNvPicPr>
                  </pic:nvPicPr>
                  <pic:blipFill>
                    <a:blip r:embed="rId309" cstate="print">
                      <a:extLst>
                        <a:ext uri="{28A0092B-C50C-407E-A947-70E740481C1C}">
                          <a14:useLocalDpi xmlns:a14="http://schemas.microsoft.com/office/drawing/2010/main" val="0"/>
                        </a:ext>
                      </a:extLst>
                    </a:blip>
                    <a:srcRect l="-3419" t="-11357" r="-3419" b="-11357"/>
                    <a:stretch>
                      <a:fillRect/>
                    </a:stretch>
                  </pic:blipFill>
                  <pic:spPr bwMode="auto">
                    <a:xfrm>
                      <a:off x="0" y="0"/>
                      <a:ext cx="4641215" cy="1587500"/>
                    </a:xfrm>
                    <a:prstGeom prst="rect">
                      <a:avLst/>
                    </a:prstGeom>
                    <a:noFill/>
                    <a:ln w="6350" cmpd="sng">
                      <a:solidFill>
                        <a:srgbClr val="000000"/>
                      </a:solidFill>
                      <a:miter lim="800000"/>
                      <a:headEnd/>
                      <a:tailEnd/>
                    </a:ln>
                    <a:effectLst/>
                  </pic:spPr>
                </pic:pic>
              </a:graphicData>
            </a:graphic>
          </wp:inline>
        </w:drawing>
      </w:r>
    </w:p>
    <w:p w:rsidR="00425CBA" w:rsidRPr="00A779B8" w:rsidRDefault="00425CBA" w:rsidP="00BF328A">
      <w:pPr>
        <w:pStyle w:val="SingleTxtG"/>
        <w:keepNext/>
        <w:spacing w:before="180" w:after="60" w:line="220" w:lineRule="atLeast"/>
        <w:rPr>
          <w:lang w:val="fr-FR"/>
        </w:rPr>
      </w:pPr>
      <w:r w:rsidRPr="00A779B8">
        <w:rPr>
          <w:lang w:val="fr-FR"/>
        </w:rPr>
        <w:t>Condition B:</w:t>
      </w:r>
    </w:p>
    <w:p w:rsidR="00425CBA" w:rsidRPr="00A779B8" w:rsidRDefault="00425CBA" w:rsidP="00BF328A">
      <w:pPr>
        <w:pStyle w:val="SingleTxtG"/>
        <w:spacing w:after="60" w:line="220" w:lineRule="atLeast"/>
        <w:ind w:left="1701" w:hanging="567"/>
        <w:rPr>
          <w:lang w:val="fr-FR"/>
        </w:rPr>
      </w:pPr>
      <w:r w:rsidRPr="00A779B8">
        <w:rPr>
          <w:lang w:val="fr-FR"/>
        </w:rPr>
        <w:t>(1)</w:t>
      </w:r>
      <w:r w:rsidRPr="00A779B8">
        <w:rPr>
          <w:lang w:val="fr-FR"/>
        </w:rPr>
        <w:tab/>
        <w:t>État de charge initial.</w:t>
      </w:r>
    </w:p>
    <w:p w:rsidR="00425CBA" w:rsidRPr="00A779B8" w:rsidRDefault="00425CBA" w:rsidP="00BF328A">
      <w:pPr>
        <w:pStyle w:val="SingleTxtG"/>
        <w:spacing w:after="60" w:line="220" w:lineRule="atLeast"/>
        <w:ind w:left="1701" w:hanging="567"/>
        <w:rPr>
          <w:lang w:val="fr-FR"/>
        </w:rPr>
      </w:pPr>
      <w:r w:rsidRPr="00A779B8">
        <w:rPr>
          <w:lang w:val="fr-FR"/>
        </w:rPr>
        <w:t>(2)</w:t>
      </w:r>
      <w:r w:rsidRPr="00A779B8">
        <w:rPr>
          <w:lang w:val="fr-FR"/>
        </w:rPr>
        <w:tab/>
        <w:t>Conditionnement du véhicule conformément au paragraphe 3.1.3.1 ou 3.2.3.1 de la présente annexe.</w:t>
      </w:r>
    </w:p>
    <w:p w:rsidR="00425CBA" w:rsidRPr="00A779B8" w:rsidRDefault="00425CBA" w:rsidP="00BF328A">
      <w:pPr>
        <w:pStyle w:val="SingleTxtG"/>
        <w:spacing w:after="60" w:line="220" w:lineRule="atLeast"/>
        <w:ind w:left="1701" w:hanging="567"/>
        <w:rPr>
          <w:lang w:val="fr-FR"/>
        </w:rPr>
      </w:pPr>
      <w:r w:rsidRPr="00A779B8">
        <w:rPr>
          <w:lang w:val="fr-FR"/>
        </w:rPr>
        <w:t>(3)</w:t>
      </w:r>
      <w:r w:rsidRPr="00A779B8">
        <w:rPr>
          <w:lang w:val="fr-FR"/>
        </w:rPr>
        <w:tab/>
        <w:t>Décharge conformément au paragraphe 3.1.3.2 ou 3.2.3.2 de la présente annexe.</w:t>
      </w:r>
    </w:p>
    <w:p w:rsidR="00425CBA" w:rsidRDefault="00425CBA" w:rsidP="00BF328A">
      <w:pPr>
        <w:pStyle w:val="SingleTxtG"/>
        <w:spacing w:after="60" w:line="220" w:lineRule="atLeast"/>
        <w:ind w:left="1701" w:hanging="567"/>
        <w:rPr>
          <w:lang w:val="fr-FR"/>
        </w:rPr>
      </w:pPr>
      <w:r w:rsidRPr="00A779B8">
        <w:rPr>
          <w:lang w:val="fr-FR"/>
        </w:rPr>
        <w:t>(4)</w:t>
      </w:r>
      <w:r w:rsidRPr="00A779B8">
        <w:rPr>
          <w:lang w:val="fr-FR"/>
        </w:rPr>
        <w:tab/>
        <w:t>Phase d</w:t>
      </w:r>
      <w:r w:rsidR="00DB4C2D">
        <w:rPr>
          <w:lang w:val="fr-FR"/>
        </w:rPr>
        <w:t>’</w:t>
      </w:r>
      <w:r w:rsidRPr="00A779B8">
        <w:rPr>
          <w:lang w:val="fr-FR"/>
        </w:rPr>
        <w:t>égalisation des températures conformément au paragraphe 3.1.3.3 ou 3.2.3.3 de la présente annexe.</w:t>
      </w:r>
    </w:p>
    <w:p w:rsidR="00425CBA" w:rsidRDefault="00425CBA" w:rsidP="00BF328A">
      <w:pPr>
        <w:pStyle w:val="SingleTxtG"/>
        <w:spacing w:after="60" w:line="220" w:lineRule="atLeast"/>
        <w:ind w:left="1701" w:hanging="567"/>
        <w:rPr>
          <w:lang w:val="fr-FR"/>
        </w:rPr>
      </w:pPr>
      <w:r w:rsidRPr="00A779B8">
        <w:rPr>
          <w:lang w:val="fr-FR"/>
        </w:rPr>
        <w:t>(5)</w:t>
      </w:r>
      <w:r w:rsidRPr="00A779B8">
        <w:rPr>
          <w:lang w:val="fr-FR"/>
        </w:rPr>
        <w:tab/>
        <w:t>Essai conformément au paragraphe 3.1.3.4 ou 3.2.3.4 de la présente annexe.</w:t>
      </w:r>
    </w:p>
    <w:p w:rsidR="000C0DDA" w:rsidRPr="000C0DDA" w:rsidRDefault="000C0DDA" w:rsidP="000C0DDA">
      <w:pPr>
        <w:pStyle w:val="SingleTxtG"/>
        <w:spacing w:before="240" w:after="0"/>
        <w:jc w:val="center"/>
        <w:rPr>
          <w:u w:val="single"/>
        </w:rPr>
      </w:pPr>
      <w:r>
        <w:rPr>
          <w:u w:val="single"/>
        </w:rPr>
        <w:tab/>
      </w:r>
      <w:r>
        <w:rPr>
          <w:u w:val="single"/>
        </w:rPr>
        <w:tab/>
      </w:r>
      <w:r>
        <w:rPr>
          <w:u w:val="single"/>
        </w:rPr>
        <w:tab/>
      </w:r>
    </w:p>
    <w:sectPr w:rsidR="000C0DDA" w:rsidRPr="000C0DDA" w:rsidSect="00C108AC">
      <w:headerReference w:type="even" r:id="rId310"/>
      <w:headerReference w:type="default" r:id="rId311"/>
      <w:footnotePr>
        <w:numRestart w:val="eachSect"/>
      </w:footnotePr>
      <w:endnotePr>
        <w:numFmt w:val="decimal"/>
      </w:endnotePr>
      <w:pgSz w:w="11907" w:h="16840" w:code="9"/>
      <w:pgMar w:top="1701" w:right="1134" w:bottom="2268" w:left="1134" w:header="79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43B" w:rsidRDefault="003C043B"/>
  </w:endnote>
  <w:endnote w:type="continuationSeparator" w:id="0">
    <w:p w:rsidR="003C043B" w:rsidRDefault="003C043B">
      <w:pPr>
        <w:pStyle w:val="Pieddepage"/>
      </w:pPr>
    </w:p>
  </w:endnote>
  <w:endnote w:type="continuationNotice" w:id="1">
    <w:p w:rsidR="003C043B" w:rsidRPr="00C451B9" w:rsidRDefault="003C043B"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39T30Lfz">
    <w:panose1 w:val="000004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Regular-Identity-H">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F963D4" w:rsidRDefault="00DB4C2D" w:rsidP="00F963D4">
    <w:pPr>
      <w:pStyle w:val="Pieddepage"/>
      <w:tabs>
        <w:tab w:val="right" w:pos="9638"/>
      </w:tabs>
    </w:pPr>
    <w:r w:rsidRPr="00F963D4">
      <w:rPr>
        <w:b/>
        <w:sz w:val="18"/>
      </w:rPr>
      <w:fldChar w:fldCharType="begin"/>
    </w:r>
    <w:r w:rsidRPr="00F963D4">
      <w:rPr>
        <w:b/>
        <w:sz w:val="18"/>
      </w:rPr>
      <w:instrText xml:space="preserve"> PAGE  \* MERGEFORMAT </w:instrText>
    </w:r>
    <w:r w:rsidRPr="00F963D4">
      <w:rPr>
        <w:b/>
        <w:sz w:val="18"/>
      </w:rPr>
      <w:fldChar w:fldCharType="separate"/>
    </w:r>
    <w:r w:rsidR="00174210">
      <w:rPr>
        <w:b/>
        <w:noProof/>
        <w:sz w:val="18"/>
      </w:rPr>
      <w:t>20</w:t>
    </w:r>
    <w:r w:rsidRPr="00F963D4">
      <w:rPr>
        <w:b/>
        <w:sz w:val="18"/>
      </w:rPr>
      <w:fldChar w:fldCharType="end"/>
    </w:r>
    <w:r>
      <w:rPr>
        <w:b/>
        <w:sz w:val="18"/>
      </w:rPr>
      <w:tab/>
    </w:r>
    <w:r>
      <w:t>GE.15-01789</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Pieddepage"/>
      <w:tabs>
        <w:tab w:val="right" w:pos="9638"/>
      </w:tabs>
      <w:rPr>
        <w:b/>
        <w:sz w:val="18"/>
      </w:rPr>
    </w:pPr>
    <w:r w:rsidRPr="00190E8D">
      <w:rPr>
        <w:b/>
        <w:sz w:val="18"/>
      </w:rPr>
      <w:fldChar w:fldCharType="begin"/>
    </w:r>
    <w:r w:rsidRPr="00190E8D">
      <w:rPr>
        <w:b/>
        <w:sz w:val="18"/>
      </w:rPr>
      <w:instrText xml:space="preserve"> PAGE  \* MERGEFORMAT </w:instrText>
    </w:r>
    <w:r w:rsidRPr="00190E8D">
      <w:rPr>
        <w:b/>
        <w:sz w:val="18"/>
      </w:rPr>
      <w:fldChar w:fldCharType="separate"/>
    </w:r>
    <w:r w:rsidR="00174210">
      <w:rPr>
        <w:b/>
        <w:noProof/>
        <w:sz w:val="18"/>
      </w:rPr>
      <w:t>288</w:t>
    </w:r>
    <w:r w:rsidRPr="00190E8D">
      <w:rPr>
        <w:b/>
        <w:sz w:val="18"/>
      </w:rPr>
      <w:fldChar w:fldCharType="end"/>
    </w:r>
    <w:r w:rsidRPr="00190E8D">
      <w:tab/>
      <w:t>GE.1</w:t>
    </w:r>
    <w:r>
      <w:t>5</w:t>
    </w:r>
    <w:r w:rsidRPr="00190E8D">
      <w:t>-0178</w:t>
    </w:r>
    <w: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Pieddepage"/>
      <w:tabs>
        <w:tab w:val="right" w:pos="9638"/>
      </w:tabs>
      <w:rPr>
        <w:b/>
        <w:sz w:val="18"/>
      </w:rPr>
    </w:pPr>
    <w:r>
      <w:t>GE.</w:t>
    </w:r>
    <w:r w:rsidRPr="00190E8D">
      <w:t>15</w:t>
    </w:r>
    <w:r>
      <w:t>-</w:t>
    </w:r>
    <w:r w:rsidRPr="00190E8D">
      <w:t>0178</w:t>
    </w:r>
    <w:r>
      <w:t>9</w:t>
    </w:r>
    <w:r>
      <w:tab/>
    </w:r>
    <w:r w:rsidRPr="00190E8D">
      <w:rPr>
        <w:b/>
        <w:sz w:val="18"/>
      </w:rPr>
      <w:fldChar w:fldCharType="begin"/>
    </w:r>
    <w:r w:rsidRPr="00190E8D">
      <w:rPr>
        <w:b/>
        <w:sz w:val="18"/>
      </w:rPr>
      <w:instrText xml:space="preserve"> PAGE  \* MERGEFORMAT </w:instrText>
    </w:r>
    <w:r w:rsidRPr="00190E8D">
      <w:rPr>
        <w:b/>
        <w:sz w:val="18"/>
      </w:rPr>
      <w:fldChar w:fldCharType="separate"/>
    </w:r>
    <w:r w:rsidR="00174210">
      <w:rPr>
        <w:b/>
        <w:noProof/>
        <w:sz w:val="18"/>
      </w:rPr>
      <w:t>289</w:t>
    </w:r>
    <w:r w:rsidRPr="00190E8D">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F963D4" w:rsidRDefault="00DB4C2D" w:rsidP="00F963D4">
    <w:pPr>
      <w:pStyle w:val="Pieddepage"/>
      <w:tabs>
        <w:tab w:val="right" w:pos="9638"/>
      </w:tabs>
      <w:rPr>
        <w:b/>
        <w:sz w:val="18"/>
      </w:rPr>
    </w:pPr>
    <w:r>
      <w:t>GE.15-01789</w:t>
    </w:r>
    <w:r>
      <w:tab/>
    </w:r>
    <w:r w:rsidRPr="00F963D4">
      <w:rPr>
        <w:b/>
        <w:sz w:val="18"/>
      </w:rPr>
      <w:fldChar w:fldCharType="begin"/>
    </w:r>
    <w:r w:rsidRPr="00F963D4">
      <w:rPr>
        <w:b/>
        <w:sz w:val="18"/>
      </w:rPr>
      <w:instrText xml:space="preserve"> PAGE  \* MERGEFORMAT </w:instrText>
    </w:r>
    <w:r w:rsidRPr="00F963D4">
      <w:rPr>
        <w:b/>
        <w:sz w:val="18"/>
      </w:rPr>
      <w:fldChar w:fldCharType="separate"/>
    </w:r>
    <w:r w:rsidR="00174210">
      <w:rPr>
        <w:b/>
        <w:noProof/>
        <w:sz w:val="18"/>
      </w:rPr>
      <w:t>19</w:t>
    </w:r>
    <w:r w:rsidRPr="00F963D4">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29791D" w:rsidRDefault="009D55DD" w:rsidP="00E97E2C">
    <w:pPr>
      <w:ind w:left="1134" w:right="1134"/>
      <w:jc w:val="center"/>
    </w:pPr>
    <w:r>
      <w:rPr>
        <w:noProof/>
        <w:lang w:val="en-US"/>
      </w:rPr>
      <w:drawing>
        <wp:anchor distT="0" distB="0" distL="114300" distR="114300" simplePos="0" relativeHeight="251653120" behindDoc="0" locked="0" layoutInCell="1" allowOverlap="1">
          <wp:simplePos x="0" y="0"/>
          <wp:positionH relativeFrom="margin">
            <wp:posOffset>4319905</wp:posOffset>
          </wp:positionH>
          <wp:positionV relativeFrom="margin">
            <wp:posOffset>8279765</wp:posOffset>
          </wp:positionV>
          <wp:extent cx="1104265" cy="233045"/>
          <wp:effectExtent l="0" t="0" r="635" b="0"/>
          <wp:wrapNone/>
          <wp:docPr id="10"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rsidR="00DB4C2D">
      <w:t>_______________</w:t>
    </w:r>
  </w:p>
  <w:p w:rsidR="00DB4C2D" w:rsidRDefault="009D55DD" w:rsidP="00E97E2C">
    <w:pPr>
      <w:jc w:val="center"/>
      <w:rPr>
        <w:b/>
        <w:bCs/>
        <w:sz w:val="22"/>
      </w:rPr>
    </w:pPr>
    <w:r>
      <w:rPr>
        <w:noProof/>
        <w:lang w:val="en-US"/>
      </w:rPr>
      <w:drawing>
        <wp:inline distT="0" distB="0" distL="0" distR="0">
          <wp:extent cx="914400" cy="776605"/>
          <wp:effectExtent l="0" t="0" r="0" b="444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
                    <a:extLst>
                      <a:ext uri="{28A0092B-C50C-407E-A947-70E740481C1C}">
                        <a14:useLocalDpi xmlns:a14="http://schemas.microsoft.com/office/drawing/2010/main" val="0"/>
                      </a:ext>
                    </a:extLst>
                  </a:blip>
                  <a:srcRect l="-7608" r="-7608"/>
                  <a:stretch>
                    <a:fillRect/>
                  </a:stretch>
                </pic:blipFill>
                <pic:spPr bwMode="auto">
                  <a:xfrm>
                    <a:off x="0" y="0"/>
                    <a:ext cx="914400" cy="776605"/>
                  </a:xfrm>
                  <a:prstGeom prst="rect">
                    <a:avLst/>
                  </a:prstGeom>
                  <a:noFill/>
                  <a:ln>
                    <a:noFill/>
                  </a:ln>
                </pic:spPr>
              </pic:pic>
            </a:graphicData>
          </a:graphic>
        </wp:inline>
      </w:drawing>
    </w:r>
  </w:p>
  <w:p w:rsidR="00DB4C2D" w:rsidRPr="0029791D" w:rsidRDefault="00DB4C2D" w:rsidP="00E97E2C">
    <w:pPr>
      <w:jc w:val="center"/>
      <w:rPr>
        <w:sz w:val="24"/>
        <w:szCs w:val="24"/>
      </w:rPr>
    </w:pPr>
    <w:r w:rsidRPr="0029791D">
      <w:rPr>
        <w:b/>
        <w:bCs/>
        <w:sz w:val="24"/>
        <w:szCs w:val="24"/>
      </w:rPr>
      <w:t>Nations Unies</w:t>
    </w:r>
  </w:p>
  <w:p w:rsidR="00DB4C2D" w:rsidRPr="0029791D" w:rsidRDefault="00DB4C2D" w:rsidP="00E97E2C">
    <w:pPr>
      <w:pStyle w:val="Notedebasdepage"/>
      <w:tabs>
        <w:tab w:val="clear" w:pos="1021"/>
        <w:tab w:val="right" w:pos="2155"/>
      </w:tabs>
      <w:spacing w:after="80" w:line="240" w:lineRule="atLeast"/>
      <w:ind w:left="680" w:right="0" w:firstLine="0"/>
      <w:rPr>
        <w:u w:val="single"/>
      </w:rPr>
    </w:pPr>
    <w:r>
      <w:rPr>
        <w:u w:val="single"/>
      </w:rPr>
      <w:tab/>
    </w:r>
  </w:p>
  <w:p w:rsidR="00DB4C2D" w:rsidRDefault="00DB4C2D" w:rsidP="00E97E2C">
    <w:pPr>
      <w:pStyle w:val="Notedebasdepage"/>
      <w:spacing w:after="240"/>
    </w:pPr>
    <w:r>
      <w:tab/>
    </w:r>
    <w:r w:rsidRPr="0029791D">
      <w:rPr>
        <w:rStyle w:val="Appelnotedebasdep"/>
        <w:sz w:val="20"/>
        <w:vertAlign w:val="baseline"/>
      </w:rPr>
      <w:t>*</w:t>
    </w:r>
    <w:r>
      <w:rPr>
        <w:sz w:val="20"/>
      </w:rPr>
      <w:tab/>
    </w:r>
    <w:r w:rsidRPr="007817A7">
      <w:t>Ancien titre de l</w:t>
    </w:r>
    <w:r>
      <w:t>’</w:t>
    </w:r>
    <w:r w:rsidRPr="007817A7">
      <w:t>Accor</w:t>
    </w:r>
    <w:r>
      <w:t>d: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p w:rsidR="00DB4C2D" w:rsidRPr="00F963D4" w:rsidRDefault="00DB4C2D" w:rsidP="00F963D4">
    <w:pPr>
      <w:pStyle w:val="Pieddepage"/>
      <w:spacing w:before="120"/>
      <w:rPr>
        <w:sz w:val="20"/>
      </w:rPr>
    </w:pPr>
    <w:r>
      <w:rPr>
        <w:sz w:val="20"/>
      </w:rPr>
      <w:t xml:space="preserve">GE.15-01789  (F)    260315    </w:t>
    </w:r>
    <w:r w:rsidR="00E516D4">
      <w:rPr>
        <w:sz w:val="20"/>
      </w:rPr>
      <w:t>100415</w:t>
    </w:r>
    <w:r>
      <w:rPr>
        <w:sz w:val="20"/>
      </w:rPr>
      <w:br/>
    </w:r>
    <w:r w:rsidRPr="00F963D4">
      <w:rPr>
        <w:rFonts w:ascii="C39T30Lfz" w:hAnsi="C39T30Lfz"/>
        <w:sz w:val="56"/>
      </w:rPr>
      <w:t></w:t>
    </w:r>
    <w:r w:rsidRPr="00F963D4">
      <w:rPr>
        <w:rFonts w:ascii="C39T30Lfz" w:hAnsi="C39T30Lfz"/>
        <w:sz w:val="56"/>
      </w:rPr>
      <w:t></w:t>
    </w:r>
    <w:r w:rsidRPr="00F963D4">
      <w:rPr>
        <w:rFonts w:ascii="C39T30Lfz" w:hAnsi="C39T30Lfz"/>
        <w:sz w:val="56"/>
      </w:rPr>
      <w:t></w:t>
    </w:r>
    <w:r w:rsidRPr="00F963D4">
      <w:rPr>
        <w:rFonts w:ascii="C39T30Lfz" w:hAnsi="C39T30Lfz"/>
        <w:sz w:val="56"/>
      </w:rPr>
      <w:t></w:t>
    </w:r>
    <w:r w:rsidRPr="00F963D4">
      <w:rPr>
        <w:rFonts w:ascii="C39T30Lfz" w:hAnsi="C39T30Lfz"/>
        <w:sz w:val="56"/>
      </w:rPr>
      <w:t></w:t>
    </w:r>
    <w:r w:rsidRPr="00F963D4">
      <w:rPr>
        <w:rFonts w:ascii="C39T30Lfz" w:hAnsi="C39T30Lfz"/>
        <w:sz w:val="56"/>
      </w:rPr>
      <w:t></w:t>
    </w:r>
    <w:r w:rsidRPr="00F963D4">
      <w:rPr>
        <w:rFonts w:ascii="C39T30Lfz" w:hAnsi="C39T30Lfz"/>
        <w:sz w:val="56"/>
      </w:rPr>
      <w:t></w:t>
    </w:r>
    <w:r w:rsidRPr="00F963D4">
      <w:rPr>
        <w:rFonts w:ascii="C39T30Lfz" w:hAnsi="C39T30Lfz"/>
        <w:sz w:val="56"/>
      </w:rPr>
      <w:t></w:t>
    </w:r>
    <w:r w:rsidRPr="00F963D4">
      <w:rPr>
        <w:rFonts w:ascii="C39T30Lfz" w:hAnsi="C39T30Lfz"/>
        <w:sz w:val="56"/>
      </w:rPr>
      <w:t></w:t>
    </w:r>
    <w:r w:rsidR="009D55DD">
      <w:rPr>
        <w:noProof/>
        <w:sz w:val="20"/>
        <w:lang w:val="en-US"/>
      </w:rPr>
      <w:drawing>
        <wp:anchor distT="0" distB="0" distL="114300" distR="114300" simplePos="0" relativeHeight="251654144" behindDoc="0" locked="0" layoutInCell="1" allowOverlap="1">
          <wp:simplePos x="0" y="0"/>
          <wp:positionH relativeFrom="margin">
            <wp:posOffset>5489575</wp:posOffset>
          </wp:positionH>
          <wp:positionV relativeFrom="margin">
            <wp:posOffset>8027670</wp:posOffset>
          </wp:positionV>
          <wp:extent cx="607060" cy="607060"/>
          <wp:effectExtent l="0" t="0" r="2540" b="2540"/>
          <wp:wrapNone/>
          <wp:docPr id="9" name="Image 4"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3401F1" w:rsidRDefault="00DB4C2D" w:rsidP="003401F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3401F1" w:rsidRDefault="00DB4C2D" w:rsidP="003401F1">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Pieddepage"/>
      <w:tabs>
        <w:tab w:val="right" w:pos="9638"/>
      </w:tabs>
      <w:rPr>
        <w:b/>
        <w:sz w:val="18"/>
      </w:rPr>
    </w:pPr>
    <w:r w:rsidRPr="00B55162">
      <w:rPr>
        <w:b/>
        <w:sz w:val="18"/>
      </w:rPr>
      <w:fldChar w:fldCharType="begin"/>
    </w:r>
    <w:r w:rsidRPr="00B55162">
      <w:rPr>
        <w:b/>
        <w:sz w:val="18"/>
      </w:rPr>
      <w:instrText xml:space="preserve"> PAGE  \* MERGEFORMAT </w:instrText>
    </w:r>
    <w:r w:rsidRPr="00B55162">
      <w:rPr>
        <w:b/>
        <w:sz w:val="18"/>
      </w:rPr>
      <w:fldChar w:fldCharType="separate"/>
    </w:r>
    <w:r w:rsidR="00174210">
      <w:rPr>
        <w:b/>
        <w:noProof/>
        <w:sz w:val="18"/>
      </w:rPr>
      <w:t>114</w:t>
    </w:r>
    <w:r w:rsidRPr="00B55162">
      <w:rPr>
        <w:b/>
        <w:sz w:val="18"/>
      </w:rPr>
      <w:fldChar w:fldCharType="end"/>
    </w:r>
    <w:r>
      <w:tab/>
      <w:t>GE.15-</w:t>
    </w:r>
    <w:r w:rsidRPr="00B55162">
      <w:t>0178</w:t>
    </w:r>
    <w: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Pieddepage"/>
      <w:tabs>
        <w:tab w:val="right" w:pos="9638"/>
      </w:tabs>
      <w:rPr>
        <w:b/>
        <w:sz w:val="18"/>
      </w:rPr>
    </w:pPr>
    <w:r>
      <w:t>GE.</w:t>
    </w:r>
    <w:r w:rsidRPr="00B55162">
      <w:t>15</w:t>
    </w:r>
    <w:r>
      <w:t>-</w:t>
    </w:r>
    <w:r w:rsidRPr="00B55162">
      <w:t>0178</w:t>
    </w:r>
    <w:r>
      <w:t>9</w:t>
    </w:r>
    <w:r>
      <w:tab/>
    </w:r>
    <w:r w:rsidRPr="00B55162">
      <w:rPr>
        <w:b/>
        <w:sz w:val="18"/>
      </w:rPr>
      <w:fldChar w:fldCharType="begin"/>
    </w:r>
    <w:r w:rsidRPr="00B55162">
      <w:rPr>
        <w:b/>
        <w:sz w:val="18"/>
      </w:rPr>
      <w:instrText xml:space="preserve"> PAGE  \* MERGEFORMAT </w:instrText>
    </w:r>
    <w:r w:rsidRPr="00B55162">
      <w:rPr>
        <w:b/>
        <w:sz w:val="18"/>
      </w:rPr>
      <w:fldChar w:fldCharType="separate"/>
    </w:r>
    <w:r w:rsidR="00174210">
      <w:rPr>
        <w:b/>
        <w:noProof/>
        <w:sz w:val="18"/>
      </w:rPr>
      <w:t>113</w:t>
    </w:r>
    <w:r w:rsidRPr="00B55162">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42860" w:rsidRDefault="00DB4C2D" w:rsidP="00142860">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42860" w:rsidRDefault="00DB4C2D" w:rsidP="001428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43B" w:rsidRPr="00D27D5E" w:rsidRDefault="003C043B" w:rsidP="00D27D5E">
      <w:pPr>
        <w:tabs>
          <w:tab w:val="right" w:pos="2155"/>
        </w:tabs>
        <w:spacing w:after="80"/>
        <w:ind w:left="680"/>
        <w:rPr>
          <w:u w:val="single"/>
        </w:rPr>
      </w:pPr>
      <w:r>
        <w:rPr>
          <w:u w:val="single"/>
        </w:rPr>
        <w:tab/>
      </w:r>
    </w:p>
  </w:footnote>
  <w:footnote w:type="continuationSeparator" w:id="0">
    <w:p w:rsidR="003C043B" w:rsidRPr="00D171D4" w:rsidRDefault="003C043B" w:rsidP="00D171D4">
      <w:pPr>
        <w:tabs>
          <w:tab w:val="right" w:pos="2155"/>
        </w:tabs>
        <w:spacing w:after="80"/>
        <w:ind w:left="680"/>
        <w:rPr>
          <w:u w:val="single"/>
        </w:rPr>
      </w:pPr>
      <w:r w:rsidRPr="00D171D4">
        <w:rPr>
          <w:u w:val="single"/>
        </w:rPr>
        <w:tab/>
      </w:r>
    </w:p>
  </w:footnote>
  <w:footnote w:type="continuationNotice" w:id="1">
    <w:p w:rsidR="003C043B" w:rsidRPr="00C451B9" w:rsidRDefault="003C043B" w:rsidP="00C451B9">
      <w:pPr>
        <w:spacing w:line="240" w:lineRule="auto"/>
        <w:rPr>
          <w:sz w:val="2"/>
          <w:szCs w:val="2"/>
        </w:rPr>
      </w:pPr>
    </w:p>
  </w:footnote>
  <w:footnote w:id="2">
    <w:p w:rsidR="00DB4C2D" w:rsidRDefault="00DB4C2D" w:rsidP="00780D96">
      <w:pPr>
        <w:pStyle w:val="Notedebasdepage"/>
      </w:pPr>
      <w:r w:rsidRPr="006A499D">
        <w:tab/>
      </w:r>
      <w:r w:rsidRPr="009139F1">
        <w:rPr>
          <w:rStyle w:val="Appelnotedebasdep"/>
        </w:rPr>
        <w:footnoteRef/>
      </w:r>
      <w:r w:rsidRPr="00D238AD">
        <w:tab/>
        <w:t>Selon les définitions de la Résolution d’ensemble sur la construction des véhicules</w:t>
      </w:r>
      <w:r>
        <w:t xml:space="preserve"> </w:t>
      </w:r>
      <w:r w:rsidRPr="00D238AD">
        <w:t>(R.E.3)</w:t>
      </w:r>
      <w:r>
        <w:t>,</w:t>
      </w:r>
      <w:r w:rsidRPr="00D238AD">
        <w:t xml:space="preserve"> document</w:t>
      </w:r>
      <w:r>
        <w:t> </w:t>
      </w:r>
      <w:r w:rsidRPr="00D238AD">
        <w:t>ECE/TRANS/WP.29/78/Rev.</w:t>
      </w:r>
      <w:r>
        <w:t>3</w:t>
      </w:r>
      <w:r w:rsidRPr="00D238AD">
        <w:t>,</w:t>
      </w:r>
      <w:r>
        <w:t xml:space="preserve"> par. 2 − </w:t>
      </w:r>
      <w:hyperlink r:id="rId1" w:history="1">
        <w:r w:rsidRPr="00843D0E">
          <w:t>www.unece.org/trans/main/wp29/wp29wgs/</w:t>
        </w:r>
        <w:r>
          <w:t xml:space="preserve"> </w:t>
        </w:r>
        <w:r w:rsidRPr="00843D0E">
          <w:t>wp29gen/wp29resolutions.html</w:t>
        </w:r>
      </w:hyperlink>
      <w:r w:rsidRPr="00843D0E">
        <w:t>.</w:t>
      </w:r>
    </w:p>
  </w:footnote>
  <w:footnote w:id="3">
    <w:p w:rsidR="00DB4C2D" w:rsidRDefault="00DB4C2D" w:rsidP="00780D96">
      <w:pPr>
        <w:pStyle w:val="Notedebasdepage"/>
      </w:pPr>
      <w:r w:rsidRPr="00D238AD">
        <w:tab/>
      </w:r>
      <w:r w:rsidRPr="009139F1">
        <w:rPr>
          <w:rStyle w:val="Appelnotedebasdep"/>
        </w:rPr>
        <w:footnoteRef/>
      </w:r>
      <w:r w:rsidRPr="003A11BC">
        <w:tab/>
        <w:t xml:space="preserve">L’homologation A n’est pas prévue, puisque la série 05 d’amendements au </w:t>
      </w:r>
      <w:r>
        <w:t xml:space="preserve">présent Règlement </w:t>
      </w:r>
      <w:r w:rsidRPr="003A11BC">
        <w:t>interdit</w:t>
      </w:r>
      <w:r>
        <w:t xml:space="preserve"> </w:t>
      </w:r>
      <w:r w:rsidRPr="003A11BC">
        <w:t>l’utilisation de l’essence au plomb</w:t>
      </w:r>
      <w:r>
        <w:t>.</w:t>
      </w:r>
    </w:p>
  </w:footnote>
  <w:footnote w:id="4">
    <w:p w:rsidR="00DB4C2D" w:rsidRDefault="00DB4C2D" w:rsidP="00780D96">
      <w:pPr>
        <w:pStyle w:val="Notedebasdepage"/>
      </w:pPr>
      <w:r w:rsidRPr="003A11BC">
        <w:tab/>
      </w:r>
      <w:r w:rsidRPr="009139F1">
        <w:rPr>
          <w:rStyle w:val="Appelnotedebasdep"/>
        </w:rPr>
        <w:footnoteRef/>
      </w:r>
      <w:r w:rsidRPr="001E756C">
        <w:tab/>
        <w:t>Selon les définitions de la Résolution d’ensemble sur la construction des véhicules (R.E.3)</w:t>
      </w:r>
      <w:r>
        <w:t>,</w:t>
      </w:r>
      <w:r w:rsidRPr="001E756C">
        <w:t xml:space="preserve"> document</w:t>
      </w:r>
      <w:r>
        <w:t> </w:t>
      </w:r>
      <w:r w:rsidRPr="001E756C">
        <w:t>ECE/TRANS/WP.29/78/Rev.</w:t>
      </w:r>
      <w:r>
        <w:t>3</w:t>
      </w:r>
      <w:r w:rsidRPr="001E756C">
        <w:t>, par.</w:t>
      </w:r>
      <w:r>
        <w:t> </w:t>
      </w:r>
      <w:r w:rsidRPr="001E756C">
        <w:t xml:space="preserve">2 </w:t>
      </w:r>
      <w:r>
        <w:t>− </w:t>
      </w:r>
      <w:r w:rsidRPr="001E756C">
        <w:t>www.unece.org/trans/main/wp29/wp29wgs/</w:t>
      </w:r>
      <w:r>
        <w:t xml:space="preserve"> </w:t>
      </w:r>
      <w:r w:rsidRPr="001E756C">
        <w:t>wp29gen/wp29resolutions.html.</w:t>
      </w:r>
    </w:p>
  </w:footnote>
  <w:footnote w:id="5">
    <w:p w:rsidR="00DB4C2D" w:rsidRPr="00CD32C6" w:rsidRDefault="00DB4C2D" w:rsidP="00780D96">
      <w:pPr>
        <w:pStyle w:val="Notedebasdepage"/>
      </w:pPr>
      <w:r w:rsidRPr="001914BD">
        <w:tab/>
      </w:r>
      <w:r w:rsidRPr="009139F1">
        <w:rPr>
          <w:rStyle w:val="Appelnotedebasdep"/>
        </w:rPr>
        <w:footnoteRef/>
      </w:r>
      <w:r w:rsidRPr="00CD32C6">
        <w:tab/>
      </w:r>
      <w:bookmarkStart w:id="0" w:name="hit1"/>
      <w:bookmarkEnd w:id="0"/>
      <w:r w:rsidRPr="000B223D">
        <w:t>Le</w:t>
      </w:r>
      <w:r>
        <w:t>s</w:t>
      </w:r>
      <w:r w:rsidRPr="000B223D">
        <w:t xml:space="preserve"> </w:t>
      </w:r>
      <w:bookmarkStart w:id="1" w:name="hit2"/>
      <w:bookmarkEnd w:id="1"/>
      <w:r w:rsidRPr="000B223D">
        <w:t>numéro</w:t>
      </w:r>
      <w:r>
        <w:t>s</w:t>
      </w:r>
      <w:r w:rsidRPr="000B223D">
        <w:t xml:space="preserve"> </w:t>
      </w:r>
      <w:bookmarkStart w:id="2" w:name="hit_last"/>
      <w:bookmarkEnd w:id="2"/>
      <w:r w:rsidRPr="000B223D">
        <w:t>distinctif</w:t>
      </w:r>
      <w:r>
        <w:t>s</w:t>
      </w:r>
      <w:r w:rsidRPr="000B223D">
        <w:t xml:space="preserve"> des Parties contractantes à l’Accord de 1958 </w:t>
      </w:r>
      <w:r>
        <w:t>sont</w:t>
      </w:r>
      <w:r w:rsidRPr="000B223D">
        <w:t xml:space="preserve"> reproduit</w:t>
      </w:r>
      <w:r>
        <w:t>s</w:t>
      </w:r>
      <w:r w:rsidRPr="000B223D">
        <w:t xml:space="preserve"> à l’annexe</w:t>
      </w:r>
      <w:r>
        <w:t> </w:t>
      </w:r>
      <w:r w:rsidRPr="000B223D">
        <w:t>3 de</w:t>
      </w:r>
      <w:r>
        <w:t> </w:t>
      </w:r>
      <w:r w:rsidRPr="000B223D">
        <w:t>la</w:t>
      </w:r>
      <w:r>
        <w:t> </w:t>
      </w:r>
      <w:r w:rsidRPr="000B223D">
        <w:t>Résolution d’ensemble</w:t>
      </w:r>
      <w:r>
        <w:t xml:space="preserve"> sur la construction des véhicules (R.E.3), document ECE/TRANS/WP.29/78/Rev.3 − Annexe 3 − www.unece.org/trans/main/wp29/wp29wgs/ wp29gen/wp29resolutions.html.</w:t>
      </w:r>
    </w:p>
  </w:footnote>
  <w:footnote w:id="6">
    <w:p w:rsidR="00DB4C2D" w:rsidRDefault="00DB4C2D" w:rsidP="00071E05">
      <w:pPr>
        <w:pStyle w:val="Notedebasdepage"/>
      </w:pPr>
      <w:r>
        <w:tab/>
      </w:r>
      <w:r>
        <w:rPr>
          <w:rStyle w:val="Appelnotedebasdep"/>
        </w:rPr>
        <w:footnoteRef/>
      </w:r>
      <w:r>
        <w:tab/>
        <w:t>Pour tout véhicule, la «zone intermédiaire»</w:t>
      </w:r>
      <w:r w:rsidRPr="00B657F8">
        <w:t xml:space="preserve"> se détermine comme suit. Le véhicule satisfait aux conditions spécifiées au paragrap</w:t>
      </w:r>
      <w:r>
        <w:t xml:space="preserve">he 3.2.1 ci-dessus </w:t>
      </w:r>
      <w:r w:rsidRPr="00B657F8">
        <w:t>et la valeur mesurée pour le même polluant réglementé est</w:t>
      </w:r>
      <w:r>
        <w:t> </w:t>
      </w:r>
      <w:r w:rsidRPr="00B657F8">
        <w:t xml:space="preserve">inférieure à un niveau déterminé par le produit de la valeur limite pour le même polluant indiquée </w:t>
      </w:r>
      <w:r w:rsidRPr="00AA0A1A">
        <w:t>au tableau</w:t>
      </w:r>
      <w:r>
        <w:t> </w:t>
      </w:r>
      <w:r w:rsidRPr="00AA0A1A">
        <w:t>1</w:t>
      </w:r>
      <w:r w:rsidRPr="00B657F8">
        <w:t xml:space="preserve"> du paragraphe 5.3.1.4</w:t>
      </w:r>
      <w:r>
        <w:t xml:space="preserve"> du présent Règlement multipliée par un </w:t>
      </w:r>
      <w:r w:rsidRPr="00B657F8">
        <w:t>facteur de 2,5.</w:t>
      </w:r>
      <w:r>
        <w:t xml:space="preserve"> </w:t>
      </w:r>
    </w:p>
  </w:footnote>
  <w:footnote w:id="7">
    <w:p w:rsidR="00DB4C2D" w:rsidRDefault="00DB4C2D">
      <w:pPr>
        <w:pStyle w:val="Notedebasdepage"/>
      </w:pPr>
      <w:r>
        <w:tab/>
      </w:r>
      <w:r>
        <w:rPr>
          <w:rStyle w:val="Appelnotedebasdep"/>
        </w:rPr>
        <w:footnoteRef/>
      </w:r>
      <w:r>
        <w:tab/>
      </w:r>
      <w:r w:rsidRPr="00397EA6">
        <w:t>Pour tout véhicule, la «zone de défaillance» se détermine comme suit. La valeur mesurée pour tout polluant réglementé est supérieure à un niveau déterminé par le produit de la valeur limite pour le même polluant indiquée au tableau 1 du paragraphe 5.3.1.4 du présent Règlement multipliée par un facteur de 2,5.</w:t>
      </w:r>
    </w:p>
  </w:footnote>
  <w:footnote w:id="8">
    <w:p w:rsidR="00DB4C2D" w:rsidRDefault="00DB4C2D">
      <w:pPr>
        <w:pStyle w:val="Notedebasdepage"/>
      </w:pPr>
      <w:r>
        <w:tab/>
      </w:r>
      <w:r>
        <w:rPr>
          <w:rStyle w:val="Appelnotedebasdep"/>
        </w:rPr>
        <w:footnoteRef/>
      </w:r>
      <w:r>
        <w:tab/>
        <w:t>Si le moyen d’identification du type contient des caractères n’intéressant pas la description des types de véhicules, de composants ou d’entité technique distincte couverts par la présente fiche de renseignements, ces caractères doivent être remplacés par le symbole «?» dans la documentation (par exemple ABC??123??).</w:t>
      </w:r>
    </w:p>
  </w:footnote>
  <w:footnote w:id="9">
    <w:p w:rsidR="00DB4C2D" w:rsidRDefault="00DB4C2D">
      <w:pPr>
        <w:pStyle w:val="Notedebasdepage"/>
      </w:pPr>
      <w:r>
        <w:tab/>
      </w:r>
      <w:r>
        <w:rPr>
          <w:rStyle w:val="Appelnotedebasdep"/>
        </w:rPr>
        <w:footnoteRef/>
      </w:r>
      <w:r>
        <w:tab/>
        <w:t xml:space="preserve">Selon les définitions figurant dans la Résolution d’ensemble sur la construction des véhicules (R.E.3), document ECE/TRANS/WP.29/78/Rev.3, par. 2 </w:t>
      </w:r>
      <w:r w:rsidRPr="006E6119">
        <w:rPr>
          <w:lang w:val="fr-FR"/>
        </w:rPr>
        <w:t>− www.unece.org/trans/main/wp29/</w:t>
      </w:r>
      <w:r>
        <w:rPr>
          <w:lang w:val="fr-FR"/>
        </w:rPr>
        <w:t xml:space="preserve"> </w:t>
      </w:r>
      <w:r w:rsidRPr="006E6119">
        <w:rPr>
          <w:lang w:val="fr-FR"/>
        </w:rPr>
        <w:t>wp29wgs/wp</w:t>
      </w:r>
      <w:r w:rsidR="00022C4E">
        <w:rPr>
          <w:lang w:val="fr-FR"/>
        </w:rPr>
        <w:t>29gen/</w:t>
      </w:r>
      <w:r w:rsidRPr="006E6119">
        <w:rPr>
          <w:lang w:val="fr-FR"/>
        </w:rPr>
        <w:t>wp29resolutions.html.</w:t>
      </w:r>
    </w:p>
  </w:footnote>
  <w:footnote w:id="10">
    <w:p w:rsidR="00DB4C2D" w:rsidRDefault="00DB4C2D">
      <w:pPr>
        <w:pStyle w:val="Notedebasdepage"/>
      </w:pPr>
      <w:r>
        <w:tab/>
      </w:r>
      <w:r>
        <w:rPr>
          <w:rStyle w:val="Appelnotedebasdep"/>
        </w:rPr>
        <w:footnoteRef/>
      </w:r>
      <w:r>
        <w:tab/>
      </w:r>
      <w:r w:rsidRPr="00C34D78">
        <w:t>Pour un modèle comportant une version avec une cabine normale et une version avec couchette, donner les dimensions et masses dans les deux cas.</w:t>
      </w:r>
    </w:p>
  </w:footnote>
  <w:footnote w:id="11">
    <w:p w:rsidR="00DB4C2D" w:rsidRDefault="00DB4C2D">
      <w:pPr>
        <w:pStyle w:val="Notedebasdepage"/>
      </w:pPr>
      <w:r>
        <w:tab/>
      </w:r>
      <w:r>
        <w:rPr>
          <w:rStyle w:val="Appelnotedebasdep"/>
        </w:rPr>
        <w:footnoteRef/>
      </w:r>
      <w:r>
        <w:tab/>
      </w:r>
      <w:r w:rsidRPr="000C153A">
        <w:t xml:space="preserve">La masse du conducteur et, le cas </w:t>
      </w:r>
      <w:r w:rsidRPr="000C153A">
        <w:rPr>
          <w:rFonts w:hint="eastAsia"/>
        </w:rPr>
        <w:t>é</w:t>
      </w:r>
      <w:r w:rsidRPr="000C153A">
        <w:t>ch</w:t>
      </w:r>
      <w:r w:rsidRPr="000C153A">
        <w:rPr>
          <w:rFonts w:hint="eastAsia"/>
        </w:rPr>
        <w:t>é</w:t>
      </w:r>
      <w:r w:rsidRPr="000C153A">
        <w:t xml:space="preserve">ant du convoyeur, est </w:t>
      </w:r>
      <w:r w:rsidRPr="000C153A">
        <w:rPr>
          <w:rFonts w:hint="eastAsia"/>
        </w:rPr>
        <w:t>é</w:t>
      </w:r>
      <w:r w:rsidRPr="000C153A">
        <w:t>valu</w:t>
      </w:r>
      <w:r w:rsidRPr="000C153A">
        <w:rPr>
          <w:rFonts w:hint="eastAsia"/>
        </w:rPr>
        <w:t>é</w:t>
      </w:r>
      <w:r w:rsidRPr="000C153A">
        <w:t xml:space="preserve">e </w:t>
      </w:r>
      <w:r w:rsidRPr="000C153A">
        <w:rPr>
          <w:rFonts w:hint="eastAsia"/>
        </w:rPr>
        <w:t>à</w:t>
      </w:r>
      <w:r>
        <w:t xml:space="preserve"> 75 </w:t>
      </w:r>
      <w:r w:rsidRPr="000C153A">
        <w:t>kg (r</w:t>
      </w:r>
      <w:r w:rsidRPr="000C153A">
        <w:rPr>
          <w:rFonts w:hint="eastAsia"/>
        </w:rPr>
        <w:t>é</w:t>
      </w:r>
      <w:r>
        <w:t>partie comme suit: 68 </w:t>
      </w:r>
      <w:r w:rsidRPr="000C153A">
        <w:t>kg pour la masse de l</w:t>
      </w:r>
      <w:r>
        <w:t>'occupant et 7 </w:t>
      </w:r>
      <w:r w:rsidRPr="000C153A">
        <w:t>kg pour la masse des bagages, conform</w:t>
      </w:r>
      <w:r w:rsidRPr="000C153A">
        <w:rPr>
          <w:rFonts w:hint="eastAsia"/>
        </w:rPr>
        <w:t>é</w:t>
      </w:r>
      <w:r w:rsidRPr="000C153A">
        <w:t xml:space="preserve">ment </w:t>
      </w:r>
      <w:r w:rsidRPr="000C153A">
        <w:rPr>
          <w:rFonts w:hint="eastAsia"/>
        </w:rPr>
        <w:t>à</w:t>
      </w:r>
      <w:r>
        <w:t xml:space="preserve"> la norme ISO </w:t>
      </w:r>
      <w:r w:rsidRPr="000C153A">
        <w:t>2416: 1992). Le r</w:t>
      </w:r>
      <w:r w:rsidRPr="000C153A">
        <w:rPr>
          <w:rFonts w:hint="eastAsia"/>
        </w:rPr>
        <w:t>é</w:t>
      </w:r>
      <w:r w:rsidRPr="000C153A">
        <w:t xml:space="preserve">servoir est rempli </w:t>
      </w:r>
      <w:r w:rsidRPr="000C153A">
        <w:rPr>
          <w:rFonts w:hint="eastAsia"/>
        </w:rPr>
        <w:t>à</w:t>
      </w:r>
      <w:r>
        <w:t xml:space="preserve"> 90 </w:t>
      </w:r>
      <w:r w:rsidRPr="000C153A">
        <w:t>% et les autres dispositifs contenant des liquides (except</w:t>
      </w:r>
      <w:r w:rsidRPr="000C153A">
        <w:rPr>
          <w:rFonts w:hint="eastAsia"/>
        </w:rPr>
        <w:t>é</w:t>
      </w:r>
      <w:r w:rsidRPr="000C153A">
        <w:t xml:space="preserve"> ceux destin</w:t>
      </w:r>
      <w:r w:rsidRPr="000C153A">
        <w:rPr>
          <w:rFonts w:hint="eastAsia"/>
        </w:rPr>
        <w:t>é</w:t>
      </w:r>
      <w:r w:rsidRPr="000C153A">
        <w:t>s aux eaux us</w:t>
      </w:r>
      <w:r w:rsidRPr="000C153A">
        <w:rPr>
          <w:rFonts w:hint="eastAsia"/>
        </w:rPr>
        <w:t>é</w:t>
      </w:r>
      <w:r w:rsidRPr="000C153A">
        <w:t xml:space="preserve">es) </w:t>
      </w:r>
      <w:r w:rsidRPr="000C153A">
        <w:rPr>
          <w:rFonts w:hint="eastAsia"/>
        </w:rPr>
        <w:t>à</w:t>
      </w:r>
      <w:r>
        <w:t xml:space="preserve"> 100 </w:t>
      </w:r>
      <w:r w:rsidRPr="000C153A">
        <w:t>% de la capacit</w:t>
      </w:r>
      <w:r w:rsidRPr="000C153A">
        <w:rPr>
          <w:rFonts w:hint="eastAsia"/>
        </w:rPr>
        <w:t>é</w:t>
      </w:r>
      <w:r w:rsidRPr="000C153A">
        <w:t xml:space="preserve"> d</w:t>
      </w:r>
      <w:r w:rsidRPr="000C153A">
        <w:rPr>
          <w:rFonts w:hint="eastAsia"/>
        </w:rPr>
        <w:t>é</w:t>
      </w:r>
      <w:r w:rsidRPr="000C153A">
        <w:t>clar</w:t>
      </w:r>
      <w:r w:rsidRPr="000C153A">
        <w:rPr>
          <w:rFonts w:hint="eastAsia"/>
        </w:rPr>
        <w:t>é</w:t>
      </w:r>
      <w:r w:rsidRPr="000C153A">
        <w:t>e par le constructeur.</w:t>
      </w:r>
    </w:p>
  </w:footnote>
  <w:footnote w:id="12">
    <w:p w:rsidR="00DB4C2D" w:rsidRDefault="00DB4C2D">
      <w:pPr>
        <w:pStyle w:val="Notedebasdepage"/>
      </w:pPr>
      <w:r>
        <w:tab/>
      </w:r>
      <w:r>
        <w:rPr>
          <w:rStyle w:val="Appelnotedebasdep"/>
        </w:rPr>
        <w:footnoteRef/>
      </w:r>
      <w:r>
        <w:tab/>
      </w:r>
      <w:r w:rsidRPr="000C153A">
        <w:t>Pour les remorques ou semi-remorques et pour les v</w:t>
      </w:r>
      <w:r w:rsidRPr="000C153A">
        <w:rPr>
          <w:rFonts w:hint="eastAsia"/>
        </w:rPr>
        <w:t>é</w:t>
      </w:r>
      <w:r w:rsidRPr="000C153A">
        <w:t>hicules attel</w:t>
      </w:r>
      <w:r w:rsidRPr="000C153A">
        <w:rPr>
          <w:rFonts w:hint="eastAsia"/>
        </w:rPr>
        <w:t>é</w:t>
      </w:r>
      <w:r w:rsidRPr="000C153A">
        <w:t xml:space="preserve">s </w:t>
      </w:r>
      <w:r w:rsidRPr="000C153A">
        <w:rPr>
          <w:rFonts w:hint="eastAsia"/>
        </w:rPr>
        <w:t>à</w:t>
      </w:r>
      <w:r w:rsidRPr="000C153A">
        <w:t xml:space="preserve"> une remorque ou </w:t>
      </w:r>
      <w:r w:rsidRPr="000C153A">
        <w:rPr>
          <w:rFonts w:hint="eastAsia"/>
        </w:rPr>
        <w:t>à</w:t>
      </w:r>
      <w:r>
        <w:t xml:space="preserve"> une semi</w:t>
      </w:r>
      <w:r>
        <w:noBreakHyphen/>
      </w:r>
      <w:r w:rsidRPr="000C153A">
        <w:t>remorque exer</w:t>
      </w:r>
      <w:r w:rsidRPr="000C153A">
        <w:rPr>
          <w:rFonts w:hint="eastAsia"/>
        </w:rPr>
        <w:t>ç</w:t>
      </w:r>
      <w:r w:rsidRPr="000C153A">
        <w:t>ant une pression verticale significative sur le dispositif d</w:t>
      </w:r>
      <w:r>
        <w:t>'</w:t>
      </w:r>
      <w:r w:rsidRPr="000C153A">
        <w:t>attelage ou sur la sellette d</w:t>
      </w:r>
      <w:r>
        <w:t>'</w:t>
      </w:r>
      <w:r w:rsidRPr="000C153A">
        <w:t>attelage, cette valeur, divis</w:t>
      </w:r>
      <w:r w:rsidRPr="000C153A">
        <w:rPr>
          <w:rFonts w:hint="eastAsia"/>
        </w:rPr>
        <w:t>é</w:t>
      </w:r>
      <w:r w:rsidRPr="000C153A">
        <w:t>e par l</w:t>
      </w:r>
      <w:r>
        <w:t>'</w:t>
      </w:r>
      <w:r w:rsidRPr="000C153A">
        <w:t>intensit</w:t>
      </w:r>
      <w:r w:rsidRPr="000C153A">
        <w:rPr>
          <w:rFonts w:hint="eastAsia"/>
        </w:rPr>
        <w:t>é</w:t>
      </w:r>
      <w:r w:rsidRPr="000C153A">
        <w:t xml:space="preserve"> normale de la pesanteur, est ajout</w:t>
      </w:r>
      <w:r w:rsidRPr="000C153A">
        <w:rPr>
          <w:rFonts w:hint="eastAsia"/>
        </w:rPr>
        <w:t>é</w:t>
      </w:r>
      <w:r w:rsidRPr="000C153A">
        <w:t xml:space="preserve">e </w:t>
      </w:r>
      <w:r w:rsidRPr="000C153A">
        <w:rPr>
          <w:rFonts w:hint="eastAsia"/>
        </w:rPr>
        <w:t>à</w:t>
      </w:r>
      <w:r w:rsidRPr="000C153A">
        <w:t xml:space="preserve"> la masse maximale techniquement admissible.</w:t>
      </w:r>
      <w:r>
        <w:t xml:space="preserve"> </w:t>
      </w:r>
    </w:p>
  </w:footnote>
  <w:footnote w:id="13">
    <w:p w:rsidR="00DB4C2D" w:rsidRDefault="00DB4C2D">
      <w:pPr>
        <w:pStyle w:val="Notedebasdepage"/>
      </w:pPr>
      <w:r>
        <w:tab/>
      </w:r>
      <w:r>
        <w:rPr>
          <w:rStyle w:val="Appelnotedebasdep"/>
        </w:rPr>
        <w:footnoteRef/>
      </w:r>
      <w:r>
        <w:tab/>
        <w:t>Veuillez indiquer les valeurs maximale et minimale pour chaque variante.</w:t>
      </w:r>
    </w:p>
  </w:footnote>
  <w:footnote w:id="14">
    <w:p w:rsidR="00DB4C2D" w:rsidRDefault="00DB4C2D">
      <w:pPr>
        <w:pStyle w:val="Notedebasdepage"/>
      </w:pPr>
      <w:r>
        <w:tab/>
      </w:r>
      <w:r>
        <w:rPr>
          <w:rStyle w:val="Appelnotedebasdep"/>
        </w:rPr>
        <w:footnoteRef/>
      </w:r>
      <w:r>
        <w:tab/>
      </w:r>
      <w:r w:rsidRPr="000C153A">
        <w:t>Pour les moteurs et les syst</w:t>
      </w:r>
      <w:r w:rsidRPr="000C153A">
        <w:rPr>
          <w:rFonts w:hint="eastAsia"/>
        </w:rPr>
        <w:t>è</w:t>
      </w:r>
      <w:r w:rsidRPr="000C153A">
        <w:t xml:space="preserve">mes non classiques, des renseignements </w:t>
      </w:r>
      <w:r w:rsidRPr="000C153A">
        <w:rPr>
          <w:rFonts w:hint="eastAsia"/>
        </w:rPr>
        <w:t>é</w:t>
      </w:r>
      <w:r w:rsidRPr="000C153A">
        <w:t xml:space="preserve">quivalents </w:t>
      </w:r>
      <w:r w:rsidRPr="000C153A">
        <w:rPr>
          <w:rFonts w:hint="eastAsia"/>
        </w:rPr>
        <w:t>à</w:t>
      </w:r>
      <w:r w:rsidRPr="000C153A">
        <w:t xml:space="preserve"> ceux vis</w:t>
      </w:r>
      <w:r w:rsidRPr="000C153A">
        <w:rPr>
          <w:rFonts w:hint="eastAsia"/>
        </w:rPr>
        <w:t>é</w:t>
      </w:r>
      <w:r w:rsidRPr="000C153A">
        <w:t xml:space="preserve">s </w:t>
      </w:r>
      <w:r w:rsidRPr="000C153A">
        <w:rPr>
          <w:rFonts w:hint="eastAsia"/>
        </w:rPr>
        <w:t>à</w:t>
      </w:r>
      <w:r w:rsidRPr="000C153A">
        <w:t xml:space="preserve"> la pr</w:t>
      </w:r>
      <w:r w:rsidRPr="000C153A">
        <w:rPr>
          <w:rFonts w:hint="eastAsia"/>
        </w:rPr>
        <w:t>é</w:t>
      </w:r>
      <w:r w:rsidRPr="000C153A">
        <w:t xml:space="preserve">sente rubrique doivent </w:t>
      </w:r>
      <w:r w:rsidRPr="000C153A">
        <w:rPr>
          <w:rFonts w:hint="eastAsia"/>
        </w:rPr>
        <w:t>ê</w:t>
      </w:r>
      <w:r w:rsidRPr="000C153A">
        <w:t>tre fournis par le constructeur.</w:t>
      </w:r>
    </w:p>
  </w:footnote>
  <w:footnote w:id="15">
    <w:p w:rsidR="00DB4C2D" w:rsidRDefault="00DB4C2D">
      <w:pPr>
        <w:pStyle w:val="Notedebasdepage"/>
      </w:pPr>
      <w:r>
        <w:tab/>
      </w:r>
      <w:r>
        <w:rPr>
          <w:rStyle w:val="Appelnotedebasdep"/>
        </w:rPr>
        <w:footnoteRef/>
      </w:r>
      <w:r>
        <w:tab/>
        <w:t>Les véhicules qui peuvent rouler à la fois à l’essence et au carburant gazeux mais dont le circuit d’essence est destiné uniquement aux cas d’urgence ou au démarrage et dont le réservoir d’essence a une capacité maximale de 15 l seront considérés pour l’essai comme pouvant rouler uniquement au carburant gazeux.</w:t>
      </w:r>
    </w:p>
  </w:footnote>
  <w:footnote w:id="16">
    <w:p w:rsidR="00DB4C2D" w:rsidRDefault="00DB4C2D">
      <w:pPr>
        <w:pStyle w:val="Notedebasdepage"/>
      </w:pPr>
      <w:r>
        <w:tab/>
      </w:r>
      <w:r>
        <w:rPr>
          <w:rStyle w:val="Appelnotedebasdep"/>
        </w:rPr>
        <w:footnoteRef/>
      </w:r>
      <w:r>
        <w:tab/>
        <w:t>Biffer les mentions inutiles.</w:t>
      </w:r>
    </w:p>
  </w:footnote>
  <w:footnote w:id="17">
    <w:p w:rsidR="00DB4C2D" w:rsidRDefault="00DB4C2D">
      <w:pPr>
        <w:pStyle w:val="Notedebasdepage"/>
      </w:pPr>
      <w:r>
        <w:tab/>
      </w:r>
      <w:r>
        <w:rPr>
          <w:rStyle w:val="Appelnotedebasdep"/>
        </w:rPr>
        <w:footnoteRef/>
      </w:r>
      <w:r>
        <w:tab/>
        <w:t>Arrondir cette valeur au dixième de millimètre le plus proche.</w:t>
      </w:r>
    </w:p>
  </w:footnote>
  <w:footnote w:id="18">
    <w:p w:rsidR="00DB4C2D" w:rsidRDefault="00DB4C2D">
      <w:pPr>
        <w:pStyle w:val="Notedebasdepage"/>
      </w:pPr>
      <w:r>
        <w:tab/>
      </w:r>
      <w:r>
        <w:rPr>
          <w:rStyle w:val="Appelnotedebasdep"/>
        </w:rPr>
        <w:footnoteRef/>
      </w:r>
      <w:r>
        <w:tab/>
        <w:t xml:space="preserve">Cette valeur doit être calculée avec </w:t>
      </w:r>
      <w:r>
        <w:sym w:font="Symbol" w:char="F070"/>
      </w:r>
      <w:r>
        <w:t xml:space="preserve"> = 3,1416 et arrondie au cm</w:t>
      </w:r>
      <w:r w:rsidRPr="002D735E">
        <w:rPr>
          <w:vertAlign w:val="superscript"/>
        </w:rPr>
        <w:t>3</w:t>
      </w:r>
      <w:r>
        <w:rPr>
          <w:vertAlign w:val="superscript"/>
        </w:rPr>
        <w:t xml:space="preserve"> </w:t>
      </w:r>
      <w:r>
        <w:t>le plus proche.</w:t>
      </w:r>
    </w:p>
  </w:footnote>
  <w:footnote w:id="19">
    <w:p w:rsidR="00DB4C2D" w:rsidRDefault="00DB4C2D">
      <w:pPr>
        <w:pStyle w:val="Notedebasdepage"/>
      </w:pPr>
      <w:r>
        <w:tab/>
      </w:r>
      <w:r>
        <w:rPr>
          <w:rStyle w:val="Appelnotedebasdep"/>
        </w:rPr>
        <w:footnoteRef/>
      </w:r>
      <w:r>
        <w:tab/>
        <w:t>Préciser la tolérance.</w:t>
      </w:r>
    </w:p>
  </w:footnote>
  <w:footnote w:id="20">
    <w:p w:rsidR="00DB4C2D" w:rsidRDefault="00DB4C2D">
      <w:pPr>
        <w:pStyle w:val="Notedebasdepage"/>
      </w:pPr>
      <w:r>
        <w:tab/>
      </w:r>
      <w:r>
        <w:rPr>
          <w:rStyle w:val="Appelnotedebasdep"/>
        </w:rPr>
        <w:footnoteRef/>
      </w:r>
      <w:r>
        <w:tab/>
      </w:r>
      <w:r w:rsidRPr="001653A1">
        <w:t xml:space="preserve">Déterminée conformément aux prescriptions du Règlement </w:t>
      </w:r>
      <w:r w:rsidRPr="002D735E">
        <w:rPr>
          <w:rFonts w:eastAsia="MS Mincho"/>
        </w:rPr>
        <w:t>n</w:t>
      </w:r>
      <w:r w:rsidRPr="002D735E">
        <w:rPr>
          <w:rFonts w:eastAsia="MS Mincho"/>
          <w:vertAlign w:val="superscript"/>
        </w:rPr>
        <w:t>o</w:t>
      </w:r>
      <w:r>
        <w:rPr>
          <w:rFonts w:eastAsia="MS Mincho"/>
        </w:rPr>
        <w:t> </w:t>
      </w:r>
      <w:r w:rsidRPr="001653A1">
        <w:t>85.</w:t>
      </w:r>
    </w:p>
  </w:footnote>
  <w:footnote w:id="21">
    <w:p w:rsidR="00DB4C2D" w:rsidRDefault="00DB4C2D">
      <w:pPr>
        <w:pStyle w:val="Notedebasdepage"/>
      </w:pPr>
      <w:r>
        <w:tab/>
      </w:r>
      <w:r>
        <w:rPr>
          <w:rStyle w:val="Appelnotedebasdep"/>
        </w:rPr>
        <w:footnoteRef/>
      </w:r>
      <w:r>
        <w:tab/>
        <w:t>Biffer ce qui ne convient pas (il peut ne rien y avoir à biffer lorsqu’il y a plus d’une réponse possible).</w:t>
      </w:r>
    </w:p>
  </w:footnote>
  <w:footnote w:id="22">
    <w:p w:rsidR="00DB4C2D" w:rsidRDefault="00DB4C2D">
      <w:pPr>
        <w:pStyle w:val="Notedebasdepage"/>
      </w:pPr>
      <w:r>
        <w:tab/>
      </w:r>
      <w:r>
        <w:rPr>
          <w:rStyle w:val="Appelnotedebasdep"/>
        </w:rPr>
        <w:footnoteRef/>
      </w:r>
      <w:r>
        <w:tab/>
      </w:r>
      <w:r>
        <w:rPr>
          <w:szCs w:val="18"/>
        </w:rPr>
        <w:t xml:space="preserve">Déterminée conformément aux prescriptions du Règlement </w:t>
      </w:r>
      <w:r w:rsidRPr="005233E1">
        <w:rPr>
          <w:rFonts w:eastAsia="MS Mincho"/>
          <w:szCs w:val="18"/>
        </w:rPr>
        <w:t>n</w:t>
      </w:r>
      <w:r w:rsidRPr="005233E1">
        <w:rPr>
          <w:rFonts w:eastAsia="MS Mincho"/>
          <w:szCs w:val="18"/>
          <w:vertAlign w:val="superscript"/>
        </w:rPr>
        <w:t>o</w:t>
      </w:r>
      <w:r>
        <w:rPr>
          <w:szCs w:val="18"/>
        </w:rPr>
        <w:t> 85.</w:t>
      </w:r>
    </w:p>
  </w:footnote>
  <w:footnote w:id="23">
    <w:p w:rsidR="00DB4C2D" w:rsidRDefault="00DB4C2D">
      <w:pPr>
        <w:pStyle w:val="Notedebasdepage"/>
      </w:pPr>
      <w:r>
        <w:tab/>
      </w:r>
      <w:r>
        <w:rPr>
          <w:rStyle w:val="Appelnotedebasdep"/>
        </w:rPr>
        <w:footnoteRef/>
      </w:r>
      <w:r>
        <w:tab/>
        <w:t xml:space="preserve">Fournir les renseignements demandés pour toutes les variantes éventuellement prévues. </w:t>
      </w:r>
    </w:p>
  </w:footnote>
  <w:footnote w:id="24">
    <w:p w:rsidR="00DB4C2D" w:rsidRDefault="00DB4C2D">
      <w:pPr>
        <w:pStyle w:val="Notedebasdepage"/>
      </w:pPr>
      <w:r>
        <w:tab/>
      </w:r>
      <w:r>
        <w:rPr>
          <w:rStyle w:val="Appelnotedebasdep"/>
        </w:rPr>
        <w:footnoteRef/>
      </w:r>
      <w:r>
        <w:tab/>
        <w:t>Préciser l’une ou l’autre.</w:t>
      </w:r>
    </w:p>
  </w:footnote>
  <w:footnote w:id="25">
    <w:p w:rsidR="00DB4C2D" w:rsidRDefault="00DB4C2D">
      <w:pPr>
        <w:pStyle w:val="Notedebasdepage"/>
      </w:pPr>
      <w:r>
        <w:tab/>
      </w:r>
      <w:r>
        <w:rPr>
          <w:rStyle w:val="Appelnotedebasdep"/>
        </w:rPr>
        <w:footnoteRef/>
      </w:r>
      <w:r>
        <w:tab/>
        <w:t>Selon les définitions figurant dans la Résolution d’ensemble sur la construction des véhicules (R.E.3), document ECE/TRANS/WP.29/78/Rev.3, par. 2 − </w:t>
      </w:r>
      <w:hyperlink r:id="rId2" w:history="1">
        <w:r w:rsidRPr="0080741B">
          <w:t>www.unece.org/trans/main/wp29/wp29wgs/</w:t>
        </w:r>
        <w:r>
          <w:t xml:space="preserve"> </w:t>
        </w:r>
        <w:r w:rsidRPr="0080741B">
          <w:t>wp29gen/wp29resolutions.html</w:t>
        </w:r>
      </w:hyperlink>
      <w:r w:rsidRPr="0080741B">
        <w:t>.</w:t>
      </w:r>
    </w:p>
  </w:footnote>
  <w:footnote w:id="26">
    <w:p w:rsidR="00DB4C2D" w:rsidRDefault="00DB4C2D">
      <w:pPr>
        <w:pStyle w:val="Notedebasdepage"/>
      </w:pPr>
      <w:r>
        <w:tab/>
      </w:r>
      <w:r>
        <w:rPr>
          <w:rStyle w:val="Appelnotedebasdep"/>
        </w:rPr>
        <w:footnoteRef/>
      </w:r>
      <w:r>
        <w:tab/>
        <w:t>Biffer ce qui ne s’applique pas.</w:t>
      </w:r>
    </w:p>
  </w:footnote>
  <w:footnote w:id="27">
    <w:p w:rsidR="00DB4C2D" w:rsidRDefault="00DB4C2D">
      <w:pPr>
        <w:pStyle w:val="Notedebasdepage"/>
      </w:pPr>
      <w:r>
        <w:tab/>
      </w:r>
      <w:r>
        <w:rPr>
          <w:rStyle w:val="Appelnotedebasdep"/>
        </w:rPr>
        <w:footnoteRef/>
      </w:r>
      <w:r>
        <w:tab/>
        <w:t>Numéro distinctif du pays qui a délivré/étendu/refusé/retiré l’homologation (voir les dispositions du Règlement relatives à l’homologation).</w:t>
      </w:r>
    </w:p>
  </w:footnote>
  <w:footnote w:id="28">
    <w:p w:rsidR="00DB4C2D" w:rsidRDefault="00DB4C2D">
      <w:pPr>
        <w:pStyle w:val="Notedebasdepage"/>
      </w:pPr>
      <w:r>
        <w:tab/>
      </w:r>
      <w:r>
        <w:rPr>
          <w:rStyle w:val="Appelnotedebasdep"/>
        </w:rPr>
        <w:footnoteRef/>
      </w:r>
      <w:r>
        <w:tab/>
        <w:t>Biffer ce qui ne convient pas.</w:t>
      </w:r>
    </w:p>
  </w:footnote>
  <w:footnote w:id="29">
    <w:p w:rsidR="00DB4C2D" w:rsidRDefault="00DB4C2D">
      <w:pPr>
        <w:pStyle w:val="Notedebasdepage"/>
      </w:pPr>
      <w:r>
        <w:tab/>
      </w:r>
      <w:r>
        <w:rPr>
          <w:rStyle w:val="Appelnotedebasdep"/>
        </w:rPr>
        <w:footnoteRef/>
      </w:r>
      <w:r>
        <w:tab/>
        <w:t>Si le moyen d’identification du type contient des caractères n’intéressant pas la description des types de véhicules, de composants ou d’entités techniques couverts par la présente fiche de renseignement, il importe de les indiquer dans la documentation au moyen du symbole «?» (par exemple ABC?? 123??).</w:t>
      </w:r>
    </w:p>
  </w:footnote>
  <w:footnote w:id="30">
    <w:p w:rsidR="00DB4C2D" w:rsidRDefault="00DB4C2D">
      <w:pPr>
        <w:pStyle w:val="Notedebasdepage"/>
      </w:pPr>
      <w:r>
        <w:tab/>
      </w:r>
      <w:r>
        <w:rPr>
          <w:rStyle w:val="Appelnotedebasdep"/>
        </w:rPr>
        <w:footnoteRef/>
      </w:r>
      <w:r>
        <w:tab/>
        <w:t>Selon les définitions de la Résolution d’ensemble sur la construction des véhicules (R.E.3), document ECE/TRANS/WP.29/78/Rev.2, pa</w:t>
      </w:r>
      <w:r w:rsidR="002659B6">
        <w:t>r. 2 − www.unece.org/trans/main</w:t>
      </w:r>
      <w:r>
        <w:t>/wp29/wp29wgs/wp29gen/ wp29resolutions.html.</w:t>
      </w:r>
    </w:p>
  </w:footnote>
  <w:footnote w:id="31">
    <w:p w:rsidR="00DB4C2D" w:rsidRDefault="00DB4C2D">
      <w:pPr>
        <w:pStyle w:val="Notedebasdepage"/>
      </w:pPr>
      <w:r>
        <w:tab/>
      </w:r>
      <w:r>
        <w:rPr>
          <w:rStyle w:val="Appelnotedebasdep"/>
        </w:rPr>
        <w:footnoteRef/>
      </w:r>
      <w:r>
        <w:tab/>
      </w:r>
      <w:r w:rsidRPr="00D25EA8">
        <w:t>Biffer ce qui ne convient pas (il peut ne rien y avoir à biffer lorsqu’il y a plus d’une réponse possible).</w:t>
      </w:r>
    </w:p>
  </w:footnote>
  <w:footnote w:id="32">
    <w:p w:rsidR="00DB4C2D" w:rsidRDefault="00DB4C2D">
      <w:pPr>
        <w:pStyle w:val="Notedebasdepage"/>
      </w:pPr>
      <w:r>
        <w:tab/>
      </w:r>
      <w:r>
        <w:rPr>
          <w:rStyle w:val="Appelnotedebasdep"/>
        </w:rPr>
        <w:footnoteRef/>
      </w:r>
      <w:r>
        <w:tab/>
      </w:r>
      <w:r w:rsidRPr="00DC1D5A">
        <w:rPr>
          <w:szCs w:val="18"/>
        </w:rPr>
        <w:t>Dans le cas des véhicules équipés d</w:t>
      </w:r>
      <w:r>
        <w:rPr>
          <w:szCs w:val="18"/>
        </w:rPr>
        <w:t>’</w:t>
      </w:r>
      <w:r w:rsidRPr="00DC1D5A">
        <w:rPr>
          <w:szCs w:val="18"/>
        </w:rPr>
        <w:t>une boîte de vitesses automatique, donner tous les</w:t>
      </w:r>
      <w:r>
        <w:rPr>
          <w:szCs w:val="18"/>
        </w:rPr>
        <w:t> </w:t>
      </w:r>
      <w:r w:rsidRPr="00DC1D5A">
        <w:rPr>
          <w:szCs w:val="18"/>
        </w:rPr>
        <w:t>renseignements techniques utiles</w:t>
      </w:r>
      <w:r>
        <w:rPr>
          <w:szCs w:val="18"/>
        </w:rPr>
        <w:t>.</w:t>
      </w:r>
    </w:p>
  </w:footnote>
  <w:footnote w:id="33">
    <w:p w:rsidR="00DB4C2D" w:rsidRDefault="00DB4C2D">
      <w:pPr>
        <w:pStyle w:val="Notedebasdepage"/>
      </w:pPr>
      <w:r>
        <w:tab/>
      </w:r>
      <w:r>
        <w:rPr>
          <w:rStyle w:val="Appelnotedebasdep"/>
        </w:rPr>
        <w:footnoteRef/>
      </w:r>
      <w:r>
        <w:tab/>
      </w:r>
      <w:r w:rsidRPr="00DC1D5A">
        <w:rPr>
          <w:szCs w:val="18"/>
        </w:rPr>
        <w:t>Si le moyen d</w:t>
      </w:r>
      <w:r>
        <w:rPr>
          <w:szCs w:val="18"/>
        </w:rPr>
        <w:t>’</w:t>
      </w:r>
      <w:r w:rsidRPr="00DC1D5A">
        <w:rPr>
          <w:szCs w:val="18"/>
        </w:rPr>
        <w:t>identification du type contient des caractères n</w:t>
      </w:r>
      <w:r>
        <w:rPr>
          <w:szCs w:val="18"/>
        </w:rPr>
        <w:t>’</w:t>
      </w:r>
      <w:r w:rsidRPr="00DC1D5A">
        <w:rPr>
          <w:szCs w:val="18"/>
        </w:rPr>
        <w:t>intéressant pas la description des types de véhicules, de composants ou d</w:t>
      </w:r>
      <w:r>
        <w:rPr>
          <w:szCs w:val="18"/>
        </w:rPr>
        <w:t>’</w:t>
      </w:r>
      <w:r w:rsidRPr="00DC1D5A">
        <w:rPr>
          <w:szCs w:val="18"/>
        </w:rPr>
        <w:t>entité technique distincte couverts par la présente fiche de renseignements, ces caractères doivent être remplacés par le symbole «</w:t>
      </w:r>
      <w:r>
        <w:rPr>
          <w:szCs w:val="18"/>
        </w:rPr>
        <w:t>?» dans la documentation (par </w:t>
      </w:r>
      <w:r w:rsidRPr="00DC1D5A">
        <w:rPr>
          <w:szCs w:val="18"/>
        </w:rPr>
        <w:t>exemple ABC??123??).</w:t>
      </w:r>
    </w:p>
  </w:footnote>
  <w:footnote w:id="34">
    <w:p w:rsidR="00DB4C2D" w:rsidRDefault="00DB4C2D">
      <w:pPr>
        <w:pStyle w:val="Notedebasdepage"/>
      </w:pPr>
      <w:r>
        <w:tab/>
      </w:r>
      <w:r>
        <w:rPr>
          <w:rStyle w:val="Appelnotedebasdep"/>
        </w:rPr>
        <w:footnoteRef/>
      </w:r>
      <w:r>
        <w:tab/>
      </w:r>
      <w:r w:rsidRPr="00423DA9">
        <w:t>V</w:t>
      </w:r>
      <w:r w:rsidRPr="00423DA9">
        <w:rPr>
          <w:rFonts w:hint="eastAsia"/>
        </w:rPr>
        <w:t>é</w:t>
      </w:r>
      <w:r w:rsidRPr="00423DA9">
        <w:t xml:space="preserve">hicules </w:t>
      </w:r>
      <w:r w:rsidRPr="00423DA9">
        <w:rPr>
          <w:rFonts w:hint="eastAsia"/>
        </w:rPr>
        <w:t>é</w:t>
      </w:r>
      <w:r w:rsidRPr="00423DA9">
        <w:t>quip</w:t>
      </w:r>
      <w:r w:rsidRPr="00423DA9">
        <w:rPr>
          <w:rFonts w:hint="eastAsia"/>
        </w:rPr>
        <w:t>é</w:t>
      </w:r>
      <w:r w:rsidRPr="00423DA9">
        <w:t>s d</w:t>
      </w:r>
      <w:r>
        <w:t>'</w:t>
      </w:r>
      <w:r w:rsidRPr="00423DA9">
        <w:t xml:space="preserve">un moteur </w:t>
      </w:r>
      <w:r w:rsidRPr="00423DA9">
        <w:rPr>
          <w:rFonts w:hint="eastAsia"/>
        </w:rPr>
        <w:t>à</w:t>
      </w:r>
      <w:r w:rsidRPr="00423DA9">
        <w:t xml:space="preserve"> allumage par compression</w:t>
      </w:r>
      <w:r>
        <w:t>.</w:t>
      </w:r>
    </w:p>
  </w:footnote>
  <w:footnote w:id="35">
    <w:p w:rsidR="00DB4C2D" w:rsidRDefault="00DB4C2D">
      <w:pPr>
        <w:pStyle w:val="Notedebasdepage"/>
      </w:pPr>
      <w:r>
        <w:tab/>
      </w:r>
      <w:r>
        <w:rPr>
          <w:rStyle w:val="Appelnotedebasdep"/>
        </w:rPr>
        <w:footnoteRef/>
      </w:r>
      <w:r>
        <w:tab/>
      </w:r>
      <w:r w:rsidRPr="00423DA9">
        <w:t>V</w:t>
      </w:r>
      <w:r w:rsidRPr="00423DA9">
        <w:rPr>
          <w:rFonts w:hint="eastAsia"/>
        </w:rPr>
        <w:t>é</w:t>
      </w:r>
      <w:r w:rsidRPr="00423DA9">
        <w:t xml:space="preserve">hicules </w:t>
      </w:r>
      <w:r w:rsidRPr="00423DA9">
        <w:rPr>
          <w:rFonts w:hint="eastAsia"/>
        </w:rPr>
        <w:t>é</w:t>
      </w:r>
      <w:r w:rsidRPr="00423DA9">
        <w:t>quip</w:t>
      </w:r>
      <w:r w:rsidRPr="00423DA9">
        <w:rPr>
          <w:rFonts w:hint="eastAsia"/>
        </w:rPr>
        <w:t>é</w:t>
      </w:r>
      <w:r w:rsidRPr="00423DA9">
        <w:t>s d</w:t>
      </w:r>
      <w:r>
        <w:t>'</w:t>
      </w:r>
      <w:r w:rsidRPr="00423DA9">
        <w:t xml:space="preserve">un moteur </w:t>
      </w:r>
      <w:r w:rsidRPr="00423DA9">
        <w:rPr>
          <w:rFonts w:hint="eastAsia"/>
        </w:rPr>
        <w:t>à</w:t>
      </w:r>
      <w:r w:rsidRPr="00423DA9">
        <w:t xml:space="preserve"> allumage </w:t>
      </w:r>
      <w:r>
        <w:t>c</w:t>
      </w:r>
      <w:r w:rsidRPr="00423DA9">
        <w:t>ommand</w:t>
      </w:r>
      <w:r w:rsidRPr="00423DA9">
        <w:rPr>
          <w:rFonts w:hint="eastAsia"/>
        </w:rPr>
        <w:t>é</w:t>
      </w:r>
      <w:r>
        <w:t>.</w:t>
      </w:r>
    </w:p>
  </w:footnote>
  <w:footnote w:id="36">
    <w:p w:rsidR="00DB4C2D" w:rsidRDefault="00DB4C2D">
      <w:pPr>
        <w:pStyle w:val="Notedebasdepage"/>
      </w:pPr>
      <w:r>
        <w:tab/>
      </w:r>
      <w:r>
        <w:rPr>
          <w:rStyle w:val="Appelnotedebasdep"/>
        </w:rPr>
        <w:footnoteRef/>
      </w:r>
      <w:r>
        <w:tab/>
      </w:r>
      <w:r w:rsidRPr="001E5B13">
        <w:rPr>
          <w:rStyle w:val="SingleTxtGChar"/>
          <w:szCs w:val="18"/>
          <w:lang w:val="fr-FR"/>
        </w:rPr>
        <w:t>L’essai de mesure de l’opacité des fumées doit être réalisé selon les dispositions énoncées dans</w:t>
      </w:r>
      <w:r>
        <w:rPr>
          <w:rStyle w:val="SingleTxtGChar"/>
          <w:szCs w:val="18"/>
          <w:lang w:val="fr-FR"/>
        </w:rPr>
        <w:t> </w:t>
      </w:r>
      <w:r w:rsidRPr="001E5B13">
        <w:rPr>
          <w:rStyle w:val="SingleTxtGChar"/>
          <w:szCs w:val="18"/>
          <w:lang w:val="fr-FR"/>
        </w:rPr>
        <w:t>le</w:t>
      </w:r>
      <w:r>
        <w:rPr>
          <w:rStyle w:val="SingleTxtGChar"/>
          <w:szCs w:val="18"/>
          <w:lang w:val="fr-FR"/>
        </w:rPr>
        <w:t> </w:t>
      </w:r>
      <w:r w:rsidRPr="001E5B13">
        <w:rPr>
          <w:rStyle w:val="SingleTxtGChar"/>
          <w:szCs w:val="18"/>
          <w:lang w:val="fr-FR"/>
        </w:rPr>
        <w:t xml:space="preserve">Règlement </w:t>
      </w:r>
      <w:r w:rsidRPr="0032769B">
        <w:rPr>
          <w:rStyle w:val="SingleTxtGChar"/>
          <w:rFonts w:eastAsia="MS Mincho"/>
          <w:szCs w:val="18"/>
          <w:lang w:val="fr-FR"/>
        </w:rPr>
        <w:t>n</w:t>
      </w:r>
      <w:r w:rsidRPr="0032769B">
        <w:rPr>
          <w:rStyle w:val="SingleTxtGChar"/>
          <w:rFonts w:eastAsia="MS Mincho"/>
          <w:szCs w:val="18"/>
          <w:vertAlign w:val="superscript"/>
          <w:lang w:val="fr-FR"/>
        </w:rPr>
        <w:t>o</w:t>
      </w:r>
      <w:r>
        <w:rPr>
          <w:rStyle w:val="SingleTxtGChar"/>
          <w:rFonts w:eastAsia="MS Mincho"/>
          <w:szCs w:val="18"/>
          <w:lang w:val="fr-FR"/>
        </w:rPr>
        <w:t> </w:t>
      </w:r>
      <w:r w:rsidRPr="001E5B13">
        <w:rPr>
          <w:rStyle w:val="SingleTxtGChar"/>
          <w:szCs w:val="18"/>
          <w:lang w:val="fr-FR"/>
        </w:rPr>
        <w:t>24</w:t>
      </w:r>
      <w:r>
        <w:rPr>
          <w:rStyle w:val="SingleTxtGChar"/>
          <w:szCs w:val="18"/>
          <w:lang w:val="fr-FR"/>
        </w:rPr>
        <w:t>.</w:t>
      </w:r>
    </w:p>
  </w:footnote>
  <w:footnote w:id="37">
    <w:p w:rsidR="00DB4C2D" w:rsidRDefault="00DB4C2D">
      <w:pPr>
        <w:pStyle w:val="Notedebasdepage"/>
      </w:pPr>
      <w:r>
        <w:tab/>
      </w:r>
      <w:r>
        <w:rPr>
          <w:rStyle w:val="Appelnotedebasdep"/>
        </w:rPr>
        <w:footnoteRef/>
      </w:r>
      <w:r>
        <w:tab/>
      </w:r>
      <w:r w:rsidRPr="009846A3">
        <w:t>Numéro du pays selon la note de bas</w:t>
      </w:r>
      <w:r>
        <w:t xml:space="preserve"> de page figurant au paragraphe </w:t>
      </w:r>
      <w:r w:rsidRPr="009846A3">
        <w:t>4.4.1 du présent Règlement.</w:t>
      </w:r>
    </w:p>
  </w:footnote>
  <w:footnote w:id="38">
    <w:p w:rsidR="00DB4C2D" w:rsidRDefault="00DB4C2D">
      <w:pPr>
        <w:pStyle w:val="Notedebasdepage"/>
      </w:pPr>
      <w:r>
        <w:tab/>
      </w:r>
      <w:r>
        <w:rPr>
          <w:rStyle w:val="Appelnotedebasdep"/>
        </w:rPr>
        <w:footnoteRef/>
      </w:r>
      <w:r>
        <w:tab/>
      </w:r>
      <w:r>
        <w:rPr>
          <w:szCs w:val="18"/>
        </w:rPr>
        <w:t>Selon le tableau </w:t>
      </w:r>
      <w:r w:rsidRPr="000F43F3">
        <w:rPr>
          <w:szCs w:val="18"/>
        </w:rPr>
        <w:t>A3/1 de la présente annexe.</w:t>
      </w:r>
    </w:p>
  </w:footnote>
  <w:footnote w:id="39">
    <w:p w:rsidR="00DB4C2D" w:rsidRDefault="00DB4C2D">
      <w:pPr>
        <w:pStyle w:val="Notedebasdepage"/>
      </w:pPr>
      <w:r>
        <w:tab/>
      </w:r>
      <w:r>
        <w:rPr>
          <w:rStyle w:val="Appelnotedebasdep"/>
        </w:rPr>
        <w:footnoteRef/>
      </w:r>
      <w:r>
        <w:tab/>
      </w:r>
      <w:r w:rsidRPr="004C7820">
        <w:t xml:space="preserve">On trouvera à l’adresse suivante des exemples de méthodes d’étalonnage/validation: </w:t>
      </w:r>
      <w:hyperlink r:id="rId3" w:history="1">
        <w:r w:rsidRPr="004C7820">
          <w:rPr>
            <w:rStyle w:val="Lienhypertexte"/>
            <w:color w:val="auto"/>
          </w:rPr>
          <w:t>http://www.unece.org/trans/main/wp29/wp29wgs/wp29grpe/pmpFCP.html</w:t>
        </w:r>
      </w:hyperlink>
      <w:r w:rsidRPr="004C7820">
        <w:t>.</w:t>
      </w:r>
    </w:p>
  </w:footnote>
  <w:footnote w:id="40">
    <w:p w:rsidR="00DB4C2D" w:rsidRDefault="00DB4C2D">
      <w:pPr>
        <w:pStyle w:val="Notedebasdepage"/>
      </w:pPr>
      <w:r>
        <w:tab/>
      </w:r>
      <w:r>
        <w:rPr>
          <w:rStyle w:val="Appelnotedebasdep"/>
        </w:rPr>
        <w:footnoteRef/>
      </w:r>
      <w:r>
        <w:tab/>
      </w:r>
      <w:r w:rsidRPr="00AE6AFC">
        <w:t>Pour les véhicules électriques hybrides et en attendant que des dispositions techniques uniformes aient été adoptées, le constructeur s’entend avec le service technique sur l’état du véhicule pour l’exécution de l’essai défini dans le présent appendice.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F963D4" w:rsidRDefault="00DB4C2D">
    <w:pPr>
      <w:pStyle w:val="En-tte"/>
    </w:pPr>
    <w:r>
      <w:t>E/ECE/324/Rev.1/Add.82/Rev.5</w:t>
    </w:r>
    <w:r>
      <w:br/>
      <w:t>E/ECE/TRANS/505/Rev.1/Add.82/Rev.5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t>Appendice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Appendice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t>Appendice 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Appendice 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t>Appendice 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Appendice 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0AC" w:rsidRPr="00B55162" w:rsidRDefault="00A370AC" w:rsidP="00B55162">
    <w:pPr>
      <w:pStyle w:val="En-tte"/>
      <w:jc w:val="right"/>
    </w:pPr>
    <w:r>
      <w:t>E/ECE/324/Rev.1/Add.82/Rev.5</w:t>
    </w:r>
    <w:r>
      <w:br/>
      <w:t>E/ECE/TRANS/505/Rev.1/Add.82/Rev.5</w:t>
    </w:r>
    <w:r>
      <w:br/>
      <w:t>Appendice 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Appendice 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r>
    <w:r w:rsidR="00850D3A">
      <w:t>Appendice 6</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Annexe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F963D4" w:rsidRDefault="00DB4C2D" w:rsidP="00F963D4">
    <w:pPr>
      <w:pStyle w:val="En-tte"/>
      <w:jc w:val="right"/>
    </w:pPr>
    <w:r>
      <w:t>E/ECE/324/Rev.1/Add.82/Rev.5</w:t>
    </w:r>
    <w:r>
      <w:br/>
      <w:t>E/ECE/TRANS/505/Rev.1/Add.82/Rev.5</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t>Annexe 1</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Annexe 1 − Appendice 1</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t>Annexe 1 − Appendice 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Annexe 2</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t>Annexe 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A47" w:rsidRPr="00B55162" w:rsidRDefault="00645A47" w:rsidP="00B55162">
    <w:pPr>
      <w:pStyle w:val="En-tte"/>
    </w:pPr>
    <w:r>
      <w:t>E/ECE/324/Rev.1/Add.82/Rev.5</w:t>
    </w:r>
    <w:r>
      <w:br/>
      <w:t>E/ECE/TRANS/505/Rev.1/Add.82/Rev.5</w:t>
    </w:r>
    <w:r>
      <w:br/>
      <w:t>Annexe 2 − Additif</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A47" w:rsidRPr="00B55162" w:rsidRDefault="00645A47" w:rsidP="00B55162">
    <w:pPr>
      <w:pStyle w:val="En-tte"/>
      <w:jc w:val="right"/>
    </w:pPr>
    <w:r>
      <w:t>E/ECE/324/Rev.1/Add.82/Rev.5</w:t>
    </w:r>
    <w:r>
      <w:br/>
      <w:t>E/ECE/TRANS/505/Rev.1/Add.82/Rev.5</w:t>
    </w:r>
    <w:r>
      <w:br/>
      <w:t>Annexe 2 − Additif</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Annexe 2 − Appendice 1</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35" w:rsidRPr="00B55162" w:rsidRDefault="00A27235" w:rsidP="00B55162">
    <w:pPr>
      <w:pStyle w:val="En-tte"/>
      <w:jc w:val="right"/>
    </w:pPr>
    <w:r>
      <w:t>E/ECE/324/Rev.1/Add.82/Rev.5</w:t>
    </w:r>
    <w:r>
      <w:br/>
      <w:t>E/ECE/TRANS/505/Rev.1/Add.82/Rev.5</w:t>
    </w:r>
    <w:r>
      <w:br/>
      <w:t>Annexe 2 − Appendice 1</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235" w:rsidRPr="00B55162" w:rsidRDefault="00A27235" w:rsidP="00B55162">
    <w:pPr>
      <w:pStyle w:val="En-tte"/>
    </w:pPr>
    <w:r>
      <w:t>E/ECE/324/Rev.1/Add.82/Rev.5</w:t>
    </w:r>
    <w:r>
      <w:br/>
      <w:t>E/ECE/TRANS/505/Rev.1/Add.82/Rev.5</w:t>
    </w:r>
    <w:r>
      <w:br/>
      <w:t>Annexe 2 − Appendice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3401F1" w:rsidRDefault="009D55DD" w:rsidP="003401F1">
    <w:r>
      <w:rPr>
        <w:noProof/>
        <w:lang w:val="en-US"/>
      </w:rPr>
      <mc:AlternateContent>
        <mc:Choice Requires="wps">
          <w:drawing>
            <wp:anchor distT="0" distB="0" distL="114300" distR="114300" simplePos="0" relativeHeight="251657216" behindDoc="0" locked="0" layoutInCell="1" allowOverlap="1">
              <wp:simplePos x="0" y="0"/>
              <wp:positionH relativeFrom="page">
                <wp:posOffset>9791700</wp:posOffset>
              </wp:positionH>
              <wp:positionV relativeFrom="margin">
                <wp:posOffset>0</wp:posOffset>
              </wp:positionV>
              <wp:extent cx="360045" cy="6120130"/>
              <wp:effectExtent l="0" t="0" r="1905" b="444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C2D" w:rsidRPr="00F963D4" w:rsidRDefault="00DB4C2D" w:rsidP="00537B8B">
                          <w:pPr>
                            <w:pStyle w:val="En-tte"/>
                          </w:pPr>
                          <w:r>
                            <w:t>E/ECE/324/Rev.1/Add.82/Rev.5</w:t>
                          </w:r>
                          <w:r>
                            <w:br/>
                            <w:t>E/ECE/TRANS/505/Rev.1/Add.82/Rev.5</w:t>
                          </w:r>
                        </w:p>
                        <w:p w:rsidR="00DB4C2D" w:rsidRDefault="00DB4C2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71pt;margin-top:0;width:28.35pt;height:48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" stroked="f">
              <v:fill opacity="0"/>
              <v:textbox style="layout-flow:vertical" inset="0,0,0,0">
                <w:txbxContent>
                  <w:p w:rsidR="00DB4C2D" w:rsidRPr="00F963D4" w:rsidRDefault="00DB4C2D" w:rsidP="00537B8B">
                    <w:pPr>
                      <w:pStyle w:val="En-tte"/>
                    </w:pPr>
                    <w:r>
                      <w:t>E/ECE/324/Rev.1/Add.82/Rev.5</w:t>
                    </w:r>
                    <w:r>
                      <w:br/>
                      <w:t>E/ECE/TRANS/505/Rev.1/Add.82/Rev.5</w:t>
                    </w:r>
                  </w:p>
                  <w:p w:rsidR="00DB4C2D" w:rsidRDefault="00DB4C2D"/>
                </w:txbxContent>
              </v:textbox>
              <w10:wrap anchorx="page" anchory="margin"/>
            </v:shape>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margin">
                <wp:posOffset>-431800</wp:posOffset>
              </wp:positionH>
              <wp:positionV relativeFrom="margin">
                <wp:posOffset>0</wp:posOffset>
              </wp:positionV>
              <wp:extent cx="215900" cy="6120130"/>
              <wp:effectExtent l="6350" t="0" r="6350" b="444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C2D" w:rsidRPr="00F963D4" w:rsidRDefault="00DB4C2D" w:rsidP="003401F1">
                          <w:pPr>
                            <w:pStyle w:val="Pieddepage"/>
                            <w:tabs>
                              <w:tab w:val="right" w:pos="9638"/>
                            </w:tabs>
                          </w:pPr>
                          <w:r w:rsidRPr="00F963D4">
                            <w:rPr>
                              <w:b/>
                              <w:sz w:val="18"/>
                            </w:rPr>
                            <w:fldChar w:fldCharType="begin"/>
                          </w:r>
                          <w:r w:rsidRPr="00F963D4">
                            <w:rPr>
                              <w:b/>
                              <w:sz w:val="18"/>
                            </w:rPr>
                            <w:instrText xml:space="preserve"> PAGE  \* MERGEFORMAT </w:instrText>
                          </w:r>
                          <w:r w:rsidRPr="00F963D4">
                            <w:rPr>
                              <w:b/>
                              <w:sz w:val="18"/>
                            </w:rPr>
                            <w:fldChar w:fldCharType="separate"/>
                          </w:r>
                          <w:r w:rsidR="004747BB">
                            <w:rPr>
                              <w:b/>
                              <w:noProof/>
                              <w:sz w:val="18"/>
                            </w:rPr>
                            <w:t>22</w:t>
                          </w:r>
                          <w:r w:rsidRPr="00F963D4">
                            <w:rPr>
                              <w:b/>
                              <w:sz w:val="18"/>
                            </w:rPr>
                            <w:fldChar w:fldCharType="end"/>
                          </w:r>
                          <w:r>
                            <w:rPr>
                              <w:b/>
                              <w:sz w:val="18"/>
                            </w:rPr>
                            <w:tab/>
                          </w:r>
                          <w:r>
                            <w:t>GE.15-01789</w:t>
                          </w:r>
                        </w:p>
                        <w:p w:rsidR="00DB4C2D" w:rsidRDefault="00DB4C2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4pt;margin-top:0;width:17pt;height:48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" stroked="f">
              <v:fill opacity="0"/>
              <v:textbox style="layout-flow:vertical" inset="0,0,0,0">
                <w:txbxContent>
                  <w:p w:rsidR="00DB4C2D" w:rsidRPr="00F963D4" w:rsidRDefault="00DB4C2D" w:rsidP="003401F1">
                    <w:pPr>
                      <w:pStyle w:val="Pieddepage"/>
                      <w:tabs>
                        <w:tab w:val="right" w:pos="9638"/>
                      </w:tabs>
                    </w:pPr>
                    <w:r w:rsidRPr="00F963D4">
                      <w:rPr>
                        <w:b/>
                        <w:sz w:val="18"/>
                      </w:rPr>
                      <w:fldChar w:fldCharType="begin"/>
                    </w:r>
                    <w:r w:rsidRPr="00F963D4">
                      <w:rPr>
                        <w:b/>
                        <w:sz w:val="18"/>
                      </w:rPr>
                      <w:instrText xml:space="preserve"> PAGE  \* MERGEFORMAT </w:instrText>
                    </w:r>
                    <w:r w:rsidRPr="00F963D4">
                      <w:rPr>
                        <w:b/>
                        <w:sz w:val="18"/>
                      </w:rPr>
                      <w:fldChar w:fldCharType="separate"/>
                    </w:r>
                    <w:r w:rsidR="004747BB">
                      <w:rPr>
                        <w:b/>
                        <w:noProof/>
                        <w:sz w:val="18"/>
                      </w:rPr>
                      <w:t>22</w:t>
                    </w:r>
                    <w:r w:rsidRPr="00F963D4">
                      <w:rPr>
                        <w:b/>
                        <w:sz w:val="18"/>
                      </w:rPr>
                      <w:fldChar w:fldCharType="end"/>
                    </w:r>
                    <w:r>
                      <w:rPr>
                        <w:b/>
                        <w:sz w:val="18"/>
                      </w:rPr>
                      <w:tab/>
                    </w:r>
                    <w:r>
                      <w:t>GE.15-01789</w:t>
                    </w:r>
                  </w:p>
                  <w:p w:rsidR="00DB4C2D" w:rsidRDefault="00DB4C2D"/>
                </w:txbxContent>
              </v:textbox>
              <w10:wrap anchorx="margin" anchory="margin"/>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t>Annexe 2 − Appendice 2</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Annexe 3</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t>Annexe 3</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Annexe 4a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t>Annexe 4a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42860" w:rsidRDefault="009D55DD" w:rsidP="00142860">
    <w:r>
      <w:rPr>
        <w:noProof/>
        <w:lang w:val="en-US"/>
      </w:rPr>
      <mc:AlternateContent>
        <mc:Choice Requires="wps">
          <w:drawing>
            <wp:anchor distT="0" distB="0" distL="114300" distR="114300" simplePos="0" relativeHeight="251659264" behindDoc="0" locked="0" layoutInCell="1" allowOverlap="1">
              <wp:simplePos x="0" y="0"/>
              <wp:positionH relativeFrom="page">
                <wp:posOffset>9791700</wp:posOffset>
              </wp:positionH>
              <wp:positionV relativeFrom="margin">
                <wp:posOffset>0</wp:posOffset>
              </wp:positionV>
              <wp:extent cx="504190" cy="6120130"/>
              <wp:effectExtent l="0" t="0" r="635"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C2D" w:rsidRPr="00B55162" w:rsidRDefault="00DB4C2D" w:rsidP="00537B8B">
                          <w:pPr>
                            <w:pStyle w:val="En-tte"/>
                          </w:pPr>
                          <w:r>
                            <w:t>E/ECE/324/Rev.1/Add.82/Rev.5</w:t>
                          </w:r>
                          <w:r>
                            <w:br/>
                            <w:t>E/ECE/TRANS/505/Rev.1/Add.82/Rev.5</w:t>
                          </w:r>
                          <w:r>
                            <w:br/>
                            <w:t>Annexe 4a</w:t>
                          </w:r>
                        </w:p>
                        <w:p w:rsidR="00DB4C2D" w:rsidRDefault="00DB4C2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771pt;margin-top:0;width:39.7pt;height:48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" stroked="f">
              <v:fill opacity="0"/>
              <v:textbox style="layout-flow:vertical" inset="0,0,0,0">
                <w:txbxContent>
                  <w:p w:rsidR="00DB4C2D" w:rsidRPr="00B55162" w:rsidRDefault="00DB4C2D" w:rsidP="00537B8B">
                    <w:pPr>
                      <w:pStyle w:val="En-tte"/>
                    </w:pPr>
                    <w:r>
                      <w:t>E/ECE/324/Rev.1/Add.82/Rev.5</w:t>
                    </w:r>
                    <w:r>
                      <w:br/>
                      <w:t>E/ECE/TRANS/505/Rev.1/Add.82/Rev.5</w:t>
                    </w:r>
                    <w:r>
                      <w:br/>
                      <w:t>Annexe 4a</w:t>
                    </w:r>
                  </w:p>
                  <w:p w:rsidR="00DB4C2D" w:rsidRDefault="00DB4C2D"/>
                </w:txbxContent>
              </v:textbox>
              <w10:wrap anchorx="page" anchory="margin"/>
            </v:shape>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margin">
                <wp:posOffset>-431800</wp:posOffset>
              </wp:positionH>
              <wp:positionV relativeFrom="margin">
                <wp:posOffset>0</wp:posOffset>
              </wp:positionV>
              <wp:extent cx="215900" cy="6120130"/>
              <wp:effectExtent l="6350" t="0" r="6350" b="444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C2D" w:rsidRPr="00B55162" w:rsidRDefault="00DB4C2D" w:rsidP="00142860">
                          <w:pPr>
                            <w:pStyle w:val="Pieddepage"/>
                            <w:tabs>
                              <w:tab w:val="right" w:pos="9638"/>
                            </w:tabs>
                            <w:rPr>
                              <w:b/>
                              <w:sz w:val="18"/>
                            </w:rPr>
                          </w:pPr>
                          <w:r w:rsidRPr="00B55162">
                            <w:rPr>
                              <w:b/>
                              <w:sz w:val="18"/>
                            </w:rPr>
                            <w:fldChar w:fldCharType="begin"/>
                          </w:r>
                          <w:r w:rsidRPr="00B55162">
                            <w:rPr>
                              <w:b/>
                              <w:sz w:val="18"/>
                            </w:rPr>
                            <w:instrText xml:space="preserve"> PAGE  \* MERGEFORMAT </w:instrText>
                          </w:r>
                          <w:r w:rsidRPr="00B55162">
                            <w:rPr>
                              <w:b/>
                              <w:sz w:val="18"/>
                            </w:rPr>
                            <w:fldChar w:fldCharType="separate"/>
                          </w:r>
                          <w:r w:rsidR="00174210">
                            <w:rPr>
                              <w:b/>
                              <w:noProof/>
                              <w:sz w:val="18"/>
                            </w:rPr>
                            <w:t>116</w:t>
                          </w:r>
                          <w:r w:rsidRPr="00B55162">
                            <w:rPr>
                              <w:b/>
                              <w:sz w:val="18"/>
                            </w:rPr>
                            <w:fldChar w:fldCharType="end"/>
                          </w:r>
                          <w:r>
                            <w:tab/>
                            <w:t>GE.15-</w:t>
                          </w:r>
                          <w:r w:rsidRPr="00B55162">
                            <w:t>0178</w:t>
                          </w:r>
                          <w:r>
                            <w:t>9</w:t>
                          </w:r>
                        </w:p>
                        <w:p w:rsidR="00DB4C2D" w:rsidRDefault="00DB4C2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4pt;margin-top:0;width:17pt;height:48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" stroked="f">
              <v:fill opacity="0"/>
              <v:textbox style="layout-flow:vertical" inset="0,0,0,0">
                <w:txbxContent>
                  <w:p w:rsidR="00DB4C2D" w:rsidRPr="00B55162" w:rsidRDefault="00DB4C2D" w:rsidP="00142860">
                    <w:pPr>
                      <w:pStyle w:val="Pieddepage"/>
                      <w:tabs>
                        <w:tab w:val="right" w:pos="9638"/>
                      </w:tabs>
                      <w:rPr>
                        <w:b/>
                        <w:sz w:val="18"/>
                      </w:rPr>
                    </w:pPr>
                    <w:r w:rsidRPr="00B55162">
                      <w:rPr>
                        <w:b/>
                        <w:sz w:val="18"/>
                      </w:rPr>
                      <w:fldChar w:fldCharType="begin"/>
                    </w:r>
                    <w:r w:rsidRPr="00B55162">
                      <w:rPr>
                        <w:b/>
                        <w:sz w:val="18"/>
                      </w:rPr>
                      <w:instrText xml:space="preserve"> PAGE  \* MERGEFORMAT </w:instrText>
                    </w:r>
                    <w:r w:rsidRPr="00B55162">
                      <w:rPr>
                        <w:b/>
                        <w:sz w:val="18"/>
                      </w:rPr>
                      <w:fldChar w:fldCharType="separate"/>
                    </w:r>
                    <w:r w:rsidR="00174210">
                      <w:rPr>
                        <w:b/>
                        <w:noProof/>
                        <w:sz w:val="18"/>
                      </w:rPr>
                      <w:t>116</w:t>
                    </w:r>
                    <w:r w:rsidRPr="00B55162">
                      <w:rPr>
                        <w:b/>
                        <w:sz w:val="18"/>
                      </w:rPr>
                      <w:fldChar w:fldCharType="end"/>
                    </w:r>
                    <w:r>
                      <w:tab/>
                      <w:t>GE.15-</w:t>
                    </w:r>
                    <w:r w:rsidRPr="00B55162">
                      <w:t>0178</w:t>
                    </w:r>
                    <w:r>
                      <w:t>9</w:t>
                    </w:r>
                  </w:p>
                  <w:p w:rsidR="00DB4C2D" w:rsidRDefault="00DB4C2D"/>
                </w:txbxContent>
              </v:textbox>
              <w10:wrap anchorx="margin" anchory="margin"/>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42860" w:rsidRDefault="009D55DD" w:rsidP="00142860">
    <w:r>
      <w:rPr>
        <w:noProof/>
        <w:lang w:val="en-US"/>
      </w:rPr>
      <mc:AlternateContent>
        <mc:Choice Requires="wps">
          <w:drawing>
            <wp:anchor distT="0" distB="0" distL="114300" distR="114300" simplePos="0" relativeHeight="251661312" behindDoc="0" locked="0" layoutInCell="1" allowOverlap="1">
              <wp:simplePos x="0" y="0"/>
              <wp:positionH relativeFrom="page">
                <wp:posOffset>9791700</wp:posOffset>
              </wp:positionH>
              <wp:positionV relativeFrom="margin">
                <wp:posOffset>0</wp:posOffset>
              </wp:positionV>
              <wp:extent cx="504190" cy="6120130"/>
              <wp:effectExtent l="0" t="0" r="635" b="444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C2D" w:rsidRPr="00B55162" w:rsidRDefault="00DB4C2D" w:rsidP="00142860">
                          <w:pPr>
                            <w:pStyle w:val="En-tte"/>
                            <w:jc w:val="right"/>
                          </w:pPr>
                          <w:r>
                            <w:t>E/ECE/324/Rev.1/Add.82/Rev.5</w:t>
                          </w:r>
                          <w:r>
                            <w:br/>
                            <w:t>E/ECE/TRANS/505/Rev.1/Add.82/Rev.5</w:t>
                          </w:r>
                          <w:r>
                            <w:br/>
                            <w:t>Annexe 4a</w:t>
                          </w:r>
                        </w:p>
                        <w:p w:rsidR="00DB4C2D" w:rsidRDefault="00DB4C2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margin-left:771pt;margin-top:0;width:39.7pt;height:48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" stroked="f">
              <v:fill opacity="0"/>
              <v:textbox style="layout-flow:vertical" inset="0,0,0,0">
                <w:txbxContent>
                  <w:p w:rsidR="00DB4C2D" w:rsidRPr="00B55162" w:rsidRDefault="00DB4C2D" w:rsidP="00142860">
                    <w:pPr>
                      <w:pStyle w:val="En-tte"/>
                      <w:jc w:val="right"/>
                    </w:pPr>
                    <w:r>
                      <w:t>E/ECE/324/Rev.1/Add.82/Rev.5</w:t>
                    </w:r>
                    <w:r>
                      <w:br/>
                      <w:t>E/ECE/TRANS/505/Rev.1/Add.82/Rev.5</w:t>
                    </w:r>
                    <w:r>
                      <w:br/>
                      <w:t>Annexe 4a</w:t>
                    </w:r>
                  </w:p>
                  <w:p w:rsidR="00DB4C2D" w:rsidRDefault="00DB4C2D"/>
                </w:txbxContent>
              </v:textbox>
              <w10:wrap anchorx="page" anchory="margin"/>
            </v:shap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margin">
                <wp:posOffset>-431800</wp:posOffset>
              </wp:positionH>
              <wp:positionV relativeFrom="margin">
                <wp:posOffset>0</wp:posOffset>
              </wp:positionV>
              <wp:extent cx="215900" cy="6120130"/>
              <wp:effectExtent l="6350" t="0" r="6350" b="444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C2D" w:rsidRPr="00B55162" w:rsidRDefault="00DB4C2D" w:rsidP="00142860">
                          <w:pPr>
                            <w:pStyle w:val="Pieddepage"/>
                            <w:tabs>
                              <w:tab w:val="right" w:pos="9638"/>
                            </w:tabs>
                            <w:rPr>
                              <w:b/>
                              <w:sz w:val="18"/>
                            </w:rPr>
                          </w:pPr>
                          <w:r>
                            <w:t>GE.</w:t>
                          </w:r>
                          <w:r w:rsidRPr="00B55162">
                            <w:t>15</w:t>
                          </w:r>
                          <w:r>
                            <w:t>-</w:t>
                          </w:r>
                          <w:r w:rsidRPr="00B55162">
                            <w:t>0178</w:t>
                          </w:r>
                          <w:r>
                            <w:t>9</w:t>
                          </w:r>
                          <w:r>
                            <w:tab/>
                          </w:r>
                          <w:r w:rsidRPr="00B55162">
                            <w:rPr>
                              <w:b/>
                              <w:sz w:val="18"/>
                            </w:rPr>
                            <w:fldChar w:fldCharType="begin"/>
                          </w:r>
                          <w:r w:rsidRPr="00B55162">
                            <w:rPr>
                              <w:b/>
                              <w:sz w:val="18"/>
                            </w:rPr>
                            <w:instrText xml:space="preserve"> PAGE  \* MERGEFORMAT </w:instrText>
                          </w:r>
                          <w:r w:rsidRPr="00B55162">
                            <w:rPr>
                              <w:b/>
                              <w:sz w:val="18"/>
                            </w:rPr>
                            <w:fldChar w:fldCharType="separate"/>
                          </w:r>
                          <w:r w:rsidR="00174210">
                            <w:rPr>
                              <w:b/>
                              <w:noProof/>
                              <w:sz w:val="18"/>
                            </w:rPr>
                            <w:t>115</w:t>
                          </w:r>
                          <w:r w:rsidRPr="00B55162">
                            <w:rPr>
                              <w:b/>
                              <w:sz w:val="18"/>
                            </w:rPr>
                            <w:fldChar w:fldCharType="end"/>
                          </w:r>
                        </w:p>
                        <w:p w:rsidR="00DB4C2D" w:rsidRDefault="00DB4C2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34pt;margin-top:0;width:17pt;height:481.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" stroked="f">
              <v:fill opacity="0"/>
              <v:textbox style="layout-flow:vertical" inset="0,0,0,0">
                <w:txbxContent>
                  <w:p w:rsidR="00DB4C2D" w:rsidRPr="00B55162" w:rsidRDefault="00DB4C2D" w:rsidP="00142860">
                    <w:pPr>
                      <w:pStyle w:val="Pieddepage"/>
                      <w:tabs>
                        <w:tab w:val="right" w:pos="9638"/>
                      </w:tabs>
                      <w:rPr>
                        <w:b/>
                        <w:sz w:val="18"/>
                      </w:rPr>
                    </w:pPr>
                    <w:r>
                      <w:t>GE.</w:t>
                    </w:r>
                    <w:r w:rsidRPr="00B55162">
                      <w:t>15</w:t>
                    </w:r>
                    <w:r>
                      <w:t>-</w:t>
                    </w:r>
                    <w:r w:rsidRPr="00B55162">
                      <w:t>0178</w:t>
                    </w:r>
                    <w:r>
                      <w:t>9</w:t>
                    </w:r>
                    <w:r>
                      <w:tab/>
                    </w:r>
                    <w:r w:rsidRPr="00B55162">
                      <w:rPr>
                        <w:b/>
                        <w:sz w:val="18"/>
                      </w:rPr>
                      <w:fldChar w:fldCharType="begin"/>
                    </w:r>
                    <w:r w:rsidRPr="00B55162">
                      <w:rPr>
                        <w:b/>
                        <w:sz w:val="18"/>
                      </w:rPr>
                      <w:instrText xml:space="preserve"> PAGE  \* MERGEFORMAT </w:instrText>
                    </w:r>
                    <w:r w:rsidRPr="00B55162">
                      <w:rPr>
                        <w:b/>
                        <w:sz w:val="18"/>
                      </w:rPr>
                      <w:fldChar w:fldCharType="separate"/>
                    </w:r>
                    <w:r w:rsidR="00174210">
                      <w:rPr>
                        <w:b/>
                        <w:noProof/>
                        <w:sz w:val="18"/>
                      </w:rPr>
                      <w:t>115</w:t>
                    </w:r>
                    <w:r w:rsidRPr="00B55162">
                      <w:rPr>
                        <w:b/>
                        <w:sz w:val="18"/>
                      </w:rPr>
                      <w:fldChar w:fldCharType="end"/>
                    </w:r>
                  </w:p>
                  <w:p w:rsidR="00DB4C2D" w:rsidRDefault="00DB4C2D"/>
                </w:txbxContent>
              </v:textbox>
              <w10:wrap anchorx="margin" anchory="margin"/>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4a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4a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4a − Appendice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3401F1" w:rsidRDefault="009D55DD" w:rsidP="003401F1">
    <w:r>
      <w:rPr>
        <w:noProof/>
        <w:lang w:val="en-US"/>
      </w:rPr>
      <mc:AlternateContent>
        <mc:Choice Requires="wps">
          <w:drawing>
            <wp:anchor distT="0" distB="0" distL="114300" distR="114300" simplePos="0" relativeHeight="251655168" behindDoc="0" locked="0" layoutInCell="1" allowOverlap="1">
              <wp:simplePos x="0" y="0"/>
              <wp:positionH relativeFrom="page">
                <wp:posOffset>9791700</wp:posOffset>
              </wp:positionH>
              <wp:positionV relativeFrom="margin">
                <wp:posOffset>0</wp:posOffset>
              </wp:positionV>
              <wp:extent cx="360045" cy="6120130"/>
              <wp:effectExtent l="0" t="0" r="1905" b="444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C2D" w:rsidRPr="00F963D4" w:rsidRDefault="00DB4C2D" w:rsidP="003401F1">
                          <w:pPr>
                            <w:pStyle w:val="En-tte"/>
                            <w:jc w:val="right"/>
                          </w:pPr>
                          <w:r>
                            <w:t>E/ECE/324/Rev.1/Add.82/Rev.5</w:t>
                          </w:r>
                          <w:r>
                            <w:br/>
                            <w:t>E/ECE/TRANS/505/Rev.1/Add.82/Rev.5</w:t>
                          </w:r>
                        </w:p>
                        <w:p w:rsidR="00DB4C2D" w:rsidRDefault="00DB4C2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771pt;margin-top:0;width:28.35pt;height:48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" stroked="f">
              <v:fill opacity="0"/>
              <v:textbox style="layout-flow:vertical" inset="0,0,0,0">
                <w:txbxContent>
                  <w:p w:rsidR="00DB4C2D" w:rsidRPr="00F963D4" w:rsidRDefault="00DB4C2D" w:rsidP="003401F1">
                    <w:pPr>
                      <w:pStyle w:val="En-tte"/>
                      <w:jc w:val="right"/>
                    </w:pPr>
                    <w:r>
                      <w:t>E/ECE/324/Rev.1/Add.82/Rev.5</w:t>
                    </w:r>
                    <w:r>
                      <w:br/>
                      <w:t>E/ECE/TRANS/505/Rev.1/Add.82/Rev.5</w:t>
                    </w:r>
                  </w:p>
                  <w:p w:rsidR="00DB4C2D" w:rsidRDefault="00DB4C2D"/>
                </w:txbxContent>
              </v:textbox>
              <w10:wrap anchorx="page" anchory="margin"/>
            </v:shape>
          </w:pict>
        </mc:Fallback>
      </mc:AlternateContent>
    </w:r>
    <w:r>
      <w:rPr>
        <w:noProof/>
        <w:lang w:val="en-US"/>
      </w:rPr>
      <mc:AlternateContent>
        <mc:Choice Requires="wps">
          <w:drawing>
            <wp:anchor distT="0" distB="0" distL="114300" distR="114300" simplePos="0" relativeHeight="251656192" behindDoc="0" locked="0" layoutInCell="1" allowOverlap="1">
              <wp:simplePos x="0" y="0"/>
              <wp:positionH relativeFrom="margin">
                <wp:posOffset>-431800</wp:posOffset>
              </wp:positionH>
              <wp:positionV relativeFrom="margin">
                <wp:posOffset>0</wp:posOffset>
              </wp:positionV>
              <wp:extent cx="215900" cy="6120130"/>
              <wp:effectExtent l="6350" t="0" r="6350" b="444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C2D" w:rsidRPr="00F963D4" w:rsidRDefault="00DB4C2D" w:rsidP="003401F1">
                          <w:pPr>
                            <w:pStyle w:val="Pieddepage"/>
                            <w:tabs>
                              <w:tab w:val="right" w:pos="9638"/>
                            </w:tabs>
                            <w:rPr>
                              <w:b/>
                              <w:sz w:val="18"/>
                            </w:rPr>
                          </w:pPr>
                          <w:r>
                            <w:t>GE.15-01789</w:t>
                          </w:r>
                          <w:r>
                            <w:tab/>
                          </w:r>
                          <w:r w:rsidRPr="00F963D4">
                            <w:rPr>
                              <w:b/>
                              <w:sz w:val="18"/>
                            </w:rPr>
                            <w:fldChar w:fldCharType="begin"/>
                          </w:r>
                          <w:r w:rsidRPr="00F963D4">
                            <w:rPr>
                              <w:b/>
                              <w:sz w:val="18"/>
                            </w:rPr>
                            <w:instrText xml:space="preserve"> PAGE  \* MERGEFORMAT </w:instrText>
                          </w:r>
                          <w:r w:rsidRPr="00F963D4">
                            <w:rPr>
                              <w:b/>
                              <w:sz w:val="18"/>
                            </w:rPr>
                            <w:fldChar w:fldCharType="separate"/>
                          </w:r>
                          <w:r w:rsidR="00174210">
                            <w:rPr>
                              <w:b/>
                              <w:noProof/>
                              <w:sz w:val="18"/>
                            </w:rPr>
                            <w:t>21</w:t>
                          </w:r>
                          <w:r w:rsidRPr="00F963D4">
                            <w:rPr>
                              <w:b/>
                              <w:sz w:val="18"/>
                            </w:rPr>
                            <w:fldChar w:fldCharType="end"/>
                          </w:r>
                        </w:p>
                        <w:p w:rsidR="00DB4C2D" w:rsidRDefault="00DB4C2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4pt;margin-top:0;width:17pt;height:481.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" stroked="f">
              <v:fill opacity="0"/>
              <v:textbox style="layout-flow:vertical" inset="0,0,0,0">
                <w:txbxContent>
                  <w:p w:rsidR="00DB4C2D" w:rsidRPr="00F963D4" w:rsidRDefault="00DB4C2D" w:rsidP="003401F1">
                    <w:pPr>
                      <w:pStyle w:val="Pieddepage"/>
                      <w:tabs>
                        <w:tab w:val="right" w:pos="9638"/>
                      </w:tabs>
                      <w:rPr>
                        <w:b/>
                        <w:sz w:val="18"/>
                      </w:rPr>
                    </w:pPr>
                    <w:r>
                      <w:t>GE.15-01789</w:t>
                    </w:r>
                    <w:r>
                      <w:tab/>
                    </w:r>
                    <w:r w:rsidRPr="00F963D4">
                      <w:rPr>
                        <w:b/>
                        <w:sz w:val="18"/>
                      </w:rPr>
                      <w:fldChar w:fldCharType="begin"/>
                    </w:r>
                    <w:r w:rsidRPr="00F963D4">
                      <w:rPr>
                        <w:b/>
                        <w:sz w:val="18"/>
                      </w:rPr>
                      <w:instrText xml:space="preserve"> PAGE  \* MERGEFORMAT </w:instrText>
                    </w:r>
                    <w:r w:rsidRPr="00F963D4">
                      <w:rPr>
                        <w:b/>
                        <w:sz w:val="18"/>
                      </w:rPr>
                      <w:fldChar w:fldCharType="separate"/>
                    </w:r>
                    <w:r w:rsidR="00174210">
                      <w:rPr>
                        <w:b/>
                        <w:noProof/>
                        <w:sz w:val="18"/>
                      </w:rPr>
                      <w:t>21</w:t>
                    </w:r>
                    <w:r w:rsidRPr="00F963D4">
                      <w:rPr>
                        <w:b/>
                        <w:sz w:val="18"/>
                      </w:rPr>
                      <w:fldChar w:fldCharType="end"/>
                    </w:r>
                  </w:p>
                  <w:p w:rsidR="00DB4C2D" w:rsidRDefault="00DB4C2D"/>
                </w:txbxContent>
              </v:textbox>
              <w10:wrap anchorx="margin" anchory="margin"/>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4a − Appendice 1</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4a − Appendice 2</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4a − Appendice 2</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4a − Appendice 3</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4a − Appendice 3</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4a − Appendice 4</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4a − Appendice 4</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4a − Appendice 5</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4a − Appendice 5</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4a − Appendice 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4a − Appendice 6</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4a − Appendice 7</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4a − Appendice 7</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5</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5</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6</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6</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7</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7</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 xml:space="preserve">Annexe 7 − </w:t>
    </w:r>
    <w:r w:rsidRPr="00A779B8">
      <w:rPr>
        <w:lang w:val="fr-FR"/>
      </w:rPr>
      <w:t>Appendice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 xml:space="preserve">Annexe 7 − </w:t>
    </w:r>
    <w:r w:rsidRPr="00A779B8">
      <w:rPr>
        <w:lang w:val="fr-FR"/>
      </w:rPr>
      <w:t>Appendice 1</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C94" w:rsidRPr="00190E8D" w:rsidRDefault="00657C94" w:rsidP="00190E8D">
    <w:pPr>
      <w:pStyle w:val="En-tte"/>
    </w:pPr>
    <w:fldSimple w:instr=" TITLE  \* MERGEFORMAT ">
      <w:r w:rsidR="00174210">
        <w:t>E/ECE/324/Rev.1/Add.82/Rev.5</w:t>
      </w:r>
    </w:fldSimple>
    <w:r>
      <w:br/>
      <w:t>E/ECE/TRANS/505/Rev.1/Add.82/Rev.5</w:t>
    </w:r>
    <w:r>
      <w:br/>
      <w:t xml:space="preserve">Annexe 7 − </w:t>
    </w:r>
    <w:r>
      <w:rPr>
        <w:lang w:val="fr-FR"/>
      </w:rPr>
      <w:t>Appendice 2</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 xml:space="preserve">Annexe 7 − </w:t>
    </w:r>
    <w:r>
      <w:rPr>
        <w:lang w:val="fr-FR"/>
      </w:rPr>
      <w:t>Appendice 2</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8</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8</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9</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9</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 xml:space="preserve">Annexe 9 − </w:t>
    </w:r>
    <w:r w:rsidRPr="00A779B8">
      <w:rPr>
        <w:lang w:val="fr-FR"/>
      </w:rPr>
      <w:t>Appendice 1</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 xml:space="preserve">Annexe 9 − </w:t>
    </w:r>
    <w:r w:rsidRPr="00A779B8">
      <w:rPr>
        <w:lang w:val="fr-FR"/>
      </w:rPr>
      <w:t>Appendice 1</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C94" w:rsidRPr="00190E8D" w:rsidRDefault="00657C94" w:rsidP="00190E8D">
    <w:pPr>
      <w:pStyle w:val="En-tte"/>
    </w:pPr>
    <w:fldSimple w:instr=" TITLE  \* MERGEFORMAT ">
      <w:r w:rsidR="00174210">
        <w:t>E/ECE/324/Rev.1/Add.82/Rev.5</w:t>
      </w:r>
    </w:fldSimple>
    <w:r>
      <w:br/>
      <w:t>E/ECE/TRANS/505/Rev.1/Add.82/Rev.5</w:t>
    </w:r>
    <w:r>
      <w:br/>
      <w:t xml:space="preserve">Annexe 9 − </w:t>
    </w:r>
    <w:r>
      <w:rPr>
        <w:lang w:val="fr-FR"/>
      </w:rPr>
      <w:t>Appendice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Appendice 1</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 xml:space="preserve">Annexe 9 − </w:t>
    </w:r>
    <w:r>
      <w:rPr>
        <w:lang w:val="fr-FR"/>
      </w:rPr>
      <w:t>Appendice 2</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 xml:space="preserve">Annexe 9 − </w:t>
    </w:r>
    <w:r>
      <w:rPr>
        <w:lang w:val="fr-FR"/>
      </w:rPr>
      <w:t>Appendice 3</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 xml:space="preserve">Annexe 9 − </w:t>
    </w:r>
    <w:r>
      <w:rPr>
        <w:lang w:val="fr-FR"/>
      </w:rPr>
      <w:t>Appendice 3</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10</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10</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10a</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10a</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11</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11</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 xml:space="preserve">Annexe 11 − </w:t>
    </w:r>
    <w:r>
      <w:rPr>
        <w:lang w:val="fr-FR"/>
      </w:rPr>
      <w:t>Appendice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jc w:val="right"/>
    </w:pPr>
    <w:r>
      <w:t>E/ECE/324/Rev.1/Add.82/Rev.5</w:t>
    </w:r>
    <w:r>
      <w:br/>
      <w:t>E/ECE/TRANS/505/Rev.1/Add.82/Rev.5</w:t>
    </w:r>
    <w:r>
      <w:br/>
      <w:t>Appendice 1</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 xml:space="preserve">Annexe 11 − </w:t>
    </w:r>
    <w:r>
      <w:rPr>
        <w:lang w:val="fr-FR"/>
      </w:rPr>
      <w:t>Appendice 1</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 xml:space="preserve">Annexe 11 − </w:t>
    </w:r>
    <w:r>
      <w:rPr>
        <w:lang w:val="fr-FR"/>
      </w:rPr>
      <w:t>Appendice 2</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1AB" w:rsidRPr="00190E8D" w:rsidRDefault="001521AB" w:rsidP="00190E8D">
    <w:pPr>
      <w:pStyle w:val="En-tte"/>
      <w:jc w:val="right"/>
    </w:pPr>
    <w:fldSimple w:instr=" TITLE  \* MERGEFORMAT ">
      <w:r w:rsidR="00174210">
        <w:t>E/ECE/324/Rev.1/Add.82/Rev.5</w:t>
      </w:r>
    </w:fldSimple>
    <w:r>
      <w:br/>
      <w:t>E/ECE/TRANS/505/Rev.1/Add.82/Rev.5</w:t>
    </w:r>
    <w:r>
      <w:br/>
      <w:t xml:space="preserve">Annexe 11 − </w:t>
    </w:r>
    <w:r>
      <w:rPr>
        <w:lang w:val="fr-FR"/>
      </w:rPr>
      <w:t>Appendice 2</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1</w:t>
    </w:r>
    <w:r>
      <w:rPr>
        <w:lang w:val="fr-FR"/>
      </w:rPr>
      <w:t>2</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12</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0B6" w:rsidRPr="00190E8D" w:rsidRDefault="008F40B6" w:rsidP="00190E8D">
    <w:pPr>
      <w:pStyle w:val="En-tte"/>
    </w:pPr>
    <w:fldSimple w:instr=" TITLE  \* MERGEFORMAT ">
      <w:r w:rsidR="00174210">
        <w:t>E/ECE/324/Rev.1/Add.82/Rev.5</w:t>
      </w:r>
    </w:fldSimple>
    <w:r>
      <w:br/>
      <w:t>E/ECE/TRANS/505/Rev.1/Add.82/Rev.5</w:t>
    </w:r>
    <w:r>
      <w:br/>
      <w:t>Annexe 1</w:t>
    </w:r>
    <w:r>
      <w:rPr>
        <w:lang w:val="fr-FR"/>
      </w:rPr>
      <w:t xml:space="preserve">2 </w:t>
    </w:r>
    <w:r>
      <w:t xml:space="preserve">− </w:t>
    </w:r>
    <w:r>
      <w:rPr>
        <w:lang w:val="fr-FR"/>
      </w:rPr>
      <w:t>Appendice 1</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 xml:space="preserve">Annexe 12 − </w:t>
    </w:r>
    <w:r>
      <w:rPr>
        <w:lang w:val="fr-FR"/>
      </w:rPr>
      <w:t>Appendice 1</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1</w:t>
    </w:r>
    <w:r>
      <w:rPr>
        <w:lang w:val="fr-FR"/>
      </w:rPr>
      <w:t>2</w:t>
    </w:r>
    <w:r>
      <w:t xml:space="preserve"> − </w:t>
    </w:r>
    <w:r>
      <w:rPr>
        <w:lang w:val="fr-FR"/>
      </w:rPr>
      <w:t>Appendice 2</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2AF" w:rsidRPr="00190E8D" w:rsidRDefault="00C972AF" w:rsidP="00190E8D">
    <w:pPr>
      <w:pStyle w:val="En-tte"/>
      <w:jc w:val="right"/>
    </w:pPr>
    <w:fldSimple w:instr=" TITLE  \* MERGEFORMAT ">
      <w:r w:rsidR="00174210">
        <w:t>E/ECE/324/Rev.1/Add.82/Rev.5</w:t>
      </w:r>
    </w:fldSimple>
    <w:r>
      <w:br/>
      <w:t>E/ECE/TRANS/505/Rev.1/Add.82/Rev.5</w:t>
    </w:r>
    <w:r>
      <w:br/>
      <w:t xml:space="preserve">Annexe 12 − </w:t>
    </w:r>
    <w:r>
      <w:rPr>
        <w:lang w:val="fr-FR"/>
      </w:rPr>
      <w:t>Appendice 2</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1</w:t>
    </w:r>
    <w:r>
      <w:rPr>
        <w:lang w:val="fr-FR"/>
      </w:rP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B55162" w:rsidRDefault="00DB4C2D" w:rsidP="00B55162">
    <w:pPr>
      <w:pStyle w:val="En-tte"/>
    </w:pPr>
    <w:r>
      <w:t>E/ECE/324/Rev.1/Add.82/Rev.5</w:t>
    </w:r>
    <w:r>
      <w:br/>
      <w:t>E/ECE/TRANS/505/Rev.1/Add.82/Rev.5</w:t>
    </w:r>
    <w:r>
      <w:br/>
      <w:t>Appendice 2</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13</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1</w:t>
    </w:r>
    <w:r>
      <w:rPr>
        <w:lang w:val="fr-FR"/>
      </w:rPr>
      <w:t>4</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jc w:val="right"/>
    </w:pPr>
    <w:fldSimple w:instr=" TITLE  \* MERGEFORMAT ">
      <w:r w:rsidR="00174210">
        <w:t>E/ECE/324/Rev.1/Add.82/Rev.5</w:t>
      </w:r>
    </w:fldSimple>
    <w:r>
      <w:br/>
      <w:t>E/ECE/TRANS/505/Rev.1/Add.82/Rev.5</w:t>
    </w:r>
    <w:r>
      <w:br/>
      <w:t>Annexe 14</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2D" w:rsidRPr="00190E8D" w:rsidRDefault="00DB4C2D" w:rsidP="00190E8D">
    <w:pPr>
      <w:pStyle w:val="En-tte"/>
    </w:pPr>
    <w:fldSimple w:instr=" TITLE  \* MERGEFORMAT ">
      <w:r w:rsidR="00174210">
        <w:t>E/ECE/324/Rev.1/Add.82/Rev.5</w:t>
      </w:r>
    </w:fldSimple>
    <w:r>
      <w:br/>
      <w:t>E/ECE/TRANS/505/Rev.1/Add.82/Rev.5</w:t>
    </w:r>
    <w:r>
      <w:br/>
      <w:t>Annexe 1</w:t>
    </w:r>
    <w:r>
      <w:rPr>
        <w:lang w:val="fr-FR"/>
      </w:rPr>
      <w:t xml:space="preserve">4 </w:t>
    </w:r>
    <w:r>
      <w:t xml:space="preserve">− </w:t>
    </w:r>
    <w:r w:rsidRPr="00A779B8">
      <w:rPr>
        <w:lang w:val="fr-FR"/>
      </w:rPr>
      <w:t>Appendice 1</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DBA" w:rsidRPr="00190E8D" w:rsidRDefault="002B4DBA" w:rsidP="00190E8D">
    <w:pPr>
      <w:pStyle w:val="En-tte"/>
      <w:jc w:val="right"/>
    </w:pPr>
    <w:fldSimple w:instr=" TITLE  \* MERGEFORMAT ">
      <w:r w:rsidR="00174210">
        <w:t>E/ECE/324/Rev.1/Add.82/Rev.5</w:t>
      </w:r>
    </w:fldSimple>
    <w:r>
      <w:br/>
      <w:t>E/ECE/TRANS/505/Rev.1/Add.82/Rev.5</w:t>
    </w:r>
    <w:r>
      <w:br/>
      <w:t xml:space="preserve">Annexe 14 − </w:t>
    </w:r>
    <w:r>
      <w:rPr>
        <w:lang w:val="fr-FR"/>
      </w:rPr>
      <w:t>Appendice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985"/>
        </w:tabs>
        <w:ind w:left="1418" w:firstLine="0"/>
      </w:pPr>
      <w:rPr>
        <w:rFonts w:ascii="Times New Roman" w:hAnsi="Times New Roman" w:hint="default"/>
        <w:b w:val="0"/>
        <w:i w:val="0"/>
        <w:sz w:val="20"/>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
    <w:nsid w:val="15290303"/>
    <w:multiLevelType w:val="hybridMultilevel"/>
    <w:tmpl w:val="83EC70B8"/>
    <w:lvl w:ilvl="0" w:tplc="73C4C376">
      <w:start w:val="1"/>
      <w:numFmt w:val="bullet"/>
      <w:lvlText w:val="•"/>
      <w:lvlJc w:val="left"/>
      <w:pPr>
        <w:tabs>
          <w:tab w:val="num" w:pos="284"/>
        </w:tabs>
        <w:ind w:left="284" w:hanging="284"/>
      </w:pPr>
      <w:rPr>
        <w:rFonts w:ascii="Times New Roman" w:hAnsi="Times New Roman" w:cs="Times New Roman" w:hint="default"/>
      </w:rPr>
    </w:lvl>
    <w:lvl w:ilvl="1" w:tplc="FFFFFFFF" w:tentative="1">
      <w:start w:val="1"/>
      <w:numFmt w:val="bullet"/>
      <w:lvlText w:val="o"/>
      <w:lvlJc w:val="left"/>
      <w:pPr>
        <w:tabs>
          <w:tab w:val="num" w:pos="1373"/>
        </w:tabs>
        <w:ind w:left="1373" w:hanging="360"/>
      </w:pPr>
      <w:rPr>
        <w:rFonts w:ascii="Courier New" w:hAnsi="Courier New" w:cs="Courier New" w:hint="default"/>
      </w:rPr>
    </w:lvl>
    <w:lvl w:ilvl="2" w:tplc="FFFFFFFF" w:tentative="1">
      <w:start w:val="1"/>
      <w:numFmt w:val="bullet"/>
      <w:lvlText w:val=""/>
      <w:lvlJc w:val="left"/>
      <w:pPr>
        <w:tabs>
          <w:tab w:val="num" w:pos="2093"/>
        </w:tabs>
        <w:ind w:left="2093" w:hanging="360"/>
      </w:pPr>
      <w:rPr>
        <w:rFonts w:ascii="Wingdings" w:hAnsi="Wingdings" w:hint="default"/>
      </w:rPr>
    </w:lvl>
    <w:lvl w:ilvl="3" w:tplc="FFFFFFFF" w:tentative="1">
      <w:start w:val="1"/>
      <w:numFmt w:val="bullet"/>
      <w:lvlText w:val=""/>
      <w:lvlJc w:val="left"/>
      <w:pPr>
        <w:tabs>
          <w:tab w:val="num" w:pos="2813"/>
        </w:tabs>
        <w:ind w:left="2813" w:hanging="360"/>
      </w:pPr>
      <w:rPr>
        <w:rFonts w:ascii="Symbol" w:hAnsi="Symbol" w:hint="default"/>
      </w:rPr>
    </w:lvl>
    <w:lvl w:ilvl="4" w:tplc="FFFFFFFF" w:tentative="1">
      <w:start w:val="1"/>
      <w:numFmt w:val="bullet"/>
      <w:lvlText w:val="o"/>
      <w:lvlJc w:val="left"/>
      <w:pPr>
        <w:tabs>
          <w:tab w:val="num" w:pos="3533"/>
        </w:tabs>
        <w:ind w:left="3533" w:hanging="360"/>
      </w:pPr>
      <w:rPr>
        <w:rFonts w:ascii="Courier New" w:hAnsi="Courier New" w:cs="Courier New" w:hint="default"/>
      </w:rPr>
    </w:lvl>
    <w:lvl w:ilvl="5" w:tplc="FFFFFFFF" w:tentative="1">
      <w:start w:val="1"/>
      <w:numFmt w:val="bullet"/>
      <w:lvlText w:val=""/>
      <w:lvlJc w:val="left"/>
      <w:pPr>
        <w:tabs>
          <w:tab w:val="num" w:pos="4253"/>
        </w:tabs>
        <w:ind w:left="4253" w:hanging="360"/>
      </w:pPr>
      <w:rPr>
        <w:rFonts w:ascii="Wingdings" w:hAnsi="Wingdings" w:hint="default"/>
      </w:rPr>
    </w:lvl>
    <w:lvl w:ilvl="6" w:tplc="FFFFFFFF" w:tentative="1">
      <w:start w:val="1"/>
      <w:numFmt w:val="bullet"/>
      <w:lvlText w:val=""/>
      <w:lvlJc w:val="left"/>
      <w:pPr>
        <w:tabs>
          <w:tab w:val="num" w:pos="4973"/>
        </w:tabs>
        <w:ind w:left="4973" w:hanging="360"/>
      </w:pPr>
      <w:rPr>
        <w:rFonts w:ascii="Symbol" w:hAnsi="Symbol" w:hint="default"/>
      </w:rPr>
    </w:lvl>
    <w:lvl w:ilvl="7" w:tplc="FFFFFFFF" w:tentative="1">
      <w:start w:val="1"/>
      <w:numFmt w:val="bullet"/>
      <w:lvlText w:val="o"/>
      <w:lvlJc w:val="left"/>
      <w:pPr>
        <w:tabs>
          <w:tab w:val="num" w:pos="5693"/>
        </w:tabs>
        <w:ind w:left="5693" w:hanging="360"/>
      </w:pPr>
      <w:rPr>
        <w:rFonts w:ascii="Courier New" w:hAnsi="Courier New" w:cs="Courier New" w:hint="default"/>
      </w:rPr>
    </w:lvl>
    <w:lvl w:ilvl="8" w:tplc="FFFFFFFF" w:tentative="1">
      <w:start w:val="1"/>
      <w:numFmt w:val="bullet"/>
      <w:lvlText w:val=""/>
      <w:lvlJc w:val="left"/>
      <w:pPr>
        <w:tabs>
          <w:tab w:val="num" w:pos="6413"/>
        </w:tabs>
        <w:ind w:left="6413" w:hanging="360"/>
      </w:pPr>
      <w:rPr>
        <w:rFonts w:ascii="Wingdings" w:hAnsi="Wingdings" w:hint="default"/>
      </w:rPr>
    </w:lvl>
  </w:abstractNum>
  <w:abstractNum w:abstractNumId="2">
    <w:nsid w:val="2AB81851"/>
    <w:multiLevelType w:val="hybridMultilevel"/>
    <w:tmpl w:val="180247DA"/>
    <w:lvl w:ilvl="0" w:tplc="2B689C24">
      <w:start w:val="1"/>
      <w:numFmt w:val="bullet"/>
      <w:lvlText w:val="–"/>
      <w:lvlJc w:val="left"/>
      <w:pPr>
        <w:tabs>
          <w:tab w:val="num" w:pos="2552"/>
        </w:tabs>
        <w:ind w:left="2552" w:hanging="284"/>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
    <w:nsid w:val="5FE46838"/>
    <w:multiLevelType w:val="hybridMultilevel"/>
    <w:tmpl w:val="F87675D0"/>
    <w:lvl w:ilvl="0" w:tplc="A3F21166">
      <w:start w:val="1"/>
      <w:numFmt w:val="bullet"/>
      <w:lvlText w:val="•"/>
      <w:lvlJc w:val="left"/>
      <w:pPr>
        <w:tabs>
          <w:tab w:val="num" w:pos="170"/>
        </w:tabs>
        <w:ind w:left="170" w:firstLine="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5"/>
  </w:num>
  <w:num w:numId="2">
    <w:abstractNumId w:val="3"/>
  </w:num>
  <w:num w:numId="3">
    <w:abstractNumId w:val="0"/>
  </w:num>
  <w:num w:numId="4">
    <w:abstractNumId w:val="5"/>
  </w:num>
  <w:num w:numId="5">
    <w:abstractNumId w:val="3"/>
  </w:num>
  <w:num w:numId="6">
    <w:abstractNumId w:val="0"/>
  </w:num>
  <w:num w:numId="7">
    <w:abstractNumId w:val="4"/>
  </w:num>
  <w:num w:numId="8">
    <w:abstractNumId w:val="2"/>
  </w:num>
  <w:num w:numId="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fr-CH"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70E"/>
    <w:rsid w:val="00010986"/>
    <w:rsid w:val="0001470D"/>
    <w:rsid w:val="00016165"/>
    <w:rsid w:val="00016AC5"/>
    <w:rsid w:val="00021126"/>
    <w:rsid w:val="00021907"/>
    <w:rsid w:val="00022C4E"/>
    <w:rsid w:val="000233A5"/>
    <w:rsid w:val="0002445D"/>
    <w:rsid w:val="00024C50"/>
    <w:rsid w:val="00025E92"/>
    <w:rsid w:val="000276A3"/>
    <w:rsid w:val="00032060"/>
    <w:rsid w:val="0003319E"/>
    <w:rsid w:val="00034ED9"/>
    <w:rsid w:val="0003588C"/>
    <w:rsid w:val="00040539"/>
    <w:rsid w:val="00040598"/>
    <w:rsid w:val="00047F10"/>
    <w:rsid w:val="00052157"/>
    <w:rsid w:val="0005346D"/>
    <w:rsid w:val="00055FE4"/>
    <w:rsid w:val="000641CE"/>
    <w:rsid w:val="00067310"/>
    <w:rsid w:val="00071E05"/>
    <w:rsid w:val="00076A96"/>
    <w:rsid w:val="00077E35"/>
    <w:rsid w:val="0008669E"/>
    <w:rsid w:val="00087043"/>
    <w:rsid w:val="00090599"/>
    <w:rsid w:val="00093386"/>
    <w:rsid w:val="00095DF1"/>
    <w:rsid w:val="000A1501"/>
    <w:rsid w:val="000A2494"/>
    <w:rsid w:val="000A37D0"/>
    <w:rsid w:val="000A6B7E"/>
    <w:rsid w:val="000B1351"/>
    <w:rsid w:val="000B20D3"/>
    <w:rsid w:val="000C0ABC"/>
    <w:rsid w:val="000C0DDA"/>
    <w:rsid w:val="000C6CDB"/>
    <w:rsid w:val="000D5C25"/>
    <w:rsid w:val="000E4F06"/>
    <w:rsid w:val="000E5411"/>
    <w:rsid w:val="000E5601"/>
    <w:rsid w:val="000E5602"/>
    <w:rsid w:val="000E5FCE"/>
    <w:rsid w:val="000F41F2"/>
    <w:rsid w:val="0010373B"/>
    <w:rsid w:val="0010380D"/>
    <w:rsid w:val="00103ED6"/>
    <w:rsid w:val="00110589"/>
    <w:rsid w:val="00113E9F"/>
    <w:rsid w:val="0011415F"/>
    <w:rsid w:val="00125446"/>
    <w:rsid w:val="00125BC1"/>
    <w:rsid w:val="001358D9"/>
    <w:rsid w:val="00141E26"/>
    <w:rsid w:val="00142860"/>
    <w:rsid w:val="00143EB9"/>
    <w:rsid w:val="00151AA1"/>
    <w:rsid w:val="001521AB"/>
    <w:rsid w:val="00152C5A"/>
    <w:rsid w:val="00153740"/>
    <w:rsid w:val="0015389C"/>
    <w:rsid w:val="00154816"/>
    <w:rsid w:val="00160540"/>
    <w:rsid w:val="00166C68"/>
    <w:rsid w:val="00174210"/>
    <w:rsid w:val="00174814"/>
    <w:rsid w:val="00181A90"/>
    <w:rsid w:val="00187F88"/>
    <w:rsid w:val="00190D5D"/>
    <w:rsid w:val="00190E8D"/>
    <w:rsid w:val="00192EEB"/>
    <w:rsid w:val="00194484"/>
    <w:rsid w:val="001A03EB"/>
    <w:rsid w:val="001A2040"/>
    <w:rsid w:val="001A20FB"/>
    <w:rsid w:val="001A252F"/>
    <w:rsid w:val="001A376F"/>
    <w:rsid w:val="001A76F7"/>
    <w:rsid w:val="001B09BB"/>
    <w:rsid w:val="001C3D8D"/>
    <w:rsid w:val="001C6497"/>
    <w:rsid w:val="001D7F8A"/>
    <w:rsid w:val="001E0447"/>
    <w:rsid w:val="001E1495"/>
    <w:rsid w:val="001E34CB"/>
    <w:rsid w:val="001E3FEB"/>
    <w:rsid w:val="001E4541"/>
    <w:rsid w:val="001E4A02"/>
    <w:rsid w:val="001E4E3F"/>
    <w:rsid w:val="001E653B"/>
    <w:rsid w:val="001E6DF0"/>
    <w:rsid w:val="001F3E68"/>
    <w:rsid w:val="001F4931"/>
    <w:rsid w:val="001F55AA"/>
    <w:rsid w:val="002000CD"/>
    <w:rsid w:val="00200CBA"/>
    <w:rsid w:val="00204B66"/>
    <w:rsid w:val="002059CE"/>
    <w:rsid w:val="00206AD4"/>
    <w:rsid w:val="00215D2A"/>
    <w:rsid w:val="00223B97"/>
    <w:rsid w:val="00224B8B"/>
    <w:rsid w:val="00225A8C"/>
    <w:rsid w:val="00230ED3"/>
    <w:rsid w:val="00231A7F"/>
    <w:rsid w:val="002366C6"/>
    <w:rsid w:val="00242BBD"/>
    <w:rsid w:val="00244817"/>
    <w:rsid w:val="0024586F"/>
    <w:rsid w:val="00246BC8"/>
    <w:rsid w:val="00251F95"/>
    <w:rsid w:val="00252317"/>
    <w:rsid w:val="00257AFA"/>
    <w:rsid w:val="002659B6"/>
    <w:rsid w:val="002659F1"/>
    <w:rsid w:val="00271E41"/>
    <w:rsid w:val="0027453B"/>
    <w:rsid w:val="00276BD8"/>
    <w:rsid w:val="0027776E"/>
    <w:rsid w:val="00284C19"/>
    <w:rsid w:val="00286E23"/>
    <w:rsid w:val="002876A1"/>
    <w:rsid w:val="00287CA6"/>
    <w:rsid w:val="00287E79"/>
    <w:rsid w:val="002928F9"/>
    <w:rsid w:val="00294D5B"/>
    <w:rsid w:val="0029791D"/>
    <w:rsid w:val="002A2A2C"/>
    <w:rsid w:val="002A5D07"/>
    <w:rsid w:val="002B070E"/>
    <w:rsid w:val="002B4B8E"/>
    <w:rsid w:val="002B4DBA"/>
    <w:rsid w:val="002C00EC"/>
    <w:rsid w:val="002C016C"/>
    <w:rsid w:val="002D25CA"/>
    <w:rsid w:val="002D3DA4"/>
    <w:rsid w:val="002E2F5C"/>
    <w:rsid w:val="002F0C48"/>
    <w:rsid w:val="003016B7"/>
    <w:rsid w:val="0030754C"/>
    <w:rsid w:val="00317E54"/>
    <w:rsid w:val="00322DF1"/>
    <w:rsid w:val="00324EBF"/>
    <w:rsid w:val="0032556C"/>
    <w:rsid w:val="00330508"/>
    <w:rsid w:val="003314B0"/>
    <w:rsid w:val="0033286A"/>
    <w:rsid w:val="00333130"/>
    <w:rsid w:val="00334DF2"/>
    <w:rsid w:val="003401F1"/>
    <w:rsid w:val="00346E32"/>
    <w:rsid w:val="003515AA"/>
    <w:rsid w:val="00364F13"/>
    <w:rsid w:val="0036776C"/>
    <w:rsid w:val="00372A7A"/>
    <w:rsid w:val="00372D1D"/>
    <w:rsid w:val="00374106"/>
    <w:rsid w:val="0037679A"/>
    <w:rsid w:val="0038047C"/>
    <w:rsid w:val="00381C7A"/>
    <w:rsid w:val="00390EEF"/>
    <w:rsid w:val="00394410"/>
    <w:rsid w:val="003976D5"/>
    <w:rsid w:val="00397EA6"/>
    <w:rsid w:val="003A202B"/>
    <w:rsid w:val="003A78BA"/>
    <w:rsid w:val="003B3DF1"/>
    <w:rsid w:val="003B53B6"/>
    <w:rsid w:val="003B646C"/>
    <w:rsid w:val="003C043B"/>
    <w:rsid w:val="003D07A4"/>
    <w:rsid w:val="003D6C68"/>
    <w:rsid w:val="003E01D0"/>
    <w:rsid w:val="003E49B9"/>
    <w:rsid w:val="003E5E5B"/>
    <w:rsid w:val="003E5F12"/>
    <w:rsid w:val="003E786C"/>
    <w:rsid w:val="003E7BF8"/>
    <w:rsid w:val="003F2A89"/>
    <w:rsid w:val="003F4A54"/>
    <w:rsid w:val="0040144C"/>
    <w:rsid w:val="004067AE"/>
    <w:rsid w:val="00410521"/>
    <w:rsid w:val="00413BB0"/>
    <w:rsid w:val="0041480D"/>
    <w:rsid w:val="004159D0"/>
    <w:rsid w:val="00417326"/>
    <w:rsid w:val="00421A10"/>
    <w:rsid w:val="00422499"/>
    <w:rsid w:val="00425CBA"/>
    <w:rsid w:val="00430EFC"/>
    <w:rsid w:val="004342E2"/>
    <w:rsid w:val="00434354"/>
    <w:rsid w:val="00440BC8"/>
    <w:rsid w:val="00454F8D"/>
    <w:rsid w:val="004567EB"/>
    <w:rsid w:val="00457676"/>
    <w:rsid w:val="00460E72"/>
    <w:rsid w:val="00464191"/>
    <w:rsid w:val="00467412"/>
    <w:rsid w:val="004747BB"/>
    <w:rsid w:val="00476265"/>
    <w:rsid w:val="0048687D"/>
    <w:rsid w:val="00490F56"/>
    <w:rsid w:val="00491F39"/>
    <w:rsid w:val="00497E99"/>
    <w:rsid w:val="004A2AE4"/>
    <w:rsid w:val="004A4405"/>
    <w:rsid w:val="004A49A5"/>
    <w:rsid w:val="004A66A2"/>
    <w:rsid w:val="004B07A3"/>
    <w:rsid w:val="004B1047"/>
    <w:rsid w:val="004B261D"/>
    <w:rsid w:val="004B51CD"/>
    <w:rsid w:val="004B55E1"/>
    <w:rsid w:val="004B576C"/>
    <w:rsid w:val="004C54C0"/>
    <w:rsid w:val="004C56B2"/>
    <w:rsid w:val="004C6F4A"/>
    <w:rsid w:val="004C7820"/>
    <w:rsid w:val="004D00B2"/>
    <w:rsid w:val="004D47B6"/>
    <w:rsid w:val="004E4963"/>
    <w:rsid w:val="004E6809"/>
    <w:rsid w:val="004E7F24"/>
    <w:rsid w:val="004F0A22"/>
    <w:rsid w:val="005111B1"/>
    <w:rsid w:val="0051457E"/>
    <w:rsid w:val="0051714B"/>
    <w:rsid w:val="00520F80"/>
    <w:rsid w:val="005239FF"/>
    <w:rsid w:val="00523DB8"/>
    <w:rsid w:val="00530E71"/>
    <w:rsid w:val="00533150"/>
    <w:rsid w:val="0053492F"/>
    <w:rsid w:val="00537B8B"/>
    <w:rsid w:val="00543B57"/>
    <w:rsid w:val="00543C47"/>
    <w:rsid w:val="00543D5E"/>
    <w:rsid w:val="00546963"/>
    <w:rsid w:val="00552260"/>
    <w:rsid w:val="00552777"/>
    <w:rsid w:val="00555494"/>
    <w:rsid w:val="00555CBA"/>
    <w:rsid w:val="00556C1A"/>
    <w:rsid w:val="00564477"/>
    <w:rsid w:val="00565B29"/>
    <w:rsid w:val="00571BC1"/>
    <w:rsid w:val="00571F41"/>
    <w:rsid w:val="0057508C"/>
    <w:rsid w:val="00575476"/>
    <w:rsid w:val="00582DF4"/>
    <w:rsid w:val="00583A20"/>
    <w:rsid w:val="005840C4"/>
    <w:rsid w:val="00584373"/>
    <w:rsid w:val="00585508"/>
    <w:rsid w:val="0059061F"/>
    <w:rsid w:val="00591DB3"/>
    <w:rsid w:val="005939ED"/>
    <w:rsid w:val="005947BC"/>
    <w:rsid w:val="00595E8A"/>
    <w:rsid w:val="005964BF"/>
    <w:rsid w:val="005A0132"/>
    <w:rsid w:val="005A0268"/>
    <w:rsid w:val="005A6014"/>
    <w:rsid w:val="005B473C"/>
    <w:rsid w:val="005C549A"/>
    <w:rsid w:val="005C7F75"/>
    <w:rsid w:val="005D0035"/>
    <w:rsid w:val="005D7719"/>
    <w:rsid w:val="005E010E"/>
    <w:rsid w:val="005E1B9B"/>
    <w:rsid w:val="005E32D1"/>
    <w:rsid w:val="005E4BF0"/>
    <w:rsid w:val="005E5D1F"/>
    <w:rsid w:val="005F0207"/>
    <w:rsid w:val="005F5C1F"/>
    <w:rsid w:val="0061113B"/>
    <w:rsid w:val="00611825"/>
    <w:rsid w:val="00611D43"/>
    <w:rsid w:val="00612D48"/>
    <w:rsid w:val="00613A5E"/>
    <w:rsid w:val="00616B45"/>
    <w:rsid w:val="0061774F"/>
    <w:rsid w:val="00621B69"/>
    <w:rsid w:val="006241C6"/>
    <w:rsid w:val="00630D9B"/>
    <w:rsid w:val="00631953"/>
    <w:rsid w:val="0063208D"/>
    <w:rsid w:val="0063247A"/>
    <w:rsid w:val="00640BAC"/>
    <w:rsid w:val="006414EF"/>
    <w:rsid w:val="006434FD"/>
    <w:rsid w:val="00643814"/>
    <w:rsid w:val="006439EC"/>
    <w:rsid w:val="006447E8"/>
    <w:rsid w:val="00645090"/>
    <w:rsid w:val="00645A47"/>
    <w:rsid w:val="00647059"/>
    <w:rsid w:val="00647162"/>
    <w:rsid w:val="0065029A"/>
    <w:rsid w:val="006553F9"/>
    <w:rsid w:val="00657C94"/>
    <w:rsid w:val="006609D8"/>
    <w:rsid w:val="00661A3A"/>
    <w:rsid w:val="00661E96"/>
    <w:rsid w:val="00665786"/>
    <w:rsid w:val="00671C93"/>
    <w:rsid w:val="00671ED1"/>
    <w:rsid w:val="00671F00"/>
    <w:rsid w:val="006729C8"/>
    <w:rsid w:val="00675501"/>
    <w:rsid w:val="00680EED"/>
    <w:rsid w:val="0068562A"/>
    <w:rsid w:val="00695933"/>
    <w:rsid w:val="006A0927"/>
    <w:rsid w:val="006A5CF2"/>
    <w:rsid w:val="006A6B31"/>
    <w:rsid w:val="006A6C95"/>
    <w:rsid w:val="006A7B29"/>
    <w:rsid w:val="006B0EB2"/>
    <w:rsid w:val="006B0FF8"/>
    <w:rsid w:val="006B4590"/>
    <w:rsid w:val="006C137D"/>
    <w:rsid w:val="006C340C"/>
    <w:rsid w:val="006C4AB5"/>
    <w:rsid w:val="006D17E1"/>
    <w:rsid w:val="006D5A12"/>
    <w:rsid w:val="006E29E5"/>
    <w:rsid w:val="006E5069"/>
    <w:rsid w:val="006F1D0B"/>
    <w:rsid w:val="006F27A8"/>
    <w:rsid w:val="006F3493"/>
    <w:rsid w:val="006F3544"/>
    <w:rsid w:val="00700A8B"/>
    <w:rsid w:val="0070347C"/>
    <w:rsid w:val="007102D2"/>
    <w:rsid w:val="00714A66"/>
    <w:rsid w:val="007176C1"/>
    <w:rsid w:val="00720BC0"/>
    <w:rsid w:val="0072116B"/>
    <w:rsid w:val="00725063"/>
    <w:rsid w:val="00732E72"/>
    <w:rsid w:val="00741D90"/>
    <w:rsid w:val="00742552"/>
    <w:rsid w:val="007607B1"/>
    <w:rsid w:val="00765296"/>
    <w:rsid w:val="00766D28"/>
    <w:rsid w:val="0077201D"/>
    <w:rsid w:val="007723C2"/>
    <w:rsid w:val="00780D96"/>
    <w:rsid w:val="007815B9"/>
    <w:rsid w:val="00783E82"/>
    <w:rsid w:val="00785F1F"/>
    <w:rsid w:val="007869B6"/>
    <w:rsid w:val="00790B9D"/>
    <w:rsid w:val="00796316"/>
    <w:rsid w:val="007A1C58"/>
    <w:rsid w:val="007A20D2"/>
    <w:rsid w:val="007A79CD"/>
    <w:rsid w:val="007B3C94"/>
    <w:rsid w:val="007C3C08"/>
    <w:rsid w:val="007C7020"/>
    <w:rsid w:val="007C7AE2"/>
    <w:rsid w:val="007D1A6E"/>
    <w:rsid w:val="007D2668"/>
    <w:rsid w:val="007D3119"/>
    <w:rsid w:val="007D6EE7"/>
    <w:rsid w:val="007E572E"/>
    <w:rsid w:val="007F1867"/>
    <w:rsid w:val="007F1EC4"/>
    <w:rsid w:val="007F25FA"/>
    <w:rsid w:val="007F55CB"/>
    <w:rsid w:val="007F6351"/>
    <w:rsid w:val="007F768E"/>
    <w:rsid w:val="008021D4"/>
    <w:rsid w:val="008149F9"/>
    <w:rsid w:val="008221CC"/>
    <w:rsid w:val="0082368A"/>
    <w:rsid w:val="008245B7"/>
    <w:rsid w:val="0082755E"/>
    <w:rsid w:val="00831A18"/>
    <w:rsid w:val="00836AD3"/>
    <w:rsid w:val="00837345"/>
    <w:rsid w:val="00844750"/>
    <w:rsid w:val="00850D3A"/>
    <w:rsid w:val="00851A74"/>
    <w:rsid w:val="00853AB8"/>
    <w:rsid w:val="00854C34"/>
    <w:rsid w:val="0085586A"/>
    <w:rsid w:val="00856DB2"/>
    <w:rsid w:val="008605A8"/>
    <w:rsid w:val="00876FA8"/>
    <w:rsid w:val="00880678"/>
    <w:rsid w:val="00895DE5"/>
    <w:rsid w:val="0089677E"/>
    <w:rsid w:val="008A0FA8"/>
    <w:rsid w:val="008A1EC0"/>
    <w:rsid w:val="008A3626"/>
    <w:rsid w:val="008A4759"/>
    <w:rsid w:val="008A4A2E"/>
    <w:rsid w:val="008B44C4"/>
    <w:rsid w:val="008B5698"/>
    <w:rsid w:val="008B6F5F"/>
    <w:rsid w:val="008C322B"/>
    <w:rsid w:val="008C3659"/>
    <w:rsid w:val="008C3A4E"/>
    <w:rsid w:val="008C4B74"/>
    <w:rsid w:val="008D1156"/>
    <w:rsid w:val="008D59DB"/>
    <w:rsid w:val="008E0091"/>
    <w:rsid w:val="008E0319"/>
    <w:rsid w:val="008E1CE8"/>
    <w:rsid w:val="008E3B10"/>
    <w:rsid w:val="008E4DE2"/>
    <w:rsid w:val="008E5F55"/>
    <w:rsid w:val="008E66AF"/>
    <w:rsid w:val="008E7CE2"/>
    <w:rsid w:val="008E7FAE"/>
    <w:rsid w:val="008F40B6"/>
    <w:rsid w:val="00900F4B"/>
    <w:rsid w:val="00911BF7"/>
    <w:rsid w:val="0091594A"/>
    <w:rsid w:val="009230F1"/>
    <w:rsid w:val="00924729"/>
    <w:rsid w:val="00926925"/>
    <w:rsid w:val="00935490"/>
    <w:rsid w:val="009418DE"/>
    <w:rsid w:val="00951279"/>
    <w:rsid w:val="009516B7"/>
    <w:rsid w:val="009545F1"/>
    <w:rsid w:val="00955AB5"/>
    <w:rsid w:val="00957CE5"/>
    <w:rsid w:val="009624E2"/>
    <w:rsid w:val="00965C52"/>
    <w:rsid w:val="009707E4"/>
    <w:rsid w:val="00973B8F"/>
    <w:rsid w:val="00974DD2"/>
    <w:rsid w:val="00977EC8"/>
    <w:rsid w:val="009846A3"/>
    <w:rsid w:val="00995AD1"/>
    <w:rsid w:val="00996562"/>
    <w:rsid w:val="009A3048"/>
    <w:rsid w:val="009A34B3"/>
    <w:rsid w:val="009A6C26"/>
    <w:rsid w:val="009B17AD"/>
    <w:rsid w:val="009B3F8C"/>
    <w:rsid w:val="009B45E0"/>
    <w:rsid w:val="009B540F"/>
    <w:rsid w:val="009B6811"/>
    <w:rsid w:val="009C6337"/>
    <w:rsid w:val="009D27D1"/>
    <w:rsid w:val="009D3A8C"/>
    <w:rsid w:val="009D55DD"/>
    <w:rsid w:val="009E1BA9"/>
    <w:rsid w:val="009E2876"/>
    <w:rsid w:val="009E2F0B"/>
    <w:rsid w:val="009E7956"/>
    <w:rsid w:val="009F072F"/>
    <w:rsid w:val="009F26C1"/>
    <w:rsid w:val="009F3F95"/>
    <w:rsid w:val="009F4AFC"/>
    <w:rsid w:val="009F7CF6"/>
    <w:rsid w:val="00A023FC"/>
    <w:rsid w:val="00A0338D"/>
    <w:rsid w:val="00A05DD1"/>
    <w:rsid w:val="00A077E9"/>
    <w:rsid w:val="00A07FA8"/>
    <w:rsid w:val="00A1202C"/>
    <w:rsid w:val="00A235DF"/>
    <w:rsid w:val="00A23CCB"/>
    <w:rsid w:val="00A2492E"/>
    <w:rsid w:val="00A27235"/>
    <w:rsid w:val="00A2744F"/>
    <w:rsid w:val="00A31163"/>
    <w:rsid w:val="00A320B5"/>
    <w:rsid w:val="00A34593"/>
    <w:rsid w:val="00A34FDC"/>
    <w:rsid w:val="00A364DB"/>
    <w:rsid w:val="00A36982"/>
    <w:rsid w:val="00A370AC"/>
    <w:rsid w:val="00A431F6"/>
    <w:rsid w:val="00A45E90"/>
    <w:rsid w:val="00A4770F"/>
    <w:rsid w:val="00A50D6B"/>
    <w:rsid w:val="00A51050"/>
    <w:rsid w:val="00A56945"/>
    <w:rsid w:val="00A57027"/>
    <w:rsid w:val="00A5750C"/>
    <w:rsid w:val="00A61149"/>
    <w:rsid w:val="00A713B1"/>
    <w:rsid w:val="00A72C35"/>
    <w:rsid w:val="00A752BB"/>
    <w:rsid w:val="00A76E68"/>
    <w:rsid w:val="00A804FD"/>
    <w:rsid w:val="00A81786"/>
    <w:rsid w:val="00A81F93"/>
    <w:rsid w:val="00A9247E"/>
    <w:rsid w:val="00AA0DCA"/>
    <w:rsid w:val="00AA1AC7"/>
    <w:rsid w:val="00AA1D24"/>
    <w:rsid w:val="00AA2760"/>
    <w:rsid w:val="00AA5F5C"/>
    <w:rsid w:val="00AA6BFD"/>
    <w:rsid w:val="00AA7796"/>
    <w:rsid w:val="00AC67A1"/>
    <w:rsid w:val="00AC7977"/>
    <w:rsid w:val="00AC7E56"/>
    <w:rsid w:val="00AE2617"/>
    <w:rsid w:val="00AE31CF"/>
    <w:rsid w:val="00AE352C"/>
    <w:rsid w:val="00AE39A5"/>
    <w:rsid w:val="00AE6AFC"/>
    <w:rsid w:val="00AE79AC"/>
    <w:rsid w:val="00B01AAD"/>
    <w:rsid w:val="00B07A83"/>
    <w:rsid w:val="00B101DB"/>
    <w:rsid w:val="00B11222"/>
    <w:rsid w:val="00B1323B"/>
    <w:rsid w:val="00B13E4F"/>
    <w:rsid w:val="00B21751"/>
    <w:rsid w:val="00B256F0"/>
    <w:rsid w:val="00B31D7D"/>
    <w:rsid w:val="00B31EED"/>
    <w:rsid w:val="00B32E2D"/>
    <w:rsid w:val="00B416B8"/>
    <w:rsid w:val="00B42351"/>
    <w:rsid w:val="00B43741"/>
    <w:rsid w:val="00B44164"/>
    <w:rsid w:val="00B45642"/>
    <w:rsid w:val="00B52F29"/>
    <w:rsid w:val="00B5388D"/>
    <w:rsid w:val="00B55162"/>
    <w:rsid w:val="00B61990"/>
    <w:rsid w:val="00B6249B"/>
    <w:rsid w:val="00B65C71"/>
    <w:rsid w:val="00B70CCD"/>
    <w:rsid w:val="00B75E66"/>
    <w:rsid w:val="00B761B6"/>
    <w:rsid w:val="00B773BF"/>
    <w:rsid w:val="00B8757D"/>
    <w:rsid w:val="00BA6F69"/>
    <w:rsid w:val="00BB0AD7"/>
    <w:rsid w:val="00BB248F"/>
    <w:rsid w:val="00BB5497"/>
    <w:rsid w:val="00BC1854"/>
    <w:rsid w:val="00BC3F20"/>
    <w:rsid w:val="00BC76F0"/>
    <w:rsid w:val="00BD13E6"/>
    <w:rsid w:val="00BD28B2"/>
    <w:rsid w:val="00BD5A8D"/>
    <w:rsid w:val="00BD7343"/>
    <w:rsid w:val="00BE49B4"/>
    <w:rsid w:val="00BE63F4"/>
    <w:rsid w:val="00BF0556"/>
    <w:rsid w:val="00BF328A"/>
    <w:rsid w:val="00BF37EE"/>
    <w:rsid w:val="00BF3FEB"/>
    <w:rsid w:val="00C024A1"/>
    <w:rsid w:val="00C02C42"/>
    <w:rsid w:val="00C060A6"/>
    <w:rsid w:val="00C108AC"/>
    <w:rsid w:val="00C10FB1"/>
    <w:rsid w:val="00C11282"/>
    <w:rsid w:val="00C14108"/>
    <w:rsid w:val="00C16FD9"/>
    <w:rsid w:val="00C261F8"/>
    <w:rsid w:val="00C27662"/>
    <w:rsid w:val="00C32914"/>
    <w:rsid w:val="00C33100"/>
    <w:rsid w:val="00C3362E"/>
    <w:rsid w:val="00C34D78"/>
    <w:rsid w:val="00C42EDB"/>
    <w:rsid w:val="00C451B9"/>
    <w:rsid w:val="00C460F7"/>
    <w:rsid w:val="00C46DB4"/>
    <w:rsid w:val="00C51D9C"/>
    <w:rsid w:val="00C533BF"/>
    <w:rsid w:val="00C54DA4"/>
    <w:rsid w:val="00C55118"/>
    <w:rsid w:val="00C577D1"/>
    <w:rsid w:val="00C57A2D"/>
    <w:rsid w:val="00C6018C"/>
    <w:rsid w:val="00C66FBA"/>
    <w:rsid w:val="00C67D23"/>
    <w:rsid w:val="00C71827"/>
    <w:rsid w:val="00C75D25"/>
    <w:rsid w:val="00C75E3E"/>
    <w:rsid w:val="00C76E16"/>
    <w:rsid w:val="00C825E5"/>
    <w:rsid w:val="00C83349"/>
    <w:rsid w:val="00C858F6"/>
    <w:rsid w:val="00C919B1"/>
    <w:rsid w:val="00C9579C"/>
    <w:rsid w:val="00C95EB8"/>
    <w:rsid w:val="00C972AF"/>
    <w:rsid w:val="00C972CF"/>
    <w:rsid w:val="00CA0756"/>
    <w:rsid w:val="00CB02C5"/>
    <w:rsid w:val="00CB0D41"/>
    <w:rsid w:val="00CB2B89"/>
    <w:rsid w:val="00CB332B"/>
    <w:rsid w:val="00CB39CD"/>
    <w:rsid w:val="00CB5DFF"/>
    <w:rsid w:val="00CC2A62"/>
    <w:rsid w:val="00CC4C57"/>
    <w:rsid w:val="00CC7CE6"/>
    <w:rsid w:val="00CD044C"/>
    <w:rsid w:val="00CD1A71"/>
    <w:rsid w:val="00CD1FBB"/>
    <w:rsid w:val="00CE033D"/>
    <w:rsid w:val="00CE08E5"/>
    <w:rsid w:val="00CE72C2"/>
    <w:rsid w:val="00D016B5"/>
    <w:rsid w:val="00D034F1"/>
    <w:rsid w:val="00D05828"/>
    <w:rsid w:val="00D06712"/>
    <w:rsid w:val="00D13881"/>
    <w:rsid w:val="00D13CAA"/>
    <w:rsid w:val="00D14C21"/>
    <w:rsid w:val="00D14F42"/>
    <w:rsid w:val="00D171D4"/>
    <w:rsid w:val="00D244CB"/>
    <w:rsid w:val="00D256E8"/>
    <w:rsid w:val="00D25EA8"/>
    <w:rsid w:val="00D27D5E"/>
    <w:rsid w:val="00D32B08"/>
    <w:rsid w:val="00D335D4"/>
    <w:rsid w:val="00D360F5"/>
    <w:rsid w:val="00D407D1"/>
    <w:rsid w:val="00D43E5F"/>
    <w:rsid w:val="00D452D7"/>
    <w:rsid w:val="00D461D9"/>
    <w:rsid w:val="00D51CE6"/>
    <w:rsid w:val="00D53805"/>
    <w:rsid w:val="00D639BD"/>
    <w:rsid w:val="00D65777"/>
    <w:rsid w:val="00D66E0D"/>
    <w:rsid w:val="00D70A0B"/>
    <w:rsid w:val="00D729F5"/>
    <w:rsid w:val="00D7425A"/>
    <w:rsid w:val="00D74F7E"/>
    <w:rsid w:val="00D7523E"/>
    <w:rsid w:val="00D7695F"/>
    <w:rsid w:val="00D815C5"/>
    <w:rsid w:val="00D9039B"/>
    <w:rsid w:val="00D93582"/>
    <w:rsid w:val="00DA41A2"/>
    <w:rsid w:val="00DA43A1"/>
    <w:rsid w:val="00DA5E1D"/>
    <w:rsid w:val="00DB01CD"/>
    <w:rsid w:val="00DB4C2D"/>
    <w:rsid w:val="00DB739E"/>
    <w:rsid w:val="00DB7E7B"/>
    <w:rsid w:val="00DC161C"/>
    <w:rsid w:val="00DC3628"/>
    <w:rsid w:val="00DC4F43"/>
    <w:rsid w:val="00DD024D"/>
    <w:rsid w:val="00DE083E"/>
    <w:rsid w:val="00DE6D90"/>
    <w:rsid w:val="00DE779D"/>
    <w:rsid w:val="00DF002F"/>
    <w:rsid w:val="00DF1D9C"/>
    <w:rsid w:val="00DF75F9"/>
    <w:rsid w:val="00E0244D"/>
    <w:rsid w:val="00E026DF"/>
    <w:rsid w:val="00E02F48"/>
    <w:rsid w:val="00E03712"/>
    <w:rsid w:val="00E06B3F"/>
    <w:rsid w:val="00E10A73"/>
    <w:rsid w:val="00E14F27"/>
    <w:rsid w:val="00E15B2F"/>
    <w:rsid w:val="00E171D2"/>
    <w:rsid w:val="00E2134C"/>
    <w:rsid w:val="00E25534"/>
    <w:rsid w:val="00E319B6"/>
    <w:rsid w:val="00E32145"/>
    <w:rsid w:val="00E32F5A"/>
    <w:rsid w:val="00E43668"/>
    <w:rsid w:val="00E510F3"/>
    <w:rsid w:val="00E516D4"/>
    <w:rsid w:val="00E51874"/>
    <w:rsid w:val="00E60012"/>
    <w:rsid w:val="00E62762"/>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3B1D"/>
    <w:rsid w:val="00EB62B4"/>
    <w:rsid w:val="00EB77B9"/>
    <w:rsid w:val="00EB7D07"/>
    <w:rsid w:val="00ED3A26"/>
    <w:rsid w:val="00EF70BB"/>
    <w:rsid w:val="00F02FA9"/>
    <w:rsid w:val="00F04C9D"/>
    <w:rsid w:val="00F06660"/>
    <w:rsid w:val="00F07AE1"/>
    <w:rsid w:val="00F11184"/>
    <w:rsid w:val="00F116EB"/>
    <w:rsid w:val="00F1794E"/>
    <w:rsid w:val="00F211AF"/>
    <w:rsid w:val="00F23458"/>
    <w:rsid w:val="00F25EC3"/>
    <w:rsid w:val="00F32ADB"/>
    <w:rsid w:val="00F32C98"/>
    <w:rsid w:val="00F37E12"/>
    <w:rsid w:val="00F424BD"/>
    <w:rsid w:val="00F4527A"/>
    <w:rsid w:val="00F45D41"/>
    <w:rsid w:val="00F473C7"/>
    <w:rsid w:val="00F515AD"/>
    <w:rsid w:val="00F542D1"/>
    <w:rsid w:val="00F57DD7"/>
    <w:rsid w:val="00F636AD"/>
    <w:rsid w:val="00F6700B"/>
    <w:rsid w:val="00F676A3"/>
    <w:rsid w:val="00F716F7"/>
    <w:rsid w:val="00F734D9"/>
    <w:rsid w:val="00F73F83"/>
    <w:rsid w:val="00F7457A"/>
    <w:rsid w:val="00F74902"/>
    <w:rsid w:val="00F851E8"/>
    <w:rsid w:val="00F85A4E"/>
    <w:rsid w:val="00F91CA4"/>
    <w:rsid w:val="00F9353A"/>
    <w:rsid w:val="00F963D4"/>
    <w:rsid w:val="00F965C2"/>
    <w:rsid w:val="00FA2356"/>
    <w:rsid w:val="00FA27D4"/>
    <w:rsid w:val="00FA5A79"/>
    <w:rsid w:val="00FB0BFE"/>
    <w:rsid w:val="00FB4300"/>
    <w:rsid w:val="00FB4C51"/>
    <w:rsid w:val="00FB734D"/>
    <w:rsid w:val="00FC03C1"/>
    <w:rsid w:val="00FC3064"/>
    <w:rsid w:val="00FD02A2"/>
    <w:rsid w:val="00FD2704"/>
    <w:rsid w:val="00FD29D5"/>
    <w:rsid w:val="00FD5E64"/>
    <w:rsid w:val="00FD7295"/>
    <w:rsid w:val="00FD7985"/>
    <w:rsid w:val="00FE48F4"/>
    <w:rsid w:val="00FE6526"/>
    <w:rsid w:val="00FE752F"/>
    <w:rsid w:val="00FF1DBD"/>
    <w:rsid w:val="00FF1E4B"/>
    <w:rsid w:val="00FF33E4"/>
    <w:rsid w:val="00FF5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87D"/>
    <w:pPr>
      <w:suppressAutoHyphens/>
      <w:kinsoku w:val="0"/>
      <w:overflowPunct w:val="0"/>
      <w:autoSpaceDE w:val="0"/>
      <w:autoSpaceDN w:val="0"/>
      <w:adjustRightInd w:val="0"/>
      <w:snapToGrid w:val="0"/>
      <w:spacing w:line="240" w:lineRule="atLeast"/>
    </w:pPr>
    <w:rPr>
      <w:rFonts w:eastAsia="Calibr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Calibri"/>
      <w:lang w:val="fr-CH"/>
    </w:rPr>
  </w:style>
  <w:style w:type="character" w:styleId="Lienhypertexte">
    <w:name w:val="Hyperlink"/>
    <w:unhideWhenUsed/>
    <w:rsid w:val="0048687D"/>
    <w:rPr>
      <w:color w:val="0000FF"/>
      <w:u w:val="none"/>
    </w:rPr>
  </w:style>
  <w:style w:type="character" w:styleId="Lienhypertextesuivivisit">
    <w:name w:val="FollowedHyperlink"/>
    <w:unhideWhenUsed/>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En-tteCar">
    <w:name w:val="En-tête Car"/>
    <w:aliases w:val="6_G Car"/>
    <w:link w:val="En-tte"/>
    <w:rsid w:val="0048687D"/>
    <w:rPr>
      <w:rFonts w:eastAsia="Calibri"/>
      <w:b/>
      <w:sz w:val="18"/>
      <w:lang w:val="fr-CH"/>
    </w:rPr>
  </w:style>
  <w:style w:type="character" w:customStyle="1" w:styleId="NotedebasdepageCar">
    <w:name w:val="Note de bas de page Car"/>
    <w:aliases w:val="5_G Car"/>
    <w:link w:val="Notedebasdepage"/>
    <w:rsid w:val="0048687D"/>
    <w:rPr>
      <w:rFonts w:eastAsia="Calibri"/>
      <w:sz w:val="18"/>
      <w:lang w:val="fr-CH"/>
    </w:rPr>
  </w:style>
  <w:style w:type="character" w:customStyle="1" w:styleId="NotedefinCar">
    <w:name w:val="Note de fin Car"/>
    <w:aliases w:val="2_G Car"/>
    <w:link w:val="Notedefin"/>
    <w:rsid w:val="0048687D"/>
    <w:rPr>
      <w:rFonts w:eastAsia="Calibri"/>
      <w:sz w:val="18"/>
      <w:lang w:val="fr-CH"/>
    </w:rPr>
  </w:style>
  <w:style w:type="character" w:customStyle="1" w:styleId="PieddepageCar">
    <w:name w:val="Pied de page Car"/>
    <w:aliases w:val="3_G Car"/>
    <w:link w:val="Pieddepage"/>
    <w:rsid w:val="0048687D"/>
    <w:rPr>
      <w:rFonts w:eastAsia="Calibri"/>
      <w:sz w:val="16"/>
      <w:lang w:val="fr-CH"/>
    </w:rPr>
  </w:style>
  <w:style w:type="character" w:customStyle="1" w:styleId="Titre1Car">
    <w:name w:val="Titre 1 Car"/>
    <w:aliases w:val="Table_G Car"/>
    <w:link w:val="Titre1"/>
    <w:rsid w:val="0048687D"/>
    <w:rPr>
      <w:rFonts w:eastAsia="Calibri"/>
      <w:lang w:val="fr-CH"/>
    </w:rPr>
  </w:style>
  <w:style w:type="character" w:customStyle="1" w:styleId="Titre2Car">
    <w:name w:val="Titre 2 Car"/>
    <w:link w:val="Titre2"/>
    <w:rsid w:val="0048687D"/>
    <w:rPr>
      <w:rFonts w:eastAsia="Calibri"/>
      <w:lang w:val="fr-CH"/>
    </w:rPr>
  </w:style>
  <w:style w:type="character" w:customStyle="1" w:styleId="Titre3Car">
    <w:name w:val="Titre 3 Car"/>
    <w:link w:val="Titre3"/>
    <w:rsid w:val="0048687D"/>
    <w:rPr>
      <w:rFonts w:eastAsia="Calibri"/>
      <w:lang w:val="fr-CH"/>
    </w:rPr>
  </w:style>
  <w:style w:type="character" w:customStyle="1" w:styleId="Titre4Car">
    <w:name w:val="Titre 4 Car"/>
    <w:link w:val="Titre4"/>
    <w:rsid w:val="0048687D"/>
    <w:rPr>
      <w:rFonts w:eastAsia="Calibri"/>
      <w:lang w:val="fr-CH"/>
    </w:rPr>
  </w:style>
  <w:style w:type="character" w:customStyle="1" w:styleId="Titre5Car">
    <w:name w:val="Titre 5 Car"/>
    <w:link w:val="Titre5"/>
    <w:rsid w:val="0048687D"/>
    <w:rPr>
      <w:rFonts w:eastAsia="Calibri"/>
      <w:lang w:val="fr-CH"/>
    </w:rPr>
  </w:style>
  <w:style w:type="character" w:customStyle="1" w:styleId="Titre6Car">
    <w:name w:val="Titre 6 Car"/>
    <w:link w:val="Titre6"/>
    <w:rsid w:val="0048687D"/>
    <w:rPr>
      <w:rFonts w:eastAsia="Calibri"/>
      <w:lang w:val="fr-CH"/>
    </w:rPr>
  </w:style>
  <w:style w:type="character" w:customStyle="1" w:styleId="Titre7Car">
    <w:name w:val="Titre 7 Car"/>
    <w:link w:val="Titre7"/>
    <w:rsid w:val="0048687D"/>
    <w:rPr>
      <w:rFonts w:eastAsia="Calibri"/>
      <w:lang w:val="fr-CH"/>
    </w:rPr>
  </w:style>
  <w:style w:type="character" w:customStyle="1" w:styleId="Titre8Car">
    <w:name w:val="Titre 8 Car"/>
    <w:link w:val="Titre8"/>
    <w:rsid w:val="0048687D"/>
    <w:rPr>
      <w:rFonts w:eastAsia="Calibri"/>
      <w:lang w:val="fr-CH"/>
    </w:rPr>
  </w:style>
  <w:style w:type="character" w:customStyle="1" w:styleId="Titre9Car">
    <w:name w:val="Titre 9 Car"/>
    <w:link w:val="Titre9"/>
    <w:rsid w:val="0048687D"/>
    <w:rPr>
      <w:rFonts w:eastAsia="Calibri"/>
      <w:lang w:val="fr-CH"/>
    </w:rPr>
  </w:style>
  <w:style w:type="character" w:customStyle="1" w:styleId="HChGChar">
    <w:name w:val="_ H _Ch_G Char"/>
    <w:link w:val="HChG"/>
    <w:rsid w:val="00FD29D5"/>
    <w:rPr>
      <w:rFonts w:eastAsia="Calibri"/>
      <w:b/>
      <w:sz w:val="28"/>
      <w:lang w:val="fr-CH"/>
    </w:rPr>
  </w:style>
  <w:style w:type="table" w:customStyle="1" w:styleId="Grilledutableau1">
    <w:name w:val="Grille du tableau1"/>
    <w:basedOn w:val="TableauNormal"/>
    <w:next w:val="Grilledutableau"/>
    <w:semiHidden/>
    <w:rsid w:val="006609D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87D"/>
    <w:pPr>
      <w:suppressAutoHyphens/>
      <w:kinsoku w:val="0"/>
      <w:overflowPunct w:val="0"/>
      <w:autoSpaceDE w:val="0"/>
      <w:autoSpaceDN w:val="0"/>
      <w:adjustRightInd w:val="0"/>
      <w:snapToGrid w:val="0"/>
      <w:spacing w:line="240" w:lineRule="atLeast"/>
    </w:pPr>
    <w:rPr>
      <w:rFonts w:eastAsia="Calibr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Calibri"/>
      <w:lang w:val="fr-CH"/>
    </w:rPr>
  </w:style>
  <w:style w:type="character" w:styleId="Lienhypertexte">
    <w:name w:val="Hyperlink"/>
    <w:unhideWhenUsed/>
    <w:rsid w:val="0048687D"/>
    <w:rPr>
      <w:color w:val="0000FF"/>
      <w:u w:val="none"/>
    </w:rPr>
  </w:style>
  <w:style w:type="character" w:styleId="Lienhypertextesuivivisit">
    <w:name w:val="FollowedHyperlink"/>
    <w:unhideWhenUsed/>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En-tteCar">
    <w:name w:val="En-tête Car"/>
    <w:aliases w:val="6_G Car"/>
    <w:link w:val="En-tte"/>
    <w:rsid w:val="0048687D"/>
    <w:rPr>
      <w:rFonts w:eastAsia="Calibri"/>
      <w:b/>
      <w:sz w:val="18"/>
      <w:lang w:val="fr-CH"/>
    </w:rPr>
  </w:style>
  <w:style w:type="character" w:customStyle="1" w:styleId="NotedebasdepageCar">
    <w:name w:val="Note de bas de page Car"/>
    <w:aliases w:val="5_G Car"/>
    <w:link w:val="Notedebasdepage"/>
    <w:rsid w:val="0048687D"/>
    <w:rPr>
      <w:rFonts w:eastAsia="Calibri"/>
      <w:sz w:val="18"/>
      <w:lang w:val="fr-CH"/>
    </w:rPr>
  </w:style>
  <w:style w:type="character" w:customStyle="1" w:styleId="NotedefinCar">
    <w:name w:val="Note de fin Car"/>
    <w:aliases w:val="2_G Car"/>
    <w:link w:val="Notedefin"/>
    <w:rsid w:val="0048687D"/>
    <w:rPr>
      <w:rFonts w:eastAsia="Calibri"/>
      <w:sz w:val="18"/>
      <w:lang w:val="fr-CH"/>
    </w:rPr>
  </w:style>
  <w:style w:type="character" w:customStyle="1" w:styleId="PieddepageCar">
    <w:name w:val="Pied de page Car"/>
    <w:aliases w:val="3_G Car"/>
    <w:link w:val="Pieddepage"/>
    <w:rsid w:val="0048687D"/>
    <w:rPr>
      <w:rFonts w:eastAsia="Calibri"/>
      <w:sz w:val="16"/>
      <w:lang w:val="fr-CH"/>
    </w:rPr>
  </w:style>
  <w:style w:type="character" w:customStyle="1" w:styleId="Titre1Car">
    <w:name w:val="Titre 1 Car"/>
    <w:aliases w:val="Table_G Car"/>
    <w:link w:val="Titre1"/>
    <w:rsid w:val="0048687D"/>
    <w:rPr>
      <w:rFonts w:eastAsia="Calibri"/>
      <w:lang w:val="fr-CH"/>
    </w:rPr>
  </w:style>
  <w:style w:type="character" w:customStyle="1" w:styleId="Titre2Car">
    <w:name w:val="Titre 2 Car"/>
    <w:link w:val="Titre2"/>
    <w:rsid w:val="0048687D"/>
    <w:rPr>
      <w:rFonts w:eastAsia="Calibri"/>
      <w:lang w:val="fr-CH"/>
    </w:rPr>
  </w:style>
  <w:style w:type="character" w:customStyle="1" w:styleId="Titre3Car">
    <w:name w:val="Titre 3 Car"/>
    <w:link w:val="Titre3"/>
    <w:rsid w:val="0048687D"/>
    <w:rPr>
      <w:rFonts w:eastAsia="Calibri"/>
      <w:lang w:val="fr-CH"/>
    </w:rPr>
  </w:style>
  <w:style w:type="character" w:customStyle="1" w:styleId="Titre4Car">
    <w:name w:val="Titre 4 Car"/>
    <w:link w:val="Titre4"/>
    <w:rsid w:val="0048687D"/>
    <w:rPr>
      <w:rFonts w:eastAsia="Calibri"/>
      <w:lang w:val="fr-CH"/>
    </w:rPr>
  </w:style>
  <w:style w:type="character" w:customStyle="1" w:styleId="Titre5Car">
    <w:name w:val="Titre 5 Car"/>
    <w:link w:val="Titre5"/>
    <w:rsid w:val="0048687D"/>
    <w:rPr>
      <w:rFonts w:eastAsia="Calibri"/>
      <w:lang w:val="fr-CH"/>
    </w:rPr>
  </w:style>
  <w:style w:type="character" w:customStyle="1" w:styleId="Titre6Car">
    <w:name w:val="Titre 6 Car"/>
    <w:link w:val="Titre6"/>
    <w:rsid w:val="0048687D"/>
    <w:rPr>
      <w:rFonts w:eastAsia="Calibri"/>
      <w:lang w:val="fr-CH"/>
    </w:rPr>
  </w:style>
  <w:style w:type="character" w:customStyle="1" w:styleId="Titre7Car">
    <w:name w:val="Titre 7 Car"/>
    <w:link w:val="Titre7"/>
    <w:rsid w:val="0048687D"/>
    <w:rPr>
      <w:rFonts w:eastAsia="Calibri"/>
      <w:lang w:val="fr-CH"/>
    </w:rPr>
  </w:style>
  <w:style w:type="character" w:customStyle="1" w:styleId="Titre8Car">
    <w:name w:val="Titre 8 Car"/>
    <w:link w:val="Titre8"/>
    <w:rsid w:val="0048687D"/>
    <w:rPr>
      <w:rFonts w:eastAsia="Calibri"/>
      <w:lang w:val="fr-CH"/>
    </w:rPr>
  </w:style>
  <w:style w:type="character" w:customStyle="1" w:styleId="Titre9Car">
    <w:name w:val="Titre 9 Car"/>
    <w:link w:val="Titre9"/>
    <w:rsid w:val="0048687D"/>
    <w:rPr>
      <w:rFonts w:eastAsia="Calibri"/>
      <w:lang w:val="fr-CH"/>
    </w:rPr>
  </w:style>
  <w:style w:type="character" w:customStyle="1" w:styleId="HChGChar">
    <w:name w:val="_ H _Ch_G Char"/>
    <w:link w:val="HChG"/>
    <w:rsid w:val="00FD29D5"/>
    <w:rPr>
      <w:rFonts w:eastAsia="Calibri"/>
      <w:b/>
      <w:sz w:val="28"/>
      <w:lang w:val="fr-CH"/>
    </w:rPr>
  </w:style>
  <w:style w:type="table" w:customStyle="1" w:styleId="Grilledutableau1">
    <w:name w:val="Grille du tableau1"/>
    <w:basedOn w:val="TableauNormal"/>
    <w:next w:val="Grilledutableau"/>
    <w:semiHidden/>
    <w:rsid w:val="006609D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oleObject" Target="embeddings/oleObject71.bin"/><Relationship Id="rId303" Type="http://schemas.openxmlformats.org/officeDocument/2006/relationships/header" Target="header90.xml"/><Relationship Id="rId21" Type="http://schemas.openxmlformats.org/officeDocument/2006/relationships/oleObject" Target="embeddings/oleObject2.bin"/><Relationship Id="rId42" Type="http://schemas.openxmlformats.org/officeDocument/2006/relationships/header" Target="header11.xml"/><Relationship Id="rId63" Type="http://schemas.openxmlformats.org/officeDocument/2006/relationships/header" Target="header25.xml"/><Relationship Id="rId84" Type="http://schemas.openxmlformats.org/officeDocument/2006/relationships/oleObject" Target="embeddings/oleObject11.bin"/><Relationship Id="rId138" Type="http://schemas.openxmlformats.org/officeDocument/2006/relationships/header" Target="header37.xml"/><Relationship Id="rId159" Type="http://schemas.openxmlformats.org/officeDocument/2006/relationships/oleObject" Target="embeddings/oleObject37.bin"/><Relationship Id="rId170" Type="http://schemas.openxmlformats.org/officeDocument/2006/relationships/image" Target="media/image71.emf"/><Relationship Id="rId191" Type="http://schemas.openxmlformats.org/officeDocument/2006/relationships/oleObject" Target="embeddings/oleObject50.bin"/><Relationship Id="rId205" Type="http://schemas.openxmlformats.org/officeDocument/2006/relationships/image" Target="media/image86.wmf"/><Relationship Id="rId226" Type="http://schemas.openxmlformats.org/officeDocument/2006/relationships/header" Target="header57.xml"/><Relationship Id="rId247" Type="http://schemas.openxmlformats.org/officeDocument/2006/relationships/oleObject" Target="embeddings/oleObject63.bin"/><Relationship Id="rId107" Type="http://schemas.openxmlformats.org/officeDocument/2006/relationships/image" Target="media/image41.wmf"/><Relationship Id="rId268" Type="http://schemas.openxmlformats.org/officeDocument/2006/relationships/header" Target="header81.xml"/><Relationship Id="rId289" Type="http://schemas.openxmlformats.org/officeDocument/2006/relationships/image" Target="media/image117.wmf"/><Relationship Id="rId11" Type="http://schemas.openxmlformats.org/officeDocument/2006/relationships/footer" Target="footer1.xml"/><Relationship Id="rId32" Type="http://schemas.openxmlformats.org/officeDocument/2006/relationships/image" Target="media/image9.wmf"/><Relationship Id="rId53" Type="http://schemas.openxmlformats.org/officeDocument/2006/relationships/header" Target="header16.xml"/><Relationship Id="rId74" Type="http://schemas.openxmlformats.org/officeDocument/2006/relationships/image" Target="media/image24.wmf"/><Relationship Id="rId128" Type="http://schemas.openxmlformats.org/officeDocument/2006/relationships/header" Target="header35.xml"/><Relationship Id="rId149" Type="http://schemas.openxmlformats.org/officeDocument/2006/relationships/header" Target="header40.xml"/><Relationship Id="rId5" Type="http://schemas.openxmlformats.org/officeDocument/2006/relationships/settings" Target="settings.xml"/><Relationship Id="rId95" Type="http://schemas.openxmlformats.org/officeDocument/2006/relationships/image" Target="media/image35.wmf"/><Relationship Id="rId160" Type="http://schemas.openxmlformats.org/officeDocument/2006/relationships/image" Target="media/image67.wmf"/><Relationship Id="rId181" Type="http://schemas.openxmlformats.org/officeDocument/2006/relationships/oleObject" Target="embeddings/oleObject46.bin"/><Relationship Id="rId216" Type="http://schemas.openxmlformats.org/officeDocument/2006/relationships/header" Target="header53.xml"/><Relationship Id="rId237" Type="http://schemas.openxmlformats.org/officeDocument/2006/relationships/header" Target="header64.xml"/><Relationship Id="rId258" Type="http://schemas.openxmlformats.org/officeDocument/2006/relationships/header" Target="header73.xml"/><Relationship Id="rId279" Type="http://schemas.openxmlformats.org/officeDocument/2006/relationships/header" Target="header88.xml"/><Relationship Id="rId22" Type="http://schemas.openxmlformats.org/officeDocument/2006/relationships/image" Target="media/image6.emf"/><Relationship Id="rId43" Type="http://schemas.openxmlformats.org/officeDocument/2006/relationships/header" Target="header12.xml"/><Relationship Id="rId64" Type="http://schemas.openxmlformats.org/officeDocument/2006/relationships/header" Target="header26.xml"/><Relationship Id="rId118" Type="http://schemas.openxmlformats.org/officeDocument/2006/relationships/image" Target="media/image50.wmf"/><Relationship Id="rId139" Type="http://schemas.openxmlformats.org/officeDocument/2006/relationships/header" Target="header38.xml"/><Relationship Id="rId290" Type="http://schemas.openxmlformats.org/officeDocument/2006/relationships/image" Target="media/image118.wmf"/><Relationship Id="rId304" Type="http://schemas.openxmlformats.org/officeDocument/2006/relationships/image" Target="media/image126.wmf"/><Relationship Id="rId85" Type="http://schemas.openxmlformats.org/officeDocument/2006/relationships/image" Target="media/image30.wmf"/><Relationship Id="rId150" Type="http://schemas.openxmlformats.org/officeDocument/2006/relationships/image" Target="media/image62.wmf"/><Relationship Id="rId171" Type="http://schemas.openxmlformats.org/officeDocument/2006/relationships/oleObject" Target="embeddings/oleObject42.bin"/><Relationship Id="rId192" Type="http://schemas.openxmlformats.org/officeDocument/2006/relationships/oleObject" Target="embeddings/oleObject51.bin"/><Relationship Id="rId206" Type="http://schemas.openxmlformats.org/officeDocument/2006/relationships/image" Target="media/image87.wmf"/><Relationship Id="rId227" Type="http://schemas.openxmlformats.org/officeDocument/2006/relationships/header" Target="header58.xml"/><Relationship Id="rId248" Type="http://schemas.openxmlformats.org/officeDocument/2006/relationships/header" Target="header67.xml"/><Relationship Id="rId269" Type="http://schemas.openxmlformats.org/officeDocument/2006/relationships/header" Target="header82.xml"/><Relationship Id="rId12" Type="http://schemas.openxmlformats.org/officeDocument/2006/relationships/footer" Target="footer2.xml"/><Relationship Id="rId33" Type="http://schemas.openxmlformats.org/officeDocument/2006/relationships/image" Target="media/image10.wmf"/><Relationship Id="rId108" Type="http://schemas.openxmlformats.org/officeDocument/2006/relationships/oleObject" Target="embeddings/oleObject23.bin"/><Relationship Id="rId129" Type="http://schemas.openxmlformats.org/officeDocument/2006/relationships/header" Target="header36.xml"/><Relationship Id="rId280" Type="http://schemas.openxmlformats.org/officeDocument/2006/relationships/image" Target="media/image109.wmf"/><Relationship Id="rId54" Type="http://schemas.openxmlformats.org/officeDocument/2006/relationships/header" Target="header17.xml"/><Relationship Id="rId75" Type="http://schemas.openxmlformats.org/officeDocument/2006/relationships/image" Target="media/image25.wmf"/><Relationship Id="rId96" Type="http://schemas.openxmlformats.org/officeDocument/2006/relationships/oleObject" Target="embeddings/oleObject17.bin"/><Relationship Id="rId140" Type="http://schemas.openxmlformats.org/officeDocument/2006/relationships/footer" Target="footer10.xml"/><Relationship Id="rId161" Type="http://schemas.openxmlformats.org/officeDocument/2006/relationships/oleObject" Target="embeddings/oleObject38.bin"/><Relationship Id="rId182" Type="http://schemas.openxmlformats.org/officeDocument/2006/relationships/image" Target="media/image76.emf"/><Relationship Id="rId217" Type="http://schemas.openxmlformats.org/officeDocument/2006/relationships/header" Target="header54.xml"/><Relationship Id="rId6" Type="http://schemas.openxmlformats.org/officeDocument/2006/relationships/webSettings" Target="webSettings.xml"/><Relationship Id="rId238" Type="http://schemas.openxmlformats.org/officeDocument/2006/relationships/image" Target="media/image99.emf"/><Relationship Id="rId259" Type="http://schemas.openxmlformats.org/officeDocument/2006/relationships/header" Target="header74.xml"/><Relationship Id="rId23" Type="http://schemas.openxmlformats.org/officeDocument/2006/relationships/oleObject" Target="embeddings/oleObject3.bin"/><Relationship Id="rId119" Type="http://schemas.openxmlformats.org/officeDocument/2006/relationships/image" Target="media/image51.wmf"/><Relationship Id="rId270" Type="http://schemas.openxmlformats.org/officeDocument/2006/relationships/image" Target="media/image107.wmf"/><Relationship Id="rId291" Type="http://schemas.openxmlformats.org/officeDocument/2006/relationships/image" Target="media/image119.wmf"/><Relationship Id="rId305" Type="http://schemas.openxmlformats.org/officeDocument/2006/relationships/header" Target="header91.xml"/><Relationship Id="rId44" Type="http://schemas.openxmlformats.org/officeDocument/2006/relationships/image" Target="media/image17.emf"/><Relationship Id="rId65" Type="http://schemas.openxmlformats.org/officeDocument/2006/relationships/header" Target="header27.xml"/><Relationship Id="rId86" Type="http://schemas.openxmlformats.org/officeDocument/2006/relationships/oleObject" Target="embeddings/oleObject12.bin"/><Relationship Id="rId130" Type="http://schemas.openxmlformats.org/officeDocument/2006/relationships/footer" Target="footer8.xml"/><Relationship Id="rId151" Type="http://schemas.openxmlformats.org/officeDocument/2006/relationships/oleObject" Target="embeddings/oleObject33.bin"/><Relationship Id="rId172" Type="http://schemas.openxmlformats.org/officeDocument/2006/relationships/image" Target="media/image72.wmf"/><Relationship Id="rId193" Type="http://schemas.openxmlformats.org/officeDocument/2006/relationships/image" Target="media/image80.wmf"/><Relationship Id="rId207" Type="http://schemas.openxmlformats.org/officeDocument/2006/relationships/image" Target="media/image88.wmf"/><Relationship Id="rId228" Type="http://schemas.openxmlformats.org/officeDocument/2006/relationships/image" Target="media/image97.wmf"/><Relationship Id="rId249" Type="http://schemas.openxmlformats.org/officeDocument/2006/relationships/header" Target="header68.xml"/><Relationship Id="rId13" Type="http://schemas.openxmlformats.org/officeDocument/2006/relationships/footer" Target="footer3.xml"/><Relationship Id="rId109" Type="http://schemas.openxmlformats.org/officeDocument/2006/relationships/image" Target="media/image42.wmf"/><Relationship Id="rId260" Type="http://schemas.openxmlformats.org/officeDocument/2006/relationships/header" Target="header75.xml"/><Relationship Id="rId281" Type="http://schemas.openxmlformats.org/officeDocument/2006/relationships/image" Target="media/image110.wmf"/><Relationship Id="rId34" Type="http://schemas.openxmlformats.org/officeDocument/2006/relationships/image" Target="media/image11.wmf"/><Relationship Id="rId55" Type="http://schemas.openxmlformats.org/officeDocument/2006/relationships/header" Target="header18.xml"/><Relationship Id="rId76" Type="http://schemas.openxmlformats.org/officeDocument/2006/relationships/oleObject" Target="embeddings/oleObject7.bin"/><Relationship Id="rId97" Type="http://schemas.openxmlformats.org/officeDocument/2006/relationships/image" Target="media/image36.wmf"/><Relationship Id="rId120" Type="http://schemas.openxmlformats.org/officeDocument/2006/relationships/image" Target="media/image52.wmf"/><Relationship Id="rId141" Type="http://schemas.openxmlformats.org/officeDocument/2006/relationships/footer" Target="footer11.xml"/><Relationship Id="rId7" Type="http://schemas.openxmlformats.org/officeDocument/2006/relationships/footnotes" Target="footnotes.xml"/><Relationship Id="rId162" Type="http://schemas.openxmlformats.org/officeDocument/2006/relationships/image" Target="media/image68.emf"/><Relationship Id="rId183" Type="http://schemas.openxmlformats.org/officeDocument/2006/relationships/oleObject" Target="embeddings/oleObject47.bin"/><Relationship Id="rId218" Type="http://schemas.openxmlformats.org/officeDocument/2006/relationships/image" Target="media/image94.emf"/><Relationship Id="rId239" Type="http://schemas.openxmlformats.org/officeDocument/2006/relationships/oleObject" Target="embeddings/oleObject60.bin"/><Relationship Id="rId250" Type="http://schemas.openxmlformats.org/officeDocument/2006/relationships/image" Target="media/image103.emf"/><Relationship Id="rId271" Type="http://schemas.openxmlformats.org/officeDocument/2006/relationships/oleObject" Target="embeddings/oleObject66.bin"/><Relationship Id="rId292" Type="http://schemas.openxmlformats.org/officeDocument/2006/relationships/image" Target="media/image120.wmf"/><Relationship Id="rId306" Type="http://schemas.openxmlformats.org/officeDocument/2006/relationships/header" Target="header92.xml"/><Relationship Id="rId24" Type="http://schemas.openxmlformats.org/officeDocument/2006/relationships/header" Target="header5.xml"/><Relationship Id="rId45" Type="http://schemas.openxmlformats.org/officeDocument/2006/relationships/oleObject" Target="embeddings/oleObject4.bin"/><Relationship Id="rId66" Type="http://schemas.openxmlformats.org/officeDocument/2006/relationships/header" Target="header28.xml"/><Relationship Id="rId87" Type="http://schemas.openxmlformats.org/officeDocument/2006/relationships/image" Target="media/image31.wmf"/><Relationship Id="rId110" Type="http://schemas.openxmlformats.org/officeDocument/2006/relationships/image" Target="media/image43.wmf"/><Relationship Id="rId131" Type="http://schemas.openxmlformats.org/officeDocument/2006/relationships/footer" Target="footer9.xml"/><Relationship Id="rId61" Type="http://schemas.openxmlformats.org/officeDocument/2006/relationships/header" Target="header23.xml"/><Relationship Id="rId82" Type="http://schemas.openxmlformats.org/officeDocument/2006/relationships/oleObject" Target="embeddings/oleObject10.bin"/><Relationship Id="rId152" Type="http://schemas.openxmlformats.org/officeDocument/2006/relationships/image" Target="media/image63.wmf"/><Relationship Id="rId173" Type="http://schemas.openxmlformats.org/officeDocument/2006/relationships/oleObject" Target="embeddings/oleObject43.bin"/><Relationship Id="rId194" Type="http://schemas.openxmlformats.org/officeDocument/2006/relationships/header" Target="header47.xml"/><Relationship Id="rId199" Type="http://schemas.openxmlformats.org/officeDocument/2006/relationships/header" Target="header50.xml"/><Relationship Id="rId203" Type="http://schemas.openxmlformats.org/officeDocument/2006/relationships/image" Target="media/image85.wmf"/><Relationship Id="rId208" Type="http://schemas.openxmlformats.org/officeDocument/2006/relationships/image" Target="media/image89.wmf"/><Relationship Id="rId229" Type="http://schemas.openxmlformats.org/officeDocument/2006/relationships/oleObject" Target="embeddings/oleObject58.bin"/><Relationship Id="rId19" Type="http://schemas.openxmlformats.org/officeDocument/2006/relationships/oleObject" Target="embeddings/oleObject1.bin"/><Relationship Id="rId224" Type="http://schemas.openxmlformats.org/officeDocument/2006/relationships/image" Target="media/image96.wmf"/><Relationship Id="rId240" Type="http://schemas.openxmlformats.org/officeDocument/2006/relationships/image" Target="media/image100.wmf"/><Relationship Id="rId245" Type="http://schemas.openxmlformats.org/officeDocument/2006/relationships/oleObject" Target="embeddings/oleObject62.bin"/><Relationship Id="rId261" Type="http://schemas.openxmlformats.org/officeDocument/2006/relationships/header" Target="header76.xml"/><Relationship Id="rId266" Type="http://schemas.openxmlformats.org/officeDocument/2006/relationships/header" Target="header79.xml"/><Relationship Id="rId287" Type="http://schemas.openxmlformats.org/officeDocument/2006/relationships/image" Target="media/image115.wmf"/><Relationship Id="rId14" Type="http://schemas.openxmlformats.org/officeDocument/2006/relationships/header" Target="header3.xml"/><Relationship Id="rId30" Type="http://schemas.openxmlformats.org/officeDocument/2006/relationships/header" Target="header8.xml"/><Relationship Id="rId35" Type="http://schemas.openxmlformats.org/officeDocument/2006/relationships/image" Target="media/image12.wmf"/><Relationship Id="rId56" Type="http://schemas.openxmlformats.org/officeDocument/2006/relationships/header" Target="header19.xml"/><Relationship Id="rId77" Type="http://schemas.openxmlformats.org/officeDocument/2006/relationships/image" Target="media/image26.wmf"/><Relationship Id="rId100" Type="http://schemas.openxmlformats.org/officeDocument/2006/relationships/oleObject" Target="embeddings/oleObject19.bin"/><Relationship Id="rId105" Type="http://schemas.openxmlformats.org/officeDocument/2006/relationships/image" Target="media/image40.wmf"/><Relationship Id="rId126" Type="http://schemas.openxmlformats.org/officeDocument/2006/relationships/header" Target="header33.xml"/><Relationship Id="rId147" Type="http://schemas.openxmlformats.org/officeDocument/2006/relationships/oleObject" Target="embeddings/oleObject32.bin"/><Relationship Id="rId168" Type="http://schemas.openxmlformats.org/officeDocument/2006/relationships/image" Target="media/image70.wmf"/><Relationship Id="rId282" Type="http://schemas.openxmlformats.org/officeDocument/2006/relationships/image" Target="media/image111.wmf"/><Relationship Id="rId312"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header" Target="header32.xml"/><Relationship Id="rId93" Type="http://schemas.openxmlformats.org/officeDocument/2006/relationships/image" Target="media/image34.wmf"/><Relationship Id="rId98" Type="http://schemas.openxmlformats.org/officeDocument/2006/relationships/oleObject" Target="embeddings/oleObject18.bin"/><Relationship Id="rId121" Type="http://schemas.openxmlformats.org/officeDocument/2006/relationships/image" Target="media/image53.wmf"/><Relationship Id="rId142" Type="http://schemas.openxmlformats.org/officeDocument/2006/relationships/image" Target="media/image59.emf"/><Relationship Id="rId163" Type="http://schemas.openxmlformats.org/officeDocument/2006/relationships/oleObject" Target="embeddings/oleObject39.bin"/><Relationship Id="rId184" Type="http://schemas.openxmlformats.org/officeDocument/2006/relationships/header" Target="header45.xml"/><Relationship Id="rId189" Type="http://schemas.openxmlformats.org/officeDocument/2006/relationships/oleObject" Target="embeddings/oleObject49.bin"/><Relationship Id="rId219" Type="http://schemas.openxmlformats.org/officeDocument/2006/relationships/oleObject" Target="embeddings/oleObject55.bin"/><Relationship Id="rId3" Type="http://schemas.openxmlformats.org/officeDocument/2006/relationships/styles" Target="styles.xml"/><Relationship Id="rId214" Type="http://schemas.openxmlformats.org/officeDocument/2006/relationships/header" Target="header52.xml"/><Relationship Id="rId230" Type="http://schemas.openxmlformats.org/officeDocument/2006/relationships/header" Target="header59.xml"/><Relationship Id="rId235" Type="http://schemas.openxmlformats.org/officeDocument/2006/relationships/oleObject" Target="embeddings/oleObject59.bin"/><Relationship Id="rId251" Type="http://schemas.openxmlformats.org/officeDocument/2006/relationships/oleObject" Target="embeddings/oleObject64.bin"/><Relationship Id="rId256" Type="http://schemas.openxmlformats.org/officeDocument/2006/relationships/image" Target="media/image104.emf"/><Relationship Id="rId277" Type="http://schemas.openxmlformats.org/officeDocument/2006/relationships/header" Target="header86.xml"/><Relationship Id="rId298" Type="http://schemas.openxmlformats.org/officeDocument/2006/relationships/image" Target="media/image124.wmf"/><Relationship Id="rId25" Type="http://schemas.openxmlformats.org/officeDocument/2006/relationships/header" Target="header6.xml"/><Relationship Id="rId46" Type="http://schemas.openxmlformats.org/officeDocument/2006/relationships/image" Target="media/image18.emf"/><Relationship Id="rId67" Type="http://schemas.openxmlformats.org/officeDocument/2006/relationships/header" Target="header29.xml"/><Relationship Id="rId116" Type="http://schemas.openxmlformats.org/officeDocument/2006/relationships/image" Target="media/image48.wmf"/><Relationship Id="rId137" Type="http://schemas.openxmlformats.org/officeDocument/2006/relationships/oleObject" Target="embeddings/oleObject29.bin"/><Relationship Id="rId158" Type="http://schemas.openxmlformats.org/officeDocument/2006/relationships/image" Target="media/image66.wmf"/><Relationship Id="rId272" Type="http://schemas.openxmlformats.org/officeDocument/2006/relationships/image" Target="media/image108.wmf"/><Relationship Id="rId293" Type="http://schemas.openxmlformats.org/officeDocument/2006/relationships/image" Target="media/image121.emf"/><Relationship Id="rId302" Type="http://schemas.openxmlformats.org/officeDocument/2006/relationships/header" Target="header89.xml"/><Relationship Id="rId307" Type="http://schemas.openxmlformats.org/officeDocument/2006/relationships/image" Target="media/image127.wmf"/><Relationship Id="rId20" Type="http://schemas.openxmlformats.org/officeDocument/2006/relationships/image" Target="media/image5.wmf"/><Relationship Id="rId41" Type="http://schemas.openxmlformats.org/officeDocument/2006/relationships/header" Target="header10.xml"/><Relationship Id="rId62" Type="http://schemas.openxmlformats.org/officeDocument/2006/relationships/header" Target="header24.xml"/><Relationship Id="rId83" Type="http://schemas.openxmlformats.org/officeDocument/2006/relationships/image" Target="media/image29.wmf"/><Relationship Id="rId88" Type="http://schemas.openxmlformats.org/officeDocument/2006/relationships/oleObject" Target="embeddings/oleObject13.bin"/><Relationship Id="rId111" Type="http://schemas.openxmlformats.org/officeDocument/2006/relationships/image" Target="media/image44.wmf"/><Relationship Id="rId132" Type="http://schemas.openxmlformats.org/officeDocument/2006/relationships/image" Target="media/image56.emf"/><Relationship Id="rId153" Type="http://schemas.openxmlformats.org/officeDocument/2006/relationships/oleObject" Target="embeddings/oleObject34.bin"/><Relationship Id="rId174" Type="http://schemas.openxmlformats.org/officeDocument/2006/relationships/header" Target="header43.xml"/><Relationship Id="rId179" Type="http://schemas.openxmlformats.org/officeDocument/2006/relationships/oleObject" Target="embeddings/oleObject45.bin"/><Relationship Id="rId195" Type="http://schemas.openxmlformats.org/officeDocument/2006/relationships/header" Target="header48.xml"/><Relationship Id="rId209" Type="http://schemas.openxmlformats.org/officeDocument/2006/relationships/image" Target="media/image90.wmf"/><Relationship Id="rId190" Type="http://schemas.openxmlformats.org/officeDocument/2006/relationships/image" Target="media/image79.wmf"/><Relationship Id="rId204" Type="http://schemas.openxmlformats.org/officeDocument/2006/relationships/oleObject" Target="embeddings/oleObject53.bin"/><Relationship Id="rId220" Type="http://schemas.openxmlformats.org/officeDocument/2006/relationships/header" Target="header55.xml"/><Relationship Id="rId225" Type="http://schemas.openxmlformats.org/officeDocument/2006/relationships/oleObject" Target="embeddings/oleObject57.bin"/><Relationship Id="rId241" Type="http://schemas.openxmlformats.org/officeDocument/2006/relationships/oleObject" Target="embeddings/oleObject61.bin"/><Relationship Id="rId246" Type="http://schemas.openxmlformats.org/officeDocument/2006/relationships/image" Target="media/image102.emf"/><Relationship Id="rId267" Type="http://schemas.openxmlformats.org/officeDocument/2006/relationships/header" Target="header80.xml"/><Relationship Id="rId288" Type="http://schemas.openxmlformats.org/officeDocument/2006/relationships/image" Target="media/image116.wmf"/><Relationship Id="rId15" Type="http://schemas.openxmlformats.org/officeDocument/2006/relationships/header" Target="header4.xml"/><Relationship Id="rId36" Type="http://schemas.openxmlformats.org/officeDocument/2006/relationships/image" Target="media/image13.wmf"/><Relationship Id="rId57" Type="http://schemas.openxmlformats.org/officeDocument/2006/relationships/header" Target="header20.xml"/><Relationship Id="rId106" Type="http://schemas.openxmlformats.org/officeDocument/2006/relationships/oleObject" Target="embeddings/oleObject22.bin"/><Relationship Id="rId127" Type="http://schemas.openxmlformats.org/officeDocument/2006/relationships/header" Target="header34.xml"/><Relationship Id="rId262" Type="http://schemas.openxmlformats.org/officeDocument/2006/relationships/image" Target="media/image105.wmf"/><Relationship Id="rId283" Type="http://schemas.openxmlformats.org/officeDocument/2006/relationships/image" Target="media/image112.emf"/><Relationship Id="rId313"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8.wmf"/><Relationship Id="rId52" Type="http://schemas.openxmlformats.org/officeDocument/2006/relationships/header" Target="header15.xml"/><Relationship Id="rId73" Type="http://schemas.openxmlformats.org/officeDocument/2006/relationships/image" Target="media/image23.emf"/><Relationship Id="rId78" Type="http://schemas.openxmlformats.org/officeDocument/2006/relationships/oleObject" Target="embeddings/oleObject8.bin"/><Relationship Id="rId94" Type="http://schemas.openxmlformats.org/officeDocument/2006/relationships/oleObject" Target="embeddings/oleObject16.bin"/><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image" Target="media/image54.wmf"/><Relationship Id="rId143" Type="http://schemas.openxmlformats.org/officeDocument/2006/relationships/oleObject" Target="embeddings/oleObject30.bin"/><Relationship Id="rId148" Type="http://schemas.openxmlformats.org/officeDocument/2006/relationships/header" Target="header39.xml"/><Relationship Id="rId164" Type="http://schemas.openxmlformats.org/officeDocument/2006/relationships/image" Target="media/image69.wmf"/><Relationship Id="rId169" Type="http://schemas.openxmlformats.org/officeDocument/2006/relationships/oleObject" Target="embeddings/oleObject41.bin"/><Relationship Id="rId185" Type="http://schemas.openxmlformats.org/officeDocument/2006/relationships/header" Target="header46.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75.wmf"/><Relationship Id="rId210" Type="http://schemas.openxmlformats.org/officeDocument/2006/relationships/image" Target="media/image91.wmf"/><Relationship Id="rId215" Type="http://schemas.openxmlformats.org/officeDocument/2006/relationships/image" Target="media/image93.png"/><Relationship Id="rId236" Type="http://schemas.openxmlformats.org/officeDocument/2006/relationships/header" Target="header63.xml"/><Relationship Id="rId257" Type="http://schemas.openxmlformats.org/officeDocument/2006/relationships/oleObject" Target="embeddings/oleObject65.bin"/><Relationship Id="rId278" Type="http://schemas.openxmlformats.org/officeDocument/2006/relationships/header" Target="header87.xml"/><Relationship Id="rId26" Type="http://schemas.openxmlformats.org/officeDocument/2006/relationships/footer" Target="footer6.xml"/><Relationship Id="rId231" Type="http://schemas.openxmlformats.org/officeDocument/2006/relationships/header" Target="header60.xml"/><Relationship Id="rId252" Type="http://schemas.openxmlformats.org/officeDocument/2006/relationships/header" Target="header69.xml"/><Relationship Id="rId273" Type="http://schemas.openxmlformats.org/officeDocument/2006/relationships/oleObject" Target="embeddings/oleObject67.bin"/><Relationship Id="rId294" Type="http://schemas.openxmlformats.org/officeDocument/2006/relationships/oleObject" Target="embeddings/oleObject69.bin"/><Relationship Id="rId308" Type="http://schemas.openxmlformats.org/officeDocument/2006/relationships/oleObject" Target="embeddings/oleObject73.bin"/><Relationship Id="rId47" Type="http://schemas.openxmlformats.org/officeDocument/2006/relationships/oleObject" Target="embeddings/oleObject5.bin"/><Relationship Id="rId68" Type="http://schemas.openxmlformats.org/officeDocument/2006/relationships/header" Target="header30.xml"/><Relationship Id="rId89" Type="http://schemas.openxmlformats.org/officeDocument/2006/relationships/image" Target="media/image32.wmf"/><Relationship Id="rId112" Type="http://schemas.openxmlformats.org/officeDocument/2006/relationships/image" Target="media/image45.wmf"/><Relationship Id="rId133" Type="http://schemas.openxmlformats.org/officeDocument/2006/relationships/oleObject" Target="embeddings/oleObject27.bin"/><Relationship Id="rId154" Type="http://schemas.openxmlformats.org/officeDocument/2006/relationships/image" Target="media/image64.emf"/><Relationship Id="rId175" Type="http://schemas.openxmlformats.org/officeDocument/2006/relationships/header" Target="header44.xml"/><Relationship Id="rId196" Type="http://schemas.openxmlformats.org/officeDocument/2006/relationships/image" Target="media/image81.wmf"/><Relationship Id="rId200" Type="http://schemas.openxmlformats.org/officeDocument/2006/relationships/image" Target="media/image82.wmf"/><Relationship Id="rId16" Type="http://schemas.openxmlformats.org/officeDocument/2006/relationships/footer" Target="footer4.xml"/><Relationship Id="rId221" Type="http://schemas.openxmlformats.org/officeDocument/2006/relationships/header" Target="header56.xml"/><Relationship Id="rId242" Type="http://schemas.openxmlformats.org/officeDocument/2006/relationships/header" Target="header65.xml"/><Relationship Id="rId263" Type="http://schemas.openxmlformats.org/officeDocument/2006/relationships/image" Target="media/image106.png"/><Relationship Id="rId284" Type="http://schemas.openxmlformats.org/officeDocument/2006/relationships/oleObject" Target="embeddings/oleObject68.bin"/><Relationship Id="rId37" Type="http://schemas.openxmlformats.org/officeDocument/2006/relationships/image" Target="media/image14.wmf"/><Relationship Id="rId58" Type="http://schemas.openxmlformats.org/officeDocument/2006/relationships/header" Target="header21.xml"/><Relationship Id="rId79" Type="http://schemas.openxmlformats.org/officeDocument/2006/relationships/image" Target="media/image27.wmf"/><Relationship Id="rId102" Type="http://schemas.openxmlformats.org/officeDocument/2006/relationships/oleObject" Target="embeddings/oleObject20.bin"/><Relationship Id="rId123" Type="http://schemas.openxmlformats.org/officeDocument/2006/relationships/oleObject" Target="embeddings/oleObject25.bin"/><Relationship Id="rId144" Type="http://schemas.openxmlformats.org/officeDocument/2006/relationships/image" Target="media/image60.wmf"/><Relationship Id="rId90" Type="http://schemas.openxmlformats.org/officeDocument/2006/relationships/oleObject" Target="embeddings/oleObject14.bin"/><Relationship Id="rId165" Type="http://schemas.openxmlformats.org/officeDocument/2006/relationships/oleObject" Target="embeddings/oleObject40.bin"/><Relationship Id="rId186" Type="http://schemas.openxmlformats.org/officeDocument/2006/relationships/image" Target="media/image77.emf"/><Relationship Id="rId211" Type="http://schemas.openxmlformats.org/officeDocument/2006/relationships/oleObject" Target="embeddings/oleObject54.bin"/><Relationship Id="rId232" Type="http://schemas.openxmlformats.org/officeDocument/2006/relationships/header" Target="header61.xml"/><Relationship Id="rId253" Type="http://schemas.openxmlformats.org/officeDocument/2006/relationships/header" Target="header70.xml"/><Relationship Id="rId274" Type="http://schemas.openxmlformats.org/officeDocument/2006/relationships/header" Target="header83.xml"/><Relationship Id="rId295" Type="http://schemas.openxmlformats.org/officeDocument/2006/relationships/image" Target="media/image122.emf"/><Relationship Id="rId309" Type="http://schemas.openxmlformats.org/officeDocument/2006/relationships/image" Target="media/image128.wmf"/><Relationship Id="rId27" Type="http://schemas.openxmlformats.org/officeDocument/2006/relationships/footer" Target="footer7.xml"/><Relationship Id="rId48" Type="http://schemas.openxmlformats.org/officeDocument/2006/relationships/header" Target="header13.xml"/><Relationship Id="rId69" Type="http://schemas.openxmlformats.org/officeDocument/2006/relationships/image" Target="media/image21.emf"/><Relationship Id="rId113" Type="http://schemas.openxmlformats.org/officeDocument/2006/relationships/image" Target="media/image46.wmf"/><Relationship Id="rId134" Type="http://schemas.openxmlformats.org/officeDocument/2006/relationships/image" Target="media/image57.wmf"/><Relationship Id="rId80" Type="http://schemas.openxmlformats.org/officeDocument/2006/relationships/oleObject" Target="embeddings/oleObject9.bin"/><Relationship Id="rId155" Type="http://schemas.openxmlformats.org/officeDocument/2006/relationships/oleObject" Target="embeddings/oleObject35.bin"/><Relationship Id="rId176" Type="http://schemas.openxmlformats.org/officeDocument/2006/relationships/image" Target="media/image73.wmf"/><Relationship Id="rId197" Type="http://schemas.openxmlformats.org/officeDocument/2006/relationships/oleObject" Target="embeddings/oleObject52.bin"/><Relationship Id="rId201" Type="http://schemas.openxmlformats.org/officeDocument/2006/relationships/image" Target="media/image83.wmf"/><Relationship Id="rId222" Type="http://schemas.openxmlformats.org/officeDocument/2006/relationships/image" Target="media/image95.emf"/><Relationship Id="rId243" Type="http://schemas.openxmlformats.org/officeDocument/2006/relationships/header" Target="header66.xml"/><Relationship Id="rId264" Type="http://schemas.openxmlformats.org/officeDocument/2006/relationships/header" Target="header77.xml"/><Relationship Id="rId285" Type="http://schemas.openxmlformats.org/officeDocument/2006/relationships/image" Target="media/image113.wmf"/><Relationship Id="rId17" Type="http://schemas.openxmlformats.org/officeDocument/2006/relationships/footer" Target="footer5.xml"/><Relationship Id="rId38" Type="http://schemas.openxmlformats.org/officeDocument/2006/relationships/image" Target="media/image15.wmf"/><Relationship Id="rId59" Type="http://schemas.openxmlformats.org/officeDocument/2006/relationships/header" Target="header22.xml"/><Relationship Id="rId103" Type="http://schemas.openxmlformats.org/officeDocument/2006/relationships/image" Target="media/image39.wmf"/><Relationship Id="rId124" Type="http://schemas.openxmlformats.org/officeDocument/2006/relationships/image" Target="media/image55.wmf"/><Relationship Id="rId310" Type="http://schemas.openxmlformats.org/officeDocument/2006/relationships/header" Target="header93.xml"/><Relationship Id="rId70" Type="http://schemas.openxmlformats.org/officeDocument/2006/relationships/image" Target="media/image22.emf"/><Relationship Id="rId91" Type="http://schemas.openxmlformats.org/officeDocument/2006/relationships/image" Target="media/image33.wmf"/><Relationship Id="rId145" Type="http://schemas.openxmlformats.org/officeDocument/2006/relationships/oleObject" Target="embeddings/oleObject31.bin"/><Relationship Id="rId166" Type="http://schemas.openxmlformats.org/officeDocument/2006/relationships/header" Target="header41.xml"/><Relationship Id="rId187" Type="http://schemas.openxmlformats.org/officeDocument/2006/relationships/oleObject" Target="embeddings/oleObject48.bin"/><Relationship Id="rId1" Type="http://schemas.openxmlformats.org/officeDocument/2006/relationships/customXml" Target="../customXml/item1.xml"/><Relationship Id="rId212" Type="http://schemas.openxmlformats.org/officeDocument/2006/relationships/image" Target="media/image92.wmf"/><Relationship Id="rId233" Type="http://schemas.openxmlformats.org/officeDocument/2006/relationships/header" Target="header62.xml"/><Relationship Id="rId254" Type="http://schemas.openxmlformats.org/officeDocument/2006/relationships/header" Target="header71.xml"/><Relationship Id="rId28" Type="http://schemas.openxmlformats.org/officeDocument/2006/relationships/image" Target="media/image7.wmf"/><Relationship Id="rId49" Type="http://schemas.openxmlformats.org/officeDocument/2006/relationships/header" Target="header14.xml"/><Relationship Id="rId114" Type="http://schemas.openxmlformats.org/officeDocument/2006/relationships/image" Target="media/image47.wmf"/><Relationship Id="rId275" Type="http://schemas.openxmlformats.org/officeDocument/2006/relationships/header" Target="header84.xml"/><Relationship Id="rId296" Type="http://schemas.openxmlformats.org/officeDocument/2006/relationships/oleObject" Target="embeddings/oleObject70.bin"/><Relationship Id="rId300" Type="http://schemas.openxmlformats.org/officeDocument/2006/relationships/image" Target="media/image125.wmf"/><Relationship Id="rId60" Type="http://schemas.openxmlformats.org/officeDocument/2006/relationships/image" Target="media/image20.emf"/><Relationship Id="rId81" Type="http://schemas.openxmlformats.org/officeDocument/2006/relationships/image" Target="media/image28.wmf"/><Relationship Id="rId135" Type="http://schemas.openxmlformats.org/officeDocument/2006/relationships/oleObject" Target="embeddings/oleObject28.bin"/><Relationship Id="rId156" Type="http://schemas.openxmlformats.org/officeDocument/2006/relationships/image" Target="media/image65.wmf"/><Relationship Id="rId177" Type="http://schemas.openxmlformats.org/officeDocument/2006/relationships/oleObject" Target="embeddings/oleObject44.bin"/><Relationship Id="rId198" Type="http://schemas.openxmlformats.org/officeDocument/2006/relationships/header" Target="header49.xml"/><Relationship Id="rId202" Type="http://schemas.openxmlformats.org/officeDocument/2006/relationships/image" Target="media/image84.wmf"/><Relationship Id="rId223" Type="http://schemas.openxmlformats.org/officeDocument/2006/relationships/oleObject" Target="embeddings/oleObject56.bin"/><Relationship Id="rId244" Type="http://schemas.openxmlformats.org/officeDocument/2006/relationships/image" Target="media/image101.emf"/><Relationship Id="rId18" Type="http://schemas.openxmlformats.org/officeDocument/2006/relationships/image" Target="media/image4.emf"/><Relationship Id="rId39" Type="http://schemas.openxmlformats.org/officeDocument/2006/relationships/image" Target="media/image16.wmf"/><Relationship Id="rId265" Type="http://schemas.openxmlformats.org/officeDocument/2006/relationships/header" Target="header78.xml"/><Relationship Id="rId286" Type="http://schemas.openxmlformats.org/officeDocument/2006/relationships/image" Target="media/image114.wmf"/><Relationship Id="rId50" Type="http://schemas.openxmlformats.org/officeDocument/2006/relationships/image" Target="media/image19.emf"/><Relationship Id="rId104" Type="http://schemas.openxmlformats.org/officeDocument/2006/relationships/oleObject" Target="embeddings/oleObject21.bin"/><Relationship Id="rId125" Type="http://schemas.openxmlformats.org/officeDocument/2006/relationships/oleObject" Target="embeddings/oleObject26.bin"/><Relationship Id="rId146" Type="http://schemas.openxmlformats.org/officeDocument/2006/relationships/image" Target="media/image61.emf"/><Relationship Id="rId167" Type="http://schemas.openxmlformats.org/officeDocument/2006/relationships/header" Target="header42.xml"/><Relationship Id="rId188" Type="http://schemas.openxmlformats.org/officeDocument/2006/relationships/image" Target="media/image78.wmf"/><Relationship Id="rId311" Type="http://schemas.openxmlformats.org/officeDocument/2006/relationships/header" Target="header94.xml"/><Relationship Id="rId71" Type="http://schemas.openxmlformats.org/officeDocument/2006/relationships/header" Target="header31.xml"/><Relationship Id="rId92" Type="http://schemas.openxmlformats.org/officeDocument/2006/relationships/oleObject" Target="embeddings/oleObject15.bin"/><Relationship Id="rId213" Type="http://schemas.openxmlformats.org/officeDocument/2006/relationships/header" Target="header51.xml"/><Relationship Id="rId234" Type="http://schemas.openxmlformats.org/officeDocument/2006/relationships/image" Target="media/image98.emf"/><Relationship Id="rId2" Type="http://schemas.openxmlformats.org/officeDocument/2006/relationships/numbering" Target="numbering.xml"/><Relationship Id="rId29" Type="http://schemas.openxmlformats.org/officeDocument/2006/relationships/header" Target="header7.xml"/><Relationship Id="rId255" Type="http://schemas.openxmlformats.org/officeDocument/2006/relationships/header" Target="header72.xml"/><Relationship Id="rId276" Type="http://schemas.openxmlformats.org/officeDocument/2006/relationships/header" Target="header85.xml"/><Relationship Id="rId297" Type="http://schemas.openxmlformats.org/officeDocument/2006/relationships/image" Target="media/image123.wmf"/><Relationship Id="rId40" Type="http://schemas.openxmlformats.org/officeDocument/2006/relationships/header" Target="header9.xml"/><Relationship Id="rId115" Type="http://schemas.openxmlformats.org/officeDocument/2006/relationships/oleObject" Target="embeddings/oleObject24.bin"/><Relationship Id="rId136" Type="http://schemas.openxmlformats.org/officeDocument/2006/relationships/image" Target="media/image58.emf"/><Relationship Id="rId157" Type="http://schemas.openxmlformats.org/officeDocument/2006/relationships/oleObject" Target="embeddings/oleObject36.bin"/><Relationship Id="rId178" Type="http://schemas.openxmlformats.org/officeDocument/2006/relationships/image" Target="media/image74.wmf"/><Relationship Id="rId301" Type="http://schemas.openxmlformats.org/officeDocument/2006/relationships/oleObject" Target="embeddings/oleObject72.bin"/></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rpe/pmp19.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0\Rapports\E_ECE_32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3C4A6-B6FE-4148-9E09-D5A60CE2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E_ECE_324.dotx</Template>
  <TotalTime>1</TotalTime>
  <Pages>289</Pages>
  <Words>91616</Words>
  <Characters>522217</Characters>
  <Application>Microsoft Office Word</Application>
  <DocSecurity>0</DocSecurity>
  <Lines>4351</Lines>
  <Paragraphs>1225</Paragraphs>
  <ScaleCrop>false</ScaleCrop>
  <HeadingPairs>
    <vt:vector size="2" baseType="variant">
      <vt:variant>
        <vt:lpstr>Titre</vt:lpstr>
      </vt:variant>
      <vt:variant>
        <vt:i4>1</vt:i4>
      </vt:variant>
    </vt:vector>
  </HeadingPairs>
  <TitlesOfParts>
    <vt:vector size="1" baseType="lpstr">
      <vt:lpstr>E/ECE/324/Rev.1/Add.82/Rev.5</vt:lpstr>
    </vt:vector>
  </TitlesOfParts>
  <Company>CSD</Company>
  <LinksUpToDate>false</LinksUpToDate>
  <CharactersWithSpaces>612608</CharactersWithSpaces>
  <SharedDoc>false</SharedDoc>
  <HLinks>
    <vt:vector size="18" baseType="variant">
      <vt:variant>
        <vt:i4>262171</vt:i4>
      </vt:variant>
      <vt:variant>
        <vt:i4>6</vt:i4>
      </vt:variant>
      <vt:variant>
        <vt:i4>0</vt:i4>
      </vt:variant>
      <vt:variant>
        <vt:i4>5</vt:i4>
      </vt:variant>
      <vt:variant>
        <vt:lpwstr>http://www.unece.org/trans/main/wp29/wp29wgs/wp29grpe/pmp19.html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E/ECE/324/Rev.1/Add.82/Rev.5</dc:title>
  <dc:subject>Final</dc:subject>
  <dc:creator>Granet</dc:creator>
  <cp:keywords/>
  <dc:description/>
  <cp:lastModifiedBy>Julien Okrzesik</cp:lastModifiedBy>
  <cp:revision>3</cp:revision>
  <cp:lastPrinted>2015-04-10T11:38:00Z</cp:lastPrinted>
  <dcterms:created xsi:type="dcterms:W3CDTF">2015-04-10T11:38:00Z</dcterms:created>
  <dcterms:modified xsi:type="dcterms:W3CDTF">2015-04-10T11:39:00Z</dcterms:modified>
</cp:coreProperties>
</file>