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26"/>
        <w:gridCol w:w="266"/>
        <w:gridCol w:w="5450"/>
        <w:gridCol w:w="2930"/>
      </w:tblGrid>
      <w:tr w:rsidR="00BA3D5F" w:rsidRPr="004B08B5" w:rsidTr="003F3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D5F" w:rsidRDefault="00BA3D5F" w:rsidP="0001587B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5F" w:rsidRPr="00963CBA" w:rsidRDefault="00BA3D5F" w:rsidP="0001587B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5F" w:rsidRPr="003F3885" w:rsidRDefault="00BA3D5F" w:rsidP="004B08B5">
            <w:pPr>
              <w:spacing w:after="80" w:line="340" w:lineRule="exact"/>
              <w:jc w:val="right"/>
              <w:rPr>
                <w:sz w:val="20"/>
                <w:lang w:val="en-US"/>
              </w:rPr>
            </w:pPr>
            <w:r>
              <w:fldChar w:fldCharType="begin"/>
            </w:r>
            <w:r w:rsidRPr="003F3885">
              <w:rPr>
                <w:sz w:val="20"/>
                <w:lang w:val="en-US"/>
              </w:rPr>
              <w:instrText xml:space="preserve"> FILLIN  "</w:instrText>
            </w:r>
            <w:r>
              <w:rPr>
                <w:sz w:val="20"/>
              </w:rPr>
              <w:instrText>Введите</w:instrText>
            </w:r>
            <w:r w:rsidRPr="003F3885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</w:rPr>
              <w:instrText>символ</w:instrText>
            </w:r>
            <w:r w:rsidRPr="003F3885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</w:rPr>
              <w:instrText>документа</w:instrText>
            </w:r>
            <w:r w:rsidRPr="003F3885">
              <w:rPr>
                <w:sz w:val="20"/>
                <w:lang w:val="en-US"/>
              </w:rPr>
              <w:instrText xml:space="preserve">"  \* MERGEFORMAT </w:instrText>
            </w:r>
            <w:r>
              <w:fldChar w:fldCharType="separate"/>
            </w:r>
            <w:r w:rsidR="003F3885" w:rsidRPr="003F3885">
              <w:rPr>
                <w:sz w:val="40"/>
                <w:szCs w:val="40"/>
                <w:lang w:val="en-US"/>
              </w:rPr>
              <w:t>E</w:t>
            </w:r>
            <w:r w:rsidR="003F3885" w:rsidRPr="003F3885">
              <w:rPr>
                <w:sz w:val="20"/>
                <w:lang w:val="en-US"/>
              </w:rPr>
              <w:t>/ECE/324/Rev.1/Add.</w:t>
            </w:r>
            <w:r w:rsidR="004B08B5">
              <w:rPr>
                <w:sz w:val="20"/>
                <w:lang w:val="en-US"/>
              </w:rPr>
              <w:t>74/Rev.2/Amend.1</w:t>
            </w:r>
            <w:r w:rsidR="00817739">
              <w:rPr>
                <w:sz w:val="20"/>
                <w:lang w:val="en-US"/>
              </w:rPr>
              <w:t>−</w:t>
            </w:r>
            <w:r w:rsidR="00817739" w:rsidRPr="00B91839">
              <w:rPr>
                <w:sz w:val="40"/>
                <w:szCs w:val="40"/>
                <w:lang w:val="en-US"/>
              </w:rPr>
              <w:t>E</w:t>
            </w:r>
            <w:r w:rsidR="00817739" w:rsidRPr="00B91839">
              <w:rPr>
                <w:sz w:val="20"/>
                <w:lang w:val="en-US"/>
              </w:rPr>
              <w:t>/ECE/TRANS/505/Rev.1/Add.</w:t>
            </w:r>
            <w:r w:rsidR="004B08B5">
              <w:rPr>
                <w:sz w:val="20"/>
                <w:lang w:val="en-US"/>
              </w:rPr>
              <w:t>74/Rev.2/Amend.1</w:t>
            </w:r>
            <w:r>
              <w:fldChar w:fldCharType="end"/>
            </w:r>
          </w:p>
        </w:tc>
      </w:tr>
      <w:tr w:rsidR="00BA3D5F" w:rsidTr="003F3885">
        <w:trPr>
          <w:trHeight w:val="2835"/>
        </w:trPr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3F3885" w:rsidRDefault="00BA3D5F" w:rsidP="0001587B">
            <w:pPr>
              <w:rPr>
                <w:lang w:val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3F3885" w:rsidRDefault="00BA3D5F" w:rsidP="0001587B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3D5F" w:rsidRPr="00B172D2" w:rsidRDefault="00BA3D5F" w:rsidP="0001587B">
            <w:pPr>
              <w:spacing w:before="240" w:after="0"/>
              <w:rPr>
                <w:sz w:val="20"/>
                <w:lang w:val="en-US"/>
              </w:rPr>
            </w:pPr>
          </w:p>
          <w:p w:rsidR="00BA3D5F" w:rsidRPr="00B172D2" w:rsidRDefault="00BA3D5F" w:rsidP="004B08B5">
            <w:pPr>
              <w:spacing w:before="0" w:after="0"/>
              <w:rPr>
                <w:sz w:val="20"/>
                <w:lang w:val="en-US"/>
              </w:rPr>
            </w:pPr>
            <w:r w:rsidRPr="00B172D2">
              <w:rPr>
                <w:lang w:val="en-US"/>
              </w:rPr>
              <w:fldChar w:fldCharType="begin"/>
            </w:r>
            <w:r w:rsidRPr="00B172D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Pr="00B172D2">
              <w:rPr>
                <w:lang w:val="en-US"/>
              </w:rPr>
              <w:fldChar w:fldCharType="separate"/>
            </w:r>
            <w:r w:rsidR="00817739">
              <w:rPr>
                <w:sz w:val="20"/>
                <w:lang w:val="en-US"/>
              </w:rPr>
              <w:t xml:space="preserve">3 </w:t>
            </w:r>
            <w:r w:rsidR="004B08B5">
              <w:rPr>
                <w:sz w:val="20"/>
                <w:lang w:val="en-US"/>
              </w:rPr>
              <w:t xml:space="preserve">February </w:t>
            </w:r>
            <w:r w:rsidR="003F3885">
              <w:rPr>
                <w:sz w:val="20"/>
                <w:lang w:val="en-US"/>
              </w:rPr>
              <w:t>2015</w:t>
            </w:r>
            <w:r w:rsidRPr="00B172D2">
              <w:rPr>
                <w:lang w:val="en-US"/>
              </w:rPr>
              <w:fldChar w:fldCharType="end"/>
            </w:r>
          </w:p>
          <w:p w:rsidR="00BA3D5F" w:rsidRPr="00B172D2" w:rsidRDefault="00BA3D5F" w:rsidP="0001587B">
            <w:pPr>
              <w:spacing w:before="0" w:after="0"/>
              <w:rPr>
                <w:sz w:val="20"/>
              </w:rPr>
            </w:pPr>
          </w:p>
          <w:p w:rsidR="00BA3D5F" w:rsidRPr="00B172D2" w:rsidRDefault="00BA3D5F" w:rsidP="0001587B">
            <w:pPr>
              <w:spacing w:before="0" w:after="0"/>
              <w:rPr>
                <w:sz w:val="20"/>
              </w:rPr>
            </w:pPr>
          </w:p>
          <w:p w:rsidR="00BA3D5F" w:rsidRPr="00B172D2" w:rsidRDefault="00BA3D5F" w:rsidP="0001587B">
            <w:pPr>
              <w:rPr>
                <w:sz w:val="20"/>
              </w:rPr>
            </w:pPr>
          </w:p>
        </w:tc>
      </w:tr>
    </w:tbl>
    <w:p w:rsidR="003F3885" w:rsidRPr="003F3885" w:rsidRDefault="003F3885" w:rsidP="003F3885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3F3885">
        <w:t>Соглашение</w:t>
      </w:r>
    </w:p>
    <w:p w:rsidR="003F3885" w:rsidRPr="003F3885" w:rsidRDefault="003F3885" w:rsidP="003F3885">
      <w:pPr>
        <w:pStyle w:val="H1GR"/>
        <w:spacing w:before="240"/>
      </w:pPr>
      <w:r w:rsidRPr="003F3885">
        <w:tab/>
      </w:r>
      <w:r w:rsidRPr="003F3885">
        <w:tab/>
        <w:t>О принятии единообразных технических предписаний для колесных транспортных средств, предметов оборудования</w:t>
      </w:r>
      <w:r w:rsidRPr="003F3885">
        <w:br/>
        <w:t>и частей, которые могут быть установлены и/или использованы на колесных транспортных средствах,</w:t>
      </w:r>
      <w:r w:rsidRPr="003F3885">
        <w:br/>
        <w:t>и об условиях взаимного признания официальных утверждений, выдаваемых на основе этих предписаний</w:t>
      </w:r>
      <w:r w:rsidRPr="003F3885">
        <w:rPr>
          <w:b w:val="0"/>
          <w:bCs/>
          <w:sz w:val="20"/>
        </w:rPr>
        <w:footnoteReference w:customMarkFollows="1" w:id="1"/>
        <w:t>*</w:t>
      </w:r>
    </w:p>
    <w:p w:rsidR="003F3885" w:rsidRPr="003F3885" w:rsidRDefault="003F3885" w:rsidP="003F3885">
      <w:pPr>
        <w:pStyle w:val="SingleTxtGR"/>
      </w:pPr>
      <w:r w:rsidRPr="003F3885">
        <w:t>(Пересмотр 2, включающий поправки, вступившие в силу 16 октября 1995 года)</w:t>
      </w:r>
    </w:p>
    <w:p w:rsidR="003F3885" w:rsidRPr="003F3885" w:rsidRDefault="003F3885" w:rsidP="003F388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3885" w:rsidRPr="003F3885" w:rsidRDefault="003F3885" w:rsidP="004B08B5">
      <w:pPr>
        <w:pStyle w:val="HChGR"/>
        <w:spacing w:before="240"/>
      </w:pPr>
      <w:r w:rsidRPr="003F3885">
        <w:tab/>
      </w:r>
      <w:r w:rsidRPr="003F3885">
        <w:tab/>
      </w:r>
      <w:r w:rsidR="004B08B5">
        <w:t>Добавление 74: Правила № 75</w:t>
      </w:r>
    </w:p>
    <w:p w:rsidR="004B08B5" w:rsidRPr="00EC0844" w:rsidRDefault="003F3885" w:rsidP="004B08B5">
      <w:pPr>
        <w:pStyle w:val="H1GR"/>
      </w:pPr>
      <w:r w:rsidRPr="003F3885">
        <w:tab/>
      </w:r>
      <w:r w:rsidRPr="003F3885">
        <w:tab/>
      </w:r>
      <w:r w:rsidR="004B08B5">
        <w:t>Пересмотр 2</w:t>
      </w:r>
      <w:r w:rsidR="004B08B5" w:rsidRPr="00EC0844">
        <w:t xml:space="preserve"> </w:t>
      </w:r>
      <w:r w:rsidR="004B08B5" w:rsidRPr="004B08B5">
        <w:t>−</w:t>
      </w:r>
      <w:r w:rsidR="004B08B5" w:rsidRPr="00EC0844">
        <w:t xml:space="preserve"> </w:t>
      </w:r>
      <w:r w:rsidR="004B08B5">
        <w:t>Поправка 1</w:t>
      </w:r>
    </w:p>
    <w:p w:rsidR="003F3885" w:rsidRPr="004B08B5" w:rsidRDefault="004B08B5" w:rsidP="004B08B5">
      <w:pPr>
        <w:pStyle w:val="SingleTxtGR"/>
        <w:jc w:val="left"/>
        <w:rPr>
          <w:sz w:val="18"/>
          <w:szCs w:val="18"/>
        </w:rPr>
      </w:pPr>
      <w:r w:rsidRPr="004B08B5">
        <w:rPr>
          <w:sz w:val="18"/>
          <w:szCs w:val="18"/>
        </w:rPr>
        <w:t xml:space="preserve">Дополнение 14 к первоначальному варианту Правил − Дата вступления в силу: </w:t>
      </w:r>
      <w:r w:rsidRPr="004B08B5">
        <w:rPr>
          <w:sz w:val="18"/>
          <w:szCs w:val="18"/>
        </w:rPr>
        <w:br/>
        <w:t>22 января 2015 года</w:t>
      </w:r>
    </w:p>
    <w:p w:rsidR="003F3885" w:rsidRPr="003F3885" w:rsidRDefault="003F3885" w:rsidP="004B08B5">
      <w:pPr>
        <w:pStyle w:val="H1GR"/>
      </w:pPr>
      <w:r w:rsidRPr="003F3885">
        <w:tab/>
      </w:r>
      <w:r w:rsidRPr="003F3885">
        <w:tab/>
      </w:r>
      <w:r w:rsidR="004B08B5" w:rsidRPr="004B08B5">
        <w:t>Единообразные предписания, касающиеся официального утверждения пневматических шин для мотоциклов и мопедов</w:t>
      </w:r>
    </w:p>
    <w:p w:rsidR="003F3885" w:rsidRPr="003F3885" w:rsidRDefault="003F3885" w:rsidP="003F388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3885" w:rsidRPr="003F3885" w:rsidRDefault="003F3885" w:rsidP="003F3885">
      <w:pPr>
        <w:pStyle w:val="SingleTxtGR"/>
        <w:spacing w:after="0"/>
        <w:jc w:val="center"/>
      </w:pPr>
      <w:r w:rsidRPr="003F3885">
        <w:rPr>
          <w:noProof/>
          <w:lang w:val="en-GB" w:eastAsia="en-GB"/>
        </w:rPr>
        <w:drawing>
          <wp:inline distT="0" distB="0" distL="0" distR="0" wp14:anchorId="03209DBA" wp14:editId="154F8BDD">
            <wp:extent cx="753110" cy="650240"/>
            <wp:effectExtent l="0" t="0" r="8890" b="0"/>
            <wp:docPr id="4" name="Рисунок 4" descr="UN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LOGO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885" w:rsidRPr="00036940" w:rsidRDefault="003F3885" w:rsidP="003F3885">
      <w:pPr>
        <w:pStyle w:val="SingleTxtGR"/>
        <w:jc w:val="center"/>
      </w:pPr>
      <w:r w:rsidRPr="003F3885">
        <w:t>ОРГАНИЗАЦИЯ ОБЪЕДИНЕННЫХ НАЦИЙ</w:t>
      </w:r>
    </w:p>
    <w:p w:rsidR="004B08B5" w:rsidRPr="00AA7CA7" w:rsidRDefault="004B08B5" w:rsidP="004B08B5">
      <w:pPr>
        <w:pStyle w:val="SingleTxtGR"/>
        <w:pageBreakBefore/>
        <w:rPr>
          <w:i/>
        </w:rPr>
      </w:pPr>
      <w:r w:rsidRPr="00AA7CA7">
        <w:rPr>
          <w:i/>
        </w:rPr>
        <w:lastRenderedPageBreak/>
        <w:t>Приложение 7</w:t>
      </w:r>
    </w:p>
    <w:p w:rsidR="004B08B5" w:rsidRPr="00AA7CA7" w:rsidRDefault="004B08B5" w:rsidP="004B08B5">
      <w:pPr>
        <w:pStyle w:val="SingleTxtGR"/>
      </w:pPr>
      <w:r w:rsidRPr="00AA7CA7">
        <w:rPr>
          <w:i/>
        </w:rPr>
        <w:t>Пункт 2.5.2</w:t>
      </w:r>
      <w:r w:rsidRPr="00AA7CA7">
        <w:t xml:space="preserve"> изменить следующим образом:</w:t>
      </w:r>
    </w:p>
    <w:p w:rsidR="004B08B5" w:rsidRPr="00AA7CA7" w:rsidRDefault="004B08B5" w:rsidP="004B08B5">
      <w:pPr>
        <w:pStyle w:val="SingleTxtGR"/>
        <w:ind w:left="2268" w:hanging="1134"/>
      </w:pPr>
      <w:r w:rsidRPr="00AA7CA7">
        <w:t>"2.5.2</w:t>
      </w:r>
      <w:r w:rsidRPr="00AA7CA7">
        <w:tab/>
      </w:r>
      <w:r w:rsidRPr="00AA7CA7">
        <w:tab/>
        <w:t>начальная скорость испытания: скорость, соответствующая обозн</w:t>
      </w:r>
      <w:r w:rsidRPr="00AA7CA7">
        <w:t>а</w:t>
      </w:r>
      <w:r w:rsidRPr="00AA7CA7">
        <w:t>чению индекса скорости на шине (см. пункт 2.28.2 настоящих Пр</w:t>
      </w:r>
      <w:r w:rsidRPr="00AA7CA7">
        <w:t>а</w:t>
      </w:r>
      <w:r w:rsidRPr="00AA7CA7">
        <w:t>вил), минус 30</w:t>
      </w:r>
      <w:r>
        <w:rPr>
          <w:lang w:val="en-US"/>
        </w:rPr>
        <w:t> </w:t>
      </w:r>
      <w:r w:rsidRPr="00AA7CA7">
        <w:t>км/ч, если используется испытательный маховик диаметром 2,0</w:t>
      </w:r>
      <w:r>
        <w:rPr>
          <w:lang w:val="en-US"/>
        </w:rPr>
        <w:t> </w:t>
      </w:r>
      <w:r w:rsidRPr="00AA7CA7">
        <w:t>м, либо минус 40</w:t>
      </w:r>
      <w:r>
        <w:rPr>
          <w:lang w:val="en-US"/>
        </w:rPr>
        <w:t> </w:t>
      </w:r>
      <w:r w:rsidRPr="00AA7CA7">
        <w:t>км/ч, если используется испыт</w:t>
      </w:r>
      <w:r w:rsidRPr="00AA7CA7">
        <w:t>а</w:t>
      </w:r>
      <w:r w:rsidRPr="00AA7CA7">
        <w:t>тельный маховик диаметром 1,7 м"</w:t>
      </w:r>
      <w:r>
        <w:t>.</w:t>
      </w:r>
    </w:p>
    <w:p w:rsidR="004B08B5" w:rsidRPr="00AA7CA7" w:rsidRDefault="004B08B5" w:rsidP="004B08B5">
      <w:pPr>
        <w:pStyle w:val="SingleTxtGR"/>
      </w:pPr>
      <w:r w:rsidRPr="00AA7CA7">
        <w:rPr>
          <w:i/>
        </w:rPr>
        <w:t xml:space="preserve">Пункт 2.5.2.1 </w:t>
      </w:r>
      <w:r w:rsidRPr="00AA7CA7">
        <w:t>изменить следующим образом:</w:t>
      </w:r>
    </w:p>
    <w:p w:rsidR="004B08B5" w:rsidRPr="00AA7CA7" w:rsidRDefault="004B08B5" w:rsidP="004B08B5">
      <w:pPr>
        <w:pStyle w:val="SingleTxtGR"/>
        <w:ind w:left="2268" w:hanging="1134"/>
      </w:pPr>
      <w:r w:rsidRPr="00AA7CA7">
        <w:t>"2.5.2.1</w:t>
      </w:r>
      <w:r w:rsidRPr="00AA7CA7">
        <w:tab/>
        <w:t>начальная скорость испытания при втором испытании в случае шин, пригодных для эксплуатации на скоростях свыше 240 км/ч и обозначенных в ряду обозначений размеров шин буквенным кодом</w:t>
      </w:r>
      <w:r w:rsidRPr="004B08B5">
        <w:t xml:space="preserve"> </w:t>
      </w:r>
      <w:r w:rsidRPr="00AA7CA7">
        <w:t>"V" (или свыше 270 км/ч для шин, обозначенных в ряду обознач</w:t>
      </w:r>
      <w:r w:rsidRPr="00AA7CA7">
        <w:t>е</w:t>
      </w:r>
      <w:r w:rsidRPr="00AA7CA7">
        <w:t>ний размеров шин буквенным кодом "Z"), − это максимальная ск</w:t>
      </w:r>
      <w:r w:rsidRPr="00AA7CA7">
        <w:t>о</w:t>
      </w:r>
      <w:r w:rsidRPr="00AA7CA7">
        <w:t>рость, указанная изготовителем шины (см. пункт 4.1.15</w:t>
      </w:r>
      <w:r>
        <w:t xml:space="preserve"> настоящих Правил)</w:t>
      </w:r>
      <w:r w:rsidRPr="00AA7CA7">
        <w:t>, минус 30 км/ч, если используется испытательный маховик диаметром</w:t>
      </w:r>
      <w:r w:rsidRPr="004B08B5">
        <w:t xml:space="preserve"> </w:t>
      </w:r>
      <w:r w:rsidRPr="00AA7CA7">
        <w:t>2,0</w:t>
      </w:r>
      <w:r w:rsidRPr="00872DF6">
        <w:t> </w:t>
      </w:r>
      <w:r w:rsidRPr="00AA7CA7">
        <w:t>м, либо минус 40</w:t>
      </w:r>
      <w:r>
        <w:rPr>
          <w:lang w:val="en-US"/>
        </w:rPr>
        <w:t> </w:t>
      </w:r>
      <w:r w:rsidRPr="00AA7CA7">
        <w:t>км/ч, если используется испыт</w:t>
      </w:r>
      <w:r w:rsidRPr="00AA7CA7">
        <w:t>а</w:t>
      </w:r>
      <w:r w:rsidRPr="00AA7CA7">
        <w:t>тельный маховик диаметром 1,7 м"</w:t>
      </w:r>
      <w:r>
        <w:t>.</w:t>
      </w:r>
    </w:p>
    <w:p w:rsidR="004B08B5" w:rsidRPr="00AA7CA7" w:rsidRDefault="004B08B5" w:rsidP="004B08B5">
      <w:pPr>
        <w:pStyle w:val="SingleTxtGR"/>
      </w:pPr>
      <w:r w:rsidRPr="00AA7CA7">
        <w:rPr>
          <w:i/>
        </w:rPr>
        <w:t xml:space="preserve">Включить новый пункт 2.5.6.1 </w:t>
      </w:r>
      <w:r w:rsidRPr="00AA7CA7">
        <w:t>следующего содержания:</w:t>
      </w:r>
    </w:p>
    <w:p w:rsidR="004B08B5" w:rsidRPr="00AA7CA7" w:rsidRDefault="004B08B5" w:rsidP="004B08B5">
      <w:pPr>
        <w:pStyle w:val="SingleTxtGR"/>
        <w:ind w:left="2268" w:hanging="1134"/>
      </w:pPr>
      <w:r w:rsidRPr="00AA7CA7">
        <w:t>"2.5.6.1</w:t>
      </w:r>
      <w:r w:rsidRPr="00AA7CA7">
        <w:tab/>
        <w:t>максимальная скорость испытания при втором испытании в случае шин, пригодных для эксплуатации на скоростях свыше</w:t>
      </w:r>
      <w:r w:rsidRPr="004B08B5">
        <w:t xml:space="preserve"> </w:t>
      </w:r>
      <w:r w:rsidRPr="00AA7CA7">
        <w:t>240</w:t>
      </w:r>
      <w:r>
        <w:rPr>
          <w:lang w:val="en-US"/>
        </w:rPr>
        <w:t> </w:t>
      </w:r>
      <w:r w:rsidRPr="00AA7CA7">
        <w:t>км/ч и обозначенных в ряду обозначений размеров шин буквенным кодом</w:t>
      </w:r>
      <w:r w:rsidRPr="004B08B5">
        <w:t xml:space="preserve"> </w:t>
      </w:r>
      <w:r w:rsidRPr="00AA7CA7">
        <w:t>"V" (или свыше 270 км/ч для шин, обозначенных в ряду обознач</w:t>
      </w:r>
      <w:r w:rsidRPr="00AA7CA7">
        <w:t>е</w:t>
      </w:r>
      <w:r w:rsidRPr="00AA7CA7">
        <w:t>ний размеров шин буквенным кодом "Z"), − это максимальная ск</w:t>
      </w:r>
      <w:r w:rsidRPr="00AA7CA7">
        <w:t>о</w:t>
      </w:r>
      <w:r w:rsidRPr="00AA7CA7">
        <w:t>рость, указанная изготовителем шины (см. пункт 4.1.15</w:t>
      </w:r>
      <w:r>
        <w:t xml:space="preserve"> настоящих Правил</w:t>
      </w:r>
      <w:r w:rsidRPr="00AA7CA7">
        <w:t>), если используется испытательный маховик диаметром 2,0</w:t>
      </w:r>
      <w:r>
        <w:rPr>
          <w:lang w:val="en-US"/>
        </w:rPr>
        <w:t> </w:t>
      </w:r>
      <w:r w:rsidRPr="00AA7CA7">
        <w:t>м, либо минус 10 км/ч, если используется испытательный мах</w:t>
      </w:r>
      <w:r w:rsidRPr="00AA7CA7">
        <w:t>о</w:t>
      </w:r>
      <w:r w:rsidRPr="00AA7CA7">
        <w:t>вик диаметром</w:t>
      </w:r>
      <w:r w:rsidRPr="004B08B5">
        <w:t xml:space="preserve"> </w:t>
      </w:r>
      <w:r w:rsidRPr="00AA7CA7">
        <w:t>1,7 м"</w:t>
      </w:r>
      <w:r>
        <w:t>.</w:t>
      </w:r>
    </w:p>
    <w:p w:rsidR="004B08B5" w:rsidRPr="00AA7CA7" w:rsidRDefault="004B08B5" w:rsidP="004B08B5">
      <w:pPr>
        <w:pStyle w:val="SingleTxtGR"/>
      </w:pPr>
      <w:r w:rsidRPr="00AA7CA7">
        <w:rPr>
          <w:i/>
        </w:rPr>
        <w:t xml:space="preserve">Пункт 2.6.1 </w:t>
      </w:r>
      <w:r w:rsidRPr="00AA7CA7">
        <w:t>изменить следующим образом:</w:t>
      </w:r>
    </w:p>
    <w:p w:rsidR="004B08B5" w:rsidRPr="00AA7CA7" w:rsidRDefault="004B08B5" w:rsidP="004B08B5">
      <w:pPr>
        <w:pStyle w:val="SingleTxtGR"/>
        <w:ind w:left="2268" w:hanging="1134"/>
      </w:pPr>
      <w:r w:rsidRPr="00AA7CA7">
        <w:t>"2.6.1</w:t>
      </w:r>
      <w:r w:rsidRPr="00AA7CA7">
        <w:tab/>
      </w:r>
      <w:r w:rsidRPr="00AA7CA7">
        <w:tab/>
        <w:t>время увеличения скорости от нуля до начальной скорости испыт</w:t>
      </w:r>
      <w:r w:rsidRPr="00AA7CA7">
        <w:t>а</w:t>
      </w:r>
      <w:r w:rsidRPr="00AA7CA7">
        <w:t>ния, указанной в пункте 2.5.2.1</w:t>
      </w:r>
      <w:r>
        <w:t xml:space="preserve"> выше</w:t>
      </w:r>
      <w:r w:rsidRPr="00AA7CA7">
        <w:t>, − 20 мин"</w:t>
      </w:r>
      <w:r>
        <w:t>.</w:t>
      </w:r>
    </w:p>
    <w:p w:rsidR="004B08B5" w:rsidRPr="00AA7CA7" w:rsidRDefault="004B08B5" w:rsidP="004B08B5">
      <w:pPr>
        <w:pStyle w:val="SingleTxtGR"/>
      </w:pPr>
      <w:r w:rsidRPr="00AA7CA7">
        <w:rPr>
          <w:i/>
        </w:rPr>
        <w:t xml:space="preserve">Пункт 2.6.3 </w:t>
      </w:r>
      <w:r w:rsidRPr="00AA7CA7">
        <w:t>изменить следующим образом:</w:t>
      </w:r>
    </w:p>
    <w:p w:rsidR="003F3885" w:rsidRPr="00036940" w:rsidRDefault="004B08B5" w:rsidP="004B08B5">
      <w:pPr>
        <w:pStyle w:val="SingleTxtGR"/>
        <w:ind w:left="2268" w:hanging="1134"/>
      </w:pPr>
      <w:r w:rsidRPr="00AA7CA7">
        <w:t>"2.6.3</w:t>
      </w:r>
      <w:r w:rsidRPr="00AA7CA7">
        <w:tab/>
      </w:r>
      <w:r w:rsidRPr="00AA7CA7">
        <w:tab/>
        <w:t>время увеличения скорости до максимальной скорости испытания, указанной в пункте 2.5.6.1</w:t>
      </w:r>
      <w:r>
        <w:t xml:space="preserve"> выше</w:t>
      </w:r>
      <w:r w:rsidRPr="00AA7CA7">
        <w:t>, − 10 мин"</w:t>
      </w:r>
      <w:r>
        <w:t>.</w:t>
      </w:r>
    </w:p>
    <w:p w:rsidR="00DB4DEC" w:rsidRPr="003F3885" w:rsidRDefault="003F3885" w:rsidP="003F388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4DEC" w:rsidRPr="003F3885" w:rsidSect="00BA3D5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85" w:rsidRDefault="003F3885">
      <w:r>
        <w:rPr>
          <w:lang w:val="en-US"/>
        </w:rPr>
        <w:tab/>
      </w:r>
      <w:r>
        <w:separator/>
      </w:r>
    </w:p>
  </w:endnote>
  <w:endnote w:type="continuationSeparator" w:id="0">
    <w:p w:rsidR="003F3885" w:rsidRDefault="003F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AA" w:rsidRDefault="0001587B" w:rsidP="004B08B5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5E7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730BCB">
      <w:rPr>
        <w:lang w:val="en-US"/>
      </w:rPr>
      <w:t>1</w:t>
    </w:r>
    <w:r w:rsidR="00DB4DEC">
      <w:rPr>
        <w:lang w:val="en-US"/>
      </w:rPr>
      <w:t>5</w:t>
    </w:r>
    <w:r>
      <w:rPr>
        <w:lang w:val="en-US"/>
      </w:rPr>
      <w:t>-</w:t>
    </w:r>
    <w:r w:rsidR="003F3885">
      <w:rPr>
        <w:lang w:val="en-US"/>
      </w:rPr>
      <w:t>0</w:t>
    </w:r>
    <w:r w:rsidR="004B08B5">
      <w:rPr>
        <w:lang w:val="en-US"/>
      </w:rPr>
      <w:t>1692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9A6F4A" w:rsidRDefault="0001587B" w:rsidP="00DB4DEC">
    <w:pPr>
      <w:pStyle w:val="Footer"/>
      <w:rPr>
        <w:lang w:val="en-US"/>
      </w:rPr>
    </w:pPr>
    <w:r>
      <w:rPr>
        <w:lang w:val="en-US"/>
      </w:rPr>
      <w:t>GE.</w:t>
    </w:r>
    <w:r w:rsidR="00730BCB">
      <w:rPr>
        <w:lang w:val="en-US"/>
      </w:rPr>
      <w:t>1</w:t>
    </w:r>
    <w:r w:rsidR="00DB4DEC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6940">
      <w:rPr>
        <w:rStyle w:val="PageNumber"/>
        <w:noProof/>
      </w:rPr>
      <w:t>3</w:t>
    </w:r>
    <w:r>
      <w:rPr>
        <w:rStyle w:val="PageNumber"/>
      </w:rPr>
      <w:fldChar w:fldCharType="end"/>
    </w:r>
  </w:p>
  <w:p w:rsidR="00E738AA" w:rsidRDefault="00E738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 w:firstRow="1" w:lastRow="1" w:firstColumn="1" w:lastColumn="1" w:noHBand="0" w:noVBand="0"/>
    </w:tblPr>
    <w:tblGrid>
      <w:gridCol w:w="3786"/>
      <w:gridCol w:w="4623"/>
      <w:gridCol w:w="1446"/>
    </w:tblGrid>
    <w:tr w:rsidR="0057343B" w:rsidTr="006202B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38"/>
      </w:trPr>
      <w:tc>
        <w:tcPr>
          <w:tcW w:w="4068" w:type="dxa"/>
          <w:vAlign w:val="bottom"/>
        </w:tcPr>
        <w:p w:rsidR="0057343B" w:rsidRPr="0099046F" w:rsidRDefault="00EC7CCF" w:rsidP="004B08B5">
          <w:pPr>
            <w:rPr>
              <w:sz w:val="20"/>
            </w:rPr>
          </w:pPr>
          <w:r>
            <w:rPr>
              <w:sz w:val="20"/>
              <w:lang w:val="en-US"/>
            </w:rPr>
            <w:t>GE.</w:t>
          </w:r>
          <w:r w:rsidR="0057343B" w:rsidRPr="0099046F">
            <w:rPr>
              <w:sz w:val="20"/>
              <w:lang w:val="en-US"/>
            </w:rPr>
            <w:t>1</w:t>
          </w:r>
          <w:r w:rsidR="00DB4DEC">
            <w:rPr>
              <w:sz w:val="20"/>
              <w:lang w:val="en-US"/>
            </w:rPr>
            <w:t>5</w:t>
          </w:r>
          <w:r w:rsidR="0057343B" w:rsidRPr="0099046F">
            <w:rPr>
              <w:sz w:val="20"/>
              <w:lang w:val="en-US"/>
            </w:rPr>
            <w:t>-</w:t>
          </w:r>
          <w:r w:rsidR="003F3885">
            <w:rPr>
              <w:sz w:val="20"/>
              <w:lang w:val="en-US"/>
            </w:rPr>
            <w:t>0</w:t>
          </w:r>
          <w:r w:rsidR="004B08B5">
            <w:rPr>
              <w:sz w:val="20"/>
              <w:lang w:val="en-US"/>
            </w:rPr>
            <w:t>1692</w:t>
          </w:r>
          <w:r w:rsidR="0057343B" w:rsidRPr="0099046F">
            <w:rPr>
              <w:sz w:val="20"/>
              <w:lang w:val="en-US"/>
            </w:rPr>
            <w:t xml:space="preserve">   (R)</w:t>
          </w:r>
          <w:r w:rsidR="003F3885">
            <w:rPr>
              <w:sz w:val="20"/>
              <w:lang w:val="en-US"/>
            </w:rPr>
            <w:t xml:space="preserve">   150515   180515</w:t>
          </w:r>
        </w:p>
      </w:tc>
      <w:tc>
        <w:tcPr>
          <w:tcW w:w="4663" w:type="dxa"/>
          <w:vMerge w:val="restart"/>
          <w:vAlign w:val="bottom"/>
        </w:tcPr>
        <w:p w:rsidR="0057343B" w:rsidRDefault="00EE3E02" w:rsidP="006202B7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C88FBB8" wp14:editId="4E2D92FE">
                <wp:extent cx="2704465" cy="230505"/>
                <wp:effectExtent l="0" t="0" r="635" b="0"/>
                <wp:docPr id="1" name="Рисунок 1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57343B" w:rsidRDefault="004B08B5" w:rsidP="006202B7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779172" cy="779172"/>
                <wp:effectExtent l="0" t="0" r="1905" b="1905"/>
                <wp:docPr id="3" name="Рисунок 3" descr="http://undocs.org/m2/QRCode2.ashx?DS=E/ECE/324/Rev.1/Add.74/Rev.2/Amend.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/ECE/324/Rev.1/Add.74/Rev.2/Amend.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64" cy="779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343B" w:rsidRPr="00797A78" w:rsidTr="006202B7">
      <w:tc>
        <w:tcPr>
          <w:tcW w:w="4068" w:type="dxa"/>
          <w:vAlign w:val="bottom"/>
        </w:tcPr>
        <w:p w:rsidR="0057343B" w:rsidRPr="004B08B5" w:rsidRDefault="004B08B5" w:rsidP="006202B7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B08B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B08B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B08B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B08B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B08B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B08B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B08B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4B08B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4B08B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57343B" w:rsidRDefault="0057343B" w:rsidP="006202B7"/>
      </w:tc>
      <w:tc>
        <w:tcPr>
          <w:tcW w:w="1124" w:type="dxa"/>
          <w:vMerge/>
        </w:tcPr>
        <w:p w:rsidR="0057343B" w:rsidRDefault="0057343B" w:rsidP="006202B7"/>
      </w:tc>
    </w:tr>
  </w:tbl>
  <w:p w:rsidR="0057343B" w:rsidRDefault="0057343B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EE3E02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EA35EF" wp14:editId="4823D855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730BCB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730BCB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25E7C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730BCB" w:rsidP="00730BCB">
                    <w:pPr>
                      <w:rPr>
                        <w:lang w:val="en-US"/>
                      </w:rPr>
                    </w:pPr>
                  </w:p>
                  <w:p w:rsidR="00730BCB" w:rsidRDefault="00730BCB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25E7C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85" w:rsidRPr="00F71F63" w:rsidRDefault="003F388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F3885" w:rsidRPr="00F71F63" w:rsidRDefault="003F388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F3885" w:rsidRPr="00635E86" w:rsidRDefault="003F3885" w:rsidP="00635E86">
      <w:pPr>
        <w:pStyle w:val="Footer"/>
      </w:pPr>
    </w:p>
  </w:footnote>
  <w:footnote w:id="1">
    <w:p w:rsidR="003F3885" w:rsidRDefault="003F3885" w:rsidP="003F3885">
      <w:pPr>
        <w:pStyle w:val="FootnoteText"/>
        <w:spacing w:line="240" w:lineRule="auto"/>
        <w:rPr>
          <w:szCs w:val="18"/>
          <w:lang w:val="ru-RU"/>
        </w:rPr>
      </w:pPr>
      <w:r>
        <w:rPr>
          <w:szCs w:val="18"/>
          <w:lang w:val="ru-RU"/>
        </w:rPr>
        <w:tab/>
      </w:r>
      <w:r w:rsidRPr="003F3885">
        <w:rPr>
          <w:rStyle w:val="FootnoteReference"/>
          <w:szCs w:val="18"/>
          <w:vertAlign w:val="baseline"/>
          <w:lang w:val="ru-RU"/>
        </w:rPr>
        <w:t>*</w:t>
      </w:r>
      <w:r>
        <w:rPr>
          <w:szCs w:val="18"/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85" w:rsidRDefault="004B08B5" w:rsidP="004B08B5">
    <w:pPr>
      <w:pStyle w:val="Header"/>
    </w:pPr>
    <w:r w:rsidRPr="004B08B5">
      <w:t>E/ECE/324/Rev.1/Add.74/Rev.2/Amend.1</w:t>
    </w:r>
    <w:r>
      <w:br/>
      <w:t>E/ECE/TRANS/505/Rev.1/Add.</w:t>
    </w:r>
    <w:r w:rsidRPr="004B08B5">
      <w:t>74/Rev.2/Amend.1</w:t>
    </w:r>
  </w:p>
  <w:p w:rsidR="003F3885" w:rsidRPr="003F3885" w:rsidRDefault="003F3885" w:rsidP="003F3885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B" w:rsidRPr="009A6F4A" w:rsidRDefault="0001587B">
    <w:pPr>
      <w:pStyle w:val="Header"/>
      <w:rPr>
        <w:lang w:val="en-US"/>
      </w:rPr>
    </w:pPr>
    <w:r>
      <w:rPr>
        <w:lang w:val="en-US"/>
      </w:rPr>
      <w:tab/>
    </w:r>
  </w:p>
  <w:p w:rsidR="00E738AA" w:rsidRDefault="00E738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85"/>
    <w:rsid w:val="000033D8"/>
    <w:rsid w:val="00005C1C"/>
    <w:rsid w:val="0001587B"/>
    <w:rsid w:val="00016553"/>
    <w:rsid w:val="000233B3"/>
    <w:rsid w:val="00023E9E"/>
    <w:rsid w:val="00026B0C"/>
    <w:rsid w:val="0003638E"/>
    <w:rsid w:val="00036940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E486C"/>
    <w:rsid w:val="00117AEE"/>
    <w:rsid w:val="001463F7"/>
    <w:rsid w:val="0015769C"/>
    <w:rsid w:val="00180752"/>
    <w:rsid w:val="00185076"/>
    <w:rsid w:val="0018543C"/>
    <w:rsid w:val="00190231"/>
    <w:rsid w:val="00192ABD"/>
    <w:rsid w:val="001A38C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C772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E6BC5"/>
    <w:rsid w:val="003F3885"/>
    <w:rsid w:val="003F3F57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08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50FD5"/>
    <w:rsid w:val="0056618E"/>
    <w:rsid w:val="0057343B"/>
    <w:rsid w:val="00576F59"/>
    <w:rsid w:val="00577A34"/>
    <w:rsid w:val="00580AAD"/>
    <w:rsid w:val="00593A04"/>
    <w:rsid w:val="005A6D5A"/>
    <w:rsid w:val="005B07EB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02B7"/>
    <w:rsid w:val="00635E86"/>
    <w:rsid w:val="00636A37"/>
    <w:rsid w:val="006501A5"/>
    <w:rsid w:val="006567B2"/>
    <w:rsid w:val="00662ADE"/>
    <w:rsid w:val="00663484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25E7C"/>
    <w:rsid w:val="00730BCB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739"/>
    <w:rsid w:val="00817F73"/>
    <w:rsid w:val="0082228E"/>
    <w:rsid w:val="008232F3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2AB2"/>
    <w:rsid w:val="008C5964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9046F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4DF7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1839"/>
    <w:rsid w:val="00BA3D5F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B4DEC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38AA"/>
    <w:rsid w:val="00E7489F"/>
    <w:rsid w:val="00E75147"/>
    <w:rsid w:val="00E8167D"/>
    <w:rsid w:val="00E907E9"/>
    <w:rsid w:val="00E9206F"/>
    <w:rsid w:val="00E96BE7"/>
    <w:rsid w:val="00EA2CD0"/>
    <w:rsid w:val="00EC0044"/>
    <w:rsid w:val="00EC6B9F"/>
    <w:rsid w:val="00EC7CCF"/>
    <w:rsid w:val="00EE3E02"/>
    <w:rsid w:val="00EE516D"/>
    <w:rsid w:val="00EF4D1B"/>
    <w:rsid w:val="00EF5576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9471C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PP,Footnote Text Char"/>
    <w:basedOn w:val="Normal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DB4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DEC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SingleTxtGR0">
    <w:name w:val="_ Single Txt_GR Знак"/>
    <w:basedOn w:val="DefaultParagraphFont"/>
    <w:link w:val="SingleTxtGR"/>
    <w:rsid w:val="004B08B5"/>
    <w:rPr>
      <w:spacing w:val="4"/>
      <w:w w:val="103"/>
      <w:kern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PP,Footnote Text Char"/>
    <w:basedOn w:val="Normal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DB4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DEC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SingleTxtGR0">
    <w:name w:val="_ Single Txt_GR Знак"/>
    <w:basedOn w:val="DefaultParagraphFont"/>
    <w:link w:val="SingleTxtGR"/>
    <w:rsid w:val="004B08B5"/>
    <w:rPr>
      <w:spacing w:val="4"/>
      <w:w w:val="103"/>
      <w:kern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Maykov</dc:creator>
  <cp:lastModifiedBy>04</cp:lastModifiedBy>
  <cp:revision>2</cp:revision>
  <dcterms:created xsi:type="dcterms:W3CDTF">2015-06-23T08:51:00Z</dcterms:created>
  <dcterms:modified xsi:type="dcterms:W3CDTF">2015-06-23T08:51:00Z</dcterms:modified>
</cp:coreProperties>
</file>