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0D6D03" w:rsidP="008A75ED">
            <w:pPr>
              <w:spacing w:before="40" w:after="80" w:line="340" w:lineRule="exact"/>
              <w:jc w:val="right"/>
            </w:pPr>
            <w:r>
              <w:fldChar w:fldCharType="begin"/>
            </w:r>
            <w:r w:rsidRPr="008A75ED">
              <w:rPr>
                <w:lang w:val="en-US"/>
              </w:rPr>
              <w:instrText xml:space="preserve"> FILLIN  "</w:instrText>
            </w:r>
            <w:r>
              <w:instrText>Введите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символ</w:instrText>
            </w:r>
            <w:r w:rsidRPr="008A75ED">
              <w:rPr>
                <w:lang w:val="en-US"/>
              </w:rPr>
              <w:instrText xml:space="preserve"> </w:instrText>
            </w:r>
            <w:r>
              <w:instrText>документа</w:instrText>
            </w:r>
            <w:r w:rsidRPr="008A75ED">
              <w:rPr>
                <w:lang w:val="en-US"/>
              </w:rPr>
              <w:instrText xml:space="preserve">"  \* MERGEFORMAT </w:instrText>
            </w:r>
            <w:r>
              <w:fldChar w:fldCharType="separate"/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lang w:val="en-US"/>
              </w:rPr>
              <w:t>/</w:t>
            </w:r>
            <w:proofErr w:type="spellStart"/>
            <w:r w:rsidRPr="008A75ED">
              <w:rPr>
                <w:lang w:val="en-US"/>
              </w:rPr>
              <w:t>ECE</w:t>
            </w:r>
            <w:proofErr w:type="spellEnd"/>
            <w:r w:rsidRPr="008A75ED">
              <w:rPr>
                <w:lang w:val="en-US"/>
              </w:rPr>
              <w:t>/324/</w:t>
            </w:r>
            <w:r w:rsidR="005F0F76">
              <w:t>Rev.1/Add.69/Rev.1/Amend.3</w:t>
            </w:r>
            <w:r w:rsidRPr="008A75ED">
              <w:rPr>
                <w:lang w:val="en-US"/>
              </w:rPr>
              <w:t>−</w:t>
            </w:r>
            <w:r w:rsidRPr="008A75ED">
              <w:rPr>
                <w:sz w:val="40"/>
                <w:szCs w:val="40"/>
                <w:lang w:val="en-US"/>
              </w:rPr>
              <w:t>E</w:t>
            </w:r>
            <w:r w:rsidRPr="008A75ED">
              <w:rPr>
                <w:sz w:val="19"/>
                <w:szCs w:val="19"/>
                <w:lang w:val="en-US"/>
              </w:rPr>
              <w:t>/</w:t>
            </w:r>
            <w:proofErr w:type="spellStart"/>
            <w:r w:rsidRPr="008A75ED">
              <w:rPr>
                <w:sz w:val="19"/>
                <w:szCs w:val="19"/>
                <w:lang w:val="en-US"/>
              </w:rPr>
              <w:t>ECE</w:t>
            </w:r>
            <w:proofErr w:type="spellEnd"/>
            <w:r w:rsidRPr="008A75ED">
              <w:rPr>
                <w:sz w:val="19"/>
                <w:szCs w:val="19"/>
                <w:lang w:val="en-US"/>
              </w:rPr>
              <w:t>/TRANS/505/</w:t>
            </w:r>
            <w:r w:rsidR="005F0F76">
              <w:t>Rev.1/Add.69/Rev.1/Amend.3</w:t>
            </w:r>
            <w:r>
              <w:fldChar w:fldCharType="end"/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45CB2" w:rsidRDefault="00945CB2" w:rsidP="00945CB2">
            <w:pPr>
              <w:spacing w:before="40" w:after="40"/>
              <w:rPr>
                <w:lang w:val="en-US"/>
              </w:rPr>
            </w:pPr>
          </w:p>
          <w:p w:rsidR="00945CB2" w:rsidRDefault="00945CB2" w:rsidP="00945CB2">
            <w:pPr>
              <w:spacing w:before="40" w:after="40"/>
              <w:rPr>
                <w:lang w:val="en-US"/>
              </w:rPr>
            </w:pPr>
          </w:p>
          <w:p w:rsidR="00945CB2" w:rsidRDefault="00945CB2" w:rsidP="00945CB2">
            <w:pPr>
              <w:spacing w:before="40" w:after="40"/>
              <w:rPr>
                <w:lang w:val="en-US"/>
              </w:rPr>
            </w:pPr>
          </w:p>
          <w:p w:rsidR="00945CB2" w:rsidRDefault="00945CB2" w:rsidP="00945CB2">
            <w:pPr>
              <w:spacing w:before="40" w:after="40"/>
              <w:rPr>
                <w:lang w:val="en-US"/>
              </w:rPr>
            </w:pPr>
          </w:p>
          <w:p w:rsidR="00945CB2" w:rsidRDefault="00945CB2" w:rsidP="00945CB2">
            <w:pPr>
              <w:spacing w:before="40" w:after="40"/>
              <w:rPr>
                <w:lang w:val="en-US"/>
              </w:rPr>
            </w:pPr>
          </w:p>
          <w:p w:rsidR="000D6D03" w:rsidRPr="00B172D2" w:rsidRDefault="00945CB2" w:rsidP="00945CB2">
            <w:pPr>
              <w:spacing w:before="40" w:after="40"/>
            </w:pPr>
            <w:r>
              <w:rPr>
                <w:lang w:val="en-US"/>
              </w:rPr>
              <w:t>22 June 2015</w:t>
            </w:r>
            <w:bookmarkStart w:id="0" w:name="_GoBack"/>
            <w:bookmarkEnd w:id="0"/>
          </w:p>
        </w:tc>
      </w:tr>
    </w:tbl>
    <w:p w:rsidR="00400CF6" w:rsidRPr="004266C4" w:rsidRDefault="00400CF6" w:rsidP="003628CD">
      <w:pPr>
        <w:pStyle w:val="HChGR"/>
        <w:spacing w:after="120"/>
      </w:pPr>
      <w:r>
        <w:rPr>
          <w:lang w:val="en-US"/>
        </w:rPr>
        <w:tab/>
      </w:r>
      <w:r>
        <w:rPr>
          <w:lang w:val="en-US"/>
        </w:rPr>
        <w:tab/>
      </w:r>
      <w:r>
        <w:t>Соглашение</w:t>
      </w:r>
    </w:p>
    <w:p w:rsidR="00400CF6" w:rsidRPr="004266C4" w:rsidRDefault="00400CF6" w:rsidP="003628CD">
      <w:pPr>
        <w:pStyle w:val="H1GR"/>
        <w:spacing w:before="240"/>
      </w:pPr>
      <w:r>
        <w:rPr>
          <w:b w:val="0"/>
        </w:rPr>
        <w:tab/>
      </w:r>
      <w:r>
        <w:rPr>
          <w:b w:val="0"/>
        </w:rPr>
        <w:tab/>
      </w:r>
      <w:proofErr w:type="gramStart"/>
      <w:r w:rsidRPr="004266C4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4266C4">
        <w:rPr>
          <w:b w:val="0"/>
          <w:sz w:val="18"/>
          <w:szCs w:val="18"/>
        </w:rPr>
        <w:footnoteReference w:customMarkFollows="1" w:id="1"/>
        <w:t>*</w:t>
      </w:r>
      <w:proofErr w:type="gramEnd"/>
    </w:p>
    <w:p w:rsidR="00400CF6" w:rsidRDefault="00400CF6" w:rsidP="00400CF6">
      <w:pPr>
        <w:pStyle w:val="SingleTxtGR"/>
        <w:rPr>
          <w:lang w:val="en-US"/>
        </w:rPr>
      </w:pPr>
      <w:r>
        <w:t xml:space="preserve">(Пересмотр 2, включающий поправки, вступившие в силу 16 октября 1995 года) </w:t>
      </w:r>
    </w:p>
    <w:p w:rsidR="00400CF6" w:rsidRPr="00864E6C" w:rsidRDefault="00400CF6" w:rsidP="00400CF6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400CF6" w:rsidRPr="00864E6C" w:rsidRDefault="00400CF6" w:rsidP="003628CD">
      <w:pPr>
        <w:pStyle w:val="HChGR"/>
        <w:spacing w:before="240" w:after="120"/>
      </w:pPr>
      <w:r>
        <w:rPr>
          <w:b w:val="0"/>
        </w:rPr>
        <w:tab/>
      </w:r>
      <w:r>
        <w:rPr>
          <w:b w:val="0"/>
        </w:rPr>
        <w:tab/>
      </w:r>
      <w:r w:rsidRPr="00864E6C">
        <w:t>Добавление 69: Правила № 70</w:t>
      </w:r>
    </w:p>
    <w:p w:rsidR="00400CF6" w:rsidRPr="00A6590E" w:rsidRDefault="00400CF6" w:rsidP="003628CD">
      <w:pPr>
        <w:pStyle w:val="H1GR"/>
        <w:spacing w:before="240" w:after="120"/>
        <w:rPr>
          <w:lang w:val="en-US"/>
        </w:rPr>
      </w:pPr>
      <w:r>
        <w:rPr>
          <w:b w:val="0"/>
        </w:rPr>
        <w:tab/>
      </w:r>
      <w:r>
        <w:rPr>
          <w:b w:val="0"/>
        </w:rPr>
        <w:tab/>
      </w:r>
      <w:r w:rsidRPr="00864E6C">
        <w:t xml:space="preserve">Пересмотр 1 − Поправка </w:t>
      </w:r>
      <w:r w:rsidR="00A6590E">
        <w:rPr>
          <w:lang w:val="en-US"/>
        </w:rPr>
        <w:t>3</w:t>
      </w:r>
    </w:p>
    <w:p w:rsidR="00400CF6" w:rsidRPr="00426542" w:rsidRDefault="00A6590E" w:rsidP="003628CD">
      <w:pPr>
        <w:pStyle w:val="SingleTxtGR"/>
        <w:spacing w:after="0"/>
      </w:pPr>
      <w:r w:rsidRPr="003628CD">
        <w:rPr>
          <w:rStyle w:val="hps"/>
        </w:rPr>
        <w:t>Дополнение 9</w:t>
      </w:r>
      <w:r w:rsidR="00400CF6" w:rsidRPr="003628CD">
        <w:rPr>
          <w:rStyle w:val="hps"/>
        </w:rPr>
        <w:t xml:space="preserve"> к поправкам серии 01 − Дата вступления в силу: </w:t>
      </w:r>
      <w:r w:rsidR="00133EE8">
        <w:rPr>
          <w:rStyle w:val="hps"/>
          <w:lang w:val="en-US"/>
        </w:rPr>
        <w:br/>
      </w:r>
      <w:r w:rsidR="00400CF6" w:rsidRPr="003628CD">
        <w:rPr>
          <w:rStyle w:val="hps"/>
        </w:rPr>
        <w:t>1</w:t>
      </w:r>
      <w:r w:rsidRPr="003628CD">
        <w:rPr>
          <w:rStyle w:val="hps"/>
        </w:rPr>
        <w:t>5</w:t>
      </w:r>
      <w:r w:rsidR="00400CF6" w:rsidRPr="003628CD">
        <w:rPr>
          <w:rStyle w:val="hps"/>
        </w:rPr>
        <w:t xml:space="preserve"> </w:t>
      </w:r>
      <w:r w:rsidRPr="003628CD">
        <w:rPr>
          <w:rStyle w:val="hps"/>
        </w:rPr>
        <w:t>июня</w:t>
      </w:r>
      <w:r w:rsidR="00133EE8">
        <w:rPr>
          <w:rStyle w:val="hps"/>
          <w:lang w:val="en-US"/>
        </w:rPr>
        <w:t xml:space="preserve"> </w:t>
      </w:r>
      <w:r w:rsidRPr="003628CD">
        <w:rPr>
          <w:rStyle w:val="hps"/>
        </w:rPr>
        <w:t>2015</w:t>
      </w:r>
      <w:r w:rsidR="00400CF6">
        <w:t xml:space="preserve"> года</w:t>
      </w:r>
    </w:p>
    <w:p w:rsidR="00400CF6" w:rsidRDefault="00400CF6" w:rsidP="003628CD">
      <w:pPr>
        <w:pStyle w:val="H1GR"/>
        <w:spacing w:before="240" w:after="120"/>
      </w:pPr>
      <w:r>
        <w:rPr>
          <w:b w:val="0"/>
        </w:rPr>
        <w:tab/>
      </w:r>
      <w:r>
        <w:rPr>
          <w:b w:val="0"/>
        </w:rPr>
        <w:tab/>
      </w:r>
      <w:r w:rsidRPr="00864E6C">
        <w:t>Единообразные предписания, касающиеся официального утверждения задних опознавательных знаков для транспортных средств большой длины и грузоподъемности</w:t>
      </w:r>
    </w:p>
    <w:p w:rsidR="00AD1067" w:rsidRPr="00AD1067" w:rsidRDefault="00AD1067" w:rsidP="00AD1067">
      <w:pPr>
        <w:pStyle w:val="SingleTxtGR"/>
        <w:spacing w:after="0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proofErr w:type="spellStart"/>
      <w:r>
        <w:rPr>
          <w:spacing w:val="-6"/>
          <w:lang w:eastAsia="en-GB"/>
        </w:rPr>
        <w:t>ECE</w:t>
      </w:r>
      <w:proofErr w:type="spellEnd"/>
      <w:r>
        <w:rPr>
          <w:spacing w:val="-6"/>
          <w:lang w:eastAsia="en-GB"/>
        </w:rPr>
        <w:t>/</w:t>
      </w:r>
      <w:proofErr w:type="spellStart"/>
      <w:r>
        <w:rPr>
          <w:spacing w:val="-6"/>
          <w:lang w:eastAsia="en-GB"/>
        </w:rPr>
        <w:t>TRANS</w:t>
      </w:r>
      <w:proofErr w:type="spellEnd"/>
      <w:r>
        <w:rPr>
          <w:spacing w:val="-6"/>
          <w:lang w:eastAsia="en-GB"/>
        </w:rPr>
        <w:t>/WP.29/2014/</w:t>
      </w:r>
      <w:r>
        <w:rPr>
          <w:spacing w:val="-6"/>
          <w:lang w:val="en-US" w:eastAsia="en-GB"/>
        </w:rPr>
        <w:t>6</w:t>
      </w:r>
      <w:r>
        <w:rPr>
          <w:spacing w:val="-6"/>
          <w:lang w:eastAsia="en-GB"/>
        </w:rPr>
        <w:t>1</w:t>
      </w:r>
      <w:r>
        <w:rPr>
          <w:lang w:val="en-U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945CB2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45pt" fillcolor="window">
            <v:imagedata r:id="rId9" o:title=""/>
          </v:shape>
        </w:pict>
      </w:r>
    </w:p>
    <w:p w:rsidR="003C1586" w:rsidRDefault="003C1586" w:rsidP="00432F08">
      <w:pPr>
        <w:jc w:val="center"/>
        <w:rPr>
          <w:b/>
          <w:lang w:val="en-US"/>
        </w:rPr>
      </w:pPr>
      <w:r w:rsidRPr="00752A52">
        <w:rPr>
          <w:b/>
        </w:rPr>
        <w:t>ОРГАНИЗАЦИЯ ОБЪЕДИНЕННЫХ НАЦИЙ</w:t>
      </w:r>
    </w:p>
    <w:p w:rsidR="00152C8B" w:rsidRDefault="00E27AD2" w:rsidP="00152C8B">
      <w:pPr>
        <w:pStyle w:val="SingleTxtGR"/>
        <w:ind w:left="2268" w:hanging="1134"/>
      </w:pPr>
      <w:r>
        <w:rPr>
          <w:i/>
        </w:rPr>
        <w:br w:type="page"/>
      </w:r>
      <w:r w:rsidR="00152C8B" w:rsidRPr="002E3B2B">
        <w:rPr>
          <w:i/>
        </w:rPr>
        <w:lastRenderedPageBreak/>
        <w:t>Пункт 2.1.3</w:t>
      </w:r>
      <w:r w:rsidR="00152C8B">
        <w:t>,</w:t>
      </w:r>
      <w:r w:rsidR="00152C8B" w:rsidRPr="002E3B2B">
        <w:t xml:space="preserve"> </w:t>
      </w:r>
      <w:r w:rsidR="00152C8B">
        <w:t>добавить в конце следующее</w:t>
      </w:r>
      <w:r w:rsidR="00152C8B" w:rsidRPr="00FC6B56">
        <w:t>:</w:t>
      </w:r>
    </w:p>
    <w:p w:rsidR="00152C8B" w:rsidRPr="00DC3528" w:rsidRDefault="00152C8B" w:rsidP="00152C8B">
      <w:pPr>
        <w:pStyle w:val="SingleTxtGR"/>
        <w:ind w:left="3402" w:hanging="2268"/>
      </w:pPr>
      <w:r w:rsidRPr="00DC3528">
        <w:t>"2.1.3</w:t>
      </w:r>
      <w:r w:rsidRPr="00DC3528">
        <w:tab/>
      </w:r>
      <w:r w:rsidRPr="00DC3528">
        <w:tab/>
      </w:r>
      <w:r>
        <w:t>…</w:t>
      </w:r>
    </w:p>
    <w:p w:rsidR="00152C8B" w:rsidRPr="00364BDE" w:rsidRDefault="00152C8B" w:rsidP="00152C8B">
      <w:pPr>
        <w:pStyle w:val="SingleTxtGR"/>
        <w:ind w:left="3402" w:hanging="2268"/>
      </w:pPr>
      <w:r w:rsidRPr="00A34129">
        <w:rPr>
          <w:b/>
        </w:rPr>
        <w:tab/>
      </w:r>
      <w:r w:rsidRPr="00A34129">
        <w:rPr>
          <w:b/>
        </w:rPr>
        <w:tab/>
      </w:r>
      <w:r w:rsidRPr="002E3B2B">
        <w:t>класс 5:</w:t>
      </w:r>
      <w:r w:rsidRPr="002E3B2B">
        <w:tab/>
        <w:t>задние опознавательные знаки для механических транспортных средств или прицепов с красными и б</w:t>
      </w:r>
      <w:r w:rsidRPr="002E3B2B">
        <w:t>е</w:t>
      </w:r>
      <w:r w:rsidRPr="002E3B2B">
        <w:t>лыми светоотражающими чередующимися полосами</w:t>
      </w:r>
      <w:r w:rsidRPr="00364BDE">
        <w:t>"</w:t>
      </w:r>
      <w:r>
        <w:t>.</w:t>
      </w:r>
    </w:p>
    <w:p w:rsidR="00152C8B" w:rsidRPr="00DC3528" w:rsidRDefault="00152C8B" w:rsidP="00152C8B">
      <w:pPr>
        <w:pStyle w:val="SingleTxtGR"/>
        <w:ind w:left="2268" w:hanging="1134"/>
        <w:rPr>
          <w:i/>
        </w:rPr>
      </w:pPr>
      <w:r w:rsidRPr="00DC3528">
        <w:rPr>
          <w:i/>
        </w:rPr>
        <w:t>Приложение 5</w:t>
      </w:r>
    </w:p>
    <w:p w:rsidR="00152C8B" w:rsidRPr="00DC3528" w:rsidRDefault="00152C8B" w:rsidP="00152C8B">
      <w:pPr>
        <w:pStyle w:val="SingleTxtGR"/>
        <w:ind w:left="2268" w:hanging="1134"/>
      </w:pPr>
      <w:r w:rsidRPr="00DC3528">
        <w:rPr>
          <w:i/>
        </w:rPr>
        <w:t>Пункт 2</w:t>
      </w:r>
      <w:r w:rsidRPr="00DC3528">
        <w:t xml:space="preserve"> изменить следующим образом:</w:t>
      </w:r>
    </w:p>
    <w:p w:rsidR="00152C8B" w:rsidRPr="00DC3528" w:rsidRDefault="00152C8B" w:rsidP="00152C8B">
      <w:pPr>
        <w:pStyle w:val="SingleTxtGR"/>
        <w:ind w:left="2268" w:hanging="1134"/>
      </w:pPr>
      <w:r>
        <w:t>"2.</w:t>
      </w:r>
      <w:r>
        <w:tab/>
      </w:r>
      <w:r>
        <w:tab/>
      </w:r>
      <w:r w:rsidRPr="00DC3528">
        <w:t>…</w:t>
      </w:r>
    </w:p>
    <w:p w:rsidR="00152C8B" w:rsidRPr="00A84431" w:rsidRDefault="00152C8B" w:rsidP="00152C8B">
      <w:pPr>
        <w:pStyle w:val="SingleTxtGR"/>
        <w:ind w:left="2268" w:hanging="1134"/>
      </w:pPr>
      <w:r w:rsidRPr="00A84431">
        <w:tab/>
      </w:r>
      <w:r w:rsidRPr="00A84431">
        <w:tab/>
        <w:t>Светоотражающий материал устанавливаемых на несочлененные транспортные средства устрой</w:t>
      </w:r>
      <w:proofErr w:type="gramStart"/>
      <w:r w:rsidRPr="00A84431">
        <w:t>ств кл</w:t>
      </w:r>
      <w:proofErr w:type="gramEnd"/>
      <w:r w:rsidRPr="00A84431">
        <w:t>асса 5 должен состоять из ч</w:t>
      </w:r>
      <w:r w:rsidRPr="00A84431">
        <w:t>е</w:t>
      </w:r>
      <w:r w:rsidRPr="00A84431">
        <w:t>редующихся наклонных полос белого и красного цвета</w:t>
      </w:r>
      <w:r>
        <w:t>"</w:t>
      </w:r>
      <w:r w:rsidRPr="00A84431">
        <w:t>.</w:t>
      </w:r>
    </w:p>
    <w:p w:rsidR="00152C8B" w:rsidRPr="00DC3528" w:rsidRDefault="00152C8B" w:rsidP="00152C8B">
      <w:pPr>
        <w:pStyle w:val="SingleTxtGR"/>
        <w:keepNext/>
        <w:ind w:left="2268" w:hanging="1134"/>
      </w:pPr>
      <w:r w:rsidRPr="00DC3528">
        <w:rPr>
          <w:i/>
        </w:rPr>
        <w:t>Пункт 3.2</w:t>
      </w:r>
      <w:r>
        <w:t>,</w:t>
      </w:r>
      <w:r w:rsidRPr="00DC3528">
        <w:t xml:space="preserve"> </w:t>
      </w:r>
      <w:r>
        <w:t>добавить в конце</w:t>
      </w:r>
      <w:r w:rsidRPr="00DC3528">
        <w:t xml:space="preserve"> следующ</w:t>
      </w:r>
      <w:r>
        <w:t>ее</w:t>
      </w:r>
      <w:r w:rsidRPr="00DC3528">
        <w:t>:</w:t>
      </w:r>
    </w:p>
    <w:p w:rsidR="00152C8B" w:rsidRPr="00DC3528" w:rsidRDefault="00152C8B" w:rsidP="00152C8B">
      <w:pPr>
        <w:pStyle w:val="SingleTxtGR"/>
        <w:keepNext/>
        <w:ind w:left="2268" w:hanging="1134"/>
      </w:pPr>
      <w:r>
        <w:t>"3.2</w:t>
      </w:r>
      <w:r>
        <w:tab/>
      </w:r>
      <w:r w:rsidRPr="008272DA">
        <w:tab/>
      </w:r>
      <w:r w:rsidRPr="00DC3528">
        <w:t>…</w:t>
      </w:r>
    </w:p>
    <w:p w:rsidR="00152C8B" w:rsidRPr="008F6D96" w:rsidRDefault="00152C8B" w:rsidP="00152C8B">
      <w:pPr>
        <w:pStyle w:val="SingleTxtGR"/>
        <w:keepNext/>
        <w:ind w:left="2268" w:hanging="1134"/>
      </w:pPr>
      <w:r w:rsidRPr="008F6D96">
        <w:tab/>
      </w:r>
      <w:r w:rsidRPr="008F6D96">
        <w:tab/>
        <w:t>В случае крупногабаритных транспортных средств с имеющимся пространством для размещения маркировки устройства класса 5 должны включать в себя не менее 9 стандартных областей, описа</w:t>
      </w:r>
      <w:r w:rsidRPr="008F6D96">
        <w:t>н</w:t>
      </w:r>
      <w:r w:rsidRPr="008F6D96">
        <w:t>ных в пункте 3.4 ниже; в случае же транспортных средств с огр</w:t>
      </w:r>
      <w:r w:rsidRPr="008F6D96">
        <w:t>а</w:t>
      </w:r>
      <w:r w:rsidRPr="008F6D96">
        <w:t>ниченным пространством для размещения маркировки этот показ</w:t>
      </w:r>
      <w:r w:rsidRPr="008F6D96">
        <w:t>а</w:t>
      </w:r>
      <w:r w:rsidRPr="008F6D96">
        <w:t>тель может быть сокращен до 4 стандартных областей</w:t>
      </w:r>
      <w:r>
        <w:t>"</w:t>
      </w:r>
      <w:r w:rsidRPr="008F6D96">
        <w:t>.</w:t>
      </w:r>
    </w:p>
    <w:p w:rsidR="00152C8B" w:rsidRPr="00DC3528" w:rsidRDefault="00152C8B" w:rsidP="00152C8B">
      <w:pPr>
        <w:pStyle w:val="SingleTxtGR"/>
        <w:ind w:left="2268" w:hanging="1134"/>
      </w:pPr>
      <w:r w:rsidRPr="00DC3528">
        <w:rPr>
          <w:i/>
        </w:rPr>
        <w:t>Пункт 3.4</w:t>
      </w:r>
      <w:r>
        <w:t>, добавить в конце</w:t>
      </w:r>
      <w:r w:rsidRPr="00DC3528">
        <w:t xml:space="preserve"> следующ</w:t>
      </w:r>
      <w:r>
        <w:t>ее</w:t>
      </w:r>
      <w:r w:rsidRPr="00DC3528">
        <w:t>:</w:t>
      </w:r>
    </w:p>
    <w:p w:rsidR="00152C8B" w:rsidRPr="00DC3528" w:rsidRDefault="00152C8B" w:rsidP="00152C8B">
      <w:pPr>
        <w:pStyle w:val="SingleTxtGR"/>
        <w:ind w:left="2268" w:hanging="1134"/>
      </w:pPr>
      <w:r>
        <w:t>"3.4</w:t>
      </w:r>
      <w:r w:rsidRPr="00DC3528">
        <w:tab/>
      </w:r>
      <w:r w:rsidRPr="00DC3528">
        <w:tab/>
        <w:t>…</w:t>
      </w:r>
    </w:p>
    <w:p w:rsidR="00152C8B" w:rsidRPr="008F6D96" w:rsidRDefault="00152C8B" w:rsidP="00152C8B">
      <w:pPr>
        <w:pStyle w:val="SingleTxtGR"/>
        <w:ind w:left="2268" w:hanging="1134"/>
      </w:pPr>
      <w:r w:rsidRPr="008F6D96">
        <w:tab/>
      </w:r>
      <w:r w:rsidRPr="008F6D96">
        <w:tab/>
        <w:t>Светоотражающие материалы класса 5 должны состоять из кра</w:t>
      </w:r>
      <w:r w:rsidRPr="008F6D96">
        <w:t>с</w:t>
      </w:r>
      <w:r w:rsidRPr="008F6D96">
        <w:t xml:space="preserve">ных и белых диагональных полос шириной 100 мм каждая, которые направлены под углом в 45° наружу и вниз. </w:t>
      </w:r>
      <w:proofErr w:type="gramStart"/>
      <w:r w:rsidRPr="008F6D96">
        <w:t>Базовая стандартная область представляет собой квадрат со стороной 141 мм, разделе</w:t>
      </w:r>
      <w:r w:rsidRPr="008F6D96">
        <w:t>н</w:t>
      </w:r>
      <w:r w:rsidRPr="008F6D96">
        <w:t>ный на белую и красную половины, образующий одну стандартную область.</w:t>
      </w:r>
      <w:proofErr w:type="gramEnd"/>
    </w:p>
    <w:p w:rsidR="00152C8B" w:rsidRPr="008F6D96" w:rsidRDefault="00152C8B" w:rsidP="00152C8B">
      <w:pPr>
        <w:pStyle w:val="SingleTxtGR"/>
        <w:ind w:left="2268" w:hanging="1134"/>
      </w:pPr>
      <w:r w:rsidRPr="008F6D96">
        <w:tab/>
      </w:r>
      <w:r w:rsidRPr="008F6D96">
        <w:tab/>
        <w:t>Предписанные формы, схемы и пространственные характеристики устрой</w:t>
      </w:r>
      <w:proofErr w:type="gramStart"/>
      <w:r w:rsidRPr="008F6D96">
        <w:t>ств кл</w:t>
      </w:r>
      <w:proofErr w:type="gramEnd"/>
      <w:r w:rsidRPr="008F6D96">
        <w:t>асса 5 проиллюстрированы на рис. 3 приложения 12 к настоящим Правилам</w:t>
      </w:r>
      <w:r>
        <w:t>"</w:t>
      </w:r>
      <w:r w:rsidRPr="008F6D96">
        <w:t>.</w:t>
      </w:r>
    </w:p>
    <w:p w:rsidR="00152C8B" w:rsidRPr="00DC3528" w:rsidRDefault="00152C8B" w:rsidP="00152C8B">
      <w:pPr>
        <w:pStyle w:val="SingleTxtGR"/>
        <w:ind w:left="2268" w:hanging="1134"/>
      </w:pPr>
      <w:r w:rsidRPr="00DC3528">
        <w:rPr>
          <w:i/>
        </w:rPr>
        <w:t>Пункт 3.5</w:t>
      </w:r>
      <w:r w:rsidRPr="00DC3528">
        <w:t xml:space="preserve"> изменить следующим образом:</w:t>
      </w:r>
    </w:p>
    <w:p w:rsidR="00152C8B" w:rsidRPr="00DC3528" w:rsidRDefault="00152C8B" w:rsidP="00152C8B">
      <w:pPr>
        <w:pStyle w:val="SingleTxtGR"/>
        <w:ind w:left="2268" w:hanging="1134"/>
      </w:pPr>
      <w:r>
        <w:t>"3.5</w:t>
      </w:r>
      <w:r w:rsidRPr="00DC3528">
        <w:tab/>
      </w:r>
      <w:r w:rsidRPr="00DC3528">
        <w:tab/>
        <w:t>Задние опознавательные знаки</w:t>
      </w:r>
      <w:r w:rsidRPr="00CD356B">
        <w:rPr>
          <w:b/>
        </w:rPr>
        <w:t xml:space="preserve"> </w:t>
      </w:r>
      <w:r w:rsidRPr="009A7AD2">
        <w:t>или устройства класса 5</w:t>
      </w:r>
      <w:r w:rsidRPr="00DC3528">
        <w:t>, поставл</w:t>
      </w:r>
      <w:r w:rsidRPr="00DC3528">
        <w:t>я</w:t>
      </w:r>
      <w:r w:rsidRPr="00DC3528">
        <w:t>емые в комплектах, должны составлять взаимно подходящие па</w:t>
      </w:r>
      <w:r>
        <w:t>ры</w:t>
      </w:r>
      <w:r w:rsidRPr="00DC3528">
        <w:t>"</w:t>
      </w:r>
      <w:r>
        <w:t>.</w:t>
      </w:r>
    </w:p>
    <w:p w:rsidR="00152C8B" w:rsidRPr="00DC3528" w:rsidRDefault="00152C8B" w:rsidP="00152C8B">
      <w:pPr>
        <w:pStyle w:val="SingleTxtGR"/>
        <w:ind w:left="2268" w:hanging="1134"/>
        <w:rPr>
          <w:i/>
        </w:rPr>
      </w:pPr>
      <w:r w:rsidRPr="00DC3528">
        <w:rPr>
          <w:i/>
        </w:rPr>
        <w:t>Приложение 6</w:t>
      </w:r>
    </w:p>
    <w:p w:rsidR="00152C8B" w:rsidRPr="00DC3528" w:rsidRDefault="00152C8B" w:rsidP="00152C8B">
      <w:pPr>
        <w:pStyle w:val="SingleTxtGR"/>
        <w:ind w:left="2268" w:hanging="1134"/>
      </w:pPr>
      <w:r w:rsidRPr="00DC3528">
        <w:rPr>
          <w:i/>
        </w:rPr>
        <w:t>Пункт 2</w:t>
      </w:r>
      <w:r w:rsidRPr="00CD356B">
        <w:t>,</w:t>
      </w:r>
      <w:r w:rsidRPr="00DC3528">
        <w:t xml:space="preserve"> изменить заголовок следующим образом:</w:t>
      </w:r>
    </w:p>
    <w:p w:rsidR="00152C8B" w:rsidRPr="00DC3528" w:rsidRDefault="00152C8B" w:rsidP="00152C8B">
      <w:pPr>
        <w:pStyle w:val="SingleTxtGR"/>
        <w:ind w:left="2268" w:hanging="1134"/>
      </w:pPr>
      <w:r>
        <w:t>"2.</w:t>
      </w:r>
      <w:r w:rsidRPr="00DC3528">
        <w:tab/>
      </w:r>
      <w:r w:rsidRPr="00DC3528">
        <w:tab/>
        <w:t xml:space="preserve">Желтые, красные </w:t>
      </w:r>
      <w:r w:rsidRPr="008F6D96">
        <w:t>или белые</w:t>
      </w:r>
      <w:r w:rsidRPr="00DC3528">
        <w:t xml:space="preserve"> светоотражающие материалы"</w:t>
      </w:r>
      <w:r>
        <w:t>.</w:t>
      </w:r>
    </w:p>
    <w:p w:rsidR="00152C8B" w:rsidRPr="00DC3528" w:rsidRDefault="00152C8B" w:rsidP="00152C8B">
      <w:pPr>
        <w:pStyle w:val="SingleTxtGR"/>
        <w:ind w:left="2268" w:hanging="1134"/>
      </w:pPr>
      <w:r w:rsidRPr="00DC3528">
        <w:rPr>
          <w:i/>
        </w:rPr>
        <w:t>Пункт 2.1.1</w:t>
      </w:r>
      <w:r w:rsidRPr="00DC3528">
        <w:t xml:space="preserve"> изменить следующим образом:</w:t>
      </w:r>
    </w:p>
    <w:p w:rsidR="00152C8B" w:rsidRPr="00DC3528" w:rsidRDefault="00152C8B" w:rsidP="00152C8B">
      <w:pPr>
        <w:pStyle w:val="SingleTxtGR"/>
        <w:ind w:left="2268" w:hanging="1134"/>
      </w:pPr>
      <w:r w:rsidRPr="00DC3528">
        <w:t>"2.1.1</w:t>
      </w:r>
      <w:r>
        <w:tab/>
      </w:r>
      <w:r w:rsidRPr="00DC3528">
        <w:tab/>
        <w:t xml:space="preserve">Коэффициент силы света </w:t>
      </w:r>
      <w:proofErr w:type="gramStart"/>
      <w:r w:rsidRPr="00DC3528">
        <w:t>для</w:t>
      </w:r>
      <w:proofErr w:type="gramEnd"/>
      <w:r w:rsidRPr="00DC3528">
        <w:t>:</w:t>
      </w:r>
    </w:p>
    <w:p w:rsidR="00152C8B" w:rsidRPr="00DC3528" w:rsidRDefault="00152C8B" w:rsidP="00152C8B">
      <w:pPr>
        <w:pStyle w:val="SingleTxtGR"/>
        <w:ind w:left="2268" w:hanging="1134"/>
      </w:pPr>
      <w:r>
        <w:tab/>
      </w:r>
      <w:r>
        <w:tab/>
      </w:r>
      <w:r w:rsidRPr="00E02FF3">
        <w:t>а)</w:t>
      </w:r>
      <w:r>
        <w:tab/>
      </w:r>
      <w:r w:rsidRPr="00DC3528">
        <w:t xml:space="preserve">желтого цвета должен быть </w:t>
      </w:r>
      <w:r w:rsidRPr="00DC3528">
        <w:sym w:font="Symbol" w:char="F0B3"/>
      </w:r>
      <w:r>
        <w:t>0,16,</w:t>
      </w:r>
    </w:p>
    <w:p w:rsidR="00152C8B" w:rsidRPr="00DC3528" w:rsidRDefault="00152C8B" w:rsidP="00152C8B">
      <w:pPr>
        <w:pStyle w:val="SingleTxtGR"/>
        <w:pageBreakBefore/>
        <w:ind w:left="2268" w:hanging="1134"/>
      </w:pPr>
      <w:r w:rsidRPr="00DC3528">
        <w:lastRenderedPageBreak/>
        <w:tab/>
      </w:r>
      <w:r w:rsidRPr="00DC3528">
        <w:tab/>
      </w:r>
      <w:r w:rsidRPr="00E02FF3">
        <w:rPr>
          <w:lang w:val="en-US"/>
        </w:rPr>
        <w:t>b</w:t>
      </w:r>
      <w:r w:rsidRPr="00E02FF3">
        <w:t>)</w:t>
      </w:r>
      <w:r>
        <w:tab/>
      </w:r>
      <w:proofErr w:type="gramStart"/>
      <w:r w:rsidRPr="00DC3528">
        <w:t>красного</w:t>
      </w:r>
      <w:proofErr w:type="gramEnd"/>
      <w:r w:rsidRPr="00DC3528">
        <w:t xml:space="preserve"> цвета должен быть </w:t>
      </w:r>
      <w:r w:rsidRPr="00DC3528">
        <w:sym w:font="Symbol" w:char="F0B3"/>
      </w:r>
      <w:r w:rsidRPr="00DC3528">
        <w:t>0,03</w:t>
      </w:r>
      <w:r>
        <w:t>,</w:t>
      </w:r>
    </w:p>
    <w:p w:rsidR="00152C8B" w:rsidRPr="001F6F6C" w:rsidRDefault="00152C8B" w:rsidP="00152C8B">
      <w:pPr>
        <w:pStyle w:val="SingleTxtGR"/>
        <w:ind w:left="2268" w:hanging="1134"/>
        <w:rPr>
          <w:b/>
        </w:rPr>
      </w:pPr>
      <w:r w:rsidRPr="00A20C30">
        <w:rPr>
          <w:b/>
        </w:rPr>
        <w:tab/>
      </w:r>
      <w:r w:rsidRPr="00A20C30">
        <w:rPr>
          <w:b/>
        </w:rPr>
        <w:tab/>
      </w:r>
      <w:r w:rsidRPr="00E02FF3">
        <w:rPr>
          <w:lang w:val="en-US"/>
        </w:rPr>
        <w:t>c</w:t>
      </w:r>
      <w:r w:rsidRPr="00E02FF3">
        <w:t>)</w:t>
      </w:r>
      <w:r w:rsidRPr="00E02FF3">
        <w:tab/>
      </w:r>
      <w:proofErr w:type="gramStart"/>
      <w:r w:rsidRPr="00E02FF3">
        <w:t>белого</w:t>
      </w:r>
      <w:proofErr w:type="gramEnd"/>
      <w:r w:rsidRPr="00E02FF3">
        <w:t xml:space="preserve"> цвета должен быть </w:t>
      </w:r>
      <w:r w:rsidRPr="00E02FF3">
        <w:sym w:font="Symbol" w:char="F0B3"/>
      </w:r>
      <w:r w:rsidRPr="00E02FF3">
        <w:t>0,25</w:t>
      </w:r>
      <w:r w:rsidRPr="00E33261">
        <w:t>".</w:t>
      </w:r>
    </w:p>
    <w:p w:rsidR="00152C8B" w:rsidRPr="00DC3528" w:rsidRDefault="00152C8B" w:rsidP="00152C8B">
      <w:pPr>
        <w:pStyle w:val="SingleTxtGR"/>
        <w:ind w:left="2268" w:hanging="1134"/>
        <w:rPr>
          <w:i/>
        </w:rPr>
      </w:pPr>
      <w:r w:rsidRPr="00DC3528">
        <w:rPr>
          <w:i/>
        </w:rPr>
        <w:t>Приложение 7</w:t>
      </w:r>
    </w:p>
    <w:p w:rsidR="00152C8B" w:rsidRPr="00FC6B56" w:rsidRDefault="00152C8B" w:rsidP="00152C8B">
      <w:pPr>
        <w:pStyle w:val="SingleTxtGR"/>
      </w:pPr>
      <w:r w:rsidRPr="00983B2E">
        <w:rPr>
          <w:i/>
        </w:rPr>
        <w:t>Пункт 1.1</w:t>
      </w:r>
      <w:r>
        <w:t xml:space="preserve">, </w:t>
      </w:r>
      <w:r w:rsidRPr="00FC6B56">
        <w:t>включить новую таблицу 3 после таблицы 2</w:t>
      </w:r>
      <w:r>
        <w:t>, а текст</w:t>
      </w:r>
      <w:r w:rsidRPr="00FC6B56">
        <w:t xml:space="preserve"> изменить сл</w:t>
      </w:r>
      <w:r w:rsidRPr="00FC6B56">
        <w:t>е</w:t>
      </w:r>
      <w:r w:rsidRPr="00FC6B56">
        <w:t>дующим образом:</w:t>
      </w:r>
    </w:p>
    <w:p w:rsidR="00152C8B" w:rsidRPr="00DC3528" w:rsidRDefault="00152C8B" w:rsidP="00152C8B">
      <w:pPr>
        <w:pStyle w:val="SingleTxtGR"/>
        <w:ind w:left="2268" w:hanging="1134"/>
      </w:pPr>
      <w:r w:rsidRPr="00DC3528">
        <w:tab/>
      </w:r>
      <w:r w:rsidRPr="00DC3528">
        <w:tab/>
        <w:t xml:space="preserve">"При освещении лампой-эталоном </w:t>
      </w:r>
      <w:proofErr w:type="spellStart"/>
      <w:r w:rsidRPr="00DC3528">
        <w:t>МКО</w:t>
      </w:r>
      <w:proofErr w:type="spellEnd"/>
      <w:r w:rsidRPr="00DC3528">
        <w:t xml:space="preserve"> А и проведении измерений в соответствии с рекомендацией </w:t>
      </w:r>
      <w:proofErr w:type="spellStart"/>
      <w:r w:rsidRPr="00DC3528">
        <w:t>МКО</w:t>
      </w:r>
      <w:proofErr w:type="spellEnd"/>
      <w:r w:rsidRPr="00DC3528">
        <w:t xml:space="preserve"> ТС 2.3 (издание </w:t>
      </w:r>
      <w:proofErr w:type="spellStart"/>
      <w:r w:rsidRPr="00DC3528">
        <w:t>МКО</w:t>
      </w:r>
      <w:proofErr w:type="spellEnd"/>
      <w:r w:rsidRPr="00DC3528">
        <w:t xml:space="preserve"> № 54, 1982 год) значения коэффициента светоотражения R' желтой, </w:t>
      </w:r>
      <w:r w:rsidRPr="00E02FF3">
        <w:t>белой или красной</w:t>
      </w:r>
      <w:r w:rsidRPr="00DC3528">
        <w:t xml:space="preserve"> светоотражающей поверхности в новых условиях, и</w:t>
      </w:r>
      <w:r w:rsidRPr="00DC3528">
        <w:t>з</w:t>
      </w:r>
      <w:r w:rsidRPr="00DC3528">
        <w:t xml:space="preserve">меряемого в канделах на квадратный метр на люкс, должны </w:t>
      </w:r>
      <w:proofErr w:type="gramStart"/>
      <w:r w:rsidRPr="00DC3528">
        <w:t>соо</w:t>
      </w:r>
      <w:r w:rsidRPr="00DC3528">
        <w:t>т</w:t>
      </w:r>
      <w:r w:rsidRPr="00DC3528">
        <w:t>ветствовать</w:t>
      </w:r>
      <w:proofErr w:type="gramEnd"/>
      <w:r w:rsidRPr="00DC3528">
        <w:t xml:space="preserve"> по меньшей мере значениям, указанным в таблице 1, 2 </w:t>
      </w:r>
      <w:r w:rsidRPr="00E02FF3">
        <w:t xml:space="preserve">или 3 </w:t>
      </w:r>
      <w:r w:rsidRPr="00DC3528">
        <w:t>в зависимости от класса. Устройства класса 1 и класса 2 должны соответствовать значениям, приведенным в таблице 1, уст</w:t>
      </w:r>
      <w:r>
        <w:t xml:space="preserve">ройства класса 3 и класса 4 </w:t>
      </w:r>
      <w:r w:rsidRPr="000345A6">
        <w:t>−</w:t>
      </w:r>
      <w:r w:rsidRPr="00DC3528">
        <w:t xml:space="preserve"> значениям, приведенным в табл</w:t>
      </w:r>
      <w:r w:rsidRPr="00DC3528">
        <w:t>и</w:t>
      </w:r>
      <w:r w:rsidRPr="00DC3528">
        <w:t xml:space="preserve">це 2, </w:t>
      </w:r>
      <w:r w:rsidRPr="00E02FF3">
        <w:t>а устройства класса 5 – значениям, приведенным в таблице 3</w:t>
      </w:r>
      <w:r>
        <w:t>"</w:t>
      </w:r>
      <w:r w:rsidRPr="00DC3528">
        <w:t>.</w:t>
      </w:r>
    </w:p>
    <w:p w:rsidR="00152C8B" w:rsidRPr="00DC3528" w:rsidRDefault="00152C8B" w:rsidP="00152C8B">
      <w:pPr>
        <w:pStyle w:val="SingleTxtGR"/>
        <w:ind w:left="2268" w:hanging="1134"/>
      </w:pPr>
      <w:r w:rsidRPr="00DC3528">
        <w:tab/>
      </w:r>
      <w:r w:rsidRPr="008272DA">
        <w:tab/>
      </w:r>
      <w:r w:rsidRPr="00DC3528">
        <w:t>…</w:t>
      </w:r>
    </w:p>
    <w:p w:rsidR="00152C8B" w:rsidRPr="00983B2E" w:rsidRDefault="00152C8B" w:rsidP="00152C8B">
      <w:pPr>
        <w:pStyle w:val="SingleTxtGR"/>
        <w:keepNext/>
        <w:keepLines/>
        <w:jc w:val="left"/>
        <w:rPr>
          <w:b/>
        </w:rPr>
      </w:pPr>
      <w:proofErr w:type="spellStart"/>
      <w:proofErr w:type="gramStart"/>
      <w:r w:rsidRPr="00E02FF3">
        <w:t>Ta</w:t>
      </w:r>
      <w:proofErr w:type="gramEnd"/>
      <w:r w:rsidRPr="00E02FF3">
        <w:t>блица</w:t>
      </w:r>
      <w:proofErr w:type="spellEnd"/>
      <w:r w:rsidRPr="00E02FF3">
        <w:t xml:space="preserve"> 3</w:t>
      </w:r>
      <w:r w:rsidRPr="00E02FF3">
        <w:br/>
      </w:r>
      <w:r w:rsidRPr="00A20C30">
        <w:rPr>
          <w:b/>
        </w:rPr>
        <w:t>Коэффициент светоотражения R'</w:t>
      </w:r>
      <w:r>
        <w:rPr>
          <w:b/>
        </w:rPr>
        <w:t xml:space="preserve"> </w:t>
      </w:r>
      <w:r w:rsidRPr="00983B2E">
        <w:rPr>
          <w:b/>
        </w:rPr>
        <w:t xml:space="preserve">[кд </w:t>
      </w:r>
      <w:r w:rsidRPr="00983B2E">
        <w:rPr>
          <w:b/>
        </w:rPr>
        <w:sym w:font="Symbol" w:char="F0D7"/>
      </w:r>
      <w:r w:rsidRPr="00983B2E">
        <w:rPr>
          <w:b/>
        </w:rPr>
        <w:t xml:space="preserve"> м</w:t>
      </w:r>
      <w:r w:rsidRPr="00983B2E">
        <w:rPr>
          <w:b/>
          <w:vertAlign w:val="superscript"/>
        </w:rPr>
        <w:t>-2</w:t>
      </w:r>
      <w:r w:rsidRPr="00983B2E">
        <w:rPr>
          <w:b/>
        </w:rPr>
        <w:t xml:space="preserve"> </w:t>
      </w:r>
      <w:r w:rsidRPr="00983B2E">
        <w:rPr>
          <w:b/>
        </w:rPr>
        <w:sym w:font="Symbol" w:char="F0D7"/>
      </w:r>
      <w:r w:rsidRPr="00983B2E">
        <w:rPr>
          <w:b/>
        </w:rPr>
        <w:t xml:space="preserve"> лк</w:t>
      </w:r>
      <w:r w:rsidRPr="00983B2E">
        <w:rPr>
          <w:b/>
          <w:vertAlign w:val="superscript"/>
        </w:rPr>
        <w:t>-1</w:t>
      </w:r>
      <w:r w:rsidRPr="00983B2E">
        <w:rPr>
          <w:b/>
        </w:rPr>
        <w:t>]</w:t>
      </w:r>
    </w:p>
    <w:tbl>
      <w:tblPr>
        <w:tblW w:w="7370" w:type="dxa"/>
        <w:tblInd w:w="1134" w:type="dxa"/>
        <w:tblBorders>
          <w:top w:val="single" w:sz="4" w:space="0" w:color="auto"/>
          <w:bottom w:val="single" w:sz="12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88"/>
        <w:gridCol w:w="2083"/>
        <w:gridCol w:w="737"/>
        <w:gridCol w:w="720"/>
        <w:gridCol w:w="830"/>
        <w:gridCol w:w="712"/>
      </w:tblGrid>
      <w:tr w:rsidR="00152C8B" w:rsidRPr="00203B3E" w:rsidTr="0032510F">
        <w:trPr>
          <w:trHeight w:val="113"/>
          <w:tblHeader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bottom"/>
          </w:tcPr>
          <w:p w:rsidR="00152C8B" w:rsidRPr="00203B3E" w:rsidRDefault="00152C8B" w:rsidP="0032510F">
            <w:pPr>
              <w:keepNext/>
              <w:keepLines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203B3E">
              <w:rPr>
                <w:i/>
                <w:sz w:val="16"/>
              </w:rPr>
              <w:t>Угол наблюдения</w:t>
            </w:r>
            <w:proofErr w:type="gramStart"/>
            <w:r w:rsidRPr="00203B3E">
              <w:rPr>
                <w:i/>
                <w:sz w:val="16"/>
              </w:rPr>
              <w:t xml:space="preserve"> α [']</w:t>
            </w:r>
            <w:proofErr w:type="gramEnd"/>
          </w:p>
        </w:tc>
        <w:tc>
          <w:tcPr>
            <w:tcW w:w="508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C8B" w:rsidRPr="00203B3E" w:rsidRDefault="00152C8B" w:rsidP="0032510F">
            <w:pPr>
              <w:keepNext/>
              <w:keepLines/>
              <w:spacing w:before="60" w:after="60" w:line="200" w:lineRule="exact"/>
              <w:jc w:val="center"/>
              <w:rPr>
                <w:i/>
                <w:sz w:val="16"/>
              </w:rPr>
            </w:pPr>
            <w:r w:rsidRPr="00203B3E">
              <w:rPr>
                <w:i/>
                <w:sz w:val="16"/>
              </w:rPr>
              <w:t>Угол падения</w:t>
            </w:r>
            <w:proofErr w:type="gramStart"/>
            <w:r w:rsidRPr="00203B3E">
              <w:rPr>
                <w:i/>
                <w:sz w:val="16"/>
              </w:rPr>
              <w:t xml:space="preserve"> β [°]</w:t>
            </w:r>
            <w:proofErr w:type="gramEnd"/>
          </w:p>
        </w:tc>
      </w:tr>
      <w:tr w:rsidR="00152C8B" w:rsidRPr="00E02FF3" w:rsidTr="0032510F">
        <w:tc>
          <w:tcPr>
            <w:tcW w:w="228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20'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ß</w:t>
            </w:r>
            <w:r w:rsidRPr="00203B3E">
              <w:rPr>
                <w:sz w:val="18"/>
                <w:vertAlign w:val="subscript"/>
              </w:rPr>
              <w:t>1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0°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0°</w:t>
            </w:r>
          </w:p>
        </w:tc>
        <w:tc>
          <w:tcPr>
            <w:tcW w:w="8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0°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0°</w:t>
            </w:r>
          </w:p>
        </w:tc>
      </w:tr>
      <w:tr w:rsidR="00152C8B" w:rsidRPr="00E02FF3" w:rsidTr="0032510F">
        <w:tc>
          <w:tcPr>
            <w:tcW w:w="2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ß</w:t>
            </w:r>
            <w:r w:rsidRPr="00203B3E">
              <w:rPr>
                <w:sz w:val="18"/>
                <w:vertAlign w:val="subscript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5°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30°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40°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60°</w:t>
            </w:r>
          </w:p>
        </w:tc>
      </w:tr>
      <w:tr w:rsidR="00152C8B" w:rsidRPr="00E02FF3" w:rsidTr="0032510F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Коэффициент R'</w:t>
            </w:r>
            <w:r w:rsidRPr="00203B3E">
              <w:rPr>
                <w:sz w:val="18"/>
              </w:rPr>
              <w:br/>
              <w:t xml:space="preserve">[кд </w:t>
            </w:r>
            <w:r w:rsidRPr="00203B3E">
              <w:rPr>
                <w:sz w:val="18"/>
              </w:rPr>
              <w:sym w:font="Symbol" w:char="F0D7"/>
            </w:r>
            <w:r w:rsidRPr="00203B3E">
              <w:rPr>
                <w:sz w:val="18"/>
              </w:rPr>
              <w:t xml:space="preserve"> м</w:t>
            </w:r>
            <w:r w:rsidRPr="00203B3E">
              <w:rPr>
                <w:sz w:val="18"/>
                <w:vertAlign w:val="superscript"/>
              </w:rPr>
              <w:t>-2</w:t>
            </w:r>
            <w:r w:rsidRPr="00203B3E">
              <w:rPr>
                <w:sz w:val="18"/>
              </w:rPr>
              <w:t xml:space="preserve"> </w:t>
            </w:r>
            <w:r w:rsidRPr="00203B3E">
              <w:rPr>
                <w:sz w:val="18"/>
              </w:rPr>
              <w:sym w:font="Symbol" w:char="F0D7"/>
            </w:r>
            <w:r w:rsidRPr="00203B3E">
              <w:rPr>
                <w:sz w:val="18"/>
              </w:rPr>
              <w:t xml:space="preserve"> лк</w:t>
            </w:r>
            <w:r w:rsidRPr="00203B3E">
              <w:rPr>
                <w:sz w:val="18"/>
                <w:vertAlign w:val="superscript"/>
              </w:rPr>
              <w:t>-1</w:t>
            </w:r>
            <w:r w:rsidRPr="00203B3E">
              <w:rPr>
                <w:sz w:val="18"/>
              </w:rPr>
              <w:t>]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52C8B" w:rsidRPr="00203B3E" w:rsidRDefault="00152C8B" w:rsidP="0032510F">
            <w:pPr>
              <w:keepNext/>
              <w:keepLines/>
              <w:spacing w:before="40" w:after="40"/>
              <w:rPr>
                <w:sz w:val="18"/>
              </w:rPr>
            </w:pPr>
            <w:r w:rsidRPr="00203B3E">
              <w:rPr>
                <w:sz w:val="18"/>
              </w:rPr>
              <w:tab/>
              <w:t>Цвет:</w:t>
            </w:r>
            <w:r w:rsidRPr="00203B3E">
              <w:rPr>
                <w:sz w:val="18"/>
              </w:rPr>
              <w:tab/>
            </w:r>
            <w:proofErr w:type="gramStart"/>
            <w:r w:rsidRPr="00203B3E">
              <w:rPr>
                <w:sz w:val="18"/>
              </w:rPr>
              <w:t>белый</w:t>
            </w:r>
            <w:proofErr w:type="gramEnd"/>
            <w:r w:rsidRPr="00203B3E">
              <w:rPr>
                <w:sz w:val="18"/>
                <w:lang w:val="en-US"/>
              </w:rPr>
              <w:br/>
            </w:r>
            <w:r w:rsidRPr="00203B3E">
              <w:rPr>
                <w:sz w:val="18"/>
              </w:rPr>
              <w:tab/>
            </w:r>
            <w:r w:rsidRPr="00203B3E">
              <w:rPr>
                <w:sz w:val="18"/>
              </w:rPr>
              <w:tab/>
              <w:t>красный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right"/>
              <w:rPr>
                <w:sz w:val="18"/>
              </w:rPr>
            </w:pPr>
            <w:r w:rsidRPr="00203B3E">
              <w:rPr>
                <w:sz w:val="18"/>
              </w:rPr>
              <w:t>450</w:t>
            </w:r>
            <w:r w:rsidRPr="00203B3E">
              <w:rPr>
                <w:sz w:val="18"/>
                <w:lang w:val="en-US"/>
              </w:rPr>
              <w:br/>
            </w:r>
            <w:r w:rsidRPr="00203B3E">
              <w:rPr>
                <w:sz w:val="18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right"/>
              <w:rPr>
                <w:sz w:val="18"/>
              </w:rPr>
            </w:pPr>
            <w:r w:rsidRPr="00203B3E">
              <w:rPr>
                <w:sz w:val="18"/>
              </w:rPr>
              <w:t>200</w:t>
            </w:r>
            <w:r w:rsidRPr="00203B3E">
              <w:rPr>
                <w:sz w:val="18"/>
              </w:rPr>
              <w:br/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right"/>
              <w:rPr>
                <w:sz w:val="18"/>
              </w:rPr>
            </w:pPr>
            <w:r w:rsidRPr="00203B3E">
              <w:rPr>
                <w:sz w:val="18"/>
              </w:rPr>
              <w:t>90</w:t>
            </w:r>
            <w:r w:rsidRPr="00203B3E">
              <w:rPr>
                <w:sz w:val="18"/>
                <w:lang w:val="en-US"/>
              </w:rPr>
              <w:br/>
            </w:r>
            <w:r w:rsidRPr="00203B3E">
              <w:rPr>
                <w:sz w:val="18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C8B" w:rsidRPr="00203B3E" w:rsidRDefault="00152C8B" w:rsidP="0032510F">
            <w:pPr>
              <w:keepNext/>
              <w:keepLines/>
              <w:spacing w:before="40" w:after="40"/>
              <w:jc w:val="right"/>
              <w:rPr>
                <w:sz w:val="18"/>
              </w:rPr>
            </w:pPr>
            <w:r w:rsidRPr="00203B3E">
              <w:rPr>
                <w:sz w:val="18"/>
              </w:rPr>
              <w:t>16</w:t>
            </w:r>
            <w:r w:rsidRPr="00203B3E">
              <w:rPr>
                <w:sz w:val="18"/>
              </w:rPr>
              <w:br/>
              <w:t>2</w:t>
            </w:r>
          </w:p>
        </w:tc>
      </w:tr>
    </w:tbl>
    <w:p w:rsidR="00152C8B" w:rsidRPr="00F13D66" w:rsidRDefault="00152C8B" w:rsidP="00152C8B">
      <w:pPr>
        <w:pStyle w:val="SingleTxtGR"/>
        <w:jc w:val="right"/>
      </w:pPr>
      <w:r>
        <w:t>"</w:t>
      </w:r>
    </w:p>
    <w:p w:rsidR="00152C8B" w:rsidRPr="00FC6B56" w:rsidRDefault="00152C8B" w:rsidP="00152C8B">
      <w:pPr>
        <w:pStyle w:val="SingleTxtGR"/>
      </w:pPr>
      <w:r w:rsidRPr="00FC6B56">
        <w:rPr>
          <w:i/>
        </w:rPr>
        <w:t xml:space="preserve">Пункт 1.3, таблицу 3 </w:t>
      </w:r>
      <w:r w:rsidRPr="00FC6B56">
        <w:t>изменить следующим образом</w:t>
      </w:r>
      <w:r>
        <w:t>,</w:t>
      </w:r>
      <w:r w:rsidRPr="00FC6B56">
        <w:t xml:space="preserve"> </w:t>
      </w:r>
      <w:r>
        <w:t xml:space="preserve">пронумеровав ее как </w:t>
      </w:r>
      <w:r w:rsidRPr="00FC6B56">
        <w:t>та</w:t>
      </w:r>
      <w:r w:rsidRPr="00FC6B56">
        <w:t>б</w:t>
      </w:r>
      <w:r w:rsidRPr="00FC6B56">
        <w:t>лицу 4:</w:t>
      </w:r>
    </w:p>
    <w:p w:rsidR="00152C8B" w:rsidRPr="00073878" w:rsidRDefault="00152C8B" w:rsidP="00152C8B">
      <w:pPr>
        <w:pStyle w:val="SingleTxtGR"/>
        <w:jc w:val="left"/>
        <w:rPr>
          <w:b/>
        </w:rPr>
      </w:pPr>
      <w:r w:rsidRPr="00073878">
        <w:t>"</w:t>
      </w:r>
      <w:proofErr w:type="spellStart"/>
      <w:proofErr w:type="gramStart"/>
      <w:r w:rsidRPr="007B1D2D">
        <w:t>Ta</w:t>
      </w:r>
      <w:proofErr w:type="gramEnd"/>
      <w:r w:rsidRPr="007B1D2D">
        <w:t>блица</w:t>
      </w:r>
      <w:proofErr w:type="spellEnd"/>
      <w:r w:rsidRPr="007B1D2D">
        <w:t xml:space="preserve"> 4</w:t>
      </w:r>
      <w:r>
        <w:rPr>
          <w:b/>
        </w:rPr>
        <w:br/>
      </w:r>
      <w:r w:rsidRPr="00073878">
        <w:rPr>
          <w:b/>
        </w:rPr>
        <w:t>Коэффициент силы света β</w:t>
      </w:r>
    </w:p>
    <w:tbl>
      <w:tblPr>
        <w:tblW w:w="7370" w:type="dxa"/>
        <w:jc w:val="center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52"/>
        <w:gridCol w:w="3818"/>
      </w:tblGrid>
      <w:tr w:rsidR="00152C8B" w:rsidRPr="00203B3E" w:rsidTr="0032510F">
        <w:trPr>
          <w:tblHeader/>
          <w:jc w:val="center"/>
        </w:trPr>
        <w:tc>
          <w:tcPr>
            <w:tcW w:w="3552" w:type="dxa"/>
            <w:shd w:val="clear" w:color="auto" w:fill="auto"/>
            <w:vAlign w:val="bottom"/>
          </w:tcPr>
          <w:p w:rsidR="00152C8B" w:rsidRPr="00203B3E" w:rsidRDefault="00152C8B" w:rsidP="0032510F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03B3E">
              <w:rPr>
                <w:i/>
                <w:sz w:val="16"/>
              </w:rPr>
              <w:t>Цвет</w:t>
            </w:r>
          </w:p>
        </w:tc>
        <w:tc>
          <w:tcPr>
            <w:tcW w:w="3818" w:type="dxa"/>
            <w:shd w:val="clear" w:color="auto" w:fill="auto"/>
            <w:vAlign w:val="bottom"/>
          </w:tcPr>
          <w:p w:rsidR="00152C8B" w:rsidRPr="00203B3E" w:rsidRDefault="00152C8B" w:rsidP="0032510F">
            <w:pPr>
              <w:spacing w:before="80" w:after="80" w:line="200" w:lineRule="exact"/>
              <w:jc w:val="center"/>
              <w:rPr>
                <w:i/>
                <w:sz w:val="16"/>
              </w:rPr>
            </w:pPr>
            <w:r w:rsidRPr="00203B3E">
              <w:rPr>
                <w:i/>
                <w:sz w:val="16"/>
              </w:rPr>
              <w:t>Коэффициент силы света β</w:t>
            </w:r>
          </w:p>
        </w:tc>
      </w:tr>
      <w:tr w:rsidR="00152C8B" w:rsidRPr="00F13D66" w:rsidTr="0032510F">
        <w:trPr>
          <w:jc w:val="center"/>
        </w:trPr>
        <w:tc>
          <w:tcPr>
            <w:tcW w:w="3552" w:type="dxa"/>
            <w:shd w:val="clear" w:color="auto" w:fill="auto"/>
            <w:vAlign w:val="bottom"/>
          </w:tcPr>
          <w:p w:rsidR="00152C8B" w:rsidRPr="00203B3E" w:rsidRDefault="00152C8B" w:rsidP="0032510F">
            <w:pPr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Красный</w:t>
            </w:r>
          </w:p>
        </w:tc>
        <w:tc>
          <w:tcPr>
            <w:tcW w:w="3818" w:type="dxa"/>
            <w:shd w:val="clear" w:color="auto" w:fill="auto"/>
            <w:vAlign w:val="bottom"/>
          </w:tcPr>
          <w:p w:rsidR="00152C8B" w:rsidRPr="00203B3E" w:rsidRDefault="00152C8B" w:rsidP="0032510F">
            <w:pPr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≥0,03</w:t>
            </w:r>
          </w:p>
        </w:tc>
      </w:tr>
      <w:tr w:rsidR="00152C8B" w:rsidRPr="00F13D66" w:rsidTr="0032510F">
        <w:trPr>
          <w:jc w:val="center"/>
        </w:trPr>
        <w:tc>
          <w:tcPr>
            <w:tcW w:w="3552" w:type="dxa"/>
            <w:shd w:val="clear" w:color="auto" w:fill="auto"/>
            <w:vAlign w:val="bottom"/>
          </w:tcPr>
          <w:p w:rsidR="00152C8B" w:rsidRPr="00203B3E" w:rsidRDefault="00152C8B" w:rsidP="0032510F">
            <w:pPr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Желтый</w:t>
            </w:r>
          </w:p>
        </w:tc>
        <w:tc>
          <w:tcPr>
            <w:tcW w:w="3818" w:type="dxa"/>
            <w:shd w:val="clear" w:color="auto" w:fill="auto"/>
            <w:vAlign w:val="bottom"/>
          </w:tcPr>
          <w:p w:rsidR="00152C8B" w:rsidRPr="00203B3E" w:rsidRDefault="00152C8B" w:rsidP="0032510F">
            <w:pPr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≥0,16</w:t>
            </w:r>
          </w:p>
        </w:tc>
      </w:tr>
      <w:tr w:rsidR="00152C8B" w:rsidRPr="00203B3E" w:rsidTr="0032510F">
        <w:trPr>
          <w:jc w:val="center"/>
        </w:trPr>
        <w:tc>
          <w:tcPr>
            <w:tcW w:w="3552" w:type="dxa"/>
            <w:shd w:val="clear" w:color="auto" w:fill="auto"/>
            <w:vAlign w:val="bottom"/>
          </w:tcPr>
          <w:p w:rsidR="00152C8B" w:rsidRPr="00203B3E" w:rsidRDefault="00152C8B" w:rsidP="0032510F">
            <w:pPr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Белый</w:t>
            </w:r>
          </w:p>
        </w:tc>
        <w:tc>
          <w:tcPr>
            <w:tcW w:w="3818" w:type="dxa"/>
            <w:shd w:val="clear" w:color="auto" w:fill="auto"/>
            <w:vAlign w:val="bottom"/>
          </w:tcPr>
          <w:p w:rsidR="00152C8B" w:rsidRPr="00203B3E" w:rsidRDefault="00152C8B" w:rsidP="0032510F">
            <w:pPr>
              <w:spacing w:before="40" w:after="40"/>
              <w:jc w:val="center"/>
              <w:rPr>
                <w:sz w:val="18"/>
              </w:rPr>
            </w:pPr>
            <w:r w:rsidRPr="00203B3E">
              <w:rPr>
                <w:sz w:val="18"/>
              </w:rPr>
              <w:t>≥0,25</w:t>
            </w:r>
          </w:p>
        </w:tc>
      </w:tr>
    </w:tbl>
    <w:p w:rsidR="00152C8B" w:rsidRDefault="00152C8B" w:rsidP="00152C8B">
      <w:pPr>
        <w:pStyle w:val="SingleTxtGR"/>
        <w:spacing w:before="80"/>
        <w:jc w:val="right"/>
      </w:pPr>
      <w:r w:rsidRPr="00FC6B56">
        <w:t>"</w:t>
      </w:r>
    </w:p>
    <w:p w:rsidR="00152C8B" w:rsidRDefault="00152C8B" w:rsidP="00152C8B">
      <w:pPr>
        <w:pStyle w:val="SingleTxtGR"/>
      </w:pPr>
      <w:r w:rsidRPr="00FC6B56">
        <w:rPr>
          <w:i/>
        </w:rPr>
        <w:t>Приложение 12</w:t>
      </w:r>
      <w:r>
        <w:t xml:space="preserve">, </w:t>
      </w:r>
      <w:r w:rsidRPr="00FC6B56">
        <w:t xml:space="preserve">включить новый заголовок </w:t>
      </w:r>
      <w:r>
        <w:t>(</w:t>
      </w:r>
      <w:r w:rsidRPr="00FC6B56">
        <w:t>после рис. 2</w:t>
      </w:r>
      <w:r>
        <w:t xml:space="preserve">), а также </w:t>
      </w:r>
      <w:proofErr w:type="gramStart"/>
      <w:r>
        <w:t>следующие</w:t>
      </w:r>
      <w:proofErr w:type="gramEnd"/>
      <w:r w:rsidRPr="00FC6B56">
        <w:t xml:space="preserve"> но</w:t>
      </w:r>
      <w:r>
        <w:t>вые рис. </w:t>
      </w:r>
      <w:r w:rsidRPr="00FC6B56">
        <w:t>3</w:t>
      </w:r>
      <w:r>
        <w:t>а и 3b</w:t>
      </w:r>
      <w:r w:rsidRPr="00FC6B56">
        <w:t>:</w:t>
      </w:r>
    </w:p>
    <w:p w:rsidR="00152C8B" w:rsidRPr="00F13D66" w:rsidRDefault="00152C8B" w:rsidP="00152C8B">
      <w:pPr>
        <w:pStyle w:val="SingleTxtGR"/>
        <w:keepNext/>
        <w:jc w:val="left"/>
        <w:rPr>
          <w:b/>
        </w:rPr>
      </w:pPr>
      <w:r w:rsidRPr="00EA4B1C">
        <w:t>"</w:t>
      </w:r>
      <w:r w:rsidRPr="007B1D2D">
        <w:t>Задние опознавательные знаки (класс 5)</w:t>
      </w:r>
    </w:p>
    <w:p w:rsidR="00152C8B" w:rsidRPr="007B1D2D" w:rsidRDefault="00152C8B" w:rsidP="00152C8B">
      <w:pPr>
        <w:pStyle w:val="SingleTxtGR"/>
        <w:keepNext/>
      </w:pPr>
      <w:r w:rsidRPr="007B1D2D">
        <w:t>Рис. 3а</w:t>
      </w:r>
    </w:p>
    <w:p w:rsidR="00152C8B" w:rsidRDefault="00BE7275" w:rsidP="00152C8B">
      <w:pPr>
        <w:pStyle w:val="SingleTxtGR"/>
        <w:keepNext/>
      </w:pPr>
      <w:r>
        <w:rPr>
          <w:noProof/>
          <w:w w:val="100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298450</wp:posOffset>
            </wp:positionV>
            <wp:extent cx="2698115" cy="2313940"/>
            <wp:effectExtent l="0" t="0" r="6985" b="0"/>
            <wp:wrapNone/>
            <wp:docPr id="1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11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>
            <wp:extent cx="2466975" cy="2819400"/>
            <wp:effectExtent l="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C8B" w:rsidRPr="00F13D66" w:rsidRDefault="00152C8B" w:rsidP="00152C8B">
      <w:pPr>
        <w:pStyle w:val="SingleTxtGR"/>
        <w:keepNext/>
        <w:jc w:val="left"/>
        <w:rPr>
          <w:b/>
        </w:rPr>
      </w:pPr>
      <w:r w:rsidRPr="00CB6C0A">
        <w:t>Рис. 3b</w:t>
      </w:r>
      <w:r w:rsidRPr="00CB6C0A">
        <w:br/>
      </w:r>
      <w:r w:rsidRPr="00F13D66">
        <w:rPr>
          <w:b/>
        </w:rPr>
        <w:t>Пример знака</w:t>
      </w:r>
    </w:p>
    <w:p w:rsidR="00152C8B" w:rsidRDefault="00BE7275" w:rsidP="00152C8B">
      <w:pPr>
        <w:pStyle w:val="SingleTxtGR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1847850" cy="2286000"/>
            <wp:effectExtent l="0" t="0" r="0" b="0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C8B">
        <w:t>"</w:t>
      </w:r>
    </w:p>
    <w:p w:rsidR="00152C8B" w:rsidRDefault="00152C8B" w:rsidP="00152C8B">
      <w:pPr>
        <w:pStyle w:val="SingleTxtGR"/>
        <w:ind w:left="2268" w:hanging="1134"/>
        <w:rPr>
          <w:i/>
        </w:rPr>
      </w:pPr>
      <w:r w:rsidRPr="00DC3528">
        <w:rPr>
          <w:i/>
        </w:rPr>
        <w:t>П</w:t>
      </w:r>
      <w:r>
        <w:rPr>
          <w:i/>
        </w:rPr>
        <w:t>риложение 15</w:t>
      </w:r>
    </w:p>
    <w:p w:rsidR="00152C8B" w:rsidRDefault="00152C8B" w:rsidP="00152C8B">
      <w:pPr>
        <w:pStyle w:val="SingleTxtGR"/>
        <w:ind w:left="2268" w:hanging="1134"/>
      </w:pPr>
      <w:r>
        <w:rPr>
          <w:i/>
        </w:rPr>
        <w:t>П</w:t>
      </w:r>
      <w:r w:rsidRPr="00DC3528">
        <w:rPr>
          <w:i/>
        </w:rPr>
        <w:t>ункт 2</w:t>
      </w:r>
      <w:r w:rsidRPr="00DC3528">
        <w:t xml:space="preserve"> изменить следующим образом:</w:t>
      </w:r>
    </w:p>
    <w:p w:rsidR="00152C8B" w:rsidRPr="00DC3528" w:rsidRDefault="00152C8B" w:rsidP="00152C8B">
      <w:pPr>
        <w:pStyle w:val="SingleTxtGR"/>
        <w:ind w:left="2268" w:hanging="1134"/>
      </w:pPr>
      <w:r>
        <w:t>"2.</w:t>
      </w:r>
      <w:r>
        <w:tab/>
        <w:t>Область применения</w:t>
      </w:r>
    </w:p>
    <w:p w:rsidR="00152C8B" w:rsidRDefault="00152C8B" w:rsidP="00152C8B">
      <w:pPr>
        <w:pStyle w:val="SingleTxtGR"/>
        <w:ind w:left="2268" w:hanging="1134"/>
        <w:rPr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 w:rsidRPr="00DC3528">
        <w:t>"</w:t>
      </w:r>
      <w:r w:rsidRPr="00DC667E">
        <w:t>Основная</w:t>
      </w:r>
      <w:r w:rsidRPr="00D167C2">
        <w:rPr>
          <w:szCs w:val="24"/>
        </w:rPr>
        <w:t xml:space="preserve"> цель настоящих рекомендаций заключается в определ</w:t>
      </w:r>
      <w:r w:rsidRPr="00D167C2">
        <w:rPr>
          <w:szCs w:val="24"/>
        </w:rPr>
        <w:t>е</w:t>
      </w:r>
      <w:r w:rsidRPr="00D167C2">
        <w:rPr>
          <w:szCs w:val="24"/>
        </w:rPr>
        <w:t>нии требований в отношении установки, размещения, располож</w:t>
      </w:r>
      <w:r w:rsidRPr="00D167C2">
        <w:rPr>
          <w:szCs w:val="24"/>
        </w:rPr>
        <w:t>е</w:t>
      </w:r>
      <w:r w:rsidRPr="00D167C2">
        <w:rPr>
          <w:szCs w:val="24"/>
        </w:rPr>
        <w:t>ния и геометрической видимости задних опознавательных знаков на транспортных средствах большой длины и грузоподъемности</w:t>
      </w:r>
      <w:r>
        <w:rPr>
          <w:b/>
          <w:szCs w:val="24"/>
        </w:rPr>
        <w:t xml:space="preserve">, </w:t>
      </w:r>
      <w:r w:rsidRPr="00CB6C0A">
        <w:rPr>
          <w:szCs w:val="24"/>
        </w:rPr>
        <w:t xml:space="preserve">а также </w:t>
      </w:r>
      <w:r w:rsidRPr="00CB6C0A">
        <w:t>автофургонах и прицепах</w:t>
      </w:r>
      <w:r>
        <w:rPr>
          <w:szCs w:val="24"/>
        </w:rPr>
        <w:t xml:space="preserve">. </w:t>
      </w:r>
      <w:r w:rsidRPr="00D167C2">
        <w:rPr>
          <w:szCs w:val="24"/>
        </w:rPr>
        <w:t>Этот знак улучшает видимость этих транспортных средств на дороге и позволяет легко их идент</w:t>
      </w:r>
      <w:r w:rsidRPr="00D167C2">
        <w:rPr>
          <w:szCs w:val="24"/>
        </w:rPr>
        <w:t>и</w:t>
      </w:r>
      <w:r w:rsidRPr="00D167C2">
        <w:rPr>
          <w:szCs w:val="24"/>
        </w:rPr>
        <w:t>фицировать</w:t>
      </w:r>
      <w:r>
        <w:rPr>
          <w:szCs w:val="24"/>
        </w:rPr>
        <w:t>"</w:t>
      </w:r>
      <w:r w:rsidRPr="00D167C2">
        <w:rPr>
          <w:szCs w:val="24"/>
        </w:rPr>
        <w:t>.</w:t>
      </w:r>
    </w:p>
    <w:p w:rsidR="00152C8B" w:rsidRPr="00DC3528" w:rsidRDefault="00152C8B" w:rsidP="00152C8B">
      <w:pPr>
        <w:pStyle w:val="SingleTxtGR"/>
        <w:pageBreakBefore/>
        <w:ind w:left="2268" w:hanging="1134"/>
      </w:pPr>
      <w:r>
        <w:rPr>
          <w:i/>
        </w:rPr>
        <w:t>П</w:t>
      </w:r>
      <w:r w:rsidRPr="00DC3528">
        <w:rPr>
          <w:i/>
        </w:rPr>
        <w:t>ункт 2</w:t>
      </w:r>
      <w:r>
        <w:rPr>
          <w:i/>
        </w:rPr>
        <w:t>.1</w:t>
      </w:r>
      <w:r w:rsidRPr="00DC3528">
        <w:t xml:space="preserve"> изменить следующим образом:</w:t>
      </w:r>
    </w:p>
    <w:p w:rsidR="00152C8B" w:rsidRDefault="00152C8B" w:rsidP="00152C8B">
      <w:pPr>
        <w:pStyle w:val="SingleTxtGR"/>
        <w:ind w:left="2268" w:hanging="1134"/>
        <w:rPr>
          <w:szCs w:val="24"/>
        </w:rPr>
      </w:pPr>
      <w:r>
        <w:rPr>
          <w:szCs w:val="24"/>
        </w:rPr>
        <w:t>"2.1</w:t>
      </w:r>
      <w:r>
        <w:rPr>
          <w:szCs w:val="24"/>
        </w:rPr>
        <w:tab/>
      </w:r>
      <w:r>
        <w:rPr>
          <w:szCs w:val="24"/>
        </w:rPr>
        <w:tab/>
        <w:t>Транспортные средства большой грузоподъемности</w:t>
      </w:r>
    </w:p>
    <w:p w:rsidR="00152C8B" w:rsidRDefault="00152C8B" w:rsidP="00152C8B">
      <w:pPr>
        <w:pStyle w:val="SingleTxtGR"/>
        <w:ind w:left="2268" w:hanging="1134"/>
        <w:rPr>
          <w:b/>
        </w:rPr>
      </w:pPr>
      <w:r w:rsidRPr="004179FB">
        <w:rPr>
          <w:szCs w:val="24"/>
        </w:rPr>
        <w:tab/>
      </w:r>
      <w:r w:rsidRPr="00CB6C0A">
        <w:rPr>
          <w:szCs w:val="24"/>
        </w:rPr>
        <w:tab/>
      </w:r>
      <w:r w:rsidRPr="00D167C2">
        <w:rPr>
          <w:szCs w:val="24"/>
        </w:rPr>
        <w:t xml:space="preserve">В соответствии с </w:t>
      </w:r>
      <w:r w:rsidRPr="00DC667E">
        <w:t>положениями</w:t>
      </w:r>
      <w:r w:rsidRPr="00D167C2">
        <w:rPr>
          <w:szCs w:val="24"/>
        </w:rPr>
        <w:t xml:space="preserve"> настоящего приложения задние опознавательные знаки для транспортных средств большой длины и грузоподъемности должны устанавливаться на транспортных средствах категорий </w:t>
      </w:r>
      <w:r w:rsidRPr="00426FD0">
        <w:rPr>
          <w:szCs w:val="24"/>
          <w:lang w:val="en-US"/>
        </w:rPr>
        <w:t>N</w:t>
      </w:r>
      <w:r w:rsidRPr="00D167C2">
        <w:rPr>
          <w:szCs w:val="24"/>
          <w:vertAlign w:val="subscript"/>
        </w:rPr>
        <w:t>2</w:t>
      </w:r>
      <w:r w:rsidRPr="00D167C2">
        <w:rPr>
          <w:szCs w:val="24"/>
        </w:rPr>
        <w:t>, максимальная масса которых превышает 7,5</w:t>
      </w:r>
      <w:r w:rsidRPr="00426FD0">
        <w:rPr>
          <w:szCs w:val="24"/>
        </w:rPr>
        <w:t> </w:t>
      </w:r>
      <w:r w:rsidRPr="00D167C2">
        <w:rPr>
          <w:szCs w:val="24"/>
        </w:rPr>
        <w:t xml:space="preserve">т, и </w:t>
      </w:r>
      <w:r w:rsidRPr="00426FD0">
        <w:rPr>
          <w:szCs w:val="24"/>
        </w:rPr>
        <w:t>N</w:t>
      </w:r>
      <w:r w:rsidRPr="00D167C2">
        <w:rPr>
          <w:szCs w:val="24"/>
          <w:vertAlign w:val="subscript"/>
        </w:rPr>
        <w:t>3</w:t>
      </w:r>
      <w:r w:rsidRPr="00D167C2">
        <w:rPr>
          <w:szCs w:val="24"/>
        </w:rPr>
        <w:t xml:space="preserve"> за исключением тягачей для полуприцепов и сочлене</w:t>
      </w:r>
      <w:r w:rsidRPr="00D167C2">
        <w:rPr>
          <w:szCs w:val="24"/>
        </w:rPr>
        <w:t>н</w:t>
      </w:r>
      <w:r w:rsidRPr="00D167C2">
        <w:rPr>
          <w:szCs w:val="24"/>
        </w:rPr>
        <w:t xml:space="preserve">ных автобусов/классов </w:t>
      </w:r>
      <w:r w:rsidRPr="00426FD0">
        <w:rPr>
          <w:szCs w:val="24"/>
          <w:lang w:val="en-US"/>
        </w:rPr>
        <w:t>II</w:t>
      </w:r>
      <w:r w:rsidRPr="00D167C2">
        <w:rPr>
          <w:szCs w:val="24"/>
        </w:rPr>
        <w:t xml:space="preserve"> и </w:t>
      </w:r>
      <w:r w:rsidRPr="00426FD0">
        <w:rPr>
          <w:szCs w:val="24"/>
          <w:lang w:val="en-US"/>
        </w:rPr>
        <w:t>III</w:t>
      </w:r>
      <w:r w:rsidRPr="00D167C2">
        <w:rPr>
          <w:szCs w:val="24"/>
        </w:rPr>
        <w:t>.</w:t>
      </w:r>
      <w:r>
        <w:rPr>
          <w:szCs w:val="24"/>
        </w:rPr>
        <w:t xml:space="preserve"> </w:t>
      </w:r>
      <w:r w:rsidRPr="00CB6C0A">
        <w:rPr>
          <w:szCs w:val="24"/>
        </w:rPr>
        <w:t>Задние опознавательные знаки м</w:t>
      </w:r>
      <w:r w:rsidRPr="00CB6C0A">
        <w:rPr>
          <w:szCs w:val="24"/>
        </w:rPr>
        <w:t>о</w:t>
      </w:r>
      <w:r w:rsidRPr="00CB6C0A">
        <w:rPr>
          <w:szCs w:val="24"/>
        </w:rPr>
        <w:t xml:space="preserve">гут также устанавливаться на </w:t>
      </w:r>
      <w:r w:rsidRPr="00CB6C0A">
        <w:t>автофургонах категорий</w:t>
      </w:r>
      <w:r>
        <w:t>, которые не</w:t>
      </w:r>
      <w:r w:rsidRPr="00CB6C0A">
        <w:t xml:space="preserve"> указаны выше</w:t>
      </w:r>
      <w:r w:rsidRPr="005E1D6D">
        <w:t xml:space="preserve">". </w:t>
      </w:r>
    </w:p>
    <w:p w:rsidR="00152C8B" w:rsidRDefault="00152C8B" w:rsidP="00152C8B">
      <w:pPr>
        <w:pStyle w:val="SingleTxtGR"/>
        <w:ind w:left="2268" w:hanging="1134"/>
      </w:pPr>
      <w:r w:rsidRPr="00C94358">
        <w:rPr>
          <w:i/>
        </w:rPr>
        <w:t>Пункт 4,</w:t>
      </w:r>
      <w:r w:rsidRPr="00C94358">
        <w:t xml:space="preserve"> </w:t>
      </w:r>
      <w:r>
        <w:t>включить</w:t>
      </w:r>
      <w:r w:rsidRPr="00C94358">
        <w:rPr>
          <w:i/>
        </w:rPr>
        <w:t xml:space="preserve"> </w:t>
      </w:r>
      <w:r>
        <w:t>подпункт с) следующего содержания:</w:t>
      </w:r>
    </w:p>
    <w:p w:rsidR="00152C8B" w:rsidRDefault="00152C8B" w:rsidP="00152C8B">
      <w:pPr>
        <w:pStyle w:val="SingleTxtGR"/>
        <w:ind w:left="2268" w:hanging="1134"/>
      </w:pPr>
      <w:r>
        <w:t>"4.</w:t>
      </w:r>
      <w:r>
        <w:tab/>
      </w:r>
      <w:r>
        <w:tab/>
        <w:t>Схема</w:t>
      </w:r>
    </w:p>
    <w:p w:rsidR="00152C8B" w:rsidRDefault="00152C8B" w:rsidP="00152C8B">
      <w:pPr>
        <w:pStyle w:val="SingleTxtGR"/>
        <w:ind w:left="2268" w:hanging="1134"/>
      </w:pPr>
      <w:r>
        <w:tab/>
      </w:r>
      <w:r>
        <w:tab/>
        <w:t>…</w:t>
      </w:r>
    </w:p>
    <w:p w:rsidR="00152C8B" w:rsidRPr="0000114E" w:rsidRDefault="00152C8B" w:rsidP="00152C8B">
      <w:pPr>
        <w:pStyle w:val="SingleTxtGR"/>
        <w:ind w:left="2268" w:hanging="1134"/>
      </w:pPr>
      <w:r>
        <w:tab/>
      </w:r>
      <w:r>
        <w:tab/>
      </w:r>
      <w:r w:rsidRPr="0000114E">
        <w:t>с)</w:t>
      </w:r>
      <w:r w:rsidRPr="0000114E">
        <w:tab/>
        <w:t>Для автофургонов и</w:t>
      </w:r>
      <w:r>
        <w:t>ли</w:t>
      </w:r>
      <w:r w:rsidRPr="0000114E">
        <w:t xml:space="preserve"> прицепов:</w:t>
      </w:r>
    </w:p>
    <w:p w:rsidR="00152C8B" w:rsidRPr="0000114E" w:rsidRDefault="00152C8B" w:rsidP="00152C8B">
      <w:pPr>
        <w:pStyle w:val="SingleTxtGR"/>
        <w:ind w:left="2835" w:hanging="1701"/>
      </w:pPr>
      <w:r w:rsidRPr="0000114E">
        <w:tab/>
      </w:r>
      <w:r w:rsidRPr="0000114E">
        <w:tab/>
      </w:r>
      <w:r w:rsidRPr="0000114E">
        <w:tab/>
        <w:t>Класс 5 − чередующиеся полосы из красного светоотража</w:t>
      </w:r>
      <w:r w:rsidRPr="0000114E">
        <w:t>ю</w:t>
      </w:r>
      <w:r w:rsidRPr="0000114E">
        <w:t>щего и белого светоотражающего материала".</w:t>
      </w:r>
    </w:p>
    <w:p w:rsidR="00457F00" w:rsidRPr="00E50E2D" w:rsidRDefault="00152C8B" w:rsidP="00F20EB5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57F00" w:rsidRPr="00E50E2D" w:rsidSect="0020341D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CD" w:rsidRDefault="00615ECD">
      <w:r>
        <w:rPr>
          <w:lang w:val="en-US"/>
        </w:rPr>
        <w:tab/>
      </w:r>
      <w:r>
        <w:separator/>
      </w:r>
    </w:p>
  </w:endnote>
  <w:endnote w:type="continuationSeparator" w:id="0">
    <w:p w:rsidR="00615ECD" w:rsidRDefault="0061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5CB2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45CB2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  <w:r>
      <w:rPr>
        <w:sz w:val="20"/>
        <w:lang w:val="en-US"/>
      </w:rPr>
      <w:t>GE.1</w:t>
    </w:r>
    <w:r w:rsidR="005B7F8E">
      <w:rPr>
        <w:sz w:val="20"/>
        <w:lang w:val="ru-RU"/>
      </w:rPr>
      <w:t>5</w:t>
    </w:r>
    <w:r>
      <w:rPr>
        <w:sz w:val="20"/>
        <w:lang w:val="en-US"/>
      </w:rPr>
      <w:t>-</w:t>
    </w:r>
    <w:r>
      <w:rPr>
        <w:sz w:val="20"/>
        <w:lang w:val="en-US"/>
      </w:rPr>
      <w:tab/>
    </w:r>
    <w:r w:rsidR="00BE7275">
      <w:rPr>
        <w:b/>
        <w:noProof/>
        <w:lang w:eastAsia="en-GB"/>
      </w:rPr>
      <w:drawing>
        <wp:inline distT="0" distB="0" distL="0" distR="0">
          <wp:extent cx="2705100" cy="228600"/>
          <wp:effectExtent l="0" t="0" r="0" b="0"/>
          <wp:docPr id="4" name="Picture 4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cycle_Russi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CD" w:rsidRPr="00F71F63" w:rsidRDefault="00615ECD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615ECD" w:rsidRPr="00F71F63" w:rsidRDefault="00615ECD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615ECD" w:rsidRPr="00635E86" w:rsidRDefault="00615ECD" w:rsidP="00635E86">
      <w:pPr>
        <w:pStyle w:val="Footer"/>
      </w:pPr>
    </w:p>
  </w:footnote>
  <w:footnote w:id="1">
    <w:p w:rsidR="00400CF6" w:rsidRPr="004266C4" w:rsidRDefault="00400CF6" w:rsidP="00400CF6">
      <w:pPr>
        <w:pStyle w:val="FootnoteText"/>
        <w:rPr>
          <w:lang w:val="ru-RU"/>
        </w:rPr>
      </w:pPr>
      <w:r>
        <w:tab/>
      </w:r>
      <w:r w:rsidRPr="00796901">
        <w:rPr>
          <w:rStyle w:val="FootnoteReference"/>
          <w:szCs w:val="18"/>
          <w:vertAlign w:val="baseline"/>
          <w:lang w:val="ru-RU"/>
        </w:rPr>
        <w:t>*</w:t>
      </w:r>
      <w:r w:rsidRPr="004266C4">
        <w:rPr>
          <w:sz w:val="20"/>
          <w:lang w:val="ru-RU"/>
        </w:rPr>
        <w:tab/>
      </w:r>
      <w:r w:rsidRPr="004266C4">
        <w:rPr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>
        <w:t> </w:t>
      </w:r>
      <w:r w:rsidRPr="004266C4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5F0F76">
    <w:pPr>
      <w:pStyle w:val="Header"/>
      <w:rPr>
        <w:lang w:val="en-US"/>
      </w:rPr>
    </w:pPr>
    <w:r w:rsidRPr="00D623A7">
      <w:t>E/</w:t>
    </w:r>
    <w:proofErr w:type="spellStart"/>
    <w:r w:rsidRPr="00D623A7">
      <w:t>ECE</w:t>
    </w:r>
    <w:proofErr w:type="spellEnd"/>
    <w:r w:rsidRPr="00D623A7">
      <w:t>/324</w:t>
    </w:r>
    <w:r w:rsidRPr="00892BAE">
      <w:t>/Rev.1/Add.69/Rev.1/Amend.3</w:t>
    </w:r>
    <w:r>
      <w:br/>
    </w:r>
    <w:r w:rsidRPr="00D623A7">
      <w:t>E/</w:t>
    </w:r>
    <w:proofErr w:type="spellStart"/>
    <w:r w:rsidRPr="00D623A7">
      <w:t>ECE</w:t>
    </w:r>
    <w:proofErr w:type="spellEnd"/>
    <w:r w:rsidRPr="00D623A7">
      <w:t>/TRANS/505</w:t>
    </w:r>
    <w:r w:rsidRPr="00892BAE">
      <w:t>/Rev.1/Add.69/Rev.1/Amend.3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F0F76" w:rsidRPr="00D623A7">
      <w:t>E/</w:t>
    </w:r>
    <w:proofErr w:type="spellStart"/>
    <w:r w:rsidR="005F0F76" w:rsidRPr="00D623A7">
      <w:t>ECE</w:t>
    </w:r>
    <w:proofErr w:type="spellEnd"/>
    <w:r w:rsidR="005F0F76" w:rsidRPr="00D623A7">
      <w:t>/324</w:t>
    </w:r>
    <w:r w:rsidR="005F0F76" w:rsidRPr="00892BAE">
      <w:t>/Rev.1/Add.69/Rev.1/Amend.3</w:t>
    </w:r>
    <w:r w:rsidR="005F0F76">
      <w:br/>
    </w:r>
    <w:r w:rsidR="005F0F76" w:rsidRPr="00D623A7">
      <w:t>E/</w:t>
    </w:r>
    <w:proofErr w:type="spellStart"/>
    <w:r w:rsidR="005F0F76" w:rsidRPr="00D623A7">
      <w:t>ECE</w:t>
    </w:r>
    <w:proofErr w:type="spellEnd"/>
    <w:r w:rsidR="005F0F76" w:rsidRPr="00D623A7">
      <w:t>/TRANS/505</w:t>
    </w:r>
    <w:r w:rsidR="005F0F76" w:rsidRPr="00892BAE">
      <w:t>/Rev.1/Add.69/Rev.1/Amend.3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233B3"/>
    <w:rsid w:val="00023E9E"/>
    <w:rsid w:val="00026B0C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4804"/>
    <w:rsid w:val="00086182"/>
    <w:rsid w:val="00090891"/>
    <w:rsid w:val="00092E62"/>
    <w:rsid w:val="00097975"/>
    <w:rsid w:val="000A3DDF"/>
    <w:rsid w:val="000A60A0"/>
    <w:rsid w:val="000C1F8F"/>
    <w:rsid w:val="000C3688"/>
    <w:rsid w:val="000D416F"/>
    <w:rsid w:val="000D6863"/>
    <w:rsid w:val="000D6D03"/>
    <w:rsid w:val="000E486C"/>
    <w:rsid w:val="00105B9F"/>
    <w:rsid w:val="0011272C"/>
    <w:rsid w:val="00117AEE"/>
    <w:rsid w:val="0012420E"/>
    <w:rsid w:val="00133EE8"/>
    <w:rsid w:val="001352E9"/>
    <w:rsid w:val="00141432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294"/>
    <w:rsid w:val="001A75D5"/>
    <w:rsid w:val="001A7D40"/>
    <w:rsid w:val="001D07F7"/>
    <w:rsid w:val="001D159F"/>
    <w:rsid w:val="001D568D"/>
    <w:rsid w:val="001D7B8F"/>
    <w:rsid w:val="001E48EE"/>
    <w:rsid w:val="001F2A18"/>
    <w:rsid w:val="001F2D04"/>
    <w:rsid w:val="0020059C"/>
    <w:rsid w:val="002019BD"/>
    <w:rsid w:val="0020341D"/>
    <w:rsid w:val="00232D42"/>
    <w:rsid w:val="00237334"/>
    <w:rsid w:val="002444F4"/>
    <w:rsid w:val="002629A0"/>
    <w:rsid w:val="0028492B"/>
    <w:rsid w:val="00291C8F"/>
    <w:rsid w:val="002A6FA9"/>
    <w:rsid w:val="002C5036"/>
    <w:rsid w:val="002C6A71"/>
    <w:rsid w:val="002C6D5F"/>
    <w:rsid w:val="002D15EA"/>
    <w:rsid w:val="002D2504"/>
    <w:rsid w:val="002D6C07"/>
    <w:rsid w:val="002E0CE6"/>
    <w:rsid w:val="002E1163"/>
    <w:rsid w:val="002E43F3"/>
    <w:rsid w:val="002F6F05"/>
    <w:rsid w:val="0030281E"/>
    <w:rsid w:val="003037A7"/>
    <w:rsid w:val="00316CA9"/>
    <w:rsid w:val="003215F5"/>
    <w:rsid w:val="00321C4D"/>
    <w:rsid w:val="0032510F"/>
    <w:rsid w:val="00325BF1"/>
    <w:rsid w:val="00332891"/>
    <w:rsid w:val="003529EE"/>
    <w:rsid w:val="00356BB2"/>
    <w:rsid w:val="00360477"/>
    <w:rsid w:val="00362876"/>
    <w:rsid w:val="003628CD"/>
    <w:rsid w:val="00367FC9"/>
    <w:rsid w:val="003711A1"/>
    <w:rsid w:val="00372123"/>
    <w:rsid w:val="0037285F"/>
    <w:rsid w:val="00386581"/>
    <w:rsid w:val="00387100"/>
    <w:rsid w:val="003951D3"/>
    <w:rsid w:val="003978C6"/>
    <w:rsid w:val="003B2FC1"/>
    <w:rsid w:val="003B40A9"/>
    <w:rsid w:val="003C016E"/>
    <w:rsid w:val="003C1586"/>
    <w:rsid w:val="003D0892"/>
    <w:rsid w:val="003D5EBD"/>
    <w:rsid w:val="003E03E1"/>
    <w:rsid w:val="003E4E8A"/>
    <w:rsid w:val="003E6BC5"/>
    <w:rsid w:val="00400CF6"/>
    <w:rsid w:val="00401CE0"/>
    <w:rsid w:val="00403234"/>
    <w:rsid w:val="00407AC3"/>
    <w:rsid w:val="0041298E"/>
    <w:rsid w:val="00414586"/>
    <w:rsid w:val="00415059"/>
    <w:rsid w:val="00424FDD"/>
    <w:rsid w:val="004276E3"/>
    <w:rsid w:val="0043033D"/>
    <w:rsid w:val="00432F08"/>
    <w:rsid w:val="00435FE4"/>
    <w:rsid w:val="004421E8"/>
    <w:rsid w:val="00457634"/>
    <w:rsid w:val="00457F00"/>
    <w:rsid w:val="004654CB"/>
    <w:rsid w:val="00472A6B"/>
    <w:rsid w:val="00474F42"/>
    <w:rsid w:val="00480B6D"/>
    <w:rsid w:val="0048244D"/>
    <w:rsid w:val="00485190"/>
    <w:rsid w:val="004A0DE8"/>
    <w:rsid w:val="004A26EE"/>
    <w:rsid w:val="004A4CB7"/>
    <w:rsid w:val="004A57B5"/>
    <w:rsid w:val="004B19DA"/>
    <w:rsid w:val="004C2A53"/>
    <w:rsid w:val="004C3B35"/>
    <w:rsid w:val="004C43EC"/>
    <w:rsid w:val="004E0B5D"/>
    <w:rsid w:val="004E6729"/>
    <w:rsid w:val="004F0E47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91E8F"/>
    <w:rsid w:val="00593A04"/>
    <w:rsid w:val="005A1514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F0F76"/>
    <w:rsid w:val="00603C43"/>
    <w:rsid w:val="00606A3E"/>
    <w:rsid w:val="006115AA"/>
    <w:rsid w:val="006120AE"/>
    <w:rsid w:val="00615CFD"/>
    <w:rsid w:val="00615ECD"/>
    <w:rsid w:val="00616DD8"/>
    <w:rsid w:val="0062626A"/>
    <w:rsid w:val="00633759"/>
    <w:rsid w:val="006339AC"/>
    <w:rsid w:val="00635E86"/>
    <w:rsid w:val="00636A37"/>
    <w:rsid w:val="00642A21"/>
    <w:rsid w:val="006501A5"/>
    <w:rsid w:val="006567B2"/>
    <w:rsid w:val="00662ADE"/>
    <w:rsid w:val="00664106"/>
    <w:rsid w:val="006756F1"/>
    <w:rsid w:val="00677773"/>
    <w:rsid w:val="006805FC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5FBF"/>
    <w:rsid w:val="0070327E"/>
    <w:rsid w:val="00706099"/>
    <w:rsid w:val="00707B5F"/>
    <w:rsid w:val="00715FDF"/>
    <w:rsid w:val="00720793"/>
    <w:rsid w:val="007227B3"/>
    <w:rsid w:val="00735602"/>
    <w:rsid w:val="007420A2"/>
    <w:rsid w:val="0075279B"/>
    <w:rsid w:val="00753748"/>
    <w:rsid w:val="00762446"/>
    <w:rsid w:val="00781ACB"/>
    <w:rsid w:val="007A79EB"/>
    <w:rsid w:val="007B4051"/>
    <w:rsid w:val="007D4CA0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7689"/>
    <w:rsid w:val="00847D14"/>
    <w:rsid w:val="00861C52"/>
    <w:rsid w:val="008645F8"/>
    <w:rsid w:val="00867299"/>
    <w:rsid w:val="008727A1"/>
    <w:rsid w:val="00882854"/>
    <w:rsid w:val="00886271"/>
    <w:rsid w:val="00886B0F"/>
    <w:rsid w:val="00891C08"/>
    <w:rsid w:val="008A3879"/>
    <w:rsid w:val="008A5FA8"/>
    <w:rsid w:val="008A7575"/>
    <w:rsid w:val="008A75ED"/>
    <w:rsid w:val="008B5F47"/>
    <w:rsid w:val="008B79D8"/>
    <w:rsid w:val="008C7B87"/>
    <w:rsid w:val="008D26AA"/>
    <w:rsid w:val="008D6A7A"/>
    <w:rsid w:val="008E24DB"/>
    <w:rsid w:val="008E3E87"/>
    <w:rsid w:val="008E7F13"/>
    <w:rsid w:val="008F3185"/>
    <w:rsid w:val="009109AE"/>
    <w:rsid w:val="00915B0A"/>
    <w:rsid w:val="0092441F"/>
    <w:rsid w:val="00926904"/>
    <w:rsid w:val="00931CB3"/>
    <w:rsid w:val="009372F0"/>
    <w:rsid w:val="00945CB2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4074"/>
    <w:rsid w:val="009C30BB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2446A"/>
    <w:rsid w:val="00A2760F"/>
    <w:rsid w:val="00A4025D"/>
    <w:rsid w:val="00A572A2"/>
    <w:rsid w:val="00A6590E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783D"/>
    <w:rsid w:val="00AE38B9"/>
    <w:rsid w:val="00AE60E2"/>
    <w:rsid w:val="00AF19E9"/>
    <w:rsid w:val="00AF4DF6"/>
    <w:rsid w:val="00B0169F"/>
    <w:rsid w:val="00B05F21"/>
    <w:rsid w:val="00B14EA9"/>
    <w:rsid w:val="00B16E01"/>
    <w:rsid w:val="00B21C6B"/>
    <w:rsid w:val="00B30A3C"/>
    <w:rsid w:val="00B31407"/>
    <w:rsid w:val="00B4546D"/>
    <w:rsid w:val="00B522B4"/>
    <w:rsid w:val="00B52550"/>
    <w:rsid w:val="00B608DC"/>
    <w:rsid w:val="00B81305"/>
    <w:rsid w:val="00B843BC"/>
    <w:rsid w:val="00B8744B"/>
    <w:rsid w:val="00BA3D5F"/>
    <w:rsid w:val="00BB17DC"/>
    <w:rsid w:val="00BB1AF9"/>
    <w:rsid w:val="00BB489A"/>
    <w:rsid w:val="00BB4C4A"/>
    <w:rsid w:val="00BD3CAE"/>
    <w:rsid w:val="00BD5F3C"/>
    <w:rsid w:val="00BE7275"/>
    <w:rsid w:val="00C03544"/>
    <w:rsid w:val="00C07C0F"/>
    <w:rsid w:val="00C145C4"/>
    <w:rsid w:val="00C20D2F"/>
    <w:rsid w:val="00C2131B"/>
    <w:rsid w:val="00C37AF8"/>
    <w:rsid w:val="00C37C79"/>
    <w:rsid w:val="00C41BBC"/>
    <w:rsid w:val="00C51419"/>
    <w:rsid w:val="00C54056"/>
    <w:rsid w:val="00C663A3"/>
    <w:rsid w:val="00C75CB2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25D5"/>
    <w:rsid w:val="00D16142"/>
    <w:rsid w:val="00D26B13"/>
    <w:rsid w:val="00D26BB6"/>
    <w:rsid w:val="00D26CC1"/>
    <w:rsid w:val="00D26D7E"/>
    <w:rsid w:val="00D30662"/>
    <w:rsid w:val="00D3080C"/>
    <w:rsid w:val="00D32A0B"/>
    <w:rsid w:val="00D6236B"/>
    <w:rsid w:val="00D809D1"/>
    <w:rsid w:val="00D84ECF"/>
    <w:rsid w:val="00DA2851"/>
    <w:rsid w:val="00DA2B7C"/>
    <w:rsid w:val="00DA5686"/>
    <w:rsid w:val="00DB2FC0"/>
    <w:rsid w:val="00DE68C3"/>
    <w:rsid w:val="00DF18FA"/>
    <w:rsid w:val="00DF49CA"/>
    <w:rsid w:val="00DF621A"/>
    <w:rsid w:val="00DF775B"/>
    <w:rsid w:val="00E007F3"/>
    <w:rsid w:val="00E00DEA"/>
    <w:rsid w:val="00E06EF0"/>
    <w:rsid w:val="00E11679"/>
    <w:rsid w:val="00E120E3"/>
    <w:rsid w:val="00E2168B"/>
    <w:rsid w:val="00E27AD2"/>
    <w:rsid w:val="00E307D1"/>
    <w:rsid w:val="00E326E9"/>
    <w:rsid w:val="00E46A04"/>
    <w:rsid w:val="00E47630"/>
    <w:rsid w:val="00E6044C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6BE7"/>
    <w:rsid w:val="00EA2CD0"/>
    <w:rsid w:val="00EC0044"/>
    <w:rsid w:val="00EC6B9F"/>
    <w:rsid w:val="00ED3F4A"/>
    <w:rsid w:val="00EE0A07"/>
    <w:rsid w:val="00EE516D"/>
    <w:rsid w:val="00EF4D1B"/>
    <w:rsid w:val="00EF7295"/>
    <w:rsid w:val="00F03297"/>
    <w:rsid w:val="00F069D1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8711A"/>
    <w:rsid w:val="00F87506"/>
    <w:rsid w:val="00F92C41"/>
    <w:rsid w:val="00F94CA9"/>
    <w:rsid w:val="00F9794B"/>
    <w:rsid w:val="00FA5522"/>
    <w:rsid w:val="00FA6E4A"/>
    <w:rsid w:val="00FB2B35"/>
    <w:rsid w:val="00FC227C"/>
    <w:rsid w:val="00FC4AE1"/>
    <w:rsid w:val="00FD01F2"/>
    <w:rsid w:val="00FD62A1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121DB-2B49-43C4-959D-5A4F80F3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04</cp:lastModifiedBy>
  <cp:revision>3</cp:revision>
  <cp:lastPrinted>2015-05-21T13:08:00Z</cp:lastPrinted>
  <dcterms:created xsi:type="dcterms:W3CDTF">2015-06-15T09:24:00Z</dcterms:created>
  <dcterms:modified xsi:type="dcterms:W3CDTF">2015-06-22T09:50:00Z</dcterms:modified>
</cp:coreProperties>
</file>