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D239D6" w:rsidP="00645358">
            <w:pPr>
              <w:spacing w:before="40" w:after="80" w:line="340" w:lineRule="exact"/>
              <w:jc w:val="right"/>
            </w:pPr>
            <w:r>
              <w:rPr>
                <w:sz w:val="40"/>
              </w:rPr>
              <w:t>E</w:t>
            </w:r>
            <w:r>
              <w:t>/ECE/324/Rev.1/Add.54/Rev.1/Amend.4−</w:t>
            </w:r>
            <w:r>
              <w:rPr>
                <w:sz w:val="40"/>
              </w:rPr>
              <w:t>E</w:t>
            </w:r>
            <w:r>
              <w:t>/ECE/TRANS/505/Rev.1/Add.54/Rev.1/Amend.4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0EE" w:rsidRDefault="003200EE" w:rsidP="003200EE">
            <w:pPr>
              <w:spacing w:before="40" w:after="40"/>
              <w:rPr>
                <w:lang w:val="fr-CH"/>
              </w:rPr>
            </w:pPr>
          </w:p>
          <w:p w:rsidR="003200EE" w:rsidRDefault="003200EE" w:rsidP="003200EE">
            <w:pPr>
              <w:spacing w:before="40" w:after="40"/>
              <w:rPr>
                <w:lang w:val="fr-CH"/>
              </w:rPr>
            </w:pPr>
          </w:p>
          <w:p w:rsidR="000D6D03" w:rsidRPr="00B172D2" w:rsidRDefault="003200EE" w:rsidP="003200EE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D239D6" w:rsidRDefault="00D239D6" w:rsidP="006026AE">
      <w:pPr>
        <w:pStyle w:val="HChGR"/>
        <w:spacing w:before="240" w:after="200"/>
      </w:pPr>
      <w:r>
        <w:tab/>
      </w:r>
      <w:r>
        <w:tab/>
        <w:t>Соглашение</w:t>
      </w:r>
    </w:p>
    <w:p w:rsidR="00D239D6" w:rsidRDefault="00D239D6" w:rsidP="006026AE">
      <w:pPr>
        <w:pStyle w:val="H1GR"/>
        <w:spacing w:before="200"/>
      </w:pPr>
      <w:r>
        <w:tab/>
      </w:r>
      <w:r>
        <w:tab/>
      </w:r>
      <w:proofErr w:type="gramStart"/>
      <w: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предписаний</w:t>
      </w:r>
      <w:r>
        <w:rPr>
          <w:rStyle w:val="FootnoteReference"/>
          <w:sz w:val="20"/>
        </w:rPr>
        <w:footnoteReference w:customMarkFollows="1" w:id="1"/>
        <w:t>*</w:t>
      </w:r>
      <w:proofErr w:type="gramEnd"/>
    </w:p>
    <w:p w:rsidR="00D239D6" w:rsidRDefault="00D239D6" w:rsidP="00D239D6">
      <w:pPr>
        <w:pStyle w:val="SingleTxtGR"/>
      </w:pPr>
      <w:r>
        <w:t>(Пересмотр 2, включающий поправки, вступившие в силу 16 октября 1995 года)</w:t>
      </w:r>
    </w:p>
    <w:p w:rsidR="00D239D6" w:rsidRDefault="00D239D6" w:rsidP="00D239D6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239D6" w:rsidRDefault="00D239D6" w:rsidP="006026AE">
      <w:pPr>
        <w:pStyle w:val="HChGR"/>
        <w:spacing w:before="240" w:after="200"/>
        <w:rPr>
          <w:lang w:val="en-US"/>
        </w:rPr>
      </w:pPr>
      <w:r>
        <w:tab/>
      </w:r>
      <w:r>
        <w:tab/>
        <w:t>Добавление 54: Правила № 55</w:t>
      </w:r>
    </w:p>
    <w:p w:rsidR="00D239D6" w:rsidRPr="00FA5637" w:rsidRDefault="00FA5637" w:rsidP="006026AE">
      <w:pPr>
        <w:pStyle w:val="H1GR"/>
        <w:spacing w:before="200"/>
        <w:rPr>
          <w:lang w:val="en-US"/>
        </w:rPr>
      </w:pPr>
      <w:r>
        <w:tab/>
      </w:r>
      <w:r>
        <w:tab/>
        <w:t xml:space="preserve">Пересмотр 1 − Поправка </w:t>
      </w:r>
      <w:r>
        <w:rPr>
          <w:lang w:val="en-US"/>
        </w:rPr>
        <w:t>4</w:t>
      </w:r>
    </w:p>
    <w:p w:rsidR="00D239D6" w:rsidRDefault="00FA5637" w:rsidP="00D239D6">
      <w:pPr>
        <w:pStyle w:val="SingleTxtGR"/>
      </w:pPr>
      <w:r>
        <w:t xml:space="preserve">Дополнение </w:t>
      </w:r>
      <w:r>
        <w:rPr>
          <w:lang w:val="en-US"/>
        </w:rPr>
        <w:t>4</w:t>
      </w:r>
      <w:r w:rsidR="00D239D6">
        <w:t xml:space="preserve"> к поправкам сери</w:t>
      </w:r>
      <w:r>
        <w:t xml:space="preserve">и 01 − </w:t>
      </w:r>
      <w:r w:rsidR="005D3479">
        <w:t xml:space="preserve">Дата </w:t>
      </w:r>
      <w:r>
        <w:t>вступления в силу</w:t>
      </w:r>
      <w:r w:rsidR="005D3479">
        <w:t>:</w:t>
      </w:r>
      <w:r>
        <w:t xml:space="preserve"> </w:t>
      </w:r>
      <w:r>
        <w:rPr>
          <w:lang w:val="en-US"/>
        </w:rPr>
        <w:t>8</w:t>
      </w:r>
      <w:r>
        <w:t xml:space="preserve"> октября</w:t>
      </w:r>
      <w:r>
        <w:br/>
        <w:t>2015</w:t>
      </w:r>
      <w:r w:rsidR="00D239D6">
        <w:t xml:space="preserve"> года</w:t>
      </w:r>
    </w:p>
    <w:p w:rsidR="00D239D6" w:rsidRDefault="00D239D6" w:rsidP="006026AE">
      <w:pPr>
        <w:pStyle w:val="H1GR"/>
        <w:spacing w:before="200"/>
      </w:pPr>
      <w:r>
        <w:tab/>
      </w:r>
      <w:r>
        <w:tab/>
        <w:t>Единообразные предписания, касающиеся официального утверждения механических деталей сцепных устройств составов транспортных средств</w:t>
      </w:r>
    </w:p>
    <w:p w:rsidR="005D3479" w:rsidRPr="005D3479" w:rsidRDefault="005D3479" w:rsidP="005D3479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rStyle w:val="hps"/>
        </w:rPr>
        <w:t>ECE/TRANS/WP.29/2015/7.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3200EE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626E" w:rsidRDefault="003C1586" w:rsidP="00E16E67">
      <w:pPr>
        <w:jc w:val="center"/>
        <w:rPr>
          <w:u w:val="single"/>
        </w:rPr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CC2DCB" w:rsidRDefault="00CC2DCB" w:rsidP="00CC2DCB">
      <w:pPr>
        <w:pStyle w:val="SingleTxtGR"/>
      </w:pPr>
      <w:r>
        <w:rPr>
          <w:i/>
          <w:iCs/>
        </w:rPr>
        <w:lastRenderedPageBreak/>
        <w:t>Пункты 2.6.3 и 2.6.3.2</w:t>
      </w:r>
      <w:r>
        <w:t xml:space="preserve"> изменить следующим образом:</w:t>
      </w:r>
    </w:p>
    <w:p w:rsidR="00CC2DCB" w:rsidRDefault="00CC2DCB" w:rsidP="00CC2DCB">
      <w:pPr>
        <w:pStyle w:val="SingleTxtGR"/>
        <w:tabs>
          <w:tab w:val="left" w:pos="1985"/>
        </w:tabs>
      </w:pPr>
      <w:r>
        <w:t>"2.6.3</w:t>
      </w:r>
      <w:r>
        <w:tab/>
      </w:r>
      <w:r>
        <w:tab/>
        <w:t>Класс C</w:t>
      </w:r>
      <w:r>
        <w:tab/>
      </w:r>
      <w:r>
        <w:tab/>
      </w:r>
      <w:r>
        <w:tab/>
        <w:t>Шарнирные соединительные фланцы</w:t>
      </w:r>
    </w:p>
    <w:p w:rsidR="00CC2DCB" w:rsidRDefault="00CC2DCB" w:rsidP="00CC2DCB">
      <w:pPr>
        <w:pStyle w:val="SingleTxtGR"/>
        <w:tabs>
          <w:tab w:val="left" w:pos="1985"/>
        </w:tabs>
        <w:ind w:left="3969"/>
      </w:pPr>
      <w:r>
        <w:t>Шарнирные соединительные фланцы сцепных устройств со шкворнем диаметром 50 мм, а та</w:t>
      </w:r>
      <w:r>
        <w:t>к</w:t>
      </w:r>
      <w:r>
        <w:t>же с захватом и автоматически закрывающимся и блокирующимся стопорным штифтом на тягаче для соединения с прицепом при помощи про</w:t>
      </w:r>
      <w:r>
        <w:t>у</w:t>
      </w:r>
      <w:r>
        <w:t>шины сцепной тяги: см. пункт 3 приложения 5:</w:t>
      </w:r>
    </w:p>
    <w:p w:rsidR="00CC2DCB" w:rsidRDefault="00CC2DCB" w:rsidP="00CC2DCB">
      <w:pPr>
        <w:pStyle w:val="SingleTxtGR"/>
        <w:tabs>
          <w:tab w:val="left" w:pos="1985"/>
        </w:tabs>
      </w:pPr>
      <w:r>
        <w:t>2.6.3.1</w:t>
      </w:r>
      <w:r>
        <w:tab/>
        <w:t>Класс C50-1−C50-7</w:t>
      </w:r>
      <w:r>
        <w:tab/>
        <w:t xml:space="preserve">Стандартные шарнирные соединительные </w:t>
      </w:r>
      <w:proofErr w:type="spellStart"/>
      <w:r>
        <w:t>фла</w:t>
      </w:r>
      <w:proofErr w:type="gramStart"/>
      <w:r>
        <w:t>н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цы</w:t>
      </w:r>
      <w:proofErr w:type="spellEnd"/>
      <w:r>
        <w:t xml:space="preserve"> сцепных устройств со шкворнем диаметром </w:t>
      </w:r>
      <w:r>
        <w:tab/>
      </w:r>
      <w:r>
        <w:tab/>
      </w:r>
      <w:r>
        <w:tab/>
      </w:r>
      <w:r>
        <w:tab/>
      </w:r>
      <w:r>
        <w:tab/>
      </w:r>
      <w:r>
        <w:tab/>
        <w:t>50 мм.</w:t>
      </w:r>
    </w:p>
    <w:p w:rsidR="00CC2DCB" w:rsidRDefault="00CC2DCB" w:rsidP="00CC2DCB">
      <w:pPr>
        <w:pStyle w:val="SingleTxtGR"/>
        <w:tabs>
          <w:tab w:val="left" w:pos="1985"/>
        </w:tabs>
      </w:pPr>
      <w:r>
        <w:t>2.6.3.2</w:t>
      </w:r>
      <w:r>
        <w:tab/>
        <w:t>Класс C50-X</w:t>
      </w:r>
      <w:r>
        <w:tab/>
      </w:r>
      <w:r>
        <w:tab/>
        <w:t xml:space="preserve">Нестандартные шарнирные соединительные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фланцы сцепных устройств со шкворнем </w:t>
      </w:r>
      <w:proofErr w:type="spellStart"/>
      <w:r>
        <w:t>ди</w:t>
      </w:r>
      <w:proofErr w:type="gramStart"/>
      <w:r>
        <w:t>а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метром 50 мм."</w:t>
      </w:r>
    </w:p>
    <w:p w:rsidR="00CC2DCB" w:rsidRDefault="00CC2DCB" w:rsidP="00CC2DCB">
      <w:pPr>
        <w:pStyle w:val="SingleTxtGR"/>
        <w:rPr>
          <w:i/>
          <w:iCs/>
        </w:rPr>
      </w:pPr>
      <w:r>
        <w:rPr>
          <w:i/>
          <w:iCs/>
        </w:rPr>
        <w:t>Приложение 5,</w:t>
      </w:r>
    </w:p>
    <w:p w:rsidR="00CC2DCB" w:rsidRDefault="00CC2DCB" w:rsidP="00CC2DCB">
      <w:pPr>
        <w:pStyle w:val="SingleTxtGR"/>
      </w:pPr>
      <w:r>
        <w:rPr>
          <w:i/>
          <w:iCs/>
        </w:rPr>
        <w:t>Включить новый пункт 1.4</w:t>
      </w:r>
      <w:r>
        <w:t xml:space="preserve"> следующего содержания:</w:t>
      </w:r>
    </w:p>
    <w:p w:rsidR="00CC2DCB" w:rsidRDefault="00CC2DCB" w:rsidP="00CC2DCB">
      <w:pPr>
        <w:pStyle w:val="SingleTxtGR"/>
        <w:tabs>
          <w:tab w:val="clear" w:pos="1701"/>
        </w:tabs>
      </w:pPr>
      <w:r>
        <w:t>"1.4</w:t>
      </w:r>
      <w:r>
        <w:tab/>
        <w:t xml:space="preserve">Передвижные сцепные устройства (сцепные устройства, которые </w:t>
      </w:r>
      <w:r>
        <w:br/>
      </w:r>
      <w:r>
        <w:tab/>
        <w:t xml:space="preserve">можно передвигать, не снимая, под кузов транспортного средства, </w:t>
      </w:r>
      <w:r>
        <w:tab/>
        <w:t>когда они не используются)</w:t>
      </w:r>
    </w:p>
    <w:p w:rsidR="00CC2DCB" w:rsidRDefault="00CC2DCB" w:rsidP="00CC2DCB">
      <w:pPr>
        <w:pStyle w:val="SingleTxtGR"/>
        <w:ind w:left="2268"/>
      </w:pPr>
      <w:r>
        <w:t>Конструкция передвижного сцепного устройства должна позволять передвигать его механическим образом в рабочее положение. При ручном передвижении прилагаемая сила не должна прев</w:t>
      </w:r>
      <w:r>
        <w:t>ы</w:t>
      </w:r>
      <w:r>
        <w:t>шать 20 </w:t>
      </w:r>
      <w:proofErr w:type="spellStart"/>
      <w:r>
        <w:t>даН</w:t>
      </w:r>
      <w:proofErr w:type="spellEnd"/>
      <w:r>
        <w:t>. Такое передвижение должно ограничиваться механ</w:t>
      </w:r>
      <w:r>
        <w:t>и</w:t>
      </w:r>
      <w:r>
        <w:t>ческими стопорами".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Пункты 1.4 − 1.6.2 (прежние)</w:t>
      </w:r>
      <w:r>
        <w:t>, изменить нумерацию на 1.5 − 1.7.2.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1.6.3 (прежний)</w:t>
      </w:r>
      <w:r>
        <w:t>, изменить нумерацию на 1.7.3 и изменить заголовок к таблице 3 следующим образом: "Минимальные характеристики стандартных фланцевых шаровых наконечников" и исключить в пояснении к таблице 3 слова "максимальное" и "максимальная".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1.7 (прежний)</w:t>
      </w:r>
      <w:r>
        <w:t>, изменить нумерацию на 1.8.</w:t>
      </w:r>
    </w:p>
    <w:p w:rsidR="00CC2DCB" w:rsidRDefault="00CC2DCB" w:rsidP="00CC2DCB">
      <w:pPr>
        <w:pStyle w:val="SingleTxtGR"/>
      </w:pPr>
      <w:r>
        <w:rPr>
          <w:i/>
          <w:iCs/>
        </w:rPr>
        <w:t>Добавить новый пункт 3.6</w:t>
      </w:r>
      <w:r>
        <w:t xml:space="preserve"> следующего содержания:</w:t>
      </w:r>
    </w:p>
    <w:p w:rsidR="00CC2DCB" w:rsidRDefault="00CC2DCB" w:rsidP="00CC2DCB">
      <w:pPr>
        <w:pStyle w:val="SingleTxtGR"/>
      </w:pPr>
      <w:r>
        <w:t>"3.6</w:t>
      </w:r>
      <w:r>
        <w:tab/>
      </w:r>
      <w:r>
        <w:tab/>
        <w:t>Устройства открытия".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3.6 (прежний)</w:t>
      </w:r>
      <w:r>
        <w:t>, изменить нумерацию на 3.6.1.</w:t>
      </w:r>
    </w:p>
    <w:p w:rsidR="00CC2DCB" w:rsidRDefault="00CC2DCB" w:rsidP="00CC2DCB">
      <w:pPr>
        <w:pStyle w:val="SingleTxtGR"/>
      </w:pPr>
      <w:r>
        <w:rPr>
          <w:i/>
          <w:iCs/>
        </w:rPr>
        <w:t>Добавить новый пункт 3.6.2</w:t>
      </w:r>
      <w:r>
        <w:t xml:space="preserve"> следующего содержания:</w:t>
      </w:r>
    </w:p>
    <w:p w:rsidR="00CC2DCB" w:rsidRDefault="00CC2DCB" w:rsidP="00CC2DCB">
      <w:pPr>
        <w:pStyle w:val="SingleTxtGR"/>
      </w:pPr>
      <w:r>
        <w:t>"3.6.2</w:t>
      </w:r>
      <w:r>
        <w:tab/>
      </w:r>
      <w:r>
        <w:tab/>
        <w:t>Дистанционное управление</w:t>
      </w:r>
    </w:p>
    <w:p w:rsidR="00CC2DCB" w:rsidRDefault="00CC2DCB" w:rsidP="00CC2DCB">
      <w:pPr>
        <w:pStyle w:val="SingleTxtGR"/>
        <w:ind w:left="2268"/>
      </w:pPr>
      <w:r>
        <w:t>В случае устройств с дистанционным управлением применяются положения пункта 12.3.6 приложения 5".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3.7.4, таблица 5</w:t>
      </w:r>
      <w:r>
        <w:t>, изменить заголовок следующим образом: "Минимал</w:t>
      </w:r>
      <w:r>
        <w:t>ь</w:t>
      </w:r>
      <w:r>
        <w:t>ные характеристики стандартных соединительных фланцев сцепной тяги", и</w:t>
      </w:r>
      <w:r>
        <w:t>с</w:t>
      </w:r>
      <w:r>
        <w:t>ключить в пояснении к таблице слова "максимальное" (три раза) и "максимал</w:t>
      </w:r>
      <w:r>
        <w:t>ь</w:t>
      </w:r>
      <w:r>
        <w:t>ная".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3.7.5</w:t>
      </w:r>
      <w:r>
        <w:t xml:space="preserve"> исключить.</w:t>
      </w:r>
    </w:p>
    <w:p w:rsidR="00CC2DCB" w:rsidRDefault="00CC2DCB" w:rsidP="00CC2DCB">
      <w:pPr>
        <w:pStyle w:val="SingleTxtGR"/>
      </w:pPr>
      <w:r>
        <w:rPr>
          <w:i/>
          <w:iCs/>
        </w:rPr>
        <w:lastRenderedPageBreak/>
        <w:t>Пункт 4.3, таблица 7</w:t>
      </w:r>
      <w:r>
        <w:t>, изменить заголовок следующим образом: "Минимальные характеристики стандартных проушин сцепных тяг".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4.4.4, таблица 9</w:t>
      </w:r>
      <w:r>
        <w:t>, изменить заголовок следующим образом: "Минимал</w:t>
      </w:r>
      <w:r>
        <w:t>ь</w:t>
      </w:r>
      <w:r>
        <w:t>ные характеристики тороидальных проушин сцепных тяг класса L".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10.1.1, таблица 13</w:t>
      </w:r>
      <w:r>
        <w:t>, изменить заголовок следующим образом: "Мин</w:t>
      </w:r>
      <w:r>
        <w:t>и</w:t>
      </w:r>
      <w:r>
        <w:t>мальные характеристики сцепных устрой</w:t>
      </w:r>
      <w:proofErr w:type="gramStart"/>
      <w:r>
        <w:t>ств кр</w:t>
      </w:r>
      <w:proofErr w:type="gramEnd"/>
      <w:r>
        <w:t>ючкового типа класса K".</w:t>
      </w:r>
    </w:p>
    <w:p w:rsidR="00CC2DCB" w:rsidRDefault="00CC2DCB" w:rsidP="00CC2DCB">
      <w:pPr>
        <w:pStyle w:val="SingleTxtGR"/>
      </w:pPr>
      <w:r>
        <w:rPr>
          <w:i/>
          <w:iCs/>
        </w:rPr>
        <w:t>Пункт 12.1</w:t>
      </w:r>
      <w:r>
        <w:t>, изменить следующим образом:</w:t>
      </w:r>
    </w:p>
    <w:p w:rsidR="00CC2DCB" w:rsidRDefault="00CC2DCB" w:rsidP="00CC2DCB">
      <w:pPr>
        <w:pStyle w:val="SingleTxtGR"/>
      </w:pPr>
      <w:r>
        <w:t>"12.1.</w:t>
      </w:r>
      <w:r>
        <w:tab/>
      </w:r>
      <w:r>
        <w:tab/>
        <w:t xml:space="preserve">Использование дистанционных индикаторов и устройств </w:t>
      </w:r>
      <w:proofErr w:type="spellStart"/>
      <w:r>
        <w:t>диста</w:t>
      </w:r>
      <w:proofErr w:type="gramStart"/>
      <w:r>
        <w:t>н</w:t>
      </w:r>
      <w:proofErr w:type="spellEnd"/>
      <w:r>
        <w:t>-</w:t>
      </w:r>
      <w:proofErr w:type="gramEnd"/>
      <w:r>
        <w:tab/>
      </w:r>
      <w:r>
        <w:tab/>
      </w:r>
      <w:proofErr w:type="spellStart"/>
      <w:r>
        <w:t>ционного</w:t>
      </w:r>
      <w:proofErr w:type="spellEnd"/>
      <w:r>
        <w:t xml:space="preserve"> управления допускается только в автоматических </w:t>
      </w:r>
      <w:proofErr w:type="spellStart"/>
      <w:r>
        <w:t>соеди</w:t>
      </w:r>
      <w:proofErr w:type="spellEnd"/>
      <w:r>
        <w:t>-</w:t>
      </w:r>
      <w:r>
        <w:tab/>
      </w:r>
      <w:r>
        <w:tab/>
      </w:r>
      <w:proofErr w:type="spellStart"/>
      <w:r>
        <w:t>нительных</w:t>
      </w:r>
      <w:proofErr w:type="spellEnd"/>
      <w:r>
        <w:t xml:space="preserve"> фланцах и автоматических опорно-сцепных устрой-</w:t>
      </w:r>
      <w:r>
        <w:tab/>
      </w:r>
      <w:r>
        <w:tab/>
      </w:r>
      <w:proofErr w:type="spellStart"/>
      <w:r>
        <w:t>ствах</w:t>
      </w:r>
      <w:proofErr w:type="spellEnd"/>
      <w:r>
        <w:t>".</w:t>
      </w:r>
    </w:p>
    <w:p w:rsidR="00CC2DCB" w:rsidRDefault="00CC2DCB" w:rsidP="00CC2DCB">
      <w:pPr>
        <w:pStyle w:val="SingleTxtGR"/>
      </w:pPr>
      <w:r>
        <w:rPr>
          <w:i/>
          <w:iCs/>
        </w:rPr>
        <w:t>Приложение 6</w:t>
      </w:r>
      <w:r>
        <w:t>,</w:t>
      </w:r>
    </w:p>
    <w:p w:rsidR="00CC2DCB" w:rsidRDefault="00CC2DCB" w:rsidP="00CC2DCB">
      <w:pPr>
        <w:pStyle w:val="SingleTxtGR"/>
      </w:pPr>
      <w:r>
        <w:rPr>
          <w:i/>
          <w:iCs/>
        </w:rPr>
        <w:t>Пункт 3.5.3</w:t>
      </w:r>
      <w:r>
        <w:t>, изменить следующим образом:</w:t>
      </w:r>
    </w:p>
    <w:p w:rsidR="00CC2DCB" w:rsidRDefault="00CC2DCB" w:rsidP="00CC2DCB">
      <w:pPr>
        <w:pStyle w:val="SingleTxtGR"/>
      </w:pPr>
      <w:r>
        <w:t>"3.5.3</w:t>
      </w:r>
      <w:r>
        <w:tab/>
      </w:r>
      <w:r>
        <w:tab/>
        <w:t xml:space="preserve">Статическое испытание блокирующего приспособления сцепного </w:t>
      </w:r>
      <w:r>
        <w:tab/>
      </w:r>
      <w:r>
        <w:tab/>
        <w:t>устройства</w:t>
      </w:r>
    </w:p>
    <w:p w:rsidR="00CC2DCB" w:rsidRDefault="00CC2DCB" w:rsidP="00CC2DCB">
      <w:pPr>
        <w:pStyle w:val="SingleTxtGR"/>
        <w:ind w:left="2268"/>
      </w:pPr>
      <w:r>
        <w:t xml:space="preserve">В случае сцепного устройства крючкового типа </w:t>
      </w:r>
      <w:proofErr w:type="spellStart"/>
      <w:r>
        <w:t>небходимо</w:t>
      </w:r>
      <w:proofErr w:type="spellEnd"/>
      <w:r>
        <w:t>… в направлении его открытия статической силы, равной 0,6 D. В р</w:t>
      </w:r>
      <w:r>
        <w:t>е</w:t>
      </w:r>
      <w:r>
        <w:t>зультате данного испытания затвор не должен открываться. Затвор/</w:t>
      </w:r>
      <w:r>
        <w:br/>
        <w:t>блокирующее приспособление после проведения испытания до</w:t>
      </w:r>
      <w:r>
        <w:t>л</w:t>
      </w:r>
      <w:r>
        <w:t>жен/должно находиться в рабочем состоянии".</w:t>
      </w:r>
    </w:p>
    <w:p w:rsidR="00CC2DCB" w:rsidRPr="00CC2DCB" w:rsidRDefault="00CC2DCB" w:rsidP="00CC2DCB">
      <w:pPr>
        <w:pStyle w:val="SingleTxtGR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2DCB" w:rsidRPr="00CC2DCB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00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00E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1269D4" w:rsidRDefault="004276E3" w:rsidP="0012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D239D6" w:rsidRDefault="00D239D6" w:rsidP="00D239D6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  <w:szCs w:val="18"/>
          <w:lang w:val="ru-RU"/>
        </w:rPr>
        <w:t>*</w:t>
      </w:r>
      <w:r>
        <w:rPr>
          <w:lang w:val="ru-RU"/>
        </w:rPr>
        <w:tab/>
      </w:r>
      <w:r>
        <w:rPr>
          <w:szCs w:val="24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D239D6">
    <w:pPr>
      <w:pStyle w:val="Header"/>
      <w:rPr>
        <w:lang w:val="en-US"/>
      </w:rPr>
    </w:pPr>
    <w:r>
      <w:t>E/ECE/324/Rev.1/Add.54/Rev.1/Amend.4</w:t>
    </w:r>
    <w:r>
      <w:br/>
      <w:t>E/ECE/TRANS/505/Rev.1/Add.54/Rev.1/Amend.4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D239D6">
      <w:t>E/ECE/324/Rev.1/Add.54/Rev.1/Amend.4</w:t>
    </w:r>
    <w:r w:rsidR="00D239D6">
      <w:br/>
      <w:t>E/ECE/TRANS/505/Rev.1/Add.54/Rev.1/Amend.4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D4" w:rsidRPr="001269D4" w:rsidRDefault="001269D4" w:rsidP="00126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2A66"/>
    <w:rsid w:val="000233B3"/>
    <w:rsid w:val="00023A3A"/>
    <w:rsid w:val="00023E9E"/>
    <w:rsid w:val="00026B0C"/>
    <w:rsid w:val="00034AB1"/>
    <w:rsid w:val="0003638E"/>
    <w:rsid w:val="00036FF2"/>
    <w:rsid w:val="0004010A"/>
    <w:rsid w:val="00043D88"/>
    <w:rsid w:val="00046E4D"/>
    <w:rsid w:val="00052535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269D4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03B5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23EA4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017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00EE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96006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127E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3675"/>
    <w:rsid w:val="00555C25"/>
    <w:rsid w:val="00565AD5"/>
    <w:rsid w:val="0056618E"/>
    <w:rsid w:val="005702DC"/>
    <w:rsid w:val="00576F59"/>
    <w:rsid w:val="00577782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D3479"/>
    <w:rsid w:val="005E74AB"/>
    <w:rsid w:val="005E77FA"/>
    <w:rsid w:val="005F0F76"/>
    <w:rsid w:val="005F27EA"/>
    <w:rsid w:val="005F38D5"/>
    <w:rsid w:val="006026AE"/>
    <w:rsid w:val="00603C43"/>
    <w:rsid w:val="00606A3E"/>
    <w:rsid w:val="006115AA"/>
    <w:rsid w:val="006120AE"/>
    <w:rsid w:val="006159FA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10A5"/>
    <w:rsid w:val="007C749B"/>
    <w:rsid w:val="007D4CA0"/>
    <w:rsid w:val="007D7A23"/>
    <w:rsid w:val="007E38C3"/>
    <w:rsid w:val="007E549E"/>
    <w:rsid w:val="007E71C9"/>
    <w:rsid w:val="007F00A5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5870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1FF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1D89"/>
    <w:rsid w:val="00B522B4"/>
    <w:rsid w:val="00B52550"/>
    <w:rsid w:val="00B547ED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1008"/>
    <w:rsid w:val="00C810D8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DCB"/>
    <w:rsid w:val="00CC2EAA"/>
    <w:rsid w:val="00CD7C73"/>
    <w:rsid w:val="00CE3D6F"/>
    <w:rsid w:val="00CE79A5"/>
    <w:rsid w:val="00CF0042"/>
    <w:rsid w:val="00CF262F"/>
    <w:rsid w:val="00CF653B"/>
    <w:rsid w:val="00D000F2"/>
    <w:rsid w:val="00D025D5"/>
    <w:rsid w:val="00D048FE"/>
    <w:rsid w:val="00D05163"/>
    <w:rsid w:val="00D12814"/>
    <w:rsid w:val="00D15816"/>
    <w:rsid w:val="00D16009"/>
    <w:rsid w:val="00D239D6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16E67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5637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1AD2-89E6-42DF-A65C-9D53EB0F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2015-11-09T08:39:00Z</cp:lastPrinted>
  <dcterms:created xsi:type="dcterms:W3CDTF">2015-07-28T08:51:00Z</dcterms:created>
  <dcterms:modified xsi:type="dcterms:W3CDTF">2015-11-09T08:39:00Z</dcterms:modified>
</cp:coreProperties>
</file>