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704EA" w:rsidP="002C5B16">
            <w:pPr>
              <w:jc w:val="right"/>
            </w:pPr>
            <w:r w:rsidRPr="00014D07">
              <w:rPr>
                <w:sz w:val="40"/>
              </w:rPr>
              <w:t>E</w:t>
            </w:r>
            <w:r>
              <w:t>/ECE/324/Rev.1/Add.47/Rev.10/Amend.2−</w:t>
            </w:r>
            <w:r w:rsidRPr="00014D07">
              <w:rPr>
                <w:sz w:val="40"/>
              </w:rPr>
              <w:t>E</w:t>
            </w:r>
            <w:r>
              <w:t>/ECE/TRANS/505/Rev.1/Add.47/Rev.10/Amend.2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ED33A8" w:rsidP="00ED33A8">
            <w:pPr>
              <w:spacing w:before="480" w:line="240" w:lineRule="exact"/>
            </w:pPr>
            <w:r>
              <w:t xml:space="preserve">9 </w:t>
            </w:r>
            <w:r>
              <w:t>n</w:t>
            </w:r>
            <w:bookmarkStart w:id="0" w:name="_GoBack"/>
            <w:bookmarkEnd w:id="0"/>
            <w:r>
              <w:t>ovembre</w:t>
            </w:r>
            <w:r>
              <w:t xml:space="preserve">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DB2899">
      <w:pPr>
        <w:pStyle w:val="H1G"/>
        <w:spacing w:before="220" w:after="100" w:line="240" w:lineRule="exact"/>
      </w:pPr>
      <w:r>
        <w:tab/>
      </w:r>
      <w:r>
        <w:tab/>
      </w:r>
      <w:r w:rsidR="00421A10" w:rsidRPr="006549FF">
        <w:t xml:space="preserve">Additif </w:t>
      </w:r>
      <w:r w:rsidR="000704EA">
        <w:t>47</w:t>
      </w:r>
      <w:r w:rsidR="00421A10" w:rsidRPr="006549FF">
        <w:t>: Règlement</w:t>
      </w:r>
      <w:r w:rsidR="00421A10">
        <w:t xml:space="preserve"> </w:t>
      </w:r>
      <w:r w:rsidR="00421A10" w:rsidRPr="00B371BF">
        <w:t>n</w:t>
      </w:r>
      <w:r w:rsidR="00421A10" w:rsidRPr="00DB2899">
        <w:t>o</w:t>
      </w:r>
      <w:r w:rsidR="00421A10">
        <w:t> </w:t>
      </w:r>
      <w:r w:rsidR="000704EA">
        <w:t>48</w:t>
      </w:r>
    </w:p>
    <w:p w:rsidR="00421A10" w:rsidRPr="006549FF" w:rsidRDefault="0029791D" w:rsidP="00242268">
      <w:pPr>
        <w:pStyle w:val="H1G"/>
        <w:spacing w:before="220" w:after="100" w:line="240" w:lineRule="exact"/>
      </w:pPr>
      <w:r>
        <w:tab/>
      </w:r>
      <w:r>
        <w:tab/>
      </w:r>
      <w:r w:rsidR="00421A10" w:rsidRPr="006549FF">
        <w:t xml:space="preserve">Révision </w:t>
      </w:r>
      <w:r w:rsidR="000704EA">
        <w:t>10</w:t>
      </w:r>
      <w:r w:rsidR="000314C7">
        <w:t xml:space="preserve"> − Amendement </w:t>
      </w:r>
      <w:r w:rsidR="000704EA">
        <w:t>2</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0704EA">
        <w:rPr>
          <w:spacing w:val="-2"/>
        </w:rPr>
        <w:t>15</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0704EA">
        <w:rPr>
          <w:spacing w:val="-2"/>
        </w:rPr>
        <w:t>04</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0704EA">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CB2F3C" w:rsidRPr="00CB2F3C">
        <w:rPr>
          <w:spacing w:val="-2"/>
        </w:rPr>
        <w:t>Prescriptions uniformes relatives à l'homologation des véhicules en ce qui concerne l'installation des dispositifs d'éclairage et de signalisation lumineuse</w:t>
      </w:r>
    </w:p>
    <w:p w:rsidR="000704EA" w:rsidRPr="004A6F08" w:rsidRDefault="001D3393" w:rsidP="000704EA">
      <w:pPr>
        <w:ind w:left="1134"/>
        <w:rPr>
          <w:lang w:val="en-US"/>
        </w:rPr>
      </w:pPr>
      <w:r w:rsidRPr="001D3393">
        <w:rPr>
          <w:lang w:val="en-GB" w:eastAsia="en-GB"/>
        </w:rPr>
        <w:t>Ce document constitue un outil de documentation. Le</w:t>
      </w:r>
      <w:r w:rsidR="000704EA">
        <w:rPr>
          <w:lang w:val="en-GB" w:eastAsia="en-GB"/>
        </w:rPr>
        <w:t>s</w:t>
      </w:r>
      <w:r w:rsidRPr="001D3393">
        <w:rPr>
          <w:lang w:val="en-GB" w:eastAsia="en-GB"/>
        </w:rPr>
        <w:t xml:space="preserve"> texte</w:t>
      </w:r>
      <w:r w:rsidR="000704EA">
        <w:rPr>
          <w:lang w:val="en-GB" w:eastAsia="en-GB"/>
        </w:rPr>
        <w:t>s</w:t>
      </w:r>
      <w:r w:rsidRPr="001D3393">
        <w:rPr>
          <w:lang w:val="en-GB" w:eastAsia="en-GB"/>
        </w:rPr>
        <w:t xml:space="preserve"> authentique</w:t>
      </w:r>
      <w:r w:rsidR="000704EA">
        <w:rPr>
          <w:lang w:val="en-GB" w:eastAsia="en-GB"/>
        </w:rPr>
        <w:t>s</w:t>
      </w:r>
      <w:r w:rsidRPr="001D3393">
        <w:rPr>
          <w:lang w:val="en-GB" w:eastAsia="en-GB"/>
        </w:rPr>
        <w:t xml:space="preserve"> et contraignant</w:t>
      </w:r>
      <w:r w:rsidR="000704EA">
        <w:rPr>
          <w:lang w:val="en-GB" w:eastAsia="en-GB"/>
        </w:rPr>
        <w:t>s</w:t>
      </w:r>
      <w:r w:rsidRPr="001D3393">
        <w:rPr>
          <w:lang w:val="en-GB" w:eastAsia="en-GB"/>
        </w:rPr>
        <w:t xml:space="preserve"> juridique</w:t>
      </w:r>
      <w:r w:rsidR="000704EA">
        <w:rPr>
          <w:lang w:val="en-GB" w:eastAsia="en-GB"/>
        </w:rPr>
        <w:t>s</w:t>
      </w:r>
      <w:r w:rsidRPr="001D3393">
        <w:rPr>
          <w:lang w:val="en-GB" w:eastAsia="en-GB"/>
        </w:rPr>
        <w:t xml:space="preserve"> </w:t>
      </w:r>
      <w:r w:rsidR="000704EA">
        <w:rPr>
          <w:lang w:val="en-GB" w:eastAsia="en-GB"/>
        </w:rPr>
        <w:t>sont:</w:t>
      </w:r>
      <w:r w:rsidR="000704EA" w:rsidRPr="000704EA">
        <w:rPr>
          <w:lang w:val="en-US"/>
        </w:rPr>
        <w:t xml:space="preserve"> </w:t>
      </w:r>
    </w:p>
    <w:p w:rsidR="000704EA" w:rsidRPr="004A6F08" w:rsidRDefault="000704EA" w:rsidP="000704EA">
      <w:pPr>
        <w:ind w:left="1134"/>
        <w:rPr>
          <w:lang w:val="en-US"/>
        </w:rPr>
      </w:pPr>
      <w:r>
        <w:rPr>
          <w:lang w:val="en-US"/>
        </w:rPr>
        <w:t>-</w:t>
      </w:r>
      <w:r>
        <w:rPr>
          <w:lang w:val="en-US"/>
        </w:rPr>
        <w:tab/>
      </w:r>
      <w:r w:rsidRPr="004A6F08">
        <w:rPr>
          <w:lang w:val="en-US"/>
        </w:rPr>
        <w:t>ECE/TRANS/WP.29/2015/</w:t>
      </w:r>
      <w:r>
        <w:rPr>
          <w:lang w:val="en-US"/>
        </w:rPr>
        <w:t>23</w:t>
      </w:r>
    </w:p>
    <w:p w:rsidR="000704EA" w:rsidRPr="004A6F08" w:rsidRDefault="000704EA" w:rsidP="000704EA">
      <w:pPr>
        <w:ind w:left="567" w:firstLine="567"/>
        <w:rPr>
          <w:lang w:val="en-US"/>
        </w:rPr>
      </w:pPr>
      <w:r>
        <w:rPr>
          <w:lang w:val="en-US"/>
        </w:rPr>
        <w:t>-</w:t>
      </w:r>
      <w:r>
        <w:rPr>
          <w:lang w:val="en-US"/>
        </w:rPr>
        <w:tab/>
      </w:r>
      <w:r w:rsidRPr="004A6F08">
        <w:rPr>
          <w:lang w:val="en-US"/>
        </w:rPr>
        <w:t>ECE/TRANS/WP.29/2015/</w:t>
      </w:r>
      <w:r>
        <w:rPr>
          <w:lang w:val="en-US"/>
        </w:rPr>
        <w:t>23/Corr.1</w:t>
      </w:r>
      <w:r w:rsidR="00144FF4">
        <w:rPr>
          <w:lang w:val="en-US"/>
        </w:rPr>
        <w:t xml:space="preserve"> (anglais seulement).</w:t>
      </w:r>
    </w:p>
    <w:p w:rsidR="000704EA" w:rsidRPr="000704EA" w:rsidRDefault="00DD1ED8" w:rsidP="000704EA">
      <w:pPr>
        <w:spacing w:after="120"/>
        <w:ind w:left="2268" w:right="1134" w:hanging="1134"/>
        <w:jc w:val="both"/>
      </w:pPr>
      <w:r>
        <w:br w:type="page"/>
      </w:r>
      <w:r w:rsidR="000704EA" w:rsidRPr="000704EA">
        <w:rPr>
          <w:i/>
        </w:rPr>
        <w:lastRenderedPageBreak/>
        <w:t>Paragraphe 2.7.3.1</w:t>
      </w:r>
      <w:r w:rsidR="000704EA" w:rsidRPr="000704EA">
        <w:t>, supprimer.</w:t>
      </w:r>
    </w:p>
    <w:p w:rsidR="000704EA" w:rsidRPr="000704EA" w:rsidRDefault="000704EA" w:rsidP="000704EA">
      <w:pPr>
        <w:kinsoku w:val="0"/>
        <w:overflowPunct w:val="0"/>
        <w:autoSpaceDE w:val="0"/>
        <w:autoSpaceDN w:val="0"/>
        <w:adjustRightInd w:val="0"/>
        <w:snapToGrid w:val="0"/>
        <w:spacing w:after="120"/>
        <w:ind w:left="1134" w:right="1134"/>
        <w:jc w:val="both"/>
        <w:rPr>
          <w:u w:val="single"/>
        </w:rPr>
      </w:pPr>
      <w:r w:rsidRPr="000704EA">
        <w:rPr>
          <w:i/>
        </w:rPr>
        <w:t>Paragraphe 2.7.11, dernière phrase</w:t>
      </w:r>
      <w:r w:rsidRPr="000704EA">
        <w:t>, remplacer «Règlement n</w:t>
      </w:r>
      <w:r w:rsidRPr="000704EA">
        <w:rPr>
          <w:vertAlign w:val="superscript"/>
        </w:rPr>
        <w:t>o</w:t>
      </w:r>
      <w:r w:rsidRPr="000704EA">
        <w:t> 97» par «Règlement n</w:t>
      </w:r>
      <w:r w:rsidRPr="000704EA">
        <w:rPr>
          <w:vertAlign w:val="superscript"/>
        </w:rPr>
        <w:t>o</w:t>
      </w:r>
      <w:r w:rsidRPr="000704EA">
        <w:t> </w:t>
      </w:r>
      <w:r w:rsidRPr="000704EA">
        <w:rPr>
          <w:iCs/>
        </w:rPr>
        <w:t xml:space="preserve">97 </w:t>
      </w:r>
      <w:r w:rsidRPr="000704EA">
        <w:rPr>
          <w:bCs/>
          <w:iCs/>
        </w:rPr>
        <w:t>ou n</w:t>
      </w:r>
      <w:r w:rsidRPr="000704EA">
        <w:rPr>
          <w:bCs/>
          <w:iCs/>
          <w:vertAlign w:val="superscript"/>
        </w:rPr>
        <w:t>o</w:t>
      </w:r>
      <w:r w:rsidRPr="000704EA">
        <w:rPr>
          <w:bCs/>
          <w:iCs/>
        </w:rPr>
        <w:t> 116»</w:t>
      </w:r>
      <w:r w:rsidRPr="000704EA">
        <w:rPr>
          <w:iCs/>
        </w:rPr>
        <w:t>.</w:t>
      </w:r>
    </w:p>
    <w:p w:rsidR="000704EA" w:rsidRPr="000704EA" w:rsidRDefault="000704EA" w:rsidP="000704EA">
      <w:pPr>
        <w:kinsoku w:val="0"/>
        <w:overflowPunct w:val="0"/>
        <w:autoSpaceDE w:val="0"/>
        <w:autoSpaceDN w:val="0"/>
        <w:adjustRightInd w:val="0"/>
        <w:snapToGrid w:val="0"/>
        <w:spacing w:after="120"/>
        <w:ind w:left="2268" w:right="1134" w:hanging="1134"/>
        <w:jc w:val="both"/>
      </w:pPr>
      <w:r w:rsidRPr="000704EA">
        <w:rPr>
          <w:i/>
        </w:rPr>
        <w:t>Paragraphe 6.1.9.2</w:t>
      </w:r>
      <w:r w:rsidRPr="000704EA">
        <w:t>, modification sans objet en français.</w:t>
      </w:r>
    </w:p>
    <w:p w:rsidR="000704EA" w:rsidRPr="000704EA" w:rsidRDefault="000704EA" w:rsidP="000704EA">
      <w:pPr>
        <w:kinsoku w:val="0"/>
        <w:overflowPunct w:val="0"/>
        <w:autoSpaceDE w:val="0"/>
        <w:autoSpaceDN w:val="0"/>
        <w:adjustRightInd w:val="0"/>
        <w:snapToGrid w:val="0"/>
        <w:spacing w:after="120"/>
        <w:ind w:left="2268" w:right="-40" w:hanging="1134"/>
        <w:jc w:val="both"/>
      </w:pPr>
      <w:r w:rsidRPr="000704EA">
        <w:rPr>
          <w:i/>
          <w:iCs/>
        </w:rPr>
        <w:t>Paragraphe 6.3.7</w:t>
      </w:r>
      <w:r w:rsidRPr="000704EA">
        <w:t>, lire:</w:t>
      </w:r>
    </w:p>
    <w:p w:rsidR="000704EA" w:rsidRPr="000704EA" w:rsidRDefault="000704EA" w:rsidP="000704EA">
      <w:pPr>
        <w:keepNext/>
        <w:keepLines/>
        <w:kinsoku w:val="0"/>
        <w:overflowPunct w:val="0"/>
        <w:autoSpaceDE w:val="0"/>
        <w:autoSpaceDN w:val="0"/>
        <w:adjustRightInd w:val="0"/>
        <w:snapToGrid w:val="0"/>
        <w:spacing w:after="120"/>
        <w:ind w:left="2268" w:right="1134" w:hanging="1134"/>
        <w:jc w:val="both"/>
      </w:pPr>
      <w:r w:rsidRPr="000704EA">
        <w:t>«6.3.7</w:t>
      </w:r>
      <w:r w:rsidRPr="000704EA">
        <w:tab/>
        <w:t>Branchements électriques</w:t>
      </w:r>
    </w:p>
    <w:p w:rsidR="000704EA" w:rsidRPr="000704EA" w:rsidRDefault="000704EA" w:rsidP="000704EA">
      <w:pPr>
        <w:keepNext/>
        <w:keepLines/>
        <w:kinsoku w:val="0"/>
        <w:overflowPunct w:val="0"/>
        <w:autoSpaceDE w:val="0"/>
        <w:autoSpaceDN w:val="0"/>
        <w:adjustRightInd w:val="0"/>
        <w:snapToGrid w:val="0"/>
        <w:spacing w:after="120"/>
        <w:ind w:left="2268" w:right="1134"/>
        <w:jc w:val="both"/>
      </w:pPr>
      <w:r w:rsidRPr="000704EA">
        <w:t>Il doit être possible d’allumer et d’éteindre les feux de brouillard avant indépendamment des feux de route, des feux de croisement ou de toute combinaison de ces derniers à moins que:</w:t>
      </w:r>
    </w:p>
    <w:p w:rsidR="000704EA" w:rsidRPr="000704EA" w:rsidRDefault="000704EA" w:rsidP="000704EA">
      <w:pPr>
        <w:keepNext/>
        <w:keepLines/>
        <w:kinsoku w:val="0"/>
        <w:overflowPunct w:val="0"/>
        <w:autoSpaceDE w:val="0"/>
        <w:autoSpaceDN w:val="0"/>
        <w:adjustRightInd w:val="0"/>
        <w:snapToGrid w:val="0"/>
        <w:spacing w:after="120"/>
        <w:ind w:left="2835" w:right="1134" w:hanging="567"/>
        <w:jc w:val="both"/>
      </w:pPr>
      <w:r w:rsidRPr="000704EA">
        <w:t>a)</w:t>
      </w:r>
      <w:r w:rsidRPr="000704EA">
        <w:tab/>
        <w:t>Les feux de brouillard avant ne soient utilisés par une autre fonction d’éclairage d’un AFS; toutefois, l’allumage des feux de brouillard avant doit l’emporter sur la fonction d’éclairage dont les feux de brouillard avant font partie; ou</w:t>
      </w:r>
    </w:p>
    <w:p w:rsidR="000704EA" w:rsidRPr="000704EA" w:rsidRDefault="000704EA" w:rsidP="000704EA">
      <w:pPr>
        <w:keepNext/>
        <w:keepLines/>
        <w:kinsoku w:val="0"/>
        <w:overflowPunct w:val="0"/>
        <w:autoSpaceDE w:val="0"/>
        <w:autoSpaceDN w:val="0"/>
        <w:adjustRightInd w:val="0"/>
        <w:snapToGrid w:val="0"/>
        <w:spacing w:after="120"/>
        <w:ind w:left="2835" w:right="1134" w:hanging="567"/>
        <w:jc w:val="both"/>
      </w:pPr>
      <w:r w:rsidRPr="000704EA">
        <w:t>b)</w:t>
      </w:r>
      <w:r w:rsidRPr="000704EA">
        <w:tab/>
        <w:t>Les feux de brouillard avant ne puissent pas être allumés en même temps que tout autre feu avec lesquels ils sont mutuellement incorporés, comme indiqué par le symbole correspondant («/») conformément au point 10.1 de l’annexe 1 du Règlement n</w:t>
      </w:r>
      <w:r w:rsidRPr="000704EA">
        <w:rPr>
          <w:vertAlign w:val="superscript"/>
        </w:rPr>
        <w:t>o</w:t>
      </w:r>
      <w:r w:rsidRPr="000704EA">
        <w:t> 19.».</w:t>
      </w:r>
    </w:p>
    <w:p w:rsidR="000704EA" w:rsidRPr="000704EA" w:rsidRDefault="000704EA" w:rsidP="000704EA">
      <w:pPr>
        <w:kinsoku w:val="0"/>
        <w:overflowPunct w:val="0"/>
        <w:autoSpaceDE w:val="0"/>
        <w:autoSpaceDN w:val="0"/>
        <w:adjustRightInd w:val="0"/>
        <w:snapToGrid w:val="0"/>
        <w:spacing w:after="120"/>
        <w:ind w:left="2268" w:right="1134" w:hanging="1134"/>
        <w:jc w:val="both"/>
      </w:pPr>
      <w:r w:rsidRPr="000704EA">
        <w:rPr>
          <w:i/>
        </w:rPr>
        <w:t>Paragraphe 6.5.4.2.2</w:t>
      </w:r>
      <w:r w:rsidRPr="000704EA">
        <w:t>,</w:t>
      </w:r>
      <w:r w:rsidRPr="000704EA">
        <w:rPr>
          <w:i/>
        </w:rPr>
        <w:t xml:space="preserve"> </w:t>
      </w:r>
      <w:r w:rsidRPr="000704EA">
        <w:t>modification sans objet en français.</w:t>
      </w:r>
    </w:p>
    <w:p w:rsidR="000704EA" w:rsidRPr="000704EA" w:rsidRDefault="000704EA" w:rsidP="000704EA">
      <w:pPr>
        <w:kinsoku w:val="0"/>
        <w:overflowPunct w:val="0"/>
        <w:autoSpaceDE w:val="0"/>
        <w:autoSpaceDN w:val="0"/>
        <w:adjustRightInd w:val="0"/>
        <w:snapToGrid w:val="0"/>
        <w:spacing w:after="120"/>
        <w:ind w:left="2268" w:right="1134" w:hanging="1134"/>
        <w:rPr>
          <w:color w:val="000000"/>
        </w:rPr>
      </w:pPr>
      <w:r w:rsidRPr="000704EA">
        <w:rPr>
          <w:i/>
          <w:color w:val="000000"/>
        </w:rPr>
        <w:t>Paragraphe 6.6.7.2</w:t>
      </w:r>
      <w:r w:rsidRPr="000704EA">
        <w:rPr>
          <w:color w:val="000000"/>
        </w:rPr>
        <w:t>,</w:t>
      </w:r>
      <w:r w:rsidRPr="000704EA">
        <w:rPr>
          <w:i/>
          <w:color w:val="000000"/>
        </w:rPr>
        <w:t xml:space="preserve"> </w:t>
      </w:r>
      <w:r w:rsidRPr="000704EA">
        <w:rPr>
          <w:color w:val="000000"/>
        </w:rPr>
        <w:t>lire:</w:t>
      </w:r>
    </w:p>
    <w:p w:rsidR="000704EA" w:rsidRPr="000704EA" w:rsidRDefault="000704EA" w:rsidP="000704EA">
      <w:pPr>
        <w:keepNext/>
        <w:keepLines/>
        <w:kinsoku w:val="0"/>
        <w:overflowPunct w:val="0"/>
        <w:autoSpaceDE w:val="0"/>
        <w:autoSpaceDN w:val="0"/>
        <w:adjustRightInd w:val="0"/>
        <w:snapToGrid w:val="0"/>
        <w:spacing w:after="120"/>
        <w:ind w:left="2268" w:right="1134" w:hanging="1134"/>
        <w:jc w:val="both"/>
        <w:rPr>
          <w:snapToGrid w:val="0"/>
          <w:color w:val="000000"/>
        </w:rPr>
      </w:pPr>
      <w:r w:rsidRPr="000704EA">
        <w:rPr>
          <w:snapToGrid w:val="0"/>
          <w:color w:val="000000"/>
        </w:rPr>
        <w:t>«6.6.7.2</w:t>
      </w:r>
      <w:r w:rsidRPr="000704EA">
        <w:rPr>
          <w:snapToGrid w:val="0"/>
          <w:color w:val="000000"/>
        </w:rPr>
        <w:tab/>
      </w:r>
      <w:r w:rsidRPr="000704EA">
        <w:rPr>
          <w:snapToGrid w:val="0"/>
          <w:color w:val="000000"/>
        </w:rPr>
        <w:tab/>
        <w:t>Le signal de détresse peut se déclencher automatiquement lorsqu’un véhicule est impliqué dans une collision ou après la désactivation du signal de freinage d’urgence, comme il est spécifié au paragraphe 6.23. Dans ces cas, il peut être éteint manuellement.</w:t>
      </w:r>
    </w:p>
    <w:p w:rsidR="000704EA" w:rsidRPr="000704EA" w:rsidRDefault="000704EA" w:rsidP="000704EA">
      <w:pPr>
        <w:kinsoku w:val="0"/>
        <w:overflowPunct w:val="0"/>
        <w:autoSpaceDE w:val="0"/>
        <w:autoSpaceDN w:val="0"/>
        <w:adjustRightInd w:val="0"/>
        <w:snapToGrid w:val="0"/>
        <w:spacing w:after="120"/>
        <w:ind w:left="2268" w:right="1134"/>
        <w:jc w:val="both"/>
        <w:rPr>
          <w:i/>
          <w:snapToGrid w:val="0"/>
          <w:color w:val="000000"/>
        </w:rPr>
      </w:pPr>
      <w:r w:rsidRPr="000704EA">
        <w:rPr>
          <w:snapToGrid w:val="0"/>
          <w:color w:val="000000"/>
        </w:rPr>
        <w:t>Le signal de détresse peut également se déclencher automatiquement pour indiquer aux autres usagers de la route un risque de danger imminent tel que défini par les Règlements; dans ce cas, le signal doit rester allumé jusqu’à ce qu’il soit éteint manuellement ou automatiquement.».</w:t>
      </w:r>
    </w:p>
    <w:p w:rsidR="000704EA" w:rsidRPr="000704EA" w:rsidRDefault="000704EA" w:rsidP="000704EA">
      <w:pPr>
        <w:kinsoku w:val="0"/>
        <w:overflowPunct w:val="0"/>
        <w:autoSpaceDE w:val="0"/>
        <w:autoSpaceDN w:val="0"/>
        <w:adjustRightInd w:val="0"/>
        <w:snapToGrid w:val="0"/>
        <w:spacing w:after="120"/>
        <w:ind w:left="2268" w:right="1134" w:hanging="1134"/>
        <w:jc w:val="both"/>
      </w:pPr>
      <w:r w:rsidRPr="000704EA">
        <w:rPr>
          <w:i/>
        </w:rPr>
        <w:t>Paragraphe 6.18.4.3</w:t>
      </w:r>
      <w:r w:rsidRPr="000704EA">
        <w:t>, modification sans objet en français.</w:t>
      </w:r>
    </w:p>
    <w:p w:rsidR="000704EA" w:rsidRPr="000704EA" w:rsidRDefault="000704EA" w:rsidP="000704EA">
      <w:pPr>
        <w:kinsoku w:val="0"/>
        <w:overflowPunct w:val="0"/>
        <w:autoSpaceDE w:val="0"/>
        <w:autoSpaceDN w:val="0"/>
        <w:adjustRightInd w:val="0"/>
        <w:snapToGrid w:val="0"/>
        <w:spacing w:after="120"/>
        <w:ind w:left="2268" w:right="1134" w:hanging="1134"/>
        <w:jc w:val="both"/>
      </w:pPr>
      <w:r w:rsidRPr="000704EA">
        <w:rPr>
          <w:i/>
        </w:rPr>
        <w:t>Paragraphe 6.20.7.2</w:t>
      </w:r>
      <w:r w:rsidRPr="000704EA">
        <w:t>, lire:</w:t>
      </w:r>
    </w:p>
    <w:p w:rsidR="000704EA" w:rsidRPr="000704EA" w:rsidRDefault="000704EA" w:rsidP="000704EA">
      <w:pPr>
        <w:kinsoku w:val="0"/>
        <w:overflowPunct w:val="0"/>
        <w:autoSpaceDE w:val="0"/>
        <w:autoSpaceDN w:val="0"/>
        <w:adjustRightInd w:val="0"/>
        <w:snapToGrid w:val="0"/>
        <w:spacing w:after="120"/>
        <w:ind w:left="2268" w:right="1134" w:hanging="1134"/>
        <w:jc w:val="both"/>
      </w:pPr>
      <w:r w:rsidRPr="000704EA">
        <w:t>«6.20.7.2</w:t>
      </w:r>
      <w:r w:rsidRPr="000704EA">
        <w:tab/>
        <w:t>Lors de l’allumage du feu de marche arrière, les deux feux d’angle peuvent s’allumer simultanément, quelle que soit la position du volant de direction ou de l’indicateur de direction. En pareil cas, les deux feux d’angle doivent s’éteindre soit:</w:t>
      </w:r>
    </w:p>
    <w:p w:rsidR="000704EA" w:rsidRPr="000704EA" w:rsidRDefault="000704EA" w:rsidP="000704EA">
      <w:pPr>
        <w:keepNext/>
        <w:keepLines/>
        <w:kinsoku w:val="0"/>
        <w:overflowPunct w:val="0"/>
        <w:autoSpaceDE w:val="0"/>
        <w:autoSpaceDN w:val="0"/>
        <w:adjustRightInd w:val="0"/>
        <w:snapToGrid w:val="0"/>
        <w:spacing w:after="120"/>
        <w:ind w:left="2835" w:right="1134" w:hanging="567"/>
        <w:jc w:val="both"/>
      </w:pPr>
      <w:r w:rsidRPr="000704EA">
        <w:t>a)</w:t>
      </w:r>
      <w:r w:rsidRPr="000704EA">
        <w:tab/>
        <w:t>Lorsque le feu de marche arrière s’éteint;</w:t>
      </w:r>
    </w:p>
    <w:p w:rsidR="000704EA" w:rsidRPr="000704EA" w:rsidRDefault="000704EA" w:rsidP="000704EA">
      <w:pPr>
        <w:keepNext/>
        <w:keepLines/>
        <w:kinsoku w:val="0"/>
        <w:overflowPunct w:val="0"/>
        <w:autoSpaceDE w:val="0"/>
        <w:autoSpaceDN w:val="0"/>
        <w:adjustRightInd w:val="0"/>
        <w:snapToGrid w:val="0"/>
        <w:spacing w:after="120"/>
        <w:ind w:left="3402" w:right="1134" w:hanging="567"/>
        <w:jc w:val="both"/>
      </w:pPr>
      <w:r w:rsidRPr="000704EA">
        <w:t>soit</w:t>
      </w:r>
    </w:p>
    <w:p w:rsidR="000704EA" w:rsidRPr="000704EA" w:rsidRDefault="000704EA" w:rsidP="000704EA">
      <w:pPr>
        <w:keepNext/>
        <w:keepLines/>
        <w:kinsoku w:val="0"/>
        <w:overflowPunct w:val="0"/>
        <w:autoSpaceDE w:val="0"/>
        <w:autoSpaceDN w:val="0"/>
        <w:adjustRightInd w:val="0"/>
        <w:snapToGrid w:val="0"/>
        <w:spacing w:after="120"/>
        <w:ind w:left="2835" w:right="1134" w:hanging="567"/>
        <w:jc w:val="both"/>
      </w:pPr>
      <w:r w:rsidRPr="000704EA">
        <w:t>b)</w:t>
      </w:r>
      <w:r w:rsidRPr="000704EA">
        <w:tab/>
        <w:t>Lorsque la vitesse du véhicule en marche avant dépasse 10 km/h.».</w:t>
      </w:r>
    </w:p>
    <w:p w:rsidR="00144FF4" w:rsidRDefault="000704EA" w:rsidP="000704EA">
      <w:pPr>
        <w:kinsoku w:val="0"/>
        <w:overflowPunct w:val="0"/>
        <w:autoSpaceDE w:val="0"/>
        <w:autoSpaceDN w:val="0"/>
        <w:adjustRightInd w:val="0"/>
        <w:snapToGrid w:val="0"/>
        <w:spacing w:after="120"/>
        <w:ind w:left="2268" w:right="-40" w:hanging="1134"/>
        <w:jc w:val="both"/>
        <w:rPr>
          <w:i/>
          <w:iCs/>
        </w:rPr>
      </w:pPr>
      <w:r w:rsidRPr="000704EA">
        <w:rPr>
          <w:i/>
          <w:iCs/>
        </w:rPr>
        <w:t xml:space="preserve">Annexe 1, </w:t>
      </w:r>
    </w:p>
    <w:p w:rsidR="000704EA" w:rsidRPr="000704EA" w:rsidRDefault="00144FF4" w:rsidP="000704EA">
      <w:pPr>
        <w:kinsoku w:val="0"/>
        <w:overflowPunct w:val="0"/>
        <w:autoSpaceDE w:val="0"/>
        <w:autoSpaceDN w:val="0"/>
        <w:adjustRightInd w:val="0"/>
        <w:snapToGrid w:val="0"/>
        <w:spacing w:after="120"/>
        <w:ind w:left="2268" w:right="-40" w:hanging="1134"/>
        <w:jc w:val="both"/>
      </w:pPr>
      <w:r>
        <w:rPr>
          <w:i/>
          <w:iCs/>
        </w:rPr>
        <w:t>P</w:t>
      </w:r>
      <w:r w:rsidR="000704EA" w:rsidRPr="000704EA">
        <w:rPr>
          <w:i/>
          <w:iCs/>
        </w:rPr>
        <w:t>oint 9.3</w:t>
      </w:r>
      <w:r w:rsidR="000704EA" w:rsidRPr="000704EA">
        <w:t>, lire:</w:t>
      </w:r>
    </w:p>
    <w:p w:rsidR="000704EA" w:rsidRPr="000704EA" w:rsidRDefault="000704EA" w:rsidP="000704EA">
      <w:pPr>
        <w:kinsoku w:val="0"/>
        <w:overflowPunct w:val="0"/>
        <w:autoSpaceDE w:val="0"/>
        <w:autoSpaceDN w:val="0"/>
        <w:adjustRightInd w:val="0"/>
        <w:snapToGrid w:val="0"/>
        <w:spacing w:after="120"/>
        <w:ind w:left="2268" w:right="1134" w:hanging="1134"/>
        <w:jc w:val="both"/>
      </w:pPr>
      <w:r w:rsidRPr="000704EA">
        <w:t>«9.3</w:t>
      </w:r>
      <w:r w:rsidRPr="000704EA">
        <w:tab/>
        <w:t>Feux de brouillard avant: oui/non</w:t>
      </w:r>
      <w:r w:rsidRPr="000704EA">
        <w:rPr>
          <w:vertAlign w:val="superscript"/>
        </w:rPr>
        <w:t>2</w:t>
      </w:r>
    </w:p>
    <w:p w:rsidR="000704EA" w:rsidRPr="000704EA" w:rsidRDefault="000704EA" w:rsidP="000704EA">
      <w:pPr>
        <w:kinsoku w:val="0"/>
        <w:overflowPunct w:val="0"/>
        <w:autoSpaceDE w:val="0"/>
        <w:autoSpaceDN w:val="0"/>
        <w:adjustRightInd w:val="0"/>
        <w:snapToGrid w:val="0"/>
        <w:spacing w:after="120"/>
        <w:ind w:left="2268" w:right="1134"/>
        <w:jc w:val="both"/>
      </w:pPr>
      <w:r w:rsidRPr="000704EA">
        <w:t>Observations: Mutuellement incorporés dans le projecteur: oui/non</w:t>
      </w:r>
      <w:r w:rsidRPr="000704EA">
        <w:rPr>
          <w:vertAlign w:val="superscript"/>
        </w:rPr>
        <w:t>2</w:t>
      </w:r>
      <w:r w:rsidRPr="000704EA">
        <w:t>».</w:t>
      </w:r>
    </w:p>
    <w:p w:rsidR="000704EA" w:rsidRPr="000704EA" w:rsidRDefault="000704EA" w:rsidP="000704EA">
      <w:pPr>
        <w:kinsoku w:val="0"/>
        <w:overflowPunct w:val="0"/>
        <w:autoSpaceDE w:val="0"/>
        <w:autoSpaceDN w:val="0"/>
        <w:adjustRightInd w:val="0"/>
        <w:snapToGrid w:val="0"/>
        <w:spacing w:before="240"/>
        <w:ind w:left="1134" w:right="1134"/>
        <w:jc w:val="center"/>
        <w:rPr>
          <w:u w:val="single"/>
        </w:rPr>
      </w:pPr>
      <w:r w:rsidRPr="000704EA">
        <w:rPr>
          <w:u w:val="single"/>
        </w:rPr>
        <w:tab/>
      </w:r>
      <w:r w:rsidRPr="000704EA">
        <w:rPr>
          <w:u w:val="single"/>
        </w:rPr>
        <w:tab/>
      </w:r>
      <w:r w:rsidRPr="000704EA">
        <w:rPr>
          <w:u w:val="single"/>
        </w:rPr>
        <w:tab/>
      </w:r>
    </w:p>
    <w:p w:rsidR="00FC2CA9" w:rsidRPr="00972C55" w:rsidRDefault="00FC2CA9" w:rsidP="000704EA">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3C" w:rsidRDefault="00CB2F3C"/>
  </w:endnote>
  <w:endnote w:type="continuationSeparator" w:id="0">
    <w:p w:rsidR="00CB2F3C" w:rsidRDefault="00CB2F3C">
      <w:pPr>
        <w:pStyle w:val="Footer"/>
      </w:pPr>
    </w:p>
  </w:endnote>
  <w:endnote w:type="continuationNotice" w:id="1">
    <w:p w:rsidR="00CB2F3C" w:rsidRPr="00C451B9" w:rsidRDefault="00CB2F3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ED33A8">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144FF4">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ED33A8"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3C" w:rsidRPr="00D27D5E" w:rsidRDefault="00CB2F3C" w:rsidP="00D27D5E">
      <w:pPr>
        <w:tabs>
          <w:tab w:val="right" w:pos="2155"/>
        </w:tabs>
        <w:spacing w:after="80"/>
        <w:ind w:left="680"/>
        <w:rPr>
          <w:u w:val="single"/>
        </w:rPr>
      </w:pPr>
      <w:r>
        <w:rPr>
          <w:u w:val="single"/>
        </w:rPr>
        <w:tab/>
      </w:r>
    </w:p>
  </w:footnote>
  <w:footnote w:type="continuationSeparator" w:id="0">
    <w:p w:rsidR="00CB2F3C" w:rsidRPr="00D171D4" w:rsidRDefault="00CB2F3C" w:rsidP="00D171D4">
      <w:pPr>
        <w:tabs>
          <w:tab w:val="right" w:pos="2155"/>
        </w:tabs>
        <w:spacing w:after="80"/>
        <w:ind w:left="680"/>
        <w:rPr>
          <w:u w:val="single"/>
        </w:rPr>
      </w:pPr>
      <w:r w:rsidRPr="00D171D4">
        <w:rPr>
          <w:u w:val="single"/>
        </w:rPr>
        <w:tab/>
      </w:r>
    </w:p>
  </w:footnote>
  <w:footnote w:type="continuationNotice" w:id="1">
    <w:p w:rsidR="00CB2F3C" w:rsidRPr="00C451B9" w:rsidRDefault="00CB2F3C"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0704EA">
    <w:pPr>
      <w:pStyle w:val="Header"/>
    </w:pPr>
    <w:r w:rsidRPr="00D623A7">
      <w:t>E/ECE/324</w:t>
    </w:r>
    <w:r>
      <w:t>/Rev.1/Add.47/Rev.10/Amend.2</w:t>
    </w:r>
    <w:r>
      <w:br/>
    </w:r>
    <w:r w:rsidRPr="00D623A7">
      <w:t>E/ECE/TRANS/505</w:t>
    </w:r>
    <w:r>
      <w:t>/Rev.1/Add.47/Rev.10/Amend.2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E/ECE/324/Rev.2/Add.103/Rev.1/Amend.2</w:t>
    </w:r>
    <w:r>
      <w:br/>
      <w:t>E/ECE/TRANS/505/Rev.2/Add.103/Rev.1/Amend.2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92" w:rsidRPr="007D193B" w:rsidRDefault="00E47692" w:rsidP="007D19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F3C"/>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04EA"/>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44FF4"/>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193B"/>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2F3C"/>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17697"/>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B2899"/>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47692"/>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3A8"/>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6</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6</cp:revision>
  <cp:lastPrinted>2015-11-09T16:32:00Z</cp:lastPrinted>
  <dcterms:created xsi:type="dcterms:W3CDTF">2015-07-15T09:31:00Z</dcterms:created>
  <dcterms:modified xsi:type="dcterms:W3CDTF">2015-11-09T16:32:00Z</dcterms:modified>
</cp:coreProperties>
</file>