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A31F65" w:rsidRPr="00DB58B5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1F65" w:rsidRPr="00D47EEA" w:rsidRDefault="00A31F65" w:rsidP="00A31F65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/ECE/324/Rev.1/Add.44/Rev.2/Amend.3−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Pr="00275736">
              <w:t>/Rev.1/Add.44/Rev.2/Amend.3</w:t>
            </w:r>
          </w:p>
        </w:tc>
      </w:tr>
      <w:tr w:rsidR="00421A10" w:rsidRPr="00DB58B5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95A7B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360C2D" w:rsidP="00495A7B">
            <w:pPr>
              <w:spacing w:before="480" w:line="240" w:lineRule="exact"/>
            </w:pPr>
            <w:r>
              <w:rPr>
                <w:lang w:val="en-GB" w:eastAsia="en-GB"/>
              </w:rPr>
              <w:t>9 novembre 2015</w:t>
            </w:r>
            <w:bookmarkStart w:id="0" w:name="_GoBack"/>
            <w:bookmarkEnd w:id="0"/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42268">
      <w:pPr>
        <w:pStyle w:val="H1G"/>
        <w:spacing w:before="340" w:after="220" w:line="26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24226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A324F6">
      <w:pPr>
        <w:pStyle w:val="H1G"/>
      </w:pPr>
      <w:r>
        <w:tab/>
      </w:r>
      <w:r>
        <w:tab/>
      </w:r>
      <w:r w:rsidR="00421A10" w:rsidRPr="006549FF">
        <w:t xml:space="preserve">Additif </w:t>
      </w:r>
      <w:r w:rsidR="00A31F65">
        <w:t>44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A31F65">
        <w:t>45</w:t>
      </w:r>
    </w:p>
    <w:p w:rsidR="00421A10" w:rsidRPr="006549FF" w:rsidRDefault="0029791D" w:rsidP="00242268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Révision </w:t>
      </w:r>
      <w:r w:rsidR="00A31F65">
        <w:t>2</w:t>
      </w:r>
      <w:r w:rsidR="000314C7">
        <w:t xml:space="preserve"> − Amendement </w:t>
      </w:r>
      <w:r w:rsidR="00A31F65">
        <w:t>3</w:t>
      </w:r>
    </w:p>
    <w:p w:rsidR="00015650" w:rsidRPr="00FC2CA9" w:rsidRDefault="003A58D8" w:rsidP="00242268">
      <w:pPr>
        <w:pStyle w:val="SingleTxtG"/>
        <w:spacing w:after="100" w:line="200" w:lineRule="atLeast"/>
        <w:jc w:val="left"/>
        <w:rPr>
          <w:spacing w:val="-2"/>
        </w:rPr>
      </w:pPr>
      <w:r w:rsidRPr="00FC2CA9">
        <w:rPr>
          <w:spacing w:val="-2"/>
        </w:rPr>
        <w:t xml:space="preserve">Complément </w:t>
      </w:r>
      <w:r w:rsidR="00A31F65">
        <w:rPr>
          <w:spacing w:val="-2"/>
        </w:rPr>
        <w:t>9</w:t>
      </w:r>
      <w:r w:rsidR="00FC2CA9" w:rsidRPr="00FC2CA9">
        <w:rPr>
          <w:spacing w:val="-2"/>
        </w:rPr>
        <w:t xml:space="preserve"> </w:t>
      </w:r>
      <w:r w:rsidRPr="00FC2CA9">
        <w:rPr>
          <w:spacing w:val="-2"/>
        </w:rPr>
        <w:t>à la</w:t>
      </w:r>
      <w:r w:rsidR="00FC2CA9" w:rsidRPr="00FC2CA9">
        <w:rPr>
          <w:spacing w:val="-2"/>
        </w:rPr>
        <w:t xml:space="preserve"> </w:t>
      </w:r>
      <w:r w:rsidR="00EF5EBC">
        <w:rPr>
          <w:spacing w:val="-2"/>
        </w:rPr>
        <w:t xml:space="preserve">série </w:t>
      </w:r>
      <w:r w:rsidR="00A31F65">
        <w:rPr>
          <w:spacing w:val="-2"/>
        </w:rPr>
        <w:t>01</w:t>
      </w:r>
      <w:r w:rsidR="00EF5EBC">
        <w:rPr>
          <w:spacing w:val="-2"/>
        </w:rPr>
        <w:t xml:space="preserve"> d'amendements a</w:t>
      </w:r>
      <w:r w:rsidR="00FC2CA9" w:rsidRPr="00FC2CA9">
        <w:rPr>
          <w:spacing w:val="-2"/>
        </w:rPr>
        <w:t>u</w:t>
      </w:r>
      <w:r w:rsidR="00015650" w:rsidRPr="00FC2CA9">
        <w:rPr>
          <w:spacing w:val="-2"/>
        </w:rPr>
        <w:t xml:space="preserve"> Règlement − Date d’entrée en vigueur:</w:t>
      </w:r>
      <w:r w:rsidR="00A31F65">
        <w:rPr>
          <w:spacing w:val="-2"/>
        </w:rPr>
        <w:br/>
        <w:t>8 octobre 2015</w:t>
      </w:r>
      <w:r w:rsidR="00015650" w:rsidRPr="00FC2CA9">
        <w:rPr>
          <w:spacing w:val="-2"/>
        </w:rPr>
        <w:t xml:space="preserve"> </w:t>
      </w:r>
    </w:p>
    <w:p w:rsidR="00DD1ED8" w:rsidRPr="00242268" w:rsidRDefault="00DD1ED8" w:rsidP="00242268">
      <w:pPr>
        <w:pStyle w:val="H1G"/>
        <w:spacing w:line="260" w:lineRule="exact"/>
        <w:rPr>
          <w:spacing w:val="-2"/>
        </w:rPr>
      </w:pPr>
      <w:r>
        <w:tab/>
      </w:r>
      <w:r>
        <w:tab/>
      </w:r>
      <w:r w:rsidR="007352AD" w:rsidRPr="007352AD">
        <w:rPr>
          <w:spacing w:val="-2"/>
        </w:rPr>
        <w:t>Prescriptions uniformes relatives à l'homologation des nettoie-projecteurs et des véhicules à moteur en ce qui concerne les nettoie-projecteurs</w:t>
      </w:r>
    </w:p>
    <w:p w:rsidR="00A31F65" w:rsidRPr="00A31F65" w:rsidRDefault="001D3393" w:rsidP="00A31F65">
      <w:pPr>
        <w:pStyle w:val="SingleTxtG"/>
        <w:rPr>
          <w:lang w:val="en-US" w:eastAsia="en-GB"/>
        </w:rPr>
      </w:pPr>
      <w:r w:rsidRPr="001D3393">
        <w:rPr>
          <w:lang w:val="en-GB" w:eastAsia="en-GB"/>
        </w:rPr>
        <w:t>Ce document constitue un outil de documentation. Le texte authentique et contraignant juridique est</w:t>
      </w:r>
      <w:r w:rsidR="009D0A3B">
        <w:rPr>
          <w:lang w:val="en-GB" w:eastAsia="en-GB"/>
        </w:rPr>
        <w:t>:</w:t>
      </w:r>
      <w:r w:rsidRPr="001D3393">
        <w:rPr>
          <w:lang w:val="en-GB" w:eastAsia="en-GB"/>
        </w:rPr>
        <w:t xml:space="preserve"> </w:t>
      </w:r>
      <w:r w:rsidR="00A31F65" w:rsidRPr="00A31F65">
        <w:rPr>
          <w:lang w:val="en-US" w:eastAsia="en-GB"/>
        </w:rPr>
        <w:t>ECE/TRANS/WP.29/2015/20.</w:t>
      </w:r>
    </w:p>
    <w:p w:rsidR="00A324F6" w:rsidRDefault="00DD1ED8" w:rsidP="00A31F65">
      <w:pPr>
        <w:pStyle w:val="SingleTxtG"/>
        <w:rPr>
          <w:i/>
          <w:lang w:eastAsia="it-IT"/>
        </w:rPr>
      </w:pPr>
      <w:r>
        <w:br w:type="page"/>
      </w:r>
      <w:r w:rsidR="00A31F65" w:rsidRPr="00A31F65">
        <w:rPr>
          <w:i/>
          <w:lang w:eastAsia="it-IT"/>
        </w:rPr>
        <w:lastRenderedPageBreak/>
        <w:t xml:space="preserve">Annexe 4, </w:t>
      </w:r>
    </w:p>
    <w:p w:rsidR="00A31F65" w:rsidRPr="00A31F65" w:rsidRDefault="00A324F6" w:rsidP="00A31F65">
      <w:pPr>
        <w:pStyle w:val="SingleTxtG"/>
        <w:rPr>
          <w:i/>
          <w:lang w:eastAsia="it-IT"/>
        </w:rPr>
      </w:pPr>
      <w:r>
        <w:rPr>
          <w:i/>
          <w:lang w:eastAsia="it-IT"/>
        </w:rPr>
        <w:t>P</w:t>
      </w:r>
      <w:r w:rsidR="00A31F65" w:rsidRPr="00A31F65">
        <w:rPr>
          <w:i/>
          <w:lang w:eastAsia="it-IT"/>
        </w:rPr>
        <w:t>aragraphe 2.1</w:t>
      </w:r>
      <w:r w:rsidR="00A31F65" w:rsidRPr="00A31F65">
        <w:rPr>
          <w:lang w:eastAsia="it-IT"/>
        </w:rPr>
        <w:t>,</w:t>
      </w:r>
      <w:r w:rsidR="00A31F65" w:rsidRPr="00A31F65">
        <w:rPr>
          <w:i/>
          <w:lang w:eastAsia="it-IT"/>
        </w:rPr>
        <w:t xml:space="preserve"> </w:t>
      </w:r>
      <w:r w:rsidR="00A31F65" w:rsidRPr="00A31F65">
        <w:rPr>
          <w:lang w:eastAsia="it-IT"/>
        </w:rPr>
        <w:t>modifier comme suit (y compris une nouvelle note de bas de page 2):</w:t>
      </w:r>
    </w:p>
    <w:p w:rsidR="00A31F65" w:rsidRPr="00A31F65" w:rsidRDefault="00A31F65" w:rsidP="00A31F65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</w:pPr>
      <w:r w:rsidRPr="00A31F65">
        <w:t>«2.1</w:t>
      </w:r>
      <w:r w:rsidRPr="00A31F65">
        <w:tab/>
        <w:t>Mélange d’essai</w:t>
      </w:r>
    </w:p>
    <w:p w:rsidR="00A31F65" w:rsidRPr="00A31F65" w:rsidRDefault="00A31F65" w:rsidP="00A31F65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 w:rsidRPr="00A31F65">
        <w:t>2.1.1</w:t>
      </w:r>
      <w:r w:rsidRPr="00A31F65">
        <w:tab/>
        <w:t>Pour projecteur avec glace extérieure en verre:</w:t>
      </w:r>
    </w:p>
    <w:p w:rsidR="00A31F65" w:rsidRPr="00A31F65" w:rsidRDefault="00A31F65" w:rsidP="00A31F65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</w:pPr>
      <w:r w:rsidRPr="00A31F65">
        <w:tab/>
        <w:t xml:space="preserve">Le mélange d’eau et de polluant à appliquer sur le projecteur doit être constitué de: </w:t>
      </w:r>
    </w:p>
    <w:p w:rsidR="00A31F65" w:rsidRPr="00A31F65" w:rsidRDefault="00A31F65" w:rsidP="00A31F6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</w:pPr>
      <w:r w:rsidRPr="00A31F65">
        <w:t>a)</w:t>
      </w:r>
      <w:r w:rsidRPr="00A31F65">
        <w:tab/>
        <w:t xml:space="preserve">9 parties (en poids) de sable de silice dont la granulométrie est comprise entre 0 et 100 </w:t>
      </w:r>
      <w:r w:rsidRPr="00A31F65">
        <w:rPr>
          <w:lang w:val="en-GB"/>
        </w:rPr>
        <w:t>μ</w:t>
      </w:r>
      <w:r w:rsidRPr="00A31F65">
        <w:t>m;</w:t>
      </w:r>
    </w:p>
    <w:p w:rsidR="00A31F65" w:rsidRPr="00A31F65" w:rsidRDefault="00A31F65" w:rsidP="00A31F6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</w:pPr>
      <w:r w:rsidRPr="00A31F65">
        <w:t>b)</w:t>
      </w:r>
      <w:r w:rsidRPr="00A31F65">
        <w:tab/>
        <w:t xml:space="preserve">1 partie (en poids) de poussière de charbon végétal produit à partir de bois de hêtre, de granulométrie comprise entre 0 et 100 </w:t>
      </w:r>
      <w:r w:rsidRPr="00A31F65">
        <w:rPr>
          <w:lang w:val="en-GB"/>
        </w:rPr>
        <w:t>μ</w:t>
      </w:r>
      <w:r w:rsidRPr="00A31F65">
        <w:t>m;</w:t>
      </w:r>
    </w:p>
    <w:p w:rsidR="00A31F65" w:rsidRPr="00A31F65" w:rsidRDefault="00A31F65" w:rsidP="00A31F6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</w:pPr>
      <w:r w:rsidRPr="00A31F65">
        <w:t>c)</w:t>
      </w:r>
      <w:r w:rsidRPr="00A31F65">
        <w:tab/>
        <w:t>0,2 partie (en poids) de NaCMC</w:t>
      </w:r>
      <w:r w:rsidRPr="00A31F65">
        <w:rPr>
          <w:sz w:val="18"/>
          <w:szCs w:val="18"/>
          <w:vertAlign w:val="superscript"/>
        </w:rPr>
        <w:t>1</w:t>
      </w:r>
      <w:r w:rsidRPr="00A31F65">
        <w:t>;</w:t>
      </w:r>
    </w:p>
    <w:p w:rsidR="00A31F65" w:rsidRPr="00A31F65" w:rsidRDefault="00A31F65" w:rsidP="00A31F6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</w:pPr>
      <w:r w:rsidRPr="00A31F65">
        <w:t>d)</w:t>
      </w:r>
      <w:r w:rsidRPr="00A31F65">
        <w:tab/>
        <w:t>5 parties (en poids) de chlorure de sodium (pur à 99 %); et</w:t>
      </w:r>
    </w:p>
    <w:p w:rsidR="00A31F65" w:rsidRPr="00A31F65" w:rsidRDefault="00A31F65" w:rsidP="00A31F6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</w:pPr>
      <w:r w:rsidRPr="00A31F65">
        <w:t xml:space="preserve">une quantité appropriée d’eau distillée de </w:t>
      </w:r>
      <w:r w:rsidRPr="00A31F65">
        <w:rPr>
          <w:u w:val="single"/>
        </w:rPr>
        <w:t>conductivité</w:t>
      </w:r>
      <w:r w:rsidRPr="00A31F65">
        <w:t xml:space="preserve"> ≤1 µS/m.</w:t>
      </w:r>
    </w:p>
    <w:p w:rsidR="00A31F65" w:rsidRPr="00A31F65" w:rsidRDefault="00A31F65" w:rsidP="00A31F65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</w:pPr>
      <w:r w:rsidRPr="00A31F65">
        <w:t>2.1.2</w:t>
      </w:r>
      <w:r w:rsidRPr="00A31F65">
        <w:tab/>
        <w:t>Pour projeteur avec glace extérieure en plastique:</w:t>
      </w:r>
    </w:p>
    <w:p w:rsidR="00A31F65" w:rsidRPr="00A31F65" w:rsidRDefault="00A31F65" w:rsidP="00A31F6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</w:pPr>
      <w:r w:rsidRPr="00A31F65">
        <w:t xml:space="preserve">Le mélange d’eau et de polluant à appliquer sur le projecteur doit être constitué de: </w:t>
      </w:r>
    </w:p>
    <w:p w:rsidR="00A31F65" w:rsidRPr="00A31F65" w:rsidRDefault="00A31F65" w:rsidP="00A31F6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</w:pPr>
      <w:r w:rsidRPr="00A31F65">
        <w:t>a)</w:t>
      </w:r>
      <w:r w:rsidRPr="00A31F65">
        <w:tab/>
        <w:t xml:space="preserve">9 parties (en poids) de sable de silice dont la granulométrie est comprise entre 0 et 100 </w:t>
      </w:r>
      <w:r w:rsidRPr="00A31F65">
        <w:rPr>
          <w:lang w:val="en-GB"/>
        </w:rPr>
        <w:t>μ</w:t>
      </w:r>
      <w:r w:rsidRPr="00A31F65">
        <w:t>m;</w:t>
      </w:r>
    </w:p>
    <w:p w:rsidR="00A31F65" w:rsidRPr="00A31F65" w:rsidRDefault="00A31F65" w:rsidP="00A31F6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</w:pPr>
      <w:r w:rsidRPr="00A31F65">
        <w:t>b)</w:t>
      </w:r>
      <w:r w:rsidRPr="00A31F65">
        <w:tab/>
        <w:t xml:space="preserve">1 partie (en poids) de poussière de charbon végétal produit à partir de bois de hêtre, de granulométrie comprise entre 0 et 100 </w:t>
      </w:r>
      <w:r w:rsidRPr="00A31F65">
        <w:rPr>
          <w:lang w:val="en-GB"/>
        </w:rPr>
        <w:t>μ</w:t>
      </w:r>
      <w:r w:rsidRPr="00A31F65">
        <w:t>m;</w:t>
      </w:r>
    </w:p>
    <w:p w:rsidR="00A31F65" w:rsidRPr="00A31F65" w:rsidRDefault="00A31F65" w:rsidP="00A31F6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</w:pPr>
      <w:r w:rsidRPr="00A31F65">
        <w:t>c)</w:t>
      </w:r>
      <w:r w:rsidRPr="00A31F65">
        <w:tab/>
        <w:t>0,2 partie (en poids) de NaCMC</w:t>
      </w:r>
      <w:r w:rsidRPr="00A31F65">
        <w:rPr>
          <w:sz w:val="18"/>
          <w:szCs w:val="18"/>
          <w:vertAlign w:val="superscript"/>
        </w:rPr>
        <w:t>1</w:t>
      </w:r>
      <w:r w:rsidRPr="00A31F65">
        <w:t>:</w:t>
      </w:r>
    </w:p>
    <w:p w:rsidR="00A31F65" w:rsidRPr="00A31F65" w:rsidRDefault="00A31F65" w:rsidP="00A31F6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</w:pPr>
      <w:r w:rsidRPr="00A31F65">
        <w:t>d)</w:t>
      </w:r>
      <w:r w:rsidRPr="00A31F65">
        <w:tab/>
        <w:t>5 parties (en poids) de chlorure de sodium (pur à 99 %); et</w:t>
      </w:r>
    </w:p>
    <w:p w:rsidR="00A31F65" w:rsidRPr="00A31F65" w:rsidRDefault="00A31F65" w:rsidP="00A31F6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</w:pPr>
      <w:r w:rsidRPr="00A31F65">
        <w:t>e)</w:t>
      </w:r>
      <w:r w:rsidRPr="00A31F65">
        <w:tab/>
        <w:t>13 parties (en poids) d’eau distillée ayant une conductivité ≤1 μS/m et 2 </w:t>
      </w:r>
      <w:r w:rsidRPr="00A31F65">
        <w:sym w:font="Symbol" w:char="F0B1"/>
      </w:r>
      <w:r w:rsidRPr="00A31F65">
        <w:t> 1 gouttes d’agent de surface</w:t>
      </w:r>
      <w:r w:rsidRPr="00A31F65">
        <w:rPr>
          <w:sz w:val="18"/>
          <w:szCs w:val="18"/>
          <w:vertAlign w:val="superscript"/>
        </w:rPr>
        <w:t>2</w:t>
      </w:r>
      <w:r w:rsidRPr="00A31F65">
        <w:t>.</w:t>
      </w:r>
    </w:p>
    <w:p w:rsidR="00A31F65" w:rsidRPr="00A31F65" w:rsidRDefault="00A31F65" w:rsidP="00A31F6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 w:rsidRPr="00A31F65">
        <w:t>2.1.3</w:t>
      </w:r>
      <w:r w:rsidRPr="00A31F65">
        <w:tab/>
        <w:t xml:space="preserve">Le mélange doit pouvoir être appliqué sur le projecteur au moyen du pistolet décrit au paragraphe 2.3 ci-dessous. Il ne doit pas être utilisé moins de 2 heures et plus de 24 heures après avoir été préparé. Il doit être introduit dans le pistolet juste avant d’être utilisé. </w:t>
      </w:r>
    </w:p>
    <w:p w:rsidR="00A31F65" w:rsidRPr="00A31F65" w:rsidRDefault="00A31F65" w:rsidP="00A31F65">
      <w:pPr>
        <w:spacing w:after="120"/>
        <w:ind w:right="1134" w:firstLine="1080"/>
        <w:jc w:val="both"/>
        <w:rPr>
          <w:i/>
          <w:szCs w:val="24"/>
        </w:rPr>
      </w:pPr>
      <w:r w:rsidRPr="00A31F65">
        <w:rPr>
          <w:i/>
          <w:szCs w:val="24"/>
        </w:rPr>
        <w:t>____________________</w:t>
      </w:r>
    </w:p>
    <w:p w:rsidR="00A31F65" w:rsidRPr="00A31F65" w:rsidRDefault="00A31F65" w:rsidP="00A31F65">
      <w:pPr>
        <w:tabs>
          <w:tab w:val="right" w:pos="1021"/>
        </w:tabs>
        <w:kinsoku w:val="0"/>
        <w:overflowPunct w:val="0"/>
        <w:autoSpaceDE w:val="0"/>
        <w:autoSpaceDN w:val="0"/>
        <w:adjustRightInd w:val="0"/>
        <w:snapToGrid w:val="0"/>
        <w:spacing w:line="220" w:lineRule="exact"/>
        <w:ind w:left="1134" w:right="1134" w:hanging="1134"/>
        <w:rPr>
          <w:sz w:val="18"/>
        </w:rPr>
      </w:pPr>
      <w:r w:rsidRPr="00A31F65">
        <w:rPr>
          <w:sz w:val="18"/>
          <w:vertAlign w:val="superscript"/>
        </w:rPr>
        <w:tab/>
        <w:t>2</w:t>
      </w:r>
      <w:r w:rsidRPr="00A31F65">
        <w:rPr>
          <w:sz w:val="18"/>
        </w:rPr>
        <w:tab/>
        <w:t>La tolérance est dictée par la nécessité d’obtenir un mélange salissant qui s’étale correctement sur tous les types de glaces en plastique.».</w:t>
      </w:r>
    </w:p>
    <w:p w:rsidR="00A31F65" w:rsidRPr="00A31F65" w:rsidRDefault="00A31F65" w:rsidP="00A31F65">
      <w:pPr>
        <w:kinsoku w:val="0"/>
        <w:overflowPunct w:val="0"/>
        <w:autoSpaceDE w:val="0"/>
        <w:autoSpaceDN w:val="0"/>
        <w:adjustRightInd w:val="0"/>
        <w:snapToGrid w:val="0"/>
        <w:spacing w:before="240"/>
        <w:ind w:left="1134" w:right="1134"/>
        <w:jc w:val="center"/>
        <w:rPr>
          <w:u w:val="single"/>
        </w:rPr>
      </w:pPr>
      <w:r w:rsidRPr="00A31F65">
        <w:rPr>
          <w:u w:val="single"/>
        </w:rPr>
        <w:tab/>
      </w:r>
      <w:r w:rsidRPr="00A31F65">
        <w:rPr>
          <w:u w:val="single"/>
        </w:rPr>
        <w:tab/>
      </w:r>
      <w:r w:rsidRPr="00A31F65">
        <w:rPr>
          <w:u w:val="single"/>
        </w:rPr>
        <w:tab/>
      </w:r>
    </w:p>
    <w:p w:rsidR="00FC2CA9" w:rsidRPr="00972C55" w:rsidRDefault="00FC2CA9" w:rsidP="00A31F65">
      <w:pPr>
        <w:pStyle w:val="SingleTxtG"/>
        <w:rPr>
          <w:u w:val="single"/>
        </w:rPr>
      </w:pPr>
    </w:p>
    <w:sectPr w:rsidR="00FC2CA9" w:rsidRPr="00972C55" w:rsidSect="00031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AD" w:rsidRDefault="007352AD"/>
  </w:endnote>
  <w:endnote w:type="continuationSeparator" w:id="0">
    <w:p w:rsidR="007352AD" w:rsidRDefault="007352AD">
      <w:pPr>
        <w:pStyle w:val="Footer"/>
      </w:pPr>
    </w:p>
  </w:endnote>
  <w:endnote w:type="continuationNotice" w:id="1">
    <w:p w:rsidR="007352AD" w:rsidRPr="00C451B9" w:rsidRDefault="007352AD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360C2D">
      <w:rPr>
        <w:b/>
        <w:noProof/>
        <w:sz w:val="18"/>
      </w:rPr>
      <w:t>2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  <w:rPr>
        <w:b/>
        <w:sz w:val="18"/>
      </w:rPr>
    </w:pPr>
    <w:r>
      <w:t>GE.13-24083</w:t>
    </w: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EF5EBC">
      <w:rPr>
        <w:b/>
        <w:noProof/>
        <w:sz w:val="18"/>
      </w:rPr>
      <w:t>3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29791D" w:rsidRDefault="00710974" w:rsidP="00E97E2C">
    <w:pPr>
      <w:ind w:left="1134" w:right="1134"/>
      <w:jc w:val="center"/>
    </w:pPr>
    <w:r>
      <w:t>_______________</w:t>
    </w:r>
  </w:p>
  <w:p w:rsidR="00710974" w:rsidRDefault="00360C2D" w:rsidP="00E97E2C">
    <w:pPr>
      <w:jc w:val="center"/>
      <w:rPr>
        <w:b/>
        <w:bCs/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60.6pt;mso-wrap-distance-bottom:10.8pt" o:allowoverlap="f" fillcolor="window">
          <v:imagedata r:id="rId1" o:title="" cropleft="-4986f" cropright="-4986f"/>
        </v:shape>
      </w:pict>
    </w:r>
  </w:p>
  <w:p w:rsidR="00710974" w:rsidRPr="0029791D" w:rsidRDefault="00710974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710974" w:rsidRPr="0029791D" w:rsidRDefault="00710974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710974" w:rsidRDefault="00710974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AD" w:rsidRPr="00D27D5E" w:rsidRDefault="007352A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352AD" w:rsidRPr="00D171D4" w:rsidRDefault="007352AD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7352AD" w:rsidRPr="00C451B9" w:rsidRDefault="007352AD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A31F65">
    <w:pPr>
      <w:pStyle w:val="Header"/>
    </w:pPr>
    <w:r w:rsidRPr="00D623A7">
      <w:t>E/ECE/324</w:t>
    </w:r>
    <w:r w:rsidRPr="00275736">
      <w:t>/Rev.1/Add.44/Rev.2/Amend.3</w:t>
    </w:r>
    <w:r>
      <w:br/>
    </w:r>
    <w:r w:rsidRPr="00D623A7">
      <w:t>E/ECE/TRANS/505</w:t>
    </w:r>
    <w:r w:rsidRPr="00275736">
      <w:t>/Rev.1/Add.44/Rev.2/Amend.3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FC2CA9" w:rsidP="000314C7">
    <w:pPr>
      <w:pStyle w:val="Header"/>
      <w:jc w:val="right"/>
    </w:pPr>
    <w:r>
      <w:t>E/ECE/324/Rev.2/Add.103/Rev.1/Amend.2</w:t>
    </w:r>
    <w:r>
      <w:br/>
      <w:t>E/ECE/TRANS/505/Rev.2/Add.103/Rev.1/Amend.2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86" w:rsidRPr="00237C59" w:rsidRDefault="00BA1E86" w:rsidP="00237C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2AD"/>
    <w:rsid w:val="0001470D"/>
    <w:rsid w:val="00015650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0B60"/>
    <w:rsid w:val="000A1501"/>
    <w:rsid w:val="000A2494"/>
    <w:rsid w:val="000A6B7E"/>
    <w:rsid w:val="000C6CDB"/>
    <w:rsid w:val="000D5C25"/>
    <w:rsid w:val="000E4F06"/>
    <w:rsid w:val="000E5601"/>
    <w:rsid w:val="000F17F6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376F"/>
    <w:rsid w:val="001B09BB"/>
    <w:rsid w:val="001C08ED"/>
    <w:rsid w:val="001C3D8D"/>
    <w:rsid w:val="001C6497"/>
    <w:rsid w:val="001D3393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37C59"/>
    <w:rsid w:val="00242268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C5B16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178D"/>
    <w:rsid w:val="00346E32"/>
    <w:rsid w:val="003515AA"/>
    <w:rsid w:val="00360C2D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A58D8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3FA6"/>
    <w:rsid w:val="004342E2"/>
    <w:rsid w:val="00434354"/>
    <w:rsid w:val="00440BC8"/>
    <w:rsid w:val="00454F8D"/>
    <w:rsid w:val="004567EB"/>
    <w:rsid w:val="00460E72"/>
    <w:rsid w:val="00464191"/>
    <w:rsid w:val="00467412"/>
    <w:rsid w:val="004726BE"/>
    <w:rsid w:val="004750C7"/>
    <w:rsid w:val="00476265"/>
    <w:rsid w:val="00490F56"/>
    <w:rsid w:val="00491496"/>
    <w:rsid w:val="00491F39"/>
    <w:rsid w:val="00495A7B"/>
    <w:rsid w:val="004A49A5"/>
    <w:rsid w:val="004A66A2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366"/>
    <w:rsid w:val="00552777"/>
    <w:rsid w:val="00555494"/>
    <w:rsid w:val="00555CBA"/>
    <w:rsid w:val="00556C1A"/>
    <w:rsid w:val="00563071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7719"/>
    <w:rsid w:val="005E1B9B"/>
    <w:rsid w:val="005E32D1"/>
    <w:rsid w:val="005E5D1F"/>
    <w:rsid w:val="005F0207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55F"/>
    <w:rsid w:val="0068562A"/>
    <w:rsid w:val="006A62F8"/>
    <w:rsid w:val="006A6B31"/>
    <w:rsid w:val="006A6C95"/>
    <w:rsid w:val="006A7B29"/>
    <w:rsid w:val="006B0EB2"/>
    <w:rsid w:val="006B0FF8"/>
    <w:rsid w:val="006B4590"/>
    <w:rsid w:val="006C27D3"/>
    <w:rsid w:val="006C340C"/>
    <w:rsid w:val="006F1D0B"/>
    <w:rsid w:val="006F27A8"/>
    <w:rsid w:val="006F3493"/>
    <w:rsid w:val="006F3544"/>
    <w:rsid w:val="0070347C"/>
    <w:rsid w:val="00707FE6"/>
    <w:rsid w:val="007102D2"/>
    <w:rsid w:val="00710974"/>
    <w:rsid w:val="00714A66"/>
    <w:rsid w:val="007176C1"/>
    <w:rsid w:val="00720BC0"/>
    <w:rsid w:val="0072116B"/>
    <w:rsid w:val="00725063"/>
    <w:rsid w:val="00732E72"/>
    <w:rsid w:val="007352AD"/>
    <w:rsid w:val="00741D90"/>
    <w:rsid w:val="007607B1"/>
    <w:rsid w:val="00765296"/>
    <w:rsid w:val="00765DCF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3CBD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5F4"/>
    <w:rsid w:val="00837345"/>
    <w:rsid w:val="00844750"/>
    <w:rsid w:val="00851A74"/>
    <w:rsid w:val="00853AB8"/>
    <w:rsid w:val="00854C34"/>
    <w:rsid w:val="0085586A"/>
    <w:rsid w:val="00856DB2"/>
    <w:rsid w:val="00894D0C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05B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0A3B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1F65"/>
    <w:rsid w:val="00A324F6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6263"/>
    <w:rsid w:val="00A81F93"/>
    <w:rsid w:val="00A92017"/>
    <w:rsid w:val="00A9247E"/>
    <w:rsid w:val="00A952AD"/>
    <w:rsid w:val="00AA0DCA"/>
    <w:rsid w:val="00AA7796"/>
    <w:rsid w:val="00AC67A1"/>
    <w:rsid w:val="00AC7977"/>
    <w:rsid w:val="00AC7E56"/>
    <w:rsid w:val="00AE2617"/>
    <w:rsid w:val="00AE352C"/>
    <w:rsid w:val="00AE79AC"/>
    <w:rsid w:val="00B01AAD"/>
    <w:rsid w:val="00B101DB"/>
    <w:rsid w:val="00B21751"/>
    <w:rsid w:val="00B256F0"/>
    <w:rsid w:val="00B31D7D"/>
    <w:rsid w:val="00B32E2D"/>
    <w:rsid w:val="00B416B8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804B7"/>
    <w:rsid w:val="00BA1E86"/>
    <w:rsid w:val="00BC3F20"/>
    <w:rsid w:val="00BD13E6"/>
    <w:rsid w:val="00BD28B2"/>
    <w:rsid w:val="00BD5A8D"/>
    <w:rsid w:val="00BD7343"/>
    <w:rsid w:val="00BF0556"/>
    <w:rsid w:val="00BF37EE"/>
    <w:rsid w:val="00BF41E8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47BDD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5218B"/>
    <w:rsid w:val="00D62AC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C5038"/>
    <w:rsid w:val="00DD0034"/>
    <w:rsid w:val="00DD1ED8"/>
    <w:rsid w:val="00DE6D90"/>
    <w:rsid w:val="00DF002F"/>
    <w:rsid w:val="00DF1D90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3CB0"/>
    <w:rsid w:val="00E510F3"/>
    <w:rsid w:val="00E51874"/>
    <w:rsid w:val="00E55223"/>
    <w:rsid w:val="00E60012"/>
    <w:rsid w:val="00E606BF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4E03"/>
    <w:rsid w:val="00E96710"/>
    <w:rsid w:val="00E97E2C"/>
    <w:rsid w:val="00EA3B1D"/>
    <w:rsid w:val="00EB407B"/>
    <w:rsid w:val="00EB77B9"/>
    <w:rsid w:val="00EB7D07"/>
    <w:rsid w:val="00ED3A26"/>
    <w:rsid w:val="00EF5EBC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6B14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2227"/>
    <w:rsid w:val="00FC2CA9"/>
    <w:rsid w:val="00FC58CD"/>
    <w:rsid w:val="00FD02A2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semiHidden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Heading1Char">
    <w:name w:val="Heading 1 Char"/>
    <w:aliases w:val="Table_G Char"/>
    <w:link w:val="Heading1"/>
    <w:rsid w:val="001C08ED"/>
    <w:rPr>
      <w:lang w:val="fr-CH" w:eastAsia="en-US"/>
    </w:rPr>
  </w:style>
  <w:style w:type="paragraph" w:styleId="BalloonText">
    <w:name w:val="Balloon Text"/>
    <w:basedOn w:val="Normal"/>
    <w:link w:val="BalloonTextChar"/>
    <w:rsid w:val="00FC2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CA9"/>
    <w:rPr>
      <w:rFonts w:ascii="Tahoma" w:hAnsi="Tahoma" w:cs="Tahoma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FRENC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FRENCH my AMEND template.dotx</Template>
  <TotalTime>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06</dc:creator>
  <cp:lastModifiedBy>09</cp:lastModifiedBy>
  <cp:revision>7</cp:revision>
  <cp:lastPrinted>2015-07-20T14:19:00Z</cp:lastPrinted>
  <dcterms:created xsi:type="dcterms:W3CDTF">2015-07-15T09:26:00Z</dcterms:created>
  <dcterms:modified xsi:type="dcterms:W3CDTF">2015-11-09T08:52:00Z</dcterms:modified>
</cp:coreProperties>
</file>