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6"/>
        <w:gridCol w:w="266"/>
        <w:gridCol w:w="5450"/>
        <w:gridCol w:w="2930"/>
      </w:tblGrid>
      <w:tr w:rsidR="00BA3D5F" w:rsidRPr="003F3885" w:rsidTr="003F3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3F3885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3F3885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3F3885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3F3885" w:rsidRPr="003F3885">
              <w:rPr>
                <w:sz w:val="40"/>
                <w:szCs w:val="40"/>
                <w:lang w:val="en-US"/>
              </w:rPr>
              <w:t>E</w:t>
            </w:r>
            <w:r w:rsidR="003F3885" w:rsidRPr="003F3885">
              <w:rPr>
                <w:sz w:val="20"/>
                <w:lang w:val="en-US"/>
              </w:rPr>
              <w:t>/ECE/324/Rev.1/Add.43/Rev.3/Amend.1−</w:t>
            </w:r>
            <w:r w:rsidR="003F3885" w:rsidRPr="003F3885">
              <w:rPr>
                <w:sz w:val="40"/>
                <w:szCs w:val="40"/>
                <w:lang w:val="en-US"/>
              </w:rPr>
              <w:t>E</w:t>
            </w:r>
            <w:r w:rsidR="003F3885" w:rsidRPr="003F3885">
              <w:rPr>
                <w:sz w:val="20"/>
                <w:lang w:val="en-US"/>
              </w:rPr>
              <w:t>/ECE/TRANS/505/Rev.1/Add.43/Rev.3/Amend.1</w:t>
            </w:r>
            <w:r>
              <w:fldChar w:fldCharType="end"/>
            </w:r>
          </w:p>
        </w:tc>
      </w:tr>
      <w:tr w:rsidR="00BA3D5F" w:rsidTr="003F3885">
        <w:trPr>
          <w:trHeight w:val="2835"/>
        </w:trPr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3F3885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3F3885" w:rsidRPr="003F3885" w:rsidRDefault="003F3885" w:rsidP="003F388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F3885">
        <w:t>Соглашение</w:t>
      </w:r>
    </w:p>
    <w:p w:rsidR="003F3885" w:rsidRPr="003F3885" w:rsidRDefault="003F3885" w:rsidP="003F3885">
      <w:pPr>
        <w:pStyle w:val="H1GR"/>
        <w:spacing w:before="240"/>
      </w:pPr>
      <w:r w:rsidRPr="003F3885">
        <w:tab/>
      </w:r>
      <w:r w:rsidRPr="003F3885">
        <w:tab/>
        <w:t>О принятии единообразных технических предписаний для колесных транспортных средств, предметов оборудования</w:t>
      </w:r>
      <w:r w:rsidRPr="003F3885">
        <w:br/>
        <w:t>и частей, которые могут быть установлены и/или использованы на колесных транспортных средствах,</w:t>
      </w:r>
      <w:r w:rsidRPr="003F3885">
        <w:br/>
        <w:t>и об условиях взаимного признания официальных утверждений, выдаваемых на основе этих предписаний</w:t>
      </w:r>
      <w:r w:rsidRPr="003F3885">
        <w:rPr>
          <w:b w:val="0"/>
          <w:bCs/>
          <w:sz w:val="20"/>
        </w:rPr>
        <w:footnoteReference w:customMarkFollows="1" w:id="1"/>
        <w:t>*</w:t>
      </w:r>
    </w:p>
    <w:p w:rsidR="003F3885" w:rsidRPr="003F3885" w:rsidRDefault="003F3885" w:rsidP="003F3885">
      <w:pPr>
        <w:pStyle w:val="SingleTxtGR"/>
      </w:pPr>
      <w:r w:rsidRPr="003F3885">
        <w:t>(Пересмотр 2, включающий поправки, вступившие в силу 16 октября 1995 года)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3F3885">
      <w:pPr>
        <w:pStyle w:val="HChGR"/>
        <w:spacing w:before="240"/>
      </w:pPr>
      <w:r w:rsidRPr="003F3885">
        <w:tab/>
      </w:r>
      <w:r w:rsidRPr="003F3885">
        <w:tab/>
        <w:t>Добавление 43: Правила № 44</w:t>
      </w:r>
    </w:p>
    <w:p w:rsidR="003F3885" w:rsidRPr="003F3885" w:rsidRDefault="003F3885" w:rsidP="003F3885">
      <w:pPr>
        <w:pStyle w:val="H1GR"/>
      </w:pPr>
      <w:r w:rsidRPr="003F3885">
        <w:tab/>
      </w:r>
      <w:r w:rsidRPr="003F3885">
        <w:tab/>
        <w:t xml:space="preserve">Пересмотр 3 </w:t>
      </w:r>
      <w:r>
        <w:rPr>
          <w:lang w:val="en-US"/>
        </w:rPr>
        <w:t>−</w:t>
      </w:r>
      <w:r w:rsidRPr="003F3885">
        <w:t xml:space="preserve"> Поправка 1</w:t>
      </w:r>
    </w:p>
    <w:p w:rsidR="003F3885" w:rsidRPr="003F3885" w:rsidRDefault="003F3885" w:rsidP="003F3885">
      <w:pPr>
        <w:pStyle w:val="SingleTxtGR"/>
        <w:rPr>
          <w:sz w:val="18"/>
          <w:szCs w:val="18"/>
        </w:rPr>
      </w:pPr>
      <w:r w:rsidRPr="003F3885">
        <w:rPr>
          <w:sz w:val="18"/>
          <w:szCs w:val="18"/>
        </w:rPr>
        <w:t>Дополнение 8 к поправкам серии 04 − Дата вступления в силу: 22 января 2015 года</w:t>
      </w:r>
    </w:p>
    <w:p w:rsidR="003F3885" w:rsidRPr="003F3885" w:rsidRDefault="003F3885" w:rsidP="003F3885">
      <w:pPr>
        <w:pStyle w:val="H1GR"/>
      </w:pPr>
      <w:r w:rsidRPr="003F3885">
        <w:tab/>
      </w:r>
      <w:r w:rsidRPr="003F3885">
        <w:tab/>
        <w:t xml:space="preserve">Единообразные предписания, касающиеся официального утверждения удерживающих устройств для детей, </w:t>
      </w:r>
      <w:r w:rsidRPr="003F3885">
        <w:br/>
        <w:t>находящихся в механических транспортных средствах ("детские удерживающие системы")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3F3885">
      <w:pPr>
        <w:pStyle w:val="SingleTxtGR"/>
        <w:spacing w:after="0"/>
        <w:jc w:val="center"/>
      </w:pPr>
      <w:r w:rsidRPr="003F3885">
        <w:rPr>
          <w:noProof/>
          <w:lang w:val="en-GB" w:eastAsia="en-GB"/>
        </w:rPr>
        <w:drawing>
          <wp:inline distT="0" distB="0" distL="0" distR="0" wp14:anchorId="03209DBA" wp14:editId="154F8BDD">
            <wp:extent cx="753110" cy="650240"/>
            <wp:effectExtent l="0" t="0" r="8890" b="0"/>
            <wp:docPr id="4" name="Рисунок 4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85" w:rsidRPr="003F3885" w:rsidRDefault="003F3885" w:rsidP="003F3885">
      <w:pPr>
        <w:pStyle w:val="SingleTxtGR"/>
        <w:jc w:val="center"/>
        <w:rPr>
          <w:lang w:val="en-US"/>
        </w:rPr>
      </w:pPr>
      <w:r w:rsidRPr="003F3885">
        <w:t>ОРГАНИЗАЦИЯ ОБЪЕДИНЕННЫХ НАЦИЙ</w:t>
      </w:r>
    </w:p>
    <w:p w:rsidR="003F3885" w:rsidRPr="003F3885" w:rsidRDefault="003F3885" w:rsidP="003F3885">
      <w:pPr>
        <w:pStyle w:val="SingleTxtGR"/>
        <w:pageBreakBefore/>
      </w:pPr>
      <w:r w:rsidRPr="003F3885">
        <w:rPr>
          <w:i/>
          <w:iCs/>
        </w:rPr>
        <w:lastRenderedPageBreak/>
        <w:t>Пункт 7.1.4.1.10.1</w:t>
      </w:r>
      <w:r w:rsidRPr="003F3885">
        <w:t xml:space="preserve"> изменить следующим образом:</w:t>
      </w:r>
    </w:p>
    <w:p w:rsidR="003F3885" w:rsidRPr="003F3885" w:rsidRDefault="003F3885" w:rsidP="003F3885">
      <w:pPr>
        <w:pStyle w:val="SingleTxtGR"/>
      </w:pPr>
      <w:r w:rsidRPr="003F3885">
        <w:t>"7.1.4.1.10.1</w:t>
      </w:r>
      <w:r w:rsidRPr="003F3885">
        <w:tab/>
      </w:r>
      <w:r w:rsidRPr="003F3885">
        <w:tab/>
        <w:t>Для ДУС ISOFIX классов размеров А, В и B1:".</w:t>
      </w:r>
    </w:p>
    <w:p w:rsidR="003F3885" w:rsidRPr="003F3885" w:rsidRDefault="003F3885" w:rsidP="003F3885">
      <w:pPr>
        <w:pStyle w:val="SingleTxtGR"/>
      </w:pPr>
      <w:r w:rsidRPr="003F3885">
        <w:rPr>
          <w:i/>
          <w:iCs/>
        </w:rPr>
        <w:t>Пункт 8.1.2.1</w:t>
      </w:r>
      <w:r w:rsidRPr="003F3885">
        <w:t xml:space="preserve"> изменить следующим образом:</w:t>
      </w:r>
    </w:p>
    <w:p w:rsidR="003F3885" w:rsidRPr="003F3885" w:rsidRDefault="003F3885" w:rsidP="003F3885">
      <w:pPr>
        <w:pStyle w:val="SingleTxtGR"/>
        <w:ind w:left="2268" w:hanging="1134"/>
      </w:pPr>
      <w:r w:rsidRPr="003F3885">
        <w:t>"8.1.2.1</w:t>
      </w:r>
      <w:r w:rsidRPr="003F3885">
        <w:tab/>
        <w:t>Манекен оснащают устройством приложения нагрузки согласно приложению 23. Манекен размещают в удерживающей системе, установленной в соответствии с настоящими Правилами, с учетом инструкций изготовителя со стандартным провесом, как это пре</w:t>
      </w:r>
      <w:r w:rsidRPr="003F3885">
        <w:t>д</w:t>
      </w:r>
      <w:r w:rsidRPr="003F3885">
        <w:t>писано в пункте 8.1.3.6 ниже, идентично для всех систем".</w:t>
      </w:r>
    </w:p>
    <w:p w:rsidR="003F3885" w:rsidRPr="003F3885" w:rsidRDefault="003F3885" w:rsidP="003F3885">
      <w:pPr>
        <w:pStyle w:val="SingleTxtGR"/>
      </w:pPr>
      <w:r w:rsidRPr="003F3885">
        <w:rPr>
          <w:i/>
          <w:iCs/>
        </w:rPr>
        <w:t>Приложение 23</w:t>
      </w:r>
      <w:r w:rsidRPr="003F3885">
        <w:t xml:space="preserve"> изменить следующим образом:</w:t>
      </w:r>
    </w:p>
    <w:p w:rsidR="003F3885" w:rsidRPr="003F3885" w:rsidRDefault="003F3885" w:rsidP="003F3885">
      <w:pPr>
        <w:pStyle w:val="HChGR"/>
      </w:pPr>
      <w:r w:rsidRPr="003F3885">
        <w:rPr>
          <w:b w:val="0"/>
          <w:bCs/>
          <w:sz w:val="20"/>
        </w:rPr>
        <w:t>"</w:t>
      </w:r>
      <w:r w:rsidRPr="003F3885">
        <w:t>Приложение 23</w:t>
      </w:r>
    </w:p>
    <w:p w:rsidR="003F3885" w:rsidRDefault="003F3885" w:rsidP="003F3885">
      <w:pPr>
        <w:pStyle w:val="HChGR"/>
        <w:rPr>
          <w:lang w:val="en-US"/>
        </w:rPr>
      </w:pPr>
      <w:r>
        <w:tab/>
      </w:r>
      <w:r>
        <w:tab/>
      </w:r>
      <w:r w:rsidRPr="003F3885">
        <w:t>Устройств</w:t>
      </w:r>
      <w:r>
        <w:t>а</w:t>
      </w:r>
      <w:r w:rsidRPr="003F3885">
        <w:t xml:space="preserve"> приложения нагрузки</w:t>
      </w:r>
    </w:p>
    <w:p w:rsidR="003F3885" w:rsidRPr="003F3885" w:rsidRDefault="003F3885" w:rsidP="003F3885">
      <w:pPr>
        <w:pStyle w:val="H1GR"/>
      </w:pPr>
      <w:r w:rsidRPr="003F3885">
        <w:tab/>
      </w:r>
      <w:r w:rsidRPr="003F3885">
        <w:tab/>
        <w:t>Устройство приложения нагрузки группы I</w:t>
      </w:r>
    </w:p>
    <w:p w:rsidR="003F3885" w:rsidRPr="003F3885" w:rsidRDefault="003F3885" w:rsidP="003F3885">
      <w:pPr>
        <w:pStyle w:val="SingleTxtGR"/>
      </w:pPr>
      <w:r w:rsidRPr="003F3885">
        <w:t>...</w:t>
      </w:r>
    </w:p>
    <w:p w:rsidR="003F3885" w:rsidRPr="003F3885" w:rsidRDefault="003F3885" w:rsidP="003F3885">
      <w:pPr>
        <w:pStyle w:val="H1GR"/>
      </w:pPr>
      <w:r w:rsidRPr="003F3885">
        <w:tab/>
      </w:r>
      <w:r w:rsidRPr="003F3885">
        <w:tab/>
        <w:t>Устройство приложения нагрузки группы II</w:t>
      </w:r>
    </w:p>
    <w:p w:rsidR="003F3885" w:rsidRPr="003F3885" w:rsidRDefault="003F3885" w:rsidP="003F3885">
      <w:pPr>
        <w:pStyle w:val="SingleTxtGR"/>
      </w:pPr>
      <w:r w:rsidRPr="003F3885">
        <w:t>…"</w:t>
      </w:r>
    </w:p>
    <w:p w:rsidR="00DB4DEC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DEC" w:rsidRPr="003F3885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85" w:rsidRDefault="003F3885">
      <w:r>
        <w:rPr>
          <w:lang w:val="en-US"/>
        </w:rPr>
        <w:tab/>
      </w:r>
      <w:r>
        <w:separator/>
      </w:r>
    </w:p>
  </w:endnote>
  <w:endnote w:type="continuationSeparator" w:id="0">
    <w:p w:rsidR="003F3885" w:rsidRDefault="003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8F" w:rsidRDefault="0001587B" w:rsidP="003F388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49A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3F3885">
      <w:rPr>
        <w:lang w:val="en-US"/>
      </w:rPr>
      <w:t>01664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DEC">
      <w:rPr>
        <w:rStyle w:val="PageNumber"/>
        <w:noProof/>
      </w:rPr>
      <w:t>3</w:t>
    </w:r>
    <w:r>
      <w:rPr>
        <w:rStyle w:val="PageNumber"/>
      </w:rPr>
      <w:fldChar w:fldCharType="end"/>
    </w:r>
  </w:p>
  <w:p w:rsidR="00E41E8F" w:rsidRDefault="00E41E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759"/>
      <w:gridCol w:w="4620"/>
      <w:gridCol w:w="147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DB4DEC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3F3885">
            <w:rPr>
              <w:sz w:val="20"/>
              <w:lang w:val="en-US"/>
            </w:rPr>
            <w:t>01664</w:t>
          </w:r>
          <w:r w:rsidR="0057343B" w:rsidRPr="0099046F">
            <w:rPr>
              <w:sz w:val="20"/>
              <w:lang w:val="en-US"/>
            </w:rPr>
            <w:t xml:space="preserve">   (R)</w:t>
          </w:r>
          <w:r w:rsidR="003F3885">
            <w:rPr>
              <w:sz w:val="20"/>
              <w:lang w:val="en-US"/>
            </w:rPr>
            <w:t xml:space="preserve">   150515   180515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7BEFC3E" wp14:editId="54DFB9BA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3F3885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92050" cy="792050"/>
                <wp:effectExtent l="0" t="0" r="8255" b="8255"/>
                <wp:docPr id="5" name="Рисунок 5" descr="http://undocs.org/m2/QRCode2.ashx?DS=E/ECE/324/Rev.1/Add.43/Rev.3/Amen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undocs.org/m2/QRCode2.ashx?DS=E/ECE/324/Rev.1/Add.43/Rev.3/Amen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42" cy="79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3F3885" w:rsidRDefault="003F3885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F388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A35EF" wp14:editId="4823D855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49A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49A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85" w:rsidRPr="00F71F63" w:rsidRDefault="003F38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F3885" w:rsidRPr="00F71F63" w:rsidRDefault="003F38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F3885" w:rsidRPr="00635E86" w:rsidRDefault="003F3885" w:rsidP="00635E86">
      <w:pPr>
        <w:pStyle w:val="Footer"/>
      </w:pPr>
    </w:p>
  </w:footnote>
  <w:footnote w:id="1">
    <w:p w:rsidR="003F3885" w:rsidRDefault="003F3885" w:rsidP="003F3885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3F3885">
        <w:rPr>
          <w:rStyle w:val="FootnoteReference"/>
          <w:szCs w:val="18"/>
          <w:vertAlign w:val="baseline"/>
          <w:lang w:val="ru-RU"/>
        </w:rPr>
        <w:t>*</w:t>
      </w:r>
      <w:r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85" w:rsidRDefault="003F3885">
    <w:pPr>
      <w:pStyle w:val="Header"/>
    </w:pPr>
    <w:r w:rsidRPr="003F3885">
      <w:t>E/ECE/324/Rev.1/Add.43/Rev.3/Amend.1</w:t>
    </w:r>
    <w:r>
      <w:br/>
      <w:t>E/ECE/TRANS/505/Rev.1/Add.43/Rev.3/Amend.1</w:t>
    </w:r>
  </w:p>
  <w:p w:rsidR="003F3885" w:rsidRPr="003F3885" w:rsidRDefault="003F3885" w:rsidP="003F388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  <w:p w:rsidR="00E41E8F" w:rsidRDefault="00E41E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5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C772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88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1E8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49A3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03</cp:lastModifiedBy>
  <cp:revision>2</cp:revision>
  <dcterms:created xsi:type="dcterms:W3CDTF">2015-05-18T14:55:00Z</dcterms:created>
  <dcterms:modified xsi:type="dcterms:W3CDTF">2015-05-18T14:55:00Z</dcterms:modified>
</cp:coreProperties>
</file>