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205327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/ECE/324/Rev.1/Add.40/Rev.2/Amend.2−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0361F3">
              <w:t>/Rev.1/Add.40/Rev.2/Amend.2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B0B85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B53969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205327">
        <w:t>40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05327">
        <w:t>41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205327">
        <w:t>2</w:t>
      </w:r>
      <w:r w:rsidR="000314C7">
        <w:t xml:space="preserve"> − Amendement </w:t>
      </w:r>
      <w:r w:rsidR="00205327">
        <w:t>2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205327">
        <w:rPr>
          <w:spacing w:val="-2"/>
        </w:rPr>
        <w:t>2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205327">
        <w:rPr>
          <w:spacing w:val="-2"/>
        </w:rPr>
        <w:t>04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205327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205327" w:rsidRPr="00205327">
        <w:rPr>
          <w:spacing w:val="-2"/>
        </w:rPr>
        <w:t>Prescriptions uniformes relatives à l'homologation des motocycles en ce qui concerne le bruit</w:t>
      </w:r>
    </w:p>
    <w:p w:rsidR="00D5218B" w:rsidRDefault="001D3393" w:rsidP="00205327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6D2081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r w:rsidR="00205327" w:rsidRPr="00205327">
        <w:rPr>
          <w:lang w:val="en-GB" w:eastAsia="en-GB"/>
        </w:rPr>
        <w:t>ECE/TRANS/WP.29/2015/2</w:t>
      </w:r>
      <w:r w:rsidR="00205327">
        <w:rPr>
          <w:lang w:val="en-GB" w:eastAsia="en-GB"/>
        </w:rPr>
        <w:t>.</w:t>
      </w:r>
    </w:p>
    <w:p w:rsidR="00205327" w:rsidRPr="00205327" w:rsidRDefault="00DD1ED8" w:rsidP="00205327">
      <w:pPr>
        <w:pStyle w:val="SingleTxtG"/>
        <w:keepNext/>
      </w:pPr>
      <w:r>
        <w:br w:type="page"/>
      </w:r>
      <w:r w:rsidR="00205327" w:rsidRPr="00205327">
        <w:rPr>
          <w:i/>
        </w:rPr>
        <w:lastRenderedPageBreak/>
        <w:t>Paragraphe 2.13, tableau</w:t>
      </w:r>
      <w:r w:rsidR="00205327" w:rsidRPr="00205327">
        <w:t>, lire: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134"/>
        <w:gridCol w:w="3686"/>
        <w:gridCol w:w="2552"/>
      </w:tblGrid>
      <w:tr w:rsidR="00205327" w:rsidRPr="00205327" w:rsidTr="002D2E23">
        <w:trPr>
          <w:cantSplit/>
          <w:tblHeader/>
        </w:trPr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05327">
              <w:rPr>
                <w:i/>
                <w:sz w:val="16"/>
                <w:szCs w:val="16"/>
              </w:rPr>
              <w:t>Symbole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05327">
              <w:rPr>
                <w:i/>
                <w:sz w:val="16"/>
                <w:szCs w:val="16"/>
              </w:rPr>
              <w:t>Unité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05327">
              <w:rPr>
                <w:i/>
                <w:sz w:val="16"/>
                <w:szCs w:val="16"/>
              </w:rPr>
              <w:t>Signification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205327">
              <w:rPr>
                <w:i/>
                <w:sz w:val="16"/>
                <w:szCs w:val="16"/>
              </w:rPr>
              <w:t>Référence</w:t>
            </w:r>
          </w:p>
        </w:tc>
      </w:tr>
      <w:tr w:rsidR="00205327" w:rsidRPr="00205327" w:rsidTr="002D2E23">
        <w:trPr>
          <w:cantSplit/>
          <w:trHeight w:hRule="exact" w:val="113"/>
          <w:tblHeader/>
        </w:trPr>
        <w:tc>
          <w:tcPr>
            <w:tcW w:w="11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AA’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–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ligne virtuelle sur la piste d’essai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4 − figure 1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</w:t>
            </w:r>
            <w:r w:rsidRPr="00205327">
              <w:rPr>
                <w:vertAlign w:val="subscript"/>
              </w:rPr>
              <w:t>wot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m/s</w:t>
            </w:r>
            <w:r w:rsidRPr="00205327">
              <w:rPr>
                <w:vertAlign w:val="superscript"/>
              </w:rP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accélération calculée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3 − 1.4.2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</w:t>
            </w:r>
            <w:r w:rsidRPr="00205327">
              <w:rPr>
                <w:vertAlign w:val="subscript"/>
              </w:rPr>
              <w:t>wot,ref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m/s</w:t>
            </w:r>
            <w:r w:rsidRPr="00205327">
              <w:rPr>
                <w:vertAlign w:val="superscript"/>
              </w:rP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accélération de référence prescrite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3 − 1.3.3.3.1.2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</w:t>
            </w:r>
            <w:r w:rsidRPr="00205327">
              <w:rPr>
                <w:vertAlign w:val="subscript"/>
              </w:rPr>
              <w:t>urban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m/s</w:t>
            </w:r>
            <w:r w:rsidRPr="00205327">
              <w:rPr>
                <w:vertAlign w:val="superscript"/>
              </w:rP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accélération recherchée prescrite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3 − 1.3.3.3.1.2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BB’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–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ligne virtuelle sur la piste d’essai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4 − figure 1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CC’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–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ligne virtuelle sur la piste d’essai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4 − figure 1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–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facteur de pondération des rapports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3 − 1.4.3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</w:t>
            </w:r>
            <w:r w:rsidRPr="00205327">
              <w:rPr>
                <w:vertAlign w:val="subscript"/>
              </w:rPr>
              <w:t>p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–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acteur de puissance partielle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3 − 1.4.4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dB(A)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niveau de pression acoustique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3 − 1.4.6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</w:t>
            </w:r>
            <w:r w:rsidRPr="00205327">
              <w:rPr>
                <w:vertAlign w:val="subscript"/>
              </w:rPr>
              <w:t>wot(i)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dB(A)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 à pleins gaz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</w:t>
            </w:r>
            <w:r w:rsidRPr="00205327">
              <w:rPr>
                <w:vertAlign w:val="subscript"/>
              </w:rPr>
              <w:t>PA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distance de préaccélération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3 − 1.3.3.1.1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</w:t>
            </w:r>
            <w:r w:rsidRPr="00205327">
              <w:rPr>
                <w:vertAlign w:val="subscript"/>
              </w:rPr>
              <w:t>kerb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kg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masse en ordre de marche du véhicule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2.6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</w:t>
            </w:r>
            <w:r w:rsidRPr="00205327">
              <w:rPr>
                <w:vertAlign w:val="subscript"/>
              </w:rPr>
              <w:t>t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kg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masse d’essai du véhicule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3 − 1.3.2.2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n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min</w:t>
            </w:r>
            <w:r w:rsidRPr="00205327">
              <w:rPr>
                <w:vertAlign w:val="superscript"/>
              </w:rPr>
              <w:t>-1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régime du moteur mesuré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-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n</w:t>
            </w:r>
            <w:r w:rsidRPr="00205327">
              <w:rPr>
                <w:vertAlign w:val="subscript"/>
              </w:rPr>
              <w:t>PP’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min</w:t>
            </w:r>
            <w:r w:rsidRPr="00205327">
              <w:rPr>
                <w:vertAlign w:val="superscript"/>
              </w:rPr>
              <w:t>-1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régime du moteur à PP’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 7 – 2.6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n</w:t>
            </w:r>
            <w:r w:rsidRPr="00205327">
              <w:rPr>
                <w:vertAlign w:val="subscript"/>
              </w:rPr>
              <w:t>idle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min</w:t>
            </w:r>
            <w:r w:rsidRPr="00205327">
              <w:rPr>
                <w:vertAlign w:val="superscript"/>
              </w:rPr>
              <w:t>-1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régime du moteur au ralenti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keepNext/>
              <w:keepLines/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-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n</w:t>
            </w:r>
            <w:r w:rsidRPr="00205327">
              <w:rPr>
                <w:vertAlign w:val="subscript"/>
              </w:rPr>
              <w:t>wot(i)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min</w:t>
            </w:r>
            <w:r w:rsidRPr="00205327">
              <w:rPr>
                <w:vertAlign w:val="superscript"/>
              </w:rPr>
              <w:t>-1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  <w:rPr>
                <w:vertAlign w:val="subscript"/>
              </w:rPr>
            </w:pPr>
            <w:r w:rsidRPr="00205327">
              <w:t>n</w:t>
            </w:r>
            <w:r w:rsidRPr="00205327">
              <w:rPr>
                <w:vertAlign w:val="subscript"/>
              </w:rPr>
              <w:t>PP’</w:t>
            </w:r>
            <w:r w:rsidRPr="00205327">
              <w:t xml:space="preserve"> correspondant à L</w:t>
            </w:r>
            <w:r w:rsidRPr="00205327">
              <w:rPr>
                <w:vertAlign w:val="subscript"/>
              </w:rPr>
              <w:t>wot(i)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7 − 2.6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PP’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–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ligne virtuelle sur la piste d’essai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4 − figure 1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PMR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–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indice puissance/masse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2.9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P</w:t>
            </w:r>
            <w:r w:rsidRPr="00205327">
              <w:rPr>
                <w:vertAlign w:val="subscript"/>
              </w:rPr>
              <w:t>n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kW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puissance nette maximum nominale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2.7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S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min</w:t>
            </w:r>
            <w:r w:rsidRPr="00205327">
              <w:rPr>
                <w:vertAlign w:val="superscript"/>
              </w:rPr>
              <w:t>-1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régime moteur nominal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2.8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v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km/h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vitesse mesurée du véhicule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-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v</w:t>
            </w:r>
            <w:r w:rsidRPr="00205327">
              <w:rPr>
                <w:vertAlign w:val="subscript"/>
              </w:rPr>
              <w:t>max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km/h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vitesse maximum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2.10</w:t>
            </w:r>
          </w:p>
        </w:tc>
      </w:tr>
      <w:tr w:rsidR="00205327" w:rsidRPr="00205327" w:rsidTr="002D2E23">
        <w:trPr>
          <w:cantSplit/>
        </w:trPr>
        <w:tc>
          <w:tcPr>
            <w:tcW w:w="1133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v</w:t>
            </w:r>
            <w:r w:rsidRPr="00205327">
              <w:rPr>
                <w:vertAlign w:val="subscript"/>
              </w:rPr>
              <w:t>test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km/h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vitesse d’essai prescrite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327" w:rsidRPr="00205327" w:rsidRDefault="00205327" w:rsidP="00205327">
            <w:pPr>
              <w:tabs>
                <w:tab w:val="left" w:pos="-144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120"/>
              <w:ind w:right="113"/>
            </w:pPr>
            <w:r w:rsidRPr="00205327">
              <w:t>annexe 3 − 1.3.3.1.1</w:t>
            </w:r>
          </w:p>
        </w:tc>
      </w:tr>
    </w:tbl>
    <w:p w:rsidR="00205327" w:rsidRPr="00205327" w:rsidRDefault="00205327" w:rsidP="00205327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205327">
        <w:rPr>
          <w:u w:val="single"/>
        </w:rPr>
        <w:tab/>
      </w:r>
      <w:r w:rsidRPr="00205327">
        <w:rPr>
          <w:u w:val="single"/>
        </w:rPr>
        <w:tab/>
      </w:r>
      <w:r w:rsidRPr="00205327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E0" w:rsidRDefault="007721E0"/>
  </w:endnote>
  <w:endnote w:type="continuationSeparator" w:id="0">
    <w:p w:rsidR="007721E0" w:rsidRDefault="007721E0">
      <w:pPr>
        <w:pStyle w:val="Footer"/>
      </w:pPr>
    </w:p>
  </w:endnote>
  <w:endnote w:type="continuationNotice" w:id="1">
    <w:p w:rsidR="007721E0" w:rsidRPr="00C451B9" w:rsidRDefault="007721E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DB0B85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DB0B85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E0" w:rsidRPr="00D27D5E" w:rsidRDefault="007721E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21E0" w:rsidRPr="00D171D4" w:rsidRDefault="007721E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721E0" w:rsidRPr="00C451B9" w:rsidRDefault="007721E0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05327" w:rsidRDefault="00205327" w:rsidP="00205327">
    <w:pPr>
      <w:pStyle w:val="Header"/>
    </w:pPr>
    <w:r w:rsidRPr="00D623A7">
      <w:t>E/ECE/324</w:t>
    </w:r>
    <w:r w:rsidRPr="000361F3">
      <w:t>/Rev.1/Add.40/Rev.2/Amend.2</w:t>
    </w:r>
    <w:r>
      <w:br/>
    </w:r>
    <w:r w:rsidRPr="00D623A7">
      <w:t>E/ECE/TRANS/505</w:t>
    </w:r>
    <w:r w:rsidRPr="000361F3">
      <w:t>/Rev.1/Add.40/Rev.2/Amend.2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78" w:rsidRPr="00A7107D" w:rsidRDefault="00F91278" w:rsidP="00A710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E0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327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80B65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D2081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1E0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107D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53969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B85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1278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06</dc:creator>
  <cp:lastModifiedBy>09</cp:lastModifiedBy>
  <cp:revision>8</cp:revision>
  <cp:lastPrinted>2015-05-06T08:07:00Z</cp:lastPrinted>
  <dcterms:created xsi:type="dcterms:W3CDTF">2015-07-15T05:53:00Z</dcterms:created>
  <dcterms:modified xsi:type="dcterms:W3CDTF">2015-11-09T08:52:00Z</dcterms:modified>
</cp:coreProperties>
</file>