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0F17F6">
            <w:pPr>
              <w:jc w:val="right"/>
            </w:pPr>
            <w:r w:rsidRPr="00495A7B">
              <w:rPr>
                <w:sz w:val="40"/>
              </w:rPr>
              <w:t>E</w:t>
            </w:r>
            <w:r>
              <w:t>/ECE/324/</w:t>
            </w:r>
            <w:r w:rsidR="000F17F6">
              <w:t>Rev.1/</w:t>
            </w:r>
            <w:r>
              <w:t>Add.</w:t>
            </w:r>
            <w:r w:rsidR="000F17F6">
              <w:t>33</w:t>
            </w:r>
            <w:r>
              <w:t>/Rev.</w:t>
            </w:r>
            <w:r w:rsidR="00A92017">
              <w:t>2</w:t>
            </w:r>
            <w:r>
              <w:t>/Amend.</w:t>
            </w:r>
            <w:r w:rsidR="000F17F6">
              <w:t>2</w:t>
            </w:r>
            <w:r>
              <w:t>−</w:t>
            </w:r>
            <w:r w:rsidRPr="00495A7B">
              <w:rPr>
                <w:sz w:val="40"/>
              </w:rPr>
              <w:t>E</w:t>
            </w:r>
            <w:r>
              <w:t>/ECE/TRANS/505</w:t>
            </w:r>
            <w:r w:rsidR="000F17F6">
              <w:t>/Rev.1/Add.33/Rev.2/Amend.2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6D5ED1" w:rsidRPr="00DB58B5" w:rsidRDefault="00EF263A" w:rsidP="00495A7B">
            <w:pPr>
              <w:spacing w:before="480" w:line="240" w:lineRule="exact"/>
            </w:pPr>
            <w:r>
              <w:t>22</w:t>
            </w:r>
            <w:bookmarkStart w:id="0" w:name="_GoBack"/>
            <w:bookmarkEnd w:id="0"/>
            <w:r w:rsidR="006D5ED1" w:rsidRPr="006D5ED1">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06776B">
        <w:t>33</w:t>
      </w:r>
      <w:r w:rsidR="00421A10" w:rsidRPr="006549FF">
        <w:t>: Règlement</w:t>
      </w:r>
      <w:r w:rsidR="00421A10">
        <w:t xml:space="preserve"> </w:t>
      </w:r>
      <w:r w:rsidR="00421A10" w:rsidRPr="00B371BF">
        <w:t>n</w:t>
      </w:r>
      <w:r w:rsidR="00421A10" w:rsidRPr="00B371BF">
        <w:rPr>
          <w:vertAlign w:val="superscript"/>
        </w:rPr>
        <w:t>o</w:t>
      </w:r>
      <w:r w:rsidR="00421A10">
        <w:t> </w:t>
      </w:r>
      <w:r w:rsidR="0006776B">
        <w:t>34</w:t>
      </w:r>
    </w:p>
    <w:p w:rsidR="00421A10" w:rsidRPr="006549FF" w:rsidRDefault="0029791D" w:rsidP="00242268">
      <w:pPr>
        <w:pStyle w:val="H1G"/>
        <w:spacing w:before="220" w:after="100" w:line="240" w:lineRule="exact"/>
      </w:pPr>
      <w:r>
        <w:tab/>
      </w:r>
      <w:r>
        <w:tab/>
      </w:r>
      <w:r w:rsidR="00421A10" w:rsidRPr="006549FF">
        <w:t xml:space="preserve">Révision </w:t>
      </w:r>
      <w:r w:rsidR="0006776B">
        <w:t>2</w:t>
      </w:r>
      <w:r w:rsidR="000314C7">
        <w:t xml:space="preserve"> − Amendement </w:t>
      </w:r>
      <w:r w:rsidR="0006776B">
        <w:t>2</w:t>
      </w:r>
    </w:p>
    <w:p w:rsidR="00015650" w:rsidRPr="00631BAB" w:rsidRDefault="0006776B" w:rsidP="00242268">
      <w:pPr>
        <w:pStyle w:val="SingleTxtG"/>
        <w:spacing w:after="100" w:line="200" w:lineRule="atLeast"/>
        <w:jc w:val="left"/>
      </w:pPr>
      <w:r>
        <w:t>S</w:t>
      </w:r>
      <w:r w:rsidR="00015650" w:rsidRPr="00631BAB">
        <w:t xml:space="preserve">érie </w:t>
      </w:r>
      <w:r w:rsidR="00A92017">
        <w:t>0</w:t>
      </w:r>
      <w:r>
        <w:t>3</w:t>
      </w:r>
      <w:r w:rsidR="00015650" w:rsidRPr="00631BAB">
        <w:t xml:space="preserve"> d</w:t>
      </w:r>
      <w:r w:rsidR="00015650">
        <w:t>’</w:t>
      </w:r>
      <w:r w:rsidR="00015650" w:rsidRPr="00631BAB">
        <w:t>amendements au Règlement − Date d</w:t>
      </w:r>
      <w:r w:rsidR="00015650">
        <w:t>’entrée en vigueur: 15 </w:t>
      </w:r>
      <w:r w:rsidR="00015650" w:rsidRPr="00631BAB">
        <w:t>jui</w:t>
      </w:r>
      <w:r w:rsidR="00A92017">
        <w:t>n 2015</w:t>
      </w:r>
      <w:r w:rsidR="00015650" w:rsidRPr="00631BAB">
        <w:t xml:space="preserve"> </w:t>
      </w:r>
    </w:p>
    <w:p w:rsidR="0006776B" w:rsidRPr="0006776B" w:rsidRDefault="00DD1ED8" w:rsidP="0006776B">
      <w:pPr>
        <w:pStyle w:val="H1G"/>
        <w:spacing w:before="340" w:after="220" w:line="260" w:lineRule="exact"/>
        <w:rPr>
          <w:spacing w:val="-2"/>
        </w:rPr>
      </w:pPr>
      <w:r>
        <w:tab/>
      </w:r>
      <w:r>
        <w:tab/>
      </w:r>
      <w:r w:rsidR="0006776B" w:rsidRPr="0006776B">
        <w:rPr>
          <w:spacing w:val="-2"/>
        </w:rPr>
        <w:t xml:space="preserve">Prescriptions uniformes </w:t>
      </w:r>
      <w:r w:rsidR="0006776B" w:rsidRPr="0006776B">
        <w:t>relatives</w:t>
      </w:r>
      <w:r w:rsidR="0006776B" w:rsidRPr="0006776B">
        <w:rPr>
          <w:spacing w:val="-2"/>
        </w:rPr>
        <w:t xml:space="preserve"> à l'homologation des véhicules en ce qui concerne la prévention des risques d'incendie</w:t>
      </w:r>
    </w:p>
    <w:p w:rsidR="000F17F6" w:rsidRPr="008D3D79" w:rsidRDefault="001D3393" w:rsidP="000F17F6">
      <w:pPr>
        <w:pStyle w:val="SingleTxtG"/>
        <w:rPr>
          <w:bCs/>
        </w:rPr>
      </w:pPr>
      <w:r w:rsidRPr="001D3393">
        <w:rPr>
          <w:lang w:val="en-GB" w:eastAsia="en-GB"/>
        </w:rPr>
        <w:t>Ce document constitue un outil de documentation. Le texte authentique et contraignant juridique est ECE/TRANS/WP.29/201</w:t>
      </w:r>
      <w:r w:rsidR="0006776B">
        <w:rPr>
          <w:lang w:val="en-GB" w:eastAsia="en-GB"/>
        </w:rPr>
        <w:t>4</w:t>
      </w:r>
      <w:r w:rsidRPr="001D3393">
        <w:rPr>
          <w:lang w:val="en-GB" w:eastAsia="en-GB"/>
        </w:rPr>
        <w:t>/</w:t>
      </w:r>
      <w:r w:rsidR="0006776B">
        <w:rPr>
          <w:lang w:val="en-GB" w:eastAsia="en-GB"/>
        </w:rPr>
        <w:t xml:space="preserve">65 </w:t>
      </w:r>
      <w:r w:rsidRPr="001D3393">
        <w:rPr>
          <w:lang w:val="en-GB" w:eastAsia="en-GB"/>
        </w:rPr>
        <w:t xml:space="preserve">(tel que modifié par le paragraphe </w:t>
      </w:r>
      <w:r w:rsidR="0006776B">
        <w:rPr>
          <w:lang w:val="en-GB" w:eastAsia="en-GB"/>
        </w:rPr>
        <w:t>61</w:t>
      </w:r>
      <w:r w:rsidRPr="001D3393">
        <w:rPr>
          <w:lang w:val="en-GB" w:eastAsia="en-GB"/>
        </w:rPr>
        <w:t xml:space="preserve"> du rapport ECE/TRANS/WP.29/</w:t>
      </w:r>
      <w:r w:rsidR="0006776B">
        <w:rPr>
          <w:lang w:val="en-GB" w:eastAsia="en-GB"/>
        </w:rPr>
        <w:t>1112)</w:t>
      </w:r>
      <w:r w:rsidR="007A768D">
        <w:rPr>
          <w:lang w:val="en-GB" w:eastAsia="en-GB"/>
        </w:rPr>
        <w:t>.</w:t>
      </w:r>
      <w:r w:rsidR="00DD1ED8">
        <w:br w:type="page"/>
      </w:r>
      <w:r w:rsidR="000F17F6" w:rsidRPr="008D3D79">
        <w:rPr>
          <w:bCs/>
          <w:i/>
        </w:rPr>
        <w:lastRenderedPageBreak/>
        <w:t>Paragraphe 1.2</w:t>
      </w:r>
      <w:r w:rsidR="000F17F6" w:rsidRPr="008D3D79">
        <w:rPr>
          <w:bCs/>
        </w:rPr>
        <w:t>, modifier comme suit:</w:t>
      </w:r>
    </w:p>
    <w:p w:rsidR="000F17F6" w:rsidRPr="008D3D79" w:rsidRDefault="000F17F6" w:rsidP="000F17F6">
      <w:pPr>
        <w:pStyle w:val="SingleTxtG"/>
        <w:ind w:left="2552" w:hanging="1418"/>
        <w:rPr>
          <w:bCs/>
        </w:rPr>
      </w:pPr>
      <w:r w:rsidRPr="008D3D79">
        <w:rPr>
          <w:bCs/>
        </w:rPr>
        <w:t>«1.2</w:t>
      </w:r>
      <w:r w:rsidRPr="008D3D79">
        <w:rPr>
          <w:bCs/>
        </w:rPr>
        <w:tab/>
        <w:t xml:space="preserve">Partie II-1: </w:t>
      </w:r>
      <w:r w:rsidRPr="008D3D79">
        <w:rPr>
          <w:bCs/>
          <w:lang w:val="fr-FR"/>
        </w:rPr>
        <w:t>À l’homologation, à la demande du constructeur, des véhicules de</w:t>
      </w:r>
      <w:r>
        <w:rPr>
          <w:bCs/>
          <w:lang w:val="fr-FR"/>
        </w:rPr>
        <w:t xml:space="preserve"> </w:t>
      </w:r>
      <w:r w:rsidRPr="008D3D79">
        <w:rPr>
          <w:bCs/>
          <w:lang w:val="fr-FR"/>
        </w:rPr>
        <w:t>catégories</w:t>
      </w:r>
      <w:r>
        <w:rPr>
          <w:bCs/>
          <w:lang w:val="fr-FR"/>
        </w:rPr>
        <w:t> </w:t>
      </w:r>
      <w:r w:rsidRPr="008D3D79">
        <w:rPr>
          <w:bCs/>
        </w:rPr>
        <w:t xml:space="preserve">M, N et O, équipés d’un ou de plusieurs réservoir(s) à carburant liquide, qui ont été homologués conformément à la partie I ou IV du présent Règlement en ce qui concerne la prévention des risques d’incendie en cas de choc frontal et/ou latéral ainsi que </w:t>
      </w:r>
      <w:r w:rsidRPr="008D3D79">
        <w:rPr>
          <w:bCs/>
          <w:lang w:val="fr-FR"/>
        </w:rPr>
        <w:t>des véhicules de</w:t>
      </w:r>
      <w:r>
        <w:rPr>
          <w:bCs/>
          <w:lang w:val="fr-FR"/>
        </w:rPr>
        <w:t xml:space="preserve"> </w:t>
      </w:r>
      <w:r w:rsidRPr="008D3D79">
        <w:rPr>
          <w:bCs/>
          <w:lang w:val="fr-FR"/>
        </w:rPr>
        <w:t>catégories</w:t>
      </w:r>
      <w:r>
        <w:rPr>
          <w:bCs/>
          <w:lang w:val="fr-FR"/>
        </w:rPr>
        <w:t> </w:t>
      </w:r>
      <w:r w:rsidRPr="008D3D79">
        <w:rPr>
          <w:bCs/>
          <w:lang w:val="fr-FR"/>
        </w:rPr>
        <w:t>M</w:t>
      </w:r>
      <w:r w:rsidRPr="008D3D79">
        <w:rPr>
          <w:bCs/>
          <w:vertAlign w:val="subscript"/>
          <w:lang w:val="fr-FR"/>
        </w:rPr>
        <w:t>1</w:t>
      </w:r>
      <w:r w:rsidRPr="008D3D79">
        <w:rPr>
          <w:bCs/>
          <w:lang w:val="fr-FR"/>
        </w:rPr>
        <w:t xml:space="preserve"> et</w:t>
      </w:r>
      <w:r>
        <w:rPr>
          <w:bCs/>
          <w:lang w:val="fr-FR"/>
        </w:rPr>
        <w:t xml:space="preserve"> </w:t>
      </w:r>
      <w:r w:rsidRPr="008D3D79">
        <w:rPr>
          <w:bCs/>
          <w:lang w:val="fr-FR"/>
        </w:rPr>
        <w:t>N</w:t>
      </w:r>
      <w:r w:rsidRPr="008D3D79">
        <w:rPr>
          <w:bCs/>
          <w:vertAlign w:val="subscript"/>
          <w:lang w:val="fr-FR"/>
        </w:rPr>
        <w:t>1</w:t>
      </w:r>
      <w:r w:rsidRPr="008D3D79">
        <w:rPr>
          <w:bCs/>
          <w:lang w:val="fr-FR"/>
        </w:rPr>
        <w:t>, qui ont une masse maximale autorisée supérieure à 2,8 tonnes, et de catégories M</w:t>
      </w:r>
      <w:r w:rsidRPr="008D3D79">
        <w:rPr>
          <w:bCs/>
          <w:vertAlign w:val="subscript"/>
          <w:lang w:val="fr-FR"/>
        </w:rPr>
        <w:t>2</w:t>
      </w:r>
      <w:r w:rsidRPr="008D3D79">
        <w:rPr>
          <w:bCs/>
          <w:lang w:val="fr-FR"/>
        </w:rPr>
        <w:t>, M</w:t>
      </w:r>
      <w:r w:rsidRPr="008D3D79">
        <w:rPr>
          <w:bCs/>
          <w:vertAlign w:val="subscript"/>
          <w:lang w:val="fr-FR"/>
        </w:rPr>
        <w:t>3</w:t>
      </w:r>
      <w:r w:rsidRPr="008D3D79">
        <w:rPr>
          <w:bCs/>
          <w:lang w:val="fr-FR"/>
        </w:rPr>
        <w:t>, N</w:t>
      </w:r>
      <w:r w:rsidRPr="008D3D79">
        <w:rPr>
          <w:bCs/>
          <w:vertAlign w:val="subscript"/>
          <w:lang w:val="fr-FR"/>
        </w:rPr>
        <w:t>2</w:t>
      </w:r>
      <w:r w:rsidRPr="008D3D79">
        <w:rPr>
          <w:bCs/>
          <w:lang w:val="fr-FR"/>
        </w:rPr>
        <w:t>, N</w:t>
      </w:r>
      <w:r w:rsidRPr="008D3D79">
        <w:rPr>
          <w:bCs/>
          <w:vertAlign w:val="subscript"/>
          <w:lang w:val="fr-FR"/>
        </w:rPr>
        <w:t>3</w:t>
      </w:r>
      <w:r w:rsidRPr="008D3D79">
        <w:rPr>
          <w:bCs/>
          <w:lang w:val="fr-FR"/>
        </w:rPr>
        <w:t xml:space="preserve"> et O, équipés d’un ou de plusieurs réservoir(s) à carburant liquide, qui ont été homologués conformément à la partie I ou IV du présent Règlement en ce qui concerne la prévention des risques d’incendie en cas de choc arrière</w:t>
      </w:r>
      <w:r w:rsidRPr="008D3D79">
        <w:rPr>
          <w:bCs/>
        </w:rPr>
        <w:t>.</w:t>
      </w:r>
    </w:p>
    <w:p w:rsidR="000F17F6" w:rsidRPr="008D3D79" w:rsidRDefault="000F17F6" w:rsidP="000F17F6">
      <w:pPr>
        <w:pStyle w:val="SingleTxtG"/>
        <w:ind w:left="2552"/>
        <w:rPr>
          <w:bCs/>
        </w:rPr>
      </w:pPr>
      <w:r w:rsidRPr="008D3D79">
        <w:rPr>
          <w:bCs/>
        </w:rPr>
        <w:t xml:space="preserve">Partie II-2: </w:t>
      </w:r>
      <w:r w:rsidRPr="008D3D79">
        <w:rPr>
          <w:bCs/>
          <w:lang w:val="fr-FR"/>
        </w:rPr>
        <w:t>À l’homologation des véhicules de catégories M</w:t>
      </w:r>
      <w:r w:rsidRPr="008D3D79">
        <w:rPr>
          <w:bCs/>
          <w:vertAlign w:val="subscript"/>
          <w:lang w:val="fr-FR"/>
        </w:rPr>
        <w:t>1</w:t>
      </w:r>
      <w:r w:rsidRPr="008D3D79">
        <w:rPr>
          <w:bCs/>
          <w:lang w:val="fr-FR"/>
        </w:rPr>
        <w:t xml:space="preserve"> et N</w:t>
      </w:r>
      <w:r w:rsidRPr="008D3D79">
        <w:rPr>
          <w:bCs/>
          <w:vertAlign w:val="subscript"/>
          <w:lang w:val="fr-FR"/>
        </w:rPr>
        <w:t>1</w:t>
      </w:r>
      <w:r w:rsidRPr="008D3D79">
        <w:rPr>
          <w:bCs/>
          <w:lang w:val="fr-FR"/>
        </w:rPr>
        <w:t>, qui ont une masse maximale autorisée ne dépassant pas 2,8 tonnes et qui sont équipés d’un ou de plusieurs réservoir(s) à carburant liquide et homologués conformément à la partie I ou IV du présent Règlement en ce qui concerne la prévention des risques d’incendie en cas de choc arrière</w:t>
      </w:r>
      <w:r w:rsidRPr="008D3D79">
        <w:rPr>
          <w:bCs/>
        </w:rPr>
        <w:t>.».</w:t>
      </w:r>
    </w:p>
    <w:p w:rsidR="000F17F6" w:rsidRPr="008D3D79" w:rsidRDefault="000F17F6" w:rsidP="000F17F6">
      <w:pPr>
        <w:pStyle w:val="SingleTxtG"/>
        <w:rPr>
          <w:bCs/>
          <w:i/>
        </w:rPr>
      </w:pPr>
      <w:r w:rsidRPr="008D3D79">
        <w:rPr>
          <w:bCs/>
          <w:i/>
        </w:rPr>
        <w:t>Paragraphe 3.1.4.2</w:t>
      </w:r>
      <w:r w:rsidRPr="008D3D79">
        <w:rPr>
          <w:bCs/>
        </w:rPr>
        <w:t>, modifier comme suit:</w:t>
      </w:r>
    </w:p>
    <w:p w:rsidR="000F17F6" w:rsidRPr="008D3D79" w:rsidRDefault="000F17F6" w:rsidP="000F17F6">
      <w:pPr>
        <w:pStyle w:val="SingleTxtG"/>
        <w:ind w:left="2552" w:hanging="1418"/>
        <w:rPr>
          <w:bCs/>
        </w:rPr>
      </w:pPr>
      <w:r w:rsidRPr="008D3D79">
        <w:rPr>
          <w:bCs/>
        </w:rPr>
        <w:t>«3.1.4.2</w:t>
      </w:r>
      <w:r w:rsidRPr="008D3D79">
        <w:rPr>
          <w:bCs/>
        </w:rPr>
        <w:tab/>
      </w:r>
      <w:r>
        <w:rPr>
          <w:bCs/>
          <w:lang w:val="fr-FR"/>
        </w:rPr>
        <w:t>D</w:t>
      </w:r>
      <w:r w:rsidRPr="008D3D79">
        <w:rPr>
          <w:bCs/>
          <w:lang w:val="fr-FR"/>
        </w:rPr>
        <w:t>u numéro du présent Règlement, suivi de “RI” si le véhicule est homologué en application de la partie I du Règlement ou de “RII</w:t>
      </w:r>
      <w:r w:rsidRPr="008D3D79">
        <w:rPr>
          <w:bCs/>
          <w:lang w:val="fr-FR"/>
        </w:rPr>
        <w:noBreakHyphen/>
        <w:t>1” si le véhicule est homologué en application des parties I ou IV et de la partie II</w:t>
      </w:r>
      <w:r w:rsidRPr="008D3D79">
        <w:rPr>
          <w:bCs/>
          <w:lang w:val="fr-FR"/>
        </w:rPr>
        <w:noBreakHyphen/>
        <w:t>1 du Règlement, ou de “RII-2” si le véhicule est homologué en application des parties I ou IV et de la partie II-2 du Règlement, d’un tiret et du numéro d’homologation placés à la droite du cercle prévu au paragraphe 3.1.4.1</w:t>
      </w:r>
      <w:r w:rsidRPr="008D3D79">
        <w:rPr>
          <w:bCs/>
        </w:rPr>
        <w:t xml:space="preserve">.». </w:t>
      </w:r>
    </w:p>
    <w:p w:rsidR="000F17F6" w:rsidRPr="008D3D79" w:rsidRDefault="000F17F6" w:rsidP="000F17F6">
      <w:pPr>
        <w:pStyle w:val="SingleTxtG"/>
        <w:rPr>
          <w:bCs/>
          <w:i/>
        </w:rPr>
      </w:pPr>
      <w:r w:rsidRPr="008D3D79">
        <w:rPr>
          <w:bCs/>
          <w:i/>
          <w:lang w:val="fr-FR"/>
        </w:rPr>
        <w:t>Ajouter une nouvelle partie</w:t>
      </w:r>
      <w:r w:rsidRPr="008D3D79">
        <w:rPr>
          <w:bCs/>
          <w:lang w:val="fr-FR"/>
        </w:rPr>
        <w:t>, libellée comme suit</w:t>
      </w:r>
      <w:r w:rsidRPr="008D3D79">
        <w:rPr>
          <w:bCs/>
        </w:rPr>
        <w:t>:</w:t>
      </w:r>
    </w:p>
    <w:p w:rsidR="000F17F6" w:rsidRPr="008D3D79" w:rsidRDefault="000F17F6" w:rsidP="000F17F6">
      <w:pPr>
        <w:pStyle w:val="HChG"/>
        <w:ind w:left="2562" w:hanging="1414"/>
      </w:pPr>
      <w:r w:rsidRPr="008D3D79">
        <w:rPr>
          <w:b w:val="0"/>
          <w:sz w:val="20"/>
        </w:rPr>
        <w:t>«</w:t>
      </w:r>
      <w:r w:rsidRPr="008D3D79">
        <w:t xml:space="preserve">Partie II-2 </w:t>
      </w:r>
      <w:r>
        <w:t>−</w:t>
      </w:r>
      <w:r w:rsidRPr="008D3D79">
        <w:t xml:space="preserve"> </w:t>
      </w:r>
      <w:r w:rsidRPr="008D3D79">
        <w:rPr>
          <w:lang w:val="fr-FR"/>
        </w:rPr>
        <w:t>Homologation d’un véhicule en ce qui concerne la prévention des risques d’incendie en cas de</w:t>
      </w:r>
      <w:r>
        <w:rPr>
          <w:lang w:val="fr-FR"/>
        </w:rPr>
        <w:t> </w:t>
      </w:r>
      <w:r w:rsidRPr="008D3D79">
        <w:rPr>
          <w:lang w:val="fr-FR"/>
        </w:rPr>
        <w:t>choc arrière</w:t>
      </w:r>
    </w:p>
    <w:p w:rsidR="000F17F6" w:rsidRDefault="000F17F6" w:rsidP="000F17F6">
      <w:pPr>
        <w:pStyle w:val="SingleTxtG"/>
        <w:ind w:left="2552" w:hanging="1418"/>
        <w:rPr>
          <w:bCs/>
        </w:rPr>
      </w:pPr>
      <w:r w:rsidRPr="008D3D79">
        <w:rPr>
          <w:bCs/>
        </w:rPr>
        <w:t>9.6</w:t>
      </w:r>
      <w:r w:rsidRPr="008D3D79">
        <w:rPr>
          <w:bCs/>
        </w:rPr>
        <w:tab/>
        <w:t>Définitions et prescriptions relatives aux essais</w:t>
      </w:r>
    </w:p>
    <w:p w:rsidR="000F17F6" w:rsidRDefault="000F17F6" w:rsidP="000F17F6">
      <w:pPr>
        <w:pStyle w:val="SingleTxtG"/>
        <w:ind w:left="2552" w:hanging="1418"/>
        <w:rPr>
          <w:bCs/>
        </w:rPr>
      </w:pPr>
      <w:r w:rsidRPr="008D3D79">
        <w:rPr>
          <w:bCs/>
        </w:rPr>
        <w:t>9.6.1</w:t>
      </w:r>
      <w:r w:rsidRPr="008D3D79">
        <w:rPr>
          <w:bCs/>
        </w:rPr>
        <w:tab/>
        <w:t>Les paragraphes 7 à 8.2.2 de la partie II-1 s’appliquent.</w:t>
      </w:r>
    </w:p>
    <w:p w:rsidR="000F17F6" w:rsidRDefault="000F17F6" w:rsidP="000F17F6">
      <w:pPr>
        <w:pStyle w:val="SingleTxtG"/>
        <w:ind w:left="2552" w:hanging="1418"/>
        <w:rPr>
          <w:bCs/>
        </w:rPr>
      </w:pPr>
      <w:r w:rsidRPr="008D3D79">
        <w:rPr>
          <w:bCs/>
        </w:rPr>
        <w:t>9.6.2</w:t>
      </w:r>
      <w:r w:rsidRPr="008D3D79">
        <w:rPr>
          <w:bCs/>
        </w:rPr>
        <w:tab/>
      </w:r>
      <w:r w:rsidRPr="008D3D79">
        <w:rPr>
          <w:bCs/>
          <w:lang w:val="fr-FR"/>
        </w:rPr>
        <w:t>Les essais doivent être effectués sur le véhicule conformément aux procédures décrites à l’annexe 4 du présent Règlement</w:t>
      </w:r>
      <w:r w:rsidRPr="008D3D79">
        <w:rPr>
          <w:bCs/>
        </w:rPr>
        <w:t>.</w:t>
      </w:r>
    </w:p>
    <w:p w:rsidR="000F17F6" w:rsidRPr="008D3D79" w:rsidRDefault="000F17F6" w:rsidP="000F17F6">
      <w:pPr>
        <w:pStyle w:val="SingleTxtG"/>
        <w:ind w:left="2552" w:hanging="1418"/>
        <w:rPr>
          <w:bCs/>
        </w:rPr>
      </w:pPr>
      <w:r w:rsidRPr="008D3D79">
        <w:rPr>
          <w:bCs/>
        </w:rPr>
        <w:t>9.6.3</w:t>
      </w:r>
      <w:r w:rsidRPr="008D3D79">
        <w:rPr>
          <w:bCs/>
        </w:rPr>
        <w:tab/>
      </w:r>
      <w:r w:rsidRPr="008D3D79">
        <w:rPr>
          <w:bCs/>
          <w:lang w:val="fr-FR"/>
        </w:rPr>
        <w:t>Après l’essai de choc, les prescriptions d’efficacité visées aux paragraphes 9.1 à 9.4 de la partie II</w:t>
      </w:r>
      <w:r w:rsidRPr="008D3D79">
        <w:rPr>
          <w:bCs/>
          <w:lang w:val="fr-FR"/>
        </w:rPr>
        <w:noBreakHyphen/>
        <w:t>1 doivent être satisfaites</w:t>
      </w:r>
      <w:r w:rsidRPr="008D3D79">
        <w:rPr>
          <w:bCs/>
        </w:rPr>
        <w:t>.».</w:t>
      </w:r>
    </w:p>
    <w:p w:rsidR="000F17F6" w:rsidRPr="008D3D79" w:rsidRDefault="000F17F6" w:rsidP="000F17F6">
      <w:pPr>
        <w:pStyle w:val="SingleTxtG"/>
        <w:rPr>
          <w:bCs/>
        </w:rPr>
      </w:pPr>
      <w:r w:rsidRPr="008D3D79">
        <w:rPr>
          <w:bCs/>
          <w:i/>
          <w:lang w:val="fr-FR"/>
        </w:rPr>
        <w:t>Ajouter de nouveaux paragraphes</w:t>
      </w:r>
      <w:r w:rsidR="007A768D">
        <w:rPr>
          <w:bCs/>
          <w:i/>
          <w:lang w:val="fr-FR"/>
        </w:rPr>
        <w:t xml:space="preserve"> 17.7 à 17.11</w:t>
      </w:r>
      <w:r w:rsidRPr="008D3D79">
        <w:rPr>
          <w:bCs/>
          <w:lang w:val="fr-FR"/>
        </w:rPr>
        <w:t>, libellés comme suit</w:t>
      </w:r>
      <w:r w:rsidRPr="008D3D79">
        <w:rPr>
          <w:bCs/>
        </w:rPr>
        <w:t>:</w:t>
      </w:r>
    </w:p>
    <w:p w:rsidR="000F17F6" w:rsidRDefault="000F17F6" w:rsidP="000F17F6">
      <w:pPr>
        <w:pStyle w:val="SingleTxtG"/>
        <w:ind w:left="2552" w:hanging="1418"/>
        <w:rPr>
          <w:bCs/>
        </w:rPr>
      </w:pPr>
      <w:r w:rsidRPr="008D3D79">
        <w:rPr>
          <w:bCs/>
        </w:rPr>
        <w:t>«17.7</w:t>
      </w:r>
      <w:r w:rsidRPr="008D3D79">
        <w:rPr>
          <w:bCs/>
        </w:rPr>
        <w:tab/>
      </w:r>
      <w:r w:rsidRPr="008D3D79">
        <w:rPr>
          <w:bCs/>
          <w:lang w:val="fr-FR"/>
        </w:rPr>
        <w:t>À compter de la date officielle d’entrée en vigueur de la série 03 d’amendements, aucune Partie contractante appliquant le présent Règlement ne peut refuser de délivrer ou d’accepter une homologation de type accordée en vertu du présent Règlement tel que modifié par la série 03 d’amendements</w:t>
      </w:r>
      <w:r w:rsidRPr="008D3D79">
        <w:rPr>
          <w:bCs/>
        </w:rPr>
        <w:t>.</w:t>
      </w:r>
    </w:p>
    <w:p w:rsidR="000F17F6" w:rsidRDefault="000F17F6" w:rsidP="000F17F6">
      <w:pPr>
        <w:pStyle w:val="SingleTxtG"/>
        <w:ind w:left="2552" w:hanging="1418"/>
        <w:rPr>
          <w:bCs/>
        </w:rPr>
      </w:pPr>
      <w:r w:rsidRPr="008D3D79">
        <w:rPr>
          <w:bCs/>
        </w:rPr>
        <w:t>17.8</w:t>
      </w:r>
      <w:r w:rsidRPr="008D3D79">
        <w:rPr>
          <w:bCs/>
        </w:rPr>
        <w:tab/>
        <w:t>À compter du 1</w:t>
      </w:r>
      <w:r w:rsidRPr="008D3D79">
        <w:rPr>
          <w:bCs/>
          <w:vertAlign w:val="superscript"/>
        </w:rPr>
        <w:t>er</w:t>
      </w:r>
      <w:r w:rsidRPr="008D3D79">
        <w:rPr>
          <w:bCs/>
        </w:rPr>
        <w:t xml:space="preserve"> septembre 2018, les Parties contractantes appliquant le présent Règlement </w:t>
      </w:r>
      <w:r w:rsidRPr="008D3D79">
        <w:rPr>
          <w:bCs/>
          <w:lang w:val="fr-FR"/>
        </w:rPr>
        <w:t>ne délivreront des homologations que si le type de véhicule à homologuer satisfait aux prescriptions du présent Règlement tel que modifié par la série 03 d’amendements</w:t>
      </w:r>
      <w:r w:rsidRPr="008D3D79">
        <w:rPr>
          <w:bCs/>
        </w:rPr>
        <w:t>.</w:t>
      </w:r>
    </w:p>
    <w:p w:rsidR="000F17F6" w:rsidRDefault="000F17F6" w:rsidP="000F17F6">
      <w:pPr>
        <w:pStyle w:val="SingleTxtG"/>
        <w:ind w:left="2552" w:hanging="1418"/>
        <w:rPr>
          <w:bCs/>
        </w:rPr>
      </w:pPr>
      <w:r w:rsidRPr="008D3D79">
        <w:rPr>
          <w:bCs/>
        </w:rPr>
        <w:lastRenderedPageBreak/>
        <w:t>17.9</w:t>
      </w:r>
      <w:r w:rsidRPr="008D3D79">
        <w:rPr>
          <w:bCs/>
        </w:rPr>
        <w:tab/>
        <w:t>Les Parties contractantes appliquant le présent Règlement ne peuvent refuser d’accorder des extensions pour les homologations de types existants qui ont été délivrées conformément à la précédente série d’amendements au présent Règlement.</w:t>
      </w:r>
    </w:p>
    <w:p w:rsidR="000F17F6" w:rsidRDefault="00524F13" w:rsidP="000F17F6">
      <w:pPr>
        <w:pStyle w:val="SingleTxtG"/>
        <w:ind w:left="2552" w:hanging="1418"/>
        <w:rPr>
          <w:bCs/>
        </w:rPr>
      </w:pPr>
      <w:r>
        <w:t>17.10</w:t>
      </w:r>
      <w:r>
        <w:tab/>
        <w:t xml:space="preserve">Même après l’entrée en vigueur de la série 03 d’amendements au présent Règlement, </w:t>
      </w:r>
      <w:r w:rsidRPr="00524F13">
        <w:t>les Parties contractantes appliquant le Règlement continuent d’accepter</w:t>
      </w:r>
      <w:r>
        <w:t xml:space="preserve"> les homologations de type qui ont été accordées en vertu des précédentes séries d’amendements au présent Règlement et qui ne sont pas concernées par la série 03 d’amendements.</w:t>
      </w:r>
    </w:p>
    <w:p w:rsidR="000F17F6" w:rsidRPr="008D3D79" w:rsidRDefault="000F17F6" w:rsidP="000F17F6">
      <w:pPr>
        <w:pStyle w:val="SingleTxtG"/>
        <w:ind w:left="2552" w:hanging="1418"/>
        <w:rPr>
          <w:bCs/>
        </w:rPr>
      </w:pPr>
      <w:r w:rsidRPr="008D3D79">
        <w:rPr>
          <w:bCs/>
        </w:rPr>
        <w:t>17.11</w:t>
      </w:r>
      <w:r w:rsidRPr="008D3D79">
        <w:rPr>
          <w:bCs/>
        </w:rPr>
        <w:tab/>
        <w:t xml:space="preserve">Nonobstant les dispositions transitoires ci-dessus, les Parties contractantes pour lesquelles le présent Règlement entre en application après la date d’entrée en vigueur des séries d’amendements les plus récentes ne sont pas tenues d’accepter les homologations qui ont été accordées conformément à l’une ou l’autre des séries précédentes d’amendements au présent Règlement.». </w:t>
      </w:r>
    </w:p>
    <w:p w:rsidR="000F17F6" w:rsidRPr="008D3D79" w:rsidRDefault="000F17F6" w:rsidP="000F17F6">
      <w:pPr>
        <w:pStyle w:val="SingleTxtG"/>
        <w:rPr>
          <w:bCs/>
        </w:rPr>
      </w:pPr>
      <w:r w:rsidRPr="008D3D79">
        <w:rPr>
          <w:bCs/>
          <w:i/>
          <w:lang w:val="fr-FR"/>
        </w:rPr>
        <w:t>Dans l’ensemble de l’annexe 2</w:t>
      </w:r>
      <w:r w:rsidRPr="008D3D79">
        <w:rPr>
          <w:bCs/>
          <w:lang w:val="fr-FR"/>
        </w:rPr>
        <w:t>, remplacer le nombre «02» par «03»</w:t>
      </w:r>
      <w:r w:rsidRPr="008D3D79">
        <w:rPr>
          <w:bCs/>
        </w:rPr>
        <w:t>.</w:t>
      </w:r>
    </w:p>
    <w:p w:rsidR="000F17F6" w:rsidRPr="008D3D79" w:rsidRDefault="000F17F6" w:rsidP="000F17F6">
      <w:pPr>
        <w:pStyle w:val="SingleTxtG"/>
        <w:rPr>
          <w:bCs/>
        </w:rPr>
      </w:pPr>
      <w:r w:rsidRPr="008D3D79">
        <w:rPr>
          <w:bCs/>
          <w:i/>
          <w:lang w:val="fr-FR"/>
        </w:rPr>
        <w:t>Annexe 2, Modèle B</w:t>
      </w:r>
      <w:r w:rsidRPr="008D3D79">
        <w:rPr>
          <w:bCs/>
          <w:i/>
        </w:rPr>
        <w:t xml:space="preserve">, </w:t>
      </w:r>
      <w:r w:rsidRPr="008D3D79">
        <w:rPr>
          <w:bCs/>
        </w:rPr>
        <w:t>modifier comme suit:</w:t>
      </w:r>
    </w:p>
    <w:p w:rsidR="000F17F6" w:rsidRPr="008D3D79" w:rsidRDefault="000F17F6" w:rsidP="000F17F6">
      <w:pPr>
        <w:pStyle w:val="SingleTxtG"/>
        <w:rPr>
          <w:bCs/>
        </w:rPr>
      </w:pPr>
      <w:r w:rsidRPr="008D3D79">
        <w:rPr>
          <w:bCs/>
        </w:rPr>
        <w:t>«Modèle B</w:t>
      </w:r>
    </w:p>
    <w:p w:rsidR="000F17F6" w:rsidRPr="008D3D79" w:rsidRDefault="000F17F6" w:rsidP="000F17F6">
      <w:pPr>
        <w:pStyle w:val="SingleTxtG"/>
        <w:spacing w:after="240"/>
        <w:rPr>
          <w:bCs/>
        </w:rPr>
      </w:pPr>
      <w:r w:rsidRPr="008D3D79">
        <w:rPr>
          <w:bCs/>
        </w:rPr>
        <w:t>(</w:t>
      </w:r>
      <w:r w:rsidRPr="008D3D79">
        <w:rPr>
          <w:bCs/>
          <w:lang w:val="fr-FR"/>
        </w:rPr>
        <w:t>Voir le paragraphe 3.1.5 du présent Règlement.</w:t>
      </w:r>
      <w:r w:rsidRPr="008D3D79">
        <w:rPr>
          <w:bCs/>
        </w:rPr>
        <w:t>)</w:t>
      </w:r>
    </w:p>
    <w:p w:rsidR="000F17F6" w:rsidRPr="008D3D79" w:rsidRDefault="00EF263A" w:rsidP="000F17F6">
      <w:pPr>
        <w:pStyle w:val="SingleTxtG"/>
        <w:rPr>
          <w:bCs/>
        </w:rPr>
      </w:pPr>
      <w:r>
        <w:pict>
          <v:shapetype id="_x0000_t202" coordsize="21600,21600" o:spt="202" path="m,l,21600r21600,l21600,xe">
            <v:stroke joinstyle="miter"/>
            <v:path gradientshapeok="t" o:connecttype="rect"/>
          </v:shapetype>
          <v:shape id="Zone de texte 15" o:spid="_x0000_s1026" type="#_x0000_t202" style="position:absolute;left:0;text-align:left;margin-left:213.85pt;margin-top:23.4pt;width:156.85pt;height:46.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ELiAIAABYFAAAOAAAAZHJzL2Uyb0RvYy54bWysVNuO0zAQfUfiHyy/d5NUabeJNl3thSKk&#10;5SItvPDm2k5j4XiC7TZZVvw7Y6ftlgUkhIgq1/aMj8/MnPHF5dBqspPWKTAVzc5SSqThIJTZVPTT&#10;x9VkQYnzzAimwciKPkhHL5cvX1z0XSmn0IAW0hIEMa7su4o23ndlkjjeyJa5M+ikQWMNtmUel3aT&#10;CMt6RG91Mk3TedKDFZ0FLp3D3dvRSJcRv64l9+/r2klPdEWRm4+jjeM6jMnygpUby7pG8T0N9g8s&#10;WqYMXnqEumWeka1Vv0C1iltwUPszDm0Cda24jDFgNFn6LJr7hnUyxoLJcd0xTe7/wfJ3uw+WKIG1&#10;m1FiWIs1+oyVIkISLwcvCe5jkvrOleh736G3H65hwAMxYNfdAf/iiIGbhpmNvLIW+kYygSSzcDI5&#10;OTriuACy7t+CwMvY1kMEGmrbhgxiTgiiY7EejgVCIoSHK4sCf0iUo222WMzzSC5h5eF0Z51/LaEl&#10;YVJRiwKI6Gx353xgw8qDS7jMgVZipbSOC7tZ32hLdgzFsopfDOCZmzbB2UA4NiKOO0gS7wi2QDcW&#10;/7HIpnl6PS0mq/nifJKv8tmkOE8XkzQrrot5mhf57ep7IJjlZaOEkOZOYfLHfsDNvyv0viVGCUUp&#10;kr6ixWw6G0v0xyDT+P0uyFZ57Eut2ooujk6sDIV9ZQSGzUrPlB7nyc/0Y5YxB4f/mJUog1D5UQN+&#10;WA+IErSxBvGAgrCA9cKq42OCkwbsN0p6bMyKuq9bZiUl+o1BURVZnodOjot8dj7FhT21rE8tzHCE&#10;qqinZJze+LH7t51VmwZvGmVs4AqFWKuokSdWe/li88Vg9g9F6O7TdfR6es6WPwAAAP//AwBQSwME&#10;FAAGAAgAAAAhAH1eHHHeAAAACgEAAA8AAABkcnMvZG93bnJldi54bWxMj8FOwzAMhu9IvENkJC6I&#10;pRtdw0rTCZBAXDf2AG6TtRWNUzXZ2r095sRutvzp9/cX29n14mzH0HnSsFwkICzV3nTUaDh8fzw+&#10;gwgRyWDvyWq42ADb8vamwNz4iXb2vI+N4BAKOWpoYxxyKUPdWodh4QdLfDv60WHkdWykGXHicNfL&#10;VZJk0mFH/KHFwb63tv7Zn5yG49f0sN5M1Wc8qF2avWGnKn/R+v5ufn0BEe0c/2H402d1KNmp8icy&#10;QfQa0pVSjPKQcQUGVLpMQVRMPm3WIMtCXlcofwEAAP//AwBQSwECLQAUAAYACAAAACEAtoM4kv4A&#10;AADhAQAAEwAAAAAAAAAAAAAAAAAAAAAAW0NvbnRlbnRfVHlwZXNdLnhtbFBLAQItABQABgAIAAAA&#10;IQA4/SH/1gAAAJQBAAALAAAAAAAAAAAAAAAAAC8BAABfcmVscy8ucmVsc1BLAQItABQABgAIAAAA&#10;IQDmk8ELiAIAABYFAAAOAAAAAAAAAAAAAAAAAC4CAABkcnMvZTJvRG9jLnhtbFBLAQItABQABgAI&#10;AAAAIQB9Xhxx3gAAAAo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F17F6" w:rsidRPr="00BB4637">
                    <w:tc>
                      <w:tcPr>
                        <w:tcW w:w="1406" w:type="dxa"/>
                      </w:tcPr>
                      <w:p w:rsidR="000F17F6" w:rsidRPr="00116F65" w:rsidRDefault="000F17F6">
                        <w:pPr>
                          <w:rPr>
                            <w:b/>
                            <w:bCs/>
                            <w:sz w:val="28"/>
                          </w:rPr>
                        </w:pPr>
                        <w:r w:rsidRPr="00116F65">
                          <w:rPr>
                            <w:b/>
                            <w:bCs/>
                            <w:sz w:val="28"/>
                          </w:rPr>
                          <w:t>34RII-1</w:t>
                        </w:r>
                      </w:p>
                    </w:tc>
                    <w:tc>
                      <w:tcPr>
                        <w:tcW w:w="1407" w:type="dxa"/>
                      </w:tcPr>
                      <w:p w:rsidR="000F17F6" w:rsidRPr="00116F65" w:rsidRDefault="000F17F6" w:rsidP="00A434AF">
                        <w:pPr>
                          <w:rPr>
                            <w:b/>
                            <w:bCs/>
                            <w:sz w:val="28"/>
                          </w:rPr>
                        </w:pPr>
                        <w:r w:rsidRPr="00116F65">
                          <w:rPr>
                            <w:b/>
                            <w:bCs/>
                            <w:sz w:val="28"/>
                          </w:rPr>
                          <w:t>031234</w:t>
                        </w:r>
                      </w:p>
                    </w:tc>
                  </w:tr>
                  <w:tr w:rsidR="000F17F6" w:rsidRPr="00BB4637">
                    <w:tc>
                      <w:tcPr>
                        <w:tcW w:w="1406" w:type="dxa"/>
                      </w:tcPr>
                      <w:p w:rsidR="000F17F6" w:rsidRPr="00116F65" w:rsidRDefault="000F17F6">
                        <w:pPr>
                          <w:rPr>
                            <w:b/>
                            <w:bCs/>
                            <w:sz w:val="28"/>
                          </w:rPr>
                        </w:pPr>
                        <w:r w:rsidRPr="00116F65">
                          <w:rPr>
                            <w:b/>
                            <w:bCs/>
                            <w:sz w:val="28"/>
                          </w:rPr>
                          <w:t>33</w:t>
                        </w:r>
                      </w:p>
                    </w:tc>
                    <w:tc>
                      <w:tcPr>
                        <w:tcW w:w="1407" w:type="dxa"/>
                      </w:tcPr>
                      <w:p w:rsidR="000F17F6" w:rsidRPr="00116F65" w:rsidRDefault="000F17F6">
                        <w:pPr>
                          <w:rPr>
                            <w:b/>
                            <w:bCs/>
                            <w:sz w:val="28"/>
                          </w:rPr>
                        </w:pPr>
                        <w:r w:rsidRPr="00116F65">
                          <w:rPr>
                            <w:b/>
                            <w:bCs/>
                            <w:sz w:val="28"/>
                          </w:rPr>
                          <w:t>001628</w:t>
                        </w:r>
                      </w:p>
                    </w:tc>
                  </w:tr>
                </w:tbl>
                <w:p w:rsidR="000F17F6" w:rsidRDefault="000F17F6" w:rsidP="000F17F6"/>
              </w:txbxContent>
            </v:textbox>
          </v:shape>
        </w:pict>
      </w: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i1025" type="#_x0000_t75" style="width:368.4pt;height:70.2pt;visibility:visible">
            <v:imagedata r:id="rId8" o:title="" croptop="-334f" cropbottom="-334f" cropleft="-320f" cropright="-320f"/>
          </v:shape>
        </w:pict>
      </w:r>
    </w:p>
    <w:p w:rsidR="000F17F6" w:rsidRPr="008D3D79" w:rsidRDefault="000F17F6" w:rsidP="000F17F6">
      <w:pPr>
        <w:pStyle w:val="SingleTxtG"/>
        <w:jc w:val="right"/>
        <w:rPr>
          <w:bCs/>
        </w:rPr>
      </w:pPr>
      <w:r w:rsidRPr="008D3D79">
        <w:rPr>
          <w:bCs/>
        </w:rPr>
        <w:t>a = 8 mm min.</w:t>
      </w:r>
    </w:p>
    <w:p w:rsidR="000F17F6" w:rsidRPr="008D3D79" w:rsidRDefault="000F17F6" w:rsidP="000F17F6">
      <w:pPr>
        <w:pStyle w:val="SingleTxtG"/>
        <w:spacing w:before="240" w:after="240"/>
        <w:ind w:firstLine="567"/>
        <w:rPr>
          <w:bCs/>
        </w:rPr>
      </w:pPr>
      <w:r w:rsidRPr="008D3D79">
        <w:rPr>
          <w:bCs/>
          <w:lang w:val="fr-FR"/>
        </w:rPr>
        <w:t>La marque d’homologation ci-dessus, apposée sur un véhicule, indique que le type de ce véhicule a été homologué aux Pays-Bas (E 4) en vertu des Règlements n</w:t>
      </w:r>
      <w:r w:rsidRPr="008D3D79">
        <w:rPr>
          <w:bCs/>
          <w:vertAlign w:val="superscript"/>
          <w:lang w:val="fr-FR"/>
        </w:rPr>
        <w:t>os</w:t>
      </w:r>
      <w:r w:rsidRPr="008D3D79">
        <w:rPr>
          <w:bCs/>
          <w:lang w:val="fr-FR"/>
        </w:rPr>
        <w:t> 34, parties I ou IV et II</w:t>
      </w:r>
      <w:r w:rsidRPr="008D3D79">
        <w:rPr>
          <w:bCs/>
          <w:lang w:val="fr-FR"/>
        </w:rPr>
        <w:noBreakHyphen/>
        <w:t>1, et 33*. Les numéros d’homologation indiquent que, à la date où les homologations correspondantes ont été délivrées, le Règlement n</w:t>
      </w:r>
      <w:r w:rsidRPr="008D3D79">
        <w:rPr>
          <w:bCs/>
          <w:vertAlign w:val="superscript"/>
          <w:lang w:val="fr-FR"/>
        </w:rPr>
        <w:t>o</w:t>
      </w:r>
      <w:r w:rsidRPr="008D3D79">
        <w:rPr>
          <w:bCs/>
          <w:lang w:val="fr-FR"/>
        </w:rPr>
        <w:t> 34 incluait la série 03 d’amendements et le Règlement n</w:t>
      </w:r>
      <w:r w:rsidRPr="008D3D79">
        <w:rPr>
          <w:bCs/>
          <w:vertAlign w:val="superscript"/>
          <w:lang w:val="fr-FR"/>
        </w:rPr>
        <w:t>o</w:t>
      </w:r>
      <w:r w:rsidRPr="008D3D79">
        <w:rPr>
          <w:bCs/>
          <w:lang w:val="fr-FR"/>
        </w:rPr>
        <w:t> 33 se trouvait toujours sous sa forme d’origine</w:t>
      </w:r>
      <w:r w:rsidRPr="008D3D79">
        <w:rPr>
          <w:bCs/>
        </w:rPr>
        <w:t xml:space="preserve">. </w:t>
      </w:r>
    </w:p>
    <w:p w:rsidR="000F17F6" w:rsidRPr="008D3D79" w:rsidRDefault="00EF263A" w:rsidP="000F17F6">
      <w:pPr>
        <w:pStyle w:val="SingleTxtG"/>
        <w:rPr>
          <w:bCs/>
        </w:rPr>
      </w:pPr>
      <w:r>
        <w:pict>
          <v:shape id="Zone de texte 14" o:spid="_x0000_s1027" type="#_x0000_t202" style="position:absolute;left:0;text-align:left;margin-left:213.85pt;margin-top:22.3pt;width:156.85pt;height:4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xigIAAB0FAAAOAAAAZHJzL2Uyb0RvYy54bWysVFtv2yAUfp+0/4B4T21Hdhpbdaq1XaZJ&#10;3UXq9rI3AjhGw8CAxO6m/fcdIE3TXaRpmhURLofvXL7vcHE5DRLtuXVCqxYXZzlGXFHNhNq2+OOH&#10;9WyJkfNEMSK14i2+5w5frp4/uxhNw+e615JxiwBEuWY0Le69N02WOdrzgbgzbbiCw07bgXhY2m3G&#10;LBkBfZDZPM8X2agtM1ZT7hzs3qRDvIr4Xcepf9d1jnskWwyx+TjaOG7CmK0uSLO1xPSCHsIg/xDF&#10;QIQCp0eoG+IJ2lnxC9QgqNVOd/6M6iHTXScojzlANkX+UzZ3PTE85gLFceZYJvf/YOnb/XuLBAPu&#10;SowUGYCjT8AUYhx5PnmOYB+KNBrXgO2dAWs/XekJLsSEnbnV9LNDSl/3RG35C2v12HPCIMgi3MxO&#10;riYcF0A24xvNwBnZeR2Bps4OoYJQEwToQNb9kSAIBNHgsq7hV2FE4axaLhdlFV2Q5uG2sc6/4npA&#10;YdJiCwKI6GR/63yIhjQPJsGZ01KwtZAyLux2cy0t2hMQyzp+B/QnZlIFY6XDtYSYdiBI8BHOQriR&#10;/G91MS/zq3k9Wy+W57NyXVaz+jxfzvKivqoXeVmXN+vvIcCibHrBGFe3Aoqf+gE2/47oQ0skCUUp&#10;orHFdTWvEkV/TDKP3++SHISHvpRiaPHyaESaQOxLxSBt0ngiZJpnT8OPVYYaPPzHqkQZBOaTBvy0&#10;mZLsgvcgkY1m96ALq4E2IB/eFJj02n7FaIT+bLH7siOWYyRfK9BWXZRlaOi4KKvzOSzs6cnm9IQo&#10;ClAt9hil6bVPj8DOWLHtwVNSs9IvQI+diFJ5jOqgYujBmNPhvQhNfrqOVo+v2uoHAAAA//8DAFBL&#10;AwQUAAYACAAAACEAMjA8Xd4AAAAKAQAADwAAAGRycy9kb3ducmV2LnhtbEyPwU7DMAyG70i8Q2Qk&#10;Loil20KzlaYTIIG4buwB3NZrK5qkarK1e3vMCW62/On39+e72fbiQmPovDOwXCQgyFW+7lxj4Pj1&#10;/rgBESK6GnvvyMCVAuyK25scs9pPbk+XQ2wEh7iQoYE2xiGTMlQtWQwLP5Dj28mPFiOvYyPrEScO&#10;t71cJUkqLXaOP7Q40FtL1ffhbA2cPqeHp+1UfsSj3qv0FTtd+qsx93fzyzOISHP8g+FXn9WhYKfS&#10;n10dRG9ArbRmlAeVgmBAq6UCUTK51muQRS7/Vyh+AAAA//8DAFBLAQItABQABgAIAAAAIQC2gziS&#10;/gAAAOEBAAATAAAAAAAAAAAAAAAAAAAAAABbQ29udGVudF9UeXBlc10ueG1sUEsBAi0AFAAGAAgA&#10;AAAhADj9If/WAAAAlAEAAAsAAAAAAAAAAAAAAAAALwEAAF9yZWxzLy5yZWxzUEsBAi0AFAAGAAgA&#10;AAAhAIugMnGKAgAAHQUAAA4AAAAAAAAAAAAAAAAALgIAAGRycy9lMm9Eb2MueG1sUEsBAi0AFAAG&#10;AAgAAAAhADIwPF3eAAAACgEAAA8AAAAAAAAAAAAAAAAA5AQAAGRycy9kb3ducmV2LnhtbFBLBQYA&#10;AAAABAAEAPMAAADv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0F17F6" w:rsidRPr="00BB4637">
                    <w:tc>
                      <w:tcPr>
                        <w:tcW w:w="1406" w:type="dxa"/>
                      </w:tcPr>
                      <w:p w:rsidR="000F17F6" w:rsidRPr="00116F65" w:rsidRDefault="000F17F6" w:rsidP="00A434AF">
                        <w:pPr>
                          <w:rPr>
                            <w:b/>
                            <w:bCs/>
                            <w:sz w:val="28"/>
                          </w:rPr>
                        </w:pPr>
                        <w:r w:rsidRPr="00116F65">
                          <w:rPr>
                            <w:b/>
                            <w:bCs/>
                            <w:sz w:val="28"/>
                          </w:rPr>
                          <w:t>34RII-2</w:t>
                        </w:r>
                      </w:p>
                    </w:tc>
                    <w:tc>
                      <w:tcPr>
                        <w:tcW w:w="1407" w:type="dxa"/>
                      </w:tcPr>
                      <w:p w:rsidR="000F17F6" w:rsidRPr="00116F65" w:rsidRDefault="000F17F6" w:rsidP="00A434AF">
                        <w:pPr>
                          <w:rPr>
                            <w:b/>
                            <w:bCs/>
                            <w:sz w:val="28"/>
                          </w:rPr>
                        </w:pPr>
                        <w:r w:rsidRPr="00116F65">
                          <w:rPr>
                            <w:b/>
                            <w:bCs/>
                            <w:sz w:val="28"/>
                          </w:rPr>
                          <w:t>031234</w:t>
                        </w:r>
                      </w:p>
                    </w:tc>
                  </w:tr>
                  <w:tr w:rsidR="000F17F6" w:rsidRPr="00BB4637">
                    <w:tc>
                      <w:tcPr>
                        <w:tcW w:w="1406" w:type="dxa"/>
                      </w:tcPr>
                      <w:p w:rsidR="000F17F6" w:rsidRPr="00116F65" w:rsidRDefault="000F17F6">
                        <w:pPr>
                          <w:rPr>
                            <w:b/>
                            <w:bCs/>
                            <w:sz w:val="28"/>
                          </w:rPr>
                        </w:pPr>
                        <w:r w:rsidRPr="00116F65">
                          <w:rPr>
                            <w:b/>
                            <w:bCs/>
                            <w:sz w:val="28"/>
                          </w:rPr>
                          <w:t>33</w:t>
                        </w:r>
                      </w:p>
                    </w:tc>
                    <w:tc>
                      <w:tcPr>
                        <w:tcW w:w="1407" w:type="dxa"/>
                      </w:tcPr>
                      <w:p w:rsidR="000F17F6" w:rsidRPr="00116F65" w:rsidRDefault="000F17F6">
                        <w:pPr>
                          <w:rPr>
                            <w:b/>
                            <w:bCs/>
                            <w:sz w:val="28"/>
                          </w:rPr>
                        </w:pPr>
                        <w:r w:rsidRPr="00116F65">
                          <w:rPr>
                            <w:b/>
                            <w:bCs/>
                            <w:sz w:val="28"/>
                          </w:rPr>
                          <w:t>001628</w:t>
                        </w:r>
                      </w:p>
                    </w:tc>
                  </w:tr>
                </w:tbl>
                <w:p w:rsidR="000F17F6" w:rsidRDefault="000F17F6" w:rsidP="000F17F6"/>
              </w:txbxContent>
            </v:textbox>
          </v:shape>
        </w:pict>
      </w:r>
      <w:r>
        <w:rPr>
          <w:lang w:val="en-US"/>
        </w:rPr>
        <w:pict>
          <v:shape id="Image 11" o:spid="_x0000_i1026" type="#_x0000_t75" style="width:368.4pt;height:70.2pt;visibility:visible">
            <v:imagedata r:id="rId8" o:title="" croptop="-334f" cropbottom="-334f" cropleft="-320f" cropright="-320f"/>
          </v:shape>
        </w:pict>
      </w:r>
    </w:p>
    <w:p w:rsidR="000F17F6" w:rsidRPr="008D3D79" w:rsidRDefault="000F17F6" w:rsidP="000F17F6">
      <w:pPr>
        <w:pStyle w:val="SingleTxtG"/>
        <w:spacing w:before="240" w:after="240"/>
        <w:ind w:firstLine="567"/>
        <w:rPr>
          <w:bCs/>
        </w:rPr>
      </w:pPr>
      <w:r w:rsidRPr="008D3D79">
        <w:rPr>
          <w:bCs/>
          <w:lang w:val="fr-FR"/>
        </w:rPr>
        <w:t>La marque d’homologation ci-dessus, apposée sur un véhicule, indique que le type de véhicule concerné a été homologué aux Pays-Bas (E 4) en vertu des Règlements n</w:t>
      </w:r>
      <w:r w:rsidRPr="008D3D79">
        <w:rPr>
          <w:bCs/>
          <w:vertAlign w:val="superscript"/>
          <w:lang w:val="fr-FR"/>
        </w:rPr>
        <w:t>os</w:t>
      </w:r>
      <w:r w:rsidRPr="008D3D79">
        <w:rPr>
          <w:bCs/>
          <w:lang w:val="fr-FR"/>
        </w:rPr>
        <w:t> 34, parties I ou IV et II</w:t>
      </w:r>
      <w:r w:rsidRPr="008D3D79">
        <w:rPr>
          <w:bCs/>
          <w:lang w:val="fr-FR"/>
        </w:rPr>
        <w:noBreakHyphen/>
        <w:t>2, et 33*. Les numéros d’homologation indiquent que, à la date où les homologations correspondantes ont été délivrées, le Règlement n</w:t>
      </w:r>
      <w:r w:rsidRPr="008D3D79">
        <w:rPr>
          <w:bCs/>
          <w:vertAlign w:val="superscript"/>
          <w:lang w:val="fr-FR"/>
        </w:rPr>
        <w:t>o</w:t>
      </w:r>
      <w:r w:rsidRPr="008D3D79">
        <w:rPr>
          <w:bCs/>
          <w:lang w:val="fr-FR"/>
        </w:rPr>
        <w:t> 34 incluait la série 03 d’amendements et le Règlement n</w:t>
      </w:r>
      <w:r w:rsidRPr="008D3D79">
        <w:rPr>
          <w:bCs/>
          <w:vertAlign w:val="superscript"/>
          <w:lang w:val="fr-FR"/>
        </w:rPr>
        <w:t>o</w:t>
      </w:r>
      <w:r w:rsidRPr="008D3D79">
        <w:rPr>
          <w:bCs/>
          <w:lang w:val="fr-FR"/>
        </w:rPr>
        <w:t> 33 se trouvait toujours sous sa forme d’origine</w:t>
      </w:r>
      <w:r w:rsidRPr="008D3D79">
        <w:rPr>
          <w:bCs/>
        </w:rPr>
        <w:t>.».</w:t>
      </w:r>
    </w:p>
    <w:p w:rsidR="000F17F6" w:rsidRPr="008D3D79" w:rsidRDefault="000F17F6" w:rsidP="007A768D">
      <w:pPr>
        <w:pStyle w:val="SingleTxtG"/>
        <w:keepNext/>
        <w:keepLines/>
        <w:rPr>
          <w:bCs/>
          <w:i/>
        </w:rPr>
      </w:pPr>
      <w:r w:rsidRPr="008D3D79">
        <w:rPr>
          <w:bCs/>
          <w:i/>
        </w:rPr>
        <w:t>Annexe 4</w:t>
      </w:r>
      <w:r>
        <w:rPr>
          <w:bCs/>
          <w:i/>
        </w:rPr>
        <w:t>,</w:t>
      </w:r>
    </w:p>
    <w:p w:rsidR="000F17F6" w:rsidRPr="008D3D79" w:rsidRDefault="000F17F6" w:rsidP="007A768D">
      <w:pPr>
        <w:pStyle w:val="SingleTxtG"/>
        <w:keepNext/>
        <w:keepLines/>
        <w:rPr>
          <w:bCs/>
          <w:i/>
        </w:rPr>
      </w:pPr>
      <w:r w:rsidRPr="008D3D79">
        <w:rPr>
          <w:bCs/>
          <w:i/>
        </w:rPr>
        <w:t>Paragraphe 2.1</w:t>
      </w:r>
      <w:r w:rsidRPr="008D3D79">
        <w:rPr>
          <w:bCs/>
        </w:rPr>
        <w:t>,</w:t>
      </w:r>
      <w:r w:rsidRPr="008D3D79">
        <w:rPr>
          <w:bCs/>
          <w:i/>
        </w:rPr>
        <w:t xml:space="preserve"> </w:t>
      </w:r>
      <w:r w:rsidRPr="008D3D79">
        <w:rPr>
          <w:bCs/>
        </w:rPr>
        <w:t>modifier comme suit:</w:t>
      </w:r>
    </w:p>
    <w:p w:rsidR="000F17F6" w:rsidRPr="008D3D79" w:rsidRDefault="000F17F6" w:rsidP="000F17F6">
      <w:pPr>
        <w:pStyle w:val="SingleTxtG"/>
        <w:ind w:left="2552" w:hanging="1418"/>
        <w:rPr>
          <w:bCs/>
        </w:rPr>
      </w:pPr>
      <w:r w:rsidRPr="008D3D79">
        <w:rPr>
          <w:bCs/>
        </w:rPr>
        <w:t>«2.1</w:t>
      </w:r>
      <w:r w:rsidRPr="008D3D79">
        <w:rPr>
          <w:bCs/>
        </w:rPr>
        <w:tab/>
      </w:r>
      <w:r w:rsidRPr="008D3D79">
        <w:rPr>
          <w:bCs/>
          <w:lang w:val="fr-FR"/>
        </w:rPr>
        <w:t>Lieu d’essai</w:t>
      </w:r>
    </w:p>
    <w:p w:rsidR="000F17F6" w:rsidRPr="008D3D79" w:rsidRDefault="000F17F6" w:rsidP="000F17F6">
      <w:pPr>
        <w:pStyle w:val="SingleTxtG"/>
        <w:ind w:left="2552"/>
        <w:rPr>
          <w:bCs/>
        </w:rPr>
      </w:pPr>
      <w:r w:rsidRPr="008D3D79">
        <w:rPr>
          <w:bCs/>
        </w:rPr>
        <w:t>L’emplacement où l’essai est effectué doit avoir une surface suffisante pour recevoir le système de propulsion de l’élément de frappe, et permettre le déplacement du véhicule heurté et l’installation de l’équipement nécessaire à l’essai. L’endroit où se produiront la collision et le déplacement du véhicule heurté doit être horizontal, plat et sans inégalités, et représentatif d’une chaussée normale, sèche et régulière.».</w:t>
      </w:r>
    </w:p>
    <w:p w:rsidR="000F17F6" w:rsidRPr="008D3D79" w:rsidRDefault="000F17F6" w:rsidP="000F17F6">
      <w:pPr>
        <w:pStyle w:val="SingleTxtG"/>
        <w:rPr>
          <w:bCs/>
          <w:i/>
        </w:rPr>
      </w:pPr>
      <w:r w:rsidRPr="008D3D79">
        <w:rPr>
          <w:bCs/>
          <w:i/>
        </w:rPr>
        <w:t>Paragraphe 2.2.2</w:t>
      </w:r>
      <w:r w:rsidRPr="008D3D79">
        <w:rPr>
          <w:bCs/>
        </w:rPr>
        <w:t>,</w:t>
      </w:r>
      <w:r w:rsidRPr="008D3D79">
        <w:rPr>
          <w:bCs/>
          <w:i/>
        </w:rPr>
        <w:t xml:space="preserve"> </w:t>
      </w:r>
      <w:r w:rsidRPr="008D3D79">
        <w:rPr>
          <w:bCs/>
        </w:rPr>
        <w:t>modifier comme suit:</w:t>
      </w:r>
    </w:p>
    <w:p w:rsidR="000F17F6" w:rsidRPr="008D3D79" w:rsidRDefault="000F17F6" w:rsidP="000F17F6">
      <w:pPr>
        <w:pStyle w:val="SingleTxtG"/>
        <w:ind w:left="2552" w:hanging="1418"/>
        <w:rPr>
          <w:bCs/>
        </w:rPr>
      </w:pPr>
      <w:r w:rsidRPr="008D3D79">
        <w:rPr>
          <w:bCs/>
        </w:rPr>
        <w:t>«2.2.2</w:t>
      </w:r>
      <w:r w:rsidRPr="008D3D79">
        <w:rPr>
          <w:bCs/>
        </w:rPr>
        <w:tab/>
      </w:r>
      <w:r w:rsidRPr="008D3D79">
        <w:rPr>
          <w:bCs/>
          <w:lang w:val="fr-FR"/>
        </w:rPr>
        <w:t>La surface d’impact doit être plane, avoir une largeur d’au moins 2 500 mm, une hauteur de 800 mm, et ses arêtes doivent présenter un arrondi compris entre 40 et 50 mm de rayon. Elle doit être recouverte de contre-plaqué en bon état de 20 +/- 2 mm d’épaisseur.</w:t>
      </w:r>
      <w:r w:rsidRPr="008D3D79">
        <w:rPr>
          <w:bCs/>
        </w:rPr>
        <w:t>».</w:t>
      </w:r>
    </w:p>
    <w:p w:rsidR="000F17F6" w:rsidRPr="008D3D79" w:rsidRDefault="000F17F6" w:rsidP="000F17F6">
      <w:pPr>
        <w:pStyle w:val="SingleTxtG"/>
        <w:rPr>
          <w:bCs/>
        </w:rPr>
      </w:pPr>
      <w:r w:rsidRPr="008D3D79">
        <w:rPr>
          <w:bCs/>
          <w:i/>
        </w:rPr>
        <w:t>Paragraphe 2.4.2</w:t>
      </w:r>
      <w:r w:rsidRPr="008D3D79">
        <w:rPr>
          <w:bCs/>
        </w:rPr>
        <w:t>,</w:t>
      </w:r>
      <w:r w:rsidRPr="008D3D79">
        <w:rPr>
          <w:bCs/>
          <w:i/>
        </w:rPr>
        <w:t xml:space="preserve"> </w:t>
      </w:r>
      <w:r w:rsidRPr="008D3D79">
        <w:rPr>
          <w:bCs/>
        </w:rPr>
        <w:t>modifier comme suit:</w:t>
      </w:r>
    </w:p>
    <w:p w:rsidR="000F17F6" w:rsidRDefault="000F17F6" w:rsidP="000F17F6">
      <w:pPr>
        <w:pStyle w:val="SingleTxtG"/>
        <w:ind w:left="2552" w:hanging="1418"/>
        <w:rPr>
          <w:bCs/>
        </w:rPr>
      </w:pPr>
      <w:r w:rsidRPr="008D3D79">
        <w:rPr>
          <w:bCs/>
        </w:rPr>
        <w:t>«2.4.2</w:t>
      </w:r>
      <w:r>
        <w:rPr>
          <w:bCs/>
        </w:rPr>
        <w:tab/>
      </w:r>
      <w:r w:rsidRPr="008D3D79">
        <w:rPr>
          <w:bCs/>
          <w:lang w:val="fr-FR"/>
        </w:rPr>
        <w:t>La vitesse d’impact doit être comprise entre 48 km/h et 52 km/h</w:t>
      </w:r>
      <w:r w:rsidRPr="008D3D79">
        <w:rPr>
          <w:bCs/>
        </w:rPr>
        <w:t>.».</w:t>
      </w:r>
    </w:p>
    <w:p w:rsidR="000F17F6" w:rsidRPr="008D3D79" w:rsidRDefault="000F17F6" w:rsidP="000F17F6">
      <w:pPr>
        <w:pStyle w:val="SingleTxtG"/>
        <w:spacing w:before="240" w:after="0"/>
        <w:jc w:val="center"/>
        <w:rPr>
          <w:u w:val="single"/>
        </w:rPr>
      </w:pPr>
      <w:r>
        <w:rPr>
          <w:u w:val="single"/>
        </w:rPr>
        <w:tab/>
      </w:r>
      <w:r>
        <w:rPr>
          <w:u w:val="single"/>
        </w:rPr>
        <w:tab/>
      </w:r>
      <w:r>
        <w:rPr>
          <w:u w:val="single"/>
        </w:rPr>
        <w:tab/>
      </w:r>
    </w:p>
    <w:p w:rsidR="005F0207" w:rsidRPr="00DD1ED8" w:rsidRDefault="005F0207" w:rsidP="001C08ED">
      <w:pPr>
        <w:pStyle w:val="SingleTxtG"/>
        <w:rPr>
          <w:u w:val="single"/>
        </w:rPr>
      </w:pPr>
    </w:p>
    <w:sectPr w:rsidR="005F0207" w:rsidRPr="00DD1ED8" w:rsidSect="000314C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5B" w:rsidRDefault="00B3635B"/>
  </w:endnote>
  <w:endnote w:type="continuationSeparator" w:id="0">
    <w:p w:rsidR="00B3635B" w:rsidRDefault="00B3635B">
      <w:pPr>
        <w:pStyle w:val="Footer"/>
      </w:pPr>
    </w:p>
  </w:endnote>
  <w:endnote w:type="continuationNotice" w:id="1">
    <w:p w:rsidR="00B3635B" w:rsidRPr="00C451B9" w:rsidRDefault="00B3635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EF263A">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263A">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EF263A"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EF263A" w:rsidP="00E97E2C">
    <w:pPr>
      <w:jc w:val="center"/>
      <w:rPr>
        <w:b/>
        <w:bCs/>
        <w:sz w:val="22"/>
      </w:rPr>
    </w:pPr>
    <w:r>
      <w:pict>
        <v:shape id="_x0000_i1027"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5B" w:rsidRPr="00D27D5E" w:rsidRDefault="00B3635B" w:rsidP="00D27D5E">
      <w:pPr>
        <w:tabs>
          <w:tab w:val="right" w:pos="2155"/>
        </w:tabs>
        <w:spacing w:after="80"/>
        <w:ind w:left="680"/>
        <w:rPr>
          <w:u w:val="single"/>
        </w:rPr>
      </w:pPr>
      <w:r>
        <w:rPr>
          <w:u w:val="single"/>
        </w:rPr>
        <w:tab/>
      </w:r>
    </w:p>
  </w:footnote>
  <w:footnote w:type="continuationSeparator" w:id="0">
    <w:p w:rsidR="00B3635B" w:rsidRPr="00D171D4" w:rsidRDefault="00B3635B" w:rsidP="00D171D4">
      <w:pPr>
        <w:tabs>
          <w:tab w:val="right" w:pos="2155"/>
        </w:tabs>
        <w:spacing w:after="80"/>
        <w:ind w:left="680"/>
        <w:rPr>
          <w:u w:val="single"/>
        </w:rPr>
      </w:pPr>
      <w:r w:rsidRPr="00D171D4">
        <w:rPr>
          <w:u w:val="single"/>
        </w:rPr>
        <w:tab/>
      </w:r>
    </w:p>
  </w:footnote>
  <w:footnote w:type="continuationNotice" w:id="1">
    <w:p w:rsidR="00B3635B" w:rsidRPr="00C451B9" w:rsidRDefault="00B3635B"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0F17F6">
      <w:t>/Rev.1/Add.33/Rev.2/Amend.2</w:t>
    </w:r>
    <w:r>
      <w:br/>
      <w:t>E/ECE/TRANS/505</w:t>
    </w:r>
    <w:r w:rsidR="000F17F6">
      <w:t>/Rev.1/Add.33/Rev.2/Amend.2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E/ECE/324</w:t>
    </w:r>
    <w:r w:rsidR="00FC2227">
      <w:t>/Rev.1/Add.33/Rev.2/Amend.2</w:t>
    </w:r>
    <w:r>
      <w:br/>
      <w:t>E/ECE/TRANS/505</w:t>
    </w:r>
    <w:r w:rsidR="00FC2227">
      <w:t>/Rev.1/Add.33/Rev.2/Amend.2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6776B"/>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2796"/>
    <w:rsid w:val="00433FA6"/>
    <w:rsid w:val="004342E2"/>
    <w:rsid w:val="00434354"/>
    <w:rsid w:val="00440BC8"/>
    <w:rsid w:val="00454F8D"/>
    <w:rsid w:val="004567EB"/>
    <w:rsid w:val="00460E72"/>
    <w:rsid w:val="00464191"/>
    <w:rsid w:val="00467412"/>
    <w:rsid w:val="004726BE"/>
    <w:rsid w:val="004750C7"/>
    <w:rsid w:val="00476265"/>
    <w:rsid w:val="00490F5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24F13"/>
    <w:rsid w:val="00533150"/>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D5ED1"/>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68D"/>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34AF"/>
    <w:rsid w:val="00A45E90"/>
    <w:rsid w:val="00A4770F"/>
    <w:rsid w:val="00A50D6B"/>
    <w:rsid w:val="00A51050"/>
    <w:rsid w:val="00A56945"/>
    <w:rsid w:val="00A57027"/>
    <w:rsid w:val="00A5750C"/>
    <w:rsid w:val="00A72C35"/>
    <w:rsid w:val="00A752BB"/>
    <w:rsid w:val="00A76263"/>
    <w:rsid w:val="00A81F93"/>
    <w:rsid w:val="00A92017"/>
    <w:rsid w:val="00A9247E"/>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635B"/>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35E1E"/>
    <w:rsid w:val="00C42EDB"/>
    <w:rsid w:val="00C451B9"/>
    <w:rsid w:val="00C51D9C"/>
    <w:rsid w:val="00C54DA4"/>
    <w:rsid w:val="00C55118"/>
    <w:rsid w:val="00C577D1"/>
    <w:rsid w:val="00C57A2D"/>
    <w:rsid w:val="00C6018C"/>
    <w:rsid w:val="00C65228"/>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07B"/>
    <w:rsid w:val="00EB77B9"/>
    <w:rsid w:val="00EB7D07"/>
    <w:rsid w:val="00ED3A26"/>
    <w:rsid w:val="00EF263A"/>
    <w:rsid w:val="00EF70BB"/>
    <w:rsid w:val="00F02FA9"/>
    <w:rsid w:val="00F06660"/>
    <w:rsid w:val="00F07AE1"/>
    <w:rsid w:val="00F116EB"/>
    <w:rsid w:val="00F1794E"/>
    <w:rsid w:val="00F211AF"/>
    <w:rsid w:val="00F25EC3"/>
    <w:rsid w:val="00F320E9"/>
    <w:rsid w:val="00F32ADB"/>
    <w:rsid w:val="00F32C98"/>
    <w:rsid w:val="00F37E12"/>
    <w:rsid w:val="00F424BD"/>
    <w:rsid w:val="00F45D41"/>
    <w:rsid w:val="00F515AD"/>
    <w:rsid w:val="00F52680"/>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06776B"/>
    <w:pPr>
      <w:spacing w:line="240" w:lineRule="auto"/>
    </w:pPr>
    <w:rPr>
      <w:rFonts w:ascii="Tahoma" w:hAnsi="Tahoma" w:cs="Tahoma"/>
      <w:sz w:val="16"/>
      <w:szCs w:val="16"/>
    </w:rPr>
  </w:style>
  <w:style w:type="character" w:customStyle="1" w:styleId="BalloonTextChar">
    <w:name w:val="Balloon Text Char"/>
    <w:link w:val="BalloonText"/>
    <w:rsid w:val="0006776B"/>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2015-06-05T09:47:00Z</cp:lastPrinted>
  <dcterms:created xsi:type="dcterms:W3CDTF">2015-06-15T09:26:00Z</dcterms:created>
  <dcterms:modified xsi:type="dcterms:W3CDTF">2015-06-22T09:41:00Z</dcterms:modified>
</cp:coreProperties>
</file>