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51A50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6C8A" w:rsidRPr="00D51A50" w:rsidRDefault="00AD6C8A" w:rsidP="00AD6C8A">
            <w:pPr>
              <w:jc w:val="right"/>
            </w:pPr>
            <w:bookmarkStart w:id="0" w:name="_GoBack"/>
            <w:bookmarkEnd w:id="0"/>
            <w:r w:rsidRPr="00D51A50">
              <w:rPr>
                <w:sz w:val="40"/>
              </w:rPr>
              <w:t>E</w:t>
            </w:r>
            <w:r w:rsidRPr="00D51A50">
              <w:t>/ECE/324/Rev.1/Add.28/Rev.2/Amend.2−</w:t>
            </w:r>
            <w:r w:rsidRPr="00D51A50">
              <w:rPr>
                <w:sz w:val="40"/>
              </w:rPr>
              <w:t>E</w:t>
            </w:r>
            <w:r w:rsidRPr="00D51A50">
              <w:t>/ECE/TRANS/505/Rev.1/Add.28/Rev.2/Amend.2</w:t>
            </w:r>
          </w:p>
        </w:tc>
      </w:tr>
      <w:tr w:rsidR="00421A10" w:rsidRPr="00D51A50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51A50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51A50" w:rsidRDefault="00AD6C8A" w:rsidP="00457676">
            <w:pPr>
              <w:spacing w:before="480" w:line="240" w:lineRule="exact"/>
            </w:pPr>
            <w:r w:rsidRPr="00D51A50">
              <w:t xml:space="preserve">3 février 2015 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E87B09">
        <w:t>’</w:t>
      </w:r>
      <w:r w:rsidR="00421A10" w:rsidRPr="00583D68">
        <w:t>adoption de prescriptions techniques uniformes applicables aux véhicules à roues, aux équipements et aux pièces susceptibles d</w:t>
      </w:r>
      <w:r w:rsidR="00E87B09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E87B09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E87B09">
        <w:t>28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E87B09">
        <w:t>29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E87B09">
        <w:t>2</w:t>
      </w:r>
      <w:r w:rsidR="00D067F2">
        <w:t xml:space="preserve"> </w:t>
      </w:r>
      <w:r w:rsidR="00E87B09">
        <w:t>− Amendement 2</w:t>
      </w:r>
    </w:p>
    <w:p w:rsidR="00421A10" w:rsidRPr="0029791D" w:rsidRDefault="00E87B09" w:rsidP="0029791D">
      <w:pPr>
        <w:pStyle w:val="SingleTxtG"/>
      </w:pPr>
      <w:r>
        <w:rPr>
          <w:spacing w:val="-2"/>
        </w:rPr>
        <w:t>Complément 2 à la série 03 d’amendements −</w:t>
      </w:r>
      <w:r w:rsidRPr="00272880">
        <w:rPr>
          <w:spacing w:val="-2"/>
        </w:rPr>
        <w:t xml:space="preserve"> </w:t>
      </w:r>
      <w:r>
        <w:rPr>
          <w:spacing w:val="-2"/>
        </w:rPr>
        <w:t>Date d’entrée en vigueur</w:t>
      </w:r>
      <w:r w:rsidRPr="00272880">
        <w:rPr>
          <w:spacing w:val="-2"/>
        </w:rPr>
        <w:t xml:space="preserve">: </w:t>
      </w:r>
      <w:r>
        <w:t>22 janvier 2015</w:t>
      </w:r>
    </w:p>
    <w:p w:rsidR="00E87B09" w:rsidRDefault="0029791D" w:rsidP="00E87B09">
      <w:pPr>
        <w:pStyle w:val="H1G"/>
        <w:tabs>
          <w:tab w:val="clear" w:pos="851"/>
        </w:tabs>
      </w:pPr>
      <w:r>
        <w:tab/>
      </w:r>
      <w:r w:rsidR="00421A10" w:rsidRPr="007619D3">
        <w:t xml:space="preserve">Prescriptions uniformes relatives </w:t>
      </w:r>
      <w:r w:rsidR="00E87B09">
        <w:rPr>
          <w:lang w:val="fr-FR"/>
        </w:rPr>
        <w:t xml:space="preserve">à l’homologation des véhicules en ce qui concerne la protection des occupants de la cabine </w:t>
      </w:r>
      <w:r w:rsidR="00E87B09">
        <w:rPr>
          <w:lang w:val="fr-FR"/>
        </w:rPr>
        <w:br/>
        <w:t>d’un véhicule utilitaire</w:t>
      </w:r>
    </w:p>
    <w:p w:rsidR="00E87B09" w:rsidRPr="00841EB5" w:rsidRDefault="00E87B09" w:rsidP="00E87B09">
      <w:pPr>
        <w:pStyle w:val="SingleTxtG"/>
      </w:pPr>
      <w:r>
        <w:br w:type="page"/>
      </w:r>
      <w:r w:rsidRPr="00E87B09">
        <w:rPr>
          <w:i/>
        </w:rPr>
        <w:lastRenderedPageBreak/>
        <w:t>Paragraphe 1</w:t>
      </w:r>
      <w:r w:rsidRPr="00425F98">
        <w:t>,</w:t>
      </w:r>
      <w:r w:rsidRPr="00841EB5">
        <w:t xml:space="preserve"> </w:t>
      </w:r>
      <w:r>
        <w:t>lire</w:t>
      </w:r>
      <w:r w:rsidRPr="00841EB5">
        <w:t>:</w:t>
      </w:r>
    </w:p>
    <w:p w:rsidR="00E87B09" w:rsidRPr="00841EB5" w:rsidRDefault="00E87B09" w:rsidP="00E87B09">
      <w:pPr>
        <w:pStyle w:val="SingleTxtG"/>
        <w:ind w:left="2268" w:hanging="1134"/>
      </w:pPr>
      <w:r>
        <w:t>«</w:t>
      </w:r>
      <w:r w:rsidRPr="00841EB5">
        <w:t>1.</w:t>
      </w:r>
      <w:r w:rsidRPr="00841EB5">
        <w:tab/>
      </w:r>
      <w:r>
        <w:t>Le présent Règlement, qui concerne la protection des occupants de la cabine, s’applique aux véhicules de la catégorie N</w:t>
      </w:r>
      <w:r>
        <w:rPr>
          <w:rStyle w:val="FootnoteReference"/>
          <w:rFonts w:cs="Arial"/>
        </w:rPr>
        <w:footnoteReference w:id="2"/>
      </w:r>
      <w:r>
        <w:t>.».</w:t>
      </w:r>
    </w:p>
    <w:p w:rsidR="00E87B09" w:rsidRPr="00841EB5" w:rsidRDefault="00E87B09" w:rsidP="00E87B09">
      <w:pPr>
        <w:pStyle w:val="SingleTxtG"/>
        <w:rPr>
          <w:rFonts w:cs="Arial"/>
        </w:rPr>
      </w:pPr>
      <w:r w:rsidRPr="00E87B09">
        <w:rPr>
          <w:i/>
        </w:rPr>
        <w:t>Ajouter</w:t>
      </w:r>
      <w:r>
        <w:rPr>
          <w:rFonts w:cs="Arial"/>
          <w:i/>
        </w:rPr>
        <w:t xml:space="preserve"> deux nouveaux paragraphes </w:t>
      </w:r>
      <w:r w:rsidRPr="00841EB5">
        <w:rPr>
          <w:rFonts w:cs="Arial"/>
          <w:i/>
        </w:rPr>
        <w:t>2.13</w:t>
      </w:r>
      <w:r>
        <w:rPr>
          <w:rFonts w:cs="Arial"/>
        </w:rPr>
        <w:t xml:space="preserve"> </w:t>
      </w:r>
      <w:r>
        <w:rPr>
          <w:rFonts w:cs="Arial"/>
          <w:i/>
        </w:rPr>
        <w:t>et</w:t>
      </w:r>
      <w:r w:rsidRPr="00841EB5">
        <w:rPr>
          <w:rFonts w:cs="Arial"/>
          <w:i/>
        </w:rPr>
        <w:t xml:space="preserve"> 2.14</w:t>
      </w:r>
      <w:r w:rsidRPr="00841EB5">
        <w:rPr>
          <w:rFonts w:cs="Arial"/>
        </w:rPr>
        <w:t xml:space="preserve">, </w:t>
      </w:r>
      <w:r>
        <w:rPr>
          <w:rFonts w:cs="Arial"/>
        </w:rPr>
        <w:t>ainsi conçus</w:t>
      </w:r>
      <w:r w:rsidRPr="00841EB5">
        <w:rPr>
          <w:rFonts w:cs="Arial"/>
        </w:rPr>
        <w:t>:</w:t>
      </w:r>
    </w:p>
    <w:p w:rsidR="00E87B09" w:rsidRPr="00841EB5" w:rsidRDefault="00E87B09" w:rsidP="00E87B09">
      <w:pPr>
        <w:pStyle w:val="SingleTxtG"/>
        <w:ind w:left="2268" w:hanging="1134"/>
      </w:pPr>
      <w:r>
        <w:t>«2.13</w:t>
      </w:r>
      <w:r w:rsidRPr="00841EB5">
        <w:tab/>
      </w:r>
      <w:r w:rsidR="0031220F">
        <w:rPr>
          <w:rFonts w:cs="Arial"/>
          <w:szCs w:val="24"/>
          <w:lang w:val="fr-FR"/>
        </w:rPr>
        <w:t>“</w:t>
      </w:r>
      <w:r w:rsidRPr="002A0DFF">
        <w:rPr>
          <w:i/>
          <w:szCs w:val="24"/>
          <w:lang w:val="fr-FR"/>
        </w:rPr>
        <w:t>Véhicules de la catégorie N</w:t>
      </w:r>
      <w:r w:rsidRPr="002A0DFF">
        <w:rPr>
          <w:i/>
          <w:szCs w:val="24"/>
          <w:vertAlign w:val="subscript"/>
          <w:lang w:val="fr-FR"/>
        </w:rPr>
        <w:t>1</w:t>
      </w:r>
      <w:r w:rsidRPr="002A0DFF">
        <w:rPr>
          <w:i/>
          <w:szCs w:val="24"/>
          <w:lang w:val="fr-FR"/>
        </w:rPr>
        <w:t xml:space="preserve"> dérivés de véhicules de la catégorie M</w:t>
      </w:r>
      <w:r w:rsidRPr="002A0DFF">
        <w:rPr>
          <w:i/>
          <w:szCs w:val="24"/>
          <w:vertAlign w:val="subscript"/>
          <w:lang w:val="fr-FR"/>
        </w:rPr>
        <w:t>1</w:t>
      </w:r>
      <w:r>
        <w:rPr>
          <w:szCs w:val="24"/>
          <w:lang w:val="fr-FR"/>
        </w:rPr>
        <w:t>”</w:t>
      </w:r>
      <w:r w:rsidRPr="002A0DFF">
        <w:rPr>
          <w:szCs w:val="24"/>
          <w:lang w:val="fr-FR"/>
        </w:rPr>
        <w:t>, les véhicules de la catégorie N</w:t>
      </w:r>
      <w:r w:rsidRPr="002A0DFF">
        <w:rPr>
          <w:szCs w:val="24"/>
          <w:vertAlign w:val="subscript"/>
          <w:lang w:val="fr-FR"/>
        </w:rPr>
        <w:t>1</w:t>
      </w:r>
      <w:r w:rsidRPr="002A0DFF">
        <w:rPr>
          <w:szCs w:val="24"/>
          <w:lang w:val="fr-FR"/>
        </w:rPr>
        <w:t xml:space="preserve"> qui, en avant des montants avant, ont la même </w:t>
      </w:r>
      <w:r w:rsidRPr="00E87B09">
        <w:t>structure</w:t>
      </w:r>
      <w:r w:rsidRPr="002A0DFF">
        <w:rPr>
          <w:szCs w:val="24"/>
          <w:lang w:val="fr-FR"/>
        </w:rPr>
        <w:t xml:space="preserve"> générale et la même forme que des véhicules de la catégorie M</w:t>
      </w:r>
      <w:r w:rsidRPr="002A0DFF">
        <w:rPr>
          <w:szCs w:val="24"/>
          <w:vertAlign w:val="subscript"/>
          <w:lang w:val="fr-FR"/>
        </w:rPr>
        <w:t>1</w:t>
      </w:r>
      <w:r w:rsidRPr="002A0DFF">
        <w:rPr>
          <w:szCs w:val="24"/>
          <w:lang w:val="fr-FR"/>
        </w:rPr>
        <w:t xml:space="preserve"> préexistants.</w:t>
      </w:r>
    </w:p>
    <w:p w:rsidR="00E87B09" w:rsidRPr="00841EB5" w:rsidRDefault="00E87B09" w:rsidP="00E87B09">
      <w:pPr>
        <w:pStyle w:val="SingleTxtG"/>
        <w:ind w:left="2268" w:hanging="1134"/>
      </w:pPr>
      <w:r>
        <w:t>2.14</w:t>
      </w:r>
      <w:r w:rsidRPr="00841EB5">
        <w:tab/>
      </w:r>
      <w:r w:rsidRPr="002A0DFF">
        <w:rPr>
          <w:rFonts w:cs="Arial"/>
          <w:spacing w:val="-2"/>
          <w:szCs w:val="24"/>
          <w:lang w:val="fr-FR"/>
        </w:rPr>
        <w:t>“</w:t>
      </w:r>
      <w:r w:rsidRPr="002A0DFF">
        <w:rPr>
          <w:rFonts w:cs="Arial"/>
          <w:i/>
          <w:spacing w:val="-2"/>
          <w:szCs w:val="24"/>
          <w:lang w:val="fr-FR"/>
        </w:rPr>
        <w:t>Cabine séparée</w:t>
      </w:r>
      <w:r w:rsidRPr="002A0DFF">
        <w:rPr>
          <w:rFonts w:cs="Arial"/>
          <w:spacing w:val="-2"/>
          <w:szCs w:val="24"/>
          <w:lang w:val="fr-FR"/>
        </w:rPr>
        <w:t>”, une cabine fixée au châssis du véhicule de manière propre et n</w:t>
      </w:r>
      <w:r>
        <w:rPr>
          <w:rFonts w:cs="Arial"/>
          <w:spacing w:val="-2"/>
          <w:szCs w:val="24"/>
          <w:lang w:val="fr-FR"/>
        </w:rPr>
        <w:t>’</w:t>
      </w:r>
      <w:r w:rsidRPr="002A0DFF">
        <w:rPr>
          <w:rFonts w:cs="Arial"/>
          <w:spacing w:val="-2"/>
          <w:szCs w:val="24"/>
          <w:lang w:val="fr-FR"/>
        </w:rPr>
        <w:t>ayant pas de partie commune avec compartiment de charge.</w:t>
      </w:r>
      <w:r w:rsidRPr="00273213">
        <w:rPr>
          <w:rFonts w:cs="Arial"/>
          <w:spacing w:val="-2"/>
          <w:szCs w:val="24"/>
          <w:lang w:val="fr-FR"/>
        </w:rPr>
        <w:t>».</w:t>
      </w:r>
    </w:p>
    <w:p w:rsidR="00E87B09" w:rsidRPr="00841EB5" w:rsidRDefault="00E87B09" w:rsidP="00E87B09">
      <w:pPr>
        <w:pStyle w:val="SingleTxtG"/>
        <w:rPr>
          <w:rFonts w:cs="Arial"/>
        </w:rPr>
      </w:pPr>
      <w:r w:rsidRPr="00E87B09">
        <w:rPr>
          <w:i/>
        </w:rPr>
        <w:t>Paragraphe</w:t>
      </w:r>
      <w:r>
        <w:rPr>
          <w:rFonts w:cs="Arial"/>
          <w:i/>
        </w:rPr>
        <w:t xml:space="preserve"> 5.1.2</w:t>
      </w:r>
      <w:r w:rsidRPr="00E87B09">
        <w:rPr>
          <w:rFonts w:cs="Arial"/>
        </w:rPr>
        <w:t>,</w:t>
      </w:r>
      <w:r w:rsidRPr="00841EB5">
        <w:rPr>
          <w:rFonts w:cs="Arial"/>
        </w:rPr>
        <w:t xml:space="preserve"> </w:t>
      </w:r>
      <w:r>
        <w:rPr>
          <w:rFonts w:cs="Arial"/>
        </w:rPr>
        <w:t>lire</w:t>
      </w:r>
      <w:r w:rsidRPr="00841EB5">
        <w:rPr>
          <w:rFonts w:cs="Arial"/>
        </w:rPr>
        <w:t>:</w:t>
      </w:r>
    </w:p>
    <w:p w:rsidR="00E87B09" w:rsidRPr="00841EB5" w:rsidRDefault="00E87B09" w:rsidP="00E87B09">
      <w:pPr>
        <w:pStyle w:val="SingleTxtG"/>
        <w:ind w:left="2268" w:hanging="1134"/>
        <w:rPr>
          <w:rFonts w:cs="Arial"/>
        </w:rPr>
      </w:pPr>
      <w:r>
        <w:t>«</w:t>
      </w:r>
      <w:r>
        <w:rPr>
          <w:rFonts w:cs="Arial"/>
        </w:rPr>
        <w:t>5.1.2</w:t>
      </w:r>
      <w:r w:rsidRPr="00841EB5">
        <w:rPr>
          <w:rFonts w:cs="Arial"/>
        </w:rPr>
        <w:tab/>
      </w:r>
      <w:r>
        <w:rPr>
          <w:szCs w:val="24"/>
          <w:lang w:val="fr-FR"/>
        </w:rPr>
        <w:t>Les véhicules de la catégorie </w:t>
      </w:r>
      <w:r w:rsidRPr="00654B16">
        <w:rPr>
          <w:szCs w:val="24"/>
          <w:lang w:val="fr-FR"/>
        </w:rPr>
        <w:t>N</w:t>
      </w:r>
      <w:r w:rsidRPr="00654B16">
        <w:rPr>
          <w:szCs w:val="24"/>
          <w:vertAlign w:val="subscript"/>
          <w:lang w:val="fr-FR"/>
        </w:rPr>
        <w:t>1</w:t>
      </w:r>
      <w:r w:rsidRPr="00654B16">
        <w:rPr>
          <w:szCs w:val="24"/>
          <w:lang w:val="fr-FR"/>
        </w:rPr>
        <w:t xml:space="preserve"> e</w:t>
      </w:r>
      <w:r>
        <w:rPr>
          <w:szCs w:val="24"/>
          <w:lang w:val="fr-FR"/>
        </w:rPr>
        <w:t>t les véhicules de la catégorie </w:t>
      </w:r>
      <w:r w:rsidRPr="00654B16">
        <w:rPr>
          <w:szCs w:val="24"/>
          <w:lang w:val="fr-FR"/>
        </w:rPr>
        <w:t>N</w:t>
      </w:r>
      <w:r w:rsidRPr="00654B16">
        <w:rPr>
          <w:szCs w:val="24"/>
          <w:vertAlign w:val="subscript"/>
          <w:lang w:val="fr-FR"/>
        </w:rPr>
        <w:t>2</w:t>
      </w:r>
      <w:r w:rsidRPr="00654B16">
        <w:rPr>
          <w:szCs w:val="24"/>
          <w:lang w:val="fr-FR"/>
        </w:rPr>
        <w:t xml:space="preserve"> dont la masse brut</w:t>
      </w:r>
      <w:r>
        <w:rPr>
          <w:szCs w:val="24"/>
          <w:lang w:val="fr-FR"/>
        </w:rPr>
        <w:t>e est inférieure ou égale à 7,5 </w:t>
      </w:r>
      <w:r w:rsidRPr="00654B16">
        <w:rPr>
          <w:szCs w:val="24"/>
          <w:lang w:val="fr-FR"/>
        </w:rPr>
        <w:t xml:space="preserve">t </w:t>
      </w:r>
      <w:r>
        <w:rPr>
          <w:szCs w:val="24"/>
          <w:lang w:val="fr-FR"/>
        </w:rPr>
        <w:t>doivent être soumis aux essais </w:t>
      </w:r>
      <w:r w:rsidRPr="00654B16">
        <w:rPr>
          <w:szCs w:val="24"/>
          <w:lang w:val="fr-FR"/>
        </w:rPr>
        <w:t>A et</w:t>
      </w:r>
      <w:r>
        <w:rPr>
          <w:szCs w:val="24"/>
          <w:lang w:val="fr-FR"/>
        </w:rPr>
        <w:t xml:space="preserve"> C, qui sont </w:t>
      </w:r>
      <w:r w:rsidRPr="00654B16">
        <w:rPr>
          <w:szCs w:val="24"/>
          <w:lang w:val="fr-FR"/>
        </w:rPr>
        <w:t>décrits à l</w:t>
      </w:r>
      <w:r>
        <w:rPr>
          <w:szCs w:val="24"/>
          <w:lang w:val="fr-FR"/>
        </w:rPr>
        <w:t>’annexe 3, paragraphes </w:t>
      </w:r>
      <w:r w:rsidRPr="00654B16">
        <w:rPr>
          <w:szCs w:val="24"/>
          <w:lang w:val="fr-FR"/>
        </w:rPr>
        <w:t>5 et 7.</w:t>
      </w:r>
    </w:p>
    <w:p w:rsidR="00E87B09" w:rsidRPr="002A0DFF" w:rsidRDefault="00E87B09" w:rsidP="00E87B09">
      <w:pPr>
        <w:pStyle w:val="SingleTxtG"/>
        <w:ind w:left="2268"/>
        <w:rPr>
          <w:lang w:val="fr-FR"/>
        </w:rPr>
      </w:pPr>
      <w:r w:rsidRPr="00841EB5">
        <w:tab/>
      </w:r>
      <w:r w:rsidRPr="002A0DFF">
        <w:rPr>
          <w:lang w:val="fr-FR"/>
        </w:rPr>
        <w:t>Cependant, un type de véhicule répondant aux prescriptions concernant la</w:t>
      </w:r>
      <w:r>
        <w:rPr>
          <w:lang w:val="fr-FR"/>
        </w:rPr>
        <w:t xml:space="preserve"> </w:t>
      </w:r>
      <w:r w:rsidRPr="00E87B09">
        <w:t>protection</w:t>
      </w:r>
      <w:r>
        <w:rPr>
          <w:lang w:val="fr-FR"/>
        </w:rPr>
        <w:t xml:space="preserve"> contre le choc </w:t>
      </w:r>
      <w:r w:rsidRPr="002A0DFF">
        <w:rPr>
          <w:lang w:val="fr-FR"/>
        </w:rPr>
        <w:t>avant des Règlements n</w:t>
      </w:r>
      <w:r w:rsidRPr="002A0DFF">
        <w:rPr>
          <w:vertAlign w:val="superscript"/>
          <w:lang w:val="fr-FR"/>
        </w:rPr>
        <w:t>o</w:t>
      </w:r>
      <w:r w:rsidRPr="002A0DFF">
        <w:rPr>
          <w:lang w:val="fr-FR"/>
        </w:rPr>
        <w:t> 12, n</w:t>
      </w:r>
      <w:r w:rsidRPr="002A0DFF">
        <w:rPr>
          <w:vertAlign w:val="superscript"/>
          <w:lang w:val="fr-FR"/>
        </w:rPr>
        <w:t>o</w:t>
      </w:r>
      <w:r w:rsidRPr="002A0DFF">
        <w:rPr>
          <w:lang w:val="fr-FR"/>
        </w:rPr>
        <w:t> </w:t>
      </w:r>
      <w:r w:rsidRPr="002A0DFF">
        <w:rPr>
          <w:bCs/>
          <w:lang w:val="fr-FR"/>
        </w:rPr>
        <w:t xml:space="preserve">33 ou </w:t>
      </w:r>
      <w:r w:rsidRPr="002A0DFF">
        <w:rPr>
          <w:lang w:val="fr-FR"/>
        </w:rPr>
        <w:t>n</w:t>
      </w:r>
      <w:r w:rsidRPr="002A0DFF">
        <w:rPr>
          <w:vertAlign w:val="superscript"/>
          <w:lang w:val="fr-FR"/>
        </w:rPr>
        <w:t>o</w:t>
      </w:r>
      <w:r w:rsidRPr="002A0DFF">
        <w:rPr>
          <w:lang w:val="fr-FR"/>
        </w:rPr>
        <w:t> 94, ainsi que les véhicules de la catégorie </w:t>
      </w:r>
      <w:r w:rsidRPr="002A0DFF">
        <w:rPr>
          <w:bCs/>
          <w:lang w:val="fr-FR"/>
        </w:rPr>
        <w:t>N</w:t>
      </w:r>
      <w:r w:rsidRPr="002A0DFF">
        <w:rPr>
          <w:bCs/>
          <w:vertAlign w:val="subscript"/>
          <w:lang w:val="fr-FR"/>
        </w:rPr>
        <w:t>1</w:t>
      </w:r>
      <w:r w:rsidRPr="002A0DFF">
        <w:rPr>
          <w:lang w:val="fr-FR"/>
        </w:rPr>
        <w:t xml:space="preserve"> </w:t>
      </w:r>
      <w:r w:rsidRPr="002A0DFF">
        <w:rPr>
          <w:bCs/>
          <w:lang w:val="fr-FR"/>
        </w:rPr>
        <w:t>dérivés de véhicules de la catégorie</w:t>
      </w:r>
      <w:r w:rsidRPr="002A0DFF">
        <w:t> </w:t>
      </w:r>
      <w:r w:rsidRPr="002A0DFF">
        <w:rPr>
          <w:bCs/>
          <w:lang w:val="fr-FR"/>
        </w:rPr>
        <w:t>M</w:t>
      </w:r>
      <w:r w:rsidRPr="002A0DFF">
        <w:rPr>
          <w:bCs/>
          <w:vertAlign w:val="subscript"/>
          <w:lang w:val="fr-FR"/>
        </w:rPr>
        <w:t>1</w:t>
      </w:r>
      <w:r w:rsidRPr="002A0DFF">
        <w:rPr>
          <w:bCs/>
          <w:lang w:val="fr-FR"/>
        </w:rPr>
        <w:t xml:space="preserve"> homologués au titre du Règlement n</w:t>
      </w:r>
      <w:r w:rsidRPr="002A0DFF">
        <w:rPr>
          <w:bCs/>
          <w:vertAlign w:val="superscript"/>
          <w:lang w:val="fr-FR"/>
        </w:rPr>
        <w:t>o</w:t>
      </w:r>
      <w:r w:rsidRPr="002A0DFF">
        <w:rPr>
          <w:bCs/>
          <w:lang w:val="fr-FR"/>
        </w:rPr>
        <w:t xml:space="preserve"> 94, </w:t>
      </w:r>
      <w:r w:rsidRPr="002A0DFF">
        <w:rPr>
          <w:lang w:val="fr-FR"/>
        </w:rPr>
        <w:t>peuvent être considérés comme ayant satisfait aux prescriptions concernant le choc avant (essai A).</w:t>
      </w:r>
    </w:p>
    <w:p w:rsidR="00E87B09" w:rsidRPr="002A0DFF" w:rsidRDefault="00E87B09" w:rsidP="00E87B09">
      <w:pPr>
        <w:pStyle w:val="SingleTxtG"/>
        <w:ind w:left="2268"/>
        <w:rPr>
          <w:lang w:val="fr-FR"/>
        </w:rPr>
      </w:pPr>
      <w:r w:rsidRPr="00841EB5">
        <w:tab/>
      </w:r>
      <w:r w:rsidRPr="002A0DFF">
        <w:rPr>
          <w:lang w:val="fr-FR"/>
        </w:rPr>
        <w:t xml:space="preserve">Seuls les véhicules ayant une cabine séparée sont soumis à </w:t>
      </w:r>
      <w:r w:rsidRPr="00E87B09">
        <w:t>l’essai</w:t>
      </w:r>
      <w:r w:rsidRPr="002A0DFF">
        <w:rPr>
          <w:lang w:val="fr-FR"/>
        </w:rPr>
        <w:t> C.».</w:t>
      </w:r>
    </w:p>
    <w:p w:rsidR="00E87B09" w:rsidRPr="00841EB5" w:rsidRDefault="00E87B09" w:rsidP="00E87B09">
      <w:pPr>
        <w:pStyle w:val="SingleTxtG"/>
        <w:rPr>
          <w:rFonts w:cs="Arial"/>
        </w:rPr>
      </w:pPr>
      <w:r w:rsidRPr="00E87B09">
        <w:rPr>
          <w:i/>
        </w:rPr>
        <w:t>Paragraphe</w:t>
      </w:r>
      <w:r>
        <w:rPr>
          <w:rFonts w:cs="Arial"/>
          <w:i/>
        </w:rPr>
        <w:t xml:space="preserve"> 5.1.3</w:t>
      </w:r>
      <w:r w:rsidRPr="00E87B09">
        <w:rPr>
          <w:rFonts w:cs="Arial"/>
        </w:rPr>
        <w:t>,</w:t>
      </w:r>
      <w:r w:rsidRPr="00841EB5">
        <w:rPr>
          <w:rFonts w:cs="Arial"/>
        </w:rPr>
        <w:t xml:space="preserve"> </w:t>
      </w:r>
      <w:r>
        <w:rPr>
          <w:rFonts w:cs="Arial"/>
        </w:rPr>
        <w:t>lire</w:t>
      </w:r>
      <w:r w:rsidRPr="00841EB5">
        <w:rPr>
          <w:rFonts w:cs="Arial"/>
        </w:rPr>
        <w:t>:</w:t>
      </w:r>
    </w:p>
    <w:p w:rsidR="00E87B09" w:rsidRPr="00841EB5" w:rsidRDefault="00E87B09" w:rsidP="00E87B09">
      <w:pPr>
        <w:tabs>
          <w:tab w:val="left" w:pos="4536"/>
        </w:tabs>
        <w:spacing w:after="120"/>
        <w:ind w:left="2268" w:right="1138" w:hanging="1130"/>
        <w:jc w:val="both"/>
        <w:rPr>
          <w:rFonts w:cs="Arial"/>
        </w:rPr>
      </w:pPr>
      <w:r>
        <w:t>«</w:t>
      </w:r>
      <w:r>
        <w:rPr>
          <w:rFonts w:cs="Arial"/>
        </w:rPr>
        <w:t>5.1.3</w:t>
      </w:r>
      <w:r w:rsidRPr="00841EB5">
        <w:rPr>
          <w:rFonts w:cs="Arial"/>
        </w:rPr>
        <w:tab/>
      </w:r>
      <w:r>
        <w:rPr>
          <w:szCs w:val="24"/>
          <w:lang w:val="fr-FR"/>
        </w:rPr>
        <w:t>Les véhicules de la catégorie </w:t>
      </w:r>
      <w:r w:rsidRPr="00654B16">
        <w:rPr>
          <w:szCs w:val="24"/>
          <w:lang w:val="fr-FR"/>
        </w:rPr>
        <w:t>N</w:t>
      </w:r>
      <w:r w:rsidRPr="00654B16">
        <w:rPr>
          <w:szCs w:val="24"/>
          <w:vertAlign w:val="subscript"/>
          <w:lang w:val="fr-FR"/>
        </w:rPr>
        <w:t>3</w:t>
      </w:r>
      <w:r w:rsidRPr="00654B16">
        <w:rPr>
          <w:szCs w:val="24"/>
          <w:lang w:val="fr-FR"/>
        </w:rPr>
        <w:t xml:space="preserve"> e</w:t>
      </w:r>
      <w:r>
        <w:rPr>
          <w:szCs w:val="24"/>
          <w:lang w:val="fr-FR"/>
        </w:rPr>
        <w:t>t les véhicules de la catégorie </w:t>
      </w:r>
      <w:r w:rsidRPr="00654B16">
        <w:rPr>
          <w:szCs w:val="24"/>
          <w:lang w:val="fr-FR"/>
        </w:rPr>
        <w:t>N</w:t>
      </w:r>
      <w:r w:rsidRPr="00654B16">
        <w:rPr>
          <w:szCs w:val="24"/>
          <w:vertAlign w:val="subscript"/>
          <w:lang w:val="fr-FR"/>
        </w:rPr>
        <w:t>2</w:t>
      </w:r>
      <w:r w:rsidRPr="00654B16">
        <w:rPr>
          <w:szCs w:val="24"/>
          <w:lang w:val="fr-FR"/>
        </w:rPr>
        <w:t xml:space="preserve"> dont la masse brute est supérieure</w:t>
      </w:r>
      <w:r>
        <w:rPr>
          <w:szCs w:val="24"/>
          <w:lang w:val="fr-FR"/>
        </w:rPr>
        <w:t xml:space="preserve"> à 7,5 t sont soumis aux essais </w:t>
      </w:r>
      <w:r w:rsidRPr="00654B16">
        <w:rPr>
          <w:szCs w:val="24"/>
          <w:lang w:val="fr-FR"/>
        </w:rPr>
        <w:t xml:space="preserve">A, B et C, </w:t>
      </w:r>
      <w:r>
        <w:rPr>
          <w:szCs w:val="24"/>
          <w:lang w:val="fr-FR"/>
        </w:rPr>
        <w:t xml:space="preserve">qui </w:t>
      </w:r>
      <w:r w:rsidRPr="00654B16">
        <w:rPr>
          <w:szCs w:val="24"/>
          <w:lang w:val="fr-FR"/>
        </w:rPr>
        <w:t>sont décrits à l</w:t>
      </w:r>
      <w:r>
        <w:rPr>
          <w:szCs w:val="24"/>
          <w:lang w:val="fr-FR"/>
        </w:rPr>
        <w:t>’</w:t>
      </w:r>
      <w:r w:rsidRPr="00654B16">
        <w:rPr>
          <w:szCs w:val="24"/>
          <w:lang w:val="fr-FR"/>
        </w:rPr>
        <w:t>annexe</w:t>
      </w:r>
      <w:r>
        <w:rPr>
          <w:szCs w:val="24"/>
          <w:lang w:val="fr-FR"/>
        </w:rPr>
        <w:t> 3, paragraphes 5, 6 et 7.</w:t>
      </w:r>
    </w:p>
    <w:p w:rsidR="00E87B09" w:rsidRPr="002A0DFF" w:rsidRDefault="00E87B09" w:rsidP="00E87B09">
      <w:pPr>
        <w:pStyle w:val="SingleTxtG"/>
        <w:ind w:left="2268"/>
        <w:rPr>
          <w:rFonts w:cs="Arial"/>
          <w:bCs/>
          <w:szCs w:val="24"/>
          <w:lang w:val="fr-FR"/>
        </w:rPr>
      </w:pPr>
      <w:r w:rsidRPr="00841EB5">
        <w:tab/>
      </w:r>
      <w:r w:rsidRPr="002A0DFF">
        <w:rPr>
          <w:rFonts w:cs="Arial"/>
          <w:bCs/>
          <w:szCs w:val="24"/>
          <w:lang w:val="fr-FR"/>
        </w:rPr>
        <w:t>Seuls les véhicules ayant une cabine séparée sont soumis à l</w:t>
      </w:r>
      <w:r>
        <w:rPr>
          <w:rFonts w:cs="Arial"/>
          <w:bCs/>
          <w:szCs w:val="24"/>
          <w:lang w:val="fr-FR"/>
        </w:rPr>
        <w:t>’</w:t>
      </w:r>
      <w:r w:rsidRPr="002A0DFF">
        <w:rPr>
          <w:rFonts w:cs="Arial"/>
          <w:bCs/>
          <w:szCs w:val="24"/>
          <w:lang w:val="fr-FR"/>
        </w:rPr>
        <w:t>essai C.».</w:t>
      </w:r>
    </w:p>
    <w:p w:rsidR="00E87B09" w:rsidRPr="00841EB5" w:rsidRDefault="00E87B09" w:rsidP="00E87B09">
      <w:pPr>
        <w:pStyle w:val="SingleTxtG"/>
        <w:rPr>
          <w:i/>
        </w:rPr>
      </w:pPr>
      <w:r w:rsidRPr="00841EB5">
        <w:rPr>
          <w:i/>
        </w:rPr>
        <w:t>Annex</w:t>
      </w:r>
      <w:r>
        <w:rPr>
          <w:i/>
        </w:rPr>
        <w:t>e</w:t>
      </w:r>
      <w:r w:rsidRPr="00841EB5">
        <w:rPr>
          <w:i/>
        </w:rPr>
        <w:t xml:space="preserve"> 3</w:t>
      </w:r>
      <w:r w:rsidRPr="00E87B09">
        <w:t>,</w:t>
      </w:r>
      <w:r w:rsidRPr="00841EB5">
        <w:rPr>
          <w:i/>
        </w:rPr>
        <w:t xml:space="preserve"> </w:t>
      </w:r>
    </w:p>
    <w:p w:rsidR="00E87B09" w:rsidRPr="00841EB5" w:rsidRDefault="00E87B09" w:rsidP="00E87B09">
      <w:pPr>
        <w:pStyle w:val="SingleTxtG"/>
        <w:rPr>
          <w:i/>
        </w:rPr>
      </w:pPr>
      <w:r w:rsidRPr="00841EB5">
        <w:rPr>
          <w:i/>
        </w:rPr>
        <w:t>Paragraph</w:t>
      </w:r>
      <w:r>
        <w:rPr>
          <w:i/>
        </w:rPr>
        <w:t>e 7.3.3</w:t>
      </w:r>
      <w:r w:rsidRPr="00E87B09">
        <w:t>,</w:t>
      </w:r>
      <w:r w:rsidRPr="00841EB5">
        <w:t xml:space="preserve"> </w:t>
      </w:r>
      <w:r>
        <w:t>sans objet en français.</w:t>
      </w:r>
    </w:p>
    <w:p w:rsidR="00E87B09" w:rsidRPr="00841EB5" w:rsidRDefault="00E87B09" w:rsidP="00E87B09">
      <w:pPr>
        <w:pStyle w:val="SingleTxtG"/>
        <w:rPr>
          <w:i/>
        </w:rPr>
      </w:pPr>
      <w:r w:rsidRPr="00841EB5">
        <w:rPr>
          <w:i/>
        </w:rPr>
        <w:t>Paragraph</w:t>
      </w:r>
      <w:r>
        <w:rPr>
          <w:i/>
        </w:rPr>
        <w:t>e 7.3.4</w:t>
      </w:r>
      <w:r w:rsidRPr="00E87B09">
        <w:t>,</w:t>
      </w:r>
      <w:r w:rsidRPr="00841EB5">
        <w:t xml:space="preserve"> </w:t>
      </w:r>
      <w:r>
        <w:t>lire</w:t>
      </w:r>
      <w:r w:rsidRPr="00841EB5">
        <w:t>:</w:t>
      </w:r>
    </w:p>
    <w:p w:rsidR="005F0207" w:rsidRDefault="00E87B09" w:rsidP="00E87B09">
      <w:pPr>
        <w:pStyle w:val="SingleTxtG"/>
        <w:ind w:left="2268" w:hanging="1134"/>
        <w:rPr>
          <w:spacing w:val="-1"/>
          <w:szCs w:val="24"/>
          <w:lang w:val="fr-FR"/>
        </w:rPr>
      </w:pPr>
      <w:r>
        <w:t>«7.3.4</w:t>
      </w:r>
      <w:r w:rsidRPr="00841EB5">
        <w:tab/>
      </w:r>
      <w:r w:rsidRPr="00642460">
        <w:rPr>
          <w:szCs w:val="24"/>
          <w:lang w:val="fr-FR"/>
        </w:rPr>
        <w:t>L</w:t>
      </w:r>
      <w:r>
        <w:rPr>
          <w:szCs w:val="24"/>
          <w:lang w:val="fr-FR"/>
        </w:rPr>
        <w:t>’</w:t>
      </w:r>
      <w:r w:rsidRPr="00642460">
        <w:rPr>
          <w:szCs w:val="24"/>
          <w:lang w:val="fr-FR"/>
        </w:rPr>
        <w:t>élément de frappe vient heurter la partie supérieure de la cabine de telle sorte qu</w:t>
      </w:r>
      <w:r>
        <w:rPr>
          <w:szCs w:val="24"/>
          <w:lang w:val="fr-FR"/>
        </w:rPr>
        <w:t>’</w:t>
      </w:r>
      <w:r w:rsidRPr="00642460">
        <w:rPr>
          <w:szCs w:val="24"/>
          <w:lang w:val="fr-FR"/>
        </w:rPr>
        <w:t>au</w:t>
      </w:r>
      <w:r w:rsidRPr="00273213">
        <w:rPr>
          <w:spacing w:val="-1"/>
          <w:szCs w:val="24"/>
          <w:lang w:val="fr-FR"/>
        </w:rPr>
        <w:t xml:space="preserve"> moment de l</w:t>
      </w:r>
      <w:r>
        <w:rPr>
          <w:spacing w:val="-1"/>
          <w:szCs w:val="24"/>
          <w:lang w:val="fr-FR"/>
        </w:rPr>
        <w:t>’</w:t>
      </w:r>
      <w:r w:rsidRPr="00273213">
        <w:rPr>
          <w:spacing w:val="-1"/>
          <w:szCs w:val="24"/>
          <w:lang w:val="fr-FR"/>
        </w:rPr>
        <w:t>impact</w:t>
      </w:r>
      <w:r>
        <w:rPr>
          <w:spacing w:val="-1"/>
          <w:szCs w:val="24"/>
          <w:lang w:val="fr-FR"/>
        </w:rPr>
        <w:t>,</w:t>
      </w:r>
      <w:r w:rsidRPr="00273213">
        <w:rPr>
          <w:spacing w:val="-1"/>
          <w:szCs w:val="24"/>
          <w:lang w:val="fr-FR"/>
        </w:rPr>
        <w:t xml:space="preserve"> les prescriptions du </w:t>
      </w:r>
      <w:r w:rsidRPr="00E87B09">
        <w:t>paragraphe</w:t>
      </w:r>
      <w:r w:rsidRPr="00273213">
        <w:rPr>
          <w:spacing w:val="-1"/>
          <w:szCs w:val="24"/>
          <w:lang w:val="fr-FR"/>
        </w:rPr>
        <w:t> 7.3.3 ci</w:t>
      </w:r>
      <w:r w:rsidR="0031220F">
        <w:rPr>
          <w:spacing w:val="-1"/>
          <w:szCs w:val="24"/>
          <w:lang w:val="fr-FR"/>
        </w:rPr>
        <w:noBreakHyphen/>
      </w:r>
      <w:r w:rsidRPr="00273213">
        <w:rPr>
          <w:spacing w:val="-1"/>
          <w:szCs w:val="24"/>
          <w:lang w:val="fr-FR"/>
        </w:rPr>
        <w:t>dessus soient respectées. L</w:t>
      </w:r>
      <w:r>
        <w:rPr>
          <w:spacing w:val="-1"/>
          <w:szCs w:val="24"/>
          <w:lang w:val="fr-FR"/>
        </w:rPr>
        <w:t>’</w:t>
      </w:r>
      <w:r w:rsidRPr="00273213">
        <w:rPr>
          <w:spacing w:val="-1"/>
          <w:szCs w:val="24"/>
          <w:lang w:val="fr-FR"/>
        </w:rPr>
        <w:t>impact se produit perpendiculairement à la surface de l</w:t>
      </w:r>
      <w:r>
        <w:rPr>
          <w:spacing w:val="-1"/>
          <w:szCs w:val="24"/>
          <w:lang w:val="fr-FR"/>
        </w:rPr>
        <w:t>’</w:t>
      </w:r>
      <w:r w:rsidRPr="00273213">
        <w:rPr>
          <w:spacing w:val="-1"/>
          <w:szCs w:val="24"/>
          <w:lang w:val="fr-FR"/>
        </w:rPr>
        <w:t>élément de frappe et au plan longitudinal médian de la cabine. Soit l</w:t>
      </w:r>
      <w:r>
        <w:rPr>
          <w:spacing w:val="-1"/>
          <w:szCs w:val="24"/>
          <w:lang w:val="fr-FR"/>
        </w:rPr>
        <w:t>’</w:t>
      </w:r>
      <w:r w:rsidRPr="00273213">
        <w:rPr>
          <w:spacing w:val="-1"/>
          <w:szCs w:val="24"/>
          <w:lang w:val="fr-FR"/>
        </w:rPr>
        <w:t>élément de frappe, soit la cabine peuvent être mobiles, pour autant que les</w:t>
      </w:r>
      <w:r>
        <w:rPr>
          <w:spacing w:val="-1"/>
          <w:szCs w:val="24"/>
          <w:lang w:val="fr-FR"/>
        </w:rPr>
        <w:t xml:space="preserve"> </w:t>
      </w:r>
      <w:r w:rsidRPr="00273213">
        <w:rPr>
          <w:spacing w:val="-1"/>
          <w:szCs w:val="24"/>
          <w:lang w:val="fr-FR"/>
        </w:rPr>
        <w:t xml:space="preserve">prescriptions de positionnement soient respectées </w:t>
      </w:r>
      <w:r w:rsidRPr="00D7757A">
        <w:rPr>
          <w:spacing w:val="-1"/>
          <w:szCs w:val="24"/>
          <w:lang w:val="fr-FR"/>
        </w:rPr>
        <w:t xml:space="preserve">au moment de </w:t>
      </w:r>
      <w:r w:rsidRPr="00E87B09">
        <w:t>l’impact</w:t>
      </w:r>
      <w:r w:rsidRPr="00D7757A">
        <w:rPr>
          <w:spacing w:val="-1"/>
          <w:szCs w:val="24"/>
          <w:lang w:val="fr-FR"/>
        </w:rPr>
        <w:t>.».</w:t>
      </w:r>
    </w:p>
    <w:p w:rsidR="0031220F" w:rsidRPr="0031220F" w:rsidRDefault="0031220F" w:rsidP="0031220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220F" w:rsidRPr="0031220F" w:rsidSect="00AD6C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50" w:rsidRDefault="00D51A50"/>
  </w:endnote>
  <w:endnote w:type="continuationSeparator" w:id="0">
    <w:p w:rsidR="00D51A50" w:rsidRDefault="00D51A50">
      <w:pPr>
        <w:pStyle w:val="Footer"/>
      </w:pPr>
    </w:p>
  </w:endnote>
  <w:endnote w:type="continuationNotice" w:id="1">
    <w:p w:rsidR="00D51A50" w:rsidRPr="00C451B9" w:rsidRDefault="00D51A5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8A" w:rsidRPr="00AD6C8A" w:rsidRDefault="00AD6C8A" w:rsidP="00AD6C8A">
    <w:pPr>
      <w:pStyle w:val="Footer"/>
      <w:tabs>
        <w:tab w:val="right" w:pos="9638"/>
      </w:tabs>
    </w:pPr>
    <w:r w:rsidRPr="00AD6C8A">
      <w:rPr>
        <w:b/>
        <w:sz w:val="18"/>
      </w:rPr>
      <w:fldChar w:fldCharType="begin"/>
    </w:r>
    <w:r w:rsidRPr="00AD6C8A">
      <w:rPr>
        <w:b/>
        <w:sz w:val="18"/>
      </w:rPr>
      <w:instrText xml:space="preserve"> PAGE  \* MERGEFORMAT </w:instrText>
    </w:r>
    <w:r w:rsidRPr="00AD6C8A">
      <w:rPr>
        <w:b/>
        <w:sz w:val="18"/>
      </w:rPr>
      <w:fldChar w:fldCharType="separate"/>
    </w:r>
    <w:r w:rsidR="00A83C4A">
      <w:rPr>
        <w:b/>
        <w:noProof/>
        <w:sz w:val="18"/>
      </w:rPr>
      <w:t>2</w:t>
    </w:r>
    <w:r w:rsidRPr="00AD6C8A">
      <w:rPr>
        <w:b/>
        <w:sz w:val="18"/>
      </w:rPr>
      <w:fldChar w:fldCharType="end"/>
    </w:r>
    <w:r>
      <w:rPr>
        <w:b/>
        <w:sz w:val="18"/>
      </w:rPr>
      <w:tab/>
    </w:r>
    <w:r>
      <w:t>GE.15-01666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8A" w:rsidRPr="00AD6C8A" w:rsidRDefault="00AD6C8A" w:rsidP="00AD6C8A">
    <w:pPr>
      <w:pStyle w:val="Footer"/>
      <w:tabs>
        <w:tab w:val="right" w:pos="9638"/>
      </w:tabs>
      <w:rPr>
        <w:b/>
        <w:sz w:val="18"/>
      </w:rPr>
    </w:pPr>
    <w:r>
      <w:t>GE.15-01666</w:t>
    </w:r>
    <w:r>
      <w:tab/>
    </w:r>
    <w:r w:rsidRPr="00AD6C8A">
      <w:rPr>
        <w:b/>
        <w:sz w:val="18"/>
      </w:rPr>
      <w:fldChar w:fldCharType="begin"/>
    </w:r>
    <w:r w:rsidRPr="00AD6C8A">
      <w:rPr>
        <w:b/>
        <w:sz w:val="18"/>
      </w:rPr>
      <w:instrText xml:space="preserve"> PAGE  \* MERGEFORMAT </w:instrText>
    </w:r>
    <w:r w:rsidRPr="00AD6C8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D6C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56" w:rsidRPr="0029791D" w:rsidRDefault="00301850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301850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08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AD6C8A" w:rsidRDefault="00AD6C8A" w:rsidP="00AD6C8A">
    <w:pPr>
      <w:pStyle w:val="Footer"/>
      <w:spacing w:before="120"/>
      <w:rPr>
        <w:sz w:val="20"/>
      </w:rPr>
    </w:pPr>
    <w:r>
      <w:rPr>
        <w:sz w:val="20"/>
      </w:rPr>
      <w:t>GE.15-01666  (F)</w:t>
    </w:r>
    <w:r w:rsidR="00E87B09">
      <w:rPr>
        <w:sz w:val="20"/>
      </w:rPr>
      <w:t xml:space="preserve">    090415    100415</w:t>
    </w:r>
    <w:r>
      <w:rPr>
        <w:sz w:val="20"/>
      </w:rPr>
      <w:br/>
    </w:r>
    <w:r w:rsidRPr="00AD6C8A">
      <w:rPr>
        <w:rFonts w:ascii="C39T30Lfz" w:hAnsi="C39T30Lfz"/>
        <w:sz w:val="56"/>
      </w:rPr>
      <w:t></w:t>
    </w:r>
    <w:r w:rsidRPr="00AD6C8A">
      <w:rPr>
        <w:rFonts w:ascii="C39T30Lfz" w:hAnsi="C39T30Lfz"/>
        <w:sz w:val="56"/>
      </w:rPr>
      <w:t></w:t>
    </w:r>
    <w:r w:rsidRPr="00AD6C8A">
      <w:rPr>
        <w:rFonts w:ascii="C39T30Lfz" w:hAnsi="C39T30Lfz"/>
        <w:sz w:val="56"/>
      </w:rPr>
      <w:t></w:t>
    </w:r>
    <w:r w:rsidRPr="00AD6C8A">
      <w:rPr>
        <w:rFonts w:ascii="C39T30Lfz" w:hAnsi="C39T30Lfz"/>
        <w:sz w:val="56"/>
      </w:rPr>
      <w:t></w:t>
    </w:r>
    <w:r w:rsidRPr="00AD6C8A">
      <w:rPr>
        <w:rFonts w:ascii="C39T30Lfz" w:hAnsi="C39T30Lfz"/>
        <w:sz w:val="56"/>
      </w:rPr>
      <w:t></w:t>
    </w:r>
    <w:r w:rsidRPr="00AD6C8A">
      <w:rPr>
        <w:rFonts w:ascii="C39T30Lfz" w:hAnsi="C39T30Lfz"/>
        <w:sz w:val="56"/>
      </w:rPr>
      <w:t></w:t>
    </w:r>
    <w:r w:rsidRPr="00AD6C8A">
      <w:rPr>
        <w:rFonts w:ascii="C39T30Lfz" w:hAnsi="C39T30Lfz"/>
        <w:sz w:val="56"/>
      </w:rPr>
      <w:t></w:t>
    </w:r>
    <w:r w:rsidRPr="00AD6C8A">
      <w:rPr>
        <w:rFonts w:ascii="C39T30Lfz" w:hAnsi="C39T30Lfz"/>
        <w:sz w:val="56"/>
      </w:rPr>
      <w:t></w:t>
    </w:r>
    <w:r w:rsidRPr="00AD6C8A">
      <w:rPr>
        <w:rFonts w:ascii="C39T30Lfz" w:hAnsi="C39T30Lfz"/>
        <w:sz w:val="56"/>
      </w:rPr>
      <w:t></w:t>
    </w:r>
    <w:r w:rsidR="00301850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50" w:rsidRPr="00D27D5E" w:rsidRDefault="00D51A5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51A50" w:rsidRPr="00D171D4" w:rsidRDefault="00D51A5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D51A50" w:rsidRPr="00C451B9" w:rsidRDefault="00D51A50" w:rsidP="00C451B9">
      <w:pPr>
        <w:spacing w:line="240" w:lineRule="auto"/>
        <w:rPr>
          <w:sz w:val="2"/>
          <w:szCs w:val="2"/>
        </w:rPr>
      </w:pPr>
    </w:p>
  </w:footnote>
  <w:footnote w:id="2">
    <w:p w:rsidR="00E87B09" w:rsidRDefault="00E87B09" w:rsidP="00E87B09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E87B09">
        <w:t>Selon</w:t>
      </w:r>
      <w:r w:rsidRPr="00015CBC">
        <w:t xml:space="preserve"> les définitions figurant dans la Résolution d’ensemble sur la construction des véhicules (R.E.3), </w:t>
      </w:r>
      <w:r w:rsidRPr="002A0DFF">
        <w:t>d</w:t>
      </w:r>
      <w:r>
        <w:t>ocument ECE/TRANS/WP.29/78/Rev.3, par. 2 −</w:t>
      </w:r>
      <w:r w:rsidRPr="002A0DFF">
        <w:t xml:space="preserve"> </w:t>
      </w:r>
      <w:hyperlink r:id="rId1" w:history="1">
        <w:r w:rsidRPr="002A0DFF">
          <w:rPr>
            <w:rStyle w:val="Hyperlink"/>
          </w:rPr>
          <w:t>www.unece.org/trans/main/wp29/wp29wgs/ wp29gen/wp29resolutions.html</w:t>
        </w:r>
      </w:hyperlink>
      <w:r w:rsidRPr="002A0DF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8A" w:rsidRPr="00AD6C8A" w:rsidRDefault="00AD6C8A">
    <w:pPr>
      <w:pStyle w:val="Header"/>
    </w:pPr>
    <w:r>
      <w:t>E/ECE/324/Rev.1/Add.28/Rev.2/Amend.2</w:t>
    </w:r>
    <w:r>
      <w:br/>
      <w:t>E/ECE/TRANS/505/Rev.1/Add.28/</w:t>
    </w:r>
    <w:r w:rsidR="00BD6983">
      <w:t>Rev.2/</w:t>
    </w:r>
    <w:r>
      <w:t>Amend.</w:t>
    </w:r>
    <w:r w:rsidR="002D0AF4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8A" w:rsidRPr="00AD6C8A" w:rsidRDefault="00AD6C8A" w:rsidP="00AD6C8A">
    <w:pPr>
      <w:pStyle w:val="Header"/>
      <w:jc w:val="right"/>
    </w:pPr>
    <w:r>
      <w:t>E/ECE/324/Rev.1/Add.28/Rev.2/Amend.2</w:t>
    </w:r>
    <w:r>
      <w:br/>
      <w:t>E/ECE/TRANS/505/Rev.1/Add.28/Amend.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5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38D9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0AF4"/>
    <w:rsid w:val="002D25CA"/>
    <w:rsid w:val="002D3DA4"/>
    <w:rsid w:val="002E2F5C"/>
    <w:rsid w:val="002F0C48"/>
    <w:rsid w:val="003016B7"/>
    <w:rsid w:val="00301850"/>
    <w:rsid w:val="0030754C"/>
    <w:rsid w:val="0031220F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0D6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1E8A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3C4A"/>
    <w:rsid w:val="00A9247E"/>
    <w:rsid w:val="00AA0DCA"/>
    <w:rsid w:val="00AA7796"/>
    <w:rsid w:val="00AC67A1"/>
    <w:rsid w:val="00AC7977"/>
    <w:rsid w:val="00AC7E56"/>
    <w:rsid w:val="00AD6C8A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6983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067F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A50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D3358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95D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87B09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Calibr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="Calibr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="Calibr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="Calibr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="Calibr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="Calibr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="Calibri"/>
      <w:lang w:val="fr-CH"/>
    </w:rPr>
  </w:style>
  <w:style w:type="character" w:customStyle="1" w:styleId="Heading2Char">
    <w:name w:val="Heading 2 Char"/>
    <w:link w:val="Heading2"/>
    <w:rsid w:val="0048687D"/>
    <w:rPr>
      <w:rFonts w:eastAsia="Calibri"/>
      <w:lang w:val="fr-CH"/>
    </w:rPr>
  </w:style>
  <w:style w:type="character" w:customStyle="1" w:styleId="Heading3Char">
    <w:name w:val="Heading 3 Char"/>
    <w:link w:val="Heading3"/>
    <w:rsid w:val="0048687D"/>
    <w:rPr>
      <w:rFonts w:eastAsia="Calibri"/>
      <w:lang w:val="fr-CH"/>
    </w:rPr>
  </w:style>
  <w:style w:type="character" w:customStyle="1" w:styleId="Heading4Char">
    <w:name w:val="Heading 4 Char"/>
    <w:link w:val="Heading4"/>
    <w:rsid w:val="0048687D"/>
    <w:rPr>
      <w:rFonts w:eastAsia="Calibri"/>
      <w:lang w:val="fr-CH"/>
    </w:rPr>
  </w:style>
  <w:style w:type="character" w:customStyle="1" w:styleId="Heading5Char">
    <w:name w:val="Heading 5 Char"/>
    <w:link w:val="Heading5"/>
    <w:rsid w:val="0048687D"/>
    <w:rPr>
      <w:rFonts w:eastAsia="Calibri"/>
      <w:lang w:val="fr-CH"/>
    </w:rPr>
  </w:style>
  <w:style w:type="character" w:customStyle="1" w:styleId="Heading6Char">
    <w:name w:val="Heading 6 Char"/>
    <w:link w:val="Heading6"/>
    <w:rsid w:val="0048687D"/>
    <w:rPr>
      <w:rFonts w:eastAsia="Calibri"/>
      <w:lang w:val="fr-CH"/>
    </w:rPr>
  </w:style>
  <w:style w:type="character" w:customStyle="1" w:styleId="Heading7Char">
    <w:name w:val="Heading 7 Char"/>
    <w:link w:val="Heading7"/>
    <w:rsid w:val="0048687D"/>
    <w:rPr>
      <w:rFonts w:eastAsia="Calibri"/>
      <w:lang w:val="fr-CH"/>
    </w:rPr>
  </w:style>
  <w:style w:type="character" w:customStyle="1" w:styleId="Heading8Char">
    <w:name w:val="Heading 8 Char"/>
    <w:link w:val="Heading8"/>
    <w:rsid w:val="0048687D"/>
    <w:rPr>
      <w:rFonts w:eastAsia="Calibri"/>
      <w:lang w:val="fr-CH"/>
    </w:rPr>
  </w:style>
  <w:style w:type="character" w:customStyle="1" w:styleId="Heading9Char">
    <w:name w:val="Heading 9 Char"/>
    <w:link w:val="Heading9"/>
    <w:rsid w:val="0048687D"/>
    <w:rPr>
      <w:rFonts w:eastAsia="Calibri"/>
      <w:lang w:val="fr-CH"/>
    </w:rPr>
  </w:style>
  <w:style w:type="paragraph" w:styleId="BalloonText">
    <w:name w:val="Balloon Text"/>
    <w:basedOn w:val="Normal"/>
    <w:link w:val="BalloonTextChar"/>
    <w:rsid w:val="00A83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C4A"/>
    <w:rPr>
      <w:rFonts w:ascii="Tahoma" w:eastAsia="Calibr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Calibr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="Calibr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="Calibr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="Calibr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="Calibr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="Calibr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="Calibri"/>
      <w:lang w:val="fr-CH"/>
    </w:rPr>
  </w:style>
  <w:style w:type="character" w:customStyle="1" w:styleId="Heading2Char">
    <w:name w:val="Heading 2 Char"/>
    <w:link w:val="Heading2"/>
    <w:rsid w:val="0048687D"/>
    <w:rPr>
      <w:rFonts w:eastAsia="Calibri"/>
      <w:lang w:val="fr-CH"/>
    </w:rPr>
  </w:style>
  <w:style w:type="character" w:customStyle="1" w:styleId="Heading3Char">
    <w:name w:val="Heading 3 Char"/>
    <w:link w:val="Heading3"/>
    <w:rsid w:val="0048687D"/>
    <w:rPr>
      <w:rFonts w:eastAsia="Calibri"/>
      <w:lang w:val="fr-CH"/>
    </w:rPr>
  </w:style>
  <w:style w:type="character" w:customStyle="1" w:styleId="Heading4Char">
    <w:name w:val="Heading 4 Char"/>
    <w:link w:val="Heading4"/>
    <w:rsid w:val="0048687D"/>
    <w:rPr>
      <w:rFonts w:eastAsia="Calibri"/>
      <w:lang w:val="fr-CH"/>
    </w:rPr>
  </w:style>
  <w:style w:type="character" w:customStyle="1" w:styleId="Heading5Char">
    <w:name w:val="Heading 5 Char"/>
    <w:link w:val="Heading5"/>
    <w:rsid w:val="0048687D"/>
    <w:rPr>
      <w:rFonts w:eastAsia="Calibri"/>
      <w:lang w:val="fr-CH"/>
    </w:rPr>
  </w:style>
  <w:style w:type="character" w:customStyle="1" w:styleId="Heading6Char">
    <w:name w:val="Heading 6 Char"/>
    <w:link w:val="Heading6"/>
    <w:rsid w:val="0048687D"/>
    <w:rPr>
      <w:rFonts w:eastAsia="Calibri"/>
      <w:lang w:val="fr-CH"/>
    </w:rPr>
  </w:style>
  <w:style w:type="character" w:customStyle="1" w:styleId="Heading7Char">
    <w:name w:val="Heading 7 Char"/>
    <w:link w:val="Heading7"/>
    <w:rsid w:val="0048687D"/>
    <w:rPr>
      <w:rFonts w:eastAsia="Calibri"/>
      <w:lang w:val="fr-CH"/>
    </w:rPr>
  </w:style>
  <w:style w:type="character" w:customStyle="1" w:styleId="Heading8Char">
    <w:name w:val="Heading 8 Char"/>
    <w:link w:val="Heading8"/>
    <w:rsid w:val="0048687D"/>
    <w:rPr>
      <w:rFonts w:eastAsia="Calibri"/>
      <w:lang w:val="fr-CH"/>
    </w:rPr>
  </w:style>
  <w:style w:type="character" w:customStyle="1" w:styleId="Heading9Char">
    <w:name w:val="Heading 9 Char"/>
    <w:link w:val="Heading9"/>
    <w:rsid w:val="0048687D"/>
    <w:rPr>
      <w:rFonts w:eastAsia="Calibri"/>
      <w:lang w:val="fr-CH"/>
    </w:rPr>
  </w:style>
  <w:style w:type="paragraph" w:styleId="BalloonText">
    <w:name w:val="Balloon Text"/>
    <w:basedOn w:val="Normal"/>
    <w:link w:val="BalloonTextChar"/>
    <w:rsid w:val="00A83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C4A"/>
    <w:rPr>
      <w:rFonts w:ascii="Tahoma" w:eastAsia="Calibr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E/ECE/324/Rev.1/Add.28/Rev.2/Amend.2/E/ECE/TRANS/505/Rev.1/Add.28/rEV.2/Amend.2</vt:lpstr>
    </vt:vector>
  </TitlesOfParts>
  <Company>CSD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E/ECE/324/Rev.1/Add.28/Rev.2/Amend.2/E/ECE/TRANS/505/Rev.1/Add.28/rEV.2/Amend.2</dc:title>
  <dc:creator>Granet</dc:creator>
  <cp:lastModifiedBy>04</cp:lastModifiedBy>
  <cp:revision>2</cp:revision>
  <cp:lastPrinted>2015-04-10T07:58:00Z</cp:lastPrinted>
  <dcterms:created xsi:type="dcterms:W3CDTF">2015-06-04T06:22:00Z</dcterms:created>
  <dcterms:modified xsi:type="dcterms:W3CDTF">2015-06-04T06:22:00Z</dcterms:modified>
</cp:coreProperties>
</file>