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D6D03" w:rsidP="008A75ED">
            <w:pPr>
              <w:spacing w:before="40" w:after="80" w:line="340" w:lineRule="exact"/>
              <w:jc w:val="right"/>
            </w:pPr>
            <w:r>
              <w:fldChar w:fldCharType="begin"/>
            </w:r>
            <w:r w:rsidRPr="008A75E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8A75E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lang w:val="en-US"/>
              </w:rPr>
              <w:t>/ECE/324/</w:t>
            </w:r>
            <w:r w:rsidR="003B6C9C">
              <w:t>Rev.1/Add.18/Rev.7/Amend.2</w:t>
            </w:r>
            <w:r w:rsidRPr="008A75ED">
              <w:rPr>
                <w:lang w:val="en-US"/>
              </w:rPr>
              <w:t>−</w:t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sz w:val="19"/>
                <w:szCs w:val="19"/>
                <w:lang w:val="en-US"/>
              </w:rPr>
              <w:t>/ECE/TRANS/505/</w:t>
            </w:r>
            <w:r w:rsidR="003B6C9C" w:rsidRPr="006F4C38">
              <w:t>Rev.1/Add.18/Rev.7/Amend.2</w:t>
            </w:r>
            <w:r>
              <w:fldChar w:fldCharType="end"/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A3194" w:rsidRDefault="00AA3194" w:rsidP="00AA3194">
            <w:pPr>
              <w:spacing w:before="40" w:after="40"/>
              <w:rPr>
                <w:lang w:val="en-US"/>
              </w:rPr>
            </w:pPr>
          </w:p>
          <w:p w:rsidR="00AA3194" w:rsidRDefault="00AA3194" w:rsidP="00AA3194">
            <w:pPr>
              <w:spacing w:before="40" w:after="40"/>
              <w:rPr>
                <w:lang w:val="en-US"/>
              </w:rPr>
            </w:pPr>
          </w:p>
          <w:p w:rsidR="00AA3194" w:rsidRDefault="00AA3194" w:rsidP="00AA3194">
            <w:pPr>
              <w:spacing w:before="40" w:after="40"/>
              <w:rPr>
                <w:lang w:val="en-US"/>
              </w:rPr>
            </w:pPr>
          </w:p>
          <w:p w:rsidR="00AA3194" w:rsidRDefault="00AA3194" w:rsidP="00AA3194">
            <w:pPr>
              <w:spacing w:before="40" w:after="40"/>
              <w:rPr>
                <w:lang w:val="en-US"/>
              </w:rPr>
            </w:pPr>
          </w:p>
          <w:p w:rsidR="00AA3194" w:rsidRDefault="00AA3194" w:rsidP="00AA3194">
            <w:pPr>
              <w:spacing w:before="40" w:after="40"/>
              <w:rPr>
                <w:lang w:val="en-US"/>
              </w:rPr>
            </w:pPr>
          </w:p>
          <w:p w:rsidR="000D6D03" w:rsidRPr="00B172D2" w:rsidRDefault="00AA3194" w:rsidP="00AA3194">
            <w:pPr>
              <w:spacing w:before="40" w:after="40"/>
            </w:pPr>
            <w:r>
              <w:rPr>
                <w:lang w:val="en-US"/>
              </w:rPr>
              <w:t>22 June 2015</w:t>
            </w:r>
            <w:bookmarkStart w:id="0" w:name="_GoBack"/>
            <w:bookmarkEnd w:id="0"/>
          </w:p>
        </w:tc>
      </w:tr>
    </w:tbl>
    <w:p w:rsidR="00B35961" w:rsidRPr="002F2FC0" w:rsidRDefault="00B35961" w:rsidP="00B35961">
      <w:pPr>
        <w:pStyle w:val="HChGR"/>
        <w:spacing w:before="240" w:line="220" w:lineRule="exact"/>
      </w:pPr>
      <w:r>
        <w:rPr>
          <w:lang w:val="en-US"/>
        </w:rPr>
        <w:tab/>
      </w:r>
      <w:r>
        <w:rPr>
          <w:lang w:val="en-US"/>
        </w:rPr>
        <w:tab/>
      </w:r>
      <w:r w:rsidRPr="002F2FC0">
        <w:t>Соглашение</w:t>
      </w:r>
    </w:p>
    <w:p w:rsidR="00B35961" w:rsidRPr="002F2FC0" w:rsidRDefault="00B35961" w:rsidP="00B35961">
      <w:pPr>
        <w:pStyle w:val="H1GR"/>
        <w:spacing w:before="240" w:line="240" w:lineRule="auto"/>
      </w:pPr>
      <w:r w:rsidRPr="0026428D">
        <w:tab/>
      </w:r>
      <w:r w:rsidRPr="0026428D">
        <w:tab/>
      </w:r>
      <w:r w:rsidRPr="002F2FC0"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8A239F">
        <w:rPr>
          <w:b w:val="0"/>
          <w:sz w:val="18"/>
          <w:szCs w:val="18"/>
        </w:rPr>
        <w:footnoteReference w:customMarkFollows="1" w:id="1"/>
        <w:t>*</w:t>
      </w:r>
    </w:p>
    <w:p w:rsidR="00B35961" w:rsidRPr="002F2FC0" w:rsidRDefault="00B35961" w:rsidP="00B35961">
      <w:pPr>
        <w:pStyle w:val="SingleTxtGR"/>
        <w:spacing w:line="220" w:lineRule="exact"/>
      </w:pPr>
      <w:r w:rsidRPr="002F2FC0">
        <w:t>(Пересмотр 2, включающий поправки, вступившие в силу 16 октября 1995 года)</w:t>
      </w:r>
    </w:p>
    <w:p w:rsidR="00B35961" w:rsidRPr="002F2FC0" w:rsidRDefault="00B35961" w:rsidP="00B35961">
      <w:pPr>
        <w:spacing w:before="120" w:line="220" w:lineRule="exac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5961" w:rsidRPr="002F2FC0" w:rsidRDefault="00B35961" w:rsidP="00B35961">
      <w:pPr>
        <w:pStyle w:val="HChGR"/>
        <w:spacing w:line="220" w:lineRule="exact"/>
      </w:pPr>
      <w:r w:rsidRPr="002F2FC0">
        <w:tab/>
      </w:r>
      <w:r w:rsidRPr="002F2FC0">
        <w:tab/>
        <w:t xml:space="preserve">Добавление 18: Правила </w:t>
      </w:r>
      <w:r>
        <w:t>№ </w:t>
      </w:r>
      <w:r w:rsidRPr="002F2FC0">
        <w:t>19</w:t>
      </w:r>
    </w:p>
    <w:p w:rsidR="00B35961" w:rsidRPr="00B35961" w:rsidRDefault="00B35961" w:rsidP="00B35961">
      <w:pPr>
        <w:pStyle w:val="H1GR"/>
        <w:spacing w:before="240" w:line="220" w:lineRule="exact"/>
        <w:rPr>
          <w:lang w:val="en-US"/>
        </w:rPr>
      </w:pPr>
      <w:r w:rsidRPr="0026428D">
        <w:tab/>
      </w:r>
      <w:r w:rsidRPr="0026428D">
        <w:tab/>
      </w:r>
      <w:r w:rsidRPr="002F2FC0">
        <w:t xml:space="preserve">Пересмотр </w:t>
      </w:r>
      <w:r>
        <w:t>7</w:t>
      </w:r>
      <w:r w:rsidRPr="00321F41">
        <w:t xml:space="preserve"> − </w:t>
      </w:r>
      <w:r>
        <w:t xml:space="preserve">Поправка </w:t>
      </w:r>
      <w:r>
        <w:rPr>
          <w:lang w:val="en-US"/>
        </w:rPr>
        <w:t>2</w:t>
      </w:r>
    </w:p>
    <w:p w:rsidR="00B35961" w:rsidRPr="00DD2620" w:rsidRDefault="00B35961" w:rsidP="00B35961">
      <w:pPr>
        <w:pStyle w:val="SingleTxtGR"/>
        <w:spacing w:after="0" w:line="220" w:lineRule="exact"/>
        <w:rPr>
          <w:sz w:val="17"/>
          <w:szCs w:val="17"/>
        </w:rPr>
      </w:pPr>
      <w:r w:rsidRPr="00DD2620">
        <w:rPr>
          <w:sz w:val="17"/>
          <w:szCs w:val="17"/>
        </w:rPr>
        <w:t xml:space="preserve">Дополнение </w:t>
      </w:r>
      <w:r>
        <w:rPr>
          <w:sz w:val="17"/>
          <w:szCs w:val="17"/>
          <w:lang w:val="en-US"/>
        </w:rPr>
        <w:t>7</w:t>
      </w:r>
      <w:r w:rsidRPr="00DD2620">
        <w:rPr>
          <w:sz w:val="17"/>
          <w:szCs w:val="17"/>
        </w:rPr>
        <w:t xml:space="preserve"> к поправкам </w:t>
      </w:r>
      <w:r>
        <w:rPr>
          <w:sz w:val="17"/>
          <w:szCs w:val="17"/>
        </w:rPr>
        <w:t>серии </w:t>
      </w:r>
      <w:r w:rsidRPr="00DD2620">
        <w:rPr>
          <w:sz w:val="17"/>
          <w:szCs w:val="17"/>
        </w:rPr>
        <w:t xml:space="preserve">04 − Дата вступления в силу: </w:t>
      </w:r>
      <w:r>
        <w:rPr>
          <w:sz w:val="17"/>
          <w:szCs w:val="17"/>
          <w:lang w:val="en-US"/>
        </w:rPr>
        <w:t>15</w:t>
      </w:r>
      <w:r>
        <w:rPr>
          <w:sz w:val="17"/>
          <w:szCs w:val="17"/>
        </w:rPr>
        <w:t xml:space="preserve"> июня </w:t>
      </w:r>
      <w:r w:rsidRPr="00DD2620">
        <w:rPr>
          <w:sz w:val="17"/>
          <w:szCs w:val="17"/>
        </w:rPr>
        <w:t>201</w:t>
      </w:r>
      <w:r>
        <w:rPr>
          <w:sz w:val="17"/>
          <w:szCs w:val="17"/>
        </w:rPr>
        <w:t xml:space="preserve">5 </w:t>
      </w:r>
      <w:r w:rsidRPr="00DD2620">
        <w:rPr>
          <w:sz w:val="17"/>
          <w:szCs w:val="17"/>
        </w:rPr>
        <w:t>года</w:t>
      </w:r>
    </w:p>
    <w:p w:rsidR="00B35961" w:rsidRDefault="00B35961" w:rsidP="00B35961">
      <w:pPr>
        <w:pStyle w:val="H1GR"/>
        <w:spacing w:before="240" w:line="240" w:lineRule="auto"/>
      </w:pPr>
      <w:r w:rsidRPr="00DB4149">
        <w:tab/>
      </w:r>
      <w:r w:rsidRPr="00DB4149">
        <w:tab/>
      </w:r>
      <w:r w:rsidRPr="002F2FC0">
        <w:t>Единообразные предписания, касающиеся официального утверждения передних противотуманных фар механических</w:t>
      </w:r>
      <w:r w:rsidRPr="00DB4149">
        <w:t xml:space="preserve"> </w:t>
      </w:r>
      <w:r w:rsidRPr="002F2FC0">
        <w:t>транспортных средств</w:t>
      </w:r>
    </w:p>
    <w:p w:rsidR="00EA7CA4" w:rsidRPr="00EA7CA4" w:rsidRDefault="00EA7CA4" w:rsidP="00EA7CA4">
      <w:pPr>
        <w:pStyle w:val="SingleTxtGR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>
        <w:rPr>
          <w:spacing w:val="-6"/>
          <w:lang w:eastAsia="en-GB"/>
        </w:rPr>
        <w:t>ECE/TRANS/WP.29/2013/75/Rev.1.</w:t>
      </w:r>
    </w:p>
    <w:p w:rsidR="00432F08" w:rsidRPr="00432F08" w:rsidRDefault="00432F08" w:rsidP="00432F08">
      <w:pPr>
        <w:spacing w:before="24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AA3194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pt" fillcolor="window">
            <v:imagedata r:id="rId9" o:title=""/>
          </v:shape>
        </w:pict>
      </w:r>
    </w:p>
    <w:p w:rsidR="003C1586" w:rsidRDefault="003C1586" w:rsidP="00432F08">
      <w:pPr>
        <w:jc w:val="center"/>
        <w:rPr>
          <w:b/>
          <w:lang w:val="en-US"/>
        </w:rPr>
      </w:pPr>
      <w:r w:rsidRPr="00752A52">
        <w:rPr>
          <w:b/>
        </w:rPr>
        <w:t>ОРГАНИЗАЦИЯ ОБЪЕДИНЕННЫХ НАЦИЙ</w:t>
      </w:r>
    </w:p>
    <w:p w:rsidR="003E00F6" w:rsidRDefault="00E27AD2" w:rsidP="00E176A1">
      <w:pPr>
        <w:pStyle w:val="SingleTxtGR"/>
        <w:rPr>
          <w:i/>
        </w:rPr>
      </w:pPr>
      <w:r>
        <w:rPr>
          <w:i/>
        </w:rPr>
        <w:br w:type="page"/>
      </w:r>
      <w:r w:rsidR="00E176A1" w:rsidRPr="00643FF8">
        <w:rPr>
          <w:i/>
        </w:rPr>
        <w:lastRenderedPageBreak/>
        <w:t xml:space="preserve">Содержание, </w:t>
      </w:r>
    </w:p>
    <w:p w:rsidR="00E176A1" w:rsidRPr="00643FF8" w:rsidRDefault="00CE5512" w:rsidP="00E176A1">
      <w:pPr>
        <w:pStyle w:val="SingleTxtGR"/>
      </w:pPr>
      <w:r w:rsidRPr="00CE5512">
        <w:rPr>
          <w:i/>
        </w:rPr>
        <w:t>Перечень приложений</w:t>
      </w:r>
      <w:r w:rsidR="00E176A1" w:rsidRPr="00643FF8">
        <w:t xml:space="preserve"> изменить следующим образом:</w:t>
      </w:r>
    </w:p>
    <w:p w:rsidR="00E176A1" w:rsidRPr="00643FF8" w:rsidRDefault="00E176A1" w:rsidP="00E176A1">
      <w:pPr>
        <w:pStyle w:val="SingleTxtGR"/>
      </w:pPr>
      <w:r w:rsidRPr="00643FF8">
        <w:t>"12.</w:t>
      </w:r>
      <w:r w:rsidRPr="00643FF8">
        <w:tab/>
      </w:r>
      <w:r>
        <w:tab/>
      </w:r>
      <w:r w:rsidRPr="00643FF8">
        <w:t>"Требования в отношении использования модуля(ей) СИД".</w:t>
      </w:r>
    </w:p>
    <w:p w:rsidR="00D46219" w:rsidRPr="00D46219" w:rsidRDefault="00D46219" w:rsidP="00E176A1">
      <w:pPr>
        <w:pStyle w:val="SingleTxtGR"/>
        <w:rPr>
          <w:i/>
        </w:rPr>
      </w:pPr>
      <w:r w:rsidRPr="00D46219">
        <w:rPr>
          <w:i/>
        </w:rPr>
        <w:t>Текст Правил,</w:t>
      </w:r>
    </w:p>
    <w:p w:rsidR="00E176A1" w:rsidRPr="00643FF8" w:rsidRDefault="00E176A1" w:rsidP="00E176A1">
      <w:pPr>
        <w:pStyle w:val="SingleTxtGR"/>
      </w:pPr>
      <w:r w:rsidRPr="00643FF8">
        <w:rPr>
          <w:i/>
        </w:rPr>
        <w:t>Введение</w:t>
      </w:r>
      <w:r w:rsidRPr="00643FF8">
        <w:t xml:space="preserve"> изменить следующим образом:</w:t>
      </w:r>
    </w:p>
    <w:p w:rsidR="00E176A1" w:rsidRPr="00643FF8" w:rsidRDefault="00E176A1" w:rsidP="00E176A1">
      <w:pPr>
        <w:pStyle w:val="SingleTxtGR"/>
      </w:pPr>
      <w:r w:rsidRPr="00AC39BB">
        <w:tab/>
      </w:r>
      <w:r w:rsidRPr="00AC39BB">
        <w:tab/>
      </w:r>
      <w:r w:rsidRPr="00643FF8">
        <w:t>"Введение</w:t>
      </w:r>
    </w:p>
    <w:p w:rsidR="00E176A1" w:rsidRPr="00943F3D" w:rsidRDefault="00E176A1" w:rsidP="00E176A1">
      <w:pPr>
        <w:pStyle w:val="SingleTxtGR"/>
        <w:ind w:left="2268" w:hanging="1134"/>
      </w:pPr>
      <w:r>
        <w:rPr>
          <w:lang w:val="en-US"/>
        </w:rPr>
        <w:tab/>
      </w:r>
      <w:r>
        <w:rPr>
          <w:lang w:val="en-US"/>
        </w:rPr>
        <w:tab/>
      </w:r>
      <w:r>
        <w:t>Настоящие...</w:t>
      </w:r>
    </w:p>
    <w:p w:rsidR="00E176A1" w:rsidRDefault="00E176A1" w:rsidP="00E176A1">
      <w:pPr>
        <w:pStyle w:val="SingleTxtGR"/>
        <w:ind w:left="2835" w:hanging="170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b)</w:t>
      </w:r>
      <w:r w:rsidRPr="00AC39BB">
        <w:tab/>
      </w:r>
      <w:r w:rsidRPr="00643FF8">
        <w:t>источники света могут выбираться в соответствии с полож</w:t>
      </w:r>
      <w:r w:rsidRPr="00643FF8">
        <w:t>е</w:t>
      </w:r>
      <w:r w:rsidRPr="00643FF8">
        <w:t>ниями Правил № 37 (источники с</w:t>
      </w:r>
      <w:r>
        <w:t>вета с нитью накала) и Пр</w:t>
      </w:r>
      <w:r>
        <w:t>а</w:t>
      </w:r>
      <w:r>
        <w:t>вил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 w:rsidRPr="00643FF8">
        <w:t>99 (газоразрядные источники света). Могут также и</w:t>
      </w:r>
      <w:r w:rsidRPr="00643FF8">
        <w:t>с</w:t>
      </w:r>
      <w:r w:rsidRPr="00643FF8">
        <w:t xml:space="preserve">пользоваться модули </w:t>
      </w:r>
      <w:r w:rsidR="00CE5512">
        <w:t>светоизлучающих диодов (</w:t>
      </w:r>
      <w:r w:rsidRPr="00643FF8">
        <w:t>СИД</w:t>
      </w:r>
      <w:r w:rsidR="00CE5512">
        <w:t>)</w:t>
      </w:r>
      <w:r w:rsidRPr="00643FF8">
        <w:t xml:space="preserve">. </w:t>
      </w:r>
    </w:p>
    <w:p w:rsidR="00E176A1" w:rsidRPr="00AC39BB" w:rsidRDefault="00E176A1" w:rsidP="00E176A1">
      <w:pPr>
        <w:pStyle w:val="SingleTxtGR"/>
        <w:ind w:left="2268" w:hanging="1134"/>
      </w:pPr>
      <w:r>
        <w:rPr>
          <w:lang w:val="en-US"/>
        </w:rPr>
        <w:tab/>
      </w:r>
      <w:r>
        <w:rPr>
          <w:lang w:val="en-US"/>
        </w:rPr>
        <w:tab/>
      </w:r>
      <w:r>
        <w:t>c)</w:t>
      </w:r>
      <w:r w:rsidRPr="00AC39BB">
        <w:tab/>
      </w:r>
      <w:r w:rsidRPr="00643FF8">
        <w:t>Введены определения светотеневой границы и градиента…"</w:t>
      </w:r>
      <w:r>
        <w:t>.</w:t>
      </w:r>
    </w:p>
    <w:p w:rsidR="00E176A1" w:rsidRPr="00643FF8" w:rsidRDefault="00E176A1" w:rsidP="00E176A1">
      <w:pPr>
        <w:pStyle w:val="SingleTxtGR"/>
      </w:pPr>
      <w:r w:rsidRPr="00643FF8">
        <w:rPr>
          <w:i/>
        </w:rPr>
        <w:t>Пункт 1.4.3</w:t>
      </w:r>
      <w:r w:rsidRPr="00643FF8">
        <w:t xml:space="preserve"> изменить следующим образом:</w:t>
      </w:r>
    </w:p>
    <w:p w:rsidR="00E176A1" w:rsidRPr="00643FF8" w:rsidRDefault="00E176A1" w:rsidP="00E176A1">
      <w:pPr>
        <w:pStyle w:val="SingleTxtGR"/>
        <w:ind w:left="2268" w:hanging="1134"/>
      </w:pPr>
      <w:r w:rsidRPr="00643FF8">
        <w:t>"1.4.3</w:t>
      </w:r>
      <w:r w:rsidRPr="00643FF8">
        <w:tab/>
      </w:r>
      <w:r>
        <w:tab/>
      </w:r>
      <w:r w:rsidRPr="00643FF8">
        <w:t>характеристики оптической системы (базовая оптическая схема, тип/категор</w:t>
      </w:r>
      <w:r>
        <w:t xml:space="preserve">ия источника света, модуль СИД </w:t>
      </w:r>
      <w:r w:rsidRPr="00643FF8">
        <w:t>и т.д.)".</w:t>
      </w:r>
    </w:p>
    <w:p w:rsidR="00E176A1" w:rsidRPr="00643FF8" w:rsidRDefault="00E176A1" w:rsidP="00E176A1">
      <w:pPr>
        <w:pStyle w:val="SingleTxtGR"/>
      </w:pPr>
      <w:r w:rsidRPr="00643FF8">
        <w:rPr>
          <w:i/>
        </w:rPr>
        <w:t xml:space="preserve">Пункт 1.4.5 </w:t>
      </w:r>
      <w:r w:rsidRPr="00643FF8">
        <w:t>изменить следующим образом:</w:t>
      </w:r>
    </w:p>
    <w:p w:rsidR="00E176A1" w:rsidRPr="00643FF8" w:rsidRDefault="00E176A1" w:rsidP="00E176A1">
      <w:pPr>
        <w:pStyle w:val="SingleTxtGR"/>
        <w:ind w:left="2268" w:hanging="1134"/>
      </w:pPr>
      <w:r w:rsidRPr="00643FF8">
        <w:t>"1.4.5</w:t>
      </w:r>
      <w:r w:rsidRPr="00643FF8">
        <w:tab/>
      </w:r>
      <w:r>
        <w:tab/>
      </w:r>
      <w:r w:rsidRPr="00643FF8">
        <w:t>категория используемой(ых) лампы (ламп) накаливания в соотве</w:t>
      </w:r>
      <w:r w:rsidRPr="00643FF8">
        <w:t>т</w:t>
      </w:r>
      <w:r w:rsidRPr="00643FF8">
        <w:t>ствии с перечнем, приведенным в Правилах № 37 и Правилах № 99, и/или конкретный(е) идентификационный(е) код(ы) модуля СИД (если это применимо)".</w:t>
      </w:r>
    </w:p>
    <w:p w:rsidR="00E176A1" w:rsidRPr="00643FF8" w:rsidRDefault="00E176A1" w:rsidP="00E176A1">
      <w:pPr>
        <w:pStyle w:val="SingleTxtGR"/>
      </w:pPr>
      <w:r w:rsidRPr="00643FF8">
        <w:rPr>
          <w:i/>
        </w:rPr>
        <w:t>Пункт 2.4.2</w:t>
      </w:r>
      <w:r w:rsidRPr="00643FF8">
        <w:t xml:space="preserve"> изменить следующим образом:</w:t>
      </w:r>
    </w:p>
    <w:p w:rsidR="00E176A1" w:rsidRPr="00643FF8" w:rsidRDefault="00E176A1" w:rsidP="00E176A1">
      <w:pPr>
        <w:pStyle w:val="SingleTxtGR"/>
        <w:ind w:left="2268" w:hanging="1134"/>
      </w:pPr>
      <w:r w:rsidRPr="00AC39BB">
        <w:t>"</w:t>
      </w:r>
      <w:r w:rsidRPr="00643FF8">
        <w:t>2.4.2</w:t>
      </w:r>
      <w:r>
        <w:tab/>
      </w:r>
      <w:r w:rsidRPr="00643FF8">
        <w:tab/>
        <w:t>в случае модуля(ей) СИД должен быть указан конкретный идент</w:t>
      </w:r>
      <w:r w:rsidRPr="00643FF8">
        <w:t>и</w:t>
      </w:r>
      <w:r w:rsidRPr="00643FF8">
        <w:t>фикационный код модуля. Чертеж должен содержать достаточно подробные детали, позволяющие идентифицировать его, и на нем должно быть показано место, предназначенное для конкретного идентификационного кода и торговой марки подателя заявки".</w:t>
      </w:r>
    </w:p>
    <w:p w:rsidR="00E176A1" w:rsidRPr="00643FF8" w:rsidRDefault="00E176A1" w:rsidP="00E176A1">
      <w:pPr>
        <w:pStyle w:val="SingleTxtGR"/>
      </w:pPr>
      <w:r w:rsidRPr="00643FF8">
        <w:rPr>
          <w:i/>
        </w:rPr>
        <w:t>Пункт 2.4.4</w:t>
      </w:r>
      <w:r w:rsidRPr="00643FF8">
        <w:t xml:space="preserve"> изменить следующим образом:</w:t>
      </w:r>
    </w:p>
    <w:p w:rsidR="00E176A1" w:rsidRPr="00643FF8" w:rsidRDefault="00E176A1" w:rsidP="00E176A1">
      <w:pPr>
        <w:pStyle w:val="SingleTxtGR"/>
        <w:ind w:left="2268" w:hanging="1134"/>
      </w:pPr>
      <w:r w:rsidRPr="00643FF8">
        <w:t>"2.4.4</w:t>
      </w:r>
      <w:r w:rsidRPr="00643FF8">
        <w:tab/>
      </w:r>
      <w:r>
        <w:tab/>
      </w:r>
      <w:r w:rsidRPr="00643FF8">
        <w:t>Если передняя противотуманная фара оснащена модулем(ями) СИД, то должно быть представлено краткое техническое описание. Эта информация включает номер детали, присвоенный изготовит</w:t>
      </w:r>
      <w:r w:rsidRPr="00643FF8">
        <w:t>е</w:t>
      </w:r>
      <w:r w:rsidRPr="00643FF8">
        <w:t>лем источника света, чертеж с указанием размеров и основных электрических и фотометрических значений, указание того, соо</w:t>
      </w:r>
      <w:r w:rsidRPr="00643FF8">
        <w:t>т</w:t>
      </w:r>
      <w:r w:rsidRPr="00643FF8">
        <w:t>ветствует ли источник света предписаниям в отношении ультраф</w:t>
      </w:r>
      <w:r w:rsidRPr="00643FF8">
        <w:t>и</w:t>
      </w:r>
      <w:r w:rsidRPr="00643FF8">
        <w:t>олетового излучения, содержащимся в пункте 4.6 приложения 12 к настоящим Правилам, официальный протокол испытаний в связи с пунктом 5.8 настоящих Правил и номинальный световой поток".</w:t>
      </w:r>
    </w:p>
    <w:p w:rsidR="00E176A1" w:rsidRPr="00643FF8" w:rsidRDefault="00E176A1" w:rsidP="00E176A1">
      <w:pPr>
        <w:pStyle w:val="SingleTxtGR"/>
        <w:rPr>
          <w:u w:val="single"/>
        </w:rPr>
      </w:pPr>
      <w:r w:rsidRPr="00643FF8">
        <w:rPr>
          <w:i/>
        </w:rPr>
        <w:t>Пункт 2.4.5</w:t>
      </w:r>
      <w:r w:rsidRPr="00643FF8">
        <w:t xml:space="preserve"> исключить.</w:t>
      </w:r>
    </w:p>
    <w:p w:rsidR="00E176A1" w:rsidRPr="00643FF8" w:rsidRDefault="00E176A1" w:rsidP="00E176A1">
      <w:pPr>
        <w:pStyle w:val="SingleTxtGR"/>
      </w:pPr>
      <w:r w:rsidRPr="00643FF8">
        <w:rPr>
          <w:i/>
        </w:rPr>
        <w:t>Пункты 2.4.6–2.4.11</w:t>
      </w:r>
      <w:r w:rsidRPr="00643FF8">
        <w:t>, изменить нумерацию на 2.4.5–2.4.10.</w:t>
      </w:r>
    </w:p>
    <w:p w:rsidR="00E176A1" w:rsidRPr="00643FF8" w:rsidRDefault="00E176A1" w:rsidP="00E176A1">
      <w:pPr>
        <w:pStyle w:val="SingleTxtGR"/>
      </w:pPr>
      <w:r w:rsidRPr="00643FF8">
        <w:rPr>
          <w:i/>
        </w:rPr>
        <w:t>Пункты 2.4.6.1 и 2.4.6.2</w:t>
      </w:r>
      <w:r w:rsidRPr="00643FF8">
        <w:t xml:space="preserve"> исключить.</w:t>
      </w:r>
    </w:p>
    <w:p w:rsidR="00E176A1" w:rsidRPr="00643FF8" w:rsidRDefault="00E176A1" w:rsidP="00E176A1">
      <w:pPr>
        <w:pStyle w:val="SingleTxtGR"/>
      </w:pPr>
      <w:r w:rsidRPr="00643FF8">
        <w:rPr>
          <w:i/>
        </w:rPr>
        <w:t>Пункт 2.4.7</w:t>
      </w:r>
      <w:r w:rsidRPr="00643FF8">
        <w:t xml:space="preserve"> изменить следующим образом:</w:t>
      </w:r>
    </w:p>
    <w:p w:rsidR="00E176A1" w:rsidRDefault="00E176A1" w:rsidP="00E176A1">
      <w:pPr>
        <w:pStyle w:val="SingleTxtGR"/>
        <w:ind w:left="2268" w:hanging="1134"/>
      </w:pPr>
      <w:r>
        <w:t>"2.4</w:t>
      </w:r>
      <w:r w:rsidRPr="00643FF8">
        <w:t>.</w:t>
      </w:r>
      <w:r>
        <w:t>7</w:t>
      </w:r>
      <w:r w:rsidRPr="00643FF8">
        <w:tab/>
      </w:r>
      <w:r>
        <w:tab/>
      </w:r>
      <w:r w:rsidRPr="00643FF8">
        <w:t>В случае модуля(ей) СИД и при отсутствии средств защиты эл</w:t>
      </w:r>
      <w:r w:rsidRPr="00643FF8">
        <w:t>е</w:t>
      </w:r>
      <w:r w:rsidRPr="00643FF8">
        <w:t>ментов соответствующей передней противотуманной фары, изг</w:t>
      </w:r>
      <w:r w:rsidRPr="00643FF8">
        <w:t>о</w:t>
      </w:r>
      <w:r w:rsidRPr="00643FF8">
        <w:t>товленных из пластического материала, от ультрафиолетового и</w:t>
      </w:r>
      <w:r w:rsidRPr="00643FF8">
        <w:t>з</w:t>
      </w:r>
      <w:r w:rsidRPr="00643FF8">
        <w:lastRenderedPageBreak/>
        <w:t>лучения, исходящего от источников света, например при помощи стеклянных фильтров ультрафиолетового излучения:</w:t>
      </w:r>
    </w:p>
    <w:p w:rsidR="00E176A1" w:rsidRPr="00643FF8" w:rsidRDefault="00E176A1" w:rsidP="00E176A1">
      <w:pPr>
        <w:pStyle w:val="SingleTxtGR"/>
        <w:ind w:left="2268" w:hanging="1134"/>
      </w:pPr>
      <w:r>
        <w:tab/>
      </w:r>
      <w:r>
        <w:tab/>
      </w:r>
      <w:r w:rsidRPr="00643FF8">
        <w:t>по одному образцу каждого из соответствующих материалов. Они должны иметь такую же геометрическую форму, что и передняя противотуманная фара, подвергаемая испытанию. Каждый образец материала должен иметь такой же внешний вид и характер обр</w:t>
      </w:r>
      <w:r w:rsidRPr="00643FF8">
        <w:t>а</w:t>
      </w:r>
      <w:r w:rsidRPr="00643FF8">
        <w:t>ботки поверхности, если таковая имеется, что и материал, предн</w:t>
      </w:r>
      <w:r w:rsidRPr="00643FF8">
        <w:t>а</w:t>
      </w:r>
      <w:r w:rsidRPr="00643FF8">
        <w:t>значенный для использования в передней противотуманной фаре, подлежащей официальному утверждению".</w:t>
      </w:r>
    </w:p>
    <w:p w:rsidR="00E176A1" w:rsidRPr="00643FF8" w:rsidRDefault="00E176A1" w:rsidP="00E176A1">
      <w:pPr>
        <w:pStyle w:val="SingleTxtGR"/>
      </w:pPr>
      <w:r w:rsidRPr="00643FF8">
        <w:rPr>
          <w:i/>
        </w:rPr>
        <w:t>Пункт 2.4.8</w:t>
      </w:r>
      <w:r w:rsidRPr="00643FF8">
        <w:t xml:space="preserve"> изменить следующим образом:</w:t>
      </w:r>
    </w:p>
    <w:p w:rsidR="00E176A1" w:rsidRPr="00643FF8" w:rsidRDefault="00E176A1" w:rsidP="00E176A1">
      <w:pPr>
        <w:pStyle w:val="SingleTxtGR"/>
        <w:ind w:left="2268" w:hanging="1134"/>
      </w:pPr>
      <w:r>
        <w:t>"2.4</w:t>
      </w:r>
      <w:r w:rsidRPr="00643FF8">
        <w:t>.</w:t>
      </w:r>
      <w:r>
        <w:t>8</w:t>
      </w:r>
      <w:r w:rsidRPr="00643FF8">
        <w:tab/>
      </w:r>
      <w:r>
        <w:tab/>
      </w:r>
      <w:r w:rsidRPr="00643FF8">
        <w:t>В случае официального утверждения передней противотуманной фары с пластиковыми рассеивателями и/или внутренними оптич</w:t>
      </w:r>
      <w:r w:rsidRPr="00643FF8">
        <w:t>е</w:t>
      </w:r>
      <w:r w:rsidRPr="00643FF8">
        <w:t>скими элементами, изготовленными из пластического материала, которые уже проходили испытание:</w:t>
      </w:r>
    </w:p>
    <w:p w:rsidR="00E176A1" w:rsidRPr="00643FF8" w:rsidRDefault="00E176A1" w:rsidP="00E176A1">
      <w:pPr>
        <w:pStyle w:val="SingleTxtGR"/>
      </w:pPr>
      <w:r>
        <w:tab/>
      </w:r>
      <w:r>
        <w:tab/>
      </w:r>
      <w:r w:rsidRPr="00643FF8">
        <w:t>…"</w:t>
      </w:r>
    </w:p>
    <w:p w:rsidR="00E176A1" w:rsidRPr="00643FF8" w:rsidRDefault="00E176A1" w:rsidP="00E176A1">
      <w:pPr>
        <w:pStyle w:val="SingleTxtGR"/>
      </w:pPr>
      <w:r w:rsidRPr="00643FF8">
        <w:rPr>
          <w:i/>
        </w:rPr>
        <w:t>Пункт 3.1</w:t>
      </w:r>
      <w:r w:rsidRPr="00643FF8">
        <w:t xml:space="preserve"> изменить следующим образом:</w:t>
      </w:r>
    </w:p>
    <w:p w:rsidR="00E176A1" w:rsidRPr="00643FF8" w:rsidRDefault="00E176A1" w:rsidP="00E176A1">
      <w:pPr>
        <w:pStyle w:val="SingleTxtGR"/>
        <w:ind w:left="2268" w:hanging="1134"/>
      </w:pPr>
      <w:r w:rsidRPr="00643FF8">
        <w:t>"3.1</w:t>
      </w:r>
      <w:r w:rsidRPr="00643FF8">
        <w:tab/>
      </w:r>
      <w:r>
        <w:tab/>
      </w:r>
      <w:r w:rsidRPr="00643FF8">
        <w:t>На образцах типа передней противотуманной фары, представля</w:t>
      </w:r>
      <w:r w:rsidRPr="00643FF8">
        <w:t>е</w:t>
      </w:r>
      <w:r w:rsidRPr="00643FF8">
        <w:t>мой на официальное утверждение, должны быть проставлены сл</w:t>
      </w:r>
      <w:r w:rsidRPr="00643FF8">
        <w:t>е</w:t>
      </w:r>
      <w:r w:rsidRPr="00643FF8">
        <w:t>дующие четкие, разборчивые и нестираемые обозначения:</w:t>
      </w:r>
    </w:p>
    <w:p w:rsidR="00E176A1" w:rsidRPr="00643FF8" w:rsidRDefault="00E176A1" w:rsidP="00E176A1">
      <w:pPr>
        <w:pStyle w:val="SingleTxtGR"/>
      </w:pPr>
      <w:r>
        <w:tab/>
      </w:r>
      <w:r>
        <w:tab/>
        <w:t>a)</w:t>
      </w:r>
      <w:r>
        <w:tab/>
      </w:r>
      <w:r w:rsidRPr="003A3C0F">
        <w:t>торговое наименование или товарный знак</w:t>
      </w:r>
      <w:r w:rsidRPr="00643FF8">
        <w:t xml:space="preserve"> подателя заявки,</w:t>
      </w:r>
    </w:p>
    <w:p w:rsidR="00E176A1" w:rsidRPr="00643FF8" w:rsidRDefault="00E176A1" w:rsidP="00E176A1">
      <w:pPr>
        <w:pStyle w:val="SingleTxtGR"/>
        <w:ind w:left="2835" w:hanging="1701"/>
      </w:pPr>
      <w:r>
        <w:tab/>
      </w:r>
      <w:r>
        <w:tab/>
        <w:t>b)</w:t>
      </w:r>
      <w:r>
        <w:tab/>
      </w:r>
      <w:r w:rsidRPr="00643FF8">
        <w:t>обозначение класса передней противотуманной фары, а в случае передних противотуманных фар класса F3:</w:t>
      </w:r>
    </w:p>
    <w:p w:rsidR="00E176A1" w:rsidRPr="00643FF8" w:rsidRDefault="00E176A1" w:rsidP="00E176A1">
      <w:pPr>
        <w:pStyle w:val="SingleTxtGR"/>
        <w:ind w:left="2835" w:hanging="1701"/>
      </w:pPr>
      <w:r>
        <w:tab/>
      </w:r>
      <w:r>
        <w:tab/>
      </w:r>
      <w:r w:rsidR="00F16B67">
        <w:tab/>
        <w:t>-</w:t>
      </w:r>
      <w:r>
        <w:tab/>
      </w:r>
      <w:r w:rsidRPr="00643FF8">
        <w:t>конкретный идентификационный код модуля СИД, е</w:t>
      </w:r>
      <w:r w:rsidRPr="00643FF8">
        <w:t>с</w:t>
      </w:r>
      <w:r w:rsidRPr="00643FF8">
        <w:t>ли таковой имеется".</w:t>
      </w:r>
    </w:p>
    <w:p w:rsidR="00E176A1" w:rsidRPr="00643FF8" w:rsidRDefault="00E176A1" w:rsidP="00E176A1">
      <w:pPr>
        <w:pStyle w:val="SingleTxtGR"/>
      </w:pPr>
      <w:r w:rsidRPr="00643FF8">
        <w:rPr>
          <w:i/>
        </w:rPr>
        <w:t>Пункт 3.3</w:t>
      </w:r>
      <w:r w:rsidRPr="00643FF8">
        <w:t xml:space="preserve"> изменить следующим образом:</w:t>
      </w:r>
    </w:p>
    <w:p w:rsidR="00E176A1" w:rsidRPr="00643FF8" w:rsidRDefault="00E176A1" w:rsidP="00E176A1">
      <w:pPr>
        <w:pStyle w:val="SingleTxtGR"/>
        <w:ind w:left="2268" w:hanging="1134"/>
      </w:pPr>
      <w:r w:rsidRPr="00643FF8">
        <w:t>"3.3</w:t>
      </w:r>
      <w:r w:rsidRPr="00643FF8">
        <w:tab/>
      </w:r>
      <w:r>
        <w:tab/>
      </w:r>
      <w:r w:rsidRPr="00643FF8">
        <w:t>Знак официального утверждения проставляют на внутренней или внешней части (прозрачной или нет) устройства, которая не может быть отделена от прозрачной части устройства, излучающего свет. В любом случае эта маркировка должна быть видимой, когда устройство установлено на транспортном средстве, по крайней м</w:t>
      </w:r>
      <w:r w:rsidRPr="00643FF8">
        <w:t>е</w:t>
      </w:r>
      <w:r w:rsidRPr="00643FF8">
        <w:t>ре при открывании такой откидной части, как капот, крышка б</w:t>
      </w:r>
      <w:r w:rsidRPr="00643FF8">
        <w:t>а</w:t>
      </w:r>
      <w:r w:rsidRPr="00643FF8">
        <w:t>гажного отделения или дверь".</w:t>
      </w:r>
    </w:p>
    <w:p w:rsidR="00E176A1" w:rsidRPr="00643FF8" w:rsidRDefault="00E176A1" w:rsidP="00E176A1">
      <w:pPr>
        <w:pStyle w:val="SingleTxtGR"/>
      </w:pPr>
      <w:r w:rsidRPr="00643FF8">
        <w:rPr>
          <w:i/>
        </w:rPr>
        <w:t>Пункт 3.4</w:t>
      </w:r>
      <w:r w:rsidRPr="00643FF8">
        <w:t xml:space="preserve"> изменить следующим образом: </w:t>
      </w:r>
    </w:p>
    <w:p w:rsidR="00E176A1" w:rsidRPr="00643FF8" w:rsidRDefault="00E176A1" w:rsidP="00E176A1">
      <w:pPr>
        <w:pStyle w:val="SingleTxtGR"/>
        <w:ind w:left="2268" w:hanging="1134"/>
        <w:rPr>
          <w:bCs/>
          <w:iCs/>
        </w:rPr>
      </w:pPr>
      <w:r w:rsidRPr="00643FF8">
        <w:t>"3.4</w:t>
      </w:r>
      <w:r w:rsidRPr="00643FF8">
        <w:tab/>
      </w:r>
      <w:r>
        <w:tab/>
      </w:r>
      <w:r w:rsidRPr="00643FF8">
        <w:t>В случае передних противотуманных фар класса F3 с модулем(ями) СИД на фаре проставляют маркировку с указанием номинального напряжения, номинальной мощности и конкретного идентифик</w:t>
      </w:r>
      <w:r w:rsidRPr="00643FF8">
        <w:t>а</w:t>
      </w:r>
      <w:r w:rsidRPr="00643FF8">
        <w:t>ционного кода модуля источника света".</w:t>
      </w:r>
    </w:p>
    <w:p w:rsidR="00E176A1" w:rsidRPr="00643FF8" w:rsidRDefault="00E176A1" w:rsidP="00E176A1">
      <w:pPr>
        <w:pStyle w:val="SingleTxtGR"/>
        <w:rPr>
          <w:i/>
        </w:rPr>
      </w:pPr>
      <w:r w:rsidRPr="00643FF8">
        <w:rPr>
          <w:i/>
        </w:rPr>
        <w:t>Пункты 5.7−5.13</w:t>
      </w:r>
      <w:r w:rsidR="00F16B67">
        <w:rPr>
          <w:i/>
        </w:rPr>
        <w:t xml:space="preserve"> и сноску 5</w:t>
      </w:r>
      <w:r w:rsidRPr="00643FF8">
        <w:t xml:space="preserve"> изменить следующим образом:</w:t>
      </w:r>
    </w:p>
    <w:p w:rsidR="00E176A1" w:rsidRPr="00643FF8" w:rsidRDefault="00E176A1" w:rsidP="00E176A1">
      <w:pPr>
        <w:pStyle w:val="SingleTxtGR"/>
        <w:ind w:left="2268" w:hanging="1134"/>
      </w:pPr>
      <w:r w:rsidRPr="00643FF8">
        <w:t>"5.7</w:t>
      </w:r>
      <w:r w:rsidRPr="00643FF8">
        <w:rPr>
          <w:i/>
        </w:rPr>
        <w:tab/>
      </w:r>
      <w:r>
        <w:rPr>
          <w:i/>
        </w:rPr>
        <w:tab/>
      </w:r>
      <w:r w:rsidRPr="00643FF8">
        <w:t>В случае класса F3 источники света, независимо от того, являются они сменными или нет, должны представлять собой:</w:t>
      </w:r>
    </w:p>
    <w:p w:rsidR="00E176A1" w:rsidRPr="00643FF8" w:rsidRDefault="00E176A1" w:rsidP="00E176A1">
      <w:pPr>
        <w:pStyle w:val="SingleTxtGR"/>
        <w:ind w:left="2268" w:hanging="1134"/>
      </w:pPr>
      <w:r w:rsidRPr="00643FF8">
        <w:t>5.7.1</w:t>
      </w:r>
      <w:r w:rsidRPr="00643FF8">
        <w:tab/>
      </w:r>
      <w:r>
        <w:tab/>
      </w:r>
      <w:r w:rsidRPr="00643FF8">
        <w:t>один или более сменных источников света, официально утве</w:t>
      </w:r>
      <w:r w:rsidRPr="00643FF8">
        <w:t>р</w:t>
      </w:r>
      <w:r w:rsidRPr="00643FF8">
        <w:t>жденных на основании:</w:t>
      </w:r>
    </w:p>
    <w:p w:rsidR="00E176A1" w:rsidRPr="00643FF8" w:rsidRDefault="00E176A1" w:rsidP="00E176A1">
      <w:pPr>
        <w:pStyle w:val="SingleTxtGR"/>
        <w:ind w:left="2268" w:hanging="1134"/>
      </w:pPr>
      <w:r w:rsidRPr="00643FF8">
        <w:t>5.7.1.1</w:t>
      </w:r>
      <w:r w:rsidRPr="00643FF8">
        <w:tab/>
        <w:t>Правил № 37 и соответствующих серий поправок, действующих на момент подачи заявки на официальное утверждение типа, при условии отсутствия ограничений на их использование,</w:t>
      </w:r>
    </w:p>
    <w:p w:rsidR="00E176A1" w:rsidRPr="00643FF8" w:rsidRDefault="00E176A1" w:rsidP="00E176A1">
      <w:pPr>
        <w:pStyle w:val="SingleTxtGR"/>
        <w:ind w:left="2268" w:hanging="1134"/>
      </w:pPr>
      <w:r w:rsidRPr="00643FF8">
        <w:t>5.7.1.2</w:t>
      </w:r>
      <w:r w:rsidRPr="00643FF8">
        <w:tab/>
        <w:t>или Правил № 99 и соответствующих серий поправок, действу</w:t>
      </w:r>
      <w:r w:rsidRPr="00643FF8">
        <w:t>ю</w:t>
      </w:r>
      <w:r w:rsidRPr="00643FF8">
        <w:t xml:space="preserve">щих на момент подачи заявки </w:t>
      </w:r>
      <w:r>
        <w:t>на официальное утверждение типа,</w:t>
      </w:r>
    </w:p>
    <w:p w:rsidR="00E176A1" w:rsidRPr="00643FF8" w:rsidRDefault="00E176A1" w:rsidP="00E176A1">
      <w:pPr>
        <w:pStyle w:val="SingleTxtGR"/>
        <w:ind w:left="2268" w:hanging="1134"/>
      </w:pPr>
      <w:r w:rsidRPr="00643FF8">
        <w:t>5.7.2</w:t>
      </w:r>
      <w:r w:rsidRPr="00643FF8">
        <w:tab/>
      </w:r>
      <w:r>
        <w:tab/>
      </w:r>
      <w:r w:rsidRPr="00643FF8">
        <w:t>и/или один или более модулей СИД, к которым применяются тр</w:t>
      </w:r>
      <w:r w:rsidRPr="00643FF8">
        <w:t>е</w:t>
      </w:r>
      <w:r w:rsidRPr="00643FF8">
        <w:t>бования приложения 12 к настоящим Правилам; соответствие этим требованиям проверяется путем испытаний.</w:t>
      </w:r>
    </w:p>
    <w:p w:rsidR="00E176A1" w:rsidRPr="00643FF8" w:rsidRDefault="00E176A1" w:rsidP="00E176A1">
      <w:pPr>
        <w:pStyle w:val="SingleTxtGR"/>
        <w:ind w:left="2268" w:hanging="1134"/>
      </w:pPr>
      <w:r w:rsidRPr="00643FF8">
        <w:t>5.8</w:t>
      </w:r>
      <w:r w:rsidRPr="00643FF8">
        <w:tab/>
      </w:r>
      <w:r>
        <w:tab/>
      </w:r>
      <w:r w:rsidRPr="00643FF8">
        <w:t>В случае модуля СИД необходимо убедиться в том, что:</w:t>
      </w:r>
    </w:p>
    <w:p w:rsidR="00E176A1" w:rsidRPr="00643FF8" w:rsidRDefault="00E176A1" w:rsidP="00E176A1">
      <w:pPr>
        <w:pStyle w:val="SingleTxtGR"/>
        <w:ind w:left="2268" w:hanging="1134"/>
      </w:pPr>
      <w:r w:rsidRPr="00643FF8">
        <w:t>5.8.1</w:t>
      </w:r>
      <w:r w:rsidRPr="00643FF8">
        <w:tab/>
      </w:r>
      <w:r>
        <w:tab/>
      </w:r>
      <w:r w:rsidRPr="00643FF8">
        <w:t>конструкция модуля(ей) СИД такова, что они могут устанавливат</w:t>
      </w:r>
      <w:r w:rsidRPr="00643FF8">
        <w:t>ь</w:t>
      </w:r>
      <w:r w:rsidRPr="00643FF8">
        <w:t>ся только в правильном положении;</w:t>
      </w:r>
    </w:p>
    <w:p w:rsidR="00E176A1" w:rsidRPr="00643FF8" w:rsidRDefault="00E176A1" w:rsidP="00E176A1">
      <w:pPr>
        <w:pStyle w:val="SingleTxtGR"/>
        <w:ind w:left="2268" w:hanging="1134"/>
      </w:pPr>
      <w:r w:rsidRPr="00643FF8">
        <w:t>5.8.2</w:t>
      </w:r>
      <w:r w:rsidRPr="00643FF8">
        <w:tab/>
      </w:r>
      <w:r>
        <w:tab/>
      </w:r>
      <w:r w:rsidRPr="00643FF8">
        <w:t>неидентичные модули источников света, если таковые имеются, не являются взаимозаменяемыми в одном и том же корпусе фары;</w:t>
      </w:r>
    </w:p>
    <w:p w:rsidR="00E176A1" w:rsidRPr="00643FF8" w:rsidRDefault="00E176A1" w:rsidP="00E176A1">
      <w:pPr>
        <w:pStyle w:val="SingleTxtGR"/>
        <w:ind w:left="2268" w:hanging="1134"/>
      </w:pPr>
      <w:r w:rsidRPr="00643FF8">
        <w:t>5.8.3</w:t>
      </w:r>
      <w:r w:rsidRPr="00643FF8">
        <w:tab/>
      </w:r>
      <w:r>
        <w:tab/>
      </w:r>
      <w:r w:rsidRPr="00643FF8">
        <w:t>модуль(и) СИД защищен(ы) от неумелого обращения.</w:t>
      </w:r>
    </w:p>
    <w:p w:rsidR="00E176A1" w:rsidRPr="00643FF8" w:rsidRDefault="00E176A1" w:rsidP="00E176A1">
      <w:pPr>
        <w:pStyle w:val="SingleTxtGR"/>
        <w:ind w:left="2268" w:hanging="1134"/>
      </w:pPr>
      <w:r w:rsidRPr="00643FF8">
        <w:t>5.9</w:t>
      </w:r>
      <w:r w:rsidRPr="00643FF8">
        <w:tab/>
      </w:r>
      <w:r>
        <w:tab/>
      </w:r>
      <w:r w:rsidRPr="00643FF8">
        <w:t>Если передние противотуманные фары оснащены источником(ами) света, имеющим(и) совокупный номинальный световой поток, пр</w:t>
      </w:r>
      <w:r w:rsidRPr="00643FF8">
        <w:t>е</w:t>
      </w:r>
      <w:r w:rsidRPr="00643FF8">
        <w:t>вышающий 2 000 люмен, то это должно быть указано в пункте 10 карточки сообщения, приведенной в приложении 1.</w:t>
      </w:r>
    </w:p>
    <w:p w:rsidR="00E176A1" w:rsidRPr="00643FF8" w:rsidRDefault="00E176A1" w:rsidP="00E176A1">
      <w:pPr>
        <w:pStyle w:val="SingleTxtGR"/>
        <w:ind w:left="2268" w:hanging="1134"/>
      </w:pPr>
      <w:r w:rsidRPr="00643FF8">
        <w:t>5.10</w:t>
      </w:r>
      <w:r w:rsidRPr="00643FF8">
        <w:tab/>
      </w:r>
      <w:r>
        <w:tab/>
      </w:r>
      <w:r w:rsidRPr="00643FF8">
        <w:t>Если рассеиватель передней противотуманной фары изготовлен из пластических материалов, то проводятся испытания в соответствии с требованиями приложения 6.</w:t>
      </w:r>
    </w:p>
    <w:p w:rsidR="00E176A1" w:rsidRPr="00643FF8" w:rsidRDefault="00E176A1" w:rsidP="00E176A1">
      <w:pPr>
        <w:pStyle w:val="SingleTxtGR"/>
        <w:ind w:left="2268" w:hanging="1134"/>
      </w:pPr>
      <w:r w:rsidRPr="00643FF8">
        <w:t>5.10.1</w:t>
      </w:r>
      <w:r w:rsidRPr="00643FF8">
        <w:tab/>
      </w:r>
      <w:r>
        <w:tab/>
      </w:r>
      <w:r w:rsidRPr="00643FF8">
        <w:t>Светопроводящие элементы, расположенные внутри передней пр</w:t>
      </w:r>
      <w:r w:rsidRPr="00643FF8">
        <w:t>о</w:t>
      </w:r>
      <w:r w:rsidRPr="00643FF8">
        <w:t>тивотуманной фары и изготовленные из пластического материала, подвергаются испытанию на стойкость к воздействию ультрафи</w:t>
      </w:r>
      <w:r w:rsidRPr="00643FF8">
        <w:t>о</w:t>
      </w:r>
      <w:r w:rsidRPr="00643FF8">
        <w:t>летового излучения в соответствии с пунктом 2.7 приложения 6.</w:t>
      </w:r>
    </w:p>
    <w:p w:rsidR="00E176A1" w:rsidRPr="00643FF8" w:rsidRDefault="00E176A1" w:rsidP="00E176A1">
      <w:pPr>
        <w:pStyle w:val="SingleTxtGR"/>
        <w:ind w:left="2268" w:hanging="1134"/>
      </w:pPr>
      <w:r w:rsidRPr="00643FF8">
        <w:t>5.10.2</w:t>
      </w:r>
      <w:r w:rsidRPr="00643FF8">
        <w:tab/>
      </w:r>
      <w:r>
        <w:tab/>
      </w:r>
      <w:r w:rsidRPr="00643FF8">
        <w:t>Испытание, предусмотренное в пункте 5.10.1, проводить не треб</w:t>
      </w:r>
      <w:r w:rsidRPr="00643FF8">
        <w:t>у</w:t>
      </w:r>
      <w:r w:rsidRPr="00643FF8">
        <w:t>ется, если используются источники света с низким уровнем ул</w:t>
      </w:r>
      <w:r w:rsidRPr="00643FF8">
        <w:t>ь</w:t>
      </w:r>
      <w:r w:rsidRPr="00643FF8">
        <w:t>трафиолетового излучения, указанные в Правилах № 99 в прилож</w:t>
      </w:r>
      <w:r w:rsidRPr="00643FF8">
        <w:t>е</w:t>
      </w:r>
      <w:r w:rsidRPr="00643FF8">
        <w:t>нии 12 к настоящим Правилам, или если приняты меры для защиты соответствующих элементов фары от ультрафиолетового излуч</w:t>
      </w:r>
      <w:r w:rsidRPr="00643FF8">
        <w:t>е</w:t>
      </w:r>
      <w:r w:rsidRPr="00643FF8">
        <w:t>ния, например при помощи стеклянных фильтров.</w:t>
      </w:r>
    </w:p>
    <w:p w:rsidR="00E176A1" w:rsidRPr="00643FF8" w:rsidRDefault="00E176A1" w:rsidP="00E176A1">
      <w:pPr>
        <w:pStyle w:val="SingleTxtGR"/>
        <w:ind w:left="2268" w:hanging="1134"/>
      </w:pPr>
      <w:r w:rsidRPr="00643FF8">
        <w:t>5.11</w:t>
      </w:r>
      <w:r w:rsidRPr="00643FF8">
        <w:tab/>
      </w:r>
      <w:r>
        <w:tab/>
      </w:r>
      <w:r w:rsidRPr="00643FF8">
        <w:t>Передняя противотуманная фара и ее пускорегулирующая система механизма управления источником света не должны создавать электромагнитные либо сетевые помехи, которые вызывают сбои в работе других электрических/электронных систем транспортного средства</w:t>
      </w:r>
      <w:r w:rsidR="00F16B67">
        <w:rPr>
          <w:vertAlign w:val="superscript"/>
        </w:rPr>
        <w:t>5</w:t>
      </w:r>
      <w:r w:rsidRPr="00643FF8">
        <w:t>.</w:t>
      </w:r>
    </w:p>
    <w:p w:rsidR="00E176A1" w:rsidRDefault="00E176A1" w:rsidP="00E176A1">
      <w:pPr>
        <w:pStyle w:val="SingleTxtGR"/>
        <w:ind w:left="2268" w:hanging="1134"/>
      </w:pPr>
      <w:r w:rsidRPr="00643FF8">
        <w:t>5.12</w:t>
      </w:r>
      <w:r w:rsidRPr="00643FF8">
        <w:tab/>
      </w:r>
      <w:r>
        <w:tab/>
      </w:r>
      <w:r w:rsidRPr="00643FF8">
        <w:t>Разрешается использовать передние противотуманные фары, кот</w:t>
      </w:r>
      <w:r w:rsidRPr="00643FF8">
        <w:t>о</w:t>
      </w:r>
      <w:r w:rsidRPr="00643FF8">
        <w:t>рые предназначены для постоянной работы совместно с дополн</w:t>
      </w:r>
      <w:r w:rsidRPr="00643FF8">
        <w:t>и</w:t>
      </w:r>
      <w:r w:rsidRPr="00643FF8">
        <w:t>тельной системой управления силой излучаемого света или кот</w:t>
      </w:r>
      <w:r w:rsidRPr="00643FF8">
        <w:t>о</w:t>
      </w:r>
      <w:r w:rsidRPr="00643FF8">
        <w:t>рые совмещены с другой функцией, использующей общий исто</w:t>
      </w:r>
      <w:r w:rsidRPr="00643FF8">
        <w:t>ч</w:t>
      </w:r>
      <w:r w:rsidRPr="00643FF8">
        <w:t>ник света и предназначенной для постоянной работы совместно с дополнительной системой управления силой излучаемого света.</w:t>
      </w:r>
    </w:p>
    <w:p w:rsidR="00E176A1" w:rsidRPr="006C6A05" w:rsidRDefault="00E176A1" w:rsidP="00E176A1">
      <w:pPr>
        <w:pStyle w:val="SingleTxtGR"/>
        <w:ind w:left="2268" w:hanging="1134"/>
      </w:pPr>
      <w:r w:rsidRPr="00643FF8">
        <w:t>5.13</w:t>
      </w:r>
      <w:r w:rsidRPr="00643FF8">
        <w:tab/>
      </w:r>
      <w:r>
        <w:tab/>
      </w:r>
      <w:r w:rsidRPr="00643FF8">
        <w:t>В случае класса F3 проводится испытание на резкость и лине</w:t>
      </w:r>
      <w:r w:rsidRPr="00643FF8">
        <w:t>й</w:t>
      </w:r>
      <w:r w:rsidRPr="00643FF8">
        <w:t>ность светотеневой границы в соответствии с требованиями пр</w:t>
      </w:r>
      <w:r w:rsidRPr="00643FF8">
        <w:t>и</w:t>
      </w:r>
      <w:r w:rsidRPr="00643FF8">
        <w:t>ложения 9.</w:t>
      </w:r>
    </w:p>
    <w:p w:rsidR="00E176A1" w:rsidRPr="00643FF8" w:rsidRDefault="00E176A1" w:rsidP="00E176A1">
      <w:pPr>
        <w:pStyle w:val="SingleTxtGR"/>
        <w:rPr>
          <w:u w:val="single"/>
        </w:rPr>
      </w:pPr>
      <w:r w:rsidRPr="00643FF8">
        <w:separator/>
      </w:r>
    </w:p>
    <w:p w:rsidR="00E176A1" w:rsidRPr="008B387F" w:rsidRDefault="00F16B67" w:rsidP="00E176A1">
      <w:pPr>
        <w:pStyle w:val="SingleTxtGR"/>
        <w:ind w:left="1701" w:hanging="567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 w:rsidR="00E176A1" w:rsidRPr="008B387F">
        <w:rPr>
          <w:sz w:val="18"/>
          <w:szCs w:val="18"/>
        </w:rPr>
        <w:tab/>
        <w:t>Соблюдение требований в отношении электромагнитной совместимости зависит от типа транспортного средства</w:t>
      </w:r>
      <w:r w:rsidR="00A36DED" w:rsidRPr="00643FF8">
        <w:t>"</w:t>
      </w:r>
      <w:r w:rsidR="00E176A1" w:rsidRPr="008B387F">
        <w:rPr>
          <w:sz w:val="18"/>
          <w:szCs w:val="18"/>
        </w:rPr>
        <w:t>.</w:t>
      </w:r>
    </w:p>
    <w:p w:rsidR="00E176A1" w:rsidRPr="00643FF8" w:rsidRDefault="00E176A1" w:rsidP="00E176A1">
      <w:pPr>
        <w:pStyle w:val="SingleTxtGR"/>
        <w:ind w:left="2268" w:hanging="1134"/>
        <w:rPr>
          <w:iCs/>
        </w:rPr>
      </w:pPr>
      <w:r w:rsidRPr="004A5D6F">
        <w:br w:type="page"/>
      </w:r>
      <w:r w:rsidRPr="00643FF8">
        <w:rPr>
          <w:i/>
        </w:rPr>
        <w:t>Пункт 6.4.1.5</w:t>
      </w:r>
      <w:r w:rsidRPr="00643FF8">
        <w:t xml:space="preserve"> изменить следующим образом:</w:t>
      </w:r>
    </w:p>
    <w:p w:rsidR="00E176A1" w:rsidRPr="00643FF8" w:rsidRDefault="00E176A1" w:rsidP="00E176A1">
      <w:pPr>
        <w:pStyle w:val="SingleTxtGR"/>
        <w:ind w:left="2268" w:hanging="1134"/>
      </w:pPr>
      <w:r>
        <w:t>"</w:t>
      </w:r>
      <w:r w:rsidRPr="00643FF8">
        <w:t>6.4.1.5</w:t>
      </w:r>
      <w:r w:rsidRPr="00643FF8">
        <w:tab/>
        <w:t>Соответствие требованиям пункта 5.8.1 проверя</w:t>
      </w:r>
      <w:r>
        <w:t>ю</w:t>
      </w:r>
      <w:r w:rsidRPr="00643FF8">
        <w:t xml:space="preserve">т по крайней мере в отношении значений </w:t>
      </w:r>
      <w:r>
        <w:t>на линиях</w:t>
      </w:r>
      <w:r w:rsidRPr="00643FF8">
        <w:t xml:space="preserve"> 3 </w:t>
      </w:r>
      <w:r>
        <w:t>и 4, указанных в таблице пункта</w:t>
      </w:r>
      <w:r>
        <w:rPr>
          <w:lang w:val="en-US"/>
        </w:rPr>
        <w:t> </w:t>
      </w:r>
      <w:r w:rsidRPr="00643FF8">
        <w:t>6.4.3</w:t>
      </w:r>
      <w:r>
        <w:t>"</w:t>
      </w:r>
      <w:r w:rsidRPr="00643FF8">
        <w:t>.</w:t>
      </w:r>
    </w:p>
    <w:p w:rsidR="00E176A1" w:rsidRPr="00501005" w:rsidRDefault="00E176A1" w:rsidP="00E176A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2A6B" w:rsidRPr="00F41352" w:rsidRDefault="00472A6B" w:rsidP="005B10EE">
      <w:pPr>
        <w:pStyle w:val="SingleTxtGR"/>
        <w:spacing w:after="130"/>
      </w:pPr>
    </w:p>
    <w:sectPr w:rsidR="00472A6B" w:rsidRPr="00F41352" w:rsidSect="0020341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D1" w:rsidRDefault="005E3FD1">
      <w:r>
        <w:rPr>
          <w:lang w:val="en-US"/>
        </w:rPr>
        <w:tab/>
      </w:r>
      <w:r>
        <w:separator/>
      </w:r>
    </w:p>
  </w:endnote>
  <w:endnote w:type="continuationSeparator" w:id="0">
    <w:p w:rsidR="005E3FD1" w:rsidRDefault="005E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3194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3194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5B7F8E">
      <w:rPr>
        <w:sz w:val="20"/>
        <w:lang w:val="ru-RU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="00741DCA">
      <w:rPr>
        <w:b/>
        <w:noProof/>
        <w:lang w:eastAsia="en-GB"/>
      </w:rPr>
      <w:drawing>
        <wp:inline distT="0" distB="0" distL="0" distR="0">
          <wp:extent cx="2705100" cy="228600"/>
          <wp:effectExtent l="0" t="0" r="0" b="0"/>
          <wp:docPr id="2" name="Picture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D1" w:rsidRPr="00F71F63" w:rsidRDefault="005E3FD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E3FD1" w:rsidRPr="00F71F63" w:rsidRDefault="005E3FD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E3FD1" w:rsidRPr="00635E86" w:rsidRDefault="005E3FD1" w:rsidP="00635E86">
      <w:pPr>
        <w:pStyle w:val="Footer"/>
      </w:pPr>
    </w:p>
  </w:footnote>
  <w:footnote w:id="1">
    <w:p w:rsidR="00B35961" w:rsidRPr="00677934" w:rsidRDefault="00B35961" w:rsidP="00B35961">
      <w:pPr>
        <w:pStyle w:val="FootnoteText"/>
        <w:rPr>
          <w:sz w:val="20"/>
          <w:lang w:val="ru-RU"/>
        </w:rPr>
      </w:pPr>
      <w:r>
        <w:tab/>
      </w:r>
      <w:r w:rsidRPr="008A239F">
        <w:rPr>
          <w:rStyle w:val="FootnoteReference"/>
          <w:szCs w:val="18"/>
          <w:vertAlign w:val="baseline"/>
          <w:lang w:val="ru-RU"/>
        </w:rPr>
        <w:t>*</w:t>
      </w:r>
      <w:r w:rsidRPr="00677934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lang w:val="ru-RU"/>
        </w:rPr>
        <w:t>анспортных средств, совершено в</w:t>
      </w:r>
      <w:r w:rsidRPr="00C53DCB">
        <w:rPr>
          <w:lang w:val="ru-RU"/>
        </w:rPr>
        <w:t xml:space="preserve"> </w:t>
      </w:r>
      <w:r w:rsidRPr="00677934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3B6C9C">
    <w:pPr>
      <w:pStyle w:val="Header"/>
      <w:rPr>
        <w:lang w:val="en-US"/>
      </w:rPr>
    </w:pPr>
    <w:r w:rsidRPr="00D623A7">
      <w:t>E/ECE/324</w:t>
    </w:r>
    <w:r>
      <w:t>/Rev.1/Add.18/Rev.7/Amend.2</w:t>
    </w:r>
    <w:r>
      <w:br/>
    </w:r>
    <w:r w:rsidRPr="00D623A7">
      <w:t>E/ECE/TRANS/505</w:t>
    </w:r>
    <w:r>
      <w:t>/Rev.1/Add.18/Rev.7/Amend.2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3B6C9C">
      <w:t>E/ECE/324/Rev.1/Add.18/Rev.7/Amend.2</w:t>
    </w:r>
    <w:r>
      <w:rPr>
        <w:lang w:val="en-US"/>
      </w:rPr>
      <w:br/>
    </w:r>
    <w:r w:rsidR="003B6C9C">
      <w:t>E/ECE/TRANS/505/Rev.1/Add.18/Rev.7/Amend.2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11605"/>
    <w:rsid w:val="0001293C"/>
    <w:rsid w:val="0001587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306D"/>
    <w:rsid w:val="00086182"/>
    <w:rsid w:val="00090891"/>
    <w:rsid w:val="00092E62"/>
    <w:rsid w:val="00097975"/>
    <w:rsid w:val="000A3DDF"/>
    <w:rsid w:val="000A60A0"/>
    <w:rsid w:val="000C1F8F"/>
    <w:rsid w:val="000C3688"/>
    <w:rsid w:val="000D416F"/>
    <w:rsid w:val="000D6863"/>
    <w:rsid w:val="000D6D03"/>
    <w:rsid w:val="000E486C"/>
    <w:rsid w:val="00105B9F"/>
    <w:rsid w:val="0011272C"/>
    <w:rsid w:val="00117AEE"/>
    <w:rsid w:val="0012420E"/>
    <w:rsid w:val="001352E9"/>
    <w:rsid w:val="00141432"/>
    <w:rsid w:val="001463F7"/>
    <w:rsid w:val="0015769C"/>
    <w:rsid w:val="00165210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341D"/>
    <w:rsid w:val="00232D42"/>
    <w:rsid w:val="00237334"/>
    <w:rsid w:val="002444F4"/>
    <w:rsid w:val="002629A0"/>
    <w:rsid w:val="0028492B"/>
    <w:rsid w:val="00291C8F"/>
    <w:rsid w:val="002B177B"/>
    <w:rsid w:val="002C5036"/>
    <w:rsid w:val="002C6A71"/>
    <w:rsid w:val="002C6D5F"/>
    <w:rsid w:val="002D0D66"/>
    <w:rsid w:val="002D15EA"/>
    <w:rsid w:val="002D2504"/>
    <w:rsid w:val="002D6C07"/>
    <w:rsid w:val="002E0CE6"/>
    <w:rsid w:val="002E1163"/>
    <w:rsid w:val="002E43F3"/>
    <w:rsid w:val="0030281E"/>
    <w:rsid w:val="003037A7"/>
    <w:rsid w:val="00316CA9"/>
    <w:rsid w:val="003215F5"/>
    <w:rsid w:val="00321C4D"/>
    <w:rsid w:val="00332891"/>
    <w:rsid w:val="003529EE"/>
    <w:rsid w:val="00356BB2"/>
    <w:rsid w:val="00360477"/>
    <w:rsid w:val="00362876"/>
    <w:rsid w:val="00367FC9"/>
    <w:rsid w:val="003711A1"/>
    <w:rsid w:val="00372123"/>
    <w:rsid w:val="00374559"/>
    <w:rsid w:val="00386581"/>
    <w:rsid w:val="00387100"/>
    <w:rsid w:val="003951D3"/>
    <w:rsid w:val="003978C6"/>
    <w:rsid w:val="003B40A9"/>
    <w:rsid w:val="003B6C9C"/>
    <w:rsid w:val="003C016E"/>
    <w:rsid w:val="003C1586"/>
    <w:rsid w:val="003D0892"/>
    <w:rsid w:val="003D5EBD"/>
    <w:rsid w:val="003E00F6"/>
    <w:rsid w:val="003E03E1"/>
    <w:rsid w:val="003E4E8A"/>
    <w:rsid w:val="003E6BC5"/>
    <w:rsid w:val="00401CE0"/>
    <w:rsid w:val="00403234"/>
    <w:rsid w:val="00407AC3"/>
    <w:rsid w:val="0041298E"/>
    <w:rsid w:val="00414586"/>
    <w:rsid w:val="00415059"/>
    <w:rsid w:val="00424FDD"/>
    <w:rsid w:val="004276E3"/>
    <w:rsid w:val="0043033D"/>
    <w:rsid w:val="00432F08"/>
    <w:rsid w:val="00435FE4"/>
    <w:rsid w:val="00457634"/>
    <w:rsid w:val="004654CB"/>
    <w:rsid w:val="00472A6B"/>
    <w:rsid w:val="00474F42"/>
    <w:rsid w:val="0048244D"/>
    <w:rsid w:val="004A0DE8"/>
    <w:rsid w:val="004A26EE"/>
    <w:rsid w:val="004A4CB7"/>
    <w:rsid w:val="004A57B5"/>
    <w:rsid w:val="004B19DA"/>
    <w:rsid w:val="004C2A53"/>
    <w:rsid w:val="004C3B35"/>
    <w:rsid w:val="004C43EC"/>
    <w:rsid w:val="004E0B5D"/>
    <w:rsid w:val="004E6729"/>
    <w:rsid w:val="004F0E47"/>
    <w:rsid w:val="0051339C"/>
    <w:rsid w:val="0051412F"/>
    <w:rsid w:val="00522B6F"/>
    <w:rsid w:val="0052430E"/>
    <w:rsid w:val="00526EDF"/>
    <w:rsid w:val="005276AD"/>
    <w:rsid w:val="00536683"/>
    <w:rsid w:val="00540A9A"/>
    <w:rsid w:val="0054176B"/>
    <w:rsid w:val="00543522"/>
    <w:rsid w:val="00545680"/>
    <w:rsid w:val="005502CB"/>
    <w:rsid w:val="00550FD5"/>
    <w:rsid w:val="0056618E"/>
    <w:rsid w:val="005702DC"/>
    <w:rsid w:val="00576F59"/>
    <w:rsid w:val="00577A34"/>
    <w:rsid w:val="00580AAD"/>
    <w:rsid w:val="00591E8F"/>
    <w:rsid w:val="00593A04"/>
    <w:rsid w:val="005A14C6"/>
    <w:rsid w:val="005A1514"/>
    <w:rsid w:val="005A6D5A"/>
    <w:rsid w:val="005B10EE"/>
    <w:rsid w:val="005B1B28"/>
    <w:rsid w:val="005B7D51"/>
    <w:rsid w:val="005B7F35"/>
    <w:rsid w:val="005B7F8E"/>
    <w:rsid w:val="005C2081"/>
    <w:rsid w:val="005C5D5B"/>
    <w:rsid w:val="005C678A"/>
    <w:rsid w:val="005D0B31"/>
    <w:rsid w:val="005D346D"/>
    <w:rsid w:val="005E3FD1"/>
    <w:rsid w:val="005E74AB"/>
    <w:rsid w:val="00603C43"/>
    <w:rsid w:val="00606A3E"/>
    <w:rsid w:val="006115AA"/>
    <w:rsid w:val="006120AE"/>
    <w:rsid w:val="00615CFD"/>
    <w:rsid w:val="00633759"/>
    <w:rsid w:val="006339AC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29A6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3615"/>
    <w:rsid w:val="00706099"/>
    <w:rsid w:val="00707B5F"/>
    <w:rsid w:val="00715FDF"/>
    <w:rsid w:val="00720793"/>
    <w:rsid w:val="00735602"/>
    <w:rsid w:val="00741DCA"/>
    <w:rsid w:val="007420A2"/>
    <w:rsid w:val="0075279B"/>
    <w:rsid w:val="00753748"/>
    <w:rsid w:val="00762446"/>
    <w:rsid w:val="00781ACB"/>
    <w:rsid w:val="007A79EB"/>
    <w:rsid w:val="007B4051"/>
    <w:rsid w:val="007D4CA0"/>
    <w:rsid w:val="007D7A23"/>
    <w:rsid w:val="007E38C3"/>
    <w:rsid w:val="007E549E"/>
    <w:rsid w:val="007E71C9"/>
    <w:rsid w:val="007F7553"/>
    <w:rsid w:val="008022F2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271"/>
    <w:rsid w:val="00886B0F"/>
    <w:rsid w:val="00891C08"/>
    <w:rsid w:val="008A3879"/>
    <w:rsid w:val="008A5FA8"/>
    <w:rsid w:val="008A7575"/>
    <w:rsid w:val="008A75ED"/>
    <w:rsid w:val="008B5F47"/>
    <w:rsid w:val="008B79D8"/>
    <w:rsid w:val="008C7B87"/>
    <w:rsid w:val="008D26AA"/>
    <w:rsid w:val="008D6A7A"/>
    <w:rsid w:val="008E3E87"/>
    <w:rsid w:val="008E7F13"/>
    <w:rsid w:val="008F3185"/>
    <w:rsid w:val="009109AE"/>
    <w:rsid w:val="00915B0A"/>
    <w:rsid w:val="00926904"/>
    <w:rsid w:val="009372F0"/>
    <w:rsid w:val="00954C2A"/>
    <w:rsid w:val="00955022"/>
    <w:rsid w:val="00957B4D"/>
    <w:rsid w:val="00964EEA"/>
    <w:rsid w:val="00977FFE"/>
    <w:rsid w:val="00980C86"/>
    <w:rsid w:val="009B1D9B"/>
    <w:rsid w:val="009B4074"/>
    <w:rsid w:val="009C30BB"/>
    <w:rsid w:val="009C60BE"/>
    <w:rsid w:val="009E1160"/>
    <w:rsid w:val="009E6279"/>
    <w:rsid w:val="009E7DA9"/>
    <w:rsid w:val="009F00A6"/>
    <w:rsid w:val="009F56A7"/>
    <w:rsid w:val="009F5B05"/>
    <w:rsid w:val="00A026CA"/>
    <w:rsid w:val="00A07232"/>
    <w:rsid w:val="00A10E07"/>
    <w:rsid w:val="00A13EEA"/>
    <w:rsid w:val="00A14800"/>
    <w:rsid w:val="00A156DE"/>
    <w:rsid w:val="00A157ED"/>
    <w:rsid w:val="00A2446A"/>
    <w:rsid w:val="00A36DED"/>
    <w:rsid w:val="00A4025D"/>
    <w:rsid w:val="00A75FF2"/>
    <w:rsid w:val="00A800D1"/>
    <w:rsid w:val="00A92699"/>
    <w:rsid w:val="00A94CF7"/>
    <w:rsid w:val="00A95908"/>
    <w:rsid w:val="00A964DA"/>
    <w:rsid w:val="00AA3194"/>
    <w:rsid w:val="00AB4640"/>
    <w:rsid w:val="00AB5BF0"/>
    <w:rsid w:val="00AC1C95"/>
    <w:rsid w:val="00AC2CCB"/>
    <w:rsid w:val="00AC443A"/>
    <w:rsid w:val="00AE60E2"/>
    <w:rsid w:val="00B0169F"/>
    <w:rsid w:val="00B05F21"/>
    <w:rsid w:val="00B14EA9"/>
    <w:rsid w:val="00B21C6B"/>
    <w:rsid w:val="00B30A3C"/>
    <w:rsid w:val="00B31407"/>
    <w:rsid w:val="00B35961"/>
    <w:rsid w:val="00B522B4"/>
    <w:rsid w:val="00B81305"/>
    <w:rsid w:val="00B8744B"/>
    <w:rsid w:val="00BA3D5F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79CA"/>
    <w:rsid w:val="00CA609E"/>
    <w:rsid w:val="00CA7DA4"/>
    <w:rsid w:val="00CB31FB"/>
    <w:rsid w:val="00CB7765"/>
    <w:rsid w:val="00CD45EB"/>
    <w:rsid w:val="00CD7C73"/>
    <w:rsid w:val="00CE3D6F"/>
    <w:rsid w:val="00CE5512"/>
    <w:rsid w:val="00CE79A5"/>
    <w:rsid w:val="00CF0042"/>
    <w:rsid w:val="00CF262F"/>
    <w:rsid w:val="00D025D5"/>
    <w:rsid w:val="00D26B13"/>
    <w:rsid w:val="00D26BB6"/>
    <w:rsid w:val="00D26CC1"/>
    <w:rsid w:val="00D30662"/>
    <w:rsid w:val="00D32A0B"/>
    <w:rsid w:val="00D46219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621A"/>
    <w:rsid w:val="00DF775B"/>
    <w:rsid w:val="00E007F3"/>
    <w:rsid w:val="00E00DEA"/>
    <w:rsid w:val="00E06EF0"/>
    <w:rsid w:val="00E11679"/>
    <w:rsid w:val="00E176A1"/>
    <w:rsid w:val="00E20DF1"/>
    <w:rsid w:val="00E27AD2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2641"/>
    <w:rsid w:val="00E96BE7"/>
    <w:rsid w:val="00EA2CD0"/>
    <w:rsid w:val="00EA7CA4"/>
    <w:rsid w:val="00EC0044"/>
    <w:rsid w:val="00EC6B9F"/>
    <w:rsid w:val="00ED3F4A"/>
    <w:rsid w:val="00EE0A07"/>
    <w:rsid w:val="00EE516D"/>
    <w:rsid w:val="00EF4D1B"/>
    <w:rsid w:val="00EF7295"/>
    <w:rsid w:val="00F03297"/>
    <w:rsid w:val="00F069D1"/>
    <w:rsid w:val="00F11CD8"/>
    <w:rsid w:val="00F1503D"/>
    <w:rsid w:val="00F16B67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227C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C729-E408-4551-865D-4B25ADB0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7266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04</cp:lastModifiedBy>
  <cp:revision>3</cp:revision>
  <cp:lastPrinted>2015-05-13T16:33:00Z</cp:lastPrinted>
  <dcterms:created xsi:type="dcterms:W3CDTF">2015-06-15T09:00:00Z</dcterms:created>
  <dcterms:modified xsi:type="dcterms:W3CDTF">2015-06-22T09:46:00Z</dcterms:modified>
</cp:coreProperties>
</file>