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6804"/>
        <w:gridCol w:w="2835"/>
      </w:tblGrid>
      <w:tr w:rsidR="00421A10" w:rsidRPr="00DB58B5" w:rsidTr="00495A7B">
        <w:trPr>
          <w:trHeight w:hRule="exact" w:val="851"/>
        </w:trPr>
        <w:tc>
          <w:tcPr>
            <w:tcW w:w="9639" w:type="dxa"/>
            <w:gridSpan w:val="2"/>
            <w:tcBorders>
              <w:bottom w:val="single" w:sz="4" w:space="0" w:color="auto"/>
            </w:tcBorders>
            <w:shd w:val="clear" w:color="auto" w:fill="auto"/>
            <w:vAlign w:val="bottom"/>
          </w:tcPr>
          <w:p w:rsidR="00421A10" w:rsidRPr="00DB58B5" w:rsidRDefault="000314C7" w:rsidP="00266CD2">
            <w:pPr>
              <w:jc w:val="right"/>
            </w:pPr>
            <w:r w:rsidRPr="00495A7B">
              <w:rPr>
                <w:sz w:val="40"/>
              </w:rPr>
              <w:t>E</w:t>
            </w:r>
            <w:r>
              <w:t>/ECE/324/</w:t>
            </w:r>
            <w:r w:rsidR="00266CD2">
              <w:t>Rev.1/</w:t>
            </w:r>
            <w:r>
              <w:t>Add.1</w:t>
            </w:r>
            <w:r w:rsidR="00266CD2">
              <w:t>8</w:t>
            </w:r>
            <w:r>
              <w:t>/Rev.</w:t>
            </w:r>
            <w:r w:rsidR="00266CD2">
              <w:t>7</w:t>
            </w:r>
            <w:r>
              <w:t>/Amend.</w:t>
            </w:r>
            <w:r w:rsidR="00266CD2">
              <w:t>2</w:t>
            </w:r>
            <w:r>
              <w:t>−</w:t>
            </w:r>
            <w:r w:rsidRPr="00495A7B">
              <w:rPr>
                <w:sz w:val="40"/>
              </w:rPr>
              <w:t>E</w:t>
            </w:r>
            <w:r>
              <w:t>/ECE/TRANS/505</w:t>
            </w:r>
            <w:r w:rsidR="00266CD2">
              <w:t>/Rev.1/Add.18/Rev.7/Amend.2</w:t>
            </w:r>
          </w:p>
        </w:tc>
      </w:tr>
      <w:tr w:rsidR="00421A10" w:rsidRPr="00DB58B5" w:rsidTr="00495A7B">
        <w:trPr>
          <w:trHeight w:hRule="exact" w:val="2835"/>
        </w:trPr>
        <w:tc>
          <w:tcPr>
            <w:tcW w:w="6804" w:type="dxa"/>
            <w:tcBorders>
              <w:top w:val="single" w:sz="4" w:space="0" w:color="auto"/>
              <w:bottom w:val="single" w:sz="12" w:space="0" w:color="auto"/>
            </w:tcBorders>
            <w:shd w:val="clear" w:color="auto" w:fill="auto"/>
          </w:tcPr>
          <w:p w:rsidR="00421A10" w:rsidRPr="00A574B7" w:rsidRDefault="00421A10" w:rsidP="00495A7B">
            <w:pPr>
              <w:spacing w:before="120" w:line="380" w:lineRule="exact"/>
            </w:pPr>
          </w:p>
        </w:tc>
        <w:tc>
          <w:tcPr>
            <w:tcW w:w="2835" w:type="dxa"/>
            <w:tcBorders>
              <w:top w:val="single" w:sz="4" w:space="0" w:color="auto"/>
              <w:bottom w:val="single" w:sz="12" w:space="0" w:color="auto"/>
            </w:tcBorders>
            <w:shd w:val="clear" w:color="auto" w:fill="auto"/>
          </w:tcPr>
          <w:p w:rsidR="00421A10" w:rsidRDefault="00421A10" w:rsidP="00495A7B">
            <w:pPr>
              <w:spacing w:before="480" w:line="240" w:lineRule="exact"/>
            </w:pPr>
          </w:p>
          <w:p w:rsidR="0068382E" w:rsidRPr="00DB58B5" w:rsidRDefault="008772D1" w:rsidP="00495A7B">
            <w:pPr>
              <w:spacing w:before="480" w:line="240" w:lineRule="exact"/>
            </w:pPr>
            <w:r>
              <w:t>22</w:t>
            </w:r>
            <w:bookmarkStart w:id="0" w:name="_GoBack"/>
            <w:bookmarkEnd w:id="0"/>
            <w:r w:rsidR="0068382E" w:rsidRPr="0068382E">
              <w:t xml:space="preserve"> juin 2015</w:t>
            </w:r>
          </w:p>
        </w:tc>
      </w:tr>
    </w:tbl>
    <w:p w:rsidR="00421A10" w:rsidRPr="006549FF" w:rsidRDefault="0029791D" w:rsidP="00242268">
      <w:pPr>
        <w:pStyle w:val="HChG"/>
        <w:spacing w:before="320" w:after="220" w:line="260" w:lineRule="exact"/>
      </w:pPr>
      <w:r>
        <w:tab/>
      </w:r>
      <w:r>
        <w:tab/>
      </w:r>
      <w:r w:rsidR="00421A10" w:rsidRPr="006549FF">
        <w:t>Accord</w:t>
      </w:r>
    </w:p>
    <w:p w:rsidR="00421A10" w:rsidRPr="00583D68" w:rsidRDefault="0029791D" w:rsidP="00242268">
      <w:pPr>
        <w:pStyle w:val="H1G"/>
        <w:spacing w:before="340" w:after="220" w:line="260" w:lineRule="exact"/>
      </w:pPr>
      <w:r>
        <w:tab/>
      </w:r>
      <w:r>
        <w:tab/>
      </w:r>
      <w:r w:rsidR="00421A10" w:rsidRPr="00583D68">
        <w:t>Concernant l’adoption de prescriptions techniques uniformes applicables aux véhicules à roues, aux équipements et aux pièces susceptibles d’être montés ou utilisés sur un véhicule à roues</w:t>
      </w:r>
      <w:r w:rsidR="00421A10">
        <w:br/>
      </w:r>
      <w:r w:rsidR="00421A10" w:rsidRPr="00583D68">
        <w:t>et les conditions de reconnaissance réciproque des homologations délivrées conformément à ces prescriptions</w:t>
      </w:r>
      <w:r w:rsidRPr="00037B3F">
        <w:rPr>
          <w:b w:val="0"/>
          <w:sz w:val="20"/>
        </w:rPr>
        <w:t>*</w:t>
      </w:r>
    </w:p>
    <w:p w:rsidR="00421A10" w:rsidRPr="00A12483" w:rsidRDefault="00421A10" w:rsidP="00242268">
      <w:pPr>
        <w:pStyle w:val="SingleTxtG"/>
        <w:spacing w:after="100" w:line="220" w:lineRule="atLeast"/>
        <w:jc w:val="left"/>
        <w:rPr>
          <w:b/>
          <w:sz w:val="24"/>
          <w:szCs w:val="24"/>
        </w:rPr>
      </w:pPr>
      <w:r w:rsidRPr="006549FF">
        <w:t xml:space="preserve">(Révision </w:t>
      </w:r>
      <w:r w:rsidR="000314C7">
        <w:t>2</w:t>
      </w:r>
      <w:r w:rsidRPr="006549FF">
        <w:t>, comprenant les amen</w:t>
      </w:r>
      <w:r>
        <w:t xml:space="preserve">dements entrés en vigueur le 16 </w:t>
      </w:r>
      <w:r w:rsidRPr="006549FF">
        <w:t>octobre 1995)</w:t>
      </w:r>
    </w:p>
    <w:p w:rsidR="00421A10" w:rsidRPr="006549FF" w:rsidRDefault="0029791D" w:rsidP="00242268">
      <w:pPr>
        <w:spacing w:line="220" w:lineRule="atLeast"/>
        <w:jc w:val="center"/>
      </w:pPr>
      <w:r>
        <w:t>_______________</w:t>
      </w:r>
    </w:p>
    <w:p w:rsidR="00421A10" w:rsidRPr="006549FF" w:rsidRDefault="0029791D" w:rsidP="00242268">
      <w:pPr>
        <w:pStyle w:val="HChG"/>
        <w:spacing w:before="200" w:after="100" w:line="260" w:lineRule="exact"/>
      </w:pPr>
      <w:r>
        <w:tab/>
      </w:r>
      <w:r>
        <w:tab/>
      </w:r>
      <w:r w:rsidR="00421A10" w:rsidRPr="006549FF">
        <w:t xml:space="preserve">Additif </w:t>
      </w:r>
      <w:r w:rsidR="002051B3">
        <w:t>18</w:t>
      </w:r>
      <w:r w:rsidR="00421A10" w:rsidRPr="006549FF">
        <w:t>: Règlement</w:t>
      </w:r>
      <w:r w:rsidR="00421A10">
        <w:t xml:space="preserve"> </w:t>
      </w:r>
      <w:r w:rsidR="00421A10" w:rsidRPr="00B371BF">
        <w:t>n</w:t>
      </w:r>
      <w:r w:rsidR="00421A10" w:rsidRPr="00B371BF">
        <w:rPr>
          <w:vertAlign w:val="superscript"/>
        </w:rPr>
        <w:t>o</w:t>
      </w:r>
      <w:r w:rsidR="00421A10">
        <w:t> </w:t>
      </w:r>
      <w:r w:rsidR="002051B3">
        <w:t>19</w:t>
      </w:r>
    </w:p>
    <w:p w:rsidR="00421A10" w:rsidRPr="006549FF" w:rsidRDefault="0029791D" w:rsidP="00242268">
      <w:pPr>
        <w:pStyle w:val="H1G"/>
        <w:spacing w:before="220" w:after="100" w:line="240" w:lineRule="exact"/>
      </w:pPr>
      <w:r>
        <w:tab/>
      </w:r>
      <w:r>
        <w:tab/>
      </w:r>
      <w:r w:rsidR="00421A10" w:rsidRPr="006549FF">
        <w:t xml:space="preserve">Révision </w:t>
      </w:r>
      <w:r w:rsidR="002051B3">
        <w:t>7</w:t>
      </w:r>
      <w:r w:rsidR="000314C7">
        <w:t xml:space="preserve"> − Amendement </w:t>
      </w:r>
      <w:r w:rsidR="002051B3">
        <w:t>2</w:t>
      </w:r>
    </w:p>
    <w:p w:rsidR="00015650" w:rsidRPr="00631BAB" w:rsidRDefault="003A58D8" w:rsidP="00242268">
      <w:pPr>
        <w:pStyle w:val="SingleTxtG"/>
        <w:spacing w:after="100" w:line="200" w:lineRule="atLeast"/>
        <w:jc w:val="left"/>
      </w:pPr>
      <w:r>
        <w:t>Complément</w:t>
      </w:r>
      <w:r w:rsidR="002051B3">
        <w:t xml:space="preserve"> 7</w:t>
      </w:r>
      <w:r>
        <w:t xml:space="preserve"> à la s</w:t>
      </w:r>
      <w:r w:rsidR="00015650" w:rsidRPr="00631BAB">
        <w:t xml:space="preserve">érie </w:t>
      </w:r>
      <w:r w:rsidR="00A92017">
        <w:t>0</w:t>
      </w:r>
      <w:r w:rsidR="002051B3">
        <w:t>4</w:t>
      </w:r>
      <w:r w:rsidR="00015650" w:rsidRPr="00631BAB">
        <w:t xml:space="preserve"> d</w:t>
      </w:r>
      <w:r w:rsidR="00015650">
        <w:t>’</w:t>
      </w:r>
      <w:r w:rsidR="00015650" w:rsidRPr="00631BAB">
        <w:t>amendements au Règlement − Date d</w:t>
      </w:r>
      <w:r w:rsidR="00015650">
        <w:t>’entrée en vigueur: 15 </w:t>
      </w:r>
      <w:r w:rsidR="00015650" w:rsidRPr="00631BAB">
        <w:t>jui</w:t>
      </w:r>
      <w:r w:rsidR="00A92017">
        <w:t>n 2015</w:t>
      </w:r>
      <w:r w:rsidR="00015650" w:rsidRPr="00631BAB">
        <w:t xml:space="preserve"> </w:t>
      </w:r>
    </w:p>
    <w:p w:rsidR="00DD1ED8" w:rsidRPr="002051B3" w:rsidRDefault="00DD1ED8" w:rsidP="002051B3">
      <w:pPr>
        <w:pStyle w:val="H1G"/>
        <w:spacing w:before="340" w:after="220" w:line="260" w:lineRule="exact"/>
        <w:rPr>
          <w:spacing w:val="-2"/>
        </w:rPr>
      </w:pPr>
      <w:r>
        <w:tab/>
      </w:r>
      <w:r>
        <w:tab/>
      </w:r>
      <w:r w:rsidR="002051B3" w:rsidRPr="002051B3">
        <w:rPr>
          <w:spacing w:val="-2"/>
        </w:rPr>
        <w:t xml:space="preserve">Prescriptions </w:t>
      </w:r>
      <w:r w:rsidR="002051B3" w:rsidRPr="002051B3">
        <w:t>uniformes</w:t>
      </w:r>
      <w:r w:rsidR="002051B3" w:rsidRPr="002051B3">
        <w:rPr>
          <w:spacing w:val="-2"/>
        </w:rPr>
        <w:t xml:space="preserve"> relatives à l'homologation des feux de brouillard avant pour véhicules à moteur</w:t>
      </w:r>
    </w:p>
    <w:p w:rsidR="001D3393" w:rsidRPr="001D3393" w:rsidRDefault="001D3393" w:rsidP="001D3393">
      <w:pPr>
        <w:pStyle w:val="SingleTxtG"/>
        <w:rPr>
          <w:lang w:val="en-GB" w:eastAsia="en-GB"/>
        </w:rPr>
      </w:pPr>
      <w:r w:rsidRPr="001D3393">
        <w:rPr>
          <w:lang w:val="en-GB" w:eastAsia="en-GB"/>
        </w:rPr>
        <w:t>Ce document constitue un outil de documentation. Le texte authentique et contraignant juridique est ECE/TRANS/WP.29/201</w:t>
      </w:r>
      <w:r w:rsidR="002051B3">
        <w:rPr>
          <w:lang w:val="en-GB" w:eastAsia="en-GB"/>
        </w:rPr>
        <w:t>3/75/Rev.1</w:t>
      </w:r>
      <w:r w:rsidR="00AF3454">
        <w:rPr>
          <w:lang w:val="en-GB" w:eastAsia="en-GB"/>
        </w:rPr>
        <w:t>.</w:t>
      </w:r>
    </w:p>
    <w:p w:rsidR="001C08ED" w:rsidRDefault="00DD1ED8" w:rsidP="003A58D8">
      <w:pPr>
        <w:pStyle w:val="SingleTxtG"/>
        <w:rPr>
          <w:bCs/>
          <w:lang w:val="fr-FR" w:eastAsia="ar-SA"/>
        </w:rPr>
      </w:pPr>
      <w:r>
        <w:br w:type="page"/>
      </w:r>
    </w:p>
    <w:p w:rsidR="000979ED" w:rsidRDefault="000979ED" w:rsidP="002051B3">
      <w:pPr>
        <w:pStyle w:val="SingleTxtG"/>
        <w:keepNext/>
        <w:spacing w:after="100" w:line="236" w:lineRule="exact"/>
        <w:rPr>
          <w:i/>
          <w:lang w:val="fr-FR"/>
        </w:rPr>
      </w:pPr>
      <w:r>
        <w:rPr>
          <w:i/>
          <w:lang w:val="fr-FR"/>
        </w:rPr>
        <w:t xml:space="preserve">Table des matières, </w:t>
      </w:r>
    </w:p>
    <w:p w:rsidR="002051B3" w:rsidRPr="00155F57" w:rsidRDefault="000979ED" w:rsidP="002051B3">
      <w:pPr>
        <w:pStyle w:val="SingleTxtG"/>
        <w:keepNext/>
        <w:spacing w:after="100" w:line="236" w:lineRule="exact"/>
        <w:rPr>
          <w:lang w:val="fr-FR"/>
        </w:rPr>
      </w:pPr>
      <w:r>
        <w:rPr>
          <w:i/>
          <w:lang w:val="fr-FR"/>
        </w:rPr>
        <w:t>A</w:t>
      </w:r>
      <w:r w:rsidR="002051B3" w:rsidRPr="00155F57">
        <w:rPr>
          <w:i/>
          <w:lang w:val="fr-FR"/>
        </w:rPr>
        <w:t xml:space="preserve">nnexes, </w:t>
      </w:r>
      <w:r>
        <w:rPr>
          <w:i/>
          <w:lang w:val="fr-FR"/>
        </w:rPr>
        <w:t>entrée</w:t>
      </w:r>
      <w:r w:rsidR="002051B3" w:rsidRPr="00155F57">
        <w:rPr>
          <w:i/>
          <w:lang w:val="fr-FR"/>
        </w:rPr>
        <w:t> 12</w:t>
      </w:r>
      <w:r w:rsidR="002051B3" w:rsidRPr="00155F57">
        <w:rPr>
          <w:lang w:val="fr-FR"/>
        </w:rPr>
        <w:t>, modifier comme suit:</w:t>
      </w:r>
    </w:p>
    <w:p w:rsidR="002051B3" w:rsidRPr="00155F57" w:rsidRDefault="000979ED" w:rsidP="002051B3">
      <w:pPr>
        <w:pStyle w:val="SingleTxtG"/>
        <w:spacing w:after="100" w:line="236" w:lineRule="exact"/>
        <w:ind w:left="2268" w:hanging="1134"/>
        <w:rPr>
          <w:lang w:val="fr-FR"/>
        </w:rPr>
      </w:pPr>
      <w:r>
        <w:rPr>
          <w:lang w:val="fr-FR"/>
        </w:rPr>
        <w:t>«12</w:t>
      </w:r>
      <w:r w:rsidR="002051B3" w:rsidRPr="00155F57">
        <w:rPr>
          <w:lang w:val="fr-FR"/>
        </w:rPr>
        <w:tab/>
        <w:t>Prescriptions concernant l</w:t>
      </w:r>
      <w:r w:rsidR="002051B3">
        <w:rPr>
          <w:lang w:val="fr-FR"/>
        </w:rPr>
        <w:t>’</w:t>
      </w:r>
      <w:r w:rsidR="002051B3" w:rsidRPr="00155F57">
        <w:rPr>
          <w:lang w:val="fr-FR"/>
        </w:rPr>
        <w:t>utilisation d</w:t>
      </w:r>
      <w:r w:rsidR="002051B3">
        <w:rPr>
          <w:lang w:val="fr-FR"/>
        </w:rPr>
        <w:t>’</w:t>
      </w:r>
      <w:r w:rsidR="002051B3" w:rsidRPr="00155F57">
        <w:rPr>
          <w:lang w:val="fr-FR"/>
        </w:rPr>
        <w:t>un ou de plusieurs modules DEL.».</w:t>
      </w:r>
    </w:p>
    <w:p w:rsidR="002051B3" w:rsidRPr="00155F57" w:rsidRDefault="002051B3" w:rsidP="002051B3">
      <w:pPr>
        <w:pStyle w:val="SingleTxtG"/>
        <w:keepNext/>
        <w:spacing w:after="100" w:line="236" w:lineRule="exact"/>
        <w:rPr>
          <w:lang w:val="fr-FR"/>
        </w:rPr>
      </w:pPr>
      <w:r w:rsidRPr="00155F57">
        <w:rPr>
          <w:i/>
          <w:lang w:val="fr-FR"/>
        </w:rPr>
        <w:t>Introduction</w:t>
      </w:r>
      <w:r w:rsidRPr="00155F57">
        <w:rPr>
          <w:lang w:val="fr-FR"/>
        </w:rPr>
        <w:t>,</w:t>
      </w:r>
      <w:r w:rsidRPr="00155F57">
        <w:rPr>
          <w:i/>
          <w:lang w:val="fr-FR"/>
        </w:rPr>
        <w:t xml:space="preserve"> </w:t>
      </w:r>
      <w:r w:rsidRPr="00155F57">
        <w:rPr>
          <w:lang w:val="fr-FR"/>
        </w:rPr>
        <w:t>modifier comme suit:</w:t>
      </w:r>
    </w:p>
    <w:p w:rsidR="002051B3" w:rsidRPr="00155F57" w:rsidRDefault="002051B3" w:rsidP="002051B3">
      <w:pPr>
        <w:pStyle w:val="SingleTxtG"/>
        <w:spacing w:after="100" w:line="236" w:lineRule="exact"/>
        <w:ind w:left="2268"/>
        <w:rPr>
          <w:lang w:val="fr-FR"/>
        </w:rPr>
      </w:pPr>
      <w:r w:rsidRPr="00155F57">
        <w:rPr>
          <w:lang w:val="fr-FR"/>
        </w:rPr>
        <w:t>«Introduction</w:t>
      </w:r>
    </w:p>
    <w:p w:rsidR="002051B3" w:rsidRPr="00155F57" w:rsidRDefault="002051B3" w:rsidP="002051B3">
      <w:pPr>
        <w:pStyle w:val="SingleTxtG"/>
        <w:spacing w:after="100" w:line="236" w:lineRule="exact"/>
        <w:ind w:left="2268"/>
        <w:rPr>
          <w:lang w:val="fr-FR"/>
        </w:rPr>
      </w:pPr>
      <w:r w:rsidRPr="00155F57">
        <w:rPr>
          <w:lang w:val="fr-FR"/>
        </w:rPr>
        <w:t>Le présent …</w:t>
      </w:r>
    </w:p>
    <w:p w:rsidR="002051B3" w:rsidRPr="00155F57" w:rsidRDefault="002051B3" w:rsidP="002051B3">
      <w:pPr>
        <w:pStyle w:val="SingleTxtG"/>
        <w:spacing w:after="100" w:line="236" w:lineRule="exact"/>
        <w:ind w:left="2835" w:hanging="567"/>
        <w:rPr>
          <w:lang w:val="fr-FR"/>
        </w:rPr>
      </w:pPr>
      <w:r w:rsidRPr="00155F57">
        <w:rPr>
          <w:lang w:val="fr-FR"/>
        </w:rPr>
        <w:t>b)</w:t>
      </w:r>
      <w:r w:rsidRPr="00155F57">
        <w:rPr>
          <w:lang w:val="fr-FR"/>
        </w:rPr>
        <w:tab/>
      </w:r>
      <w:r w:rsidRPr="00155F57">
        <w:rPr>
          <w:spacing w:val="-2"/>
          <w:lang w:val="fr-FR"/>
        </w:rPr>
        <w:t xml:space="preserve">Les sources lumineuses peuvent être choisies conformément aux dispositions du Règlement </w:t>
      </w:r>
      <w:r w:rsidRPr="00155F57">
        <w:rPr>
          <w:rFonts w:eastAsia="MS Mincho"/>
          <w:spacing w:val="-2"/>
          <w:lang w:val="fr-FR"/>
        </w:rPr>
        <w:t>n</w:t>
      </w:r>
      <w:r w:rsidRPr="00155F57">
        <w:rPr>
          <w:rFonts w:eastAsia="MS Mincho"/>
          <w:spacing w:val="-2"/>
          <w:vertAlign w:val="superscript"/>
          <w:lang w:val="fr-FR"/>
        </w:rPr>
        <w:t>o</w:t>
      </w:r>
      <w:r w:rsidRPr="00155F57">
        <w:rPr>
          <w:rFonts w:eastAsia="MS Mincho"/>
          <w:spacing w:val="-2"/>
          <w:lang w:val="fr-FR"/>
        </w:rPr>
        <w:t> </w:t>
      </w:r>
      <w:r w:rsidRPr="00155F57">
        <w:rPr>
          <w:spacing w:val="-2"/>
          <w:lang w:val="fr-FR"/>
        </w:rPr>
        <w:t xml:space="preserve">37 (Sources lumineuses à incandescence) et du Règlement </w:t>
      </w:r>
      <w:r w:rsidRPr="00155F57">
        <w:rPr>
          <w:rFonts w:eastAsia="MS Mincho"/>
          <w:spacing w:val="-2"/>
          <w:lang w:val="fr-FR"/>
        </w:rPr>
        <w:t>n</w:t>
      </w:r>
      <w:r w:rsidRPr="00155F57">
        <w:rPr>
          <w:rFonts w:eastAsia="MS Mincho"/>
          <w:spacing w:val="-2"/>
          <w:vertAlign w:val="superscript"/>
          <w:lang w:val="fr-FR"/>
        </w:rPr>
        <w:t>o</w:t>
      </w:r>
      <w:r w:rsidRPr="00155F57">
        <w:rPr>
          <w:rFonts w:eastAsia="MS Mincho"/>
          <w:spacing w:val="-2"/>
          <w:lang w:val="fr-FR"/>
        </w:rPr>
        <w:t> </w:t>
      </w:r>
      <w:r w:rsidRPr="00155F57">
        <w:rPr>
          <w:spacing w:val="-2"/>
          <w:lang w:val="fr-FR"/>
        </w:rPr>
        <w:t xml:space="preserve">99 (Sources lumineuses à décharge). Des modules </w:t>
      </w:r>
      <w:r w:rsidR="00B5514D">
        <w:rPr>
          <w:spacing w:val="-2"/>
          <w:lang w:val="fr-FR"/>
        </w:rPr>
        <w:t>à diodes électroluminescentes (</w:t>
      </w:r>
      <w:r w:rsidRPr="00155F57">
        <w:rPr>
          <w:spacing w:val="-2"/>
          <w:lang w:val="fr-FR"/>
        </w:rPr>
        <w:t>DEL</w:t>
      </w:r>
      <w:r w:rsidR="00B5514D">
        <w:rPr>
          <w:spacing w:val="-2"/>
          <w:lang w:val="fr-FR"/>
        </w:rPr>
        <w:t>)</w:t>
      </w:r>
      <w:r w:rsidRPr="00155F57">
        <w:rPr>
          <w:spacing w:val="-2"/>
          <w:lang w:val="fr-FR"/>
        </w:rPr>
        <w:t xml:space="preserve"> peuvent aussi être utilisés</w:t>
      </w:r>
      <w:r w:rsidRPr="00155F57">
        <w:rPr>
          <w:lang w:val="fr-FR"/>
        </w:rPr>
        <w:t>;</w:t>
      </w:r>
    </w:p>
    <w:p w:rsidR="002051B3" w:rsidRPr="00155F57" w:rsidRDefault="002051B3" w:rsidP="002051B3">
      <w:pPr>
        <w:pStyle w:val="SingleTxtG"/>
        <w:spacing w:after="100" w:line="236" w:lineRule="exact"/>
        <w:ind w:left="2835" w:hanging="567"/>
        <w:rPr>
          <w:lang w:val="fr-FR"/>
        </w:rPr>
      </w:pPr>
      <w:r w:rsidRPr="00155F57">
        <w:rPr>
          <w:lang w:val="fr-FR"/>
        </w:rPr>
        <w:t>c)</w:t>
      </w:r>
      <w:r w:rsidRPr="00155F57">
        <w:rPr>
          <w:lang w:val="fr-FR"/>
        </w:rPr>
        <w:tab/>
        <w:t xml:space="preserve">Les </w:t>
      </w:r>
      <w:r w:rsidRPr="00155F57">
        <w:rPr>
          <w:spacing w:val="-2"/>
          <w:lang w:val="fr-FR"/>
        </w:rPr>
        <w:t>définitions</w:t>
      </w:r>
      <w:r w:rsidRPr="00155F57">
        <w:rPr>
          <w:lang w:val="fr-FR"/>
        </w:rPr>
        <w:t xml:space="preserve"> de la coupure et du gradient…».</w:t>
      </w:r>
    </w:p>
    <w:p w:rsidR="002051B3" w:rsidRPr="00155F57" w:rsidRDefault="002051B3" w:rsidP="002051B3">
      <w:pPr>
        <w:pStyle w:val="SingleTxtG"/>
        <w:keepNext/>
        <w:spacing w:after="100" w:line="236" w:lineRule="exact"/>
        <w:rPr>
          <w:lang w:val="fr-FR"/>
        </w:rPr>
      </w:pPr>
      <w:r w:rsidRPr="00155F57">
        <w:rPr>
          <w:i/>
          <w:lang w:val="fr-FR"/>
        </w:rPr>
        <w:t>Paragraphe 1.4.3</w:t>
      </w:r>
      <w:r w:rsidRPr="00155F57">
        <w:rPr>
          <w:lang w:val="fr-FR"/>
        </w:rPr>
        <w:t>,</w:t>
      </w:r>
      <w:r w:rsidRPr="00155F57">
        <w:rPr>
          <w:i/>
          <w:lang w:val="fr-FR"/>
        </w:rPr>
        <w:t xml:space="preserve"> </w:t>
      </w:r>
      <w:r w:rsidRPr="00155F57">
        <w:rPr>
          <w:lang w:val="fr-FR"/>
        </w:rPr>
        <w:t>modifier comme suit:</w:t>
      </w:r>
    </w:p>
    <w:p w:rsidR="002051B3" w:rsidRPr="00155F57" w:rsidRDefault="002051B3" w:rsidP="002051B3">
      <w:pPr>
        <w:pStyle w:val="SingleTxtG"/>
        <w:spacing w:after="100" w:line="236" w:lineRule="exact"/>
        <w:ind w:left="2268" w:hanging="1134"/>
        <w:rPr>
          <w:lang w:val="fr-FR"/>
        </w:rPr>
      </w:pPr>
      <w:r w:rsidRPr="00155F57">
        <w:rPr>
          <w:lang w:val="fr-FR"/>
        </w:rPr>
        <w:t>«1.4.3</w:t>
      </w:r>
      <w:r w:rsidRPr="00155F57">
        <w:rPr>
          <w:lang w:val="fr-FR"/>
        </w:rPr>
        <w:tab/>
        <w:t>Les caractéristiques du système optique (schéma optique de base, type/catégorie de source lumineuse, module DEL, etc.);».</w:t>
      </w:r>
    </w:p>
    <w:p w:rsidR="002051B3" w:rsidRPr="00155F57" w:rsidRDefault="002051B3" w:rsidP="002051B3">
      <w:pPr>
        <w:pStyle w:val="SingleTxtG"/>
        <w:keepNext/>
        <w:spacing w:after="100" w:line="236" w:lineRule="exact"/>
        <w:rPr>
          <w:lang w:val="fr-FR"/>
        </w:rPr>
      </w:pPr>
      <w:r w:rsidRPr="00155F57">
        <w:rPr>
          <w:i/>
          <w:lang w:val="fr-FR"/>
        </w:rPr>
        <w:t>Paragraphe 1.4.5</w:t>
      </w:r>
      <w:r w:rsidRPr="00155F57">
        <w:rPr>
          <w:lang w:val="fr-FR"/>
        </w:rPr>
        <w:t>,</w:t>
      </w:r>
      <w:r w:rsidRPr="00155F57">
        <w:rPr>
          <w:i/>
          <w:lang w:val="fr-FR"/>
        </w:rPr>
        <w:t xml:space="preserve"> </w:t>
      </w:r>
      <w:r w:rsidRPr="00155F57">
        <w:rPr>
          <w:lang w:val="fr-FR"/>
        </w:rPr>
        <w:t>modifier comme suit:</w:t>
      </w:r>
    </w:p>
    <w:p w:rsidR="002051B3" w:rsidRPr="00155F57" w:rsidRDefault="002051B3" w:rsidP="002051B3">
      <w:pPr>
        <w:pStyle w:val="SingleTxtG"/>
        <w:spacing w:after="100" w:line="236" w:lineRule="exact"/>
        <w:ind w:left="2268" w:hanging="1134"/>
        <w:rPr>
          <w:szCs w:val="24"/>
          <w:lang w:val="fr-FR"/>
        </w:rPr>
      </w:pPr>
      <w:r w:rsidRPr="00155F57">
        <w:rPr>
          <w:szCs w:val="24"/>
          <w:lang w:val="fr-FR"/>
        </w:rPr>
        <w:t>«1.4.5</w:t>
      </w:r>
      <w:r w:rsidRPr="00155F57">
        <w:rPr>
          <w:szCs w:val="24"/>
          <w:lang w:val="fr-FR"/>
        </w:rPr>
        <w:tab/>
        <w:t>L</w:t>
      </w:r>
      <w:r w:rsidRPr="00155F57">
        <w:rPr>
          <w:lang w:val="fr-FR"/>
        </w:rPr>
        <w:t xml:space="preserve">a catégorie de la ou des lampes à incandescence utilisée(s), selon la liste figurant dans le Règlement </w:t>
      </w:r>
      <w:r w:rsidRPr="00155F57">
        <w:rPr>
          <w:rFonts w:eastAsia="MS Mincho"/>
          <w:lang w:val="fr-FR"/>
        </w:rPr>
        <w:t>n</w:t>
      </w:r>
      <w:r w:rsidRPr="00155F57">
        <w:rPr>
          <w:rFonts w:eastAsia="MS Mincho"/>
          <w:vertAlign w:val="superscript"/>
          <w:lang w:val="fr-FR"/>
        </w:rPr>
        <w:t>o</w:t>
      </w:r>
      <w:r w:rsidRPr="00155F57">
        <w:rPr>
          <w:rFonts w:eastAsia="MS Mincho"/>
          <w:lang w:val="fr-FR"/>
        </w:rPr>
        <w:t> </w:t>
      </w:r>
      <w:r w:rsidRPr="00155F57">
        <w:rPr>
          <w:lang w:val="fr-FR"/>
        </w:rPr>
        <w:t xml:space="preserve">37, le Règlement </w:t>
      </w:r>
      <w:r w:rsidRPr="00155F57">
        <w:rPr>
          <w:rFonts w:eastAsia="MS Mincho"/>
          <w:lang w:val="fr-FR"/>
        </w:rPr>
        <w:t>n</w:t>
      </w:r>
      <w:r w:rsidRPr="00155F57">
        <w:rPr>
          <w:rFonts w:eastAsia="MS Mincho"/>
          <w:vertAlign w:val="superscript"/>
          <w:lang w:val="fr-FR"/>
        </w:rPr>
        <w:t>o</w:t>
      </w:r>
      <w:r w:rsidRPr="00155F57">
        <w:rPr>
          <w:lang w:val="fr-FR"/>
        </w:rPr>
        <w:t> 99 et/ou le ou les codes d</w:t>
      </w:r>
      <w:r>
        <w:rPr>
          <w:lang w:val="fr-FR"/>
        </w:rPr>
        <w:t>’</w:t>
      </w:r>
      <w:r w:rsidRPr="00155F57">
        <w:rPr>
          <w:lang w:val="fr-FR"/>
        </w:rPr>
        <w:t>identification propres au module DEL (le cas échéant);».</w:t>
      </w:r>
    </w:p>
    <w:p w:rsidR="002051B3" w:rsidRPr="00155F57" w:rsidRDefault="002051B3" w:rsidP="002051B3">
      <w:pPr>
        <w:pStyle w:val="SingleTxtG"/>
        <w:keepNext/>
        <w:spacing w:after="100" w:line="236" w:lineRule="exact"/>
        <w:rPr>
          <w:szCs w:val="24"/>
          <w:lang w:val="fr-FR"/>
        </w:rPr>
      </w:pPr>
      <w:r w:rsidRPr="00155F57">
        <w:rPr>
          <w:i/>
          <w:szCs w:val="24"/>
          <w:lang w:val="fr-FR"/>
        </w:rPr>
        <w:t>Paragraphe 2.4.2</w:t>
      </w:r>
      <w:r w:rsidRPr="00155F57">
        <w:rPr>
          <w:lang w:val="fr-FR"/>
        </w:rPr>
        <w:t>,</w:t>
      </w:r>
      <w:r w:rsidRPr="00155F57">
        <w:rPr>
          <w:i/>
          <w:szCs w:val="24"/>
          <w:lang w:val="fr-FR"/>
        </w:rPr>
        <w:t xml:space="preserve"> </w:t>
      </w:r>
      <w:r w:rsidRPr="00155F57">
        <w:rPr>
          <w:szCs w:val="24"/>
          <w:lang w:val="fr-FR"/>
        </w:rPr>
        <w:t>modifier comme suit:</w:t>
      </w:r>
    </w:p>
    <w:p w:rsidR="002051B3" w:rsidRPr="00155F57" w:rsidRDefault="002051B3" w:rsidP="002051B3">
      <w:pPr>
        <w:pStyle w:val="SingleTxtG"/>
        <w:spacing w:after="100" w:line="236" w:lineRule="exact"/>
        <w:ind w:left="2268" w:hanging="1134"/>
        <w:rPr>
          <w:lang w:val="fr-FR"/>
        </w:rPr>
      </w:pPr>
      <w:r w:rsidRPr="00155F57">
        <w:rPr>
          <w:lang w:val="fr-FR"/>
        </w:rPr>
        <w:t>«2.4.2</w:t>
      </w:r>
      <w:r w:rsidRPr="00155F57">
        <w:rPr>
          <w:lang w:val="fr-FR"/>
        </w:rPr>
        <w:tab/>
        <w:t>Dans le cas d</w:t>
      </w:r>
      <w:r>
        <w:rPr>
          <w:lang w:val="fr-FR"/>
        </w:rPr>
        <w:t>’</w:t>
      </w:r>
      <w:r w:rsidRPr="00155F57">
        <w:rPr>
          <w:lang w:val="fr-FR"/>
        </w:rPr>
        <w:t>un ou plusieurs modules DEL, le code d</w:t>
      </w:r>
      <w:r>
        <w:rPr>
          <w:lang w:val="fr-FR"/>
        </w:rPr>
        <w:t>’</w:t>
      </w:r>
      <w:r w:rsidRPr="00155F57">
        <w:rPr>
          <w:lang w:val="fr-FR"/>
        </w:rPr>
        <w:t xml:space="preserve">identification propre au module doit être indiqué. Les dessins doivent </w:t>
      </w:r>
      <w:r w:rsidRPr="00155F57">
        <w:rPr>
          <w:rFonts w:eastAsia="MS Mincho"/>
          <w:lang w:val="fr-FR"/>
        </w:rPr>
        <w:t>être</w:t>
      </w:r>
      <w:r w:rsidRPr="00155F57">
        <w:rPr>
          <w:lang w:val="fr-FR"/>
        </w:rPr>
        <w:t xml:space="preserve"> suffisamment détaillés pour permettre l</w:t>
      </w:r>
      <w:r>
        <w:rPr>
          <w:lang w:val="fr-FR"/>
        </w:rPr>
        <w:t>’</w:t>
      </w:r>
      <w:r w:rsidRPr="00155F57">
        <w:rPr>
          <w:lang w:val="fr-FR"/>
        </w:rPr>
        <w:t>identification du module et pour montrer l</w:t>
      </w:r>
      <w:r>
        <w:rPr>
          <w:lang w:val="fr-FR"/>
        </w:rPr>
        <w:t>’</w:t>
      </w:r>
      <w:r w:rsidRPr="00155F57">
        <w:rPr>
          <w:lang w:val="fr-FR"/>
        </w:rPr>
        <w:t>emplacement prévu pour apposer le code d</w:t>
      </w:r>
      <w:r>
        <w:rPr>
          <w:lang w:val="fr-FR"/>
        </w:rPr>
        <w:t>’</w:t>
      </w:r>
      <w:r w:rsidRPr="00155F57">
        <w:rPr>
          <w:lang w:val="fr-FR"/>
        </w:rPr>
        <w:t>identification propre au module et la marque de commerce du demandeur.».</w:t>
      </w:r>
    </w:p>
    <w:p w:rsidR="002051B3" w:rsidRPr="00155F57" w:rsidRDefault="002051B3" w:rsidP="002051B3">
      <w:pPr>
        <w:pStyle w:val="SingleTxtG"/>
        <w:keepNext/>
        <w:spacing w:after="100" w:line="236" w:lineRule="exact"/>
        <w:rPr>
          <w:szCs w:val="24"/>
          <w:lang w:val="fr-FR"/>
        </w:rPr>
      </w:pPr>
      <w:r w:rsidRPr="00155F57">
        <w:rPr>
          <w:i/>
          <w:szCs w:val="24"/>
          <w:lang w:val="fr-FR"/>
        </w:rPr>
        <w:t>Paragraphe 2.4.4</w:t>
      </w:r>
      <w:r w:rsidRPr="00155F57">
        <w:rPr>
          <w:lang w:val="fr-FR"/>
        </w:rPr>
        <w:t>,</w:t>
      </w:r>
      <w:r w:rsidRPr="00155F57">
        <w:rPr>
          <w:i/>
          <w:szCs w:val="24"/>
          <w:lang w:val="fr-FR"/>
        </w:rPr>
        <w:t xml:space="preserve"> </w:t>
      </w:r>
      <w:r w:rsidRPr="00155F57">
        <w:rPr>
          <w:szCs w:val="24"/>
          <w:lang w:val="fr-FR"/>
        </w:rPr>
        <w:t>modifier comme suit:</w:t>
      </w:r>
    </w:p>
    <w:p w:rsidR="002051B3" w:rsidRPr="00155F57" w:rsidRDefault="002051B3" w:rsidP="002051B3">
      <w:pPr>
        <w:pStyle w:val="SingleTxtG"/>
        <w:spacing w:after="100" w:line="236" w:lineRule="exact"/>
        <w:ind w:left="2268" w:hanging="1134"/>
        <w:rPr>
          <w:szCs w:val="24"/>
          <w:lang w:val="fr-FR"/>
        </w:rPr>
      </w:pPr>
      <w:r w:rsidRPr="00155F57">
        <w:rPr>
          <w:szCs w:val="24"/>
          <w:lang w:val="fr-FR"/>
        </w:rPr>
        <w:t>«2.4.4</w:t>
      </w:r>
      <w:r w:rsidRPr="00155F57">
        <w:rPr>
          <w:szCs w:val="24"/>
          <w:lang w:val="fr-FR"/>
        </w:rPr>
        <w:tab/>
        <w:t>Si le feu de brouillard avant est équipé d</w:t>
      </w:r>
      <w:r>
        <w:rPr>
          <w:szCs w:val="24"/>
          <w:lang w:val="fr-FR"/>
        </w:rPr>
        <w:t>’</w:t>
      </w:r>
      <w:r w:rsidRPr="00155F57">
        <w:rPr>
          <w:szCs w:val="24"/>
          <w:lang w:val="fr-FR"/>
        </w:rPr>
        <w:t xml:space="preserve">un ou plusieurs modules DEL, une </w:t>
      </w:r>
      <w:r w:rsidRPr="00155F57">
        <w:rPr>
          <w:lang w:val="fr-FR"/>
        </w:rPr>
        <w:t>description</w:t>
      </w:r>
      <w:r w:rsidRPr="00155F57">
        <w:rPr>
          <w:szCs w:val="24"/>
          <w:lang w:val="fr-FR"/>
        </w:rPr>
        <w:t xml:space="preserve"> technique succincte doit être communiquée. Les informations fournies doivent comprendre le numéro de pièce attribué par le fabricant de la source de lumière, un dessin coté avec indication des valeurs électriques et photométriques de base, l</w:t>
      </w:r>
      <w:r>
        <w:rPr>
          <w:szCs w:val="24"/>
          <w:lang w:val="fr-FR"/>
        </w:rPr>
        <w:t>’</w:t>
      </w:r>
      <w:r w:rsidRPr="00155F57">
        <w:rPr>
          <w:szCs w:val="24"/>
          <w:lang w:val="fr-FR"/>
        </w:rPr>
        <w:t xml:space="preserve">indication selon laquelle la source lumineuse est </w:t>
      </w:r>
      <w:r w:rsidRPr="00155F57">
        <w:rPr>
          <w:lang w:val="fr-FR"/>
        </w:rPr>
        <w:t>conforme</w:t>
      </w:r>
      <w:r w:rsidRPr="00155F57">
        <w:rPr>
          <w:szCs w:val="24"/>
          <w:lang w:val="fr-FR"/>
        </w:rPr>
        <w:t xml:space="preserve"> ou non aux prescriptions relatives au rayonnement UV du paragraphe 4.6 de l</w:t>
      </w:r>
      <w:r>
        <w:rPr>
          <w:szCs w:val="24"/>
          <w:lang w:val="fr-FR"/>
        </w:rPr>
        <w:t>’</w:t>
      </w:r>
      <w:r w:rsidRPr="00155F57">
        <w:rPr>
          <w:szCs w:val="24"/>
          <w:lang w:val="fr-FR"/>
        </w:rPr>
        <w:t>annexe 12 au présent Règlement, un procès-verbal d</w:t>
      </w:r>
      <w:r>
        <w:rPr>
          <w:szCs w:val="24"/>
          <w:lang w:val="fr-FR"/>
        </w:rPr>
        <w:t>’</w:t>
      </w:r>
      <w:r w:rsidRPr="00155F57">
        <w:rPr>
          <w:szCs w:val="24"/>
          <w:lang w:val="fr-FR"/>
        </w:rPr>
        <w:t>essai officiel lié au paragraphe 5.8 du présent Règlement et le flux lumineux objectif.».</w:t>
      </w:r>
    </w:p>
    <w:p w:rsidR="002051B3" w:rsidRPr="00155F57" w:rsidRDefault="002051B3" w:rsidP="002051B3">
      <w:pPr>
        <w:pStyle w:val="SingleTxtG"/>
        <w:keepNext/>
        <w:spacing w:after="100" w:line="236" w:lineRule="exact"/>
        <w:rPr>
          <w:szCs w:val="24"/>
          <w:lang w:val="fr-FR" w:eastAsia="x-none"/>
        </w:rPr>
      </w:pPr>
      <w:r w:rsidRPr="00155F57">
        <w:rPr>
          <w:i/>
          <w:szCs w:val="24"/>
          <w:lang w:val="fr-FR"/>
        </w:rPr>
        <w:t>Paragraphe 2.4.5</w:t>
      </w:r>
      <w:r w:rsidRPr="00155F57">
        <w:rPr>
          <w:szCs w:val="24"/>
          <w:lang w:val="fr-FR"/>
        </w:rPr>
        <w:t>,</w:t>
      </w:r>
      <w:r w:rsidRPr="00155F57">
        <w:rPr>
          <w:i/>
          <w:szCs w:val="24"/>
          <w:lang w:val="fr-FR"/>
        </w:rPr>
        <w:t xml:space="preserve"> </w:t>
      </w:r>
      <w:r w:rsidRPr="00155F57">
        <w:rPr>
          <w:szCs w:val="24"/>
          <w:lang w:val="fr-FR"/>
        </w:rPr>
        <w:t>supprimer.</w:t>
      </w:r>
    </w:p>
    <w:p w:rsidR="002051B3" w:rsidRPr="00155F57" w:rsidRDefault="002051B3" w:rsidP="002051B3">
      <w:pPr>
        <w:pStyle w:val="SingleTxtG"/>
        <w:keepNext/>
        <w:spacing w:after="100" w:line="236" w:lineRule="exact"/>
        <w:rPr>
          <w:szCs w:val="24"/>
          <w:lang w:val="fr-FR"/>
        </w:rPr>
      </w:pPr>
      <w:r w:rsidRPr="00155F57">
        <w:rPr>
          <w:i/>
          <w:szCs w:val="24"/>
          <w:lang w:val="fr-FR"/>
        </w:rPr>
        <w:t xml:space="preserve">Les paragraphes 2.4.6 à 2.4.11 </w:t>
      </w:r>
      <w:r w:rsidRPr="00155F57">
        <w:rPr>
          <w:szCs w:val="24"/>
          <w:lang w:val="fr-FR"/>
        </w:rPr>
        <w:t>deviennent les paragraphes 2.4.5 à 2.4.10.</w:t>
      </w:r>
    </w:p>
    <w:p w:rsidR="002051B3" w:rsidRPr="00155F57" w:rsidRDefault="002051B3" w:rsidP="002051B3">
      <w:pPr>
        <w:pStyle w:val="SingleTxtG"/>
        <w:keepNext/>
        <w:spacing w:after="100" w:line="236" w:lineRule="exact"/>
        <w:rPr>
          <w:strike/>
          <w:szCs w:val="24"/>
          <w:lang w:val="fr-FR" w:eastAsia="x-none"/>
        </w:rPr>
      </w:pPr>
      <w:r w:rsidRPr="00155F57">
        <w:rPr>
          <w:i/>
          <w:szCs w:val="24"/>
          <w:lang w:val="fr-FR"/>
        </w:rPr>
        <w:t>Paragraphes 2.4.6</w:t>
      </w:r>
      <w:r w:rsidRPr="00155F57">
        <w:rPr>
          <w:i/>
          <w:szCs w:val="24"/>
          <w:lang w:val="fr-FR" w:eastAsia="x-none"/>
        </w:rPr>
        <w:t>.1 et 2.4.6.2</w:t>
      </w:r>
      <w:r w:rsidRPr="00155F57">
        <w:rPr>
          <w:szCs w:val="24"/>
          <w:lang w:val="fr-FR"/>
        </w:rPr>
        <w:t>,</w:t>
      </w:r>
      <w:r w:rsidRPr="00155F57">
        <w:rPr>
          <w:i/>
          <w:szCs w:val="24"/>
          <w:lang w:val="fr-FR"/>
        </w:rPr>
        <w:t xml:space="preserve"> </w:t>
      </w:r>
      <w:r w:rsidRPr="00155F57">
        <w:rPr>
          <w:szCs w:val="24"/>
          <w:lang w:val="fr-FR" w:eastAsia="x-none"/>
        </w:rPr>
        <w:t>s</w:t>
      </w:r>
      <w:r w:rsidRPr="00155F57">
        <w:rPr>
          <w:szCs w:val="24"/>
          <w:lang w:val="fr-FR"/>
        </w:rPr>
        <w:t>upprimer.</w:t>
      </w:r>
    </w:p>
    <w:p w:rsidR="002051B3" w:rsidRPr="00155F57" w:rsidRDefault="002051B3" w:rsidP="002051B3">
      <w:pPr>
        <w:pStyle w:val="SingleTxtG"/>
        <w:keepNext/>
        <w:spacing w:after="100" w:line="236" w:lineRule="exact"/>
        <w:rPr>
          <w:szCs w:val="24"/>
          <w:lang w:val="fr-FR"/>
        </w:rPr>
      </w:pPr>
      <w:r w:rsidRPr="00155F57">
        <w:rPr>
          <w:i/>
          <w:szCs w:val="24"/>
          <w:lang w:val="fr-FR"/>
        </w:rPr>
        <w:t>Paragraphe 2.4.7</w:t>
      </w:r>
      <w:r w:rsidRPr="00155F57">
        <w:rPr>
          <w:szCs w:val="24"/>
          <w:lang w:val="fr-FR"/>
        </w:rPr>
        <w:t>,</w:t>
      </w:r>
      <w:r w:rsidRPr="00155F57">
        <w:rPr>
          <w:i/>
          <w:szCs w:val="24"/>
          <w:lang w:val="fr-FR"/>
        </w:rPr>
        <w:t xml:space="preserve"> </w:t>
      </w:r>
      <w:r w:rsidRPr="00155F57">
        <w:rPr>
          <w:szCs w:val="24"/>
          <w:lang w:val="fr-FR"/>
        </w:rPr>
        <w:t>modifier comme suit:</w:t>
      </w:r>
    </w:p>
    <w:p w:rsidR="002051B3" w:rsidRPr="00155F57" w:rsidRDefault="002051B3" w:rsidP="002051B3">
      <w:pPr>
        <w:pStyle w:val="SingleTxtG"/>
        <w:keepNext/>
        <w:spacing w:after="100" w:line="236" w:lineRule="exact"/>
        <w:ind w:left="2268" w:hanging="1134"/>
        <w:rPr>
          <w:lang w:val="fr-FR"/>
        </w:rPr>
      </w:pPr>
      <w:r w:rsidRPr="00155F57">
        <w:rPr>
          <w:szCs w:val="24"/>
          <w:lang w:val="fr-FR"/>
        </w:rPr>
        <w:t>«2.4.7</w:t>
      </w:r>
      <w:r w:rsidRPr="00155F57">
        <w:rPr>
          <w:szCs w:val="24"/>
          <w:lang w:val="fr-FR"/>
        </w:rPr>
        <w:tab/>
      </w:r>
      <w:r w:rsidRPr="00155F57">
        <w:rPr>
          <w:lang w:val="fr-FR"/>
        </w:rPr>
        <w:t>Dans le cas d</w:t>
      </w:r>
      <w:r>
        <w:rPr>
          <w:lang w:val="fr-FR"/>
        </w:rPr>
        <w:t>’</w:t>
      </w:r>
      <w:r w:rsidRPr="00155F57">
        <w:rPr>
          <w:lang w:val="fr-FR"/>
        </w:rPr>
        <w:t xml:space="preserve">un ou plusieurs modules DEL, si aucune </w:t>
      </w:r>
      <w:r w:rsidRPr="00155F57">
        <w:rPr>
          <w:szCs w:val="24"/>
          <w:lang w:val="fr-FR"/>
        </w:rPr>
        <w:t>disposition</w:t>
      </w:r>
      <w:r w:rsidRPr="00155F57">
        <w:rPr>
          <w:lang w:val="fr-FR"/>
        </w:rPr>
        <w:t xml:space="preserve"> n</w:t>
      </w:r>
      <w:r>
        <w:rPr>
          <w:lang w:val="fr-FR"/>
        </w:rPr>
        <w:t>’</w:t>
      </w:r>
      <w:r w:rsidRPr="00155F57">
        <w:rPr>
          <w:lang w:val="fr-FR"/>
        </w:rPr>
        <w:t>est prise pour protéger le feu de brouillard avant en matériau plastique contre le rayonnement UV des sources lumineuses, par exemple au moyen de filtres UV en verre:</w:t>
      </w:r>
    </w:p>
    <w:p w:rsidR="002051B3" w:rsidRPr="00155F57" w:rsidRDefault="002051B3" w:rsidP="002051B3">
      <w:pPr>
        <w:pStyle w:val="SingleTxtG"/>
        <w:spacing w:after="100" w:line="236" w:lineRule="exact"/>
        <w:ind w:left="2268"/>
        <w:rPr>
          <w:szCs w:val="24"/>
          <w:lang w:val="fr-FR"/>
        </w:rPr>
      </w:pPr>
      <w:r w:rsidRPr="00155F57">
        <w:rPr>
          <w:lang w:val="fr-FR"/>
        </w:rPr>
        <w:tab/>
        <w:t xml:space="preserve">Un échantillon de chacun des matériaux pertinents. Chaque échantillon doit avoir la même géométrie que le feu de brouillard avant soumis aux essais. </w:t>
      </w:r>
      <w:r w:rsidRPr="00155F57">
        <w:rPr>
          <w:lang w:val="fr-FR"/>
        </w:rPr>
        <w:lastRenderedPageBreak/>
        <w:t>Chaque échantillon de matériau doit avoir la même apparence et le même traitement de surface, le cas échéant, que le matériau qui serait destiné à être utilisé dans le feu de brouillard avant à homologuer.</w:t>
      </w:r>
      <w:r w:rsidRPr="00155F57">
        <w:rPr>
          <w:szCs w:val="24"/>
          <w:lang w:val="fr-FR"/>
        </w:rPr>
        <w:t>».</w:t>
      </w:r>
    </w:p>
    <w:p w:rsidR="002051B3" w:rsidRPr="00155F57" w:rsidRDefault="002051B3" w:rsidP="002051B3">
      <w:pPr>
        <w:pStyle w:val="SingleTxtG"/>
        <w:keepNext/>
        <w:rPr>
          <w:lang w:val="fr-FR"/>
        </w:rPr>
      </w:pPr>
      <w:r w:rsidRPr="00155F57">
        <w:rPr>
          <w:i/>
          <w:lang w:val="fr-FR"/>
        </w:rPr>
        <w:t>Paragraphe 2.4.8</w:t>
      </w:r>
      <w:r w:rsidRPr="00155F57">
        <w:rPr>
          <w:lang w:val="fr-FR"/>
        </w:rPr>
        <w:t>, modifier comme suit:</w:t>
      </w:r>
    </w:p>
    <w:p w:rsidR="002051B3" w:rsidRPr="00155F57" w:rsidRDefault="002051B3" w:rsidP="002051B3">
      <w:pPr>
        <w:pStyle w:val="SingleTxtG"/>
        <w:spacing w:line="240" w:lineRule="exact"/>
        <w:ind w:left="2268" w:hanging="1134"/>
        <w:rPr>
          <w:lang w:val="fr-FR"/>
        </w:rPr>
      </w:pPr>
      <w:r w:rsidRPr="00155F57">
        <w:rPr>
          <w:lang w:val="fr-FR"/>
        </w:rPr>
        <w:t>«2.4.8</w:t>
      </w:r>
      <w:r w:rsidRPr="00155F57">
        <w:rPr>
          <w:lang w:val="fr-FR"/>
        </w:rPr>
        <w:tab/>
        <w:t>Dans le cas de l</w:t>
      </w:r>
      <w:r>
        <w:rPr>
          <w:lang w:val="fr-FR"/>
        </w:rPr>
        <w:t>’</w:t>
      </w:r>
      <w:r w:rsidRPr="00155F57">
        <w:rPr>
          <w:lang w:val="fr-FR"/>
        </w:rPr>
        <w:t>homologation d</w:t>
      </w:r>
      <w:r>
        <w:rPr>
          <w:lang w:val="fr-FR"/>
        </w:rPr>
        <w:t>’</w:t>
      </w:r>
      <w:r w:rsidRPr="00155F57">
        <w:rPr>
          <w:lang w:val="fr-FR"/>
        </w:rPr>
        <w:t xml:space="preserve">un feu de brouillard avant contenant des lentilles en plastique et/ou ayant des éléments optiques intérieurs en plastique, qui ont déjà été soumis à des essais: </w:t>
      </w:r>
    </w:p>
    <w:p w:rsidR="002051B3" w:rsidRPr="00155F57" w:rsidRDefault="002051B3" w:rsidP="002051B3">
      <w:pPr>
        <w:pStyle w:val="SingleTxtG"/>
        <w:spacing w:after="100" w:line="236" w:lineRule="exact"/>
        <w:ind w:left="2268"/>
        <w:rPr>
          <w:lang w:val="fr-FR"/>
        </w:rPr>
      </w:pPr>
      <w:r w:rsidRPr="00155F57">
        <w:rPr>
          <w:lang w:val="fr-FR"/>
        </w:rPr>
        <w:t>…».</w:t>
      </w:r>
    </w:p>
    <w:p w:rsidR="002051B3" w:rsidRPr="00155F57" w:rsidRDefault="002051B3" w:rsidP="002051B3">
      <w:pPr>
        <w:pStyle w:val="SingleTxtG"/>
        <w:keepNext/>
        <w:rPr>
          <w:lang w:val="fr-FR"/>
        </w:rPr>
      </w:pPr>
      <w:r w:rsidRPr="00155F57">
        <w:rPr>
          <w:i/>
          <w:lang w:val="fr-FR"/>
        </w:rPr>
        <w:t>Paragraphe 3.1</w:t>
      </w:r>
      <w:r w:rsidRPr="00155F57">
        <w:rPr>
          <w:lang w:val="fr-FR"/>
        </w:rPr>
        <w:t>,</w:t>
      </w:r>
      <w:r w:rsidRPr="00155F57">
        <w:rPr>
          <w:i/>
          <w:lang w:val="fr-FR"/>
        </w:rPr>
        <w:t xml:space="preserve"> </w:t>
      </w:r>
      <w:r w:rsidRPr="00155F57">
        <w:rPr>
          <w:lang w:val="fr-FR"/>
        </w:rPr>
        <w:t>modifier comme suit:</w:t>
      </w:r>
    </w:p>
    <w:p w:rsidR="002051B3" w:rsidRPr="00155F57" w:rsidRDefault="002051B3" w:rsidP="002051B3">
      <w:pPr>
        <w:pStyle w:val="SingleTxtG"/>
        <w:keepNext/>
        <w:spacing w:line="240" w:lineRule="exact"/>
        <w:ind w:left="2268" w:hanging="1134"/>
        <w:rPr>
          <w:lang w:val="fr-FR"/>
        </w:rPr>
      </w:pPr>
      <w:r w:rsidRPr="00155F57">
        <w:rPr>
          <w:lang w:val="fr-FR"/>
        </w:rPr>
        <w:t>«3.1</w:t>
      </w:r>
      <w:r w:rsidRPr="00155F57">
        <w:rPr>
          <w:lang w:val="fr-FR"/>
        </w:rPr>
        <w:tab/>
        <w:t>Les échantillons d</w:t>
      </w:r>
      <w:r>
        <w:rPr>
          <w:lang w:val="fr-FR"/>
        </w:rPr>
        <w:t>’</w:t>
      </w:r>
      <w:r w:rsidRPr="00155F57">
        <w:rPr>
          <w:lang w:val="fr-FR"/>
        </w:rPr>
        <w:t>un type de feu de brouillard avant qui sont présentés à l</w:t>
      </w:r>
      <w:r>
        <w:rPr>
          <w:lang w:val="fr-FR"/>
        </w:rPr>
        <w:t>’</w:t>
      </w:r>
      <w:r w:rsidRPr="00155F57">
        <w:rPr>
          <w:lang w:val="fr-FR"/>
        </w:rPr>
        <w:t>homologation doivent porter les inscriptions claires, lisibles et indélébiles suivantes:</w:t>
      </w:r>
    </w:p>
    <w:p w:rsidR="002051B3" w:rsidRPr="00155F57" w:rsidRDefault="002051B3" w:rsidP="002051B3">
      <w:pPr>
        <w:pStyle w:val="SingleTxtG"/>
        <w:spacing w:line="240" w:lineRule="exact"/>
        <w:ind w:left="2835" w:hanging="567"/>
        <w:rPr>
          <w:lang w:val="fr-FR"/>
        </w:rPr>
      </w:pPr>
      <w:r w:rsidRPr="00155F57">
        <w:rPr>
          <w:lang w:val="fr-FR"/>
        </w:rPr>
        <w:t>a)</w:t>
      </w:r>
      <w:r w:rsidRPr="00155F57">
        <w:rPr>
          <w:lang w:val="fr-FR"/>
        </w:rPr>
        <w:tab/>
        <w:t>La marque de fabrique ou de commerce du demandeur;</w:t>
      </w:r>
    </w:p>
    <w:p w:rsidR="002051B3" w:rsidRPr="00155F57" w:rsidRDefault="002051B3" w:rsidP="002051B3">
      <w:pPr>
        <w:pStyle w:val="SingleTxtG"/>
        <w:keepNext/>
        <w:spacing w:line="240" w:lineRule="exact"/>
        <w:ind w:left="2835" w:hanging="567"/>
        <w:rPr>
          <w:lang w:val="fr-FR"/>
        </w:rPr>
      </w:pPr>
      <w:r w:rsidRPr="00155F57">
        <w:rPr>
          <w:lang w:val="fr-FR"/>
        </w:rPr>
        <w:t>b)</w:t>
      </w:r>
      <w:r w:rsidRPr="00155F57">
        <w:rPr>
          <w:lang w:val="fr-FR"/>
        </w:rPr>
        <w:tab/>
        <w:t>La classe de feu de brouillard avant; et, dans le cas de feux de brouillard avant de la classe F3:</w:t>
      </w:r>
    </w:p>
    <w:p w:rsidR="002051B3" w:rsidRPr="00155F57" w:rsidRDefault="002051B3" w:rsidP="002051B3">
      <w:pPr>
        <w:pStyle w:val="SingleTxtG"/>
        <w:spacing w:line="240" w:lineRule="exact"/>
        <w:ind w:left="2835" w:hanging="567"/>
        <w:rPr>
          <w:lang w:val="fr-FR"/>
        </w:rPr>
      </w:pPr>
      <w:r w:rsidRPr="00155F57">
        <w:rPr>
          <w:lang w:val="fr-FR"/>
        </w:rPr>
        <w:t>c)</w:t>
      </w:r>
      <w:r w:rsidRPr="00155F57">
        <w:rPr>
          <w:lang w:val="fr-FR"/>
        </w:rPr>
        <w:tab/>
        <w:t>Le code d</w:t>
      </w:r>
      <w:r>
        <w:rPr>
          <w:lang w:val="fr-FR"/>
        </w:rPr>
        <w:t>’</w:t>
      </w:r>
      <w:r w:rsidRPr="00155F57">
        <w:rPr>
          <w:lang w:val="fr-FR"/>
        </w:rPr>
        <w:t>identification propre au module DEL, le cas échéant.».</w:t>
      </w:r>
    </w:p>
    <w:p w:rsidR="002051B3" w:rsidRPr="00155F57" w:rsidRDefault="002051B3" w:rsidP="002051B3">
      <w:pPr>
        <w:pStyle w:val="SingleTxtG"/>
        <w:keepNext/>
        <w:rPr>
          <w:lang w:val="fr-FR"/>
        </w:rPr>
      </w:pPr>
      <w:r w:rsidRPr="00155F57">
        <w:rPr>
          <w:i/>
          <w:lang w:val="fr-FR"/>
        </w:rPr>
        <w:t>Paragraphe 3.3</w:t>
      </w:r>
      <w:r w:rsidRPr="00155F57">
        <w:rPr>
          <w:lang w:val="fr-FR"/>
        </w:rPr>
        <w:t>,</w:t>
      </w:r>
      <w:r w:rsidRPr="00155F57">
        <w:rPr>
          <w:i/>
          <w:lang w:val="fr-FR"/>
        </w:rPr>
        <w:t xml:space="preserve"> </w:t>
      </w:r>
      <w:r w:rsidRPr="00155F57">
        <w:rPr>
          <w:lang w:val="fr-FR"/>
        </w:rPr>
        <w:t>modifier comme suit:</w:t>
      </w:r>
    </w:p>
    <w:p w:rsidR="002051B3" w:rsidRPr="00155F57" w:rsidRDefault="002051B3" w:rsidP="002051B3">
      <w:pPr>
        <w:pStyle w:val="SingleTxtG"/>
        <w:spacing w:line="240" w:lineRule="exact"/>
        <w:ind w:left="2268" w:hanging="1134"/>
        <w:rPr>
          <w:lang w:val="fr-FR"/>
        </w:rPr>
      </w:pPr>
      <w:r w:rsidRPr="00155F57">
        <w:rPr>
          <w:lang w:val="fr-FR"/>
        </w:rPr>
        <w:t>«3.3</w:t>
      </w:r>
      <w:r w:rsidRPr="00155F57">
        <w:rPr>
          <w:lang w:val="fr-FR"/>
        </w:rPr>
        <w:tab/>
        <w:t>La marque d</w:t>
      </w:r>
      <w:r>
        <w:rPr>
          <w:lang w:val="fr-FR"/>
        </w:rPr>
        <w:t>’</w:t>
      </w:r>
      <w:r w:rsidRPr="00155F57">
        <w:rPr>
          <w:lang w:val="fr-FR"/>
        </w:rPr>
        <w:t>homologation est apposée sur une partie intérieure ou extérieure (transparente ou non) du feu qui ne peut pas être séparée de la partie transparente du dispositif émettant la lumière. Dans tous les cas, la marque doit être visible lorsque le feu est monté sur le véhicule, au moins lorsqu</w:t>
      </w:r>
      <w:r>
        <w:rPr>
          <w:lang w:val="fr-FR"/>
        </w:rPr>
        <w:t>’</w:t>
      </w:r>
      <w:r w:rsidRPr="00155F57">
        <w:rPr>
          <w:lang w:val="fr-FR"/>
        </w:rPr>
        <w:t>une partie mobile, comme le capot, le hayon du coffre ou une porte, est ouverte.».</w:t>
      </w:r>
    </w:p>
    <w:p w:rsidR="002051B3" w:rsidRPr="00155F57" w:rsidRDefault="002051B3" w:rsidP="002051B3">
      <w:pPr>
        <w:pStyle w:val="SingleTxtG"/>
        <w:keepNext/>
        <w:rPr>
          <w:lang w:val="fr-FR"/>
        </w:rPr>
      </w:pPr>
      <w:r w:rsidRPr="00155F57">
        <w:rPr>
          <w:i/>
          <w:lang w:val="fr-FR"/>
        </w:rPr>
        <w:t>Paragraphe 3.4</w:t>
      </w:r>
      <w:r w:rsidRPr="00155F57">
        <w:rPr>
          <w:lang w:val="fr-FR"/>
        </w:rPr>
        <w:t>,</w:t>
      </w:r>
      <w:r w:rsidRPr="00155F57">
        <w:rPr>
          <w:i/>
          <w:lang w:val="fr-FR"/>
        </w:rPr>
        <w:t xml:space="preserve"> </w:t>
      </w:r>
      <w:r w:rsidRPr="00155F57">
        <w:rPr>
          <w:lang w:val="fr-FR"/>
        </w:rPr>
        <w:t>modifier comme suit:</w:t>
      </w:r>
    </w:p>
    <w:p w:rsidR="002051B3" w:rsidRPr="00155F57" w:rsidRDefault="002051B3" w:rsidP="002051B3">
      <w:pPr>
        <w:pStyle w:val="SingleTxtG"/>
        <w:spacing w:line="240" w:lineRule="exact"/>
        <w:ind w:left="2268" w:hanging="1134"/>
        <w:rPr>
          <w:bCs/>
          <w:iCs/>
          <w:lang w:val="fr-FR"/>
        </w:rPr>
      </w:pPr>
      <w:r w:rsidRPr="00155F57">
        <w:rPr>
          <w:lang w:val="fr-FR"/>
        </w:rPr>
        <w:t>«3.4</w:t>
      </w:r>
      <w:r w:rsidRPr="00155F57">
        <w:rPr>
          <w:lang w:val="fr-FR"/>
        </w:rPr>
        <w:tab/>
        <w:t>Dans le cas de feux de brouillard avant de la classe F3 équipés d</w:t>
      </w:r>
      <w:r>
        <w:rPr>
          <w:lang w:val="fr-FR"/>
        </w:rPr>
        <w:t>’</w:t>
      </w:r>
      <w:r w:rsidRPr="00155F57">
        <w:rPr>
          <w:lang w:val="fr-FR"/>
        </w:rPr>
        <w:t>un ou plusieurs modules DEL, les feux doivent porter l</w:t>
      </w:r>
      <w:r>
        <w:rPr>
          <w:lang w:val="fr-FR"/>
        </w:rPr>
        <w:t>’</w:t>
      </w:r>
      <w:r w:rsidRPr="00155F57">
        <w:rPr>
          <w:lang w:val="fr-FR"/>
        </w:rPr>
        <w:t>indication de la tension et de la puissance nominales ainsi que le code d</w:t>
      </w:r>
      <w:r>
        <w:rPr>
          <w:lang w:val="fr-FR"/>
        </w:rPr>
        <w:t>’</w:t>
      </w:r>
      <w:r w:rsidRPr="00155F57">
        <w:rPr>
          <w:lang w:val="fr-FR"/>
        </w:rPr>
        <w:t>identification propre au module d</w:t>
      </w:r>
      <w:r>
        <w:rPr>
          <w:lang w:val="fr-FR"/>
        </w:rPr>
        <w:t>’</w:t>
      </w:r>
      <w:r w:rsidRPr="00155F57">
        <w:rPr>
          <w:lang w:val="fr-FR"/>
        </w:rPr>
        <w:t>éclairage.</w:t>
      </w:r>
      <w:r w:rsidRPr="00155F57">
        <w:rPr>
          <w:bCs/>
          <w:iCs/>
          <w:lang w:val="fr-FR"/>
        </w:rPr>
        <w:t>».</w:t>
      </w:r>
    </w:p>
    <w:p w:rsidR="002051B3" w:rsidRPr="00155F57" w:rsidRDefault="002051B3" w:rsidP="002051B3">
      <w:pPr>
        <w:pStyle w:val="SingleTxtG"/>
        <w:keepNext/>
        <w:rPr>
          <w:i/>
          <w:lang w:val="fr-FR"/>
        </w:rPr>
      </w:pPr>
      <w:r w:rsidRPr="00155F57">
        <w:rPr>
          <w:i/>
          <w:lang w:val="fr-FR"/>
        </w:rPr>
        <w:t>Paragraphes 5.7 à 5.13</w:t>
      </w:r>
      <w:r w:rsidRPr="00155F57">
        <w:rPr>
          <w:lang w:val="fr-FR"/>
        </w:rPr>
        <w:t>, modifier comme suit:</w:t>
      </w:r>
    </w:p>
    <w:p w:rsidR="002051B3" w:rsidRPr="00155F57" w:rsidRDefault="002051B3" w:rsidP="002051B3">
      <w:pPr>
        <w:pStyle w:val="SingleTxtG"/>
        <w:keepNext/>
        <w:spacing w:line="240" w:lineRule="exact"/>
        <w:ind w:left="2268" w:hanging="1134"/>
        <w:rPr>
          <w:lang w:val="fr-FR"/>
        </w:rPr>
      </w:pPr>
      <w:r w:rsidRPr="00155F57">
        <w:rPr>
          <w:lang w:val="fr-FR"/>
        </w:rPr>
        <w:t>«5.7</w:t>
      </w:r>
      <w:r w:rsidRPr="00155F57">
        <w:rPr>
          <w:i/>
          <w:lang w:val="fr-FR"/>
        </w:rPr>
        <w:tab/>
      </w:r>
      <w:r w:rsidRPr="00155F57">
        <w:rPr>
          <w:lang w:val="fr-FR"/>
        </w:rPr>
        <w:t>Dans le cas de la classe F3, qu</w:t>
      </w:r>
      <w:r>
        <w:rPr>
          <w:lang w:val="fr-FR"/>
        </w:rPr>
        <w:t>’</w:t>
      </w:r>
      <w:r w:rsidRPr="00155F57">
        <w:rPr>
          <w:lang w:val="fr-FR"/>
        </w:rPr>
        <w:t>elles soient remplaçables ou non, les sources lumineuses doivent être:</w:t>
      </w:r>
    </w:p>
    <w:p w:rsidR="002051B3" w:rsidRPr="00155F57" w:rsidRDefault="002051B3" w:rsidP="002051B3">
      <w:pPr>
        <w:pStyle w:val="SingleTxtG"/>
        <w:keepNext/>
        <w:spacing w:line="240" w:lineRule="exact"/>
        <w:ind w:left="2268" w:hanging="1134"/>
        <w:rPr>
          <w:bCs/>
          <w:lang w:val="fr-FR"/>
        </w:rPr>
      </w:pPr>
      <w:r w:rsidRPr="00155F57">
        <w:rPr>
          <w:bCs/>
          <w:lang w:val="fr-FR"/>
        </w:rPr>
        <w:t>5.7.1</w:t>
      </w:r>
      <w:r w:rsidRPr="00155F57">
        <w:rPr>
          <w:bCs/>
          <w:lang w:val="fr-FR"/>
        </w:rPr>
        <w:tab/>
        <w:t xml:space="preserve">Une ou </w:t>
      </w:r>
      <w:r w:rsidRPr="00155F57">
        <w:rPr>
          <w:lang w:val="fr-FR"/>
        </w:rPr>
        <w:t>plusieurs</w:t>
      </w:r>
      <w:r w:rsidRPr="00155F57">
        <w:rPr>
          <w:bCs/>
          <w:lang w:val="fr-FR"/>
        </w:rPr>
        <w:t xml:space="preserve"> sources lumineuses homologuées conformément:</w:t>
      </w:r>
    </w:p>
    <w:p w:rsidR="002051B3" w:rsidRPr="00155F57" w:rsidRDefault="002051B3" w:rsidP="002051B3">
      <w:pPr>
        <w:pStyle w:val="SingleTxtG"/>
        <w:spacing w:line="240" w:lineRule="exact"/>
        <w:ind w:left="2268" w:hanging="1134"/>
        <w:rPr>
          <w:bCs/>
          <w:lang w:val="fr-FR"/>
        </w:rPr>
      </w:pPr>
      <w:r w:rsidRPr="00155F57">
        <w:rPr>
          <w:bCs/>
          <w:lang w:val="fr-FR"/>
        </w:rPr>
        <w:t>5.7.1.1</w:t>
      </w:r>
      <w:r w:rsidRPr="00155F57">
        <w:rPr>
          <w:bCs/>
          <w:lang w:val="fr-FR"/>
        </w:rPr>
        <w:tab/>
        <w:t xml:space="preserve">Au </w:t>
      </w:r>
      <w:r w:rsidRPr="00155F57">
        <w:rPr>
          <w:lang w:val="fr-FR"/>
        </w:rPr>
        <w:t>Règlement</w:t>
      </w:r>
      <w:r w:rsidRPr="00155F57">
        <w:rPr>
          <w:bCs/>
          <w:lang w:val="fr-FR"/>
        </w:rPr>
        <w:t xml:space="preserve"> </w:t>
      </w:r>
      <w:r w:rsidRPr="00155F57">
        <w:rPr>
          <w:rFonts w:eastAsia="MS Mincho"/>
          <w:bCs/>
          <w:lang w:val="fr-FR"/>
        </w:rPr>
        <w:t>n</w:t>
      </w:r>
      <w:r w:rsidRPr="00155F57">
        <w:rPr>
          <w:rFonts w:eastAsia="MS Mincho"/>
          <w:bCs/>
          <w:vertAlign w:val="superscript"/>
          <w:lang w:val="fr-FR"/>
        </w:rPr>
        <w:t>o</w:t>
      </w:r>
      <w:r w:rsidRPr="00155F57">
        <w:rPr>
          <w:rFonts w:eastAsia="MS Mincho"/>
          <w:bCs/>
          <w:lang w:val="fr-FR"/>
        </w:rPr>
        <w:t> </w:t>
      </w:r>
      <w:r w:rsidRPr="00155F57">
        <w:rPr>
          <w:bCs/>
          <w:lang w:val="fr-FR"/>
        </w:rPr>
        <w:t>37 et à ses séries d</w:t>
      </w:r>
      <w:r>
        <w:rPr>
          <w:bCs/>
          <w:lang w:val="fr-FR"/>
        </w:rPr>
        <w:t>’</w:t>
      </w:r>
      <w:r w:rsidRPr="00155F57">
        <w:rPr>
          <w:bCs/>
          <w:lang w:val="fr-FR"/>
        </w:rPr>
        <w:t xml:space="preserve">amendements en vigueur à la date de la </w:t>
      </w:r>
      <w:r w:rsidRPr="00155F57">
        <w:rPr>
          <w:lang w:val="fr-FR"/>
        </w:rPr>
        <w:t>demande</w:t>
      </w:r>
      <w:r w:rsidRPr="00155F57">
        <w:rPr>
          <w:bCs/>
          <w:lang w:val="fr-FR"/>
        </w:rPr>
        <w:t xml:space="preserve"> d</w:t>
      </w:r>
      <w:r>
        <w:rPr>
          <w:bCs/>
          <w:lang w:val="fr-FR"/>
        </w:rPr>
        <w:t>’</w:t>
      </w:r>
      <w:r w:rsidRPr="00155F57">
        <w:rPr>
          <w:bCs/>
          <w:lang w:val="fr-FR"/>
        </w:rPr>
        <w:t>homologation de type, à condition qu</w:t>
      </w:r>
      <w:r>
        <w:rPr>
          <w:bCs/>
          <w:lang w:val="fr-FR"/>
        </w:rPr>
        <w:t>’</w:t>
      </w:r>
      <w:r w:rsidRPr="00155F57">
        <w:rPr>
          <w:bCs/>
          <w:lang w:val="fr-FR"/>
        </w:rPr>
        <w:t>aucune restriction d</w:t>
      </w:r>
      <w:r>
        <w:rPr>
          <w:bCs/>
          <w:lang w:val="fr-FR"/>
        </w:rPr>
        <w:t>’</w:t>
      </w:r>
      <w:r w:rsidRPr="00155F57">
        <w:rPr>
          <w:bCs/>
          <w:lang w:val="fr-FR"/>
        </w:rPr>
        <w:t>utilisation de ces dispositifs n</w:t>
      </w:r>
      <w:r>
        <w:rPr>
          <w:bCs/>
          <w:lang w:val="fr-FR"/>
        </w:rPr>
        <w:t>’</w:t>
      </w:r>
      <w:r w:rsidRPr="00155F57">
        <w:rPr>
          <w:bCs/>
          <w:lang w:val="fr-FR"/>
        </w:rPr>
        <w:t>y soit formulée; ou</w:t>
      </w:r>
    </w:p>
    <w:p w:rsidR="002051B3" w:rsidRPr="00155F57" w:rsidRDefault="002051B3" w:rsidP="002051B3">
      <w:pPr>
        <w:pStyle w:val="SingleTxtG"/>
        <w:spacing w:line="240" w:lineRule="exact"/>
        <w:ind w:left="2268" w:hanging="1134"/>
        <w:rPr>
          <w:bCs/>
          <w:lang w:val="fr-FR"/>
        </w:rPr>
      </w:pPr>
      <w:r w:rsidRPr="00155F57">
        <w:rPr>
          <w:bCs/>
          <w:lang w:val="fr-FR"/>
        </w:rPr>
        <w:t>5.7.1.2</w:t>
      </w:r>
      <w:r w:rsidRPr="00155F57">
        <w:rPr>
          <w:bCs/>
          <w:lang w:val="fr-FR"/>
        </w:rPr>
        <w:tab/>
        <w:t xml:space="preserve">Au </w:t>
      </w:r>
      <w:r w:rsidRPr="00155F57">
        <w:rPr>
          <w:lang w:val="fr-FR"/>
        </w:rPr>
        <w:t>Règlement</w:t>
      </w:r>
      <w:r w:rsidRPr="00155F57">
        <w:rPr>
          <w:bCs/>
          <w:lang w:val="fr-FR"/>
        </w:rPr>
        <w:t xml:space="preserve"> </w:t>
      </w:r>
      <w:r w:rsidRPr="00155F57">
        <w:rPr>
          <w:rFonts w:eastAsia="MS Mincho"/>
          <w:bCs/>
          <w:lang w:val="fr-FR"/>
        </w:rPr>
        <w:t>n</w:t>
      </w:r>
      <w:r w:rsidRPr="00155F57">
        <w:rPr>
          <w:rFonts w:eastAsia="MS Mincho"/>
          <w:bCs/>
          <w:vertAlign w:val="superscript"/>
          <w:lang w:val="fr-FR"/>
        </w:rPr>
        <w:t>o</w:t>
      </w:r>
      <w:r w:rsidRPr="00155F57">
        <w:rPr>
          <w:rFonts w:eastAsia="MS Mincho"/>
          <w:bCs/>
          <w:lang w:val="fr-FR"/>
        </w:rPr>
        <w:t> </w:t>
      </w:r>
      <w:r w:rsidRPr="00155F57">
        <w:rPr>
          <w:bCs/>
          <w:lang w:val="fr-FR"/>
        </w:rPr>
        <w:t>99 et à ses séries d</w:t>
      </w:r>
      <w:r>
        <w:rPr>
          <w:bCs/>
          <w:lang w:val="fr-FR"/>
        </w:rPr>
        <w:t>’</w:t>
      </w:r>
      <w:r w:rsidRPr="00155F57">
        <w:rPr>
          <w:bCs/>
          <w:lang w:val="fr-FR"/>
        </w:rPr>
        <w:t>amendements en vigueur au moment de la demande d</w:t>
      </w:r>
      <w:r>
        <w:rPr>
          <w:bCs/>
          <w:lang w:val="fr-FR"/>
        </w:rPr>
        <w:t>’</w:t>
      </w:r>
      <w:r w:rsidRPr="00155F57">
        <w:rPr>
          <w:bCs/>
          <w:lang w:val="fr-FR"/>
        </w:rPr>
        <w:t>homologation de type;</w:t>
      </w:r>
    </w:p>
    <w:p w:rsidR="002051B3" w:rsidRPr="00155F57" w:rsidRDefault="002051B3" w:rsidP="002051B3">
      <w:pPr>
        <w:pStyle w:val="SingleTxtG"/>
        <w:spacing w:line="240" w:lineRule="exact"/>
        <w:ind w:left="2268" w:hanging="1134"/>
        <w:rPr>
          <w:lang w:val="fr-FR"/>
        </w:rPr>
      </w:pPr>
      <w:r w:rsidRPr="00155F57">
        <w:rPr>
          <w:lang w:val="fr-FR"/>
        </w:rPr>
        <w:t>5.7.2</w:t>
      </w:r>
      <w:r w:rsidRPr="00155F57">
        <w:rPr>
          <w:lang w:val="fr-FR"/>
        </w:rPr>
        <w:tab/>
        <w:t>Et/ou un ou plusieurs modules DEL auxquels les prescriptions de l</w:t>
      </w:r>
      <w:r>
        <w:rPr>
          <w:lang w:val="fr-FR"/>
        </w:rPr>
        <w:t>’</w:t>
      </w:r>
      <w:r w:rsidRPr="00155F57">
        <w:rPr>
          <w:lang w:val="fr-FR"/>
        </w:rPr>
        <w:t>annexe 12 du présent Règlement s</w:t>
      </w:r>
      <w:r>
        <w:rPr>
          <w:lang w:val="fr-FR"/>
        </w:rPr>
        <w:t>’</w:t>
      </w:r>
      <w:r w:rsidRPr="00155F57">
        <w:rPr>
          <w:lang w:val="fr-FR"/>
        </w:rPr>
        <w:t>appliquent; le respect des prescriptions doit être vérifié au moyen d</w:t>
      </w:r>
      <w:r>
        <w:rPr>
          <w:lang w:val="fr-FR"/>
        </w:rPr>
        <w:t>’</w:t>
      </w:r>
      <w:r w:rsidRPr="00155F57">
        <w:rPr>
          <w:lang w:val="fr-FR"/>
        </w:rPr>
        <w:t>essais.</w:t>
      </w:r>
    </w:p>
    <w:p w:rsidR="002051B3" w:rsidRPr="00155F57" w:rsidRDefault="002051B3" w:rsidP="002051B3">
      <w:pPr>
        <w:pStyle w:val="SingleTxtG"/>
        <w:keepNext/>
        <w:spacing w:line="240" w:lineRule="exact"/>
        <w:ind w:left="2268" w:hanging="1134"/>
        <w:rPr>
          <w:lang w:val="fr-FR"/>
        </w:rPr>
      </w:pPr>
      <w:r w:rsidRPr="00155F57">
        <w:rPr>
          <w:lang w:val="fr-FR"/>
        </w:rPr>
        <w:t>5.8</w:t>
      </w:r>
      <w:r w:rsidRPr="00155F57">
        <w:rPr>
          <w:lang w:val="fr-FR"/>
        </w:rPr>
        <w:tab/>
        <w:t>Dans le cas d</w:t>
      </w:r>
      <w:r>
        <w:rPr>
          <w:lang w:val="fr-FR"/>
        </w:rPr>
        <w:t>’</w:t>
      </w:r>
      <w:r w:rsidRPr="00155F57">
        <w:rPr>
          <w:lang w:val="fr-FR"/>
        </w:rPr>
        <w:t>un module DEL, il faut vérifier que:</w:t>
      </w:r>
    </w:p>
    <w:p w:rsidR="002051B3" w:rsidRPr="00155F57" w:rsidRDefault="002051B3" w:rsidP="002051B3">
      <w:pPr>
        <w:pStyle w:val="SingleTxtG"/>
        <w:spacing w:line="240" w:lineRule="exact"/>
        <w:ind w:left="2268" w:hanging="1134"/>
        <w:rPr>
          <w:lang w:val="fr-FR"/>
        </w:rPr>
      </w:pPr>
      <w:r w:rsidRPr="00155F57">
        <w:rPr>
          <w:lang w:val="fr-FR"/>
        </w:rPr>
        <w:t>5.8.1</w:t>
      </w:r>
      <w:r w:rsidRPr="00155F57">
        <w:rPr>
          <w:lang w:val="fr-FR"/>
        </w:rPr>
        <w:tab/>
        <w:t>Le ou les modules DEL sont conçus de telle sorte qu</w:t>
      </w:r>
      <w:r>
        <w:rPr>
          <w:lang w:val="fr-FR"/>
        </w:rPr>
        <w:t>’</w:t>
      </w:r>
      <w:r w:rsidRPr="00155F57">
        <w:rPr>
          <w:lang w:val="fr-FR"/>
        </w:rPr>
        <w:t>ils ne puissent être montés autrement que dans la position correcte.</w:t>
      </w:r>
    </w:p>
    <w:p w:rsidR="002051B3" w:rsidRPr="00155F57" w:rsidRDefault="002051B3" w:rsidP="002051B3">
      <w:pPr>
        <w:pStyle w:val="SingleTxtG"/>
        <w:spacing w:line="240" w:lineRule="exact"/>
        <w:ind w:left="2268" w:hanging="1134"/>
        <w:rPr>
          <w:lang w:val="fr-FR"/>
        </w:rPr>
      </w:pPr>
      <w:r w:rsidRPr="00155F57">
        <w:rPr>
          <w:lang w:val="fr-FR"/>
        </w:rPr>
        <w:t>5.8.2</w:t>
      </w:r>
      <w:r w:rsidRPr="00155F57">
        <w:rPr>
          <w:lang w:val="fr-FR"/>
        </w:rPr>
        <w:tab/>
        <w:t>Des modules de sources lumineuses non identiques, le cas échéant, ne doivent pas être interchangeables dans le même boîtier.</w:t>
      </w:r>
    </w:p>
    <w:p w:rsidR="002051B3" w:rsidRPr="00155F57" w:rsidRDefault="002051B3" w:rsidP="002051B3">
      <w:pPr>
        <w:pStyle w:val="SingleTxtG"/>
        <w:spacing w:line="240" w:lineRule="exact"/>
        <w:ind w:left="2268" w:hanging="1134"/>
        <w:rPr>
          <w:lang w:val="fr-FR"/>
        </w:rPr>
      </w:pPr>
      <w:r w:rsidRPr="00155F57">
        <w:rPr>
          <w:lang w:val="fr-FR"/>
        </w:rPr>
        <w:t>5.8.3</w:t>
      </w:r>
      <w:r w:rsidRPr="00155F57">
        <w:rPr>
          <w:lang w:val="fr-FR"/>
        </w:rPr>
        <w:tab/>
        <w:t>Le ou les modules DEL doivent être protégés contre toute modification.</w:t>
      </w:r>
    </w:p>
    <w:p w:rsidR="002051B3" w:rsidRPr="00155F57" w:rsidRDefault="002051B3" w:rsidP="002051B3">
      <w:pPr>
        <w:pStyle w:val="SingleTxtG"/>
        <w:spacing w:line="240" w:lineRule="exact"/>
        <w:ind w:left="2268" w:hanging="1134"/>
        <w:rPr>
          <w:lang w:val="fr-FR"/>
        </w:rPr>
      </w:pPr>
      <w:r w:rsidRPr="00155F57">
        <w:rPr>
          <w:lang w:val="fr-FR"/>
        </w:rPr>
        <w:t>5.9</w:t>
      </w:r>
      <w:r w:rsidRPr="00155F57">
        <w:rPr>
          <w:lang w:val="fr-FR"/>
        </w:rPr>
        <w:tab/>
        <w:t>Lorsque des feux de brouillard avant munis d</w:t>
      </w:r>
      <w:r>
        <w:rPr>
          <w:lang w:val="fr-FR"/>
        </w:rPr>
        <w:t>’</w:t>
      </w:r>
      <w:r w:rsidRPr="00155F57">
        <w:rPr>
          <w:lang w:val="fr-FR"/>
        </w:rPr>
        <w:t>une ou plusieurs sources lumineuses ont un flux lumineux normal total supérieur à 2 000 lumens, ce fait doit être indiqué au point 10 de la fiche de communication de l</w:t>
      </w:r>
      <w:r>
        <w:rPr>
          <w:lang w:val="fr-FR"/>
        </w:rPr>
        <w:t>’</w:t>
      </w:r>
      <w:r w:rsidRPr="00155F57">
        <w:rPr>
          <w:lang w:val="fr-FR"/>
        </w:rPr>
        <w:t>annexe 1.</w:t>
      </w:r>
    </w:p>
    <w:p w:rsidR="002051B3" w:rsidRPr="00155F57" w:rsidRDefault="002051B3" w:rsidP="002051B3">
      <w:pPr>
        <w:pStyle w:val="SingleTxtG"/>
        <w:spacing w:line="240" w:lineRule="exact"/>
        <w:ind w:left="2268" w:hanging="1134"/>
        <w:rPr>
          <w:lang w:val="fr-FR"/>
        </w:rPr>
      </w:pPr>
      <w:r w:rsidRPr="00155F57">
        <w:rPr>
          <w:lang w:val="fr-FR"/>
        </w:rPr>
        <w:t>5.10</w:t>
      </w:r>
      <w:r w:rsidRPr="00155F57">
        <w:rPr>
          <w:lang w:val="fr-FR"/>
        </w:rPr>
        <w:tab/>
        <w:t>Si la glace du feu de brouillard avant est en matériau plastique, des essais doivent être effectués conformément aux prescriptions de l</w:t>
      </w:r>
      <w:r>
        <w:rPr>
          <w:lang w:val="fr-FR"/>
        </w:rPr>
        <w:t>’</w:t>
      </w:r>
      <w:r w:rsidRPr="00155F57">
        <w:rPr>
          <w:lang w:val="fr-FR"/>
        </w:rPr>
        <w:t>annexe 6.</w:t>
      </w:r>
    </w:p>
    <w:p w:rsidR="002051B3" w:rsidRPr="00155F57" w:rsidRDefault="002051B3" w:rsidP="002051B3">
      <w:pPr>
        <w:pStyle w:val="SingleTxtG"/>
        <w:spacing w:line="240" w:lineRule="exact"/>
        <w:ind w:left="2268" w:hanging="1134"/>
        <w:rPr>
          <w:lang w:val="fr-FR"/>
        </w:rPr>
      </w:pPr>
      <w:r w:rsidRPr="00155F57">
        <w:rPr>
          <w:lang w:val="fr-FR"/>
        </w:rPr>
        <w:t>5.10.1</w:t>
      </w:r>
      <w:r w:rsidRPr="00155F57">
        <w:rPr>
          <w:lang w:val="fr-FR"/>
        </w:rPr>
        <w:tab/>
        <w:t>La résistance aux UV des composants transmettant la lumière situés à l</w:t>
      </w:r>
      <w:r>
        <w:rPr>
          <w:lang w:val="fr-FR"/>
        </w:rPr>
        <w:t>’</w:t>
      </w:r>
      <w:r w:rsidRPr="00155F57">
        <w:rPr>
          <w:lang w:val="fr-FR"/>
        </w:rPr>
        <w:t>intérieur du feu de brouillard avant et constitués de matériau plastique fait l</w:t>
      </w:r>
      <w:r>
        <w:rPr>
          <w:lang w:val="fr-FR"/>
        </w:rPr>
        <w:t>’</w:t>
      </w:r>
      <w:r w:rsidRPr="00155F57">
        <w:rPr>
          <w:lang w:val="fr-FR"/>
        </w:rPr>
        <w:t>objet d</w:t>
      </w:r>
      <w:r>
        <w:rPr>
          <w:lang w:val="fr-FR"/>
        </w:rPr>
        <w:t>’</w:t>
      </w:r>
      <w:r w:rsidRPr="00155F57">
        <w:rPr>
          <w:lang w:val="fr-FR"/>
        </w:rPr>
        <w:t>essais conformément au paragraphe 2.7 de l</w:t>
      </w:r>
      <w:r>
        <w:rPr>
          <w:lang w:val="fr-FR"/>
        </w:rPr>
        <w:t>’</w:t>
      </w:r>
      <w:r w:rsidRPr="00155F57">
        <w:rPr>
          <w:lang w:val="fr-FR"/>
        </w:rPr>
        <w:t>annexe 6.</w:t>
      </w:r>
    </w:p>
    <w:p w:rsidR="002051B3" w:rsidRPr="00155F57" w:rsidRDefault="002051B3" w:rsidP="002051B3">
      <w:pPr>
        <w:pStyle w:val="SingleTxtG"/>
        <w:spacing w:line="240" w:lineRule="exact"/>
        <w:ind w:left="2268" w:hanging="1134"/>
        <w:rPr>
          <w:lang w:val="fr-FR"/>
        </w:rPr>
      </w:pPr>
      <w:r w:rsidRPr="00155F57">
        <w:rPr>
          <w:lang w:val="fr-FR"/>
        </w:rPr>
        <w:t>5.10.2</w:t>
      </w:r>
      <w:r w:rsidRPr="00155F57">
        <w:rPr>
          <w:lang w:val="fr-FR"/>
        </w:rPr>
        <w:tab/>
        <w:t>L</w:t>
      </w:r>
      <w:r>
        <w:rPr>
          <w:lang w:val="fr-FR"/>
        </w:rPr>
        <w:t>’</w:t>
      </w:r>
      <w:r w:rsidRPr="00155F57">
        <w:rPr>
          <w:lang w:val="fr-FR"/>
        </w:rPr>
        <w:t>essai visé au paragraphe 5.10.1 n</w:t>
      </w:r>
      <w:r>
        <w:rPr>
          <w:lang w:val="fr-FR"/>
        </w:rPr>
        <w:t>’</w:t>
      </w:r>
      <w:r w:rsidRPr="00155F57">
        <w:rPr>
          <w:lang w:val="fr-FR"/>
        </w:rPr>
        <w:t xml:space="preserve">est pas nécessaire si des sources lumineuses de type à faible rayonnement UV, comme précisé dans le Règlement </w:t>
      </w:r>
      <w:r w:rsidRPr="00155F57">
        <w:rPr>
          <w:rFonts w:eastAsia="MS Mincho"/>
          <w:lang w:val="fr-FR"/>
        </w:rPr>
        <w:t>n</w:t>
      </w:r>
      <w:r w:rsidRPr="00155F57">
        <w:rPr>
          <w:rFonts w:eastAsia="MS Mincho"/>
          <w:vertAlign w:val="superscript"/>
          <w:lang w:val="fr-FR"/>
        </w:rPr>
        <w:t>o</w:t>
      </w:r>
      <w:r w:rsidRPr="00155F57">
        <w:rPr>
          <w:rFonts w:eastAsia="MS Mincho"/>
          <w:lang w:val="fr-FR"/>
        </w:rPr>
        <w:t> </w:t>
      </w:r>
      <w:r w:rsidRPr="00155F57">
        <w:rPr>
          <w:lang w:val="fr-FR"/>
        </w:rPr>
        <w:t>99 ou dans l</w:t>
      </w:r>
      <w:r>
        <w:rPr>
          <w:lang w:val="fr-FR"/>
        </w:rPr>
        <w:t>’</w:t>
      </w:r>
      <w:r w:rsidRPr="00155F57">
        <w:rPr>
          <w:lang w:val="fr-FR"/>
        </w:rPr>
        <w:t>annexe 12 du présent Règlement, sont utilisées ou si des dispositions sont prises pour protéger les composants pertinents des feux contre le rayonnement UV, par exemple au moyen de filtres en verre.</w:t>
      </w:r>
    </w:p>
    <w:p w:rsidR="002051B3" w:rsidRPr="00155F57" w:rsidRDefault="002051B3" w:rsidP="002051B3">
      <w:pPr>
        <w:pStyle w:val="SingleTxtG"/>
        <w:spacing w:line="240" w:lineRule="exact"/>
        <w:ind w:left="2268" w:hanging="1134"/>
        <w:rPr>
          <w:lang w:val="fr-FR"/>
        </w:rPr>
      </w:pPr>
      <w:r w:rsidRPr="00155F57">
        <w:rPr>
          <w:lang w:val="fr-FR"/>
        </w:rPr>
        <w:t>5.11</w:t>
      </w:r>
      <w:r w:rsidRPr="00155F57">
        <w:rPr>
          <w:lang w:val="fr-FR"/>
        </w:rPr>
        <w:tab/>
        <w:t>Le feu de brouillard avant et son système de ballast ou son dispositif de régulation de la source lumineuse ne doivent pas provoquer de rayonnement ou de perturbations sur les lignes électriques susceptibles de causer des défauts de fonctionnement des autres systèmes électriques/électroniques du véhicule</w:t>
      </w:r>
      <w:r w:rsidR="000979ED">
        <w:rPr>
          <w:sz w:val="18"/>
          <w:szCs w:val="18"/>
          <w:vertAlign w:val="superscript"/>
          <w:lang w:val="fr-FR"/>
        </w:rPr>
        <w:t>5</w:t>
      </w:r>
      <w:r w:rsidRPr="00155F57">
        <w:rPr>
          <w:lang w:val="fr-FR"/>
        </w:rPr>
        <w:t>.</w:t>
      </w:r>
    </w:p>
    <w:p w:rsidR="002051B3" w:rsidRPr="00155F57" w:rsidRDefault="002051B3" w:rsidP="002051B3">
      <w:pPr>
        <w:pStyle w:val="SingleTxtG"/>
        <w:spacing w:line="240" w:lineRule="exact"/>
        <w:ind w:left="2268" w:hanging="1134"/>
        <w:rPr>
          <w:lang w:val="fr-FR"/>
        </w:rPr>
      </w:pPr>
      <w:r w:rsidRPr="00155F57">
        <w:rPr>
          <w:lang w:val="fr-FR"/>
        </w:rPr>
        <w:t>5.12</w:t>
      </w:r>
      <w:r w:rsidRPr="00155F57">
        <w:rPr>
          <w:lang w:val="fr-FR"/>
        </w:rPr>
        <w:tab/>
        <w:t>Les feux de brouillard avant conçus pour fonctionner en permanence grâce à un système auxiliaire de régulation de l</w:t>
      </w:r>
      <w:r>
        <w:rPr>
          <w:lang w:val="fr-FR"/>
        </w:rPr>
        <w:t>’</w:t>
      </w:r>
      <w:r w:rsidRPr="00155F57">
        <w:rPr>
          <w:lang w:val="fr-FR"/>
        </w:rPr>
        <w:t>intensité de la lumière émise ou qui sont mutuellement incorporés avec une autre fonction ayant une source lumineuse commune, et conçue pour fonctionner en permanence avec un système auxiliaire de régulation de l</w:t>
      </w:r>
      <w:r>
        <w:rPr>
          <w:lang w:val="fr-FR"/>
        </w:rPr>
        <w:t>’</w:t>
      </w:r>
      <w:r w:rsidRPr="00155F57">
        <w:rPr>
          <w:lang w:val="fr-FR"/>
        </w:rPr>
        <w:t>intensité de la lumière émise, sont autorisés.</w:t>
      </w:r>
    </w:p>
    <w:p w:rsidR="002051B3" w:rsidRPr="00155F57" w:rsidRDefault="002051B3" w:rsidP="002051B3">
      <w:pPr>
        <w:pStyle w:val="SingleTxtG"/>
        <w:spacing w:line="240" w:lineRule="exact"/>
        <w:ind w:left="2268" w:hanging="1134"/>
        <w:rPr>
          <w:lang w:val="fr-FR"/>
        </w:rPr>
      </w:pPr>
      <w:r w:rsidRPr="00155F57">
        <w:rPr>
          <w:lang w:val="fr-FR"/>
        </w:rPr>
        <w:t>5.13</w:t>
      </w:r>
      <w:r w:rsidRPr="00155F57">
        <w:rPr>
          <w:lang w:val="fr-FR"/>
        </w:rPr>
        <w:tab/>
        <w:t>Dans</w:t>
      </w:r>
      <w:r w:rsidRPr="00155F57">
        <w:rPr>
          <w:b/>
          <w:bCs/>
          <w:lang w:val="fr-FR"/>
        </w:rPr>
        <w:t xml:space="preserve"> </w:t>
      </w:r>
      <w:r w:rsidRPr="00155F57">
        <w:rPr>
          <w:lang w:val="fr-FR"/>
        </w:rPr>
        <w:t>le cas de la classe F3, la netteté et la linéarité de la “coupure” sont vérifiées conformément aux prescriptions de l</w:t>
      </w:r>
      <w:r>
        <w:rPr>
          <w:lang w:val="fr-FR"/>
        </w:rPr>
        <w:t>’</w:t>
      </w:r>
      <w:r w:rsidRPr="00155F57">
        <w:rPr>
          <w:lang w:val="fr-FR"/>
        </w:rPr>
        <w:t>annexe 9.».</w:t>
      </w:r>
    </w:p>
    <w:p w:rsidR="002051B3" w:rsidRPr="00155F57" w:rsidRDefault="002051B3" w:rsidP="002051B3">
      <w:pPr>
        <w:tabs>
          <w:tab w:val="right" w:pos="2155"/>
        </w:tabs>
        <w:spacing w:after="80"/>
        <w:ind w:left="1134"/>
        <w:rPr>
          <w:lang w:val="fr-FR"/>
        </w:rPr>
      </w:pPr>
      <w:r w:rsidRPr="00155F57">
        <w:rPr>
          <w:u w:val="single"/>
          <w:lang w:val="fr-FR"/>
        </w:rPr>
        <w:tab/>
      </w:r>
    </w:p>
    <w:p w:rsidR="002051B3" w:rsidRPr="00155F57" w:rsidRDefault="000979ED" w:rsidP="002051B3">
      <w:pPr>
        <w:pStyle w:val="SingleTxtG"/>
        <w:spacing w:after="240" w:line="240" w:lineRule="exact"/>
        <w:ind w:left="1701" w:hanging="567"/>
        <w:jc w:val="left"/>
        <w:rPr>
          <w:lang w:val="fr-FR"/>
        </w:rPr>
      </w:pPr>
      <w:r>
        <w:rPr>
          <w:sz w:val="18"/>
          <w:szCs w:val="18"/>
          <w:vertAlign w:val="superscript"/>
          <w:lang w:val="fr-FR"/>
        </w:rPr>
        <w:t>5</w:t>
      </w:r>
      <w:r w:rsidR="002051B3" w:rsidRPr="00155F57">
        <w:rPr>
          <w:lang w:val="fr-FR"/>
        </w:rPr>
        <w:tab/>
      </w:r>
      <w:r w:rsidR="002051B3" w:rsidRPr="00155F57">
        <w:rPr>
          <w:sz w:val="18"/>
          <w:szCs w:val="18"/>
          <w:lang w:val="fr-FR"/>
        </w:rPr>
        <w:t>Le respect des prescriptions relatives à la compatibilité électromagnétique est fonction du type de véhicule</w:t>
      </w:r>
      <w:r w:rsidR="002051B3" w:rsidRPr="00155F57">
        <w:rPr>
          <w:lang w:val="fr-FR"/>
        </w:rPr>
        <w:t>.</w:t>
      </w:r>
    </w:p>
    <w:p w:rsidR="002051B3" w:rsidRPr="00155F57" w:rsidRDefault="002051B3" w:rsidP="002051B3">
      <w:pPr>
        <w:pStyle w:val="SingleTxtG"/>
        <w:keepNext/>
        <w:rPr>
          <w:lang w:val="fr-FR"/>
        </w:rPr>
      </w:pPr>
      <w:r w:rsidRPr="00155F57">
        <w:rPr>
          <w:i/>
          <w:lang w:val="fr-FR"/>
        </w:rPr>
        <w:t>Paragraphe 6.4.1.5</w:t>
      </w:r>
      <w:r w:rsidRPr="00155F57">
        <w:rPr>
          <w:lang w:val="fr-FR"/>
        </w:rPr>
        <w:t>, modifier comme suit:</w:t>
      </w:r>
    </w:p>
    <w:p w:rsidR="002051B3" w:rsidRPr="00155F57" w:rsidRDefault="002051B3" w:rsidP="002051B3">
      <w:pPr>
        <w:pStyle w:val="SingleTxtG"/>
        <w:spacing w:line="240" w:lineRule="exact"/>
        <w:ind w:left="2268" w:hanging="1134"/>
        <w:rPr>
          <w:iCs/>
          <w:lang w:val="fr-FR" w:eastAsia="it-IT"/>
        </w:rPr>
      </w:pPr>
      <w:r w:rsidRPr="00155F57">
        <w:rPr>
          <w:iCs/>
          <w:lang w:val="fr-FR" w:eastAsia="it-IT"/>
        </w:rPr>
        <w:t>«6.4.1.5</w:t>
      </w:r>
      <w:r w:rsidRPr="00155F57">
        <w:rPr>
          <w:iCs/>
          <w:lang w:val="fr-FR" w:eastAsia="it-IT"/>
        </w:rPr>
        <w:tab/>
      </w:r>
      <w:r w:rsidRPr="00155F57">
        <w:rPr>
          <w:lang w:val="fr-FR"/>
        </w:rPr>
        <w:t>Le respect des prescriptions du paragraphe 5.8.1 doit être vérifié au moins pour les valeurs aux lignes 3 et 4 du tableau du paragraphe 6.4.3</w:t>
      </w:r>
      <w:r w:rsidRPr="00155F57">
        <w:rPr>
          <w:iCs/>
          <w:lang w:val="fr-FR" w:eastAsia="it-IT"/>
        </w:rPr>
        <w:t>.».</w:t>
      </w:r>
    </w:p>
    <w:p w:rsidR="002051B3" w:rsidRPr="00155F57" w:rsidRDefault="002051B3" w:rsidP="002051B3">
      <w:pPr>
        <w:pStyle w:val="SingleTxtG"/>
        <w:spacing w:before="240" w:after="0"/>
        <w:jc w:val="center"/>
        <w:rPr>
          <w:u w:val="single"/>
          <w:lang w:val="fr-FR"/>
        </w:rPr>
      </w:pPr>
      <w:r w:rsidRPr="00155F57">
        <w:rPr>
          <w:u w:val="single"/>
          <w:lang w:val="fr-FR"/>
        </w:rPr>
        <w:tab/>
      </w:r>
      <w:r w:rsidRPr="00155F57">
        <w:rPr>
          <w:u w:val="single"/>
          <w:lang w:val="fr-FR"/>
        </w:rPr>
        <w:tab/>
      </w:r>
      <w:r w:rsidRPr="00155F57">
        <w:rPr>
          <w:u w:val="single"/>
          <w:lang w:val="fr-FR"/>
        </w:rPr>
        <w:tab/>
      </w:r>
    </w:p>
    <w:p w:rsidR="005F0207" w:rsidRPr="00DD1ED8" w:rsidRDefault="005F0207" w:rsidP="001C08ED">
      <w:pPr>
        <w:pStyle w:val="SingleTxtG"/>
        <w:rPr>
          <w:u w:val="single"/>
        </w:rPr>
      </w:pPr>
    </w:p>
    <w:sectPr w:rsidR="005F0207" w:rsidRPr="00DD1ED8" w:rsidSect="000314C7">
      <w:headerReference w:type="even" r:id="rId8"/>
      <w:headerReference w:type="default" r:id="rId9"/>
      <w:footerReference w:type="even" r:id="rId10"/>
      <w:footerReference w:type="default" r:id="rId11"/>
      <w:footerReference w:type="first" r:id="rId12"/>
      <w:endnotePr>
        <w:numFmt w:val="decimal"/>
      </w:endnotePr>
      <w:pgSz w:w="11907" w:h="16840" w:code="9"/>
      <w:pgMar w:top="1701" w:right="1134" w:bottom="2268" w:left="1134" w:header="96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513C" w:rsidRDefault="0005513C"/>
  </w:endnote>
  <w:endnote w:type="continuationSeparator" w:id="0">
    <w:p w:rsidR="0005513C" w:rsidRDefault="0005513C">
      <w:pPr>
        <w:pStyle w:val="Footer"/>
      </w:pPr>
    </w:p>
  </w:endnote>
  <w:endnote w:type="continuationNotice" w:id="1">
    <w:p w:rsidR="0005513C" w:rsidRPr="00C451B9" w:rsidRDefault="0005513C" w:rsidP="00C451B9">
      <w:pPr>
        <w:spacing w:line="240" w:lineRule="auto"/>
        <w:rPr>
          <w:sz w:val="2"/>
          <w:szCs w:val="2"/>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974" w:rsidRPr="000314C7" w:rsidRDefault="00710974" w:rsidP="000314C7">
    <w:pPr>
      <w:pStyle w:val="Footer"/>
      <w:tabs>
        <w:tab w:val="right" w:pos="9638"/>
      </w:tabs>
    </w:pPr>
    <w:r w:rsidRPr="000314C7">
      <w:rPr>
        <w:b/>
        <w:sz w:val="18"/>
      </w:rPr>
      <w:fldChar w:fldCharType="begin"/>
    </w:r>
    <w:r w:rsidRPr="000314C7">
      <w:rPr>
        <w:b/>
        <w:sz w:val="18"/>
      </w:rPr>
      <w:instrText xml:space="preserve"> PAGE  \* MERGEFORMAT </w:instrText>
    </w:r>
    <w:r w:rsidRPr="000314C7">
      <w:rPr>
        <w:b/>
        <w:sz w:val="18"/>
      </w:rPr>
      <w:fldChar w:fldCharType="separate"/>
    </w:r>
    <w:r w:rsidR="008772D1">
      <w:rPr>
        <w:b/>
        <w:noProof/>
        <w:sz w:val="18"/>
      </w:rPr>
      <w:t>4</w:t>
    </w:r>
    <w:r w:rsidRPr="000314C7">
      <w:rPr>
        <w:b/>
        <w:sz w:val="18"/>
      </w:rPr>
      <w:fldChar w:fldCharType="end"/>
    </w:r>
    <w:r>
      <w:rPr>
        <w:b/>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974" w:rsidRPr="000314C7" w:rsidRDefault="00710974" w:rsidP="000314C7">
    <w:pPr>
      <w:pStyle w:val="Footer"/>
      <w:tabs>
        <w:tab w:val="right" w:pos="9638"/>
      </w:tabs>
      <w:rPr>
        <w:b/>
        <w:sz w:val="18"/>
      </w:rPr>
    </w:pPr>
    <w:r>
      <w:tab/>
    </w:r>
    <w:r w:rsidRPr="000314C7">
      <w:rPr>
        <w:b/>
        <w:sz w:val="18"/>
      </w:rPr>
      <w:fldChar w:fldCharType="begin"/>
    </w:r>
    <w:r w:rsidRPr="000314C7">
      <w:rPr>
        <w:b/>
        <w:sz w:val="18"/>
      </w:rPr>
      <w:instrText xml:space="preserve"> PAGE  \* MERGEFORMAT </w:instrText>
    </w:r>
    <w:r w:rsidRPr="000314C7">
      <w:rPr>
        <w:b/>
        <w:sz w:val="18"/>
      </w:rPr>
      <w:fldChar w:fldCharType="separate"/>
    </w:r>
    <w:r w:rsidR="008772D1">
      <w:rPr>
        <w:b/>
        <w:noProof/>
        <w:sz w:val="18"/>
      </w:rPr>
      <w:t>3</w:t>
    </w:r>
    <w:r w:rsidRPr="000314C7">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974" w:rsidRPr="0029791D" w:rsidRDefault="008772D1" w:rsidP="00E97E2C">
    <w:pPr>
      <w:ind w:left="1134" w:right="1134"/>
      <w:jc w:val="center"/>
    </w:pPr>
    <w:r>
      <w:rPr>
        <w:noProof/>
        <w:lang w:val="fr-FR"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0;text-align:left;margin-left:340.15pt;margin-top:651.95pt;width:86.95pt;height:18.35pt;z-index:251657728;mso-position-horizontal-relative:margin;mso-position-vertical-relative:margin">
          <v:imagedata r:id="rId1" o:title="recycle_French"/>
          <w10:wrap anchorx="margin" anchory="margin"/>
        </v:shape>
      </w:pict>
    </w:r>
    <w:r w:rsidR="00710974">
      <w:t>_______________</w:t>
    </w:r>
  </w:p>
  <w:p w:rsidR="00710974" w:rsidRDefault="008772D1" w:rsidP="00E97E2C">
    <w:pPr>
      <w:jc w:val="center"/>
      <w:rPr>
        <w:b/>
        <w:bCs/>
        <w:sz w:val="22"/>
      </w:rPr>
    </w:pPr>
    <w:r>
      <w:pict>
        <v:shape id="_x0000_i1025" type="#_x0000_t75" style="width:1in;height:60.6pt;mso-wrap-distance-bottom:10.8pt" o:allowoverlap="f" fillcolor="window">
          <v:imagedata r:id="rId2" o:title="" cropleft="-4986f" cropright="-4986f"/>
        </v:shape>
      </w:pict>
    </w:r>
  </w:p>
  <w:p w:rsidR="00710974" w:rsidRPr="0029791D" w:rsidRDefault="00710974" w:rsidP="00E97E2C">
    <w:pPr>
      <w:jc w:val="center"/>
      <w:rPr>
        <w:sz w:val="24"/>
        <w:szCs w:val="24"/>
      </w:rPr>
    </w:pPr>
    <w:r w:rsidRPr="0029791D">
      <w:rPr>
        <w:b/>
        <w:bCs/>
        <w:sz w:val="24"/>
        <w:szCs w:val="24"/>
      </w:rPr>
      <w:t>Nations Unies</w:t>
    </w:r>
  </w:p>
  <w:p w:rsidR="00710974" w:rsidRPr="0029791D" w:rsidRDefault="00710974" w:rsidP="00E97E2C">
    <w:pPr>
      <w:pStyle w:val="FootnoteText"/>
      <w:tabs>
        <w:tab w:val="clear" w:pos="1021"/>
        <w:tab w:val="right" w:pos="2155"/>
      </w:tabs>
      <w:spacing w:after="80" w:line="240" w:lineRule="atLeast"/>
      <w:ind w:left="680" w:right="0" w:firstLine="0"/>
      <w:rPr>
        <w:u w:val="single"/>
      </w:rPr>
    </w:pPr>
    <w:r>
      <w:rPr>
        <w:u w:val="single"/>
      </w:rPr>
      <w:tab/>
    </w:r>
  </w:p>
  <w:p w:rsidR="00710974" w:rsidRDefault="00710974" w:rsidP="00242268">
    <w:pPr>
      <w:pStyle w:val="FootnoteText"/>
      <w:spacing w:after="240" w:line="200" w:lineRule="exact"/>
    </w:pPr>
    <w:r>
      <w:tab/>
    </w:r>
    <w:r w:rsidRPr="0029791D">
      <w:rPr>
        <w:rStyle w:val="FootnoteReference"/>
        <w:sz w:val="20"/>
        <w:vertAlign w:val="baseline"/>
      </w:rPr>
      <w:t>*</w:t>
    </w:r>
    <w:r>
      <w:rPr>
        <w:sz w:val="20"/>
      </w:rPr>
      <w:tab/>
    </w:r>
    <w:r w:rsidRPr="007817A7">
      <w:t>Ancien titre de l</w:t>
    </w:r>
    <w:r>
      <w:t>’</w:t>
    </w:r>
    <w:r w:rsidRPr="007817A7">
      <w:t>Accor</w:t>
    </w:r>
    <w:r>
      <w:t>d: Accord concernant l’a</w:t>
    </w:r>
    <w:r w:rsidRPr="007817A7">
      <w:t>doption de conditions uniformes d</w:t>
    </w:r>
    <w:r>
      <w:t>’</w:t>
    </w:r>
    <w:r w:rsidRPr="007817A7">
      <w:t>homologation et la</w:t>
    </w:r>
    <w:r>
      <w:t> </w:t>
    </w:r>
    <w:r w:rsidRPr="007817A7">
      <w:t>reconnaissance réciproque de l</w:t>
    </w:r>
    <w:r>
      <w:t>’</w:t>
    </w:r>
    <w:r w:rsidRPr="007817A7">
      <w:t>homologation des équipements et pièces de véhicules à m</w:t>
    </w:r>
    <w:r>
      <w:t xml:space="preserve">oteur, en date, à Genève, du 20 </w:t>
    </w:r>
    <w:r w:rsidRPr="007817A7">
      <w:t>mars 1958.</w:t>
    </w:r>
  </w:p>
  <w:p w:rsidR="00710974" w:rsidRPr="000314C7" w:rsidRDefault="00710974" w:rsidP="000314C7">
    <w:pPr>
      <w:pStyle w:val="Footer"/>
      <w:spacing w:before="120"/>
      <w:rPr>
        <w:sz w:val="20"/>
      </w:rPr>
    </w:pPr>
    <w:r>
      <w:rPr>
        <w:sz w:val="20"/>
      </w:rPr>
      <w:t>GE</w:t>
    </w:r>
    <w:r w:rsidR="004750C7">
      <w:rPr>
        <w:sz w:val="20"/>
      </w:rPr>
      <w:t>.-15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513C" w:rsidRPr="00D27D5E" w:rsidRDefault="0005513C" w:rsidP="00D27D5E">
      <w:pPr>
        <w:tabs>
          <w:tab w:val="right" w:pos="2155"/>
        </w:tabs>
        <w:spacing w:after="80"/>
        <w:ind w:left="680"/>
        <w:rPr>
          <w:u w:val="single"/>
        </w:rPr>
      </w:pPr>
      <w:r>
        <w:rPr>
          <w:u w:val="single"/>
        </w:rPr>
        <w:tab/>
      </w:r>
    </w:p>
  </w:footnote>
  <w:footnote w:type="continuationSeparator" w:id="0">
    <w:p w:rsidR="0005513C" w:rsidRPr="00D171D4" w:rsidRDefault="0005513C" w:rsidP="00D171D4">
      <w:pPr>
        <w:tabs>
          <w:tab w:val="right" w:pos="2155"/>
        </w:tabs>
        <w:spacing w:after="80"/>
        <w:ind w:left="680"/>
        <w:rPr>
          <w:u w:val="single"/>
        </w:rPr>
      </w:pPr>
      <w:r w:rsidRPr="00D171D4">
        <w:rPr>
          <w:u w:val="single"/>
        </w:rPr>
        <w:tab/>
      </w:r>
    </w:p>
  </w:footnote>
  <w:footnote w:type="continuationNotice" w:id="1">
    <w:p w:rsidR="0005513C" w:rsidRPr="00C451B9" w:rsidRDefault="0005513C" w:rsidP="00C451B9">
      <w:pPr>
        <w:spacing w:line="240" w:lineRule="auto"/>
        <w:rPr>
          <w:sz w:val="2"/>
          <w:szCs w:val="2"/>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974" w:rsidRPr="000314C7" w:rsidRDefault="00710974">
    <w:pPr>
      <w:pStyle w:val="Header"/>
    </w:pPr>
    <w:r>
      <w:t>E/ECE/324</w:t>
    </w:r>
    <w:r w:rsidR="00266CD2">
      <w:t>/Rev.1/Add.18/Rev.7/Amend.2</w:t>
    </w:r>
    <w:r>
      <w:br/>
      <w:t>E/ECE/TRANS/505</w:t>
    </w:r>
    <w:r w:rsidR="00266CD2">
      <w:t>/Rev.1/Add.18/Rev.7/Amend.2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974" w:rsidRPr="000314C7" w:rsidRDefault="00710974" w:rsidP="000314C7">
    <w:pPr>
      <w:pStyle w:val="Header"/>
      <w:jc w:val="right"/>
    </w:pPr>
    <w:r>
      <w:t>E/ECE/324</w:t>
    </w:r>
    <w:r w:rsidR="00266CD2">
      <w:t>/Rev.1/Add.18/Rev.7/Amend.2</w:t>
    </w:r>
    <w:r>
      <w:br/>
      <w:t>E/ECE/TRANS/505</w:t>
    </w:r>
    <w:r w:rsidR="00266CD2">
      <w:t>/Rev.1/Add.18/Rev.7/Amend.2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C74B594"/>
    <w:lvl w:ilvl="0">
      <w:start w:val="1"/>
      <w:numFmt w:val="decimal"/>
      <w:lvlText w:val="%1."/>
      <w:lvlJc w:val="left"/>
      <w:pPr>
        <w:tabs>
          <w:tab w:val="num" w:pos="1492"/>
        </w:tabs>
        <w:ind w:left="1492" w:hanging="360"/>
      </w:pPr>
    </w:lvl>
  </w:abstractNum>
  <w:abstractNum w:abstractNumId="1">
    <w:nsid w:val="FFFFFF7D"/>
    <w:multiLevelType w:val="singleLevel"/>
    <w:tmpl w:val="C674D702"/>
    <w:lvl w:ilvl="0">
      <w:start w:val="1"/>
      <w:numFmt w:val="decimal"/>
      <w:lvlText w:val="%1."/>
      <w:lvlJc w:val="left"/>
      <w:pPr>
        <w:tabs>
          <w:tab w:val="num" w:pos="1209"/>
        </w:tabs>
        <w:ind w:left="1209" w:hanging="360"/>
      </w:pPr>
    </w:lvl>
  </w:abstractNum>
  <w:abstractNum w:abstractNumId="2">
    <w:nsid w:val="FFFFFF7E"/>
    <w:multiLevelType w:val="singleLevel"/>
    <w:tmpl w:val="F0D6E17A"/>
    <w:lvl w:ilvl="0">
      <w:start w:val="1"/>
      <w:numFmt w:val="decimal"/>
      <w:lvlText w:val="%1."/>
      <w:lvlJc w:val="left"/>
      <w:pPr>
        <w:tabs>
          <w:tab w:val="num" w:pos="926"/>
        </w:tabs>
        <w:ind w:left="926" w:hanging="360"/>
      </w:pPr>
    </w:lvl>
  </w:abstractNum>
  <w:abstractNum w:abstractNumId="3">
    <w:nsid w:val="FFFFFF7F"/>
    <w:multiLevelType w:val="singleLevel"/>
    <w:tmpl w:val="C934554E"/>
    <w:lvl w:ilvl="0">
      <w:start w:val="1"/>
      <w:numFmt w:val="decimal"/>
      <w:lvlText w:val="%1."/>
      <w:lvlJc w:val="left"/>
      <w:pPr>
        <w:tabs>
          <w:tab w:val="num" w:pos="643"/>
        </w:tabs>
        <w:ind w:left="643" w:hanging="360"/>
      </w:pPr>
    </w:lvl>
  </w:abstractNum>
  <w:abstractNum w:abstractNumId="4">
    <w:nsid w:val="FFFFFF80"/>
    <w:multiLevelType w:val="singleLevel"/>
    <w:tmpl w:val="DE4C884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490164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2D81EB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32CF90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3B8D1B0"/>
    <w:lvl w:ilvl="0">
      <w:start w:val="1"/>
      <w:numFmt w:val="decimal"/>
      <w:lvlText w:val="%1."/>
      <w:lvlJc w:val="left"/>
      <w:pPr>
        <w:tabs>
          <w:tab w:val="num" w:pos="360"/>
        </w:tabs>
        <w:ind w:left="360" w:hanging="360"/>
      </w:pPr>
    </w:lvl>
  </w:abstractNum>
  <w:abstractNum w:abstractNumId="9">
    <w:nsid w:val="FFFFFF89"/>
    <w:multiLevelType w:val="singleLevel"/>
    <w:tmpl w:val="951CCE1A"/>
    <w:lvl w:ilvl="0">
      <w:start w:val="1"/>
      <w:numFmt w:val="bullet"/>
      <w:lvlText w:val=""/>
      <w:lvlJc w:val="left"/>
      <w:pPr>
        <w:tabs>
          <w:tab w:val="num" w:pos="360"/>
        </w:tabs>
        <w:ind w:left="360" w:hanging="360"/>
      </w:pPr>
      <w:rPr>
        <w:rFonts w:ascii="Symbol" w:hAnsi="Symbol" w:hint="default"/>
      </w:rPr>
    </w:lvl>
  </w:abstractNum>
  <w:abstractNum w:abstractNumId="10">
    <w:nsid w:val="01C05691"/>
    <w:multiLevelType w:val="singleLevel"/>
    <w:tmpl w:val="36084DBE"/>
    <w:lvl w:ilvl="0">
      <w:start w:val="1"/>
      <w:numFmt w:val="decimal"/>
      <w:lvlText w:val="%1."/>
      <w:lvlJc w:val="left"/>
      <w:pPr>
        <w:tabs>
          <w:tab w:val="num" w:pos="1440"/>
        </w:tabs>
        <w:ind w:left="1440" w:hanging="720"/>
      </w:pPr>
    </w:lvl>
  </w:abstractNum>
  <w:abstractNum w:abstractNumId="11">
    <w:nsid w:val="08CE72D2"/>
    <w:multiLevelType w:val="singleLevel"/>
    <w:tmpl w:val="0409000F"/>
    <w:lvl w:ilvl="0">
      <w:start w:val="1"/>
      <w:numFmt w:val="decimal"/>
      <w:lvlText w:val="%1."/>
      <w:lvlJc w:val="left"/>
      <w:pPr>
        <w:tabs>
          <w:tab w:val="num" w:pos="360"/>
        </w:tabs>
        <w:ind w:left="360" w:hanging="360"/>
      </w:pPr>
    </w:lvl>
  </w:abstractNum>
  <w:abstractNum w:abstractNumId="12">
    <w:nsid w:val="0AC26C62"/>
    <w:multiLevelType w:val="singleLevel"/>
    <w:tmpl w:val="561E0F3E"/>
    <w:lvl w:ilvl="0">
      <w:start w:val="1"/>
      <w:numFmt w:val="decimal"/>
      <w:lvlText w:val="%1."/>
      <w:lvlJc w:val="left"/>
      <w:pPr>
        <w:tabs>
          <w:tab w:val="num" w:pos="720"/>
        </w:tabs>
        <w:ind w:left="720" w:hanging="720"/>
      </w:pPr>
    </w:lvl>
  </w:abstractNum>
  <w:abstractNum w:abstractNumId="13">
    <w:nsid w:val="0C2069F6"/>
    <w:multiLevelType w:val="hybridMultilevel"/>
    <w:tmpl w:val="AD0A083E"/>
    <w:lvl w:ilvl="0" w:tplc="50A07FE0">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5">
    <w:nsid w:val="170C549E"/>
    <w:multiLevelType w:val="singleLevel"/>
    <w:tmpl w:val="01325DD6"/>
    <w:lvl w:ilvl="0">
      <w:start w:val="1"/>
      <w:numFmt w:val="lowerLetter"/>
      <w:lvlText w:val="(%1)"/>
      <w:lvlJc w:val="left"/>
      <w:pPr>
        <w:tabs>
          <w:tab w:val="num" w:pos="720"/>
        </w:tabs>
        <w:ind w:left="720" w:hanging="720"/>
      </w:pPr>
    </w:lvl>
  </w:abstractNum>
  <w:abstractNum w:abstractNumId="16">
    <w:nsid w:val="1E4D378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A123C58"/>
    <w:multiLevelType w:val="multilevel"/>
    <w:tmpl w:val="040C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3F49C6"/>
    <w:multiLevelType w:val="singleLevel"/>
    <w:tmpl w:val="720CB540"/>
    <w:lvl w:ilvl="0">
      <w:start w:val="1"/>
      <w:numFmt w:val="lowerRoman"/>
      <w:lvlText w:val="(%1)"/>
      <w:lvlJc w:val="right"/>
      <w:pPr>
        <w:tabs>
          <w:tab w:val="num" w:pos="2160"/>
        </w:tabs>
        <w:ind w:left="2160" w:hanging="516"/>
      </w:pPr>
    </w:lvl>
  </w:abstractNum>
  <w:abstractNum w:abstractNumId="19">
    <w:nsid w:val="302A75A7"/>
    <w:multiLevelType w:val="singleLevel"/>
    <w:tmpl w:val="3496DD40"/>
    <w:lvl w:ilvl="0">
      <w:start w:val="1"/>
      <w:numFmt w:val="decimal"/>
      <w:lvlText w:val="(%1)"/>
      <w:lvlJc w:val="left"/>
      <w:pPr>
        <w:tabs>
          <w:tab w:val="num" w:pos="1440"/>
        </w:tabs>
        <w:ind w:left="1440" w:hanging="720"/>
      </w:pPr>
    </w:lvl>
  </w:abstractNum>
  <w:abstractNum w:abstractNumId="20">
    <w:nsid w:val="36255761"/>
    <w:multiLevelType w:val="singleLevel"/>
    <w:tmpl w:val="0409000F"/>
    <w:lvl w:ilvl="0">
      <w:start w:val="1"/>
      <w:numFmt w:val="decimal"/>
      <w:lvlText w:val="%1."/>
      <w:lvlJc w:val="left"/>
      <w:pPr>
        <w:tabs>
          <w:tab w:val="num" w:pos="360"/>
        </w:tabs>
        <w:ind w:left="360" w:hanging="360"/>
      </w:pPr>
    </w:lvl>
  </w:abstractNum>
  <w:abstractNum w:abstractNumId="21">
    <w:nsid w:val="3A3B2524"/>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2">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3">
    <w:nsid w:val="3CB061AB"/>
    <w:multiLevelType w:val="singleLevel"/>
    <w:tmpl w:val="11B83F58"/>
    <w:lvl w:ilvl="0">
      <w:start w:val="1"/>
      <w:numFmt w:val="decimal"/>
      <w:lvlText w:val="%1."/>
      <w:lvlJc w:val="left"/>
      <w:pPr>
        <w:tabs>
          <w:tab w:val="num" w:pos="1494"/>
        </w:tabs>
        <w:ind w:left="1133" w:firstLine="1"/>
      </w:pPr>
      <w:rPr>
        <w:rFonts w:hint="default"/>
      </w:rPr>
    </w:lvl>
  </w:abstractNum>
  <w:abstractNum w:abstractNumId="24">
    <w:nsid w:val="3EF500B2"/>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5">
    <w:nsid w:val="40221049"/>
    <w:multiLevelType w:val="singleLevel"/>
    <w:tmpl w:val="04D4B0C4"/>
    <w:lvl w:ilvl="0">
      <w:start w:val="1"/>
      <w:numFmt w:val="decimal"/>
      <w:lvlText w:val="%1."/>
      <w:lvlJc w:val="left"/>
      <w:pPr>
        <w:tabs>
          <w:tab w:val="num" w:pos="360"/>
        </w:tabs>
        <w:ind w:left="360" w:hanging="360"/>
      </w:pPr>
    </w:lvl>
  </w:abstractNum>
  <w:abstractNum w:abstractNumId="26">
    <w:nsid w:val="452D144C"/>
    <w:multiLevelType w:val="singleLevel"/>
    <w:tmpl w:val="7C4C0A7C"/>
    <w:lvl w:ilvl="0">
      <w:start w:val="1"/>
      <w:numFmt w:val="decimal"/>
      <w:lvlText w:val="(%1)"/>
      <w:lvlJc w:val="left"/>
      <w:pPr>
        <w:tabs>
          <w:tab w:val="num" w:pos="720"/>
        </w:tabs>
        <w:ind w:left="720" w:hanging="720"/>
      </w:pPr>
    </w:lvl>
  </w:abstractNum>
  <w:abstractNum w:abstractNumId="27">
    <w:nsid w:val="45AC29BB"/>
    <w:multiLevelType w:val="multilevel"/>
    <w:tmpl w:val="040C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475545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30">
    <w:nsid w:val="4DF455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nsid w:val="4EFA2598"/>
    <w:multiLevelType w:val="singleLevel"/>
    <w:tmpl w:val="0409000F"/>
    <w:lvl w:ilvl="0">
      <w:start w:val="1"/>
      <w:numFmt w:val="decimal"/>
      <w:lvlText w:val="%1."/>
      <w:lvlJc w:val="left"/>
      <w:pPr>
        <w:tabs>
          <w:tab w:val="num" w:pos="360"/>
        </w:tabs>
        <w:ind w:left="360" w:hanging="360"/>
      </w:pPr>
    </w:lvl>
  </w:abstractNum>
  <w:abstractNum w:abstractNumId="32">
    <w:nsid w:val="53791BC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5B15788D"/>
    <w:multiLevelType w:val="singleLevel"/>
    <w:tmpl w:val="9ECEEF0E"/>
    <w:lvl w:ilvl="0">
      <w:start w:val="1"/>
      <w:numFmt w:val="bullet"/>
      <w:lvlText w:val="-"/>
      <w:lvlJc w:val="left"/>
      <w:pPr>
        <w:tabs>
          <w:tab w:val="num" w:pos="360"/>
        </w:tabs>
        <w:ind w:left="360" w:hanging="360"/>
      </w:pPr>
      <w:rPr>
        <w:rFonts w:ascii="Times New Roman" w:hAnsi="Times New Roman" w:hint="default"/>
        <w:sz w:val="24"/>
      </w:rPr>
    </w:lvl>
  </w:abstractNum>
  <w:abstractNum w:abstractNumId="34">
    <w:nsid w:val="6260382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nsid w:val="65D15DFE"/>
    <w:multiLevelType w:val="singleLevel"/>
    <w:tmpl w:val="475E6D3C"/>
    <w:lvl w:ilvl="0">
      <w:start w:val="1"/>
      <w:numFmt w:val="decimal"/>
      <w:lvlText w:val="%1."/>
      <w:lvlJc w:val="left"/>
      <w:pPr>
        <w:tabs>
          <w:tab w:val="num" w:pos="360"/>
        </w:tabs>
        <w:ind w:left="360" w:hanging="360"/>
      </w:pPr>
    </w:lvl>
  </w:abstractNum>
  <w:abstractNum w:abstractNumId="36">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37">
    <w:nsid w:val="779C6EB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nsid w:val="7ACA643D"/>
    <w:multiLevelType w:val="singleLevel"/>
    <w:tmpl w:val="0409000F"/>
    <w:lvl w:ilvl="0">
      <w:start w:val="1"/>
      <w:numFmt w:val="decimal"/>
      <w:lvlText w:val="%1."/>
      <w:lvlJc w:val="left"/>
      <w:pPr>
        <w:tabs>
          <w:tab w:val="num" w:pos="360"/>
        </w:tabs>
        <w:ind w:left="360" w:hanging="360"/>
      </w:pPr>
    </w:lvl>
  </w:abstractNum>
  <w:abstractNum w:abstractNumId="39">
    <w:nsid w:val="7C9538FD"/>
    <w:multiLevelType w:val="hybridMultilevel"/>
    <w:tmpl w:val="038A2DC0"/>
    <w:lvl w:ilvl="0" w:tplc="A5265396">
      <w:start w:val="1"/>
      <w:numFmt w:val="none"/>
      <w:lvlText w:val="%1"/>
      <w:lvlJc w:val="left"/>
      <w:pPr>
        <w:tabs>
          <w:tab w:val="num" w:pos="1134"/>
        </w:tabs>
        <w:ind w:left="1134" w:hanging="397"/>
      </w:pPr>
      <w:rPr>
        <w:rFonts w:hint="default"/>
        <w:b/>
        <w:i w:val="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7CF349BD"/>
    <w:multiLevelType w:val="singleLevel"/>
    <w:tmpl w:val="51D4BF5A"/>
    <w:lvl w:ilvl="0">
      <w:start w:val="1"/>
      <w:numFmt w:val="lowerRoman"/>
      <w:lvlText w:val="(%1)"/>
      <w:lvlJc w:val="right"/>
      <w:pPr>
        <w:tabs>
          <w:tab w:val="num" w:pos="1440"/>
        </w:tabs>
        <w:ind w:left="1440" w:hanging="589"/>
      </w:pPr>
      <w:rPr>
        <w:rFonts w:hint="default"/>
      </w:rPr>
    </w:lvl>
  </w:abstractNum>
  <w:abstractNum w:abstractNumId="41">
    <w:nsid w:val="7DBF6B58"/>
    <w:multiLevelType w:val="singleLevel"/>
    <w:tmpl w:val="0409000F"/>
    <w:lvl w:ilvl="0">
      <w:start w:val="1"/>
      <w:numFmt w:val="decimal"/>
      <w:lvlText w:val="%1."/>
      <w:lvlJc w:val="left"/>
      <w:pPr>
        <w:tabs>
          <w:tab w:val="num" w:pos="360"/>
        </w:tabs>
        <w:ind w:left="360" w:hanging="360"/>
      </w:pPr>
    </w:lvl>
  </w:abstractNum>
  <w:num w:numId="1">
    <w:abstractNumId w:val="40"/>
  </w:num>
  <w:num w:numId="2">
    <w:abstractNumId w:val="18"/>
  </w:num>
  <w:num w:numId="3">
    <w:abstractNumId w:val="40"/>
  </w:num>
  <w:num w:numId="4">
    <w:abstractNumId w:val="18"/>
  </w:num>
  <w:num w:numId="5">
    <w:abstractNumId w:val="11"/>
  </w:num>
  <w:num w:numId="6">
    <w:abstractNumId w:val="20"/>
  </w:num>
  <w:num w:numId="7">
    <w:abstractNumId w:val="25"/>
  </w:num>
  <w:num w:numId="8">
    <w:abstractNumId w:val="38"/>
  </w:num>
  <w:num w:numId="9">
    <w:abstractNumId w:val="31"/>
  </w:num>
  <w:num w:numId="10">
    <w:abstractNumId w:val="41"/>
  </w:num>
  <w:num w:numId="11">
    <w:abstractNumId w:val="25"/>
  </w:num>
  <w:num w:numId="12">
    <w:abstractNumId w:val="29"/>
  </w:num>
  <w:num w:numId="13">
    <w:abstractNumId w:val="29"/>
  </w:num>
  <w:num w:numId="14">
    <w:abstractNumId w:val="35"/>
  </w:num>
  <w:num w:numId="15">
    <w:abstractNumId w:val="23"/>
  </w:num>
  <w:num w:numId="16">
    <w:abstractNumId w:val="23"/>
  </w:num>
  <w:num w:numId="17">
    <w:abstractNumId w:val="40"/>
  </w:num>
  <w:num w:numId="18">
    <w:abstractNumId w:val="18"/>
  </w:num>
  <w:num w:numId="19">
    <w:abstractNumId w:val="1"/>
  </w:num>
  <w:num w:numId="20">
    <w:abstractNumId w:val="0"/>
  </w:num>
  <w:num w:numId="21">
    <w:abstractNumId w:val="19"/>
  </w:num>
  <w:num w:numId="22">
    <w:abstractNumId w:val="10"/>
  </w:num>
  <w:num w:numId="23">
    <w:abstractNumId w:val="15"/>
  </w:num>
  <w:num w:numId="24">
    <w:abstractNumId w:val="12"/>
  </w:num>
  <w:num w:numId="25">
    <w:abstractNumId w:val="26"/>
  </w:num>
  <w:num w:numId="26">
    <w:abstractNumId w:val="33"/>
  </w:num>
  <w:num w:numId="27">
    <w:abstractNumId w:val="2"/>
  </w:num>
  <w:num w:numId="28">
    <w:abstractNumId w:val="3"/>
  </w:num>
  <w:num w:numId="29">
    <w:abstractNumId w:val="8"/>
  </w:num>
  <w:num w:numId="30">
    <w:abstractNumId w:val="9"/>
  </w:num>
  <w:num w:numId="31">
    <w:abstractNumId w:val="7"/>
  </w:num>
  <w:num w:numId="32">
    <w:abstractNumId w:val="6"/>
  </w:num>
  <w:num w:numId="33">
    <w:abstractNumId w:val="5"/>
  </w:num>
  <w:num w:numId="34">
    <w:abstractNumId w:val="4"/>
  </w:num>
  <w:num w:numId="35">
    <w:abstractNumId w:val="13"/>
  </w:num>
  <w:num w:numId="36">
    <w:abstractNumId w:val="39"/>
  </w:num>
  <w:num w:numId="37">
    <w:abstractNumId w:val="36"/>
  </w:num>
  <w:num w:numId="38">
    <w:abstractNumId w:val="22"/>
  </w:num>
  <w:num w:numId="39">
    <w:abstractNumId w:val="28"/>
  </w:num>
  <w:num w:numId="40">
    <w:abstractNumId w:val="37"/>
  </w:num>
  <w:num w:numId="41">
    <w:abstractNumId w:val="16"/>
  </w:num>
  <w:num w:numId="42">
    <w:abstractNumId w:val="24"/>
  </w:num>
  <w:num w:numId="43">
    <w:abstractNumId w:val="32"/>
  </w:num>
  <w:num w:numId="44">
    <w:abstractNumId w:val="21"/>
  </w:num>
  <w:num w:numId="45">
    <w:abstractNumId w:val="34"/>
  </w:num>
  <w:num w:numId="46">
    <w:abstractNumId w:val="30"/>
  </w:num>
  <w:num w:numId="47">
    <w:abstractNumId w:val="27"/>
  </w:num>
  <w:num w:numId="48">
    <w:abstractNumId w:val="17"/>
  </w:num>
  <w:num w:numId="4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activeWritingStyle w:appName="MSWord" w:lang="en-GB" w:vendorID="64" w:dllVersion="131077" w:nlCheck="1" w:checkStyle="1"/>
  <w:activeWritingStyle w:appName="MSWord" w:lang="fr-CH" w:vendorID="64" w:dllVersion="131078" w:nlCheck="1" w:checkStyle="1"/>
  <w:activeWritingStyle w:appName="MSWord" w:lang="en-GB" w:vendorID="64" w:dllVersion="131078" w:nlCheck="1" w:checkStyle="1"/>
  <w:activeWritingStyle w:appName="MSWord" w:lang="fr-FR"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53"/>
    <o:shapelayout v:ext="edit">
      <o:idmap v:ext="edit" data="2"/>
    </o:shapelayout>
  </w:hdrShapeDefaults>
  <w:footnotePr>
    <w:footnote w:id="-1"/>
    <w:footnote w:id="0"/>
    <w:footnote w:id="1"/>
  </w:footnotePr>
  <w:endnotePr>
    <w:numFmt w:val="decimal"/>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C58CD"/>
    <w:rsid w:val="0001470D"/>
    <w:rsid w:val="00015650"/>
    <w:rsid w:val="00016165"/>
    <w:rsid w:val="00016AC5"/>
    <w:rsid w:val="00021126"/>
    <w:rsid w:val="00021907"/>
    <w:rsid w:val="000233A5"/>
    <w:rsid w:val="0002445D"/>
    <w:rsid w:val="00024C50"/>
    <w:rsid w:val="00025E92"/>
    <w:rsid w:val="000276A3"/>
    <w:rsid w:val="000314C7"/>
    <w:rsid w:val="00032060"/>
    <w:rsid w:val="00037B3F"/>
    <w:rsid w:val="00040539"/>
    <w:rsid w:val="00040598"/>
    <w:rsid w:val="00047F10"/>
    <w:rsid w:val="00052157"/>
    <w:rsid w:val="0005346D"/>
    <w:rsid w:val="0005513C"/>
    <w:rsid w:val="00055FE4"/>
    <w:rsid w:val="000641CE"/>
    <w:rsid w:val="00067310"/>
    <w:rsid w:val="00077E35"/>
    <w:rsid w:val="0008669E"/>
    <w:rsid w:val="00090599"/>
    <w:rsid w:val="00090B60"/>
    <w:rsid w:val="000979ED"/>
    <w:rsid w:val="000A1501"/>
    <w:rsid w:val="000A2494"/>
    <w:rsid w:val="000A6B7E"/>
    <w:rsid w:val="000C06EF"/>
    <w:rsid w:val="000C6CDB"/>
    <w:rsid w:val="000D5C25"/>
    <w:rsid w:val="000E4F06"/>
    <w:rsid w:val="000E5601"/>
    <w:rsid w:val="000F1D63"/>
    <w:rsid w:val="000F41F2"/>
    <w:rsid w:val="0010373B"/>
    <w:rsid w:val="0011415F"/>
    <w:rsid w:val="00125446"/>
    <w:rsid w:val="001358D9"/>
    <w:rsid w:val="00141E26"/>
    <w:rsid w:val="00143EB9"/>
    <w:rsid w:val="00152C5A"/>
    <w:rsid w:val="0015389C"/>
    <w:rsid w:val="00160540"/>
    <w:rsid w:val="00166C68"/>
    <w:rsid w:val="00174814"/>
    <w:rsid w:val="00181A90"/>
    <w:rsid w:val="00190D5D"/>
    <w:rsid w:val="00192EEB"/>
    <w:rsid w:val="00194484"/>
    <w:rsid w:val="001A2040"/>
    <w:rsid w:val="001A20FB"/>
    <w:rsid w:val="001A376F"/>
    <w:rsid w:val="001B09BB"/>
    <w:rsid w:val="001C08ED"/>
    <w:rsid w:val="001C3D8D"/>
    <w:rsid w:val="001C6497"/>
    <w:rsid w:val="001D3393"/>
    <w:rsid w:val="001D7F8A"/>
    <w:rsid w:val="001E0447"/>
    <w:rsid w:val="001E1495"/>
    <w:rsid w:val="001E34CB"/>
    <w:rsid w:val="001E3FEB"/>
    <w:rsid w:val="001E4541"/>
    <w:rsid w:val="001E4A02"/>
    <w:rsid w:val="001E4E3F"/>
    <w:rsid w:val="001E653B"/>
    <w:rsid w:val="001E6DF0"/>
    <w:rsid w:val="001F3E68"/>
    <w:rsid w:val="001F4931"/>
    <w:rsid w:val="002000CD"/>
    <w:rsid w:val="00200CBA"/>
    <w:rsid w:val="00204B66"/>
    <w:rsid w:val="002051B3"/>
    <w:rsid w:val="002059CE"/>
    <w:rsid w:val="00206AD4"/>
    <w:rsid w:val="00224B8B"/>
    <w:rsid w:val="00225A8C"/>
    <w:rsid w:val="00230ED3"/>
    <w:rsid w:val="00231A7F"/>
    <w:rsid w:val="00242268"/>
    <w:rsid w:val="00242BBD"/>
    <w:rsid w:val="00244817"/>
    <w:rsid w:val="0024586F"/>
    <w:rsid w:val="00246BC8"/>
    <w:rsid w:val="00251F95"/>
    <w:rsid w:val="00252317"/>
    <w:rsid w:val="002659F1"/>
    <w:rsid w:val="00266CD2"/>
    <w:rsid w:val="00271E41"/>
    <w:rsid w:val="00284C19"/>
    <w:rsid w:val="00286E23"/>
    <w:rsid w:val="002876A1"/>
    <w:rsid w:val="00287CA6"/>
    <w:rsid w:val="00287E79"/>
    <w:rsid w:val="002928F9"/>
    <w:rsid w:val="00294D5B"/>
    <w:rsid w:val="0029791D"/>
    <w:rsid w:val="002A2A2C"/>
    <w:rsid w:val="002A5D07"/>
    <w:rsid w:val="002D25CA"/>
    <w:rsid w:val="002D3DA4"/>
    <w:rsid w:val="002E2F5C"/>
    <w:rsid w:val="002F0C48"/>
    <w:rsid w:val="003016B7"/>
    <w:rsid w:val="0030754C"/>
    <w:rsid w:val="00317E54"/>
    <w:rsid w:val="00322DF1"/>
    <w:rsid w:val="00324EBF"/>
    <w:rsid w:val="0032556C"/>
    <w:rsid w:val="00330508"/>
    <w:rsid w:val="0033286A"/>
    <w:rsid w:val="00333130"/>
    <w:rsid w:val="0034178D"/>
    <w:rsid w:val="00346E32"/>
    <w:rsid w:val="003515AA"/>
    <w:rsid w:val="00364F13"/>
    <w:rsid w:val="0036776C"/>
    <w:rsid w:val="00372A7A"/>
    <w:rsid w:val="00372D1D"/>
    <w:rsid w:val="00374106"/>
    <w:rsid w:val="0037679A"/>
    <w:rsid w:val="0038047C"/>
    <w:rsid w:val="00390EEF"/>
    <w:rsid w:val="00394410"/>
    <w:rsid w:val="003976D5"/>
    <w:rsid w:val="003A58D8"/>
    <w:rsid w:val="003B53B6"/>
    <w:rsid w:val="003D6C68"/>
    <w:rsid w:val="003E01D0"/>
    <w:rsid w:val="003E49B9"/>
    <w:rsid w:val="003E5E5B"/>
    <w:rsid w:val="003E5F12"/>
    <w:rsid w:val="003E786C"/>
    <w:rsid w:val="003F2A89"/>
    <w:rsid w:val="003F4A54"/>
    <w:rsid w:val="0040144C"/>
    <w:rsid w:val="004067AE"/>
    <w:rsid w:val="00410521"/>
    <w:rsid w:val="00413BB0"/>
    <w:rsid w:val="004159D0"/>
    <w:rsid w:val="00417326"/>
    <w:rsid w:val="00421A10"/>
    <w:rsid w:val="00422499"/>
    <w:rsid w:val="00430EFC"/>
    <w:rsid w:val="00433FA6"/>
    <w:rsid w:val="004342E2"/>
    <w:rsid w:val="00434354"/>
    <w:rsid w:val="00440BC8"/>
    <w:rsid w:val="00454F8D"/>
    <w:rsid w:val="004567EB"/>
    <w:rsid w:val="00460E72"/>
    <w:rsid w:val="00464191"/>
    <w:rsid w:val="00467412"/>
    <w:rsid w:val="004726BE"/>
    <w:rsid w:val="004750C7"/>
    <w:rsid w:val="00476265"/>
    <w:rsid w:val="00485675"/>
    <w:rsid w:val="00490F56"/>
    <w:rsid w:val="00491F39"/>
    <w:rsid w:val="00495A7B"/>
    <w:rsid w:val="004A49A5"/>
    <w:rsid w:val="004A66A2"/>
    <w:rsid w:val="004B261D"/>
    <w:rsid w:val="004B51CD"/>
    <w:rsid w:val="004B576C"/>
    <w:rsid w:val="004C54C0"/>
    <w:rsid w:val="004C56B2"/>
    <w:rsid w:val="004D00B2"/>
    <w:rsid w:val="004E4963"/>
    <w:rsid w:val="004E6809"/>
    <w:rsid w:val="004E7F24"/>
    <w:rsid w:val="005111B1"/>
    <w:rsid w:val="0051457E"/>
    <w:rsid w:val="0051714B"/>
    <w:rsid w:val="00520F80"/>
    <w:rsid w:val="005239FF"/>
    <w:rsid w:val="00523DB8"/>
    <w:rsid w:val="00533150"/>
    <w:rsid w:val="00543B57"/>
    <w:rsid w:val="00543C47"/>
    <w:rsid w:val="00543D5E"/>
    <w:rsid w:val="00552260"/>
    <w:rsid w:val="00552777"/>
    <w:rsid w:val="00555494"/>
    <w:rsid w:val="00555CBA"/>
    <w:rsid w:val="00556C1A"/>
    <w:rsid w:val="00563071"/>
    <w:rsid w:val="00565B29"/>
    <w:rsid w:val="00571BC1"/>
    <w:rsid w:val="00571F41"/>
    <w:rsid w:val="00575476"/>
    <w:rsid w:val="005757A7"/>
    <w:rsid w:val="00583A20"/>
    <w:rsid w:val="00584373"/>
    <w:rsid w:val="0059061F"/>
    <w:rsid w:val="00591DB3"/>
    <w:rsid w:val="005939ED"/>
    <w:rsid w:val="005947BC"/>
    <w:rsid w:val="00595E8A"/>
    <w:rsid w:val="005A0268"/>
    <w:rsid w:val="005A6014"/>
    <w:rsid w:val="005B473C"/>
    <w:rsid w:val="005C549A"/>
    <w:rsid w:val="005D7719"/>
    <w:rsid w:val="005E1B9B"/>
    <w:rsid w:val="005E32D1"/>
    <w:rsid w:val="005E5D1F"/>
    <w:rsid w:val="005F0207"/>
    <w:rsid w:val="0061113B"/>
    <w:rsid w:val="00611D43"/>
    <w:rsid w:val="00612D48"/>
    <w:rsid w:val="00613A5E"/>
    <w:rsid w:val="00616B45"/>
    <w:rsid w:val="006241C6"/>
    <w:rsid w:val="00630D9B"/>
    <w:rsid w:val="00631953"/>
    <w:rsid w:val="0063208D"/>
    <w:rsid w:val="00643814"/>
    <w:rsid w:val="006439EC"/>
    <w:rsid w:val="00645090"/>
    <w:rsid w:val="00646671"/>
    <w:rsid w:val="00647059"/>
    <w:rsid w:val="00647162"/>
    <w:rsid w:val="0065029A"/>
    <w:rsid w:val="006553F9"/>
    <w:rsid w:val="00661E96"/>
    <w:rsid w:val="00665786"/>
    <w:rsid w:val="00671C93"/>
    <w:rsid w:val="00671F00"/>
    <w:rsid w:val="006729C8"/>
    <w:rsid w:val="00675501"/>
    <w:rsid w:val="0068055F"/>
    <w:rsid w:val="0068382E"/>
    <w:rsid w:val="0068562A"/>
    <w:rsid w:val="006A62F8"/>
    <w:rsid w:val="006A6B31"/>
    <w:rsid w:val="006A6C95"/>
    <w:rsid w:val="006A7B29"/>
    <w:rsid w:val="006B0EB2"/>
    <w:rsid w:val="006B0FF8"/>
    <w:rsid w:val="006B4590"/>
    <w:rsid w:val="006C27D3"/>
    <w:rsid w:val="006C340C"/>
    <w:rsid w:val="006F1D0B"/>
    <w:rsid w:val="006F27A8"/>
    <w:rsid w:val="006F3493"/>
    <w:rsid w:val="006F3544"/>
    <w:rsid w:val="0070347C"/>
    <w:rsid w:val="00707FE6"/>
    <w:rsid w:val="007102D2"/>
    <w:rsid w:val="00710974"/>
    <w:rsid w:val="00714A66"/>
    <w:rsid w:val="007176C1"/>
    <w:rsid w:val="00720BC0"/>
    <w:rsid w:val="0072116B"/>
    <w:rsid w:val="00725063"/>
    <w:rsid w:val="00732E72"/>
    <w:rsid w:val="00741D90"/>
    <w:rsid w:val="007607B1"/>
    <w:rsid w:val="00765296"/>
    <w:rsid w:val="00765DCF"/>
    <w:rsid w:val="00766D28"/>
    <w:rsid w:val="007723C2"/>
    <w:rsid w:val="007815B9"/>
    <w:rsid w:val="00785F1F"/>
    <w:rsid w:val="007869B6"/>
    <w:rsid w:val="00790B9D"/>
    <w:rsid w:val="00796316"/>
    <w:rsid w:val="007A1C58"/>
    <w:rsid w:val="007A20D2"/>
    <w:rsid w:val="007A79CD"/>
    <w:rsid w:val="007D2668"/>
    <w:rsid w:val="007D3119"/>
    <w:rsid w:val="007E3CBD"/>
    <w:rsid w:val="007F1867"/>
    <w:rsid w:val="007F1EC4"/>
    <w:rsid w:val="007F55CB"/>
    <w:rsid w:val="007F768E"/>
    <w:rsid w:val="008021D4"/>
    <w:rsid w:val="008149F9"/>
    <w:rsid w:val="008245B7"/>
    <w:rsid w:val="0082755E"/>
    <w:rsid w:val="00831A18"/>
    <w:rsid w:val="008345F4"/>
    <w:rsid w:val="00837345"/>
    <w:rsid w:val="00844750"/>
    <w:rsid w:val="00851A74"/>
    <w:rsid w:val="00853AB8"/>
    <w:rsid w:val="00854C34"/>
    <w:rsid w:val="0085586A"/>
    <w:rsid w:val="00856DB2"/>
    <w:rsid w:val="008772D1"/>
    <w:rsid w:val="00895DE5"/>
    <w:rsid w:val="008A00CA"/>
    <w:rsid w:val="008A0FA8"/>
    <w:rsid w:val="008A1EC0"/>
    <w:rsid w:val="008B44C4"/>
    <w:rsid w:val="008C322B"/>
    <w:rsid w:val="008C4B74"/>
    <w:rsid w:val="008D1156"/>
    <w:rsid w:val="008D59DB"/>
    <w:rsid w:val="008E0319"/>
    <w:rsid w:val="008E1A59"/>
    <w:rsid w:val="008E4DE2"/>
    <w:rsid w:val="008E7CE2"/>
    <w:rsid w:val="008E7FAE"/>
    <w:rsid w:val="00911BF7"/>
    <w:rsid w:val="0091594A"/>
    <w:rsid w:val="009230F1"/>
    <w:rsid w:val="00926925"/>
    <w:rsid w:val="00935490"/>
    <w:rsid w:val="009418DE"/>
    <w:rsid w:val="009516B7"/>
    <w:rsid w:val="009545F1"/>
    <w:rsid w:val="0095705B"/>
    <w:rsid w:val="00957CE5"/>
    <w:rsid w:val="009624E2"/>
    <w:rsid w:val="00974DD2"/>
    <w:rsid w:val="00977EC8"/>
    <w:rsid w:val="00996562"/>
    <w:rsid w:val="009A3048"/>
    <w:rsid w:val="009A6C26"/>
    <w:rsid w:val="009B17AD"/>
    <w:rsid w:val="009B3F8C"/>
    <w:rsid w:val="009B45E0"/>
    <w:rsid w:val="009B540F"/>
    <w:rsid w:val="009D3A8C"/>
    <w:rsid w:val="009E1BA9"/>
    <w:rsid w:val="009E2876"/>
    <w:rsid w:val="009E2F0B"/>
    <w:rsid w:val="009E7956"/>
    <w:rsid w:val="009F072F"/>
    <w:rsid w:val="009F26C1"/>
    <w:rsid w:val="009F3F95"/>
    <w:rsid w:val="00A023FC"/>
    <w:rsid w:val="00A0338D"/>
    <w:rsid w:val="00A05DD1"/>
    <w:rsid w:val="00A077E9"/>
    <w:rsid w:val="00A2492E"/>
    <w:rsid w:val="00A31163"/>
    <w:rsid w:val="00A34593"/>
    <w:rsid w:val="00A364DB"/>
    <w:rsid w:val="00A45E90"/>
    <w:rsid w:val="00A4770F"/>
    <w:rsid w:val="00A50D6B"/>
    <w:rsid w:val="00A51050"/>
    <w:rsid w:val="00A56945"/>
    <w:rsid w:val="00A57027"/>
    <w:rsid w:val="00A5750C"/>
    <w:rsid w:val="00A72C35"/>
    <w:rsid w:val="00A752BB"/>
    <w:rsid w:val="00A76263"/>
    <w:rsid w:val="00A81F93"/>
    <w:rsid w:val="00A92017"/>
    <w:rsid w:val="00A9247E"/>
    <w:rsid w:val="00AA0DCA"/>
    <w:rsid w:val="00AA7796"/>
    <w:rsid w:val="00AC67A1"/>
    <w:rsid w:val="00AC7977"/>
    <w:rsid w:val="00AC7E56"/>
    <w:rsid w:val="00AE2617"/>
    <w:rsid w:val="00AE352C"/>
    <w:rsid w:val="00AE79AC"/>
    <w:rsid w:val="00AF3454"/>
    <w:rsid w:val="00B01AAD"/>
    <w:rsid w:val="00B101DB"/>
    <w:rsid w:val="00B21751"/>
    <w:rsid w:val="00B256F0"/>
    <w:rsid w:val="00B31D7D"/>
    <w:rsid w:val="00B32E2D"/>
    <w:rsid w:val="00B416B8"/>
    <w:rsid w:val="00B43741"/>
    <w:rsid w:val="00B45642"/>
    <w:rsid w:val="00B52F29"/>
    <w:rsid w:val="00B5388D"/>
    <w:rsid w:val="00B5514D"/>
    <w:rsid w:val="00B61990"/>
    <w:rsid w:val="00B6249B"/>
    <w:rsid w:val="00B70CCD"/>
    <w:rsid w:val="00B75E66"/>
    <w:rsid w:val="00B773BF"/>
    <w:rsid w:val="00B804B7"/>
    <w:rsid w:val="00BC3F20"/>
    <w:rsid w:val="00BD13E6"/>
    <w:rsid w:val="00BD28B2"/>
    <w:rsid w:val="00BD5A8D"/>
    <w:rsid w:val="00BD7343"/>
    <w:rsid w:val="00BF0556"/>
    <w:rsid w:val="00BF37EE"/>
    <w:rsid w:val="00BF41E8"/>
    <w:rsid w:val="00C024A1"/>
    <w:rsid w:val="00C02C42"/>
    <w:rsid w:val="00C10FB1"/>
    <w:rsid w:val="00C11282"/>
    <w:rsid w:val="00C14108"/>
    <w:rsid w:val="00C231A5"/>
    <w:rsid w:val="00C261F8"/>
    <w:rsid w:val="00C27662"/>
    <w:rsid w:val="00C32914"/>
    <w:rsid w:val="00C33100"/>
    <w:rsid w:val="00C42EDB"/>
    <w:rsid w:val="00C451B9"/>
    <w:rsid w:val="00C51D9C"/>
    <w:rsid w:val="00C54DA4"/>
    <w:rsid w:val="00C55118"/>
    <w:rsid w:val="00C577D1"/>
    <w:rsid w:val="00C57A2D"/>
    <w:rsid w:val="00C6018C"/>
    <w:rsid w:val="00C67D23"/>
    <w:rsid w:val="00C71827"/>
    <w:rsid w:val="00C75D25"/>
    <w:rsid w:val="00C825E5"/>
    <w:rsid w:val="00C95EB8"/>
    <w:rsid w:val="00CB02C5"/>
    <w:rsid w:val="00CB0D41"/>
    <w:rsid w:val="00CB39CD"/>
    <w:rsid w:val="00CC2A62"/>
    <w:rsid w:val="00CC7CE6"/>
    <w:rsid w:val="00CD044C"/>
    <w:rsid w:val="00CD1A71"/>
    <w:rsid w:val="00CD1FBB"/>
    <w:rsid w:val="00CE033D"/>
    <w:rsid w:val="00CE08E5"/>
    <w:rsid w:val="00D016B5"/>
    <w:rsid w:val="00D034F1"/>
    <w:rsid w:val="00D04527"/>
    <w:rsid w:val="00D05828"/>
    <w:rsid w:val="00D06712"/>
    <w:rsid w:val="00D14C21"/>
    <w:rsid w:val="00D14F42"/>
    <w:rsid w:val="00D171D4"/>
    <w:rsid w:val="00D244CB"/>
    <w:rsid w:val="00D27D5E"/>
    <w:rsid w:val="00D32B08"/>
    <w:rsid w:val="00D407D1"/>
    <w:rsid w:val="00D43E5F"/>
    <w:rsid w:val="00D51CE6"/>
    <w:rsid w:val="00D62AC5"/>
    <w:rsid w:val="00D639BD"/>
    <w:rsid w:val="00D65777"/>
    <w:rsid w:val="00D66E0D"/>
    <w:rsid w:val="00D7425A"/>
    <w:rsid w:val="00D74F7E"/>
    <w:rsid w:val="00D7695F"/>
    <w:rsid w:val="00D9039B"/>
    <w:rsid w:val="00D93582"/>
    <w:rsid w:val="00DA41A2"/>
    <w:rsid w:val="00DA43A1"/>
    <w:rsid w:val="00DA5B0A"/>
    <w:rsid w:val="00DA5E1D"/>
    <w:rsid w:val="00DC3628"/>
    <w:rsid w:val="00DC4F43"/>
    <w:rsid w:val="00DC5038"/>
    <w:rsid w:val="00DD1ED8"/>
    <w:rsid w:val="00DE6D90"/>
    <w:rsid w:val="00DF002F"/>
    <w:rsid w:val="00DF1D90"/>
    <w:rsid w:val="00E01123"/>
    <w:rsid w:val="00E0244D"/>
    <w:rsid w:val="00E026DF"/>
    <w:rsid w:val="00E02F48"/>
    <w:rsid w:val="00E03712"/>
    <w:rsid w:val="00E06B3F"/>
    <w:rsid w:val="00E10A73"/>
    <w:rsid w:val="00E14F27"/>
    <w:rsid w:val="00E171D2"/>
    <w:rsid w:val="00E25534"/>
    <w:rsid w:val="00E319B6"/>
    <w:rsid w:val="00E32145"/>
    <w:rsid w:val="00E32F5A"/>
    <w:rsid w:val="00E43CB0"/>
    <w:rsid w:val="00E510F3"/>
    <w:rsid w:val="00E51874"/>
    <w:rsid w:val="00E55223"/>
    <w:rsid w:val="00E60012"/>
    <w:rsid w:val="00E606BF"/>
    <w:rsid w:val="00E62CFF"/>
    <w:rsid w:val="00E665EE"/>
    <w:rsid w:val="00E679AE"/>
    <w:rsid w:val="00E71570"/>
    <w:rsid w:val="00E73B13"/>
    <w:rsid w:val="00E75C58"/>
    <w:rsid w:val="00E76819"/>
    <w:rsid w:val="00E81E94"/>
    <w:rsid w:val="00E82607"/>
    <w:rsid w:val="00E84A82"/>
    <w:rsid w:val="00E85025"/>
    <w:rsid w:val="00E9483E"/>
    <w:rsid w:val="00E96710"/>
    <w:rsid w:val="00E97E2C"/>
    <w:rsid w:val="00EA3B1D"/>
    <w:rsid w:val="00EB407B"/>
    <w:rsid w:val="00EB77B9"/>
    <w:rsid w:val="00EB7D07"/>
    <w:rsid w:val="00ED3A26"/>
    <w:rsid w:val="00EF70BB"/>
    <w:rsid w:val="00F02FA9"/>
    <w:rsid w:val="00F06660"/>
    <w:rsid w:val="00F07AE1"/>
    <w:rsid w:val="00F116EB"/>
    <w:rsid w:val="00F1794E"/>
    <w:rsid w:val="00F211AF"/>
    <w:rsid w:val="00F25EC3"/>
    <w:rsid w:val="00F32ADB"/>
    <w:rsid w:val="00F32C98"/>
    <w:rsid w:val="00F37E12"/>
    <w:rsid w:val="00F424BD"/>
    <w:rsid w:val="00F45D41"/>
    <w:rsid w:val="00F515AD"/>
    <w:rsid w:val="00F57DD7"/>
    <w:rsid w:val="00F636AD"/>
    <w:rsid w:val="00F734D9"/>
    <w:rsid w:val="00F73F83"/>
    <w:rsid w:val="00F74902"/>
    <w:rsid w:val="00F85A4E"/>
    <w:rsid w:val="00F9353A"/>
    <w:rsid w:val="00F965C2"/>
    <w:rsid w:val="00FA27D4"/>
    <w:rsid w:val="00FA5A79"/>
    <w:rsid w:val="00FB0BFE"/>
    <w:rsid w:val="00FB4300"/>
    <w:rsid w:val="00FB4C51"/>
    <w:rsid w:val="00FB734D"/>
    <w:rsid w:val="00FC58CD"/>
    <w:rsid w:val="00FD02A2"/>
    <w:rsid w:val="00FD5E64"/>
    <w:rsid w:val="00FD7985"/>
    <w:rsid w:val="00FE2E9C"/>
    <w:rsid w:val="00FE6526"/>
    <w:rsid w:val="00FF1DBD"/>
    <w:rsid w:val="00FF1E4B"/>
    <w:rsid w:val="00FF33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25A8C"/>
    <w:pPr>
      <w:suppressAutoHyphens/>
      <w:spacing w:line="240" w:lineRule="atLeast"/>
    </w:pPr>
    <w:rPr>
      <w:lang w:val="fr-CH" w:eastAsia="en-US"/>
    </w:rPr>
  </w:style>
  <w:style w:type="paragraph" w:styleId="Heading1">
    <w:name w:val="heading 1"/>
    <w:aliases w:val="Table_G"/>
    <w:basedOn w:val="SingleTxtG"/>
    <w:next w:val="SingleTxtG"/>
    <w:link w:val="Heading1Char"/>
    <w:qFormat/>
    <w:rsid w:val="00A50D6B"/>
    <w:pPr>
      <w:keepNext/>
      <w:keepLines/>
      <w:spacing w:after="0" w:line="240" w:lineRule="auto"/>
      <w:ind w:right="0"/>
      <w:jc w:val="left"/>
      <w:outlineLvl w:val="0"/>
    </w:pPr>
  </w:style>
  <w:style w:type="paragraph" w:styleId="Heading2">
    <w:name w:val="heading 2"/>
    <w:basedOn w:val="Normal"/>
    <w:next w:val="Normal"/>
    <w:qFormat/>
    <w:rsid w:val="00287E79"/>
    <w:pPr>
      <w:outlineLvl w:val="1"/>
    </w:pPr>
  </w:style>
  <w:style w:type="paragraph" w:styleId="Heading3">
    <w:name w:val="heading 3"/>
    <w:basedOn w:val="Normal"/>
    <w:next w:val="Normal"/>
    <w:qFormat/>
    <w:rsid w:val="00287E79"/>
    <w:pPr>
      <w:outlineLvl w:val="2"/>
    </w:pPr>
  </w:style>
  <w:style w:type="paragraph" w:styleId="Heading4">
    <w:name w:val="heading 4"/>
    <w:basedOn w:val="Normal"/>
    <w:next w:val="Normal"/>
    <w:qFormat/>
    <w:pPr>
      <w:outlineLvl w:val="3"/>
    </w:pPr>
  </w:style>
  <w:style w:type="paragraph" w:styleId="Heading5">
    <w:name w:val="heading 5"/>
    <w:basedOn w:val="Normal"/>
    <w:next w:val="Normal"/>
    <w:qFormat/>
    <w:pPr>
      <w:outlineLvl w:val="4"/>
    </w:pPr>
  </w:style>
  <w:style w:type="paragraph" w:styleId="Heading6">
    <w:name w:val="heading 6"/>
    <w:basedOn w:val="Normal"/>
    <w:next w:val="Normal"/>
    <w:qFormat/>
    <w:pPr>
      <w:outlineLvl w:val="5"/>
    </w:pPr>
  </w:style>
  <w:style w:type="paragraph" w:styleId="Heading7">
    <w:name w:val="heading 7"/>
    <w:basedOn w:val="Normal"/>
    <w:next w:val="Normal"/>
    <w:qFormat/>
    <w:pPr>
      <w:outlineLvl w:val="6"/>
    </w:pPr>
  </w:style>
  <w:style w:type="paragraph" w:styleId="Heading8">
    <w:name w:val="heading 8"/>
    <w:basedOn w:val="Normal"/>
    <w:next w:val="Normal"/>
    <w:qFormat/>
    <w:pPr>
      <w:outlineLvl w:val="7"/>
    </w:pPr>
  </w:style>
  <w:style w:type="paragraph" w:styleId="Heading9">
    <w:name w:val="heading 9"/>
    <w:basedOn w:val="Normal"/>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1D7F8A"/>
    <w:pPr>
      <w:spacing w:after="120"/>
      <w:ind w:left="1134" w:right="1134"/>
      <w:jc w:val="both"/>
    </w:pPr>
  </w:style>
  <w:style w:type="paragraph" w:styleId="EndnoteText">
    <w:name w:val="endnote text"/>
    <w:aliases w:val="2_G"/>
    <w:basedOn w:val="FootnoteText"/>
    <w:rsid w:val="00D016B5"/>
  </w:style>
  <w:style w:type="paragraph" w:styleId="FootnoteText">
    <w:name w:val="footnote text"/>
    <w:aliases w:val="5_G"/>
    <w:basedOn w:val="Normal"/>
    <w:rsid w:val="00C10FB1"/>
    <w:pPr>
      <w:tabs>
        <w:tab w:val="right" w:pos="1021"/>
      </w:tabs>
      <w:spacing w:line="220" w:lineRule="exact"/>
      <w:ind w:left="1134" w:right="1134" w:hanging="1134"/>
    </w:pPr>
    <w:rPr>
      <w:sz w:val="18"/>
    </w:rPr>
  </w:style>
  <w:style w:type="paragraph" w:styleId="Footer">
    <w:name w:val="footer"/>
    <w:aliases w:val="3_G"/>
    <w:basedOn w:val="Normal"/>
    <w:next w:val="Normal"/>
    <w:rsid w:val="001D7F8A"/>
    <w:pPr>
      <w:spacing w:line="240" w:lineRule="auto"/>
    </w:pPr>
    <w:rPr>
      <w:sz w:val="16"/>
    </w:rPr>
  </w:style>
  <w:style w:type="character" w:styleId="EndnoteReference">
    <w:name w:val="endnote reference"/>
    <w:aliases w:val="1_G"/>
    <w:rsid w:val="00D016B5"/>
    <w:rPr>
      <w:rFonts w:ascii="Times New Roman" w:hAnsi="Times New Roman"/>
      <w:sz w:val="18"/>
      <w:vertAlign w:val="superscript"/>
      <w:lang w:val="fr-CH"/>
    </w:rPr>
  </w:style>
  <w:style w:type="character" w:styleId="FootnoteReference">
    <w:name w:val="footnote reference"/>
    <w:aliases w:val="4_G"/>
    <w:rsid w:val="00D016B5"/>
    <w:rPr>
      <w:rFonts w:ascii="Times New Roman" w:hAnsi="Times New Roman"/>
      <w:sz w:val="18"/>
      <w:vertAlign w:val="superscript"/>
      <w:lang w:val="fr-CH"/>
    </w:rPr>
  </w:style>
  <w:style w:type="character" w:styleId="PageNumber">
    <w:name w:val="page number"/>
    <w:aliases w:val="7_G"/>
    <w:rsid w:val="00287E79"/>
    <w:rPr>
      <w:rFonts w:ascii="Times New Roman" w:hAnsi="Times New Roman"/>
      <w:b/>
      <w:sz w:val="18"/>
      <w:lang w:val="fr-CH"/>
    </w:rPr>
  </w:style>
  <w:style w:type="paragraph" w:styleId="Header">
    <w:name w:val="header"/>
    <w:aliases w:val="6_G"/>
    <w:basedOn w:val="Normal"/>
    <w:next w:val="Normal"/>
    <w:rsid w:val="007723C2"/>
    <w:pPr>
      <w:pBdr>
        <w:bottom w:val="single" w:sz="4" w:space="4" w:color="auto"/>
      </w:pBdr>
      <w:spacing w:line="240" w:lineRule="auto"/>
    </w:pPr>
    <w:rPr>
      <w:b/>
      <w:sz w:val="18"/>
    </w:rPr>
  </w:style>
  <w:style w:type="paragraph" w:customStyle="1" w:styleId="H1G">
    <w:name w:val="_ H_1_G"/>
    <w:basedOn w:val="Normal"/>
    <w:next w:val="Normal"/>
    <w:rsid w:val="00D016B5"/>
    <w:pPr>
      <w:keepNext/>
      <w:keepLines/>
      <w:tabs>
        <w:tab w:val="right" w:pos="851"/>
      </w:tabs>
      <w:spacing w:before="360" w:after="240" w:line="270" w:lineRule="exact"/>
      <w:ind w:left="1134" w:right="1134" w:hanging="1134"/>
    </w:pPr>
    <w:rPr>
      <w:b/>
      <w:sz w:val="24"/>
    </w:rPr>
  </w:style>
  <w:style w:type="paragraph" w:customStyle="1" w:styleId="HChG">
    <w:name w:val="_ H _Ch_G"/>
    <w:basedOn w:val="Normal"/>
    <w:next w:val="Normal"/>
    <w:rsid w:val="00D016B5"/>
    <w:pPr>
      <w:keepNext/>
      <w:keepLines/>
      <w:tabs>
        <w:tab w:val="right" w:pos="851"/>
      </w:tabs>
      <w:spacing w:before="360" w:after="240" w:line="300" w:lineRule="exact"/>
      <w:ind w:left="1134" w:right="1134" w:hanging="1134"/>
    </w:pPr>
    <w:rPr>
      <w:b/>
      <w:sz w:val="28"/>
    </w:rPr>
  </w:style>
  <w:style w:type="paragraph" w:customStyle="1" w:styleId="HMG">
    <w:name w:val="_ H __M_G"/>
    <w:basedOn w:val="Normal"/>
    <w:next w:val="Normal"/>
    <w:rsid w:val="00D016B5"/>
    <w:pPr>
      <w:keepNext/>
      <w:keepLines/>
      <w:tabs>
        <w:tab w:val="right" w:pos="851"/>
      </w:tabs>
      <w:spacing w:before="240" w:after="240" w:line="360" w:lineRule="exact"/>
      <w:ind w:left="1134" w:right="1134" w:hanging="1134"/>
    </w:pPr>
    <w:rPr>
      <w:b/>
      <w:sz w:val="34"/>
    </w:rPr>
  </w:style>
  <w:style w:type="paragraph" w:customStyle="1" w:styleId="H23G">
    <w:name w:val="_ H_2/3_G"/>
    <w:basedOn w:val="Normal"/>
    <w:next w:val="Normal"/>
    <w:rsid w:val="00D016B5"/>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D016B5"/>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D016B5"/>
    <w:pPr>
      <w:keepNext/>
      <w:keepLines/>
      <w:tabs>
        <w:tab w:val="right" w:pos="851"/>
      </w:tabs>
      <w:spacing w:before="240" w:after="120" w:line="240" w:lineRule="exact"/>
      <w:ind w:left="1134" w:right="1134" w:hanging="1134"/>
    </w:pPr>
  </w:style>
  <w:style w:type="paragraph" w:customStyle="1" w:styleId="SMG">
    <w:name w:val="__S_M_G"/>
    <w:basedOn w:val="Normal"/>
    <w:next w:val="Normal"/>
    <w:rsid w:val="001D7F8A"/>
    <w:pPr>
      <w:keepNext/>
      <w:keepLines/>
      <w:spacing w:before="240" w:after="240" w:line="420" w:lineRule="exact"/>
      <w:ind w:left="1134" w:right="1134"/>
    </w:pPr>
    <w:rPr>
      <w:b/>
      <w:sz w:val="40"/>
    </w:rPr>
  </w:style>
  <w:style w:type="paragraph" w:customStyle="1" w:styleId="SLG">
    <w:name w:val="__S_L_G"/>
    <w:basedOn w:val="Normal"/>
    <w:next w:val="Normal"/>
    <w:rsid w:val="001D7F8A"/>
    <w:pPr>
      <w:keepNext/>
      <w:keepLines/>
      <w:spacing w:before="240" w:after="240" w:line="580" w:lineRule="exact"/>
      <w:ind w:left="1134" w:right="1134"/>
    </w:pPr>
    <w:rPr>
      <w:b/>
      <w:sz w:val="56"/>
    </w:rPr>
  </w:style>
  <w:style w:type="paragraph" w:customStyle="1" w:styleId="SSG">
    <w:name w:val="__S_S_G"/>
    <w:basedOn w:val="Normal"/>
    <w:next w:val="Normal"/>
    <w:rsid w:val="001D7F8A"/>
    <w:pPr>
      <w:keepNext/>
      <w:keepLines/>
      <w:spacing w:before="240" w:after="240" w:line="300" w:lineRule="exact"/>
      <w:ind w:left="1134" w:right="1134"/>
    </w:pPr>
    <w:rPr>
      <w:b/>
      <w:sz w:val="28"/>
    </w:rPr>
  </w:style>
  <w:style w:type="paragraph" w:customStyle="1" w:styleId="XLargeG">
    <w:name w:val="__XLarge_G"/>
    <w:basedOn w:val="Normal"/>
    <w:next w:val="Normal"/>
    <w:rsid w:val="001D7F8A"/>
    <w:pPr>
      <w:keepNext/>
      <w:keepLines/>
      <w:spacing w:before="240" w:after="240" w:line="420" w:lineRule="exact"/>
      <w:ind w:left="1134" w:right="1134"/>
    </w:pPr>
    <w:rPr>
      <w:b/>
      <w:sz w:val="40"/>
    </w:rPr>
  </w:style>
  <w:style w:type="paragraph" w:customStyle="1" w:styleId="Bullet1G">
    <w:name w:val="_Bullet 1_G"/>
    <w:basedOn w:val="Normal"/>
    <w:rsid w:val="00D016B5"/>
    <w:pPr>
      <w:numPr>
        <w:numId w:val="37"/>
      </w:numPr>
      <w:spacing w:after="120"/>
      <w:ind w:right="1134"/>
      <w:jc w:val="both"/>
    </w:pPr>
  </w:style>
  <w:style w:type="paragraph" w:customStyle="1" w:styleId="Bullet2G">
    <w:name w:val="_Bullet 2_G"/>
    <w:basedOn w:val="Normal"/>
    <w:rsid w:val="00D016B5"/>
    <w:pPr>
      <w:numPr>
        <w:numId w:val="38"/>
      </w:numPr>
      <w:spacing w:after="120"/>
      <w:ind w:right="1134"/>
      <w:jc w:val="both"/>
    </w:pPr>
  </w:style>
  <w:style w:type="table" w:styleId="TableGrid">
    <w:name w:val="Table Grid"/>
    <w:basedOn w:val="TableNormal"/>
    <w:semiHidden/>
    <w:rsid w:val="00372D1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SingleTxtGChar">
    <w:name w:val="_ Single Txt_G Char"/>
    <w:link w:val="SingleTxtG"/>
    <w:rsid w:val="00421A10"/>
    <w:rPr>
      <w:lang w:val="fr-CH" w:eastAsia="en-US" w:bidi="ar-SA"/>
    </w:rPr>
  </w:style>
  <w:style w:type="character" w:styleId="Hyperlink">
    <w:name w:val="Hyperlink"/>
    <w:semiHidden/>
    <w:rsid w:val="00491F39"/>
    <w:rPr>
      <w:color w:val="auto"/>
      <w:u w:val="none"/>
    </w:rPr>
  </w:style>
  <w:style w:type="character" w:styleId="FollowedHyperlink">
    <w:name w:val="FollowedHyperlink"/>
    <w:semiHidden/>
    <w:rsid w:val="00491F39"/>
    <w:rPr>
      <w:color w:val="auto"/>
      <w:u w:val="none"/>
    </w:rPr>
  </w:style>
  <w:style w:type="paragraph" w:customStyle="1" w:styleId="ParNoG">
    <w:name w:val="_ParNo_G"/>
    <w:basedOn w:val="SingleTxtG"/>
    <w:rsid w:val="00FE2E9C"/>
    <w:pPr>
      <w:numPr>
        <w:numId w:val="49"/>
      </w:numPr>
    </w:pPr>
  </w:style>
  <w:style w:type="character" w:customStyle="1" w:styleId="Heading1Char">
    <w:name w:val="Heading 1 Char"/>
    <w:aliases w:val="Table_G Char"/>
    <w:link w:val="Heading1"/>
    <w:rsid w:val="001C08ED"/>
    <w:rPr>
      <w:lang w:val="fr-CH" w:eastAsia="en-US"/>
    </w:rPr>
  </w:style>
  <w:style w:type="paragraph" w:styleId="BalloonText">
    <w:name w:val="Balloon Text"/>
    <w:basedOn w:val="Normal"/>
    <w:link w:val="BalloonTextChar"/>
    <w:rsid w:val="002051B3"/>
    <w:pPr>
      <w:spacing w:line="240" w:lineRule="auto"/>
    </w:pPr>
    <w:rPr>
      <w:rFonts w:ascii="Tahoma" w:hAnsi="Tahoma" w:cs="Tahoma"/>
      <w:sz w:val="16"/>
      <w:szCs w:val="16"/>
    </w:rPr>
  </w:style>
  <w:style w:type="character" w:customStyle="1" w:styleId="BalloonTextChar">
    <w:name w:val="Balloon Text Char"/>
    <w:link w:val="BalloonText"/>
    <w:rsid w:val="002051B3"/>
    <w:rPr>
      <w:rFonts w:ascii="Tahoma" w:hAnsi="Tahoma" w:cs="Tahoma"/>
      <w:sz w:val="16"/>
      <w:szCs w:val="16"/>
      <w:lang w:val="fr-CH"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1232</Words>
  <Characters>7027</Characters>
  <Application>Microsoft Office Word</Application>
  <DocSecurity>0</DocSecurity>
  <Lines>58</Lines>
  <Paragraphs>16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E/ECE/324/Rev.2/Add.100/Rev.3/Amend.1</vt:lpstr>
      <vt:lpstr>E/ECE/324/Rev.2/Add.100/Rev.3/Amend.1</vt:lpstr>
    </vt:vector>
  </TitlesOfParts>
  <Company>CSD</Company>
  <LinksUpToDate>false</LinksUpToDate>
  <CharactersWithSpaces>8243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E/ECE/324/Rev.2/Add.100/Rev.3/Amend.1</dc:title>
  <dc:subject>final</dc:subject>
  <dc:creator>Lamy</dc:creator>
  <cp:lastModifiedBy>04</cp:lastModifiedBy>
  <cp:revision>3</cp:revision>
  <cp:lastPrinted>2015-06-05T09:47:00Z</cp:lastPrinted>
  <dcterms:created xsi:type="dcterms:W3CDTF">2015-06-15T09:27:00Z</dcterms:created>
  <dcterms:modified xsi:type="dcterms:W3CDTF">2015-06-22T09:41:00Z</dcterms:modified>
</cp:coreProperties>
</file>