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6F4C38">
            <w:pPr>
              <w:jc w:val="right"/>
            </w:pPr>
            <w:r w:rsidRPr="00014D07">
              <w:rPr>
                <w:sz w:val="40"/>
              </w:rPr>
              <w:t>E</w:t>
            </w:r>
            <w:r>
              <w:t>/ECE/324/</w:t>
            </w:r>
            <w:r w:rsidR="00841EB5">
              <w:t>Rev.</w:t>
            </w:r>
            <w:r w:rsidR="006F4C38">
              <w:t>1</w:t>
            </w:r>
            <w:r w:rsidR="00841EB5">
              <w:t>/</w:t>
            </w:r>
            <w:r>
              <w:t>Add.</w:t>
            </w:r>
            <w:r w:rsidR="006F4C38">
              <w:t>18</w:t>
            </w:r>
            <w:r>
              <w:t>/Rev.</w:t>
            </w:r>
            <w:r w:rsidR="006F4C38">
              <w:t>7</w:t>
            </w:r>
            <w:r>
              <w:t>/</w:t>
            </w:r>
            <w:r w:rsidR="00D623A7">
              <w:t>Amend.</w:t>
            </w:r>
            <w:r w:rsidR="006F4C38">
              <w:t>2</w:t>
            </w:r>
            <w:r>
              <w:t>−</w:t>
            </w:r>
            <w:r w:rsidRPr="00014D07">
              <w:rPr>
                <w:sz w:val="40"/>
              </w:rPr>
              <w:t>E</w:t>
            </w:r>
            <w:r>
              <w:t>/ECE/TRANS/505</w:t>
            </w:r>
            <w:r w:rsidR="006F4C38" w:rsidRPr="006F4C38">
              <w:t>/Rev.1/Add.18/Rev.7/Amend.2</w:t>
            </w:r>
          </w:p>
        </w:tc>
      </w:tr>
      <w:tr w:rsidR="003C3936" w:rsidTr="0024375A">
        <w:trPr>
          <w:cantSplit/>
          <w:trHeight w:hRule="exact" w:val="2697"/>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3D5A9E" w:rsidP="003C3936">
            <w:pPr>
              <w:spacing w:before="120"/>
            </w:pPr>
            <w:r>
              <w:t>22</w:t>
            </w:r>
            <w:bookmarkStart w:id="0" w:name="_GoBack"/>
            <w:bookmarkEnd w:id="0"/>
            <w:r w:rsidR="009967AD" w:rsidRPr="009967AD">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6F4C38">
        <w:t>18</w:t>
      </w:r>
      <w:r>
        <w:t xml:space="preserve"> – Regulation No.</w:t>
      </w:r>
      <w:r w:rsidR="00271A7F">
        <w:t xml:space="preserve"> </w:t>
      </w:r>
      <w:r w:rsidR="006F4C38">
        <w:t>19</w:t>
      </w:r>
    </w:p>
    <w:p w:rsidR="0064636E" w:rsidRPr="00014D07" w:rsidRDefault="0064636E" w:rsidP="0064636E">
      <w:pPr>
        <w:pStyle w:val="H1G"/>
      </w:pPr>
      <w:r>
        <w:tab/>
      </w:r>
      <w:r>
        <w:tab/>
      </w:r>
      <w:r w:rsidRPr="00014D07">
        <w:t xml:space="preserve">Revision </w:t>
      </w:r>
      <w:r w:rsidR="006F4C38">
        <w:t>7</w:t>
      </w:r>
      <w:r w:rsidRPr="00014D07">
        <w:t xml:space="preserve"> - </w:t>
      </w:r>
      <w:r w:rsidR="00D623A7">
        <w:t>Amendment</w:t>
      </w:r>
      <w:r w:rsidRPr="00014D07">
        <w:t xml:space="preserve"> </w:t>
      </w:r>
      <w:r w:rsidR="006F4C38">
        <w:t>2</w:t>
      </w:r>
    </w:p>
    <w:p w:rsidR="0064636E" w:rsidRPr="00272880" w:rsidRDefault="00D623A7" w:rsidP="00707529">
      <w:pPr>
        <w:pStyle w:val="SingleTxtG"/>
        <w:spacing w:after="240"/>
        <w:rPr>
          <w:spacing w:val="-2"/>
        </w:rPr>
      </w:pPr>
      <w:r>
        <w:rPr>
          <w:spacing w:val="-2"/>
        </w:rPr>
        <w:t xml:space="preserve">Supplement </w:t>
      </w:r>
      <w:r w:rsidR="006F4C38">
        <w:rPr>
          <w:spacing w:val="-2"/>
        </w:rPr>
        <w:t>7</w:t>
      </w:r>
      <w:r>
        <w:rPr>
          <w:spacing w:val="-2"/>
        </w:rPr>
        <w:t xml:space="preserve"> to </w:t>
      </w:r>
      <w:r w:rsidR="00271A7F">
        <w:rPr>
          <w:spacing w:val="-2"/>
        </w:rPr>
        <w:t xml:space="preserve">the </w:t>
      </w:r>
      <w:r w:rsidR="006F4C38">
        <w:rPr>
          <w:spacing w:val="-2"/>
        </w:rPr>
        <w:t>04</w:t>
      </w:r>
      <w:r>
        <w:rPr>
          <w:spacing w:val="-2"/>
        </w:rPr>
        <w:t xml:space="preserve"> series of amendments</w:t>
      </w:r>
      <w:r w:rsidR="0064636E" w:rsidRPr="00272880">
        <w:rPr>
          <w:spacing w:val="-2"/>
        </w:rPr>
        <w:t xml:space="preserve"> – Date of entry into force: </w:t>
      </w:r>
      <w:r w:rsidR="0024375A">
        <w:rPr>
          <w:sz w:val="22"/>
          <w:szCs w:val="22"/>
          <w:lang w:val="fr-CH" w:eastAsia="en-GB"/>
        </w:rPr>
        <w:t>15 June 2015</w:t>
      </w:r>
    </w:p>
    <w:p w:rsidR="0064636E" w:rsidRDefault="0064636E" w:rsidP="00707529">
      <w:pPr>
        <w:pStyle w:val="H1G"/>
        <w:spacing w:before="240"/>
        <w:rPr>
          <w:lang w:val="en-US"/>
        </w:rPr>
      </w:pPr>
      <w:r>
        <w:rPr>
          <w:lang w:val="en-US"/>
        </w:rPr>
        <w:tab/>
      </w:r>
      <w:r>
        <w:rPr>
          <w:lang w:val="en-US"/>
        </w:rPr>
        <w:tab/>
      </w:r>
      <w:r w:rsidR="006F4C38" w:rsidRPr="006F4C38">
        <w:rPr>
          <w:lang w:val="en-US"/>
        </w:rPr>
        <w:t>Uniform provisions concerning the approval of power-driven vehicle front fog lamps</w:t>
      </w:r>
    </w:p>
    <w:p w:rsidR="0024375A" w:rsidRDefault="0024375A" w:rsidP="0024375A">
      <w:pPr>
        <w:pStyle w:val="SingleTxtG"/>
        <w:rPr>
          <w:spacing w:val="-6"/>
          <w:lang w:eastAsia="en-GB"/>
        </w:rPr>
      </w:pPr>
      <w:r>
        <w:rPr>
          <w:lang w:eastAsia="en-GB"/>
        </w:rPr>
        <w:t xml:space="preserve">This document is meant purely as documentation tool. The authentic and legal binding text is: </w:t>
      </w:r>
      <w:r>
        <w:rPr>
          <w:spacing w:val="-6"/>
          <w:lang w:eastAsia="en-GB"/>
        </w:rPr>
        <w:t>ECE/TRANS/WP.29/2013/75/Rev.1</w:t>
      </w:r>
      <w:r w:rsidR="007F5EA8">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3D5A9E"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6F4C38" w:rsidRDefault="006F4C38" w:rsidP="006F4C38">
      <w:pPr>
        <w:spacing w:after="120" w:line="240" w:lineRule="auto"/>
        <w:ind w:left="2268" w:right="1134" w:hanging="1134"/>
        <w:jc w:val="both"/>
        <w:rPr>
          <w:i/>
        </w:rPr>
      </w:pPr>
      <w:r>
        <w:rPr>
          <w:i/>
        </w:rPr>
        <w:t>Table of c</w:t>
      </w:r>
      <w:r w:rsidRPr="006F4C38">
        <w:rPr>
          <w:i/>
        </w:rPr>
        <w:t xml:space="preserve">ontents, </w:t>
      </w:r>
    </w:p>
    <w:p w:rsidR="006F4C38" w:rsidRPr="006F4C38" w:rsidRDefault="006F4C38" w:rsidP="006F4C38">
      <w:pPr>
        <w:spacing w:after="120" w:line="240" w:lineRule="auto"/>
        <w:ind w:left="2268" w:right="1134" w:hanging="1134"/>
        <w:jc w:val="both"/>
      </w:pPr>
      <w:r>
        <w:rPr>
          <w:i/>
        </w:rPr>
        <w:t xml:space="preserve">List of </w:t>
      </w:r>
      <w:r w:rsidRPr="006F4C38">
        <w:rPr>
          <w:i/>
        </w:rPr>
        <w:t xml:space="preserve">annexes, </w:t>
      </w:r>
      <w:r w:rsidRPr="006F4C38">
        <w:t>amend to read:</w:t>
      </w:r>
    </w:p>
    <w:p w:rsidR="006F4C38" w:rsidRPr="006F4C38" w:rsidRDefault="00707529" w:rsidP="006F4C38">
      <w:pPr>
        <w:spacing w:after="120" w:line="240" w:lineRule="auto"/>
        <w:ind w:left="2268" w:right="1134" w:hanging="1134"/>
        <w:jc w:val="both"/>
      </w:pPr>
      <w:r>
        <w:t>"12</w:t>
      </w:r>
      <w:r w:rsidR="006F4C38" w:rsidRPr="006F4C38">
        <w:tab/>
        <w:t xml:space="preserve">Requirements in case of use of </w:t>
      </w:r>
      <w:r w:rsidR="006F4C38" w:rsidRPr="006F4C38">
        <w:rPr>
          <w:caps/>
        </w:rPr>
        <w:t>led</w:t>
      </w:r>
      <w:r w:rsidR="006F4C38" w:rsidRPr="006F4C38">
        <w:t xml:space="preserve"> module(s)."</w:t>
      </w:r>
    </w:p>
    <w:p w:rsidR="000E2238" w:rsidRDefault="000E2238" w:rsidP="006F4C38">
      <w:pPr>
        <w:spacing w:after="120" w:line="240" w:lineRule="auto"/>
        <w:ind w:left="2268" w:right="1134" w:hanging="1134"/>
        <w:jc w:val="both"/>
        <w:rPr>
          <w:i/>
        </w:rPr>
      </w:pPr>
      <w:r>
        <w:rPr>
          <w:i/>
        </w:rPr>
        <w:t>Text of the Regulation,</w:t>
      </w:r>
    </w:p>
    <w:p w:rsidR="006F4C38" w:rsidRPr="006F4C38" w:rsidRDefault="006F4C38" w:rsidP="006F4C38">
      <w:pPr>
        <w:spacing w:after="120" w:line="240" w:lineRule="auto"/>
        <w:ind w:left="2268" w:right="1134" w:hanging="1134"/>
        <w:jc w:val="both"/>
      </w:pPr>
      <w:r w:rsidRPr="006F4C38">
        <w:rPr>
          <w:i/>
        </w:rPr>
        <w:t xml:space="preserve">Introduction, </w:t>
      </w:r>
      <w:r w:rsidRPr="006F4C38">
        <w:t>amend to read:</w:t>
      </w:r>
    </w:p>
    <w:p w:rsidR="006F4C38" w:rsidRPr="006F4C38" w:rsidRDefault="006F4C38" w:rsidP="006F4C38">
      <w:pPr>
        <w:spacing w:after="120" w:line="240" w:lineRule="auto"/>
        <w:ind w:left="2268" w:right="1134"/>
        <w:jc w:val="both"/>
      </w:pPr>
      <w:r w:rsidRPr="006F4C38">
        <w:t>"</w:t>
      </w:r>
      <w:r w:rsidRPr="007D1BAF">
        <w:rPr>
          <w:rStyle w:val="HChGChar"/>
        </w:rPr>
        <w:t>Introduction</w:t>
      </w:r>
    </w:p>
    <w:p w:rsidR="006F4C38" w:rsidRPr="006F4C38" w:rsidRDefault="006F4C38" w:rsidP="006F4C38">
      <w:pPr>
        <w:spacing w:after="120" w:line="240" w:lineRule="auto"/>
        <w:ind w:left="2268" w:right="1134"/>
        <w:jc w:val="both"/>
      </w:pPr>
      <w:r w:rsidRPr="006F4C38">
        <w:t>This …</w:t>
      </w:r>
    </w:p>
    <w:p w:rsidR="006F4C38" w:rsidRPr="006F4C38" w:rsidRDefault="006F4C38" w:rsidP="006F4C38">
      <w:pPr>
        <w:spacing w:after="120" w:line="240" w:lineRule="auto"/>
        <w:ind w:left="2835" w:right="1134" w:hanging="567"/>
        <w:jc w:val="both"/>
      </w:pPr>
      <w:r w:rsidRPr="006F4C38">
        <w:t>(b)</w:t>
      </w:r>
      <w:r w:rsidRPr="006F4C38">
        <w:tab/>
        <w:t>Light sources can be selected according to the provisions of Regulation No. 37 (Incandescent filament light sources) and Regulation No. 99 (</w:t>
      </w:r>
      <w:r w:rsidR="007D1BAF">
        <w:t>G</w:t>
      </w:r>
      <w:r w:rsidR="007D1BAF" w:rsidRPr="006F4C38">
        <w:t xml:space="preserve">as </w:t>
      </w:r>
      <w:r w:rsidRPr="006F4C38">
        <w:t xml:space="preserve">discharge light sources). </w:t>
      </w:r>
      <w:r w:rsidR="0024375A">
        <w:t>Light Emitting Diode (</w:t>
      </w:r>
      <w:r w:rsidRPr="006F4C38">
        <w:t>LED</w:t>
      </w:r>
      <w:r w:rsidR="0024375A">
        <w:t>)</w:t>
      </w:r>
      <w:r w:rsidRPr="006F4C38">
        <w:t xml:space="preserve"> modules may also be used. </w:t>
      </w:r>
    </w:p>
    <w:p w:rsidR="006F4C38" w:rsidRPr="006F4C38" w:rsidRDefault="006F4C38" w:rsidP="006F4C38">
      <w:pPr>
        <w:spacing w:after="120" w:line="240" w:lineRule="auto"/>
        <w:ind w:left="2835" w:right="1134" w:hanging="567"/>
        <w:jc w:val="both"/>
      </w:pPr>
      <w:r w:rsidRPr="006F4C38">
        <w:t>(c)</w:t>
      </w:r>
      <w:r w:rsidRPr="006F4C38">
        <w:tab/>
        <w:t>The cut-off and the gradient definitions …"</w:t>
      </w:r>
    </w:p>
    <w:p w:rsidR="006F4C38" w:rsidRPr="006F4C38" w:rsidRDefault="006F4C38" w:rsidP="006F4C38">
      <w:pPr>
        <w:spacing w:after="120" w:line="240" w:lineRule="auto"/>
        <w:ind w:left="2268" w:right="1134" w:hanging="1134"/>
        <w:jc w:val="both"/>
      </w:pPr>
      <w:r w:rsidRPr="006F4C38">
        <w:rPr>
          <w:i/>
        </w:rPr>
        <w:t xml:space="preserve">Paragraph 1.4.3., </w:t>
      </w:r>
      <w:r w:rsidRPr="006F4C38">
        <w:t>amend to read:</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"1.4.3.</w:t>
      </w:r>
      <w:r w:rsidRPr="006F4C38">
        <w:rPr>
          <w:rFonts w:eastAsia="MS Mincho"/>
        </w:rPr>
        <w:tab/>
        <w:t>The characteristics of the optical system; (basic optical design, type/category of light source, LED module, etc.),"</w:t>
      </w:r>
    </w:p>
    <w:p w:rsidR="006F4C38" w:rsidRPr="006F4C38" w:rsidRDefault="006F4C38" w:rsidP="006F4C38">
      <w:pPr>
        <w:spacing w:after="120" w:line="240" w:lineRule="auto"/>
        <w:ind w:left="2268" w:right="1134" w:hanging="1134"/>
        <w:jc w:val="both"/>
        <w:rPr>
          <w:rFonts w:eastAsia="MS Mincho"/>
        </w:rPr>
      </w:pPr>
      <w:r w:rsidRPr="006F4C38">
        <w:rPr>
          <w:rFonts w:eastAsia="MS Mincho"/>
          <w:i/>
        </w:rPr>
        <w:t>Paragraph 1.4.5.</w:t>
      </w:r>
      <w:r w:rsidRPr="006F4C38">
        <w:rPr>
          <w:rFonts w:eastAsia="MS Mincho"/>
        </w:rPr>
        <w:t>, amend to read:</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"1.4.5.</w:t>
      </w:r>
      <w:r w:rsidRPr="006F4C38">
        <w:rPr>
          <w:rFonts w:eastAsia="MS Mincho"/>
        </w:rPr>
        <w:tab/>
        <w:t>The category of filament lamp(s) used, as listed in Regulation No. 37, Regulation No. 99 and/or the LED module specific identification code(s) (if applicable)."</w:t>
      </w:r>
    </w:p>
    <w:p w:rsidR="006F4C38" w:rsidRPr="006F4C38" w:rsidRDefault="006F4C38" w:rsidP="006F4C38">
      <w:pPr>
        <w:spacing w:after="120" w:line="240" w:lineRule="auto"/>
        <w:ind w:left="2268" w:right="1134" w:hanging="1134"/>
        <w:jc w:val="both"/>
        <w:rPr>
          <w:rFonts w:eastAsia="MS Mincho"/>
        </w:rPr>
      </w:pPr>
      <w:r w:rsidRPr="006F4C38">
        <w:rPr>
          <w:rFonts w:eastAsia="MS Mincho"/>
          <w:i/>
        </w:rPr>
        <w:t xml:space="preserve">Paragraph 2.4.2., </w:t>
      </w:r>
      <w:r w:rsidRPr="006F4C38">
        <w:rPr>
          <w:rFonts w:eastAsia="MS Mincho"/>
        </w:rPr>
        <w:t>amend to read:</w:t>
      </w:r>
    </w:p>
    <w:p w:rsidR="006F4C38" w:rsidRPr="006F4C38" w:rsidRDefault="006F4C38" w:rsidP="006F4C38">
      <w:pPr>
        <w:spacing w:after="120" w:line="240" w:lineRule="auto"/>
        <w:ind w:left="2268" w:right="1134" w:hanging="1134"/>
        <w:jc w:val="both"/>
        <w:rPr>
          <w:rFonts w:eastAsia="MS Mincho"/>
        </w:rPr>
      </w:pPr>
      <w:r w:rsidRPr="006F4C38">
        <w:rPr>
          <w:rFonts w:eastAsia="MS Mincho"/>
          <w:i/>
        </w:rPr>
        <w:t>"</w:t>
      </w:r>
      <w:r w:rsidRPr="006F4C38">
        <w:rPr>
          <w:rFonts w:eastAsia="MS Mincho"/>
        </w:rPr>
        <w:t>2.4.2.</w:t>
      </w:r>
      <w:r w:rsidRPr="006F4C38">
        <w:rPr>
          <w:rFonts w:eastAsia="MS Mincho"/>
        </w:rPr>
        <w:tab/>
        <w:t>In the case of LED module(s), the specific identification code of the module shall be stated. The drawing shall contain sufficient details to identify it and the position intended for the specific identification code and the trademark of the applicant."</w:t>
      </w:r>
    </w:p>
    <w:p w:rsidR="006F4C38" w:rsidRPr="006F4C38" w:rsidRDefault="006F4C38" w:rsidP="006F4C38">
      <w:pPr>
        <w:spacing w:after="120" w:line="240" w:lineRule="auto"/>
        <w:ind w:left="2268" w:right="1134" w:hanging="1134"/>
        <w:jc w:val="both"/>
        <w:rPr>
          <w:rFonts w:eastAsia="MS Mincho"/>
        </w:rPr>
      </w:pPr>
      <w:r w:rsidRPr="006F4C38">
        <w:rPr>
          <w:rFonts w:eastAsia="MS Mincho"/>
          <w:i/>
        </w:rPr>
        <w:t xml:space="preserve">Paragraph 2.4.4., </w:t>
      </w:r>
      <w:r w:rsidRPr="006F4C38">
        <w:rPr>
          <w:rFonts w:eastAsia="MS Mincho"/>
        </w:rPr>
        <w:t>amend to read: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rPr>
        <w:t>"2.4.4.</w:t>
      </w:r>
      <w:r w:rsidRPr="006F4C38">
        <w:rPr>
          <w:rFonts w:eastAsia="MS Mincho"/>
        </w:rPr>
        <w:tab/>
        <w:t>If the front fog lamp is fitted with LED module(s), a brief technical specification shall be provided. This information shall include the part</w:t>
      </w:r>
      <w:r w:rsidRPr="006F4C38">
        <w:rPr>
          <w:rFonts w:eastAsia="MS Mincho"/>
          <w:lang w:val="x-none"/>
        </w:rPr>
        <w:t xml:space="preserve"> number assigned by the light source manufacturer, a drawing with dimensions and the basic electrical and photometric values, an indication whether the light source complies with the UV-radiation requirements of paragraph</w:t>
      </w:r>
      <w:r w:rsidRPr="006F4C38">
        <w:rPr>
          <w:rFonts w:eastAsia="MS Mincho"/>
        </w:rPr>
        <w:t xml:space="preserve"> </w:t>
      </w:r>
      <w:r w:rsidRPr="006F4C38">
        <w:rPr>
          <w:rFonts w:eastAsia="MS Mincho"/>
          <w:lang w:val="x-none"/>
        </w:rPr>
        <w:t>4.6. of Annex</w:t>
      </w:r>
      <w:r w:rsidRPr="006F4C38">
        <w:rPr>
          <w:rFonts w:eastAsia="MS Mincho"/>
        </w:rPr>
        <w:t xml:space="preserve"> </w:t>
      </w:r>
      <w:r w:rsidRPr="006F4C38">
        <w:rPr>
          <w:rFonts w:eastAsia="MS Mincho"/>
          <w:lang w:val="x-none"/>
        </w:rPr>
        <w:t xml:space="preserve">12 </w:t>
      </w:r>
      <w:r w:rsidRPr="006F4C38">
        <w:rPr>
          <w:rFonts w:eastAsia="MS Mincho"/>
        </w:rPr>
        <w:t>to</w:t>
      </w:r>
      <w:r w:rsidRPr="006F4C38">
        <w:rPr>
          <w:rFonts w:eastAsia="MS Mincho"/>
          <w:lang w:val="x-none"/>
        </w:rPr>
        <w:t xml:space="preserve"> this Regulation, an official test report related to paragraph</w:t>
      </w:r>
      <w:r w:rsidRPr="006F4C38">
        <w:rPr>
          <w:rFonts w:eastAsia="MS Mincho"/>
        </w:rPr>
        <w:t xml:space="preserve"> </w:t>
      </w:r>
      <w:r w:rsidRPr="006F4C38">
        <w:rPr>
          <w:rFonts w:eastAsia="MS Mincho"/>
          <w:lang w:val="x-none"/>
        </w:rPr>
        <w:t>5.</w:t>
      </w:r>
      <w:r w:rsidRPr="006F4C38">
        <w:rPr>
          <w:rFonts w:eastAsia="MS Mincho"/>
        </w:rPr>
        <w:t>8</w:t>
      </w:r>
      <w:r w:rsidRPr="006F4C38">
        <w:rPr>
          <w:rFonts w:eastAsia="MS Mincho"/>
          <w:lang w:val="x-none"/>
        </w:rPr>
        <w:t>. of this Regulation and the objective luminous flux."</w:t>
      </w:r>
    </w:p>
    <w:p w:rsidR="006F4C38" w:rsidRPr="006F4C38" w:rsidRDefault="006F4C38" w:rsidP="006F4C38">
      <w:pPr>
        <w:tabs>
          <w:tab w:val="left" w:pos="3993"/>
        </w:tabs>
        <w:spacing w:after="120" w:line="240" w:lineRule="auto"/>
        <w:ind w:left="2268" w:right="1134" w:hanging="1134"/>
        <w:jc w:val="both"/>
        <w:rPr>
          <w:rFonts w:eastAsia="MS Mincho"/>
          <w:u w:val="single"/>
        </w:rPr>
      </w:pPr>
      <w:r w:rsidRPr="006F4C38">
        <w:rPr>
          <w:rFonts w:eastAsia="MS Mincho"/>
          <w:i/>
          <w:lang w:val="x-none"/>
        </w:rPr>
        <w:t>Paragraph 2.4.5</w:t>
      </w:r>
      <w:r w:rsidRPr="006F4C38">
        <w:rPr>
          <w:rFonts w:eastAsia="MS Mincho"/>
          <w:i/>
        </w:rPr>
        <w:t>.</w:t>
      </w:r>
      <w:r w:rsidRPr="006F4C38">
        <w:rPr>
          <w:rFonts w:eastAsia="MS Mincho"/>
          <w:i/>
          <w:lang w:val="x-none"/>
        </w:rPr>
        <w:t>,</w:t>
      </w:r>
      <w:r w:rsidRPr="006F4C38">
        <w:rPr>
          <w:rFonts w:eastAsia="MS Mincho"/>
          <w:lang w:val="x-none"/>
        </w:rPr>
        <w:t xml:space="preserve"> </w:t>
      </w:r>
      <w:r w:rsidRPr="006F4C38">
        <w:rPr>
          <w:rFonts w:eastAsia="MS Mincho"/>
        </w:rPr>
        <w:t xml:space="preserve">shall </w:t>
      </w:r>
      <w:r w:rsidRPr="006F4C38">
        <w:rPr>
          <w:rFonts w:eastAsia="MS Mincho"/>
          <w:lang w:val="x-none"/>
        </w:rPr>
        <w:t>be deleted.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i/>
          <w:lang w:val="x-none"/>
        </w:rPr>
        <w:t>Paragraphs 2.4.6</w:t>
      </w:r>
      <w:r w:rsidRPr="006F4C38">
        <w:rPr>
          <w:rFonts w:eastAsia="MS Mincho"/>
          <w:i/>
        </w:rPr>
        <w:t>.</w:t>
      </w:r>
      <w:r w:rsidRPr="006F4C38">
        <w:rPr>
          <w:rFonts w:eastAsia="MS Mincho"/>
          <w:i/>
          <w:lang w:val="x-none"/>
        </w:rPr>
        <w:t xml:space="preserve"> to 2.4.11</w:t>
      </w:r>
      <w:r w:rsidRPr="006F4C38">
        <w:rPr>
          <w:rFonts w:eastAsia="MS Mincho"/>
          <w:i/>
          <w:lang w:val="en-US"/>
        </w:rPr>
        <w:t>.</w:t>
      </w:r>
      <w:r w:rsidRPr="006F4C38">
        <w:rPr>
          <w:rFonts w:eastAsia="MS Mincho"/>
          <w:i/>
          <w:lang w:val="x-none"/>
        </w:rPr>
        <w:t xml:space="preserve">, </w:t>
      </w:r>
      <w:r w:rsidRPr="006F4C38">
        <w:rPr>
          <w:rFonts w:eastAsia="MS Mincho"/>
          <w:lang w:val="x-none"/>
        </w:rPr>
        <w:t>renumber as 2.4.5</w:t>
      </w:r>
      <w:r w:rsidRPr="006F4C38">
        <w:rPr>
          <w:rFonts w:eastAsia="MS Mincho"/>
          <w:lang w:val="en-US"/>
        </w:rPr>
        <w:t>.</w:t>
      </w:r>
      <w:r w:rsidRPr="006F4C38">
        <w:rPr>
          <w:rFonts w:eastAsia="MS Mincho"/>
          <w:lang w:val="x-none"/>
        </w:rPr>
        <w:t xml:space="preserve"> to 2.4.10.</w:t>
      </w:r>
    </w:p>
    <w:p w:rsidR="006F4C38" w:rsidRPr="006F4C38" w:rsidRDefault="006F4C38" w:rsidP="006F4C38">
      <w:pPr>
        <w:spacing w:after="120" w:line="240" w:lineRule="auto"/>
        <w:ind w:left="2268" w:right="1134" w:hanging="1134"/>
        <w:jc w:val="both"/>
        <w:rPr>
          <w:rFonts w:eastAsia="MS Mincho"/>
          <w:strike/>
        </w:rPr>
      </w:pPr>
      <w:r w:rsidRPr="006F4C38">
        <w:rPr>
          <w:rFonts w:eastAsia="MS Mincho"/>
          <w:i/>
          <w:lang w:val="x-none"/>
        </w:rPr>
        <w:t>Paragraph</w:t>
      </w:r>
      <w:r w:rsidRPr="006F4C38">
        <w:rPr>
          <w:rFonts w:eastAsia="MS Mincho"/>
          <w:i/>
        </w:rPr>
        <w:t>s</w:t>
      </w:r>
      <w:r w:rsidRPr="006F4C38">
        <w:rPr>
          <w:rFonts w:eastAsia="MS Mincho"/>
          <w:i/>
          <w:lang w:val="x-none"/>
        </w:rPr>
        <w:t xml:space="preserve"> 2.4.6</w:t>
      </w:r>
      <w:r w:rsidRPr="006F4C38">
        <w:rPr>
          <w:rFonts w:eastAsia="MS Mincho"/>
          <w:i/>
        </w:rPr>
        <w:t>.1.</w:t>
      </w:r>
      <w:r w:rsidRPr="006F4C38">
        <w:rPr>
          <w:rFonts w:eastAsia="MS Mincho"/>
          <w:i/>
          <w:lang w:val="x-none"/>
        </w:rPr>
        <w:t xml:space="preserve"> and </w:t>
      </w:r>
      <w:r w:rsidRPr="006F4C38">
        <w:rPr>
          <w:rFonts w:eastAsia="MS Mincho"/>
          <w:i/>
        </w:rPr>
        <w:t>2.4.6.2.</w:t>
      </w:r>
      <w:r w:rsidRPr="006F4C38">
        <w:rPr>
          <w:rFonts w:eastAsia="MS Mincho"/>
          <w:i/>
          <w:lang w:val="x-none"/>
        </w:rPr>
        <w:t xml:space="preserve">, </w:t>
      </w:r>
      <w:r w:rsidRPr="006F4C38">
        <w:rPr>
          <w:rFonts w:eastAsia="MS Mincho"/>
        </w:rPr>
        <w:t>shall be deleted.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i/>
          <w:lang w:val="x-none"/>
        </w:rPr>
        <w:t>Paragraph 2.4.7</w:t>
      </w:r>
      <w:r w:rsidRPr="006F4C38">
        <w:rPr>
          <w:rFonts w:eastAsia="MS Mincho"/>
          <w:i/>
          <w:lang w:val="en-US"/>
        </w:rPr>
        <w:t>.</w:t>
      </w:r>
      <w:r w:rsidRPr="006F4C38">
        <w:rPr>
          <w:rFonts w:eastAsia="MS Mincho"/>
          <w:i/>
          <w:lang w:val="x-none"/>
        </w:rPr>
        <w:t xml:space="preserve">, </w:t>
      </w:r>
      <w:r w:rsidRPr="006F4C38">
        <w:rPr>
          <w:rFonts w:eastAsia="MS Mincho"/>
          <w:lang w:val="x-none"/>
        </w:rPr>
        <w:t>amend to read: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lang w:val="x-none"/>
        </w:rPr>
        <w:t>"2.4.7.</w:t>
      </w:r>
      <w:r w:rsidRPr="006F4C38">
        <w:rPr>
          <w:rFonts w:eastAsia="MS Mincho"/>
          <w:lang w:val="x-none"/>
        </w:rPr>
        <w:tab/>
        <w:t>In the case of LED module(s) and if no provisions are taken to shield the relevant front fog lamp components made of plastic material from</w:t>
      </w:r>
      <w:r w:rsidRPr="006F4C38">
        <w:rPr>
          <w:rFonts w:eastAsia="MS Mincho"/>
        </w:rPr>
        <w:br/>
      </w:r>
      <w:r w:rsidRPr="006F4C38">
        <w:rPr>
          <w:rFonts w:eastAsia="MS Mincho"/>
          <w:lang w:val="x-none"/>
        </w:rPr>
        <w:t>UV-radiation of light sources, e.g. by UV-retaining glass filters:</w:t>
      </w:r>
    </w:p>
    <w:p w:rsidR="006F4C38" w:rsidRPr="006F4C38" w:rsidRDefault="006F4C38" w:rsidP="006F4C38">
      <w:pPr>
        <w:spacing w:after="120" w:line="240" w:lineRule="auto"/>
        <w:ind w:left="2268" w:right="1134"/>
        <w:jc w:val="both"/>
        <w:rPr>
          <w:rFonts w:eastAsia="MS Mincho"/>
          <w:lang w:val="x-none"/>
        </w:rPr>
      </w:pPr>
      <w:r w:rsidRPr="006F4C38">
        <w:rPr>
          <w:rFonts w:eastAsia="MS Mincho"/>
          <w:lang w:val="x-none"/>
        </w:rPr>
        <w:t>One sample of each of the relevant materials. This shall have similar geometry to that of the front fog lamp being tested. Each material sample shall have the same appearance and surface treatment, if any, as intended for use in the front fog lamp to be approved."</w:t>
      </w:r>
    </w:p>
    <w:p w:rsidR="006F4C38" w:rsidRPr="006F4C38" w:rsidRDefault="006F4C38" w:rsidP="006F4C38">
      <w:pPr>
        <w:keepNext/>
        <w:spacing w:after="120" w:line="240" w:lineRule="auto"/>
        <w:ind w:left="2268" w:right="1134" w:hanging="1134"/>
        <w:jc w:val="both"/>
        <w:rPr>
          <w:rFonts w:eastAsia="MS Mincho"/>
          <w:lang w:val="x-none"/>
        </w:rPr>
      </w:pPr>
      <w:r w:rsidRPr="006F4C38">
        <w:rPr>
          <w:rFonts w:eastAsia="MS Mincho"/>
          <w:i/>
          <w:lang w:val="x-none"/>
        </w:rPr>
        <w:lastRenderedPageBreak/>
        <w:t>Paragraph 2.4.8</w:t>
      </w:r>
      <w:r w:rsidRPr="006F4C38">
        <w:rPr>
          <w:rFonts w:eastAsia="MS Mincho"/>
          <w:i/>
        </w:rPr>
        <w:t>.</w:t>
      </w:r>
      <w:r w:rsidRPr="006F4C38">
        <w:rPr>
          <w:rFonts w:eastAsia="MS Mincho"/>
          <w:i/>
          <w:lang w:val="x-none"/>
        </w:rPr>
        <w:t>,</w:t>
      </w:r>
      <w:r w:rsidRPr="006F4C38">
        <w:rPr>
          <w:rFonts w:eastAsia="MS Mincho"/>
          <w:lang w:val="x-none"/>
        </w:rPr>
        <w:t xml:space="preserve"> amend to read:</w:t>
      </w:r>
    </w:p>
    <w:p w:rsidR="006F4C38" w:rsidRPr="006F4C38" w:rsidRDefault="006F4C38" w:rsidP="006F4C38">
      <w:pPr>
        <w:keepNext/>
        <w:spacing w:after="120" w:line="240" w:lineRule="auto"/>
        <w:ind w:left="2268" w:right="1134" w:hanging="1134"/>
        <w:jc w:val="both"/>
        <w:rPr>
          <w:rFonts w:eastAsia="MS Mincho"/>
          <w:lang w:val="x-none"/>
        </w:rPr>
      </w:pPr>
      <w:r w:rsidRPr="006F4C38">
        <w:rPr>
          <w:rFonts w:eastAsia="MS Mincho"/>
          <w:lang w:val="x-none"/>
        </w:rPr>
        <w:t>"2.4.8.</w:t>
      </w:r>
      <w:r w:rsidRPr="006F4C38">
        <w:rPr>
          <w:rFonts w:eastAsia="MS Mincho"/>
          <w:lang w:val="x-none"/>
        </w:rPr>
        <w:tab/>
        <w:t>In the case of an approval of a front fog lamp</w:t>
      </w:r>
      <w:r w:rsidRPr="006F4C38">
        <w:rPr>
          <w:rFonts w:eastAsia="MS Mincho"/>
        </w:rPr>
        <w:t xml:space="preserve"> </w:t>
      </w:r>
      <w:r w:rsidRPr="006F4C38">
        <w:rPr>
          <w:rFonts w:eastAsia="MS Mincho"/>
          <w:lang w:val="x-none"/>
        </w:rPr>
        <w:t>containing plastic lenses and/or having inner optical parts made from plastic, which have already been tested:</w:t>
      </w:r>
    </w:p>
    <w:p w:rsidR="006F4C38" w:rsidRPr="006F4C38" w:rsidRDefault="006F4C38" w:rsidP="006F4C38">
      <w:pPr>
        <w:keepNext/>
        <w:spacing w:after="120" w:line="240" w:lineRule="auto"/>
        <w:ind w:left="2268" w:right="1134"/>
        <w:jc w:val="both"/>
        <w:rPr>
          <w:rFonts w:eastAsia="MS Mincho"/>
        </w:rPr>
      </w:pPr>
      <w:r w:rsidRPr="006F4C38">
        <w:rPr>
          <w:rFonts w:eastAsia="MS Mincho"/>
        </w:rPr>
        <w:t>…</w:t>
      </w:r>
      <w:r w:rsidRPr="006F4C38">
        <w:rPr>
          <w:rFonts w:eastAsia="MS Mincho"/>
          <w:lang w:val="x-none"/>
        </w:rPr>
        <w:t>"</w:t>
      </w:r>
    </w:p>
    <w:p w:rsidR="006F4C38" w:rsidRPr="006F4C38" w:rsidRDefault="006F4C38" w:rsidP="006F4C38">
      <w:pPr>
        <w:spacing w:after="120" w:line="240" w:lineRule="auto"/>
        <w:ind w:left="2268" w:right="1134" w:hanging="1134"/>
        <w:jc w:val="both"/>
      </w:pPr>
      <w:r w:rsidRPr="006F4C38">
        <w:rPr>
          <w:i/>
        </w:rPr>
        <w:t xml:space="preserve">Paragraph 3.1., </w:t>
      </w:r>
      <w:r w:rsidRPr="006F4C38">
        <w:t>amend to read: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lang w:val="x-none"/>
        </w:rPr>
        <w:t>"3.1.</w:t>
      </w:r>
      <w:r w:rsidRPr="006F4C38">
        <w:rPr>
          <w:rFonts w:eastAsia="MS Mincho"/>
          <w:lang w:val="x-none"/>
        </w:rPr>
        <w:tab/>
        <w:t>The samples of a type of front fog lamp which are submitted for approval shall clearly, legibly and indelibly bear:</w:t>
      </w:r>
    </w:p>
    <w:p w:rsidR="006F4C38" w:rsidRPr="006F4C38" w:rsidRDefault="006F4C38" w:rsidP="006F4C38">
      <w:pPr>
        <w:spacing w:after="120" w:line="240" w:lineRule="auto"/>
        <w:ind w:left="2835" w:right="1134" w:hanging="567"/>
        <w:jc w:val="both"/>
        <w:rPr>
          <w:rFonts w:eastAsia="MS Mincho"/>
          <w:lang w:eastAsia="en-GB"/>
        </w:rPr>
      </w:pPr>
      <w:r w:rsidRPr="006F4C38">
        <w:rPr>
          <w:rFonts w:eastAsia="MS Mincho"/>
          <w:lang w:eastAsia="en-GB"/>
        </w:rPr>
        <w:t>(a)</w:t>
      </w:r>
      <w:r w:rsidRPr="006F4C38">
        <w:rPr>
          <w:rFonts w:eastAsia="MS Mincho"/>
          <w:lang w:eastAsia="en-GB"/>
        </w:rPr>
        <w:tab/>
        <w:t>The trade name or mark of the applicant,</w:t>
      </w:r>
    </w:p>
    <w:p w:rsidR="006F4C38" w:rsidRPr="006F4C38" w:rsidRDefault="006F4C38" w:rsidP="006F4C38">
      <w:pPr>
        <w:spacing w:after="120" w:line="240" w:lineRule="auto"/>
        <w:ind w:left="2835" w:right="1134" w:hanging="567"/>
        <w:jc w:val="both"/>
        <w:rPr>
          <w:rFonts w:eastAsia="MS Mincho"/>
          <w:lang w:eastAsia="en-GB"/>
        </w:rPr>
      </w:pPr>
      <w:r w:rsidRPr="006F4C38">
        <w:rPr>
          <w:rFonts w:eastAsia="MS Mincho"/>
          <w:lang w:eastAsia="en-GB"/>
        </w:rPr>
        <w:t>(b)</w:t>
      </w:r>
      <w:r w:rsidRPr="006F4C38">
        <w:rPr>
          <w:rFonts w:eastAsia="MS Mincho"/>
          <w:lang w:eastAsia="en-GB"/>
        </w:rPr>
        <w:tab/>
        <w:t>Marking indicating the class of the front fog lamp, and in case of Class F3 front fog lamps:</w:t>
      </w:r>
    </w:p>
    <w:p w:rsidR="006F4C38" w:rsidRPr="006F4C38" w:rsidRDefault="00B84395" w:rsidP="00B84395">
      <w:pPr>
        <w:spacing w:after="120" w:line="240" w:lineRule="auto"/>
        <w:ind w:left="2835" w:right="1134"/>
        <w:jc w:val="both"/>
        <w:rPr>
          <w:rFonts w:eastAsia="MS Mincho"/>
          <w:lang w:eastAsia="en-GB"/>
        </w:rPr>
      </w:pPr>
      <w:r>
        <w:rPr>
          <w:rFonts w:eastAsia="MS Mincho"/>
          <w:lang w:eastAsia="en-GB"/>
        </w:rPr>
        <w:t>-</w:t>
      </w:r>
      <w:r w:rsidR="006F4C38" w:rsidRPr="006F4C38">
        <w:rPr>
          <w:rFonts w:eastAsia="MS Mincho"/>
          <w:lang w:eastAsia="en-GB"/>
        </w:rPr>
        <w:tab/>
        <w:t>The LED module specific identification code, if any."</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i/>
          <w:lang w:val="x-none"/>
        </w:rPr>
        <w:t>Paragraph 3.3</w:t>
      </w:r>
      <w:r w:rsidRPr="006F4C38">
        <w:rPr>
          <w:rFonts w:eastAsia="MS Mincho"/>
          <w:i/>
        </w:rPr>
        <w:t>.</w:t>
      </w:r>
      <w:r w:rsidRPr="006F4C38">
        <w:rPr>
          <w:rFonts w:eastAsia="MS Mincho"/>
          <w:i/>
          <w:lang w:val="x-none"/>
        </w:rPr>
        <w:t xml:space="preserve">, </w:t>
      </w:r>
      <w:r w:rsidRPr="006F4C38">
        <w:rPr>
          <w:rFonts w:eastAsia="MS Mincho"/>
          <w:lang w:val="x-none"/>
        </w:rPr>
        <w:t>amend to read:</w:t>
      </w:r>
    </w:p>
    <w:p w:rsidR="006F4C38" w:rsidRPr="006F4C38" w:rsidRDefault="006F4C38" w:rsidP="006F4C38">
      <w:pPr>
        <w:spacing w:after="120" w:line="240" w:lineRule="auto"/>
        <w:ind w:left="2268" w:right="1134" w:hanging="1134"/>
        <w:jc w:val="both"/>
        <w:rPr>
          <w:rFonts w:eastAsia="MS Mincho"/>
          <w:lang w:val="x-none"/>
        </w:rPr>
      </w:pPr>
      <w:r w:rsidRPr="006F4C38">
        <w:rPr>
          <w:rFonts w:eastAsia="MS Mincho"/>
          <w:lang w:val="x-none"/>
        </w:rPr>
        <w:t>"3.3.</w:t>
      </w:r>
      <w:r w:rsidRPr="006F4C38">
        <w:rPr>
          <w:rFonts w:eastAsia="MS Mincho"/>
          <w:lang w:val="x-none"/>
        </w:rPr>
        <w:tab/>
        <w:t>The approval marking shall be placed on an inner or outer part (transparent or not) of the device which cannot be separated from the transparent part of the device emitting light. In any case the marking shall be visible when the device is fitted on the vehicle, at least when a movable part such as the hood or boot lid or a door is opened."</w:t>
      </w:r>
    </w:p>
    <w:p w:rsidR="006F4C38" w:rsidRPr="006F4C38" w:rsidRDefault="006F4C38" w:rsidP="006F4C38">
      <w:pPr>
        <w:spacing w:after="120" w:line="240" w:lineRule="auto"/>
        <w:ind w:left="2268" w:right="1134" w:hanging="1134"/>
        <w:jc w:val="both"/>
      </w:pPr>
      <w:r w:rsidRPr="006F4C38">
        <w:rPr>
          <w:i/>
        </w:rPr>
        <w:t xml:space="preserve">Paragraph 3.4., </w:t>
      </w:r>
      <w:r w:rsidRPr="006F4C38">
        <w:t xml:space="preserve">amend to read: </w:t>
      </w:r>
    </w:p>
    <w:p w:rsidR="006F4C38" w:rsidRPr="006F4C38" w:rsidRDefault="006F4C38" w:rsidP="006F4C38">
      <w:pPr>
        <w:spacing w:after="120" w:line="240" w:lineRule="auto"/>
        <w:ind w:left="2268" w:right="1134" w:hanging="1134"/>
        <w:jc w:val="both"/>
        <w:rPr>
          <w:rFonts w:eastAsia="MS Mincho"/>
          <w:bCs/>
          <w:iCs/>
          <w:lang w:val="en-US"/>
        </w:rPr>
      </w:pPr>
      <w:r w:rsidRPr="006F4C38">
        <w:rPr>
          <w:rFonts w:eastAsia="MS Mincho"/>
          <w:lang w:val="x-none"/>
        </w:rPr>
        <w:t>"3.4.</w:t>
      </w:r>
      <w:r w:rsidRPr="006F4C38">
        <w:rPr>
          <w:rFonts w:eastAsia="MS Mincho"/>
          <w:lang w:val="x-none"/>
        </w:rPr>
        <w:tab/>
        <w:t xml:space="preserve">In case of Class F3 front fog lamps </w:t>
      </w:r>
      <w:r w:rsidRPr="006F4C38">
        <w:rPr>
          <w:rFonts w:eastAsia="MS Mincho"/>
          <w:lang w:val="en-US"/>
        </w:rPr>
        <w:t xml:space="preserve">with LED module(s) the lamp shall bear the marking of the rated voltage, </w:t>
      </w:r>
      <w:r w:rsidRPr="006F4C38">
        <w:rPr>
          <w:rFonts w:eastAsia="MS Mincho"/>
          <w:bCs/>
          <w:iCs/>
          <w:lang w:val="en-US"/>
        </w:rPr>
        <w:t>rated wattage and the light source module specific identification code."</w:t>
      </w:r>
    </w:p>
    <w:p w:rsidR="006F4C38" w:rsidRPr="006F4C38" w:rsidRDefault="006F4C38" w:rsidP="006F4C38">
      <w:pPr>
        <w:spacing w:after="120" w:line="240" w:lineRule="auto"/>
        <w:ind w:left="2268" w:right="1134" w:hanging="1134"/>
        <w:jc w:val="both"/>
        <w:rPr>
          <w:i/>
        </w:rPr>
      </w:pPr>
      <w:r w:rsidRPr="006F4C38">
        <w:rPr>
          <w:i/>
        </w:rPr>
        <w:t>Paragraphs 5.7. to 5.13.</w:t>
      </w:r>
      <w:r w:rsidR="00B84395">
        <w:rPr>
          <w:i/>
        </w:rPr>
        <w:t xml:space="preserve"> </w:t>
      </w:r>
      <w:r w:rsidR="000E2238">
        <w:rPr>
          <w:i/>
        </w:rPr>
        <w:t xml:space="preserve">and the footnote </w:t>
      </w:r>
      <w:r w:rsidR="00B84395">
        <w:rPr>
          <w:i/>
        </w:rPr>
        <w:t>5</w:t>
      </w:r>
      <w:r w:rsidRPr="006F4C38">
        <w:rPr>
          <w:i/>
        </w:rPr>
        <w:t xml:space="preserve">, </w:t>
      </w:r>
      <w:r w:rsidRPr="006F4C38">
        <w:t>amend to read</w:t>
      </w:r>
      <w:r w:rsidRPr="006F4C38">
        <w:rPr>
          <w:i/>
        </w:rPr>
        <w:t>:</w:t>
      </w:r>
    </w:p>
    <w:p w:rsidR="006F4C38" w:rsidRPr="006F4C38" w:rsidRDefault="006F4C38" w:rsidP="006F4C38">
      <w:pPr>
        <w:tabs>
          <w:tab w:val="left" w:pos="2268"/>
        </w:tabs>
        <w:spacing w:after="120" w:line="240" w:lineRule="auto"/>
        <w:ind w:left="2268" w:right="1134" w:hanging="1134"/>
        <w:jc w:val="both"/>
      </w:pPr>
      <w:r w:rsidRPr="006F4C38">
        <w:t>"5.7</w:t>
      </w:r>
      <w:r w:rsidRPr="006F4C38">
        <w:rPr>
          <w:i/>
        </w:rPr>
        <w:t>.</w:t>
      </w:r>
      <w:r w:rsidRPr="006F4C38">
        <w:rPr>
          <w:i/>
        </w:rPr>
        <w:tab/>
      </w:r>
      <w:r w:rsidRPr="006F4C38">
        <w:t>In the case of Class F3, irrespective of whether the light sources can be replaced or not, they shall be:</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5.7.1.</w:t>
      </w:r>
      <w:r w:rsidRPr="006F4C38">
        <w:rPr>
          <w:rFonts w:eastAsia="MS Mincho"/>
        </w:rPr>
        <w:tab/>
        <w:t>One or more light sources approved according to:</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5.7.1.1.</w:t>
      </w:r>
      <w:r w:rsidRPr="006F4C38">
        <w:rPr>
          <w:rFonts w:eastAsia="MS Mincho"/>
        </w:rPr>
        <w:tab/>
        <w:t>Regulation No. 37 and its series of amendments in force at the time of application for type approval, provided that no restriction on their use is made</w:t>
      </w:r>
      <w:r w:rsidR="00B84395">
        <w:rPr>
          <w:rFonts w:eastAsia="MS Mincho"/>
        </w:rPr>
        <w:t>,</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5.7.1.2.</w:t>
      </w:r>
      <w:r w:rsidRPr="006F4C38">
        <w:rPr>
          <w:rFonts w:eastAsia="MS Mincho"/>
        </w:rPr>
        <w:tab/>
        <w:t>Or, Regulation No. 99 and its series of amendments in force at the time of application for type approval,</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5.7.2.</w:t>
      </w:r>
      <w:r w:rsidRPr="006F4C38">
        <w:rPr>
          <w:rFonts w:eastAsia="MS Mincho"/>
        </w:rPr>
        <w:tab/>
        <w:t>And/or, one or more LED modules where the requirements of Annex 12 to this Regulation shall apply; compliance with these requirements shall be tested.</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5.8.</w:t>
      </w:r>
      <w:r w:rsidRPr="006F4C38">
        <w:rPr>
          <w:rFonts w:eastAsia="MS Mincho"/>
        </w:rPr>
        <w:tab/>
        <w:t>In the case of LED module it shall be checked that:</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5.8.1.</w:t>
      </w:r>
      <w:r w:rsidRPr="006F4C38">
        <w:rPr>
          <w:rFonts w:eastAsia="MS Mincho"/>
        </w:rPr>
        <w:tab/>
        <w:t>The design of the LED module(s) shall be such that they can be fitted in no position other than the correct one.</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5.8.2.</w:t>
      </w:r>
      <w:r w:rsidRPr="006F4C38">
        <w:rPr>
          <w:rFonts w:eastAsia="MS Mincho"/>
        </w:rPr>
        <w:tab/>
        <w:t>Non-identical light source modules, if any, shall be non-interchangeable within the same lamp housing.</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5.8.3.</w:t>
      </w:r>
      <w:r w:rsidRPr="006F4C38">
        <w:rPr>
          <w:rFonts w:eastAsia="MS Mincho"/>
        </w:rPr>
        <w:tab/>
        <w:t>The LED module(s) shall be tamperproof.</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5.9.</w:t>
      </w:r>
      <w:r w:rsidRPr="006F4C38">
        <w:rPr>
          <w:rFonts w:eastAsia="MS Mincho"/>
        </w:rPr>
        <w:tab/>
        <w:t>In case of front fog lamps with light source(s) having a total objective luminous flux that exceeds 2,000 lumens, a reference shall be made in item 10. of the communication form of Annex 1.</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5.10.</w:t>
      </w:r>
      <w:r w:rsidRPr="006F4C38">
        <w:rPr>
          <w:rFonts w:eastAsia="MS Mincho"/>
        </w:rPr>
        <w:tab/>
        <w:t>If the lens of the front fog lamp is made of plastic materials, tests shall be done according to the requirements of Annex 6.</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5.10.1.</w:t>
      </w:r>
      <w:r w:rsidRPr="006F4C38">
        <w:rPr>
          <w:rFonts w:eastAsia="MS Mincho"/>
        </w:rPr>
        <w:tab/>
        <w:t>The UV resistance of light transmitting components located inside the front fog lamp and made of plastic material shall be tested according to Annex 6, paragraph 2.7.</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5.10.2.</w:t>
      </w:r>
      <w:r w:rsidRPr="006F4C38">
        <w:rPr>
          <w:rFonts w:eastAsia="MS Mincho"/>
        </w:rPr>
        <w:tab/>
        <w:t>The test in paragraph 5.10.1. is not necessary if low-UV type light sources as specified in Regulation No. 99 in Annex 12 to this Regulation are used, or if provisions are taken, to shield the relevant lamp components from UV radiation, e.g. by glass filters.</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5.11.</w:t>
      </w:r>
      <w:r w:rsidRPr="006F4C38">
        <w:rPr>
          <w:rFonts w:eastAsia="MS Mincho"/>
        </w:rPr>
        <w:tab/>
        <w:t>The front fog lamp and its ballast system of light source control gear shall not generate radiated or power line disturbances, which cause a malfunction of other electric/electronic systems of the vehicle</w:t>
      </w:r>
      <w:r w:rsidR="000E2238">
        <w:rPr>
          <w:rFonts w:eastAsia="MS Mincho"/>
        </w:rPr>
        <w:t>:</w:t>
      </w:r>
      <w:r w:rsidR="00B84395">
        <w:rPr>
          <w:rFonts w:eastAsia="MS Mincho"/>
          <w:vertAlign w:val="superscript"/>
        </w:rPr>
        <w:t>5</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5.12.</w:t>
      </w:r>
      <w:r w:rsidRPr="006F4C38">
        <w:rPr>
          <w:rFonts w:eastAsia="MS Mincho"/>
        </w:rPr>
        <w:tab/>
        <w:t>Front fog lamps, designed to operate permanently with an additional system to control the intensity of the light emitted, or which are reciprocally incorporated with another function, using a common light source, and designed to operate permanently with an additional system to control the intensity of the light emitted, are permitted.</w:t>
      </w:r>
    </w:p>
    <w:p w:rsidR="006F4C38" w:rsidRPr="006F4C38" w:rsidRDefault="006F4C38" w:rsidP="006F4C38">
      <w:pPr>
        <w:spacing w:after="120" w:line="240" w:lineRule="auto"/>
        <w:ind w:left="2268" w:right="1134" w:hanging="1134"/>
        <w:jc w:val="both"/>
        <w:rPr>
          <w:rFonts w:eastAsia="MS Mincho"/>
        </w:rPr>
      </w:pPr>
      <w:r w:rsidRPr="006F4C38">
        <w:rPr>
          <w:rFonts w:eastAsia="MS Mincho"/>
        </w:rPr>
        <w:t>5.13.</w:t>
      </w:r>
      <w:r w:rsidRPr="006F4C38">
        <w:rPr>
          <w:rFonts w:eastAsia="MS Mincho"/>
        </w:rPr>
        <w:tab/>
        <w:t>In the case of Class F3 the sharpness and linearity of the cut-off shall be tested according to the requirements of Annex 9.</w:t>
      </w:r>
    </w:p>
    <w:p w:rsidR="006F4C38" w:rsidRPr="006F4C38" w:rsidRDefault="006F4C38" w:rsidP="006F4C38">
      <w:pPr>
        <w:spacing w:line="240" w:lineRule="auto"/>
        <w:ind w:left="2268" w:right="1134" w:hanging="1134"/>
        <w:jc w:val="both"/>
        <w:rPr>
          <w:rFonts w:eastAsia="SimSun"/>
          <w:u w:val="single"/>
          <w:lang w:eastAsia="en-GB"/>
        </w:rPr>
      </w:pPr>
      <w:r w:rsidRPr="006F4C38">
        <w:rPr>
          <w:rFonts w:eastAsia="SimSun"/>
          <w:lang w:eastAsia="en-GB"/>
        </w:rPr>
        <w:separator/>
      </w:r>
    </w:p>
    <w:p w:rsidR="006F4C38" w:rsidRPr="006F4C38" w:rsidRDefault="00B84395" w:rsidP="006F4C38">
      <w:pPr>
        <w:spacing w:after="120" w:line="240" w:lineRule="auto"/>
        <w:ind w:left="1701" w:right="1134" w:hanging="567"/>
        <w:jc w:val="both"/>
        <w:rPr>
          <w:rFonts w:eastAsia="SimSun"/>
          <w:lang w:eastAsia="en-GB"/>
        </w:rPr>
      </w:pPr>
      <w:r>
        <w:rPr>
          <w:rFonts w:eastAsia="SimSun"/>
          <w:vertAlign w:val="superscript"/>
          <w:lang w:eastAsia="en-GB"/>
        </w:rPr>
        <w:t>5</w:t>
      </w:r>
      <w:r w:rsidR="006F4C38" w:rsidRPr="006F4C38">
        <w:rPr>
          <w:rFonts w:eastAsia="SimSun"/>
          <w:lang w:eastAsia="en-GB"/>
        </w:rPr>
        <w:tab/>
        <w:t>Compliance with the requirements for electromagnetic compatibility is relevant to the vehicle type.</w:t>
      </w:r>
      <w:r w:rsidR="000E2238">
        <w:rPr>
          <w:rFonts w:eastAsia="SimSun"/>
          <w:lang w:eastAsia="en-GB"/>
        </w:rPr>
        <w:t>"</w:t>
      </w:r>
    </w:p>
    <w:p w:rsidR="006F4C38" w:rsidRPr="006F4C38" w:rsidRDefault="006F4C38" w:rsidP="006F4C38">
      <w:pPr>
        <w:spacing w:after="120" w:line="240" w:lineRule="auto"/>
        <w:ind w:left="2268" w:right="1134" w:hanging="1134"/>
        <w:jc w:val="both"/>
        <w:rPr>
          <w:iCs/>
          <w:lang w:eastAsia="it-IT"/>
        </w:rPr>
      </w:pPr>
      <w:r w:rsidRPr="006F4C38">
        <w:rPr>
          <w:i/>
          <w:iCs/>
          <w:lang w:eastAsia="it-IT"/>
        </w:rPr>
        <w:t>Paragraph 6.4.1.5.,</w:t>
      </w:r>
      <w:r w:rsidRPr="006F4C38">
        <w:rPr>
          <w:iCs/>
          <w:lang w:eastAsia="it-IT"/>
        </w:rPr>
        <w:t xml:space="preserve"> amend to read:</w:t>
      </w:r>
    </w:p>
    <w:p w:rsidR="006F4C38" w:rsidRPr="006F4C38" w:rsidRDefault="006F4C38" w:rsidP="006F4C38">
      <w:pPr>
        <w:spacing w:after="120" w:line="240" w:lineRule="auto"/>
        <w:ind w:left="2268" w:right="1134" w:hanging="1134"/>
        <w:jc w:val="both"/>
        <w:rPr>
          <w:iCs/>
          <w:lang w:eastAsia="it-IT"/>
        </w:rPr>
      </w:pPr>
      <w:r w:rsidRPr="006F4C38">
        <w:rPr>
          <w:iCs/>
          <w:lang w:eastAsia="it-IT"/>
        </w:rPr>
        <w:t>"6.4.1.5.</w:t>
      </w:r>
      <w:r w:rsidRPr="006F4C38">
        <w:rPr>
          <w:iCs/>
          <w:lang w:eastAsia="it-IT"/>
        </w:rPr>
        <w:tab/>
        <w:t>Compliance with the requirements of paragraph 5.8.1. shall be verified at least with respect to the values in line</w:t>
      </w:r>
      <w:r w:rsidR="000E2238">
        <w:rPr>
          <w:iCs/>
          <w:lang w:eastAsia="it-IT"/>
        </w:rPr>
        <w:t>s</w:t>
      </w:r>
      <w:r w:rsidRPr="006F4C38">
        <w:rPr>
          <w:iCs/>
          <w:lang w:eastAsia="it-IT"/>
        </w:rPr>
        <w:t xml:space="preserve"> 3 and 4 of </w:t>
      </w:r>
      <w:r w:rsidR="000E2238">
        <w:rPr>
          <w:iCs/>
          <w:lang w:eastAsia="it-IT"/>
        </w:rPr>
        <w:t xml:space="preserve">the </w:t>
      </w:r>
      <w:r w:rsidRPr="006F4C38">
        <w:rPr>
          <w:iCs/>
          <w:lang w:eastAsia="it-IT"/>
        </w:rPr>
        <w:t xml:space="preserve">table of </w:t>
      </w:r>
      <w:r w:rsidR="000E2238" w:rsidRPr="006F4C38">
        <w:rPr>
          <w:iCs/>
          <w:lang w:eastAsia="it-IT"/>
        </w:rPr>
        <w:t>paragraph</w:t>
      </w:r>
      <w:r w:rsidR="000E2238">
        <w:rPr>
          <w:iCs/>
          <w:lang w:eastAsia="it-IT"/>
        </w:rPr>
        <w:t> </w:t>
      </w:r>
      <w:r w:rsidRPr="006F4C38">
        <w:rPr>
          <w:iCs/>
          <w:lang w:eastAsia="it-IT"/>
        </w:rPr>
        <w:t>6.4.3."</w:t>
      </w:r>
    </w:p>
    <w:p w:rsidR="006F4C38" w:rsidRPr="006F4C38" w:rsidRDefault="006F4C38" w:rsidP="006F4C38">
      <w:pPr>
        <w:spacing w:after="120" w:line="240" w:lineRule="auto"/>
        <w:ind w:left="1134" w:right="1134"/>
        <w:jc w:val="center"/>
        <w:rPr>
          <w:u w:val="single"/>
        </w:rPr>
      </w:pPr>
      <w:r w:rsidRPr="006F4C38">
        <w:rPr>
          <w:u w:val="single"/>
        </w:rPr>
        <w:tab/>
      </w:r>
      <w:r w:rsidRPr="006F4C38">
        <w:rPr>
          <w:u w:val="single"/>
        </w:rPr>
        <w:tab/>
      </w:r>
      <w:r w:rsidRPr="006F4C38">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94" w:rsidRDefault="00802D94"/>
  </w:endnote>
  <w:endnote w:type="continuationSeparator" w:id="0">
    <w:p w:rsidR="00802D94" w:rsidRDefault="00802D94"/>
  </w:endnote>
  <w:endnote w:type="continuationNotice" w:id="1">
    <w:p w:rsidR="00802D94" w:rsidRDefault="0080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D5A9E">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D5A9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3D5A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94" w:rsidRPr="000B175B" w:rsidRDefault="00802D94" w:rsidP="000B175B">
      <w:pPr>
        <w:tabs>
          <w:tab w:val="right" w:pos="2155"/>
        </w:tabs>
        <w:spacing w:after="80"/>
        <w:ind w:left="680"/>
        <w:rPr>
          <w:u w:val="single"/>
        </w:rPr>
      </w:pPr>
      <w:r>
        <w:rPr>
          <w:u w:val="single"/>
        </w:rPr>
        <w:tab/>
      </w:r>
    </w:p>
  </w:footnote>
  <w:footnote w:type="continuationSeparator" w:id="0">
    <w:p w:rsidR="00802D94" w:rsidRPr="00FC68B7" w:rsidRDefault="00802D94" w:rsidP="00FC68B7">
      <w:pPr>
        <w:tabs>
          <w:tab w:val="left" w:pos="2155"/>
        </w:tabs>
        <w:spacing w:after="80"/>
        <w:ind w:left="680"/>
        <w:rPr>
          <w:u w:val="single"/>
        </w:rPr>
      </w:pPr>
      <w:r>
        <w:rPr>
          <w:u w:val="single"/>
        </w:rPr>
        <w:tab/>
      </w:r>
    </w:p>
  </w:footnote>
  <w:footnote w:type="continuationNotice" w:id="1">
    <w:p w:rsidR="00802D94" w:rsidRDefault="00802D94"/>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6F4C38">
      <w:t>/Rev.1/Add.18/Rev.7/Amend.2</w:t>
    </w:r>
    <w:r>
      <w:br/>
    </w:r>
    <w:r w:rsidRPr="00D623A7">
      <w:t>E/ECE/TRANS/505</w:t>
    </w:r>
    <w:r w:rsidR="006F4C38">
      <w:t>/Rev.1/Add.18/Rev.7/Amend.2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38" w:rsidRDefault="006F4C38" w:rsidP="006F4C38">
    <w:pPr>
      <w:pStyle w:val="Header"/>
      <w:jc w:val="right"/>
    </w:pPr>
    <w:r>
      <w:t>E/ECE/324/Rev.1/Add.18/Rev.7/Amend.2</w:t>
    </w:r>
  </w:p>
  <w:p w:rsidR="00B701B3" w:rsidRDefault="006F4C38" w:rsidP="006F4C38">
    <w:pPr>
      <w:pStyle w:val="Header"/>
      <w:jc w:val="right"/>
    </w:pPr>
    <w:r>
      <w:t>E/ECE/TRANS/505/Rev.1/Add.18/Rev.7/Amend.2</w:t>
    </w:r>
  </w:p>
  <w:p w:rsidR="001A7669" w:rsidRPr="001A7669" w:rsidRDefault="001A7669" w:rsidP="001A76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C38"/>
    <w:rsid w:val="00050F6B"/>
    <w:rsid w:val="00072C8C"/>
    <w:rsid w:val="000931C0"/>
    <w:rsid w:val="000B175B"/>
    <w:rsid w:val="000B3A0F"/>
    <w:rsid w:val="000D3A4F"/>
    <w:rsid w:val="000E0415"/>
    <w:rsid w:val="000E2238"/>
    <w:rsid w:val="00117E41"/>
    <w:rsid w:val="001220B8"/>
    <w:rsid w:val="00134B40"/>
    <w:rsid w:val="001352D9"/>
    <w:rsid w:val="00165E82"/>
    <w:rsid w:val="001A7669"/>
    <w:rsid w:val="001B4B04"/>
    <w:rsid w:val="001C6663"/>
    <w:rsid w:val="001C7895"/>
    <w:rsid w:val="001D26DF"/>
    <w:rsid w:val="00211E0B"/>
    <w:rsid w:val="002405A7"/>
    <w:rsid w:val="0024375A"/>
    <w:rsid w:val="00271A7F"/>
    <w:rsid w:val="002A1E3A"/>
    <w:rsid w:val="003107FA"/>
    <w:rsid w:val="003229D8"/>
    <w:rsid w:val="0033745A"/>
    <w:rsid w:val="00350949"/>
    <w:rsid w:val="0039277A"/>
    <w:rsid w:val="003972E0"/>
    <w:rsid w:val="003C2CC4"/>
    <w:rsid w:val="003C3936"/>
    <w:rsid w:val="003D4B23"/>
    <w:rsid w:val="003D5A9E"/>
    <w:rsid w:val="003F1ED3"/>
    <w:rsid w:val="004325CB"/>
    <w:rsid w:val="00446DE4"/>
    <w:rsid w:val="004A3FDF"/>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C2A99"/>
    <w:rsid w:val="006D406F"/>
    <w:rsid w:val="006E564B"/>
    <w:rsid w:val="006F4C38"/>
    <w:rsid w:val="00707529"/>
    <w:rsid w:val="00713BD8"/>
    <w:rsid w:val="0072632A"/>
    <w:rsid w:val="00743CD6"/>
    <w:rsid w:val="00750602"/>
    <w:rsid w:val="00776D12"/>
    <w:rsid w:val="007B6BA5"/>
    <w:rsid w:val="007C3390"/>
    <w:rsid w:val="007C4F4B"/>
    <w:rsid w:val="007D1BAF"/>
    <w:rsid w:val="007D376F"/>
    <w:rsid w:val="007F0B83"/>
    <w:rsid w:val="007F5EA8"/>
    <w:rsid w:val="007F6611"/>
    <w:rsid w:val="00802D94"/>
    <w:rsid w:val="00816ED9"/>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967AD"/>
    <w:rsid w:val="009F3A17"/>
    <w:rsid w:val="00A1427D"/>
    <w:rsid w:val="00A25D73"/>
    <w:rsid w:val="00A569D6"/>
    <w:rsid w:val="00A72F22"/>
    <w:rsid w:val="00A748A6"/>
    <w:rsid w:val="00A85956"/>
    <w:rsid w:val="00A879A4"/>
    <w:rsid w:val="00B30179"/>
    <w:rsid w:val="00B33EC0"/>
    <w:rsid w:val="00B701B3"/>
    <w:rsid w:val="00B81E12"/>
    <w:rsid w:val="00B84395"/>
    <w:rsid w:val="00BC2683"/>
    <w:rsid w:val="00BC358D"/>
    <w:rsid w:val="00BC74E9"/>
    <w:rsid w:val="00BD2146"/>
    <w:rsid w:val="00BD538F"/>
    <w:rsid w:val="00BE4F74"/>
    <w:rsid w:val="00BE618E"/>
    <w:rsid w:val="00C17699"/>
    <w:rsid w:val="00C41A28"/>
    <w:rsid w:val="00C463DD"/>
    <w:rsid w:val="00C711C7"/>
    <w:rsid w:val="00C745C3"/>
    <w:rsid w:val="00C84414"/>
    <w:rsid w:val="00C97A29"/>
    <w:rsid w:val="00CE4A8F"/>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92735"/>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4</Pages>
  <Words>1057</Words>
  <Characters>6028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2015-06-05T12:17:00Z</cp:lastPrinted>
  <dcterms:created xsi:type="dcterms:W3CDTF">2015-06-15T12:06:00Z</dcterms:created>
  <dcterms:modified xsi:type="dcterms:W3CDTF">2015-06-22T09:39:00Z</dcterms:modified>
</cp:coreProperties>
</file>