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4E2EC0" w:rsidP="00926AA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/ECE/324/Rev.1/Add.12/Rev.8/Amend.3−</w:t>
            </w:r>
            <w:r w:rsidRPr="00014D07">
              <w:rPr>
                <w:sz w:val="40"/>
              </w:rPr>
              <w:t>E</w:t>
            </w:r>
            <w:r>
              <w:t>/ECE/TRANS/505/Rev.1/Add.12/Rev.8/Amend.3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F6013" w:rsidRDefault="003F6013" w:rsidP="008A75ED">
            <w:pPr>
              <w:spacing w:before="40" w:after="40"/>
              <w:rPr>
                <w:lang w:val="fr-CH"/>
              </w:rPr>
            </w:pPr>
            <w:bookmarkStart w:id="0" w:name="_GoBack"/>
          </w:p>
          <w:p w:rsidR="003F6013" w:rsidRDefault="003F6013" w:rsidP="008A75ED">
            <w:pPr>
              <w:spacing w:before="40" w:after="40"/>
              <w:rPr>
                <w:lang w:val="fr-CH"/>
              </w:rPr>
            </w:pPr>
          </w:p>
          <w:p w:rsidR="000D6D03" w:rsidRPr="00B172D2" w:rsidRDefault="003F6013" w:rsidP="008A75ED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End w:id="0"/>
          </w:p>
        </w:tc>
      </w:tr>
    </w:tbl>
    <w:p w:rsidR="007D0057" w:rsidRDefault="007D0057" w:rsidP="007D0057">
      <w:pPr>
        <w:pStyle w:val="HChGR"/>
        <w:spacing w:before="240" w:after="120"/>
      </w:pPr>
      <w:r>
        <w:rPr>
          <w:lang w:val="en-US"/>
        </w:rPr>
        <w:tab/>
      </w:r>
      <w:bookmarkStart w:id="1" w:name="_Toc381088805"/>
      <w:bookmarkStart w:id="2" w:name="_Toc381019003"/>
      <w:r>
        <w:rPr>
          <w:lang w:val="en-US"/>
        </w:rPr>
        <w:tab/>
      </w:r>
      <w:r>
        <w:t>Соглашение</w:t>
      </w:r>
      <w:bookmarkEnd w:id="1"/>
      <w:bookmarkEnd w:id="2"/>
    </w:p>
    <w:p w:rsidR="007D0057" w:rsidRDefault="007D0057" w:rsidP="007D0057">
      <w:pPr>
        <w:pStyle w:val="H1GR"/>
        <w:spacing w:before="240" w:after="120"/>
      </w:pPr>
      <w:r>
        <w:tab/>
      </w:r>
      <w:r>
        <w:tab/>
      </w:r>
      <w:proofErr w:type="gramStart"/>
      <w: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AB5F6D">
        <w:rPr>
          <w:rStyle w:val="FootnoteReference"/>
          <w:sz w:val="20"/>
          <w:vertAlign w:val="baseline"/>
        </w:rPr>
        <w:footnoteReference w:customMarkFollows="1" w:id="1"/>
        <w:t>*</w:t>
      </w:r>
      <w:proofErr w:type="gramEnd"/>
    </w:p>
    <w:p w:rsidR="007D0057" w:rsidRDefault="007D0057" w:rsidP="007D0057">
      <w:pPr>
        <w:pStyle w:val="SingleTxtGR"/>
      </w:pPr>
      <w:r>
        <w:t>(Пересмотр 2, включающий поправки, вступившие в силу 16 октября 1995 года)</w:t>
      </w:r>
    </w:p>
    <w:p w:rsidR="007D0057" w:rsidRDefault="007D0057" w:rsidP="007D0057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057" w:rsidRDefault="007D0057" w:rsidP="007D0057">
      <w:pPr>
        <w:pStyle w:val="HChGR"/>
        <w:spacing w:before="120" w:after="120"/>
      </w:pPr>
      <w:r>
        <w:tab/>
      </w:r>
      <w:r>
        <w:tab/>
      </w:r>
      <w:bookmarkStart w:id="3" w:name="_Toc381088806"/>
      <w:bookmarkStart w:id="4" w:name="_Toc381019004"/>
      <w:r>
        <w:t>Добавление 12: Правила № 13</w:t>
      </w:r>
      <w:bookmarkEnd w:id="3"/>
      <w:bookmarkEnd w:id="4"/>
    </w:p>
    <w:p w:rsidR="007D0057" w:rsidRPr="007D0057" w:rsidRDefault="007D0057" w:rsidP="007D0057">
      <w:pPr>
        <w:pStyle w:val="H1GR"/>
        <w:spacing w:before="240" w:after="120"/>
        <w:rPr>
          <w:lang w:val="en-US"/>
        </w:rPr>
      </w:pPr>
      <w:r>
        <w:tab/>
      </w:r>
      <w:r>
        <w:tab/>
        <w:t>Пересмотр 8</w:t>
      </w:r>
      <w:r w:rsidRPr="00C6259E">
        <w:t xml:space="preserve"> – </w:t>
      </w:r>
      <w:r>
        <w:t xml:space="preserve">Поправка </w:t>
      </w:r>
      <w:r>
        <w:rPr>
          <w:lang w:val="en-US"/>
        </w:rPr>
        <w:t>3</w:t>
      </w:r>
    </w:p>
    <w:p w:rsidR="007D0057" w:rsidRDefault="007D0057" w:rsidP="007D0057">
      <w:pPr>
        <w:pStyle w:val="SingleTxtGR"/>
        <w:suppressAutoHyphens/>
        <w:spacing w:after="0" w:line="220" w:lineRule="atLeast"/>
        <w:jc w:val="left"/>
        <w:rPr>
          <w:bCs/>
          <w:sz w:val="18"/>
          <w:szCs w:val="18"/>
        </w:rPr>
      </w:pPr>
      <w:r>
        <w:rPr>
          <w:sz w:val="18"/>
          <w:szCs w:val="18"/>
        </w:rPr>
        <w:t>Дополнение 1</w:t>
      </w:r>
      <w:r>
        <w:rPr>
          <w:sz w:val="18"/>
          <w:szCs w:val="18"/>
          <w:lang w:val="en-US"/>
        </w:rPr>
        <w:t>3</w:t>
      </w:r>
      <w:r>
        <w:rPr>
          <w:sz w:val="18"/>
          <w:szCs w:val="18"/>
        </w:rPr>
        <w:t xml:space="preserve"> к поправкам серии 11 − Дата вступления в силу: </w:t>
      </w:r>
      <w:r>
        <w:rPr>
          <w:sz w:val="18"/>
          <w:szCs w:val="18"/>
          <w:lang w:val="en-US"/>
        </w:rPr>
        <w:t>8</w:t>
      </w:r>
      <w:r>
        <w:rPr>
          <w:sz w:val="18"/>
          <w:szCs w:val="18"/>
        </w:rPr>
        <w:t xml:space="preserve"> октября 2015 года</w:t>
      </w:r>
    </w:p>
    <w:p w:rsidR="007D0057" w:rsidRDefault="007D0057" w:rsidP="007D0057">
      <w:pPr>
        <w:pStyle w:val="H1GR"/>
        <w:spacing w:before="240" w:after="120"/>
      </w:pPr>
      <w:r>
        <w:tab/>
      </w:r>
      <w:r>
        <w:tab/>
        <w:t>Единообразные предписания, касающиеся официального утверждения транспортных средств категорий М, N и</w:t>
      </w:r>
      <w:proofErr w:type="gramStart"/>
      <w:r>
        <w:t xml:space="preserve"> О</w:t>
      </w:r>
      <w:proofErr w:type="gramEnd"/>
      <w:r>
        <w:t xml:space="preserve"> в</w:t>
      </w:r>
      <w:r>
        <w:rPr>
          <w:lang w:val="en-US"/>
        </w:rPr>
        <w:t> </w:t>
      </w:r>
      <w:r>
        <w:t>отношении торможения</w:t>
      </w:r>
    </w:p>
    <w:p w:rsidR="007D0057" w:rsidRPr="00C6259E" w:rsidRDefault="007D0057" w:rsidP="007D0057">
      <w:pPr>
        <w:pStyle w:val="SingleTxtGR"/>
        <w:rPr>
          <w:lang w:eastAsia="ru-RU"/>
        </w:rPr>
      </w:pPr>
      <w:r>
        <w:rPr>
          <w:rStyle w:val="hps"/>
        </w:rPr>
        <w:t xml:space="preserve">Данный </w:t>
      </w:r>
      <w:r w:rsidRPr="000B5EDD">
        <w:t>документ</w:t>
      </w:r>
      <w:r>
        <w:rPr>
          <w:rStyle w:val="hps"/>
        </w:rPr>
        <w:t xml:space="preserve"> опубликован исключительно</w:t>
      </w:r>
      <w:r w:rsidRPr="00C6259E">
        <w:rPr>
          <w:rStyle w:val="hp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 w:rsidRPr="00C6259E"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Pr="007D0057">
        <w:rPr>
          <w:spacing w:val="-6"/>
          <w:lang w:eastAsia="en-GB"/>
        </w:rPr>
        <w:t>ECE/TRANS/WP.29/2015/6</w:t>
      </w:r>
      <w:r w:rsidRPr="00C6259E"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3F6013" w:rsidP="005C5D5B">
      <w:pPr>
        <w:spacing w:after="240"/>
        <w:jc w:val="center"/>
      </w:pPr>
      <w:bookmarkStart w:id="5" w:name="_MON_1000209745"/>
      <w:bookmarkEnd w:id="5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5pt" fillcolor="window">
            <v:imagedata r:id="rId9" o:title=""/>
          </v:shape>
        </w:pict>
      </w:r>
    </w:p>
    <w:p w:rsidR="007D0057" w:rsidRDefault="003C1586" w:rsidP="004D41CA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9D0DA6" w:rsidRPr="00C25910" w:rsidRDefault="00350378" w:rsidP="009D0DA6">
      <w:pPr>
        <w:pStyle w:val="SingleTxtGR"/>
        <w:rPr>
          <w:i/>
        </w:rPr>
      </w:pPr>
      <w:r>
        <w:rPr>
          <w:b/>
        </w:rPr>
        <w:br w:type="page"/>
      </w:r>
      <w:r w:rsidR="009D0DA6" w:rsidRPr="00C25910">
        <w:rPr>
          <w:i/>
        </w:rPr>
        <w:lastRenderedPageBreak/>
        <w:t>Приложение 10</w:t>
      </w:r>
    </w:p>
    <w:p w:rsidR="009D0DA6" w:rsidRDefault="009D0DA6" w:rsidP="009D0DA6">
      <w:pPr>
        <w:pStyle w:val="SingleTxtGR"/>
      </w:pPr>
      <w:r w:rsidRPr="006C4E4C">
        <w:rPr>
          <w:i/>
        </w:rPr>
        <w:t xml:space="preserve">Пункт </w:t>
      </w:r>
      <w:r>
        <w:rPr>
          <w:i/>
        </w:rPr>
        <w:t>1.1</w:t>
      </w:r>
      <w:r>
        <w:t xml:space="preserve"> изменить следующим образом:</w:t>
      </w:r>
    </w:p>
    <w:p w:rsidR="009D0DA6" w:rsidRDefault="009D0DA6" w:rsidP="009D0DA6">
      <w:pPr>
        <w:pStyle w:val="SingleTxtGR"/>
        <w:ind w:left="2268" w:hanging="1134"/>
        <w:rPr>
          <w:szCs w:val="23"/>
        </w:rPr>
      </w:pPr>
      <w:r>
        <w:t>"1.1</w:t>
      </w:r>
      <w:r>
        <w:tab/>
      </w:r>
      <w:r>
        <w:tab/>
      </w:r>
      <w:r>
        <w:rPr>
          <w:szCs w:val="23"/>
        </w:rPr>
        <w:t>Транспортные средства категорий M</w:t>
      </w:r>
      <w:r>
        <w:rPr>
          <w:szCs w:val="23"/>
          <w:vertAlign w:val="subscript"/>
        </w:rPr>
        <w:t>2</w:t>
      </w:r>
      <w:r>
        <w:rPr>
          <w:szCs w:val="23"/>
        </w:rPr>
        <w:t>, М</w:t>
      </w:r>
      <w:r>
        <w:rPr>
          <w:szCs w:val="23"/>
          <w:vertAlign w:val="subscript"/>
        </w:rPr>
        <w:t>3</w:t>
      </w:r>
      <w:r>
        <w:rPr>
          <w:szCs w:val="23"/>
        </w:rPr>
        <w:t>, N, О</w:t>
      </w:r>
      <w:proofErr w:type="gramStart"/>
      <w:r>
        <w:rPr>
          <w:szCs w:val="23"/>
          <w:vertAlign w:val="subscript"/>
        </w:rPr>
        <w:t>2</w:t>
      </w:r>
      <w:proofErr w:type="gramEnd"/>
      <w:r>
        <w:rPr>
          <w:szCs w:val="23"/>
        </w:rPr>
        <w:t>, О</w:t>
      </w:r>
      <w:r>
        <w:rPr>
          <w:szCs w:val="23"/>
          <w:vertAlign w:val="subscript"/>
        </w:rPr>
        <w:t>3</w:t>
      </w:r>
      <w:r>
        <w:rPr>
          <w:szCs w:val="23"/>
        </w:rPr>
        <w:t xml:space="preserve"> и О</w:t>
      </w:r>
      <w:r>
        <w:rPr>
          <w:szCs w:val="23"/>
          <w:vertAlign w:val="subscript"/>
        </w:rPr>
        <w:t xml:space="preserve">4, </w:t>
      </w:r>
      <w:r>
        <w:t>должны отвечать всем предписаниям настоящего приложения</w:t>
      </w:r>
      <w:r>
        <w:rPr>
          <w:szCs w:val="23"/>
        </w:rPr>
        <w:t>. Если испол</w:t>
      </w:r>
      <w:r>
        <w:rPr>
          <w:szCs w:val="23"/>
        </w:rPr>
        <w:t>ь</w:t>
      </w:r>
      <w:r>
        <w:rPr>
          <w:szCs w:val="23"/>
        </w:rPr>
        <w:t>зуется специальное устройство, то оно должно срабатывать автом</w:t>
      </w:r>
      <w:r>
        <w:rPr>
          <w:szCs w:val="23"/>
        </w:rPr>
        <w:t>а</w:t>
      </w:r>
      <w:r>
        <w:rPr>
          <w:szCs w:val="23"/>
        </w:rPr>
        <w:t>тически</w:t>
      </w:r>
      <w:r>
        <w:rPr>
          <w:rStyle w:val="FootnoteReference"/>
          <w:szCs w:val="23"/>
        </w:rPr>
        <w:footnoteReference w:id="2"/>
      </w:r>
      <w:r>
        <w:rPr>
          <w:szCs w:val="23"/>
        </w:rPr>
        <w:t>.</w:t>
      </w:r>
    </w:p>
    <w:p w:rsidR="009D0DA6" w:rsidRPr="00A844C4" w:rsidRDefault="009D0DA6" w:rsidP="009D0DA6">
      <w:pPr>
        <w:pStyle w:val="SingleTxtGR"/>
        <w:spacing w:line="240" w:lineRule="auto"/>
        <w:ind w:left="2268"/>
        <w:rPr>
          <w:lang w:eastAsia="zh-CN"/>
        </w:rPr>
      </w:pPr>
      <w:r w:rsidRPr="00250FAF">
        <w:rPr>
          <w:lang w:eastAsia="zh-CN"/>
        </w:rPr>
        <w:t xml:space="preserve">Вместе с тем транспортные средства указанных выше категорий, которые оборудованы антиблокировочной тормозной системой и отвечают соответствующим </w:t>
      </w:r>
      <w:r w:rsidRPr="00A844C4">
        <w:rPr>
          <w:lang w:eastAsia="zh-CN"/>
        </w:rPr>
        <w:t>предписаниям</w:t>
      </w:r>
      <w:r w:rsidRPr="00250FAF">
        <w:rPr>
          <w:lang w:eastAsia="zh-CN"/>
        </w:rPr>
        <w:t xml:space="preserve"> приложения 13, должны также </w:t>
      </w:r>
      <w:r w:rsidRPr="00A844C4">
        <w:rPr>
          <w:lang w:eastAsia="zh-CN"/>
        </w:rPr>
        <w:t>отвечать</w:t>
      </w:r>
      <w:r w:rsidRPr="00250FAF">
        <w:rPr>
          <w:lang w:eastAsia="zh-CN"/>
        </w:rPr>
        <w:t xml:space="preserve"> всем соответствующим </w:t>
      </w:r>
      <w:r w:rsidRPr="00A844C4">
        <w:rPr>
          <w:lang w:eastAsia="zh-CN"/>
        </w:rPr>
        <w:t>предписаниям</w:t>
      </w:r>
      <w:r w:rsidRPr="00250FAF">
        <w:rPr>
          <w:lang w:eastAsia="zh-CN"/>
        </w:rPr>
        <w:t xml:space="preserve"> настоящего приложения </w:t>
      </w:r>
      <w:r w:rsidRPr="00A844C4">
        <w:rPr>
          <w:lang w:eastAsia="zh-CN"/>
        </w:rPr>
        <w:t>за следующими исключениями:</w:t>
      </w:r>
    </w:p>
    <w:p w:rsidR="009D0DA6" w:rsidRPr="00A844C4" w:rsidRDefault="009D0DA6" w:rsidP="009D0DA6">
      <w:pPr>
        <w:pStyle w:val="SingleTxtGR"/>
        <w:ind w:left="2835" w:hanging="1701"/>
        <w:rPr>
          <w:bCs/>
        </w:rPr>
      </w:pPr>
      <w:r w:rsidRPr="00A844C4">
        <w:rPr>
          <w:bCs/>
        </w:rPr>
        <w:tab/>
      </w:r>
      <w:r w:rsidRPr="00A844C4">
        <w:rPr>
          <w:bCs/>
        </w:rPr>
        <w:tab/>
      </w:r>
      <w:r w:rsidRPr="00A844C4">
        <w:rPr>
          <w:bCs/>
          <w:lang w:val="en-US"/>
        </w:rPr>
        <w:t>a</w:t>
      </w:r>
      <w:r w:rsidRPr="00A844C4">
        <w:rPr>
          <w:bCs/>
        </w:rPr>
        <w:t>)</w:t>
      </w:r>
      <w:r w:rsidRPr="00A844C4">
        <w:rPr>
          <w:bCs/>
        </w:rPr>
        <w:tab/>
      </w:r>
      <w:proofErr w:type="gramStart"/>
      <w:r w:rsidRPr="00A844C4">
        <w:rPr>
          <w:bCs/>
        </w:rPr>
        <w:t>соблюдение</w:t>
      </w:r>
      <w:proofErr w:type="gramEnd"/>
      <w:r w:rsidRPr="00A844C4">
        <w:rPr>
          <w:bCs/>
        </w:rPr>
        <w:t xml:space="preserve"> предписаний </w:t>
      </w:r>
      <w:r w:rsidRPr="00A844C4">
        <w:t>в отношении реализуемого сцепл</w:t>
      </w:r>
      <w:r w:rsidRPr="00A844C4">
        <w:t>е</w:t>
      </w:r>
      <w:r w:rsidRPr="00A844C4">
        <w:t>ния, которы</w:t>
      </w:r>
      <w:r>
        <w:t xml:space="preserve">е отражены на </w:t>
      </w:r>
      <w:r w:rsidRPr="00A844C4">
        <w:t>диаграм</w:t>
      </w:r>
      <w:r>
        <w:t>мах</w:t>
      </w:r>
      <w:r w:rsidRPr="00A844C4">
        <w:t xml:space="preserve"> </w:t>
      </w:r>
      <w:r w:rsidRPr="00A844C4">
        <w:rPr>
          <w:bCs/>
        </w:rPr>
        <w:t>1</w:t>
      </w:r>
      <w:r w:rsidRPr="00A844C4">
        <w:rPr>
          <w:bCs/>
          <w:lang w:val="en-US"/>
        </w:rPr>
        <w:t>A</w:t>
      </w:r>
      <w:r w:rsidRPr="00A844C4">
        <w:rPr>
          <w:bCs/>
        </w:rPr>
        <w:t>, 1</w:t>
      </w:r>
      <w:r w:rsidRPr="00A844C4">
        <w:rPr>
          <w:bCs/>
          <w:lang w:val="en-US"/>
        </w:rPr>
        <w:t>B</w:t>
      </w:r>
      <w:r w:rsidRPr="00A844C4">
        <w:rPr>
          <w:bCs/>
        </w:rPr>
        <w:t xml:space="preserve"> или 1</w:t>
      </w:r>
      <w:r w:rsidRPr="00A844C4">
        <w:rPr>
          <w:bCs/>
          <w:lang w:val="en-US"/>
        </w:rPr>
        <w:t>C</w:t>
      </w:r>
      <w:r w:rsidRPr="00112A92">
        <w:t>,</w:t>
      </w:r>
      <w:r w:rsidRPr="00A844C4">
        <w:t xml:space="preserve"> соо</w:t>
      </w:r>
      <w:r w:rsidRPr="00A844C4">
        <w:t>т</w:t>
      </w:r>
      <w:r w:rsidRPr="00A844C4">
        <w:t>ветственно, не требуется;</w:t>
      </w:r>
    </w:p>
    <w:p w:rsidR="009D0DA6" w:rsidRPr="00A844C4" w:rsidRDefault="009D0DA6" w:rsidP="009D0DA6">
      <w:pPr>
        <w:pStyle w:val="SingleTxtGR"/>
        <w:ind w:left="2835" w:hanging="1701"/>
        <w:rPr>
          <w:bCs/>
        </w:rPr>
      </w:pPr>
      <w:r w:rsidRPr="00A844C4">
        <w:rPr>
          <w:bCs/>
        </w:rPr>
        <w:tab/>
      </w:r>
      <w:r w:rsidRPr="00A844C4">
        <w:rPr>
          <w:bCs/>
        </w:rPr>
        <w:tab/>
      </w:r>
      <w:r w:rsidRPr="00A844C4">
        <w:rPr>
          <w:bCs/>
          <w:lang w:val="en-US"/>
        </w:rPr>
        <w:t>b</w:t>
      </w:r>
      <w:r w:rsidRPr="00A844C4">
        <w:rPr>
          <w:bCs/>
        </w:rPr>
        <w:t>)</w:t>
      </w:r>
      <w:r w:rsidRPr="00A844C4">
        <w:rPr>
          <w:bCs/>
        </w:rPr>
        <w:tab/>
      </w:r>
      <w:proofErr w:type="gramStart"/>
      <w:r w:rsidRPr="00A844C4">
        <w:rPr>
          <w:bCs/>
        </w:rPr>
        <w:t>в</w:t>
      </w:r>
      <w:proofErr w:type="gramEnd"/>
      <w:r w:rsidRPr="00A844C4">
        <w:rPr>
          <w:bCs/>
        </w:rPr>
        <w:t xml:space="preserve"> случае </w:t>
      </w:r>
      <w:r w:rsidRPr="00A844C4">
        <w:t xml:space="preserve">буксирующих транспортных средств и прицепов, </w:t>
      </w:r>
      <w:r w:rsidRPr="00A844C4">
        <w:rPr>
          <w:spacing w:val="-2"/>
          <w:szCs w:val="23"/>
        </w:rPr>
        <w:t xml:space="preserve">оборудованных </w:t>
      </w:r>
      <w:r w:rsidRPr="00A844C4">
        <w:rPr>
          <w:szCs w:val="23"/>
        </w:rPr>
        <w:t xml:space="preserve">пневматическими тормозными системами, </w:t>
      </w:r>
      <w:r w:rsidRPr="00A844C4">
        <w:rPr>
          <w:bCs/>
        </w:rPr>
        <w:t>с</w:t>
      </w:r>
      <w:r w:rsidRPr="00A844C4">
        <w:rPr>
          <w:bCs/>
        </w:rPr>
        <w:t>о</w:t>
      </w:r>
      <w:r w:rsidRPr="00A844C4">
        <w:rPr>
          <w:bCs/>
        </w:rPr>
        <w:t xml:space="preserve">блюдение предписаний </w:t>
      </w:r>
      <w:r w:rsidRPr="00A844C4">
        <w:t xml:space="preserve">о </w:t>
      </w:r>
      <w:r w:rsidRPr="00A844C4">
        <w:rPr>
          <w:szCs w:val="23"/>
        </w:rPr>
        <w:t>совместимости в порожнем состо</w:t>
      </w:r>
      <w:r w:rsidRPr="00A844C4">
        <w:rPr>
          <w:szCs w:val="23"/>
        </w:rPr>
        <w:t>я</w:t>
      </w:r>
      <w:r w:rsidRPr="00A844C4">
        <w:rPr>
          <w:szCs w:val="23"/>
        </w:rPr>
        <w:t xml:space="preserve">нии, </w:t>
      </w:r>
      <w:r w:rsidRPr="00A844C4">
        <w:t>которы</w:t>
      </w:r>
      <w:r>
        <w:t>е отражены на</w:t>
      </w:r>
      <w:r w:rsidRPr="00A844C4">
        <w:t xml:space="preserve"> диаграмм</w:t>
      </w:r>
      <w:r>
        <w:t>ах</w:t>
      </w:r>
      <w:r w:rsidRPr="00A844C4">
        <w:t xml:space="preserve"> </w:t>
      </w:r>
      <w:r w:rsidRPr="00A844C4">
        <w:rPr>
          <w:bCs/>
        </w:rPr>
        <w:t>2, 3 или 4</w:t>
      </w:r>
      <w:r w:rsidRPr="00A844C4">
        <w:t>, соотве</w:t>
      </w:r>
      <w:r w:rsidRPr="00A844C4">
        <w:t>т</w:t>
      </w:r>
      <w:r w:rsidRPr="00A844C4">
        <w:t>ственно</w:t>
      </w:r>
      <w:r w:rsidRPr="00A844C4">
        <w:rPr>
          <w:szCs w:val="23"/>
        </w:rPr>
        <w:t xml:space="preserve">, </w:t>
      </w:r>
      <w:r w:rsidRPr="00A844C4">
        <w:t>не требуется</w:t>
      </w:r>
      <w:r w:rsidRPr="00A844C4">
        <w:rPr>
          <w:szCs w:val="23"/>
        </w:rPr>
        <w:t xml:space="preserve">. </w:t>
      </w:r>
      <w:r w:rsidRPr="00A844C4">
        <w:t>Вместе с тем для всех условий загру</w:t>
      </w:r>
      <w:r w:rsidRPr="00A844C4">
        <w:t>з</w:t>
      </w:r>
      <w:r w:rsidRPr="00A844C4">
        <w:t>ки коэффициент торможения должен достигаться в диапазоне значений давления 20 кПа – 100 кПа или при эквивалентной цифровой величине</w:t>
      </w:r>
      <w:r>
        <w:t>, заданной</w:t>
      </w:r>
      <w:r w:rsidRPr="00A844C4">
        <w:t xml:space="preserve"> на соединительной головке управляющей магистрали (управляющих магистралей)".</w:t>
      </w:r>
    </w:p>
    <w:p w:rsidR="009D0DA6" w:rsidRDefault="009D0DA6" w:rsidP="009D0DA6">
      <w:pPr>
        <w:pStyle w:val="SingleTxtGR"/>
      </w:pPr>
      <w:r w:rsidRPr="006C4E4C">
        <w:rPr>
          <w:i/>
        </w:rPr>
        <w:t xml:space="preserve">Пункт </w:t>
      </w:r>
      <w:r>
        <w:rPr>
          <w:i/>
        </w:rPr>
        <w:t>1.3.1</w:t>
      </w:r>
      <w:r>
        <w:t xml:space="preserve"> изменить следующим образом:</w:t>
      </w:r>
    </w:p>
    <w:p w:rsidR="009D0DA6" w:rsidRDefault="009D0DA6" w:rsidP="009D0DA6">
      <w:pPr>
        <w:pStyle w:val="SingleTxtGR"/>
        <w:ind w:left="2268" w:hanging="1134"/>
        <w:rPr>
          <w:szCs w:val="23"/>
        </w:rPr>
      </w:pPr>
      <w:r>
        <w:t>"1.3.1</w:t>
      </w:r>
      <w:proofErr w:type="gramStart"/>
      <w:r>
        <w:tab/>
      </w:r>
      <w:r>
        <w:tab/>
        <w:t>В</w:t>
      </w:r>
      <w:proofErr w:type="gramEnd"/>
      <w:r>
        <w:t>о время официального утверждения</w:t>
      </w:r>
      <w:r>
        <w:rPr>
          <w:szCs w:val="23"/>
        </w:rPr>
        <w:t xml:space="preserve"> типа производится проверка соответствия нарастания тормозного усилия на оси каждой незав</w:t>
      </w:r>
      <w:r>
        <w:rPr>
          <w:szCs w:val="23"/>
        </w:rPr>
        <w:t>и</w:t>
      </w:r>
      <w:r>
        <w:rPr>
          <w:szCs w:val="23"/>
        </w:rPr>
        <w:t>симой группы осей</w:t>
      </w:r>
      <w:r>
        <w:rPr>
          <w:b/>
          <w:szCs w:val="23"/>
        </w:rPr>
        <w:t xml:space="preserve"> </w:t>
      </w:r>
      <w:r>
        <w:rPr>
          <w:szCs w:val="23"/>
        </w:rPr>
        <w:t>нижеследующим диапазонам давления:</w:t>
      </w:r>
    </w:p>
    <w:p w:rsidR="009D0DA6" w:rsidRDefault="009D0DA6" w:rsidP="009D0DA6">
      <w:pPr>
        <w:pStyle w:val="SingleTxtGR"/>
        <w:ind w:left="2268" w:hanging="1134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>а)</w:t>
      </w:r>
      <w:r>
        <w:rPr>
          <w:szCs w:val="23"/>
        </w:rPr>
        <w:tab/>
        <w:t>Груженые транспортные средства:</w:t>
      </w:r>
    </w:p>
    <w:p w:rsidR="009D0DA6" w:rsidRDefault="009D0DA6" w:rsidP="009D0DA6">
      <w:pPr>
        <w:pStyle w:val="SingleTxtGR"/>
        <w:ind w:left="2835" w:hanging="1134"/>
      </w:pPr>
      <w:r>
        <w:rPr>
          <w:szCs w:val="23"/>
        </w:rPr>
        <w:tab/>
      </w:r>
      <w:r>
        <w:rPr>
          <w:szCs w:val="23"/>
        </w:rPr>
        <w:tab/>
        <w:t xml:space="preserve">Тормозное усилие начинает </w:t>
      </w:r>
      <w:proofErr w:type="gramStart"/>
      <w:r>
        <w:rPr>
          <w:szCs w:val="23"/>
        </w:rPr>
        <w:t>нарастать</w:t>
      </w:r>
      <w:proofErr w:type="gramEnd"/>
      <w:r>
        <w:rPr>
          <w:szCs w:val="23"/>
        </w:rPr>
        <w:t xml:space="preserve"> по меньшей мере на одной оси, когда давление на соединительной головке опо</w:t>
      </w:r>
      <w:r>
        <w:rPr>
          <w:szCs w:val="23"/>
        </w:rPr>
        <w:t>р</w:t>
      </w:r>
      <w:r>
        <w:rPr>
          <w:szCs w:val="23"/>
        </w:rPr>
        <w:t xml:space="preserve">но-сцепного устройства соответствует диапазону 20–100 кПа </w:t>
      </w:r>
      <w:r w:rsidRPr="00B83381">
        <w:rPr>
          <w:szCs w:val="23"/>
        </w:rPr>
        <w:t xml:space="preserve">или эквивалентной </w:t>
      </w:r>
      <w:r>
        <w:rPr>
          <w:szCs w:val="23"/>
        </w:rPr>
        <w:t>заданной</w:t>
      </w:r>
      <w:r w:rsidRPr="00B83381">
        <w:rPr>
          <w:szCs w:val="23"/>
        </w:rPr>
        <w:t xml:space="preserve"> цифровой величине</w:t>
      </w:r>
      <w:r w:rsidRPr="00411A58">
        <w:t>.</w:t>
      </w:r>
    </w:p>
    <w:p w:rsidR="009D0DA6" w:rsidRPr="000F19DF" w:rsidRDefault="009D0DA6" w:rsidP="009D0DA6">
      <w:pPr>
        <w:pStyle w:val="SingleTxtGR"/>
        <w:ind w:left="2835" w:hanging="1134"/>
        <w:rPr>
          <w:szCs w:val="23"/>
        </w:rPr>
      </w:pPr>
      <w:r w:rsidRPr="000F19DF">
        <w:rPr>
          <w:szCs w:val="23"/>
        </w:rPr>
        <w:tab/>
      </w:r>
      <w:r w:rsidRPr="000F19DF">
        <w:rPr>
          <w:szCs w:val="23"/>
        </w:rPr>
        <w:tab/>
        <w:t xml:space="preserve">Тормозное усилие начинает </w:t>
      </w:r>
      <w:proofErr w:type="gramStart"/>
      <w:r w:rsidRPr="000F19DF">
        <w:rPr>
          <w:szCs w:val="23"/>
        </w:rPr>
        <w:t>нарастать</w:t>
      </w:r>
      <w:proofErr w:type="gramEnd"/>
      <w:r w:rsidRPr="000F19DF">
        <w:rPr>
          <w:szCs w:val="23"/>
        </w:rPr>
        <w:t xml:space="preserve"> по меньшей мере на одной оси любой другой группы осей, когда давление на с</w:t>
      </w:r>
      <w:r w:rsidRPr="000F19DF">
        <w:rPr>
          <w:szCs w:val="23"/>
        </w:rPr>
        <w:t>о</w:t>
      </w:r>
      <w:r w:rsidRPr="000F19DF">
        <w:rPr>
          <w:szCs w:val="23"/>
        </w:rPr>
        <w:t>единительной головке опорно-сцепного устройства составл</w:t>
      </w:r>
      <w:r w:rsidRPr="000F19DF">
        <w:rPr>
          <w:szCs w:val="23"/>
        </w:rPr>
        <w:t>я</w:t>
      </w:r>
      <w:r w:rsidRPr="000F19DF">
        <w:rPr>
          <w:szCs w:val="23"/>
        </w:rPr>
        <w:t xml:space="preserve">ет ≤ 120 кПа </w:t>
      </w:r>
      <w:r w:rsidRPr="00883EBB">
        <w:rPr>
          <w:szCs w:val="23"/>
        </w:rPr>
        <w:t xml:space="preserve">или соответствует эквивалентной </w:t>
      </w:r>
      <w:r>
        <w:rPr>
          <w:szCs w:val="23"/>
        </w:rPr>
        <w:t>заданн</w:t>
      </w:r>
      <w:r w:rsidRPr="00883EBB">
        <w:rPr>
          <w:szCs w:val="23"/>
        </w:rPr>
        <w:t>ой цифровой величине</w:t>
      </w:r>
      <w:r w:rsidRPr="000F19DF">
        <w:rPr>
          <w:szCs w:val="23"/>
        </w:rPr>
        <w:t>.</w:t>
      </w:r>
    </w:p>
    <w:p w:rsidR="009D0DA6" w:rsidRDefault="009D0DA6" w:rsidP="009D0DA6">
      <w:pPr>
        <w:pStyle w:val="SingleTxtGR"/>
        <w:ind w:left="2268" w:hanging="1134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>b)</w:t>
      </w:r>
      <w:r>
        <w:rPr>
          <w:szCs w:val="23"/>
        </w:rPr>
        <w:tab/>
        <w:t>Порожние транспортные средства:</w:t>
      </w:r>
    </w:p>
    <w:p w:rsidR="009D0DA6" w:rsidRPr="006F2D78" w:rsidRDefault="009D0DA6" w:rsidP="009D0DA6">
      <w:pPr>
        <w:pStyle w:val="SingleTxtGR"/>
        <w:ind w:left="2835" w:hanging="1134"/>
      </w:pPr>
      <w:r w:rsidRPr="006F2D78">
        <w:rPr>
          <w:szCs w:val="23"/>
        </w:rPr>
        <w:tab/>
      </w:r>
      <w:r w:rsidRPr="006F2D78">
        <w:rPr>
          <w:szCs w:val="23"/>
        </w:rPr>
        <w:tab/>
        <w:t xml:space="preserve">Тормозное усилие начинает </w:t>
      </w:r>
      <w:proofErr w:type="gramStart"/>
      <w:r w:rsidRPr="006F2D78">
        <w:rPr>
          <w:szCs w:val="23"/>
        </w:rPr>
        <w:t>нарастать</w:t>
      </w:r>
      <w:proofErr w:type="gramEnd"/>
      <w:r w:rsidRPr="006F2D78">
        <w:rPr>
          <w:szCs w:val="23"/>
        </w:rPr>
        <w:t xml:space="preserve"> по меньшей мере на одной оси, когда давление на соединительной головке опо</w:t>
      </w:r>
      <w:r w:rsidRPr="006F2D78">
        <w:rPr>
          <w:szCs w:val="23"/>
        </w:rPr>
        <w:t>р</w:t>
      </w:r>
      <w:r w:rsidRPr="006F2D78">
        <w:rPr>
          <w:szCs w:val="23"/>
        </w:rPr>
        <w:t>но-сцепного устройства соответствует диапазону 20–100 кПа</w:t>
      </w:r>
      <w:r w:rsidRPr="006F2D78">
        <w:t xml:space="preserve"> </w:t>
      </w:r>
      <w:r w:rsidRPr="00883EBB">
        <w:rPr>
          <w:szCs w:val="23"/>
        </w:rPr>
        <w:t>или эквивалентной заданной цифровой величине</w:t>
      </w:r>
      <w:r w:rsidRPr="006F2D78">
        <w:t>".</w:t>
      </w:r>
    </w:p>
    <w:p w:rsidR="009D0DA6" w:rsidRDefault="009D0DA6" w:rsidP="009D0DA6">
      <w:pPr>
        <w:pStyle w:val="SingleTxtGR"/>
      </w:pPr>
      <w:r w:rsidRPr="006C4E4C">
        <w:rPr>
          <w:i/>
        </w:rPr>
        <w:lastRenderedPageBreak/>
        <w:t xml:space="preserve">Пункт </w:t>
      </w:r>
      <w:r>
        <w:rPr>
          <w:i/>
        </w:rPr>
        <w:t>6</w:t>
      </w:r>
      <w:r>
        <w:t xml:space="preserve"> изменить следующим образом:</w:t>
      </w:r>
    </w:p>
    <w:p w:rsidR="009D0DA6" w:rsidRDefault="009D0DA6" w:rsidP="009D0DA6">
      <w:pPr>
        <w:pStyle w:val="SingleTxtGR"/>
        <w:ind w:left="2268" w:hanging="1134"/>
        <w:rPr>
          <w:szCs w:val="23"/>
        </w:rPr>
      </w:pPr>
      <w:r>
        <w:t>"6.</w:t>
      </w:r>
      <w:r>
        <w:tab/>
      </w:r>
      <w:r>
        <w:tab/>
        <w:t>Предписания</w:t>
      </w:r>
      <w:r>
        <w:rPr>
          <w:szCs w:val="23"/>
        </w:rPr>
        <w:t>, которые должны выполняться в случае отказа сист</w:t>
      </w:r>
      <w:r>
        <w:rPr>
          <w:szCs w:val="23"/>
        </w:rPr>
        <w:t>е</w:t>
      </w:r>
      <w:r>
        <w:rPr>
          <w:szCs w:val="23"/>
        </w:rPr>
        <w:t>мы распределения тормозного усилия</w:t>
      </w:r>
    </w:p>
    <w:p w:rsidR="009D0DA6" w:rsidRDefault="009D0DA6" w:rsidP="009D0DA6">
      <w:pPr>
        <w:pStyle w:val="SingleTxtGR"/>
        <w:ind w:left="2268" w:hanging="1134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t>Если предписания настоящего приложения выполняются при п</w:t>
      </w:r>
      <w:r>
        <w:t>о</w:t>
      </w:r>
      <w:r>
        <w:t>мощи специального устройства (например, с механическим прив</w:t>
      </w:r>
      <w:r>
        <w:t>о</w:t>
      </w:r>
      <w:r>
        <w:t xml:space="preserve">дом от подвески транспортного средства) </w:t>
      </w:r>
      <w:r w:rsidRPr="003B4392">
        <w:t>или если транспортное средство оборудовано таким специальным устройством</w:t>
      </w:r>
      <w:r>
        <w:t>, то в случае отказа органа управления (если речь идет о механическом тран</w:t>
      </w:r>
      <w:r>
        <w:t>с</w:t>
      </w:r>
      <w:r>
        <w:t>портном средстве) должна обеспечиваться возможность остановки транспортного средства в условиях, предусмотренных для авари</w:t>
      </w:r>
      <w:r>
        <w:t>й</w:t>
      </w:r>
      <w:r>
        <w:t>ного торможения; что касается механических транспортных средств, которые допущены к буксировке прицепов, оборудованных системой пневматических тормозов, то на соединительной головке управляющей магистрали необходимо обеспечить давление в ди</w:t>
      </w:r>
      <w:r>
        <w:t>а</w:t>
      </w:r>
      <w:r>
        <w:t xml:space="preserve">пазоне величин, указанных в пункте 3.1.3 настоящего приложения. </w:t>
      </w:r>
      <w:r>
        <w:rPr>
          <w:szCs w:val="23"/>
        </w:rPr>
        <w:t>Что касается прицепов, то при отказе привода специального устройства необходимо обеспечить эффективность торможения, составляющую не менее 30% от эффективности, предписанной для рабочего тормоза соответствующего транспортного средства".</w:t>
      </w:r>
    </w:p>
    <w:p w:rsidR="009D0DA6" w:rsidRDefault="009D0DA6" w:rsidP="009D0DA6">
      <w:pPr>
        <w:pStyle w:val="SingleTxtGR"/>
      </w:pPr>
      <w:r w:rsidRPr="006C4E4C">
        <w:rPr>
          <w:i/>
        </w:rPr>
        <w:t>Пункт</w:t>
      </w:r>
      <w:r>
        <w:rPr>
          <w:i/>
        </w:rPr>
        <w:t>ы</w:t>
      </w:r>
      <w:r w:rsidRPr="006C4E4C">
        <w:rPr>
          <w:i/>
        </w:rPr>
        <w:t xml:space="preserve"> </w:t>
      </w:r>
      <w:r>
        <w:rPr>
          <w:i/>
        </w:rPr>
        <w:t>7 и 7.1</w:t>
      </w:r>
      <w:r>
        <w:t xml:space="preserve"> изменить следующим образом:</w:t>
      </w:r>
    </w:p>
    <w:p w:rsidR="009D0DA6" w:rsidRDefault="009D0DA6" w:rsidP="009D0DA6">
      <w:pPr>
        <w:pStyle w:val="SingleTxtGR"/>
        <w:ind w:left="2268" w:hanging="1134"/>
      </w:pPr>
      <w:r>
        <w:t>"7.</w:t>
      </w:r>
      <w:r>
        <w:tab/>
      </w:r>
      <w:r>
        <w:tab/>
        <w:t>Маркировка</w:t>
      </w:r>
    </w:p>
    <w:p w:rsidR="009D0DA6" w:rsidRPr="00F96CCD" w:rsidRDefault="009D0DA6" w:rsidP="009D0DA6">
      <w:pPr>
        <w:pStyle w:val="SingleTxtGR"/>
        <w:ind w:left="2268" w:hanging="1134"/>
      </w:pPr>
      <w:r w:rsidRPr="00F96CCD">
        <w:t>7.1</w:t>
      </w:r>
      <w:proofErr w:type="gramStart"/>
      <w:r w:rsidRPr="00F96CCD">
        <w:tab/>
      </w:r>
      <w:r w:rsidRPr="00F96CCD">
        <w:tab/>
      </w:r>
      <w:r w:rsidRPr="00F96CCD">
        <w:rPr>
          <w:szCs w:val="23"/>
        </w:rPr>
        <w:t>Н</w:t>
      </w:r>
      <w:proofErr w:type="gramEnd"/>
      <w:r w:rsidRPr="00F96CCD">
        <w:rPr>
          <w:szCs w:val="23"/>
        </w:rPr>
        <w:t>а транспортных средствах, для которых предписания настоящего приложения выполняются при помощи устройств с механическим приводом от подвески транспортного средства</w:t>
      </w:r>
      <w:r w:rsidRPr="00311255">
        <w:rPr>
          <w:szCs w:val="23"/>
        </w:rPr>
        <w:t xml:space="preserve">, </w:t>
      </w:r>
      <w:r w:rsidRPr="00311255">
        <w:t>или если тран</w:t>
      </w:r>
      <w:r w:rsidRPr="00311255">
        <w:t>с</w:t>
      </w:r>
      <w:r w:rsidRPr="00311255">
        <w:t>портное средство оборудовано таким специальным устройством</w:t>
      </w:r>
      <w:r w:rsidRPr="00311255">
        <w:rPr>
          <w:szCs w:val="23"/>
        </w:rPr>
        <w:t>,</w:t>
      </w:r>
      <w:r w:rsidRPr="00F96CCD">
        <w:rPr>
          <w:szCs w:val="23"/>
        </w:rPr>
        <w:t xml:space="preserve"> </w:t>
      </w:r>
      <w:r w:rsidRPr="00F96CCD">
        <w:t>наносят маркировку</w:t>
      </w:r>
      <w:r w:rsidRPr="00F96CCD">
        <w:rPr>
          <w:szCs w:val="23"/>
        </w:rPr>
        <w:t xml:space="preserve"> с указанием длины рабочего хода устройства между положениями, соответствующими порожнему и груженому состоянию транспортного средства, а также </w:t>
      </w:r>
      <w:r w:rsidRPr="00F96CCD">
        <w:t>любой дополнительной информации</w:t>
      </w:r>
      <w:r w:rsidRPr="00F96CCD">
        <w:rPr>
          <w:szCs w:val="23"/>
        </w:rPr>
        <w:t>, которая позволяет проверить регулировку этого устройства".</w:t>
      </w:r>
    </w:p>
    <w:p w:rsidR="009D0DA6" w:rsidRPr="00C25910" w:rsidRDefault="009D0DA6" w:rsidP="009D0DA6">
      <w:pPr>
        <w:pStyle w:val="SingleTxtGR"/>
        <w:rPr>
          <w:i/>
        </w:rPr>
      </w:pPr>
      <w:r>
        <w:rPr>
          <w:i/>
        </w:rPr>
        <w:t>Приложение 13</w:t>
      </w:r>
    </w:p>
    <w:p w:rsidR="009D0DA6" w:rsidRDefault="009D0DA6" w:rsidP="009D0DA6">
      <w:pPr>
        <w:pStyle w:val="SingleTxtGR"/>
      </w:pPr>
      <w:r w:rsidRPr="006C4E4C">
        <w:rPr>
          <w:i/>
        </w:rPr>
        <w:t xml:space="preserve">Пункт </w:t>
      </w:r>
      <w:r>
        <w:rPr>
          <w:i/>
        </w:rPr>
        <w:t>1.1</w:t>
      </w:r>
      <w:r>
        <w:t xml:space="preserve"> изменить следующим образом:</w:t>
      </w:r>
    </w:p>
    <w:p w:rsidR="009D0DA6" w:rsidRPr="0012626C" w:rsidRDefault="009D0DA6" w:rsidP="009D0DA6">
      <w:pPr>
        <w:pStyle w:val="SingleTxtGR"/>
        <w:ind w:left="2268" w:hanging="1134"/>
      </w:pPr>
      <w:r>
        <w:t>"1.1</w:t>
      </w:r>
      <w:r>
        <w:tab/>
      </w:r>
      <w:r>
        <w:tab/>
      </w:r>
      <w:r w:rsidRPr="00B44587">
        <w:rPr>
          <w:szCs w:val="23"/>
        </w:rPr>
        <w:t>В настоящем приложении содержится определение предписыва</w:t>
      </w:r>
      <w:r w:rsidRPr="00B44587">
        <w:rPr>
          <w:szCs w:val="23"/>
        </w:rPr>
        <w:t>е</w:t>
      </w:r>
      <w:r w:rsidRPr="00B44587">
        <w:rPr>
          <w:szCs w:val="23"/>
        </w:rPr>
        <w:t xml:space="preserve">мых характеристик </w:t>
      </w:r>
      <w:r w:rsidRPr="00B44587">
        <w:rPr>
          <w:spacing w:val="-2"/>
          <w:szCs w:val="23"/>
        </w:rPr>
        <w:t>торможения для автотранспортных средств, обор</w:t>
      </w:r>
      <w:r w:rsidRPr="00B44587">
        <w:rPr>
          <w:spacing w:val="-2"/>
          <w:szCs w:val="23"/>
        </w:rPr>
        <w:t>у</w:t>
      </w:r>
      <w:r w:rsidRPr="00B44587">
        <w:rPr>
          <w:spacing w:val="-2"/>
          <w:szCs w:val="23"/>
        </w:rPr>
        <w:t>дованных антиблокировочно</w:t>
      </w:r>
      <w:proofErr w:type="gramStart"/>
      <w:r w:rsidRPr="00B44587">
        <w:rPr>
          <w:spacing w:val="-2"/>
          <w:szCs w:val="23"/>
        </w:rPr>
        <w:t>й(</w:t>
      </w:r>
      <w:proofErr w:type="spellStart"/>
      <w:proofErr w:type="gramEnd"/>
      <w:r w:rsidRPr="00B44587">
        <w:rPr>
          <w:spacing w:val="-2"/>
          <w:szCs w:val="23"/>
        </w:rPr>
        <w:t>ыми</w:t>
      </w:r>
      <w:proofErr w:type="spellEnd"/>
      <w:r w:rsidRPr="00B44587">
        <w:rPr>
          <w:spacing w:val="-2"/>
          <w:szCs w:val="23"/>
        </w:rPr>
        <w:t>) тормозной(</w:t>
      </w:r>
      <w:proofErr w:type="spellStart"/>
      <w:r w:rsidRPr="00B44587">
        <w:rPr>
          <w:spacing w:val="-2"/>
          <w:szCs w:val="23"/>
        </w:rPr>
        <w:t>ыми</w:t>
      </w:r>
      <w:proofErr w:type="spellEnd"/>
      <w:r w:rsidRPr="00B44587">
        <w:rPr>
          <w:spacing w:val="-2"/>
          <w:szCs w:val="23"/>
        </w:rPr>
        <w:t>) системой(</w:t>
      </w:r>
      <w:proofErr w:type="spellStart"/>
      <w:r w:rsidRPr="00B44587">
        <w:rPr>
          <w:spacing w:val="-2"/>
          <w:szCs w:val="23"/>
        </w:rPr>
        <w:t>ами</w:t>
      </w:r>
      <w:proofErr w:type="spellEnd"/>
      <w:r w:rsidRPr="00B44587">
        <w:rPr>
          <w:spacing w:val="-2"/>
          <w:szCs w:val="23"/>
        </w:rPr>
        <w:t>)</w:t>
      </w:r>
      <w:r>
        <w:rPr>
          <w:szCs w:val="23"/>
        </w:rPr>
        <w:t>"</w:t>
      </w:r>
      <w:r>
        <w:t>.</w:t>
      </w:r>
    </w:p>
    <w:p w:rsidR="008E76BE" w:rsidRDefault="009D0DA6" w:rsidP="009D0DA6">
      <w:pPr>
        <w:spacing w:before="240"/>
        <w:jc w:val="center"/>
        <w:rPr>
          <w:b/>
        </w:rPr>
      </w:pPr>
      <w:r w:rsidRPr="00C2140E">
        <w:rPr>
          <w:u w:val="single"/>
        </w:rPr>
        <w:tab/>
      </w:r>
      <w:r w:rsidRPr="00C2140E">
        <w:rPr>
          <w:u w:val="single"/>
        </w:rPr>
        <w:tab/>
      </w:r>
      <w:r w:rsidRPr="00C2140E">
        <w:rPr>
          <w:u w:val="single"/>
        </w:rPr>
        <w:tab/>
      </w:r>
    </w:p>
    <w:sectPr w:rsidR="008E76BE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01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01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26AA6" w:rsidRDefault="004276E3" w:rsidP="00926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7D0057" w:rsidRPr="00AB5F6D" w:rsidRDefault="007D0057" w:rsidP="007D0057">
      <w:pPr>
        <w:pStyle w:val="FootnoteText"/>
        <w:rPr>
          <w:lang w:val="ru-RU"/>
        </w:rPr>
      </w:pPr>
      <w:r w:rsidRPr="00C6259E">
        <w:rPr>
          <w:rStyle w:val="FootnoteReference"/>
          <w:lang w:val="ru-RU"/>
        </w:rPr>
        <w:tab/>
      </w:r>
      <w:r w:rsidRPr="00C6259E">
        <w:rPr>
          <w:rStyle w:val="FootnoteReference"/>
          <w:sz w:val="20"/>
          <w:vertAlign w:val="baseline"/>
          <w:lang w:val="ru-RU"/>
        </w:rPr>
        <w:t>*</w:t>
      </w:r>
      <w:r w:rsidRPr="00C6259E">
        <w:rPr>
          <w:rStyle w:val="FootnoteReference"/>
          <w:sz w:val="20"/>
          <w:vertAlign w:val="baseline"/>
          <w:lang w:val="ru-RU"/>
        </w:rPr>
        <w:tab/>
      </w:r>
      <w:r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  <w:footnote w:id="2">
    <w:p w:rsidR="009D0DA6" w:rsidRPr="00311255" w:rsidRDefault="009D0DA6" w:rsidP="009D0DA6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311255">
        <w:rPr>
          <w:lang w:val="ru-RU"/>
        </w:rPr>
        <w:t xml:space="preserve"> </w:t>
      </w:r>
      <w:r>
        <w:rPr>
          <w:lang w:val="ru-RU"/>
        </w:rPr>
        <w:tab/>
      </w:r>
      <w:r w:rsidRPr="00311255">
        <w:rPr>
          <w:lang w:val="ru-RU"/>
        </w:rPr>
        <w:t xml:space="preserve">Что касается прицепов с электронными системами распределения тормозного усилия, то предписания настоящего приложения применяются лишь в том случае, если прицеп имеет электрическое соединение с буксирующим транспортным средством через соединительное устройство, соответствующее стандарту </w:t>
      </w:r>
      <w:r w:rsidRPr="00112A92">
        <w:rPr>
          <w:lang w:val="ru-RU"/>
        </w:rPr>
        <w:t>ISO</w:t>
      </w:r>
      <w:r w:rsidRPr="00311255">
        <w:rPr>
          <w:lang w:val="ru-RU"/>
        </w:rPr>
        <w:t xml:space="preserve"> 7638:2003.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4E2EC0">
    <w:pPr>
      <w:pStyle w:val="Header"/>
      <w:rPr>
        <w:lang w:val="en-US"/>
      </w:rPr>
    </w:pPr>
    <w:r w:rsidRPr="00D623A7">
      <w:t>E/ECE/324</w:t>
    </w:r>
    <w:r w:rsidRPr="00FA790E">
      <w:t>/Rev.1/Add.12/Rev.8/Amend.3</w:t>
    </w:r>
    <w:r>
      <w:br/>
    </w:r>
    <w:r w:rsidRPr="00D623A7">
      <w:t>E/ECE/TRANS/505</w:t>
    </w:r>
    <w:r w:rsidRPr="00FA790E">
      <w:t>/Rev.1/Add.12/Rev.8/Amend.3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E77FA" w:rsidRPr="00D623A7">
      <w:t>E/ECE/324</w:t>
    </w:r>
    <w:r w:rsidR="005E77FA">
      <w:t>/</w:t>
    </w:r>
    <w:r w:rsidR="008E76BE" w:rsidRPr="008E76BE">
      <w:t>Rev.1/Add.12/Rev.8/Amend.3</w:t>
    </w:r>
    <w:r w:rsidR="005E77FA">
      <w:br/>
    </w:r>
    <w:r w:rsidR="005E77FA" w:rsidRPr="00D623A7">
      <w:t>E/ECE/TRANS/505</w:t>
    </w:r>
    <w:r w:rsidR="005E77FA">
      <w:t>/</w:t>
    </w:r>
    <w:r w:rsidR="008E76BE" w:rsidRPr="008E76BE">
      <w:t>Rev.1/Add.12/Rev.8/Amend.3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0" w:rsidRPr="00926AA6" w:rsidRDefault="004E2EC0" w:rsidP="00926A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33E9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0F5295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57A3A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1C26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3E19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13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41CA"/>
    <w:rsid w:val="004D7938"/>
    <w:rsid w:val="004E0669"/>
    <w:rsid w:val="004E0B5D"/>
    <w:rsid w:val="004E2EC0"/>
    <w:rsid w:val="004E6729"/>
    <w:rsid w:val="004F0CBC"/>
    <w:rsid w:val="004F0E47"/>
    <w:rsid w:val="004F5701"/>
    <w:rsid w:val="004F6617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2C15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C749B"/>
    <w:rsid w:val="007D0057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804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4AF"/>
    <w:rsid w:val="008B79D8"/>
    <w:rsid w:val="008C7B87"/>
    <w:rsid w:val="008D26AA"/>
    <w:rsid w:val="008D6A7A"/>
    <w:rsid w:val="008E24DB"/>
    <w:rsid w:val="008E3E87"/>
    <w:rsid w:val="008E3EEA"/>
    <w:rsid w:val="008E76BE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26AA6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0DA6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27F7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3650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196F-D444-4786-969D-21CCFEC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2015-11-09T08:33:00Z</cp:lastPrinted>
  <dcterms:created xsi:type="dcterms:W3CDTF">2015-07-23T10:49:00Z</dcterms:created>
  <dcterms:modified xsi:type="dcterms:W3CDTF">2015-11-09T08:33:00Z</dcterms:modified>
</cp:coreProperties>
</file>