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rsidTr="00495A7B">
        <w:trPr>
          <w:trHeight w:hRule="exact" w:val="851"/>
        </w:trPr>
        <w:tc>
          <w:tcPr>
            <w:tcW w:w="9639" w:type="dxa"/>
            <w:gridSpan w:val="2"/>
            <w:tcBorders>
              <w:bottom w:val="single" w:sz="4" w:space="0" w:color="auto"/>
            </w:tcBorders>
            <w:shd w:val="clear" w:color="auto" w:fill="auto"/>
            <w:vAlign w:val="bottom"/>
          </w:tcPr>
          <w:p w:rsidR="00421A10" w:rsidRPr="00DB58B5" w:rsidRDefault="008E1FCF" w:rsidP="002C5B16">
            <w:pPr>
              <w:jc w:val="right"/>
            </w:pPr>
            <w:r w:rsidRPr="00014D07">
              <w:rPr>
                <w:sz w:val="40"/>
              </w:rPr>
              <w:t>E</w:t>
            </w:r>
            <w:r>
              <w:t>/ECE/324/Rev.1/Add.12/Rev.8/Amend.3−</w:t>
            </w:r>
            <w:r w:rsidRPr="00014D07">
              <w:rPr>
                <w:sz w:val="40"/>
              </w:rPr>
              <w:t>E</w:t>
            </w:r>
            <w:r>
              <w:t>/ECE/TRANS/505/Rev.1/Add.12/Rev.8/Amend.3</w:t>
            </w:r>
          </w:p>
        </w:tc>
      </w:tr>
      <w:tr w:rsidR="00421A10" w:rsidRPr="00DB58B5" w:rsidTr="00495A7B">
        <w:trPr>
          <w:trHeight w:hRule="exact" w:val="2835"/>
        </w:trPr>
        <w:tc>
          <w:tcPr>
            <w:tcW w:w="6804" w:type="dxa"/>
            <w:tcBorders>
              <w:top w:val="single" w:sz="4" w:space="0" w:color="auto"/>
              <w:bottom w:val="single" w:sz="12" w:space="0" w:color="auto"/>
            </w:tcBorders>
            <w:shd w:val="clear" w:color="auto" w:fill="auto"/>
          </w:tcPr>
          <w:p w:rsidR="00421A10" w:rsidRPr="00A574B7" w:rsidRDefault="00421A10" w:rsidP="00495A7B">
            <w:pPr>
              <w:spacing w:before="120" w:line="380" w:lineRule="exact"/>
            </w:pPr>
          </w:p>
        </w:tc>
        <w:tc>
          <w:tcPr>
            <w:tcW w:w="2835" w:type="dxa"/>
            <w:tcBorders>
              <w:top w:val="single" w:sz="4" w:space="0" w:color="auto"/>
              <w:bottom w:val="single" w:sz="12" w:space="0" w:color="auto"/>
            </w:tcBorders>
            <w:shd w:val="clear" w:color="auto" w:fill="auto"/>
          </w:tcPr>
          <w:p w:rsidR="00421A10" w:rsidRPr="00DB58B5" w:rsidRDefault="004310B3" w:rsidP="00495A7B">
            <w:pPr>
              <w:spacing w:before="480" w:line="240" w:lineRule="exact"/>
            </w:pPr>
            <w:r>
              <w:rPr>
                <w:lang w:val="en-GB" w:eastAsia="en-GB"/>
              </w:rPr>
              <w:t>9 novembre 2015</w:t>
            </w:r>
            <w:bookmarkStart w:id="0" w:name="_GoBack"/>
            <w:bookmarkEnd w:id="0"/>
          </w:p>
        </w:tc>
      </w:tr>
    </w:tbl>
    <w:p w:rsidR="00421A10" w:rsidRPr="006549FF" w:rsidRDefault="0029791D" w:rsidP="00242268">
      <w:pPr>
        <w:pStyle w:val="HChG"/>
        <w:spacing w:before="320" w:after="220" w:line="260" w:lineRule="exact"/>
      </w:pPr>
      <w:r>
        <w:tab/>
      </w:r>
      <w:r>
        <w:tab/>
      </w:r>
      <w:r w:rsidR="00421A10" w:rsidRPr="006549FF">
        <w:t>Accord</w:t>
      </w:r>
    </w:p>
    <w:p w:rsidR="00421A10" w:rsidRPr="00583D68" w:rsidRDefault="0029791D" w:rsidP="00242268">
      <w:pPr>
        <w:pStyle w:val="H1G"/>
        <w:spacing w:before="340" w:after="220" w:line="260" w:lineRule="exact"/>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Pr="00037B3F">
        <w:rPr>
          <w:b w:val="0"/>
          <w:sz w:val="20"/>
        </w:rPr>
        <w:t>*</w:t>
      </w:r>
    </w:p>
    <w:p w:rsidR="00421A10" w:rsidRPr="00A12483" w:rsidRDefault="00421A10" w:rsidP="00242268">
      <w:pPr>
        <w:pStyle w:val="SingleTxtG"/>
        <w:spacing w:after="100" w:line="220" w:lineRule="atLeast"/>
        <w:jc w:val="left"/>
        <w:rPr>
          <w:b/>
          <w:sz w:val="24"/>
          <w:szCs w:val="24"/>
        </w:rPr>
      </w:pPr>
      <w:r w:rsidRPr="006549FF">
        <w:t xml:space="preserve">(Révision </w:t>
      </w:r>
      <w:r w:rsidR="000314C7">
        <w:t>2</w:t>
      </w:r>
      <w:r w:rsidRPr="006549FF">
        <w:t>, comprenant les amen</w:t>
      </w:r>
      <w:r>
        <w:t xml:space="preserve">dements entrés en vigueur le 16 </w:t>
      </w:r>
      <w:r w:rsidRPr="006549FF">
        <w:t>octobre 1995)</w:t>
      </w:r>
    </w:p>
    <w:p w:rsidR="00421A10" w:rsidRPr="006549FF" w:rsidRDefault="0029791D" w:rsidP="00242268">
      <w:pPr>
        <w:spacing w:line="220" w:lineRule="atLeast"/>
        <w:jc w:val="center"/>
      </w:pPr>
      <w:r>
        <w:t>_______________</w:t>
      </w:r>
    </w:p>
    <w:p w:rsidR="00421A10" w:rsidRPr="006549FF" w:rsidRDefault="0029791D" w:rsidP="0073494A">
      <w:pPr>
        <w:pStyle w:val="H1G"/>
      </w:pPr>
      <w:r>
        <w:tab/>
      </w:r>
      <w:r>
        <w:tab/>
      </w:r>
      <w:r w:rsidR="00421A10" w:rsidRPr="006549FF">
        <w:t xml:space="preserve">Additif </w:t>
      </w:r>
      <w:r w:rsidR="008E1FCF">
        <w:t>12</w:t>
      </w:r>
      <w:r w:rsidR="00421A10" w:rsidRPr="006549FF">
        <w:t>: Règlement</w:t>
      </w:r>
      <w:r w:rsidR="00421A10">
        <w:t xml:space="preserve"> </w:t>
      </w:r>
      <w:r w:rsidR="00421A10" w:rsidRPr="00B371BF">
        <w:t>n</w:t>
      </w:r>
      <w:r w:rsidR="00421A10" w:rsidRPr="00B371BF">
        <w:rPr>
          <w:vertAlign w:val="superscript"/>
        </w:rPr>
        <w:t>o</w:t>
      </w:r>
      <w:r w:rsidR="00421A10">
        <w:t> </w:t>
      </w:r>
      <w:r w:rsidR="008E1FCF">
        <w:t>13</w:t>
      </w:r>
    </w:p>
    <w:p w:rsidR="00421A10" w:rsidRPr="006549FF" w:rsidRDefault="0029791D" w:rsidP="00242268">
      <w:pPr>
        <w:pStyle w:val="H1G"/>
        <w:spacing w:before="220" w:after="100" w:line="240" w:lineRule="exact"/>
      </w:pPr>
      <w:r>
        <w:tab/>
      </w:r>
      <w:r>
        <w:tab/>
      </w:r>
      <w:r w:rsidR="00421A10" w:rsidRPr="006549FF">
        <w:t xml:space="preserve">Révision </w:t>
      </w:r>
      <w:r w:rsidR="008E1FCF">
        <w:t>8</w:t>
      </w:r>
      <w:r w:rsidR="000314C7">
        <w:t xml:space="preserve"> − Amendement </w:t>
      </w:r>
      <w:r w:rsidR="008E1FCF">
        <w:t>3</w:t>
      </w:r>
    </w:p>
    <w:p w:rsidR="00015650" w:rsidRPr="00FC2CA9" w:rsidRDefault="007626AE" w:rsidP="00242268">
      <w:pPr>
        <w:pStyle w:val="SingleTxtG"/>
        <w:spacing w:after="100" w:line="200" w:lineRule="atLeast"/>
        <w:jc w:val="left"/>
        <w:rPr>
          <w:spacing w:val="-2"/>
        </w:rPr>
      </w:pPr>
      <w:r>
        <w:rPr>
          <w:spacing w:val="-2"/>
        </w:rPr>
        <w:t>C</w:t>
      </w:r>
      <w:r w:rsidRPr="007626AE">
        <w:rPr>
          <w:spacing w:val="-2"/>
        </w:rPr>
        <w:t>omplément 13 à la série 11</w:t>
      </w:r>
      <w:r w:rsidR="00EF5EBC">
        <w:rPr>
          <w:spacing w:val="-2"/>
        </w:rPr>
        <w:t xml:space="preserve"> d'amendements a</w:t>
      </w:r>
      <w:r w:rsidR="00FC2CA9" w:rsidRPr="00FC2CA9">
        <w:rPr>
          <w:spacing w:val="-2"/>
        </w:rPr>
        <w:t>u</w:t>
      </w:r>
      <w:r w:rsidR="00015650" w:rsidRPr="00FC2CA9">
        <w:rPr>
          <w:spacing w:val="-2"/>
        </w:rPr>
        <w:t xml:space="preserve"> Règlement − Date d’entrée en vigueur:</w:t>
      </w:r>
      <w:r>
        <w:rPr>
          <w:spacing w:val="-2"/>
        </w:rPr>
        <w:br/>
        <w:t>8 octobre 2015</w:t>
      </w:r>
      <w:r w:rsidR="00015650" w:rsidRPr="00FC2CA9">
        <w:rPr>
          <w:spacing w:val="-2"/>
        </w:rPr>
        <w:t xml:space="preserve"> </w:t>
      </w:r>
    </w:p>
    <w:p w:rsidR="00DD1ED8" w:rsidRPr="00242268" w:rsidRDefault="00DD1ED8" w:rsidP="00242268">
      <w:pPr>
        <w:pStyle w:val="H1G"/>
        <w:spacing w:line="260" w:lineRule="exact"/>
        <w:rPr>
          <w:spacing w:val="-2"/>
        </w:rPr>
      </w:pPr>
      <w:r>
        <w:tab/>
      </w:r>
      <w:r>
        <w:tab/>
      </w:r>
      <w:r w:rsidR="008E1FCF" w:rsidRPr="008E1FCF">
        <w:rPr>
          <w:spacing w:val="-2"/>
        </w:rPr>
        <w:t>Prescriptions uniformes relatives à l'homologation des véhicules des catégories M, N et O en ce qui concerne le freinage</w:t>
      </w:r>
    </w:p>
    <w:p w:rsidR="00D5218B" w:rsidRDefault="001D3393" w:rsidP="007626AE">
      <w:pPr>
        <w:pStyle w:val="SingleTxtG"/>
        <w:rPr>
          <w:lang w:val="en-GB" w:eastAsia="en-GB"/>
        </w:rPr>
      </w:pPr>
      <w:r w:rsidRPr="001D3393">
        <w:rPr>
          <w:lang w:val="en-GB" w:eastAsia="en-GB"/>
        </w:rPr>
        <w:t>Ce document constitue un outil de documentation. Le texte authentique et contraignant juridique est</w:t>
      </w:r>
      <w:r w:rsidR="008E646F">
        <w:rPr>
          <w:lang w:val="en-GB" w:eastAsia="en-GB"/>
        </w:rPr>
        <w:t>:</w:t>
      </w:r>
      <w:r w:rsidRPr="001D3393">
        <w:rPr>
          <w:lang w:val="en-GB" w:eastAsia="en-GB"/>
        </w:rPr>
        <w:t xml:space="preserve"> </w:t>
      </w:r>
      <w:r w:rsidR="007626AE" w:rsidRPr="007626AE">
        <w:rPr>
          <w:lang w:eastAsia="en-GB"/>
        </w:rPr>
        <w:t>ECE/TRANS/WP.29/2015/6</w:t>
      </w:r>
      <w:r w:rsidR="007626AE">
        <w:rPr>
          <w:lang w:eastAsia="en-GB"/>
        </w:rPr>
        <w:t>.</w:t>
      </w:r>
    </w:p>
    <w:p w:rsidR="007626AE" w:rsidRPr="007626AE" w:rsidRDefault="00DD1ED8" w:rsidP="007626AE">
      <w:pPr>
        <w:pStyle w:val="SingleTxtG"/>
        <w:keepNext/>
        <w:rPr>
          <w:i/>
          <w:lang w:val="fr-FR"/>
        </w:rPr>
      </w:pPr>
      <w:r>
        <w:br w:type="page"/>
      </w:r>
      <w:r w:rsidR="007626AE" w:rsidRPr="007626AE">
        <w:rPr>
          <w:i/>
          <w:lang w:val="fr-FR"/>
        </w:rPr>
        <w:lastRenderedPageBreak/>
        <w:t>Annexe 10</w:t>
      </w:r>
    </w:p>
    <w:p w:rsidR="007626AE" w:rsidRPr="007626AE" w:rsidRDefault="007626AE" w:rsidP="007626AE">
      <w:pPr>
        <w:keepNext/>
        <w:kinsoku w:val="0"/>
        <w:overflowPunct w:val="0"/>
        <w:autoSpaceDE w:val="0"/>
        <w:autoSpaceDN w:val="0"/>
        <w:adjustRightInd w:val="0"/>
        <w:snapToGrid w:val="0"/>
        <w:spacing w:after="120"/>
        <w:ind w:left="1134" w:right="1134"/>
        <w:jc w:val="both"/>
        <w:rPr>
          <w:lang w:val="fr-FR"/>
        </w:rPr>
      </w:pPr>
      <w:r w:rsidRPr="007626AE">
        <w:rPr>
          <w:i/>
          <w:lang w:val="fr-FR"/>
        </w:rPr>
        <w:t>Paragraphe 1.1</w:t>
      </w:r>
      <w:r w:rsidRPr="007626AE">
        <w:rPr>
          <w:lang w:val="fr-FR"/>
        </w:rPr>
        <w:t>, lire:</w:t>
      </w:r>
    </w:p>
    <w:p w:rsidR="007626AE" w:rsidRPr="007626AE" w:rsidRDefault="007626AE" w:rsidP="007626AE">
      <w:pPr>
        <w:kinsoku w:val="0"/>
        <w:overflowPunct w:val="0"/>
        <w:autoSpaceDE w:val="0"/>
        <w:autoSpaceDN w:val="0"/>
        <w:adjustRightInd w:val="0"/>
        <w:snapToGrid w:val="0"/>
        <w:spacing w:after="120"/>
        <w:ind w:left="2268" w:right="1134" w:hanging="1134"/>
        <w:jc w:val="both"/>
        <w:rPr>
          <w:lang w:val="fr-FR"/>
        </w:rPr>
      </w:pPr>
      <w:r w:rsidRPr="007626AE">
        <w:rPr>
          <w:lang w:val="fr-FR"/>
        </w:rPr>
        <w:t>«1.1</w:t>
      </w:r>
      <w:r w:rsidRPr="007626AE">
        <w:rPr>
          <w:lang w:val="fr-FR"/>
        </w:rPr>
        <w:tab/>
      </w:r>
      <w:r w:rsidRPr="007626AE">
        <w:rPr>
          <w:lang w:val="fr-FR"/>
        </w:rPr>
        <w:tab/>
        <w:t>Les véhicules des catégories M</w:t>
      </w:r>
      <w:r w:rsidRPr="007626AE">
        <w:rPr>
          <w:vertAlign w:val="subscript"/>
          <w:lang w:val="fr-FR"/>
        </w:rPr>
        <w:t>2</w:t>
      </w:r>
      <w:r w:rsidRPr="007626AE">
        <w:rPr>
          <w:lang w:val="fr-FR"/>
        </w:rPr>
        <w:t>, M</w:t>
      </w:r>
      <w:r w:rsidRPr="007626AE">
        <w:rPr>
          <w:vertAlign w:val="subscript"/>
          <w:lang w:val="fr-FR"/>
        </w:rPr>
        <w:t>3</w:t>
      </w:r>
      <w:r w:rsidRPr="007626AE">
        <w:rPr>
          <w:lang w:val="fr-FR"/>
        </w:rPr>
        <w:t>, N, O</w:t>
      </w:r>
      <w:r w:rsidRPr="007626AE">
        <w:rPr>
          <w:vertAlign w:val="subscript"/>
          <w:lang w:val="fr-FR"/>
        </w:rPr>
        <w:t>2</w:t>
      </w:r>
      <w:r w:rsidRPr="007626AE">
        <w:rPr>
          <w:lang w:val="fr-FR"/>
        </w:rPr>
        <w:t>,</w:t>
      </w:r>
      <w:r w:rsidRPr="007626AE">
        <w:rPr>
          <w:vertAlign w:val="subscript"/>
          <w:lang w:val="fr-FR"/>
        </w:rPr>
        <w:t xml:space="preserve"> </w:t>
      </w:r>
      <w:r w:rsidRPr="007626AE">
        <w:rPr>
          <w:lang w:val="fr-FR"/>
        </w:rPr>
        <w:t>O</w:t>
      </w:r>
      <w:r w:rsidRPr="007626AE">
        <w:rPr>
          <w:vertAlign w:val="subscript"/>
          <w:lang w:val="fr-FR"/>
        </w:rPr>
        <w:t>3</w:t>
      </w:r>
      <w:r w:rsidRPr="007626AE">
        <w:rPr>
          <w:lang w:val="fr-FR"/>
        </w:rPr>
        <w:t xml:space="preserve"> et O</w:t>
      </w:r>
      <w:r w:rsidRPr="007626AE">
        <w:rPr>
          <w:vertAlign w:val="subscript"/>
          <w:lang w:val="fr-FR"/>
        </w:rPr>
        <w:t xml:space="preserve">4 </w:t>
      </w:r>
      <w:r w:rsidRPr="007626AE">
        <w:rPr>
          <w:lang w:val="fr-FR"/>
        </w:rPr>
        <w:t>doivent satisfaire à toutes les conditions énoncées dans la présente annexe. Si un dispositif spécial est utilisé, il doit fonctionner automatiquement</w:t>
      </w:r>
      <w:r w:rsidRPr="007626AE">
        <w:rPr>
          <w:sz w:val="18"/>
          <w:vertAlign w:val="superscript"/>
        </w:rPr>
        <w:footnoteReference w:id="2"/>
      </w:r>
      <w:r w:rsidRPr="007626AE">
        <w:rPr>
          <w:lang w:val="fr-FR"/>
        </w:rPr>
        <w:t>.</w:t>
      </w:r>
    </w:p>
    <w:p w:rsidR="007626AE" w:rsidRPr="007626AE" w:rsidRDefault="007626AE" w:rsidP="007626AE">
      <w:pPr>
        <w:kinsoku w:val="0"/>
        <w:overflowPunct w:val="0"/>
        <w:autoSpaceDE w:val="0"/>
        <w:autoSpaceDN w:val="0"/>
        <w:adjustRightInd w:val="0"/>
        <w:snapToGrid w:val="0"/>
        <w:spacing w:after="120"/>
        <w:ind w:left="2268" w:right="1134" w:hanging="1134"/>
        <w:jc w:val="both"/>
        <w:rPr>
          <w:lang w:val="fr-FR"/>
        </w:rPr>
      </w:pPr>
      <w:r w:rsidRPr="007626AE">
        <w:rPr>
          <w:color w:val="000000"/>
          <w:lang w:val="fr-FR"/>
        </w:rPr>
        <w:tab/>
        <w:t xml:space="preserve">Toutefois, les véhicules des catégories susmentionnées qui sont </w:t>
      </w:r>
      <w:r w:rsidRPr="007626AE">
        <w:rPr>
          <w:lang w:val="fr-FR"/>
        </w:rPr>
        <w:t>équipés d’un système de freinage antiblocage et qui satisfont aux prescriptions pertinentes de l’annexe 13 doivent également satisfaire à toutes les prescriptions pertinentes de la présente annexe, avec les exceptions suivantes:</w:t>
      </w:r>
    </w:p>
    <w:p w:rsidR="007626AE" w:rsidRPr="007626AE" w:rsidRDefault="007626AE" w:rsidP="007626AE">
      <w:pPr>
        <w:kinsoku w:val="0"/>
        <w:overflowPunct w:val="0"/>
        <w:autoSpaceDE w:val="0"/>
        <w:autoSpaceDN w:val="0"/>
        <w:adjustRightInd w:val="0"/>
        <w:snapToGrid w:val="0"/>
        <w:spacing w:after="120"/>
        <w:ind w:left="2835" w:right="1134" w:hanging="567"/>
        <w:jc w:val="both"/>
        <w:rPr>
          <w:lang w:val="fr-FR"/>
        </w:rPr>
      </w:pPr>
      <w:r w:rsidRPr="007626AE">
        <w:rPr>
          <w:lang w:val="fr-FR"/>
        </w:rPr>
        <w:t>a)</w:t>
      </w:r>
      <w:r w:rsidRPr="007626AE">
        <w:rPr>
          <w:lang w:val="fr-FR"/>
        </w:rPr>
        <w:tab/>
        <w:t>Le respect des prescriptions relatives à l’utilisation de l’adhérence associées aux diagrammes 1A, 1B ou 1C, selon les cas, n’est pas indispensable;</w:t>
      </w:r>
    </w:p>
    <w:p w:rsidR="007626AE" w:rsidRPr="007626AE" w:rsidRDefault="007626AE" w:rsidP="007626AE">
      <w:pPr>
        <w:kinsoku w:val="0"/>
        <w:overflowPunct w:val="0"/>
        <w:autoSpaceDE w:val="0"/>
        <w:autoSpaceDN w:val="0"/>
        <w:adjustRightInd w:val="0"/>
        <w:snapToGrid w:val="0"/>
        <w:spacing w:after="120"/>
        <w:ind w:left="2835" w:right="1134" w:hanging="567"/>
        <w:jc w:val="both"/>
        <w:rPr>
          <w:lang w:val="fr-FR"/>
        </w:rPr>
      </w:pPr>
      <w:r w:rsidRPr="007626AE">
        <w:rPr>
          <w:lang w:val="fr-FR"/>
        </w:rPr>
        <w:t>b)</w:t>
      </w:r>
      <w:r w:rsidRPr="007626AE">
        <w:rPr>
          <w:lang w:val="fr-FR"/>
        </w:rPr>
        <w:tab/>
        <w:t>Dans le cas des véhicules tracteurs et des remorques équipés d’un système de freinage à air comprimé, le respect des prescriptions relatives à la compatibilité à vide associées aux diagrammes 2, 3 ou 4, selon les cas, n’est pas indispensable. Toutefois, dans toutes les conditions de charge, une force de freinage doit être produite à une pression comprise entre 20 kPa et 100 kPa ou à une valeur numérique équivalente à la tête d’accouplement de la conduite de commande.</w:t>
      </w:r>
      <w:r w:rsidRPr="007626AE">
        <w:rPr>
          <w:color w:val="000000"/>
          <w:lang w:val="fr-FR"/>
        </w:rPr>
        <w:t>».</w:t>
      </w:r>
    </w:p>
    <w:p w:rsidR="007626AE" w:rsidRPr="007626AE" w:rsidRDefault="007626AE" w:rsidP="007626AE">
      <w:pPr>
        <w:keepNext/>
        <w:kinsoku w:val="0"/>
        <w:overflowPunct w:val="0"/>
        <w:autoSpaceDE w:val="0"/>
        <w:autoSpaceDN w:val="0"/>
        <w:adjustRightInd w:val="0"/>
        <w:snapToGrid w:val="0"/>
        <w:spacing w:after="120"/>
        <w:ind w:left="1134" w:right="1134"/>
        <w:jc w:val="both"/>
        <w:rPr>
          <w:lang w:val="fr-FR"/>
        </w:rPr>
      </w:pPr>
      <w:r w:rsidRPr="007626AE">
        <w:rPr>
          <w:i/>
          <w:lang w:val="fr-FR"/>
        </w:rPr>
        <w:t>Paragraphe 1.3.1,</w:t>
      </w:r>
      <w:r w:rsidRPr="007626AE">
        <w:rPr>
          <w:lang w:val="fr-FR"/>
        </w:rPr>
        <w:t xml:space="preserve"> lire:</w:t>
      </w:r>
    </w:p>
    <w:p w:rsidR="007626AE" w:rsidRPr="007626AE" w:rsidRDefault="007626AE" w:rsidP="007626AE">
      <w:pPr>
        <w:keepNext/>
        <w:kinsoku w:val="0"/>
        <w:overflowPunct w:val="0"/>
        <w:autoSpaceDE w:val="0"/>
        <w:autoSpaceDN w:val="0"/>
        <w:adjustRightInd w:val="0"/>
        <w:snapToGrid w:val="0"/>
        <w:spacing w:after="120"/>
        <w:ind w:left="2268" w:right="1134" w:hanging="1134"/>
        <w:jc w:val="both"/>
        <w:rPr>
          <w:lang w:val="fr-FR"/>
        </w:rPr>
      </w:pPr>
      <w:r w:rsidRPr="007626AE">
        <w:rPr>
          <w:lang w:val="fr-FR"/>
        </w:rPr>
        <w:t>«1.3.1</w:t>
      </w:r>
      <w:r w:rsidRPr="007626AE">
        <w:rPr>
          <w:lang w:val="fr-FR"/>
        </w:rPr>
        <w:tab/>
        <w:t>Au moment de l’homologation de type, on doit vérifier que le début du freinage sur un essieu de chaque groupe d’essieux indépendants se situe dans les plages de pression suivantes:</w:t>
      </w:r>
    </w:p>
    <w:p w:rsidR="007626AE" w:rsidRPr="007626AE" w:rsidRDefault="007626AE" w:rsidP="007626AE">
      <w:pPr>
        <w:kinsoku w:val="0"/>
        <w:overflowPunct w:val="0"/>
        <w:autoSpaceDE w:val="0"/>
        <w:autoSpaceDN w:val="0"/>
        <w:adjustRightInd w:val="0"/>
        <w:snapToGrid w:val="0"/>
        <w:spacing w:after="120"/>
        <w:ind w:left="2268" w:right="1134" w:hanging="1134"/>
        <w:jc w:val="both"/>
        <w:rPr>
          <w:bCs/>
          <w:lang w:val="fr-FR"/>
        </w:rPr>
      </w:pPr>
      <w:r w:rsidRPr="007626AE">
        <w:rPr>
          <w:bCs/>
          <w:lang w:val="fr-FR"/>
        </w:rPr>
        <w:tab/>
        <w:t>a)</w:t>
      </w:r>
      <w:r w:rsidRPr="007626AE">
        <w:rPr>
          <w:bCs/>
          <w:lang w:val="fr-FR"/>
        </w:rPr>
        <w:tab/>
        <w:t>Véhicules en charge:</w:t>
      </w:r>
    </w:p>
    <w:p w:rsidR="007626AE" w:rsidRPr="007626AE" w:rsidRDefault="007626AE" w:rsidP="007626AE">
      <w:pPr>
        <w:kinsoku w:val="0"/>
        <w:overflowPunct w:val="0"/>
        <w:autoSpaceDE w:val="0"/>
        <w:autoSpaceDN w:val="0"/>
        <w:adjustRightInd w:val="0"/>
        <w:snapToGrid w:val="0"/>
        <w:spacing w:after="120"/>
        <w:ind w:left="2835" w:right="1134"/>
        <w:jc w:val="both"/>
        <w:rPr>
          <w:lang w:val="fr-FR"/>
        </w:rPr>
      </w:pPr>
      <w:r w:rsidRPr="007626AE">
        <w:rPr>
          <w:lang w:val="fr-FR"/>
        </w:rPr>
        <w:t>Au moins un essieu doit commencer à produire une force de freinage lorsque la pression à la tête d’accouplement est comprise entre 20 et 100 kPa ou a une valeur numérique équivalente.</w:t>
      </w:r>
    </w:p>
    <w:p w:rsidR="007626AE" w:rsidRPr="007626AE" w:rsidRDefault="007626AE" w:rsidP="007626AE">
      <w:pPr>
        <w:kinsoku w:val="0"/>
        <w:overflowPunct w:val="0"/>
        <w:autoSpaceDE w:val="0"/>
        <w:autoSpaceDN w:val="0"/>
        <w:adjustRightInd w:val="0"/>
        <w:snapToGrid w:val="0"/>
        <w:spacing w:after="120"/>
        <w:ind w:left="2835" w:right="1134"/>
        <w:jc w:val="both"/>
        <w:rPr>
          <w:lang w:val="fr-FR"/>
        </w:rPr>
      </w:pPr>
      <w:r w:rsidRPr="007626AE">
        <w:rPr>
          <w:lang w:val="fr-FR"/>
        </w:rPr>
        <w:t>Au moins un essieu de tout autre groupe d’essieux doit commencer à produire une force de freinage lorsque la pression à la tête d’accouplement est inférieure à 120 kPa ou a une valeur numérique équivalente.</w:t>
      </w:r>
    </w:p>
    <w:p w:rsidR="007626AE" w:rsidRPr="007626AE" w:rsidRDefault="007626AE" w:rsidP="007626AE">
      <w:pPr>
        <w:kinsoku w:val="0"/>
        <w:overflowPunct w:val="0"/>
        <w:autoSpaceDE w:val="0"/>
        <w:autoSpaceDN w:val="0"/>
        <w:adjustRightInd w:val="0"/>
        <w:snapToGrid w:val="0"/>
        <w:spacing w:after="120"/>
        <w:ind w:left="2268" w:right="1134" w:hanging="1134"/>
        <w:jc w:val="both"/>
        <w:rPr>
          <w:lang w:val="fr-FR"/>
        </w:rPr>
      </w:pPr>
      <w:r w:rsidRPr="007626AE">
        <w:rPr>
          <w:bCs/>
          <w:lang w:val="fr-FR"/>
        </w:rPr>
        <w:tab/>
        <w:t>b)</w:t>
      </w:r>
      <w:r w:rsidRPr="007626AE">
        <w:rPr>
          <w:bCs/>
          <w:lang w:val="fr-FR"/>
        </w:rPr>
        <w:tab/>
        <w:t>Véhicules à vide</w:t>
      </w:r>
      <w:r w:rsidRPr="007626AE">
        <w:rPr>
          <w:lang w:val="fr-FR"/>
        </w:rPr>
        <w:t>:</w:t>
      </w:r>
    </w:p>
    <w:p w:rsidR="007626AE" w:rsidRPr="007626AE" w:rsidRDefault="007626AE" w:rsidP="007626AE">
      <w:pPr>
        <w:kinsoku w:val="0"/>
        <w:overflowPunct w:val="0"/>
        <w:autoSpaceDE w:val="0"/>
        <w:autoSpaceDN w:val="0"/>
        <w:adjustRightInd w:val="0"/>
        <w:snapToGrid w:val="0"/>
        <w:spacing w:after="120"/>
        <w:ind w:left="2835" w:right="1134"/>
        <w:jc w:val="both"/>
        <w:rPr>
          <w:lang w:val="fr-FR"/>
        </w:rPr>
      </w:pPr>
      <w:r w:rsidRPr="007626AE">
        <w:rPr>
          <w:lang w:val="fr-FR"/>
        </w:rPr>
        <w:tab/>
        <w:t>Au moins un essieu doit commencer à produire une force de freinage lorsque la pression à la tête d’accouplement est comprise entre 20 et 100 kPa ou a une valeur numérique équivalente.».</w:t>
      </w:r>
    </w:p>
    <w:p w:rsidR="007626AE" w:rsidRPr="007626AE" w:rsidRDefault="007626AE" w:rsidP="007626AE">
      <w:pPr>
        <w:keepNext/>
        <w:kinsoku w:val="0"/>
        <w:overflowPunct w:val="0"/>
        <w:autoSpaceDE w:val="0"/>
        <w:autoSpaceDN w:val="0"/>
        <w:adjustRightInd w:val="0"/>
        <w:snapToGrid w:val="0"/>
        <w:spacing w:after="120"/>
        <w:ind w:left="1134" w:right="1134"/>
        <w:jc w:val="both"/>
        <w:rPr>
          <w:lang w:val="fr-FR"/>
        </w:rPr>
      </w:pPr>
      <w:r w:rsidRPr="007626AE">
        <w:rPr>
          <w:i/>
          <w:lang w:val="fr-FR"/>
        </w:rPr>
        <w:t>Paragraphe 6,</w:t>
      </w:r>
      <w:r w:rsidRPr="007626AE">
        <w:rPr>
          <w:lang w:val="fr-FR"/>
        </w:rPr>
        <w:t xml:space="preserve"> lire:</w:t>
      </w:r>
    </w:p>
    <w:p w:rsidR="007626AE" w:rsidRPr="007626AE" w:rsidRDefault="007626AE" w:rsidP="007626AE">
      <w:pPr>
        <w:keepNext/>
        <w:kinsoku w:val="0"/>
        <w:overflowPunct w:val="0"/>
        <w:autoSpaceDE w:val="0"/>
        <w:autoSpaceDN w:val="0"/>
        <w:adjustRightInd w:val="0"/>
        <w:snapToGrid w:val="0"/>
        <w:spacing w:after="120"/>
        <w:ind w:left="2268" w:right="1134" w:hanging="1134"/>
        <w:jc w:val="both"/>
        <w:rPr>
          <w:rFonts w:eastAsia="TT14Et00"/>
          <w:lang w:val="fr-FR" w:eastAsia="en-GB"/>
        </w:rPr>
      </w:pPr>
      <w:r w:rsidRPr="007626AE">
        <w:rPr>
          <w:rFonts w:eastAsia="TT14Et00"/>
          <w:lang w:val="fr-FR" w:eastAsia="en-GB"/>
        </w:rPr>
        <w:t>«6.</w:t>
      </w:r>
      <w:r w:rsidRPr="007626AE">
        <w:rPr>
          <w:rFonts w:eastAsia="TT14Et00"/>
          <w:lang w:val="fr-FR" w:eastAsia="en-GB"/>
        </w:rPr>
        <w:tab/>
        <w:t>Conditions à respecter en cas de défaillance du système de répartition de freinage</w:t>
      </w:r>
    </w:p>
    <w:p w:rsidR="007626AE" w:rsidRPr="007626AE" w:rsidRDefault="007626AE" w:rsidP="007626AE">
      <w:pPr>
        <w:kinsoku w:val="0"/>
        <w:overflowPunct w:val="0"/>
        <w:autoSpaceDE w:val="0"/>
        <w:autoSpaceDN w:val="0"/>
        <w:adjustRightInd w:val="0"/>
        <w:snapToGrid w:val="0"/>
        <w:spacing w:after="120"/>
        <w:ind w:left="2268" w:right="1134"/>
        <w:jc w:val="both"/>
        <w:rPr>
          <w:lang w:val="fr-FR"/>
        </w:rPr>
      </w:pPr>
      <w:r w:rsidRPr="007626AE">
        <w:rPr>
          <w:rFonts w:eastAsia="TT14Et00"/>
          <w:lang w:val="fr-FR" w:eastAsia="en-GB"/>
        </w:rPr>
        <w:tab/>
      </w:r>
      <w:r w:rsidRPr="007626AE">
        <w:rPr>
          <w:rFonts w:eastAsia="TT14Et00"/>
        </w:rPr>
        <w:t xml:space="preserve">Lorsque les conditions énoncées dans la présente annexe sont remplies grâce à un dispositif spécial (par exemple un dispositif commandé mécaniquement par la suspension du véhicule), ou si le véhicule est équipé d’un tel dispositif </w:t>
      </w:r>
      <w:r w:rsidRPr="007626AE">
        <w:rPr>
          <w:rFonts w:eastAsia="TT14Et00"/>
        </w:rPr>
        <w:lastRenderedPageBreak/>
        <w:t>spécial, en cas de défaillance de sa commande, il doit être possible, pour les véhicules à</w:t>
      </w:r>
      <w:r w:rsidRPr="007626AE">
        <w:rPr>
          <w:rFonts w:eastAsia="TT14Et00"/>
          <w:lang w:val="fr-FR" w:eastAsia="en-GB"/>
        </w:rPr>
        <w:t xml:space="preserve"> moteur, d’arrêter le véhicule dans les conditions prévues pour le freinage de secours; pour les véhicules à moteur admis à tracter une remorque équipée d’un système de freinage à air comprimé, il doit être possible d’obtenir à la tête d’accouplement de la conduite de commande une pression se situant dans la plage de valeur spécifiée au paragraphe 3.1.3 de la présente annexe. Pour les remorques, en cas de défaillance de la commande du dispositif spécial, une efficacité du freinage de service d’au moins 30 % de celle prescrite pour le véhicule visé doit être obtenue.».</w:t>
      </w:r>
    </w:p>
    <w:p w:rsidR="007626AE" w:rsidRPr="007626AE" w:rsidRDefault="007626AE" w:rsidP="007626AE">
      <w:pPr>
        <w:keepNext/>
        <w:kinsoku w:val="0"/>
        <w:overflowPunct w:val="0"/>
        <w:autoSpaceDE w:val="0"/>
        <w:autoSpaceDN w:val="0"/>
        <w:adjustRightInd w:val="0"/>
        <w:snapToGrid w:val="0"/>
        <w:spacing w:after="120"/>
        <w:ind w:left="2268" w:right="1134" w:hanging="1134"/>
        <w:jc w:val="both"/>
        <w:rPr>
          <w:lang w:val="fr-FR"/>
        </w:rPr>
      </w:pPr>
      <w:r w:rsidRPr="007626AE">
        <w:rPr>
          <w:i/>
          <w:lang w:val="fr-FR"/>
        </w:rPr>
        <w:t>Paragraphes 7 et 7.1,</w:t>
      </w:r>
      <w:r w:rsidRPr="007626AE">
        <w:rPr>
          <w:lang w:val="fr-FR"/>
        </w:rPr>
        <w:t xml:space="preserve"> lire:</w:t>
      </w:r>
    </w:p>
    <w:p w:rsidR="007626AE" w:rsidRPr="007626AE" w:rsidRDefault="007626AE" w:rsidP="007626AE">
      <w:pPr>
        <w:keepNext/>
        <w:kinsoku w:val="0"/>
        <w:overflowPunct w:val="0"/>
        <w:autoSpaceDE w:val="0"/>
        <w:autoSpaceDN w:val="0"/>
        <w:adjustRightInd w:val="0"/>
        <w:snapToGrid w:val="0"/>
        <w:spacing w:after="120"/>
        <w:ind w:left="2268" w:right="1134" w:hanging="1134"/>
        <w:jc w:val="both"/>
        <w:rPr>
          <w:rFonts w:eastAsia="TT14Et00"/>
          <w:lang w:val="fr-FR" w:eastAsia="en-GB"/>
        </w:rPr>
      </w:pPr>
      <w:r w:rsidRPr="007626AE">
        <w:rPr>
          <w:rFonts w:eastAsia="TT14Et00"/>
          <w:lang w:val="fr-FR" w:eastAsia="en-GB"/>
        </w:rPr>
        <w:t>«7.</w:t>
      </w:r>
      <w:r w:rsidRPr="007626AE">
        <w:rPr>
          <w:rFonts w:eastAsia="TT14Et00"/>
          <w:lang w:val="fr-FR" w:eastAsia="en-GB"/>
        </w:rPr>
        <w:tab/>
      </w:r>
      <w:r w:rsidRPr="007626AE">
        <w:rPr>
          <w:rFonts w:eastAsia="TT14Et00"/>
          <w:lang w:val="fr-FR" w:eastAsia="en-GB"/>
        </w:rPr>
        <w:tab/>
        <w:t>Marquage</w:t>
      </w:r>
    </w:p>
    <w:p w:rsidR="007626AE" w:rsidRPr="007626AE" w:rsidRDefault="007626AE" w:rsidP="007626AE">
      <w:pPr>
        <w:kinsoku w:val="0"/>
        <w:overflowPunct w:val="0"/>
        <w:autoSpaceDE w:val="0"/>
        <w:autoSpaceDN w:val="0"/>
        <w:adjustRightInd w:val="0"/>
        <w:snapToGrid w:val="0"/>
        <w:spacing w:after="120"/>
        <w:ind w:left="2268" w:right="1134" w:hanging="1134"/>
        <w:jc w:val="both"/>
        <w:rPr>
          <w:lang w:val="fr-FR"/>
        </w:rPr>
      </w:pPr>
      <w:r w:rsidRPr="007626AE">
        <w:rPr>
          <w:rFonts w:eastAsia="TT14Et00"/>
          <w:lang w:val="fr-FR" w:eastAsia="en-GB"/>
        </w:rPr>
        <w:t>7.1</w:t>
      </w:r>
      <w:r w:rsidRPr="007626AE">
        <w:rPr>
          <w:rFonts w:eastAsia="TT14Et00"/>
          <w:lang w:val="fr-FR" w:eastAsia="en-GB"/>
        </w:rPr>
        <w:tab/>
        <w:t>Les véhicules qui satisfont aux conditions de la présente annexe grâce à l’utilisation d’un dispositif commandé mécaniquement par la suspension du véhicule, ou si le véhicule est équipé d’un tel dispositif spécial, doivent porter un marquage indiquant la course utile du dispositif entre les positions correspondant respectivement aux états à vide et en charge du véhicule et les informations additionnelles nécessaires pour contrôler le réglage du dispositif.».</w:t>
      </w:r>
    </w:p>
    <w:p w:rsidR="007626AE" w:rsidRPr="007626AE" w:rsidRDefault="007626AE" w:rsidP="007626AE">
      <w:pPr>
        <w:keepNext/>
        <w:kinsoku w:val="0"/>
        <w:overflowPunct w:val="0"/>
        <w:autoSpaceDE w:val="0"/>
        <w:autoSpaceDN w:val="0"/>
        <w:adjustRightInd w:val="0"/>
        <w:snapToGrid w:val="0"/>
        <w:spacing w:after="120"/>
        <w:ind w:left="2268" w:right="1134" w:hanging="1134"/>
        <w:jc w:val="both"/>
        <w:rPr>
          <w:i/>
          <w:lang w:val="fr-FR"/>
        </w:rPr>
      </w:pPr>
      <w:r w:rsidRPr="007626AE">
        <w:rPr>
          <w:i/>
          <w:lang w:val="fr-FR"/>
        </w:rPr>
        <w:t>Annexe 13</w:t>
      </w:r>
      <w:r w:rsidR="008E1FCF">
        <w:rPr>
          <w:i/>
          <w:lang w:val="fr-FR"/>
        </w:rPr>
        <w:t>,</w:t>
      </w:r>
    </w:p>
    <w:p w:rsidR="007626AE" w:rsidRPr="007626AE" w:rsidRDefault="007626AE" w:rsidP="007626AE">
      <w:pPr>
        <w:keepNext/>
        <w:kinsoku w:val="0"/>
        <w:overflowPunct w:val="0"/>
        <w:autoSpaceDE w:val="0"/>
        <w:autoSpaceDN w:val="0"/>
        <w:adjustRightInd w:val="0"/>
        <w:snapToGrid w:val="0"/>
        <w:spacing w:after="120"/>
        <w:ind w:left="2268" w:right="1134" w:hanging="1134"/>
        <w:jc w:val="both"/>
        <w:rPr>
          <w:lang w:val="fr-FR"/>
        </w:rPr>
      </w:pPr>
      <w:r w:rsidRPr="007626AE">
        <w:rPr>
          <w:i/>
          <w:lang w:val="fr-FR"/>
        </w:rPr>
        <w:t>Paragraphe 1.1,</w:t>
      </w:r>
      <w:r w:rsidRPr="007626AE">
        <w:rPr>
          <w:lang w:val="fr-FR"/>
        </w:rPr>
        <w:t xml:space="preserve"> lire:</w:t>
      </w:r>
    </w:p>
    <w:p w:rsidR="007626AE" w:rsidRPr="007626AE" w:rsidRDefault="007626AE" w:rsidP="007626AE">
      <w:pPr>
        <w:kinsoku w:val="0"/>
        <w:overflowPunct w:val="0"/>
        <w:autoSpaceDE w:val="0"/>
        <w:autoSpaceDN w:val="0"/>
        <w:adjustRightInd w:val="0"/>
        <w:snapToGrid w:val="0"/>
        <w:spacing w:after="120"/>
        <w:ind w:left="2268" w:right="1134" w:hanging="1134"/>
        <w:jc w:val="both"/>
        <w:rPr>
          <w:color w:val="000000"/>
          <w:lang w:val="fr-FR"/>
        </w:rPr>
      </w:pPr>
      <w:r w:rsidRPr="007626AE">
        <w:rPr>
          <w:lang w:val="fr-FR"/>
        </w:rPr>
        <w:t>«1.1</w:t>
      </w:r>
      <w:r w:rsidRPr="007626AE">
        <w:rPr>
          <w:lang w:val="fr-FR"/>
        </w:rPr>
        <w:tab/>
      </w:r>
      <w:r w:rsidRPr="007626AE">
        <w:rPr>
          <w:color w:val="000000"/>
          <w:lang w:val="fr-FR"/>
        </w:rPr>
        <w:t>La présente annexe définit les performances requises pour les systèmes de freinage des véhicules routiers équipés d’un système de freinage antiblocage.».</w:t>
      </w:r>
    </w:p>
    <w:p w:rsidR="007626AE" w:rsidRPr="007626AE" w:rsidRDefault="007626AE" w:rsidP="007626AE">
      <w:pPr>
        <w:kinsoku w:val="0"/>
        <w:overflowPunct w:val="0"/>
        <w:autoSpaceDE w:val="0"/>
        <w:autoSpaceDN w:val="0"/>
        <w:adjustRightInd w:val="0"/>
        <w:snapToGrid w:val="0"/>
        <w:spacing w:before="240"/>
        <w:ind w:left="1134" w:right="1134"/>
        <w:jc w:val="center"/>
        <w:rPr>
          <w:u w:val="single"/>
        </w:rPr>
      </w:pPr>
      <w:r w:rsidRPr="007626AE">
        <w:rPr>
          <w:u w:val="single"/>
        </w:rPr>
        <w:tab/>
      </w:r>
      <w:r w:rsidRPr="007626AE">
        <w:rPr>
          <w:u w:val="single"/>
        </w:rPr>
        <w:tab/>
      </w:r>
      <w:r w:rsidRPr="007626AE">
        <w:rPr>
          <w:u w:val="single"/>
        </w:rPr>
        <w:tab/>
      </w:r>
    </w:p>
    <w:p w:rsidR="00FC2CA9" w:rsidRPr="00972C55" w:rsidRDefault="00FC2CA9" w:rsidP="00EF5EBC">
      <w:pPr>
        <w:pStyle w:val="SingleTxtG"/>
        <w:rPr>
          <w:u w:val="single"/>
        </w:rPr>
      </w:pPr>
    </w:p>
    <w:sectPr w:rsidR="00FC2CA9" w:rsidRPr="00972C55" w:rsidSect="000314C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6AE" w:rsidRDefault="007626AE"/>
  </w:endnote>
  <w:endnote w:type="continuationSeparator" w:id="0">
    <w:p w:rsidR="007626AE" w:rsidRDefault="007626AE">
      <w:pPr>
        <w:pStyle w:val="Footer"/>
      </w:pPr>
    </w:p>
  </w:endnote>
  <w:endnote w:type="continuationNotice" w:id="1">
    <w:p w:rsidR="007626AE" w:rsidRPr="00C451B9" w:rsidRDefault="007626AE"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T14E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pPr>
    <w:r w:rsidRPr="000314C7">
      <w:rPr>
        <w:b/>
        <w:sz w:val="18"/>
      </w:rPr>
      <w:fldChar w:fldCharType="begin"/>
    </w:r>
    <w:r w:rsidRPr="000314C7">
      <w:rPr>
        <w:b/>
        <w:sz w:val="18"/>
      </w:rPr>
      <w:instrText xml:space="preserve"> PAGE  \* MERGEFORMAT </w:instrText>
    </w:r>
    <w:r w:rsidRPr="000314C7">
      <w:rPr>
        <w:b/>
        <w:sz w:val="18"/>
      </w:rPr>
      <w:fldChar w:fldCharType="separate"/>
    </w:r>
    <w:r w:rsidR="004310B3">
      <w:rPr>
        <w:b/>
        <w:noProof/>
        <w:sz w:val="18"/>
      </w:rPr>
      <w:t>2</w:t>
    </w:r>
    <w:r w:rsidRPr="000314C7">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rPr>
        <w:b/>
        <w:sz w:val="18"/>
      </w:rPr>
    </w:pPr>
    <w:r>
      <w:tab/>
    </w:r>
    <w:r w:rsidRPr="000314C7">
      <w:rPr>
        <w:b/>
        <w:sz w:val="18"/>
      </w:rPr>
      <w:fldChar w:fldCharType="begin"/>
    </w:r>
    <w:r w:rsidRPr="000314C7">
      <w:rPr>
        <w:b/>
        <w:sz w:val="18"/>
      </w:rPr>
      <w:instrText xml:space="preserve"> PAGE  \* MERGEFORMAT </w:instrText>
    </w:r>
    <w:r w:rsidRPr="000314C7">
      <w:rPr>
        <w:b/>
        <w:sz w:val="18"/>
      </w:rPr>
      <w:fldChar w:fldCharType="separate"/>
    </w:r>
    <w:r w:rsidR="004310B3">
      <w:rPr>
        <w:b/>
        <w:noProof/>
        <w:sz w:val="18"/>
      </w:rPr>
      <w:t>3</w:t>
    </w:r>
    <w:r w:rsidRPr="000314C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29791D" w:rsidRDefault="00710974" w:rsidP="00E97E2C">
    <w:pPr>
      <w:ind w:left="1134" w:right="1134"/>
      <w:jc w:val="center"/>
    </w:pPr>
    <w:r>
      <w:t>_______________</w:t>
    </w:r>
  </w:p>
  <w:p w:rsidR="00710974" w:rsidRDefault="004310B3" w:rsidP="00E97E2C">
    <w:pPr>
      <w:jc w:val="center"/>
      <w:rPr>
        <w:b/>
        <w:bCs/>
        <w:sz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6pt;mso-wrap-distance-bottom:10.8pt" o:allowoverlap="f" fillcolor="window">
          <v:imagedata r:id="rId1" o:title="" cropleft="-4986f" cropright="-4986f"/>
        </v:shape>
      </w:pict>
    </w:r>
  </w:p>
  <w:p w:rsidR="00710974" w:rsidRPr="0029791D" w:rsidRDefault="00710974" w:rsidP="00E97E2C">
    <w:pPr>
      <w:jc w:val="center"/>
      <w:rPr>
        <w:sz w:val="24"/>
        <w:szCs w:val="24"/>
      </w:rPr>
    </w:pPr>
    <w:r w:rsidRPr="0029791D">
      <w:rPr>
        <w:b/>
        <w:bCs/>
        <w:sz w:val="24"/>
        <w:szCs w:val="24"/>
      </w:rPr>
      <w:t>Nations Unies</w:t>
    </w:r>
  </w:p>
  <w:p w:rsidR="00710974" w:rsidRPr="0029791D" w:rsidRDefault="00710974" w:rsidP="00E97E2C">
    <w:pPr>
      <w:pStyle w:val="FootnoteText"/>
      <w:tabs>
        <w:tab w:val="clear" w:pos="1021"/>
        <w:tab w:val="right" w:pos="2155"/>
      </w:tabs>
      <w:spacing w:after="80" w:line="240" w:lineRule="atLeast"/>
      <w:ind w:left="680" w:right="0" w:firstLine="0"/>
      <w:rPr>
        <w:u w:val="single"/>
      </w:rPr>
    </w:pPr>
    <w:r>
      <w:rPr>
        <w:u w:val="single"/>
      </w:rPr>
      <w:tab/>
    </w:r>
  </w:p>
  <w:p w:rsidR="00710974" w:rsidRDefault="00710974" w:rsidP="00242268">
    <w:pPr>
      <w:pStyle w:val="FootnoteText"/>
      <w:spacing w:after="240" w:line="200" w:lineRule="exact"/>
    </w:pPr>
    <w:r>
      <w:tab/>
    </w:r>
    <w:r w:rsidRPr="0029791D">
      <w:rPr>
        <w:rStyle w:val="FootnoteReference"/>
        <w:sz w:val="20"/>
        <w:vertAlign w:val="baseline"/>
      </w:rPr>
      <w:t>*</w:t>
    </w:r>
    <w:r>
      <w:rPr>
        <w:sz w:val="20"/>
      </w:rPr>
      <w:tab/>
    </w:r>
    <w:r w:rsidRPr="007817A7">
      <w:t>Ancien titre de l</w:t>
    </w:r>
    <w:r>
      <w:t>’</w:t>
    </w:r>
    <w:r w:rsidRPr="007817A7">
      <w:t>Accor</w:t>
    </w:r>
    <w:r>
      <w:t>d: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6AE" w:rsidRPr="00D27D5E" w:rsidRDefault="007626AE" w:rsidP="00D27D5E">
      <w:pPr>
        <w:tabs>
          <w:tab w:val="right" w:pos="2155"/>
        </w:tabs>
        <w:spacing w:after="80"/>
        <w:ind w:left="680"/>
        <w:rPr>
          <w:u w:val="single"/>
        </w:rPr>
      </w:pPr>
      <w:r>
        <w:rPr>
          <w:u w:val="single"/>
        </w:rPr>
        <w:tab/>
      </w:r>
    </w:p>
  </w:footnote>
  <w:footnote w:type="continuationSeparator" w:id="0">
    <w:p w:rsidR="007626AE" w:rsidRPr="00D171D4" w:rsidRDefault="007626AE" w:rsidP="00D171D4">
      <w:pPr>
        <w:tabs>
          <w:tab w:val="right" w:pos="2155"/>
        </w:tabs>
        <w:spacing w:after="80"/>
        <w:ind w:left="680"/>
        <w:rPr>
          <w:u w:val="single"/>
        </w:rPr>
      </w:pPr>
      <w:r w:rsidRPr="00D171D4">
        <w:rPr>
          <w:u w:val="single"/>
        </w:rPr>
        <w:tab/>
      </w:r>
    </w:p>
  </w:footnote>
  <w:footnote w:type="continuationNotice" w:id="1">
    <w:p w:rsidR="007626AE" w:rsidRPr="00C451B9" w:rsidRDefault="007626AE" w:rsidP="00C451B9">
      <w:pPr>
        <w:spacing w:line="240" w:lineRule="auto"/>
        <w:rPr>
          <w:sz w:val="2"/>
          <w:szCs w:val="2"/>
        </w:rPr>
      </w:pPr>
    </w:p>
  </w:footnote>
  <w:footnote w:id="2">
    <w:p w:rsidR="007626AE" w:rsidRPr="00F774BE" w:rsidRDefault="007626AE" w:rsidP="007626AE">
      <w:pPr>
        <w:pStyle w:val="FootnoteText"/>
      </w:pPr>
      <w:r w:rsidRPr="00094359">
        <w:tab/>
      </w:r>
      <w:r w:rsidRPr="00C97C33">
        <w:rPr>
          <w:vertAlign w:val="superscript"/>
        </w:rPr>
        <w:footnoteRef/>
      </w:r>
      <w:r w:rsidRPr="00F774BE">
        <w:tab/>
        <w:t>Dans le cas de remorques équipées de systèmes de répartition de la force de freinage à commande électronique, les prescriptions de la présente annexe ne s’appliquent que si la remorque est reliée électriquement à un véhicule tracteur par le raccord ISO 7638:2003</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8E1FCF">
    <w:pPr>
      <w:pStyle w:val="Header"/>
    </w:pPr>
    <w:r w:rsidRPr="00D623A7">
      <w:t>E/ECE/324</w:t>
    </w:r>
    <w:r w:rsidRPr="00FA790E">
      <w:t>/Rev.1/Add.12/Rev.8/Amend.3</w:t>
    </w:r>
    <w:r>
      <w:br/>
    </w:r>
    <w:r w:rsidRPr="00D623A7">
      <w:t>E/ECE/TRANS/505</w:t>
    </w:r>
    <w:r w:rsidRPr="00FA790E">
      <w:t>/Rev.1/Add.12/Rev.8/Amend.3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8E1FCF" w:rsidP="000314C7">
    <w:pPr>
      <w:pStyle w:val="Header"/>
      <w:jc w:val="right"/>
    </w:pPr>
    <w:r w:rsidRPr="00D623A7">
      <w:t>E/ECE/324</w:t>
    </w:r>
    <w:r w:rsidRPr="00FA790E">
      <w:t>/Rev.1/Add.12/Rev.8/Amend.3</w:t>
    </w:r>
    <w:r>
      <w:br/>
    </w:r>
    <w:r w:rsidRPr="00D623A7">
      <w:t>E/ECE/TRANS/505</w:t>
    </w:r>
    <w:r w:rsidRPr="00FA790E">
      <w:t>/Rev.1/Add.12/Rev.8/Amend.3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19D" w:rsidRPr="00CC48B6" w:rsidRDefault="0076719D" w:rsidP="00CC48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4">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40221049"/>
    <w:multiLevelType w:val="singleLevel"/>
    <w:tmpl w:val="04D4B0C4"/>
    <w:lvl w:ilvl="0">
      <w:start w:val="1"/>
      <w:numFmt w:val="decimal"/>
      <w:lvlText w:val="%1."/>
      <w:lvlJc w:val="left"/>
      <w:pPr>
        <w:tabs>
          <w:tab w:val="num" w:pos="360"/>
        </w:tabs>
        <w:ind w:left="360" w:hanging="360"/>
      </w:pPr>
    </w:lvl>
  </w:abstractNum>
  <w:abstractNum w:abstractNumId="26">
    <w:nsid w:val="452D144C"/>
    <w:multiLevelType w:val="singleLevel"/>
    <w:tmpl w:val="7C4C0A7C"/>
    <w:lvl w:ilvl="0">
      <w:start w:val="1"/>
      <w:numFmt w:val="decimal"/>
      <w:lvlText w:val="(%1)"/>
      <w:lvlJc w:val="left"/>
      <w:pPr>
        <w:tabs>
          <w:tab w:val="num" w:pos="720"/>
        </w:tabs>
        <w:ind w:left="720" w:hanging="720"/>
      </w:pPr>
    </w:lvl>
  </w:abstractNum>
  <w:abstractNum w:abstractNumId="27">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0">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EFA2598"/>
    <w:multiLevelType w:val="singleLevel"/>
    <w:tmpl w:val="0409000F"/>
    <w:lvl w:ilvl="0">
      <w:start w:val="1"/>
      <w:numFmt w:val="decimal"/>
      <w:lvlText w:val="%1."/>
      <w:lvlJc w:val="left"/>
      <w:pPr>
        <w:tabs>
          <w:tab w:val="num" w:pos="360"/>
        </w:tabs>
        <w:ind w:left="360" w:hanging="360"/>
      </w:pPr>
    </w:lvl>
  </w:abstractNum>
  <w:abstractNum w:abstractNumId="32">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4">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5D15DFE"/>
    <w:multiLevelType w:val="singleLevel"/>
    <w:tmpl w:val="475E6D3C"/>
    <w:lvl w:ilvl="0">
      <w:start w:val="1"/>
      <w:numFmt w:val="decimal"/>
      <w:lvlText w:val="%1."/>
      <w:lvlJc w:val="left"/>
      <w:pPr>
        <w:tabs>
          <w:tab w:val="num" w:pos="360"/>
        </w:tabs>
        <w:ind w:left="360" w:hanging="360"/>
      </w:pPr>
    </w:lvl>
  </w:abstractNum>
  <w:abstractNum w:abstractNumId="3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ACA643D"/>
    <w:multiLevelType w:val="singleLevel"/>
    <w:tmpl w:val="0409000F"/>
    <w:lvl w:ilvl="0">
      <w:start w:val="1"/>
      <w:numFmt w:val="decimal"/>
      <w:lvlText w:val="%1."/>
      <w:lvlJc w:val="left"/>
      <w:pPr>
        <w:tabs>
          <w:tab w:val="num" w:pos="360"/>
        </w:tabs>
        <w:ind w:left="360" w:hanging="360"/>
      </w:pPr>
    </w:lvl>
  </w:abstractNum>
  <w:abstractNum w:abstractNumId="39">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1">
    <w:nsid w:val="7DBF6B58"/>
    <w:multiLevelType w:val="singleLevel"/>
    <w:tmpl w:val="0409000F"/>
    <w:lvl w:ilvl="0">
      <w:start w:val="1"/>
      <w:numFmt w:val="decimal"/>
      <w:lvlText w:val="%1."/>
      <w:lvlJc w:val="left"/>
      <w:pPr>
        <w:tabs>
          <w:tab w:val="num" w:pos="360"/>
        </w:tabs>
        <w:ind w:left="360" w:hanging="360"/>
      </w:pPr>
    </w:lvl>
  </w:abstractNum>
  <w:num w:numId="1">
    <w:abstractNumId w:val="40"/>
  </w:num>
  <w:num w:numId="2">
    <w:abstractNumId w:val="18"/>
  </w:num>
  <w:num w:numId="3">
    <w:abstractNumId w:val="40"/>
  </w:num>
  <w:num w:numId="4">
    <w:abstractNumId w:val="18"/>
  </w:num>
  <w:num w:numId="5">
    <w:abstractNumId w:val="11"/>
  </w:num>
  <w:num w:numId="6">
    <w:abstractNumId w:val="20"/>
  </w:num>
  <w:num w:numId="7">
    <w:abstractNumId w:val="25"/>
  </w:num>
  <w:num w:numId="8">
    <w:abstractNumId w:val="38"/>
  </w:num>
  <w:num w:numId="9">
    <w:abstractNumId w:val="31"/>
  </w:num>
  <w:num w:numId="10">
    <w:abstractNumId w:val="41"/>
  </w:num>
  <w:num w:numId="11">
    <w:abstractNumId w:val="25"/>
  </w:num>
  <w:num w:numId="12">
    <w:abstractNumId w:val="29"/>
  </w:num>
  <w:num w:numId="13">
    <w:abstractNumId w:val="29"/>
  </w:num>
  <w:num w:numId="14">
    <w:abstractNumId w:val="35"/>
  </w:num>
  <w:num w:numId="15">
    <w:abstractNumId w:val="23"/>
  </w:num>
  <w:num w:numId="16">
    <w:abstractNumId w:val="23"/>
  </w:num>
  <w:num w:numId="17">
    <w:abstractNumId w:val="40"/>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6"/>
  </w:num>
  <w:num w:numId="26">
    <w:abstractNumId w:val="3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9"/>
  </w:num>
  <w:num w:numId="37">
    <w:abstractNumId w:val="36"/>
  </w:num>
  <w:num w:numId="38">
    <w:abstractNumId w:val="22"/>
  </w:num>
  <w:num w:numId="39">
    <w:abstractNumId w:val="28"/>
  </w:num>
  <w:num w:numId="40">
    <w:abstractNumId w:val="37"/>
  </w:num>
  <w:num w:numId="41">
    <w:abstractNumId w:val="16"/>
  </w:num>
  <w:num w:numId="42">
    <w:abstractNumId w:val="24"/>
  </w:num>
  <w:num w:numId="43">
    <w:abstractNumId w:val="32"/>
  </w:num>
  <w:num w:numId="44">
    <w:abstractNumId w:val="21"/>
  </w:num>
  <w:num w:numId="45">
    <w:abstractNumId w:val="34"/>
  </w:num>
  <w:num w:numId="46">
    <w:abstractNumId w:val="30"/>
  </w:num>
  <w:num w:numId="47">
    <w:abstractNumId w:val="27"/>
  </w:num>
  <w:num w:numId="48">
    <w:abstractNumId w:val="1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26AE"/>
    <w:rsid w:val="0001470D"/>
    <w:rsid w:val="00015650"/>
    <w:rsid w:val="00016165"/>
    <w:rsid w:val="00016AC5"/>
    <w:rsid w:val="00021126"/>
    <w:rsid w:val="00021907"/>
    <w:rsid w:val="000233A5"/>
    <w:rsid w:val="0002445D"/>
    <w:rsid w:val="00024C50"/>
    <w:rsid w:val="00025E92"/>
    <w:rsid w:val="000276A3"/>
    <w:rsid w:val="000314C7"/>
    <w:rsid w:val="00032060"/>
    <w:rsid w:val="00037B3F"/>
    <w:rsid w:val="00040539"/>
    <w:rsid w:val="00040598"/>
    <w:rsid w:val="00047F10"/>
    <w:rsid w:val="00052157"/>
    <w:rsid w:val="0005346D"/>
    <w:rsid w:val="00055FE4"/>
    <w:rsid w:val="000641CE"/>
    <w:rsid w:val="00067310"/>
    <w:rsid w:val="00077E35"/>
    <w:rsid w:val="0008669E"/>
    <w:rsid w:val="00090599"/>
    <w:rsid w:val="00090B60"/>
    <w:rsid w:val="000A1501"/>
    <w:rsid w:val="000A2494"/>
    <w:rsid w:val="000A6B7E"/>
    <w:rsid w:val="000C6CDB"/>
    <w:rsid w:val="000D5C25"/>
    <w:rsid w:val="000E4F06"/>
    <w:rsid w:val="000E5601"/>
    <w:rsid w:val="000F17F6"/>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376F"/>
    <w:rsid w:val="001B09BB"/>
    <w:rsid w:val="001C08ED"/>
    <w:rsid w:val="001C3D8D"/>
    <w:rsid w:val="001C6497"/>
    <w:rsid w:val="001D3393"/>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268"/>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C5B16"/>
    <w:rsid w:val="002D25CA"/>
    <w:rsid w:val="002D3DA4"/>
    <w:rsid w:val="002E2F5C"/>
    <w:rsid w:val="002F0C48"/>
    <w:rsid w:val="003016B7"/>
    <w:rsid w:val="0030754C"/>
    <w:rsid w:val="00317E54"/>
    <w:rsid w:val="00322DF1"/>
    <w:rsid w:val="00324EBF"/>
    <w:rsid w:val="0032556C"/>
    <w:rsid w:val="00330508"/>
    <w:rsid w:val="0033286A"/>
    <w:rsid w:val="00333130"/>
    <w:rsid w:val="0034178D"/>
    <w:rsid w:val="00346E32"/>
    <w:rsid w:val="003515AA"/>
    <w:rsid w:val="00364F13"/>
    <w:rsid w:val="0036776C"/>
    <w:rsid w:val="00372A7A"/>
    <w:rsid w:val="00372D1D"/>
    <w:rsid w:val="00374106"/>
    <w:rsid w:val="0037679A"/>
    <w:rsid w:val="0038047C"/>
    <w:rsid w:val="00390EEF"/>
    <w:rsid w:val="00394410"/>
    <w:rsid w:val="003976D5"/>
    <w:rsid w:val="003A58D8"/>
    <w:rsid w:val="003B53B6"/>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086B"/>
    <w:rsid w:val="00421A10"/>
    <w:rsid w:val="00422499"/>
    <w:rsid w:val="00430EFC"/>
    <w:rsid w:val="004310B3"/>
    <w:rsid w:val="00433FA6"/>
    <w:rsid w:val="004342E2"/>
    <w:rsid w:val="00434354"/>
    <w:rsid w:val="00440BC8"/>
    <w:rsid w:val="00454F8D"/>
    <w:rsid w:val="004567EB"/>
    <w:rsid w:val="00460E72"/>
    <w:rsid w:val="00464191"/>
    <w:rsid w:val="00467412"/>
    <w:rsid w:val="004726BE"/>
    <w:rsid w:val="004750C7"/>
    <w:rsid w:val="00476265"/>
    <w:rsid w:val="00490F56"/>
    <w:rsid w:val="00491496"/>
    <w:rsid w:val="00491F39"/>
    <w:rsid w:val="00495A7B"/>
    <w:rsid w:val="004A49A5"/>
    <w:rsid w:val="004A66A2"/>
    <w:rsid w:val="004B261D"/>
    <w:rsid w:val="004B51CD"/>
    <w:rsid w:val="004B576C"/>
    <w:rsid w:val="004C54C0"/>
    <w:rsid w:val="004C56B2"/>
    <w:rsid w:val="004D00B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366"/>
    <w:rsid w:val="00552777"/>
    <w:rsid w:val="00555494"/>
    <w:rsid w:val="00555CBA"/>
    <w:rsid w:val="00556C1A"/>
    <w:rsid w:val="00563071"/>
    <w:rsid w:val="00565B29"/>
    <w:rsid w:val="00571BC1"/>
    <w:rsid w:val="00571F41"/>
    <w:rsid w:val="00575476"/>
    <w:rsid w:val="005757A7"/>
    <w:rsid w:val="00583A20"/>
    <w:rsid w:val="00584373"/>
    <w:rsid w:val="0059061F"/>
    <w:rsid w:val="00591DB3"/>
    <w:rsid w:val="005939ED"/>
    <w:rsid w:val="005947BC"/>
    <w:rsid w:val="00595E8A"/>
    <w:rsid w:val="005A0268"/>
    <w:rsid w:val="005A6014"/>
    <w:rsid w:val="005B473C"/>
    <w:rsid w:val="005C549A"/>
    <w:rsid w:val="005D7719"/>
    <w:rsid w:val="005E1B9B"/>
    <w:rsid w:val="005E32D1"/>
    <w:rsid w:val="005E5D1F"/>
    <w:rsid w:val="005F0207"/>
    <w:rsid w:val="0061113B"/>
    <w:rsid w:val="00611D43"/>
    <w:rsid w:val="00612D48"/>
    <w:rsid w:val="00613A5E"/>
    <w:rsid w:val="00616B45"/>
    <w:rsid w:val="006241C6"/>
    <w:rsid w:val="00630D9B"/>
    <w:rsid w:val="00631953"/>
    <w:rsid w:val="0063208D"/>
    <w:rsid w:val="00643814"/>
    <w:rsid w:val="006439EC"/>
    <w:rsid w:val="00645090"/>
    <w:rsid w:val="00646671"/>
    <w:rsid w:val="00647059"/>
    <w:rsid w:val="00647162"/>
    <w:rsid w:val="0065029A"/>
    <w:rsid w:val="006553F9"/>
    <w:rsid w:val="00661E96"/>
    <w:rsid w:val="00665786"/>
    <w:rsid w:val="00671C93"/>
    <w:rsid w:val="00671F00"/>
    <w:rsid w:val="006729C8"/>
    <w:rsid w:val="00675501"/>
    <w:rsid w:val="0068055F"/>
    <w:rsid w:val="0068562A"/>
    <w:rsid w:val="006A62F8"/>
    <w:rsid w:val="006A6B31"/>
    <w:rsid w:val="006A6C95"/>
    <w:rsid w:val="006A7B29"/>
    <w:rsid w:val="006B0EB2"/>
    <w:rsid w:val="006B0FF8"/>
    <w:rsid w:val="006B4590"/>
    <w:rsid w:val="006C27D3"/>
    <w:rsid w:val="006C340C"/>
    <w:rsid w:val="006F1D0B"/>
    <w:rsid w:val="006F27A8"/>
    <w:rsid w:val="006F3493"/>
    <w:rsid w:val="006F3544"/>
    <w:rsid w:val="0070347C"/>
    <w:rsid w:val="00707FE6"/>
    <w:rsid w:val="007102D2"/>
    <w:rsid w:val="00710974"/>
    <w:rsid w:val="00714A66"/>
    <w:rsid w:val="007176C1"/>
    <w:rsid w:val="00720BC0"/>
    <w:rsid w:val="0072116B"/>
    <w:rsid w:val="00725063"/>
    <w:rsid w:val="00732E72"/>
    <w:rsid w:val="0073494A"/>
    <w:rsid w:val="00741D90"/>
    <w:rsid w:val="007607B1"/>
    <w:rsid w:val="007626AE"/>
    <w:rsid w:val="00765296"/>
    <w:rsid w:val="00765DCF"/>
    <w:rsid w:val="00766D28"/>
    <w:rsid w:val="0076719D"/>
    <w:rsid w:val="007723C2"/>
    <w:rsid w:val="007815B9"/>
    <w:rsid w:val="00785F1F"/>
    <w:rsid w:val="007869B6"/>
    <w:rsid w:val="00790B9D"/>
    <w:rsid w:val="00796316"/>
    <w:rsid w:val="007A1C58"/>
    <w:rsid w:val="007A20D2"/>
    <w:rsid w:val="007A79CD"/>
    <w:rsid w:val="007D2668"/>
    <w:rsid w:val="007D3119"/>
    <w:rsid w:val="007E3CBD"/>
    <w:rsid w:val="007F1867"/>
    <w:rsid w:val="007F1EC4"/>
    <w:rsid w:val="007F55CB"/>
    <w:rsid w:val="007F768E"/>
    <w:rsid w:val="008021D4"/>
    <w:rsid w:val="008149F9"/>
    <w:rsid w:val="008245B7"/>
    <w:rsid w:val="0082755E"/>
    <w:rsid w:val="00831A18"/>
    <w:rsid w:val="008345F4"/>
    <w:rsid w:val="00837345"/>
    <w:rsid w:val="00844750"/>
    <w:rsid w:val="00851A74"/>
    <w:rsid w:val="00853AB8"/>
    <w:rsid w:val="00854C34"/>
    <w:rsid w:val="0085586A"/>
    <w:rsid w:val="00856DB2"/>
    <w:rsid w:val="00894D0C"/>
    <w:rsid w:val="00895DE5"/>
    <w:rsid w:val="008A00CA"/>
    <w:rsid w:val="008A0FA8"/>
    <w:rsid w:val="008A1EC0"/>
    <w:rsid w:val="008B44C4"/>
    <w:rsid w:val="008C322B"/>
    <w:rsid w:val="008C4B74"/>
    <w:rsid w:val="008D1156"/>
    <w:rsid w:val="008D59DB"/>
    <w:rsid w:val="008E0319"/>
    <w:rsid w:val="008E1A59"/>
    <w:rsid w:val="008E1FCF"/>
    <w:rsid w:val="008E4DE2"/>
    <w:rsid w:val="008E646F"/>
    <w:rsid w:val="008E7CE2"/>
    <w:rsid w:val="008E7FAE"/>
    <w:rsid w:val="00911BF7"/>
    <w:rsid w:val="0091594A"/>
    <w:rsid w:val="009230F1"/>
    <w:rsid w:val="00926925"/>
    <w:rsid w:val="00935490"/>
    <w:rsid w:val="009418DE"/>
    <w:rsid w:val="00945445"/>
    <w:rsid w:val="009515F6"/>
    <w:rsid w:val="009516B7"/>
    <w:rsid w:val="009545F1"/>
    <w:rsid w:val="0095705B"/>
    <w:rsid w:val="00957CE5"/>
    <w:rsid w:val="009624E2"/>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6945"/>
    <w:rsid w:val="00A57027"/>
    <w:rsid w:val="00A5750C"/>
    <w:rsid w:val="00A72C35"/>
    <w:rsid w:val="00A752BB"/>
    <w:rsid w:val="00A76263"/>
    <w:rsid w:val="00A81F93"/>
    <w:rsid w:val="00A92017"/>
    <w:rsid w:val="00A9247E"/>
    <w:rsid w:val="00A952AD"/>
    <w:rsid w:val="00AA0DCA"/>
    <w:rsid w:val="00AA7796"/>
    <w:rsid w:val="00AC67A1"/>
    <w:rsid w:val="00AC7977"/>
    <w:rsid w:val="00AC7E56"/>
    <w:rsid w:val="00AE2617"/>
    <w:rsid w:val="00AE352C"/>
    <w:rsid w:val="00AE79AC"/>
    <w:rsid w:val="00B01AAD"/>
    <w:rsid w:val="00B101DB"/>
    <w:rsid w:val="00B21751"/>
    <w:rsid w:val="00B256F0"/>
    <w:rsid w:val="00B31D7D"/>
    <w:rsid w:val="00B32E2D"/>
    <w:rsid w:val="00B416B8"/>
    <w:rsid w:val="00B43741"/>
    <w:rsid w:val="00B45642"/>
    <w:rsid w:val="00B52F29"/>
    <w:rsid w:val="00B5388D"/>
    <w:rsid w:val="00B61990"/>
    <w:rsid w:val="00B6249B"/>
    <w:rsid w:val="00B70CCD"/>
    <w:rsid w:val="00B75E66"/>
    <w:rsid w:val="00B773BF"/>
    <w:rsid w:val="00B804B7"/>
    <w:rsid w:val="00BC3F20"/>
    <w:rsid w:val="00BD13E6"/>
    <w:rsid w:val="00BD28B2"/>
    <w:rsid w:val="00BD5A8D"/>
    <w:rsid w:val="00BD7343"/>
    <w:rsid w:val="00BF0556"/>
    <w:rsid w:val="00BF37EE"/>
    <w:rsid w:val="00BF41E8"/>
    <w:rsid w:val="00C024A1"/>
    <w:rsid w:val="00C02C42"/>
    <w:rsid w:val="00C10FB1"/>
    <w:rsid w:val="00C11282"/>
    <w:rsid w:val="00C14108"/>
    <w:rsid w:val="00C231A5"/>
    <w:rsid w:val="00C261F8"/>
    <w:rsid w:val="00C27662"/>
    <w:rsid w:val="00C32914"/>
    <w:rsid w:val="00C33100"/>
    <w:rsid w:val="00C42EDB"/>
    <w:rsid w:val="00C451B9"/>
    <w:rsid w:val="00C47BDD"/>
    <w:rsid w:val="00C51D9C"/>
    <w:rsid w:val="00C54DA4"/>
    <w:rsid w:val="00C55118"/>
    <w:rsid w:val="00C577D1"/>
    <w:rsid w:val="00C57A2D"/>
    <w:rsid w:val="00C6018C"/>
    <w:rsid w:val="00C67D23"/>
    <w:rsid w:val="00C71827"/>
    <w:rsid w:val="00C75D25"/>
    <w:rsid w:val="00C825E5"/>
    <w:rsid w:val="00C95EB8"/>
    <w:rsid w:val="00CB02C5"/>
    <w:rsid w:val="00CB0D41"/>
    <w:rsid w:val="00CB39CD"/>
    <w:rsid w:val="00CC2A62"/>
    <w:rsid w:val="00CC48B6"/>
    <w:rsid w:val="00CC7CE6"/>
    <w:rsid w:val="00CD044C"/>
    <w:rsid w:val="00CD1A71"/>
    <w:rsid w:val="00CD1FBB"/>
    <w:rsid w:val="00CE033D"/>
    <w:rsid w:val="00CE08E5"/>
    <w:rsid w:val="00D016B5"/>
    <w:rsid w:val="00D034F1"/>
    <w:rsid w:val="00D04527"/>
    <w:rsid w:val="00D05828"/>
    <w:rsid w:val="00D06712"/>
    <w:rsid w:val="00D14C21"/>
    <w:rsid w:val="00D14F42"/>
    <w:rsid w:val="00D171D4"/>
    <w:rsid w:val="00D244CB"/>
    <w:rsid w:val="00D27D5E"/>
    <w:rsid w:val="00D32B08"/>
    <w:rsid w:val="00D407D1"/>
    <w:rsid w:val="00D43E5F"/>
    <w:rsid w:val="00D51CE6"/>
    <w:rsid w:val="00D5218B"/>
    <w:rsid w:val="00D62AC5"/>
    <w:rsid w:val="00D639BD"/>
    <w:rsid w:val="00D65777"/>
    <w:rsid w:val="00D66E0D"/>
    <w:rsid w:val="00D7425A"/>
    <w:rsid w:val="00D74F7E"/>
    <w:rsid w:val="00D7695F"/>
    <w:rsid w:val="00D9039B"/>
    <w:rsid w:val="00D93582"/>
    <w:rsid w:val="00DA41A2"/>
    <w:rsid w:val="00DA43A1"/>
    <w:rsid w:val="00DA5E1D"/>
    <w:rsid w:val="00DC3628"/>
    <w:rsid w:val="00DC4F43"/>
    <w:rsid w:val="00DC5038"/>
    <w:rsid w:val="00DD0034"/>
    <w:rsid w:val="00DD1ED8"/>
    <w:rsid w:val="00DE6D90"/>
    <w:rsid w:val="00DF002F"/>
    <w:rsid w:val="00DF1D90"/>
    <w:rsid w:val="00E01123"/>
    <w:rsid w:val="00E0244D"/>
    <w:rsid w:val="00E026DF"/>
    <w:rsid w:val="00E02F48"/>
    <w:rsid w:val="00E03712"/>
    <w:rsid w:val="00E06B3F"/>
    <w:rsid w:val="00E10A73"/>
    <w:rsid w:val="00E14F27"/>
    <w:rsid w:val="00E171D2"/>
    <w:rsid w:val="00E25534"/>
    <w:rsid w:val="00E319B6"/>
    <w:rsid w:val="00E32145"/>
    <w:rsid w:val="00E32F5A"/>
    <w:rsid w:val="00E43CB0"/>
    <w:rsid w:val="00E510F3"/>
    <w:rsid w:val="00E51874"/>
    <w:rsid w:val="00E55223"/>
    <w:rsid w:val="00E60012"/>
    <w:rsid w:val="00E606BF"/>
    <w:rsid w:val="00E62CFF"/>
    <w:rsid w:val="00E665EE"/>
    <w:rsid w:val="00E679AE"/>
    <w:rsid w:val="00E71570"/>
    <w:rsid w:val="00E73B13"/>
    <w:rsid w:val="00E75C58"/>
    <w:rsid w:val="00E76819"/>
    <w:rsid w:val="00E81E94"/>
    <w:rsid w:val="00E82607"/>
    <w:rsid w:val="00E84A82"/>
    <w:rsid w:val="00E85025"/>
    <w:rsid w:val="00E9483E"/>
    <w:rsid w:val="00E94E03"/>
    <w:rsid w:val="00E96710"/>
    <w:rsid w:val="00E97E2C"/>
    <w:rsid w:val="00EA3B1D"/>
    <w:rsid w:val="00EB407B"/>
    <w:rsid w:val="00EB77B9"/>
    <w:rsid w:val="00EB7D07"/>
    <w:rsid w:val="00ED3A26"/>
    <w:rsid w:val="00EF5EBC"/>
    <w:rsid w:val="00EF70BB"/>
    <w:rsid w:val="00F02FA9"/>
    <w:rsid w:val="00F06660"/>
    <w:rsid w:val="00F07AE1"/>
    <w:rsid w:val="00F116EB"/>
    <w:rsid w:val="00F1794E"/>
    <w:rsid w:val="00F211AF"/>
    <w:rsid w:val="00F25EC3"/>
    <w:rsid w:val="00F32ADB"/>
    <w:rsid w:val="00F32C98"/>
    <w:rsid w:val="00F37E12"/>
    <w:rsid w:val="00F424BD"/>
    <w:rsid w:val="00F45D41"/>
    <w:rsid w:val="00F515AD"/>
    <w:rsid w:val="00F56B14"/>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C2227"/>
    <w:rsid w:val="00FC2CA9"/>
    <w:rsid w:val="00FC58CD"/>
    <w:rsid w:val="00FD02A2"/>
    <w:rsid w:val="00FD5E64"/>
    <w:rsid w:val="00FD7985"/>
    <w:rsid w:val="00FE2E9C"/>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A50D6B"/>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1D7F8A"/>
    <w:pPr>
      <w:spacing w:after="120"/>
      <w:ind w:left="1134" w:right="1134"/>
      <w:jc w:val="both"/>
    </w:pPr>
  </w:style>
  <w:style w:type="paragraph" w:styleId="EndnoteText">
    <w:name w:val="endnote text"/>
    <w:aliases w:val="2_G"/>
    <w:basedOn w:val="FootnoteText"/>
    <w:rsid w:val="00D016B5"/>
  </w:style>
  <w:style w:type="paragraph" w:styleId="FootnoteText">
    <w:name w:val="footnote text"/>
    <w:aliases w:val="5_G"/>
    <w:basedOn w:val="Normal"/>
    <w:rsid w:val="00C10FB1"/>
    <w:pPr>
      <w:tabs>
        <w:tab w:val="right" w:pos="1021"/>
      </w:tabs>
      <w:spacing w:line="220" w:lineRule="exact"/>
      <w:ind w:left="1134" w:right="1134" w:hanging="1134"/>
    </w:pPr>
    <w:rPr>
      <w:sz w:val="18"/>
    </w:rPr>
  </w:style>
  <w:style w:type="paragraph" w:styleId="Footer">
    <w:name w:val="footer"/>
    <w:aliases w:val="3_G"/>
    <w:basedOn w:val="Normal"/>
    <w:next w:val="Normal"/>
    <w:rsid w:val="001D7F8A"/>
    <w:pPr>
      <w:spacing w:line="240" w:lineRule="auto"/>
    </w:pPr>
    <w:rPr>
      <w:sz w:val="16"/>
    </w:rPr>
  </w:style>
  <w:style w:type="character" w:styleId="EndnoteReference">
    <w:name w:val="endnote reference"/>
    <w:aliases w:val="1_G"/>
    <w:rsid w:val="00D016B5"/>
    <w:rPr>
      <w:rFonts w:ascii="Times New Roman" w:hAnsi="Times New Roman"/>
      <w:sz w:val="18"/>
      <w:vertAlign w:val="superscript"/>
      <w:lang w:val="fr-CH"/>
    </w:rPr>
  </w:style>
  <w:style w:type="character" w:styleId="FootnoteReference">
    <w:name w:val="footnote reference"/>
    <w:aliases w:val="4_G"/>
    <w:rsid w:val="00D016B5"/>
    <w:rPr>
      <w:rFonts w:ascii="Times New Roman" w:hAnsi="Times New Roman"/>
      <w:sz w:val="18"/>
      <w:vertAlign w:val="superscript"/>
      <w:lang w:val="fr-CH"/>
    </w:rPr>
  </w:style>
  <w:style w:type="character" w:styleId="PageNumber">
    <w:name w:val="page number"/>
    <w:aliases w:val="7_G"/>
    <w:rsid w:val="00287E79"/>
    <w:rPr>
      <w:rFonts w:ascii="Times New Roman" w:hAnsi="Times New Roman"/>
      <w:b/>
      <w:sz w:val="18"/>
      <w:lang w:val="fr-CH"/>
    </w:rPr>
  </w:style>
  <w:style w:type="paragraph" w:styleId="Header">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37"/>
      </w:numPr>
      <w:spacing w:after="120"/>
      <w:ind w:right="1134"/>
      <w:jc w:val="both"/>
    </w:pPr>
  </w:style>
  <w:style w:type="paragraph" w:customStyle="1" w:styleId="Bullet2G">
    <w:name w:val="_Bullet 2_G"/>
    <w:basedOn w:val="Normal"/>
    <w:rsid w:val="00D016B5"/>
    <w:pPr>
      <w:numPr>
        <w:numId w:val="38"/>
      </w:numPr>
      <w:spacing w:after="120"/>
      <w:ind w:right="1134"/>
      <w:jc w:val="both"/>
    </w:pPr>
  </w:style>
  <w:style w:type="table" w:styleId="TableGrid">
    <w:name w:val="Table Grid"/>
    <w:basedOn w:val="TableNormal"/>
    <w:semiHidden/>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lang w:val="fr-CH" w:eastAsia="en-US" w:bidi="ar-SA"/>
    </w:rPr>
  </w:style>
  <w:style w:type="character" w:styleId="Hyperlink">
    <w:name w:val="Hyperlink"/>
    <w:semiHidden/>
    <w:rsid w:val="00491F39"/>
    <w:rPr>
      <w:color w:val="auto"/>
      <w:u w:val="none"/>
    </w:rPr>
  </w:style>
  <w:style w:type="character" w:styleId="FollowedHyperlink">
    <w:name w:val="FollowedHyperlink"/>
    <w:semiHidden/>
    <w:rsid w:val="00491F39"/>
    <w:rPr>
      <w:color w:val="auto"/>
      <w:u w:val="none"/>
    </w:rPr>
  </w:style>
  <w:style w:type="paragraph" w:customStyle="1" w:styleId="ParNoG">
    <w:name w:val="_ParNo_G"/>
    <w:basedOn w:val="SingleTxtG"/>
    <w:rsid w:val="00FE2E9C"/>
    <w:pPr>
      <w:numPr>
        <w:numId w:val="49"/>
      </w:numPr>
    </w:pPr>
  </w:style>
  <w:style w:type="character" w:customStyle="1" w:styleId="Heading1Char">
    <w:name w:val="Heading 1 Char"/>
    <w:aliases w:val="Table_G Char"/>
    <w:link w:val="Heading1"/>
    <w:rsid w:val="001C08ED"/>
    <w:rPr>
      <w:lang w:val="fr-CH" w:eastAsia="en-US"/>
    </w:rPr>
  </w:style>
  <w:style w:type="paragraph" w:styleId="BalloonText">
    <w:name w:val="Balloon Text"/>
    <w:basedOn w:val="Normal"/>
    <w:link w:val="BalloonTextChar"/>
    <w:rsid w:val="00FC2CA9"/>
    <w:pPr>
      <w:spacing w:line="240" w:lineRule="auto"/>
    </w:pPr>
    <w:rPr>
      <w:rFonts w:ascii="Tahoma" w:hAnsi="Tahoma" w:cs="Tahoma"/>
      <w:sz w:val="16"/>
      <w:szCs w:val="16"/>
    </w:rPr>
  </w:style>
  <w:style w:type="character" w:customStyle="1" w:styleId="BalloonTextChar">
    <w:name w:val="Balloon Text Char"/>
    <w:link w:val="BalloonText"/>
    <w:rsid w:val="00FC2CA9"/>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FRENC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FRENCH my AMEND template.dotx</Template>
  <TotalTime>25</TotalTime>
  <Pages>3</Pages>
  <Words>689</Words>
  <Characters>3932</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E/ECE/324/Rev.2/Add.100/Rev.3/Amend.1</vt:lpstr>
      <vt:lpstr>E/ECE/324/Rev.2/Add.100/Rev.3/Amend.1</vt:lpstr>
    </vt:vector>
  </TitlesOfParts>
  <Company>CSD</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E/ECE/324/Rev.2/Add.100/Rev.3/Amend.1</dc:title>
  <dc:subject>final</dc:subject>
  <dc:creator>06</dc:creator>
  <cp:lastModifiedBy>09</cp:lastModifiedBy>
  <cp:revision>9</cp:revision>
  <cp:lastPrinted>2015-07-20T12:39:00Z</cp:lastPrinted>
  <dcterms:created xsi:type="dcterms:W3CDTF">2015-07-14T13:58:00Z</dcterms:created>
  <dcterms:modified xsi:type="dcterms:W3CDTF">2015-11-09T08:51:00Z</dcterms:modified>
</cp:coreProperties>
</file>