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B6181D">
            <w:pPr>
              <w:jc w:val="right"/>
            </w:pPr>
            <w:r w:rsidRPr="00014D07">
              <w:rPr>
                <w:sz w:val="40"/>
              </w:rPr>
              <w:t>E</w:t>
            </w:r>
            <w:r>
              <w:t>/ECE/324/Add.</w:t>
            </w:r>
            <w:r w:rsidR="00B92A75">
              <w:t>10</w:t>
            </w:r>
            <w:r>
              <w:t>/Rev.</w:t>
            </w:r>
            <w:r w:rsidR="00B6181D">
              <w:t>2</w:t>
            </w:r>
            <w:r>
              <w:t>/</w:t>
            </w:r>
            <w:r w:rsidR="00D623A7">
              <w:t>Amend.</w:t>
            </w:r>
            <w:r w:rsidR="00B6181D">
              <w:t>1</w:t>
            </w:r>
            <w:r>
              <w:t>−</w:t>
            </w:r>
            <w:r w:rsidRPr="00014D07">
              <w:rPr>
                <w:sz w:val="40"/>
              </w:rPr>
              <w:t>E</w:t>
            </w:r>
            <w:r>
              <w:t>/ECE/TRANS/505</w:t>
            </w:r>
            <w:r w:rsidR="00B6181D">
              <w:t>/Add.10/Rev.2/Amend.1</w:t>
            </w:r>
          </w:p>
        </w:tc>
      </w:tr>
      <w:tr w:rsidR="003C3936" w:rsidTr="00B32121">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6003B0" w:rsidP="003C3936">
            <w:pPr>
              <w:spacing w:before="120"/>
            </w:pPr>
            <w:r>
              <w:t>22</w:t>
            </w:r>
            <w:bookmarkStart w:id="0" w:name="_GoBack"/>
            <w:bookmarkEnd w:id="0"/>
            <w:r w:rsidR="00BA3EE5" w:rsidRPr="00BA3EE5">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64636E">
      <w:pPr>
        <w:pStyle w:val="H1G"/>
      </w:pPr>
      <w:r>
        <w:tab/>
      </w:r>
      <w:r>
        <w:tab/>
        <w:t xml:space="preserve">Addendum </w:t>
      </w:r>
      <w:r w:rsidR="00B6181D">
        <w:t>10</w:t>
      </w:r>
      <w:r>
        <w:t xml:space="preserve"> – Regulation No.</w:t>
      </w:r>
      <w:r w:rsidR="00271A7F">
        <w:t xml:space="preserve"> </w:t>
      </w:r>
      <w:r w:rsidR="00B6181D">
        <w:t>11</w:t>
      </w:r>
    </w:p>
    <w:p w:rsidR="0064636E" w:rsidRPr="00014D07" w:rsidRDefault="0064636E" w:rsidP="0064636E">
      <w:pPr>
        <w:pStyle w:val="H1G"/>
      </w:pPr>
      <w:r>
        <w:tab/>
      </w:r>
      <w:r>
        <w:tab/>
      </w:r>
      <w:r w:rsidRPr="00014D07">
        <w:t xml:space="preserve">Revision </w:t>
      </w:r>
      <w:r w:rsidR="00B6181D">
        <w:t>2</w:t>
      </w:r>
      <w:r w:rsidRPr="00014D07">
        <w:t xml:space="preserve"> - </w:t>
      </w:r>
      <w:r w:rsidR="00D623A7">
        <w:t>Amendment</w:t>
      </w:r>
      <w:r w:rsidRPr="00014D07">
        <w:t xml:space="preserve"> </w:t>
      </w:r>
      <w:r w:rsidR="00B6181D">
        <w:t>1</w:t>
      </w:r>
    </w:p>
    <w:p w:rsidR="0064636E" w:rsidRPr="00272880" w:rsidRDefault="00B6181D" w:rsidP="0064636E">
      <w:pPr>
        <w:pStyle w:val="SingleTxtG"/>
        <w:spacing w:after="360"/>
        <w:rPr>
          <w:spacing w:val="-2"/>
        </w:rPr>
      </w:pPr>
      <w:r>
        <w:rPr>
          <w:spacing w:val="-2"/>
        </w:rPr>
        <w:t>04</w:t>
      </w:r>
      <w:r w:rsidR="00D623A7">
        <w:rPr>
          <w:spacing w:val="-2"/>
        </w:rPr>
        <w:t xml:space="preserve"> series of amendments</w:t>
      </w:r>
      <w:r w:rsidR="0064636E" w:rsidRPr="00272880">
        <w:rPr>
          <w:spacing w:val="-2"/>
        </w:rPr>
        <w:t xml:space="preserve"> – Date of entry into force: </w:t>
      </w:r>
      <w:r>
        <w:t>15 June 2015</w:t>
      </w:r>
    </w:p>
    <w:p w:rsidR="0064636E" w:rsidRDefault="0064636E" w:rsidP="0064636E">
      <w:pPr>
        <w:pStyle w:val="H1G"/>
        <w:rPr>
          <w:lang w:val="en-US"/>
        </w:rPr>
      </w:pPr>
      <w:r>
        <w:rPr>
          <w:lang w:val="en-US"/>
        </w:rPr>
        <w:tab/>
      </w:r>
      <w:r>
        <w:rPr>
          <w:lang w:val="en-US"/>
        </w:rPr>
        <w:tab/>
      </w:r>
      <w:r w:rsidR="00B92A75" w:rsidRPr="00B92A75">
        <w:rPr>
          <w:lang w:val="en-US"/>
        </w:rPr>
        <w:t>Uniform provisions concerning the approval of vehicles with regard to door latches and door retention components</w:t>
      </w:r>
    </w:p>
    <w:p w:rsidR="00B32121" w:rsidRDefault="00B32121" w:rsidP="00B6181D">
      <w:pPr>
        <w:pStyle w:val="SingleTxtG"/>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B6181D">
        <w:rPr>
          <w:spacing w:val="-6"/>
          <w:lang w:eastAsia="en-GB"/>
        </w:rPr>
        <w:t>4</w:t>
      </w:r>
      <w:r>
        <w:rPr>
          <w:spacing w:val="-6"/>
          <w:lang w:eastAsia="en-GB"/>
        </w:rPr>
        <w:t>/</w:t>
      </w:r>
      <w:r w:rsidR="00B6181D">
        <w:rPr>
          <w:spacing w:val="-6"/>
          <w:lang w:eastAsia="en-GB"/>
        </w:rPr>
        <w:t>71</w:t>
      </w:r>
      <w:r w:rsidR="007C30C6">
        <w:rPr>
          <w:spacing w:val="-6"/>
          <w:lang w:eastAsia="en-GB"/>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6003B0"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7728;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AC2721" w:rsidRDefault="00AC2721" w:rsidP="00AC2721">
      <w:pPr>
        <w:keepNext/>
        <w:keepLines/>
        <w:tabs>
          <w:tab w:val="right" w:pos="851"/>
        </w:tabs>
        <w:spacing w:line="300" w:lineRule="exact"/>
        <w:ind w:left="1701" w:right="1134" w:hanging="567"/>
        <w:rPr>
          <w:i/>
          <w:lang w:eastAsia="ar-SA"/>
        </w:rPr>
      </w:pPr>
    </w:p>
    <w:p w:rsidR="00B6181D" w:rsidRPr="00B6181D" w:rsidRDefault="00B6181D" w:rsidP="00AC2721">
      <w:pPr>
        <w:keepNext/>
        <w:keepLines/>
        <w:tabs>
          <w:tab w:val="right" w:pos="851"/>
        </w:tabs>
        <w:spacing w:after="120" w:line="300" w:lineRule="exact"/>
        <w:ind w:left="1701" w:right="1134" w:hanging="567"/>
        <w:rPr>
          <w:i/>
          <w:lang w:eastAsia="ar-SA"/>
        </w:rPr>
      </w:pPr>
      <w:r w:rsidRPr="00B6181D">
        <w:rPr>
          <w:i/>
          <w:lang w:eastAsia="ar-SA"/>
        </w:rPr>
        <w:t>Insert a new paragraph 2.7.</w:t>
      </w:r>
      <w:r w:rsidRPr="00B6181D">
        <w:rPr>
          <w:lang w:eastAsia="ar-SA"/>
        </w:rPr>
        <w:t>, to read:</w:t>
      </w:r>
    </w:p>
    <w:p w:rsidR="00B6181D" w:rsidRPr="00B6181D" w:rsidRDefault="00B6181D" w:rsidP="00B6181D">
      <w:pPr>
        <w:tabs>
          <w:tab w:val="left" w:pos="2430"/>
        </w:tabs>
        <w:spacing w:after="120"/>
        <w:ind w:left="1170" w:right="1025"/>
        <w:jc w:val="both"/>
        <w:rPr>
          <w:bCs/>
          <w:lang w:eastAsia="ar-SA"/>
        </w:rPr>
      </w:pPr>
      <w:r w:rsidRPr="00B6181D">
        <w:rPr>
          <w:bCs/>
          <w:lang w:eastAsia="ar-SA"/>
        </w:rPr>
        <w:t>"2.7.</w:t>
      </w:r>
      <w:r w:rsidRPr="00B6181D">
        <w:rPr>
          <w:bCs/>
          <w:lang w:eastAsia="ar-SA"/>
        </w:rPr>
        <w:tab/>
        <w:t>Additional protections"</w:t>
      </w:r>
    </w:p>
    <w:p w:rsidR="00B6181D" w:rsidRPr="00B6181D" w:rsidRDefault="00B6181D" w:rsidP="00B6181D">
      <w:pPr>
        <w:tabs>
          <w:tab w:val="left" w:pos="2430"/>
        </w:tabs>
        <w:spacing w:after="120"/>
        <w:ind w:left="1170" w:right="1025"/>
        <w:jc w:val="both"/>
        <w:rPr>
          <w:i/>
          <w:lang w:eastAsia="ar-SA"/>
        </w:rPr>
      </w:pPr>
      <w:r w:rsidRPr="00B6181D">
        <w:rPr>
          <w:i/>
          <w:lang w:eastAsia="ar-SA"/>
        </w:rPr>
        <w:t xml:space="preserve">Paragraph 2.7., </w:t>
      </w:r>
      <w:r w:rsidRPr="00B6181D">
        <w:rPr>
          <w:lang w:eastAsia="ar-SA"/>
        </w:rPr>
        <w:t>renumber as paragraph 2.7.1.</w:t>
      </w:r>
    </w:p>
    <w:p w:rsidR="00B6181D" w:rsidRPr="00B6181D" w:rsidRDefault="00B6181D" w:rsidP="00B6181D">
      <w:pPr>
        <w:tabs>
          <w:tab w:val="left" w:pos="2430"/>
        </w:tabs>
        <w:spacing w:after="120"/>
        <w:ind w:left="1170" w:right="1025"/>
        <w:jc w:val="both"/>
        <w:rPr>
          <w:i/>
          <w:lang w:eastAsia="ar-SA"/>
        </w:rPr>
      </w:pPr>
      <w:r w:rsidRPr="00B6181D">
        <w:rPr>
          <w:i/>
          <w:lang w:eastAsia="ar-SA"/>
        </w:rPr>
        <w:t>Insert a new paragraph 2.7.2.</w:t>
      </w:r>
      <w:r w:rsidRPr="00B6181D">
        <w:rPr>
          <w:lang w:eastAsia="ar-SA"/>
        </w:rPr>
        <w:t>, to read:</w:t>
      </w:r>
    </w:p>
    <w:p w:rsidR="00B6181D" w:rsidRPr="00B6181D" w:rsidRDefault="00B6181D" w:rsidP="00B6181D">
      <w:pPr>
        <w:tabs>
          <w:tab w:val="left" w:pos="2430"/>
        </w:tabs>
        <w:spacing w:after="120"/>
        <w:ind w:left="2430" w:right="1025" w:hanging="1260"/>
        <w:jc w:val="both"/>
        <w:rPr>
          <w:bCs/>
          <w:lang w:eastAsia="ar-SA"/>
        </w:rPr>
      </w:pPr>
      <w:r w:rsidRPr="00B6181D">
        <w:rPr>
          <w:bCs/>
          <w:lang w:eastAsia="ar-SA"/>
        </w:rPr>
        <w:t>"2.7.2.</w:t>
      </w:r>
      <w:r w:rsidRPr="00B6181D">
        <w:rPr>
          <w:bCs/>
          <w:lang w:eastAsia="ar-SA"/>
        </w:rPr>
        <w:tab/>
        <w:t>"</w:t>
      </w:r>
      <w:r w:rsidRPr="00B6181D">
        <w:rPr>
          <w:bCs/>
          <w:i/>
          <w:lang w:eastAsia="ar-SA"/>
        </w:rPr>
        <w:t>Full locking system</w:t>
      </w:r>
      <w:r w:rsidRPr="00B6181D">
        <w:rPr>
          <w:bCs/>
          <w:lang w:eastAsia="ar-SA"/>
        </w:rPr>
        <w:t>" is a system that renders the interior door release handle or any other door interior latch release control of any of the vehicles doors inoperable other than by operation of the systems locks."</w:t>
      </w:r>
    </w:p>
    <w:p w:rsidR="00B6181D" w:rsidRPr="00B6181D" w:rsidRDefault="00B6181D" w:rsidP="00B6181D">
      <w:pPr>
        <w:tabs>
          <w:tab w:val="left" w:pos="2430"/>
        </w:tabs>
        <w:spacing w:after="120"/>
        <w:ind w:left="1170" w:right="1025"/>
        <w:jc w:val="both"/>
        <w:rPr>
          <w:i/>
          <w:lang w:eastAsia="ar-SA"/>
        </w:rPr>
      </w:pPr>
      <w:r w:rsidRPr="00B6181D">
        <w:rPr>
          <w:i/>
          <w:lang w:eastAsia="ar-SA"/>
        </w:rPr>
        <w:t>Insert a new paragraph 6.3.1.1.</w:t>
      </w:r>
      <w:r w:rsidRPr="00B6181D">
        <w:rPr>
          <w:lang w:eastAsia="ar-SA"/>
        </w:rPr>
        <w:t>, to read:</w:t>
      </w:r>
    </w:p>
    <w:p w:rsidR="00B6181D" w:rsidRPr="00B6181D" w:rsidRDefault="00B6181D" w:rsidP="00B6181D">
      <w:pPr>
        <w:spacing w:after="120"/>
        <w:ind w:left="2268" w:right="1025" w:hanging="1134"/>
        <w:jc w:val="both"/>
        <w:rPr>
          <w:bCs/>
          <w:lang w:eastAsia="ar-SA"/>
        </w:rPr>
      </w:pPr>
      <w:r w:rsidRPr="00B6181D">
        <w:rPr>
          <w:bCs/>
          <w:lang w:eastAsia="ar-SA"/>
        </w:rPr>
        <w:t>"6.3.1.1.</w:t>
      </w:r>
      <w:r w:rsidRPr="00B6181D">
        <w:rPr>
          <w:bCs/>
          <w:lang w:eastAsia="ar-SA"/>
        </w:rPr>
        <w:tab/>
        <w:t>If fitted, a full locking system may only be activated when the ignition key is not in the engine running mode and shall be installed in combination with at least one of the following measures:</w:t>
      </w:r>
    </w:p>
    <w:p w:rsidR="00B6181D" w:rsidRPr="00B6181D" w:rsidRDefault="00B6181D" w:rsidP="00B6181D">
      <w:pPr>
        <w:spacing w:after="120"/>
        <w:ind w:left="2835" w:right="1025" w:hanging="567"/>
        <w:jc w:val="both"/>
        <w:rPr>
          <w:bCs/>
          <w:lang w:eastAsia="ar-SA"/>
        </w:rPr>
      </w:pPr>
      <w:r w:rsidRPr="00B6181D">
        <w:rPr>
          <w:bCs/>
          <w:lang w:eastAsia="ar-SA"/>
        </w:rPr>
        <w:t>(a)</w:t>
      </w:r>
      <w:r w:rsidRPr="00B6181D">
        <w:rPr>
          <w:bCs/>
          <w:lang w:eastAsia="ar-SA"/>
        </w:rPr>
        <w:tab/>
        <w:t>An alarm system with interior detection in accordance with Regulation No. 116 or Regulation No. 97, or other equipment which is able to detect an occupant's movement. The setting of the full locking system shall be prohibited where an occupant's movement is detected within the passenger compartment; or</w:t>
      </w:r>
    </w:p>
    <w:p w:rsidR="00B6181D" w:rsidRPr="00B6181D" w:rsidRDefault="00B6181D" w:rsidP="00B6181D">
      <w:pPr>
        <w:spacing w:after="120"/>
        <w:ind w:left="2835" w:right="1025" w:hanging="567"/>
        <w:jc w:val="both"/>
        <w:rPr>
          <w:bCs/>
          <w:lang w:eastAsia="ar-SA"/>
        </w:rPr>
      </w:pPr>
      <w:r w:rsidRPr="00B6181D">
        <w:rPr>
          <w:bCs/>
          <w:lang w:eastAsia="ar-SA"/>
        </w:rPr>
        <w:t>(b)</w:t>
      </w:r>
      <w:r w:rsidRPr="00B6181D">
        <w:rPr>
          <w:bCs/>
          <w:lang w:eastAsia="ar-SA"/>
        </w:rPr>
        <w:tab/>
        <w:t>An acoustic warning device (e.g. horn) which can be activated from the interior of the vehicle in case that the ignition is switched off and the full locking system is activated."</w:t>
      </w:r>
    </w:p>
    <w:p w:rsidR="00B6181D" w:rsidRPr="00B6181D" w:rsidRDefault="00B6181D" w:rsidP="00B6181D">
      <w:pPr>
        <w:tabs>
          <w:tab w:val="left" w:pos="2430"/>
        </w:tabs>
        <w:spacing w:after="120"/>
        <w:ind w:left="1170" w:right="1025"/>
        <w:jc w:val="both"/>
        <w:rPr>
          <w:i/>
          <w:lang w:eastAsia="ar-SA"/>
        </w:rPr>
      </w:pPr>
      <w:r w:rsidRPr="00B6181D">
        <w:rPr>
          <w:i/>
          <w:lang w:eastAsia="ar-SA"/>
        </w:rPr>
        <w:t>Insert new paragraphs 13.7. to 13.9.</w:t>
      </w:r>
      <w:r w:rsidRPr="00B6181D">
        <w:rPr>
          <w:lang w:eastAsia="ar-SA"/>
        </w:rPr>
        <w:t>, to read:</w:t>
      </w:r>
    </w:p>
    <w:p w:rsidR="00B6181D" w:rsidRPr="00B6181D" w:rsidRDefault="00B6181D" w:rsidP="00B6181D">
      <w:pPr>
        <w:tabs>
          <w:tab w:val="left" w:pos="2430"/>
        </w:tabs>
        <w:spacing w:after="120"/>
        <w:ind w:left="2430" w:right="1025" w:hanging="1260"/>
        <w:jc w:val="both"/>
        <w:rPr>
          <w:bCs/>
          <w:lang w:eastAsia="ar-SA"/>
        </w:rPr>
      </w:pPr>
      <w:r w:rsidRPr="00B6181D">
        <w:rPr>
          <w:bCs/>
          <w:lang w:eastAsia="ar-SA"/>
        </w:rPr>
        <w:t>"13.7.</w:t>
      </w:r>
      <w:r w:rsidRPr="00B6181D">
        <w:rPr>
          <w:bCs/>
          <w:lang w:eastAsia="ar-SA"/>
        </w:rPr>
        <w:tab/>
        <w:t>As from the official date of entry into force of the 04 series of amendments, no Contracting Party applying this Regulation shall refuse to grant or refuse to accept type approvals under this Regulation as amended by the 04 series of amendments.</w:t>
      </w:r>
    </w:p>
    <w:p w:rsidR="00B6181D" w:rsidRPr="00B6181D" w:rsidRDefault="00B6181D" w:rsidP="00B6181D">
      <w:pPr>
        <w:tabs>
          <w:tab w:val="left" w:pos="2430"/>
        </w:tabs>
        <w:spacing w:after="120"/>
        <w:ind w:left="2430" w:right="1025" w:hanging="1260"/>
        <w:jc w:val="both"/>
        <w:rPr>
          <w:bCs/>
          <w:lang w:eastAsia="ar-SA"/>
        </w:rPr>
      </w:pPr>
      <w:r w:rsidRPr="00B6181D">
        <w:rPr>
          <w:bCs/>
          <w:lang w:eastAsia="ar-SA"/>
        </w:rPr>
        <w:t>13.8.</w:t>
      </w:r>
      <w:r w:rsidRPr="00B6181D">
        <w:rPr>
          <w:bCs/>
          <w:lang w:eastAsia="ar-SA"/>
        </w:rPr>
        <w:tab/>
        <w:t>As from 1 September 2016, Contracting Parties applying this Regulation shall grant type approvals only if the vehicle type to be approved meets the requirements of this Regulation as amended by the 04 series of amendments.</w:t>
      </w:r>
    </w:p>
    <w:p w:rsidR="00B6181D" w:rsidRPr="00B6181D" w:rsidRDefault="00B6181D" w:rsidP="00B6181D">
      <w:pPr>
        <w:tabs>
          <w:tab w:val="left" w:pos="2430"/>
        </w:tabs>
        <w:spacing w:after="120"/>
        <w:ind w:left="2430" w:right="1025" w:hanging="1260"/>
        <w:jc w:val="both"/>
        <w:rPr>
          <w:bCs/>
          <w:lang w:eastAsia="ar-SA"/>
        </w:rPr>
      </w:pPr>
      <w:r w:rsidRPr="00B6181D">
        <w:rPr>
          <w:bCs/>
          <w:lang w:eastAsia="ar-SA"/>
        </w:rPr>
        <w:t>13.9.</w:t>
      </w:r>
      <w:r w:rsidRPr="00B6181D">
        <w:rPr>
          <w:bCs/>
          <w:lang w:eastAsia="ar-SA"/>
        </w:rPr>
        <w:tab/>
        <w:t>Contracting Parties applying this Regulation shall not refuse to grant extensions of type approvals for existing types which have been granted according to the preceding series of amendments to this Regulation."</w:t>
      </w:r>
    </w:p>
    <w:p w:rsidR="00B6181D" w:rsidRPr="00B6181D" w:rsidRDefault="00B6181D" w:rsidP="00B6181D">
      <w:pPr>
        <w:spacing w:after="120"/>
        <w:ind w:left="2430" w:right="1134" w:hanging="1296"/>
        <w:jc w:val="both"/>
      </w:pPr>
      <w:r w:rsidRPr="00B6181D">
        <w:rPr>
          <w:i/>
        </w:rPr>
        <w:br w:type="page"/>
      </w:r>
      <w:r w:rsidRPr="00B6181D">
        <w:rPr>
          <w:i/>
        </w:rPr>
        <w:lastRenderedPageBreak/>
        <w:t>Annex 2</w:t>
      </w:r>
      <w:r w:rsidRPr="00B6181D">
        <w:t>, amend to read:</w:t>
      </w:r>
    </w:p>
    <w:p w:rsidR="00B6181D" w:rsidRPr="00B6181D" w:rsidRDefault="00B6181D" w:rsidP="00B6181D">
      <w:pPr>
        <w:keepNext/>
        <w:keepLines/>
        <w:tabs>
          <w:tab w:val="right" w:pos="851"/>
        </w:tabs>
        <w:spacing w:before="360" w:after="240" w:line="300" w:lineRule="exact"/>
        <w:ind w:left="1134" w:right="1134" w:hanging="1134"/>
        <w:rPr>
          <w:b/>
          <w:sz w:val="28"/>
        </w:rPr>
      </w:pPr>
      <w:r w:rsidRPr="00B6181D">
        <w:rPr>
          <w:b/>
          <w:sz w:val="28"/>
        </w:rPr>
        <w:t>"Annex 2</w:t>
      </w:r>
    </w:p>
    <w:p w:rsidR="00B6181D" w:rsidRPr="00B6181D" w:rsidRDefault="00B6181D" w:rsidP="00B6181D">
      <w:pPr>
        <w:keepNext/>
        <w:keepLines/>
        <w:tabs>
          <w:tab w:val="right" w:pos="851"/>
        </w:tabs>
        <w:spacing w:before="360" w:after="240" w:line="300" w:lineRule="exact"/>
        <w:ind w:left="1134" w:right="1134" w:hanging="1134"/>
        <w:rPr>
          <w:b/>
          <w:bCs/>
          <w:sz w:val="28"/>
        </w:rPr>
      </w:pPr>
      <w:r w:rsidRPr="00B6181D">
        <w:rPr>
          <w:b/>
          <w:bCs/>
          <w:sz w:val="28"/>
        </w:rPr>
        <w:tab/>
      </w:r>
      <w:r w:rsidRPr="00B6181D">
        <w:rPr>
          <w:b/>
          <w:bCs/>
          <w:sz w:val="28"/>
        </w:rPr>
        <w:tab/>
        <w:t xml:space="preserve">Arrangements of approval marks </w:t>
      </w:r>
    </w:p>
    <w:p w:rsidR="00B6181D" w:rsidRPr="00B6181D" w:rsidRDefault="00B6181D" w:rsidP="00B6181D">
      <w:pPr>
        <w:spacing w:line="240" w:lineRule="auto"/>
        <w:ind w:left="1134"/>
        <w:outlineLvl w:val="0"/>
        <w:rPr>
          <w:b/>
        </w:rPr>
      </w:pPr>
      <w:r w:rsidRPr="00B6181D">
        <w:rPr>
          <w:b/>
        </w:rPr>
        <w:t>Model A</w:t>
      </w:r>
    </w:p>
    <w:p w:rsidR="00B6181D" w:rsidRPr="00B6181D" w:rsidRDefault="00B6181D" w:rsidP="00B6181D">
      <w:pPr>
        <w:spacing w:line="240" w:lineRule="auto"/>
        <w:ind w:left="1134"/>
        <w:outlineLvl w:val="0"/>
      </w:pPr>
      <w:r w:rsidRPr="00B6181D">
        <w:t>(See paragraph 4.4. of this Regulation)</w:t>
      </w:r>
    </w:p>
    <w:p w:rsidR="00B6181D" w:rsidRPr="00B6181D" w:rsidRDefault="00B6181D" w:rsidP="00B6181D">
      <w:pPr>
        <w:tabs>
          <w:tab w:val="center" w:pos="4734"/>
        </w:tabs>
        <w:suppressAutoHyphens w:val="0"/>
        <w:spacing w:line="286" w:lineRule="auto"/>
        <w:jc w:val="center"/>
        <w:rPr>
          <w:sz w:val="24"/>
          <w:u w:val="single"/>
        </w:rPr>
      </w:pPr>
    </w:p>
    <w:p w:rsidR="00B6181D" w:rsidRPr="00B6181D" w:rsidRDefault="006003B0" w:rsidP="00B6181D">
      <w:pPr>
        <w:tabs>
          <w:tab w:val="left" w:pos="7560"/>
          <w:tab w:val="right" w:pos="9469"/>
        </w:tabs>
        <w:suppressAutoHyphens w:val="0"/>
        <w:spacing w:line="286" w:lineRule="auto"/>
        <w:ind w:left="-993"/>
        <w:jc w:val="center"/>
      </w:pPr>
      <w:r>
        <w:pict>
          <v:shape id="_x0000_i1025" type="#_x0000_t75" style="width:343.8pt;height:85.2pt">
            <v:imagedata r:id="rId9" o:title=""/>
          </v:shape>
        </w:pict>
      </w:r>
    </w:p>
    <w:p w:rsidR="00B6181D" w:rsidRPr="00B6181D" w:rsidRDefault="00B6181D" w:rsidP="00B6181D">
      <w:pPr>
        <w:spacing w:after="120"/>
        <w:ind w:left="1134" w:right="1134" w:firstLine="567"/>
        <w:jc w:val="both"/>
      </w:pPr>
      <w:r w:rsidRPr="00B6181D">
        <w:t>The above approval … Regulation No. 11, under approval number 042439...</w:t>
      </w:r>
    </w:p>
    <w:p w:rsidR="00B6181D" w:rsidRPr="00B6181D" w:rsidRDefault="00B6181D" w:rsidP="00B6181D">
      <w:pPr>
        <w:spacing w:line="240" w:lineRule="auto"/>
        <w:ind w:left="1134"/>
        <w:outlineLvl w:val="0"/>
        <w:rPr>
          <w:b/>
        </w:rPr>
      </w:pPr>
    </w:p>
    <w:p w:rsidR="00B6181D" w:rsidRPr="00B6181D" w:rsidRDefault="00B6181D" w:rsidP="00B6181D">
      <w:pPr>
        <w:spacing w:line="240" w:lineRule="auto"/>
        <w:ind w:left="1134"/>
        <w:outlineLvl w:val="0"/>
        <w:rPr>
          <w:b/>
        </w:rPr>
      </w:pPr>
      <w:r w:rsidRPr="00B6181D">
        <w:rPr>
          <w:b/>
        </w:rPr>
        <w:t>Model B</w:t>
      </w:r>
    </w:p>
    <w:p w:rsidR="00B6181D" w:rsidRPr="00B6181D" w:rsidRDefault="00B6181D" w:rsidP="00B6181D">
      <w:pPr>
        <w:spacing w:line="240" w:lineRule="auto"/>
        <w:ind w:left="1134"/>
        <w:outlineLvl w:val="0"/>
      </w:pPr>
      <w:r w:rsidRPr="00B6181D">
        <w:t>(See paragraph 4.5. of this Regulation)</w:t>
      </w:r>
    </w:p>
    <w:p w:rsidR="00B6181D" w:rsidRPr="00B6181D" w:rsidRDefault="00B6181D" w:rsidP="00B6181D">
      <w:pPr>
        <w:keepNext/>
        <w:keepLines/>
        <w:tabs>
          <w:tab w:val="center" w:pos="4734"/>
        </w:tabs>
        <w:spacing w:line="288" w:lineRule="atLeast"/>
        <w:rPr>
          <w:sz w:val="24"/>
        </w:rPr>
      </w:pPr>
    </w:p>
    <w:p w:rsidR="00B6181D" w:rsidRPr="00B6181D" w:rsidRDefault="006003B0" w:rsidP="00B6181D">
      <w:pPr>
        <w:spacing w:after="120"/>
        <w:ind w:left="851" w:right="1134"/>
        <w:jc w:val="both"/>
      </w:pPr>
      <w:r>
        <w:pict>
          <v:shape id="_x0000_i1026" type="#_x0000_t75" style="width:381.6pt;height:93pt">
            <v:imagedata r:id="rId10" o:title=""/>
          </v:shape>
        </w:pict>
      </w:r>
    </w:p>
    <w:p w:rsidR="00B6181D" w:rsidRPr="00B6181D" w:rsidRDefault="00B6181D" w:rsidP="00B6181D">
      <w:pPr>
        <w:spacing w:after="120"/>
        <w:ind w:left="1134" w:right="1134" w:firstLine="567"/>
        <w:jc w:val="both"/>
      </w:pPr>
      <w:r w:rsidRPr="00B6181D">
        <w:t>The above approval mark … Regulation No. 11 as amended by the 04 series of amendments …"</w:t>
      </w:r>
    </w:p>
    <w:p w:rsidR="00B6181D" w:rsidRPr="00B6181D" w:rsidRDefault="00B6181D" w:rsidP="00B6181D">
      <w:pPr>
        <w:tabs>
          <w:tab w:val="right" w:pos="851"/>
        </w:tabs>
        <w:spacing w:before="240"/>
        <w:ind w:left="1134" w:right="1134"/>
        <w:jc w:val="center"/>
        <w:rPr>
          <w:sz w:val="28"/>
          <w:u w:val="single"/>
        </w:rPr>
      </w:pPr>
      <w:r w:rsidRPr="00B6181D">
        <w:rPr>
          <w:sz w:val="28"/>
          <w:u w:val="single"/>
        </w:rPr>
        <w:tab/>
      </w:r>
      <w:r w:rsidRPr="00B6181D">
        <w:rPr>
          <w:sz w:val="28"/>
          <w:u w:val="single"/>
        </w:rPr>
        <w:tab/>
      </w:r>
      <w:r w:rsidRPr="00B6181D">
        <w:rPr>
          <w:sz w:val="28"/>
          <w:u w:val="single"/>
        </w:rPr>
        <w:tab/>
      </w:r>
    </w:p>
    <w:p w:rsidR="00776D12" w:rsidRDefault="00776D12" w:rsidP="00C711C7">
      <w:pPr>
        <w:jc w:val="center"/>
      </w:pPr>
    </w:p>
    <w:sectPr w:rsidR="00776D12" w:rsidSect="008311A3">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15" w:rsidRDefault="00F32D15"/>
  </w:endnote>
  <w:endnote w:type="continuationSeparator" w:id="0">
    <w:p w:rsidR="00F32D15" w:rsidRDefault="00F32D15"/>
  </w:endnote>
  <w:endnote w:type="continuationNotice" w:id="1">
    <w:p w:rsidR="00F32D15" w:rsidRDefault="00F32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003B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003B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6003B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15" w:rsidRPr="000B175B" w:rsidRDefault="00F32D15" w:rsidP="000B175B">
      <w:pPr>
        <w:tabs>
          <w:tab w:val="right" w:pos="2155"/>
        </w:tabs>
        <w:spacing w:after="80"/>
        <w:ind w:left="680"/>
        <w:rPr>
          <w:u w:val="single"/>
        </w:rPr>
      </w:pPr>
      <w:r>
        <w:rPr>
          <w:u w:val="single"/>
        </w:rPr>
        <w:tab/>
      </w:r>
    </w:p>
  </w:footnote>
  <w:footnote w:type="continuationSeparator" w:id="0">
    <w:p w:rsidR="00F32D15" w:rsidRPr="00FC68B7" w:rsidRDefault="00F32D15" w:rsidP="00FC68B7">
      <w:pPr>
        <w:tabs>
          <w:tab w:val="left" w:pos="2155"/>
        </w:tabs>
        <w:spacing w:after="80"/>
        <w:ind w:left="680"/>
        <w:rPr>
          <w:u w:val="single"/>
        </w:rPr>
      </w:pPr>
      <w:r>
        <w:rPr>
          <w:u w:val="single"/>
        </w:rPr>
        <w:tab/>
      </w:r>
    </w:p>
  </w:footnote>
  <w:footnote w:type="continuationNotice" w:id="1">
    <w:p w:rsidR="00F32D15" w:rsidRDefault="00F32D15"/>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B6181D">
    <w:pPr>
      <w:pStyle w:val="Header"/>
    </w:pPr>
    <w:r w:rsidRPr="00D623A7">
      <w:t>E/ECE/324</w:t>
    </w:r>
    <w:r w:rsidR="00B6181D">
      <w:t>/Add.10/Rev.2/Amend.1</w:t>
    </w:r>
    <w:r>
      <w:br/>
    </w:r>
    <w:r w:rsidRPr="00D623A7">
      <w:t>E/ECE/TRANS/505</w:t>
    </w:r>
    <w:r w:rsidR="00B6181D">
      <w:t>/Add.10/Rev.2/Amend.1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E/ECE/324</w:t>
    </w:r>
    <w:r w:rsidR="00B6181D">
      <w:t>/Add.10/Rev.2/Amend.1</w:t>
    </w:r>
    <w:r>
      <w:br/>
    </w:r>
    <w:r w:rsidRPr="00D623A7">
      <w:t>E/ECE/TRANS/505</w:t>
    </w:r>
    <w:r w:rsidR="00B6181D">
      <w:t>/Add.10/Rev.2/Amend.1</w:t>
    </w:r>
  </w:p>
  <w:p w:rsidR="00BF4A36" w:rsidRPr="00BF4A36" w:rsidRDefault="00BF4A36" w:rsidP="00BF4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A75"/>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96163"/>
    <w:rsid w:val="002A1E3A"/>
    <w:rsid w:val="003107FA"/>
    <w:rsid w:val="003229D8"/>
    <w:rsid w:val="0033745A"/>
    <w:rsid w:val="0039277A"/>
    <w:rsid w:val="003972E0"/>
    <w:rsid w:val="003C2CC4"/>
    <w:rsid w:val="003C3936"/>
    <w:rsid w:val="003D4B23"/>
    <w:rsid w:val="003D57AD"/>
    <w:rsid w:val="003F1ED3"/>
    <w:rsid w:val="004325CB"/>
    <w:rsid w:val="00445C26"/>
    <w:rsid w:val="00446DE4"/>
    <w:rsid w:val="004A2A5C"/>
    <w:rsid w:val="004A41CA"/>
    <w:rsid w:val="004E3FEB"/>
    <w:rsid w:val="00503228"/>
    <w:rsid w:val="00505384"/>
    <w:rsid w:val="0052669E"/>
    <w:rsid w:val="005420F2"/>
    <w:rsid w:val="0054561B"/>
    <w:rsid w:val="00557A43"/>
    <w:rsid w:val="005B3DB3"/>
    <w:rsid w:val="006003B0"/>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0C6"/>
    <w:rsid w:val="007C3390"/>
    <w:rsid w:val="007C4F4B"/>
    <w:rsid w:val="007F0B83"/>
    <w:rsid w:val="007F6611"/>
    <w:rsid w:val="008175E9"/>
    <w:rsid w:val="008242D7"/>
    <w:rsid w:val="00827E05"/>
    <w:rsid w:val="008311A3"/>
    <w:rsid w:val="00841EB5"/>
    <w:rsid w:val="00871FD5"/>
    <w:rsid w:val="008979B1"/>
    <w:rsid w:val="008A6B25"/>
    <w:rsid w:val="008A6C4F"/>
    <w:rsid w:val="008E0E46"/>
    <w:rsid w:val="00907AD2"/>
    <w:rsid w:val="00950755"/>
    <w:rsid w:val="00963CBA"/>
    <w:rsid w:val="00974A8D"/>
    <w:rsid w:val="00991261"/>
    <w:rsid w:val="009F3A17"/>
    <w:rsid w:val="00A1427D"/>
    <w:rsid w:val="00A569D6"/>
    <w:rsid w:val="00A72F22"/>
    <w:rsid w:val="00A748A6"/>
    <w:rsid w:val="00A85956"/>
    <w:rsid w:val="00A879A4"/>
    <w:rsid w:val="00AC2721"/>
    <w:rsid w:val="00B30179"/>
    <w:rsid w:val="00B32121"/>
    <w:rsid w:val="00B33EC0"/>
    <w:rsid w:val="00B6181D"/>
    <w:rsid w:val="00B701B3"/>
    <w:rsid w:val="00B81E12"/>
    <w:rsid w:val="00B92A75"/>
    <w:rsid w:val="00BA3EE5"/>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1CEC"/>
    <w:rsid w:val="00ED7A2A"/>
    <w:rsid w:val="00EF1D7F"/>
    <w:rsid w:val="00F32D15"/>
    <w:rsid w:val="00F53EDA"/>
    <w:rsid w:val="00F7753D"/>
    <w:rsid w:val="00F85F34"/>
    <w:rsid w:val="00FA06F7"/>
    <w:rsid w:val="00FB171A"/>
    <w:rsid w:val="00FC1CBC"/>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0</TotalTime>
  <Pages>3</Pages>
  <Words>454</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04</cp:lastModifiedBy>
  <cp:revision>3</cp:revision>
  <cp:lastPrinted>2015-06-05T12:16:00Z</cp:lastPrinted>
  <dcterms:created xsi:type="dcterms:W3CDTF">2015-06-15T12:07:00Z</dcterms:created>
  <dcterms:modified xsi:type="dcterms:W3CDTF">2015-06-22T09:39:00Z</dcterms:modified>
</cp:coreProperties>
</file>