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4B3E3A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/ECE/324/Add.6/Rev.6/Amend.4−</w:t>
            </w:r>
            <w:r w:rsidRPr="00014D07">
              <w:rPr>
                <w:sz w:val="40"/>
              </w:rPr>
              <w:t>E</w:t>
            </w:r>
            <w:r>
              <w:t>/ECE/TRANS/505/Add.6/Rev.6/Amend.4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48390B" w:rsidRPr="00DB58B5" w:rsidRDefault="00BD5DAF" w:rsidP="00495A7B">
            <w:pPr>
              <w:spacing w:before="480" w:line="240" w:lineRule="exact"/>
            </w:pPr>
            <w:r>
              <w:rPr>
                <w:lang w:val="en-GB" w:eastAsia="en-GB"/>
              </w:rPr>
              <w:t xml:space="preserve">9 </w:t>
            </w:r>
            <w:proofErr w:type="spellStart"/>
            <w:r>
              <w:rPr>
                <w:lang w:val="en-GB" w:eastAsia="en-GB"/>
              </w:rPr>
              <w:t>novembre</w:t>
            </w:r>
            <w:proofErr w:type="spellEnd"/>
            <w:r>
              <w:rPr>
                <w:lang w:val="en-GB" w:eastAsia="en-GB"/>
              </w:rPr>
              <w:t xml:space="preserve">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987516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4B3E3A">
        <w:t>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B3E3A">
        <w:t>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4B3E3A">
        <w:t>6</w:t>
      </w:r>
      <w:r w:rsidR="000314C7">
        <w:t xml:space="preserve"> − Amendement </w:t>
      </w:r>
      <w:r w:rsidR="004B3E3A">
        <w:t>4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4B3E3A">
        <w:rPr>
          <w:spacing w:val="-2"/>
        </w:rPr>
        <w:t>24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4B3E3A">
        <w:rPr>
          <w:spacing w:val="-2"/>
        </w:rPr>
        <w:t>02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4B3E3A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4B3E3A" w:rsidRPr="004B3E3A">
        <w:rPr>
          <w:spacing w:val="-2"/>
        </w:rPr>
        <w:t>Prescriptions uniformes relatives à l’homologation des feux de position avant et arrière, des feux-stop et des feux d’encombrement des véhicules automobiles (à l’exception des motocycles) et de leurs remorques</w:t>
      </w:r>
    </w:p>
    <w:p w:rsidR="00D5218B" w:rsidRDefault="001D3393" w:rsidP="00FD0A09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="00AB4284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proofErr w:type="spellStart"/>
      <w:r w:rsidR="00FD0A09" w:rsidRPr="00FD0A09">
        <w:t>ECE</w:t>
      </w:r>
      <w:proofErr w:type="spellEnd"/>
      <w:r w:rsidR="00FD0A09">
        <w:t>/TRANS/WP.29/2015/15.</w:t>
      </w:r>
    </w:p>
    <w:p w:rsidR="00FD0A09" w:rsidRPr="00FD0A09" w:rsidRDefault="00DD1ED8" w:rsidP="00FD0A09">
      <w:pPr>
        <w:pStyle w:val="SingleTxtG"/>
      </w:pPr>
      <w:r>
        <w:br w:type="page"/>
      </w:r>
      <w:r w:rsidR="00FD0A09" w:rsidRPr="00FD0A09">
        <w:rPr>
          <w:i/>
        </w:rPr>
        <w:lastRenderedPageBreak/>
        <w:t>Paragraphe 1.6, alinéa </w:t>
      </w:r>
      <w:r w:rsidR="00FD0A09" w:rsidRPr="00FD0A09">
        <w:t>c, modifier comme suit:</w:t>
      </w:r>
    </w:p>
    <w:p w:rsidR="00FD0A09" w:rsidRPr="00FD0A09" w:rsidRDefault="00FD0A09" w:rsidP="00FD0A09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D0A09">
        <w:t>«</w:t>
      </w:r>
      <w:proofErr w:type="gramStart"/>
      <w:r w:rsidRPr="00FD0A09">
        <w:t>c</w:t>
      </w:r>
      <w:proofErr w:type="gramEnd"/>
      <w:r w:rsidRPr="00FD0A09">
        <w:t>)</w:t>
      </w:r>
      <w:r w:rsidRPr="00FD0A09">
        <w:tab/>
        <w:t>Le régulateur d’intensité, le cas échéant.».</w:t>
      </w:r>
    </w:p>
    <w:p w:rsidR="00FD0A09" w:rsidRPr="00FD0A09" w:rsidRDefault="00FD0A09" w:rsidP="00FD0A09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</w:pPr>
      <w:r w:rsidRPr="00FD0A09">
        <w:rPr>
          <w:u w:val="single"/>
        </w:rPr>
        <w:tab/>
      </w:r>
      <w:r w:rsidRPr="00FD0A09">
        <w:rPr>
          <w:u w:val="single"/>
        </w:rPr>
        <w:tab/>
      </w:r>
      <w:r w:rsidRPr="00FD0A09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09" w:rsidRDefault="00FD0A09"/>
  </w:endnote>
  <w:endnote w:type="continuationSeparator" w:id="0">
    <w:p w:rsidR="00FD0A09" w:rsidRDefault="00FD0A09">
      <w:pPr>
        <w:pStyle w:val="Footer"/>
      </w:pPr>
    </w:p>
  </w:endnote>
  <w:endnote w:type="continuationNotice" w:id="1">
    <w:p w:rsidR="00FD0A09" w:rsidRPr="00C451B9" w:rsidRDefault="00FD0A0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BD5DAF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BD5DAF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09" w:rsidRPr="00D27D5E" w:rsidRDefault="00FD0A0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0A09" w:rsidRPr="00D171D4" w:rsidRDefault="00FD0A0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D0A09" w:rsidRPr="00C451B9" w:rsidRDefault="00FD0A0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4B3E3A">
    <w:pPr>
      <w:pStyle w:val="Header"/>
    </w:pPr>
    <w:r w:rsidRPr="004B3E3A">
      <w:rPr>
        <w:lang w:val="en-GB"/>
      </w:rPr>
      <w:t>E/</w:t>
    </w:r>
    <w:proofErr w:type="spellStart"/>
    <w:r w:rsidRPr="004B3E3A">
      <w:rPr>
        <w:lang w:val="en-GB"/>
      </w:rPr>
      <w:t>ECE</w:t>
    </w:r>
    <w:proofErr w:type="spellEnd"/>
    <w:r w:rsidRPr="004B3E3A">
      <w:rPr>
        <w:lang w:val="en-GB"/>
      </w:rPr>
      <w:t>/324/Add.6/Rev.6/Amend.4</w:t>
    </w:r>
    <w:r w:rsidRPr="004B3E3A">
      <w:rPr>
        <w:lang w:val="en-GB"/>
      </w:rPr>
      <w:br/>
      <w:t>E/</w:t>
    </w:r>
    <w:proofErr w:type="spellStart"/>
    <w:r w:rsidRPr="004B3E3A">
      <w:rPr>
        <w:lang w:val="en-GB"/>
      </w:rPr>
      <w:t>ECE</w:t>
    </w:r>
    <w:proofErr w:type="spellEnd"/>
    <w:r w:rsidRPr="004B3E3A">
      <w:rPr>
        <w:lang w:val="en-GB"/>
      </w:rPr>
      <w:t>/TRANS/505/Add.6/Rev.6/Amend.4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71" w:rsidRPr="00926739" w:rsidRDefault="008E7D71" w:rsidP="009267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A09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8390B"/>
    <w:rsid w:val="00490F56"/>
    <w:rsid w:val="00491496"/>
    <w:rsid w:val="00491F39"/>
    <w:rsid w:val="00495A7B"/>
    <w:rsid w:val="004A49A5"/>
    <w:rsid w:val="004A66A2"/>
    <w:rsid w:val="004B261D"/>
    <w:rsid w:val="004B3E3A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D71"/>
    <w:rsid w:val="008E7FAE"/>
    <w:rsid w:val="00911BF7"/>
    <w:rsid w:val="0091594A"/>
    <w:rsid w:val="009230F1"/>
    <w:rsid w:val="00926739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87516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B4284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5DAF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0A09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8</cp:revision>
  <cp:lastPrinted>2015-05-06T08:07:00Z</cp:lastPrinted>
  <dcterms:created xsi:type="dcterms:W3CDTF">2015-07-14T13:48:00Z</dcterms:created>
  <dcterms:modified xsi:type="dcterms:W3CDTF">2015-11-09T08:51:00Z</dcterms:modified>
</cp:coreProperties>
</file>