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6A15F8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/ECE/324/Add.</w:t>
            </w:r>
            <w:r w:rsidR="006A15F8">
              <w:t>3</w:t>
            </w:r>
            <w:r>
              <w:t>/Rev.3/Amend.1−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6A15F8">
              <w:t>/Add.3/Rev.3/Amend.1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  <w:bookmarkStart w:id="0" w:name="_GoBack"/>
          </w:p>
          <w:p w:rsidR="006A15F8" w:rsidRPr="00DB58B5" w:rsidRDefault="00EF20A6" w:rsidP="00495A7B">
            <w:pPr>
              <w:spacing w:before="480" w:line="240" w:lineRule="exact"/>
            </w:pPr>
            <w:r>
              <w:t>22 juin 2015</w:t>
            </w:r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6A15F8">
        <w:t>3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A15F8">
        <w:t>4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6A15F8">
        <w:t>3</w:t>
      </w:r>
      <w:r w:rsidR="000314C7">
        <w:t xml:space="preserve"> − Amendement </w:t>
      </w:r>
      <w:r w:rsidR="006A15F8">
        <w:t>1</w:t>
      </w:r>
    </w:p>
    <w:p w:rsidR="00015650" w:rsidRPr="006A15F8" w:rsidRDefault="00015650" w:rsidP="00242268">
      <w:pPr>
        <w:pStyle w:val="SingleTxtG"/>
        <w:spacing w:after="100" w:line="200" w:lineRule="atLeast"/>
        <w:jc w:val="left"/>
        <w:rPr>
          <w:spacing w:val="-4"/>
        </w:rPr>
      </w:pPr>
      <w:r w:rsidRPr="006A15F8">
        <w:rPr>
          <w:spacing w:val="-4"/>
        </w:rPr>
        <w:t xml:space="preserve">Complément </w:t>
      </w:r>
      <w:r w:rsidR="006A15F8" w:rsidRPr="006A15F8">
        <w:rPr>
          <w:spacing w:val="-4"/>
        </w:rPr>
        <w:t>17</w:t>
      </w:r>
      <w:r w:rsidRPr="006A15F8">
        <w:rPr>
          <w:spacing w:val="-4"/>
        </w:rPr>
        <w:t xml:space="preserve"> à la </w:t>
      </w:r>
      <w:r w:rsidR="006A15F8" w:rsidRPr="006A15F8">
        <w:rPr>
          <w:spacing w:val="-4"/>
        </w:rPr>
        <w:t>version original</w:t>
      </w:r>
      <w:r w:rsidR="00A42337">
        <w:rPr>
          <w:spacing w:val="-4"/>
        </w:rPr>
        <w:t>e</w:t>
      </w:r>
      <w:r w:rsidR="006A15F8" w:rsidRPr="006A15F8">
        <w:rPr>
          <w:spacing w:val="-4"/>
        </w:rPr>
        <w:t xml:space="preserve"> du</w:t>
      </w:r>
      <w:r w:rsidRPr="006A15F8">
        <w:rPr>
          <w:spacing w:val="-4"/>
        </w:rPr>
        <w:t xml:space="preserve"> Règlement − Date d’entrée en vigueur: 15 jui</w:t>
      </w:r>
      <w:r w:rsidR="006A15F8" w:rsidRPr="006A15F8">
        <w:rPr>
          <w:spacing w:val="-4"/>
        </w:rPr>
        <w:t>n 2015</w:t>
      </w:r>
      <w:r w:rsidRPr="006A15F8">
        <w:rPr>
          <w:spacing w:val="-4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6A15F8" w:rsidRPr="006A15F8">
        <w:rPr>
          <w:spacing w:val="-2"/>
        </w:rPr>
        <w:t>Prescriptions uniformes relatives à l'homologation des dispositifs d'éclairage des plaques d'immatriculation arrière des véhicules à moteur et de leurs remorques</w:t>
      </w:r>
    </w:p>
    <w:p w:rsidR="0001572B" w:rsidRPr="00502D75" w:rsidRDefault="006A15F8" w:rsidP="0001572B">
      <w:pPr>
        <w:pStyle w:val="SingleTxtG"/>
        <w:keepNext/>
        <w:rPr>
          <w:iCs/>
          <w:lang w:val="fr-FR"/>
        </w:rPr>
      </w:pPr>
      <w:r>
        <w:t xml:space="preserve">Ce document constitue un outil de documentation. Le texte authentique et contraignant juridique est </w:t>
      </w:r>
      <w:proofErr w:type="spellStart"/>
      <w:r>
        <w:t>ECE</w:t>
      </w:r>
      <w:proofErr w:type="spellEnd"/>
      <w:r>
        <w:t xml:space="preserve">/TRANS/WP.29/2014/54 (tel que modifié par le paragraphe 59 du rapport </w:t>
      </w:r>
      <w:proofErr w:type="spellStart"/>
      <w:r>
        <w:t>ECE</w:t>
      </w:r>
      <w:proofErr w:type="spellEnd"/>
      <w:r>
        <w:t>/TRANS/WP.29/1112)</w:t>
      </w:r>
      <w:r w:rsidR="00194D52">
        <w:t>.</w:t>
      </w:r>
      <w:r w:rsidR="00DD1ED8">
        <w:br w:type="page"/>
      </w:r>
      <w:r w:rsidR="0001572B" w:rsidRPr="00502D75">
        <w:rPr>
          <w:i/>
          <w:iCs/>
          <w:lang w:val="fr-FR"/>
        </w:rPr>
        <w:lastRenderedPageBreak/>
        <w:t>Paragraphe</w:t>
      </w:r>
      <w:r w:rsidR="0001572B">
        <w:rPr>
          <w:i/>
          <w:iCs/>
          <w:lang w:val="fr-FR"/>
        </w:rPr>
        <w:t> </w:t>
      </w:r>
      <w:r w:rsidR="0001572B" w:rsidRPr="00502D75">
        <w:rPr>
          <w:i/>
          <w:iCs/>
          <w:lang w:val="fr-FR"/>
        </w:rPr>
        <w:t>1.1</w:t>
      </w:r>
      <w:r w:rsidR="0001572B" w:rsidRPr="007E5B50">
        <w:rPr>
          <w:lang w:val="fr-FR"/>
        </w:rPr>
        <w:t>,</w:t>
      </w:r>
      <w:r w:rsidR="0001572B" w:rsidRPr="00502D75">
        <w:rPr>
          <w:lang w:val="fr-FR"/>
        </w:rPr>
        <w:t xml:space="preserve"> </w:t>
      </w:r>
      <w:proofErr w:type="gramStart"/>
      <w:r w:rsidR="0001572B" w:rsidRPr="00502D75">
        <w:rPr>
          <w:lang w:val="fr-FR"/>
        </w:rPr>
        <w:t>modifier</w:t>
      </w:r>
      <w:proofErr w:type="gramEnd"/>
      <w:r w:rsidR="0001572B" w:rsidRPr="00502D75">
        <w:rPr>
          <w:lang w:val="fr-FR"/>
        </w:rPr>
        <w:t xml:space="preserve"> comme suit</w:t>
      </w:r>
      <w:r w:rsidR="0001572B" w:rsidRPr="00502D75">
        <w:rPr>
          <w:iCs/>
          <w:lang w:val="fr-FR"/>
        </w:rPr>
        <w:t>:</w:t>
      </w:r>
    </w:p>
    <w:p w:rsidR="0001572B" w:rsidRPr="00502D75" w:rsidRDefault="0001572B" w:rsidP="0001572B">
      <w:pPr>
        <w:pStyle w:val="SingleTxtG"/>
        <w:ind w:left="2268" w:hanging="1134"/>
        <w:rPr>
          <w:bCs/>
          <w:lang w:val="fr-FR"/>
        </w:rPr>
      </w:pPr>
      <w:r w:rsidRPr="00502D75">
        <w:rPr>
          <w:bCs/>
          <w:lang w:val="fr-FR"/>
        </w:rPr>
        <w:t>«1.1</w:t>
      </w:r>
      <w:r w:rsidRPr="00502D75">
        <w:rPr>
          <w:bCs/>
          <w:lang w:val="fr-FR"/>
        </w:rPr>
        <w:tab/>
        <w:t>Par “</w:t>
      </w:r>
      <w:r w:rsidRPr="00063C1B">
        <w:rPr>
          <w:bCs/>
          <w:i/>
          <w:lang w:val="fr-FR"/>
        </w:rPr>
        <w:t>feux de plaques arrière d’immatriculation</w:t>
      </w:r>
      <w:r w:rsidRPr="00502D75">
        <w:rPr>
          <w:bCs/>
          <w:lang w:val="fr-FR"/>
        </w:rPr>
        <w:t>”, le dispositif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éclairage des plaques arrière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dénommé ci-après “dispositif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éclairage” assurant l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éclairage par réflexion de la plaque arrière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immatriculation. Pour l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homologation de ce dispositif, on détermine l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éclairage de l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emplacement destiné à recevoir la plaque. Les zones éclairées sont regroupées sous les catégories suivantes:»</w:t>
      </w:r>
    </w:p>
    <w:p w:rsidR="0001572B" w:rsidRPr="00502D75" w:rsidRDefault="0001572B" w:rsidP="0001572B">
      <w:pPr>
        <w:pStyle w:val="SingleTxtG"/>
        <w:keepNext/>
        <w:rPr>
          <w:i/>
          <w:iCs/>
          <w:lang w:val="fr-FR"/>
        </w:rPr>
      </w:pPr>
      <w:r w:rsidRPr="00502D75">
        <w:rPr>
          <w:i/>
          <w:iCs/>
          <w:lang w:val="fr-FR"/>
        </w:rPr>
        <w:t>Ajouter les nouveaux paragraphes</w:t>
      </w:r>
      <w:r>
        <w:rPr>
          <w:i/>
          <w:iCs/>
          <w:lang w:val="fr-FR"/>
        </w:rPr>
        <w:t> </w:t>
      </w:r>
      <w:r w:rsidRPr="00502D75">
        <w:rPr>
          <w:i/>
          <w:iCs/>
          <w:lang w:val="fr-FR"/>
        </w:rPr>
        <w:t>1.1.1 à 1.1.5</w:t>
      </w:r>
      <w:r w:rsidRPr="007E5B50">
        <w:rPr>
          <w:rFonts w:eastAsia="MS Mincho"/>
          <w:lang w:val="fr-FR"/>
        </w:rPr>
        <w:t>,</w:t>
      </w:r>
      <w:r w:rsidRPr="00502D75">
        <w:rPr>
          <w:i/>
          <w:iCs/>
          <w:lang w:val="fr-FR"/>
        </w:rPr>
        <w:t xml:space="preserve"> </w:t>
      </w:r>
      <w:r w:rsidRPr="00464E7B">
        <w:t>ainsi conçus</w:t>
      </w:r>
      <w:r w:rsidRPr="007E5B50">
        <w:rPr>
          <w:rFonts w:eastAsia="MS Mincho"/>
          <w:lang w:val="fr-FR"/>
        </w:rPr>
        <w:t>:</w:t>
      </w:r>
    </w:p>
    <w:p w:rsidR="0001572B" w:rsidRPr="00502D75" w:rsidRDefault="0001572B" w:rsidP="0001572B">
      <w:pPr>
        <w:pStyle w:val="SingleTxtG"/>
        <w:ind w:left="2268" w:hanging="1134"/>
        <w:rPr>
          <w:bCs/>
          <w:lang w:val="fr-FR"/>
        </w:rPr>
      </w:pPr>
      <w:r w:rsidRPr="00502D75">
        <w:rPr>
          <w:bCs/>
          <w:lang w:val="fr-FR"/>
        </w:rPr>
        <w:t>«1.1.1</w:t>
      </w:r>
      <w:r w:rsidRPr="00502D75">
        <w:rPr>
          <w:bCs/>
          <w:lang w:val="fr-FR"/>
        </w:rPr>
        <w:tab/>
        <w:t>Catégorie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1a: zone éclairée pour utilisation sur un véhicule équipé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une plaque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dont les dimensions sont de 340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x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240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mm ou moins (plaque haute).</w:t>
      </w:r>
    </w:p>
    <w:p w:rsidR="0001572B" w:rsidRPr="00502D75" w:rsidRDefault="0001572B" w:rsidP="0001572B">
      <w:pPr>
        <w:pStyle w:val="SingleTxtG"/>
        <w:ind w:left="2268" w:hanging="1134"/>
        <w:rPr>
          <w:bCs/>
          <w:lang w:val="fr-FR"/>
        </w:rPr>
      </w:pPr>
      <w:r w:rsidRPr="00502D75">
        <w:rPr>
          <w:bCs/>
          <w:lang w:val="fr-FR"/>
        </w:rPr>
        <w:t>1.1.2</w:t>
      </w:r>
      <w:r w:rsidRPr="00502D75">
        <w:rPr>
          <w:bCs/>
          <w:lang w:val="fr-FR"/>
        </w:rPr>
        <w:tab/>
        <w:t>Catégorie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1b: zone éclairée pour utilisation sur un véhicule équipé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une plaque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dont les dimensions sont de 520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x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120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mm ou moins (plaque longue).</w:t>
      </w:r>
    </w:p>
    <w:p w:rsidR="0001572B" w:rsidRPr="00502D75" w:rsidRDefault="0001572B" w:rsidP="0001572B">
      <w:pPr>
        <w:pStyle w:val="SingleTxtG"/>
        <w:ind w:left="2268" w:hanging="1134"/>
        <w:rPr>
          <w:bCs/>
          <w:lang w:val="fr-FR"/>
        </w:rPr>
      </w:pPr>
      <w:r w:rsidRPr="00502D75">
        <w:rPr>
          <w:bCs/>
          <w:lang w:val="fr-FR"/>
        </w:rPr>
        <w:t>1.1.3</w:t>
      </w:r>
      <w:r w:rsidRPr="00502D75">
        <w:rPr>
          <w:bCs/>
          <w:lang w:val="fr-FR"/>
        </w:rPr>
        <w:tab/>
        <w:t>Catégorie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1c: zone éclairée pour utilisation sur un véhicule équipé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une plaque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dont les dimensions sont de 255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x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165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 xml:space="preserve">mm ou moins (plaque pour tracteur agricole ou forestier). </w:t>
      </w:r>
    </w:p>
    <w:p w:rsidR="0001572B" w:rsidRPr="00502D75" w:rsidRDefault="0001572B" w:rsidP="0001572B">
      <w:pPr>
        <w:pStyle w:val="SingleTxtG"/>
        <w:ind w:left="2268" w:hanging="1134"/>
        <w:rPr>
          <w:bCs/>
          <w:lang w:val="fr-FR"/>
        </w:rPr>
      </w:pPr>
      <w:r w:rsidRPr="00502D75">
        <w:rPr>
          <w:bCs/>
          <w:lang w:val="fr-FR"/>
        </w:rPr>
        <w:t>1.1.4</w:t>
      </w:r>
      <w:r w:rsidRPr="00502D75">
        <w:rPr>
          <w:bCs/>
          <w:lang w:val="fr-FR"/>
        </w:rPr>
        <w:tab/>
        <w:t>Catégorie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2a: zone éclairée pour utilisation sur un véhicule équipé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une plaque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dont les dimensions sont de 330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x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165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mm ou moins.</w:t>
      </w:r>
    </w:p>
    <w:p w:rsidR="0001572B" w:rsidRPr="00502D75" w:rsidRDefault="0001572B" w:rsidP="0001572B">
      <w:pPr>
        <w:pStyle w:val="SingleTxtG"/>
        <w:ind w:left="2268" w:hanging="1134"/>
        <w:rPr>
          <w:bCs/>
          <w:i/>
          <w:lang w:val="fr-FR"/>
        </w:rPr>
      </w:pPr>
      <w:r w:rsidRPr="00502D75">
        <w:rPr>
          <w:bCs/>
          <w:lang w:val="fr-FR"/>
        </w:rPr>
        <w:t>1.1.5</w:t>
      </w:r>
      <w:r w:rsidRPr="00502D75">
        <w:rPr>
          <w:bCs/>
          <w:lang w:val="fr-FR"/>
        </w:rPr>
        <w:tab/>
        <w:t>Catégorie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2b: zone éclairée pour utilisation sur un véhicule équipé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une plaque d</w:t>
      </w:r>
      <w:r>
        <w:rPr>
          <w:bCs/>
          <w:lang w:val="fr-FR"/>
        </w:rPr>
        <w:t>’</w:t>
      </w:r>
      <w:r w:rsidRPr="00502D75">
        <w:rPr>
          <w:bCs/>
          <w:lang w:val="fr-FR"/>
        </w:rPr>
        <w:t>immatriculation dont les dimensions sont de 440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x</w:t>
      </w:r>
      <w:r>
        <w:rPr>
          <w:bCs/>
          <w:lang w:val="fr-FR"/>
        </w:rPr>
        <w:t> </w:t>
      </w:r>
      <w:r w:rsidRPr="00502D75">
        <w:rPr>
          <w:bCs/>
          <w:lang w:val="fr-FR"/>
        </w:rPr>
        <w:t>220</w:t>
      </w:r>
      <w:r>
        <w:rPr>
          <w:bCs/>
          <w:lang w:val="fr-FR"/>
        </w:rPr>
        <w:t> mm ou moins</w:t>
      </w:r>
      <w:r w:rsidRPr="00502D75">
        <w:rPr>
          <w:bCs/>
          <w:lang w:val="fr-FR"/>
        </w:rPr>
        <w:t>»</w:t>
      </w:r>
      <w:r>
        <w:rPr>
          <w:bCs/>
          <w:lang w:val="fr-FR"/>
        </w:rPr>
        <w:t>.</w:t>
      </w:r>
    </w:p>
    <w:p w:rsidR="0001572B" w:rsidRPr="00502D75" w:rsidRDefault="0001572B" w:rsidP="0001572B">
      <w:pPr>
        <w:pStyle w:val="SingleTxtG"/>
        <w:keepNext/>
        <w:rPr>
          <w:lang w:val="fr-FR"/>
        </w:rPr>
      </w:pPr>
      <w:r w:rsidRPr="00502D75">
        <w:rPr>
          <w:i/>
          <w:lang w:val="fr-FR"/>
        </w:rPr>
        <w:t>Paragraphe</w:t>
      </w:r>
      <w:r>
        <w:rPr>
          <w:i/>
          <w:lang w:val="fr-FR"/>
        </w:rPr>
        <w:t> </w:t>
      </w:r>
      <w:r w:rsidRPr="00502D75">
        <w:rPr>
          <w:i/>
          <w:lang w:val="fr-FR"/>
        </w:rPr>
        <w:t>2</w:t>
      </w:r>
      <w:r w:rsidRPr="007E5B50">
        <w:rPr>
          <w:lang w:val="fr-FR"/>
        </w:rPr>
        <w:t>,</w:t>
      </w:r>
      <w:r w:rsidRPr="00502D75">
        <w:rPr>
          <w:i/>
          <w:lang w:val="fr-FR"/>
        </w:rPr>
        <w:t xml:space="preserve"> </w:t>
      </w:r>
      <w:proofErr w:type="gramStart"/>
      <w:r w:rsidRPr="00502D75">
        <w:rPr>
          <w:lang w:val="fr-FR"/>
        </w:rPr>
        <w:t>modifier</w:t>
      </w:r>
      <w:proofErr w:type="gramEnd"/>
      <w:r w:rsidRPr="00502D75">
        <w:rPr>
          <w:lang w:val="fr-FR"/>
        </w:rPr>
        <w:t xml:space="preserve"> comme suit:</w:t>
      </w:r>
    </w:p>
    <w:p w:rsidR="0001572B" w:rsidRPr="00502D75" w:rsidRDefault="0001572B" w:rsidP="0001572B">
      <w:pPr>
        <w:pStyle w:val="SingleTxtG"/>
        <w:ind w:left="2268" w:hanging="1134"/>
        <w:rPr>
          <w:lang w:val="fr-FR"/>
        </w:rPr>
      </w:pPr>
      <w:r w:rsidRPr="00502D75">
        <w:rPr>
          <w:lang w:val="fr-FR"/>
        </w:rPr>
        <w:t>«2.</w:t>
      </w:r>
      <w:r w:rsidRPr="00502D75">
        <w:rPr>
          <w:lang w:val="fr-FR"/>
        </w:rPr>
        <w:tab/>
        <w:t>Demande d</w:t>
      </w:r>
      <w:r>
        <w:rPr>
          <w:lang w:val="fr-FR"/>
        </w:rPr>
        <w:t>’</w:t>
      </w:r>
      <w:r w:rsidRPr="00502D75">
        <w:rPr>
          <w:lang w:val="fr-FR"/>
        </w:rPr>
        <w:t>homologation</w:t>
      </w:r>
    </w:p>
    <w:p w:rsidR="0001572B" w:rsidRPr="00502D75" w:rsidRDefault="0001572B" w:rsidP="0001572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Pr="00502D75">
        <w:rPr>
          <w:lang w:val="fr-FR"/>
        </w:rPr>
        <w:t>La demande d</w:t>
      </w:r>
      <w:r>
        <w:rPr>
          <w:lang w:val="fr-FR"/>
        </w:rPr>
        <w:t>’</w:t>
      </w:r>
      <w:r w:rsidRPr="00502D75">
        <w:rPr>
          <w:lang w:val="fr-FR"/>
        </w:rPr>
        <w:t>homologation sera présentée par le détenteur de la marque de fabrique ou de commerce ou son représentant dûment accrédité. Elle précisera si le dispositif est prévu pour l</w:t>
      </w:r>
      <w:r>
        <w:rPr>
          <w:lang w:val="fr-FR"/>
        </w:rPr>
        <w:t>’</w:t>
      </w:r>
      <w:r w:rsidRPr="00502D75">
        <w:rPr>
          <w:lang w:val="fr-FR"/>
        </w:rPr>
        <w:t>éclairage d</w:t>
      </w:r>
      <w:r>
        <w:rPr>
          <w:lang w:val="fr-FR"/>
        </w:rPr>
        <w:t>’</w:t>
      </w:r>
      <w:r w:rsidRPr="00502D75">
        <w:rPr>
          <w:lang w:val="fr-FR"/>
        </w:rPr>
        <w:t xml:space="preserve">une zone de catégorie 1a, 1b, 1c, 2a ou 2b ou de toute combinaison de ces zones conformément aux paragraphes 1.1.1. </w:t>
      </w:r>
      <w:proofErr w:type="gramStart"/>
      <w:r w:rsidRPr="00502D75">
        <w:rPr>
          <w:lang w:val="fr-FR"/>
        </w:rPr>
        <w:t>à</w:t>
      </w:r>
      <w:proofErr w:type="gramEnd"/>
      <w:r w:rsidRPr="00502D75">
        <w:rPr>
          <w:lang w:val="fr-FR"/>
        </w:rPr>
        <w:t xml:space="preserve"> 1.1.5. Si le demandeur déclare que…».</w:t>
      </w:r>
    </w:p>
    <w:p w:rsidR="00A42337" w:rsidRDefault="0001572B" w:rsidP="0001572B">
      <w:pPr>
        <w:pStyle w:val="SingleTxtG"/>
        <w:keepNext/>
        <w:rPr>
          <w:i/>
          <w:iCs/>
          <w:lang w:val="fr-FR"/>
        </w:rPr>
      </w:pPr>
      <w:r w:rsidRPr="00502D75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502D75">
        <w:rPr>
          <w:i/>
          <w:iCs/>
          <w:lang w:val="fr-FR"/>
        </w:rPr>
        <w:t>2</w:t>
      </w:r>
      <w:r w:rsidRPr="007E5B50">
        <w:rPr>
          <w:rFonts w:eastAsia="MS Mincho"/>
          <w:lang w:val="fr-FR"/>
        </w:rPr>
        <w:t>,</w:t>
      </w:r>
      <w:r w:rsidRPr="00502D75">
        <w:rPr>
          <w:i/>
          <w:iCs/>
          <w:lang w:val="fr-FR"/>
        </w:rPr>
        <w:t xml:space="preserve"> </w:t>
      </w:r>
    </w:p>
    <w:p w:rsidR="0001572B" w:rsidRPr="00502D75" w:rsidRDefault="00A42337" w:rsidP="0001572B">
      <w:pPr>
        <w:pStyle w:val="SingleTxtG"/>
        <w:keepNext/>
        <w:rPr>
          <w:iCs/>
          <w:lang w:val="fr-FR"/>
        </w:rPr>
      </w:pPr>
      <w:r>
        <w:rPr>
          <w:i/>
          <w:iCs/>
          <w:lang w:val="fr-FR"/>
        </w:rPr>
        <w:t>P</w:t>
      </w:r>
      <w:r w:rsidR="0001572B" w:rsidRPr="00502D75">
        <w:rPr>
          <w:i/>
          <w:iCs/>
          <w:lang w:val="fr-FR"/>
        </w:rPr>
        <w:t>oint</w:t>
      </w:r>
      <w:r w:rsidR="0001572B">
        <w:rPr>
          <w:i/>
          <w:iCs/>
          <w:lang w:val="fr-FR"/>
        </w:rPr>
        <w:t> </w:t>
      </w:r>
      <w:r w:rsidR="0001572B" w:rsidRPr="00502D75">
        <w:rPr>
          <w:i/>
          <w:iCs/>
          <w:lang w:val="fr-FR"/>
        </w:rPr>
        <w:t>9</w:t>
      </w:r>
      <w:r w:rsidR="0001572B" w:rsidRPr="007E5B50">
        <w:rPr>
          <w:rFonts w:eastAsia="MS Mincho"/>
          <w:lang w:val="fr-FR"/>
        </w:rPr>
        <w:t xml:space="preserve">, </w:t>
      </w:r>
      <w:proofErr w:type="gramStart"/>
      <w:r w:rsidR="0001572B" w:rsidRPr="00502D75">
        <w:rPr>
          <w:iCs/>
          <w:lang w:val="fr-FR"/>
        </w:rPr>
        <w:t>modifier</w:t>
      </w:r>
      <w:proofErr w:type="gramEnd"/>
      <w:r w:rsidR="0001572B" w:rsidRPr="00502D75">
        <w:rPr>
          <w:iCs/>
          <w:lang w:val="fr-FR"/>
        </w:rPr>
        <w:t xml:space="preserve"> comme suit:</w:t>
      </w:r>
    </w:p>
    <w:p w:rsidR="0001572B" w:rsidRPr="00502D75" w:rsidRDefault="0001572B" w:rsidP="0001572B">
      <w:pPr>
        <w:pStyle w:val="SingleTxtG"/>
        <w:ind w:left="2268" w:hanging="1134"/>
        <w:rPr>
          <w:lang w:val="fr-FR"/>
        </w:rPr>
      </w:pPr>
      <w:r w:rsidRPr="00502D75">
        <w:rPr>
          <w:bCs/>
          <w:lang w:val="fr-FR"/>
        </w:rPr>
        <w:t>«9.</w:t>
      </w:r>
      <w:r w:rsidRPr="00502D75">
        <w:rPr>
          <w:bCs/>
          <w:lang w:val="fr-FR"/>
        </w:rPr>
        <w:tab/>
        <w:t>Description sommaire</w:t>
      </w:r>
      <w:r w:rsidR="00A42337">
        <w:rPr>
          <w:lang w:val="fr-FR"/>
        </w:rPr>
        <w:t>:</w:t>
      </w:r>
      <w:r w:rsidRPr="00502D75">
        <w:rPr>
          <w:vertAlign w:val="superscript"/>
          <w:lang w:val="fr-FR"/>
        </w:rPr>
        <w:t>3</w:t>
      </w:r>
    </w:p>
    <w:p w:rsidR="0001572B" w:rsidRPr="00502D75" w:rsidRDefault="0001572B" w:rsidP="0001572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Pr="00502D75">
        <w:rPr>
          <w:lang w:val="fr-FR"/>
        </w:rPr>
        <w:t>Dispositif destiné à l</w:t>
      </w:r>
      <w:r>
        <w:rPr>
          <w:lang w:val="fr-FR"/>
        </w:rPr>
        <w:t>’</w:t>
      </w:r>
      <w:r w:rsidRPr="00502D75">
        <w:rPr>
          <w:lang w:val="fr-FR"/>
        </w:rPr>
        <w:t>éclairage</w:t>
      </w:r>
      <w:r>
        <w:rPr>
          <w:lang w:val="fr-FR"/>
        </w:rPr>
        <w:t>:</w:t>
      </w:r>
    </w:p>
    <w:p w:rsidR="0001572B" w:rsidRPr="00502D75" w:rsidRDefault="0001572B" w:rsidP="0001572B">
      <w:pPr>
        <w:pStyle w:val="SingleTxtG"/>
        <w:ind w:left="2268" w:hanging="1134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02D75">
        <w:rPr>
          <w:lang w:val="fr-FR"/>
        </w:rPr>
        <w:t>Catégorie</w:t>
      </w:r>
      <w:r>
        <w:rPr>
          <w:lang w:val="fr-FR"/>
        </w:rPr>
        <w:t xml:space="preserve"> 1a, 1b, 1c, 2a, 2b</w:t>
      </w:r>
      <w:r w:rsidRPr="00502D75">
        <w:rPr>
          <w:vertAlign w:val="superscript"/>
          <w:lang w:val="fr-FR"/>
        </w:rPr>
        <w:t>2</w:t>
      </w:r>
    </w:p>
    <w:p w:rsidR="0001572B" w:rsidRPr="00502D75" w:rsidRDefault="00A42337" w:rsidP="0001572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  <w:t>…»</w:t>
      </w:r>
    </w:p>
    <w:p w:rsidR="0001572B" w:rsidRPr="00502D75" w:rsidRDefault="0001572B" w:rsidP="0001572B">
      <w:pPr>
        <w:pStyle w:val="SingleTxtG"/>
        <w:keepNext/>
        <w:rPr>
          <w:iCs/>
          <w:lang w:val="fr-FR"/>
        </w:rPr>
      </w:pPr>
      <w:r w:rsidRPr="00502D75">
        <w:rPr>
          <w:i/>
          <w:iCs/>
          <w:lang w:val="fr-FR"/>
        </w:rPr>
        <w:lastRenderedPageBreak/>
        <w:t>Annexe</w:t>
      </w:r>
      <w:r>
        <w:rPr>
          <w:i/>
          <w:iCs/>
          <w:lang w:val="fr-FR"/>
        </w:rPr>
        <w:t> </w:t>
      </w:r>
      <w:r w:rsidRPr="00502D75">
        <w:rPr>
          <w:i/>
          <w:iCs/>
          <w:lang w:val="fr-FR"/>
        </w:rPr>
        <w:t>3</w:t>
      </w:r>
      <w:r w:rsidRPr="00502D75">
        <w:rPr>
          <w:iCs/>
          <w:lang w:val="fr-FR"/>
        </w:rPr>
        <w:t xml:space="preserve">, </w:t>
      </w:r>
      <w:proofErr w:type="gramStart"/>
      <w:r w:rsidRPr="00502D75">
        <w:rPr>
          <w:iCs/>
          <w:lang w:val="fr-FR"/>
        </w:rPr>
        <w:t>modifier</w:t>
      </w:r>
      <w:proofErr w:type="gramEnd"/>
      <w:r w:rsidRPr="00502D75">
        <w:rPr>
          <w:iCs/>
          <w:lang w:val="fr-FR"/>
        </w:rPr>
        <w:t xml:space="preserve"> comme suit:</w:t>
      </w:r>
    </w:p>
    <w:p w:rsidR="0001572B" w:rsidRPr="00502D75" w:rsidRDefault="0001572B" w:rsidP="0001572B">
      <w:pPr>
        <w:pStyle w:val="HChG"/>
        <w:rPr>
          <w:lang w:val="fr-FR"/>
        </w:rPr>
      </w:pPr>
      <w:r>
        <w:rPr>
          <w:lang w:val="fr-FR"/>
        </w:rPr>
        <w:tab/>
      </w:r>
      <w:r w:rsidRPr="00140D20">
        <w:rPr>
          <w:rStyle w:val="SingleTxtGCar"/>
          <w:b w:val="0"/>
          <w:sz w:val="20"/>
        </w:rPr>
        <w:t>«</w:t>
      </w:r>
      <w:r w:rsidRPr="00502D75">
        <w:rPr>
          <w:lang w:val="fr-FR"/>
        </w:rPr>
        <w:t>Annexe</w:t>
      </w:r>
      <w:r>
        <w:rPr>
          <w:lang w:val="fr-FR"/>
        </w:rPr>
        <w:t> </w:t>
      </w:r>
      <w:r w:rsidRPr="00502D75">
        <w:rPr>
          <w:lang w:val="fr-FR"/>
        </w:rPr>
        <w:t>3</w:t>
      </w:r>
    </w:p>
    <w:p w:rsidR="0001572B" w:rsidRDefault="0001572B" w:rsidP="0001572B">
      <w:pPr>
        <w:pStyle w:val="HChG"/>
        <w:rPr>
          <w:lang w:val="fr-FR"/>
        </w:rPr>
      </w:pPr>
      <w:r w:rsidRPr="00502D75">
        <w:rPr>
          <w:lang w:val="fr-FR"/>
        </w:rPr>
        <w:tab/>
      </w:r>
      <w:r w:rsidRPr="00502D75">
        <w:rPr>
          <w:lang w:val="fr-FR"/>
        </w:rPr>
        <w:tab/>
        <w:t>Point de mesure pour l</w:t>
      </w:r>
      <w:r>
        <w:rPr>
          <w:lang w:val="fr-FR"/>
        </w:rPr>
        <w:t>’</w:t>
      </w:r>
      <w:r w:rsidRPr="00502D75">
        <w:rPr>
          <w:lang w:val="fr-FR"/>
        </w:rPr>
        <w:t>essai</w:t>
      </w:r>
    </w:p>
    <w:p w:rsidR="0001572B" w:rsidRDefault="0001572B" w:rsidP="0001572B">
      <w:pPr>
        <w:pStyle w:val="SingleTxtG"/>
        <w:keepNext/>
        <w:rPr>
          <w:rFonts w:eastAsia="MS Mincho"/>
        </w:rPr>
      </w:pPr>
      <w:r w:rsidRPr="007E5B50">
        <w:rPr>
          <w:rFonts w:eastAsia="MS Mincho"/>
        </w:rPr>
        <w:t>Catégorie</w:t>
      </w:r>
      <w:r w:rsidRPr="007E5B50">
        <w:t> </w:t>
      </w:r>
      <w:r w:rsidRPr="007E5B50">
        <w:rPr>
          <w:rFonts w:eastAsia="MS Mincho"/>
        </w:rPr>
        <w:t>1a (340 x 240 mm)</w:t>
      </w:r>
    </w:p>
    <w:p w:rsidR="0001572B" w:rsidRPr="007E5B50" w:rsidRDefault="0001572B" w:rsidP="0001572B">
      <w:pPr>
        <w:pStyle w:val="SingleTxtG"/>
        <w:keepNext/>
      </w:pPr>
      <w:r>
        <w:rPr>
          <w:rFonts w:eastAsia="MS Mincho"/>
        </w:rPr>
        <w:t>…</w:t>
      </w:r>
    </w:p>
    <w:p w:rsidR="0001572B" w:rsidRDefault="0001572B" w:rsidP="0001572B">
      <w:pPr>
        <w:pStyle w:val="SingleTxtG"/>
        <w:keepNext/>
        <w:rPr>
          <w:rFonts w:eastAsia="MS Mincho"/>
        </w:rPr>
      </w:pPr>
      <w:r w:rsidRPr="007E5B50">
        <w:rPr>
          <w:rFonts w:eastAsia="MS Mincho"/>
        </w:rPr>
        <w:t>Catégorie</w:t>
      </w:r>
      <w:r w:rsidRPr="007E5B50">
        <w:t> </w:t>
      </w:r>
      <w:r w:rsidRPr="007E5B50">
        <w:rPr>
          <w:rFonts w:eastAsia="MS Mincho"/>
        </w:rPr>
        <w:t>1b (520 x 120 mm)</w:t>
      </w:r>
    </w:p>
    <w:p w:rsidR="0001572B" w:rsidRPr="007E5B50" w:rsidRDefault="0001572B" w:rsidP="0001572B">
      <w:pPr>
        <w:pStyle w:val="SingleTxtG"/>
        <w:keepNext/>
      </w:pPr>
      <w:r>
        <w:rPr>
          <w:rFonts w:eastAsia="MS Mincho"/>
        </w:rPr>
        <w:t>…</w:t>
      </w:r>
    </w:p>
    <w:p w:rsidR="0001572B" w:rsidRDefault="0001572B" w:rsidP="0001572B">
      <w:pPr>
        <w:pStyle w:val="SingleTxtG"/>
        <w:rPr>
          <w:rFonts w:eastAsia="MS Mincho"/>
        </w:rPr>
      </w:pPr>
      <w:r w:rsidRPr="007E5B50">
        <w:rPr>
          <w:rFonts w:eastAsia="MS Mincho"/>
        </w:rPr>
        <w:t>Catégorie</w:t>
      </w:r>
      <w:r w:rsidRPr="007E5B50">
        <w:t> </w:t>
      </w:r>
      <w:r w:rsidRPr="007E5B50">
        <w:rPr>
          <w:rFonts w:eastAsia="MS Mincho"/>
        </w:rPr>
        <w:t>1c (255 x 165 mm)</w:t>
      </w:r>
    </w:p>
    <w:p w:rsidR="0001572B" w:rsidRPr="007E5B50" w:rsidRDefault="0001572B" w:rsidP="0001572B">
      <w:pPr>
        <w:pStyle w:val="SingleTxtG"/>
      </w:pPr>
      <w:r>
        <w:rPr>
          <w:rFonts w:eastAsia="MS Mincho"/>
        </w:rPr>
        <w:t>…</w:t>
      </w:r>
    </w:p>
    <w:p w:rsidR="0001572B" w:rsidRDefault="0001572B" w:rsidP="0001572B">
      <w:pPr>
        <w:keepNext/>
        <w:keepLines/>
        <w:widowControl w:val="0"/>
        <w:tabs>
          <w:tab w:val="left" w:pos="-867"/>
          <w:tab w:val="left" w:pos="-147"/>
          <w:tab w:val="left" w:pos="600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440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  <w:tab w:val="left" w:pos="9904"/>
          <w:tab w:val="left" w:pos="10624"/>
        </w:tabs>
        <w:autoSpaceDE w:val="0"/>
        <w:autoSpaceDN w:val="0"/>
        <w:adjustRightInd w:val="0"/>
        <w:spacing w:line="288" w:lineRule="atLeast"/>
        <w:ind w:left="7411" w:right="1134" w:hanging="6277"/>
        <w:jc w:val="right"/>
      </w:pPr>
      <w:r>
        <w:object w:dxaOrig="7529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152.4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496478385" r:id="rId9"/>
        </w:object>
      </w:r>
    </w:p>
    <w:p w:rsidR="0001572B" w:rsidRPr="00424AED" w:rsidRDefault="0001572B" w:rsidP="0001572B">
      <w:pPr>
        <w:pStyle w:val="SingleTxtG"/>
        <w:spacing w:before="120" w:after="0"/>
        <w:rPr>
          <w:rFonts w:eastAsia="MS Mincho"/>
          <w:lang w:val="es-AR"/>
        </w:rPr>
      </w:pPr>
      <w:r w:rsidRPr="00424AED">
        <w:rPr>
          <w:rFonts w:eastAsia="MS Mincho"/>
          <w:lang w:val="es-AR"/>
        </w:rPr>
        <w:t>a = 25 mm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>b = 95 mm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>c = 100 mm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>d = 90 mm</w:t>
      </w:r>
    </w:p>
    <w:p w:rsidR="0001572B" w:rsidRPr="00424AED" w:rsidRDefault="0001572B" w:rsidP="0001572B">
      <w:pPr>
        <w:pStyle w:val="SingleTxtG"/>
        <w:spacing w:after="240"/>
        <w:rPr>
          <w:rFonts w:eastAsia="MS Mincho"/>
          <w:lang w:val="es-AR"/>
        </w:rPr>
      </w:pPr>
      <w:proofErr w:type="spellStart"/>
      <w:r w:rsidRPr="00424AED">
        <w:rPr>
          <w:rFonts w:eastAsia="MS Mincho"/>
          <w:lang w:val="es-AR"/>
        </w:rPr>
        <w:t>e</w:t>
      </w:r>
      <w:proofErr w:type="spellEnd"/>
      <w:r w:rsidRPr="00424AED">
        <w:rPr>
          <w:rFonts w:eastAsia="MS Mincho"/>
          <w:lang w:val="es-AR"/>
        </w:rPr>
        <w:t xml:space="preserve"> = 70 mm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 xml:space="preserve">f = 57.5 mm  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>g = 70 mm</w:t>
      </w:r>
      <w:r w:rsidRPr="00424AED">
        <w:rPr>
          <w:rFonts w:eastAsia="MS Mincho"/>
          <w:lang w:val="es-AR"/>
        </w:rPr>
        <w:tab/>
      </w:r>
      <w:r w:rsidRPr="00424AED">
        <w:rPr>
          <w:rFonts w:eastAsia="MS Mincho"/>
          <w:lang w:val="es-AR"/>
        </w:rPr>
        <w:tab/>
        <w:t>h = 65 mm</w:t>
      </w:r>
    </w:p>
    <w:p w:rsidR="0001572B" w:rsidRDefault="0001572B" w:rsidP="0001572B">
      <w:pPr>
        <w:pStyle w:val="SingleTxtG"/>
        <w:rPr>
          <w:rFonts w:eastAsia="MS Mincho"/>
          <w:lang w:val="en-US" w:eastAsia="ja-JP"/>
        </w:rPr>
      </w:pPr>
      <w:r w:rsidRPr="00502D75">
        <w:rPr>
          <w:lang w:val="fr-FR"/>
        </w:rPr>
        <w:t>Catégorie</w:t>
      </w:r>
      <w:r>
        <w:rPr>
          <w:rFonts w:eastAsia="MS Mincho" w:hint="cs"/>
          <w:lang w:val="en-US" w:eastAsia="ja-JP"/>
        </w:rPr>
        <w:t> </w:t>
      </w:r>
      <w:r w:rsidRPr="00262223">
        <w:rPr>
          <w:rFonts w:eastAsia="MS Mincho" w:hint="eastAsia"/>
          <w:lang w:val="en-US" w:eastAsia="ja-JP"/>
        </w:rPr>
        <w:t>2a</w:t>
      </w:r>
      <w:r w:rsidRPr="00262223">
        <w:rPr>
          <w:rFonts w:eastAsia="MS Mincho"/>
          <w:lang w:val="en-US" w:eastAsia="ja-JP"/>
        </w:rPr>
        <w:t xml:space="preserve"> (330 x 165 mm)</w:t>
      </w:r>
    </w:p>
    <w:bookmarkStart w:id="1" w:name="_MON_1475387394"/>
    <w:bookmarkStart w:id="2" w:name="_MON_1475387457"/>
    <w:bookmarkStart w:id="3" w:name="_MON_1475388213"/>
    <w:bookmarkStart w:id="4" w:name="_MON_1475388237"/>
    <w:bookmarkStart w:id="5" w:name="_MON_1475388416"/>
    <w:bookmarkEnd w:id="1"/>
    <w:bookmarkEnd w:id="2"/>
    <w:bookmarkEnd w:id="3"/>
    <w:bookmarkEnd w:id="4"/>
    <w:bookmarkEnd w:id="5"/>
    <w:bookmarkStart w:id="6" w:name="_MON_1475386974"/>
    <w:bookmarkEnd w:id="6"/>
    <w:p w:rsidR="0001572B" w:rsidRDefault="0001572B" w:rsidP="0001572B">
      <w:pPr>
        <w:pStyle w:val="SingleTxtG"/>
        <w:rPr>
          <w:rFonts w:eastAsia="MS Mincho"/>
          <w:lang w:val="en-US" w:eastAsia="ja-JP"/>
        </w:rPr>
      </w:pPr>
      <w:r>
        <w:object w:dxaOrig="6520" w:dyaOrig="3432">
          <v:shape id="_x0000_i1026" type="#_x0000_t75" style="width:366pt;height:187.2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6" DrawAspect="Content" ObjectID="_1496478386" r:id="rId11"/>
        </w:object>
      </w:r>
    </w:p>
    <w:p w:rsidR="0001572B" w:rsidRPr="00262223" w:rsidRDefault="0001572B" w:rsidP="0001572B">
      <w:pPr>
        <w:pStyle w:val="SingleTxtG"/>
        <w:rPr>
          <w:rFonts w:eastAsia="MS Mincho"/>
          <w:lang w:val="en-US" w:eastAsia="ja-JP"/>
        </w:rPr>
      </w:pPr>
      <w:proofErr w:type="spellStart"/>
      <w:r w:rsidRPr="00262223">
        <w:rPr>
          <w:rFonts w:eastAsia="MS Mincho"/>
          <w:lang w:val="en-US" w:eastAsia="ja-JP"/>
        </w:rPr>
        <w:t>i</w:t>
      </w:r>
      <w:proofErr w:type="spellEnd"/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= 32.5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mm</w:t>
      </w:r>
    </w:p>
    <w:p w:rsidR="0001572B" w:rsidRPr="00262223" w:rsidRDefault="0001572B" w:rsidP="0001572B">
      <w:pPr>
        <w:pStyle w:val="SingleTxtG"/>
        <w:rPr>
          <w:rFonts w:eastAsia="MS Mincho"/>
          <w:lang w:val="en-US" w:eastAsia="ja-JP"/>
        </w:rPr>
      </w:pPr>
      <w:r w:rsidRPr="00262223">
        <w:rPr>
          <w:rFonts w:eastAsia="MS Mincho"/>
          <w:lang w:val="en-US" w:eastAsia="ja-JP"/>
        </w:rPr>
        <w:t>j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= 100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mm</w:t>
      </w:r>
    </w:p>
    <w:p w:rsidR="0001572B" w:rsidRPr="00262223" w:rsidRDefault="0001572B" w:rsidP="0001572B">
      <w:pPr>
        <w:pStyle w:val="SingleTxtG"/>
        <w:rPr>
          <w:rFonts w:eastAsia="MS Mincho"/>
          <w:lang w:val="en-US" w:eastAsia="ja-JP"/>
        </w:rPr>
      </w:pPr>
      <w:r w:rsidRPr="00262223">
        <w:rPr>
          <w:rFonts w:eastAsia="MS Mincho"/>
          <w:lang w:val="en-US" w:eastAsia="ja-JP"/>
        </w:rPr>
        <w:t>k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= 50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mm</w:t>
      </w:r>
    </w:p>
    <w:p w:rsidR="0001572B" w:rsidRPr="00262223" w:rsidRDefault="0001572B" w:rsidP="0001572B">
      <w:pPr>
        <w:pStyle w:val="SingleTxtG"/>
        <w:rPr>
          <w:rFonts w:eastAsia="MS Mincho"/>
          <w:lang w:val="en-US" w:eastAsia="ja-JP"/>
        </w:rPr>
      </w:pPr>
      <w:r w:rsidRPr="00262223">
        <w:rPr>
          <w:rFonts w:eastAsia="MS Mincho"/>
          <w:lang w:val="en-US" w:eastAsia="ja-JP"/>
        </w:rPr>
        <w:t>l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= 100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mm</w:t>
      </w:r>
    </w:p>
    <w:p w:rsidR="0001572B" w:rsidRPr="00424AED" w:rsidRDefault="0001572B" w:rsidP="0001572B">
      <w:pPr>
        <w:pStyle w:val="SingleTxtG"/>
        <w:rPr>
          <w:rFonts w:eastAsia="MS Mincho"/>
          <w:lang w:eastAsia="ja-JP"/>
        </w:rPr>
      </w:pPr>
      <w:proofErr w:type="gramStart"/>
      <w:r w:rsidRPr="00424AED">
        <w:rPr>
          <w:rFonts w:eastAsia="MS Mincho"/>
          <w:lang w:eastAsia="ja-JP"/>
        </w:rPr>
        <w:t>m</w:t>
      </w:r>
      <w:proofErr w:type="gramEnd"/>
      <w:r w:rsidRPr="00424AED">
        <w:rPr>
          <w:rFonts w:eastAsia="MS Mincho"/>
          <w:lang w:eastAsia="ja-JP"/>
        </w:rPr>
        <w:t xml:space="preserve"> = 40 mm</w:t>
      </w:r>
    </w:p>
    <w:p w:rsidR="0001572B" w:rsidRPr="00424AED" w:rsidRDefault="0001572B" w:rsidP="0001572B">
      <w:pPr>
        <w:pStyle w:val="SingleTxtG"/>
        <w:rPr>
          <w:rFonts w:eastAsia="MS Mincho"/>
          <w:lang w:eastAsia="ja-JP"/>
        </w:rPr>
      </w:pPr>
      <w:r w:rsidRPr="00536FE4">
        <w:rPr>
          <w:rFonts w:eastAsia="MS Mincho"/>
          <w:lang w:val="fr-FR" w:eastAsia="ja-JP"/>
        </w:rPr>
        <w:t>Catégorie</w:t>
      </w:r>
      <w:r>
        <w:rPr>
          <w:rFonts w:eastAsia="MS Mincho"/>
          <w:lang w:val="fr-FR" w:eastAsia="ja-JP"/>
        </w:rPr>
        <w:t> </w:t>
      </w:r>
      <w:r w:rsidRPr="00536FE4">
        <w:rPr>
          <w:rFonts w:eastAsia="MS Mincho"/>
          <w:lang w:val="fr-FR" w:eastAsia="ja-JP"/>
        </w:rPr>
        <w:t>2b (440 x 220 mm)</w:t>
      </w:r>
    </w:p>
    <w:p w:rsidR="0001572B" w:rsidRDefault="0001572B" w:rsidP="0001572B">
      <w:pPr>
        <w:pStyle w:val="SingleTxtG"/>
        <w:rPr>
          <w:rFonts w:eastAsia="MS Mincho"/>
          <w:lang w:val="en-US" w:eastAsia="ja-JP"/>
        </w:rPr>
      </w:pPr>
      <w:r>
        <w:object w:dxaOrig="6520" w:dyaOrig="3432">
          <v:shape id="_x0000_i1027" type="#_x0000_t75" style="width:366pt;height:187.2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7" DrawAspect="Content" ObjectID="_1496478387" r:id="rId13"/>
        </w:object>
      </w:r>
    </w:p>
    <w:p w:rsidR="0001572B" w:rsidRPr="00262223" w:rsidRDefault="0001572B" w:rsidP="0001572B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pt-BR" w:eastAsia="ja-JP"/>
        </w:rPr>
      </w:pPr>
      <w:r w:rsidRPr="00262223">
        <w:rPr>
          <w:rFonts w:eastAsia="MS Mincho"/>
          <w:lang w:val="pt-BR" w:eastAsia="ja-JP"/>
        </w:rPr>
        <w:t>n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=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50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mm</w:t>
      </w:r>
    </w:p>
    <w:p w:rsidR="0001572B" w:rsidRPr="00262223" w:rsidRDefault="0001572B" w:rsidP="0001572B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pt-BR" w:eastAsia="ja-JP"/>
        </w:rPr>
      </w:pPr>
      <w:r w:rsidRPr="00262223">
        <w:rPr>
          <w:rFonts w:eastAsia="MS Mincho"/>
          <w:lang w:val="pt-BR" w:eastAsia="ja-JP"/>
        </w:rPr>
        <w:t>o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=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120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mm</w:t>
      </w:r>
    </w:p>
    <w:p w:rsidR="0001572B" w:rsidRPr="00262223" w:rsidRDefault="0001572B" w:rsidP="0001572B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pt-BR" w:eastAsia="ja-JP"/>
        </w:rPr>
      </w:pPr>
      <w:r w:rsidRPr="00262223">
        <w:rPr>
          <w:rFonts w:eastAsia="MS Mincho"/>
          <w:lang w:val="pt-BR" w:eastAsia="ja-JP"/>
        </w:rPr>
        <w:t>p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=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50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mm</w:t>
      </w:r>
    </w:p>
    <w:p w:rsidR="0001572B" w:rsidRPr="00262223" w:rsidRDefault="0001572B" w:rsidP="0001572B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pt-BR" w:eastAsia="ja-JP"/>
        </w:rPr>
      </w:pPr>
      <w:r w:rsidRPr="00262223">
        <w:rPr>
          <w:rFonts w:eastAsia="MS Mincho"/>
          <w:lang w:val="pt-BR" w:eastAsia="ja-JP"/>
        </w:rPr>
        <w:t>q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=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145</w:t>
      </w:r>
      <w:r>
        <w:rPr>
          <w:rFonts w:eastAsia="MS Mincho"/>
          <w:lang w:val="pt-BR" w:eastAsia="ja-JP"/>
        </w:rPr>
        <w:t xml:space="preserve"> </w:t>
      </w:r>
      <w:r w:rsidRPr="00262223">
        <w:rPr>
          <w:rFonts w:eastAsia="MS Mincho"/>
          <w:lang w:val="pt-BR" w:eastAsia="ja-JP"/>
        </w:rPr>
        <w:t>mm</w:t>
      </w:r>
    </w:p>
    <w:p w:rsidR="002C6CD9" w:rsidRDefault="0001572B" w:rsidP="0001572B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en-US" w:eastAsia="ja-JP"/>
        </w:rPr>
      </w:pPr>
      <w:r w:rsidRPr="00262223">
        <w:rPr>
          <w:rFonts w:eastAsia="MS Mincho"/>
          <w:lang w:val="en-US" w:eastAsia="ja-JP"/>
        </w:rPr>
        <w:t>r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=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50</w:t>
      </w:r>
      <w:r>
        <w:rPr>
          <w:rFonts w:eastAsia="MS Mincho"/>
          <w:lang w:val="en-US" w:eastAsia="ja-JP"/>
        </w:rPr>
        <w:t xml:space="preserve"> </w:t>
      </w:r>
      <w:r w:rsidRPr="00262223">
        <w:rPr>
          <w:rFonts w:eastAsia="MS Mincho"/>
          <w:lang w:val="en-US" w:eastAsia="ja-JP"/>
        </w:rPr>
        <w:t>mm</w:t>
      </w:r>
    </w:p>
    <w:p w:rsidR="0001572B" w:rsidRDefault="002C6CD9" w:rsidP="002C6CD9">
      <w:pPr>
        <w:autoSpaceDE w:val="0"/>
        <w:autoSpaceDN w:val="0"/>
        <w:adjustRightInd w:val="0"/>
        <w:spacing w:after="120" w:line="240" w:lineRule="auto"/>
        <w:ind w:leftChars="667" w:left="2468" w:rightChars="569" w:right="1138" w:hanging="1134"/>
        <w:jc w:val="both"/>
        <w:rPr>
          <w:rFonts w:eastAsia="MS Mincho"/>
          <w:lang w:val="en-US" w:eastAsia="ja-JP"/>
        </w:rPr>
      </w:pPr>
      <w:r w:rsidRPr="00A42337">
        <w:rPr>
          <w:rFonts w:eastAsia="MS Mincho"/>
          <w:i/>
          <w:lang w:val="en-US" w:eastAsia="ja-JP"/>
        </w:rPr>
        <w:t>Note:</w:t>
      </w:r>
      <w:r w:rsidRPr="002C6CD9">
        <w:rPr>
          <w:rFonts w:eastAsia="MS Mincho"/>
          <w:lang w:val="en-US" w:eastAsia="ja-JP"/>
        </w:rPr>
        <w:t xml:space="preserve"> </w:t>
      </w:r>
      <w:proofErr w:type="spellStart"/>
      <w:r w:rsidRPr="002C6CD9">
        <w:rPr>
          <w:rFonts w:eastAsia="MS Mincho"/>
          <w:lang w:val="en-US" w:eastAsia="ja-JP"/>
        </w:rPr>
        <w:t>Dans</w:t>
      </w:r>
      <w:proofErr w:type="spellEnd"/>
      <w:r w:rsidRPr="002C6CD9">
        <w:rPr>
          <w:rFonts w:eastAsia="MS Mincho"/>
          <w:lang w:val="en-US" w:eastAsia="ja-JP"/>
        </w:rPr>
        <w:t xml:space="preserve"> le </w:t>
      </w:r>
      <w:proofErr w:type="spellStart"/>
      <w:r w:rsidRPr="002C6CD9">
        <w:rPr>
          <w:rFonts w:eastAsia="MS Mincho"/>
          <w:lang w:val="en-US" w:eastAsia="ja-JP"/>
        </w:rPr>
        <w:t>cas</w:t>
      </w:r>
      <w:proofErr w:type="spellEnd"/>
      <w:r w:rsidRPr="002C6CD9">
        <w:rPr>
          <w:rFonts w:eastAsia="MS Mincho"/>
          <w:lang w:val="en-US" w:eastAsia="ja-JP"/>
        </w:rPr>
        <w:t xml:space="preserve"> de </w:t>
      </w:r>
      <w:proofErr w:type="spellStart"/>
      <w:r w:rsidRPr="002C6CD9">
        <w:rPr>
          <w:rFonts w:eastAsia="MS Mincho"/>
          <w:lang w:val="en-US" w:eastAsia="ja-JP"/>
        </w:rPr>
        <w:t>dispositifs</w:t>
      </w:r>
      <w:proofErr w:type="spellEnd"/>
      <w:r>
        <w:rPr>
          <w:rFonts w:eastAsia="MS Mincho"/>
          <w:lang w:val="en-US" w:eastAsia="ja-JP"/>
        </w:rPr>
        <w:t xml:space="preserve"> </w:t>
      </w:r>
      <w:r w:rsidRPr="002C6CD9">
        <w:rPr>
          <w:rFonts w:eastAsia="MS Mincho"/>
          <w:lang w:val="en-US" w:eastAsia="ja-JP"/>
        </w:rPr>
        <w:t>...</w:t>
      </w:r>
      <w:r w:rsidR="00A42337">
        <w:rPr>
          <w:rFonts w:eastAsia="MS Mincho"/>
          <w:lang w:val="en-US" w:eastAsia="ja-JP"/>
        </w:rPr>
        <w:t>»</w:t>
      </w:r>
    </w:p>
    <w:p w:rsidR="0001572B" w:rsidRPr="00622CF6" w:rsidRDefault="0001572B" w:rsidP="000157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207" w:rsidRPr="00DD1ED8" w:rsidRDefault="005F0207" w:rsidP="0001572B">
      <w:pPr>
        <w:pStyle w:val="SingleTxtG"/>
        <w:rPr>
          <w:u w:val="single"/>
        </w:rPr>
      </w:pPr>
    </w:p>
    <w:sectPr w:rsidR="005F0207" w:rsidRPr="00DD1ED8" w:rsidSect="000314C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1A" w:rsidRDefault="00462E1A"/>
  </w:endnote>
  <w:endnote w:type="continuationSeparator" w:id="0">
    <w:p w:rsidR="00462E1A" w:rsidRDefault="00462E1A">
      <w:pPr>
        <w:pStyle w:val="Footer"/>
      </w:pPr>
    </w:p>
  </w:endnote>
  <w:endnote w:type="continuationNotice" w:id="1">
    <w:p w:rsidR="00462E1A" w:rsidRPr="00C451B9" w:rsidRDefault="00462E1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20A6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20A6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EF20A6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EF20A6" w:rsidP="00E97E2C">
    <w:pPr>
      <w:jc w:val="center"/>
      <w:rPr>
        <w:b/>
        <w:bCs/>
        <w:sz w:val="22"/>
      </w:rPr>
    </w:pPr>
    <w:r>
      <w:pict>
        <v:shape id="_x0000_i1028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GE.1</w:t>
    </w:r>
    <w:r w:rsidR="006A15F8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1A" w:rsidRPr="00D27D5E" w:rsidRDefault="00462E1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2E1A" w:rsidRPr="00D171D4" w:rsidRDefault="00462E1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62E1A" w:rsidRPr="00C451B9" w:rsidRDefault="00462E1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6A15F8" w:rsidRPr="006A15F8">
      <w:t>/Add.3/Rev.3/Amend.1</w:t>
    </w:r>
    <w:r>
      <w:br/>
      <w:t>E/</w:t>
    </w:r>
    <w:proofErr w:type="spellStart"/>
    <w:r>
      <w:t>ECE</w:t>
    </w:r>
    <w:proofErr w:type="spellEnd"/>
    <w:r>
      <w:t>/TRANS/505</w:t>
    </w:r>
    <w:r w:rsidR="006A15F8" w:rsidRPr="006A15F8">
      <w:t>/Add.3/Rev.3/Amend.1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2C6CD9" w:rsidP="002C6CD9">
    <w:pPr>
      <w:pStyle w:val="Header"/>
      <w:jc w:val="right"/>
    </w:pPr>
    <w:r>
      <w:t>E/</w:t>
    </w:r>
    <w:proofErr w:type="spellStart"/>
    <w:r>
      <w:t>ECE</w:t>
    </w:r>
    <w:proofErr w:type="spellEnd"/>
    <w:r>
      <w:t>/324</w:t>
    </w:r>
    <w:r w:rsidRPr="006A15F8">
      <w:t>/Add.3/Rev.3/Amend.1</w:t>
    </w:r>
    <w:r>
      <w:br/>
      <w:t>E/</w:t>
    </w:r>
    <w:proofErr w:type="spellStart"/>
    <w:r>
      <w:t>ECE</w:t>
    </w:r>
    <w:proofErr w:type="spellEnd"/>
    <w:r>
      <w:t>/TRANS/505</w:t>
    </w:r>
    <w:r w:rsidRPr="006A15F8">
      <w:t>/Add.3/Rev.3/Amend.1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572B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41F2"/>
    <w:rsid w:val="000F726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4D52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734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6CD9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2E1A"/>
    <w:rsid w:val="00464191"/>
    <w:rsid w:val="00467412"/>
    <w:rsid w:val="004726BE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15F8"/>
    <w:rsid w:val="006A62F8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1A29"/>
    <w:rsid w:val="00725063"/>
    <w:rsid w:val="00732E72"/>
    <w:rsid w:val="00741D90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686F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2337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727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20A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1053"/>
    <w:rsid w:val="00F9353A"/>
    <w:rsid w:val="00F965C2"/>
    <w:rsid w:val="00FA27D4"/>
    <w:rsid w:val="00FA5A79"/>
    <w:rsid w:val="00FB0BFE"/>
    <w:rsid w:val="00FB4300"/>
    <w:rsid w:val="00FB4C51"/>
    <w:rsid w:val="00FB734D"/>
    <w:rsid w:val="00FC58CD"/>
    <w:rsid w:val="00FC77DE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SingleTxtGCar">
    <w:name w:val="_ Single Txt_G Car"/>
    <w:rsid w:val="0001572B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2C6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6CD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2015-06-05T09:46:00Z</cp:lastPrinted>
  <dcterms:created xsi:type="dcterms:W3CDTF">2015-06-15T09:29:00Z</dcterms:created>
  <dcterms:modified xsi:type="dcterms:W3CDTF">2015-06-22T09:40:00Z</dcterms:modified>
</cp:coreProperties>
</file>