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11476F"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11476F" w:rsidRDefault="00CD57D2" w:rsidP="0011476F">
            <w:pPr>
              <w:suppressAutoHyphens w:val="0"/>
              <w:spacing w:after="20"/>
              <w:jc w:val="right"/>
              <w:rPr>
                <w:b/>
                <w:sz w:val="28"/>
                <w:szCs w:val="28"/>
              </w:rPr>
            </w:pPr>
            <w:r w:rsidRPr="0011476F">
              <w:rPr>
                <w:b/>
                <w:sz w:val="28"/>
                <w:szCs w:val="28"/>
              </w:rPr>
              <w:t>INF.</w:t>
            </w:r>
            <w:r w:rsidR="0011476F" w:rsidRPr="0011476F">
              <w:rPr>
                <w:b/>
                <w:sz w:val="28"/>
                <w:szCs w:val="28"/>
              </w:rPr>
              <w:t>17</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102nd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0F0C4E">
        <w:rPr>
          <w:b/>
        </w:rPr>
        <w:t>4</w:t>
      </w:r>
      <w:r w:rsidR="002F3C64">
        <w:rPr>
          <w:b/>
        </w:rPr>
        <w:t xml:space="preserve"> </w:t>
      </w:r>
      <w:r w:rsidR="000F0C4E">
        <w:rPr>
          <w:b/>
        </w:rPr>
        <w:t>May</w:t>
      </w:r>
      <w:r>
        <w:rPr>
          <w:b/>
        </w:rPr>
        <w:t xml:space="preserve"> 2017</w:t>
      </w:r>
    </w:p>
    <w:p w:rsidR="00AB32F7" w:rsidRPr="008268C5" w:rsidRDefault="00AB32F7" w:rsidP="00AB32F7">
      <w:r w:rsidRPr="008268C5">
        <w:t xml:space="preserve">Geneva, </w:t>
      </w:r>
      <w:r w:rsidR="00A44D24">
        <w:t>8</w:t>
      </w:r>
      <w:r w:rsidR="00875C74">
        <w:t>-</w:t>
      </w:r>
      <w:r w:rsidR="00B25EB2" w:rsidRPr="008268C5">
        <w:t>1</w:t>
      </w:r>
      <w:r w:rsidR="00A44D24">
        <w:t>2</w:t>
      </w:r>
      <w:r w:rsidRPr="008268C5">
        <w:t xml:space="preserve"> May </w:t>
      </w:r>
      <w:r w:rsidR="00B25EB2" w:rsidRPr="008268C5">
        <w:t>201</w:t>
      </w:r>
      <w:r w:rsidR="00A44D24">
        <w:t>7</w:t>
      </w:r>
    </w:p>
    <w:p w:rsidR="002C2008" w:rsidRPr="004119B5" w:rsidRDefault="002C2008" w:rsidP="002C2008">
      <w:r w:rsidRPr="004119B5">
        <w:t xml:space="preserve">Item </w:t>
      </w:r>
      <w:r>
        <w:t>5 (b)</w:t>
      </w:r>
      <w:r w:rsidRPr="004119B5">
        <w:t xml:space="preserve"> of the provisional agenda</w:t>
      </w:r>
    </w:p>
    <w:p w:rsidR="002C2008" w:rsidRPr="004119B5" w:rsidRDefault="002C2008" w:rsidP="002C2008">
      <w:pPr>
        <w:rPr>
          <w:b/>
          <w:bCs/>
        </w:rPr>
      </w:pPr>
      <w:r w:rsidRPr="004119B5">
        <w:rPr>
          <w:b/>
          <w:bCs/>
        </w:rPr>
        <w:t>Proposals for amendments to annexes A and B of ADR:</w:t>
      </w:r>
    </w:p>
    <w:p w:rsidR="002F3C64" w:rsidRPr="00D105AA" w:rsidRDefault="002C2008" w:rsidP="002C2008">
      <w:pPr>
        <w:rPr>
          <w:b/>
        </w:rPr>
      </w:pPr>
      <w:proofErr w:type="gramStart"/>
      <w:r>
        <w:rPr>
          <w:b/>
          <w:bCs/>
        </w:rPr>
        <w:t>m</w:t>
      </w:r>
      <w:r w:rsidRPr="004119B5">
        <w:rPr>
          <w:b/>
          <w:bCs/>
        </w:rPr>
        <w:t>iscellaneous</w:t>
      </w:r>
      <w:proofErr w:type="gramEnd"/>
      <w:r w:rsidRPr="004119B5">
        <w:rPr>
          <w:b/>
          <w:bCs/>
        </w:rPr>
        <w:t xml:space="preserve"> proposals</w:t>
      </w:r>
    </w:p>
    <w:p w:rsidR="00A30C84" w:rsidRPr="00203773" w:rsidRDefault="003D3380" w:rsidP="00250267">
      <w:pPr>
        <w:pStyle w:val="HChG"/>
      </w:pPr>
      <w:r w:rsidRPr="008268C5">
        <w:tab/>
      </w:r>
      <w:r w:rsidRPr="008268C5">
        <w:tab/>
      </w:r>
      <w:r w:rsidR="00D36B21" w:rsidRPr="00206C5F">
        <w:t xml:space="preserve">Increase in Amount of Explosives </w:t>
      </w:r>
      <w:proofErr w:type="gramStart"/>
      <w:r w:rsidR="00D36B21" w:rsidRPr="00206C5F">
        <w:t>Per</w:t>
      </w:r>
      <w:proofErr w:type="gramEnd"/>
      <w:r w:rsidR="00D36B21" w:rsidRPr="00206C5F">
        <w:t xml:space="preserve"> Transport Unit</w:t>
      </w:r>
    </w:p>
    <w:p w:rsidR="00A30C84" w:rsidRDefault="00A30C84" w:rsidP="00250267">
      <w:pPr>
        <w:pStyle w:val="H1G"/>
      </w:pPr>
      <w:r>
        <w:tab/>
      </w:r>
      <w:r>
        <w:tab/>
        <w:t>Transmitted by the Government</w:t>
      </w:r>
      <w:r w:rsidR="000F0C4E">
        <w:t>s</w:t>
      </w:r>
      <w:r>
        <w:t xml:space="preserve"> of </w:t>
      </w:r>
      <w:r w:rsidR="00D36B21">
        <w:t>Ireland</w:t>
      </w:r>
      <w:r w:rsidR="000F0C4E">
        <w:t xml:space="preserve"> and Spain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30C84" w:rsidRPr="00E62341" w:rsidTr="00250267">
        <w:trPr>
          <w:cantSplit/>
          <w:jc w:val="center"/>
        </w:trPr>
        <w:tc>
          <w:tcPr>
            <w:tcW w:w="9637" w:type="dxa"/>
            <w:tcBorders>
              <w:bottom w:val="nil"/>
            </w:tcBorders>
            <w:shd w:val="clear" w:color="auto" w:fill="auto"/>
          </w:tcPr>
          <w:p w:rsidR="00A30C84" w:rsidRPr="00E62341" w:rsidRDefault="00A30C84" w:rsidP="00C45E05">
            <w:pPr>
              <w:tabs>
                <w:tab w:val="left" w:pos="255"/>
              </w:tabs>
              <w:suppressAutoHyphens w:val="0"/>
              <w:spacing w:before="240" w:after="120"/>
              <w:rPr>
                <w:rFonts w:eastAsia="Arial"/>
                <w:sz w:val="24"/>
              </w:rPr>
            </w:pPr>
            <w:r>
              <w:br w:type="page"/>
            </w:r>
            <w:r w:rsidRPr="00E62341">
              <w:rPr>
                <w:rFonts w:eastAsia="Arial"/>
              </w:rPr>
              <w:tab/>
            </w:r>
            <w:r w:rsidRPr="00E62341">
              <w:rPr>
                <w:rFonts w:eastAsia="Arial"/>
                <w:i/>
                <w:sz w:val="24"/>
              </w:rPr>
              <w:t>Summary</w:t>
            </w:r>
          </w:p>
        </w:tc>
      </w:tr>
      <w:tr w:rsidR="00A30C84" w:rsidRPr="00E62341" w:rsidTr="00250267">
        <w:trPr>
          <w:cantSplit/>
          <w:jc w:val="center"/>
        </w:trPr>
        <w:tc>
          <w:tcPr>
            <w:tcW w:w="9637" w:type="dxa"/>
            <w:tcBorders>
              <w:top w:val="nil"/>
              <w:bottom w:val="nil"/>
            </w:tcBorders>
            <w:shd w:val="clear" w:color="auto" w:fill="auto"/>
          </w:tcPr>
          <w:p w:rsidR="00A30C84" w:rsidRPr="00E62341" w:rsidRDefault="00A30C84" w:rsidP="00250267">
            <w:pPr>
              <w:pStyle w:val="SingleTxtG"/>
              <w:tabs>
                <w:tab w:val="left" w:pos="3260"/>
              </w:tabs>
              <w:spacing w:before="120" w:line="240" w:lineRule="auto"/>
              <w:ind w:left="3260" w:hanging="2126"/>
              <w:rPr>
                <w:b/>
                <w:szCs w:val="22"/>
              </w:rPr>
            </w:pPr>
            <w:proofErr w:type="gramStart"/>
            <w:r w:rsidRPr="00E62341">
              <w:rPr>
                <w:b/>
                <w:szCs w:val="22"/>
              </w:rPr>
              <w:t>Executive summary</w:t>
            </w:r>
            <w:r w:rsidRPr="00E62341">
              <w:rPr>
                <w:szCs w:val="22"/>
              </w:rPr>
              <w:t>:</w:t>
            </w:r>
            <w:r w:rsidRPr="00E62341">
              <w:rPr>
                <w:szCs w:val="22"/>
              </w:rPr>
              <w:tab/>
            </w:r>
            <w:r w:rsidR="00D36B21">
              <w:t>To provide textual clarification on the security provisions relating to carriage of explosives</w:t>
            </w:r>
            <w:r w:rsidRPr="00203773">
              <w:t>.</w:t>
            </w:r>
            <w:proofErr w:type="gramEnd"/>
          </w:p>
        </w:tc>
      </w:tr>
      <w:tr w:rsidR="00A30C84" w:rsidRPr="00E62341" w:rsidTr="00250267">
        <w:trPr>
          <w:cantSplit/>
          <w:jc w:val="center"/>
        </w:trPr>
        <w:tc>
          <w:tcPr>
            <w:tcW w:w="9637" w:type="dxa"/>
            <w:tcBorders>
              <w:top w:val="nil"/>
              <w:bottom w:val="nil"/>
            </w:tcBorders>
            <w:shd w:val="clear" w:color="auto" w:fill="auto"/>
          </w:tcPr>
          <w:p w:rsidR="00A30C84" w:rsidRPr="00E62341" w:rsidRDefault="00A30C84" w:rsidP="00250267">
            <w:pPr>
              <w:pStyle w:val="SingleTxtG"/>
              <w:tabs>
                <w:tab w:val="left" w:pos="3260"/>
              </w:tabs>
              <w:spacing w:before="120" w:line="240" w:lineRule="auto"/>
              <w:ind w:left="3260" w:hanging="2126"/>
              <w:rPr>
                <w:rFonts w:eastAsia="Arial"/>
              </w:rPr>
            </w:pPr>
            <w:r w:rsidRPr="00E62341">
              <w:rPr>
                <w:rFonts w:eastAsia="Arial"/>
                <w:b/>
              </w:rPr>
              <w:t>Action to be taken</w:t>
            </w:r>
            <w:r w:rsidRPr="00E62341">
              <w:rPr>
                <w:rFonts w:eastAsia="Arial"/>
              </w:rPr>
              <w:t>:</w:t>
            </w:r>
            <w:r w:rsidRPr="00E62341">
              <w:rPr>
                <w:rFonts w:eastAsia="Arial"/>
              </w:rPr>
              <w:tab/>
            </w:r>
            <w:r w:rsidR="00D36B21">
              <w:t>To propose and present clarification on text of ADR 1.10.3.3 and ADR 7.5.5.2.1 as proposed by Spain</w:t>
            </w:r>
          </w:p>
        </w:tc>
      </w:tr>
      <w:tr w:rsidR="00A30C84" w:rsidRPr="00E62341" w:rsidTr="00250267">
        <w:trPr>
          <w:cantSplit/>
          <w:jc w:val="center"/>
        </w:trPr>
        <w:tc>
          <w:tcPr>
            <w:tcW w:w="9637" w:type="dxa"/>
            <w:tcBorders>
              <w:top w:val="nil"/>
              <w:bottom w:val="nil"/>
            </w:tcBorders>
            <w:shd w:val="clear" w:color="auto" w:fill="auto"/>
          </w:tcPr>
          <w:p w:rsidR="00D36B21" w:rsidRDefault="00D36B21" w:rsidP="00250267">
            <w:pPr>
              <w:pStyle w:val="SingleTxtG"/>
              <w:tabs>
                <w:tab w:val="left" w:pos="3260"/>
              </w:tabs>
              <w:spacing w:before="120" w:line="240" w:lineRule="auto"/>
              <w:ind w:left="3260" w:hanging="2126"/>
            </w:pPr>
            <w:r w:rsidRPr="00D36B21">
              <w:rPr>
                <w:rFonts w:eastAsia="Arial"/>
                <w:b/>
              </w:rPr>
              <w:t>Related documents</w:t>
            </w:r>
            <w:r>
              <w:rPr>
                <w:rFonts w:eastAsia="Arial"/>
              </w:rPr>
              <w:t>:</w:t>
            </w:r>
            <w:r>
              <w:rPr>
                <w:rFonts w:eastAsia="Arial"/>
              </w:rPr>
              <w:tab/>
            </w:r>
            <w:r>
              <w:t>INF 13 (Spain) WP 15 November 2016 (Increase in amount of explosives per transport unit)</w:t>
            </w:r>
          </w:p>
          <w:p w:rsidR="00A30C84" w:rsidRDefault="00D36B21" w:rsidP="00250267">
            <w:pPr>
              <w:pStyle w:val="SingleTxtG"/>
              <w:tabs>
                <w:tab w:val="left" w:pos="3260"/>
              </w:tabs>
              <w:spacing w:before="120" w:line="240" w:lineRule="auto"/>
              <w:ind w:left="3260" w:hanging="2126"/>
            </w:pPr>
            <w:r>
              <w:tab/>
              <w:t>ECE/Trans/WP.15/2017/8 (Spain) May 2017 (Increase in amount of explosives per transport unit)</w:t>
            </w:r>
          </w:p>
          <w:p w:rsidR="000F0C4E" w:rsidRDefault="000F0C4E" w:rsidP="000F0C4E">
            <w:pPr>
              <w:pStyle w:val="SingleTxtG"/>
              <w:tabs>
                <w:tab w:val="left" w:pos="3260"/>
              </w:tabs>
              <w:spacing w:before="120" w:line="240" w:lineRule="auto"/>
              <w:ind w:left="3260" w:hanging="2126"/>
            </w:pPr>
            <w:r>
              <w:t xml:space="preserve">                                              INF 7 (Ireland) WP 15 May 2017 (Increase in amount of explosives per transport unit)</w:t>
            </w:r>
          </w:p>
          <w:p w:rsidR="000F0C4E" w:rsidRPr="000F0C4E" w:rsidRDefault="000F0C4E" w:rsidP="00250267">
            <w:pPr>
              <w:pStyle w:val="SingleTxtG"/>
              <w:tabs>
                <w:tab w:val="left" w:pos="3260"/>
              </w:tabs>
              <w:spacing w:before="120" w:line="240" w:lineRule="auto"/>
              <w:ind w:left="3260" w:hanging="2126"/>
              <w:rPr>
                <w:rFonts w:eastAsia="Arial"/>
                <w:lang w:val="en-US"/>
              </w:rPr>
            </w:pPr>
          </w:p>
        </w:tc>
      </w:tr>
      <w:tr w:rsidR="00D36B21" w:rsidRPr="00E62341" w:rsidTr="00250267">
        <w:trPr>
          <w:cantSplit/>
          <w:jc w:val="center"/>
        </w:trPr>
        <w:tc>
          <w:tcPr>
            <w:tcW w:w="9637" w:type="dxa"/>
            <w:tcBorders>
              <w:top w:val="nil"/>
            </w:tcBorders>
            <w:shd w:val="clear" w:color="auto" w:fill="auto"/>
          </w:tcPr>
          <w:p w:rsidR="00D36B21" w:rsidRPr="00E62341" w:rsidRDefault="00D36B21" w:rsidP="00C45E05">
            <w:pPr>
              <w:suppressAutoHyphens w:val="0"/>
              <w:rPr>
                <w:rFonts w:eastAsia="Arial"/>
              </w:rPr>
            </w:pPr>
          </w:p>
        </w:tc>
      </w:tr>
    </w:tbl>
    <w:p w:rsidR="00A30C84" w:rsidRPr="007A1823" w:rsidRDefault="00A30C84" w:rsidP="00A30C84">
      <w:pPr>
        <w:pStyle w:val="HChG"/>
      </w:pPr>
      <w:r>
        <w:tab/>
      </w:r>
      <w:r>
        <w:tab/>
        <w:t>Introduction</w:t>
      </w:r>
    </w:p>
    <w:p w:rsidR="000F0C4E" w:rsidRDefault="000F0C4E" w:rsidP="000F0C4E">
      <w:pPr>
        <w:pStyle w:val="SingleTxtG"/>
      </w:pPr>
      <w:r>
        <w:t xml:space="preserve">Ireland and Spain, would like to jointly propose some textual changes to the proposal on increasing the amount of explosives per transport unit as put forward by Spain in ECE/TRANS/WP.15/2017/8 and added to by Ireland in INF 7 to WP 15 May 2017 in order to enhance the clarity of the text in ADR 1.10.3.3. </w:t>
      </w:r>
    </w:p>
    <w:p w:rsidR="000F0C4E" w:rsidRDefault="000F0C4E" w:rsidP="000F0C4E">
      <w:pPr>
        <w:pStyle w:val="SingleTxtG"/>
      </w:pPr>
      <w:r>
        <w:t>This new text is to ensure that these is no ambiguity in the understanding of the text and where a contracting party specifies other security arrangements then these must be implemented and that the participant does not have a choice of only using the telemetry or tracking devices.</w:t>
      </w:r>
    </w:p>
    <w:p w:rsidR="000F0C4E" w:rsidRDefault="000F0C4E" w:rsidP="00250267">
      <w:pPr>
        <w:pStyle w:val="SingleTxtG"/>
      </w:pPr>
    </w:p>
    <w:p w:rsidR="00250267" w:rsidRDefault="00250267" w:rsidP="00250267">
      <w:pPr>
        <w:pStyle w:val="HChG"/>
      </w:pPr>
      <w:r>
        <w:lastRenderedPageBreak/>
        <w:tab/>
      </w:r>
      <w:r>
        <w:tab/>
      </w:r>
      <w:r w:rsidRPr="00206C5F">
        <w:t>Justification</w:t>
      </w:r>
    </w:p>
    <w:p w:rsidR="000F0C4E" w:rsidRDefault="000F0C4E" w:rsidP="000F0C4E">
      <w:pPr>
        <w:pStyle w:val="SingleTxtG"/>
      </w:pPr>
      <w:r>
        <w:t xml:space="preserve">Both Spain and Ireland agree that while transporting explosives it may be necessary to vary the level of security and protection required in response to the threat assessment and to decide what “devices, equipment or arrangements” are required at any particular time. </w:t>
      </w:r>
    </w:p>
    <w:p w:rsidR="000F0C4E" w:rsidRDefault="000F0C4E" w:rsidP="000F0C4E">
      <w:pPr>
        <w:pStyle w:val="SingleTxtG"/>
      </w:pPr>
      <w:r>
        <w:t xml:space="preserve">In the case of vehicles transporting in excess of 16 tons of explosives the security required </w:t>
      </w:r>
      <w:proofErr w:type="gramStart"/>
      <w:r>
        <w:t>will</w:t>
      </w:r>
      <w:proofErr w:type="gramEnd"/>
      <w:r>
        <w:t xml:space="preserve"> be a minimum of telemetry or tracking devices fitted to the vehicle but depending on the security conditions and the threat assessment at the time this may be increased at the discretion of the contracting party concerned. </w:t>
      </w:r>
    </w:p>
    <w:p w:rsidR="000F0C4E" w:rsidRDefault="000F0C4E" w:rsidP="000F0C4E">
      <w:pPr>
        <w:pStyle w:val="SingleTxtG"/>
      </w:pPr>
      <w:r>
        <w:t xml:space="preserve">If the contracting party specifies other security arrangements then these are the security </w:t>
      </w:r>
      <w:proofErr w:type="gramStart"/>
      <w:r>
        <w:t>arrangements which must be implemented</w:t>
      </w:r>
      <w:proofErr w:type="gramEnd"/>
      <w:r>
        <w:t xml:space="preserve"> and the carrier, consignor and other participants do not have the option of choosing to use the telemetry or tracking devices only.</w:t>
      </w:r>
    </w:p>
    <w:p w:rsidR="000F0C4E" w:rsidRDefault="000F0C4E" w:rsidP="000F0C4E">
      <w:pPr>
        <w:pStyle w:val="HChG"/>
        <w:ind w:firstLine="0"/>
      </w:pPr>
      <w:r w:rsidRPr="000F0C4E">
        <w:t>Proposal</w:t>
      </w:r>
    </w:p>
    <w:p w:rsidR="000F0C4E" w:rsidRDefault="000F0C4E" w:rsidP="000F0C4E">
      <w:pPr>
        <w:pStyle w:val="SingleTxtG"/>
      </w:pPr>
      <w:r>
        <w:t xml:space="preserve">The agreed amending text now being jointly proposed by both Spain and Ireland provides that for vehicles transporting in excess of 16 tons of explosives tracking devices must be used but in cases where other security arrangements are required by the national security authorities then these are the security arrangements which must be used. </w:t>
      </w:r>
    </w:p>
    <w:p w:rsidR="000F0C4E" w:rsidRDefault="000F0C4E" w:rsidP="000F0C4E">
      <w:pPr>
        <w:pStyle w:val="SingleTxtG"/>
      </w:pPr>
      <w:r>
        <w:t xml:space="preserve">Therefore, it </w:t>
      </w:r>
      <w:proofErr w:type="gramStart"/>
      <w:r>
        <w:t>is proposed</w:t>
      </w:r>
      <w:proofErr w:type="gramEnd"/>
      <w:r>
        <w:t xml:space="preserve"> to make the following amendments to the current edition of the ADR:</w:t>
      </w:r>
    </w:p>
    <w:p w:rsidR="000F0C4E" w:rsidRDefault="000F0C4E" w:rsidP="000F0C4E">
      <w:pPr>
        <w:pStyle w:val="SingleTxtG"/>
      </w:pPr>
      <w:r>
        <w:t>1.</w:t>
      </w:r>
      <w:r>
        <w:tab/>
      </w:r>
      <w:proofErr w:type="gramStart"/>
      <w:r>
        <w:t>At</w:t>
      </w:r>
      <w:proofErr w:type="gramEnd"/>
      <w:r>
        <w:t xml:space="preserve"> the end of Note 1 to paragraph 1.10.3.3 the following wording:</w:t>
      </w:r>
    </w:p>
    <w:p w:rsidR="000F0C4E" w:rsidRPr="0011476F" w:rsidRDefault="000F0C4E" w:rsidP="000F0C4E">
      <w:pPr>
        <w:pStyle w:val="SingleTxtG"/>
        <w:rPr>
          <w:b/>
          <w:i/>
          <w:lang w:val="en-US"/>
        </w:rPr>
      </w:pPr>
      <w:r w:rsidRPr="0011476F">
        <w:rPr>
          <w:b/>
          <w:lang w:val="en-US"/>
        </w:rPr>
        <w:t xml:space="preserve">“…  </w:t>
      </w:r>
      <w:r w:rsidRPr="0011476F">
        <w:rPr>
          <w:b/>
          <w:i/>
          <w:lang w:val="en-US"/>
        </w:rPr>
        <w:t>Nevertheless,</w:t>
      </w:r>
      <w:r w:rsidRPr="0011476F">
        <w:rPr>
          <w:b/>
          <w:lang w:val="en-US"/>
        </w:rPr>
        <w:t xml:space="preserve"> </w:t>
      </w:r>
      <w:r w:rsidRPr="0011476F">
        <w:rPr>
          <w:b/>
          <w:i/>
          <w:lang w:val="en-US"/>
        </w:rPr>
        <w:t>in the case of vehicles type EX/III for explosives, carrying more than 16 tons of explosives, the previously mentioned telemetry or tracking devices must be used or</w:t>
      </w:r>
      <w:r w:rsidR="006570A7" w:rsidRPr="0011476F">
        <w:rPr>
          <w:b/>
          <w:i/>
          <w:lang w:val="en-US"/>
        </w:rPr>
        <w:t>,</w:t>
      </w:r>
      <w:r w:rsidRPr="0011476F">
        <w:rPr>
          <w:b/>
          <w:i/>
          <w:lang w:val="en-US"/>
        </w:rPr>
        <w:t xml:space="preserve"> where other security arrangements are specified by the national security authorities in the countries of use, the vehicle must meet those security arrangements.  (</w:t>
      </w:r>
      <w:proofErr w:type="gramStart"/>
      <w:r w:rsidRPr="0011476F">
        <w:rPr>
          <w:b/>
          <w:i/>
          <w:lang w:val="en-US"/>
        </w:rPr>
        <w:t>see</w:t>
      </w:r>
      <w:proofErr w:type="gramEnd"/>
      <w:r w:rsidRPr="0011476F">
        <w:rPr>
          <w:b/>
          <w:i/>
          <w:lang w:val="en-US"/>
        </w:rPr>
        <w:t xml:space="preserve"> Note b to table in 7.5.5.2.1)”</w:t>
      </w:r>
    </w:p>
    <w:p w:rsidR="000F0C4E" w:rsidRDefault="000F0C4E" w:rsidP="000F0C4E">
      <w:pPr>
        <w:pStyle w:val="SingleTxtG"/>
      </w:pPr>
      <w:r w:rsidRPr="000F0C4E">
        <w:t>2.</w:t>
      </w:r>
      <w:r w:rsidRPr="000F0C4E">
        <w:tab/>
        <w:t xml:space="preserve">Modify the table in paragraph 7.5.5.2.1 as follows: </w:t>
      </w:r>
    </w:p>
    <w:p w:rsidR="000F0C4E" w:rsidRDefault="000F0C4E" w:rsidP="0011476F">
      <w:pPr>
        <w:pStyle w:val="SingleTxtG"/>
        <w:spacing w:before="120"/>
        <w:jc w:val="center"/>
        <w:rPr>
          <w:b/>
          <w:lang w:val="en-US"/>
        </w:rPr>
      </w:pPr>
      <w:r>
        <w:rPr>
          <w:b/>
          <w:lang w:val="en-US"/>
        </w:rPr>
        <w:t>Maximum permissible net mass in kg of explosives in Class 1 goods per transport unit</w:t>
      </w:r>
    </w:p>
    <w:tbl>
      <w:tblPr>
        <w:tblStyle w:val="TableGrid"/>
        <w:tblW w:w="0" w:type="auto"/>
        <w:jc w:val="center"/>
        <w:tblLayout w:type="fixed"/>
        <w:tblLook w:val="04A0" w:firstRow="1" w:lastRow="0" w:firstColumn="1" w:lastColumn="0" w:noHBand="0" w:noVBand="1"/>
      </w:tblPr>
      <w:tblGrid>
        <w:gridCol w:w="866"/>
        <w:gridCol w:w="1112"/>
        <w:gridCol w:w="816"/>
        <w:gridCol w:w="1000"/>
        <w:gridCol w:w="709"/>
        <w:gridCol w:w="708"/>
        <w:gridCol w:w="709"/>
        <w:gridCol w:w="992"/>
        <w:gridCol w:w="709"/>
        <w:gridCol w:w="1099"/>
      </w:tblGrid>
      <w:tr w:rsidR="000F0C4E" w:rsidTr="000F0C4E">
        <w:trPr>
          <w:jc w:val="center"/>
        </w:trPr>
        <w:tc>
          <w:tcPr>
            <w:tcW w:w="866" w:type="dxa"/>
            <w:vMerge w:val="restart"/>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4"/>
                <w:szCs w:val="14"/>
              </w:rPr>
            </w:pPr>
            <w:r>
              <w:rPr>
                <w:b/>
                <w:sz w:val="14"/>
                <w:szCs w:val="14"/>
              </w:rPr>
              <w:t>Transport</w:t>
            </w:r>
          </w:p>
          <w:p w:rsidR="000F0C4E" w:rsidRDefault="000F0C4E">
            <w:pPr>
              <w:jc w:val="center"/>
              <w:rPr>
                <w:sz w:val="16"/>
                <w:szCs w:val="16"/>
                <w:lang w:val="en-IE" w:eastAsia="en-IE"/>
              </w:rPr>
            </w:pPr>
            <w:r>
              <w:rPr>
                <w:b/>
                <w:sz w:val="14"/>
                <w:szCs w:val="14"/>
              </w:rPr>
              <w:t>Unit</w:t>
            </w:r>
          </w:p>
        </w:tc>
        <w:tc>
          <w:tcPr>
            <w:tcW w:w="1112" w:type="dxa"/>
            <w:tcBorders>
              <w:top w:val="single" w:sz="4" w:space="0" w:color="auto"/>
              <w:left w:val="single" w:sz="4" w:space="0" w:color="auto"/>
              <w:bottom w:val="single" w:sz="4" w:space="0" w:color="auto"/>
              <w:right w:val="single" w:sz="4" w:space="0" w:color="auto"/>
            </w:tcBorders>
            <w:hideMark/>
          </w:tcPr>
          <w:p w:rsidR="000F0C4E" w:rsidRDefault="000F0C4E">
            <w:pPr>
              <w:rPr>
                <w:b/>
                <w:sz w:val="16"/>
                <w:szCs w:val="16"/>
                <w:lang w:val="en-IE" w:eastAsia="en-IE"/>
              </w:rPr>
            </w:pPr>
            <w:r>
              <w:rPr>
                <w:b/>
                <w:sz w:val="16"/>
                <w:szCs w:val="16"/>
              </w:rPr>
              <w:t>Division</w:t>
            </w:r>
          </w:p>
        </w:tc>
        <w:tc>
          <w:tcPr>
            <w:tcW w:w="1816" w:type="dxa"/>
            <w:gridSpan w:val="2"/>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6"/>
                <w:szCs w:val="16"/>
                <w:lang w:val="en-IE" w:eastAsia="en-IE"/>
              </w:rPr>
            </w:pPr>
            <w:r>
              <w:rPr>
                <w:b/>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6"/>
                <w:szCs w:val="16"/>
                <w:lang w:val="en-IE" w:eastAsia="en-IE"/>
              </w:rPr>
            </w:pPr>
            <w:r>
              <w:rPr>
                <w:b/>
                <w:sz w:val="16"/>
                <w:szCs w:val="16"/>
              </w:rPr>
              <w:t>1.2</w:t>
            </w:r>
          </w:p>
        </w:tc>
        <w:tc>
          <w:tcPr>
            <w:tcW w:w="708" w:type="dxa"/>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6"/>
                <w:szCs w:val="16"/>
                <w:lang w:val="en-IE" w:eastAsia="en-IE"/>
              </w:rPr>
            </w:pPr>
            <w:r>
              <w:rPr>
                <w:b/>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hideMark/>
          </w:tcPr>
          <w:p w:rsidR="000F0C4E" w:rsidRDefault="000F0C4E">
            <w:pPr>
              <w:jc w:val="center"/>
              <w:rPr>
                <w:sz w:val="16"/>
                <w:szCs w:val="16"/>
                <w:lang w:val="en-IE" w:eastAsia="en-IE"/>
              </w:rPr>
            </w:pPr>
            <w:r>
              <w:rPr>
                <w:b/>
                <w:sz w:val="16"/>
                <w:szCs w:val="16"/>
              </w:rPr>
              <w:t>1.4</w:t>
            </w:r>
          </w:p>
        </w:tc>
        <w:tc>
          <w:tcPr>
            <w:tcW w:w="709" w:type="dxa"/>
            <w:tcBorders>
              <w:top w:val="single" w:sz="4" w:space="0" w:color="auto"/>
              <w:left w:val="single" w:sz="4" w:space="0" w:color="auto"/>
              <w:bottom w:val="single" w:sz="4" w:space="0" w:color="auto"/>
              <w:right w:val="single" w:sz="4" w:space="0" w:color="auto"/>
            </w:tcBorders>
            <w:hideMark/>
          </w:tcPr>
          <w:p w:rsidR="000F0C4E" w:rsidRDefault="000F0C4E">
            <w:pPr>
              <w:rPr>
                <w:b/>
                <w:sz w:val="16"/>
                <w:szCs w:val="16"/>
              </w:rPr>
            </w:pPr>
            <w:r>
              <w:rPr>
                <w:b/>
                <w:sz w:val="16"/>
                <w:szCs w:val="16"/>
              </w:rPr>
              <w:t>1.5</w:t>
            </w:r>
          </w:p>
          <w:p w:rsidR="000F0C4E" w:rsidRDefault="000F0C4E">
            <w:pPr>
              <w:rPr>
                <w:sz w:val="16"/>
                <w:szCs w:val="16"/>
                <w:lang w:val="en-IE" w:eastAsia="en-IE"/>
              </w:rPr>
            </w:pPr>
            <w:r>
              <w:rPr>
                <w:b/>
                <w:sz w:val="16"/>
                <w:szCs w:val="16"/>
              </w:rPr>
              <w:t>and 1.6</w:t>
            </w:r>
          </w:p>
        </w:tc>
        <w:tc>
          <w:tcPr>
            <w:tcW w:w="1099" w:type="dxa"/>
            <w:vMerge w:val="restart"/>
            <w:tcBorders>
              <w:top w:val="single" w:sz="4" w:space="0" w:color="auto"/>
              <w:left w:val="single" w:sz="4" w:space="0" w:color="auto"/>
              <w:bottom w:val="single" w:sz="4" w:space="0" w:color="auto"/>
              <w:right w:val="single" w:sz="4" w:space="0" w:color="auto"/>
            </w:tcBorders>
          </w:tcPr>
          <w:p w:rsidR="000F0C4E" w:rsidRDefault="000F0C4E">
            <w:pPr>
              <w:rPr>
                <w:b/>
                <w:sz w:val="14"/>
                <w:szCs w:val="14"/>
              </w:rPr>
            </w:pPr>
          </w:p>
          <w:p w:rsidR="000F0C4E" w:rsidRDefault="000F0C4E">
            <w:pPr>
              <w:rPr>
                <w:b/>
                <w:sz w:val="14"/>
                <w:szCs w:val="14"/>
              </w:rPr>
            </w:pPr>
            <w:r>
              <w:rPr>
                <w:b/>
                <w:sz w:val="14"/>
                <w:szCs w:val="14"/>
              </w:rPr>
              <w:t>Empty</w:t>
            </w:r>
          </w:p>
          <w:p w:rsidR="000F0C4E" w:rsidRDefault="000F0C4E">
            <w:pPr>
              <w:rPr>
                <w:b/>
                <w:sz w:val="14"/>
                <w:szCs w:val="14"/>
              </w:rPr>
            </w:pPr>
            <w:r>
              <w:rPr>
                <w:b/>
                <w:sz w:val="14"/>
                <w:szCs w:val="14"/>
              </w:rPr>
              <w:t>uncleaned</w:t>
            </w:r>
          </w:p>
          <w:p w:rsidR="000F0C4E" w:rsidRDefault="000F0C4E">
            <w:pPr>
              <w:rPr>
                <w:sz w:val="16"/>
                <w:szCs w:val="16"/>
                <w:lang w:val="en-IE" w:eastAsia="en-IE"/>
              </w:rPr>
            </w:pPr>
            <w:proofErr w:type="spellStart"/>
            <w:r>
              <w:rPr>
                <w:b/>
                <w:sz w:val="14"/>
                <w:szCs w:val="14"/>
              </w:rPr>
              <w:t>packagings</w:t>
            </w:r>
            <w:proofErr w:type="spellEnd"/>
          </w:p>
        </w:tc>
      </w:tr>
      <w:tr w:rsidR="000F0C4E" w:rsidTr="000F0C4E">
        <w:trPr>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0F0C4E" w:rsidRDefault="000F0C4E">
            <w:pPr>
              <w:rPr>
                <w:sz w:val="16"/>
                <w:szCs w:val="16"/>
                <w:lang w:val="en-IE" w:eastAsia="en-IE"/>
              </w:rPr>
            </w:pPr>
          </w:p>
        </w:tc>
        <w:tc>
          <w:tcPr>
            <w:tcW w:w="1112" w:type="dxa"/>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4"/>
                <w:szCs w:val="14"/>
              </w:rPr>
            </w:pPr>
            <w:r>
              <w:rPr>
                <w:b/>
                <w:sz w:val="14"/>
                <w:szCs w:val="14"/>
              </w:rPr>
              <w:t>Compatibility</w:t>
            </w:r>
          </w:p>
          <w:p w:rsidR="000F0C4E" w:rsidRDefault="000F0C4E">
            <w:pPr>
              <w:jc w:val="center"/>
              <w:rPr>
                <w:sz w:val="16"/>
                <w:szCs w:val="16"/>
                <w:lang w:val="en-IE" w:eastAsia="en-IE"/>
              </w:rPr>
            </w:pPr>
            <w:r>
              <w:rPr>
                <w:b/>
                <w:sz w:val="14"/>
                <w:szCs w:val="14"/>
              </w:rPr>
              <w:t>group</w:t>
            </w:r>
          </w:p>
        </w:tc>
        <w:tc>
          <w:tcPr>
            <w:tcW w:w="816" w:type="dxa"/>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6"/>
                <w:szCs w:val="16"/>
                <w:lang w:val="en-IE" w:eastAsia="en-IE"/>
              </w:rPr>
            </w:pPr>
            <w:r>
              <w:rPr>
                <w:b/>
                <w:sz w:val="16"/>
                <w:szCs w:val="16"/>
              </w:rPr>
              <w:t>1.1A</w:t>
            </w:r>
          </w:p>
        </w:tc>
        <w:tc>
          <w:tcPr>
            <w:tcW w:w="1000" w:type="dxa"/>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6"/>
                <w:szCs w:val="16"/>
              </w:rPr>
            </w:pPr>
            <w:r>
              <w:rPr>
                <w:b/>
                <w:sz w:val="16"/>
                <w:szCs w:val="16"/>
              </w:rPr>
              <w:t>Other</w:t>
            </w:r>
          </w:p>
          <w:p w:rsidR="000F0C4E" w:rsidRDefault="000F0C4E">
            <w:pPr>
              <w:jc w:val="center"/>
              <w:rPr>
                <w:sz w:val="16"/>
                <w:szCs w:val="16"/>
                <w:lang w:val="en-IE" w:eastAsia="en-IE"/>
              </w:rPr>
            </w:pPr>
            <w:r>
              <w:rPr>
                <w:b/>
                <w:sz w:val="16"/>
                <w:szCs w:val="16"/>
              </w:rPr>
              <w:t>than 1.1.A</w:t>
            </w:r>
          </w:p>
        </w:tc>
        <w:tc>
          <w:tcPr>
            <w:tcW w:w="709" w:type="dxa"/>
            <w:tcBorders>
              <w:top w:val="single" w:sz="4" w:space="0" w:color="auto"/>
              <w:left w:val="single" w:sz="4" w:space="0" w:color="auto"/>
              <w:bottom w:val="single" w:sz="4" w:space="0" w:color="auto"/>
              <w:right w:val="single" w:sz="4" w:space="0" w:color="auto"/>
            </w:tcBorders>
          </w:tcPr>
          <w:p w:rsidR="000F0C4E" w:rsidRDefault="000F0C4E">
            <w:pPr>
              <w:rPr>
                <w:sz w:val="16"/>
                <w:szCs w:val="16"/>
                <w:lang w:val="en-IE" w:eastAsia="en-IE"/>
              </w:rPr>
            </w:pPr>
          </w:p>
        </w:tc>
        <w:tc>
          <w:tcPr>
            <w:tcW w:w="708" w:type="dxa"/>
            <w:tcBorders>
              <w:top w:val="single" w:sz="4" w:space="0" w:color="auto"/>
              <w:left w:val="single" w:sz="4" w:space="0" w:color="auto"/>
              <w:bottom w:val="single" w:sz="4" w:space="0" w:color="auto"/>
              <w:right w:val="single" w:sz="4" w:space="0" w:color="auto"/>
            </w:tcBorders>
          </w:tcPr>
          <w:p w:rsidR="000F0C4E" w:rsidRDefault="000F0C4E">
            <w:pPr>
              <w:rPr>
                <w:sz w:val="16"/>
                <w:szCs w:val="16"/>
                <w:lang w:val="en-IE" w:eastAsia="en-IE"/>
              </w:rPr>
            </w:pPr>
          </w:p>
        </w:tc>
        <w:tc>
          <w:tcPr>
            <w:tcW w:w="709" w:type="dxa"/>
            <w:tcBorders>
              <w:top w:val="single" w:sz="4" w:space="0" w:color="auto"/>
              <w:left w:val="single" w:sz="4" w:space="0" w:color="auto"/>
              <w:bottom w:val="single" w:sz="4" w:space="0" w:color="auto"/>
              <w:right w:val="single" w:sz="4" w:space="0" w:color="auto"/>
            </w:tcBorders>
            <w:hideMark/>
          </w:tcPr>
          <w:p w:rsidR="000F0C4E" w:rsidRDefault="000F0C4E">
            <w:pPr>
              <w:rPr>
                <w:b/>
                <w:sz w:val="16"/>
                <w:szCs w:val="16"/>
                <w:lang w:val="en-IE" w:eastAsia="en-IE"/>
              </w:rPr>
            </w:pPr>
            <w:r>
              <w:rPr>
                <w:b/>
                <w:sz w:val="16"/>
                <w:szCs w:val="16"/>
              </w:rPr>
              <w:t>Other than 1.4.S</w:t>
            </w:r>
          </w:p>
        </w:tc>
        <w:tc>
          <w:tcPr>
            <w:tcW w:w="992" w:type="dxa"/>
            <w:tcBorders>
              <w:top w:val="single" w:sz="4" w:space="0" w:color="auto"/>
              <w:left w:val="single" w:sz="4" w:space="0" w:color="auto"/>
              <w:bottom w:val="single" w:sz="4" w:space="0" w:color="auto"/>
              <w:right w:val="single" w:sz="4" w:space="0" w:color="auto"/>
            </w:tcBorders>
            <w:hideMark/>
          </w:tcPr>
          <w:p w:rsidR="000F0C4E" w:rsidRDefault="000F0C4E">
            <w:pPr>
              <w:jc w:val="center"/>
              <w:rPr>
                <w:b/>
                <w:sz w:val="16"/>
                <w:szCs w:val="16"/>
                <w:lang w:val="en-IE" w:eastAsia="en-IE"/>
              </w:rPr>
            </w:pPr>
            <w:r>
              <w:rPr>
                <w:b/>
                <w:sz w:val="16"/>
                <w:szCs w:val="16"/>
              </w:rPr>
              <w:t>1.4.S</w:t>
            </w:r>
          </w:p>
        </w:tc>
        <w:tc>
          <w:tcPr>
            <w:tcW w:w="709" w:type="dxa"/>
            <w:tcBorders>
              <w:top w:val="single" w:sz="4" w:space="0" w:color="auto"/>
              <w:left w:val="single" w:sz="4" w:space="0" w:color="auto"/>
              <w:bottom w:val="single" w:sz="4" w:space="0" w:color="auto"/>
              <w:right w:val="single" w:sz="4" w:space="0" w:color="auto"/>
            </w:tcBorders>
          </w:tcPr>
          <w:p w:rsidR="000F0C4E" w:rsidRDefault="000F0C4E">
            <w:pPr>
              <w:rPr>
                <w:sz w:val="16"/>
                <w:szCs w:val="16"/>
                <w:lang w:val="en-IE" w:eastAsia="en-IE"/>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0F0C4E" w:rsidRDefault="000F0C4E">
            <w:pPr>
              <w:rPr>
                <w:sz w:val="16"/>
                <w:szCs w:val="16"/>
                <w:lang w:val="en-IE" w:eastAsia="en-IE"/>
              </w:rPr>
            </w:pPr>
          </w:p>
        </w:tc>
      </w:tr>
      <w:tr w:rsidR="000F0C4E" w:rsidTr="000F0C4E">
        <w:trPr>
          <w:jc w:val="center"/>
        </w:trPr>
        <w:tc>
          <w:tcPr>
            <w:tcW w:w="1978" w:type="dxa"/>
            <w:gridSpan w:val="2"/>
            <w:tcBorders>
              <w:top w:val="single" w:sz="4" w:space="0" w:color="auto"/>
              <w:left w:val="single" w:sz="4" w:space="0" w:color="auto"/>
              <w:bottom w:val="single" w:sz="4" w:space="0" w:color="auto"/>
              <w:right w:val="single" w:sz="4" w:space="0" w:color="auto"/>
            </w:tcBorders>
            <w:hideMark/>
          </w:tcPr>
          <w:p w:rsidR="000F0C4E" w:rsidRDefault="000F0C4E">
            <w:pPr>
              <w:rPr>
                <w:b/>
                <w:sz w:val="16"/>
                <w:szCs w:val="16"/>
                <w:vertAlign w:val="superscript"/>
                <w:lang w:val="en-IE" w:eastAsia="en-IE"/>
              </w:rPr>
            </w:pPr>
            <w:r>
              <w:rPr>
                <w:b/>
                <w:sz w:val="16"/>
                <w:szCs w:val="16"/>
              </w:rPr>
              <w:t>EX/</w:t>
            </w:r>
            <w:proofErr w:type="spellStart"/>
            <w:r>
              <w:rPr>
                <w:b/>
                <w:sz w:val="16"/>
                <w:szCs w:val="16"/>
              </w:rPr>
              <w:t>II</w:t>
            </w:r>
            <w:r>
              <w:rPr>
                <w:b/>
                <w:sz w:val="16"/>
                <w:szCs w:val="16"/>
                <w:vertAlign w:val="superscript"/>
              </w:rPr>
              <w:t>a</w:t>
            </w:r>
            <w:proofErr w:type="spellEnd"/>
          </w:p>
        </w:tc>
        <w:tc>
          <w:tcPr>
            <w:tcW w:w="816"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6.25</w:t>
            </w:r>
          </w:p>
        </w:tc>
        <w:tc>
          <w:tcPr>
            <w:tcW w:w="1000"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3000</w:t>
            </w:r>
          </w:p>
        </w:tc>
        <w:tc>
          <w:tcPr>
            <w:tcW w:w="708"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5000</w:t>
            </w:r>
          </w:p>
        </w:tc>
        <w:tc>
          <w:tcPr>
            <w:tcW w:w="709"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15000</w:t>
            </w:r>
          </w:p>
        </w:tc>
        <w:tc>
          <w:tcPr>
            <w:tcW w:w="992"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Unlimited</w:t>
            </w:r>
          </w:p>
        </w:tc>
        <w:tc>
          <w:tcPr>
            <w:tcW w:w="709"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5000</w:t>
            </w:r>
          </w:p>
        </w:tc>
        <w:tc>
          <w:tcPr>
            <w:tcW w:w="1099"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Unlimited</w:t>
            </w:r>
          </w:p>
        </w:tc>
      </w:tr>
      <w:tr w:rsidR="000F0C4E" w:rsidTr="000F0C4E">
        <w:trPr>
          <w:jc w:val="center"/>
        </w:trPr>
        <w:tc>
          <w:tcPr>
            <w:tcW w:w="1978" w:type="dxa"/>
            <w:gridSpan w:val="2"/>
            <w:tcBorders>
              <w:top w:val="single" w:sz="4" w:space="0" w:color="auto"/>
              <w:left w:val="single" w:sz="4" w:space="0" w:color="auto"/>
              <w:bottom w:val="single" w:sz="4" w:space="0" w:color="auto"/>
              <w:right w:val="single" w:sz="4" w:space="0" w:color="auto"/>
            </w:tcBorders>
            <w:hideMark/>
          </w:tcPr>
          <w:p w:rsidR="000F0C4E" w:rsidRDefault="000F0C4E">
            <w:pPr>
              <w:rPr>
                <w:b/>
                <w:sz w:val="16"/>
                <w:szCs w:val="16"/>
                <w:vertAlign w:val="superscript"/>
                <w:lang w:val="en-IE" w:eastAsia="en-IE"/>
              </w:rPr>
            </w:pPr>
            <w:r>
              <w:rPr>
                <w:b/>
                <w:sz w:val="16"/>
                <w:szCs w:val="16"/>
              </w:rPr>
              <w:t>EX/</w:t>
            </w:r>
            <w:proofErr w:type="spellStart"/>
            <w:r>
              <w:rPr>
                <w:b/>
                <w:sz w:val="16"/>
                <w:szCs w:val="16"/>
              </w:rPr>
              <w:t>III</w:t>
            </w:r>
            <w:r>
              <w:rPr>
                <w:b/>
                <w:sz w:val="16"/>
                <w:szCs w:val="16"/>
                <w:vertAlign w:val="superscript"/>
              </w:rPr>
              <w:t>a</w:t>
            </w:r>
            <w:proofErr w:type="spellEnd"/>
          </w:p>
        </w:tc>
        <w:tc>
          <w:tcPr>
            <w:tcW w:w="816"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18.75</w:t>
            </w:r>
          </w:p>
        </w:tc>
        <w:tc>
          <w:tcPr>
            <w:tcW w:w="1000" w:type="dxa"/>
            <w:tcBorders>
              <w:top w:val="single" w:sz="4" w:space="0" w:color="auto"/>
              <w:left w:val="single" w:sz="4" w:space="0" w:color="auto"/>
              <w:bottom w:val="single" w:sz="4" w:space="0" w:color="auto"/>
              <w:right w:val="single" w:sz="4" w:space="0" w:color="auto"/>
            </w:tcBorders>
            <w:hideMark/>
          </w:tcPr>
          <w:p w:rsidR="000F0C4E" w:rsidRPr="00FB6E8C" w:rsidRDefault="000F0C4E">
            <w:pPr>
              <w:rPr>
                <w:bCs/>
                <w:sz w:val="16"/>
                <w:szCs w:val="16"/>
                <w:vertAlign w:val="superscript"/>
                <w:lang w:val="en-IE" w:eastAsia="en-IE"/>
              </w:rPr>
            </w:pPr>
            <w:r w:rsidRPr="00FB6E8C">
              <w:rPr>
                <w:bCs/>
                <w:color w:val="FF0000"/>
                <w:sz w:val="16"/>
                <w:szCs w:val="16"/>
              </w:rPr>
              <w:t>16000</w:t>
            </w:r>
            <w:r w:rsidRPr="00FB6E8C">
              <w:rPr>
                <w:bCs/>
                <w:color w:val="FF0000"/>
                <w:sz w:val="16"/>
                <w:szCs w:val="16"/>
                <w:vertAlign w:val="superscript"/>
              </w:rPr>
              <w:t>b</w:t>
            </w:r>
          </w:p>
        </w:tc>
        <w:tc>
          <w:tcPr>
            <w:tcW w:w="709" w:type="dxa"/>
            <w:tcBorders>
              <w:top w:val="single" w:sz="4" w:space="0" w:color="auto"/>
              <w:left w:val="single" w:sz="4" w:space="0" w:color="auto"/>
              <w:bottom w:val="single" w:sz="4" w:space="0" w:color="auto"/>
              <w:right w:val="single" w:sz="4" w:space="0" w:color="auto"/>
            </w:tcBorders>
            <w:hideMark/>
          </w:tcPr>
          <w:p w:rsidR="000F0C4E" w:rsidRPr="00FB6E8C" w:rsidRDefault="000F0C4E">
            <w:pPr>
              <w:rPr>
                <w:bCs/>
                <w:sz w:val="16"/>
                <w:szCs w:val="16"/>
                <w:vertAlign w:val="superscript"/>
                <w:lang w:val="en-IE" w:eastAsia="en-IE"/>
              </w:rPr>
            </w:pPr>
            <w:r w:rsidRPr="00FB6E8C">
              <w:rPr>
                <w:bCs/>
                <w:color w:val="FF0000"/>
                <w:sz w:val="16"/>
                <w:szCs w:val="16"/>
              </w:rPr>
              <w:t>16000</w:t>
            </w:r>
            <w:r w:rsidRPr="00FB6E8C">
              <w:rPr>
                <w:bCs/>
                <w:color w:val="FF0000"/>
                <w:sz w:val="16"/>
                <w:szCs w:val="16"/>
                <w:vertAlign w:val="superscript"/>
              </w:rPr>
              <w:t>b</w:t>
            </w:r>
          </w:p>
        </w:tc>
        <w:tc>
          <w:tcPr>
            <w:tcW w:w="708" w:type="dxa"/>
            <w:tcBorders>
              <w:top w:val="single" w:sz="4" w:space="0" w:color="auto"/>
              <w:left w:val="single" w:sz="4" w:space="0" w:color="auto"/>
              <w:bottom w:val="single" w:sz="4" w:space="0" w:color="auto"/>
              <w:right w:val="single" w:sz="4" w:space="0" w:color="auto"/>
            </w:tcBorders>
            <w:hideMark/>
          </w:tcPr>
          <w:p w:rsidR="000F0C4E" w:rsidRPr="00FB6E8C" w:rsidRDefault="000F0C4E">
            <w:pPr>
              <w:rPr>
                <w:bCs/>
                <w:sz w:val="16"/>
                <w:szCs w:val="16"/>
                <w:vertAlign w:val="superscript"/>
                <w:lang w:val="en-IE" w:eastAsia="en-IE"/>
              </w:rPr>
            </w:pPr>
            <w:r w:rsidRPr="00FB6E8C">
              <w:rPr>
                <w:bCs/>
                <w:color w:val="FF0000"/>
                <w:sz w:val="16"/>
                <w:szCs w:val="16"/>
              </w:rPr>
              <w:t>16000</w:t>
            </w:r>
            <w:r w:rsidRPr="00FB6E8C">
              <w:rPr>
                <w:bCs/>
                <w:color w:val="FF0000"/>
                <w:sz w:val="16"/>
                <w:szCs w:val="16"/>
                <w:vertAlign w:val="superscript"/>
              </w:rPr>
              <w:t>b</w:t>
            </w:r>
          </w:p>
        </w:tc>
        <w:tc>
          <w:tcPr>
            <w:tcW w:w="709" w:type="dxa"/>
            <w:tcBorders>
              <w:top w:val="single" w:sz="4" w:space="0" w:color="auto"/>
              <w:left w:val="single" w:sz="4" w:space="0" w:color="auto"/>
              <w:bottom w:val="single" w:sz="4" w:space="0" w:color="auto"/>
              <w:right w:val="single" w:sz="4" w:space="0" w:color="auto"/>
            </w:tcBorders>
            <w:hideMark/>
          </w:tcPr>
          <w:p w:rsidR="000F0C4E" w:rsidRPr="00FB6E8C" w:rsidRDefault="000F0C4E">
            <w:pPr>
              <w:rPr>
                <w:bCs/>
                <w:sz w:val="16"/>
                <w:szCs w:val="16"/>
                <w:vertAlign w:val="superscript"/>
                <w:lang w:val="en-IE" w:eastAsia="en-IE"/>
              </w:rPr>
            </w:pPr>
            <w:r w:rsidRPr="00FB6E8C">
              <w:rPr>
                <w:bCs/>
                <w:color w:val="FF0000"/>
                <w:sz w:val="16"/>
                <w:szCs w:val="16"/>
              </w:rPr>
              <w:t>16000</w:t>
            </w:r>
            <w:r w:rsidRPr="00FB6E8C">
              <w:rPr>
                <w:bCs/>
                <w:color w:val="FF0000"/>
                <w:sz w:val="16"/>
                <w:szCs w:val="16"/>
                <w:vertAlign w:val="superscript"/>
              </w:rPr>
              <w:t>b</w:t>
            </w:r>
          </w:p>
        </w:tc>
        <w:tc>
          <w:tcPr>
            <w:tcW w:w="992"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Unlimited</w:t>
            </w:r>
          </w:p>
        </w:tc>
        <w:tc>
          <w:tcPr>
            <w:tcW w:w="709" w:type="dxa"/>
            <w:tcBorders>
              <w:top w:val="single" w:sz="4" w:space="0" w:color="auto"/>
              <w:left w:val="single" w:sz="4" w:space="0" w:color="auto"/>
              <w:bottom w:val="single" w:sz="4" w:space="0" w:color="auto"/>
              <w:right w:val="single" w:sz="4" w:space="0" w:color="auto"/>
            </w:tcBorders>
            <w:hideMark/>
          </w:tcPr>
          <w:p w:rsidR="000F0C4E" w:rsidRPr="00FB6E8C" w:rsidRDefault="000F0C4E">
            <w:pPr>
              <w:rPr>
                <w:bCs/>
                <w:sz w:val="16"/>
                <w:szCs w:val="16"/>
                <w:vertAlign w:val="superscript"/>
                <w:lang w:val="en-IE" w:eastAsia="en-IE"/>
              </w:rPr>
            </w:pPr>
            <w:r w:rsidRPr="00FB6E8C">
              <w:rPr>
                <w:bCs/>
                <w:color w:val="FF0000"/>
                <w:sz w:val="16"/>
                <w:szCs w:val="16"/>
              </w:rPr>
              <w:t>16000</w:t>
            </w:r>
            <w:r w:rsidRPr="00FB6E8C">
              <w:rPr>
                <w:bCs/>
                <w:color w:val="FF0000"/>
                <w:sz w:val="16"/>
                <w:szCs w:val="16"/>
                <w:vertAlign w:val="superscript"/>
              </w:rPr>
              <w:t>b</w:t>
            </w:r>
          </w:p>
        </w:tc>
        <w:tc>
          <w:tcPr>
            <w:tcW w:w="1099" w:type="dxa"/>
            <w:tcBorders>
              <w:top w:val="single" w:sz="4" w:space="0" w:color="auto"/>
              <w:left w:val="single" w:sz="4" w:space="0" w:color="auto"/>
              <w:bottom w:val="single" w:sz="4" w:space="0" w:color="auto"/>
              <w:right w:val="single" w:sz="4" w:space="0" w:color="auto"/>
            </w:tcBorders>
            <w:hideMark/>
          </w:tcPr>
          <w:p w:rsidR="000F0C4E" w:rsidRDefault="000F0C4E">
            <w:pPr>
              <w:rPr>
                <w:sz w:val="16"/>
                <w:szCs w:val="16"/>
                <w:lang w:val="en-IE" w:eastAsia="en-IE"/>
              </w:rPr>
            </w:pPr>
            <w:r>
              <w:rPr>
                <w:sz w:val="16"/>
                <w:szCs w:val="16"/>
              </w:rPr>
              <w:t>Unlimited</w:t>
            </w:r>
          </w:p>
        </w:tc>
      </w:tr>
    </w:tbl>
    <w:p w:rsidR="000F0C4E" w:rsidRDefault="000F0C4E" w:rsidP="000F0C4E">
      <w:pPr>
        <w:rPr>
          <w:i/>
          <w:sz w:val="18"/>
          <w:szCs w:val="18"/>
          <w:vertAlign w:val="superscript"/>
          <w:lang w:val="en-US" w:eastAsia="en-IE"/>
        </w:rPr>
      </w:pPr>
    </w:p>
    <w:p w:rsidR="000F0C4E" w:rsidRPr="0011476F" w:rsidRDefault="000F0C4E" w:rsidP="0011476F">
      <w:pPr>
        <w:ind w:left="1134"/>
        <w:rPr>
          <w:i/>
          <w:sz w:val="18"/>
          <w:szCs w:val="18"/>
          <w:lang w:val="en-US"/>
        </w:rPr>
      </w:pPr>
      <w:proofErr w:type="gramStart"/>
      <w:r w:rsidRPr="0011476F">
        <w:rPr>
          <w:i/>
          <w:sz w:val="18"/>
          <w:szCs w:val="18"/>
          <w:vertAlign w:val="superscript"/>
          <w:lang w:val="en-US"/>
        </w:rPr>
        <w:t>a</w:t>
      </w:r>
      <w:proofErr w:type="gramEnd"/>
      <w:r w:rsidRPr="0011476F">
        <w:rPr>
          <w:i/>
          <w:sz w:val="18"/>
          <w:szCs w:val="18"/>
          <w:lang w:val="en-US"/>
        </w:rPr>
        <w:tab/>
        <w:t>For the description of EX/II and EX/III vehicles see Part 9</w:t>
      </w:r>
    </w:p>
    <w:p w:rsidR="000F0C4E" w:rsidRPr="00FB6E8C" w:rsidRDefault="000F0C4E" w:rsidP="0011476F">
      <w:pPr>
        <w:ind w:left="1134" w:right="1134"/>
        <w:rPr>
          <w:rStyle w:val="location"/>
          <w:bCs/>
          <w:lang w:val="en-IE"/>
        </w:rPr>
      </w:pPr>
      <w:r w:rsidRPr="00FB6E8C">
        <w:rPr>
          <w:bCs/>
          <w:i/>
          <w:color w:val="FF0000"/>
          <w:sz w:val="18"/>
          <w:szCs w:val="18"/>
          <w:vertAlign w:val="superscript"/>
          <w:lang w:val="en-US"/>
        </w:rPr>
        <w:t>b</w:t>
      </w:r>
      <w:r w:rsidRPr="00FB6E8C">
        <w:rPr>
          <w:bCs/>
          <w:i/>
          <w:color w:val="FF0000"/>
          <w:sz w:val="18"/>
          <w:szCs w:val="18"/>
          <w:lang w:val="en-US"/>
        </w:rPr>
        <w:tab/>
        <w:t xml:space="preserve">For the transport of UN 0027, </w:t>
      </w:r>
      <w:r w:rsidRPr="00FB6E8C">
        <w:rPr>
          <w:rStyle w:val="location"/>
          <w:bCs/>
          <w:i/>
          <w:color w:val="FF0000"/>
          <w:sz w:val="18"/>
          <w:szCs w:val="18"/>
        </w:rPr>
        <w:t xml:space="preserve"> 0081, 0082, 0083, 0084, 0241, 0331and 0332, and the mixed loading of these UN numbers in between them, </w:t>
      </w:r>
      <w:r w:rsidRPr="00FB6E8C">
        <w:rPr>
          <w:bCs/>
          <w:i/>
          <w:color w:val="FF0000"/>
          <w:sz w:val="18"/>
          <w:szCs w:val="18"/>
          <w:lang w:val="en-US"/>
        </w:rPr>
        <w:t xml:space="preserve">the maximum permissible net mass per transport unit can be 20.000 kg, </w:t>
      </w:r>
      <w:r w:rsidRPr="00FB6E8C">
        <w:rPr>
          <w:rStyle w:val="location"/>
          <w:bCs/>
          <w:i/>
          <w:color w:val="FF0000"/>
          <w:sz w:val="18"/>
          <w:szCs w:val="18"/>
        </w:rPr>
        <w:t xml:space="preserve">provided that the provisions set out in the Note to the point 1.10.3.3 are met. </w:t>
      </w:r>
      <w:bookmarkStart w:id="0" w:name="_GoBack"/>
      <w:bookmarkEnd w:id="0"/>
    </w:p>
    <w:p w:rsidR="00A30C84" w:rsidRPr="00597C2F" w:rsidRDefault="00A30C84" w:rsidP="00A30C84">
      <w:pPr>
        <w:pStyle w:val="SingleTxtG"/>
        <w:spacing w:before="240" w:after="0"/>
        <w:jc w:val="center"/>
        <w:rPr>
          <w:u w:val="single"/>
        </w:rPr>
      </w:pPr>
      <w:r>
        <w:rPr>
          <w:u w:val="single"/>
        </w:rPr>
        <w:tab/>
      </w:r>
      <w:r>
        <w:rPr>
          <w:u w:val="single"/>
        </w:rPr>
        <w:tab/>
      </w:r>
      <w:r>
        <w:rPr>
          <w:u w:val="single"/>
        </w:rPr>
        <w:tab/>
      </w:r>
    </w:p>
    <w:sectPr w:rsidR="00A30C84" w:rsidRPr="00597C2F" w:rsidSect="00AC36B7">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48" w:rsidRDefault="00B17848"/>
  </w:endnote>
  <w:endnote w:type="continuationSeparator" w:id="0">
    <w:p w:rsidR="00B17848" w:rsidRDefault="00B17848"/>
  </w:endnote>
  <w:endnote w:type="continuationNotice" w:id="1">
    <w:p w:rsidR="00B17848" w:rsidRDefault="00B1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532D5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FB6E8C">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532D51" w:rsidRPr="009D2A5B">
      <w:rPr>
        <w:b/>
        <w:sz w:val="18"/>
      </w:rPr>
      <w:fldChar w:fldCharType="begin"/>
    </w:r>
    <w:r w:rsidRPr="009D2A5B">
      <w:rPr>
        <w:b/>
        <w:sz w:val="18"/>
      </w:rPr>
      <w:instrText xml:space="preserve"> PAGE  \* MERGEFORMAT </w:instrText>
    </w:r>
    <w:r w:rsidR="00532D51" w:rsidRPr="009D2A5B">
      <w:rPr>
        <w:b/>
        <w:sz w:val="18"/>
      </w:rPr>
      <w:fldChar w:fldCharType="separate"/>
    </w:r>
    <w:r w:rsidR="0011476F">
      <w:rPr>
        <w:b/>
        <w:noProof/>
        <w:sz w:val="18"/>
      </w:rPr>
      <w:t>3</w:t>
    </w:r>
    <w:r w:rsidR="00532D51"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48" w:rsidRPr="000B175B" w:rsidRDefault="00B17848" w:rsidP="000B175B">
      <w:pPr>
        <w:tabs>
          <w:tab w:val="right" w:pos="2155"/>
        </w:tabs>
        <w:spacing w:after="80"/>
        <w:ind w:left="680"/>
        <w:rPr>
          <w:u w:val="single"/>
        </w:rPr>
      </w:pPr>
      <w:r>
        <w:rPr>
          <w:u w:val="single"/>
        </w:rPr>
        <w:tab/>
      </w:r>
    </w:p>
  </w:footnote>
  <w:footnote w:type="continuationSeparator" w:id="0">
    <w:p w:rsidR="00B17848" w:rsidRPr="00FC68B7" w:rsidRDefault="00B17848" w:rsidP="00FC68B7">
      <w:pPr>
        <w:tabs>
          <w:tab w:val="left" w:pos="2155"/>
        </w:tabs>
        <w:spacing w:after="80"/>
        <w:ind w:left="680"/>
        <w:rPr>
          <w:u w:val="single"/>
        </w:rPr>
      </w:pPr>
      <w:r>
        <w:rPr>
          <w:u w:val="single"/>
        </w:rPr>
        <w:tab/>
      </w:r>
    </w:p>
  </w:footnote>
  <w:footnote w:type="continuationNotice" w:id="1">
    <w:p w:rsidR="00B17848" w:rsidRDefault="00B178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11476F">
      <w:rPr>
        <w:szCs w:val="18"/>
        <w:lang w:val="fr-CH"/>
      </w:rPr>
      <w:t>1</w:t>
    </w:r>
    <w:r w:rsidR="00250267">
      <w:rPr>
        <w:szCs w:val="18"/>
        <w:lang w:val="fr-CH"/>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250267">
      <w:rPr>
        <w:lang w:val="fr-CH"/>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5"/>
  </w:num>
  <w:num w:numId="20">
    <w:abstractNumId w:val="16"/>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77EB9"/>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0F0C4E"/>
    <w:rsid w:val="00101DB8"/>
    <w:rsid w:val="00103CC1"/>
    <w:rsid w:val="00104CDA"/>
    <w:rsid w:val="001103AA"/>
    <w:rsid w:val="0011119B"/>
    <w:rsid w:val="0011476F"/>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3E4B"/>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2D51"/>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570A7"/>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4D81"/>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17848"/>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6E8C"/>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512">
      <w:bodyDiv w:val="1"/>
      <w:marLeft w:val="0"/>
      <w:marRight w:val="0"/>
      <w:marTop w:val="0"/>
      <w:marBottom w:val="0"/>
      <w:divBdr>
        <w:top w:val="none" w:sz="0" w:space="0" w:color="auto"/>
        <w:left w:val="none" w:sz="0" w:space="0" w:color="auto"/>
        <w:bottom w:val="none" w:sz="0" w:space="0" w:color="auto"/>
        <w:right w:val="none" w:sz="0" w:space="0" w:color="auto"/>
      </w:divBdr>
    </w:div>
    <w:div w:id="1279991560">
      <w:bodyDiv w:val="1"/>
      <w:marLeft w:val="0"/>
      <w:marRight w:val="0"/>
      <w:marTop w:val="0"/>
      <w:marBottom w:val="0"/>
      <w:divBdr>
        <w:top w:val="none" w:sz="0" w:space="0" w:color="auto"/>
        <w:left w:val="none" w:sz="0" w:space="0" w:color="auto"/>
        <w:bottom w:val="none" w:sz="0" w:space="0" w:color="auto"/>
        <w:right w:val="none" w:sz="0" w:space="0" w:color="auto"/>
      </w:divBdr>
    </w:div>
    <w:div w:id="1445274649">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9343-6A89-46B5-98E7-0137BAF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3514</Characters>
  <Application>Microsoft Office Word</Application>
  <DocSecurity>0</DocSecurity>
  <Lines>29</Lines>
  <Paragraphs>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3</cp:revision>
  <cp:lastPrinted>2017-05-04T13:35:00Z</cp:lastPrinted>
  <dcterms:created xsi:type="dcterms:W3CDTF">2017-05-04T13:51:00Z</dcterms:created>
  <dcterms:modified xsi:type="dcterms:W3CDTF">2017-05-04T13:52:00Z</dcterms:modified>
</cp:coreProperties>
</file>