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F40C" w14:textId="4FCF0BAB" w:rsidR="003C63AC" w:rsidRPr="008249C7" w:rsidRDefault="006233C8" w:rsidP="008249C7">
      <w:pPr>
        <w:jc w:val="center"/>
        <w:rPr>
          <w:b/>
          <w:bCs/>
          <w:lang w:val="fr-FR"/>
        </w:rPr>
      </w:pPr>
      <w:r w:rsidRPr="00AD6A00">
        <w:rPr>
          <w:b/>
          <w:bCs/>
          <w:lang w:val="fr-FR"/>
        </w:rPr>
        <w:t>Points pour décision selon la procédure d’approbation tacite</w:t>
      </w:r>
    </w:p>
    <w:p w14:paraId="1F19373E" w14:textId="77777777" w:rsidR="003C63AC" w:rsidRPr="00AD6A00" w:rsidRDefault="003C63AC" w:rsidP="003C63AC">
      <w:pPr>
        <w:rPr>
          <w:lang w:val="fr-FR"/>
        </w:rPr>
      </w:pPr>
    </w:p>
    <w:p w14:paraId="256918EC" w14:textId="7D6D5DBC" w:rsidR="00626078" w:rsidRPr="00AD6A00" w:rsidRDefault="006233C8" w:rsidP="00683ADA">
      <w:pPr>
        <w:ind w:left="-284" w:right="-285"/>
        <w:jc w:val="center"/>
        <w:rPr>
          <w:lang w:val="fr-FR"/>
        </w:rPr>
      </w:pPr>
      <w:r w:rsidRPr="00683ADA">
        <w:rPr>
          <w:b/>
          <w:bCs/>
          <w:lang w:val="fr-FR"/>
        </w:rPr>
        <w:t xml:space="preserve">Réunion informelle à distance du Groupe de Rapporteurs </w:t>
      </w:r>
      <w:r w:rsidR="009C7316" w:rsidRPr="00683ADA">
        <w:rPr>
          <w:b/>
          <w:bCs/>
          <w:lang w:val="fr-FR"/>
        </w:rPr>
        <w:t xml:space="preserve">des véhicules automatisés/autonomes et connectés </w:t>
      </w:r>
      <w:r w:rsidRPr="00683ADA">
        <w:rPr>
          <w:b/>
          <w:bCs/>
          <w:lang w:val="fr-FR"/>
        </w:rPr>
        <w:t>(GR</w:t>
      </w:r>
      <w:r w:rsidR="009C7316" w:rsidRPr="00683ADA">
        <w:rPr>
          <w:b/>
          <w:bCs/>
          <w:lang w:val="fr-FR"/>
        </w:rPr>
        <w:t>VA</w:t>
      </w:r>
      <w:r w:rsidRPr="00683ADA">
        <w:rPr>
          <w:b/>
          <w:bCs/>
          <w:lang w:val="fr-FR"/>
        </w:rPr>
        <w:t>)</w:t>
      </w:r>
      <w:r w:rsidR="00626078" w:rsidRPr="00683ADA">
        <w:rPr>
          <w:b/>
          <w:bCs/>
          <w:lang w:val="fr-FR"/>
        </w:rPr>
        <w:t xml:space="preserve"> </w:t>
      </w:r>
      <w:r w:rsidRPr="00AD6A00">
        <w:rPr>
          <w:lang w:val="fr-FR"/>
        </w:rPr>
        <w:t xml:space="preserve">du </w:t>
      </w:r>
      <w:r w:rsidR="009C7316">
        <w:rPr>
          <w:lang w:val="fr-FR"/>
        </w:rPr>
        <w:t>2</w:t>
      </w:r>
      <w:r w:rsidR="005E765B">
        <w:rPr>
          <w:lang w:val="fr-FR"/>
        </w:rPr>
        <w:t>1</w:t>
      </w:r>
      <w:r w:rsidRPr="00AD6A00">
        <w:rPr>
          <w:lang w:val="fr-FR"/>
        </w:rPr>
        <w:t xml:space="preserve"> au </w:t>
      </w:r>
      <w:r w:rsidR="009C7316">
        <w:rPr>
          <w:lang w:val="fr-FR"/>
        </w:rPr>
        <w:t>25</w:t>
      </w:r>
      <w:r w:rsidRPr="00AD6A00">
        <w:rPr>
          <w:lang w:val="fr-FR"/>
        </w:rPr>
        <w:t xml:space="preserve"> </w:t>
      </w:r>
      <w:r w:rsidR="009C7316">
        <w:rPr>
          <w:lang w:val="fr-FR"/>
        </w:rPr>
        <w:t>septembre</w:t>
      </w:r>
      <w:r w:rsidR="00626078" w:rsidRPr="00AD6A00">
        <w:rPr>
          <w:lang w:val="fr-FR"/>
        </w:rPr>
        <w:t xml:space="preserve"> 2020</w:t>
      </w:r>
      <w:r w:rsidR="008249C7">
        <w:rPr>
          <w:lang w:val="fr-FR"/>
        </w:rPr>
        <w:t>.</w:t>
      </w:r>
    </w:p>
    <w:p w14:paraId="4BEDCF94" w14:textId="77777777" w:rsidR="00626078" w:rsidRPr="00AD6A00" w:rsidRDefault="00626078" w:rsidP="00626078">
      <w:pPr>
        <w:rPr>
          <w:lang w:val="fr-FR"/>
        </w:rPr>
      </w:pPr>
    </w:p>
    <w:p w14:paraId="7D41434B" w14:textId="568D14E8" w:rsidR="00626078" w:rsidRPr="00AD6A00" w:rsidRDefault="00F639A2" w:rsidP="00F639A2">
      <w:pPr>
        <w:rPr>
          <w:lang w:val="fr-FR"/>
        </w:rPr>
      </w:pPr>
      <w:r w:rsidRPr="00AD6A00">
        <w:rPr>
          <w:lang w:val="fr-FR"/>
        </w:rPr>
        <w:t>Les documents mentionnés dans les projets de décisions ci-après sont disponibles sur Internet à l’adresse</w:t>
      </w:r>
      <w:r w:rsidR="00626078" w:rsidRPr="00AD6A00">
        <w:rPr>
          <w:lang w:val="fr-FR"/>
        </w:rPr>
        <w:t>:</w:t>
      </w:r>
    </w:p>
    <w:p w14:paraId="4BBF8EFA" w14:textId="29E571D1" w:rsidR="005C6E97" w:rsidRDefault="00201C91" w:rsidP="00626078">
      <w:pPr>
        <w:rPr>
          <w:lang w:val="fr-FR"/>
        </w:rPr>
      </w:pPr>
      <w:hyperlink r:id="rId8" w:history="1">
        <w:r w:rsidR="009C7316" w:rsidRPr="002A135F">
          <w:rPr>
            <w:rStyle w:val="Hyperlink"/>
            <w:lang w:val="fr-FR"/>
          </w:rPr>
          <w:t>http://www.unece.org/index.php?id=53520</w:t>
        </w:r>
      </w:hyperlink>
    </w:p>
    <w:p w14:paraId="07632324" w14:textId="6ABF7A42" w:rsidR="005E765B" w:rsidRDefault="005E765B" w:rsidP="00626078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365"/>
      </w:tblGrid>
      <w:tr w:rsidR="005E765B" w:rsidRPr="005D4406" w14:paraId="762D4144" w14:textId="77777777" w:rsidTr="00CD37D7">
        <w:tc>
          <w:tcPr>
            <w:tcW w:w="988" w:type="dxa"/>
          </w:tcPr>
          <w:p w14:paraId="4D81EA05" w14:textId="18F17270" w:rsidR="005E765B" w:rsidRPr="00683ADA" w:rsidRDefault="005E765B" w:rsidP="00A03F27">
            <w:pPr>
              <w:rPr>
                <w:i/>
                <w:iCs/>
                <w:lang w:val="en-GB"/>
              </w:rPr>
            </w:pPr>
            <w:r w:rsidRPr="00683ADA">
              <w:rPr>
                <w:i/>
                <w:iCs/>
                <w:lang w:val="en-GB"/>
              </w:rPr>
              <w:t>D</w:t>
            </w:r>
            <w:r w:rsidR="00CD37D7" w:rsidRPr="00683ADA">
              <w:rPr>
                <w:i/>
                <w:iCs/>
                <w:lang w:val="en-GB"/>
              </w:rPr>
              <w:t>é</w:t>
            </w:r>
            <w:r w:rsidRPr="00683ADA">
              <w:rPr>
                <w:i/>
                <w:iCs/>
                <w:lang w:val="en-GB"/>
              </w:rPr>
              <w:t xml:space="preserve">cision </w:t>
            </w:r>
            <w:r w:rsidR="00CD37D7" w:rsidRPr="00683ADA">
              <w:rPr>
                <w:i/>
                <w:iCs/>
                <w:lang w:val="en-GB"/>
              </w:rPr>
              <w:t>n°</w:t>
            </w:r>
          </w:p>
        </w:tc>
        <w:tc>
          <w:tcPr>
            <w:tcW w:w="1275" w:type="dxa"/>
          </w:tcPr>
          <w:p w14:paraId="0BFBA6F9" w14:textId="33926DDD" w:rsidR="005E765B" w:rsidRPr="00683ADA" w:rsidRDefault="00CD37D7" w:rsidP="00A03F27">
            <w:pPr>
              <w:rPr>
                <w:i/>
                <w:iCs/>
              </w:rPr>
            </w:pPr>
            <w:r w:rsidRPr="00683ADA">
              <w:rPr>
                <w:i/>
                <w:iCs/>
              </w:rPr>
              <w:t>Point de l’</w:t>
            </w:r>
            <w:r w:rsidR="00683ADA" w:rsidRPr="00683ADA">
              <w:rPr>
                <w:i/>
                <w:iCs/>
              </w:rPr>
              <w:t>ordre du jour</w:t>
            </w:r>
          </w:p>
        </w:tc>
        <w:tc>
          <w:tcPr>
            <w:tcW w:w="7365" w:type="dxa"/>
          </w:tcPr>
          <w:p w14:paraId="50415A2D" w14:textId="370B610F" w:rsidR="005E765B" w:rsidRPr="00683ADA" w:rsidRDefault="005E765B" w:rsidP="00A03F27">
            <w:pPr>
              <w:rPr>
                <w:i/>
                <w:iCs/>
                <w:lang w:val="en-GB"/>
              </w:rPr>
            </w:pPr>
            <w:r w:rsidRPr="00683ADA">
              <w:rPr>
                <w:i/>
                <w:iCs/>
                <w:lang w:val="en-GB"/>
              </w:rPr>
              <w:t>D</w:t>
            </w:r>
            <w:r w:rsidR="00683ADA" w:rsidRPr="00683ADA">
              <w:rPr>
                <w:i/>
                <w:iCs/>
                <w:lang w:val="en-GB"/>
              </w:rPr>
              <w:t>é</w:t>
            </w:r>
            <w:r w:rsidRPr="00683ADA">
              <w:rPr>
                <w:i/>
                <w:iCs/>
                <w:lang w:val="en-GB"/>
              </w:rPr>
              <w:t>cision</w:t>
            </w:r>
          </w:p>
        </w:tc>
      </w:tr>
      <w:tr w:rsidR="00FC7F92" w:rsidRPr="002A59C5" w14:paraId="0BA97CDE" w14:textId="77777777" w:rsidTr="00CD37D7">
        <w:tc>
          <w:tcPr>
            <w:tcW w:w="988" w:type="dxa"/>
            <w:vAlign w:val="center"/>
          </w:tcPr>
          <w:p w14:paraId="412DD480" w14:textId="7DF1019E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163E03A6" w14:textId="59ECD376" w:rsidR="00FC7F92" w:rsidRPr="00A453E9" w:rsidRDefault="00FC7F92" w:rsidP="000C5CC6">
            <w:pPr>
              <w:spacing w:after="120" w:line="240" w:lineRule="auto"/>
              <w:rPr>
                <w:highlight w:val="yellow"/>
                <w:lang w:val="en-GB"/>
              </w:rPr>
            </w:pPr>
            <w:r w:rsidRPr="000E4C37"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641EC647" w14:textId="35B138D9" w:rsidR="00FC7F92" w:rsidRPr="000C5CC6" w:rsidRDefault="00FC7F92" w:rsidP="000C5CC6">
            <w:pPr>
              <w:spacing w:after="120" w:line="240" w:lineRule="auto"/>
            </w:pPr>
            <w:r>
              <w:rPr>
                <w:lang w:val="fr-FR"/>
              </w:rPr>
              <w:t xml:space="preserve">Le </w:t>
            </w:r>
            <w:r w:rsidRPr="00AD6A00">
              <w:rPr>
                <w:lang w:val="fr-FR"/>
              </w:rPr>
              <w:t xml:space="preserve">Groupe de Rapporteurs </w:t>
            </w:r>
            <w:r w:rsidRPr="009C7316">
              <w:rPr>
                <w:lang w:val="fr-FR"/>
              </w:rPr>
              <w:t xml:space="preserve">des véhicules automatisés/autonomes et connectés </w:t>
            </w:r>
            <w:r w:rsidRPr="00AD6A00">
              <w:rPr>
                <w:lang w:val="fr-FR"/>
              </w:rPr>
              <w:t>(GR</w:t>
            </w:r>
            <w:r>
              <w:rPr>
                <w:lang w:val="fr-FR"/>
              </w:rPr>
              <w:t>VA</w:t>
            </w:r>
            <w:r w:rsidRPr="00AD6A00">
              <w:rPr>
                <w:lang w:val="fr-FR"/>
              </w:rPr>
              <w:t>)</w:t>
            </w:r>
            <w:r>
              <w:rPr>
                <w:lang w:val="fr-FR"/>
              </w:rPr>
              <w:t xml:space="preserve"> a adopté </w:t>
            </w:r>
            <w:r w:rsidR="00CD37D7">
              <w:rPr>
                <w:lang w:val="fr-FR"/>
              </w:rPr>
              <w:t>l’ordre du jour</w:t>
            </w:r>
            <w:r>
              <w:rPr>
                <w:lang w:val="fr-FR"/>
              </w:rPr>
              <w:t xml:space="preserve"> (sur </w:t>
            </w:r>
            <w:r w:rsidR="00464AF5">
              <w:rPr>
                <w:lang w:val="fr-FR"/>
              </w:rPr>
              <w:t xml:space="preserve">la base des documents </w:t>
            </w:r>
            <w:r w:rsidRPr="00FC7F92">
              <w:t xml:space="preserve">ECE/TRANS/WP.29/GRVA/19 </w:t>
            </w:r>
            <w:r>
              <w:t>et</w:t>
            </w:r>
            <w:r w:rsidRPr="00FC7F92">
              <w:t xml:space="preserve"> /Add. 1</w:t>
            </w:r>
            <w:r>
              <w:t>) pour cette réunion informelle à distance (tel que reproduit dans le document informel GRVA-07-34-Rev.2).</w:t>
            </w:r>
          </w:p>
        </w:tc>
      </w:tr>
      <w:tr w:rsidR="00FC7F92" w:rsidRPr="000C5CC6" w14:paraId="39B4E936" w14:textId="77777777" w:rsidTr="00CD37D7">
        <w:tc>
          <w:tcPr>
            <w:tcW w:w="988" w:type="dxa"/>
            <w:vAlign w:val="center"/>
          </w:tcPr>
          <w:p w14:paraId="002819C8" w14:textId="79C4F48C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D71CBED" w14:textId="6D7945F5" w:rsidR="00FC7F92" w:rsidRPr="00A453E9" w:rsidRDefault="00FC7F92" w:rsidP="000C5CC6">
            <w:pPr>
              <w:spacing w:after="120" w:line="240" w:lineRule="auto"/>
              <w:rPr>
                <w:highlight w:val="yellow"/>
                <w:lang w:val="en-GB"/>
              </w:rPr>
            </w:pPr>
            <w:r w:rsidRPr="000E4C37">
              <w:rPr>
                <w:lang w:val="en-GB"/>
              </w:rPr>
              <w:t>4(a)</w:t>
            </w:r>
          </w:p>
        </w:tc>
        <w:tc>
          <w:tcPr>
            <w:tcW w:w="7365" w:type="dxa"/>
          </w:tcPr>
          <w:p w14:paraId="31A8F467" w14:textId="52F7BCF3" w:rsidR="00FC7F92" w:rsidRPr="000C5CC6" w:rsidRDefault="00464AF5" w:rsidP="000C5CC6">
            <w:pPr>
              <w:spacing w:after="120" w:line="240" w:lineRule="auto"/>
            </w:pPr>
            <w:r w:rsidRPr="00464AF5">
              <w:t>Le GRVA a approuvé le rapport de situation soumis par le Groupe de travail informel (</w:t>
            </w:r>
            <w:r>
              <w:t>GTI</w:t>
            </w:r>
            <w:r w:rsidRPr="00464AF5">
              <w:t>) sur les exigences fonctionnelles des véhicules automatisés (FRAV).</w:t>
            </w:r>
          </w:p>
        </w:tc>
      </w:tr>
      <w:tr w:rsidR="00FC7F92" w:rsidRPr="000C5CC6" w14:paraId="1BD50187" w14:textId="77777777" w:rsidTr="00CD37D7">
        <w:tc>
          <w:tcPr>
            <w:tcW w:w="988" w:type="dxa"/>
            <w:vAlign w:val="center"/>
          </w:tcPr>
          <w:p w14:paraId="6C6395A1" w14:textId="130088A9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3703999" w14:textId="607DBE04" w:rsidR="00FC7F92" w:rsidRPr="00A453E9" w:rsidRDefault="00FC7F92" w:rsidP="000C5CC6">
            <w:pPr>
              <w:spacing w:after="120" w:line="240" w:lineRule="auto"/>
              <w:rPr>
                <w:highlight w:val="yellow"/>
                <w:lang w:val="en-GB"/>
              </w:rPr>
            </w:pPr>
            <w:r w:rsidRPr="000E4C37">
              <w:rPr>
                <w:lang w:val="en-GB"/>
              </w:rPr>
              <w:t>4(b)</w:t>
            </w:r>
          </w:p>
        </w:tc>
        <w:tc>
          <w:tcPr>
            <w:tcW w:w="7365" w:type="dxa"/>
          </w:tcPr>
          <w:p w14:paraId="435E8304" w14:textId="537F3A98" w:rsidR="00FC7F92" w:rsidRPr="000C5CC6" w:rsidRDefault="00464AF5" w:rsidP="000C5CC6">
            <w:pPr>
              <w:spacing w:after="120" w:line="240" w:lineRule="auto"/>
            </w:pPr>
            <w:r w:rsidRPr="00464AF5">
              <w:t xml:space="preserve">Le GRVA a approuvé le rapport de situation soumis par </w:t>
            </w:r>
            <w:r>
              <w:t>le GTI</w:t>
            </w:r>
            <w:r w:rsidRPr="00464AF5">
              <w:t xml:space="preserve"> sur la méthode de validation pour la conduite automatisée (VMAD).</w:t>
            </w:r>
          </w:p>
        </w:tc>
      </w:tr>
      <w:tr w:rsidR="00FC7F92" w:rsidRPr="000C5CC6" w14:paraId="7FC374C1" w14:textId="77777777" w:rsidTr="00CD37D7">
        <w:tc>
          <w:tcPr>
            <w:tcW w:w="988" w:type="dxa"/>
            <w:vAlign w:val="center"/>
          </w:tcPr>
          <w:p w14:paraId="55A8600C" w14:textId="671F36E0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37799B8E" w14:textId="52EF7C97" w:rsidR="00FC7F92" w:rsidRPr="00A453E9" w:rsidRDefault="00FC7F92" w:rsidP="000C5CC6">
            <w:pPr>
              <w:spacing w:after="120" w:line="240" w:lineRule="auto"/>
              <w:rPr>
                <w:highlight w:val="yellow"/>
                <w:lang w:val="en-GB"/>
              </w:rPr>
            </w:pPr>
            <w:r w:rsidRPr="000E4C37">
              <w:rPr>
                <w:lang w:val="en-GB"/>
              </w:rPr>
              <w:t>4(c)</w:t>
            </w:r>
          </w:p>
        </w:tc>
        <w:tc>
          <w:tcPr>
            <w:tcW w:w="7365" w:type="dxa"/>
          </w:tcPr>
          <w:p w14:paraId="4F515F57" w14:textId="4ECE1818" w:rsidR="00FC7F92" w:rsidRPr="000C5CC6" w:rsidRDefault="00464AF5" w:rsidP="000C5CC6">
            <w:pPr>
              <w:spacing w:after="120" w:line="240" w:lineRule="auto"/>
            </w:pPr>
            <w:r w:rsidRPr="00464AF5">
              <w:t>Le GRVA a pris note du document informel GRVA-07-57 «Examen des activités nationales / régionales existantes et proposition de voie à suivre pour le système de stockage de données pour la conduite automatisée» soumis par le GTI sur l’enregistreur de données d’événement (EDR) / Système de stockage de données pour la conduite automatisée (DSSAD).</w:t>
            </w:r>
          </w:p>
        </w:tc>
      </w:tr>
      <w:tr w:rsidR="00FC7F92" w:rsidRPr="000C5CC6" w14:paraId="2499E924" w14:textId="77777777" w:rsidTr="00CD37D7">
        <w:tc>
          <w:tcPr>
            <w:tcW w:w="988" w:type="dxa"/>
            <w:vAlign w:val="center"/>
          </w:tcPr>
          <w:p w14:paraId="0862FC63" w14:textId="3054F98D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58792792" w14:textId="488B7E3A" w:rsidR="00FC7F92" w:rsidRPr="00FB23D4" w:rsidRDefault="00FC7F92" w:rsidP="000C5CC6">
            <w:pPr>
              <w:spacing w:after="120" w:line="240" w:lineRule="auto"/>
              <w:rPr>
                <w:lang w:val="en-GB"/>
              </w:rPr>
            </w:pPr>
            <w:r w:rsidRPr="000E4C37">
              <w:rPr>
                <w:lang w:val="en-GB"/>
              </w:rPr>
              <w:t>4(d)</w:t>
            </w:r>
          </w:p>
        </w:tc>
        <w:tc>
          <w:tcPr>
            <w:tcW w:w="7365" w:type="dxa"/>
          </w:tcPr>
          <w:p w14:paraId="3AF0026D" w14:textId="02BAAEBC" w:rsidR="00FC7F92" w:rsidRPr="000C5CC6" w:rsidRDefault="00185516" w:rsidP="000C5CC6">
            <w:pPr>
              <w:spacing w:after="120" w:line="240" w:lineRule="auto"/>
            </w:pPr>
            <w:r>
              <w:t>Le GRVA a adopté les propositions d'amendement marquées en vert et jaune notées dans le document informel GRVA-07-69-Rev.1 et a prié le secrétariat de les soumettre comme proposition de complément au Règlement de l'ONU n ° [157], pour examen et vote par le Forum mondial de l'harmonisation des Règlements concernant les véhicules (WP.29), son Comité administratif pour l</w:t>
            </w:r>
            <w:r w:rsidR="002A59C5">
              <w:t>’</w:t>
            </w:r>
            <w:r>
              <w:t>Accord de 1958 (AC.1) lors de leurs sessions de mars 2021.</w:t>
            </w:r>
          </w:p>
        </w:tc>
      </w:tr>
      <w:tr w:rsidR="00FC7F92" w:rsidRPr="000C5CC6" w14:paraId="3A6495A9" w14:textId="77777777" w:rsidTr="00CD37D7">
        <w:tc>
          <w:tcPr>
            <w:tcW w:w="988" w:type="dxa"/>
            <w:vAlign w:val="center"/>
          </w:tcPr>
          <w:p w14:paraId="3F91BFE1" w14:textId="769D8E56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14:paraId="557ADE3F" w14:textId="2A765AF4" w:rsidR="00FC7F92" w:rsidRPr="00A453E9" w:rsidRDefault="00FC7F92" w:rsidP="000C5CC6">
            <w:pPr>
              <w:spacing w:after="120" w:line="240" w:lineRule="auto"/>
              <w:rPr>
                <w:highlight w:val="yellow"/>
                <w:lang w:val="en-GB"/>
              </w:rPr>
            </w:pPr>
            <w:r>
              <w:rPr>
                <w:lang w:val="en-GB"/>
              </w:rPr>
              <w:t>4(d)</w:t>
            </w:r>
          </w:p>
        </w:tc>
        <w:tc>
          <w:tcPr>
            <w:tcW w:w="7365" w:type="dxa"/>
          </w:tcPr>
          <w:p w14:paraId="65AD09F9" w14:textId="0D7954E6" w:rsidR="00FC7F92" w:rsidRPr="000C5CC6" w:rsidRDefault="00185516" w:rsidP="000C5CC6">
            <w:pPr>
              <w:spacing w:after="120" w:line="240" w:lineRule="auto"/>
            </w:pPr>
            <w:r w:rsidRPr="00185516">
              <w:t>À la demande de l’expert de la France, le GRVA a prié le secrétariat de noter dans le rapport l’interprétation du GRVA des prescriptions ALKS concernant les «véhicules d’urgence en approche».</w:t>
            </w:r>
          </w:p>
        </w:tc>
      </w:tr>
      <w:tr w:rsidR="00FC7F92" w:rsidRPr="000C5CC6" w14:paraId="26497CAC" w14:textId="77777777" w:rsidTr="00CD37D7">
        <w:tc>
          <w:tcPr>
            <w:tcW w:w="988" w:type="dxa"/>
            <w:vAlign w:val="center"/>
          </w:tcPr>
          <w:p w14:paraId="3FCE4611" w14:textId="2EED512B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6762D390" w14:textId="198BFAFD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 w:rsidRPr="000E4C37">
              <w:rPr>
                <w:lang w:val="en-GB"/>
              </w:rPr>
              <w:t>5(a)</w:t>
            </w:r>
          </w:p>
        </w:tc>
        <w:tc>
          <w:tcPr>
            <w:tcW w:w="7365" w:type="dxa"/>
          </w:tcPr>
          <w:p w14:paraId="555B2FE6" w14:textId="7F3ACA8C" w:rsidR="00FC7F92" w:rsidRPr="000C5CC6" w:rsidRDefault="00185516" w:rsidP="000C5CC6">
            <w:pPr>
              <w:spacing w:after="120" w:line="240" w:lineRule="auto"/>
            </w:pPr>
            <w:r w:rsidRPr="00185516">
              <w:t xml:space="preserve">Le GRVA a approuvé le </w:t>
            </w:r>
            <w:r>
              <w:t xml:space="preserve">document </w:t>
            </w:r>
            <w:r w:rsidRPr="00185516">
              <w:t>GRVA-07-04-Rev.1 proposant des orientations sur la manière d'interpréter le Règlement de l'ONU n ° [155] (Systèmes de gestion de la cybersécurité et de la cybersécurité) et l'a recommandé pour adoption par le WP.29 en novembre 2020 sur la base d</w:t>
            </w:r>
            <w:r w:rsidR="00D41522">
              <w:t>’</w:t>
            </w:r>
            <w:r w:rsidRPr="00185516">
              <w:t>un document informel.</w:t>
            </w:r>
          </w:p>
        </w:tc>
      </w:tr>
      <w:tr w:rsidR="00FC7F92" w:rsidRPr="000C5CC6" w14:paraId="04575B96" w14:textId="77777777" w:rsidTr="00CD37D7">
        <w:tc>
          <w:tcPr>
            <w:tcW w:w="988" w:type="dxa"/>
            <w:vAlign w:val="center"/>
          </w:tcPr>
          <w:p w14:paraId="6C409E76" w14:textId="478199C7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14:paraId="060BF5C1" w14:textId="2A28862A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 w:rsidRPr="000E4C37">
              <w:rPr>
                <w:lang w:val="en-GB"/>
              </w:rPr>
              <w:t>5(a)</w:t>
            </w:r>
          </w:p>
        </w:tc>
        <w:tc>
          <w:tcPr>
            <w:tcW w:w="7365" w:type="dxa"/>
          </w:tcPr>
          <w:p w14:paraId="13DF9B59" w14:textId="1ABA7C2F" w:rsidR="00FC7F92" w:rsidRPr="000C5CC6" w:rsidRDefault="00D41522" w:rsidP="000C5CC6">
            <w:pPr>
              <w:spacing w:after="120" w:line="240" w:lineRule="auto"/>
            </w:pPr>
            <w:r w:rsidRPr="00D41522">
              <w:t xml:space="preserve">Le GRVA a approuvé </w:t>
            </w:r>
            <w:r>
              <w:t>le</w:t>
            </w:r>
            <w:r w:rsidRPr="00D41522">
              <w:t xml:space="preserve"> principe </w:t>
            </w:r>
            <w:r>
              <w:t>proposé dans le document</w:t>
            </w:r>
            <w:r w:rsidRPr="00D41522">
              <w:t xml:space="preserve"> GRVA-07-25, </w:t>
            </w:r>
            <w:r>
              <w:t xml:space="preserve">contenant </w:t>
            </w:r>
            <w:r w:rsidRPr="00D41522">
              <w:t xml:space="preserve">un projet </w:t>
            </w:r>
            <w:r>
              <w:t>de lignes guide</w:t>
            </w:r>
            <w:r w:rsidRPr="00D41522">
              <w:t xml:space="preserve"> à l'intention des autorités </w:t>
            </w:r>
            <w:r>
              <w:t xml:space="preserve">d’homologation </w:t>
            </w:r>
            <w:r w:rsidRPr="00D41522">
              <w:t>sur la manière d'utiliser</w:t>
            </w:r>
            <w:r w:rsidR="002A59C5">
              <w:t xml:space="preserve">, </w:t>
            </w:r>
            <w:r w:rsidR="002A59C5" w:rsidRPr="00D41522">
              <w:t>conformément au</w:t>
            </w:r>
            <w:r w:rsidR="002A59C5">
              <w:t>x</w:t>
            </w:r>
            <w:r w:rsidR="002A59C5" w:rsidRPr="00D41522">
              <w:t xml:space="preserve"> </w:t>
            </w:r>
            <w:r w:rsidR="002A59C5">
              <w:t>dispositions du R</w:t>
            </w:r>
            <w:r w:rsidR="002A59C5" w:rsidRPr="00D41522">
              <w:t>èglement de l'ONU n ° [155]</w:t>
            </w:r>
            <w:r w:rsidR="002A59C5">
              <w:t>,</w:t>
            </w:r>
            <w:r w:rsidRPr="00D41522">
              <w:t xml:space="preserve"> la base de données pour l'échange d'homologations de type</w:t>
            </w:r>
            <w:r>
              <w:t xml:space="preserve"> (DETA)</w:t>
            </w:r>
            <w:r w:rsidRPr="00D41522">
              <w:t xml:space="preserve"> hébergée </w:t>
            </w:r>
            <w:r>
              <w:t xml:space="preserve">actuellement </w:t>
            </w:r>
            <w:r w:rsidRPr="00D41522">
              <w:t>par l'</w:t>
            </w:r>
            <w:r w:rsidR="002A59C5">
              <w:t xml:space="preserve">Allemagne. </w:t>
            </w:r>
            <w:r w:rsidRPr="00D41522">
              <w:t>Le document sera finalisé avant le WP.29 en novembre 2020, de manière à pouvoir être adopté en même temps que le document figurant dans la décision 6 ci-dessus.</w:t>
            </w:r>
          </w:p>
        </w:tc>
      </w:tr>
      <w:tr w:rsidR="00FC7F92" w:rsidRPr="000C5CC6" w14:paraId="2EFE396C" w14:textId="77777777" w:rsidTr="00CD37D7">
        <w:tc>
          <w:tcPr>
            <w:tcW w:w="988" w:type="dxa"/>
            <w:vAlign w:val="center"/>
          </w:tcPr>
          <w:p w14:paraId="26612A16" w14:textId="467D81CB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</w:p>
        </w:tc>
        <w:tc>
          <w:tcPr>
            <w:tcW w:w="1275" w:type="dxa"/>
            <w:vAlign w:val="center"/>
          </w:tcPr>
          <w:p w14:paraId="7898685A" w14:textId="6FAFD352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5(a)</w:t>
            </w:r>
          </w:p>
        </w:tc>
        <w:tc>
          <w:tcPr>
            <w:tcW w:w="7365" w:type="dxa"/>
          </w:tcPr>
          <w:p w14:paraId="09E84726" w14:textId="72A40E03" w:rsidR="00FC7F92" w:rsidRPr="000C5CC6" w:rsidRDefault="00D41522" w:rsidP="000C5CC6">
            <w:pPr>
              <w:spacing w:after="120" w:line="240" w:lineRule="auto"/>
            </w:pPr>
            <w:r w:rsidRPr="00D41522">
              <w:t>Le GRVA a demandé au secrétariat de prévoir un emplacement spécifique sur son site Web pour tous les documents relatifs à la cybersécurité et aux mises à jour logicielles (décisions 6, 7 et 9).</w:t>
            </w:r>
          </w:p>
        </w:tc>
      </w:tr>
      <w:tr w:rsidR="00FC7F92" w:rsidRPr="000C5CC6" w14:paraId="58ED547F" w14:textId="77777777" w:rsidTr="00CD37D7">
        <w:tc>
          <w:tcPr>
            <w:tcW w:w="988" w:type="dxa"/>
            <w:vAlign w:val="center"/>
          </w:tcPr>
          <w:p w14:paraId="69EDBC0C" w14:textId="272B374B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14:paraId="60541410" w14:textId="474AD75E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5(b)</w:t>
            </w:r>
          </w:p>
        </w:tc>
        <w:tc>
          <w:tcPr>
            <w:tcW w:w="7365" w:type="dxa"/>
          </w:tcPr>
          <w:p w14:paraId="1492A5BF" w14:textId="29CAFD9E" w:rsidR="00FC7F92" w:rsidRPr="000C5CC6" w:rsidRDefault="00D41522" w:rsidP="000C5CC6">
            <w:pPr>
              <w:spacing w:after="120" w:line="240" w:lineRule="auto"/>
            </w:pPr>
            <w:r w:rsidRPr="00D41522">
              <w:t>Le GRVA a approuvé le document ECE/TRANS/WP.29/GRVA/2020/29 tel qu</w:t>
            </w:r>
            <w:r w:rsidR="00CD37D7">
              <w:t>’amendé</w:t>
            </w:r>
            <w:r w:rsidRPr="00D41522">
              <w:t xml:space="preserve"> par le </w:t>
            </w:r>
            <w:r>
              <w:t xml:space="preserve">document informel </w:t>
            </w:r>
            <w:r w:rsidRPr="00D41522">
              <w:t xml:space="preserve">GRVA-07-50, qui propose des orientations sur la manière d'interpréter le Règlement de l'ONU n ° [156] (Systèmes de gestion des mises à jour logicielles et des mises à jour logicielles) et </w:t>
            </w:r>
            <w:r w:rsidR="002A59C5">
              <w:t xml:space="preserve">a </w:t>
            </w:r>
            <w:r w:rsidRPr="00D41522">
              <w:t>recommandé son adoption par le WP.29 en novembre 2020.</w:t>
            </w:r>
          </w:p>
        </w:tc>
      </w:tr>
      <w:tr w:rsidR="00FC7F92" w:rsidRPr="000C5CC6" w14:paraId="11F1650B" w14:textId="77777777" w:rsidTr="00CD37D7">
        <w:tc>
          <w:tcPr>
            <w:tcW w:w="988" w:type="dxa"/>
            <w:vAlign w:val="center"/>
          </w:tcPr>
          <w:p w14:paraId="23CF6A40" w14:textId="35AA1FD9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14:paraId="672BD21E" w14:textId="1D34FE41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5(b)</w:t>
            </w:r>
          </w:p>
        </w:tc>
        <w:tc>
          <w:tcPr>
            <w:tcW w:w="7365" w:type="dxa"/>
          </w:tcPr>
          <w:p w14:paraId="1728C3EF" w14:textId="77D83BD7" w:rsidR="00FC7F92" w:rsidRPr="000C5CC6" w:rsidRDefault="00D41522" w:rsidP="000C5CC6">
            <w:pPr>
              <w:spacing w:after="120" w:line="240" w:lineRule="auto"/>
            </w:pPr>
            <w:r w:rsidRPr="00D41522">
              <w:t>Le GRVA a décidé de reprendre la discussion sur GRVA-07-37 sur la base d'un document révisé, distribué sous une cote officielle à sa session de février 2021.</w:t>
            </w:r>
          </w:p>
        </w:tc>
      </w:tr>
      <w:tr w:rsidR="00FC7F92" w:rsidRPr="000C5CC6" w14:paraId="07EC1168" w14:textId="77777777" w:rsidTr="00CD37D7">
        <w:tc>
          <w:tcPr>
            <w:tcW w:w="988" w:type="dxa"/>
            <w:vAlign w:val="center"/>
          </w:tcPr>
          <w:p w14:paraId="74BE19D4" w14:textId="137B301E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3BF1DB1E" w14:textId="150AB392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5(c)</w:t>
            </w:r>
          </w:p>
        </w:tc>
        <w:tc>
          <w:tcPr>
            <w:tcW w:w="7365" w:type="dxa"/>
          </w:tcPr>
          <w:p w14:paraId="486FE68A" w14:textId="72B3D3FB" w:rsidR="00FC7F92" w:rsidRPr="000C5CC6" w:rsidRDefault="00D41522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 w:rsidR="00FC7F92">
              <w:t>.</w:t>
            </w:r>
          </w:p>
        </w:tc>
      </w:tr>
      <w:tr w:rsidR="00FC7F92" w:rsidRPr="000C5CC6" w14:paraId="14361C7A" w14:textId="77777777" w:rsidTr="00CD37D7">
        <w:tc>
          <w:tcPr>
            <w:tcW w:w="988" w:type="dxa"/>
            <w:vAlign w:val="center"/>
          </w:tcPr>
          <w:p w14:paraId="06646B06" w14:textId="0AC6FBDF" w:rsidR="00FC7F92" w:rsidRPr="005D440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56A670C" w14:textId="5697A51B" w:rsidR="00FC7F92" w:rsidRPr="00D21CA7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5(d)</w:t>
            </w:r>
          </w:p>
        </w:tc>
        <w:tc>
          <w:tcPr>
            <w:tcW w:w="7365" w:type="dxa"/>
          </w:tcPr>
          <w:p w14:paraId="6E001518" w14:textId="3272A1BE" w:rsidR="00FC7F92" w:rsidRPr="000C5CC6" w:rsidRDefault="00D41522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1F1B4C81" w14:textId="77777777" w:rsidTr="00CD37D7">
        <w:tc>
          <w:tcPr>
            <w:tcW w:w="988" w:type="dxa"/>
            <w:vAlign w:val="center"/>
          </w:tcPr>
          <w:p w14:paraId="7AEF3761" w14:textId="762F0275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462C73E2" w14:textId="12A5D813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</w:tcPr>
          <w:p w14:paraId="32667174" w14:textId="7D409865" w:rsidR="00FC7F92" w:rsidRPr="000C5CC6" w:rsidRDefault="00D41522" w:rsidP="000C5CC6">
            <w:pPr>
              <w:spacing w:after="120" w:line="240" w:lineRule="auto"/>
            </w:pPr>
            <w:r w:rsidRPr="00D41522">
              <w:t xml:space="preserve">Le GRVA a adopté le document ECE/TRANS/WP.29/GRVA/2020/23 et a prié le secrétariat de le soumettre en tant que complément à la série 03 d'amendements au Règlement </w:t>
            </w:r>
            <w:r>
              <w:t xml:space="preserve">de l’ONU </w:t>
            </w:r>
            <w:r w:rsidRPr="00D41522">
              <w:t>n</w:t>
            </w:r>
            <w:r>
              <w:t xml:space="preserve"> </w:t>
            </w:r>
            <w:r w:rsidRPr="00BD0DEF">
              <w:t>°</w:t>
            </w:r>
            <w:r w:rsidRPr="00D41522">
              <w:t xml:space="preserve"> 79 pour examen et vote par le WP.29 et l'AC.1 lors de leur</w:t>
            </w:r>
            <w:r w:rsidR="00137277">
              <w:t>s</w:t>
            </w:r>
            <w:bookmarkStart w:id="0" w:name="_GoBack"/>
            <w:bookmarkEnd w:id="0"/>
            <w:r w:rsidRPr="00D41522">
              <w:t xml:space="preserve"> </w:t>
            </w:r>
            <w:r>
              <w:t>s</w:t>
            </w:r>
            <w:r w:rsidRPr="00D41522">
              <w:t>essions de mars 2021.</w:t>
            </w:r>
          </w:p>
        </w:tc>
      </w:tr>
      <w:tr w:rsidR="00FC7F92" w:rsidRPr="000C5CC6" w14:paraId="5C5F6AF5" w14:textId="77777777" w:rsidTr="00CD37D7">
        <w:tc>
          <w:tcPr>
            <w:tcW w:w="988" w:type="dxa"/>
            <w:vAlign w:val="center"/>
          </w:tcPr>
          <w:p w14:paraId="7552B0C6" w14:textId="7AB52CCA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005499D0" w14:textId="7F5F0D84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</w:tcPr>
          <w:p w14:paraId="489D7A08" w14:textId="6DD6AE0D" w:rsidR="00FC7F92" w:rsidRPr="000C5CC6" w:rsidRDefault="00D41522" w:rsidP="000C5CC6">
            <w:pPr>
              <w:spacing w:after="120" w:line="240" w:lineRule="auto"/>
            </w:pPr>
            <w:r w:rsidRPr="00D41522">
              <w:t>Les propositions révisées seront examinées à la prochaine sessio</w:t>
            </w:r>
            <w:r>
              <w:t>n.</w:t>
            </w:r>
          </w:p>
        </w:tc>
      </w:tr>
      <w:tr w:rsidR="00FC7F92" w:rsidRPr="000C5CC6" w14:paraId="3A54C9B6" w14:textId="77777777" w:rsidTr="00CD37D7">
        <w:tc>
          <w:tcPr>
            <w:tcW w:w="988" w:type="dxa"/>
            <w:vAlign w:val="center"/>
          </w:tcPr>
          <w:p w14:paraId="5397305D" w14:textId="553C38FF" w:rsidR="00FC7F92" w:rsidRPr="00243D86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14:paraId="6A27472F" w14:textId="7C967F21" w:rsidR="00FC7F92" w:rsidRPr="00243D86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6(c)</w:t>
            </w:r>
          </w:p>
        </w:tc>
        <w:tc>
          <w:tcPr>
            <w:tcW w:w="7365" w:type="dxa"/>
          </w:tcPr>
          <w:p w14:paraId="7FE2C963" w14:textId="3D2C76CF" w:rsidR="00FC7F92" w:rsidRPr="000C5CC6" w:rsidRDefault="00D41522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64DE253B" w14:textId="77777777" w:rsidTr="00CD37D7">
        <w:tc>
          <w:tcPr>
            <w:tcW w:w="988" w:type="dxa"/>
            <w:vAlign w:val="center"/>
          </w:tcPr>
          <w:p w14:paraId="61CB1093" w14:textId="3DE4DCE0" w:rsidR="00FC7F92" w:rsidRPr="00756FAB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4647BFDA" w14:textId="349810B2" w:rsidR="00FC7F92" w:rsidRPr="00756FAB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6(d)</w:t>
            </w:r>
          </w:p>
        </w:tc>
        <w:tc>
          <w:tcPr>
            <w:tcW w:w="7365" w:type="dxa"/>
          </w:tcPr>
          <w:p w14:paraId="4997EFFA" w14:textId="50D2AC65" w:rsidR="00FC7F92" w:rsidRPr="000C5CC6" w:rsidRDefault="00D41522" w:rsidP="000C5CC6">
            <w:pPr>
              <w:spacing w:after="120" w:line="240" w:lineRule="auto"/>
            </w:pPr>
            <w:r w:rsidRPr="00D41522">
              <w:t>Le GRVA a décidé de consulter l'AC.2 sur les activités appropriées concernant les technologies dites «sans intervention</w:t>
            </w:r>
            <w:r w:rsidR="00C5649B">
              <w:t xml:space="preserve"> (Hands off)</w:t>
            </w:r>
            <w:r w:rsidRPr="00D41522">
              <w:t>» de niveau 2.</w:t>
            </w:r>
          </w:p>
        </w:tc>
      </w:tr>
      <w:tr w:rsidR="00FC7F92" w:rsidRPr="000C5CC6" w14:paraId="06DA1580" w14:textId="77777777" w:rsidTr="00CD37D7">
        <w:tc>
          <w:tcPr>
            <w:tcW w:w="988" w:type="dxa"/>
            <w:vAlign w:val="center"/>
          </w:tcPr>
          <w:p w14:paraId="3947395A" w14:textId="12D9972F" w:rsidR="00FC7F92" w:rsidRPr="007D307F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14:paraId="7C700144" w14:textId="48C5524F" w:rsidR="00FC7F92" w:rsidRPr="007D307F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365" w:type="dxa"/>
          </w:tcPr>
          <w:p w14:paraId="2DA518A5" w14:textId="7B347037" w:rsidR="00C5649B" w:rsidRPr="00C5649B" w:rsidRDefault="00C5649B" w:rsidP="000C5CC6">
            <w:pPr>
              <w:spacing w:after="120" w:line="240" w:lineRule="auto"/>
            </w:pPr>
            <w:r w:rsidRPr="00C5649B">
              <w:t xml:space="preserve">Le GRVA a adopté le document ECE/TRANS/WP.29/GRVA/2020/26 tel qu'amendé par </w:t>
            </w:r>
            <w:r>
              <w:t xml:space="preserve">le document informel </w:t>
            </w:r>
            <w:r w:rsidRPr="00C5649B">
              <w:t xml:space="preserve">GRVA-07-09 et a demandé au secrétariat de le soumettre en tant que complément à la série 00/01 d'amendements au Règlement </w:t>
            </w:r>
            <w:r>
              <w:t>de l’</w:t>
            </w:r>
            <w:r w:rsidRPr="00C5649B">
              <w:t>ONU n ° 152 (AEBS) pour examen et vote par le WP.29 et l'AC.1 à leurs sessions de mars 2021.</w:t>
            </w:r>
          </w:p>
          <w:p w14:paraId="6FED8A28" w14:textId="1B1E8968" w:rsidR="000C5CC6" w:rsidRPr="000C5CC6" w:rsidRDefault="00C5649B" w:rsidP="000C5CC6">
            <w:pPr>
              <w:spacing w:after="120" w:line="240" w:lineRule="auto"/>
            </w:pPr>
            <w:r w:rsidRPr="00C5649B">
              <w:t>Le GRVA a adopté le document ECE/TRANS/WP.29/GRVA/2020/27 tel qu'amendé par GRVA-07-10, ECE/TRANS/WP.29/GRVA/2020/28 tel qu'amendé par GRVA-07-11 et ECE/TRANS/WP.29/GRVA/2020/35 tel qu</w:t>
            </w:r>
            <w:r w:rsidR="00CD37D7">
              <w:t>’amendé</w:t>
            </w:r>
            <w:r w:rsidRPr="00C5649B">
              <w:t xml:space="preserve"> par GRVA-07-53. Le GRVA a demandé au secrétariat de les soumettre pour examen</w:t>
            </w:r>
            <w:r>
              <w:t xml:space="preserve"> et</w:t>
            </w:r>
            <w:r w:rsidRPr="00C5649B">
              <w:t xml:space="preserve"> décision sur l'approche </w:t>
            </w:r>
            <w:r w:rsidRPr="00C5649B">
              <w:rPr>
                <w:i/>
                <w:iCs/>
              </w:rPr>
              <w:t>en une</w:t>
            </w:r>
            <w:r>
              <w:rPr>
                <w:i/>
                <w:iCs/>
              </w:rPr>
              <w:t xml:space="preserve"> </w:t>
            </w:r>
            <w:r w:rsidR="00CD37D7">
              <w:rPr>
                <w:i/>
                <w:iCs/>
              </w:rPr>
              <w:t>étape</w:t>
            </w:r>
            <w:r w:rsidRPr="00C5649B">
              <w:t xml:space="preserve"> ou </w:t>
            </w:r>
            <w:r w:rsidRPr="00C5649B">
              <w:rPr>
                <w:i/>
                <w:iCs/>
              </w:rPr>
              <w:t>en deux</w:t>
            </w:r>
            <w:r w:rsidRPr="00C5649B">
              <w:t xml:space="preserve"> </w:t>
            </w:r>
            <w:r w:rsidRPr="00C5649B">
              <w:rPr>
                <w:i/>
                <w:iCs/>
              </w:rPr>
              <w:t>étapes</w:t>
            </w:r>
            <w:r w:rsidRPr="00C5649B">
              <w:t xml:space="preserve"> en novembre 2020 </w:t>
            </w:r>
            <w:r>
              <w:t>puis pour</w:t>
            </w:r>
            <w:r w:rsidRPr="00C5649B">
              <w:t xml:space="preserve"> vote par le WP.29 et l'AC.1 à leurs sessions de mars 2021.</w:t>
            </w:r>
          </w:p>
        </w:tc>
      </w:tr>
      <w:tr w:rsidR="00FC7F92" w:rsidRPr="000C5CC6" w14:paraId="3222CB09" w14:textId="77777777" w:rsidTr="00CD37D7">
        <w:tc>
          <w:tcPr>
            <w:tcW w:w="988" w:type="dxa"/>
            <w:vAlign w:val="center"/>
          </w:tcPr>
          <w:p w14:paraId="77777171" w14:textId="7A1F4487" w:rsidR="00FC7F92" w:rsidRPr="007D307F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14:paraId="3C47E0C1" w14:textId="54F36BC7" w:rsidR="00FC7F92" w:rsidRPr="007D307F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365" w:type="dxa"/>
          </w:tcPr>
          <w:p w14:paraId="17FF18F6" w14:textId="77777777" w:rsidR="00C5649B" w:rsidRDefault="00C5649B" w:rsidP="000C5CC6">
            <w:pPr>
              <w:spacing w:after="120" w:line="240" w:lineRule="auto"/>
            </w:pPr>
            <w:r>
              <w:t>Le GRVA a approuvé la proposition de l'Allemagne de créer un GTI sur l'AEBS pour les véhicules lourds. Le GRVA a également accepté d'examiner la proposition de la France de traiter spécifiquement les situations liées aux barrières de péage et de passage à niveau. GRVA a approuvé le GRVA-07-40.</w:t>
            </w:r>
          </w:p>
          <w:p w14:paraId="2C862AC0" w14:textId="0B6C9CAF" w:rsidR="00FC7F92" w:rsidRPr="000C5CC6" w:rsidRDefault="00C5649B" w:rsidP="000C5CC6">
            <w:pPr>
              <w:spacing w:after="120" w:line="240" w:lineRule="auto"/>
            </w:pPr>
            <w:r>
              <w:t>Le GRVA a décidé que l'expert de l'Allemagne inviterait les délégations à participer à la première réunion informelle et a demandé au groupe de soumettre un mandat révisé pour examen à la huitième session du GRVA.</w:t>
            </w:r>
          </w:p>
        </w:tc>
      </w:tr>
      <w:tr w:rsidR="00FC7F92" w:rsidRPr="000C5CC6" w14:paraId="72D501E8" w14:textId="77777777" w:rsidTr="00CD37D7">
        <w:tc>
          <w:tcPr>
            <w:tcW w:w="988" w:type="dxa"/>
            <w:vAlign w:val="center"/>
          </w:tcPr>
          <w:p w14:paraId="7BD3F673" w14:textId="19CA88B4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14:paraId="0DA2A659" w14:textId="197A8B49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8(a)</w:t>
            </w:r>
          </w:p>
        </w:tc>
        <w:tc>
          <w:tcPr>
            <w:tcW w:w="7365" w:type="dxa"/>
          </w:tcPr>
          <w:p w14:paraId="33D44E85" w14:textId="25FC082F" w:rsidR="00FC7F92" w:rsidRPr="000C5CC6" w:rsidRDefault="00C5649B" w:rsidP="000C5CC6">
            <w:pPr>
              <w:spacing w:after="120" w:line="240" w:lineRule="auto"/>
            </w:pPr>
            <w:r w:rsidRPr="00C5649B">
              <w:t>Le GRVA a décidé de reprendre le débat sur le document ECE/TRANS/WP.29/</w:t>
            </w:r>
            <w:r w:rsidR="002A59C5">
              <w:br/>
            </w:r>
            <w:r w:rsidRPr="00C5649B">
              <w:t>GRVA/2020/34 (ou d'examiner une proposition révisée) et un rapport correspondant à cet amendement à sa prochaine session.</w:t>
            </w:r>
          </w:p>
        </w:tc>
      </w:tr>
      <w:tr w:rsidR="00FC7F92" w:rsidRPr="000C5CC6" w14:paraId="14D6EF90" w14:textId="77777777" w:rsidTr="00CD37D7">
        <w:tc>
          <w:tcPr>
            <w:tcW w:w="988" w:type="dxa"/>
            <w:vAlign w:val="center"/>
          </w:tcPr>
          <w:p w14:paraId="7BA7D4B5" w14:textId="1D01DE00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vAlign w:val="center"/>
          </w:tcPr>
          <w:p w14:paraId="70982A8C" w14:textId="0D3E28C5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8(b)</w:t>
            </w:r>
          </w:p>
        </w:tc>
        <w:tc>
          <w:tcPr>
            <w:tcW w:w="7365" w:type="dxa"/>
          </w:tcPr>
          <w:p w14:paraId="18A5345F" w14:textId="6DD881E4" w:rsidR="00FC7F92" w:rsidRPr="000C5CC6" w:rsidRDefault="00C5649B" w:rsidP="000C5CC6">
            <w:pPr>
              <w:spacing w:after="120" w:line="240" w:lineRule="auto"/>
            </w:pPr>
            <w:r w:rsidRPr="00C5649B">
              <w:t xml:space="preserve">Le GRVA a adopté le document ECE/TRANS/WP.29/GRVA/2020/30 tel qu'amendé par le GRVA-07-71 et a prié le secrétariat de le soumettre en tant que supplément à la </w:t>
            </w:r>
            <w:r>
              <w:t xml:space="preserve">onzième </w:t>
            </w:r>
            <w:r w:rsidRPr="00C5649B">
              <w:t>série d'amendements</w:t>
            </w:r>
            <w:r>
              <w:t xml:space="preserve"> </w:t>
            </w:r>
            <w:r w:rsidRPr="00C5649B">
              <w:t xml:space="preserve">au Règlement </w:t>
            </w:r>
            <w:r>
              <w:t xml:space="preserve">de l’ONU </w:t>
            </w:r>
            <w:r w:rsidRPr="00C5649B">
              <w:t xml:space="preserve">n ° 13 </w:t>
            </w:r>
            <w:r w:rsidR="002A59C5">
              <w:t xml:space="preserve">pour examen et vote par le </w:t>
            </w:r>
            <w:r w:rsidRPr="00C5649B">
              <w:t xml:space="preserve">WP.29 et </w:t>
            </w:r>
            <w:r w:rsidR="002A59C5">
              <w:t>l’</w:t>
            </w:r>
            <w:r w:rsidRPr="00C5649B">
              <w:t>AC.1 à leurs sessions de mars 2021</w:t>
            </w:r>
            <w:r>
              <w:t>.</w:t>
            </w:r>
          </w:p>
        </w:tc>
      </w:tr>
      <w:tr w:rsidR="00FC7F92" w:rsidRPr="000C5CC6" w14:paraId="450337DD" w14:textId="77777777" w:rsidTr="00CD37D7">
        <w:tc>
          <w:tcPr>
            <w:tcW w:w="988" w:type="dxa"/>
            <w:vAlign w:val="center"/>
          </w:tcPr>
          <w:p w14:paraId="5057C30A" w14:textId="1D54B058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vAlign w:val="center"/>
          </w:tcPr>
          <w:p w14:paraId="51E22FCC" w14:textId="24AEB85A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8(c)</w:t>
            </w:r>
          </w:p>
        </w:tc>
        <w:tc>
          <w:tcPr>
            <w:tcW w:w="7365" w:type="dxa"/>
          </w:tcPr>
          <w:p w14:paraId="6D5084CA" w14:textId="0A796306" w:rsidR="00FC7F92" w:rsidRPr="000C5CC6" w:rsidRDefault="00C5649B" w:rsidP="000C5CC6">
            <w:pPr>
              <w:spacing w:after="120" w:line="240" w:lineRule="auto"/>
            </w:pPr>
            <w:r w:rsidRPr="00C5649B">
              <w:t>Le GRVA a adopté le document ECE/TRANS/WP.29/GRVA/2020/20 et a prié le secrétariat de le soumettre en tant que complément à la série 01 d'amendements au Règlement de l'ONU n</w:t>
            </w:r>
            <w:r>
              <w:t xml:space="preserve"> °</w:t>
            </w:r>
            <w:r w:rsidRPr="00C5649B">
              <w:t xml:space="preserve"> 13-H pour examen et vote par le WP.29 et l'AC.1 lors de leurs sessions de mars 2021</w:t>
            </w:r>
            <w:r>
              <w:t>.</w:t>
            </w:r>
          </w:p>
        </w:tc>
      </w:tr>
      <w:tr w:rsidR="00FC7F92" w:rsidRPr="000C5CC6" w14:paraId="1490A77B" w14:textId="77777777" w:rsidTr="00CD37D7">
        <w:tc>
          <w:tcPr>
            <w:tcW w:w="988" w:type="dxa"/>
            <w:vAlign w:val="center"/>
          </w:tcPr>
          <w:p w14:paraId="396E52AC" w14:textId="2BB36AE9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14:paraId="58666A06" w14:textId="5DE323AB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8(c)</w:t>
            </w:r>
          </w:p>
        </w:tc>
        <w:tc>
          <w:tcPr>
            <w:tcW w:w="7365" w:type="dxa"/>
            <w:vAlign w:val="center"/>
          </w:tcPr>
          <w:p w14:paraId="6BFE4457" w14:textId="3A4F2CE0" w:rsidR="00FC7F92" w:rsidRPr="000C5CC6" w:rsidRDefault="00C5649B" w:rsidP="000C5CC6">
            <w:pPr>
              <w:spacing w:after="120" w:line="240" w:lineRule="auto"/>
            </w:pPr>
            <w:r w:rsidRPr="00C5649B">
              <w:t>Le GRVA a adopté le document ECE/TRANS/WP.29/GRVA/2020/36 tel que modifié par</w:t>
            </w:r>
            <w:r>
              <w:t xml:space="preserve"> </w:t>
            </w:r>
            <w:r w:rsidRPr="00C5649B">
              <w:t xml:space="preserve">GRVA-07-73-Rev.1 et a demandé au secrétariat de le soumettre en tant que complément à la </w:t>
            </w:r>
            <w:r>
              <w:t>onzième</w:t>
            </w:r>
            <w:r w:rsidRPr="00C5649B">
              <w:t xml:space="preserve"> série d'amendements au Règlement </w:t>
            </w:r>
            <w:r>
              <w:t xml:space="preserve">de l’ONU </w:t>
            </w:r>
            <w:r w:rsidRPr="00C5649B">
              <w:t>n</w:t>
            </w:r>
            <w:r>
              <w:t xml:space="preserve"> °</w:t>
            </w:r>
            <w:r w:rsidRPr="00C5649B">
              <w:t xml:space="preserve"> 13 pour examen et vote par le WP.29 et l'AC.1 en mars 2021.</w:t>
            </w:r>
          </w:p>
        </w:tc>
      </w:tr>
      <w:tr w:rsidR="00FC7F92" w:rsidRPr="000C5CC6" w14:paraId="7C4F29EF" w14:textId="77777777" w:rsidTr="00CD37D7">
        <w:tc>
          <w:tcPr>
            <w:tcW w:w="988" w:type="dxa"/>
            <w:vAlign w:val="center"/>
          </w:tcPr>
          <w:p w14:paraId="0C75E67D" w14:textId="6C5EA3FA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 w:rsidRPr="00BD7227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221803DB" w14:textId="6DDC4231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9(a)</w:t>
            </w:r>
          </w:p>
        </w:tc>
        <w:tc>
          <w:tcPr>
            <w:tcW w:w="7365" w:type="dxa"/>
            <w:vAlign w:val="center"/>
          </w:tcPr>
          <w:p w14:paraId="0E58B61D" w14:textId="59C01E17" w:rsidR="00FC7F92" w:rsidRPr="000C5CC6" w:rsidRDefault="00C5649B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743C22A2" w14:textId="77777777" w:rsidTr="00CD37D7">
        <w:tc>
          <w:tcPr>
            <w:tcW w:w="988" w:type="dxa"/>
            <w:vAlign w:val="center"/>
          </w:tcPr>
          <w:p w14:paraId="686262AB" w14:textId="09C3842D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14:paraId="21701B15" w14:textId="35E4414C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9(b)</w:t>
            </w:r>
          </w:p>
        </w:tc>
        <w:tc>
          <w:tcPr>
            <w:tcW w:w="7365" w:type="dxa"/>
            <w:vAlign w:val="center"/>
          </w:tcPr>
          <w:p w14:paraId="64CBA9C0" w14:textId="37F554B9" w:rsidR="00FC7F92" w:rsidRPr="000C5CC6" w:rsidRDefault="00C5649B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01C493D6" w14:textId="77777777" w:rsidTr="00CD37D7">
        <w:tc>
          <w:tcPr>
            <w:tcW w:w="988" w:type="dxa"/>
            <w:vAlign w:val="center"/>
          </w:tcPr>
          <w:p w14:paraId="420992AB" w14:textId="50F0D8BB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vAlign w:val="center"/>
          </w:tcPr>
          <w:p w14:paraId="044C80AB" w14:textId="10A9BEE1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365" w:type="dxa"/>
            <w:vAlign w:val="center"/>
          </w:tcPr>
          <w:p w14:paraId="05F0CBBC" w14:textId="0576C1CC" w:rsidR="00FC7F92" w:rsidRPr="000C5CC6" w:rsidRDefault="00C5649B" w:rsidP="000C5CC6">
            <w:pPr>
              <w:spacing w:after="120" w:line="240" w:lineRule="auto"/>
            </w:pPr>
            <w:r w:rsidRPr="00C5649B">
              <w:t>Le GRVA a décidé de reporter l'examen de ce point à sa prochaine session et a demandé au secrétariat de distribuer le GRVA-07-52 sous une cote officielle</w:t>
            </w:r>
            <w:r w:rsidR="002A59C5">
              <w:t xml:space="preserve"> à la prochaine session</w:t>
            </w:r>
            <w:r w:rsidR="000C5CC6">
              <w:t>.</w:t>
            </w:r>
          </w:p>
        </w:tc>
      </w:tr>
      <w:tr w:rsidR="00FC7F92" w:rsidRPr="000C5CC6" w14:paraId="35333CC5" w14:textId="77777777" w:rsidTr="00CD37D7">
        <w:tc>
          <w:tcPr>
            <w:tcW w:w="988" w:type="dxa"/>
            <w:vAlign w:val="center"/>
          </w:tcPr>
          <w:p w14:paraId="6D68367B" w14:textId="112A5C06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vAlign w:val="center"/>
          </w:tcPr>
          <w:p w14:paraId="51FF004D" w14:textId="5B0C6F0A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11(a)</w:t>
            </w:r>
          </w:p>
        </w:tc>
        <w:tc>
          <w:tcPr>
            <w:tcW w:w="7365" w:type="dxa"/>
            <w:vAlign w:val="center"/>
          </w:tcPr>
          <w:p w14:paraId="3EBB5EDE" w14:textId="3DA71338" w:rsidR="00FC7F92" w:rsidRPr="000C5CC6" w:rsidRDefault="00C5649B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0B26DCBF" w14:textId="77777777" w:rsidTr="00CD37D7">
        <w:tc>
          <w:tcPr>
            <w:tcW w:w="988" w:type="dxa"/>
            <w:vAlign w:val="center"/>
          </w:tcPr>
          <w:p w14:paraId="09AF2E68" w14:textId="5967DF47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  <w:vAlign w:val="center"/>
          </w:tcPr>
          <w:p w14:paraId="20940148" w14:textId="070CC068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11(b)</w:t>
            </w:r>
          </w:p>
        </w:tc>
        <w:tc>
          <w:tcPr>
            <w:tcW w:w="7365" w:type="dxa"/>
            <w:vAlign w:val="center"/>
          </w:tcPr>
          <w:p w14:paraId="6901F528" w14:textId="50D95BE4" w:rsidR="00FC7F92" w:rsidRPr="000C5CC6" w:rsidRDefault="00C5649B" w:rsidP="000C5CC6">
            <w:pPr>
              <w:spacing w:after="120" w:line="240" w:lineRule="auto"/>
            </w:pPr>
            <w:r w:rsidRPr="00D41522">
              <w:t>(</w:t>
            </w:r>
            <w:r>
              <w:t>Point non critique</w:t>
            </w:r>
            <w:r w:rsidRPr="00D41522">
              <w:t>). Aucune décision</w:t>
            </w:r>
            <w:r>
              <w:t>.</w:t>
            </w:r>
          </w:p>
        </w:tc>
      </w:tr>
      <w:tr w:rsidR="00FC7F92" w:rsidRPr="000C5CC6" w14:paraId="66B76779" w14:textId="77777777" w:rsidTr="00CD37D7">
        <w:tc>
          <w:tcPr>
            <w:tcW w:w="988" w:type="dxa"/>
            <w:vAlign w:val="center"/>
          </w:tcPr>
          <w:p w14:paraId="4A2C999A" w14:textId="346961A2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center"/>
          </w:tcPr>
          <w:p w14:paraId="2C0D8C87" w14:textId="0F3E0D3B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12(a)</w:t>
            </w:r>
          </w:p>
        </w:tc>
        <w:tc>
          <w:tcPr>
            <w:tcW w:w="7365" w:type="dxa"/>
            <w:vAlign w:val="center"/>
          </w:tcPr>
          <w:p w14:paraId="1ED4D9E2" w14:textId="334A9F98" w:rsidR="00FC7F92" w:rsidRPr="000C5CC6" w:rsidRDefault="00C5649B" w:rsidP="000C5CC6">
            <w:pPr>
              <w:spacing w:after="120" w:line="240" w:lineRule="auto"/>
            </w:pPr>
            <w:r>
              <w:t>Le GRVA a décidé de consulter l'AC.2 sur les questions ayant une importance sur la définition des priorités de travail telles que les développements ultérieurs du Règlement de l’ONU n ° 79 (ACSF) et de l'ALKS, à la lumière du Document-cadre sur les véhicules automatisés.</w:t>
            </w:r>
          </w:p>
        </w:tc>
      </w:tr>
      <w:tr w:rsidR="00FC7F92" w:rsidRPr="000C5CC6" w14:paraId="125EB1F5" w14:textId="77777777" w:rsidTr="00CD37D7">
        <w:tc>
          <w:tcPr>
            <w:tcW w:w="988" w:type="dxa"/>
            <w:vAlign w:val="center"/>
          </w:tcPr>
          <w:p w14:paraId="25098BE3" w14:textId="4C98CE28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14:paraId="7A4851C3" w14:textId="5A8E53CB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12(b)</w:t>
            </w:r>
          </w:p>
        </w:tc>
        <w:tc>
          <w:tcPr>
            <w:tcW w:w="7365" w:type="dxa"/>
            <w:vAlign w:val="center"/>
          </w:tcPr>
          <w:p w14:paraId="3582B5E6" w14:textId="77777777" w:rsidR="00C5649B" w:rsidRDefault="00C5649B" w:rsidP="000C5CC6">
            <w:pPr>
              <w:spacing w:after="120" w:line="240" w:lineRule="auto"/>
            </w:pPr>
            <w:r>
              <w:t>GRVA a reçu des présentations sur l'intelligence artificielle dans les véhicules.</w:t>
            </w:r>
          </w:p>
          <w:p w14:paraId="43759EED" w14:textId="6876DEB4" w:rsidR="000C5CC6" w:rsidRPr="000C5CC6" w:rsidRDefault="00C5649B" w:rsidP="000C5CC6">
            <w:pPr>
              <w:spacing w:after="120" w:line="240" w:lineRule="auto"/>
            </w:pPr>
            <w:r>
              <w:t>Le GRVA a décidé de consulter l'AC.2 sur la manière dont le WP.29 devrait traiter l'intelligence artificielle.</w:t>
            </w:r>
          </w:p>
        </w:tc>
      </w:tr>
      <w:tr w:rsidR="00FC7F92" w:rsidRPr="000C5CC6" w14:paraId="7FBDED13" w14:textId="77777777" w:rsidTr="00CD37D7">
        <w:tc>
          <w:tcPr>
            <w:tcW w:w="988" w:type="dxa"/>
            <w:vAlign w:val="center"/>
          </w:tcPr>
          <w:p w14:paraId="55DDBEE6" w14:textId="61BD3392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275" w:type="dxa"/>
            <w:vAlign w:val="center"/>
          </w:tcPr>
          <w:p w14:paraId="36F14E8E" w14:textId="213177E7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12(c)</w:t>
            </w:r>
          </w:p>
        </w:tc>
        <w:tc>
          <w:tcPr>
            <w:tcW w:w="7365" w:type="dxa"/>
            <w:vAlign w:val="center"/>
          </w:tcPr>
          <w:p w14:paraId="625F5E9F" w14:textId="56A3E436" w:rsidR="00FC7F92" w:rsidRPr="000C5CC6" w:rsidRDefault="00C5649B" w:rsidP="000C5CC6">
            <w:pPr>
              <w:spacing w:after="120" w:line="240" w:lineRule="auto"/>
            </w:pPr>
            <w:r w:rsidRPr="00C5649B">
              <w:t>Le GRVA a pris note des informations fournies par le secrétariat sur les activités en cours concernant l’examen de la feuille de route de la CEE sur les STI.</w:t>
            </w:r>
          </w:p>
        </w:tc>
      </w:tr>
      <w:tr w:rsidR="00FC7F92" w:rsidRPr="000C5CC6" w14:paraId="24DBE2AB" w14:textId="77777777" w:rsidTr="00CD37D7">
        <w:tc>
          <w:tcPr>
            <w:tcW w:w="988" w:type="dxa"/>
            <w:vAlign w:val="center"/>
          </w:tcPr>
          <w:p w14:paraId="343CE0A6" w14:textId="1C0B9354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vAlign w:val="center"/>
          </w:tcPr>
          <w:p w14:paraId="1E8305C4" w14:textId="01D194A4" w:rsidR="00FC7F92" w:rsidRDefault="00FC7F92" w:rsidP="000C5CC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365" w:type="dxa"/>
            <w:vAlign w:val="center"/>
          </w:tcPr>
          <w:p w14:paraId="07D95185" w14:textId="226C0326" w:rsidR="00C5649B" w:rsidRPr="00C5649B" w:rsidRDefault="00C5649B" w:rsidP="000C5CC6">
            <w:pPr>
              <w:spacing w:after="120" w:line="240" w:lineRule="auto"/>
            </w:pPr>
            <w:r w:rsidRPr="00C5649B">
              <w:t>M</w:t>
            </w:r>
            <w:r>
              <w:t>r</w:t>
            </w:r>
            <w:r w:rsidRPr="00C5649B">
              <w:t xml:space="preserve"> </w:t>
            </w:r>
            <w:r>
              <w:t xml:space="preserve">R. </w:t>
            </w:r>
            <w:r w:rsidRPr="00C5649B">
              <w:t xml:space="preserve">Damm (Allemagne) a été élu président des sessions du GRVA </w:t>
            </w:r>
            <w:r w:rsidR="00CD37D7">
              <w:t>pour</w:t>
            </w:r>
            <w:r w:rsidRPr="00C5649B">
              <w:t xml:space="preserve"> 2021.</w:t>
            </w:r>
          </w:p>
          <w:p w14:paraId="2380F24B" w14:textId="67CA0625" w:rsidR="00FC7F92" w:rsidRPr="000C5CC6" w:rsidRDefault="00C5649B" w:rsidP="000C5CC6">
            <w:pPr>
              <w:spacing w:after="120" w:line="240" w:lineRule="auto"/>
            </w:pPr>
            <w:r w:rsidRPr="00C5649B">
              <w:t>Mme C. Chen (Chine) et M</w:t>
            </w:r>
            <w:r>
              <w:t>r. T.</w:t>
            </w:r>
            <w:r w:rsidRPr="00C5649B">
              <w:t xml:space="preserve"> Onoda (Japon) ont été élus vice-présidents des sessions du GRVA</w:t>
            </w:r>
            <w:r w:rsidR="00CD37D7">
              <w:t xml:space="preserve"> pour</w:t>
            </w:r>
            <w:r w:rsidRPr="00C5649B">
              <w:t xml:space="preserve"> 2021.</w:t>
            </w:r>
          </w:p>
        </w:tc>
      </w:tr>
    </w:tbl>
    <w:p w14:paraId="4EC22C4A" w14:textId="0A29E575" w:rsidR="005E765B" w:rsidRPr="008249C7" w:rsidRDefault="005E765B" w:rsidP="00626078"/>
    <w:p w14:paraId="0454736D" w14:textId="75AEC813" w:rsidR="005E765B" w:rsidRPr="008249C7" w:rsidRDefault="008249C7" w:rsidP="008249C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CFB0B" w14:textId="77777777" w:rsidR="005C6E97" w:rsidRPr="008249C7" w:rsidRDefault="005C6E97" w:rsidP="003C63AC"/>
    <w:p w14:paraId="1F9264C9" w14:textId="77777777" w:rsidR="003C63AC" w:rsidRPr="008249C7" w:rsidRDefault="003C63AC" w:rsidP="003C63AC"/>
    <w:sectPr w:rsidR="003C63AC" w:rsidRPr="008249C7" w:rsidSect="008249C7">
      <w:headerReference w:type="default" r:id="rId9"/>
      <w:headerReference w:type="first" r:id="rId10"/>
      <w:endnotePr>
        <w:numFmt w:val="decimal"/>
      </w:endnotePr>
      <w:pgSz w:w="11906" w:h="16838" w:code="9"/>
      <w:pgMar w:top="898" w:right="1134" w:bottom="568" w:left="1134" w:header="84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553A" w14:textId="77777777" w:rsidR="00201C91" w:rsidRDefault="00201C91" w:rsidP="00F95C08">
      <w:pPr>
        <w:spacing w:line="240" w:lineRule="auto"/>
      </w:pPr>
    </w:p>
  </w:endnote>
  <w:endnote w:type="continuationSeparator" w:id="0">
    <w:p w14:paraId="739B1AA0" w14:textId="77777777" w:rsidR="00201C91" w:rsidRPr="00AC3823" w:rsidRDefault="00201C91" w:rsidP="00AC3823">
      <w:pPr>
        <w:pStyle w:val="Footer"/>
      </w:pPr>
    </w:p>
  </w:endnote>
  <w:endnote w:type="continuationNotice" w:id="1">
    <w:p w14:paraId="228679B7" w14:textId="77777777" w:rsidR="00201C91" w:rsidRDefault="00201C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AD00" w14:textId="77777777" w:rsidR="00201C91" w:rsidRPr="00AC3823" w:rsidRDefault="00201C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88725E" w14:textId="77777777" w:rsidR="00201C91" w:rsidRPr="00AC3823" w:rsidRDefault="00201C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640FBC" w14:textId="77777777" w:rsidR="00201C91" w:rsidRPr="00AC3823" w:rsidRDefault="00201C9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671D" w14:textId="4F8AEDFA" w:rsidR="00F639A2" w:rsidRDefault="00F639A2" w:rsidP="00F639A2">
    <w:pPr>
      <w:pStyle w:val="Header"/>
      <w:pBdr>
        <w:bottom w:val="none" w:sz="0" w:space="0" w:color="auto"/>
      </w:pBdr>
      <w:jc w:val="right"/>
      <w:rPr>
        <w:b w:val="0"/>
        <w:bCs/>
        <w:i/>
        <w:iCs/>
      </w:rPr>
    </w:pPr>
    <w:r w:rsidRPr="00F639A2">
      <w:rPr>
        <w:b w:val="0"/>
        <w:bCs/>
        <w:i/>
        <w:iCs/>
      </w:rPr>
      <w:t>Traduction non éditée</w:t>
    </w:r>
  </w:p>
  <w:p w14:paraId="1FD87CD8" w14:textId="77777777" w:rsidR="009C7316" w:rsidRDefault="009C7316" w:rsidP="00F639A2">
    <w:pPr>
      <w:pStyle w:val="Header"/>
      <w:pBdr>
        <w:bottom w:val="none" w:sz="0" w:space="0" w:color="auto"/>
      </w:pBdr>
      <w:jc w:val="right"/>
      <w:rPr>
        <w:b w:val="0"/>
        <w:bCs/>
        <w:i/>
        <w:iCs/>
      </w:rPr>
    </w:pPr>
  </w:p>
  <w:p w14:paraId="6B523AC6" w14:textId="43F56BDC" w:rsidR="009C7316" w:rsidRPr="009C7316" w:rsidRDefault="009C7316" w:rsidP="00F639A2">
    <w:pPr>
      <w:pStyle w:val="Header"/>
      <w:pBdr>
        <w:bottom w:val="none" w:sz="0" w:space="0" w:color="auto"/>
      </w:pBdr>
      <w:jc w:val="right"/>
      <w:rPr>
        <w:b w:val="0"/>
        <w:bCs/>
      </w:rPr>
    </w:pPr>
    <w:r>
      <w:rPr>
        <w:b w:val="0"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DC8F" w14:textId="77777777" w:rsidR="008249C7" w:rsidRDefault="008249C7" w:rsidP="008249C7">
    <w:pPr>
      <w:pStyle w:val="Header"/>
      <w:pBdr>
        <w:bottom w:val="none" w:sz="0" w:space="0" w:color="auto"/>
      </w:pBdr>
      <w:jc w:val="right"/>
      <w:rPr>
        <w:b w:val="0"/>
        <w:bCs/>
        <w:i/>
        <w:iCs/>
      </w:rPr>
    </w:pPr>
    <w:r w:rsidRPr="00F639A2">
      <w:rPr>
        <w:b w:val="0"/>
        <w:bCs/>
        <w:i/>
        <w:iCs/>
      </w:rPr>
      <w:t>Traduction non éditée</w:t>
    </w:r>
  </w:p>
  <w:p w14:paraId="38235BCD" w14:textId="77777777" w:rsidR="008249C7" w:rsidRDefault="008249C7" w:rsidP="008249C7">
    <w:pPr>
      <w:pStyle w:val="Header"/>
      <w:pBdr>
        <w:bottom w:val="none" w:sz="0" w:space="0" w:color="auto"/>
      </w:pBdr>
      <w:jc w:val="right"/>
      <w:rPr>
        <w:b w:val="0"/>
        <w:bCs/>
        <w:i/>
        <w:iCs/>
      </w:rPr>
    </w:pPr>
  </w:p>
  <w:p w14:paraId="3F859912" w14:textId="77777777" w:rsidR="008249C7" w:rsidRDefault="008249C7" w:rsidP="008249C7">
    <w:pPr>
      <w:pStyle w:val="Header"/>
      <w:pBdr>
        <w:bottom w:val="none" w:sz="0" w:space="0" w:color="auto"/>
      </w:pBdr>
      <w:jc w:val="right"/>
      <w:rPr>
        <w:b w:val="0"/>
        <w:bCs/>
      </w:rPr>
    </w:pPr>
    <w:r w:rsidRPr="008249C7">
      <w:rPr>
        <w:b w:val="0"/>
        <w:bCs/>
        <w:u w:val="single"/>
      </w:rPr>
      <w:t>D</w:t>
    </w:r>
    <w:r w:rsidRPr="009C7316">
      <w:rPr>
        <w:b w:val="0"/>
        <w:bCs/>
        <w:u w:val="single"/>
      </w:rPr>
      <w:t>ocument informel</w:t>
    </w:r>
    <w:r>
      <w:rPr>
        <w:b w:val="0"/>
        <w:bCs/>
      </w:rPr>
      <w:t xml:space="preserve"> </w:t>
    </w:r>
    <w:r w:rsidRPr="009C7316">
      <w:t>GRVA-07-76</w:t>
    </w:r>
  </w:p>
  <w:p w14:paraId="034E19F7" w14:textId="77777777" w:rsidR="008249C7" w:rsidRDefault="008249C7" w:rsidP="008249C7">
    <w:pPr>
      <w:pStyle w:val="Header"/>
      <w:pBdr>
        <w:bottom w:val="none" w:sz="0" w:space="0" w:color="auto"/>
      </w:pBdr>
      <w:jc w:val="right"/>
      <w:rPr>
        <w:b w:val="0"/>
        <w:bCs/>
      </w:rPr>
    </w:pPr>
    <w:r>
      <w:rPr>
        <w:b w:val="0"/>
        <w:bCs/>
      </w:rPr>
      <w:t>21-25 septembre 2020</w:t>
    </w:r>
  </w:p>
  <w:p w14:paraId="6646C4B6" w14:textId="77777777" w:rsidR="008249C7" w:rsidRPr="009C7316" w:rsidRDefault="008249C7" w:rsidP="008249C7">
    <w:pPr>
      <w:pStyle w:val="Header"/>
      <w:pBdr>
        <w:bottom w:val="none" w:sz="0" w:space="0" w:color="auto"/>
      </w:pBdr>
      <w:jc w:val="right"/>
      <w:rPr>
        <w:b w:val="0"/>
        <w:bCs/>
      </w:rPr>
    </w:pPr>
    <w:r>
      <w:rPr>
        <w:b w:val="0"/>
        <w:bCs/>
      </w:rPr>
      <w:t xml:space="preserve">Point 12 de l’ordre du jour </w:t>
    </w:r>
  </w:p>
  <w:p w14:paraId="6447D778" w14:textId="77777777" w:rsidR="008249C7" w:rsidRDefault="008249C7" w:rsidP="008249C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AC"/>
    <w:rsid w:val="00017F94"/>
    <w:rsid w:val="00023842"/>
    <w:rsid w:val="000334F9"/>
    <w:rsid w:val="0007796D"/>
    <w:rsid w:val="000B7790"/>
    <w:rsid w:val="000C390E"/>
    <w:rsid w:val="000C5CC6"/>
    <w:rsid w:val="00103267"/>
    <w:rsid w:val="00111F2F"/>
    <w:rsid w:val="00137277"/>
    <w:rsid w:val="0014365E"/>
    <w:rsid w:val="0014660A"/>
    <w:rsid w:val="00150DB2"/>
    <w:rsid w:val="00176178"/>
    <w:rsid w:val="00185516"/>
    <w:rsid w:val="001F525A"/>
    <w:rsid w:val="00201C91"/>
    <w:rsid w:val="00223272"/>
    <w:rsid w:val="0024779E"/>
    <w:rsid w:val="00291F1D"/>
    <w:rsid w:val="0029407C"/>
    <w:rsid w:val="002A59C5"/>
    <w:rsid w:val="00345428"/>
    <w:rsid w:val="00350987"/>
    <w:rsid w:val="00353ED5"/>
    <w:rsid w:val="0037668B"/>
    <w:rsid w:val="00382A1F"/>
    <w:rsid w:val="00390178"/>
    <w:rsid w:val="003C1686"/>
    <w:rsid w:val="003C63AC"/>
    <w:rsid w:val="003D1AD0"/>
    <w:rsid w:val="00405AAA"/>
    <w:rsid w:val="00416154"/>
    <w:rsid w:val="00446FE5"/>
    <w:rsid w:val="00452396"/>
    <w:rsid w:val="00463A31"/>
    <w:rsid w:val="00464AF5"/>
    <w:rsid w:val="004D1CEB"/>
    <w:rsid w:val="005505B7"/>
    <w:rsid w:val="0056313B"/>
    <w:rsid w:val="00570666"/>
    <w:rsid w:val="00573BE5"/>
    <w:rsid w:val="00586ED3"/>
    <w:rsid w:val="00591CC6"/>
    <w:rsid w:val="00596AA9"/>
    <w:rsid w:val="005C6E97"/>
    <w:rsid w:val="005D4406"/>
    <w:rsid w:val="005E765B"/>
    <w:rsid w:val="006122C4"/>
    <w:rsid w:val="006233C8"/>
    <w:rsid w:val="00626078"/>
    <w:rsid w:val="00673936"/>
    <w:rsid w:val="00683ADA"/>
    <w:rsid w:val="006B028B"/>
    <w:rsid w:val="006D129B"/>
    <w:rsid w:val="006E2C9B"/>
    <w:rsid w:val="007000B6"/>
    <w:rsid w:val="0071601D"/>
    <w:rsid w:val="007161E2"/>
    <w:rsid w:val="0076624F"/>
    <w:rsid w:val="00766CEC"/>
    <w:rsid w:val="00770C44"/>
    <w:rsid w:val="0079527C"/>
    <w:rsid w:val="007A62E6"/>
    <w:rsid w:val="007D0A06"/>
    <w:rsid w:val="007E24A8"/>
    <w:rsid w:val="0080684C"/>
    <w:rsid w:val="00815502"/>
    <w:rsid w:val="008249C7"/>
    <w:rsid w:val="00871C75"/>
    <w:rsid w:val="008776DC"/>
    <w:rsid w:val="008F2A1D"/>
    <w:rsid w:val="0093050C"/>
    <w:rsid w:val="00957790"/>
    <w:rsid w:val="009705C8"/>
    <w:rsid w:val="009807B6"/>
    <w:rsid w:val="00981E21"/>
    <w:rsid w:val="009A004D"/>
    <w:rsid w:val="009C1608"/>
    <w:rsid w:val="009C7316"/>
    <w:rsid w:val="00A12AB5"/>
    <w:rsid w:val="00A662D8"/>
    <w:rsid w:val="00AC3823"/>
    <w:rsid w:val="00AD0D83"/>
    <w:rsid w:val="00AD0FCC"/>
    <w:rsid w:val="00AD3959"/>
    <w:rsid w:val="00AD6A00"/>
    <w:rsid w:val="00AE323C"/>
    <w:rsid w:val="00AE7D9F"/>
    <w:rsid w:val="00B00181"/>
    <w:rsid w:val="00B10433"/>
    <w:rsid w:val="00B43C66"/>
    <w:rsid w:val="00B765F7"/>
    <w:rsid w:val="00BA0CA9"/>
    <w:rsid w:val="00BB3E59"/>
    <w:rsid w:val="00BD0DEF"/>
    <w:rsid w:val="00BE1F4C"/>
    <w:rsid w:val="00BE4745"/>
    <w:rsid w:val="00BF3C2C"/>
    <w:rsid w:val="00C00E9A"/>
    <w:rsid w:val="00C02897"/>
    <w:rsid w:val="00C5649B"/>
    <w:rsid w:val="00C94696"/>
    <w:rsid w:val="00C94FD2"/>
    <w:rsid w:val="00CD37D7"/>
    <w:rsid w:val="00CF3AE1"/>
    <w:rsid w:val="00D25BC1"/>
    <w:rsid w:val="00D3439C"/>
    <w:rsid w:val="00D40AEB"/>
    <w:rsid w:val="00D41522"/>
    <w:rsid w:val="00DA22F4"/>
    <w:rsid w:val="00DA44B6"/>
    <w:rsid w:val="00DB1831"/>
    <w:rsid w:val="00DD3BFD"/>
    <w:rsid w:val="00DF6678"/>
    <w:rsid w:val="00E22CF2"/>
    <w:rsid w:val="00E33F14"/>
    <w:rsid w:val="00E52D9F"/>
    <w:rsid w:val="00EF76C6"/>
    <w:rsid w:val="00F05DB8"/>
    <w:rsid w:val="00F12269"/>
    <w:rsid w:val="00F164B0"/>
    <w:rsid w:val="00F639A2"/>
    <w:rsid w:val="00F660DF"/>
    <w:rsid w:val="00F80094"/>
    <w:rsid w:val="00F95C08"/>
    <w:rsid w:val="00FA01DD"/>
    <w:rsid w:val="00FC7F92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1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5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5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54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53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C231-FD59-492C-9761-8BB6C5D5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1265</Words>
  <Characters>6482</Characters>
  <Application>Microsoft Office Word</Application>
  <DocSecurity>0</DocSecurity>
  <Lines>185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"Francois Guichard" &lt;francois.guichard@gmail.com&gt;</dc:creator>
  <cp:keywords/>
  <dc:description/>
  <cp:lastModifiedBy>FG</cp:lastModifiedBy>
  <cp:revision>13</cp:revision>
  <cp:lastPrinted>2020-07-17T15:53:00Z</cp:lastPrinted>
  <dcterms:created xsi:type="dcterms:W3CDTF">2020-10-01T13:08:00Z</dcterms:created>
  <dcterms:modified xsi:type="dcterms:W3CDTF">2020-10-06T13:48:00Z</dcterms:modified>
</cp:coreProperties>
</file>