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9727" w14:textId="77777777" w:rsidR="009A3745" w:rsidRDefault="009A3745">
      <w:pPr>
        <w:pStyle w:val="Standard"/>
        <w:rPr>
          <w:rFonts w:hint="eastAsia"/>
          <w:sz w:val="21"/>
          <w:lang w:val="en-GB"/>
        </w:rPr>
      </w:pPr>
    </w:p>
    <w:p w14:paraId="0746A36A" w14:textId="06AD352B" w:rsidR="009A3745" w:rsidRPr="009B6E23" w:rsidRDefault="005D0296">
      <w:pPr>
        <w:pStyle w:val="Standard"/>
        <w:rPr>
          <w:rFonts w:hint="eastAsia"/>
          <w:b/>
          <w:bCs/>
          <w:sz w:val="22"/>
          <w:szCs w:val="28"/>
          <w:lang w:val="en-GB"/>
        </w:rPr>
      </w:pPr>
      <w:r w:rsidRPr="009B6E23">
        <w:rPr>
          <w:b/>
          <w:bCs/>
          <w:sz w:val="22"/>
          <w:szCs w:val="28"/>
          <w:lang w:val="en-GB"/>
        </w:rPr>
        <w:t xml:space="preserve">France </w:t>
      </w:r>
      <w:r w:rsidRPr="009B6E23">
        <w:rPr>
          <w:b/>
          <w:bCs/>
          <w:sz w:val="22"/>
          <w:szCs w:val="28"/>
          <w:lang w:val="en-GB"/>
        </w:rPr>
        <w:t>request</w:t>
      </w:r>
      <w:r w:rsidR="009B6E23" w:rsidRPr="009B6E23">
        <w:rPr>
          <w:b/>
          <w:bCs/>
          <w:sz w:val="22"/>
          <w:szCs w:val="28"/>
          <w:lang w:val="en-GB"/>
        </w:rPr>
        <w:t>s</w:t>
      </w:r>
      <w:r w:rsidRPr="009B6E23">
        <w:rPr>
          <w:b/>
          <w:bCs/>
          <w:sz w:val="22"/>
          <w:szCs w:val="28"/>
          <w:lang w:val="en-GB"/>
        </w:rPr>
        <w:t xml:space="preserve"> </w:t>
      </w:r>
      <w:r w:rsidR="009B6E23" w:rsidRPr="009B6E23">
        <w:rPr>
          <w:b/>
          <w:bCs/>
          <w:sz w:val="22"/>
          <w:szCs w:val="28"/>
          <w:lang w:val="en-GB"/>
        </w:rPr>
        <w:t xml:space="preserve">the definition of a </w:t>
      </w:r>
      <w:r w:rsidRPr="009B6E23">
        <w:rPr>
          <w:b/>
          <w:bCs/>
          <w:sz w:val="22"/>
          <w:szCs w:val="28"/>
          <w:lang w:val="en-GB"/>
        </w:rPr>
        <w:t xml:space="preserve">common interpretation of the new </w:t>
      </w:r>
      <w:r w:rsidR="009B6E23" w:rsidRPr="009B6E23">
        <w:rPr>
          <w:b/>
          <w:bCs/>
          <w:sz w:val="22"/>
          <w:szCs w:val="28"/>
          <w:lang w:val="en-GB"/>
        </w:rPr>
        <w:t xml:space="preserve">UN </w:t>
      </w:r>
      <w:r w:rsidRPr="009B6E23">
        <w:rPr>
          <w:b/>
          <w:bCs/>
          <w:sz w:val="22"/>
          <w:szCs w:val="28"/>
          <w:lang w:val="en-GB"/>
        </w:rPr>
        <w:t>Reg</w:t>
      </w:r>
      <w:r w:rsidR="009B6E23" w:rsidRPr="009B6E23">
        <w:rPr>
          <w:b/>
          <w:bCs/>
          <w:sz w:val="22"/>
          <w:szCs w:val="28"/>
          <w:lang w:val="en-GB"/>
        </w:rPr>
        <w:t xml:space="preserve">ulation No. </w:t>
      </w:r>
      <w:r w:rsidRPr="009B6E23">
        <w:rPr>
          <w:b/>
          <w:bCs/>
          <w:sz w:val="22"/>
          <w:szCs w:val="28"/>
          <w:lang w:val="en-GB"/>
        </w:rPr>
        <w:t xml:space="preserve">[157] on uniform provisions concerning the approval of vehicles with regards to Automated Lane Keeping System </w:t>
      </w:r>
      <w:r w:rsidR="009B6E23" w:rsidRPr="009B6E23">
        <w:rPr>
          <w:b/>
          <w:bCs/>
          <w:sz w:val="22"/>
          <w:szCs w:val="28"/>
          <w:lang w:val="en-GB"/>
        </w:rPr>
        <w:t>(</w:t>
      </w:r>
      <w:r w:rsidRPr="009B6E23">
        <w:rPr>
          <w:b/>
          <w:bCs/>
          <w:sz w:val="22"/>
          <w:szCs w:val="28"/>
          <w:lang w:val="en-GB"/>
        </w:rPr>
        <w:t>ALKS</w:t>
      </w:r>
      <w:r w:rsidR="009B6E23" w:rsidRPr="009B6E23">
        <w:rPr>
          <w:b/>
          <w:bCs/>
          <w:sz w:val="22"/>
          <w:szCs w:val="28"/>
          <w:lang w:val="en-GB"/>
        </w:rPr>
        <w:t>)</w:t>
      </w:r>
      <w:r w:rsidRPr="009B6E23">
        <w:rPr>
          <w:b/>
          <w:bCs/>
          <w:sz w:val="22"/>
          <w:szCs w:val="28"/>
          <w:lang w:val="en-GB"/>
        </w:rPr>
        <w:t xml:space="preserve">, with regards </w:t>
      </w:r>
      <w:r w:rsidRPr="009B6E23">
        <w:rPr>
          <w:b/>
          <w:bCs/>
          <w:sz w:val="22"/>
          <w:szCs w:val="28"/>
          <w:u w:val="single"/>
          <w:lang w:val="en-GB"/>
        </w:rPr>
        <w:t>approaching emergency vehicles</w:t>
      </w:r>
      <w:r w:rsidRPr="009B6E23">
        <w:rPr>
          <w:b/>
          <w:bCs/>
          <w:sz w:val="22"/>
          <w:szCs w:val="28"/>
          <w:lang w:val="en-GB"/>
        </w:rPr>
        <w:t>.</w:t>
      </w:r>
    </w:p>
    <w:p w14:paraId="3BF7D0BB" w14:textId="77777777" w:rsidR="009A3745" w:rsidRPr="0021193D" w:rsidRDefault="009A3745">
      <w:pPr>
        <w:pStyle w:val="Standard"/>
        <w:rPr>
          <w:rFonts w:hint="eastAsia"/>
          <w:sz w:val="20"/>
          <w:szCs w:val="20"/>
          <w:lang w:val="en-GB"/>
        </w:rPr>
      </w:pPr>
    </w:p>
    <w:p w14:paraId="2D0F6AC1" w14:textId="1B9BD926" w:rsidR="009A3745" w:rsidRDefault="005D0296">
      <w:pPr>
        <w:pStyle w:val="Standard"/>
        <w:rPr>
          <w:b/>
          <w:bCs/>
          <w:sz w:val="28"/>
          <w:szCs w:val="36"/>
          <w:lang w:val="en-GB"/>
        </w:rPr>
      </w:pPr>
      <w:r>
        <w:rPr>
          <w:b/>
          <w:bCs/>
          <w:sz w:val="28"/>
          <w:szCs w:val="36"/>
          <w:lang w:val="en-GB"/>
        </w:rPr>
        <w:t>I.</w:t>
      </w:r>
      <w:r>
        <w:rPr>
          <w:b/>
          <w:bCs/>
          <w:sz w:val="28"/>
          <w:szCs w:val="36"/>
          <w:lang w:val="en-GB"/>
        </w:rPr>
        <w:tab/>
      </w:r>
      <w:r w:rsidR="0021193D" w:rsidRPr="0021193D">
        <w:rPr>
          <w:b/>
          <w:bCs/>
          <w:sz w:val="28"/>
          <w:szCs w:val="36"/>
          <w:lang w:val="en-GB"/>
        </w:rPr>
        <w:t>Context</w:t>
      </w:r>
    </w:p>
    <w:p w14:paraId="2CA500BD" w14:textId="77777777" w:rsidR="0021193D" w:rsidRPr="0021193D" w:rsidRDefault="0021193D">
      <w:pPr>
        <w:pStyle w:val="Standard"/>
        <w:rPr>
          <w:rFonts w:hint="eastAsia"/>
          <w:b/>
          <w:bCs/>
          <w:sz w:val="20"/>
          <w:szCs w:val="20"/>
          <w:lang w:val="en-GB"/>
        </w:rPr>
      </w:pPr>
    </w:p>
    <w:p w14:paraId="02C4C6AA" w14:textId="5E5C3104" w:rsidR="009A3745" w:rsidRPr="0021193D" w:rsidRDefault="005D0296" w:rsidP="0021193D">
      <w:pPr>
        <w:pStyle w:val="Standard"/>
        <w:spacing w:after="120"/>
        <w:ind w:left="2268" w:right="1133" w:hanging="1134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2.5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.</w:t>
      </w:r>
      <w:r w:rsidR="0021193D" w:rsidRPr="0021193D">
        <w:rPr>
          <w:rFonts w:asciiTheme="majorBidi" w:hAnsiTheme="majorBidi" w:cstheme="majorBidi"/>
          <w:sz w:val="20"/>
          <w:szCs w:val="20"/>
          <w:lang w:val="en-GB"/>
        </w:rPr>
        <w:tab/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“</w:t>
      </w:r>
      <w:r w:rsidRPr="0021193D">
        <w:rPr>
          <w:rFonts w:asciiTheme="majorBidi" w:hAnsiTheme="majorBidi" w:cstheme="majorBidi"/>
          <w:i/>
          <w:iCs/>
          <w:sz w:val="20"/>
          <w:szCs w:val="20"/>
          <w:lang w:val="en-GB"/>
        </w:rPr>
        <w:t>Unplanned event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” is a situation which is unknown in advance, but assumed as very likely in happening, e.g. [road construction, inclement weather, approaching emergency vehi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cle, missing lane marking, load falling from truck (collision)] and which requires a transition demand.</w:t>
      </w:r>
    </w:p>
    <w:p w14:paraId="4F8EDBA0" w14:textId="06AEA253" w:rsidR="009A3745" w:rsidRPr="0021193D" w:rsidRDefault="005D0296" w:rsidP="0021193D">
      <w:pPr>
        <w:pStyle w:val="Standard"/>
        <w:spacing w:after="120"/>
        <w:ind w:left="2268" w:right="1133" w:hanging="1134"/>
        <w:jc w:val="both"/>
        <w:rPr>
          <w:rFonts w:asciiTheme="majorBidi" w:hAnsiTheme="majorBidi" w:cstheme="majorBidi" w:hint="eastAsia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5.4.</w:t>
      </w:r>
      <w:r w:rsidR="0021193D">
        <w:rPr>
          <w:rFonts w:asciiTheme="majorBidi" w:hAnsiTheme="majorBidi" w:cstheme="majorBidi"/>
          <w:sz w:val="20"/>
          <w:szCs w:val="20"/>
          <w:lang w:val="en-GB"/>
        </w:rPr>
        <w:tab/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Transition demand and system operation during transition phase</w:t>
      </w:r>
    </w:p>
    <w:p w14:paraId="44080088" w14:textId="18D06B00" w:rsidR="009A3745" w:rsidRPr="0021193D" w:rsidRDefault="005D0296" w:rsidP="0021193D">
      <w:pPr>
        <w:pStyle w:val="Standard"/>
        <w:spacing w:after="120"/>
        <w:ind w:left="2268" w:right="1133"/>
        <w:rPr>
          <w:rFonts w:asciiTheme="majorBidi" w:hAnsiTheme="majorBidi" w:cstheme="majorBidi" w:hint="eastAsia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The fulfilment of the provisions of this paragraph shall be demonstrated by the ma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nufacturer to the technical service during the inspection of the safety approach as part of the assessment to Annex 4 and according to the relevant tests in Annex 5</w:t>
      </w:r>
      <w:r>
        <w:rPr>
          <w:rFonts w:asciiTheme="majorBidi" w:hAnsiTheme="majorBidi" w:cstheme="majorBidi"/>
          <w:sz w:val="20"/>
          <w:szCs w:val="20"/>
          <w:lang w:val="en-GB"/>
        </w:rPr>
        <w:t>.</w:t>
      </w:r>
    </w:p>
    <w:p w14:paraId="351929BE" w14:textId="77777777" w:rsidR="009A3745" w:rsidRPr="0021193D" w:rsidRDefault="005D0296" w:rsidP="0021193D">
      <w:pPr>
        <w:pStyle w:val="Standard"/>
        <w:spacing w:after="120"/>
        <w:ind w:left="2268" w:right="1133" w:hanging="1134"/>
        <w:jc w:val="both"/>
        <w:rPr>
          <w:rFonts w:asciiTheme="majorBidi" w:hAnsiTheme="majorBidi" w:cstheme="majorBidi" w:hint="eastAsia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5.4.1.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ab/>
        <w:t>The activated system shall recognise all situations in which it needs to transiti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on the control back to the driver.</w:t>
      </w:r>
    </w:p>
    <w:p w14:paraId="76D31CEA" w14:textId="7DD5A006" w:rsidR="009A3745" w:rsidRPr="0021193D" w:rsidRDefault="005D0296" w:rsidP="0021193D">
      <w:pPr>
        <w:pStyle w:val="Standard"/>
        <w:spacing w:after="120"/>
        <w:ind w:left="2268" w:right="1133" w:hanging="1134"/>
        <w:jc w:val="both"/>
        <w:rPr>
          <w:rFonts w:asciiTheme="majorBidi" w:hAnsiTheme="majorBidi" w:cstheme="majorBidi" w:hint="eastAsia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5.4.2.2.</w:t>
      </w:r>
      <w:r w:rsidR="0021193D">
        <w:rPr>
          <w:rFonts w:asciiTheme="majorBidi" w:hAnsiTheme="majorBidi" w:cstheme="majorBidi"/>
          <w:sz w:val="20"/>
          <w:szCs w:val="20"/>
          <w:lang w:val="en-GB"/>
        </w:rPr>
        <w:tab/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In case of an unplanned event, a transition demand shall be given upon detection.</w:t>
      </w:r>
    </w:p>
    <w:p w14:paraId="26FA2F56" w14:textId="4D8D61A6" w:rsidR="009A3745" w:rsidRPr="0021193D" w:rsidRDefault="009B6E23" w:rsidP="0021193D">
      <w:pPr>
        <w:pStyle w:val="Standard"/>
        <w:spacing w:after="120"/>
        <w:ind w:left="1134"/>
        <w:rPr>
          <w:rFonts w:hint="eastAsia"/>
          <w:sz w:val="21"/>
          <w:lang w:val="en-GB"/>
        </w:rPr>
      </w:pPr>
      <w:r w:rsidRPr="0021193D">
        <w:rPr>
          <w:sz w:val="21"/>
          <w:lang w:val="en-GB"/>
        </w:rPr>
        <w:t>A</w:t>
      </w:r>
      <w:r w:rsidR="005D0296" w:rsidRPr="0021193D">
        <w:rPr>
          <w:sz w:val="21"/>
          <w:lang w:val="en-GB"/>
        </w:rPr>
        <w:t xml:space="preserve">nnex </w:t>
      </w:r>
      <w:r w:rsidR="0021193D" w:rsidRPr="0021193D">
        <w:rPr>
          <w:sz w:val="21"/>
          <w:lang w:val="en-GB"/>
        </w:rPr>
        <w:t>5:</w:t>
      </w:r>
    </w:p>
    <w:p w14:paraId="66F6B2A2" w14:textId="6360281F" w:rsidR="009A3745" w:rsidRPr="0021193D" w:rsidRDefault="005D0296" w:rsidP="0021193D">
      <w:pPr>
        <w:pStyle w:val="Standard"/>
        <w:spacing w:after="120"/>
        <w:ind w:left="2268" w:right="1133" w:hanging="1134"/>
        <w:jc w:val="both"/>
        <w:rPr>
          <w:rFonts w:asciiTheme="majorBidi" w:hAnsiTheme="majorBidi" w:cstheme="majorBidi" w:hint="eastAsia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5.3.</w:t>
      </w:r>
      <w:r w:rsidR="0021193D">
        <w:rPr>
          <w:rFonts w:asciiTheme="majorBidi" w:hAnsiTheme="majorBidi" w:cstheme="majorBidi"/>
          <w:sz w:val="20"/>
          <w:szCs w:val="20"/>
          <w:lang w:val="en-GB"/>
        </w:rPr>
        <w:tab/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 xml:space="preserve">Additional other test cases may be assessed if it is deemed justified by the Technical Service. Some of </w:t>
      </w:r>
      <w:r w:rsidRPr="0021193D">
        <w:rPr>
          <w:rFonts w:asciiTheme="majorBidi" w:hAnsiTheme="majorBidi" w:cstheme="majorBidi"/>
          <w:sz w:val="20"/>
          <w:szCs w:val="20"/>
          <w:lang w:val="en-GB"/>
        </w:rPr>
        <w:t>the cases may include:</w:t>
      </w:r>
    </w:p>
    <w:p w14:paraId="212FDA21" w14:textId="77777777" w:rsidR="009A3745" w:rsidRPr="0021193D" w:rsidRDefault="005D0296" w:rsidP="0021193D">
      <w:pPr>
        <w:pStyle w:val="Standard"/>
        <w:spacing w:after="120"/>
        <w:ind w:left="2268" w:right="1133"/>
        <w:jc w:val="both"/>
        <w:rPr>
          <w:rFonts w:asciiTheme="majorBidi" w:hAnsiTheme="majorBidi" w:cstheme="majorBidi" w:hint="eastAsia"/>
          <w:sz w:val="20"/>
          <w:szCs w:val="20"/>
          <w:lang w:val="en-GB"/>
        </w:rPr>
      </w:pPr>
      <w:r w:rsidRPr="0021193D">
        <w:rPr>
          <w:rFonts w:asciiTheme="majorBidi" w:hAnsiTheme="majorBidi" w:cstheme="majorBidi"/>
          <w:sz w:val="20"/>
          <w:szCs w:val="20"/>
          <w:lang w:val="en-GB"/>
        </w:rPr>
        <w:t>- Emergency vehicles</w:t>
      </w:r>
    </w:p>
    <w:p w14:paraId="223414FD" w14:textId="77777777" w:rsidR="0021193D" w:rsidRDefault="0021193D">
      <w:pPr>
        <w:pStyle w:val="Standard"/>
        <w:rPr>
          <w:b/>
          <w:bCs/>
          <w:sz w:val="21"/>
          <w:lang w:val="en-GB"/>
        </w:rPr>
      </w:pPr>
    </w:p>
    <w:p w14:paraId="55C202D3" w14:textId="50D43FC4" w:rsidR="009A3745" w:rsidRPr="0021193D" w:rsidRDefault="005D0296">
      <w:pPr>
        <w:pStyle w:val="Standard"/>
        <w:rPr>
          <w:rFonts w:hint="eastAsia"/>
          <w:b/>
          <w:bCs/>
          <w:sz w:val="28"/>
          <w:szCs w:val="36"/>
          <w:lang w:val="en-GB"/>
        </w:rPr>
      </w:pPr>
      <w:r>
        <w:rPr>
          <w:b/>
          <w:bCs/>
          <w:sz w:val="28"/>
          <w:szCs w:val="36"/>
          <w:lang w:val="en-GB"/>
        </w:rPr>
        <w:t>II.</w:t>
      </w:r>
      <w:r>
        <w:rPr>
          <w:b/>
          <w:bCs/>
          <w:sz w:val="28"/>
          <w:szCs w:val="36"/>
          <w:lang w:val="en-GB"/>
        </w:rPr>
        <w:tab/>
      </w:r>
      <w:r w:rsidR="0021193D">
        <w:rPr>
          <w:b/>
          <w:bCs/>
          <w:sz w:val="28"/>
          <w:szCs w:val="36"/>
          <w:lang w:val="en-GB"/>
        </w:rPr>
        <w:t>I</w:t>
      </w:r>
      <w:r w:rsidRPr="0021193D">
        <w:rPr>
          <w:b/>
          <w:bCs/>
          <w:sz w:val="28"/>
          <w:szCs w:val="36"/>
          <w:lang w:val="en-GB"/>
        </w:rPr>
        <w:t xml:space="preserve">nterpretation </w:t>
      </w:r>
      <w:r w:rsidR="0021193D">
        <w:rPr>
          <w:b/>
          <w:bCs/>
          <w:sz w:val="28"/>
          <w:szCs w:val="36"/>
          <w:lang w:val="en-GB"/>
        </w:rPr>
        <w:t>question</w:t>
      </w:r>
    </w:p>
    <w:p w14:paraId="0EF34E38" w14:textId="77777777" w:rsidR="009A3745" w:rsidRDefault="009A3745">
      <w:pPr>
        <w:pStyle w:val="Standard"/>
        <w:rPr>
          <w:rFonts w:hint="eastAsia"/>
          <w:sz w:val="21"/>
          <w:lang w:val="en-GB"/>
        </w:rPr>
      </w:pPr>
    </w:p>
    <w:p w14:paraId="270C6D99" w14:textId="77777777" w:rsidR="009A3745" w:rsidRDefault="005D0296" w:rsidP="0021193D">
      <w:pPr>
        <w:pStyle w:val="Standard"/>
        <w:ind w:left="1134" w:right="1133"/>
        <w:jc w:val="both"/>
        <w:rPr>
          <w:rFonts w:hint="eastAsia"/>
          <w:sz w:val="21"/>
          <w:lang w:val="en-GB"/>
        </w:rPr>
      </w:pPr>
      <w:r>
        <w:rPr>
          <w:sz w:val="21"/>
          <w:lang w:val="en-GB"/>
        </w:rPr>
        <w:t xml:space="preserve">In the spirit of the current proposal, </w:t>
      </w:r>
      <w:r>
        <w:rPr>
          <w:sz w:val="21"/>
          <w:u w:val="single"/>
          <w:lang w:val="en-GB"/>
        </w:rPr>
        <w:t>is there an obligation to the system to detect approaching emergency vehicles in order to alert the driver</w:t>
      </w:r>
      <w:r>
        <w:rPr>
          <w:sz w:val="21"/>
          <w:lang w:val="en-GB"/>
        </w:rPr>
        <w:t xml:space="preserve"> or to initiate a transition </w:t>
      </w:r>
      <w:proofErr w:type="gramStart"/>
      <w:r>
        <w:rPr>
          <w:sz w:val="21"/>
          <w:lang w:val="en-GB"/>
        </w:rPr>
        <w:t>demand</w:t>
      </w:r>
      <w:r>
        <w:rPr>
          <w:sz w:val="21"/>
          <w:lang w:val="en-GB"/>
        </w:rPr>
        <w:t xml:space="preserve"> ?</w:t>
      </w:r>
      <w:proofErr w:type="gramEnd"/>
    </w:p>
    <w:p w14:paraId="22D5435A" w14:textId="77777777" w:rsidR="009A3745" w:rsidRDefault="009A3745" w:rsidP="0021193D">
      <w:pPr>
        <w:pStyle w:val="Standard"/>
        <w:ind w:left="1134" w:right="1133"/>
        <w:jc w:val="both"/>
        <w:rPr>
          <w:rFonts w:hint="eastAsia"/>
          <w:sz w:val="21"/>
          <w:lang w:val="en-GB"/>
        </w:rPr>
      </w:pPr>
    </w:p>
    <w:p w14:paraId="6A859315" w14:textId="1942B55F" w:rsidR="009A3745" w:rsidRDefault="005D0296" w:rsidP="0021193D">
      <w:pPr>
        <w:pStyle w:val="Standard"/>
        <w:ind w:left="1134" w:right="1133"/>
        <w:jc w:val="both"/>
        <w:rPr>
          <w:rFonts w:hint="eastAsia"/>
          <w:sz w:val="21"/>
          <w:lang w:val="en-GB"/>
        </w:rPr>
      </w:pPr>
      <w:r>
        <w:rPr>
          <w:sz w:val="21"/>
          <w:lang w:val="en-GB"/>
        </w:rPr>
        <w:t xml:space="preserve">Do we consider an approaching emergency vehicles as unplanned event, so that, requirements of </w:t>
      </w:r>
      <w:r w:rsidR="0021193D">
        <w:rPr>
          <w:sz w:val="21"/>
          <w:lang w:val="en-GB"/>
        </w:rPr>
        <w:t>paragraph</w:t>
      </w:r>
      <w:r>
        <w:rPr>
          <w:sz w:val="21"/>
          <w:lang w:val="en-GB"/>
        </w:rPr>
        <w:t xml:space="preserve"> </w:t>
      </w:r>
      <w:proofErr w:type="gramStart"/>
      <w:r>
        <w:rPr>
          <w:sz w:val="21"/>
          <w:lang w:val="en-GB"/>
        </w:rPr>
        <w:t>5.4.2.2.</w:t>
      </w:r>
      <w:proofErr w:type="gramEnd"/>
      <w:r>
        <w:rPr>
          <w:sz w:val="21"/>
          <w:lang w:val="en-GB"/>
        </w:rPr>
        <w:t xml:space="preserve"> </w:t>
      </w:r>
      <w:proofErr w:type="gramStart"/>
      <w:r>
        <w:rPr>
          <w:sz w:val="21"/>
          <w:lang w:val="en-GB"/>
        </w:rPr>
        <w:t>apply ?</w:t>
      </w:r>
      <w:proofErr w:type="gramEnd"/>
    </w:p>
    <w:p w14:paraId="420D0FB3" w14:textId="77777777" w:rsidR="009A3745" w:rsidRDefault="009A3745">
      <w:pPr>
        <w:pStyle w:val="Standard"/>
        <w:rPr>
          <w:rFonts w:hint="eastAsia"/>
          <w:sz w:val="21"/>
          <w:lang w:val="en-GB"/>
        </w:rPr>
      </w:pPr>
    </w:p>
    <w:p w14:paraId="0A20214B" w14:textId="0717F95A" w:rsidR="009A3745" w:rsidRPr="0021193D" w:rsidRDefault="005D0296">
      <w:pPr>
        <w:pStyle w:val="Standard"/>
        <w:rPr>
          <w:rFonts w:hint="eastAsia"/>
          <w:b/>
          <w:bCs/>
          <w:sz w:val="28"/>
          <w:szCs w:val="36"/>
          <w:lang w:val="en-GB"/>
        </w:rPr>
      </w:pPr>
      <w:r>
        <w:rPr>
          <w:b/>
          <w:bCs/>
          <w:sz w:val="28"/>
          <w:szCs w:val="36"/>
          <w:lang w:val="en-GB"/>
        </w:rPr>
        <w:t>III.</w:t>
      </w:r>
      <w:r>
        <w:rPr>
          <w:b/>
          <w:bCs/>
          <w:sz w:val="28"/>
          <w:szCs w:val="36"/>
          <w:lang w:val="en-GB"/>
        </w:rPr>
        <w:tab/>
      </w:r>
      <w:bookmarkStart w:id="0" w:name="_GoBack"/>
      <w:bookmarkEnd w:id="0"/>
      <w:r w:rsidRPr="0021193D">
        <w:rPr>
          <w:b/>
          <w:bCs/>
          <w:sz w:val="28"/>
          <w:szCs w:val="36"/>
          <w:lang w:val="en-GB"/>
        </w:rPr>
        <w:t>Justification</w:t>
      </w:r>
    </w:p>
    <w:p w14:paraId="0DA9F6DE" w14:textId="77777777" w:rsidR="009A3745" w:rsidRDefault="009A3745">
      <w:pPr>
        <w:pStyle w:val="Standard"/>
        <w:rPr>
          <w:rFonts w:hint="eastAsia"/>
          <w:sz w:val="21"/>
          <w:lang w:val="en-GB"/>
        </w:rPr>
      </w:pPr>
    </w:p>
    <w:p w14:paraId="4C70541A" w14:textId="24F03C69" w:rsidR="009A3745" w:rsidRDefault="005D0296" w:rsidP="0021193D">
      <w:pPr>
        <w:pStyle w:val="Standard"/>
        <w:ind w:left="1134" w:right="1133"/>
        <w:jc w:val="both"/>
        <w:rPr>
          <w:sz w:val="21"/>
          <w:lang w:val="en-GB"/>
        </w:rPr>
      </w:pPr>
      <w:r>
        <w:rPr>
          <w:sz w:val="21"/>
          <w:lang w:val="en-GB"/>
        </w:rPr>
        <w:t xml:space="preserve">In order to have a common application by Contacting parties, technical services and manufacturers, to avoid </w:t>
      </w:r>
      <w:r>
        <w:rPr>
          <w:sz w:val="21"/>
          <w:lang w:val="en-GB"/>
        </w:rPr>
        <w:t xml:space="preserve">vehicles fitted with ALKS on the market that may react differently due to </w:t>
      </w:r>
      <w:r w:rsidR="0021193D">
        <w:rPr>
          <w:sz w:val="21"/>
          <w:lang w:val="en-GB"/>
        </w:rPr>
        <w:t>unharmonized</w:t>
      </w:r>
      <w:r>
        <w:rPr>
          <w:sz w:val="21"/>
          <w:lang w:val="en-GB"/>
        </w:rPr>
        <w:t xml:space="preserve"> application, France requests to have a discussion and </w:t>
      </w:r>
      <w:r w:rsidRPr="0021193D">
        <w:rPr>
          <w:sz w:val="21"/>
          <w:lang w:val="en-GB"/>
        </w:rPr>
        <w:t xml:space="preserve">a </w:t>
      </w:r>
      <w:r w:rsidRPr="0021193D">
        <w:rPr>
          <w:sz w:val="21"/>
          <w:u w:val="single"/>
          <w:lang w:val="en-GB"/>
        </w:rPr>
        <w:t>clear statement on the detection of approaching emergency vehicles</w:t>
      </w:r>
      <w:r>
        <w:rPr>
          <w:sz w:val="21"/>
          <w:lang w:val="en-GB"/>
        </w:rPr>
        <w:t>.</w:t>
      </w:r>
    </w:p>
    <w:p w14:paraId="54339BE5" w14:textId="77777777" w:rsidR="009B6E23" w:rsidRDefault="009B6E23">
      <w:pPr>
        <w:pStyle w:val="Standard"/>
        <w:rPr>
          <w:sz w:val="21"/>
          <w:lang w:val="en-GB"/>
        </w:rPr>
      </w:pPr>
    </w:p>
    <w:p w14:paraId="5D1FD061" w14:textId="53BA0456" w:rsidR="009B6E23" w:rsidRPr="009B6E23" w:rsidRDefault="009B6E23" w:rsidP="009B6E23">
      <w:pPr>
        <w:pStyle w:val="Standard"/>
        <w:jc w:val="center"/>
        <w:rPr>
          <w:rFonts w:hint="eastAsia"/>
          <w:sz w:val="21"/>
          <w:u w:val="single"/>
          <w:lang w:val="en-GB"/>
        </w:rPr>
      </w:pPr>
      <w:r>
        <w:rPr>
          <w:sz w:val="21"/>
          <w:u w:val="single"/>
          <w:lang w:val="en-GB"/>
        </w:rPr>
        <w:tab/>
      </w:r>
      <w:r>
        <w:rPr>
          <w:sz w:val="21"/>
          <w:u w:val="single"/>
          <w:lang w:val="en-GB"/>
        </w:rPr>
        <w:tab/>
      </w:r>
    </w:p>
    <w:sectPr w:rsidR="009B6E23" w:rsidRPr="009B6E23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2228" w14:textId="77777777" w:rsidR="00000000" w:rsidRDefault="005D0296">
      <w:pPr>
        <w:rPr>
          <w:rFonts w:hint="eastAsia"/>
        </w:rPr>
      </w:pPr>
      <w:r>
        <w:separator/>
      </w:r>
    </w:p>
  </w:endnote>
  <w:endnote w:type="continuationSeparator" w:id="0">
    <w:p w14:paraId="0F13E11C" w14:textId="77777777" w:rsidR="00000000" w:rsidRDefault="005D02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3ECB" w14:textId="77777777" w:rsidR="00000000" w:rsidRDefault="005D02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FB74C0" w14:textId="77777777" w:rsidR="00000000" w:rsidRDefault="005D02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B6E23" w:rsidRPr="009B6E23" w14:paraId="32CD1525" w14:textId="77777777" w:rsidTr="009B6E23">
      <w:tc>
        <w:tcPr>
          <w:tcW w:w="4814" w:type="dxa"/>
        </w:tcPr>
        <w:p w14:paraId="3E6FEBF0" w14:textId="085CF30D" w:rsidR="009B6E23" w:rsidRPr="009B6E23" w:rsidRDefault="009B6E23">
          <w:pPr>
            <w:pStyle w:val="Header"/>
            <w:rPr>
              <w:lang w:val="en-GB"/>
            </w:rPr>
          </w:pPr>
          <w:r w:rsidRPr="009B6E23">
            <w:rPr>
              <w:lang w:val="en-GB"/>
            </w:rPr>
            <w:t>Submitted by the expert f</w:t>
          </w:r>
          <w:r>
            <w:rPr>
              <w:lang w:val="en-GB"/>
            </w:rPr>
            <w:t>rom France</w:t>
          </w:r>
        </w:p>
      </w:tc>
      <w:tc>
        <w:tcPr>
          <w:tcW w:w="4814" w:type="dxa"/>
        </w:tcPr>
        <w:p w14:paraId="66BB1979" w14:textId="6ED25732" w:rsidR="009B6E23" w:rsidRPr="009B6E23" w:rsidRDefault="009B6E23">
          <w:pPr>
            <w:pStyle w:val="Header"/>
            <w:rPr>
              <w:lang w:val="en-GB"/>
            </w:rPr>
          </w:pPr>
          <w:r w:rsidRPr="009B6E23">
            <w:rPr>
              <w:u w:val="single"/>
              <w:lang w:val="en-GB"/>
            </w:rPr>
            <w:t>Informal document</w:t>
          </w:r>
          <w:r>
            <w:rPr>
              <w:lang w:val="en-GB"/>
            </w:rPr>
            <w:t xml:space="preserve"> </w:t>
          </w:r>
          <w:r w:rsidRPr="009B6E23">
            <w:rPr>
              <w:b/>
              <w:bCs/>
              <w:lang w:val="en-GB"/>
            </w:rPr>
            <w:t>GRVA-07-39</w:t>
          </w:r>
          <w:r>
            <w:rPr>
              <w:lang w:val="en-GB"/>
            </w:rPr>
            <w:br/>
            <w:t>7</w:t>
          </w:r>
          <w:r w:rsidRPr="009B6E23">
            <w:rPr>
              <w:vertAlign w:val="superscript"/>
              <w:lang w:val="en-GB"/>
            </w:rPr>
            <w:t>th</w:t>
          </w:r>
          <w:r>
            <w:rPr>
              <w:lang w:val="en-GB"/>
            </w:rPr>
            <w:t xml:space="preserve"> GRVA, 21-25 September 2020</w:t>
          </w:r>
          <w:r>
            <w:rPr>
              <w:lang w:val="en-GB"/>
            </w:rPr>
            <w:br/>
            <w:t>Agenda item 4(d)</w:t>
          </w:r>
        </w:p>
      </w:tc>
    </w:tr>
  </w:tbl>
  <w:p w14:paraId="7AB2CE5D" w14:textId="29649E48" w:rsidR="009B6E23" w:rsidRPr="009B6E23" w:rsidRDefault="009B6E23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3745"/>
    <w:rsid w:val="0021193D"/>
    <w:rsid w:val="005D0296"/>
    <w:rsid w:val="009A3745"/>
    <w:rsid w:val="009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5269"/>
  <w15:docId w15:val="{E08D4975-9FB5-410D-BFEF-BA6D9DE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B6E2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B6E2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B6E2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B6E23"/>
    <w:rPr>
      <w:szCs w:val="21"/>
    </w:rPr>
  </w:style>
  <w:style w:type="table" w:styleId="TableGrid">
    <w:name w:val="Table Grid"/>
    <w:basedOn w:val="TableNormal"/>
    <w:uiPriority w:val="39"/>
    <w:rsid w:val="009B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FG</cp:lastModifiedBy>
  <cp:revision>4</cp:revision>
  <dcterms:created xsi:type="dcterms:W3CDTF">2020-09-17T15:55:00Z</dcterms:created>
  <dcterms:modified xsi:type="dcterms:W3CDTF">2020-09-17T16:04:00Z</dcterms:modified>
</cp:coreProperties>
</file>