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18EB" w14:textId="6A7CCA52" w:rsidR="002E46EB" w:rsidRPr="009D5453" w:rsidRDefault="002E46EB" w:rsidP="00A66B80">
      <w:pPr>
        <w:pStyle w:val="HChG"/>
        <w:tabs>
          <w:tab w:val="left" w:pos="708"/>
        </w:tabs>
        <w:spacing w:before="0" w:after="0" w:line="240" w:lineRule="auto"/>
        <w:ind w:left="0" w:right="0" w:firstLine="0"/>
        <w:jc w:val="center"/>
        <w:rPr>
          <w:sz w:val="24"/>
          <w:szCs w:val="24"/>
        </w:rPr>
      </w:pPr>
    </w:p>
    <w:p w14:paraId="506A9058" w14:textId="77777777" w:rsidR="00A0031F" w:rsidRPr="009D5453" w:rsidRDefault="00A0031F" w:rsidP="00A0031F">
      <w:pPr>
        <w:rPr>
          <w:lang w:val="en-GB" w:eastAsia="en-US"/>
        </w:rPr>
      </w:pPr>
    </w:p>
    <w:p w14:paraId="61B1666B" w14:textId="3F2A7057" w:rsidR="007B46FB" w:rsidRPr="009D5453" w:rsidRDefault="00A66B80" w:rsidP="00A66B80">
      <w:pPr>
        <w:pStyle w:val="HChG"/>
        <w:tabs>
          <w:tab w:val="left" w:pos="708"/>
        </w:tabs>
        <w:spacing w:before="0" w:after="0" w:line="240" w:lineRule="auto"/>
        <w:ind w:left="0" w:right="0" w:firstLine="0"/>
        <w:jc w:val="center"/>
        <w:rPr>
          <w:sz w:val="24"/>
          <w:szCs w:val="24"/>
        </w:rPr>
      </w:pPr>
      <w:r w:rsidRPr="009D5453">
        <w:rPr>
          <w:sz w:val="24"/>
          <w:szCs w:val="24"/>
        </w:rPr>
        <w:t>Suggestion for</w:t>
      </w:r>
      <w:r w:rsidR="00995991" w:rsidRPr="009D5453">
        <w:rPr>
          <w:sz w:val="24"/>
          <w:szCs w:val="24"/>
        </w:rPr>
        <w:t xml:space="preserve"> </w:t>
      </w:r>
      <w:r w:rsidR="004B18C3" w:rsidRPr="009D5453">
        <w:rPr>
          <w:sz w:val="24"/>
          <w:szCs w:val="24"/>
        </w:rPr>
        <w:t>a</w:t>
      </w:r>
      <w:r w:rsidR="007B46FB" w:rsidRPr="009D5453">
        <w:rPr>
          <w:sz w:val="24"/>
          <w:szCs w:val="24"/>
        </w:rPr>
        <w:t>mendment</w:t>
      </w:r>
      <w:r w:rsidR="0048171E" w:rsidRPr="009D5453">
        <w:rPr>
          <w:sz w:val="24"/>
          <w:szCs w:val="24"/>
        </w:rPr>
        <w:t>s</w:t>
      </w:r>
      <w:r w:rsidR="007B46FB" w:rsidRPr="009D5453">
        <w:rPr>
          <w:sz w:val="24"/>
          <w:szCs w:val="24"/>
        </w:rPr>
        <w:t xml:space="preserve"> of </w:t>
      </w:r>
      <w:r w:rsidR="0048171E" w:rsidRPr="009D5453">
        <w:rPr>
          <w:sz w:val="24"/>
          <w:szCs w:val="24"/>
        </w:rPr>
        <w:t>ECE/TRANS/WP.29/GRVA-05-05</w:t>
      </w:r>
      <w:r w:rsidR="00A924B5" w:rsidRPr="009D5453">
        <w:rPr>
          <w:sz w:val="24"/>
          <w:szCs w:val="24"/>
        </w:rPr>
        <w:t>-R</w:t>
      </w:r>
      <w:r w:rsidR="0014023C" w:rsidRPr="009D5453">
        <w:rPr>
          <w:sz w:val="24"/>
          <w:szCs w:val="24"/>
        </w:rPr>
        <w:t>ev</w:t>
      </w:r>
      <w:r w:rsidR="00A924B5" w:rsidRPr="009D5453">
        <w:rPr>
          <w:sz w:val="24"/>
          <w:szCs w:val="24"/>
        </w:rPr>
        <w:t>.</w:t>
      </w:r>
      <w:r w:rsidR="0014023C" w:rsidRPr="009D5453">
        <w:rPr>
          <w:sz w:val="24"/>
          <w:szCs w:val="24"/>
        </w:rPr>
        <w:t>1</w:t>
      </w:r>
    </w:p>
    <w:p w14:paraId="3F253913" w14:textId="000BA248" w:rsidR="00995991" w:rsidRPr="009D5453" w:rsidRDefault="007B46FB" w:rsidP="00A66B80">
      <w:pPr>
        <w:pStyle w:val="HChG"/>
        <w:tabs>
          <w:tab w:val="left" w:pos="708"/>
        </w:tabs>
        <w:spacing w:before="0" w:after="0" w:line="240" w:lineRule="auto"/>
        <w:ind w:left="0" w:right="0" w:firstLine="0"/>
        <w:jc w:val="center"/>
        <w:rPr>
          <w:sz w:val="24"/>
          <w:szCs w:val="24"/>
        </w:rPr>
      </w:pPr>
      <w:r w:rsidRPr="009D5453">
        <w:rPr>
          <w:sz w:val="24"/>
          <w:szCs w:val="24"/>
        </w:rPr>
        <w:t>(</w:t>
      </w:r>
      <w:r w:rsidR="0048171E" w:rsidRPr="009D5453">
        <w:rPr>
          <w:sz w:val="24"/>
          <w:szCs w:val="24"/>
        </w:rPr>
        <w:t>Draft new UN Regulation on uniform provisions concerning the approval of vehicles with regard to cyber security and of their cybersecurity management systems</w:t>
      </w:r>
      <w:r w:rsidRPr="009D5453">
        <w:rPr>
          <w:sz w:val="24"/>
          <w:szCs w:val="24"/>
        </w:rPr>
        <w:t>)</w:t>
      </w:r>
    </w:p>
    <w:p w14:paraId="059DB097" w14:textId="233067AC" w:rsidR="00BF4E10" w:rsidRPr="009D5453" w:rsidRDefault="00BF4E10" w:rsidP="00BF4E10">
      <w:pPr>
        <w:rPr>
          <w:lang w:val="en-GB"/>
        </w:rPr>
      </w:pPr>
    </w:p>
    <w:p w14:paraId="63AC2818" w14:textId="77777777" w:rsidR="002E46EB" w:rsidRPr="009D5453" w:rsidRDefault="002E46EB" w:rsidP="00BF4E10">
      <w:pPr>
        <w:rPr>
          <w:lang w:val="en-GB"/>
        </w:rPr>
      </w:pPr>
    </w:p>
    <w:p w14:paraId="0D8C55DE" w14:textId="49B781B0" w:rsidR="00BF4E10" w:rsidRPr="009D5453" w:rsidRDefault="00597492" w:rsidP="00A66B80">
      <w:pPr>
        <w:jc w:val="both"/>
        <w:rPr>
          <w:lang w:val="en-GB"/>
        </w:rPr>
      </w:pPr>
      <w:r w:rsidRPr="009D5453">
        <w:rPr>
          <w:lang w:val="en-GB"/>
        </w:rPr>
        <w:t>The additions and deletions are shown in</w:t>
      </w:r>
      <w:r w:rsidR="00C637AA" w:rsidRPr="009D5453">
        <w:rPr>
          <w:lang w:val="en-GB"/>
        </w:rPr>
        <w:t xml:space="preserve"> </w:t>
      </w:r>
      <w:r w:rsidR="00C637AA" w:rsidRPr="009D5453">
        <w:rPr>
          <w:b/>
          <w:lang w:val="en-GB"/>
        </w:rPr>
        <w:t>bold</w:t>
      </w:r>
      <w:r w:rsidRPr="009D5453">
        <w:rPr>
          <w:lang w:val="en-GB"/>
        </w:rPr>
        <w:t xml:space="preserve"> text</w:t>
      </w:r>
      <w:r w:rsidR="00C637AA" w:rsidRPr="009D5453">
        <w:rPr>
          <w:lang w:val="en-GB"/>
        </w:rPr>
        <w:t xml:space="preserve"> to facilitate identification of these proposed changes</w:t>
      </w:r>
      <w:r w:rsidR="00E11855" w:rsidRPr="009D5453">
        <w:rPr>
          <w:lang w:val="en-GB"/>
        </w:rPr>
        <w:t>.</w:t>
      </w:r>
    </w:p>
    <w:p w14:paraId="744C8F24" w14:textId="25AA6E59" w:rsidR="00E11855" w:rsidRPr="009D5453" w:rsidRDefault="00E11855" w:rsidP="00E11855">
      <w:pPr>
        <w:spacing w:before="7" w:line="240" w:lineRule="exact"/>
        <w:rPr>
          <w:lang w:val="en-GB"/>
        </w:rPr>
      </w:pPr>
    </w:p>
    <w:p w14:paraId="2434F48C" w14:textId="00FDF0BB" w:rsidR="001521A7" w:rsidRDefault="00E11855" w:rsidP="002778CA">
      <w:pPr>
        <w:tabs>
          <w:tab w:val="left" w:pos="0"/>
        </w:tabs>
        <w:spacing w:before="24"/>
        <w:rPr>
          <w:i/>
          <w:lang w:val="sv-SE"/>
        </w:rPr>
      </w:pPr>
      <w:r w:rsidRPr="009D5453">
        <w:rPr>
          <w:b/>
          <w:bCs/>
          <w:spacing w:val="1"/>
          <w:lang w:val="en-GB"/>
        </w:rPr>
        <w:tab/>
      </w:r>
    </w:p>
    <w:p w14:paraId="2B9D6456" w14:textId="0FE1CEAE" w:rsidR="001521A7" w:rsidRPr="001521A7" w:rsidRDefault="001521A7" w:rsidP="001521A7">
      <w:pPr>
        <w:spacing w:after="120"/>
        <w:ind w:right="1134"/>
        <w:jc w:val="both"/>
        <w:rPr>
          <w:i/>
          <w:lang w:val="en-GB"/>
        </w:rPr>
      </w:pPr>
      <w:r w:rsidRPr="001521A7">
        <w:rPr>
          <w:i/>
          <w:lang w:val="sv-SE"/>
        </w:rPr>
        <w:t>Paragraph 1.1.</w:t>
      </w:r>
      <w:r w:rsidRPr="001521A7">
        <w:rPr>
          <w:i/>
          <w:lang w:val="en-GB"/>
        </w:rPr>
        <w:t xml:space="preserve"> amend to read:</w:t>
      </w:r>
    </w:p>
    <w:p w14:paraId="05355BB1" w14:textId="71077670" w:rsidR="001521A7" w:rsidRPr="001521A7" w:rsidRDefault="001521A7" w:rsidP="001521A7">
      <w:pPr>
        <w:pStyle w:val="SingleTxtG"/>
        <w:numPr>
          <w:ilvl w:val="1"/>
          <w:numId w:val="31"/>
        </w:numPr>
        <w:ind w:left="1140"/>
        <w:rPr>
          <w:sz w:val="24"/>
          <w:szCs w:val="24"/>
          <w:lang w:val="en-US"/>
        </w:rPr>
      </w:pPr>
      <w:r w:rsidRPr="001521A7">
        <w:rPr>
          <w:sz w:val="24"/>
          <w:szCs w:val="24"/>
          <w:lang w:val="en-US"/>
        </w:rPr>
        <w:t xml:space="preserve">This Regulation applies to vehicles, with regard to cyber security, of the categories M, N, </w:t>
      </w:r>
      <w:r w:rsidRPr="001521A7">
        <w:rPr>
          <w:color w:val="FF0000"/>
          <w:sz w:val="24"/>
          <w:szCs w:val="24"/>
          <w:lang w:val="en-US"/>
        </w:rPr>
        <w:t>[</w:t>
      </w:r>
      <w:r w:rsidRPr="001521A7">
        <w:rPr>
          <w:b/>
          <w:strike/>
          <w:sz w:val="24"/>
          <w:szCs w:val="24"/>
          <w:lang w:val="en-US"/>
        </w:rPr>
        <w:t>O,</w:t>
      </w:r>
      <w:r w:rsidRPr="001521A7">
        <w:rPr>
          <w:sz w:val="24"/>
          <w:szCs w:val="24"/>
          <w:lang w:val="en-US"/>
        </w:rPr>
        <w:t xml:space="preserve"> R, S and T</w:t>
      </w:r>
      <w:r w:rsidRPr="001521A7">
        <w:rPr>
          <w:b/>
          <w:bCs/>
          <w:color w:val="FF0000"/>
          <w:sz w:val="24"/>
          <w:szCs w:val="24"/>
          <w:lang w:val="en-US"/>
        </w:rPr>
        <w:t>]</w:t>
      </w:r>
      <w:r w:rsidRPr="001521A7">
        <w:rPr>
          <w:sz w:val="24"/>
          <w:szCs w:val="24"/>
          <w:lang w:val="en-US"/>
        </w:rPr>
        <w:t>.</w:t>
      </w:r>
    </w:p>
    <w:p w14:paraId="692CA6CA" w14:textId="377794E2" w:rsidR="001521A7" w:rsidRPr="001521A7" w:rsidRDefault="001521A7" w:rsidP="001521A7">
      <w:pPr>
        <w:pStyle w:val="SingleTxtG"/>
        <w:ind w:left="1140"/>
        <w:rPr>
          <w:b/>
          <w:sz w:val="24"/>
          <w:szCs w:val="24"/>
          <w:lang w:val="en-US"/>
        </w:rPr>
      </w:pPr>
      <w:r w:rsidRPr="001521A7">
        <w:rPr>
          <w:b/>
          <w:sz w:val="24"/>
          <w:szCs w:val="24"/>
          <w:lang w:val="en-US"/>
        </w:rPr>
        <w:t xml:space="preserve">This </w:t>
      </w:r>
      <w:r w:rsidR="0036436A">
        <w:rPr>
          <w:b/>
          <w:sz w:val="24"/>
          <w:szCs w:val="24"/>
          <w:lang w:val="en-US"/>
        </w:rPr>
        <w:t>R</w:t>
      </w:r>
      <w:r w:rsidRPr="001521A7">
        <w:rPr>
          <w:b/>
          <w:sz w:val="24"/>
          <w:szCs w:val="24"/>
          <w:lang w:val="en-US"/>
        </w:rPr>
        <w:t xml:space="preserve">egulation also applies to vehicles of Category O if fitted </w:t>
      </w:r>
      <w:r w:rsidR="0036436A">
        <w:rPr>
          <w:b/>
          <w:sz w:val="24"/>
          <w:szCs w:val="24"/>
          <w:lang w:val="en-US"/>
        </w:rPr>
        <w:t xml:space="preserve">with </w:t>
      </w:r>
      <w:r w:rsidR="00995627">
        <w:rPr>
          <w:b/>
          <w:sz w:val="24"/>
          <w:szCs w:val="24"/>
          <w:lang w:val="en-US"/>
        </w:rPr>
        <w:t xml:space="preserve">at least one </w:t>
      </w:r>
      <w:r w:rsidRPr="001521A7">
        <w:rPr>
          <w:b/>
          <w:sz w:val="24"/>
          <w:szCs w:val="24"/>
          <w:lang w:val="en-US"/>
        </w:rPr>
        <w:t>electronic control unit.</w:t>
      </w:r>
    </w:p>
    <w:p w14:paraId="716DDF48" w14:textId="77777777" w:rsidR="001521A7" w:rsidRDefault="001521A7" w:rsidP="00A924B5">
      <w:pPr>
        <w:spacing w:after="120"/>
        <w:ind w:right="1134"/>
        <w:jc w:val="both"/>
        <w:rPr>
          <w:i/>
          <w:lang w:val="sv-SE"/>
        </w:rPr>
      </w:pPr>
    </w:p>
    <w:p w14:paraId="5B0D289E" w14:textId="3FA32922" w:rsidR="00A924B5" w:rsidRPr="009D5453" w:rsidRDefault="009D5453" w:rsidP="00A924B5">
      <w:pPr>
        <w:spacing w:after="120"/>
        <w:ind w:right="1134"/>
        <w:jc w:val="both"/>
        <w:rPr>
          <w:i/>
          <w:lang w:val="en-GB"/>
        </w:rPr>
      </w:pPr>
      <w:r w:rsidRPr="009D5453">
        <w:rPr>
          <w:i/>
          <w:lang w:val="sv-SE"/>
        </w:rPr>
        <w:t>Paragraph 5.1.3.</w:t>
      </w:r>
      <w:r w:rsidR="00A924B5" w:rsidRPr="009D5453">
        <w:rPr>
          <w:i/>
          <w:lang w:val="en-GB"/>
        </w:rPr>
        <w:t xml:space="preserve"> amend to read</w:t>
      </w:r>
      <w:r w:rsidR="00B21A8A">
        <w:rPr>
          <w:i/>
          <w:lang w:val="en-GB"/>
        </w:rPr>
        <w:t xml:space="preserve"> (in order to align it with 7.3.x)</w:t>
      </w:r>
      <w:r w:rsidR="00A924B5" w:rsidRPr="009D5453">
        <w:rPr>
          <w:i/>
          <w:lang w:val="en-GB"/>
        </w:rPr>
        <w:t>:</w:t>
      </w:r>
    </w:p>
    <w:p w14:paraId="7A668F07" w14:textId="77777777" w:rsidR="009D5453" w:rsidRPr="009D5453" w:rsidRDefault="009D5453" w:rsidP="009D5453">
      <w:pPr>
        <w:pStyle w:val="SingleTxtG"/>
        <w:ind w:hanging="1134"/>
        <w:rPr>
          <w:sz w:val="24"/>
          <w:szCs w:val="24"/>
          <w:lang w:val="en-US"/>
        </w:rPr>
      </w:pPr>
      <w:r w:rsidRPr="009D5453">
        <w:rPr>
          <w:sz w:val="24"/>
          <w:szCs w:val="24"/>
          <w:lang w:val="en-US"/>
        </w:rPr>
        <w:t>5.1.3.</w:t>
      </w:r>
      <w:r w:rsidRPr="009D5453">
        <w:rPr>
          <w:sz w:val="24"/>
          <w:szCs w:val="24"/>
          <w:lang w:val="en-US"/>
        </w:rPr>
        <w:tab/>
        <w:t>The Approval Authority or Technical Service shall refuse to grant the type approval with regard to cyber security where the vehicle manufacturer has not fulfilled one or more of the requirements referred to in paragraph 7.3., notably:</w:t>
      </w:r>
    </w:p>
    <w:p w14:paraId="4B89F40E" w14:textId="77777777" w:rsidR="009D5453" w:rsidRPr="009D5453" w:rsidRDefault="009D5453" w:rsidP="009D5453">
      <w:pPr>
        <w:pStyle w:val="SingleTxtG"/>
        <w:rPr>
          <w:sz w:val="24"/>
          <w:szCs w:val="24"/>
          <w:lang w:val="en-US"/>
        </w:rPr>
      </w:pPr>
      <w:r w:rsidRPr="009D5453">
        <w:rPr>
          <w:sz w:val="24"/>
          <w:szCs w:val="24"/>
          <w:lang w:val="en-US"/>
        </w:rPr>
        <w:t>(a)</w:t>
      </w:r>
      <w:r w:rsidRPr="009D5453">
        <w:rPr>
          <w:sz w:val="24"/>
          <w:szCs w:val="24"/>
          <w:lang w:val="en-US"/>
        </w:rPr>
        <w:tab/>
        <w:t xml:space="preserve">the vehicle manufacturer did not perform the </w:t>
      </w:r>
      <w:r w:rsidRPr="0036436A">
        <w:rPr>
          <w:sz w:val="24"/>
          <w:szCs w:val="24"/>
          <w:lang w:val="en-US"/>
        </w:rPr>
        <w:t>exhaustive</w:t>
      </w:r>
      <w:r w:rsidRPr="009D5453">
        <w:rPr>
          <w:sz w:val="24"/>
          <w:szCs w:val="24"/>
          <w:lang w:val="en-US"/>
        </w:rPr>
        <w:t xml:space="preserve"> risk assessment referred to in paragraph 7.3.3.; including where the manufacturer did not consider all the risks related to threats referred to in Annex 5, Part A;</w:t>
      </w:r>
    </w:p>
    <w:p w14:paraId="0664A850" w14:textId="39EBA741" w:rsidR="009D5453" w:rsidRPr="009D5453" w:rsidRDefault="009D5453" w:rsidP="009D5453">
      <w:pPr>
        <w:pStyle w:val="SingleTxtG"/>
        <w:rPr>
          <w:sz w:val="24"/>
          <w:szCs w:val="24"/>
          <w:lang w:val="en-US"/>
        </w:rPr>
      </w:pPr>
      <w:r w:rsidRPr="009D5453">
        <w:rPr>
          <w:sz w:val="24"/>
          <w:szCs w:val="24"/>
          <w:lang w:val="en-US"/>
        </w:rPr>
        <w:t>(b)</w:t>
      </w:r>
      <w:r w:rsidRPr="009D5453">
        <w:rPr>
          <w:sz w:val="24"/>
          <w:szCs w:val="24"/>
          <w:lang w:val="en-US"/>
        </w:rPr>
        <w:tab/>
        <w:t xml:space="preserve">the vehicle manufacturer did not </w:t>
      </w:r>
      <w:r w:rsidR="00101DAB" w:rsidRPr="00101DAB">
        <w:rPr>
          <w:b/>
          <w:sz w:val="24"/>
          <w:szCs w:val="24"/>
          <w:lang w:val="en-US"/>
        </w:rPr>
        <w:t xml:space="preserve">protect </w:t>
      </w:r>
      <w:r w:rsidRPr="00305B29">
        <w:rPr>
          <w:b/>
          <w:strike/>
          <w:sz w:val="24"/>
          <w:szCs w:val="24"/>
          <w:lang w:val="en-US"/>
        </w:rPr>
        <w:t>ensure that critical elements of</w:t>
      </w:r>
      <w:r w:rsidRPr="009D5453">
        <w:rPr>
          <w:sz w:val="24"/>
          <w:szCs w:val="24"/>
          <w:lang w:val="en-US"/>
        </w:rPr>
        <w:t xml:space="preserve"> the vehicle type </w:t>
      </w:r>
      <w:r w:rsidRPr="00101DAB">
        <w:rPr>
          <w:b/>
          <w:strike/>
          <w:sz w:val="24"/>
          <w:szCs w:val="24"/>
          <w:lang w:val="en-US"/>
        </w:rPr>
        <w:t>are protected</w:t>
      </w:r>
      <w:r w:rsidRPr="009D5453">
        <w:rPr>
          <w:sz w:val="24"/>
          <w:szCs w:val="24"/>
          <w:lang w:val="en-US"/>
        </w:rPr>
        <w:t xml:space="preserve"> against risks identified in the vehicle manufacturer’s risk assessment </w:t>
      </w:r>
      <w:r w:rsidR="00101DAB" w:rsidRPr="00101DAB">
        <w:rPr>
          <w:b/>
          <w:sz w:val="24"/>
          <w:szCs w:val="24"/>
          <w:lang w:val="en-US"/>
        </w:rPr>
        <w:t>or proportionate mitigations were</w:t>
      </w:r>
      <w:r w:rsidR="00101DAB">
        <w:rPr>
          <w:sz w:val="24"/>
          <w:szCs w:val="24"/>
          <w:lang w:val="en-US"/>
        </w:rPr>
        <w:t xml:space="preserve"> </w:t>
      </w:r>
      <w:r w:rsidRPr="00101DAB">
        <w:rPr>
          <w:b/>
          <w:strike/>
          <w:sz w:val="24"/>
          <w:szCs w:val="24"/>
          <w:lang w:val="en-US"/>
        </w:rPr>
        <w:t>and the vehicle manufacturer did</w:t>
      </w:r>
      <w:r w:rsidRPr="00101DAB">
        <w:rPr>
          <w:b/>
          <w:sz w:val="24"/>
          <w:szCs w:val="24"/>
          <w:lang w:val="en-US"/>
        </w:rPr>
        <w:t xml:space="preserve"> not implement</w:t>
      </w:r>
      <w:r w:rsidR="009974AE">
        <w:rPr>
          <w:b/>
          <w:sz w:val="24"/>
          <w:szCs w:val="24"/>
          <w:lang w:val="en-US"/>
        </w:rPr>
        <w:t>ed</w:t>
      </w:r>
      <w:r w:rsidRPr="00101DAB">
        <w:rPr>
          <w:b/>
          <w:sz w:val="24"/>
          <w:szCs w:val="24"/>
          <w:lang w:val="en-US"/>
        </w:rPr>
        <w:t xml:space="preserve"> </w:t>
      </w:r>
      <w:r w:rsidRPr="00101DAB">
        <w:rPr>
          <w:b/>
          <w:strike/>
          <w:sz w:val="24"/>
          <w:szCs w:val="24"/>
          <w:lang w:val="en-US"/>
        </w:rPr>
        <w:t>the relevant mitigations</w:t>
      </w:r>
      <w:r w:rsidRPr="009D5453">
        <w:rPr>
          <w:sz w:val="24"/>
          <w:szCs w:val="24"/>
          <w:lang w:val="en-US"/>
        </w:rPr>
        <w:t xml:space="preserve"> as required by paragraph 7.3.4.;</w:t>
      </w:r>
    </w:p>
    <w:p w14:paraId="5E99B5C4" w14:textId="282680CD" w:rsidR="009D5453" w:rsidRPr="009D5453" w:rsidRDefault="009D5453" w:rsidP="009D5453">
      <w:pPr>
        <w:pStyle w:val="SingleTxtG"/>
        <w:rPr>
          <w:sz w:val="24"/>
          <w:szCs w:val="24"/>
          <w:lang w:val="en-US"/>
        </w:rPr>
      </w:pPr>
      <w:r w:rsidRPr="009D5453">
        <w:rPr>
          <w:sz w:val="24"/>
          <w:szCs w:val="24"/>
          <w:lang w:val="en-US"/>
        </w:rPr>
        <w:t>(c)</w:t>
      </w:r>
      <w:r w:rsidRPr="009D5453">
        <w:rPr>
          <w:sz w:val="24"/>
          <w:szCs w:val="24"/>
          <w:lang w:val="en-US"/>
        </w:rPr>
        <w:tab/>
        <w:t xml:space="preserve">the vehicle manufacturer did not </w:t>
      </w:r>
      <w:r w:rsidR="00101DAB" w:rsidRPr="00101DAB">
        <w:rPr>
          <w:b/>
          <w:sz w:val="24"/>
          <w:szCs w:val="24"/>
          <w:lang w:val="en-US"/>
        </w:rPr>
        <w:t xml:space="preserve">put in place </w:t>
      </w:r>
      <w:r w:rsidRPr="00101DAB">
        <w:rPr>
          <w:b/>
          <w:strike/>
          <w:sz w:val="24"/>
          <w:szCs w:val="24"/>
          <w:lang w:val="en-US"/>
        </w:rPr>
        <w:t>ensure that</w:t>
      </w:r>
      <w:r w:rsidRPr="009D5453">
        <w:rPr>
          <w:sz w:val="24"/>
          <w:szCs w:val="24"/>
          <w:lang w:val="en-US"/>
        </w:rPr>
        <w:t xml:space="preserve"> appropriate and proportionate measures </w:t>
      </w:r>
      <w:r w:rsidRPr="00382C44">
        <w:rPr>
          <w:b/>
          <w:strike/>
          <w:sz w:val="24"/>
          <w:szCs w:val="24"/>
          <w:lang w:val="en-US"/>
        </w:rPr>
        <w:t>have been put in place</w:t>
      </w:r>
      <w:r w:rsidRPr="009D5453">
        <w:rPr>
          <w:sz w:val="24"/>
          <w:szCs w:val="24"/>
          <w:lang w:val="en-US"/>
        </w:rPr>
        <w:t xml:space="preserve"> to secure dedicated environments on the vehicle type (if provided) for the storage and execution of aftermarket software, services, applications or data; </w:t>
      </w:r>
    </w:p>
    <w:p w14:paraId="49DEFC97" w14:textId="765A1A3F" w:rsidR="009D5453" w:rsidRPr="009D5453" w:rsidRDefault="009D5453" w:rsidP="009D5453">
      <w:pPr>
        <w:pStyle w:val="SingleTxtG"/>
        <w:rPr>
          <w:sz w:val="24"/>
          <w:szCs w:val="24"/>
          <w:lang w:val="en-US"/>
        </w:rPr>
      </w:pPr>
      <w:r w:rsidRPr="009D5453">
        <w:rPr>
          <w:sz w:val="24"/>
          <w:szCs w:val="24"/>
          <w:lang w:val="en-US"/>
        </w:rPr>
        <w:t>(d)</w:t>
      </w:r>
      <w:r w:rsidRPr="009D5453">
        <w:rPr>
          <w:sz w:val="24"/>
          <w:szCs w:val="24"/>
          <w:lang w:val="en-US"/>
        </w:rPr>
        <w:tab/>
        <w:t xml:space="preserve">the vehicle manufacturer </w:t>
      </w:r>
      <w:r w:rsidR="00382C44" w:rsidRPr="00382C44">
        <w:rPr>
          <w:b/>
          <w:sz w:val="24"/>
          <w:szCs w:val="24"/>
          <w:lang w:val="en-US"/>
        </w:rPr>
        <w:t xml:space="preserve">did not perform, prior to the approval, </w:t>
      </w:r>
      <w:r w:rsidRPr="00382C44">
        <w:rPr>
          <w:b/>
          <w:strike/>
          <w:sz w:val="24"/>
          <w:szCs w:val="24"/>
          <w:lang w:val="en-US"/>
        </w:rPr>
        <w:t>has not performed</w:t>
      </w:r>
      <w:r w:rsidRPr="00382C44">
        <w:rPr>
          <w:b/>
          <w:sz w:val="24"/>
          <w:szCs w:val="24"/>
          <w:lang w:val="en-US"/>
        </w:rPr>
        <w:t xml:space="preserve"> </w:t>
      </w:r>
      <w:r w:rsidRPr="009D5453">
        <w:rPr>
          <w:sz w:val="24"/>
          <w:szCs w:val="24"/>
          <w:lang w:val="en-US"/>
        </w:rPr>
        <w:t xml:space="preserve">appropriate and </w:t>
      </w:r>
      <w:proofErr w:type="gramStart"/>
      <w:r w:rsidRPr="009D5453">
        <w:rPr>
          <w:sz w:val="24"/>
          <w:szCs w:val="24"/>
          <w:lang w:val="en-US"/>
        </w:rPr>
        <w:t>sufficient</w:t>
      </w:r>
      <w:proofErr w:type="gramEnd"/>
      <w:r w:rsidRPr="009D5453">
        <w:rPr>
          <w:sz w:val="24"/>
          <w:szCs w:val="24"/>
          <w:lang w:val="en-US"/>
        </w:rPr>
        <w:t xml:space="preserve"> testing to verify the effectiveness of the security measures implemented </w:t>
      </w:r>
      <w:r w:rsidRPr="00382C44">
        <w:rPr>
          <w:b/>
          <w:strike/>
          <w:sz w:val="24"/>
          <w:szCs w:val="24"/>
          <w:lang w:val="en-US"/>
        </w:rPr>
        <w:t>and the outcome of those tests</w:t>
      </w:r>
      <w:r w:rsidRPr="009D5453">
        <w:rPr>
          <w:sz w:val="24"/>
          <w:szCs w:val="24"/>
          <w:lang w:val="en-US"/>
        </w:rPr>
        <w:t>.</w:t>
      </w:r>
    </w:p>
    <w:p w14:paraId="46F5B6BC" w14:textId="1DEFBA01" w:rsidR="00811546" w:rsidRPr="009D5453" w:rsidRDefault="00811546" w:rsidP="003024C5">
      <w:pPr>
        <w:spacing w:after="120"/>
        <w:ind w:right="1134"/>
        <w:jc w:val="both"/>
        <w:rPr>
          <w:lang w:val="en-US"/>
        </w:rPr>
      </w:pPr>
    </w:p>
    <w:p w14:paraId="10BF8565" w14:textId="21D771ED" w:rsidR="00B02A95" w:rsidRPr="00B21A8A" w:rsidRDefault="00B21A8A" w:rsidP="003024C5">
      <w:pPr>
        <w:spacing w:after="120"/>
        <w:ind w:right="1134"/>
        <w:jc w:val="both"/>
        <w:rPr>
          <w:i/>
          <w:lang w:val="en-US"/>
        </w:rPr>
      </w:pPr>
      <w:r w:rsidRPr="00B21A8A">
        <w:rPr>
          <w:i/>
          <w:lang w:val="en-US"/>
        </w:rPr>
        <w:t xml:space="preserve">Paragraphs </w:t>
      </w:r>
      <w:r w:rsidR="00B02A95" w:rsidRPr="00B21A8A">
        <w:rPr>
          <w:i/>
          <w:lang w:val="en-US"/>
        </w:rPr>
        <w:t>5.3.1 to 5.3.4</w:t>
      </w:r>
    </w:p>
    <w:p w14:paraId="65B82675" w14:textId="7DDF3DB1" w:rsidR="00840A3B" w:rsidRDefault="002778CA" w:rsidP="003024C5">
      <w:pPr>
        <w:spacing w:after="120"/>
        <w:ind w:right="1134"/>
        <w:jc w:val="both"/>
        <w:rPr>
          <w:i/>
          <w:lang w:val="en-US"/>
        </w:rPr>
      </w:pPr>
      <w:r>
        <w:rPr>
          <w:i/>
          <w:lang w:val="en-US"/>
        </w:rPr>
        <w:t>R</w:t>
      </w:r>
      <w:r w:rsidR="00840A3B">
        <w:rPr>
          <w:i/>
          <w:lang w:val="en-US"/>
        </w:rPr>
        <w:t xml:space="preserve">equirements for a peer review between approval authorities are supported by OICA/CLEPA. This </w:t>
      </w:r>
      <w:r>
        <w:rPr>
          <w:i/>
          <w:lang w:val="en-US"/>
        </w:rPr>
        <w:t xml:space="preserve">peer </w:t>
      </w:r>
      <w:r w:rsidR="00840A3B">
        <w:rPr>
          <w:i/>
          <w:lang w:val="en-US"/>
        </w:rPr>
        <w:t xml:space="preserve">review shall be decoupled </w:t>
      </w:r>
      <w:r>
        <w:rPr>
          <w:i/>
          <w:lang w:val="en-US"/>
        </w:rPr>
        <w:t>from a single UN type approval r</w:t>
      </w:r>
      <w:r w:rsidR="00840A3B">
        <w:rPr>
          <w:i/>
          <w:lang w:val="en-US"/>
        </w:rPr>
        <w:t>egulation.</w:t>
      </w:r>
    </w:p>
    <w:p w14:paraId="319AF31A" w14:textId="6789F9E9" w:rsidR="00B61346" w:rsidRDefault="00643DE6" w:rsidP="003024C5">
      <w:pPr>
        <w:spacing w:after="120"/>
        <w:ind w:right="1134"/>
        <w:jc w:val="both"/>
        <w:rPr>
          <w:i/>
          <w:lang w:val="en-US"/>
        </w:rPr>
      </w:pPr>
      <w:r>
        <w:rPr>
          <w:i/>
          <w:lang w:val="en-US"/>
        </w:rPr>
        <w:t xml:space="preserve">The perception of a too high abstraction level of this </w:t>
      </w:r>
      <w:r w:rsidR="002778CA">
        <w:rPr>
          <w:i/>
          <w:lang w:val="en-US"/>
        </w:rPr>
        <w:t xml:space="preserve">draft UN </w:t>
      </w:r>
      <w:r>
        <w:rPr>
          <w:i/>
          <w:lang w:val="en-US"/>
        </w:rPr>
        <w:t>Regulati</w:t>
      </w:r>
      <w:r w:rsidR="00EB3254">
        <w:rPr>
          <w:i/>
          <w:lang w:val="en-US"/>
        </w:rPr>
        <w:t xml:space="preserve">on is not shared by </w:t>
      </w:r>
      <w:r w:rsidR="002778CA">
        <w:rPr>
          <w:i/>
          <w:lang w:val="en-US"/>
        </w:rPr>
        <w:t xml:space="preserve">the experts from </w:t>
      </w:r>
      <w:r w:rsidR="00EB3254">
        <w:rPr>
          <w:i/>
          <w:lang w:val="en-US"/>
        </w:rPr>
        <w:t>OICA/CLEPA.</w:t>
      </w:r>
    </w:p>
    <w:p w14:paraId="4650054A" w14:textId="488D53C8" w:rsidR="00B61346" w:rsidRDefault="00B61346" w:rsidP="00B61346">
      <w:pPr>
        <w:spacing w:after="120"/>
        <w:ind w:right="1134"/>
        <w:jc w:val="both"/>
        <w:rPr>
          <w:i/>
          <w:lang w:val="en-US"/>
        </w:rPr>
      </w:pPr>
      <w:r>
        <w:rPr>
          <w:i/>
          <w:lang w:val="en-US"/>
        </w:rPr>
        <w:t xml:space="preserve">The protection against cyberattacks and criminal activities cannot be validated by </w:t>
      </w:r>
      <w:r w:rsidR="002778CA">
        <w:rPr>
          <w:i/>
          <w:lang w:val="en-US"/>
        </w:rPr>
        <w:t>a list</w:t>
      </w:r>
      <w:r>
        <w:rPr>
          <w:i/>
          <w:lang w:val="en-US"/>
        </w:rPr>
        <w:t xml:space="preserve"> of specific pass/fail criteria. This is the reason why a thorough risk analysis is required as proof.</w:t>
      </w:r>
    </w:p>
    <w:p w14:paraId="5D154FF4" w14:textId="77777777" w:rsidR="00550B68" w:rsidRDefault="00550B68" w:rsidP="00550B68">
      <w:pPr>
        <w:spacing w:after="120"/>
        <w:ind w:right="1134"/>
        <w:jc w:val="both"/>
        <w:rPr>
          <w:i/>
          <w:lang w:val="en-US"/>
        </w:rPr>
      </w:pPr>
      <w:r>
        <w:rPr>
          <w:i/>
          <w:lang w:val="en-US"/>
        </w:rPr>
        <w:t>The applicability of the draft Regulation has been confirmed during the test phase and corrections have been made.</w:t>
      </w:r>
    </w:p>
    <w:p w14:paraId="7848F52E" w14:textId="70012E99" w:rsidR="00B61346" w:rsidRDefault="00B61346" w:rsidP="00B61346">
      <w:pPr>
        <w:spacing w:after="120"/>
        <w:ind w:right="1134"/>
        <w:jc w:val="both"/>
        <w:rPr>
          <w:i/>
          <w:lang w:val="en-US"/>
        </w:rPr>
      </w:pPr>
      <w:r>
        <w:rPr>
          <w:i/>
          <w:lang w:val="en-US"/>
        </w:rPr>
        <w:lastRenderedPageBreak/>
        <w:t xml:space="preserve">A similar level of abstraction will be used in other future </w:t>
      </w:r>
      <w:r w:rsidR="002778CA">
        <w:rPr>
          <w:i/>
          <w:lang w:val="en-US"/>
        </w:rPr>
        <w:t>r</w:t>
      </w:r>
      <w:r>
        <w:rPr>
          <w:i/>
          <w:lang w:val="en-US"/>
        </w:rPr>
        <w:t>egulations, e.g. for the validation of automated driving, and solutions have to be found as well.</w:t>
      </w:r>
    </w:p>
    <w:p w14:paraId="0211EB0B" w14:textId="666F2794" w:rsidR="00840A3B" w:rsidRDefault="00840A3B" w:rsidP="003024C5">
      <w:pPr>
        <w:spacing w:after="120"/>
        <w:ind w:right="1134"/>
        <w:jc w:val="both"/>
        <w:rPr>
          <w:i/>
          <w:lang w:val="en-US"/>
        </w:rPr>
      </w:pPr>
      <w:r>
        <w:rPr>
          <w:i/>
          <w:lang w:val="en-US"/>
        </w:rPr>
        <w:t>Potential solutions:</w:t>
      </w:r>
    </w:p>
    <w:p w14:paraId="107008D7" w14:textId="028B5223" w:rsidR="00BD4E12" w:rsidRDefault="00BD4E12" w:rsidP="00BD4E12">
      <w:pPr>
        <w:pStyle w:val="ListParagraph"/>
        <w:numPr>
          <w:ilvl w:val="0"/>
          <w:numId w:val="30"/>
        </w:numPr>
        <w:spacing w:after="120"/>
        <w:ind w:right="1134"/>
        <w:jc w:val="both"/>
        <w:rPr>
          <w:i/>
          <w:lang w:val="en-US"/>
        </w:rPr>
      </w:pPr>
      <w:r>
        <w:rPr>
          <w:i/>
          <w:lang w:val="en-US"/>
        </w:rPr>
        <w:t xml:space="preserve">The risk analysis is not high level but a very detailed specific piece of engineering judgement which shall be checked for its </w:t>
      </w:r>
      <w:r w:rsidR="002778CA">
        <w:rPr>
          <w:i/>
          <w:lang w:val="en-US"/>
        </w:rPr>
        <w:t>comprehensiveness</w:t>
      </w:r>
      <w:r>
        <w:rPr>
          <w:i/>
          <w:lang w:val="en-US"/>
        </w:rPr>
        <w:t xml:space="preserve"> by </w:t>
      </w:r>
      <w:r w:rsidR="00A61090">
        <w:rPr>
          <w:i/>
          <w:lang w:val="en-US"/>
        </w:rPr>
        <w:t xml:space="preserve">competent technical services </w:t>
      </w:r>
      <w:r>
        <w:rPr>
          <w:i/>
          <w:lang w:val="en-US"/>
        </w:rPr>
        <w:t>following consensus standards (e.g. ISO/SAE 21434).</w:t>
      </w:r>
    </w:p>
    <w:p w14:paraId="4D529C55" w14:textId="7DD67539" w:rsidR="00840A3B" w:rsidRPr="00787FAC" w:rsidRDefault="00840A3B" w:rsidP="00CB2479">
      <w:pPr>
        <w:pStyle w:val="ListParagraph"/>
        <w:numPr>
          <w:ilvl w:val="0"/>
          <w:numId w:val="30"/>
        </w:numPr>
        <w:spacing w:after="120"/>
        <w:ind w:right="1134"/>
        <w:jc w:val="both"/>
        <w:rPr>
          <w:i/>
          <w:lang w:val="en-US"/>
        </w:rPr>
      </w:pPr>
      <w:r w:rsidRPr="00787FAC">
        <w:rPr>
          <w:i/>
          <w:lang w:val="en-US"/>
        </w:rPr>
        <w:t xml:space="preserve">Extension of </w:t>
      </w:r>
      <w:r w:rsidR="00550B68" w:rsidRPr="00787FAC">
        <w:rPr>
          <w:i/>
          <w:lang w:val="en-US"/>
        </w:rPr>
        <w:t xml:space="preserve">existing peer reviews (e.g. </w:t>
      </w:r>
      <w:r w:rsidRPr="00787FAC">
        <w:rPr>
          <w:i/>
          <w:lang w:val="en-US"/>
        </w:rPr>
        <w:t xml:space="preserve">TAAM </w:t>
      </w:r>
      <w:r w:rsidR="002778CA" w:rsidRPr="00787FAC">
        <w:rPr>
          <w:i/>
          <w:lang w:val="en-US"/>
        </w:rPr>
        <w:t>Type Approval Authorities Meeting</w:t>
      </w:r>
      <w:r w:rsidR="00787FAC" w:rsidRPr="00787FAC">
        <w:rPr>
          <w:i/>
          <w:lang w:val="en-US"/>
        </w:rPr>
        <w:t>s</w:t>
      </w:r>
      <w:r w:rsidR="009F5DF6">
        <w:rPr>
          <w:i/>
          <w:lang w:val="en-US"/>
        </w:rPr>
        <w:t xml:space="preserve">, </w:t>
      </w:r>
      <w:r w:rsidR="002778CA" w:rsidRPr="00787FAC">
        <w:rPr>
          <w:i/>
          <w:lang w:val="en-US"/>
        </w:rPr>
        <w:t xml:space="preserve">  </w:t>
      </w:r>
      <w:r w:rsidR="00787FAC">
        <w:rPr>
          <w:i/>
          <w:lang w:val="en-US"/>
        </w:rPr>
        <w:t xml:space="preserve">TAAEG Type </w:t>
      </w:r>
      <w:r w:rsidR="002778CA" w:rsidRPr="00787FAC">
        <w:rPr>
          <w:i/>
          <w:lang w:val="en-US"/>
        </w:rPr>
        <w:t>Approval Authorities Expert Group</w:t>
      </w:r>
      <w:r w:rsidR="00772C4E">
        <w:rPr>
          <w:i/>
          <w:lang w:val="en-US"/>
        </w:rPr>
        <w:t>, or the “Forum”</w:t>
      </w:r>
      <w:r w:rsidR="00550B68" w:rsidRPr="00787FAC">
        <w:rPr>
          <w:i/>
          <w:lang w:val="en-US"/>
        </w:rPr>
        <w:t>)</w:t>
      </w:r>
      <w:r w:rsidRPr="00787FAC">
        <w:rPr>
          <w:i/>
          <w:lang w:val="en-US"/>
        </w:rPr>
        <w:t xml:space="preserve"> to the UN level</w:t>
      </w:r>
      <w:r w:rsidR="00772C4E">
        <w:rPr>
          <w:i/>
          <w:lang w:val="en-US"/>
        </w:rPr>
        <w:t>, similar to GRSP “TSG Technical Service Group for Child Restraint System R44 &amp; R129”.</w:t>
      </w:r>
    </w:p>
    <w:p w14:paraId="154CB748" w14:textId="7E0F4D2B" w:rsidR="00840A3B" w:rsidRDefault="00840A3B" w:rsidP="00643DE6">
      <w:pPr>
        <w:pStyle w:val="ListParagraph"/>
        <w:numPr>
          <w:ilvl w:val="0"/>
          <w:numId w:val="30"/>
        </w:numPr>
        <w:spacing w:after="120"/>
        <w:ind w:right="1134"/>
        <w:jc w:val="both"/>
        <w:rPr>
          <w:i/>
          <w:lang w:val="en-US"/>
        </w:rPr>
      </w:pPr>
      <w:r w:rsidRPr="00643DE6">
        <w:rPr>
          <w:i/>
          <w:lang w:val="en-US"/>
        </w:rPr>
        <w:t>Integration of mandatory peer review</w:t>
      </w:r>
      <w:r w:rsidR="00787FAC">
        <w:rPr>
          <w:i/>
          <w:lang w:val="en-US"/>
        </w:rPr>
        <w:t>s</w:t>
      </w:r>
      <w:r w:rsidRPr="00643DE6">
        <w:rPr>
          <w:i/>
          <w:lang w:val="en-US"/>
        </w:rPr>
        <w:t xml:space="preserve"> in the Schedule 2 of 1958 Agreement “Assessment, designation and notification of technical services / Standards which the technical services, referred to in Part one of this Schedule, shall comply with”</w:t>
      </w:r>
      <w:r w:rsidR="004559B1">
        <w:rPr>
          <w:i/>
          <w:lang w:val="en-US"/>
        </w:rPr>
        <w:t>.</w:t>
      </w:r>
    </w:p>
    <w:p w14:paraId="21313804" w14:textId="5ECA5E34" w:rsidR="004559B1" w:rsidRDefault="004559B1" w:rsidP="00643DE6">
      <w:pPr>
        <w:pStyle w:val="ListParagraph"/>
        <w:numPr>
          <w:ilvl w:val="0"/>
          <w:numId w:val="30"/>
        </w:numPr>
        <w:spacing w:after="120"/>
        <w:ind w:right="1134"/>
        <w:jc w:val="both"/>
        <w:rPr>
          <w:i/>
          <w:lang w:val="en-US"/>
        </w:rPr>
      </w:pPr>
      <w:r>
        <w:rPr>
          <w:i/>
          <w:lang w:val="en-US"/>
        </w:rPr>
        <w:t>Creating a new schedule in the 1958 Agreement.</w:t>
      </w:r>
    </w:p>
    <w:p w14:paraId="1180223C" w14:textId="0C07ED38" w:rsidR="00B02A95" w:rsidRPr="00B21A8A" w:rsidRDefault="00BF21AF" w:rsidP="003024C5">
      <w:pPr>
        <w:spacing w:after="120"/>
        <w:ind w:right="1134"/>
        <w:jc w:val="both"/>
        <w:rPr>
          <w:i/>
          <w:lang w:val="en-US"/>
        </w:rPr>
      </w:pPr>
      <w:r>
        <w:rPr>
          <w:i/>
          <w:lang w:val="en-US"/>
        </w:rPr>
        <w:t>As a consequence, t</w:t>
      </w:r>
      <w:r w:rsidR="00B21A8A" w:rsidRPr="00B21A8A">
        <w:rPr>
          <w:i/>
          <w:lang w:val="en-US"/>
        </w:rPr>
        <w:t>he experts of OICA and CLEPA actively</w:t>
      </w:r>
      <w:r w:rsidR="00B02A95" w:rsidRPr="00B21A8A">
        <w:rPr>
          <w:i/>
          <w:lang w:val="en-US"/>
        </w:rPr>
        <w:t xml:space="preserve"> support the proposal</w:t>
      </w:r>
      <w:r>
        <w:rPr>
          <w:i/>
          <w:lang w:val="en-US"/>
        </w:rPr>
        <w:t>s</w:t>
      </w:r>
      <w:r w:rsidR="00B02A95" w:rsidRPr="00B21A8A">
        <w:rPr>
          <w:i/>
          <w:lang w:val="en-US"/>
        </w:rPr>
        <w:t xml:space="preserve"> by Japan and France</w:t>
      </w:r>
      <w:r>
        <w:rPr>
          <w:i/>
          <w:lang w:val="en-US"/>
        </w:rPr>
        <w:t xml:space="preserve"> for deletion of paragraphs 5.3.1 to 5.3.4.</w:t>
      </w:r>
    </w:p>
    <w:p w14:paraId="38FC4D25" w14:textId="77777777" w:rsidR="009D5453" w:rsidRPr="009D5453" w:rsidRDefault="009D5453" w:rsidP="009D5453">
      <w:pPr>
        <w:spacing w:after="120"/>
        <w:ind w:right="1134"/>
        <w:jc w:val="both"/>
        <w:rPr>
          <w:lang w:val="sv-SE"/>
        </w:rPr>
      </w:pPr>
    </w:p>
    <w:p w14:paraId="3443F433" w14:textId="4BEBC51B" w:rsidR="009D5453" w:rsidRPr="009D5453" w:rsidRDefault="009D5453" w:rsidP="009D5453">
      <w:pPr>
        <w:spacing w:after="120"/>
        <w:ind w:right="1134"/>
        <w:jc w:val="both"/>
        <w:rPr>
          <w:i/>
          <w:lang w:val="en-GB"/>
        </w:rPr>
      </w:pPr>
      <w:r w:rsidRPr="009D5453">
        <w:rPr>
          <w:i/>
          <w:lang w:val="sv-SE"/>
        </w:rPr>
        <w:t>Paragraphs 7.2.2.2.</w:t>
      </w:r>
      <w:r w:rsidRPr="009D5453">
        <w:rPr>
          <w:i/>
          <w:lang w:val="en-GB"/>
        </w:rPr>
        <w:t xml:space="preserve"> to 7.2.2.4. amend to read:</w:t>
      </w:r>
    </w:p>
    <w:p w14:paraId="443BA4FB" w14:textId="77777777" w:rsidR="00B51346" w:rsidRPr="009D5453" w:rsidRDefault="00B51346" w:rsidP="00D546FD">
      <w:pPr>
        <w:pStyle w:val="SingleTxtG"/>
        <w:ind w:hanging="1134"/>
        <w:rPr>
          <w:sz w:val="24"/>
          <w:szCs w:val="24"/>
          <w:lang w:val="en-US"/>
        </w:rPr>
      </w:pPr>
      <w:r w:rsidRPr="009D5453">
        <w:rPr>
          <w:sz w:val="24"/>
          <w:szCs w:val="24"/>
          <w:lang w:val="en-US"/>
        </w:rPr>
        <w:t>7.2.2.2.</w:t>
      </w:r>
      <w:r w:rsidRPr="009D5453">
        <w:rPr>
          <w:sz w:val="24"/>
          <w:szCs w:val="24"/>
          <w:lang w:val="en-US"/>
        </w:rPr>
        <w:tab/>
        <w:t>The vehicle manufacturer shall demonstrate that the processes used within their Cyber Security Management System ensure security is adequately considered, including risks and mitigations listed in Annex 5. This shall include:</w:t>
      </w:r>
    </w:p>
    <w:p w14:paraId="3F350B19" w14:textId="77777777" w:rsidR="00B51346" w:rsidRPr="009D5453" w:rsidRDefault="00B51346" w:rsidP="00D546FD">
      <w:pPr>
        <w:pStyle w:val="SingleTxtG"/>
        <w:rPr>
          <w:sz w:val="24"/>
          <w:szCs w:val="24"/>
          <w:lang w:val="en-US"/>
        </w:rPr>
      </w:pPr>
      <w:r w:rsidRPr="009D5453">
        <w:rPr>
          <w:sz w:val="24"/>
          <w:szCs w:val="24"/>
          <w:lang w:val="en-US"/>
        </w:rPr>
        <w:t>(a)</w:t>
      </w:r>
      <w:r w:rsidRPr="009D5453">
        <w:rPr>
          <w:sz w:val="24"/>
          <w:szCs w:val="24"/>
          <w:lang w:val="en-US"/>
        </w:rPr>
        <w:tab/>
        <w:t>The processes used within the manufacturer’s organization to manage cyber security;</w:t>
      </w:r>
    </w:p>
    <w:p w14:paraId="70F796B8" w14:textId="77777777" w:rsidR="00B51346" w:rsidRPr="009D5453" w:rsidRDefault="00B51346" w:rsidP="00D546FD">
      <w:pPr>
        <w:pStyle w:val="SingleTxtG"/>
        <w:rPr>
          <w:sz w:val="24"/>
          <w:szCs w:val="24"/>
          <w:lang w:val="en-US"/>
        </w:rPr>
      </w:pPr>
      <w:r w:rsidRPr="009D5453">
        <w:rPr>
          <w:sz w:val="24"/>
          <w:szCs w:val="24"/>
          <w:lang w:val="en-US"/>
        </w:rPr>
        <w:t>(b)</w:t>
      </w:r>
      <w:r w:rsidRPr="009D5453">
        <w:rPr>
          <w:sz w:val="24"/>
          <w:szCs w:val="24"/>
          <w:lang w:val="en-US"/>
        </w:rPr>
        <w:tab/>
        <w:t>The processes used for the identification of risks to vehicle types. Within these processes, the threats in Annex 5, Part A, and other relevant threats shall be considered;</w:t>
      </w:r>
    </w:p>
    <w:p w14:paraId="655E0C79" w14:textId="77777777" w:rsidR="00B51346" w:rsidRPr="009D5453" w:rsidRDefault="00B51346" w:rsidP="00D546FD">
      <w:pPr>
        <w:pStyle w:val="SingleTxtG"/>
        <w:rPr>
          <w:sz w:val="24"/>
          <w:szCs w:val="24"/>
          <w:lang w:val="en-US"/>
        </w:rPr>
      </w:pPr>
      <w:r w:rsidRPr="009D5453">
        <w:rPr>
          <w:sz w:val="24"/>
          <w:szCs w:val="24"/>
          <w:lang w:val="en-US"/>
        </w:rPr>
        <w:t>(c)</w:t>
      </w:r>
      <w:r w:rsidRPr="009D5453">
        <w:rPr>
          <w:sz w:val="24"/>
          <w:szCs w:val="24"/>
          <w:lang w:val="en-US"/>
        </w:rPr>
        <w:tab/>
        <w:t>The processes used for the assessment, categorization and treatment of the risks identified;</w:t>
      </w:r>
    </w:p>
    <w:p w14:paraId="64117311" w14:textId="77777777" w:rsidR="00B51346" w:rsidRPr="009D5453" w:rsidRDefault="00B51346" w:rsidP="00D546FD">
      <w:pPr>
        <w:pStyle w:val="SingleTxtG"/>
        <w:rPr>
          <w:sz w:val="24"/>
          <w:szCs w:val="24"/>
          <w:lang w:val="en-US"/>
        </w:rPr>
      </w:pPr>
      <w:r w:rsidRPr="009D5453">
        <w:rPr>
          <w:sz w:val="24"/>
          <w:szCs w:val="24"/>
          <w:lang w:val="en-US"/>
        </w:rPr>
        <w:t>(d)</w:t>
      </w:r>
      <w:r w:rsidRPr="009D5453">
        <w:rPr>
          <w:sz w:val="24"/>
          <w:szCs w:val="24"/>
          <w:lang w:val="en-US"/>
        </w:rPr>
        <w:tab/>
        <w:t>The processes in place to verify that the risks identified are appropriately managed;</w:t>
      </w:r>
    </w:p>
    <w:p w14:paraId="0C784FB6" w14:textId="77777777" w:rsidR="00B51346" w:rsidRPr="009D5453" w:rsidRDefault="00B51346" w:rsidP="00D546FD">
      <w:pPr>
        <w:pStyle w:val="SingleTxtG"/>
        <w:rPr>
          <w:sz w:val="24"/>
          <w:szCs w:val="24"/>
          <w:lang w:val="en-US"/>
        </w:rPr>
      </w:pPr>
      <w:r w:rsidRPr="009D5453">
        <w:rPr>
          <w:sz w:val="24"/>
          <w:szCs w:val="24"/>
          <w:lang w:val="en-US"/>
        </w:rPr>
        <w:t>(e)</w:t>
      </w:r>
      <w:r w:rsidRPr="009D5453">
        <w:rPr>
          <w:sz w:val="24"/>
          <w:szCs w:val="24"/>
          <w:lang w:val="en-US"/>
        </w:rPr>
        <w:tab/>
        <w:t>The processes used for testing the cyber security of a vehicle type;</w:t>
      </w:r>
    </w:p>
    <w:p w14:paraId="7E96A83E" w14:textId="77777777" w:rsidR="00B51346" w:rsidRPr="009D5453" w:rsidRDefault="00B51346" w:rsidP="00D546FD">
      <w:pPr>
        <w:pStyle w:val="SingleTxtG"/>
        <w:rPr>
          <w:sz w:val="24"/>
          <w:szCs w:val="24"/>
          <w:lang w:val="en-US"/>
        </w:rPr>
      </w:pPr>
      <w:r w:rsidRPr="009D5453">
        <w:rPr>
          <w:sz w:val="24"/>
          <w:szCs w:val="24"/>
          <w:lang w:val="en-US"/>
        </w:rPr>
        <w:t>(f)</w:t>
      </w:r>
      <w:r w:rsidRPr="009D5453">
        <w:rPr>
          <w:sz w:val="24"/>
          <w:szCs w:val="24"/>
          <w:lang w:val="en-US"/>
        </w:rPr>
        <w:tab/>
        <w:t>The processes used for ensuring that the risk assessment is kept current;</w:t>
      </w:r>
    </w:p>
    <w:p w14:paraId="74C15C63" w14:textId="77777777" w:rsidR="00B51346" w:rsidRPr="009D5453" w:rsidRDefault="00B51346" w:rsidP="00D546FD">
      <w:pPr>
        <w:pStyle w:val="SingleTxtG"/>
        <w:rPr>
          <w:sz w:val="24"/>
          <w:szCs w:val="24"/>
          <w:lang w:val="en-US"/>
        </w:rPr>
      </w:pPr>
      <w:r w:rsidRPr="009D5453">
        <w:rPr>
          <w:sz w:val="24"/>
          <w:szCs w:val="24"/>
          <w:lang w:val="en-US"/>
        </w:rPr>
        <w:t>(g)</w:t>
      </w:r>
      <w:r w:rsidRPr="009D5453">
        <w:rPr>
          <w:sz w:val="24"/>
          <w:szCs w:val="24"/>
          <w:lang w:val="en-US"/>
        </w:rPr>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p w14:paraId="39024A8F" w14:textId="620FB8B7" w:rsidR="00B51346" w:rsidRPr="009D5453" w:rsidRDefault="00A95935" w:rsidP="00D546FD">
      <w:pPr>
        <w:pStyle w:val="SingleTxtG"/>
        <w:rPr>
          <w:b/>
          <w:sz w:val="24"/>
          <w:szCs w:val="24"/>
          <w:lang w:val="en-US"/>
        </w:rPr>
      </w:pPr>
      <w:r>
        <w:rPr>
          <w:b/>
          <w:sz w:val="24"/>
          <w:szCs w:val="24"/>
          <w:lang w:val="en-US"/>
        </w:rPr>
        <w:t>(h)</w:t>
      </w:r>
      <w:r w:rsidR="00B51346" w:rsidRPr="009D5453">
        <w:rPr>
          <w:b/>
          <w:sz w:val="24"/>
          <w:szCs w:val="24"/>
          <w:lang w:val="en-US"/>
        </w:rPr>
        <w:t xml:space="preserve">The processes used to provide relevant data to support </w:t>
      </w:r>
      <w:r w:rsidR="00D3672A" w:rsidRPr="0031628C">
        <w:rPr>
          <w:b/>
          <w:sz w:val="24"/>
          <w:szCs w:val="24"/>
          <w:lang w:val="en-US"/>
        </w:rPr>
        <w:t>[analysis / investigation]</w:t>
      </w:r>
      <w:r w:rsidR="00D3672A" w:rsidRPr="009E49F1">
        <w:rPr>
          <w:sz w:val="24"/>
          <w:szCs w:val="24"/>
          <w:lang w:val="en-US"/>
        </w:rPr>
        <w:t xml:space="preserve"> </w:t>
      </w:r>
      <w:r w:rsidR="00B51346" w:rsidRPr="009D5453">
        <w:rPr>
          <w:b/>
          <w:sz w:val="24"/>
          <w:szCs w:val="24"/>
          <w:lang w:val="en-US"/>
        </w:rPr>
        <w:t>of attempted or successful cyber-attacks.</w:t>
      </w:r>
    </w:p>
    <w:p w14:paraId="04E5766F" w14:textId="06E749A0" w:rsidR="003024C5" w:rsidRPr="009D5453" w:rsidRDefault="003024C5" w:rsidP="005D186F">
      <w:pPr>
        <w:spacing w:after="120"/>
        <w:ind w:right="1134"/>
        <w:jc w:val="both"/>
        <w:rPr>
          <w:lang w:val="sv-SE"/>
        </w:rPr>
      </w:pPr>
    </w:p>
    <w:p w14:paraId="0E095F74" w14:textId="113564F0" w:rsidR="00BA62F0" w:rsidRPr="009D5453" w:rsidRDefault="00BA62F0" w:rsidP="009D5453">
      <w:pPr>
        <w:pStyle w:val="SingleTxtG"/>
        <w:ind w:hanging="1134"/>
        <w:rPr>
          <w:sz w:val="24"/>
          <w:szCs w:val="24"/>
          <w:lang w:val="en-US"/>
        </w:rPr>
      </w:pPr>
      <w:r w:rsidRPr="009D5453">
        <w:rPr>
          <w:sz w:val="24"/>
          <w:szCs w:val="24"/>
          <w:lang w:val="en-US"/>
        </w:rPr>
        <w:t>7.2.2.3.</w:t>
      </w:r>
      <w:r w:rsidRPr="009D5453">
        <w:rPr>
          <w:sz w:val="24"/>
          <w:szCs w:val="24"/>
          <w:lang w:val="en-US"/>
        </w:rPr>
        <w:tab/>
        <w:t xml:space="preserve">The vehicle manufacturer shall demonstrate that the processes used within their Cyber Security Management System will ensure that, based on categorization referred to in paragraph 7.2.2.2 (c) and 7.2.2.2 (g), cyber threats and vulnerabilities which require a response from the vehicle manufacturer shall be </w:t>
      </w:r>
      <w:r w:rsidRPr="009D5453">
        <w:rPr>
          <w:b/>
          <w:sz w:val="24"/>
          <w:szCs w:val="24"/>
          <w:lang w:val="en-US"/>
        </w:rPr>
        <w:t>treated</w:t>
      </w:r>
      <w:r w:rsidRPr="009D5453">
        <w:rPr>
          <w:sz w:val="24"/>
          <w:szCs w:val="24"/>
          <w:lang w:val="en-US"/>
        </w:rPr>
        <w:t xml:space="preserve"> </w:t>
      </w:r>
      <w:r w:rsidR="001E2043" w:rsidRPr="009D5453">
        <w:rPr>
          <w:b/>
          <w:strike/>
          <w:sz w:val="24"/>
          <w:szCs w:val="24"/>
          <w:lang w:val="en-US"/>
        </w:rPr>
        <w:t>mitigated</w:t>
      </w:r>
      <w:r w:rsidR="001E2043" w:rsidRPr="009D5453">
        <w:rPr>
          <w:sz w:val="24"/>
          <w:szCs w:val="24"/>
          <w:lang w:val="en-US"/>
        </w:rPr>
        <w:t xml:space="preserve"> </w:t>
      </w:r>
      <w:r w:rsidRPr="009D5453">
        <w:rPr>
          <w:sz w:val="24"/>
          <w:szCs w:val="24"/>
          <w:lang w:val="en-US"/>
        </w:rPr>
        <w:t>within a reasonable timeframe.</w:t>
      </w:r>
    </w:p>
    <w:p w14:paraId="7732E7F9" w14:textId="77777777" w:rsidR="009D5453" w:rsidRDefault="009D5453" w:rsidP="009D5453">
      <w:pPr>
        <w:pStyle w:val="SingleTxtG"/>
        <w:ind w:hanging="1134"/>
        <w:rPr>
          <w:sz w:val="24"/>
          <w:szCs w:val="24"/>
          <w:lang w:val="en-US"/>
        </w:rPr>
      </w:pPr>
    </w:p>
    <w:p w14:paraId="3B3AF192" w14:textId="2A6B734C" w:rsidR="00AF377E" w:rsidRPr="009D5453" w:rsidRDefault="00AF377E" w:rsidP="009D5453">
      <w:pPr>
        <w:pStyle w:val="SingleTxtG"/>
        <w:ind w:hanging="1134"/>
        <w:rPr>
          <w:sz w:val="24"/>
          <w:szCs w:val="24"/>
          <w:lang w:val="en-US"/>
        </w:rPr>
      </w:pPr>
      <w:r w:rsidRPr="009D5453">
        <w:rPr>
          <w:sz w:val="24"/>
          <w:szCs w:val="24"/>
          <w:lang w:val="en-US"/>
        </w:rPr>
        <w:lastRenderedPageBreak/>
        <w:t>7.2.2.4.</w:t>
      </w:r>
      <w:r w:rsidRPr="009D5453">
        <w:rPr>
          <w:sz w:val="24"/>
          <w:szCs w:val="24"/>
          <w:lang w:val="en-US"/>
        </w:rPr>
        <w:tab/>
        <w:t>The vehicle manufacturer shall demonstrate that the processes used within their Cyber Security Management System will ensure that the monitoring referred to in paragraph 7.2.2.2 (g) shall be continual. This shall:</w:t>
      </w:r>
    </w:p>
    <w:p w14:paraId="5F524F39" w14:textId="02AD92F3" w:rsidR="00AF377E" w:rsidRPr="009D5453" w:rsidRDefault="009D5453" w:rsidP="009D5453">
      <w:pPr>
        <w:pStyle w:val="SingleTxtG"/>
        <w:rPr>
          <w:sz w:val="24"/>
          <w:szCs w:val="24"/>
          <w:lang w:val="en-US"/>
        </w:rPr>
      </w:pPr>
      <w:r>
        <w:rPr>
          <w:sz w:val="24"/>
          <w:szCs w:val="24"/>
          <w:lang w:val="en-US"/>
        </w:rPr>
        <w:t xml:space="preserve">(a) </w:t>
      </w:r>
      <w:r w:rsidR="00AF377E" w:rsidRPr="009D5453">
        <w:rPr>
          <w:sz w:val="24"/>
          <w:szCs w:val="24"/>
          <w:lang w:val="en-US"/>
        </w:rPr>
        <w:t>Include vehicles after first registration in the monitoring;</w:t>
      </w:r>
    </w:p>
    <w:p w14:paraId="73B61EBD" w14:textId="7571D0FD" w:rsidR="00AF377E" w:rsidRPr="009D5453" w:rsidRDefault="009D5453" w:rsidP="009D5453">
      <w:pPr>
        <w:pStyle w:val="SingleTxtG"/>
        <w:rPr>
          <w:sz w:val="24"/>
          <w:szCs w:val="24"/>
          <w:lang w:val="en-US"/>
        </w:rPr>
      </w:pPr>
      <w:r>
        <w:rPr>
          <w:sz w:val="24"/>
          <w:szCs w:val="24"/>
          <w:lang w:val="en-US"/>
        </w:rPr>
        <w:t xml:space="preserve">(b) </w:t>
      </w:r>
      <w:r w:rsidR="00AF377E" w:rsidRPr="009D5453">
        <w:rPr>
          <w:sz w:val="24"/>
          <w:szCs w:val="24"/>
          <w:lang w:val="en-US"/>
        </w:rPr>
        <w:t xml:space="preserve">Include the capability to </w:t>
      </w:r>
      <w:proofErr w:type="spellStart"/>
      <w:r w:rsidR="00AF377E" w:rsidRPr="009D5453">
        <w:rPr>
          <w:sz w:val="24"/>
          <w:szCs w:val="24"/>
          <w:lang w:val="en-US"/>
        </w:rPr>
        <w:t>analyse</w:t>
      </w:r>
      <w:proofErr w:type="spellEnd"/>
      <w:r w:rsidR="00AF377E" w:rsidRPr="009D5453">
        <w:rPr>
          <w:sz w:val="24"/>
          <w:szCs w:val="24"/>
          <w:lang w:val="en-US"/>
        </w:rPr>
        <w:t xml:space="preserve"> and detect cyber threats, vulnerabilities and cyber-attacks from </w:t>
      </w:r>
      <w:r w:rsidR="00AF377E" w:rsidRPr="009D5453">
        <w:rPr>
          <w:b/>
          <w:sz w:val="24"/>
          <w:szCs w:val="24"/>
          <w:lang w:val="en-US"/>
        </w:rPr>
        <w:t>available relevant data</w:t>
      </w:r>
      <w:r w:rsidR="001E2043" w:rsidRPr="009D5453">
        <w:rPr>
          <w:b/>
          <w:sz w:val="24"/>
          <w:szCs w:val="24"/>
          <w:lang w:val="en-US"/>
        </w:rPr>
        <w:t xml:space="preserve"> </w:t>
      </w:r>
      <w:r w:rsidR="001E2043" w:rsidRPr="009D5453">
        <w:rPr>
          <w:b/>
          <w:strike/>
          <w:sz w:val="24"/>
          <w:szCs w:val="24"/>
          <w:lang w:val="en-US"/>
        </w:rPr>
        <w:t>vehicle data and vehicle logs</w:t>
      </w:r>
      <w:r w:rsidR="00AF377E" w:rsidRPr="009D5453">
        <w:rPr>
          <w:sz w:val="24"/>
          <w:szCs w:val="24"/>
          <w:lang w:val="en-US"/>
        </w:rPr>
        <w:t>. This capability shall respect paragraph 1.3. and the privacy rights of car owners or drivers, particularly with respect to consent.</w:t>
      </w:r>
    </w:p>
    <w:p w14:paraId="5C96CE54" w14:textId="77777777" w:rsidR="009D5453" w:rsidRDefault="009D5453" w:rsidP="009D5453">
      <w:pPr>
        <w:spacing w:after="120"/>
        <w:ind w:right="1134"/>
        <w:jc w:val="both"/>
        <w:rPr>
          <w:i/>
          <w:lang w:val="sv-SE"/>
        </w:rPr>
      </w:pPr>
    </w:p>
    <w:p w14:paraId="0943DA70" w14:textId="69DEDD41" w:rsidR="009D5453" w:rsidRPr="009D5453" w:rsidRDefault="009D5453" w:rsidP="009D5453">
      <w:pPr>
        <w:spacing w:after="120"/>
        <w:ind w:right="1134"/>
        <w:jc w:val="both"/>
        <w:rPr>
          <w:i/>
          <w:lang w:val="en-GB"/>
        </w:rPr>
      </w:pPr>
      <w:r w:rsidRPr="009D5453">
        <w:rPr>
          <w:i/>
          <w:lang w:val="sv-SE"/>
        </w:rPr>
        <w:t>Paragraph 7.</w:t>
      </w:r>
      <w:r>
        <w:rPr>
          <w:i/>
          <w:lang w:val="sv-SE"/>
        </w:rPr>
        <w:t>3.1.</w:t>
      </w:r>
      <w:r w:rsidRPr="009D5453">
        <w:rPr>
          <w:i/>
          <w:lang w:val="en-GB"/>
        </w:rPr>
        <w:t xml:space="preserve"> amend to read:</w:t>
      </w:r>
    </w:p>
    <w:p w14:paraId="1F7E07A6" w14:textId="78069CDC" w:rsidR="006549E8" w:rsidRPr="009D5453" w:rsidRDefault="006549E8" w:rsidP="009D5453">
      <w:pPr>
        <w:pStyle w:val="SingleTxtG"/>
        <w:ind w:hanging="1134"/>
        <w:rPr>
          <w:sz w:val="24"/>
          <w:szCs w:val="24"/>
          <w:lang w:val="en-US"/>
        </w:rPr>
      </w:pPr>
      <w:r w:rsidRPr="009D5453">
        <w:rPr>
          <w:sz w:val="24"/>
          <w:szCs w:val="24"/>
          <w:lang w:val="en-US"/>
        </w:rPr>
        <w:t>7.3.1.</w:t>
      </w:r>
      <w:r w:rsidR="005D186F" w:rsidRPr="009D5453">
        <w:rPr>
          <w:sz w:val="24"/>
          <w:szCs w:val="24"/>
          <w:lang w:val="en-US"/>
        </w:rPr>
        <w:tab/>
      </w:r>
      <w:r w:rsidRPr="009D5453">
        <w:rPr>
          <w:sz w:val="24"/>
          <w:szCs w:val="24"/>
          <w:lang w:val="en-US"/>
        </w:rPr>
        <w:t>The manufacturer shall have a valid Certificate of Compliance for the Cyber Security Management System relevant to the vehicle type being approved.</w:t>
      </w:r>
    </w:p>
    <w:p w14:paraId="40F82680" w14:textId="09D59F10" w:rsidR="006549E8" w:rsidRPr="009D5453" w:rsidRDefault="006549E8" w:rsidP="009D5453">
      <w:pPr>
        <w:pStyle w:val="SingleTxtG"/>
        <w:rPr>
          <w:sz w:val="24"/>
          <w:szCs w:val="24"/>
          <w:lang w:val="en-US"/>
        </w:rPr>
      </w:pPr>
      <w:r w:rsidRPr="009D5453">
        <w:rPr>
          <w:sz w:val="24"/>
          <w:szCs w:val="24"/>
          <w:lang w:val="en-US"/>
        </w:rPr>
        <w:t xml:space="preserve">However, if the vehicle manufacturer can demonstrate that the vehicle type could not be developed in compliance with the CSMS, because it was fully developed </w:t>
      </w:r>
      <w:r w:rsidRPr="009D5453">
        <w:rPr>
          <w:b/>
          <w:strike/>
          <w:sz w:val="24"/>
          <w:szCs w:val="24"/>
          <w:lang w:val="en-US"/>
        </w:rPr>
        <w:t>before</w:t>
      </w:r>
      <w:r w:rsidRPr="009D5453">
        <w:rPr>
          <w:b/>
          <w:sz w:val="24"/>
          <w:szCs w:val="24"/>
          <w:lang w:val="en-US"/>
        </w:rPr>
        <w:t xml:space="preserve"> latest until [48 months]</w:t>
      </w:r>
      <w:r w:rsidRPr="009D5453">
        <w:rPr>
          <w:sz w:val="24"/>
          <w:szCs w:val="24"/>
          <w:lang w:val="en-US"/>
        </w:rPr>
        <w:t xml:space="preserve"> after entry into force of this Regulation, then the vehicle manufacturer shall demonstrate that cyber security was adequately considered during the development phase.</w:t>
      </w:r>
    </w:p>
    <w:p w14:paraId="404C5F69" w14:textId="77777777" w:rsidR="009974AE" w:rsidRDefault="009974AE" w:rsidP="009974AE">
      <w:pPr>
        <w:spacing w:after="120"/>
        <w:ind w:right="1134"/>
        <w:jc w:val="both"/>
        <w:rPr>
          <w:i/>
          <w:lang w:val="sv-SE"/>
        </w:rPr>
      </w:pPr>
    </w:p>
    <w:p w14:paraId="5BFAF01E" w14:textId="36EB1293" w:rsidR="009D5453" w:rsidRPr="009D5453" w:rsidRDefault="009D5453" w:rsidP="009D5453">
      <w:pPr>
        <w:spacing w:after="120"/>
        <w:ind w:right="1134"/>
        <w:jc w:val="both"/>
        <w:rPr>
          <w:i/>
          <w:lang w:val="en-GB"/>
        </w:rPr>
      </w:pPr>
      <w:r w:rsidRPr="009D5453">
        <w:rPr>
          <w:i/>
          <w:lang w:val="sv-SE"/>
        </w:rPr>
        <w:t>Paragraph 7.</w:t>
      </w:r>
      <w:r>
        <w:rPr>
          <w:i/>
          <w:lang w:val="sv-SE"/>
        </w:rPr>
        <w:t>3.4.</w:t>
      </w:r>
      <w:r w:rsidRPr="009D5453">
        <w:rPr>
          <w:i/>
          <w:lang w:val="en-GB"/>
        </w:rPr>
        <w:t xml:space="preserve"> amend to read:</w:t>
      </w:r>
    </w:p>
    <w:p w14:paraId="5FAFDBEF" w14:textId="7270E8C4" w:rsidR="001E2043" w:rsidRPr="009D5453" w:rsidRDefault="008623CC" w:rsidP="009D5453">
      <w:pPr>
        <w:pStyle w:val="SingleTxtG"/>
        <w:ind w:hanging="1134"/>
        <w:rPr>
          <w:b/>
          <w:strike/>
          <w:sz w:val="24"/>
          <w:szCs w:val="24"/>
          <w:lang w:val="en-US"/>
        </w:rPr>
      </w:pPr>
      <w:r w:rsidRPr="009D5453">
        <w:rPr>
          <w:sz w:val="24"/>
          <w:szCs w:val="24"/>
          <w:lang w:val="en-US"/>
        </w:rPr>
        <w:t>7.3.4.</w:t>
      </w:r>
      <w:r w:rsidRPr="009D5453">
        <w:rPr>
          <w:sz w:val="24"/>
          <w:szCs w:val="24"/>
          <w:lang w:val="en-US"/>
        </w:rPr>
        <w:tab/>
        <w:t xml:space="preserve">The vehicle manufacturer shall protect </w:t>
      </w:r>
      <w:r w:rsidRPr="00BB460B">
        <w:rPr>
          <w:b/>
          <w:strike/>
          <w:sz w:val="24"/>
          <w:szCs w:val="24"/>
          <w:lang w:val="en-US"/>
        </w:rPr>
        <w:t>critical elements of</w:t>
      </w:r>
      <w:r w:rsidRPr="009D5453">
        <w:rPr>
          <w:sz w:val="24"/>
          <w:szCs w:val="24"/>
          <w:lang w:val="en-US"/>
        </w:rPr>
        <w:t xml:space="preserve"> the vehicle type against risks identified in the vehicle m</w:t>
      </w:r>
      <w:r w:rsidR="00324A48" w:rsidRPr="009D5453">
        <w:rPr>
          <w:sz w:val="24"/>
          <w:szCs w:val="24"/>
          <w:lang w:val="en-US"/>
        </w:rPr>
        <w:t xml:space="preserve">anufacturer’s risk assessment. </w:t>
      </w:r>
      <w:r w:rsidRPr="009D5453">
        <w:rPr>
          <w:b/>
          <w:sz w:val="24"/>
          <w:szCs w:val="24"/>
          <w:lang w:val="en-US"/>
        </w:rPr>
        <w:t xml:space="preserve">For the risks identified, the vehicle manufacturer shall consider the mitigations referred to in Annex 5, Part B </w:t>
      </w:r>
      <w:r w:rsidRPr="00AE6D48">
        <w:rPr>
          <w:b/>
          <w:strike/>
          <w:sz w:val="24"/>
          <w:szCs w:val="24"/>
          <w:lang w:val="en-US"/>
        </w:rPr>
        <w:t>and C</w:t>
      </w:r>
      <w:r w:rsidRPr="009D5453">
        <w:rPr>
          <w:b/>
          <w:sz w:val="24"/>
          <w:szCs w:val="24"/>
          <w:lang w:val="en-US"/>
        </w:rPr>
        <w:t xml:space="preserve">. Appropriate mitigations shall be implemented to </w:t>
      </w:r>
      <w:r w:rsidRPr="00BB460B">
        <w:rPr>
          <w:b/>
          <w:sz w:val="24"/>
          <w:szCs w:val="24"/>
          <w:lang w:val="en-US"/>
        </w:rPr>
        <w:t xml:space="preserve">protect </w:t>
      </w:r>
      <w:r w:rsidR="00BB460B" w:rsidRPr="00BB460B">
        <w:rPr>
          <w:b/>
          <w:sz w:val="24"/>
          <w:szCs w:val="24"/>
          <w:lang w:val="en-US"/>
        </w:rPr>
        <w:t>the vehicle type</w:t>
      </w:r>
      <w:r w:rsidRPr="007C7B60">
        <w:rPr>
          <w:b/>
          <w:sz w:val="24"/>
          <w:szCs w:val="24"/>
          <w:lang w:val="en-US"/>
        </w:rPr>
        <w:t>.</w:t>
      </w:r>
      <w:r w:rsidR="001E2043" w:rsidRPr="007C7B60">
        <w:rPr>
          <w:b/>
          <w:sz w:val="24"/>
          <w:szCs w:val="24"/>
          <w:lang w:val="en-US"/>
        </w:rPr>
        <w:t xml:space="preserve"> </w:t>
      </w:r>
      <w:r w:rsidR="001E2043" w:rsidRPr="00BB460B">
        <w:rPr>
          <w:b/>
          <w:strike/>
          <w:sz w:val="24"/>
          <w:szCs w:val="24"/>
          <w:lang w:val="en-US"/>
        </w:rPr>
        <w:t>Proportionate</w:t>
      </w:r>
      <w:r w:rsidR="001E2043" w:rsidRPr="009D5453">
        <w:rPr>
          <w:b/>
          <w:strike/>
          <w:sz w:val="24"/>
          <w:szCs w:val="24"/>
          <w:lang w:val="en-US"/>
        </w:rPr>
        <w:t xml:space="preserve"> mitigations shall be implemented to protect such elements. The mitigations implemented shall include all mitigations referred to in Annex 5, Part B and C which are relevant for the risks identified. However, if a mitigation referred to in Annex 5, Part B or C, is not relevant or not sufficient, the vehicle manufacturer shall ensure that another appropriate mitigation is implemented.</w:t>
      </w:r>
    </w:p>
    <w:p w14:paraId="70474BAE" w14:textId="77777777" w:rsidR="009D5453" w:rsidRDefault="009D5453" w:rsidP="009D5453">
      <w:pPr>
        <w:spacing w:after="120"/>
        <w:ind w:right="1134"/>
        <w:jc w:val="both"/>
        <w:rPr>
          <w:i/>
          <w:lang w:val="sv-SE"/>
        </w:rPr>
      </w:pPr>
    </w:p>
    <w:p w14:paraId="73345E33" w14:textId="1AB36C1D" w:rsidR="009D5453" w:rsidRPr="009D5453" w:rsidRDefault="009D5453" w:rsidP="009D5453">
      <w:pPr>
        <w:spacing w:after="120"/>
        <w:ind w:right="1134"/>
        <w:jc w:val="both"/>
        <w:rPr>
          <w:i/>
          <w:lang w:val="en-GB"/>
        </w:rPr>
      </w:pPr>
      <w:r w:rsidRPr="009D5453">
        <w:rPr>
          <w:i/>
          <w:lang w:val="sv-SE"/>
        </w:rPr>
        <w:t>Paragraph 7.</w:t>
      </w:r>
      <w:r>
        <w:rPr>
          <w:i/>
          <w:lang w:val="sv-SE"/>
        </w:rPr>
        <w:t>3.7.</w:t>
      </w:r>
      <w:r w:rsidRPr="009D5453">
        <w:rPr>
          <w:i/>
          <w:lang w:val="en-GB"/>
        </w:rPr>
        <w:t xml:space="preserve"> amend to read:</w:t>
      </w:r>
    </w:p>
    <w:p w14:paraId="119F211D" w14:textId="77777777" w:rsidR="009E49F1" w:rsidRPr="009E49F1" w:rsidRDefault="009E49F1" w:rsidP="00EA7D5B">
      <w:pPr>
        <w:pStyle w:val="SingleTxtG"/>
        <w:ind w:hanging="1134"/>
        <w:rPr>
          <w:sz w:val="24"/>
          <w:szCs w:val="24"/>
          <w:lang w:val="en-US"/>
        </w:rPr>
      </w:pPr>
      <w:r w:rsidRPr="009E49F1">
        <w:rPr>
          <w:sz w:val="24"/>
          <w:szCs w:val="24"/>
          <w:lang w:val="en-US"/>
        </w:rPr>
        <w:t>7.3.7.</w:t>
      </w:r>
      <w:r w:rsidRPr="009E49F1">
        <w:rPr>
          <w:sz w:val="24"/>
          <w:szCs w:val="24"/>
          <w:lang w:val="en-US"/>
        </w:rPr>
        <w:tab/>
        <w:t>The vehicle manufacturer shall implement measures for the vehicle type to:</w:t>
      </w:r>
    </w:p>
    <w:p w14:paraId="20C62017" w14:textId="7C05CABB" w:rsidR="009E49F1" w:rsidRPr="009E49F1" w:rsidRDefault="009E49F1" w:rsidP="00EA7D5B">
      <w:pPr>
        <w:pStyle w:val="SingleTxtG"/>
        <w:rPr>
          <w:sz w:val="24"/>
          <w:szCs w:val="24"/>
          <w:lang w:val="en-US"/>
        </w:rPr>
      </w:pPr>
      <w:r w:rsidRPr="009E49F1">
        <w:rPr>
          <w:sz w:val="24"/>
          <w:szCs w:val="24"/>
          <w:lang w:val="en-US"/>
        </w:rPr>
        <w:t>(a)</w:t>
      </w:r>
      <w:r w:rsidRPr="009E49F1">
        <w:rPr>
          <w:sz w:val="24"/>
          <w:szCs w:val="24"/>
          <w:lang w:val="en-US"/>
        </w:rPr>
        <w:tab/>
      </w:r>
      <w:r>
        <w:rPr>
          <w:sz w:val="24"/>
          <w:szCs w:val="24"/>
          <w:lang w:val="en-US"/>
        </w:rPr>
        <w:t xml:space="preserve"> </w:t>
      </w:r>
      <w:r w:rsidRPr="009E49F1">
        <w:rPr>
          <w:sz w:val="24"/>
          <w:szCs w:val="24"/>
          <w:lang w:val="en-US"/>
        </w:rPr>
        <w:t xml:space="preserve">detect </w:t>
      </w:r>
      <w:r w:rsidRPr="003403CA">
        <w:rPr>
          <w:b/>
          <w:sz w:val="24"/>
          <w:szCs w:val="24"/>
          <w:lang w:val="en-US"/>
        </w:rPr>
        <w:t xml:space="preserve">and </w:t>
      </w:r>
      <w:r w:rsidR="003403CA" w:rsidRPr="003403CA">
        <w:rPr>
          <w:b/>
          <w:sz w:val="24"/>
          <w:szCs w:val="24"/>
          <w:lang w:val="en-US"/>
        </w:rPr>
        <w:t>respond to</w:t>
      </w:r>
      <w:r w:rsidR="003403CA">
        <w:rPr>
          <w:b/>
          <w:strike/>
          <w:sz w:val="24"/>
          <w:szCs w:val="24"/>
          <w:lang w:val="en-US"/>
        </w:rPr>
        <w:t xml:space="preserve"> </w:t>
      </w:r>
      <w:r w:rsidRPr="009E49F1">
        <w:rPr>
          <w:b/>
          <w:strike/>
          <w:sz w:val="24"/>
          <w:szCs w:val="24"/>
          <w:lang w:val="en-US"/>
        </w:rPr>
        <w:t>prevent</w:t>
      </w:r>
      <w:r w:rsidRPr="009E49F1">
        <w:rPr>
          <w:sz w:val="24"/>
          <w:szCs w:val="24"/>
          <w:lang w:val="en-US"/>
        </w:rPr>
        <w:t xml:space="preserve"> cyber-attacks against vehicles of the vehicle type;</w:t>
      </w:r>
    </w:p>
    <w:p w14:paraId="6BC9E1ED" w14:textId="7F12B91B" w:rsidR="009E49F1" w:rsidRPr="009E49F1" w:rsidRDefault="009E49F1" w:rsidP="00EA7D5B">
      <w:pPr>
        <w:pStyle w:val="SingleTxtG"/>
        <w:rPr>
          <w:sz w:val="24"/>
          <w:szCs w:val="24"/>
          <w:lang w:val="en-US"/>
        </w:rPr>
      </w:pPr>
      <w:r w:rsidRPr="009E49F1">
        <w:rPr>
          <w:sz w:val="24"/>
          <w:szCs w:val="24"/>
          <w:lang w:val="en-US"/>
        </w:rPr>
        <w:t>(b)</w:t>
      </w:r>
      <w:r w:rsidRPr="009E49F1">
        <w:rPr>
          <w:sz w:val="24"/>
          <w:szCs w:val="24"/>
          <w:lang w:val="en-US"/>
        </w:rPr>
        <w:tab/>
      </w:r>
      <w:r>
        <w:rPr>
          <w:sz w:val="24"/>
          <w:szCs w:val="24"/>
          <w:lang w:val="en-US"/>
        </w:rPr>
        <w:t xml:space="preserve"> </w:t>
      </w:r>
      <w:r w:rsidRPr="009E49F1">
        <w:rPr>
          <w:sz w:val="24"/>
          <w:szCs w:val="24"/>
          <w:lang w:val="en-US"/>
        </w:rPr>
        <w:t>support the monitoring capability of the vehicle manufacturer with regards to detecting threats, vulnerabilities and cyber-attacks relevant to the vehicle type;</w:t>
      </w:r>
    </w:p>
    <w:p w14:paraId="3AED3D8E" w14:textId="444AE9FF" w:rsidR="009E49F1" w:rsidRPr="009E49F1" w:rsidRDefault="009E49F1" w:rsidP="00EA7D5B">
      <w:pPr>
        <w:pStyle w:val="SingleTxtG"/>
        <w:rPr>
          <w:b/>
          <w:strike/>
          <w:sz w:val="24"/>
          <w:szCs w:val="24"/>
          <w:lang w:val="en-US"/>
        </w:rPr>
      </w:pPr>
      <w:r>
        <w:rPr>
          <w:b/>
          <w:strike/>
          <w:sz w:val="24"/>
          <w:szCs w:val="24"/>
          <w:lang w:val="en-US"/>
        </w:rPr>
        <w:t>(b)</w:t>
      </w:r>
      <w:r w:rsidRPr="009E49F1">
        <w:rPr>
          <w:b/>
          <w:strike/>
          <w:sz w:val="24"/>
          <w:szCs w:val="24"/>
          <w:lang w:val="en-US"/>
        </w:rPr>
        <w:t xml:space="preserve"> provide data forensic capability to enable analysis of attempted or successful cyber-attacks.</w:t>
      </w:r>
    </w:p>
    <w:p w14:paraId="0B7B3B50" w14:textId="3709AA8B" w:rsidR="009E49F1" w:rsidRPr="009D1D8A" w:rsidRDefault="009E49F1" w:rsidP="00346B57">
      <w:pPr>
        <w:pStyle w:val="SingleTxtG"/>
        <w:rPr>
          <w:b/>
          <w:strike/>
          <w:lang w:val="en-US"/>
        </w:rPr>
      </w:pPr>
      <w:r w:rsidRPr="009D1D8A">
        <w:rPr>
          <w:b/>
          <w:sz w:val="24"/>
          <w:szCs w:val="24"/>
          <w:lang w:val="en-US"/>
        </w:rPr>
        <w:t xml:space="preserve">(c) provide relevant data to support </w:t>
      </w:r>
      <w:r w:rsidR="0031628C" w:rsidRPr="009D1D8A">
        <w:rPr>
          <w:b/>
          <w:sz w:val="24"/>
          <w:szCs w:val="24"/>
          <w:lang w:val="en-US"/>
        </w:rPr>
        <w:t>[</w:t>
      </w:r>
      <w:r w:rsidRPr="009D1D8A">
        <w:rPr>
          <w:b/>
          <w:sz w:val="24"/>
          <w:szCs w:val="24"/>
          <w:lang w:val="en-US"/>
        </w:rPr>
        <w:t>analysis</w:t>
      </w:r>
      <w:r w:rsidR="0031628C" w:rsidRPr="009D1D8A">
        <w:rPr>
          <w:b/>
          <w:sz w:val="24"/>
          <w:szCs w:val="24"/>
          <w:lang w:val="en-US"/>
        </w:rPr>
        <w:t xml:space="preserve"> / investigation]</w:t>
      </w:r>
      <w:r w:rsidRPr="009D1D8A">
        <w:rPr>
          <w:b/>
          <w:sz w:val="24"/>
          <w:szCs w:val="24"/>
          <w:lang w:val="en-US"/>
        </w:rPr>
        <w:t xml:space="preserve"> of attempted or successful cyber-attacks.</w:t>
      </w:r>
    </w:p>
    <w:sectPr w:rsidR="009E49F1" w:rsidRPr="009D1D8A" w:rsidSect="0048171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720" w:right="720" w:bottom="720" w:left="720" w:header="567" w:footer="6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42E49" w14:textId="77777777" w:rsidR="00C72DEF" w:rsidRDefault="00C72DEF">
      <w:r>
        <w:separator/>
      </w:r>
    </w:p>
  </w:endnote>
  <w:endnote w:type="continuationSeparator" w:id="0">
    <w:p w14:paraId="6F417A63" w14:textId="77777777" w:rsidR="00C72DEF" w:rsidRDefault="00C7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BC5" w14:textId="77777777" w:rsidR="003F69F7" w:rsidRDefault="003F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67950" w14:textId="77777777" w:rsidR="003F69F7" w:rsidRDefault="003F6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63B4" w14:textId="77777777" w:rsidR="00910045" w:rsidRDefault="0091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F3AA" w14:textId="77777777" w:rsidR="00C72DEF" w:rsidRDefault="00C72DEF">
      <w:r>
        <w:separator/>
      </w:r>
    </w:p>
  </w:footnote>
  <w:footnote w:type="continuationSeparator" w:id="0">
    <w:p w14:paraId="33D914DC" w14:textId="77777777" w:rsidR="00C72DEF" w:rsidRDefault="00C7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D998" w14:textId="06102396" w:rsidR="003F69F7" w:rsidRDefault="003F69F7"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741814">
      <w:rPr>
        <w:noProof/>
        <w:lang w:val="fr-CH"/>
      </w:rPr>
      <w:t>2</w:t>
    </w:r>
    <w:r w:rsidRPr="00001E26">
      <w:rPr>
        <w:lang w:val="fr-CH"/>
      </w:rPr>
      <w:fldChar w:fldCharType="end"/>
    </w:r>
  </w:p>
  <w:p w14:paraId="1B795A30" w14:textId="77777777" w:rsidR="003F69F7" w:rsidRPr="00001E26" w:rsidRDefault="003F69F7">
    <w:pPr>
      <w:pStyle w:val="Head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A7253" w14:textId="77777777" w:rsidR="003F69F7" w:rsidRDefault="003F69F7" w:rsidP="001E3F85">
    <w:pPr>
      <w:pStyle w:val="Header"/>
      <w:jc w:val="right"/>
      <w:rPr>
        <w:lang w:val="fr-CH"/>
      </w:rPr>
    </w:pPr>
    <w:proofErr w:type="gramStart"/>
    <w:r>
      <w:rPr>
        <w:lang w:val="fr-CH"/>
      </w:rPr>
      <w:t>page</w:t>
    </w:r>
    <w:proofErr w:type="gramEnd"/>
    <w:r>
      <w:rPr>
        <w:lang w:val="fr-CH"/>
      </w:rPr>
      <w:t xml:space="preserve"> 3</w:t>
    </w:r>
  </w:p>
  <w:p w14:paraId="7B40B676" w14:textId="77777777" w:rsidR="003F69F7" w:rsidRPr="001E3F85" w:rsidRDefault="003F69F7" w:rsidP="001E3F85">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7" w:type="dxa"/>
      <w:tblInd w:w="108" w:type="dxa"/>
      <w:tblLook w:val="0000" w:firstRow="0" w:lastRow="0" w:firstColumn="0" w:lastColumn="0" w:noHBand="0" w:noVBand="0"/>
    </w:tblPr>
    <w:tblGrid>
      <w:gridCol w:w="3861"/>
      <w:gridCol w:w="6096"/>
    </w:tblGrid>
    <w:tr w:rsidR="00A66B80" w:rsidRPr="00910045" w14:paraId="035BBCB7" w14:textId="77777777" w:rsidTr="0048171E">
      <w:tc>
        <w:tcPr>
          <w:tcW w:w="3861" w:type="dxa"/>
        </w:tcPr>
        <w:p w14:paraId="660F9A7C" w14:textId="77777777" w:rsidR="0048171E" w:rsidRDefault="00A66B80" w:rsidP="0048171E">
          <w:pPr>
            <w:pStyle w:val="Header"/>
            <w:rPr>
              <w:sz w:val="20"/>
              <w:szCs w:val="20"/>
              <w:lang w:val="en-GB"/>
            </w:rPr>
          </w:pPr>
          <w:r w:rsidRPr="00A95A96">
            <w:rPr>
              <w:sz w:val="20"/>
              <w:szCs w:val="20"/>
              <w:lang w:val="en-GB"/>
            </w:rPr>
            <w:t>Submitted by the</w:t>
          </w:r>
          <w:r>
            <w:rPr>
              <w:sz w:val="20"/>
              <w:szCs w:val="20"/>
              <w:lang w:val="en-GB"/>
            </w:rPr>
            <w:t xml:space="preserve"> experts</w:t>
          </w:r>
        </w:p>
        <w:p w14:paraId="3AAF3D93" w14:textId="1C939D8B" w:rsidR="00A66B80" w:rsidRPr="00A95A96" w:rsidRDefault="00A66B80" w:rsidP="0048171E">
          <w:pPr>
            <w:pStyle w:val="Header"/>
            <w:rPr>
              <w:sz w:val="20"/>
              <w:szCs w:val="20"/>
              <w:lang w:val="en-GB"/>
            </w:rPr>
          </w:pPr>
          <w:r>
            <w:rPr>
              <w:sz w:val="20"/>
              <w:szCs w:val="20"/>
              <w:lang w:val="en-GB"/>
            </w:rPr>
            <w:t xml:space="preserve">from </w:t>
          </w:r>
          <w:r w:rsidR="0048171E">
            <w:rPr>
              <w:sz w:val="20"/>
              <w:szCs w:val="20"/>
              <w:lang w:val="en-GB"/>
            </w:rPr>
            <w:t>OICA and CLEPA</w:t>
          </w:r>
        </w:p>
      </w:tc>
      <w:tc>
        <w:tcPr>
          <w:tcW w:w="6096" w:type="dxa"/>
        </w:tcPr>
        <w:p w14:paraId="6FD9F1D0" w14:textId="7410FCBD" w:rsidR="00A66B80" w:rsidRPr="00A95A96" w:rsidRDefault="00A66B80" w:rsidP="0048171E">
          <w:pPr>
            <w:ind w:left="2870"/>
            <w:rPr>
              <w:b/>
              <w:bCs/>
              <w:sz w:val="20"/>
              <w:szCs w:val="20"/>
              <w:lang w:val="en-GB"/>
            </w:rPr>
          </w:pPr>
          <w:r w:rsidRPr="00A95A96">
            <w:rPr>
              <w:sz w:val="20"/>
              <w:szCs w:val="20"/>
              <w:u w:val="single"/>
              <w:lang w:val="en-GB"/>
            </w:rPr>
            <w:t>Informal document</w:t>
          </w:r>
          <w:r w:rsidRPr="00A95A96">
            <w:rPr>
              <w:sz w:val="20"/>
              <w:szCs w:val="20"/>
              <w:lang w:val="en-GB"/>
            </w:rPr>
            <w:t xml:space="preserve"> </w:t>
          </w:r>
          <w:r w:rsidRPr="00A95A96">
            <w:rPr>
              <w:b/>
              <w:bCs/>
              <w:sz w:val="20"/>
              <w:szCs w:val="20"/>
              <w:lang w:val="en-GB"/>
            </w:rPr>
            <w:t>GR</w:t>
          </w:r>
          <w:r w:rsidR="002B158A">
            <w:rPr>
              <w:b/>
              <w:bCs/>
              <w:sz w:val="20"/>
              <w:szCs w:val="20"/>
              <w:lang w:val="en-GB"/>
            </w:rPr>
            <w:t>VA</w:t>
          </w:r>
          <w:r w:rsidRPr="00A95A96">
            <w:rPr>
              <w:b/>
              <w:bCs/>
              <w:sz w:val="20"/>
              <w:szCs w:val="20"/>
              <w:lang w:val="en-GB"/>
            </w:rPr>
            <w:t>-</w:t>
          </w:r>
          <w:r w:rsidR="00A924B5">
            <w:rPr>
              <w:b/>
              <w:bCs/>
              <w:sz w:val="20"/>
              <w:szCs w:val="20"/>
              <w:lang w:val="en-GB"/>
            </w:rPr>
            <w:t>06</w:t>
          </w:r>
          <w:r w:rsidRPr="00A95A96">
            <w:rPr>
              <w:b/>
              <w:bCs/>
              <w:sz w:val="20"/>
              <w:szCs w:val="20"/>
              <w:lang w:val="en-GB"/>
            </w:rPr>
            <w:t>-</w:t>
          </w:r>
          <w:r w:rsidR="00910045">
            <w:rPr>
              <w:b/>
              <w:bCs/>
              <w:sz w:val="20"/>
              <w:szCs w:val="20"/>
              <w:lang w:val="en-GB"/>
            </w:rPr>
            <w:t>07</w:t>
          </w:r>
          <w:bookmarkStart w:id="0" w:name="_GoBack"/>
          <w:bookmarkEnd w:id="0"/>
        </w:p>
        <w:p w14:paraId="0E2D8533" w14:textId="2A74A859" w:rsidR="00A66B80" w:rsidRPr="00A95A96" w:rsidRDefault="0014023C" w:rsidP="00A924B5">
          <w:pPr>
            <w:pStyle w:val="Header"/>
            <w:tabs>
              <w:tab w:val="clear" w:pos="4677"/>
            </w:tabs>
            <w:ind w:left="2870" w:right="-1249"/>
            <w:rPr>
              <w:sz w:val="20"/>
              <w:szCs w:val="20"/>
              <w:lang w:val="en-GB"/>
            </w:rPr>
          </w:pPr>
          <w:r>
            <w:rPr>
              <w:sz w:val="20"/>
              <w:szCs w:val="20"/>
              <w:lang w:val="en-GB"/>
            </w:rPr>
            <w:t>6</w:t>
          </w:r>
          <w:r w:rsidR="00A66B80" w:rsidRPr="00C93567">
            <w:rPr>
              <w:sz w:val="20"/>
              <w:szCs w:val="20"/>
              <w:lang w:val="en-GB"/>
            </w:rPr>
            <w:t>th</w:t>
          </w:r>
          <w:r w:rsidR="00A66B80" w:rsidRPr="00A95A96">
            <w:rPr>
              <w:sz w:val="20"/>
              <w:szCs w:val="20"/>
              <w:lang w:val="en-GB"/>
            </w:rPr>
            <w:t xml:space="preserve"> GR</w:t>
          </w:r>
          <w:r w:rsidR="002B158A">
            <w:rPr>
              <w:sz w:val="20"/>
              <w:szCs w:val="20"/>
              <w:lang w:val="en-GB"/>
            </w:rPr>
            <w:t>VA</w:t>
          </w:r>
          <w:r w:rsidR="00A66B80" w:rsidRPr="00A95A96">
            <w:rPr>
              <w:sz w:val="20"/>
              <w:szCs w:val="20"/>
              <w:lang w:val="en-GB"/>
            </w:rPr>
            <w:t xml:space="preserve">, </w:t>
          </w:r>
          <w:r>
            <w:rPr>
              <w:sz w:val="20"/>
              <w:szCs w:val="20"/>
              <w:lang w:val="en-GB"/>
            </w:rPr>
            <w:t>3-4 March</w:t>
          </w:r>
          <w:r w:rsidR="002B158A">
            <w:rPr>
              <w:sz w:val="20"/>
              <w:szCs w:val="20"/>
              <w:lang w:val="en-GB"/>
            </w:rPr>
            <w:t xml:space="preserve"> 2020</w:t>
          </w:r>
          <w:r w:rsidR="007B46FB">
            <w:rPr>
              <w:sz w:val="20"/>
              <w:szCs w:val="20"/>
              <w:lang w:val="en-GB"/>
            </w:rPr>
            <w:t xml:space="preserve">, </w:t>
          </w:r>
          <w:r w:rsidR="000954AA">
            <w:rPr>
              <w:sz w:val="20"/>
              <w:szCs w:val="20"/>
              <w:lang w:val="en-GB"/>
            </w:rPr>
            <w:br/>
          </w:r>
          <w:r w:rsidR="00A66B80" w:rsidRPr="00A95A96">
            <w:rPr>
              <w:sz w:val="20"/>
              <w:szCs w:val="20"/>
              <w:lang w:val="en-GB"/>
            </w:rPr>
            <w:t xml:space="preserve">Agenda item </w:t>
          </w:r>
          <w:r w:rsidR="00A924B5">
            <w:rPr>
              <w:sz w:val="20"/>
              <w:szCs w:val="20"/>
              <w:lang w:val="en-GB"/>
            </w:rPr>
            <w:t>4</w:t>
          </w:r>
        </w:p>
      </w:tc>
    </w:tr>
  </w:tbl>
  <w:p w14:paraId="7C4F8D6A" w14:textId="77777777" w:rsidR="00A66B80" w:rsidRPr="00910045" w:rsidRDefault="00A66B8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62270F"/>
    <w:multiLevelType w:val="multilevel"/>
    <w:tmpl w:val="4BAA3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407B76"/>
    <w:multiLevelType w:val="hybridMultilevel"/>
    <w:tmpl w:val="6B4CAA3C"/>
    <w:lvl w:ilvl="0" w:tplc="39F601CE">
      <w:start w:val="1"/>
      <w:numFmt w:val="bullet"/>
      <w:lvlText w:val="•"/>
      <w:lvlJc w:val="left"/>
      <w:pPr>
        <w:tabs>
          <w:tab w:val="num" w:pos="720"/>
        </w:tabs>
        <w:ind w:left="720" w:hanging="360"/>
      </w:pPr>
      <w:rPr>
        <w:rFonts w:ascii="Arial" w:hAnsi="Arial" w:hint="default"/>
      </w:rPr>
    </w:lvl>
    <w:lvl w:ilvl="1" w:tplc="B15CC7C2" w:tentative="1">
      <w:start w:val="1"/>
      <w:numFmt w:val="bullet"/>
      <w:lvlText w:val="•"/>
      <w:lvlJc w:val="left"/>
      <w:pPr>
        <w:tabs>
          <w:tab w:val="num" w:pos="1440"/>
        </w:tabs>
        <w:ind w:left="1440" w:hanging="360"/>
      </w:pPr>
      <w:rPr>
        <w:rFonts w:ascii="Arial" w:hAnsi="Arial" w:hint="default"/>
      </w:rPr>
    </w:lvl>
    <w:lvl w:ilvl="2" w:tplc="FA08C176" w:tentative="1">
      <w:start w:val="1"/>
      <w:numFmt w:val="bullet"/>
      <w:lvlText w:val="•"/>
      <w:lvlJc w:val="left"/>
      <w:pPr>
        <w:tabs>
          <w:tab w:val="num" w:pos="2160"/>
        </w:tabs>
        <w:ind w:left="2160" w:hanging="360"/>
      </w:pPr>
      <w:rPr>
        <w:rFonts w:ascii="Arial" w:hAnsi="Arial" w:hint="default"/>
      </w:rPr>
    </w:lvl>
    <w:lvl w:ilvl="3" w:tplc="7F72AACA" w:tentative="1">
      <w:start w:val="1"/>
      <w:numFmt w:val="bullet"/>
      <w:lvlText w:val="•"/>
      <w:lvlJc w:val="left"/>
      <w:pPr>
        <w:tabs>
          <w:tab w:val="num" w:pos="2880"/>
        </w:tabs>
        <w:ind w:left="2880" w:hanging="360"/>
      </w:pPr>
      <w:rPr>
        <w:rFonts w:ascii="Arial" w:hAnsi="Arial" w:hint="default"/>
      </w:rPr>
    </w:lvl>
    <w:lvl w:ilvl="4" w:tplc="B41880BE" w:tentative="1">
      <w:start w:val="1"/>
      <w:numFmt w:val="bullet"/>
      <w:lvlText w:val="•"/>
      <w:lvlJc w:val="left"/>
      <w:pPr>
        <w:tabs>
          <w:tab w:val="num" w:pos="3600"/>
        </w:tabs>
        <w:ind w:left="3600" w:hanging="360"/>
      </w:pPr>
      <w:rPr>
        <w:rFonts w:ascii="Arial" w:hAnsi="Arial" w:hint="default"/>
      </w:rPr>
    </w:lvl>
    <w:lvl w:ilvl="5" w:tplc="7F9A9B16" w:tentative="1">
      <w:start w:val="1"/>
      <w:numFmt w:val="bullet"/>
      <w:lvlText w:val="•"/>
      <w:lvlJc w:val="left"/>
      <w:pPr>
        <w:tabs>
          <w:tab w:val="num" w:pos="4320"/>
        </w:tabs>
        <w:ind w:left="4320" w:hanging="360"/>
      </w:pPr>
      <w:rPr>
        <w:rFonts w:ascii="Arial" w:hAnsi="Arial" w:hint="default"/>
      </w:rPr>
    </w:lvl>
    <w:lvl w:ilvl="6" w:tplc="256E73A0" w:tentative="1">
      <w:start w:val="1"/>
      <w:numFmt w:val="bullet"/>
      <w:lvlText w:val="•"/>
      <w:lvlJc w:val="left"/>
      <w:pPr>
        <w:tabs>
          <w:tab w:val="num" w:pos="5040"/>
        </w:tabs>
        <w:ind w:left="5040" w:hanging="360"/>
      </w:pPr>
      <w:rPr>
        <w:rFonts w:ascii="Arial" w:hAnsi="Arial" w:hint="default"/>
      </w:rPr>
    </w:lvl>
    <w:lvl w:ilvl="7" w:tplc="650284BA" w:tentative="1">
      <w:start w:val="1"/>
      <w:numFmt w:val="bullet"/>
      <w:lvlText w:val="•"/>
      <w:lvlJc w:val="left"/>
      <w:pPr>
        <w:tabs>
          <w:tab w:val="num" w:pos="5760"/>
        </w:tabs>
        <w:ind w:left="5760" w:hanging="360"/>
      </w:pPr>
      <w:rPr>
        <w:rFonts w:ascii="Arial" w:hAnsi="Arial" w:hint="default"/>
      </w:rPr>
    </w:lvl>
    <w:lvl w:ilvl="8" w:tplc="38383F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0324520"/>
    <w:multiLevelType w:val="hybridMultilevel"/>
    <w:tmpl w:val="58564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46031683"/>
    <w:multiLevelType w:val="hybridMultilevel"/>
    <w:tmpl w:val="751C1F96"/>
    <w:lvl w:ilvl="0" w:tplc="47863E96">
      <w:start w:val="1"/>
      <w:numFmt w:val="upperRoman"/>
      <w:lvlText w:val="%1."/>
      <w:lvlJc w:val="left"/>
      <w:pPr>
        <w:ind w:left="1359" w:hanging="720"/>
      </w:pPr>
      <w:rPr>
        <w:rFonts w:hint="default"/>
        <w:b/>
      </w:rPr>
    </w:lvl>
    <w:lvl w:ilvl="1" w:tplc="040C0019" w:tentative="1">
      <w:start w:val="1"/>
      <w:numFmt w:val="lowerLetter"/>
      <w:lvlText w:val="%2."/>
      <w:lvlJc w:val="left"/>
      <w:pPr>
        <w:ind w:left="1719" w:hanging="360"/>
      </w:pPr>
    </w:lvl>
    <w:lvl w:ilvl="2" w:tplc="040C001B" w:tentative="1">
      <w:start w:val="1"/>
      <w:numFmt w:val="lowerRoman"/>
      <w:lvlText w:val="%3."/>
      <w:lvlJc w:val="right"/>
      <w:pPr>
        <w:ind w:left="2439" w:hanging="180"/>
      </w:pPr>
    </w:lvl>
    <w:lvl w:ilvl="3" w:tplc="040C000F" w:tentative="1">
      <w:start w:val="1"/>
      <w:numFmt w:val="decimal"/>
      <w:lvlText w:val="%4."/>
      <w:lvlJc w:val="left"/>
      <w:pPr>
        <w:ind w:left="3159" w:hanging="360"/>
      </w:pPr>
    </w:lvl>
    <w:lvl w:ilvl="4" w:tplc="040C0019" w:tentative="1">
      <w:start w:val="1"/>
      <w:numFmt w:val="lowerLetter"/>
      <w:lvlText w:val="%5."/>
      <w:lvlJc w:val="left"/>
      <w:pPr>
        <w:ind w:left="3879" w:hanging="360"/>
      </w:pPr>
    </w:lvl>
    <w:lvl w:ilvl="5" w:tplc="040C001B" w:tentative="1">
      <w:start w:val="1"/>
      <w:numFmt w:val="lowerRoman"/>
      <w:lvlText w:val="%6."/>
      <w:lvlJc w:val="right"/>
      <w:pPr>
        <w:ind w:left="4599" w:hanging="180"/>
      </w:pPr>
    </w:lvl>
    <w:lvl w:ilvl="6" w:tplc="040C000F" w:tentative="1">
      <w:start w:val="1"/>
      <w:numFmt w:val="decimal"/>
      <w:lvlText w:val="%7."/>
      <w:lvlJc w:val="left"/>
      <w:pPr>
        <w:ind w:left="5319" w:hanging="360"/>
      </w:pPr>
    </w:lvl>
    <w:lvl w:ilvl="7" w:tplc="040C0019" w:tentative="1">
      <w:start w:val="1"/>
      <w:numFmt w:val="lowerLetter"/>
      <w:lvlText w:val="%8."/>
      <w:lvlJc w:val="left"/>
      <w:pPr>
        <w:ind w:left="6039" w:hanging="360"/>
      </w:pPr>
    </w:lvl>
    <w:lvl w:ilvl="8" w:tplc="040C001B" w:tentative="1">
      <w:start w:val="1"/>
      <w:numFmt w:val="lowerRoman"/>
      <w:lvlText w:val="%9."/>
      <w:lvlJc w:val="right"/>
      <w:pPr>
        <w:ind w:left="6759" w:hanging="180"/>
      </w:pPr>
    </w:lvl>
  </w:abstractNum>
  <w:abstractNum w:abstractNumId="19" w15:restartNumberingAfterBreak="0">
    <w:nsid w:val="4657285F"/>
    <w:multiLevelType w:val="multilevel"/>
    <w:tmpl w:val="10CE08CC"/>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394" w:hanging="11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6768EA"/>
    <w:multiLevelType w:val="hybridMultilevel"/>
    <w:tmpl w:val="4676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5"/>
  </w:num>
  <w:num w:numId="7">
    <w:abstractNumId w:val="16"/>
  </w:num>
  <w:num w:numId="8">
    <w:abstractNumId w:val="8"/>
  </w:num>
  <w:num w:numId="9">
    <w:abstractNumId w:val="6"/>
  </w:num>
  <w:num w:numId="10">
    <w:abstractNumId w:val="9"/>
  </w:num>
  <w:num w:numId="11">
    <w:abstractNumId w:val="7"/>
  </w:num>
  <w:num w:numId="12">
    <w:abstractNumId w:val="17"/>
  </w:num>
  <w:num w:numId="13">
    <w:abstractNumId w:val="4"/>
  </w:num>
  <w:num w:numId="14">
    <w:abstractNumId w:val="27"/>
  </w:num>
  <w:num w:numId="15">
    <w:abstractNumId w:val="22"/>
  </w:num>
  <w:num w:numId="16">
    <w:abstractNumId w:val="25"/>
  </w:num>
  <w:num w:numId="17">
    <w:abstractNumId w:val="23"/>
  </w:num>
  <w:num w:numId="18">
    <w:abstractNumId w:val="15"/>
  </w:num>
  <w:num w:numId="19">
    <w:abstractNumId w:val="20"/>
  </w:num>
  <w:num w:numId="20">
    <w:abstractNumId w:val="26"/>
  </w:num>
  <w:num w:numId="21">
    <w:abstractNumId w:val="14"/>
  </w:num>
  <w:num w:numId="22">
    <w:abstractNumId w:val="10"/>
  </w:num>
  <w:num w:numId="23">
    <w:abstractNumId w:val="12"/>
  </w:num>
  <w:num w:numId="24">
    <w:abstractNumId w:val="28"/>
  </w:num>
  <w:num w:numId="25">
    <w:abstractNumId w:val="29"/>
  </w:num>
  <w:num w:numId="26">
    <w:abstractNumId w:val="18"/>
  </w:num>
  <w:num w:numId="27">
    <w:abstractNumId w:val="13"/>
  </w:num>
  <w:num w:numId="28">
    <w:abstractNumId w:val="3"/>
  </w:num>
  <w:num w:numId="29">
    <w:abstractNumId w:val="11"/>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18D3"/>
    <w:rsid w:val="00001E26"/>
    <w:rsid w:val="00005758"/>
    <w:rsid w:val="00005D8B"/>
    <w:rsid w:val="00011079"/>
    <w:rsid w:val="00011099"/>
    <w:rsid w:val="00014281"/>
    <w:rsid w:val="00017601"/>
    <w:rsid w:val="00021107"/>
    <w:rsid w:val="000220CD"/>
    <w:rsid w:val="000228DB"/>
    <w:rsid w:val="00036291"/>
    <w:rsid w:val="000369BF"/>
    <w:rsid w:val="000421E4"/>
    <w:rsid w:val="00046AFC"/>
    <w:rsid w:val="00052E5C"/>
    <w:rsid w:val="00053FEA"/>
    <w:rsid w:val="000602DD"/>
    <w:rsid w:val="00060789"/>
    <w:rsid w:val="000614B9"/>
    <w:rsid w:val="00065399"/>
    <w:rsid w:val="000657AB"/>
    <w:rsid w:val="00070A49"/>
    <w:rsid w:val="0007343F"/>
    <w:rsid w:val="00073D36"/>
    <w:rsid w:val="00081149"/>
    <w:rsid w:val="000816D1"/>
    <w:rsid w:val="00081E4F"/>
    <w:rsid w:val="00081F70"/>
    <w:rsid w:val="00082DB7"/>
    <w:rsid w:val="00083220"/>
    <w:rsid w:val="00083EC2"/>
    <w:rsid w:val="00092E11"/>
    <w:rsid w:val="0009401D"/>
    <w:rsid w:val="000954AA"/>
    <w:rsid w:val="00096040"/>
    <w:rsid w:val="0009739A"/>
    <w:rsid w:val="00097C59"/>
    <w:rsid w:val="000A1E69"/>
    <w:rsid w:val="000A2EE3"/>
    <w:rsid w:val="000B16DF"/>
    <w:rsid w:val="000B5886"/>
    <w:rsid w:val="000B61D8"/>
    <w:rsid w:val="000C0CD6"/>
    <w:rsid w:val="000C26A0"/>
    <w:rsid w:val="000C34B2"/>
    <w:rsid w:val="000C4826"/>
    <w:rsid w:val="000C690D"/>
    <w:rsid w:val="000C717B"/>
    <w:rsid w:val="000C75C9"/>
    <w:rsid w:val="000D3C09"/>
    <w:rsid w:val="000D4DC2"/>
    <w:rsid w:val="000D6C0A"/>
    <w:rsid w:val="000E4CC4"/>
    <w:rsid w:val="000E6D9C"/>
    <w:rsid w:val="000F1E85"/>
    <w:rsid w:val="000F4E58"/>
    <w:rsid w:val="000F791C"/>
    <w:rsid w:val="0010075D"/>
    <w:rsid w:val="0010133B"/>
    <w:rsid w:val="00101D02"/>
    <w:rsid w:val="00101DAB"/>
    <w:rsid w:val="00105FB2"/>
    <w:rsid w:val="001078B6"/>
    <w:rsid w:val="001111C3"/>
    <w:rsid w:val="0012023F"/>
    <w:rsid w:val="00123098"/>
    <w:rsid w:val="00125426"/>
    <w:rsid w:val="001322AE"/>
    <w:rsid w:val="0013336B"/>
    <w:rsid w:val="00136437"/>
    <w:rsid w:val="00137ACC"/>
    <w:rsid w:val="0014023C"/>
    <w:rsid w:val="00140B59"/>
    <w:rsid w:val="00144004"/>
    <w:rsid w:val="00147968"/>
    <w:rsid w:val="001512A0"/>
    <w:rsid w:val="001521A7"/>
    <w:rsid w:val="00152788"/>
    <w:rsid w:val="00155851"/>
    <w:rsid w:val="00162435"/>
    <w:rsid w:val="00170088"/>
    <w:rsid w:val="00170411"/>
    <w:rsid w:val="00182285"/>
    <w:rsid w:val="001848B1"/>
    <w:rsid w:val="00193FC5"/>
    <w:rsid w:val="00194951"/>
    <w:rsid w:val="00197771"/>
    <w:rsid w:val="0019781F"/>
    <w:rsid w:val="001A56E1"/>
    <w:rsid w:val="001B02CA"/>
    <w:rsid w:val="001B3CC4"/>
    <w:rsid w:val="001B6359"/>
    <w:rsid w:val="001B7582"/>
    <w:rsid w:val="001B75B6"/>
    <w:rsid w:val="001C1015"/>
    <w:rsid w:val="001D131D"/>
    <w:rsid w:val="001D2149"/>
    <w:rsid w:val="001D2E01"/>
    <w:rsid w:val="001E0059"/>
    <w:rsid w:val="001E1A51"/>
    <w:rsid w:val="001E2043"/>
    <w:rsid w:val="001E38C7"/>
    <w:rsid w:val="001E3F85"/>
    <w:rsid w:val="001E56AA"/>
    <w:rsid w:val="001E653E"/>
    <w:rsid w:val="00204DB9"/>
    <w:rsid w:val="00206368"/>
    <w:rsid w:val="00212202"/>
    <w:rsid w:val="0022125F"/>
    <w:rsid w:val="00224548"/>
    <w:rsid w:val="00224D5A"/>
    <w:rsid w:val="002277BD"/>
    <w:rsid w:val="00230E7E"/>
    <w:rsid w:val="00232C41"/>
    <w:rsid w:val="00232C46"/>
    <w:rsid w:val="00233D81"/>
    <w:rsid w:val="00245FBE"/>
    <w:rsid w:val="00251148"/>
    <w:rsid w:val="0025430C"/>
    <w:rsid w:val="0025431E"/>
    <w:rsid w:val="00256BD5"/>
    <w:rsid w:val="0025763B"/>
    <w:rsid w:val="0026000D"/>
    <w:rsid w:val="00260077"/>
    <w:rsid w:val="002613B5"/>
    <w:rsid w:val="00262ADB"/>
    <w:rsid w:val="00265267"/>
    <w:rsid w:val="00270D0F"/>
    <w:rsid w:val="00271017"/>
    <w:rsid w:val="00271897"/>
    <w:rsid w:val="00276892"/>
    <w:rsid w:val="002778CA"/>
    <w:rsid w:val="00281F58"/>
    <w:rsid w:val="002852DE"/>
    <w:rsid w:val="002A035D"/>
    <w:rsid w:val="002A2C3B"/>
    <w:rsid w:val="002A4B07"/>
    <w:rsid w:val="002A65C7"/>
    <w:rsid w:val="002A6C04"/>
    <w:rsid w:val="002B10F9"/>
    <w:rsid w:val="002B158A"/>
    <w:rsid w:val="002B1665"/>
    <w:rsid w:val="002B4EBC"/>
    <w:rsid w:val="002C3A4E"/>
    <w:rsid w:val="002C4B89"/>
    <w:rsid w:val="002C5CD4"/>
    <w:rsid w:val="002D290D"/>
    <w:rsid w:val="002D5863"/>
    <w:rsid w:val="002E32FD"/>
    <w:rsid w:val="002E3D9C"/>
    <w:rsid w:val="002E46EB"/>
    <w:rsid w:val="002F0049"/>
    <w:rsid w:val="002F68DB"/>
    <w:rsid w:val="002F6A73"/>
    <w:rsid w:val="003024C5"/>
    <w:rsid w:val="00303380"/>
    <w:rsid w:val="003046A1"/>
    <w:rsid w:val="003048E4"/>
    <w:rsid w:val="003050C8"/>
    <w:rsid w:val="00305A3B"/>
    <w:rsid w:val="00305B29"/>
    <w:rsid w:val="00306A95"/>
    <w:rsid w:val="0030734F"/>
    <w:rsid w:val="003135AD"/>
    <w:rsid w:val="00316103"/>
    <w:rsid w:val="0031628C"/>
    <w:rsid w:val="00317759"/>
    <w:rsid w:val="003177D5"/>
    <w:rsid w:val="00324A48"/>
    <w:rsid w:val="00326AD7"/>
    <w:rsid w:val="00332EB5"/>
    <w:rsid w:val="0033676B"/>
    <w:rsid w:val="003403CA"/>
    <w:rsid w:val="003405C0"/>
    <w:rsid w:val="0034260D"/>
    <w:rsid w:val="003434C2"/>
    <w:rsid w:val="00346B57"/>
    <w:rsid w:val="00347B0D"/>
    <w:rsid w:val="00347CEC"/>
    <w:rsid w:val="00351B21"/>
    <w:rsid w:val="003560DB"/>
    <w:rsid w:val="00361528"/>
    <w:rsid w:val="0036195F"/>
    <w:rsid w:val="0036436A"/>
    <w:rsid w:val="00364A84"/>
    <w:rsid w:val="00366467"/>
    <w:rsid w:val="00372D63"/>
    <w:rsid w:val="00374B18"/>
    <w:rsid w:val="00375080"/>
    <w:rsid w:val="00382C44"/>
    <w:rsid w:val="00387BA9"/>
    <w:rsid w:val="003970A5"/>
    <w:rsid w:val="003A089F"/>
    <w:rsid w:val="003A08B3"/>
    <w:rsid w:val="003A1AE8"/>
    <w:rsid w:val="003B3712"/>
    <w:rsid w:val="003B475B"/>
    <w:rsid w:val="003B6106"/>
    <w:rsid w:val="003B7E96"/>
    <w:rsid w:val="003C1BBD"/>
    <w:rsid w:val="003C2029"/>
    <w:rsid w:val="003C6078"/>
    <w:rsid w:val="003D01D8"/>
    <w:rsid w:val="003D4D20"/>
    <w:rsid w:val="003E6ACA"/>
    <w:rsid w:val="003E6B23"/>
    <w:rsid w:val="003E7DF1"/>
    <w:rsid w:val="003F50B9"/>
    <w:rsid w:val="003F69F7"/>
    <w:rsid w:val="003F7593"/>
    <w:rsid w:val="003F78D7"/>
    <w:rsid w:val="003F7B21"/>
    <w:rsid w:val="00400E0E"/>
    <w:rsid w:val="00404BE3"/>
    <w:rsid w:val="00411359"/>
    <w:rsid w:val="004129B6"/>
    <w:rsid w:val="00415C22"/>
    <w:rsid w:val="00416394"/>
    <w:rsid w:val="004173B9"/>
    <w:rsid w:val="00417DDC"/>
    <w:rsid w:val="00420DD1"/>
    <w:rsid w:val="00423762"/>
    <w:rsid w:val="004239A9"/>
    <w:rsid w:val="0042492E"/>
    <w:rsid w:val="00432CC6"/>
    <w:rsid w:val="0043429D"/>
    <w:rsid w:val="00437575"/>
    <w:rsid w:val="00437B2F"/>
    <w:rsid w:val="00441C95"/>
    <w:rsid w:val="00444B6B"/>
    <w:rsid w:val="00444D70"/>
    <w:rsid w:val="00444F03"/>
    <w:rsid w:val="0044709F"/>
    <w:rsid w:val="004474B8"/>
    <w:rsid w:val="004504AC"/>
    <w:rsid w:val="00452EAA"/>
    <w:rsid w:val="004559B1"/>
    <w:rsid w:val="00456EB7"/>
    <w:rsid w:val="004637F5"/>
    <w:rsid w:val="00475961"/>
    <w:rsid w:val="0048171E"/>
    <w:rsid w:val="00481FA0"/>
    <w:rsid w:val="00482A16"/>
    <w:rsid w:val="00486322"/>
    <w:rsid w:val="00487629"/>
    <w:rsid w:val="0049049B"/>
    <w:rsid w:val="004911B5"/>
    <w:rsid w:val="00491659"/>
    <w:rsid w:val="00493048"/>
    <w:rsid w:val="00495E43"/>
    <w:rsid w:val="0049742A"/>
    <w:rsid w:val="004A04C9"/>
    <w:rsid w:val="004A272B"/>
    <w:rsid w:val="004A7A6D"/>
    <w:rsid w:val="004A7D29"/>
    <w:rsid w:val="004B18C3"/>
    <w:rsid w:val="004B252D"/>
    <w:rsid w:val="004C1309"/>
    <w:rsid w:val="004C6990"/>
    <w:rsid w:val="004D42D1"/>
    <w:rsid w:val="004D4666"/>
    <w:rsid w:val="004E0AC8"/>
    <w:rsid w:val="004E0E53"/>
    <w:rsid w:val="004F4A0F"/>
    <w:rsid w:val="004F506D"/>
    <w:rsid w:val="004F6610"/>
    <w:rsid w:val="005102B6"/>
    <w:rsid w:val="0051363A"/>
    <w:rsid w:val="00513862"/>
    <w:rsid w:val="00515E4C"/>
    <w:rsid w:val="00516926"/>
    <w:rsid w:val="005169D0"/>
    <w:rsid w:val="005239CF"/>
    <w:rsid w:val="005250E7"/>
    <w:rsid w:val="0052790F"/>
    <w:rsid w:val="00527D41"/>
    <w:rsid w:val="00532C80"/>
    <w:rsid w:val="005338B6"/>
    <w:rsid w:val="00534213"/>
    <w:rsid w:val="00534329"/>
    <w:rsid w:val="00534DB9"/>
    <w:rsid w:val="005417DF"/>
    <w:rsid w:val="00550B68"/>
    <w:rsid w:val="005527A2"/>
    <w:rsid w:val="00555DF1"/>
    <w:rsid w:val="00557BF6"/>
    <w:rsid w:val="005622E6"/>
    <w:rsid w:val="0056562D"/>
    <w:rsid w:val="00567122"/>
    <w:rsid w:val="00567C71"/>
    <w:rsid w:val="005705C2"/>
    <w:rsid w:val="005748FC"/>
    <w:rsid w:val="00576233"/>
    <w:rsid w:val="005775B0"/>
    <w:rsid w:val="00582E6C"/>
    <w:rsid w:val="005831E5"/>
    <w:rsid w:val="00587403"/>
    <w:rsid w:val="005918CE"/>
    <w:rsid w:val="005927EB"/>
    <w:rsid w:val="00593497"/>
    <w:rsid w:val="005950E9"/>
    <w:rsid w:val="00595890"/>
    <w:rsid w:val="005959C3"/>
    <w:rsid w:val="00597492"/>
    <w:rsid w:val="005A0E54"/>
    <w:rsid w:val="005A140D"/>
    <w:rsid w:val="005A17E0"/>
    <w:rsid w:val="005A3782"/>
    <w:rsid w:val="005A4D77"/>
    <w:rsid w:val="005A6B71"/>
    <w:rsid w:val="005A716A"/>
    <w:rsid w:val="005B03C0"/>
    <w:rsid w:val="005B6123"/>
    <w:rsid w:val="005B62B9"/>
    <w:rsid w:val="005D186F"/>
    <w:rsid w:val="005D4206"/>
    <w:rsid w:val="005D484A"/>
    <w:rsid w:val="005E53D3"/>
    <w:rsid w:val="005F209F"/>
    <w:rsid w:val="005F3064"/>
    <w:rsid w:val="005F35B5"/>
    <w:rsid w:val="005F37F8"/>
    <w:rsid w:val="005F7697"/>
    <w:rsid w:val="005F7ECB"/>
    <w:rsid w:val="00602033"/>
    <w:rsid w:val="00605C17"/>
    <w:rsid w:val="006110A8"/>
    <w:rsid w:val="0061147B"/>
    <w:rsid w:val="006158F8"/>
    <w:rsid w:val="00615A51"/>
    <w:rsid w:val="00620D33"/>
    <w:rsid w:val="00621FA4"/>
    <w:rsid w:val="00626C7C"/>
    <w:rsid w:val="00627F8B"/>
    <w:rsid w:val="00632B77"/>
    <w:rsid w:val="00636865"/>
    <w:rsid w:val="00637EBA"/>
    <w:rsid w:val="00643DE6"/>
    <w:rsid w:val="006549E8"/>
    <w:rsid w:val="00657377"/>
    <w:rsid w:val="00663708"/>
    <w:rsid w:val="006653E5"/>
    <w:rsid w:val="006670E9"/>
    <w:rsid w:val="0067604A"/>
    <w:rsid w:val="0067697C"/>
    <w:rsid w:val="0068778F"/>
    <w:rsid w:val="006930A7"/>
    <w:rsid w:val="00695CDE"/>
    <w:rsid w:val="006A522A"/>
    <w:rsid w:val="006A6045"/>
    <w:rsid w:val="006A6AEF"/>
    <w:rsid w:val="006A73A1"/>
    <w:rsid w:val="006B18D3"/>
    <w:rsid w:val="006C480E"/>
    <w:rsid w:val="006D098C"/>
    <w:rsid w:val="006D0D04"/>
    <w:rsid w:val="006D1D02"/>
    <w:rsid w:val="006D5DCB"/>
    <w:rsid w:val="006D6F73"/>
    <w:rsid w:val="006D75BF"/>
    <w:rsid w:val="006D7606"/>
    <w:rsid w:val="006E11C1"/>
    <w:rsid w:val="006F06DE"/>
    <w:rsid w:val="006F6A7F"/>
    <w:rsid w:val="006F71EF"/>
    <w:rsid w:val="006F7FFA"/>
    <w:rsid w:val="007001D4"/>
    <w:rsid w:val="00700C57"/>
    <w:rsid w:val="00703915"/>
    <w:rsid w:val="00712940"/>
    <w:rsid w:val="00714C0A"/>
    <w:rsid w:val="0071598F"/>
    <w:rsid w:val="00715A09"/>
    <w:rsid w:val="007167B8"/>
    <w:rsid w:val="0072251C"/>
    <w:rsid w:val="00722F0F"/>
    <w:rsid w:val="0073183E"/>
    <w:rsid w:val="00734CCD"/>
    <w:rsid w:val="0074015A"/>
    <w:rsid w:val="007403AF"/>
    <w:rsid w:val="00741814"/>
    <w:rsid w:val="00742A78"/>
    <w:rsid w:val="007461C3"/>
    <w:rsid w:val="007467AC"/>
    <w:rsid w:val="00750F54"/>
    <w:rsid w:val="00753D72"/>
    <w:rsid w:val="007552E8"/>
    <w:rsid w:val="00760025"/>
    <w:rsid w:val="007619CB"/>
    <w:rsid w:val="00762F5B"/>
    <w:rsid w:val="00767E89"/>
    <w:rsid w:val="00772C4E"/>
    <w:rsid w:val="0077566C"/>
    <w:rsid w:val="0077682E"/>
    <w:rsid w:val="007775A2"/>
    <w:rsid w:val="00780BE1"/>
    <w:rsid w:val="00782057"/>
    <w:rsid w:val="00783C92"/>
    <w:rsid w:val="00787FAC"/>
    <w:rsid w:val="00790F47"/>
    <w:rsid w:val="00791F6E"/>
    <w:rsid w:val="007930F8"/>
    <w:rsid w:val="007933B7"/>
    <w:rsid w:val="007947D6"/>
    <w:rsid w:val="00794A96"/>
    <w:rsid w:val="00796E35"/>
    <w:rsid w:val="007A0FFA"/>
    <w:rsid w:val="007A3671"/>
    <w:rsid w:val="007A410D"/>
    <w:rsid w:val="007A5B10"/>
    <w:rsid w:val="007B46FB"/>
    <w:rsid w:val="007B5AF5"/>
    <w:rsid w:val="007B7DFD"/>
    <w:rsid w:val="007C2D4C"/>
    <w:rsid w:val="007C6A2B"/>
    <w:rsid w:val="007C70BB"/>
    <w:rsid w:val="007C7B60"/>
    <w:rsid w:val="007D4F7D"/>
    <w:rsid w:val="007D57FE"/>
    <w:rsid w:val="007D5F5F"/>
    <w:rsid w:val="007D62A9"/>
    <w:rsid w:val="007D7FBB"/>
    <w:rsid w:val="007E089F"/>
    <w:rsid w:val="007E6C4A"/>
    <w:rsid w:val="007E71AF"/>
    <w:rsid w:val="007F0082"/>
    <w:rsid w:val="007F0D68"/>
    <w:rsid w:val="007F20A9"/>
    <w:rsid w:val="007F59D9"/>
    <w:rsid w:val="007F7E34"/>
    <w:rsid w:val="0080234C"/>
    <w:rsid w:val="00802386"/>
    <w:rsid w:val="0080406F"/>
    <w:rsid w:val="00805B9C"/>
    <w:rsid w:val="00811546"/>
    <w:rsid w:val="00814AB6"/>
    <w:rsid w:val="00815C1C"/>
    <w:rsid w:val="00816D88"/>
    <w:rsid w:val="008205DC"/>
    <w:rsid w:val="00820ABE"/>
    <w:rsid w:val="0082155F"/>
    <w:rsid w:val="008228B1"/>
    <w:rsid w:val="00822993"/>
    <w:rsid w:val="00833FD8"/>
    <w:rsid w:val="00835567"/>
    <w:rsid w:val="00836447"/>
    <w:rsid w:val="00836D55"/>
    <w:rsid w:val="00840080"/>
    <w:rsid w:val="00840A3B"/>
    <w:rsid w:val="00842277"/>
    <w:rsid w:val="00846D57"/>
    <w:rsid w:val="00850CA7"/>
    <w:rsid w:val="0085344E"/>
    <w:rsid w:val="00853CAD"/>
    <w:rsid w:val="008604C8"/>
    <w:rsid w:val="008605C0"/>
    <w:rsid w:val="008623CC"/>
    <w:rsid w:val="00864BEB"/>
    <w:rsid w:val="00865AF2"/>
    <w:rsid w:val="00866AFA"/>
    <w:rsid w:val="00866D26"/>
    <w:rsid w:val="0086787A"/>
    <w:rsid w:val="00870EFA"/>
    <w:rsid w:val="0087551C"/>
    <w:rsid w:val="00877F90"/>
    <w:rsid w:val="00885090"/>
    <w:rsid w:val="008877AA"/>
    <w:rsid w:val="00890032"/>
    <w:rsid w:val="008921A6"/>
    <w:rsid w:val="0089378F"/>
    <w:rsid w:val="0089447B"/>
    <w:rsid w:val="008A5622"/>
    <w:rsid w:val="008B3E61"/>
    <w:rsid w:val="008B67D3"/>
    <w:rsid w:val="008C0CFC"/>
    <w:rsid w:val="008D1FEF"/>
    <w:rsid w:val="008D6031"/>
    <w:rsid w:val="008D6A1E"/>
    <w:rsid w:val="008D7EF1"/>
    <w:rsid w:val="008F52A2"/>
    <w:rsid w:val="008F5AC7"/>
    <w:rsid w:val="008F76BE"/>
    <w:rsid w:val="009040D1"/>
    <w:rsid w:val="00910045"/>
    <w:rsid w:val="00911492"/>
    <w:rsid w:val="00912D70"/>
    <w:rsid w:val="00917636"/>
    <w:rsid w:val="009221F9"/>
    <w:rsid w:val="0092301D"/>
    <w:rsid w:val="00926CEC"/>
    <w:rsid w:val="00927452"/>
    <w:rsid w:val="0092779B"/>
    <w:rsid w:val="009328E7"/>
    <w:rsid w:val="00932976"/>
    <w:rsid w:val="0093586E"/>
    <w:rsid w:val="0094158B"/>
    <w:rsid w:val="00941A60"/>
    <w:rsid w:val="009437DD"/>
    <w:rsid w:val="00944900"/>
    <w:rsid w:val="009528C7"/>
    <w:rsid w:val="00953D48"/>
    <w:rsid w:val="00954217"/>
    <w:rsid w:val="00955E60"/>
    <w:rsid w:val="009562DD"/>
    <w:rsid w:val="00956598"/>
    <w:rsid w:val="009574E3"/>
    <w:rsid w:val="009618DA"/>
    <w:rsid w:val="00961F12"/>
    <w:rsid w:val="009635EA"/>
    <w:rsid w:val="00967032"/>
    <w:rsid w:val="00970577"/>
    <w:rsid w:val="00975DB2"/>
    <w:rsid w:val="009823D7"/>
    <w:rsid w:val="00984E3A"/>
    <w:rsid w:val="00987FF3"/>
    <w:rsid w:val="00991396"/>
    <w:rsid w:val="00995627"/>
    <w:rsid w:val="00995713"/>
    <w:rsid w:val="00995991"/>
    <w:rsid w:val="00997061"/>
    <w:rsid w:val="009974AE"/>
    <w:rsid w:val="009978F5"/>
    <w:rsid w:val="009A0CB7"/>
    <w:rsid w:val="009A4349"/>
    <w:rsid w:val="009A7450"/>
    <w:rsid w:val="009B1D0E"/>
    <w:rsid w:val="009C0389"/>
    <w:rsid w:val="009C68F7"/>
    <w:rsid w:val="009D0703"/>
    <w:rsid w:val="009D1D8A"/>
    <w:rsid w:val="009D2526"/>
    <w:rsid w:val="009D2DBB"/>
    <w:rsid w:val="009D3AD0"/>
    <w:rsid w:val="009D4D02"/>
    <w:rsid w:val="009D5453"/>
    <w:rsid w:val="009D5EE0"/>
    <w:rsid w:val="009E0E47"/>
    <w:rsid w:val="009E2EFD"/>
    <w:rsid w:val="009E49F1"/>
    <w:rsid w:val="009E76EC"/>
    <w:rsid w:val="009F16CA"/>
    <w:rsid w:val="009F1C85"/>
    <w:rsid w:val="009F5DF6"/>
    <w:rsid w:val="009F65E7"/>
    <w:rsid w:val="00A0031F"/>
    <w:rsid w:val="00A0721F"/>
    <w:rsid w:val="00A079BD"/>
    <w:rsid w:val="00A149BC"/>
    <w:rsid w:val="00A1550E"/>
    <w:rsid w:val="00A17476"/>
    <w:rsid w:val="00A202DD"/>
    <w:rsid w:val="00A30BAF"/>
    <w:rsid w:val="00A32DA9"/>
    <w:rsid w:val="00A33DB1"/>
    <w:rsid w:val="00A40852"/>
    <w:rsid w:val="00A50B2B"/>
    <w:rsid w:val="00A50C99"/>
    <w:rsid w:val="00A544E1"/>
    <w:rsid w:val="00A57EF4"/>
    <w:rsid w:val="00A61090"/>
    <w:rsid w:val="00A62BA9"/>
    <w:rsid w:val="00A63CDE"/>
    <w:rsid w:val="00A66B80"/>
    <w:rsid w:val="00A72994"/>
    <w:rsid w:val="00A73F4C"/>
    <w:rsid w:val="00A741FE"/>
    <w:rsid w:val="00A74AE7"/>
    <w:rsid w:val="00A84682"/>
    <w:rsid w:val="00A855F3"/>
    <w:rsid w:val="00A864BA"/>
    <w:rsid w:val="00A86D82"/>
    <w:rsid w:val="00A90BC5"/>
    <w:rsid w:val="00A91060"/>
    <w:rsid w:val="00A914AA"/>
    <w:rsid w:val="00A924B5"/>
    <w:rsid w:val="00A958CC"/>
    <w:rsid w:val="00A95935"/>
    <w:rsid w:val="00A95A96"/>
    <w:rsid w:val="00A96B20"/>
    <w:rsid w:val="00AA438B"/>
    <w:rsid w:val="00AA4ABA"/>
    <w:rsid w:val="00AA57E1"/>
    <w:rsid w:val="00AB1066"/>
    <w:rsid w:val="00AB48C3"/>
    <w:rsid w:val="00AB4F8F"/>
    <w:rsid w:val="00AB6BA5"/>
    <w:rsid w:val="00AC2A03"/>
    <w:rsid w:val="00AC3561"/>
    <w:rsid w:val="00AC4A16"/>
    <w:rsid w:val="00AD3678"/>
    <w:rsid w:val="00AE0561"/>
    <w:rsid w:val="00AE3D4E"/>
    <w:rsid w:val="00AE43CD"/>
    <w:rsid w:val="00AE5082"/>
    <w:rsid w:val="00AE5D9E"/>
    <w:rsid w:val="00AE6D48"/>
    <w:rsid w:val="00AF377E"/>
    <w:rsid w:val="00AF7934"/>
    <w:rsid w:val="00B02A95"/>
    <w:rsid w:val="00B031BD"/>
    <w:rsid w:val="00B03A34"/>
    <w:rsid w:val="00B04B88"/>
    <w:rsid w:val="00B07174"/>
    <w:rsid w:val="00B21A8A"/>
    <w:rsid w:val="00B24692"/>
    <w:rsid w:val="00B33DFD"/>
    <w:rsid w:val="00B35ADB"/>
    <w:rsid w:val="00B3700F"/>
    <w:rsid w:val="00B37796"/>
    <w:rsid w:val="00B4699E"/>
    <w:rsid w:val="00B51346"/>
    <w:rsid w:val="00B52183"/>
    <w:rsid w:val="00B6042E"/>
    <w:rsid w:val="00B61346"/>
    <w:rsid w:val="00B6190A"/>
    <w:rsid w:val="00B64E0D"/>
    <w:rsid w:val="00B66D63"/>
    <w:rsid w:val="00B731C0"/>
    <w:rsid w:val="00B76B02"/>
    <w:rsid w:val="00B81F76"/>
    <w:rsid w:val="00B8309D"/>
    <w:rsid w:val="00B8365C"/>
    <w:rsid w:val="00B851E3"/>
    <w:rsid w:val="00B91EF5"/>
    <w:rsid w:val="00B9263E"/>
    <w:rsid w:val="00B92D6E"/>
    <w:rsid w:val="00B93757"/>
    <w:rsid w:val="00B97BE0"/>
    <w:rsid w:val="00BA03F4"/>
    <w:rsid w:val="00BA4018"/>
    <w:rsid w:val="00BA5D1D"/>
    <w:rsid w:val="00BA62F0"/>
    <w:rsid w:val="00BA7ADF"/>
    <w:rsid w:val="00BB23CB"/>
    <w:rsid w:val="00BB460B"/>
    <w:rsid w:val="00BB6EEA"/>
    <w:rsid w:val="00BC3632"/>
    <w:rsid w:val="00BC600B"/>
    <w:rsid w:val="00BC774E"/>
    <w:rsid w:val="00BD1C4E"/>
    <w:rsid w:val="00BD461D"/>
    <w:rsid w:val="00BD4E12"/>
    <w:rsid w:val="00BD5C8F"/>
    <w:rsid w:val="00BE1CD6"/>
    <w:rsid w:val="00BE1F00"/>
    <w:rsid w:val="00BE6446"/>
    <w:rsid w:val="00BF21AF"/>
    <w:rsid w:val="00BF3FA0"/>
    <w:rsid w:val="00BF4E10"/>
    <w:rsid w:val="00BF4FDD"/>
    <w:rsid w:val="00BF5816"/>
    <w:rsid w:val="00BF6D67"/>
    <w:rsid w:val="00C02321"/>
    <w:rsid w:val="00C023D3"/>
    <w:rsid w:val="00C03B07"/>
    <w:rsid w:val="00C03CC4"/>
    <w:rsid w:val="00C106D5"/>
    <w:rsid w:val="00C15649"/>
    <w:rsid w:val="00C16E16"/>
    <w:rsid w:val="00C202CA"/>
    <w:rsid w:val="00C21B91"/>
    <w:rsid w:val="00C22B10"/>
    <w:rsid w:val="00C259A5"/>
    <w:rsid w:val="00C26749"/>
    <w:rsid w:val="00C30136"/>
    <w:rsid w:val="00C34254"/>
    <w:rsid w:val="00C3678D"/>
    <w:rsid w:val="00C37AF9"/>
    <w:rsid w:val="00C40991"/>
    <w:rsid w:val="00C42B55"/>
    <w:rsid w:val="00C465AF"/>
    <w:rsid w:val="00C46BBD"/>
    <w:rsid w:val="00C50643"/>
    <w:rsid w:val="00C53C53"/>
    <w:rsid w:val="00C5416F"/>
    <w:rsid w:val="00C614AD"/>
    <w:rsid w:val="00C62FB4"/>
    <w:rsid w:val="00C637AA"/>
    <w:rsid w:val="00C72734"/>
    <w:rsid w:val="00C72DEF"/>
    <w:rsid w:val="00C756A5"/>
    <w:rsid w:val="00C7680A"/>
    <w:rsid w:val="00C80F8A"/>
    <w:rsid w:val="00C92FE9"/>
    <w:rsid w:val="00C93567"/>
    <w:rsid w:val="00C9588B"/>
    <w:rsid w:val="00C95A34"/>
    <w:rsid w:val="00C96929"/>
    <w:rsid w:val="00CA0119"/>
    <w:rsid w:val="00CA0EE0"/>
    <w:rsid w:val="00CA24DD"/>
    <w:rsid w:val="00CA470E"/>
    <w:rsid w:val="00CB5632"/>
    <w:rsid w:val="00CB64B2"/>
    <w:rsid w:val="00CC26EB"/>
    <w:rsid w:val="00CC2ED2"/>
    <w:rsid w:val="00CC3885"/>
    <w:rsid w:val="00CC3E40"/>
    <w:rsid w:val="00CD0CB4"/>
    <w:rsid w:val="00CD1B5E"/>
    <w:rsid w:val="00CD2542"/>
    <w:rsid w:val="00CD2BAB"/>
    <w:rsid w:val="00CD489E"/>
    <w:rsid w:val="00CD5508"/>
    <w:rsid w:val="00CE7323"/>
    <w:rsid w:val="00CF1285"/>
    <w:rsid w:val="00CF506C"/>
    <w:rsid w:val="00CF568D"/>
    <w:rsid w:val="00D016F8"/>
    <w:rsid w:val="00D02E19"/>
    <w:rsid w:val="00D0384E"/>
    <w:rsid w:val="00D05082"/>
    <w:rsid w:val="00D1213B"/>
    <w:rsid w:val="00D12925"/>
    <w:rsid w:val="00D14E45"/>
    <w:rsid w:val="00D2011B"/>
    <w:rsid w:val="00D20A40"/>
    <w:rsid w:val="00D22A70"/>
    <w:rsid w:val="00D3001C"/>
    <w:rsid w:val="00D342AA"/>
    <w:rsid w:val="00D35AE0"/>
    <w:rsid w:val="00D3672A"/>
    <w:rsid w:val="00D40ADD"/>
    <w:rsid w:val="00D40D2D"/>
    <w:rsid w:val="00D42200"/>
    <w:rsid w:val="00D5008A"/>
    <w:rsid w:val="00D51F01"/>
    <w:rsid w:val="00D546FD"/>
    <w:rsid w:val="00D57462"/>
    <w:rsid w:val="00D63C56"/>
    <w:rsid w:val="00D655D6"/>
    <w:rsid w:val="00D669B4"/>
    <w:rsid w:val="00D70594"/>
    <w:rsid w:val="00D710BA"/>
    <w:rsid w:val="00D74C38"/>
    <w:rsid w:val="00D81D02"/>
    <w:rsid w:val="00D823FF"/>
    <w:rsid w:val="00D829B3"/>
    <w:rsid w:val="00D84648"/>
    <w:rsid w:val="00D8666F"/>
    <w:rsid w:val="00D87F21"/>
    <w:rsid w:val="00D90A07"/>
    <w:rsid w:val="00D93392"/>
    <w:rsid w:val="00D9409B"/>
    <w:rsid w:val="00D9477C"/>
    <w:rsid w:val="00D9492D"/>
    <w:rsid w:val="00D95D1C"/>
    <w:rsid w:val="00D96BC5"/>
    <w:rsid w:val="00DA097D"/>
    <w:rsid w:val="00DA41CC"/>
    <w:rsid w:val="00DA62D6"/>
    <w:rsid w:val="00DB132B"/>
    <w:rsid w:val="00DB209F"/>
    <w:rsid w:val="00DB6B60"/>
    <w:rsid w:val="00DC322B"/>
    <w:rsid w:val="00DC7B74"/>
    <w:rsid w:val="00DD0EB7"/>
    <w:rsid w:val="00DD3158"/>
    <w:rsid w:val="00DD36A5"/>
    <w:rsid w:val="00DD472C"/>
    <w:rsid w:val="00DD6AC1"/>
    <w:rsid w:val="00DE5D2D"/>
    <w:rsid w:val="00DF3539"/>
    <w:rsid w:val="00DF56D2"/>
    <w:rsid w:val="00DF5836"/>
    <w:rsid w:val="00DF6A6D"/>
    <w:rsid w:val="00DF6EA4"/>
    <w:rsid w:val="00E0427A"/>
    <w:rsid w:val="00E11855"/>
    <w:rsid w:val="00E11EE8"/>
    <w:rsid w:val="00E147F9"/>
    <w:rsid w:val="00E15447"/>
    <w:rsid w:val="00E169DA"/>
    <w:rsid w:val="00E20EE4"/>
    <w:rsid w:val="00E21802"/>
    <w:rsid w:val="00E21952"/>
    <w:rsid w:val="00E25BE8"/>
    <w:rsid w:val="00E3115F"/>
    <w:rsid w:val="00E31B04"/>
    <w:rsid w:val="00E35044"/>
    <w:rsid w:val="00E35C1B"/>
    <w:rsid w:val="00E35CA4"/>
    <w:rsid w:val="00E417E0"/>
    <w:rsid w:val="00E4417A"/>
    <w:rsid w:val="00E44978"/>
    <w:rsid w:val="00E51ED0"/>
    <w:rsid w:val="00E53337"/>
    <w:rsid w:val="00E5335C"/>
    <w:rsid w:val="00E5795B"/>
    <w:rsid w:val="00E579FF"/>
    <w:rsid w:val="00E675CC"/>
    <w:rsid w:val="00E7520C"/>
    <w:rsid w:val="00E754A7"/>
    <w:rsid w:val="00E81451"/>
    <w:rsid w:val="00E815BF"/>
    <w:rsid w:val="00E819E3"/>
    <w:rsid w:val="00E8279F"/>
    <w:rsid w:val="00E84AA3"/>
    <w:rsid w:val="00E86608"/>
    <w:rsid w:val="00E93379"/>
    <w:rsid w:val="00E94609"/>
    <w:rsid w:val="00E949F9"/>
    <w:rsid w:val="00E956F6"/>
    <w:rsid w:val="00E96F44"/>
    <w:rsid w:val="00EA20A0"/>
    <w:rsid w:val="00EA29E8"/>
    <w:rsid w:val="00EA5B6C"/>
    <w:rsid w:val="00EA7D59"/>
    <w:rsid w:val="00EA7D5B"/>
    <w:rsid w:val="00EB0A4B"/>
    <w:rsid w:val="00EB238A"/>
    <w:rsid w:val="00EB3254"/>
    <w:rsid w:val="00EB592B"/>
    <w:rsid w:val="00EB5A58"/>
    <w:rsid w:val="00EC2C2E"/>
    <w:rsid w:val="00EC70BB"/>
    <w:rsid w:val="00EE0819"/>
    <w:rsid w:val="00EE3470"/>
    <w:rsid w:val="00EE632B"/>
    <w:rsid w:val="00EE7436"/>
    <w:rsid w:val="00EF2CC5"/>
    <w:rsid w:val="00EF3830"/>
    <w:rsid w:val="00EF50B1"/>
    <w:rsid w:val="00EF60E6"/>
    <w:rsid w:val="00F0017C"/>
    <w:rsid w:val="00F047C1"/>
    <w:rsid w:val="00F052E0"/>
    <w:rsid w:val="00F06DAD"/>
    <w:rsid w:val="00F07B07"/>
    <w:rsid w:val="00F11314"/>
    <w:rsid w:val="00F12567"/>
    <w:rsid w:val="00F16AB6"/>
    <w:rsid w:val="00F213A7"/>
    <w:rsid w:val="00F22262"/>
    <w:rsid w:val="00F25961"/>
    <w:rsid w:val="00F27FFA"/>
    <w:rsid w:val="00F32C8B"/>
    <w:rsid w:val="00F3784E"/>
    <w:rsid w:val="00F41D56"/>
    <w:rsid w:val="00F426B5"/>
    <w:rsid w:val="00F427F1"/>
    <w:rsid w:val="00F42F88"/>
    <w:rsid w:val="00F43728"/>
    <w:rsid w:val="00F4686F"/>
    <w:rsid w:val="00F501D8"/>
    <w:rsid w:val="00F50CBD"/>
    <w:rsid w:val="00F5239F"/>
    <w:rsid w:val="00F54101"/>
    <w:rsid w:val="00F560B0"/>
    <w:rsid w:val="00F61A46"/>
    <w:rsid w:val="00F641A5"/>
    <w:rsid w:val="00F66AB8"/>
    <w:rsid w:val="00F72FCC"/>
    <w:rsid w:val="00F81883"/>
    <w:rsid w:val="00F81F12"/>
    <w:rsid w:val="00F8252C"/>
    <w:rsid w:val="00F8258C"/>
    <w:rsid w:val="00F84586"/>
    <w:rsid w:val="00F868F2"/>
    <w:rsid w:val="00F8750E"/>
    <w:rsid w:val="00F91C8C"/>
    <w:rsid w:val="00F9586F"/>
    <w:rsid w:val="00F97C2E"/>
    <w:rsid w:val="00FA0D55"/>
    <w:rsid w:val="00FA2371"/>
    <w:rsid w:val="00FA5EB3"/>
    <w:rsid w:val="00FA720E"/>
    <w:rsid w:val="00FB0FC7"/>
    <w:rsid w:val="00FB47A4"/>
    <w:rsid w:val="00FC3517"/>
    <w:rsid w:val="00FD1CF9"/>
    <w:rsid w:val="00FD258D"/>
    <w:rsid w:val="00FD273F"/>
    <w:rsid w:val="00FD362E"/>
    <w:rsid w:val="00FD6745"/>
    <w:rsid w:val="00FD7A13"/>
    <w:rsid w:val="00FE1388"/>
    <w:rsid w:val="00FE1DD4"/>
    <w:rsid w:val="00FE508C"/>
    <w:rsid w:val="00FE521A"/>
    <w:rsid w:val="00FF016B"/>
    <w:rsid w:val="00FF110F"/>
    <w:rsid w:val="00FF4C62"/>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EBF1E"/>
  <w15:docId w15:val="{8CB1F515-1BAC-46DA-90D8-E5268053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00F"/>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qFormat/>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character" w:styleId="CommentReference">
    <w:name w:val="annotation reference"/>
    <w:unhideWhenUsed/>
    <w:rsid w:val="009823D7"/>
    <w:rPr>
      <w:sz w:val="16"/>
      <w:szCs w:val="16"/>
    </w:rPr>
  </w:style>
  <w:style w:type="paragraph" w:styleId="CommentText">
    <w:name w:val="annotation text"/>
    <w:basedOn w:val="Normal"/>
    <w:link w:val="CommentTextChar"/>
    <w:semiHidden/>
    <w:unhideWhenUsed/>
    <w:rsid w:val="009823D7"/>
    <w:rPr>
      <w:sz w:val="20"/>
      <w:szCs w:val="20"/>
    </w:rPr>
  </w:style>
  <w:style w:type="character" w:customStyle="1" w:styleId="CommentTextChar">
    <w:name w:val="Comment Text Char"/>
    <w:link w:val="CommentText"/>
    <w:semiHidden/>
    <w:rsid w:val="009823D7"/>
    <w:rPr>
      <w:lang w:val="ru-RU" w:eastAsia="ar-SA"/>
    </w:rPr>
  </w:style>
  <w:style w:type="paragraph" w:styleId="CommentSubject">
    <w:name w:val="annotation subject"/>
    <w:basedOn w:val="CommentText"/>
    <w:next w:val="CommentText"/>
    <w:link w:val="CommentSubjectChar"/>
    <w:uiPriority w:val="99"/>
    <w:semiHidden/>
    <w:unhideWhenUsed/>
    <w:rsid w:val="009823D7"/>
    <w:rPr>
      <w:b/>
      <w:bCs/>
    </w:rPr>
  </w:style>
  <w:style w:type="character" w:customStyle="1" w:styleId="CommentSubjectChar">
    <w:name w:val="Comment Subject Char"/>
    <w:link w:val="CommentSubject"/>
    <w:uiPriority w:val="99"/>
    <w:semiHidden/>
    <w:rsid w:val="009823D7"/>
    <w:rPr>
      <w:b/>
      <w:bCs/>
      <w:lang w:val="ru-RU" w:eastAsia="ar-SA"/>
    </w:rPr>
  </w:style>
  <w:style w:type="character" w:customStyle="1" w:styleId="HChGChar">
    <w:name w:val="_ H _Ch_G Char"/>
    <w:link w:val="HChG"/>
    <w:rsid w:val="005A716A"/>
    <w:rPr>
      <w:b/>
      <w:sz w:val="28"/>
      <w:lang w:eastAsia="en-US"/>
    </w:rPr>
  </w:style>
  <w:style w:type="paragraph" w:styleId="ListParagraph">
    <w:name w:val="List Paragraph"/>
    <w:basedOn w:val="Normal"/>
    <w:uiPriority w:val="34"/>
    <w:qFormat/>
    <w:rsid w:val="00E11855"/>
    <w:pPr>
      <w:ind w:left="720"/>
      <w:contextualSpacing/>
    </w:pPr>
  </w:style>
  <w:style w:type="character" w:customStyle="1" w:styleId="SingleTxtGChar">
    <w:name w:val="_ Single Txt_G Char"/>
    <w:link w:val="SingleTxtG"/>
    <w:rsid w:val="00F427F1"/>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15637112">
      <w:bodyDiv w:val="1"/>
      <w:marLeft w:val="0"/>
      <w:marRight w:val="0"/>
      <w:marTop w:val="0"/>
      <w:marBottom w:val="0"/>
      <w:divBdr>
        <w:top w:val="none" w:sz="0" w:space="0" w:color="auto"/>
        <w:left w:val="none" w:sz="0" w:space="0" w:color="auto"/>
        <w:bottom w:val="none" w:sz="0" w:space="0" w:color="auto"/>
        <w:right w:val="none" w:sz="0" w:space="0" w:color="auto"/>
      </w:divBdr>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9992">
      <w:bodyDiv w:val="1"/>
      <w:marLeft w:val="0"/>
      <w:marRight w:val="0"/>
      <w:marTop w:val="0"/>
      <w:marBottom w:val="0"/>
      <w:divBdr>
        <w:top w:val="none" w:sz="0" w:space="0" w:color="auto"/>
        <w:left w:val="none" w:sz="0" w:space="0" w:color="auto"/>
        <w:bottom w:val="none" w:sz="0" w:space="0" w:color="auto"/>
        <w:right w:val="none" w:sz="0" w:space="0" w:color="auto"/>
      </w:divBdr>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113207286">
      <w:bodyDiv w:val="1"/>
      <w:marLeft w:val="0"/>
      <w:marRight w:val="0"/>
      <w:marTop w:val="0"/>
      <w:marBottom w:val="0"/>
      <w:divBdr>
        <w:top w:val="none" w:sz="0" w:space="0" w:color="auto"/>
        <w:left w:val="none" w:sz="0" w:space="0" w:color="auto"/>
        <w:bottom w:val="none" w:sz="0" w:space="0" w:color="auto"/>
        <w:right w:val="none" w:sz="0" w:space="0" w:color="auto"/>
      </w:divBdr>
      <w:divsChild>
        <w:div w:id="431556161">
          <w:marLeft w:val="0"/>
          <w:marRight w:val="0"/>
          <w:marTop w:val="0"/>
          <w:marBottom w:val="0"/>
          <w:divBdr>
            <w:top w:val="none" w:sz="0" w:space="0" w:color="auto"/>
            <w:left w:val="none" w:sz="0" w:space="0" w:color="auto"/>
            <w:bottom w:val="none" w:sz="0" w:space="0" w:color="auto"/>
            <w:right w:val="none" w:sz="0" w:space="0" w:color="auto"/>
          </w:divBdr>
        </w:div>
        <w:div w:id="796143886">
          <w:marLeft w:val="0"/>
          <w:marRight w:val="0"/>
          <w:marTop w:val="0"/>
          <w:marBottom w:val="0"/>
          <w:divBdr>
            <w:top w:val="none" w:sz="0" w:space="0" w:color="auto"/>
            <w:left w:val="none" w:sz="0" w:space="0" w:color="auto"/>
            <w:bottom w:val="none" w:sz="0" w:space="0" w:color="auto"/>
            <w:right w:val="none" w:sz="0" w:space="0" w:color="auto"/>
          </w:divBdr>
        </w:div>
        <w:div w:id="1927416986">
          <w:marLeft w:val="0"/>
          <w:marRight w:val="0"/>
          <w:marTop w:val="0"/>
          <w:marBottom w:val="0"/>
          <w:divBdr>
            <w:top w:val="none" w:sz="0" w:space="0" w:color="auto"/>
            <w:left w:val="none" w:sz="0" w:space="0" w:color="auto"/>
            <w:bottom w:val="none" w:sz="0" w:space="0" w:color="auto"/>
            <w:right w:val="none" w:sz="0" w:space="0" w:color="auto"/>
          </w:divBdr>
        </w:div>
        <w:div w:id="2042171103">
          <w:marLeft w:val="0"/>
          <w:marRight w:val="0"/>
          <w:marTop w:val="0"/>
          <w:marBottom w:val="0"/>
          <w:divBdr>
            <w:top w:val="none" w:sz="0" w:space="0" w:color="auto"/>
            <w:left w:val="none" w:sz="0" w:space="0" w:color="auto"/>
            <w:bottom w:val="none" w:sz="0" w:space="0" w:color="auto"/>
            <w:right w:val="none" w:sz="0" w:space="0" w:color="auto"/>
          </w:divBdr>
        </w:div>
        <w:div w:id="2052993612">
          <w:marLeft w:val="0"/>
          <w:marRight w:val="0"/>
          <w:marTop w:val="0"/>
          <w:marBottom w:val="0"/>
          <w:divBdr>
            <w:top w:val="none" w:sz="0" w:space="0" w:color="auto"/>
            <w:left w:val="none" w:sz="0" w:space="0" w:color="auto"/>
            <w:bottom w:val="none" w:sz="0" w:space="0" w:color="auto"/>
            <w:right w:val="none" w:sz="0" w:space="0" w:color="auto"/>
          </w:divBdr>
        </w:div>
        <w:div w:id="2109882034">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27037362">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37301183">
      <w:bodyDiv w:val="1"/>
      <w:marLeft w:val="0"/>
      <w:marRight w:val="0"/>
      <w:marTop w:val="0"/>
      <w:marBottom w:val="0"/>
      <w:divBdr>
        <w:top w:val="none" w:sz="0" w:space="0" w:color="auto"/>
        <w:left w:val="none" w:sz="0" w:space="0" w:color="auto"/>
        <w:bottom w:val="none" w:sz="0" w:space="0" w:color="auto"/>
        <w:right w:val="none" w:sz="0" w:space="0" w:color="auto"/>
      </w:divBdr>
      <w:divsChild>
        <w:div w:id="7800538">
          <w:marLeft w:val="446"/>
          <w:marRight w:val="0"/>
          <w:marTop w:val="0"/>
          <w:marBottom w:val="0"/>
          <w:divBdr>
            <w:top w:val="none" w:sz="0" w:space="0" w:color="auto"/>
            <w:left w:val="none" w:sz="0" w:space="0" w:color="auto"/>
            <w:bottom w:val="none" w:sz="0" w:space="0" w:color="auto"/>
            <w:right w:val="none" w:sz="0" w:space="0" w:color="auto"/>
          </w:divBdr>
        </w:div>
        <w:div w:id="1570993229">
          <w:marLeft w:val="446"/>
          <w:marRight w:val="0"/>
          <w:marTop w:val="0"/>
          <w:marBottom w:val="0"/>
          <w:divBdr>
            <w:top w:val="none" w:sz="0" w:space="0" w:color="auto"/>
            <w:left w:val="none" w:sz="0" w:space="0" w:color="auto"/>
            <w:bottom w:val="none" w:sz="0" w:space="0" w:color="auto"/>
            <w:right w:val="none" w:sz="0" w:space="0" w:color="auto"/>
          </w:divBdr>
        </w:div>
        <w:div w:id="1886597259">
          <w:marLeft w:val="446"/>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0D885-F23B-4FAA-B176-16098F94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1166</Words>
  <Characters>6647</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Dear Mr</vt:lpstr>
      <vt:lpstr>Dear Mr</vt:lpstr>
    </vt:vector>
  </TitlesOfParts>
  <Company>НАМИ</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Secretariat</cp:lastModifiedBy>
  <cp:revision>10</cp:revision>
  <cp:lastPrinted>2018-09-24T12:22:00Z</cp:lastPrinted>
  <dcterms:created xsi:type="dcterms:W3CDTF">2020-02-28T10:07:00Z</dcterms:created>
  <dcterms:modified xsi:type="dcterms:W3CDTF">2020-02-28T14:13:00Z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J597066@inetpsa.com</vt:lpwstr>
  </property>
  <property fmtid="{D5CDD505-2E9C-101B-9397-08002B2CF9AE}" pid="5" name="MSIP_Label_2fd53d93-3f4c-4b90-b511-bd6bdbb4fba9_SetDate">
    <vt:lpwstr>2020-02-04T00:13:31.1505661Z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