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A559D"/>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A559D" w:rsidP="006A559D">
            <w:pPr>
              <w:jc w:val="right"/>
            </w:pPr>
            <w:r w:rsidRPr="006A559D">
              <w:rPr>
                <w:sz w:val="40"/>
              </w:rPr>
              <w:t>ECE</w:t>
            </w:r>
            <w:r>
              <w:t>/TRANS/WP.29/GRVA/2020/32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A559D" w:rsidP="00C97039">
            <w:pPr>
              <w:spacing w:before="240"/>
            </w:pPr>
            <w:proofErr w:type="spellStart"/>
            <w:r>
              <w:t>Distr</w:t>
            </w:r>
            <w:proofErr w:type="spellEnd"/>
            <w:r>
              <w:t>. générale</w:t>
            </w:r>
          </w:p>
          <w:p w:rsidR="006A559D" w:rsidRDefault="006A559D" w:rsidP="006A559D">
            <w:pPr>
              <w:spacing w:line="240" w:lineRule="exact"/>
            </w:pPr>
            <w:r>
              <w:t>9 juillet 2020</w:t>
            </w:r>
          </w:p>
          <w:p w:rsidR="006A559D" w:rsidRDefault="006A559D" w:rsidP="006A559D">
            <w:pPr>
              <w:spacing w:line="240" w:lineRule="exact"/>
            </w:pPr>
            <w:r>
              <w:t>Français</w:t>
            </w:r>
          </w:p>
          <w:p w:rsidR="006A559D" w:rsidRPr="00DB58B5" w:rsidRDefault="006A559D" w:rsidP="006A559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A559D" w:rsidRDefault="006A559D"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A559D" w:rsidRDefault="006A559D"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rsidR="006A559D" w:rsidRDefault="006A559D" w:rsidP="00A3029F">
      <w:pPr>
        <w:spacing w:before="120"/>
        <w:rPr>
          <w:b/>
        </w:rPr>
      </w:pPr>
      <w:r w:rsidRPr="006A559D">
        <w:rPr>
          <w:b/>
          <w:lang w:val="fr-FR"/>
        </w:rPr>
        <w:t>Septième</w:t>
      </w:r>
      <w:r>
        <w:rPr>
          <w:b/>
        </w:rPr>
        <w:t xml:space="preserve"> session</w:t>
      </w:r>
    </w:p>
    <w:p w:rsidR="006A559D" w:rsidRDefault="006A559D" w:rsidP="00A3029F">
      <w:pPr>
        <w:spacing w:line="240" w:lineRule="exact"/>
      </w:pPr>
      <w:r>
        <w:t xml:space="preserve">Genève, </w:t>
      </w:r>
      <w:r w:rsidRPr="006A559D">
        <w:rPr>
          <w:lang w:val="fr-FR"/>
        </w:rPr>
        <w:t>21-25 septembre 2020</w:t>
      </w:r>
    </w:p>
    <w:p w:rsidR="006A559D" w:rsidRDefault="006A559D" w:rsidP="00A3029F">
      <w:pPr>
        <w:spacing w:line="240" w:lineRule="exact"/>
      </w:pPr>
      <w:r>
        <w:t xml:space="preserve">Point </w:t>
      </w:r>
      <w:r w:rsidRPr="00DA2EFE">
        <w:rPr>
          <w:lang w:val="fr-FR"/>
        </w:rPr>
        <w:t>4 d)</w:t>
      </w:r>
      <w:r>
        <w:t xml:space="preserve"> de l’ordre du jour provisoire</w:t>
      </w:r>
    </w:p>
    <w:p w:rsidR="006A559D" w:rsidRPr="00DA2EFE" w:rsidRDefault="006A559D" w:rsidP="006A559D">
      <w:pPr>
        <w:rPr>
          <w:b/>
          <w:lang w:val="fr-FR"/>
        </w:rPr>
      </w:pPr>
      <w:r w:rsidRPr="00DA2EFE">
        <w:rPr>
          <w:b/>
          <w:bCs/>
          <w:lang w:val="fr-FR"/>
        </w:rPr>
        <w:t>Véhicules automatisés/autonomes et connectés </w:t>
      </w:r>
      <w:r w:rsidRPr="00DA2EFE">
        <w:rPr>
          <w:b/>
          <w:lang w:val="fr-FR"/>
        </w:rPr>
        <w:t>:</w:t>
      </w:r>
    </w:p>
    <w:p w:rsidR="006A559D" w:rsidRPr="00DA2EFE" w:rsidRDefault="006A559D" w:rsidP="006A559D">
      <w:pPr>
        <w:rPr>
          <w:b/>
          <w:lang w:val="fr-FR"/>
        </w:rPr>
      </w:pPr>
      <w:r w:rsidRPr="00DA2EFE">
        <w:rPr>
          <w:b/>
          <w:lang w:val="fr-FR"/>
        </w:rPr>
        <w:t>Règlement ONU sur les systèmes automatisés de maintien dans la voie</w:t>
      </w:r>
    </w:p>
    <w:p w:rsidR="006A559D" w:rsidRPr="00DA2EFE" w:rsidRDefault="006A559D" w:rsidP="006A559D">
      <w:pPr>
        <w:pStyle w:val="HChG"/>
        <w:rPr>
          <w:lang w:val="fr-FR"/>
        </w:rPr>
      </w:pPr>
      <w:r>
        <w:rPr>
          <w:lang w:val="fr-FR"/>
        </w:rPr>
        <w:tab/>
      </w:r>
      <w:r>
        <w:rPr>
          <w:lang w:val="fr-FR"/>
        </w:rPr>
        <w:tab/>
      </w:r>
      <w:r w:rsidRPr="00DA2EFE">
        <w:rPr>
          <w:lang w:val="fr-FR"/>
        </w:rPr>
        <w:t>Proposition d</w:t>
      </w:r>
      <w:r>
        <w:rPr>
          <w:lang w:val="fr-FR"/>
        </w:rPr>
        <w:t>’</w:t>
      </w:r>
      <w:r w:rsidRPr="00DA2EFE">
        <w:rPr>
          <w:lang w:val="fr-FR"/>
        </w:rPr>
        <w:t>amendement au Règlement ONU sur les systèmes automatisés de maintien dans la voie (ALKS)</w:t>
      </w:r>
    </w:p>
    <w:p w:rsidR="006A559D" w:rsidRPr="00DA2EFE" w:rsidRDefault="006A559D" w:rsidP="006A559D">
      <w:pPr>
        <w:pStyle w:val="H1G"/>
        <w:rPr>
          <w:szCs w:val="24"/>
          <w:lang w:val="fr-FR"/>
        </w:rPr>
      </w:pPr>
      <w:r w:rsidRPr="00DA2EFE">
        <w:rPr>
          <w:lang w:val="fr-FR"/>
        </w:rPr>
        <w:tab/>
      </w:r>
      <w:r w:rsidRPr="00DA2EFE">
        <w:rPr>
          <w:lang w:val="fr-FR"/>
        </w:rPr>
        <w:tab/>
        <w:t xml:space="preserve">Communication </w:t>
      </w:r>
      <w:r w:rsidRPr="00A63B49">
        <w:t>de</w:t>
      </w:r>
      <w:r w:rsidRPr="00DA2EFE">
        <w:rPr>
          <w:lang w:val="fr-FR"/>
        </w:rPr>
        <w:t xml:space="preserve"> l</w:t>
      </w:r>
      <w:r>
        <w:rPr>
          <w:lang w:val="fr-FR"/>
        </w:rPr>
        <w:t>’</w:t>
      </w:r>
      <w:r w:rsidRPr="00DA2EFE">
        <w:rPr>
          <w:lang w:val="fr-FR"/>
        </w:rPr>
        <w:t>expert de l</w:t>
      </w:r>
      <w:r>
        <w:rPr>
          <w:lang w:val="fr-FR"/>
        </w:rPr>
        <w:t>’</w:t>
      </w:r>
      <w:r w:rsidRPr="00DA2EFE">
        <w:rPr>
          <w:lang w:val="fr-FR"/>
        </w:rPr>
        <w:t>Allemagne</w:t>
      </w:r>
      <w:r w:rsidRPr="006A559D">
        <w:rPr>
          <w:rStyle w:val="Appelnotedebasdep"/>
          <w:b w:val="0"/>
          <w:sz w:val="20"/>
          <w:vertAlign w:val="baseline"/>
        </w:rPr>
        <w:footnoteReference w:customMarkFollows="1" w:id="2"/>
        <w:t>*</w:t>
      </w:r>
    </w:p>
    <w:p w:rsidR="006A559D" w:rsidRPr="00DA2EFE" w:rsidRDefault="006A559D" w:rsidP="006A559D">
      <w:pPr>
        <w:pStyle w:val="SingleTxtG"/>
        <w:ind w:firstLine="567"/>
        <w:rPr>
          <w:lang w:val="fr-FR"/>
        </w:rPr>
      </w:pPr>
      <w:r w:rsidRPr="00DA2EFE">
        <w:rPr>
          <w:lang w:val="fr-FR"/>
        </w:rPr>
        <w:t xml:space="preserve">Le texte ci-après, établi par </w:t>
      </w:r>
      <w:r w:rsidRPr="00A63B49">
        <w:t>l</w:t>
      </w:r>
      <w:r>
        <w:t>’</w:t>
      </w:r>
      <w:r w:rsidRPr="00A63B49">
        <w:t>expert</w:t>
      </w:r>
      <w:r w:rsidRPr="00DA2EFE">
        <w:rPr>
          <w:lang w:val="fr-FR"/>
        </w:rPr>
        <w:t xml:space="preserve"> de l</w:t>
      </w:r>
      <w:r>
        <w:rPr>
          <w:lang w:val="fr-FR"/>
        </w:rPr>
        <w:t>’</w:t>
      </w:r>
      <w:r w:rsidRPr="00DA2EFE">
        <w:rPr>
          <w:lang w:val="fr-FR"/>
        </w:rPr>
        <w:t xml:space="preserve">Allemagne, contient une proposition visant à </w:t>
      </w:r>
      <w:r w:rsidRPr="00C94EA5">
        <w:rPr>
          <w:lang w:val="fr-FR"/>
        </w:rPr>
        <w:t>porter à 130</w:t>
      </w:r>
      <w:r>
        <w:rPr>
          <w:lang w:val="fr-FR"/>
        </w:rPr>
        <w:t> </w:t>
      </w:r>
      <w:r w:rsidRPr="00C94EA5">
        <w:rPr>
          <w:lang w:val="fr-FR"/>
        </w:rPr>
        <w:t>km/h au plus la vitesse maximale indiquée dans le Règlement</w:t>
      </w:r>
      <w:r w:rsidRPr="00DA2EFE">
        <w:rPr>
          <w:lang w:val="fr-FR"/>
        </w:rPr>
        <w:t>. Les modifications qu</w:t>
      </w:r>
      <w:r>
        <w:rPr>
          <w:lang w:val="fr-FR"/>
        </w:rPr>
        <w:t>’</w:t>
      </w:r>
      <w:r w:rsidRPr="00DA2EFE">
        <w:rPr>
          <w:lang w:val="fr-FR"/>
        </w:rPr>
        <w:t>il est proposé d</w:t>
      </w:r>
      <w:r>
        <w:rPr>
          <w:lang w:val="fr-FR"/>
        </w:rPr>
        <w:t>’</w:t>
      </w:r>
      <w:r w:rsidRPr="00DA2EFE">
        <w:rPr>
          <w:lang w:val="fr-FR"/>
        </w:rPr>
        <w:t>apporter au texte actuel du Règlement figurent en caractères gras pour les ajouts et biffés pour les suppressions.</w:t>
      </w:r>
    </w:p>
    <w:p w:rsidR="008B539F" w:rsidRPr="008B539F" w:rsidRDefault="006A559D" w:rsidP="008B539F">
      <w:pPr>
        <w:pStyle w:val="HChG"/>
        <w:rPr>
          <w:lang w:val="fr-FR"/>
        </w:rPr>
      </w:pPr>
      <w:r>
        <w:rPr>
          <w:lang w:val="fr-FR"/>
        </w:rPr>
        <w:br w:type="page"/>
      </w:r>
      <w:r w:rsidR="008B539F">
        <w:rPr>
          <w:lang w:val="fr-FR"/>
        </w:rPr>
        <w:lastRenderedPageBreak/>
        <w:tab/>
      </w:r>
      <w:r w:rsidR="008B539F" w:rsidRPr="008B539F">
        <w:rPr>
          <w:lang w:val="fr-FR"/>
        </w:rPr>
        <w:t>I.</w:t>
      </w:r>
      <w:r w:rsidR="008B539F" w:rsidRPr="008B539F">
        <w:rPr>
          <w:lang w:val="fr-FR"/>
        </w:rPr>
        <w:tab/>
        <w:t>Proposition</w:t>
      </w:r>
    </w:p>
    <w:p w:rsidR="008B539F" w:rsidRPr="008B539F" w:rsidRDefault="008B539F" w:rsidP="008B539F">
      <w:pPr>
        <w:pStyle w:val="SingleTxtG"/>
        <w:rPr>
          <w:iCs/>
          <w:lang w:val="fr-FR"/>
        </w:rPr>
      </w:pPr>
      <w:r w:rsidRPr="008B539F">
        <w:rPr>
          <w:i/>
          <w:lang w:val="fr-FR"/>
        </w:rPr>
        <w:t xml:space="preserve">Paragraphe 2.1, </w:t>
      </w:r>
      <w:r w:rsidRPr="008B539F">
        <w:rPr>
          <w:iCs/>
          <w:lang w:val="fr-FR"/>
        </w:rPr>
        <w:t>lire :</w:t>
      </w:r>
    </w:p>
    <w:p w:rsidR="008B539F" w:rsidRPr="008B539F" w:rsidRDefault="008B539F" w:rsidP="008B539F">
      <w:pPr>
        <w:pStyle w:val="SingleTxtG"/>
        <w:ind w:left="2268" w:hanging="1134"/>
        <w:rPr>
          <w:lang w:val="fr-FR"/>
        </w:rPr>
      </w:pPr>
      <w:r w:rsidRPr="008B539F">
        <w:rPr>
          <w:lang w:val="fr-FR"/>
        </w:rPr>
        <w:t>« 2.1</w:t>
      </w:r>
      <w:r w:rsidRPr="008B539F">
        <w:rPr>
          <w:lang w:val="fr-FR"/>
        </w:rPr>
        <w:tab/>
        <w:t>«</w:t>
      </w:r>
      <w:r>
        <w:rPr>
          <w:lang w:val="fr-FR"/>
        </w:rPr>
        <w:t> </w:t>
      </w:r>
      <w:r w:rsidRPr="008B539F">
        <w:rPr>
          <w:i/>
          <w:iCs/>
          <w:lang w:val="fr-FR"/>
        </w:rPr>
        <w:t>Système automatisé de maintien dans la voie (ALKS)</w:t>
      </w:r>
      <w:r>
        <w:rPr>
          <w:lang w:val="fr-FR"/>
        </w:rPr>
        <w:t> </w:t>
      </w:r>
      <w:r w:rsidRPr="008B539F">
        <w:rPr>
          <w:lang w:val="fr-FR"/>
        </w:rPr>
        <w:t xml:space="preserve">», un système </w:t>
      </w:r>
      <w:r w:rsidRPr="008B539F">
        <w:rPr>
          <w:strike/>
          <w:lang w:val="fr-FR"/>
        </w:rPr>
        <w:t>applicable à basse vitesse</w:t>
      </w:r>
      <w:r>
        <w:rPr>
          <w:lang w:val="fr-FR"/>
        </w:rPr>
        <w:t xml:space="preserve"> </w:t>
      </w:r>
      <w:r w:rsidRPr="008B539F">
        <w:rPr>
          <w:lang w:val="fr-FR"/>
        </w:rPr>
        <w:t xml:space="preserve">activé par le conducteur, qui maintient le véhicule dans sa voie à une vitesse de </w:t>
      </w:r>
      <w:r w:rsidRPr="008B539F">
        <w:rPr>
          <w:strike/>
          <w:lang w:val="fr-FR"/>
        </w:rPr>
        <w:t>60</w:t>
      </w:r>
      <w:r>
        <w:rPr>
          <w:lang w:val="fr-FR"/>
        </w:rPr>
        <w:t> </w:t>
      </w:r>
      <w:r w:rsidRPr="008B539F">
        <w:rPr>
          <w:b/>
          <w:bCs/>
          <w:lang w:val="fr-FR"/>
        </w:rPr>
        <w:t>130</w:t>
      </w:r>
      <w:r>
        <w:rPr>
          <w:lang w:val="fr-FR"/>
        </w:rPr>
        <w:t> </w:t>
      </w:r>
      <w:r w:rsidRPr="008B539F">
        <w:rPr>
          <w:lang w:val="fr-FR"/>
        </w:rPr>
        <w:t>km/h au plus, en contrôlant le déplacement latéral et longitudinal du véhicule pendant des périodes prolongées sans que le conducteur ait à intervenir.</w:t>
      </w:r>
    </w:p>
    <w:p w:rsidR="008B539F" w:rsidRPr="008B539F" w:rsidRDefault="008B539F" w:rsidP="008B539F">
      <w:pPr>
        <w:pStyle w:val="SingleTxtG"/>
        <w:ind w:left="2268"/>
        <w:rPr>
          <w:lang w:val="fr-FR"/>
        </w:rPr>
      </w:pPr>
      <w:r w:rsidRPr="008B539F">
        <w:rPr>
          <w:lang w:val="fr-FR"/>
        </w:rPr>
        <w:t>Dans le cadre du présent Règlement, le système ALKS est également appelé «</w:t>
      </w:r>
      <w:r>
        <w:rPr>
          <w:lang w:val="fr-FR"/>
        </w:rPr>
        <w:t> </w:t>
      </w:r>
      <w:r w:rsidRPr="008B539F">
        <w:rPr>
          <w:lang w:val="fr-FR"/>
        </w:rPr>
        <w:t>le système</w:t>
      </w:r>
      <w:r>
        <w:rPr>
          <w:lang w:val="fr-FR"/>
        </w:rPr>
        <w:t> </w:t>
      </w:r>
      <w:r w:rsidRPr="008B539F">
        <w:rPr>
          <w:lang w:val="fr-FR"/>
        </w:rPr>
        <w:t>»</w:t>
      </w:r>
      <w:r w:rsidR="00BE465F">
        <w:rPr>
          <w:lang w:val="fr-FR"/>
        </w:rPr>
        <w:t> </w:t>
      </w:r>
      <w:r w:rsidRPr="008B539F">
        <w:rPr>
          <w:lang w:val="fr-FR"/>
        </w:rPr>
        <w:t>; ».</w:t>
      </w:r>
    </w:p>
    <w:p w:rsidR="008B539F" w:rsidRPr="008B539F" w:rsidRDefault="008B539F" w:rsidP="008B539F">
      <w:pPr>
        <w:pStyle w:val="SingleTxtG"/>
        <w:rPr>
          <w:iCs/>
          <w:lang w:val="fr-FR"/>
        </w:rPr>
      </w:pPr>
      <w:r w:rsidRPr="008B539F">
        <w:rPr>
          <w:i/>
          <w:lang w:val="fr-FR"/>
        </w:rPr>
        <w:t xml:space="preserve">Paragraphe 5.2.3.1, </w:t>
      </w:r>
      <w:r w:rsidRPr="008B539F">
        <w:rPr>
          <w:iCs/>
          <w:lang w:val="fr-FR"/>
        </w:rPr>
        <w:t>lire :</w:t>
      </w:r>
    </w:p>
    <w:p w:rsidR="008B539F" w:rsidRPr="008B539F" w:rsidRDefault="008B539F" w:rsidP="008B539F">
      <w:pPr>
        <w:pStyle w:val="SingleTxtG"/>
        <w:rPr>
          <w:b/>
          <w:bCs/>
          <w:lang w:val="fr-FR"/>
        </w:rPr>
      </w:pPr>
      <w:r w:rsidRPr="008B539F">
        <w:rPr>
          <w:lang w:val="fr-FR"/>
        </w:rPr>
        <w:t>« </w:t>
      </w:r>
      <w:r w:rsidRPr="008B539F">
        <w:rPr>
          <w:bCs/>
          <w:lang w:val="fr-FR"/>
        </w:rPr>
        <w:t>5.2.3.1</w:t>
      </w:r>
      <w:r w:rsidRPr="008B539F">
        <w:rPr>
          <w:bCs/>
          <w:lang w:val="fr-FR"/>
        </w:rPr>
        <w:tab/>
      </w:r>
      <w:r w:rsidRPr="008B539F">
        <w:rPr>
          <w:b/>
          <w:bCs/>
          <w:lang w:val="fr-FR"/>
        </w:rPr>
        <w:t>Vitesse</w:t>
      </w:r>
    </w:p>
    <w:p w:rsidR="008B539F" w:rsidRPr="008B539F" w:rsidRDefault="008B539F" w:rsidP="00BE465F">
      <w:pPr>
        <w:pStyle w:val="SingleTxtG"/>
        <w:ind w:left="2268" w:hanging="1134"/>
        <w:rPr>
          <w:bCs/>
          <w:lang w:val="fr-FR"/>
        </w:rPr>
      </w:pPr>
      <w:r w:rsidRPr="008B539F">
        <w:rPr>
          <w:bCs/>
          <w:lang w:val="fr-FR"/>
        </w:rPr>
        <w:tab/>
      </w:r>
      <w:r w:rsidRPr="008B539F">
        <w:rPr>
          <w:b/>
          <w:bCs/>
          <w:lang w:val="fr-FR"/>
        </w:rPr>
        <w:t>Le constructeur doit déclarer la vitesse maximale indiquée selon la portée de détection avant du système telle que décrite au paragraphe 7.1.1.</w:t>
      </w:r>
    </w:p>
    <w:p w:rsidR="008B539F" w:rsidRPr="008B539F" w:rsidRDefault="008B539F" w:rsidP="00BE465F">
      <w:pPr>
        <w:pStyle w:val="SingleTxtG"/>
        <w:ind w:left="2268"/>
        <w:rPr>
          <w:bCs/>
          <w:lang w:val="fr-FR"/>
        </w:rPr>
      </w:pPr>
      <w:r w:rsidRPr="008B539F">
        <w:rPr>
          <w:bCs/>
          <w:lang w:val="fr-FR"/>
        </w:rPr>
        <w:t xml:space="preserve">La vitesse maximale jusqu’à laquelle le système est autorisé à fonctionner est de </w:t>
      </w:r>
      <w:r w:rsidRPr="008B539F">
        <w:rPr>
          <w:bCs/>
          <w:strike/>
          <w:lang w:val="fr-FR"/>
        </w:rPr>
        <w:t>60</w:t>
      </w:r>
      <w:r w:rsidR="00BE465F">
        <w:rPr>
          <w:bCs/>
          <w:lang w:val="fr-FR"/>
        </w:rPr>
        <w:t> </w:t>
      </w:r>
      <w:r w:rsidRPr="008B539F">
        <w:rPr>
          <w:b/>
          <w:lang w:val="fr-FR"/>
        </w:rPr>
        <w:t>130</w:t>
      </w:r>
      <w:r w:rsidR="00BE465F">
        <w:rPr>
          <w:bCs/>
          <w:lang w:val="fr-FR"/>
        </w:rPr>
        <w:t> </w:t>
      </w:r>
      <w:r w:rsidRPr="008B539F">
        <w:rPr>
          <w:bCs/>
          <w:lang w:val="fr-FR"/>
        </w:rPr>
        <w:t>km/h. ».</w:t>
      </w:r>
    </w:p>
    <w:p w:rsidR="008B539F" w:rsidRPr="008B539F" w:rsidRDefault="008B539F" w:rsidP="008B539F">
      <w:pPr>
        <w:pStyle w:val="SingleTxtG"/>
        <w:rPr>
          <w:lang w:val="fr-FR"/>
        </w:rPr>
      </w:pPr>
      <w:r w:rsidRPr="008B539F">
        <w:rPr>
          <w:i/>
          <w:lang w:val="fr-FR"/>
        </w:rPr>
        <w:t xml:space="preserve">Paragraphe 5.2.3.3, </w:t>
      </w:r>
      <w:r w:rsidRPr="008B539F">
        <w:rPr>
          <w:iCs/>
          <w:lang w:val="fr-FR"/>
        </w:rPr>
        <w:t>lire :</w:t>
      </w:r>
    </w:p>
    <w:p w:rsidR="008B539F" w:rsidRPr="008B539F" w:rsidRDefault="008B539F" w:rsidP="00BE465F">
      <w:pPr>
        <w:pStyle w:val="SingleTxtG"/>
        <w:ind w:left="2268" w:hanging="1134"/>
        <w:rPr>
          <w:bCs/>
          <w:lang w:val="fr-FR"/>
        </w:rPr>
      </w:pPr>
      <w:r w:rsidRPr="008B539F">
        <w:rPr>
          <w:bCs/>
          <w:lang w:val="fr-FR"/>
        </w:rPr>
        <w:t>« 5.2.3.3</w:t>
      </w:r>
      <w:r w:rsidRPr="008B539F">
        <w:rPr>
          <w:bCs/>
          <w:lang w:val="fr-FR"/>
        </w:rPr>
        <w:tab/>
        <w:t>Lorsqu’il est activé, le système doit détecter la distance par rapport au véhicule aval, tel que défini au paragraphe</w:t>
      </w:r>
      <w:r w:rsidR="00DE24EC">
        <w:rPr>
          <w:bCs/>
          <w:lang w:val="fr-FR"/>
        </w:rPr>
        <w:t> </w:t>
      </w:r>
      <w:r w:rsidRPr="008B539F">
        <w:rPr>
          <w:bCs/>
          <w:lang w:val="fr-FR"/>
        </w:rPr>
        <w:t xml:space="preserve">7.1.1, et doit adapter la vitesse du véhicule afin d’éviter </w:t>
      </w:r>
      <w:r w:rsidRPr="008B539F">
        <w:rPr>
          <w:bCs/>
          <w:strike/>
          <w:lang w:val="fr-FR"/>
        </w:rPr>
        <w:t>la</w:t>
      </w:r>
      <w:r w:rsidRPr="008B539F">
        <w:rPr>
          <w:bCs/>
          <w:lang w:val="fr-FR"/>
        </w:rPr>
        <w:t xml:space="preserve"> </w:t>
      </w:r>
      <w:r w:rsidRPr="008B539F">
        <w:rPr>
          <w:b/>
          <w:lang w:val="fr-FR"/>
        </w:rPr>
        <w:t>une</w:t>
      </w:r>
      <w:r w:rsidRPr="008B539F">
        <w:rPr>
          <w:bCs/>
          <w:lang w:val="fr-FR"/>
        </w:rPr>
        <w:t xml:space="preserve"> collision. </w:t>
      </w:r>
    </w:p>
    <w:p w:rsidR="008B539F" w:rsidRPr="008B539F" w:rsidRDefault="008B539F" w:rsidP="00BE465F">
      <w:pPr>
        <w:pStyle w:val="SingleTxtG"/>
        <w:ind w:left="2268" w:hanging="1134"/>
        <w:rPr>
          <w:bCs/>
          <w:lang w:val="fr-FR"/>
        </w:rPr>
      </w:pPr>
      <w:r w:rsidRPr="008B539F">
        <w:rPr>
          <w:bCs/>
          <w:lang w:val="fr-FR"/>
        </w:rPr>
        <w:tab/>
        <w:t xml:space="preserve">Tant que le véhicule équipé de l’ALKS n’est pas à l’arrêt, le système doit adapter sa vitesse pour que la distance par rapport au véhicule aval dans la même voie soit égale ou supérieure à la distance de sécurité. </w:t>
      </w:r>
    </w:p>
    <w:p w:rsidR="008B539F" w:rsidRPr="008B539F" w:rsidRDefault="008B539F" w:rsidP="00BE465F">
      <w:pPr>
        <w:pStyle w:val="SingleTxtG"/>
        <w:ind w:left="2268" w:hanging="1134"/>
        <w:rPr>
          <w:bCs/>
          <w:lang w:val="fr-FR"/>
        </w:rPr>
      </w:pPr>
      <w:r w:rsidRPr="008B539F">
        <w:rPr>
          <w:bCs/>
          <w:lang w:val="fr-FR"/>
        </w:rPr>
        <w:tab/>
        <w:t xml:space="preserve">Dans le cas où l’écart minimal ne peut temporairement pas être respecté à cause d’autres usagers de la route (par exemple, véhicule effectuant un rabattement serré, décélération du véhicule aval, etc.), le véhicule doit réajuster la distance de sécurité à la première occasion sans freinage brusque, à moins qu’une manœuvre d’urgence devienne nécessaire. </w:t>
      </w:r>
    </w:p>
    <w:p w:rsidR="008B539F" w:rsidRPr="008B539F" w:rsidRDefault="008B539F" w:rsidP="00BE465F">
      <w:pPr>
        <w:pStyle w:val="SingleTxtG"/>
        <w:ind w:left="2268"/>
        <w:rPr>
          <w:lang w:val="fr-FR"/>
        </w:rPr>
      </w:pPr>
      <w:r w:rsidRPr="008B539F">
        <w:rPr>
          <w:bCs/>
          <w:lang w:val="fr-FR"/>
        </w:rPr>
        <w:tab/>
        <w:t>La distance de sécurité est calculée à l’aide de la formule suivante</w:t>
      </w:r>
      <w:r w:rsidR="00BE465F">
        <w:rPr>
          <w:bCs/>
          <w:lang w:val="fr-FR"/>
        </w:rPr>
        <w:t> </w:t>
      </w:r>
      <w:r w:rsidRPr="008B539F">
        <w:rPr>
          <w:bCs/>
          <w:lang w:val="fr-FR"/>
        </w:rPr>
        <w:t>:</w:t>
      </w:r>
    </w:p>
    <w:p w:rsidR="008B539F" w:rsidRPr="008B539F" w:rsidRDefault="008B539F" w:rsidP="00BE465F">
      <w:pPr>
        <w:pStyle w:val="SingleTxtG"/>
        <w:ind w:left="2268"/>
        <w:rPr>
          <w:vertAlign w:val="subscript"/>
          <w:lang w:val="fr-FR"/>
        </w:rPr>
      </w:pPr>
      <w:proofErr w:type="spellStart"/>
      <w:r w:rsidRPr="008B539F">
        <w:rPr>
          <w:lang w:val="fr-FR"/>
        </w:rPr>
        <w:t>d</w:t>
      </w:r>
      <w:r w:rsidRPr="008B539F">
        <w:rPr>
          <w:vertAlign w:val="subscript"/>
          <w:lang w:val="fr-FR"/>
        </w:rPr>
        <w:t>min</w:t>
      </w:r>
      <w:proofErr w:type="spellEnd"/>
      <w:r w:rsidRPr="008B539F">
        <w:rPr>
          <w:vertAlign w:val="subscript"/>
          <w:lang w:val="fr-FR"/>
        </w:rPr>
        <w:tab/>
      </w:r>
      <w:r w:rsidRPr="008B539F">
        <w:rPr>
          <w:lang w:val="fr-FR"/>
        </w:rPr>
        <w:t xml:space="preserve">= </w:t>
      </w:r>
      <w:proofErr w:type="spellStart"/>
      <w:r w:rsidRPr="008B539F">
        <w:rPr>
          <w:lang w:val="fr-FR"/>
        </w:rPr>
        <w:t>v</w:t>
      </w:r>
      <w:r w:rsidRPr="008B539F">
        <w:rPr>
          <w:vertAlign w:val="subscript"/>
          <w:lang w:val="fr-FR"/>
        </w:rPr>
        <w:t>ALKS</w:t>
      </w:r>
      <w:proofErr w:type="spellEnd"/>
      <w:r w:rsidRPr="008B539F">
        <w:rPr>
          <w:lang w:val="fr-FR"/>
        </w:rPr>
        <w:t xml:space="preserve">* </w:t>
      </w:r>
      <w:proofErr w:type="spellStart"/>
      <w:r w:rsidRPr="008B539F">
        <w:rPr>
          <w:lang w:val="fr-FR"/>
        </w:rPr>
        <w:t>t</w:t>
      </w:r>
      <w:r w:rsidRPr="008B539F">
        <w:rPr>
          <w:vertAlign w:val="subscript"/>
          <w:lang w:val="fr-FR"/>
        </w:rPr>
        <w:t>front</w:t>
      </w:r>
      <w:proofErr w:type="spellEnd"/>
    </w:p>
    <w:p w:rsidR="008B539F" w:rsidRPr="008B539F" w:rsidRDefault="008B539F" w:rsidP="00BE465F">
      <w:pPr>
        <w:pStyle w:val="SingleTxtG"/>
        <w:ind w:left="2268"/>
        <w:rPr>
          <w:lang w:val="fr-FR"/>
        </w:rPr>
      </w:pPr>
      <w:r w:rsidRPr="008B539F">
        <w:rPr>
          <w:lang w:val="fr-FR"/>
        </w:rPr>
        <w:t>où :</w:t>
      </w:r>
    </w:p>
    <w:p w:rsidR="008B539F" w:rsidRPr="008B539F" w:rsidRDefault="008B539F" w:rsidP="00BE465F">
      <w:pPr>
        <w:pStyle w:val="SingleTxtG"/>
        <w:ind w:left="2268"/>
        <w:rPr>
          <w:lang w:val="fr-FR"/>
        </w:rPr>
      </w:pPr>
      <w:proofErr w:type="spellStart"/>
      <w:r w:rsidRPr="008B539F">
        <w:rPr>
          <w:lang w:val="fr-FR"/>
        </w:rPr>
        <w:t>d</w:t>
      </w:r>
      <w:r w:rsidRPr="008B539F">
        <w:rPr>
          <w:vertAlign w:val="subscript"/>
          <w:lang w:val="fr-FR"/>
        </w:rPr>
        <w:t>min</w:t>
      </w:r>
      <w:proofErr w:type="spellEnd"/>
      <w:r w:rsidRPr="008B539F">
        <w:rPr>
          <w:lang w:val="fr-FR"/>
        </w:rPr>
        <w:t xml:space="preserve"> </w:t>
      </w:r>
      <w:r w:rsidRPr="008B539F">
        <w:rPr>
          <w:lang w:val="fr-FR"/>
        </w:rPr>
        <w:tab/>
        <w:t>=</w:t>
      </w:r>
      <w:r w:rsidRPr="008B539F">
        <w:rPr>
          <w:lang w:val="fr-FR"/>
        </w:rPr>
        <w:tab/>
        <w:t>distance de sécurité</w:t>
      </w:r>
    </w:p>
    <w:p w:rsidR="008B539F" w:rsidRPr="008B539F" w:rsidRDefault="008B539F" w:rsidP="00BE465F">
      <w:pPr>
        <w:pStyle w:val="SingleTxtG"/>
        <w:ind w:left="2268"/>
        <w:rPr>
          <w:lang w:val="fr-FR"/>
        </w:rPr>
      </w:pPr>
      <w:proofErr w:type="spellStart"/>
      <w:r w:rsidRPr="008B539F">
        <w:rPr>
          <w:lang w:val="fr-FR"/>
        </w:rPr>
        <w:t>v</w:t>
      </w:r>
      <w:r w:rsidRPr="008B539F">
        <w:rPr>
          <w:vertAlign w:val="subscript"/>
          <w:lang w:val="fr-FR"/>
        </w:rPr>
        <w:t>ALKS</w:t>
      </w:r>
      <w:proofErr w:type="spellEnd"/>
      <w:r w:rsidRPr="008B539F">
        <w:rPr>
          <w:lang w:val="fr-FR"/>
        </w:rPr>
        <w:tab/>
        <w:t xml:space="preserve">= </w:t>
      </w:r>
      <w:r w:rsidRPr="008B539F">
        <w:rPr>
          <w:lang w:val="fr-FR"/>
        </w:rPr>
        <w:tab/>
        <w:t>vitesse réelle du véhicule équipé de l’ALKS (en m/s)</w:t>
      </w:r>
    </w:p>
    <w:p w:rsidR="00F9573C" w:rsidRDefault="008B539F" w:rsidP="00DE24EC">
      <w:pPr>
        <w:pStyle w:val="SingleTxtG"/>
        <w:tabs>
          <w:tab w:val="left" w:pos="2835"/>
        </w:tabs>
        <w:ind w:left="3402" w:hanging="1134"/>
        <w:rPr>
          <w:lang w:val="fr-FR"/>
        </w:rPr>
      </w:pPr>
      <w:proofErr w:type="spellStart"/>
      <w:r w:rsidRPr="008B539F">
        <w:rPr>
          <w:lang w:val="fr-FR"/>
        </w:rPr>
        <w:t>t</w:t>
      </w:r>
      <w:r w:rsidRPr="008B539F">
        <w:rPr>
          <w:vertAlign w:val="subscript"/>
          <w:lang w:val="fr-FR"/>
        </w:rPr>
        <w:t>front</w:t>
      </w:r>
      <w:proofErr w:type="spellEnd"/>
      <w:r w:rsidR="00DE24EC">
        <w:rPr>
          <w:lang w:val="fr-FR"/>
        </w:rPr>
        <w:tab/>
      </w:r>
      <w:r w:rsidRPr="008B539F">
        <w:rPr>
          <w:lang w:val="fr-FR"/>
        </w:rPr>
        <w:t>=</w:t>
      </w:r>
      <w:r w:rsidR="00DE24EC">
        <w:rPr>
          <w:lang w:val="fr-FR"/>
        </w:rPr>
        <w:t xml:space="preserve"> </w:t>
      </w:r>
      <w:r w:rsidRPr="008B539F">
        <w:rPr>
          <w:lang w:val="fr-FR"/>
        </w:rPr>
        <w:tab/>
        <w:t>écart temporel minimal (en secondes) entre le véhicule équipé</w:t>
      </w:r>
      <w:r w:rsidR="00DE24EC">
        <w:rPr>
          <w:lang w:val="fr-FR"/>
        </w:rPr>
        <w:t xml:space="preserve"> </w:t>
      </w:r>
      <w:r w:rsidRPr="008B539F">
        <w:rPr>
          <w:lang w:val="fr-FR"/>
        </w:rPr>
        <w:t>de l’ALKS et le véhicule aval, en fonction du tableau ci</w:t>
      </w:r>
      <w:r w:rsidR="00DE24EC">
        <w:rPr>
          <w:lang w:val="fr-FR"/>
        </w:rPr>
        <w:noBreakHyphen/>
      </w:r>
      <w:r w:rsidRPr="008B539F">
        <w:rPr>
          <w:lang w:val="fr-FR"/>
        </w:rPr>
        <w:t>dessous :</w:t>
      </w:r>
    </w:p>
    <w:tbl>
      <w:tblPr>
        <w:tblW w:w="6237" w:type="dxa"/>
        <w:tblInd w:w="2268" w:type="dxa"/>
        <w:tblLayout w:type="fixed"/>
        <w:tblCellMar>
          <w:left w:w="0" w:type="dxa"/>
          <w:right w:w="0" w:type="dxa"/>
        </w:tblCellMar>
        <w:tblLook w:val="04A0" w:firstRow="1" w:lastRow="0" w:firstColumn="1" w:lastColumn="0" w:noHBand="0" w:noVBand="1"/>
      </w:tblPr>
      <w:tblGrid>
        <w:gridCol w:w="1983"/>
        <w:gridCol w:w="789"/>
        <w:gridCol w:w="1679"/>
        <w:gridCol w:w="1786"/>
      </w:tblGrid>
      <w:tr w:rsidR="0039165D" w:rsidRPr="0039165D" w:rsidTr="001075AB">
        <w:trPr>
          <w:tblHeader/>
        </w:trPr>
        <w:tc>
          <w:tcPr>
            <w:tcW w:w="2772" w:type="dxa"/>
            <w:gridSpan w:val="2"/>
            <w:tcBorders>
              <w:top w:val="single" w:sz="4" w:space="0" w:color="auto"/>
              <w:bottom w:val="single" w:sz="12" w:space="0" w:color="auto"/>
            </w:tcBorders>
            <w:shd w:val="clear" w:color="auto" w:fill="auto"/>
            <w:vAlign w:val="bottom"/>
          </w:tcPr>
          <w:p w:rsidR="008B539F" w:rsidRPr="0039165D" w:rsidRDefault="008B539F" w:rsidP="0039165D">
            <w:pPr>
              <w:suppressAutoHyphens w:val="0"/>
              <w:spacing w:before="80" w:after="80" w:line="200" w:lineRule="exact"/>
              <w:ind w:right="113"/>
              <w:rPr>
                <w:i/>
                <w:sz w:val="16"/>
                <w:lang w:val="fr-FR"/>
              </w:rPr>
            </w:pPr>
            <w:r w:rsidRPr="0039165D">
              <w:rPr>
                <w:i/>
                <w:sz w:val="16"/>
                <w:lang w:val="fr-FR"/>
              </w:rPr>
              <w:t>Vitesse réelle du véhicule équipé de</w:t>
            </w:r>
            <w:r w:rsidR="0039165D">
              <w:rPr>
                <w:i/>
                <w:sz w:val="16"/>
                <w:lang w:val="fr-FR"/>
              </w:rPr>
              <w:t> </w:t>
            </w:r>
            <w:r w:rsidRPr="0039165D">
              <w:rPr>
                <w:i/>
                <w:sz w:val="16"/>
                <w:lang w:val="fr-FR"/>
              </w:rPr>
              <w:t>l’ALKS</w:t>
            </w:r>
          </w:p>
        </w:tc>
        <w:tc>
          <w:tcPr>
            <w:tcW w:w="1679" w:type="dxa"/>
            <w:tcBorders>
              <w:top w:val="single" w:sz="4" w:space="0" w:color="auto"/>
              <w:bottom w:val="single" w:sz="12" w:space="0" w:color="auto"/>
            </w:tcBorders>
            <w:shd w:val="clear" w:color="auto" w:fill="auto"/>
          </w:tcPr>
          <w:p w:rsidR="008B539F" w:rsidRPr="0039165D" w:rsidRDefault="008B539F" w:rsidP="0039165D">
            <w:pPr>
              <w:suppressAutoHyphens w:val="0"/>
              <w:spacing w:before="80" w:after="80" w:line="200" w:lineRule="exact"/>
              <w:ind w:right="113"/>
              <w:jc w:val="right"/>
              <w:rPr>
                <w:i/>
                <w:sz w:val="16"/>
                <w:lang w:val="fr-FR"/>
              </w:rPr>
            </w:pPr>
            <w:r w:rsidRPr="0039165D">
              <w:rPr>
                <w:i/>
                <w:sz w:val="16"/>
                <w:lang w:val="fr-FR"/>
              </w:rPr>
              <w:t>Écart temporel minimal</w:t>
            </w:r>
          </w:p>
        </w:tc>
        <w:tc>
          <w:tcPr>
            <w:tcW w:w="1786" w:type="dxa"/>
            <w:tcBorders>
              <w:top w:val="single" w:sz="4" w:space="0" w:color="auto"/>
              <w:bottom w:val="single" w:sz="12" w:space="0" w:color="auto"/>
            </w:tcBorders>
            <w:shd w:val="clear" w:color="auto" w:fill="auto"/>
          </w:tcPr>
          <w:p w:rsidR="008B539F" w:rsidRPr="0039165D" w:rsidRDefault="008B539F" w:rsidP="0039165D">
            <w:pPr>
              <w:suppressAutoHyphens w:val="0"/>
              <w:spacing w:before="80" w:after="80" w:line="200" w:lineRule="exact"/>
              <w:ind w:right="113"/>
              <w:jc w:val="right"/>
              <w:rPr>
                <w:i/>
                <w:sz w:val="16"/>
                <w:lang w:val="fr-FR"/>
              </w:rPr>
            </w:pPr>
            <w:r w:rsidRPr="0039165D">
              <w:rPr>
                <w:i/>
                <w:sz w:val="16"/>
                <w:lang w:val="fr-FR"/>
              </w:rPr>
              <w:t>Distance de sécurité</w:t>
            </w:r>
          </w:p>
        </w:tc>
      </w:tr>
      <w:tr w:rsidR="0039165D" w:rsidRPr="0039165D" w:rsidTr="0039165D">
        <w:tc>
          <w:tcPr>
            <w:tcW w:w="1983" w:type="dxa"/>
            <w:tcBorders>
              <w:top w:val="single" w:sz="12" w:space="0" w:color="auto"/>
            </w:tcBorders>
            <w:shd w:val="clear" w:color="auto" w:fill="auto"/>
          </w:tcPr>
          <w:p w:rsidR="008B539F" w:rsidRPr="0039165D" w:rsidRDefault="008B539F" w:rsidP="0039165D">
            <w:pPr>
              <w:suppressAutoHyphens w:val="0"/>
              <w:spacing w:before="40" w:after="40" w:line="220" w:lineRule="exact"/>
              <w:rPr>
                <w:sz w:val="18"/>
                <w:lang w:val="fr-FR"/>
              </w:rPr>
            </w:pPr>
            <w:r w:rsidRPr="0039165D">
              <w:rPr>
                <w:sz w:val="18"/>
                <w:lang w:val="fr-FR"/>
              </w:rPr>
              <w:t>(km/h)</w:t>
            </w:r>
          </w:p>
        </w:tc>
        <w:tc>
          <w:tcPr>
            <w:tcW w:w="789" w:type="dxa"/>
            <w:tcBorders>
              <w:top w:val="single" w:sz="12" w:space="0" w:color="auto"/>
            </w:tcBorders>
            <w:shd w:val="clear" w:color="auto" w:fill="auto"/>
          </w:tcPr>
          <w:p w:rsidR="008B539F" w:rsidRPr="0039165D" w:rsidRDefault="008B539F" w:rsidP="0039165D">
            <w:pPr>
              <w:suppressAutoHyphens w:val="0"/>
              <w:spacing w:before="40" w:after="40" w:line="220" w:lineRule="exact"/>
              <w:rPr>
                <w:sz w:val="18"/>
                <w:lang w:val="fr-FR"/>
              </w:rPr>
            </w:pPr>
            <w:r w:rsidRPr="0039165D">
              <w:rPr>
                <w:sz w:val="18"/>
                <w:lang w:val="fr-FR"/>
              </w:rPr>
              <w:t>(m/s)</w:t>
            </w:r>
          </w:p>
        </w:tc>
        <w:tc>
          <w:tcPr>
            <w:tcW w:w="1679" w:type="dxa"/>
            <w:tcBorders>
              <w:top w:val="single" w:sz="12" w:space="0" w:color="auto"/>
            </w:tcBorders>
            <w:shd w:val="clear" w:color="auto" w:fill="auto"/>
            <w:vAlign w:val="bottom"/>
          </w:tcPr>
          <w:p w:rsidR="008B539F" w:rsidRPr="0039165D" w:rsidRDefault="008B539F" w:rsidP="0039165D">
            <w:pPr>
              <w:suppressAutoHyphens w:val="0"/>
              <w:spacing w:before="40" w:after="40" w:line="220" w:lineRule="exact"/>
              <w:ind w:right="57"/>
              <w:jc w:val="right"/>
              <w:rPr>
                <w:sz w:val="18"/>
                <w:lang w:val="fr-FR"/>
              </w:rPr>
            </w:pPr>
            <w:r w:rsidRPr="0039165D">
              <w:rPr>
                <w:sz w:val="18"/>
                <w:lang w:val="fr-FR"/>
              </w:rPr>
              <w:t>(s)</w:t>
            </w:r>
          </w:p>
        </w:tc>
        <w:tc>
          <w:tcPr>
            <w:tcW w:w="1786" w:type="dxa"/>
            <w:tcBorders>
              <w:top w:val="single" w:sz="12" w:space="0" w:color="auto"/>
            </w:tcBorders>
            <w:shd w:val="clear" w:color="auto" w:fill="auto"/>
            <w:vAlign w:val="bottom"/>
          </w:tcPr>
          <w:p w:rsidR="008B539F" w:rsidRPr="0039165D" w:rsidRDefault="008B539F" w:rsidP="0039165D">
            <w:pPr>
              <w:suppressAutoHyphens w:val="0"/>
              <w:spacing w:before="40" w:after="40" w:line="220" w:lineRule="exact"/>
              <w:ind w:right="57"/>
              <w:jc w:val="right"/>
              <w:rPr>
                <w:sz w:val="18"/>
                <w:lang w:val="fr-FR"/>
              </w:rPr>
            </w:pPr>
            <w:r w:rsidRPr="0039165D">
              <w:rPr>
                <w:sz w:val="18"/>
                <w:lang w:val="fr-FR"/>
              </w:rPr>
              <w:t>(m)</w:t>
            </w:r>
          </w:p>
        </w:tc>
      </w:tr>
      <w:tr w:rsidR="0039165D" w:rsidRPr="0039165D" w:rsidTr="0039165D">
        <w:tc>
          <w:tcPr>
            <w:tcW w:w="1983" w:type="dxa"/>
            <w:shd w:val="clear" w:color="auto" w:fill="auto"/>
          </w:tcPr>
          <w:p w:rsidR="008B539F" w:rsidRPr="0039165D" w:rsidRDefault="008B539F" w:rsidP="0039165D">
            <w:pPr>
              <w:suppressAutoHyphens w:val="0"/>
              <w:spacing w:before="40" w:after="40" w:line="220" w:lineRule="exact"/>
              <w:rPr>
                <w:sz w:val="18"/>
                <w:lang w:val="fr-FR"/>
              </w:rPr>
            </w:pPr>
            <w:r w:rsidRPr="0039165D">
              <w:rPr>
                <w:sz w:val="18"/>
                <w:lang w:val="fr-FR"/>
              </w:rPr>
              <w:t>7,2</w:t>
            </w:r>
          </w:p>
        </w:tc>
        <w:tc>
          <w:tcPr>
            <w:tcW w:w="789" w:type="dxa"/>
            <w:shd w:val="clear" w:color="auto" w:fill="auto"/>
          </w:tcPr>
          <w:p w:rsidR="008B539F" w:rsidRPr="0039165D" w:rsidRDefault="008B539F" w:rsidP="0039165D">
            <w:pPr>
              <w:suppressAutoHyphens w:val="0"/>
              <w:spacing w:before="40" w:after="40" w:line="220" w:lineRule="exact"/>
              <w:rPr>
                <w:sz w:val="18"/>
                <w:lang w:val="fr-FR"/>
              </w:rPr>
            </w:pPr>
            <w:r w:rsidRPr="0039165D">
              <w:rPr>
                <w:sz w:val="18"/>
                <w:lang w:val="fr-FR"/>
              </w:rPr>
              <w:t>2,0</w:t>
            </w:r>
          </w:p>
        </w:tc>
        <w:tc>
          <w:tcPr>
            <w:tcW w:w="1679" w:type="dxa"/>
            <w:shd w:val="clear" w:color="auto" w:fill="auto"/>
            <w:vAlign w:val="bottom"/>
          </w:tcPr>
          <w:p w:rsidR="008B539F" w:rsidRPr="0039165D" w:rsidRDefault="008B539F" w:rsidP="0039165D">
            <w:pPr>
              <w:suppressAutoHyphens w:val="0"/>
              <w:spacing w:before="40" w:after="40" w:line="220" w:lineRule="exact"/>
              <w:ind w:right="57"/>
              <w:jc w:val="right"/>
              <w:rPr>
                <w:sz w:val="18"/>
                <w:lang w:val="fr-FR"/>
              </w:rPr>
            </w:pPr>
            <w:r w:rsidRPr="0039165D">
              <w:rPr>
                <w:sz w:val="18"/>
                <w:lang w:val="fr-FR"/>
              </w:rPr>
              <w:t>1,0</w:t>
            </w:r>
          </w:p>
        </w:tc>
        <w:tc>
          <w:tcPr>
            <w:tcW w:w="1786" w:type="dxa"/>
            <w:shd w:val="clear" w:color="auto" w:fill="auto"/>
            <w:vAlign w:val="bottom"/>
          </w:tcPr>
          <w:p w:rsidR="008B539F" w:rsidRPr="0039165D" w:rsidRDefault="008B539F" w:rsidP="0039165D">
            <w:pPr>
              <w:suppressAutoHyphens w:val="0"/>
              <w:spacing w:before="40" w:after="40" w:line="220" w:lineRule="exact"/>
              <w:ind w:right="57"/>
              <w:jc w:val="right"/>
              <w:rPr>
                <w:sz w:val="18"/>
                <w:lang w:val="fr-FR"/>
              </w:rPr>
            </w:pPr>
            <w:r w:rsidRPr="0039165D">
              <w:rPr>
                <w:sz w:val="18"/>
                <w:lang w:val="fr-FR"/>
              </w:rPr>
              <w:t xml:space="preserve">2,0 </w:t>
            </w:r>
          </w:p>
        </w:tc>
      </w:tr>
      <w:tr w:rsidR="0039165D" w:rsidRPr="0039165D" w:rsidTr="0039165D">
        <w:tc>
          <w:tcPr>
            <w:tcW w:w="1983" w:type="dxa"/>
            <w:shd w:val="clear" w:color="auto" w:fill="auto"/>
          </w:tcPr>
          <w:p w:rsidR="008B539F" w:rsidRPr="0039165D" w:rsidRDefault="008B539F" w:rsidP="0039165D">
            <w:pPr>
              <w:suppressAutoHyphens w:val="0"/>
              <w:spacing w:before="40" w:after="40" w:line="220" w:lineRule="exact"/>
              <w:rPr>
                <w:sz w:val="18"/>
                <w:lang w:val="fr-FR"/>
              </w:rPr>
            </w:pPr>
            <w:r w:rsidRPr="0039165D">
              <w:rPr>
                <w:sz w:val="18"/>
                <w:lang w:val="fr-FR"/>
              </w:rPr>
              <w:t>10</w:t>
            </w:r>
          </w:p>
        </w:tc>
        <w:tc>
          <w:tcPr>
            <w:tcW w:w="789" w:type="dxa"/>
            <w:shd w:val="clear" w:color="auto" w:fill="auto"/>
          </w:tcPr>
          <w:p w:rsidR="008B539F" w:rsidRPr="0039165D" w:rsidRDefault="008B539F" w:rsidP="0039165D">
            <w:pPr>
              <w:suppressAutoHyphens w:val="0"/>
              <w:spacing w:before="40" w:after="40" w:line="220" w:lineRule="exact"/>
              <w:rPr>
                <w:sz w:val="18"/>
                <w:lang w:val="fr-FR"/>
              </w:rPr>
            </w:pPr>
            <w:r w:rsidRPr="0039165D">
              <w:rPr>
                <w:sz w:val="18"/>
                <w:lang w:val="fr-FR"/>
              </w:rPr>
              <w:t>2,78</w:t>
            </w:r>
          </w:p>
        </w:tc>
        <w:tc>
          <w:tcPr>
            <w:tcW w:w="1679" w:type="dxa"/>
            <w:shd w:val="clear" w:color="auto" w:fill="auto"/>
            <w:vAlign w:val="bottom"/>
          </w:tcPr>
          <w:p w:rsidR="008B539F" w:rsidRPr="0039165D" w:rsidRDefault="008B539F" w:rsidP="0039165D">
            <w:pPr>
              <w:suppressAutoHyphens w:val="0"/>
              <w:spacing w:before="40" w:after="40" w:line="220" w:lineRule="exact"/>
              <w:ind w:right="57"/>
              <w:jc w:val="right"/>
              <w:rPr>
                <w:sz w:val="18"/>
                <w:lang w:val="fr-FR"/>
              </w:rPr>
            </w:pPr>
            <w:r w:rsidRPr="0039165D">
              <w:rPr>
                <w:sz w:val="18"/>
                <w:lang w:val="fr-FR"/>
              </w:rPr>
              <w:t>1,1</w:t>
            </w:r>
          </w:p>
        </w:tc>
        <w:tc>
          <w:tcPr>
            <w:tcW w:w="1786" w:type="dxa"/>
            <w:shd w:val="clear" w:color="auto" w:fill="auto"/>
            <w:vAlign w:val="bottom"/>
          </w:tcPr>
          <w:p w:rsidR="008B539F" w:rsidRPr="0039165D" w:rsidRDefault="008B539F" w:rsidP="0039165D">
            <w:pPr>
              <w:suppressAutoHyphens w:val="0"/>
              <w:spacing w:before="40" w:after="40" w:line="220" w:lineRule="exact"/>
              <w:ind w:right="57"/>
              <w:jc w:val="right"/>
              <w:rPr>
                <w:sz w:val="18"/>
                <w:lang w:val="fr-FR"/>
              </w:rPr>
            </w:pPr>
            <w:r w:rsidRPr="0039165D">
              <w:rPr>
                <w:sz w:val="18"/>
                <w:lang w:val="fr-FR"/>
              </w:rPr>
              <w:t>3,1</w:t>
            </w:r>
          </w:p>
        </w:tc>
      </w:tr>
      <w:tr w:rsidR="0039165D" w:rsidRPr="0039165D" w:rsidTr="0039165D">
        <w:tc>
          <w:tcPr>
            <w:tcW w:w="1983" w:type="dxa"/>
            <w:shd w:val="clear" w:color="auto" w:fill="auto"/>
          </w:tcPr>
          <w:p w:rsidR="008B539F" w:rsidRPr="0039165D" w:rsidRDefault="008B539F" w:rsidP="0039165D">
            <w:pPr>
              <w:suppressAutoHyphens w:val="0"/>
              <w:spacing w:before="40" w:after="40" w:line="220" w:lineRule="exact"/>
              <w:rPr>
                <w:sz w:val="18"/>
                <w:lang w:val="fr-FR"/>
              </w:rPr>
            </w:pPr>
            <w:r w:rsidRPr="0039165D">
              <w:rPr>
                <w:sz w:val="18"/>
                <w:lang w:val="fr-FR"/>
              </w:rPr>
              <w:t>20</w:t>
            </w:r>
          </w:p>
        </w:tc>
        <w:tc>
          <w:tcPr>
            <w:tcW w:w="789" w:type="dxa"/>
            <w:shd w:val="clear" w:color="auto" w:fill="auto"/>
          </w:tcPr>
          <w:p w:rsidR="008B539F" w:rsidRPr="0039165D" w:rsidRDefault="008B539F" w:rsidP="0039165D">
            <w:pPr>
              <w:suppressAutoHyphens w:val="0"/>
              <w:spacing w:before="40" w:after="40" w:line="220" w:lineRule="exact"/>
              <w:rPr>
                <w:sz w:val="18"/>
                <w:lang w:val="fr-FR"/>
              </w:rPr>
            </w:pPr>
            <w:r w:rsidRPr="0039165D">
              <w:rPr>
                <w:sz w:val="18"/>
                <w:lang w:val="fr-FR"/>
              </w:rPr>
              <w:t>5,56</w:t>
            </w:r>
          </w:p>
        </w:tc>
        <w:tc>
          <w:tcPr>
            <w:tcW w:w="1679" w:type="dxa"/>
            <w:shd w:val="clear" w:color="auto" w:fill="auto"/>
            <w:vAlign w:val="bottom"/>
          </w:tcPr>
          <w:p w:rsidR="008B539F" w:rsidRPr="0039165D" w:rsidRDefault="008B539F" w:rsidP="0039165D">
            <w:pPr>
              <w:suppressAutoHyphens w:val="0"/>
              <w:spacing w:before="40" w:after="40" w:line="220" w:lineRule="exact"/>
              <w:ind w:right="57"/>
              <w:jc w:val="right"/>
              <w:rPr>
                <w:sz w:val="18"/>
                <w:lang w:val="fr-FR"/>
              </w:rPr>
            </w:pPr>
            <w:r w:rsidRPr="0039165D">
              <w:rPr>
                <w:sz w:val="18"/>
                <w:lang w:val="fr-FR"/>
              </w:rPr>
              <w:t>1,2</w:t>
            </w:r>
          </w:p>
        </w:tc>
        <w:tc>
          <w:tcPr>
            <w:tcW w:w="1786" w:type="dxa"/>
            <w:shd w:val="clear" w:color="auto" w:fill="auto"/>
            <w:vAlign w:val="bottom"/>
          </w:tcPr>
          <w:p w:rsidR="008B539F" w:rsidRPr="0039165D" w:rsidRDefault="008B539F" w:rsidP="0039165D">
            <w:pPr>
              <w:suppressAutoHyphens w:val="0"/>
              <w:spacing w:before="40" w:after="40" w:line="220" w:lineRule="exact"/>
              <w:ind w:right="57"/>
              <w:jc w:val="right"/>
              <w:rPr>
                <w:sz w:val="18"/>
                <w:lang w:val="fr-FR"/>
              </w:rPr>
            </w:pPr>
            <w:r w:rsidRPr="0039165D">
              <w:rPr>
                <w:sz w:val="18"/>
                <w:lang w:val="fr-FR"/>
              </w:rPr>
              <w:t>6,7</w:t>
            </w:r>
          </w:p>
        </w:tc>
      </w:tr>
      <w:tr w:rsidR="0039165D" w:rsidRPr="0039165D" w:rsidTr="0039165D">
        <w:tc>
          <w:tcPr>
            <w:tcW w:w="1983" w:type="dxa"/>
            <w:shd w:val="clear" w:color="auto" w:fill="auto"/>
          </w:tcPr>
          <w:p w:rsidR="008B539F" w:rsidRPr="0039165D" w:rsidRDefault="008B539F" w:rsidP="0039165D">
            <w:pPr>
              <w:suppressAutoHyphens w:val="0"/>
              <w:spacing w:before="40" w:after="40" w:line="220" w:lineRule="exact"/>
              <w:rPr>
                <w:sz w:val="18"/>
                <w:lang w:val="fr-FR"/>
              </w:rPr>
            </w:pPr>
            <w:r w:rsidRPr="0039165D">
              <w:rPr>
                <w:sz w:val="18"/>
                <w:lang w:val="fr-FR"/>
              </w:rPr>
              <w:t>30</w:t>
            </w:r>
          </w:p>
        </w:tc>
        <w:tc>
          <w:tcPr>
            <w:tcW w:w="789" w:type="dxa"/>
            <w:shd w:val="clear" w:color="auto" w:fill="auto"/>
          </w:tcPr>
          <w:p w:rsidR="008B539F" w:rsidRPr="0039165D" w:rsidRDefault="008B539F" w:rsidP="0039165D">
            <w:pPr>
              <w:suppressAutoHyphens w:val="0"/>
              <w:spacing w:before="40" w:after="40" w:line="220" w:lineRule="exact"/>
              <w:rPr>
                <w:sz w:val="18"/>
                <w:lang w:val="fr-FR"/>
              </w:rPr>
            </w:pPr>
            <w:r w:rsidRPr="0039165D">
              <w:rPr>
                <w:sz w:val="18"/>
                <w:lang w:val="fr-FR"/>
              </w:rPr>
              <w:t>8,33</w:t>
            </w:r>
          </w:p>
        </w:tc>
        <w:tc>
          <w:tcPr>
            <w:tcW w:w="1679" w:type="dxa"/>
            <w:shd w:val="clear" w:color="auto" w:fill="auto"/>
            <w:vAlign w:val="bottom"/>
          </w:tcPr>
          <w:p w:rsidR="008B539F" w:rsidRPr="0039165D" w:rsidRDefault="008B539F" w:rsidP="0039165D">
            <w:pPr>
              <w:suppressAutoHyphens w:val="0"/>
              <w:spacing w:before="40" w:after="40" w:line="220" w:lineRule="exact"/>
              <w:ind w:right="57"/>
              <w:jc w:val="right"/>
              <w:rPr>
                <w:sz w:val="18"/>
                <w:lang w:val="fr-FR"/>
              </w:rPr>
            </w:pPr>
            <w:r w:rsidRPr="0039165D">
              <w:rPr>
                <w:sz w:val="18"/>
                <w:lang w:val="fr-FR"/>
              </w:rPr>
              <w:t>1,3</w:t>
            </w:r>
          </w:p>
        </w:tc>
        <w:tc>
          <w:tcPr>
            <w:tcW w:w="1786" w:type="dxa"/>
            <w:shd w:val="clear" w:color="auto" w:fill="auto"/>
            <w:vAlign w:val="bottom"/>
          </w:tcPr>
          <w:p w:rsidR="008B539F" w:rsidRPr="0039165D" w:rsidRDefault="008B539F" w:rsidP="0039165D">
            <w:pPr>
              <w:suppressAutoHyphens w:val="0"/>
              <w:spacing w:before="40" w:after="40" w:line="220" w:lineRule="exact"/>
              <w:ind w:right="57"/>
              <w:jc w:val="right"/>
              <w:rPr>
                <w:sz w:val="18"/>
                <w:lang w:val="fr-FR"/>
              </w:rPr>
            </w:pPr>
            <w:r w:rsidRPr="0039165D">
              <w:rPr>
                <w:sz w:val="18"/>
                <w:lang w:val="fr-FR"/>
              </w:rPr>
              <w:t>10,8</w:t>
            </w:r>
          </w:p>
        </w:tc>
      </w:tr>
      <w:tr w:rsidR="0039165D" w:rsidRPr="0039165D" w:rsidTr="0039165D">
        <w:tc>
          <w:tcPr>
            <w:tcW w:w="1983" w:type="dxa"/>
            <w:shd w:val="clear" w:color="auto" w:fill="auto"/>
          </w:tcPr>
          <w:p w:rsidR="008B539F" w:rsidRPr="0039165D" w:rsidRDefault="008B539F" w:rsidP="0039165D">
            <w:pPr>
              <w:suppressAutoHyphens w:val="0"/>
              <w:spacing w:before="40" w:after="40" w:line="220" w:lineRule="exact"/>
              <w:rPr>
                <w:sz w:val="18"/>
                <w:lang w:val="fr-FR"/>
              </w:rPr>
            </w:pPr>
            <w:r w:rsidRPr="0039165D">
              <w:rPr>
                <w:sz w:val="18"/>
                <w:lang w:val="fr-FR"/>
              </w:rPr>
              <w:t>40</w:t>
            </w:r>
          </w:p>
        </w:tc>
        <w:tc>
          <w:tcPr>
            <w:tcW w:w="789" w:type="dxa"/>
            <w:shd w:val="clear" w:color="auto" w:fill="auto"/>
          </w:tcPr>
          <w:p w:rsidR="008B539F" w:rsidRPr="0039165D" w:rsidRDefault="008B539F" w:rsidP="0039165D">
            <w:pPr>
              <w:suppressAutoHyphens w:val="0"/>
              <w:spacing w:before="40" w:after="40" w:line="220" w:lineRule="exact"/>
              <w:rPr>
                <w:sz w:val="18"/>
                <w:lang w:val="fr-FR"/>
              </w:rPr>
            </w:pPr>
            <w:r w:rsidRPr="0039165D">
              <w:rPr>
                <w:sz w:val="18"/>
                <w:lang w:val="fr-FR"/>
              </w:rPr>
              <w:t>11,11</w:t>
            </w:r>
          </w:p>
        </w:tc>
        <w:tc>
          <w:tcPr>
            <w:tcW w:w="1679" w:type="dxa"/>
            <w:shd w:val="clear" w:color="auto" w:fill="auto"/>
            <w:vAlign w:val="bottom"/>
          </w:tcPr>
          <w:p w:rsidR="008B539F" w:rsidRPr="0039165D" w:rsidRDefault="008B539F" w:rsidP="0039165D">
            <w:pPr>
              <w:suppressAutoHyphens w:val="0"/>
              <w:spacing w:before="40" w:after="40" w:line="220" w:lineRule="exact"/>
              <w:ind w:right="57"/>
              <w:jc w:val="right"/>
              <w:rPr>
                <w:sz w:val="18"/>
                <w:lang w:val="fr-FR"/>
              </w:rPr>
            </w:pPr>
            <w:r w:rsidRPr="0039165D">
              <w:rPr>
                <w:sz w:val="18"/>
                <w:lang w:val="fr-FR"/>
              </w:rPr>
              <w:t>1,4</w:t>
            </w:r>
          </w:p>
        </w:tc>
        <w:tc>
          <w:tcPr>
            <w:tcW w:w="1786" w:type="dxa"/>
            <w:shd w:val="clear" w:color="auto" w:fill="auto"/>
            <w:vAlign w:val="bottom"/>
          </w:tcPr>
          <w:p w:rsidR="008B539F" w:rsidRPr="0039165D" w:rsidRDefault="008B539F" w:rsidP="0039165D">
            <w:pPr>
              <w:suppressAutoHyphens w:val="0"/>
              <w:spacing w:before="40" w:after="40" w:line="220" w:lineRule="exact"/>
              <w:ind w:right="57"/>
              <w:jc w:val="right"/>
              <w:rPr>
                <w:sz w:val="18"/>
                <w:lang w:val="fr-FR"/>
              </w:rPr>
            </w:pPr>
            <w:r w:rsidRPr="0039165D">
              <w:rPr>
                <w:sz w:val="18"/>
                <w:lang w:val="fr-FR"/>
              </w:rPr>
              <w:t>15,6</w:t>
            </w:r>
          </w:p>
        </w:tc>
      </w:tr>
      <w:tr w:rsidR="0039165D" w:rsidRPr="0039165D" w:rsidTr="0039165D">
        <w:tc>
          <w:tcPr>
            <w:tcW w:w="1983" w:type="dxa"/>
            <w:shd w:val="clear" w:color="auto" w:fill="auto"/>
          </w:tcPr>
          <w:p w:rsidR="008B539F" w:rsidRPr="0039165D" w:rsidRDefault="008B539F" w:rsidP="0039165D">
            <w:pPr>
              <w:suppressAutoHyphens w:val="0"/>
              <w:spacing w:before="40" w:after="40" w:line="220" w:lineRule="exact"/>
              <w:rPr>
                <w:sz w:val="18"/>
                <w:lang w:val="fr-FR"/>
              </w:rPr>
            </w:pPr>
            <w:r w:rsidRPr="0039165D">
              <w:rPr>
                <w:sz w:val="18"/>
                <w:lang w:val="fr-FR"/>
              </w:rPr>
              <w:t>50</w:t>
            </w:r>
          </w:p>
        </w:tc>
        <w:tc>
          <w:tcPr>
            <w:tcW w:w="789" w:type="dxa"/>
            <w:shd w:val="clear" w:color="auto" w:fill="auto"/>
          </w:tcPr>
          <w:p w:rsidR="008B539F" w:rsidRPr="0039165D" w:rsidRDefault="008B539F" w:rsidP="0039165D">
            <w:pPr>
              <w:suppressAutoHyphens w:val="0"/>
              <w:spacing w:before="40" w:after="40" w:line="220" w:lineRule="exact"/>
              <w:rPr>
                <w:sz w:val="18"/>
                <w:lang w:val="fr-FR"/>
              </w:rPr>
            </w:pPr>
            <w:r w:rsidRPr="0039165D">
              <w:rPr>
                <w:sz w:val="18"/>
                <w:lang w:val="fr-FR"/>
              </w:rPr>
              <w:t>13,89</w:t>
            </w:r>
          </w:p>
        </w:tc>
        <w:tc>
          <w:tcPr>
            <w:tcW w:w="1679" w:type="dxa"/>
            <w:shd w:val="clear" w:color="auto" w:fill="auto"/>
            <w:vAlign w:val="bottom"/>
          </w:tcPr>
          <w:p w:rsidR="008B539F" w:rsidRPr="0039165D" w:rsidRDefault="008B539F" w:rsidP="0039165D">
            <w:pPr>
              <w:suppressAutoHyphens w:val="0"/>
              <w:spacing w:before="40" w:after="40" w:line="220" w:lineRule="exact"/>
              <w:ind w:right="57"/>
              <w:jc w:val="right"/>
              <w:rPr>
                <w:sz w:val="18"/>
                <w:lang w:val="fr-FR"/>
              </w:rPr>
            </w:pPr>
            <w:r w:rsidRPr="0039165D">
              <w:rPr>
                <w:sz w:val="18"/>
                <w:lang w:val="fr-FR"/>
              </w:rPr>
              <w:t>1,5</w:t>
            </w:r>
          </w:p>
        </w:tc>
        <w:tc>
          <w:tcPr>
            <w:tcW w:w="1786" w:type="dxa"/>
            <w:shd w:val="clear" w:color="auto" w:fill="auto"/>
            <w:vAlign w:val="bottom"/>
          </w:tcPr>
          <w:p w:rsidR="008B539F" w:rsidRPr="0039165D" w:rsidRDefault="008B539F" w:rsidP="0039165D">
            <w:pPr>
              <w:suppressAutoHyphens w:val="0"/>
              <w:spacing w:before="40" w:after="40" w:line="220" w:lineRule="exact"/>
              <w:ind w:right="57"/>
              <w:jc w:val="right"/>
              <w:rPr>
                <w:sz w:val="18"/>
                <w:lang w:val="fr-FR"/>
              </w:rPr>
            </w:pPr>
            <w:r w:rsidRPr="0039165D">
              <w:rPr>
                <w:sz w:val="18"/>
                <w:lang w:val="fr-FR"/>
              </w:rPr>
              <w:t>20,8</w:t>
            </w:r>
          </w:p>
        </w:tc>
      </w:tr>
      <w:tr w:rsidR="0039165D" w:rsidRPr="0039165D" w:rsidTr="0039165D">
        <w:tc>
          <w:tcPr>
            <w:tcW w:w="1983" w:type="dxa"/>
            <w:shd w:val="clear" w:color="auto" w:fill="auto"/>
          </w:tcPr>
          <w:p w:rsidR="008B539F" w:rsidRPr="0039165D" w:rsidRDefault="008B539F" w:rsidP="0039165D">
            <w:pPr>
              <w:suppressAutoHyphens w:val="0"/>
              <w:spacing w:before="40" w:after="40" w:line="220" w:lineRule="exact"/>
              <w:rPr>
                <w:sz w:val="18"/>
                <w:lang w:val="fr-FR"/>
              </w:rPr>
            </w:pPr>
            <w:r w:rsidRPr="0039165D">
              <w:rPr>
                <w:sz w:val="18"/>
                <w:lang w:val="fr-FR"/>
              </w:rPr>
              <w:t>60</w:t>
            </w:r>
          </w:p>
        </w:tc>
        <w:tc>
          <w:tcPr>
            <w:tcW w:w="789" w:type="dxa"/>
            <w:shd w:val="clear" w:color="auto" w:fill="auto"/>
          </w:tcPr>
          <w:p w:rsidR="008B539F" w:rsidRPr="0039165D" w:rsidRDefault="008B539F" w:rsidP="0039165D">
            <w:pPr>
              <w:suppressAutoHyphens w:val="0"/>
              <w:spacing w:before="40" w:after="40" w:line="220" w:lineRule="exact"/>
              <w:rPr>
                <w:sz w:val="18"/>
                <w:lang w:val="fr-FR"/>
              </w:rPr>
            </w:pPr>
            <w:r w:rsidRPr="0039165D">
              <w:rPr>
                <w:sz w:val="18"/>
                <w:lang w:val="fr-FR"/>
              </w:rPr>
              <w:t>16,67</w:t>
            </w:r>
          </w:p>
        </w:tc>
        <w:tc>
          <w:tcPr>
            <w:tcW w:w="1679" w:type="dxa"/>
            <w:shd w:val="clear" w:color="auto" w:fill="auto"/>
            <w:vAlign w:val="bottom"/>
          </w:tcPr>
          <w:p w:rsidR="008B539F" w:rsidRPr="0039165D" w:rsidRDefault="008B539F" w:rsidP="0039165D">
            <w:pPr>
              <w:suppressAutoHyphens w:val="0"/>
              <w:spacing w:before="40" w:after="40" w:line="220" w:lineRule="exact"/>
              <w:ind w:right="57"/>
              <w:jc w:val="right"/>
              <w:rPr>
                <w:sz w:val="18"/>
                <w:lang w:val="fr-FR"/>
              </w:rPr>
            </w:pPr>
            <w:r w:rsidRPr="0039165D">
              <w:rPr>
                <w:sz w:val="18"/>
                <w:lang w:val="fr-FR"/>
              </w:rPr>
              <w:t>1,6</w:t>
            </w:r>
          </w:p>
        </w:tc>
        <w:tc>
          <w:tcPr>
            <w:tcW w:w="1786" w:type="dxa"/>
            <w:shd w:val="clear" w:color="auto" w:fill="auto"/>
            <w:vAlign w:val="bottom"/>
          </w:tcPr>
          <w:p w:rsidR="008B539F" w:rsidRPr="0039165D" w:rsidRDefault="008B539F" w:rsidP="0039165D">
            <w:pPr>
              <w:suppressAutoHyphens w:val="0"/>
              <w:spacing w:before="40" w:after="40" w:line="220" w:lineRule="exact"/>
              <w:ind w:right="57"/>
              <w:jc w:val="right"/>
              <w:rPr>
                <w:sz w:val="18"/>
                <w:lang w:val="fr-FR"/>
              </w:rPr>
            </w:pPr>
            <w:r w:rsidRPr="0039165D">
              <w:rPr>
                <w:sz w:val="18"/>
                <w:lang w:val="fr-FR"/>
              </w:rPr>
              <w:t>26,7</w:t>
            </w:r>
          </w:p>
        </w:tc>
      </w:tr>
      <w:tr w:rsidR="0039165D" w:rsidRPr="0039165D" w:rsidTr="0039165D">
        <w:tc>
          <w:tcPr>
            <w:tcW w:w="1983" w:type="dxa"/>
            <w:shd w:val="clear" w:color="auto" w:fill="auto"/>
          </w:tcPr>
          <w:p w:rsidR="008B539F" w:rsidRPr="0039165D" w:rsidRDefault="008B539F" w:rsidP="0039165D">
            <w:pPr>
              <w:suppressAutoHyphens w:val="0"/>
              <w:spacing w:before="40" w:after="40" w:line="220" w:lineRule="exact"/>
              <w:rPr>
                <w:b/>
                <w:sz w:val="18"/>
                <w:lang w:val="fr-FR"/>
              </w:rPr>
            </w:pPr>
            <w:r w:rsidRPr="0039165D">
              <w:rPr>
                <w:b/>
                <w:sz w:val="18"/>
                <w:lang w:val="fr-FR"/>
              </w:rPr>
              <w:lastRenderedPageBreak/>
              <w:t>70</w:t>
            </w:r>
          </w:p>
        </w:tc>
        <w:tc>
          <w:tcPr>
            <w:tcW w:w="789" w:type="dxa"/>
            <w:shd w:val="clear" w:color="auto" w:fill="auto"/>
          </w:tcPr>
          <w:p w:rsidR="008B539F" w:rsidRPr="0039165D" w:rsidRDefault="008B539F" w:rsidP="0039165D">
            <w:pPr>
              <w:suppressAutoHyphens w:val="0"/>
              <w:spacing w:before="40" w:after="40" w:line="220" w:lineRule="exact"/>
              <w:rPr>
                <w:b/>
                <w:sz w:val="18"/>
                <w:lang w:val="fr-FR"/>
              </w:rPr>
            </w:pPr>
            <w:r w:rsidRPr="0039165D">
              <w:rPr>
                <w:b/>
                <w:sz w:val="18"/>
                <w:lang w:val="fr-FR"/>
              </w:rPr>
              <w:t>19,44</w:t>
            </w:r>
          </w:p>
        </w:tc>
        <w:tc>
          <w:tcPr>
            <w:tcW w:w="1679" w:type="dxa"/>
            <w:shd w:val="clear" w:color="auto" w:fill="auto"/>
            <w:vAlign w:val="bottom"/>
          </w:tcPr>
          <w:p w:rsidR="008B539F" w:rsidRPr="0039165D" w:rsidRDefault="008B539F" w:rsidP="0039165D">
            <w:pPr>
              <w:suppressAutoHyphens w:val="0"/>
              <w:spacing w:before="40" w:after="40" w:line="220" w:lineRule="exact"/>
              <w:ind w:right="57"/>
              <w:jc w:val="right"/>
              <w:rPr>
                <w:b/>
                <w:sz w:val="18"/>
                <w:lang w:val="fr-FR"/>
              </w:rPr>
            </w:pPr>
            <w:r w:rsidRPr="0039165D">
              <w:rPr>
                <w:b/>
                <w:sz w:val="18"/>
                <w:lang w:val="fr-FR"/>
              </w:rPr>
              <w:t>1,7</w:t>
            </w:r>
          </w:p>
        </w:tc>
        <w:tc>
          <w:tcPr>
            <w:tcW w:w="1786" w:type="dxa"/>
            <w:shd w:val="clear" w:color="auto" w:fill="auto"/>
            <w:vAlign w:val="bottom"/>
          </w:tcPr>
          <w:p w:rsidR="008B539F" w:rsidRPr="0039165D" w:rsidRDefault="008B539F" w:rsidP="0039165D">
            <w:pPr>
              <w:suppressAutoHyphens w:val="0"/>
              <w:spacing w:before="40" w:after="40" w:line="220" w:lineRule="exact"/>
              <w:ind w:right="57"/>
              <w:jc w:val="right"/>
              <w:rPr>
                <w:b/>
                <w:sz w:val="18"/>
                <w:lang w:val="fr-FR"/>
              </w:rPr>
            </w:pPr>
            <w:r w:rsidRPr="0039165D">
              <w:rPr>
                <w:b/>
                <w:sz w:val="18"/>
                <w:lang w:val="fr-FR"/>
              </w:rPr>
              <w:t>33,1</w:t>
            </w:r>
          </w:p>
        </w:tc>
      </w:tr>
      <w:tr w:rsidR="0039165D" w:rsidRPr="0039165D" w:rsidTr="0039165D">
        <w:tc>
          <w:tcPr>
            <w:tcW w:w="1983" w:type="dxa"/>
            <w:shd w:val="clear" w:color="auto" w:fill="auto"/>
          </w:tcPr>
          <w:p w:rsidR="008B539F" w:rsidRPr="0039165D" w:rsidRDefault="008B539F" w:rsidP="0039165D">
            <w:pPr>
              <w:suppressAutoHyphens w:val="0"/>
              <w:spacing w:before="40" w:after="40" w:line="220" w:lineRule="exact"/>
              <w:rPr>
                <w:b/>
                <w:sz w:val="18"/>
                <w:lang w:val="fr-FR"/>
              </w:rPr>
            </w:pPr>
            <w:r w:rsidRPr="0039165D">
              <w:rPr>
                <w:b/>
                <w:sz w:val="18"/>
                <w:lang w:val="fr-FR"/>
              </w:rPr>
              <w:t>80</w:t>
            </w:r>
          </w:p>
        </w:tc>
        <w:tc>
          <w:tcPr>
            <w:tcW w:w="789" w:type="dxa"/>
            <w:shd w:val="clear" w:color="auto" w:fill="auto"/>
          </w:tcPr>
          <w:p w:rsidR="008B539F" w:rsidRPr="0039165D" w:rsidRDefault="008B539F" w:rsidP="0039165D">
            <w:pPr>
              <w:suppressAutoHyphens w:val="0"/>
              <w:spacing w:before="40" w:after="40" w:line="220" w:lineRule="exact"/>
              <w:rPr>
                <w:b/>
                <w:sz w:val="18"/>
                <w:lang w:val="fr-FR"/>
              </w:rPr>
            </w:pPr>
            <w:r w:rsidRPr="0039165D">
              <w:rPr>
                <w:b/>
                <w:sz w:val="18"/>
                <w:lang w:val="fr-FR"/>
              </w:rPr>
              <w:t>22,22</w:t>
            </w:r>
          </w:p>
        </w:tc>
        <w:tc>
          <w:tcPr>
            <w:tcW w:w="1679" w:type="dxa"/>
            <w:shd w:val="clear" w:color="auto" w:fill="auto"/>
            <w:vAlign w:val="bottom"/>
          </w:tcPr>
          <w:p w:rsidR="008B539F" w:rsidRPr="0039165D" w:rsidRDefault="008B539F" w:rsidP="0039165D">
            <w:pPr>
              <w:suppressAutoHyphens w:val="0"/>
              <w:spacing w:before="40" w:after="40" w:line="220" w:lineRule="exact"/>
              <w:ind w:right="57"/>
              <w:jc w:val="right"/>
              <w:rPr>
                <w:b/>
                <w:sz w:val="18"/>
                <w:lang w:val="fr-FR"/>
              </w:rPr>
            </w:pPr>
            <w:r w:rsidRPr="0039165D">
              <w:rPr>
                <w:b/>
                <w:sz w:val="18"/>
                <w:lang w:val="fr-FR"/>
              </w:rPr>
              <w:t>1,8</w:t>
            </w:r>
          </w:p>
        </w:tc>
        <w:tc>
          <w:tcPr>
            <w:tcW w:w="1786" w:type="dxa"/>
            <w:shd w:val="clear" w:color="auto" w:fill="auto"/>
            <w:vAlign w:val="bottom"/>
          </w:tcPr>
          <w:p w:rsidR="008B539F" w:rsidRPr="0039165D" w:rsidRDefault="008B539F" w:rsidP="0039165D">
            <w:pPr>
              <w:suppressAutoHyphens w:val="0"/>
              <w:spacing w:before="40" w:after="40" w:line="220" w:lineRule="exact"/>
              <w:ind w:right="57"/>
              <w:jc w:val="right"/>
              <w:rPr>
                <w:b/>
                <w:sz w:val="18"/>
                <w:lang w:val="fr-FR"/>
              </w:rPr>
            </w:pPr>
            <w:r w:rsidRPr="0039165D">
              <w:rPr>
                <w:b/>
                <w:sz w:val="18"/>
                <w:lang w:val="fr-FR"/>
              </w:rPr>
              <w:t>40,0</w:t>
            </w:r>
          </w:p>
        </w:tc>
      </w:tr>
      <w:tr w:rsidR="0039165D" w:rsidRPr="0039165D" w:rsidTr="0039165D">
        <w:tc>
          <w:tcPr>
            <w:tcW w:w="1983" w:type="dxa"/>
            <w:shd w:val="clear" w:color="auto" w:fill="auto"/>
          </w:tcPr>
          <w:p w:rsidR="008B539F" w:rsidRPr="0039165D" w:rsidRDefault="008B539F" w:rsidP="0039165D">
            <w:pPr>
              <w:suppressAutoHyphens w:val="0"/>
              <w:spacing w:before="40" w:after="40" w:line="220" w:lineRule="exact"/>
              <w:rPr>
                <w:b/>
                <w:sz w:val="18"/>
                <w:lang w:val="fr-FR"/>
              </w:rPr>
            </w:pPr>
            <w:r w:rsidRPr="0039165D">
              <w:rPr>
                <w:b/>
                <w:sz w:val="18"/>
                <w:lang w:val="fr-FR"/>
              </w:rPr>
              <w:t>90</w:t>
            </w:r>
          </w:p>
        </w:tc>
        <w:tc>
          <w:tcPr>
            <w:tcW w:w="789" w:type="dxa"/>
            <w:shd w:val="clear" w:color="auto" w:fill="auto"/>
          </w:tcPr>
          <w:p w:rsidR="008B539F" w:rsidRPr="0039165D" w:rsidRDefault="008B539F" w:rsidP="0039165D">
            <w:pPr>
              <w:suppressAutoHyphens w:val="0"/>
              <w:spacing w:before="40" w:after="40" w:line="220" w:lineRule="exact"/>
              <w:rPr>
                <w:b/>
                <w:sz w:val="18"/>
                <w:lang w:val="fr-FR"/>
              </w:rPr>
            </w:pPr>
            <w:r w:rsidRPr="0039165D">
              <w:rPr>
                <w:b/>
                <w:sz w:val="18"/>
                <w:lang w:val="fr-FR"/>
              </w:rPr>
              <w:t>25,00</w:t>
            </w:r>
          </w:p>
        </w:tc>
        <w:tc>
          <w:tcPr>
            <w:tcW w:w="1679" w:type="dxa"/>
            <w:shd w:val="clear" w:color="auto" w:fill="auto"/>
            <w:vAlign w:val="bottom"/>
          </w:tcPr>
          <w:p w:rsidR="008B539F" w:rsidRPr="0039165D" w:rsidRDefault="008B539F" w:rsidP="0039165D">
            <w:pPr>
              <w:suppressAutoHyphens w:val="0"/>
              <w:spacing w:before="40" w:after="40" w:line="220" w:lineRule="exact"/>
              <w:ind w:right="57"/>
              <w:jc w:val="right"/>
              <w:rPr>
                <w:b/>
                <w:sz w:val="18"/>
                <w:lang w:val="fr-FR"/>
              </w:rPr>
            </w:pPr>
            <w:r w:rsidRPr="0039165D">
              <w:rPr>
                <w:b/>
                <w:sz w:val="18"/>
                <w:lang w:val="fr-FR"/>
              </w:rPr>
              <w:t>1,9</w:t>
            </w:r>
          </w:p>
        </w:tc>
        <w:tc>
          <w:tcPr>
            <w:tcW w:w="1786" w:type="dxa"/>
            <w:shd w:val="clear" w:color="auto" w:fill="auto"/>
            <w:vAlign w:val="bottom"/>
          </w:tcPr>
          <w:p w:rsidR="008B539F" w:rsidRPr="0039165D" w:rsidRDefault="008B539F" w:rsidP="0039165D">
            <w:pPr>
              <w:suppressAutoHyphens w:val="0"/>
              <w:spacing w:before="40" w:after="40" w:line="220" w:lineRule="exact"/>
              <w:ind w:right="57"/>
              <w:jc w:val="right"/>
              <w:rPr>
                <w:b/>
                <w:sz w:val="18"/>
                <w:lang w:val="fr-FR"/>
              </w:rPr>
            </w:pPr>
            <w:r w:rsidRPr="0039165D">
              <w:rPr>
                <w:b/>
                <w:sz w:val="18"/>
                <w:lang w:val="fr-FR"/>
              </w:rPr>
              <w:t>47,5</w:t>
            </w:r>
          </w:p>
        </w:tc>
      </w:tr>
      <w:tr w:rsidR="0039165D" w:rsidRPr="0039165D" w:rsidTr="0039165D">
        <w:tc>
          <w:tcPr>
            <w:tcW w:w="1983" w:type="dxa"/>
            <w:shd w:val="clear" w:color="auto" w:fill="auto"/>
          </w:tcPr>
          <w:p w:rsidR="008B539F" w:rsidRPr="0039165D" w:rsidRDefault="008B539F" w:rsidP="0039165D">
            <w:pPr>
              <w:suppressAutoHyphens w:val="0"/>
              <w:spacing w:before="40" w:after="40" w:line="220" w:lineRule="exact"/>
              <w:rPr>
                <w:b/>
                <w:sz w:val="18"/>
                <w:lang w:val="fr-FR"/>
              </w:rPr>
            </w:pPr>
            <w:r w:rsidRPr="0039165D">
              <w:rPr>
                <w:b/>
                <w:sz w:val="18"/>
                <w:lang w:val="fr-FR"/>
              </w:rPr>
              <w:t>100</w:t>
            </w:r>
          </w:p>
        </w:tc>
        <w:tc>
          <w:tcPr>
            <w:tcW w:w="789" w:type="dxa"/>
            <w:shd w:val="clear" w:color="auto" w:fill="auto"/>
          </w:tcPr>
          <w:p w:rsidR="008B539F" w:rsidRPr="0039165D" w:rsidRDefault="008B539F" w:rsidP="0039165D">
            <w:pPr>
              <w:suppressAutoHyphens w:val="0"/>
              <w:spacing w:before="40" w:after="40" w:line="220" w:lineRule="exact"/>
              <w:rPr>
                <w:b/>
                <w:sz w:val="18"/>
                <w:lang w:val="fr-FR"/>
              </w:rPr>
            </w:pPr>
            <w:r w:rsidRPr="0039165D">
              <w:rPr>
                <w:b/>
                <w:sz w:val="18"/>
                <w:lang w:val="fr-FR"/>
              </w:rPr>
              <w:t>27,78</w:t>
            </w:r>
          </w:p>
        </w:tc>
        <w:tc>
          <w:tcPr>
            <w:tcW w:w="1679" w:type="dxa"/>
            <w:shd w:val="clear" w:color="auto" w:fill="auto"/>
            <w:vAlign w:val="bottom"/>
          </w:tcPr>
          <w:p w:rsidR="008B539F" w:rsidRPr="0039165D" w:rsidRDefault="008B539F" w:rsidP="0039165D">
            <w:pPr>
              <w:suppressAutoHyphens w:val="0"/>
              <w:spacing w:before="40" w:after="40" w:line="220" w:lineRule="exact"/>
              <w:ind w:right="57"/>
              <w:jc w:val="right"/>
              <w:rPr>
                <w:b/>
                <w:sz w:val="18"/>
                <w:lang w:val="fr-FR"/>
              </w:rPr>
            </w:pPr>
            <w:r w:rsidRPr="0039165D">
              <w:rPr>
                <w:b/>
                <w:sz w:val="18"/>
                <w:lang w:val="fr-FR"/>
              </w:rPr>
              <w:t>2,0</w:t>
            </w:r>
          </w:p>
        </w:tc>
        <w:tc>
          <w:tcPr>
            <w:tcW w:w="1786" w:type="dxa"/>
            <w:shd w:val="clear" w:color="auto" w:fill="auto"/>
            <w:vAlign w:val="bottom"/>
          </w:tcPr>
          <w:p w:rsidR="008B539F" w:rsidRPr="0039165D" w:rsidRDefault="008B539F" w:rsidP="0039165D">
            <w:pPr>
              <w:suppressAutoHyphens w:val="0"/>
              <w:spacing w:before="40" w:after="40" w:line="220" w:lineRule="exact"/>
              <w:ind w:right="57"/>
              <w:jc w:val="right"/>
              <w:rPr>
                <w:b/>
                <w:sz w:val="18"/>
                <w:lang w:val="fr-FR"/>
              </w:rPr>
            </w:pPr>
            <w:r w:rsidRPr="0039165D">
              <w:rPr>
                <w:b/>
                <w:sz w:val="18"/>
                <w:lang w:val="fr-FR"/>
              </w:rPr>
              <w:t>55,6</w:t>
            </w:r>
          </w:p>
        </w:tc>
      </w:tr>
      <w:tr w:rsidR="0039165D" w:rsidRPr="0039165D" w:rsidTr="0039165D">
        <w:tc>
          <w:tcPr>
            <w:tcW w:w="1983" w:type="dxa"/>
            <w:shd w:val="clear" w:color="auto" w:fill="auto"/>
          </w:tcPr>
          <w:p w:rsidR="008B539F" w:rsidRPr="0039165D" w:rsidRDefault="008B539F" w:rsidP="0039165D">
            <w:pPr>
              <w:suppressAutoHyphens w:val="0"/>
              <w:spacing w:before="40" w:after="40" w:line="220" w:lineRule="exact"/>
              <w:rPr>
                <w:b/>
                <w:sz w:val="18"/>
                <w:lang w:val="fr-FR"/>
              </w:rPr>
            </w:pPr>
            <w:r w:rsidRPr="0039165D">
              <w:rPr>
                <w:b/>
                <w:sz w:val="18"/>
                <w:lang w:val="fr-FR"/>
              </w:rPr>
              <w:t>110</w:t>
            </w:r>
          </w:p>
        </w:tc>
        <w:tc>
          <w:tcPr>
            <w:tcW w:w="789" w:type="dxa"/>
            <w:shd w:val="clear" w:color="auto" w:fill="auto"/>
          </w:tcPr>
          <w:p w:rsidR="008B539F" w:rsidRPr="0039165D" w:rsidRDefault="008B539F" w:rsidP="0039165D">
            <w:pPr>
              <w:suppressAutoHyphens w:val="0"/>
              <w:spacing w:before="40" w:after="40" w:line="220" w:lineRule="exact"/>
              <w:rPr>
                <w:b/>
                <w:sz w:val="18"/>
                <w:lang w:val="fr-FR"/>
              </w:rPr>
            </w:pPr>
            <w:r w:rsidRPr="0039165D">
              <w:rPr>
                <w:b/>
                <w:sz w:val="18"/>
                <w:lang w:val="fr-FR"/>
              </w:rPr>
              <w:t>30,56</w:t>
            </w:r>
          </w:p>
        </w:tc>
        <w:tc>
          <w:tcPr>
            <w:tcW w:w="1679" w:type="dxa"/>
            <w:shd w:val="clear" w:color="auto" w:fill="auto"/>
            <w:vAlign w:val="bottom"/>
          </w:tcPr>
          <w:p w:rsidR="008B539F" w:rsidRPr="0039165D" w:rsidRDefault="008B539F" w:rsidP="0039165D">
            <w:pPr>
              <w:suppressAutoHyphens w:val="0"/>
              <w:spacing w:before="40" w:after="40" w:line="220" w:lineRule="exact"/>
              <w:ind w:right="57"/>
              <w:jc w:val="right"/>
              <w:rPr>
                <w:b/>
                <w:sz w:val="18"/>
                <w:lang w:val="fr-FR"/>
              </w:rPr>
            </w:pPr>
            <w:r w:rsidRPr="0039165D">
              <w:rPr>
                <w:b/>
                <w:sz w:val="18"/>
                <w:lang w:val="fr-FR"/>
              </w:rPr>
              <w:t>2,0</w:t>
            </w:r>
          </w:p>
        </w:tc>
        <w:tc>
          <w:tcPr>
            <w:tcW w:w="1786" w:type="dxa"/>
            <w:shd w:val="clear" w:color="auto" w:fill="auto"/>
            <w:vAlign w:val="bottom"/>
          </w:tcPr>
          <w:p w:rsidR="008B539F" w:rsidRPr="0039165D" w:rsidRDefault="008B539F" w:rsidP="0039165D">
            <w:pPr>
              <w:suppressAutoHyphens w:val="0"/>
              <w:spacing w:before="40" w:after="40" w:line="220" w:lineRule="exact"/>
              <w:ind w:right="57"/>
              <w:jc w:val="right"/>
              <w:rPr>
                <w:b/>
                <w:sz w:val="18"/>
                <w:lang w:val="fr-FR"/>
              </w:rPr>
            </w:pPr>
            <w:r w:rsidRPr="0039165D">
              <w:rPr>
                <w:b/>
                <w:sz w:val="18"/>
                <w:lang w:val="fr-FR"/>
              </w:rPr>
              <w:t>61,1</w:t>
            </w:r>
          </w:p>
        </w:tc>
      </w:tr>
      <w:tr w:rsidR="0039165D" w:rsidRPr="0039165D" w:rsidTr="0039165D">
        <w:tc>
          <w:tcPr>
            <w:tcW w:w="1983" w:type="dxa"/>
            <w:shd w:val="clear" w:color="auto" w:fill="auto"/>
          </w:tcPr>
          <w:p w:rsidR="008B539F" w:rsidRPr="0039165D" w:rsidRDefault="008B539F" w:rsidP="0039165D">
            <w:pPr>
              <w:suppressAutoHyphens w:val="0"/>
              <w:spacing w:before="40" w:after="40" w:line="220" w:lineRule="exact"/>
              <w:rPr>
                <w:b/>
                <w:sz w:val="18"/>
                <w:lang w:val="fr-FR"/>
              </w:rPr>
            </w:pPr>
            <w:r w:rsidRPr="0039165D">
              <w:rPr>
                <w:b/>
                <w:sz w:val="18"/>
                <w:lang w:val="fr-FR"/>
              </w:rPr>
              <w:t>120</w:t>
            </w:r>
          </w:p>
        </w:tc>
        <w:tc>
          <w:tcPr>
            <w:tcW w:w="789" w:type="dxa"/>
            <w:shd w:val="clear" w:color="auto" w:fill="auto"/>
          </w:tcPr>
          <w:p w:rsidR="008B539F" w:rsidRPr="0039165D" w:rsidRDefault="008B539F" w:rsidP="0039165D">
            <w:pPr>
              <w:suppressAutoHyphens w:val="0"/>
              <w:spacing w:before="40" w:after="40" w:line="220" w:lineRule="exact"/>
              <w:rPr>
                <w:b/>
                <w:sz w:val="18"/>
                <w:lang w:val="fr-FR"/>
              </w:rPr>
            </w:pPr>
            <w:r w:rsidRPr="0039165D">
              <w:rPr>
                <w:b/>
                <w:sz w:val="18"/>
                <w:lang w:val="fr-FR"/>
              </w:rPr>
              <w:t>33,33</w:t>
            </w:r>
          </w:p>
        </w:tc>
        <w:tc>
          <w:tcPr>
            <w:tcW w:w="1679" w:type="dxa"/>
            <w:shd w:val="clear" w:color="auto" w:fill="auto"/>
            <w:vAlign w:val="bottom"/>
          </w:tcPr>
          <w:p w:rsidR="008B539F" w:rsidRPr="0039165D" w:rsidRDefault="008B539F" w:rsidP="0039165D">
            <w:pPr>
              <w:suppressAutoHyphens w:val="0"/>
              <w:spacing w:before="40" w:after="40" w:line="220" w:lineRule="exact"/>
              <w:ind w:right="57"/>
              <w:jc w:val="right"/>
              <w:rPr>
                <w:b/>
                <w:sz w:val="18"/>
                <w:lang w:val="fr-FR"/>
              </w:rPr>
            </w:pPr>
            <w:r w:rsidRPr="0039165D">
              <w:rPr>
                <w:b/>
                <w:sz w:val="18"/>
                <w:lang w:val="fr-FR"/>
              </w:rPr>
              <w:t>2,0</w:t>
            </w:r>
          </w:p>
        </w:tc>
        <w:tc>
          <w:tcPr>
            <w:tcW w:w="1786" w:type="dxa"/>
            <w:shd w:val="clear" w:color="auto" w:fill="auto"/>
            <w:vAlign w:val="bottom"/>
          </w:tcPr>
          <w:p w:rsidR="008B539F" w:rsidRPr="0039165D" w:rsidRDefault="008B539F" w:rsidP="0039165D">
            <w:pPr>
              <w:suppressAutoHyphens w:val="0"/>
              <w:spacing w:before="40" w:after="40" w:line="220" w:lineRule="exact"/>
              <w:ind w:right="57"/>
              <w:jc w:val="right"/>
              <w:rPr>
                <w:b/>
                <w:sz w:val="18"/>
                <w:lang w:val="fr-FR"/>
              </w:rPr>
            </w:pPr>
            <w:r w:rsidRPr="0039165D">
              <w:rPr>
                <w:b/>
                <w:sz w:val="18"/>
                <w:lang w:val="fr-FR"/>
              </w:rPr>
              <w:t>66,7</w:t>
            </w:r>
          </w:p>
        </w:tc>
      </w:tr>
      <w:tr w:rsidR="0039165D" w:rsidRPr="0039165D" w:rsidTr="0039165D">
        <w:tc>
          <w:tcPr>
            <w:tcW w:w="1983" w:type="dxa"/>
            <w:tcBorders>
              <w:bottom w:val="single" w:sz="12" w:space="0" w:color="auto"/>
            </w:tcBorders>
            <w:shd w:val="clear" w:color="auto" w:fill="auto"/>
          </w:tcPr>
          <w:p w:rsidR="008B539F" w:rsidRPr="0039165D" w:rsidRDefault="008B539F" w:rsidP="0039165D">
            <w:pPr>
              <w:suppressAutoHyphens w:val="0"/>
              <w:spacing w:before="40" w:after="40" w:line="220" w:lineRule="exact"/>
              <w:rPr>
                <w:b/>
                <w:sz w:val="18"/>
                <w:lang w:val="fr-FR"/>
              </w:rPr>
            </w:pPr>
            <w:r w:rsidRPr="0039165D">
              <w:rPr>
                <w:b/>
                <w:sz w:val="18"/>
                <w:lang w:val="fr-FR"/>
              </w:rPr>
              <w:t>130</w:t>
            </w:r>
          </w:p>
        </w:tc>
        <w:tc>
          <w:tcPr>
            <w:tcW w:w="789" w:type="dxa"/>
            <w:tcBorders>
              <w:bottom w:val="single" w:sz="12" w:space="0" w:color="auto"/>
            </w:tcBorders>
            <w:shd w:val="clear" w:color="auto" w:fill="auto"/>
          </w:tcPr>
          <w:p w:rsidR="008B539F" w:rsidRPr="0039165D" w:rsidRDefault="008B539F" w:rsidP="0039165D">
            <w:pPr>
              <w:suppressAutoHyphens w:val="0"/>
              <w:spacing w:before="40" w:after="40" w:line="220" w:lineRule="exact"/>
              <w:rPr>
                <w:b/>
                <w:sz w:val="18"/>
                <w:lang w:val="fr-FR"/>
              </w:rPr>
            </w:pPr>
            <w:r w:rsidRPr="0039165D">
              <w:rPr>
                <w:b/>
                <w:sz w:val="18"/>
                <w:lang w:val="fr-FR"/>
              </w:rPr>
              <w:t>36,11</w:t>
            </w:r>
          </w:p>
        </w:tc>
        <w:tc>
          <w:tcPr>
            <w:tcW w:w="1679" w:type="dxa"/>
            <w:tcBorders>
              <w:bottom w:val="single" w:sz="12" w:space="0" w:color="auto"/>
            </w:tcBorders>
            <w:shd w:val="clear" w:color="auto" w:fill="auto"/>
            <w:vAlign w:val="bottom"/>
          </w:tcPr>
          <w:p w:rsidR="008B539F" w:rsidRPr="0039165D" w:rsidRDefault="008B539F" w:rsidP="0039165D">
            <w:pPr>
              <w:suppressAutoHyphens w:val="0"/>
              <w:spacing w:before="40" w:after="40" w:line="220" w:lineRule="exact"/>
              <w:ind w:right="57"/>
              <w:jc w:val="right"/>
              <w:rPr>
                <w:b/>
                <w:sz w:val="18"/>
                <w:lang w:val="fr-FR"/>
              </w:rPr>
            </w:pPr>
            <w:r w:rsidRPr="0039165D">
              <w:rPr>
                <w:b/>
                <w:sz w:val="18"/>
                <w:lang w:val="fr-FR"/>
              </w:rPr>
              <w:t>2,0</w:t>
            </w:r>
          </w:p>
        </w:tc>
        <w:tc>
          <w:tcPr>
            <w:tcW w:w="1786" w:type="dxa"/>
            <w:tcBorders>
              <w:bottom w:val="single" w:sz="12" w:space="0" w:color="auto"/>
            </w:tcBorders>
            <w:shd w:val="clear" w:color="auto" w:fill="auto"/>
            <w:vAlign w:val="bottom"/>
          </w:tcPr>
          <w:p w:rsidR="008B539F" w:rsidRPr="0039165D" w:rsidRDefault="008B539F" w:rsidP="0039165D">
            <w:pPr>
              <w:suppressAutoHyphens w:val="0"/>
              <w:spacing w:before="40" w:after="40" w:line="220" w:lineRule="exact"/>
              <w:ind w:right="57"/>
              <w:jc w:val="right"/>
              <w:rPr>
                <w:b/>
                <w:sz w:val="18"/>
                <w:lang w:val="fr-FR"/>
              </w:rPr>
            </w:pPr>
            <w:r w:rsidRPr="0039165D">
              <w:rPr>
                <w:b/>
                <w:sz w:val="18"/>
                <w:lang w:val="fr-FR"/>
              </w:rPr>
              <w:t>72,2</w:t>
            </w:r>
          </w:p>
        </w:tc>
      </w:tr>
    </w:tbl>
    <w:p w:rsidR="008B539F" w:rsidRPr="008B539F" w:rsidRDefault="008B539F" w:rsidP="003C5E6D">
      <w:pPr>
        <w:pStyle w:val="SingleTxtG"/>
        <w:spacing w:before="120"/>
        <w:ind w:left="2268"/>
        <w:rPr>
          <w:lang w:val="fr-FR"/>
        </w:rPr>
      </w:pPr>
      <w:r w:rsidRPr="008B539F">
        <w:rPr>
          <w:lang w:val="fr-FR"/>
        </w:rPr>
        <w:t>Pour les vitesses non mentionnées dans le tableau, une interpolation linéaire est appliquée.</w:t>
      </w:r>
    </w:p>
    <w:p w:rsidR="008B539F" w:rsidRPr="008B539F" w:rsidRDefault="008B539F" w:rsidP="003C5E6D">
      <w:pPr>
        <w:pStyle w:val="SingleTxtG"/>
        <w:ind w:left="2268" w:hanging="1134"/>
        <w:rPr>
          <w:lang w:val="fr-FR"/>
        </w:rPr>
      </w:pPr>
      <w:r w:rsidRPr="008B539F">
        <w:rPr>
          <w:lang w:val="fr-FR"/>
        </w:rPr>
        <w:tab/>
        <w:t>Nonobstant le résultat de la formule ci-dessus, pour les vitesses réelles inférieures à 2</w:t>
      </w:r>
      <w:r w:rsidR="003C5E6D">
        <w:rPr>
          <w:lang w:val="fr-FR"/>
        </w:rPr>
        <w:t> </w:t>
      </w:r>
      <w:r w:rsidRPr="008B539F">
        <w:rPr>
          <w:lang w:val="fr-FR"/>
        </w:rPr>
        <w:t>m/s, la distance de sécurité ne doit jamais être inférieure à 2</w:t>
      </w:r>
      <w:r w:rsidR="003C5E6D">
        <w:rPr>
          <w:lang w:val="fr-FR"/>
        </w:rPr>
        <w:t> </w:t>
      </w:r>
      <w:r w:rsidRPr="008B539F">
        <w:rPr>
          <w:lang w:val="fr-FR"/>
        </w:rPr>
        <w:t>m.</w:t>
      </w:r>
    </w:p>
    <w:p w:rsidR="008B539F" w:rsidRPr="008B539F" w:rsidRDefault="008B539F" w:rsidP="003C5E6D">
      <w:pPr>
        <w:pStyle w:val="SingleTxtG"/>
        <w:ind w:left="2268" w:hanging="1134"/>
        <w:rPr>
          <w:b/>
          <w:lang w:val="fr-FR"/>
        </w:rPr>
      </w:pPr>
      <w:r w:rsidRPr="008B539F">
        <w:rPr>
          <w:b/>
          <w:lang w:val="fr-FR"/>
        </w:rPr>
        <w:tab/>
        <w:t>Les prescriptions du présent paragraphe sont sans préjudice des autres prescriptions du présent Règlement, et particulièrement des paragraphes</w:t>
      </w:r>
      <w:r w:rsidR="003C5E6D">
        <w:rPr>
          <w:b/>
          <w:lang w:val="fr-FR"/>
        </w:rPr>
        <w:t> </w:t>
      </w:r>
      <w:r w:rsidRPr="008B539F">
        <w:rPr>
          <w:b/>
          <w:lang w:val="fr-FR"/>
        </w:rPr>
        <w:t>5.2.4 et 5.2.5 et de leurs alinéas. </w:t>
      </w:r>
      <w:r w:rsidRPr="008B539F">
        <w:rPr>
          <w:lang w:val="fr-FR"/>
        </w:rPr>
        <w:t>».</w:t>
      </w:r>
    </w:p>
    <w:p w:rsidR="008B539F" w:rsidRPr="008B539F" w:rsidRDefault="008B539F" w:rsidP="008B539F">
      <w:pPr>
        <w:pStyle w:val="SingleTxtG"/>
        <w:rPr>
          <w:iCs/>
          <w:lang w:val="fr-FR"/>
        </w:rPr>
      </w:pPr>
      <w:r w:rsidRPr="008B539F">
        <w:rPr>
          <w:i/>
          <w:lang w:val="fr-FR"/>
        </w:rPr>
        <w:t>Paragraphe 5.2.5.3,</w:t>
      </w:r>
      <w:r w:rsidRPr="008B539F">
        <w:rPr>
          <w:iCs/>
          <w:lang w:val="fr-FR"/>
        </w:rPr>
        <w:t xml:space="preserve"> lire</w:t>
      </w:r>
      <w:r w:rsidR="003C5E6D">
        <w:rPr>
          <w:iCs/>
          <w:lang w:val="fr-FR"/>
        </w:rPr>
        <w:t> </w:t>
      </w:r>
      <w:r w:rsidRPr="008B539F">
        <w:rPr>
          <w:iCs/>
          <w:lang w:val="fr-FR"/>
        </w:rPr>
        <w:t>:</w:t>
      </w:r>
    </w:p>
    <w:p w:rsidR="008B539F" w:rsidRPr="008B539F" w:rsidRDefault="008B539F" w:rsidP="003C5E6D">
      <w:pPr>
        <w:pStyle w:val="SingleTxtG"/>
        <w:ind w:left="2268" w:hanging="1134"/>
        <w:rPr>
          <w:lang w:val="fr-FR"/>
        </w:rPr>
      </w:pPr>
      <w:r w:rsidRPr="008B539F">
        <w:rPr>
          <w:lang w:val="fr-FR"/>
        </w:rPr>
        <w:t>« 5.2.5.3</w:t>
      </w:r>
      <w:r w:rsidRPr="008B539F">
        <w:rPr>
          <w:lang w:val="fr-FR"/>
        </w:rPr>
        <w:tab/>
        <w:t>Lorsqu’il est activé, le système doit éviter une collision avec un piéton visible qui traverse devant le véhicule.</w:t>
      </w:r>
    </w:p>
    <w:p w:rsidR="008B539F" w:rsidRPr="008B539F" w:rsidRDefault="008B539F" w:rsidP="003C5E6D">
      <w:pPr>
        <w:pStyle w:val="SingleTxtG"/>
        <w:ind w:left="2268" w:hanging="1134"/>
        <w:rPr>
          <w:lang w:val="fr-FR"/>
        </w:rPr>
      </w:pPr>
      <w:r w:rsidRPr="008B539F">
        <w:rPr>
          <w:lang w:val="fr-FR"/>
        </w:rPr>
        <w:tab/>
        <w:t>Dans un scénario de traversée d’un piéton visible avec une composante de vitesse de déplacement latéral ne dépassant pas 5</w:t>
      </w:r>
      <w:r w:rsidR="00D27FCF">
        <w:rPr>
          <w:lang w:val="fr-FR"/>
        </w:rPr>
        <w:t> </w:t>
      </w:r>
      <w:r w:rsidRPr="008B539F">
        <w:rPr>
          <w:lang w:val="fr-FR"/>
        </w:rPr>
        <w:t>km/h et dans lequel le point d’impact prévu est décalé de 0,2</w:t>
      </w:r>
      <w:r w:rsidR="00D27FCF">
        <w:rPr>
          <w:lang w:val="fr-FR"/>
        </w:rPr>
        <w:t> </w:t>
      </w:r>
      <w:r w:rsidRPr="008B539F">
        <w:rPr>
          <w:lang w:val="fr-FR"/>
        </w:rPr>
        <w:t xml:space="preserve">m au maximum par rapport au plan central longitudinal du véhicule, l’ALKS, lorsqu’il est activé, doit éviter une collision jusqu’à </w:t>
      </w:r>
      <w:r w:rsidRPr="008B539F">
        <w:rPr>
          <w:strike/>
          <w:lang w:val="fr-FR"/>
        </w:rPr>
        <w:t>la vitesse maximale de fonctionnement du système</w:t>
      </w:r>
      <w:r w:rsidRPr="008B539F">
        <w:rPr>
          <w:lang w:val="fr-FR"/>
        </w:rPr>
        <w:t xml:space="preserve"> </w:t>
      </w:r>
      <w:r w:rsidRPr="008B539F">
        <w:rPr>
          <w:b/>
          <w:bCs/>
          <w:lang w:val="fr-FR"/>
        </w:rPr>
        <w:t>60</w:t>
      </w:r>
      <w:r w:rsidR="00970DE0">
        <w:rPr>
          <w:b/>
          <w:bCs/>
          <w:lang w:val="fr-FR"/>
        </w:rPr>
        <w:t> </w:t>
      </w:r>
      <w:r w:rsidRPr="008B539F">
        <w:rPr>
          <w:b/>
          <w:bCs/>
          <w:lang w:val="fr-FR"/>
        </w:rPr>
        <w:t>km/h</w:t>
      </w:r>
      <w:r w:rsidRPr="008B539F">
        <w:rPr>
          <w:lang w:val="fr-FR"/>
        </w:rPr>
        <w:t>. ».</w:t>
      </w:r>
    </w:p>
    <w:p w:rsidR="008B539F" w:rsidRPr="008B539F" w:rsidRDefault="008B539F" w:rsidP="008B539F">
      <w:pPr>
        <w:pStyle w:val="SingleTxtG"/>
        <w:rPr>
          <w:iCs/>
          <w:lang w:val="fr-FR"/>
        </w:rPr>
      </w:pPr>
      <w:r w:rsidRPr="008B539F">
        <w:rPr>
          <w:i/>
          <w:lang w:val="fr-FR"/>
        </w:rPr>
        <w:t xml:space="preserve">Paragraphe 5.4.2, </w:t>
      </w:r>
      <w:r w:rsidRPr="008B539F">
        <w:rPr>
          <w:iCs/>
          <w:lang w:val="fr-FR"/>
        </w:rPr>
        <w:t>lire :</w:t>
      </w:r>
    </w:p>
    <w:p w:rsidR="008B539F" w:rsidRPr="008B539F" w:rsidRDefault="008B539F" w:rsidP="00A91355">
      <w:pPr>
        <w:pStyle w:val="SingleTxtG"/>
        <w:ind w:left="2268" w:hanging="1134"/>
        <w:rPr>
          <w:b/>
          <w:lang w:val="fr-FR"/>
        </w:rPr>
      </w:pPr>
      <w:r w:rsidRPr="008B539F">
        <w:rPr>
          <w:lang w:val="fr-FR"/>
        </w:rPr>
        <w:t>« 5.4.2</w:t>
      </w:r>
      <w:r w:rsidRPr="008B539F">
        <w:rPr>
          <w:b/>
          <w:lang w:val="fr-FR"/>
        </w:rPr>
        <w:tab/>
      </w:r>
      <w:r w:rsidRPr="008B539F">
        <w:rPr>
          <w:lang w:val="fr-FR"/>
        </w:rPr>
        <w:t>Le lancement de la demande de transition doit être tel qu’un délai suffisant soit prévu pour une transition à la conduite manuelle en toute sécurité.</w:t>
      </w:r>
    </w:p>
    <w:p w:rsidR="008B539F" w:rsidRPr="008B539F" w:rsidRDefault="008B539F" w:rsidP="00A91355">
      <w:pPr>
        <w:pStyle w:val="SingleTxtG"/>
        <w:ind w:left="2268"/>
        <w:rPr>
          <w:b/>
          <w:lang w:val="fr-FR"/>
        </w:rPr>
      </w:pPr>
      <w:r w:rsidRPr="008B539F">
        <w:rPr>
          <w:b/>
          <w:lang w:val="fr-FR"/>
        </w:rPr>
        <w:t>Au cours de l’homologation de type, le constructeur doit déclarer que les ajustements opérés par le conducteur dans et sur le véhicule lorsque le système est activé (par exemple pour mener des activités non liées à la conduite) n’ont pas de conséquences négatives sur la reprise du contrôle en phase de conduite manuelle. </w:t>
      </w:r>
      <w:r w:rsidRPr="008B539F">
        <w:rPr>
          <w:lang w:val="fr-FR"/>
        </w:rPr>
        <w:t>».</w:t>
      </w:r>
    </w:p>
    <w:p w:rsidR="008B539F" w:rsidRPr="008B539F" w:rsidRDefault="008B539F" w:rsidP="008B539F">
      <w:pPr>
        <w:pStyle w:val="SingleTxtG"/>
        <w:rPr>
          <w:iCs/>
          <w:lang w:val="fr-FR"/>
        </w:rPr>
      </w:pPr>
      <w:r w:rsidRPr="008B539F">
        <w:rPr>
          <w:i/>
          <w:lang w:val="fr-FR"/>
        </w:rPr>
        <w:t>Paragraphe 7.1.1,</w:t>
      </w:r>
      <w:r w:rsidRPr="008B539F">
        <w:rPr>
          <w:iCs/>
          <w:lang w:val="fr-FR"/>
        </w:rPr>
        <w:t xml:space="preserve"> lire :</w:t>
      </w:r>
    </w:p>
    <w:p w:rsidR="008B539F" w:rsidRPr="008B539F" w:rsidRDefault="008B539F" w:rsidP="00970DE0">
      <w:pPr>
        <w:pStyle w:val="SingleTxtG"/>
        <w:ind w:left="2268" w:hanging="1134"/>
        <w:rPr>
          <w:lang w:val="fr-FR"/>
        </w:rPr>
      </w:pPr>
      <w:r w:rsidRPr="008B539F">
        <w:rPr>
          <w:lang w:val="fr-FR"/>
        </w:rPr>
        <w:t>« 7.1.1</w:t>
      </w:r>
      <w:r w:rsidRPr="008B539F">
        <w:rPr>
          <w:lang w:val="fr-FR"/>
        </w:rPr>
        <w:tab/>
        <w:t>Portée de détection avant</w:t>
      </w:r>
    </w:p>
    <w:p w:rsidR="008B539F" w:rsidRPr="008B539F" w:rsidRDefault="008B539F" w:rsidP="00970DE0">
      <w:pPr>
        <w:pStyle w:val="SingleTxtG"/>
        <w:ind w:left="2268"/>
        <w:rPr>
          <w:bCs/>
          <w:lang w:val="fr-FR"/>
        </w:rPr>
      </w:pPr>
      <w:r w:rsidRPr="008B539F">
        <w:rPr>
          <w:bCs/>
          <w:lang w:val="fr-FR"/>
        </w:rPr>
        <w:tab/>
        <w:t>Le constructeur doit déclarer la portée de détection vers l’avant, mesurée à partir du point le plus en avant du véhicule. Cette valeur déclarée doit être d’au moins 46</w:t>
      </w:r>
      <w:r w:rsidR="00970DE0">
        <w:rPr>
          <w:bCs/>
          <w:lang w:val="fr-FR"/>
        </w:rPr>
        <w:t> </w:t>
      </w:r>
      <w:r w:rsidRPr="008B539F">
        <w:rPr>
          <w:bCs/>
          <w:lang w:val="fr-FR"/>
        </w:rPr>
        <w:t xml:space="preserve">m </w:t>
      </w:r>
      <w:r w:rsidRPr="008B539F">
        <w:rPr>
          <w:b/>
          <w:lang w:val="fr-FR"/>
        </w:rPr>
        <w:t>pour une vitesse maximale indiquée de 60</w:t>
      </w:r>
      <w:r w:rsidR="00970DE0">
        <w:rPr>
          <w:b/>
          <w:lang w:val="fr-FR"/>
        </w:rPr>
        <w:t> </w:t>
      </w:r>
      <w:r w:rsidRPr="008B539F">
        <w:rPr>
          <w:b/>
          <w:lang w:val="fr-FR"/>
        </w:rPr>
        <w:t>km/h</w:t>
      </w:r>
      <w:r w:rsidRPr="008B539F">
        <w:rPr>
          <w:bCs/>
          <w:lang w:val="fr-FR"/>
        </w:rPr>
        <w:t>.</w:t>
      </w:r>
    </w:p>
    <w:p w:rsidR="008B539F" w:rsidRPr="008B539F" w:rsidRDefault="008B539F" w:rsidP="00970DE0">
      <w:pPr>
        <w:pStyle w:val="SingleTxtG"/>
        <w:ind w:left="2268"/>
        <w:rPr>
          <w:b/>
          <w:bCs/>
          <w:lang w:val="fr-FR"/>
        </w:rPr>
      </w:pPr>
      <w:bookmarkStart w:id="0" w:name="_Hlk25843721"/>
      <w:r w:rsidRPr="008B539F">
        <w:rPr>
          <w:b/>
          <w:bCs/>
          <w:lang w:val="fr-FR"/>
        </w:rPr>
        <w:t>Le constructeur ne doit déclarer une vitesse maximale indiquée supérieure à 60</w:t>
      </w:r>
      <w:r w:rsidR="00970DE0">
        <w:rPr>
          <w:b/>
          <w:bCs/>
          <w:lang w:val="fr-FR"/>
        </w:rPr>
        <w:t> </w:t>
      </w:r>
      <w:r w:rsidRPr="008B539F">
        <w:rPr>
          <w:b/>
          <w:bCs/>
          <w:lang w:val="fr-FR"/>
        </w:rPr>
        <w:t xml:space="preserve">km/h que si la portée de détection avant déclarée atteint la valeur minimale correspondante spécifiée dans le tableau suivant : </w:t>
      </w:r>
    </w:p>
    <w:tbl>
      <w:tblPr>
        <w:tblW w:w="6237" w:type="dxa"/>
        <w:tblInd w:w="2353" w:type="dxa"/>
        <w:tblLayout w:type="fixed"/>
        <w:tblCellMar>
          <w:left w:w="0" w:type="dxa"/>
          <w:right w:w="0" w:type="dxa"/>
        </w:tblCellMar>
        <w:tblLook w:val="04A0" w:firstRow="1" w:lastRow="0" w:firstColumn="1" w:lastColumn="0" w:noHBand="0" w:noVBand="1"/>
      </w:tblPr>
      <w:tblGrid>
        <w:gridCol w:w="3695"/>
        <w:gridCol w:w="2542"/>
      </w:tblGrid>
      <w:tr w:rsidR="00970DE0" w:rsidRPr="00970DE0" w:rsidTr="006B51B1">
        <w:trPr>
          <w:tblHeader/>
        </w:trPr>
        <w:tc>
          <w:tcPr>
            <w:tcW w:w="3695" w:type="dxa"/>
            <w:tcBorders>
              <w:top w:val="single" w:sz="4" w:space="0" w:color="auto"/>
              <w:bottom w:val="single" w:sz="12" w:space="0" w:color="auto"/>
            </w:tcBorders>
            <w:shd w:val="clear" w:color="auto" w:fill="auto"/>
            <w:tcMar>
              <w:top w:w="0" w:type="dxa"/>
              <w:left w:w="85" w:type="dxa"/>
              <w:bottom w:w="0" w:type="dxa"/>
              <w:right w:w="85" w:type="dxa"/>
            </w:tcMar>
            <w:vAlign w:val="bottom"/>
            <w:hideMark/>
          </w:tcPr>
          <w:p w:rsidR="008B539F" w:rsidRPr="00970DE0" w:rsidRDefault="008B539F" w:rsidP="00970DE0">
            <w:pPr>
              <w:suppressAutoHyphens w:val="0"/>
              <w:spacing w:before="80" w:after="80" w:line="200" w:lineRule="exact"/>
              <w:rPr>
                <w:i/>
                <w:sz w:val="16"/>
                <w:lang w:val="fr-FR"/>
              </w:rPr>
            </w:pPr>
            <w:r w:rsidRPr="00970DE0">
              <w:rPr>
                <w:i/>
                <w:sz w:val="16"/>
                <w:lang w:val="fr-FR"/>
              </w:rPr>
              <w:t>Vitesse maximale indiquée</w:t>
            </w:r>
          </w:p>
          <w:p w:rsidR="008B539F" w:rsidRPr="00970DE0" w:rsidRDefault="008B539F" w:rsidP="00970DE0">
            <w:pPr>
              <w:suppressAutoHyphens w:val="0"/>
              <w:spacing w:before="80" w:after="80" w:line="200" w:lineRule="exact"/>
              <w:rPr>
                <w:i/>
                <w:sz w:val="16"/>
                <w:lang w:val="fr-FR"/>
              </w:rPr>
            </w:pPr>
            <w:r w:rsidRPr="00970DE0">
              <w:rPr>
                <w:i/>
                <w:sz w:val="16"/>
                <w:lang w:val="fr-FR"/>
              </w:rPr>
              <w:t>(km/h)</w:t>
            </w:r>
          </w:p>
        </w:tc>
        <w:tc>
          <w:tcPr>
            <w:tcW w:w="2542" w:type="dxa"/>
            <w:tcBorders>
              <w:top w:val="single" w:sz="4" w:space="0" w:color="auto"/>
              <w:bottom w:val="single" w:sz="12" w:space="0" w:color="auto"/>
            </w:tcBorders>
            <w:shd w:val="clear" w:color="auto" w:fill="auto"/>
            <w:tcMar>
              <w:top w:w="0" w:type="dxa"/>
              <w:left w:w="85" w:type="dxa"/>
              <w:bottom w:w="0" w:type="dxa"/>
              <w:right w:w="85" w:type="dxa"/>
            </w:tcMar>
            <w:vAlign w:val="bottom"/>
            <w:hideMark/>
          </w:tcPr>
          <w:p w:rsidR="008B539F" w:rsidRPr="00970DE0" w:rsidRDefault="008B539F" w:rsidP="00970DE0">
            <w:pPr>
              <w:suppressAutoHyphens w:val="0"/>
              <w:spacing w:before="80" w:after="80" w:line="200" w:lineRule="exact"/>
              <w:jc w:val="right"/>
              <w:rPr>
                <w:i/>
                <w:sz w:val="16"/>
                <w:lang w:val="fr-FR"/>
              </w:rPr>
            </w:pPr>
            <w:r w:rsidRPr="00970DE0">
              <w:rPr>
                <w:i/>
                <w:sz w:val="16"/>
                <w:lang w:val="fr-FR"/>
              </w:rPr>
              <w:t>Portée de détection avant minimale</w:t>
            </w:r>
          </w:p>
          <w:p w:rsidR="008B539F" w:rsidRPr="00970DE0" w:rsidRDefault="008B539F" w:rsidP="00970DE0">
            <w:pPr>
              <w:suppressAutoHyphens w:val="0"/>
              <w:spacing w:before="80" w:after="80" w:line="200" w:lineRule="exact"/>
              <w:jc w:val="right"/>
              <w:rPr>
                <w:i/>
                <w:sz w:val="16"/>
                <w:lang w:val="fr-FR"/>
              </w:rPr>
            </w:pPr>
            <w:r w:rsidRPr="00970DE0">
              <w:rPr>
                <w:i/>
                <w:sz w:val="16"/>
                <w:lang w:val="fr-FR"/>
              </w:rPr>
              <w:t>(m)</w:t>
            </w:r>
          </w:p>
        </w:tc>
      </w:tr>
      <w:tr w:rsidR="006B51B1" w:rsidRPr="00970DE0" w:rsidTr="006B51B1">
        <w:tc>
          <w:tcPr>
            <w:tcW w:w="3695" w:type="dxa"/>
            <w:shd w:val="clear" w:color="auto" w:fill="auto"/>
            <w:tcMar>
              <w:top w:w="0" w:type="dxa"/>
              <w:left w:w="85" w:type="dxa"/>
              <w:bottom w:w="0" w:type="dxa"/>
              <w:right w:w="85" w:type="dxa"/>
            </w:tcMar>
            <w:hideMark/>
          </w:tcPr>
          <w:p w:rsidR="008B539F" w:rsidRPr="00970DE0" w:rsidRDefault="008B539F" w:rsidP="006B51B1">
            <w:pPr>
              <w:suppressAutoHyphens w:val="0"/>
              <w:spacing w:before="40" w:after="40" w:line="220" w:lineRule="exact"/>
              <w:ind w:left="1"/>
              <w:rPr>
                <w:b/>
                <w:sz w:val="18"/>
                <w:lang w:val="fr-FR"/>
              </w:rPr>
            </w:pPr>
            <w:r w:rsidRPr="00970DE0">
              <w:rPr>
                <w:b/>
                <w:sz w:val="18"/>
                <w:lang w:val="fr-FR"/>
              </w:rPr>
              <w:t>0…60</w:t>
            </w:r>
          </w:p>
        </w:tc>
        <w:tc>
          <w:tcPr>
            <w:tcW w:w="2542" w:type="dxa"/>
            <w:shd w:val="clear" w:color="auto" w:fill="auto"/>
            <w:tcMar>
              <w:top w:w="0" w:type="dxa"/>
              <w:left w:w="85" w:type="dxa"/>
              <w:bottom w:w="0" w:type="dxa"/>
              <w:right w:w="85" w:type="dxa"/>
            </w:tcMar>
            <w:vAlign w:val="bottom"/>
            <w:hideMark/>
          </w:tcPr>
          <w:p w:rsidR="008B539F" w:rsidRPr="00970DE0" w:rsidRDefault="008B539F" w:rsidP="00970DE0">
            <w:pPr>
              <w:suppressAutoHyphens w:val="0"/>
              <w:spacing w:before="40" w:after="40" w:line="220" w:lineRule="exact"/>
              <w:jc w:val="right"/>
              <w:rPr>
                <w:b/>
                <w:sz w:val="18"/>
                <w:lang w:val="fr-FR"/>
              </w:rPr>
            </w:pPr>
            <w:r w:rsidRPr="00970DE0">
              <w:rPr>
                <w:b/>
                <w:sz w:val="18"/>
                <w:lang w:val="fr-FR"/>
              </w:rPr>
              <w:t>46</w:t>
            </w:r>
          </w:p>
        </w:tc>
      </w:tr>
      <w:tr w:rsidR="006B51B1" w:rsidRPr="00970DE0" w:rsidTr="006B51B1">
        <w:tc>
          <w:tcPr>
            <w:tcW w:w="3695" w:type="dxa"/>
            <w:shd w:val="clear" w:color="auto" w:fill="auto"/>
            <w:tcMar>
              <w:top w:w="0" w:type="dxa"/>
              <w:left w:w="85" w:type="dxa"/>
              <w:bottom w:w="0" w:type="dxa"/>
              <w:right w:w="85" w:type="dxa"/>
            </w:tcMar>
            <w:hideMark/>
          </w:tcPr>
          <w:p w:rsidR="008B539F" w:rsidRPr="00970DE0" w:rsidRDefault="008B539F" w:rsidP="00970DE0">
            <w:pPr>
              <w:suppressAutoHyphens w:val="0"/>
              <w:spacing w:before="40" w:after="40" w:line="220" w:lineRule="exact"/>
              <w:rPr>
                <w:b/>
                <w:sz w:val="18"/>
                <w:lang w:val="fr-FR"/>
              </w:rPr>
            </w:pPr>
            <w:r w:rsidRPr="00970DE0">
              <w:rPr>
                <w:b/>
                <w:sz w:val="18"/>
                <w:lang w:val="fr-FR"/>
              </w:rPr>
              <w:t>70</w:t>
            </w:r>
          </w:p>
        </w:tc>
        <w:tc>
          <w:tcPr>
            <w:tcW w:w="2542" w:type="dxa"/>
            <w:shd w:val="clear" w:color="auto" w:fill="auto"/>
            <w:tcMar>
              <w:top w:w="0" w:type="dxa"/>
              <w:left w:w="85" w:type="dxa"/>
              <w:bottom w:w="0" w:type="dxa"/>
              <w:right w:w="85" w:type="dxa"/>
            </w:tcMar>
            <w:vAlign w:val="bottom"/>
            <w:hideMark/>
          </w:tcPr>
          <w:p w:rsidR="008B539F" w:rsidRPr="00970DE0" w:rsidRDefault="008B539F" w:rsidP="00970DE0">
            <w:pPr>
              <w:suppressAutoHyphens w:val="0"/>
              <w:spacing w:before="40" w:after="40" w:line="220" w:lineRule="exact"/>
              <w:jc w:val="right"/>
              <w:rPr>
                <w:b/>
                <w:sz w:val="18"/>
                <w:lang w:val="fr-FR"/>
              </w:rPr>
            </w:pPr>
            <w:r w:rsidRPr="00970DE0">
              <w:rPr>
                <w:b/>
                <w:sz w:val="18"/>
                <w:lang w:val="fr-FR"/>
              </w:rPr>
              <w:t>50</w:t>
            </w:r>
          </w:p>
        </w:tc>
      </w:tr>
      <w:tr w:rsidR="006B51B1" w:rsidRPr="00970DE0" w:rsidTr="006B51B1">
        <w:tc>
          <w:tcPr>
            <w:tcW w:w="3695" w:type="dxa"/>
            <w:shd w:val="clear" w:color="auto" w:fill="auto"/>
            <w:tcMar>
              <w:top w:w="0" w:type="dxa"/>
              <w:left w:w="85" w:type="dxa"/>
              <w:bottom w:w="0" w:type="dxa"/>
              <w:right w:w="85" w:type="dxa"/>
            </w:tcMar>
            <w:hideMark/>
          </w:tcPr>
          <w:p w:rsidR="008B539F" w:rsidRPr="00970DE0" w:rsidRDefault="008B539F" w:rsidP="00970DE0">
            <w:pPr>
              <w:suppressAutoHyphens w:val="0"/>
              <w:spacing w:before="40" w:after="40" w:line="220" w:lineRule="exact"/>
              <w:rPr>
                <w:b/>
                <w:sz w:val="18"/>
                <w:lang w:val="fr-FR"/>
              </w:rPr>
            </w:pPr>
            <w:r w:rsidRPr="00970DE0">
              <w:rPr>
                <w:b/>
                <w:sz w:val="18"/>
                <w:lang w:val="fr-FR"/>
              </w:rPr>
              <w:t>80</w:t>
            </w:r>
          </w:p>
        </w:tc>
        <w:tc>
          <w:tcPr>
            <w:tcW w:w="2542" w:type="dxa"/>
            <w:shd w:val="clear" w:color="auto" w:fill="auto"/>
            <w:tcMar>
              <w:top w:w="0" w:type="dxa"/>
              <w:left w:w="85" w:type="dxa"/>
              <w:bottom w:w="0" w:type="dxa"/>
              <w:right w:w="85" w:type="dxa"/>
            </w:tcMar>
            <w:vAlign w:val="bottom"/>
            <w:hideMark/>
          </w:tcPr>
          <w:p w:rsidR="008B539F" w:rsidRPr="00970DE0" w:rsidRDefault="008B539F" w:rsidP="00970DE0">
            <w:pPr>
              <w:suppressAutoHyphens w:val="0"/>
              <w:spacing w:before="40" w:after="40" w:line="220" w:lineRule="exact"/>
              <w:jc w:val="right"/>
              <w:rPr>
                <w:b/>
                <w:sz w:val="18"/>
                <w:lang w:val="fr-FR"/>
              </w:rPr>
            </w:pPr>
            <w:r w:rsidRPr="00970DE0">
              <w:rPr>
                <w:b/>
                <w:sz w:val="18"/>
                <w:lang w:val="fr-FR"/>
              </w:rPr>
              <w:t>60</w:t>
            </w:r>
          </w:p>
        </w:tc>
      </w:tr>
      <w:tr w:rsidR="006B51B1" w:rsidRPr="00970DE0" w:rsidTr="006B51B1">
        <w:tc>
          <w:tcPr>
            <w:tcW w:w="3695" w:type="dxa"/>
            <w:shd w:val="clear" w:color="auto" w:fill="auto"/>
            <w:tcMar>
              <w:top w:w="0" w:type="dxa"/>
              <w:left w:w="85" w:type="dxa"/>
              <w:bottom w:w="0" w:type="dxa"/>
              <w:right w:w="85" w:type="dxa"/>
            </w:tcMar>
            <w:hideMark/>
          </w:tcPr>
          <w:p w:rsidR="008B539F" w:rsidRPr="00970DE0" w:rsidRDefault="008B539F" w:rsidP="00970DE0">
            <w:pPr>
              <w:suppressAutoHyphens w:val="0"/>
              <w:spacing w:before="40" w:after="40" w:line="220" w:lineRule="exact"/>
              <w:rPr>
                <w:b/>
                <w:sz w:val="18"/>
                <w:lang w:val="fr-FR"/>
              </w:rPr>
            </w:pPr>
            <w:r w:rsidRPr="00970DE0">
              <w:rPr>
                <w:b/>
                <w:sz w:val="18"/>
                <w:lang w:val="fr-FR"/>
              </w:rPr>
              <w:t>90</w:t>
            </w:r>
          </w:p>
        </w:tc>
        <w:tc>
          <w:tcPr>
            <w:tcW w:w="2542" w:type="dxa"/>
            <w:shd w:val="clear" w:color="auto" w:fill="auto"/>
            <w:tcMar>
              <w:top w:w="0" w:type="dxa"/>
              <w:left w:w="85" w:type="dxa"/>
              <w:bottom w:w="0" w:type="dxa"/>
              <w:right w:w="85" w:type="dxa"/>
            </w:tcMar>
            <w:vAlign w:val="bottom"/>
            <w:hideMark/>
          </w:tcPr>
          <w:p w:rsidR="008B539F" w:rsidRPr="00970DE0" w:rsidRDefault="008B539F" w:rsidP="00970DE0">
            <w:pPr>
              <w:suppressAutoHyphens w:val="0"/>
              <w:spacing w:before="40" w:after="40" w:line="220" w:lineRule="exact"/>
              <w:jc w:val="right"/>
              <w:rPr>
                <w:b/>
                <w:sz w:val="18"/>
                <w:lang w:val="fr-FR"/>
              </w:rPr>
            </w:pPr>
            <w:r w:rsidRPr="00970DE0">
              <w:rPr>
                <w:b/>
                <w:sz w:val="18"/>
                <w:lang w:val="fr-FR"/>
              </w:rPr>
              <w:t>75</w:t>
            </w:r>
          </w:p>
        </w:tc>
      </w:tr>
      <w:tr w:rsidR="006B51B1" w:rsidRPr="00970DE0" w:rsidTr="006B51B1">
        <w:tc>
          <w:tcPr>
            <w:tcW w:w="3695" w:type="dxa"/>
            <w:shd w:val="clear" w:color="auto" w:fill="auto"/>
            <w:tcMar>
              <w:top w:w="0" w:type="dxa"/>
              <w:left w:w="85" w:type="dxa"/>
              <w:bottom w:w="0" w:type="dxa"/>
              <w:right w:w="85" w:type="dxa"/>
            </w:tcMar>
            <w:hideMark/>
          </w:tcPr>
          <w:p w:rsidR="008B539F" w:rsidRPr="00970DE0" w:rsidRDefault="008B539F" w:rsidP="00970DE0">
            <w:pPr>
              <w:suppressAutoHyphens w:val="0"/>
              <w:spacing w:before="40" w:after="40" w:line="220" w:lineRule="exact"/>
              <w:rPr>
                <w:b/>
                <w:sz w:val="18"/>
                <w:lang w:val="fr-FR"/>
              </w:rPr>
            </w:pPr>
            <w:r w:rsidRPr="00970DE0">
              <w:rPr>
                <w:b/>
                <w:sz w:val="18"/>
                <w:lang w:val="fr-FR"/>
              </w:rPr>
              <w:lastRenderedPageBreak/>
              <w:t>100</w:t>
            </w:r>
          </w:p>
        </w:tc>
        <w:tc>
          <w:tcPr>
            <w:tcW w:w="2542" w:type="dxa"/>
            <w:shd w:val="clear" w:color="auto" w:fill="auto"/>
            <w:tcMar>
              <w:top w:w="0" w:type="dxa"/>
              <w:left w:w="85" w:type="dxa"/>
              <w:bottom w:w="0" w:type="dxa"/>
              <w:right w:w="85" w:type="dxa"/>
            </w:tcMar>
            <w:vAlign w:val="bottom"/>
            <w:hideMark/>
          </w:tcPr>
          <w:p w:rsidR="008B539F" w:rsidRPr="00970DE0" w:rsidRDefault="008B539F" w:rsidP="00970DE0">
            <w:pPr>
              <w:suppressAutoHyphens w:val="0"/>
              <w:spacing w:before="40" w:after="40" w:line="220" w:lineRule="exact"/>
              <w:jc w:val="right"/>
              <w:rPr>
                <w:b/>
                <w:sz w:val="18"/>
                <w:lang w:val="fr-FR"/>
              </w:rPr>
            </w:pPr>
            <w:r w:rsidRPr="00970DE0">
              <w:rPr>
                <w:b/>
                <w:sz w:val="18"/>
                <w:lang w:val="fr-FR"/>
              </w:rPr>
              <w:t>90</w:t>
            </w:r>
          </w:p>
        </w:tc>
      </w:tr>
      <w:tr w:rsidR="006B51B1" w:rsidRPr="00970DE0" w:rsidTr="006B51B1">
        <w:tc>
          <w:tcPr>
            <w:tcW w:w="3695" w:type="dxa"/>
            <w:shd w:val="clear" w:color="auto" w:fill="auto"/>
            <w:tcMar>
              <w:top w:w="0" w:type="dxa"/>
              <w:left w:w="85" w:type="dxa"/>
              <w:bottom w:w="0" w:type="dxa"/>
              <w:right w:w="85" w:type="dxa"/>
            </w:tcMar>
            <w:hideMark/>
          </w:tcPr>
          <w:p w:rsidR="008B539F" w:rsidRPr="00970DE0" w:rsidRDefault="008B539F" w:rsidP="00970DE0">
            <w:pPr>
              <w:suppressAutoHyphens w:val="0"/>
              <w:spacing w:before="40" w:after="40" w:line="220" w:lineRule="exact"/>
              <w:rPr>
                <w:b/>
                <w:sz w:val="18"/>
                <w:lang w:val="fr-FR"/>
              </w:rPr>
            </w:pPr>
            <w:r w:rsidRPr="00970DE0">
              <w:rPr>
                <w:b/>
                <w:sz w:val="18"/>
                <w:lang w:val="fr-FR"/>
              </w:rPr>
              <w:t>110</w:t>
            </w:r>
          </w:p>
        </w:tc>
        <w:tc>
          <w:tcPr>
            <w:tcW w:w="2542" w:type="dxa"/>
            <w:shd w:val="clear" w:color="auto" w:fill="auto"/>
            <w:tcMar>
              <w:top w:w="0" w:type="dxa"/>
              <w:left w:w="85" w:type="dxa"/>
              <w:bottom w:w="0" w:type="dxa"/>
              <w:right w:w="85" w:type="dxa"/>
            </w:tcMar>
            <w:vAlign w:val="bottom"/>
            <w:hideMark/>
          </w:tcPr>
          <w:p w:rsidR="008B539F" w:rsidRPr="00970DE0" w:rsidRDefault="008B539F" w:rsidP="00970DE0">
            <w:pPr>
              <w:suppressAutoHyphens w:val="0"/>
              <w:spacing w:before="40" w:after="40" w:line="220" w:lineRule="exact"/>
              <w:jc w:val="right"/>
              <w:rPr>
                <w:b/>
                <w:sz w:val="18"/>
                <w:lang w:val="fr-FR"/>
              </w:rPr>
            </w:pPr>
            <w:r w:rsidRPr="00970DE0">
              <w:rPr>
                <w:b/>
                <w:sz w:val="18"/>
                <w:lang w:val="fr-FR"/>
              </w:rPr>
              <w:t>110</w:t>
            </w:r>
          </w:p>
        </w:tc>
      </w:tr>
      <w:tr w:rsidR="006B51B1" w:rsidRPr="00970DE0" w:rsidTr="006B51B1">
        <w:tc>
          <w:tcPr>
            <w:tcW w:w="3695" w:type="dxa"/>
            <w:shd w:val="clear" w:color="auto" w:fill="auto"/>
            <w:tcMar>
              <w:top w:w="0" w:type="dxa"/>
              <w:left w:w="85" w:type="dxa"/>
              <w:bottom w:w="0" w:type="dxa"/>
              <w:right w:w="85" w:type="dxa"/>
            </w:tcMar>
            <w:hideMark/>
          </w:tcPr>
          <w:p w:rsidR="008B539F" w:rsidRPr="00970DE0" w:rsidRDefault="008B539F" w:rsidP="00970DE0">
            <w:pPr>
              <w:suppressAutoHyphens w:val="0"/>
              <w:spacing w:before="40" w:after="40" w:line="220" w:lineRule="exact"/>
              <w:rPr>
                <w:b/>
                <w:sz w:val="18"/>
                <w:lang w:val="fr-FR"/>
              </w:rPr>
            </w:pPr>
            <w:r w:rsidRPr="00970DE0">
              <w:rPr>
                <w:b/>
                <w:sz w:val="18"/>
                <w:lang w:val="fr-FR"/>
              </w:rPr>
              <w:t>120</w:t>
            </w:r>
          </w:p>
        </w:tc>
        <w:tc>
          <w:tcPr>
            <w:tcW w:w="2542" w:type="dxa"/>
            <w:shd w:val="clear" w:color="auto" w:fill="auto"/>
            <w:tcMar>
              <w:top w:w="0" w:type="dxa"/>
              <w:left w:w="85" w:type="dxa"/>
              <w:bottom w:w="0" w:type="dxa"/>
              <w:right w:w="85" w:type="dxa"/>
            </w:tcMar>
            <w:vAlign w:val="bottom"/>
            <w:hideMark/>
          </w:tcPr>
          <w:p w:rsidR="008B539F" w:rsidRPr="00970DE0" w:rsidRDefault="008B539F" w:rsidP="00970DE0">
            <w:pPr>
              <w:suppressAutoHyphens w:val="0"/>
              <w:spacing w:before="40" w:after="40" w:line="220" w:lineRule="exact"/>
              <w:jc w:val="right"/>
              <w:rPr>
                <w:b/>
                <w:sz w:val="18"/>
                <w:lang w:val="fr-FR"/>
              </w:rPr>
            </w:pPr>
            <w:r w:rsidRPr="00970DE0">
              <w:rPr>
                <w:b/>
                <w:sz w:val="18"/>
                <w:lang w:val="fr-FR"/>
              </w:rPr>
              <w:t>130</w:t>
            </w:r>
          </w:p>
        </w:tc>
      </w:tr>
      <w:tr w:rsidR="00970DE0" w:rsidRPr="00970DE0" w:rsidTr="006B51B1">
        <w:trPr>
          <w:cantSplit/>
        </w:trPr>
        <w:tc>
          <w:tcPr>
            <w:tcW w:w="3695" w:type="dxa"/>
            <w:tcBorders>
              <w:bottom w:val="single" w:sz="12" w:space="0" w:color="auto"/>
            </w:tcBorders>
            <w:shd w:val="clear" w:color="auto" w:fill="auto"/>
            <w:tcMar>
              <w:top w:w="0" w:type="dxa"/>
              <w:left w:w="85" w:type="dxa"/>
              <w:bottom w:w="0" w:type="dxa"/>
              <w:right w:w="85" w:type="dxa"/>
            </w:tcMar>
            <w:hideMark/>
          </w:tcPr>
          <w:p w:rsidR="008B539F" w:rsidRPr="00970DE0" w:rsidRDefault="008B539F" w:rsidP="00970DE0">
            <w:pPr>
              <w:suppressAutoHyphens w:val="0"/>
              <w:spacing w:before="40" w:after="40" w:line="220" w:lineRule="exact"/>
              <w:rPr>
                <w:b/>
                <w:sz w:val="18"/>
                <w:lang w:val="fr-FR"/>
              </w:rPr>
            </w:pPr>
            <w:r w:rsidRPr="00970DE0">
              <w:rPr>
                <w:b/>
                <w:sz w:val="18"/>
                <w:lang w:val="fr-FR"/>
              </w:rPr>
              <w:t>130</w:t>
            </w:r>
          </w:p>
        </w:tc>
        <w:tc>
          <w:tcPr>
            <w:tcW w:w="2542" w:type="dxa"/>
            <w:tcBorders>
              <w:bottom w:val="single" w:sz="12" w:space="0" w:color="auto"/>
            </w:tcBorders>
            <w:shd w:val="clear" w:color="auto" w:fill="auto"/>
            <w:tcMar>
              <w:top w:w="0" w:type="dxa"/>
              <w:left w:w="85" w:type="dxa"/>
              <w:bottom w:w="0" w:type="dxa"/>
              <w:right w:w="85" w:type="dxa"/>
            </w:tcMar>
            <w:vAlign w:val="bottom"/>
            <w:hideMark/>
          </w:tcPr>
          <w:p w:rsidR="008B539F" w:rsidRPr="00970DE0" w:rsidRDefault="008B539F" w:rsidP="00970DE0">
            <w:pPr>
              <w:suppressAutoHyphens w:val="0"/>
              <w:spacing w:before="40" w:after="40" w:line="220" w:lineRule="exact"/>
              <w:jc w:val="right"/>
              <w:rPr>
                <w:b/>
                <w:sz w:val="18"/>
                <w:lang w:val="fr-FR"/>
              </w:rPr>
            </w:pPr>
            <w:r w:rsidRPr="00970DE0">
              <w:rPr>
                <w:b/>
                <w:sz w:val="18"/>
                <w:lang w:val="fr-FR"/>
              </w:rPr>
              <w:t>150</w:t>
            </w:r>
          </w:p>
        </w:tc>
      </w:tr>
    </w:tbl>
    <w:p w:rsidR="008B539F" w:rsidRPr="008B539F" w:rsidRDefault="008B539F" w:rsidP="003B4DF3">
      <w:pPr>
        <w:pStyle w:val="SingleTxtG"/>
        <w:spacing w:before="120"/>
        <w:ind w:left="2268"/>
        <w:rPr>
          <w:b/>
          <w:bCs/>
          <w:lang w:val="fr-FR"/>
        </w:rPr>
      </w:pPr>
      <w:r w:rsidRPr="008B539F">
        <w:rPr>
          <w:b/>
          <w:bCs/>
          <w:lang w:val="fr-FR"/>
        </w:rPr>
        <w:t>Pour les valeurs non mentionnées dans le tableau, une interpolation linéaire est appliquée.</w:t>
      </w:r>
    </w:p>
    <w:p w:rsidR="008B539F" w:rsidRPr="008B539F" w:rsidRDefault="008B539F" w:rsidP="00606419">
      <w:pPr>
        <w:pStyle w:val="SingleTxtG"/>
        <w:ind w:left="2268"/>
        <w:rPr>
          <w:b/>
          <w:bCs/>
          <w:lang w:val="fr-FR"/>
        </w:rPr>
      </w:pPr>
      <w:r w:rsidRPr="008B539F">
        <w:rPr>
          <w:b/>
          <w:bCs/>
          <w:lang w:val="fr-FR"/>
        </w:rPr>
        <w:t xml:space="preserve">Il est admis que la portée de détection avant minimale ne peut pas être obtenue dans toutes les conditions. Toutefois, le système doit mettre en œuvre des stratégies adéquates en vue d’assurer un fonctionnement en toute sécurité à tout moment. </w:t>
      </w:r>
    </w:p>
    <w:bookmarkEnd w:id="0"/>
    <w:p w:rsidR="008B539F" w:rsidRPr="008B539F" w:rsidRDefault="008B539F" w:rsidP="00606419">
      <w:pPr>
        <w:pStyle w:val="SingleTxtG"/>
        <w:ind w:left="2268"/>
        <w:rPr>
          <w:lang w:val="fr-FR"/>
        </w:rPr>
      </w:pPr>
      <w:r w:rsidRPr="008B539F">
        <w:rPr>
          <w:lang w:val="fr-FR"/>
        </w:rPr>
        <w:t>Le service technique vérifie que la distance à laquelle le système de détection du véhicule détecte un usager de la route lors de l’essai pertinent décrit à l’annexe</w:t>
      </w:r>
      <w:r w:rsidR="003B4DF3">
        <w:rPr>
          <w:lang w:val="fr-FR"/>
        </w:rPr>
        <w:t> </w:t>
      </w:r>
      <w:bookmarkStart w:id="1" w:name="_GoBack"/>
      <w:bookmarkEnd w:id="1"/>
      <w:r w:rsidRPr="008B539F">
        <w:rPr>
          <w:lang w:val="fr-FR"/>
        </w:rPr>
        <w:t>5 est égale ou supérieure à la valeur déclarée.</w:t>
      </w:r>
    </w:p>
    <w:p w:rsidR="008B539F" w:rsidRPr="008B539F" w:rsidRDefault="008B539F" w:rsidP="00606419">
      <w:pPr>
        <w:pStyle w:val="HChG"/>
        <w:rPr>
          <w:lang w:val="fr-FR"/>
        </w:rPr>
      </w:pPr>
      <w:r w:rsidRPr="008B539F">
        <w:rPr>
          <w:lang w:val="fr-FR"/>
        </w:rPr>
        <w:tab/>
        <w:t>II.</w:t>
      </w:r>
      <w:r w:rsidRPr="008B539F">
        <w:rPr>
          <w:lang w:val="fr-FR"/>
        </w:rPr>
        <w:tab/>
        <w:t>Justification</w:t>
      </w:r>
    </w:p>
    <w:p w:rsidR="008B539F" w:rsidRPr="008B539F" w:rsidRDefault="008B539F" w:rsidP="008B539F">
      <w:pPr>
        <w:pStyle w:val="SingleTxtG"/>
        <w:rPr>
          <w:lang w:val="fr-FR"/>
        </w:rPr>
      </w:pPr>
      <w:r w:rsidRPr="008B539F">
        <w:rPr>
          <w:lang w:val="fr-FR"/>
        </w:rPr>
        <w:t>1.</w:t>
      </w:r>
      <w:r w:rsidRPr="008B539F">
        <w:rPr>
          <w:lang w:val="fr-FR"/>
        </w:rPr>
        <w:tab/>
        <w:t>Les précédentes sessions de l’ancien groupe de travail informel des fonctions de direction à commande automatique (ACSF) avaient été principalement consacrées à l’élaboration des prescriptions techniques relatives à la fonction automatisée de maintien dans la voie (ALKS). Le groupe avait alors convenu de limiter l’applicabilité du système à des vitesses basses (avec une vitesse maximale indiquée de 60</w:t>
      </w:r>
      <w:r w:rsidR="00606419">
        <w:rPr>
          <w:lang w:val="fr-FR"/>
        </w:rPr>
        <w:t> </w:t>
      </w:r>
      <w:r w:rsidRPr="008B539F">
        <w:rPr>
          <w:lang w:val="fr-FR"/>
        </w:rPr>
        <w:t>km/h) afin de tenir les délais impartis. Après avoir accompli avec succès les travaux relatifs au système dans le cadre de la première étape, l’Allemagne a désormais revu et analysé les prescriptions existantes sur la base d’un passage à 130</w:t>
      </w:r>
      <w:r w:rsidR="00606419">
        <w:rPr>
          <w:lang w:val="fr-FR"/>
        </w:rPr>
        <w:t> </w:t>
      </w:r>
      <w:r w:rsidRPr="008B539F">
        <w:rPr>
          <w:lang w:val="fr-FR"/>
        </w:rPr>
        <w:t xml:space="preserve">km/h au plus de la vitesse maximale indiquée. </w:t>
      </w:r>
    </w:p>
    <w:p w:rsidR="008B539F" w:rsidRPr="008B539F" w:rsidRDefault="008B539F" w:rsidP="008B539F">
      <w:pPr>
        <w:pStyle w:val="SingleTxtG"/>
        <w:rPr>
          <w:lang w:val="fr-FR"/>
        </w:rPr>
      </w:pPr>
      <w:r w:rsidRPr="008B539F">
        <w:rPr>
          <w:lang w:val="fr-FR"/>
        </w:rPr>
        <w:t>2.</w:t>
      </w:r>
      <w:r w:rsidRPr="008B539F">
        <w:rPr>
          <w:lang w:val="fr-FR"/>
        </w:rPr>
        <w:tab/>
        <w:t>L’approche adoptée aux fins de la présente proposition ne s’écarte pas de l’approche convenue pour le Règlement ONU sur l’ALKS dans sa forme actuelle, applicable à basse vitesse (ECE/TRANS/WP.29/2020/81) : lorsqu’il est activé, le système doit se conformer aux règles de circulation du pays où circule le véhicule (par exemple, dans les pays où la vitesse maximale est limitée à 100 km/h, l’ALKS n’est pas autorisé à fonctionner à des vitesses supérieures à la vitesse maximale prévue par la loi), tenir compte des conditions de l’environnement et des capteurs pour la vitesse de fonctionnement maximale et tenir compte également de la circulation pour la sélection de la vitesse à adopter.</w:t>
      </w:r>
    </w:p>
    <w:p w:rsidR="008B539F" w:rsidRPr="008B539F" w:rsidRDefault="008B539F" w:rsidP="008B539F">
      <w:pPr>
        <w:pStyle w:val="SingleTxtG"/>
        <w:rPr>
          <w:lang w:val="fr-FR"/>
        </w:rPr>
      </w:pPr>
      <w:r w:rsidRPr="008B539F">
        <w:rPr>
          <w:lang w:val="fr-FR"/>
        </w:rPr>
        <w:t xml:space="preserve">3. </w:t>
      </w:r>
      <w:r w:rsidRPr="008B539F">
        <w:rPr>
          <w:lang w:val="fr-FR"/>
        </w:rPr>
        <w:tab/>
        <w:t>Il est entendu que les prescriptions qu’il est proposé d’ajouter concernant le fonctionnement du système à grande vitesse, jusqu’à 130</w:t>
      </w:r>
      <w:r w:rsidR="00C84E29">
        <w:rPr>
          <w:lang w:val="fr-FR"/>
        </w:rPr>
        <w:t> </w:t>
      </w:r>
      <w:r w:rsidRPr="008B539F">
        <w:rPr>
          <w:lang w:val="fr-FR"/>
        </w:rPr>
        <w:t>km/h, s’appliquent aux véhicules équipés d’un système adapté</w:t>
      </w:r>
      <w:r w:rsidR="00C84E29">
        <w:rPr>
          <w:lang w:val="fr-FR"/>
        </w:rPr>
        <w:t> </w:t>
      </w:r>
      <w:r w:rsidRPr="008B539F">
        <w:rPr>
          <w:lang w:val="fr-FR"/>
        </w:rPr>
        <w:t>: si un constructeur de véhicules décide d’introduire un tel système ALKS sur le marché, les prescriptions techniques proposées devront être satisfaites.</w:t>
      </w:r>
    </w:p>
    <w:p w:rsidR="008B539F" w:rsidRPr="008B539F" w:rsidRDefault="008B539F" w:rsidP="008B539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B539F" w:rsidRPr="008B539F" w:rsidSect="006A559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980" w:rsidRDefault="00732980" w:rsidP="00F95C08">
      <w:pPr>
        <w:spacing w:line="240" w:lineRule="auto"/>
      </w:pPr>
    </w:p>
  </w:endnote>
  <w:endnote w:type="continuationSeparator" w:id="0">
    <w:p w:rsidR="00732980" w:rsidRPr="00AC3823" w:rsidRDefault="00732980" w:rsidP="00AC3823">
      <w:pPr>
        <w:pStyle w:val="Pieddepage"/>
      </w:pPr>
    </w:p>
  </w:endnote>
  <w:endnote w:type="continuationNotice" w:id="1">
    <w:p w:rsidR="00732980" w:rsidRDefault="007329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59D" w:rsidRPr="006A559D" w:rsidRDefault="006A559D" w:rsidP="006A559D">
    <w:pPr>
      <w:pStyle w:val="Pieddepage"/>
      <w:tabs>
        <w:tab w:val="right" w:pos="9638"/>
      </w:tabs>
    </w:pPr>
    <w:r w:rsidRPr="006A559D">
      <w:rPr>
        <w:b/>
        <w:sz w:val="18"/>
      </w:rPr>
      <w:fldChar w:fldCharType="begin"/>
    </w:r>
    <w:r w:rsidRPr="006A559D">
      <w:rPr>
        <w:b/>
        <w:sz w:val="18"/>
      </w:rPr>
      <w:instrText xml:space="preserve"> PAGE  \* MERGEFORMAT </w:instrText>
    </w:r>
    <w:r w:rsidRPr="006A559D">
      <w:rPr>
        <w:b/>
        <w:sz w:val="18"/>
      </w:rPr>
      <w:fldChar w:fldCharType="separate"/>
    </w:r>
    <w:r w:rsidRPr="006A559D">
      <w:rPr>
        <w:b/>
        <w:noProof/>
        <w:sz w:val="18"/>
      </w:rPr>
      <w:t>2</w:t>
    </w:r>
    <w:r w:rsidRPr="006A559D">
      <w:rPr>
        <w:b/>
        <w:sz w:val="18"/>
      </w:rPr>
      <w:fldChar w:fldCharType="end"/>
    </w:r>
    <w:r>
      <w:rPr>
        <w:b/>
        <w:sz w:val="18"/>
      </w:rPr>
      <w:tab/>
    </w:r>
    <w:r>
      <w:t>GE.20-09182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59D" w:rsidRPr="006A559D" w:rsidRDefault="006A559D" w:rsidP="006A559D">
    <w:pPr>
      <w:pStyle w:val="Pieddepage"/>
      <w:tabs>
        <w:tab w:val="right" w:pos="9638"/>
      </w:tabs>
      <w:rPr>
        <w:b/>
        <w:sz w:val="18"/>
      </w:rPr>
    </w:pPr>
    <w:r>
      <w:t>GE.20-09182</w:t>
    </w:r>
    <w:r>
      <w:tab/>
    </w:r>
    <w:r w:rsidRPr="006A559D">
      <w:rPr>
        <w:b/>
        <w:sz w:val="18"/>
      </w:rPr>
      <w:fldChar w:fldCharType="begin"/>
    </w:r>
    <w:r w:rsidRPr="006A559D">
      <w:rPr>
        <w:b/>
        <w:sz w:val="18"/>
      </w:rPr>
      <w:instrText xml:space="preserve"> PAGE  \* MERGEFORMAT </w:instrText>
    </w:r>
    <w:r w:rsidRPr="006A559D">
      <w:rPr>
        <w:b/>
        <w:sz w:val="18"/>
      </w:rPr>
      <w:fldChar w:fldCharType="separate"/>
    </w:r>
    <w:r w:rsidRPr="006A559D">
      <w:rPr>
        <w:b/>
        <w:noProof/>
        <w:sz w:val="18"/>
      </w:rPr>
      <w:t>3</w:t>
    </w:r>
    <w:r w:rsidRPr="006A55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A559D" w:rsidRDefault="006A559D" w:rsidP="006A559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20-09182  (F)    230720    240720</w:t>
    </w:r>
    <w:r>
      <w:rPr>
        <w:sz w:val="20"/>
      </w:rPr>
      <w:br/>
    </w:r>
    <w:r w:rsidRPr="006A559D">
      <w:rPr>
        <w:rFonts w:ascii="C39T30Lfz" w:hAnsi="C39T30Lfz"/>
        <w:sz w:val="56"/>
      </w:rPr>
      <w:t></w:t>
    </w:r>
    <w:r w:rsidRPr="006A559D">
      <w:rPr>
        <w:rFonts w:ascii="C39T30Lfz" w:hAnsi="C39T30Lfz"/>
        <w:sz w:val="56"/>
      </w:rPr>
      <w:t></w:t>
    </w:r>
    <w:r w:rsidRPr="006A559D">
      <w:rPr>
        <w:rFonts w:ascii="C39T30Lfz" w:hAnsi="C39T30Lfz"/>
        <w:sz w:val="56"/>
      </w:rPr>
      <w:t></w:t>
    </w:r>
    <w:r w:rsidRPr="006A559D">
      <w:rPr>
        <w:rFonts w:ascii="C39T30Lfz" w:hAnsi="C39T30Lfz"/>
        <w:sz w:val="56"/>
      </w:rPr>
      <w:t></w:t>
    </w:r>
    <w:r w:rsidRPr="006A559D">
      <w:rPr>
        <w:rFonts w:ascii="C39T30Lfz" w:hAnsi="C39T30Lfz"/>
        <w:sz w:val="56"/>
      </w:rPr>
      <w:t></w:t>
    </w:r>
    <w:r w:rsidRPr="006A559D">
      <w:rPr>
        <w:rFonts w:ascii="C39T30Lfz" w:hAnsi="C39T30Lfz"/>
        <w:sz w:val="56"/>
      </w:rPr>
      <w:t></w:t>
    </w:r>
    <w:r w:rsidRPr="006A559D">
      <w:rPr>
        <w:rFonts w:ascii="C39T30Lfz" w:hAnsi="C39T30Lfz"/>
        <w:sz w:val="56"/>
      </w:rPr>
      <w:t></w:t>
    </w:r>
    <w:r w:rsidRPr="006A559D">
      <w:rPr>
        <w:rFonts w:ascii="C39T30Lfz" w:hAnsi="C39T30Lfz"/>
        <w:sz w:val="56"/>
      </w:rPr>
      <w:t></w:t>
    </w:r>
    <w:r w:rsidRPr="006A559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3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3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980" w:rsidRPr="00AC3823" w:rsidRDefault="00732980" w:rsidP="00AC3823">
      <w:pPr>
        <w:pStyle w:val="Pieddepage"/>
        <w:tabs>
          <w:tab w:val="right" w:pos="2155"/>
        </w:tabs>
        <w:spacing w:after="80" w:line="240" w:lineRule="atLeast"/>
        <w:ind w:left="680"/>
        <w:rPr>
          <w:u w:val="single"/>
        </w:rPr>
      </w:pPr>
      <w:r>
        <w:rPr>
          <w:u w:val="single"/>
        </w:rPr>
        <w:tab/>
      </w:r>
    </w:p>
  </w:footnote>
  <w:footnote w:type="continuationSeparator" w:id="0">
    <w:p w:rsidR="00732980" w:rsidRPr="00AC3823" w:rsidRDefault="00732980" w:rsidP="00AC3823">
      <w:pPr>
        <w:pStyle w:val="Pieddepage"/>
        <w:tabs>
          <w:tab w:val="right" w:pos="2155"/>
        </w:tabs>
        <w:spacing w:after="80" w:line="240" w:lineRule="atLeast"/>
        <w:ind w:left="680"/>
        <w:rPr>
          <w:u w:val="single"/>
        </w:rPr>
      </w:pPr>
      <w:r>
        <w:rPr>
          <w:u w:val="single"/>
        </w:rPr>
        <w:tab/>
      </w:r>
    </w:p>
  </w:footnote>
  <w:footnote w:type="continuationNotice" w:id="1">
    <w:p w:rsidR="00732980" w:rsidRPr="00AC3823" w:rsidRDefault="00732980">
      <w:pPr>
        <w:spacing w:line="240" w:lineRule="auto"/>
        <w:rPr>
          <w:sz w:val="2"/>
          <w:szCs w:val="2"/>
        </w:rPr>
      </w:pPr>
    </w:p>
  </w:footnote>
  <w:footnote w:id="2">
    <w:p w:rsidR="006A559D" w:rsidRPr="006A559D" w:rsidRDefault="006A559D">
      <w:pPr>
        <w:pStyle w:val="Notedebasdepage"/>
      </w:pPr>
      <w:r>
        <w:rPr>
          <w:rStyle w:val="Appelnotedebasdep"/>
        </w:rPr>
        <w:tab/>
      </w:r>
      <w:r w:rsidRPr="006A559D">
        <w:rPr>
          <w:rStyle w:val="Appelnotedebasdep"/>
          <w:sz w:val="20"/>
          <w:vertAlign w:val="baseline"/>
        </w:rPr>
        <w:t>*</w:t>
      </w:r>
      <w:r>
        <w:rPr>
          <w:rStyle w:val="Appelnotedebasdep"/>
          <w:sz w:val="20"/>
          <w:vertAlign w:val="baseline"/>
        </w:rPr>
        <w:tab/>
      </w:r>
      <w:r w:rsidRPr="00490055">
        <w:rPr>
          <w:lang w:val="fr-FR"/>
        </w:rPr>
        <w:t>Conformément au programme de travail du Comité des transports intérieurs pour 2020 tel qu’il figure dans le projet de budget-programme pour 2020 (A/74/6 (titre V, chap.</w:t>
      </w:r>
      <w:r>
        <w:rPr>
          <w:lang w:val="fr-FR"/>
        </w:rPr>
        <w:t> </w:t>
      </w:r>
      <w:r w:rsidRPr="00490055">
        <w:rPr>
          <w:lang w:val="fr-FR"/>
        </w:rPr>
        <w:t>20), par.</w:t>
      </w:r>
      <w:r>
        <w:rPr>
          <w:lang w:val="fr-FR"/>
        </w:rPr>
        <w:t> </w:t>
      </w:r>
      <w:r w:rsidRPr="00490055">
        <w:rPr>
          <w:lang w:val="fr-FR"/>
        </w:rPr>
        <w:t>20.37), le Forum mondial a pour mission d’élaborer, d’harmoniser et de mettre à jour les Règlements ONU en vue d’améliorer les caractéristiques fonctionnelles des véhicules. Le présent document est soumis en vertu de ce mandat</w:t>
      </w:r>
      <w:r w:rsidRPr="006F31AE">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59D" w:rsidRPr="006A559D" w:rsidRDefault="006A559D">
    <w:pPr>
      <w:pStyle w:val="En-tte"/>
    </w:pPr>
    <w:fldSimple w:instr=" TITLE  \* MERGEFORMAT ">
      <w:r>
        <w:t>ECE/TRANS/WP.29/GRVA/2020/32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59D" w:rsidRPr="006A559D" w:rsidRDefault="006A559D" w:rsidP="006A559D">
    <w:pPr>
      <w:pStyle w:val="En-tte"/>
      <w:jc w:val="right"/>
    </w:pPr>
    <w:fldSimple w:instr=" TITLE  \* MERGEFORMAT ">
      <w:r>
        <w:t>ECE/TRANS/WP.29/GRVA/2020/32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2980"/>
    <w:rsid w:val="00017F94"/>
    <w:rsid w:val="00023842"/>
    <w:rsid w:val="000334F9"/>
    <w:rsid w:val="00045FEB"/>
    <w:rsid w:val="0007796D"/>
    <w:rsid w:val="000B7790"/>
    <w:rsid w:val="000D4E62"/>
    <w:rsid w:val="001075AB"/>
    <w:rsid w:val="00111F2F"/>
    <w:rsid w:val="0014365E"/>
    <w:rsid w:val="00143C66"/>
    <w:rsid w:val="00176178"/>
    <w:rsid w:val="001F525A"/>
    <w:rsid w:val="00223272"/>
    <w:rsid w:val="0024779E"/>
    <w:rsid w:val="00257168"/>
    <w:rsid w:val="002744B8"/>
    <w:rsid w:val="002832AC"/>
    <w:rsid w:val="002D7C93"/>
    <w:rsid w:val="00305801"/>
    <w:rsid w:val="0039165D"/>
    <w:rsid w:val="003916DE"/>
    <w:rsid w:val="003B4DF3"/>
    <w:rsid w:val="003C5E6D"/>
    <w:rsid w:val="00421996"/>
    <w:rsid w:val="00441C3B"/>
    <w:rsid w:val="00446FE5"/>
    <w:rsid w:val="00452396"/>
    <w:rsid w:val="004837D8"/>
    <w:rsid w:val="004E2EED"/>
    <w:rsid w:val="004E468C"/>
    <w:rsid w:val="005505B7"/>
    <w:rsid w:val="00573BE5"/>
    <w:rsid w:val="00586ED3"/>
    <w:rsid w:val="00596AA9"/>
    <w:rsid w:val="00606419"/>
    <w:rsid w:val="006A559D"/>
    <w:rsid w:val="006B51B1"/>
    <w:rsid w:val="0071601D"/>
    <w:rsid w:val="00732980"/>
    <w:rsid w:val="007A62E6"/>
    <w:rsid w:val="007F20FA"/>
    <w:rsid w:val="007F2C40"/>
    <w:rsid w:val="0080684C"/>
    <w:rsid w:val="00864AE7"/>
    <w:rsid w:val="00871C75"/>
    <w:rsid w:val="008776DC"/>
    <w:rsid w:val="008B539F"/>
    <w:rsid w:val="009446C0"/>
    <w:rsid w:val="009705C8"/>
    <w:rsid w:val="00970DE0"/>
    <w:rsid w:val="009C1CF4"/>
    <w:rsid w:val="009F6B74"/>
    <w:rsid w:val="00A3029F"/>
    <w:rsid w:val="00A30353"/>
    <w:rsid w:val="00A91355"/>
    <w:rsid w:val="00AC3823"/>
    <w:rsid w:val="00AE323C"/>
    <w:rsid w:val="00AF0CB5"/>
    <w:rsid w:val="00B00181"/>
    <w:rsid w:val="00B00B0D"/>
    <w:rsid w:val="00B45F2E"/>
    <w:rsid w:val="00B765F7"/>
    <w:rsid w:val="00BA0CA9"/>
    <w:rsid w:val="00BE465F"/>
    <w:rsid w:val="00C02897"/>
    <w:rsid w:val="00C84E29"/>
    <w:rsid w:val="00C97039"/>
    <w:rsid w:val="00D27FCF"/>
    <w:rsid w:val="00D3439C"/>
    <w:rsid w:val="00DB1831"/>
    <w:rsid w:val="00DD3BFD"/>
    <w:rsid w:val="00DE24EC"/>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3682B8"/>
  <w15:docId w15:val="{436A2DCF-09CD-4E9C-AAEA-53CD96A5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962</Words>
  <Characters>6737</Characters>
  <Application>Microsoft Office Word</Application>
  <DocSecurity>0</DocSecurity>
  <Lines>561</Lines>
  <Paragraphs>307</Paragraphs>
  <ScaleCrop>false</ScaleCrop>
  <HeadingPairs>
    <vt:vector size="2" baseType="variant">
      <vt:variant>
        <vt:lpstr>Titre</vt:lpstr>
      </vt:variant>
      <vt:variant>
        <vt:i4>1</vt:i4>
      </vt:variant>
    </vt:vector>
  </HeadingPairs>
  <TitlesOfParts>
    <vt:vector size="1" baseType="lpstr">
      <vt:lpstr>ECE/TRANS/WP.29/GRVA/2020/32</vt:lpstr>
    </vt:vector>
  </TitlesOfParts>
  <Company>DCM</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ECE/TRANS/WP.29/GRVA/2020/32</dc:title>
  <dc:subject/>
  <dc:creator>Brianne MAGNAT</dc:creator>
  <cp:keywords/>
  <cp:lastModifiedBy>Brianne Magnat</cp:lastModifiedBy>
  <cp:revision>2</cp:revision>
  <cp:lastPrinted>2014-05-14T10:59:00Z</cp:lastPrinted>
  <dcterms:created xsi:type="dcterms:W3CDTF">2020-07-24T12:05:00Z</dcterms:created>
  <dcterms:modified xsi:type="dcterms:W3CDTF">2020-07-24T12:05:00Z</dcterms:modified>
</cp:coreProperties>
</file>