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DD091B"/>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DD091B" w:rsidP="00DD091B">
            <w:pPr>
              <w:jc w:val="right"/>
            </w:pPr>
            <w:r w:rsidRPr="00DD091B">
              <w:rPr>
                <w:sz w:val="40"/>
              </w:rPr>
              <w:t>ECE</w:t>
            </w:r>
            <w:r>
              <w:t>/TRANS/WP.29/GRVA/2020/31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DD091B" w:rsidP="00C97039">
            <w:pPr>
              <w:spacing w:before="240"/>
            </w:pPr>
            <w:proofErr w:type="spellStart"/>
            <w:r>
              <w:t>Distr</w:t>
            </w:r>
            <w:proofErr w:type="spellEnd"/>
            <w:r>
              <w:t>. général</w:t>
            </w:r>
          </w:p>
          <w:p w:rsidR="00DD091B" w:rsidRDefault="00DD091B" w:rsidP="00DD091B">
            <w:pPr>
              <w:spacing w:line="240" w:lineRule="exact"/>
            </w:pPr>
            <w:r>
              <w:t>9 juillet 2019</w:t>
            </w:r>
          </w:p>
          <w:p w:rsidR="00DD091B" w:rsidRDefault="00DD091B" w:rsidP="00DD091B">
            <w:pPr>
              <w:spacing w:line="240" w:lineRule="exact"/>
            </w:pPr>
            <w:r>
              <w:t>Français</w:t>
            </w:r>
          </w:p>
          <w:p w:rsidR="00DD091B" w:rsidRPr="00DB58B5" w:rsidRDefault="00DD091B" w:rsidP="00DD091B">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DD091B" w:rsidRDefault="00DD091B" w:rsidP="00A3029F">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DD091B" w:rsidRDefault="00DD091B" w:rsidP="00A3029F">
      <w:pPr>
        <w:spacing w:before="120"/>
        <w:rPr>
          <w:b/>
        </w:rPr>
      </w:pPr>
      <w:r>
        <w:rPr>
          <w:b/>
        </w:rPr>
        <w:t xml:space="preserve">Groupe de travail </w:t>
      </w:r>
      <w:r w:rsidRPr="00EA3397">
        <w:rPr>
          <w:rFonts w:eastAsia="Times New Roman"/>
          <w:b/>
          <w:bCs/>
        </w:rPr>
        <w:t>des véhicules automatisés</w:t>
      </w:r>
      <w:r>
        <w:rPr>
          <w:rFonts w:eastAsia="Times New Roman"/>
          <w:b/>
          <w:bCs/>
        </w:rPr>
        <w:t>/autonomes et connectés</w:t>
      </w:r>
    </w:p>
    <w:p w:rsidR="00DD091B" w:rsidRDefault="00021BC1" w:rsidP="00A3029F">
      <w:pPr>
        <w:spacing w:before="120"/>
        <w:rPr>
          <w:b/>
        </w:rPr>
      </w:pPr>
      <w:r w:rsidRPr="00041CC9">
        <w:rPr>
          <w:b/>
          <w:bCs/>
        </w:rPr>
        <w:t>Septième</w:t>
      </w:r>
      <w:r w:rsidR="00DD091B">
        <w:rPr>
          <w:b/>
        </w:rPr>
        <w:t xml:space="preserve"> session</w:t>
      </w:r>
    </w:p>
    <w:p w:rsidR="00DD091B" w:rsidRDefault="00DD091B" w:rsidP="00A3029F">
      <w:pPr>
        <w:spacing w:line="240" w:lineRule="exact"/>
      </w:pPr>
      <w:r>
        <w:t xml:space="preserve">Genève, </w:t>
      </w:r>
      <w:r w:rsidR="00021BC1" w:rsidRPr="00041CC9">
        <w:t>21-25 septembre 2020</w:t>
      </w:r>
    </w:p>
    <w:p w:rsidR="00DD091B" w:rsidRDefault="00DD091B" w:rsidP="00A3029F">
      <w:pPr>
        <w:spacing w:line="240" w:lineRule="exact"/>
      </w:pPr>
      <w:r>
        <w:t xml:space="preserve">Point </w:t>
      </w:r>
      <w:r w:rsidR="00021BC1" w:rsidRPr="00041CC9">
        <w:t>8 c)</w:t>
      </w:r>
      <w:r>
        <w:t xml:space="preserve"> de l’ordre du jour provisoire</w:t>
      </w:r>
    </w:p>
    <w:p w:rsidR="00021BC1" w:rsidRPr="00041CC9" w:rsidRDefault="00021BC1" w:rsidP="00021BC1">
      <w:pPr>
        <w:rPr>
          <w:b/>
          <w:bCs/>
        </w:rPr>
      </w:pPr>
      <w:r w:rsidRPr="00041CC9">
        <w:rPr>
          <w:b/>
          <w:bCs/>
        </w:rPr>
        <w:t>Règlements ONU n</w:t>
      </w:r>
      <w:r w:rsidRPr="00041CC9">
        <w:rPr>
          <w:b/>
          <w:bCs/>
          <w:vertAlign w:val="superscript"/>
        </w:rPr>
        <w:t>os </w:t>
      </w:r>
      <w:r w:rsidRPr="00041CC9">
        <w:rPr>
          <w:b/>
          <w:bCs/>
        </w:rPr>
        <w:t>13, 13-H, 139 et 140, et RTM ONU n</w:t>
      </w:r>
      <w:r w:rsidRPr="00041CC9">
        <w:rPr>
          <w:b/>
          <w:bCs/>
          <w:vertAlign w:val="superscript"/>
        </w:rPr>
        <w:t>o</w:t>
      </w:r>
      <w:r>
        <w:rPr>
          <w:b/>
          <w:bCs/>
        </w:rPr>
        <w:t> </w:t>
      </w:r>
      <w:r w:rsidRPr="00041CC9">
        <w:rPr>
          <w:b/>
          <w:bCs/>
        </w:rPr>
        <w:t>8</w:t>
      </w:r>
      <w:r>
        <w:rPr>
          <w:b/>
          <w:bCs/>
        </w:rPr>
        <w:t> </w:t>
      </w:r>
      <w:r w:rsidRPr="00041CC9">
        <w:rPr>
          <w:b/>
          <w:bCs/>
        </w:rPr>
        <w:t>:</w:t>
      </w:r>
    </w:p>
    <w:p w:rsidR="00021BC1" w:rsidRPr="00041CC9" w:rsidRDefault="00021BC1" w:rsidP="00021BC1">
      <w:pPr>
        <w:rPr>
          <w:b/>
        </w:rPr>
      </w:pPr>
      <w:r w:rsidRPr="00041CC9">
        <w:rPr>
          <w:b/>
          <w:bCs/>
        </w:rPr>
        <w:t>Précisions</w:t>
      </w:r>
    </w:p>
    <w:p w:rsidR="00021BC1" w:rsidRPr="00041CC9" w:rsidRDefault="00021BC1" w:rsidP="00021BC1">
      <w:pPr>
        <w:pStyle w:val="HChG"/>
        <w:rPr>
          <w:rFonts w:asciiTheme="majorBidi" w:hAnsiTheme="majorBidi" w:cstheme="majorBidi"/>
          <w:szCs w:val="28"/>
        </w:rPr>
      </w:pPr>
      <w:r>
        <w:tab/>
      </w:r>
      <w:r>
        <w:tab/>
      </w:r>
      <w:r w:rsidRPr="00041CC9">
        <w:t>Proposition de complément 2 à la série 01 d’amendements au</w:t>
      </w:r>
      <w:r>
        <w:t> </w:t>
      </w:r>
      <w:r w:rsidRPr="00041CC9">
        <w:t>Règlement ONU n</w:t>
      </w:r>
      <w:r w:rsidRPr="00041CC9">
        <w:rPr>
          <w:vertAlign w:val="superscript"/>
        </w:rPr>
        <w:t>o </w:t>
      </w:r>
      <w:r w:rsidRPr="00041CC9">
        <w:t>13-H (Freinage des véhicules des</w:t>
      </w:r>
      <w:r>
        <w:t> </w:t>
      </w:r>
      <w:r w:rsidRPr="00041CC9">
        <w:t>catégories M</w:t>
      </w:r>
      <w:r w:rsidRPr="00041CC9">
        <w:rPr>
          <w:vertAlign w:val="subscript"/>
        </w:rPr>
        <w:t>1</w:t>
      </w:r>
      <w:r w:rsidRPr="00041CC9">
        <w:t xml:space="preserve"> et N</w:t>
      </w:r>
      <w:r w:rsidRPr="00041CC9">
        <w:rPr>
          <w:vertAlign w:val="subscript"/>
        </w:rPr>
        <w:t>1</w:t>
      </w:r>
      <w:r w:rsidRPr="00041CC9">
        <w:t>)</w:t>
      </w:r>
    </w:p>
    <w:p w:rsidR="00021BC1" w:rsidRPr="00041CC9" w:rsidRDefault="00021BC1" w:rsidP="00021BC1">
      <w:pPr>
        <w:pStyle w:val="H1G"/>
        <w:rPr>
          <w:szCs w:val="24"/>
        </w:rPr>
      </w:pPr>
      <w:r w:rsidRPr="00041CC9">
        <w:tab/>
      </w:r>
      <w:r w:rsidRPr="00041CC9">
        <w:tab/>
        <w:t>Communication des experts de l’Organisation internationale des</w:t>
      </w:r>
      <w:r>
        <w:t> </w:t>
      </w:r>
      <w:r w:rsidRPr="00041CC9">
        <w:t>constructeurs d’automobiles et de l’Association européenne des</w:t>
      </w:r>
      <w:r>
        <w:t> </w:t>
      </w:r>
      <w:r w:rsidRPr="00041CC9">
        <w:t>fournisseurs de l’automobile</w:t>
      </w:r>
      <w:r w:rsidRPr="00021BC1">
        <w:rPr>
          <w:rStyle w:val="Appelnotedebasdep"/>
          <w:b w:val="0"/>
          <w:sz w:val="20"/>
          <w:vertAlign w:val="baseline"/>
        </w:rPr>
        <w:footnoteReference w:customMarkFollows="1" w:id="2"/>
        <w:t>*</w:t>
      </w:r>
    </w:p>
    <w:p w:rsidR="00DD0DFA" w:rsidRDefault="00021BC1" w:rsidP="00021BC1">
      <w:pPr>
        <w:pStyle w:val="SingleTxtG"/>
        <w:ind w:firstLine="567"/>
      </w:pPr>
      <w:r w:rsidRPr="00041CC9">
        <w:t>Le texte ci-après, établi par les experts de l’Organisation internationale des constructeurs d’automobiles (OICA) et de l’Association européenne des fournisseurs de l’automobile (CLEPA), vise à</w:t>
      </w:r>
      <w:bookmarkStart w:id="0" w:name="_Hlk46154457"/>
      <w:r w:rsidRPr="00041CC9">
        <w:t xml:space="preserve"> permettre l’uniformité du comportement du système d’allumage des feux stop pour différents types de systèmes de freinage, y compris ceux des véhicules électriques</w:t>
      </w:r>
      <w:bookmarkEnd w:id="0"/>
      <w:r w:rsidRPr="00041CC9">
        <w:t>. Les modifications qu’il est proposé d’apporter au texte actuel du Règlement figurent en caractères gras pour les ajouts et biffés pour les suppressions.</w:t>
      </w:r>
    </w:p>
    <w:p w:rsidR="00DD0DFA" w:rsidRPr="00DD0DFA" w:rsidRDefault="00DD0DFA" w:rsidP="00DD0DFA">
      <w:pPr>
        <w:pStyle w:val="HChG"/>
      </w:pPr>
      <w:r>
        <w:br w:type="page"/>
      </w:r>
      <w:r>
        <w:lastRenderedPageBreak/>
        <w:tab/>
      </w:r>
      <w:r w:rsidRPr="00DD0DFA">
        <w:t>I.</w:t>
      </w:r>
      <w:r w:rsidRPr="00DD0DFA">
        <w:tab/>
        <w:t xml:space="preserve">Introduction </w:t>
      </w:r>
      <w:r>
        <w:t>−</w:t>
      </w:r>
      <w:r w:rsidRPr="00DD0DFA">
        <w:t xml:space="preserve"> rappel des définitions pertinentes</w:t>
      </w:r>
    </w:p>
    <w:p w:rsidR="00DD0DFA" w:rsidRPr="00DD0DFA" w:rsidRDefault="00DD0DFA" w:rsidP="00DD0DFA">
      <w:pPr>
        <w:pStyle w:val="SingleTxtG"/>
      </w:pPr>
      <w:r w:rsidRPr="00DD0DFA">
        <w:t>Dans le Règlement ONU n</w:t>
      </w:r>
      <w:r w:rsidRPr="00DD0DFA">
        <w:rPr>
          <w:vertAlign w:val="superscript"/>
        </w:rPr>
        <w:t>o</w:t>
      </w:r>
      <w:r>
        <w:t> </w:t>
      </w:r>
      <w:r w:rsidRPr="00DD0DFA">
        <w:t>13-H</w:t>
      </w:r>
      <w:r>
        <w:t> </w:t>
      </w:r>
      <w:r w:rsidRPr="00DD0DFA">
        <w:t>:</w:t>
      </w:r>
    </w:p>
    <w:p w:rsidR="00DD0DFA" w:rsidRPr="00DD0DFA" w:rsidRDefault="00DD0DFA" w:rsidP="00DD0DFA">
      <w:pPr>
        <w:pStyle w:val="SingleTxtG"/>
        <w:ind w:left="2268" w:hanging="1134"/>
      </w:pPr>
      <w:r w:rsidRPr="00DD0DFA">
        <w:t>2.17</w:t>
      </w:r>
      <w:r w:rsidRPr="00DD0DFA">
        <w:tab/>
        <w:t>Par «</w:t>
      </w:r>
      <w:r>
        <w:t> </w:t>
      </w:r>
      <w:r w:rsidRPr="00DD0DFA">
        <w:rPr>
          <w:i/>
          <w:iCs/>
        </w:rPr>
        <w:t>système de freinage électrique à récupération</w:t>
      </w:r>
      <w:r>
        <w:t> </w:t>
      </w:r>
      <w:r w:rsidRPr="00DD0DFA">
        <w:t>» un système de freinage qui, pendant la décélération, permet de convertir l’énergie cinétique du véhicule en énergie électrique.</w:t>
      </w:r>
    </w:p>
    <w:p w:rsidR="00DD0DFA" w:rsidRPr="00DD0DFA" w:rsidRDefault="00DD0DFA" w:rsidP="00DD0DFA">
      <w:pPr>
        <w:pStyle w:val="SingleTxtG"/>
        <w:ind w:left="2268" w:hanging="1134"/>
      </w:pPr>
      <w:r w:rsidRPr="00DD0DFA">
        <w:t>2.17.1</w:t>
      </w:r>
      <w:r w:rsidRPr="00DD0DFA">
        <w:tab/>
        <w:t>Par «</w:t>
      </w:r>
      <w:r>
        <w:t> </w:t>
      </w:r>
      <w:r w:rsidRPr="00DD0DFA">
        <w:rPr>
          <w:i/>
          <w:iCs/>
        </w:rPr>
        <w:t>commande de freinage électrique à récupération</w:t>
      </w:r>
      <w:r>
        <w:t> </w:t>
      </w:r>
      <w:r w:rsidRPr="00DD0DFA">
        <w:t>», un dispositif qui module l’action du système de freinage électrique à récupération</w:t>
      </w:r>
      <w:r>
        <w:t> </w:t>
      </w:r>
      <w:r w:rsidRPr="00DD0DFA">
        <w:t>;</w:t>
      </w:r>
    </w:p>
    <w:p w:rsidR="00DD0DFA" w:rsidRPr="00DD0DFA" w:rsidRDefault="00DD0DFA" w:rsidP="00DD0DFA">
      <w:pPr>
        <w:pStyle w:val="SingleTxtG"/>
        <w:ind w:left="2268" w:hanging="1134"/>
      </w:pPr>
      <w:r w:rsidRPr="00DD0DFA">
        <w:t>2.17.2</w:t>
      </w:r>
      <w:r w:rsidRPr="00DD0DFA">
        <w:tab/>
        <w:t>Par «</w:t>
      </w:r>
      <w:r>
        <w:rPr>
          <w:i/>
          <w:iCs/>
        </w:rPr>
        <w:t> </w:t>
      </w:r>
      <w:r w:rsidRPr="00DD0DFA">
        <w:rPr>
          <w:i/>
          <w:iCs/>
        </w:rPr>
        <w:t>système de freinage électrique à récupération de la catégorie A</w:t>
      </w:r>
      <w:r>
        <w:rPr>
          <w:i/>
          <w:iCs/>
        </w:rPr>
        <w:t> </w:t>
      </w:r>
      <w:r w:rsidRPr="00DD0DFA">
        <w:t>», un système de freinage électrique à récupération ne faisant pas partie du système de freinage de service</w:t>
      </w:r>
      <w:r>
        <w:t> </w:t>
      </w:r>
      <w:r w:rsidRPr="00DD0DFA">
        <w:t>;</w:t>
      </w:r>
    </w:p>
    <w:p w:rsidR="00DD0DFA" w:rsidRPr="00DD0DFA" w:rsidRDefault="00DD0DFA" w:rsidP="00DD0DFA">
      <w:pPr>
        <w:pStyle w:val="SingleTxtG"/>
        <w:ind w:left="2268" w:hanging="1134"/>
      </w:pPr>
      <w:r w:rsidRPr="00DD0DFA">
        <w:t>2.17.3</w:t>
      </w:r>
      <w:r w:rsidRPr="00DD0DFA">
        <w:tab/>
        <w:t>Par «</w:t>
      </w:r>
      <w:r>
        <w:t> </w:t>
      </w:r>
      <w:r w:rsidRPr="00DD0DFA">
        <w:rPr>
          <w:i/>
          <w:iCs/>
        </w:rPr>
        <w:t>système de freinage électrique à récupération de la catégorie B</w:t>
      </w:r>
      <w:r>
        <w:t> </w:t>
      </w:r>
      <w:r w:rsidRPr="00DD0DFA">
        <w:t>», un système de freinage électrique à récupération faisant partie du système de freinage de service</w:t>
      </w:r>
      <w:r>
        <w:t> </w:t>
      </w:r>
      <w:r w:rsidRPr="00DD0DFA">
        <w:t>;</w:t>
      </w:r>
    </w:p>
    <w:p w:rsidR="00DD0DFA" w:rsidRPr="00DD0DFA" w:rsidRDefault="00DD0DFA" w:rsidP="00DD0DFA">
      <w:pPr>
        <w:pStyle w:val="SingleTxtG"/>
        <w:ind w:left="2268" w:hanging="1134"/>
      </w:pPr>
      <w:r w:rsidRPr="00DD0DFA">
        <w:t>2.20</w:t>
      </w:r>
      <w:r w:rsidRPr="00DD0DFA">
        <w:tab/>
        <w:t>Par «</w:t>
      </w:r>
      <w:r>
        <w:t> </w:t>
      </w:r>
      <w:r w:rsidRPr="00DD0DFA">
        <w:rPr>
          <w:i/>
          <w:iCs/>
        </w:rPr>
        <w:t>freinage à commande automatique</w:t>
      </w:r>
      <w:r>
        <w:t> </w:t>
      </w:r>
      <w:r w:rsidRPr="00DD0DFA">
        <w:t>», une fonction d’un système complexe de commande électronique où l’actionnement du (des) système(s) de freinage ou des freins de certains essieux, en vue de provoquer la décélération du véhicule avec ou sans intervention directe du conducteur résultant de l’évaluation automatique des informations communiquées par les systèmes de bord du véhicule.</w:t>
      </w:r>
    </w:p>
    <w:p w:rsidR="00DD0DFA" w:rsidRPr="00DD0DFA" w:rsidRDefault="00DD0DFA" w:rsidP="00DD0DFA">
      <w:pPr>
        <w:pStyle w:val="SingleTxtG"/>
        <w:ind w:left="2268" w:hanging="1134"/>
        <w:rPr>
          <w:i/>
          <w:iCs/>
        </w:rPr>
      </w:pPr>
      <w:r w:rsidRPr="00DD0DFA">
        <w:t>2.21</w:t>
      </w:r>
      <w:r w:rsidRPr="00DD0DFA">
        <w:tab/>
        <w:t>Par «</w:t>
      </w:r>
      <w:r>
        <w:t> </w:t>
      </w:r>
      <w:r w:rsidRPr="00DD0DFA">
        <w:rPr>
          <w:i/>
          <w:iCs/>
        </w:rPr>
        <w:t>freinage sélectif</w:t>
      </w:r>
      <w:r>
        <w:t> </w:t>
      </w:r>
      <w:r w:rsidRPr="00DD0DFA">
        <w:t>», une fonction d’un système complexe de commande électronique dans lequel le (les) frein(s) de chaque roue est actionné par un dispositif automatique qui privilégie la modification du comportement dynamique du véhicule par rapport à la décélération.</w:t>
      </w:r>
    </w:p>
    <w:p w:rsidR="00DD0DFA" w:rsidRPr="00DD0DFA" w:rsidRDefault="00DD0DFA" w:rsidP="00DD0DFA">
      <w:pPr>
        <w:pStyle w:val="HChG"/>
      </w:pPr>
      <w:r w:rsidRPr="00DD0DFA">
        <w:tab/>
        <w:t>II.</w:t>
      </w:r>
      <w:r w:rsidRPr="00DD0DFA">
        <w:tab/>
        <w:t>Proposition</w:t>
      </w:r>
    </w:p>
    <w:p w:rsidR="00DD0DFA" w:rsidRPr="00DD0DFA" w:rsidRDefault="00DD0DFA" w:rsidP="00DD0DFA">
      <w:pPr>
        <w:pStyle w:val="SingleTxtG"/>
        <w:rPr>
          <w:i/>
          <w:iCs/>
        </w:rPr>
      </w:pPr>
      <w:r w:rsidRPr="00DD0DFA">
        <w:rPr>
          <w:i/>
          <w:iCs/>
        </w:rPr>
        <w:t>Paragraphe 5.2.22.2</w:t>
      </w:r>
      <w:r w:rsidRPr="00DD0DFA">
        <w:t xml:space="preserve"> (</w:t>
      </w:r>
      <w:r w:rsidRPr="00DD0DFA">
        <w:rPr>
          <w:i/>
          <w:iCs/>
        </w:rPr>
        <w:t>et alinéas</w:t>
      </w:r>
      <w:r w:rsidRPr="00DD0DFA">
        <w:t>), lire (la note de bas de page</w:t>
      </w:r>
      <w:r>
        <w:t> </w:t>
      </w:r>
      <w:r w:rsidRPr="00DD0DFA">
        <w:t>6 reste inchangée, les paragraphes 5.2.22 et 5.2.22.1 ne figurent ici qu’à titre d’information) :</w:t>
      </w:r>
    </w:p>
    <w:p w:rsidR="00DD0DFA" w:rsidRPr="00DD0DFA" w:rsidRDefault="00DD0DFA" w:rsidP="00DD0DFA">
      <w:pPr>
        <w:pStyle w:val="SingleTxtG"/>
        <w:ind w:left="2268" w:hanging="1134"/>
      </w:pPr>
      <w:r w:rsidRPr="00DD0DFA">
        <w:t>5.2.22</w:t>
      </w:r>
      <w:r w:rsidRPr="00DD0DFA">
        <w:tab/>
        <w:t>Envoi d’un signal de freinage pour l’allumage des feux stop</w:t>
      </w:r>
    </w:p>
    <w:p w:rsidR="00DD0DFA" w:rsidRPr="00DD0DFA" w:rsidRDefault="00DD0DFA" w:rsidP="00DD0DFA">
      <w:pPr>
        <w:pStyle w:val="SingleTxtG"/>
        <w:ind w:left="2268" w:hanging="1134"/>
      </w:pPr>
      <w:r w:rsidRPr="00DD0DFA">
        <w:t>5.2.22.1</w:t>
      </w:r>
      <w:r w:rsidRPr="00DD0DFA">
        <w:tab/>
        <w:t>L’actionnement du système de freinage de service par le conducteur doit générer un signal qui servira à allumer les feux stop.</w:t>
      </w:r>
    </w:p>
    <w:p w:rsidR="00DD0DFA" w:rsidRPr="00DD0DFA" w:rsidRDefault="00DD0DFA" w:rsidP="00DD0DFA">
      <w:pPr>
        <w:pStyle w:val="SingleTxtG"/>
        <w:ind w:left="2268" w:hanging="1134"/>
      </w:pPr>
      <w:r w:rsidRPr="00DD0DFA">
        <w:t>5.2.22.2</w:t>
      </w:r>
      <w:r w:rsidRPr="00DD0DFA">
        <w:tab/>
      </w:r>
      <w:r w:rsidRPr="00DD0DFA">
        <w:rPr>
          <w:strike/>
        </w:rPr>
        <w:t>L’actionnement du frein de service par la fonction de freinage à commande automatique doit produire le signal mentionné ci-dessus. Toutefois, lorsque le ralentissement induit est inférieur à 0,7 m/s2, le signal peut être omis</w:t>
      </w:r>
      <w:r w:rsidRPr="00DD0DFA">
        <w:rPr>
          <w:strike/>
          <w:vertAlign w:val="superscript"/>
        </w:rPr>
        <w:t>6</w:t>
      </w:r>
      <w:r w:rsidRPr="00DD0DFA">
        <w:rPr>
          <w:strike/>
        </w:rPr>
        <w:t xml:space="preserve"> .</w:t>
      </w:r>
      <w:r w:rsidRPr="00DD0DFA">
        <w:t xml:space="preserve"> </w:t>
      </w:r>
    </w:p>
    <w:p w:rsidR="00F9573C" w:rsidRDefault="00DD0DFA" w:rsidP="00DD0DFA">
      <w:pPr>
        <w:pStyle w:val="SingleTxtG"/>
        <w:ind w:left="2268" w:hanging="1134"/>
        <w:rPr>
          <w:b/>
          <w:bCs/>
        </w:rPr>
      </w:pPr>
      <w:r w:rsidRPr="00DD0DFA">
        <w:tab/>
      </w:r>
      <w:r w:rsidRPr="00DD0DFA">
        <w:rPr>
          <w:b/>
          <w:bCs/>
        </w:rPr>
        <w:t>Prescriptions pour les véhicules équipés d’une fonction de freinage à commande automatique ou d’un système de freinage à récupération qui produit un ralentissement (par exemple, par relâchement de la pédale d’accélérateur)</w:t>
      </w:r>
      <w:r w:rsidRPr="00DD0DFA">
        <w:rPr>
          <w:b/>
          <w:bCs/>
          <w:vertAlign w:val="superscript"/>
        </w:rPr>
        <w:t>6</w:t>
      </w:r>
      <w:r w:rsidRPr="00DD0DFA">
        <w:rPr>
          <w:b/>
          <w:bCs/>
        </w:rPr>
        <w:t>.</w:t>
      </w:r>
    </w:p>
    <w:tbl>
      <w:tblPr>
        <w:tblW w:w="6237" w:type="dxa"/>
        <w:tblInd w:w="2268" w:type="dxa"/>
        <w:tblLayout w:type="fixed"/>
        <w:tblCellMar>
          <w:left w:w="0" w:type="dxa"/>
          <w:right w:w="0" w:type="dxa"/>
        </w:tblCellMar>
        <w:tblLook w:val="01E0" w:firstRow="1" w:lastRow="1" w:firstColumn="1" w:lastColumn="1" w:noHBand="0" w:noVBand="0"/>
      </w:tblPr>
      <w:tblGrid>
        <w:gridCol w:w="2711"/>
        <w:gridCol w:w="3526"/>
      </w:tblGrid>
      <w:tr w:rsidR="00DD0DFA" w:rsidRPr="00DD0DFA" w:rsidTr="00DD0DFA">
        <w:trPr>
          <w:tblHeader/>
        </w:trPr>
        <w:tc>
          <w:tcPr>
            <w:tcW w:w="6237" w:type="dxa"/>
            <w:gridSpan w:val="2"/>
            <w:tcBorders>
              <w:top w:val="single" w:sz="4" w:space="0" w:color="auto"/>
              <w:bottom w:val="single" w:sz="12" w:space="0" w:color="auto"/>
            </w:tcBorders>
            <w:shd w:val="clear" w:color="auto" w:fill="auto"/>
            <w:vAlign w:val="bottom"/>
          </w:tcPr>
          <w:p w:rsidR="00DD0DFA" w:rsidRPr="00DD0DFA" w:rsidRDefault="00DD0DFA" w:rsidP="00DD0DFA">
            <w:pPr>
              <w:suppressAutoHyphens w:val="0"/>
              <w:spacing w:before="80" w:after="80" w:line="200" w:lineRule="exact"/>
              <w:rPr>
                <w:rFonts w:eastAsia="Times New Roman"/>
                <w:b/>
                <w:i/>
                <w:sz w:val="16"/>
              </w:rPr>
            </w:pPr>
            <w:r w:rsidRPr="00DD0DFA">
              <w:rPr>
                <w:b/>
                <w:i/>
                <w:sz w:val="16"/>
              </w:rPr>
              <w:t>Décélération par freinage à commande automatique ou freinage à récupération</w:t>
            </w:r>
          </w:p>
        </w:tc>
      </w:tr>
      <w:tr w:rsidR="00DD0DFA" w:rsidRPr="00DD0DFA" w:rsidTr="00DD0DFA">
        <w:tc>
          <w:tcPr>
            <w:tcW w:w="2711" w:type="dxa"/>
            <w:tcBorders>
              <w:top w:val="single" w:sz="12" w:space="0" w:color="auto"/>
            </w:tcBorders>
            <w:shd w:val="clear" w:color="auto" w:fill="auto"/>
          </w:tcPr>
          <w:p w:rsidR="00DD0DFA" w:rsidRPr="00DD0DFA" w:rsidRDefault="00DD0DFA" w:rsidP="00DD0DFA">
            <w:pPr>
              <w:suppressAutoHyphens w:val="0"/>
              <w:spacing w:before="40" w:after="40" w:line="220" w:lineRule="exact"/>
              <w:rPr>
                <w:rFonts w:eastAsia="Times New Roman"/>
                <w:b/>
                <w:sz w:val="18"/>
              </w:rPr>
            </w:pPr>
            <w:r w:rsidRPr="00DD0DFA">
              <w:rPr>
                <w:b/>
                <w:sz w:val="18"/>
              </w:rPr>
              <w:t>≤ 1,3 m/s</w:t>
            </w:r>
            <w:r w:rsidRPr="00DD0DFA">
              <w:rPr>
                <w:b/>
                <w:sz w:val="18"/>
                <w:vertAlign w:val="superscript"/>
              </w:rPr>
              <w:t>2</w:t>
            </w:r>
          </w:p>
        </w:tc>
        <w:tc>
          <w:tcPr>
            <w:tcW w:w="3526" w:type="dxa"/>
            <w:tcBorders>
              <w:top w:val="single" w:sz="12" w:space="0" w:color="auto"/>
            </w:tcBorders>
            <w:shd w:val="clear" w:color="auto" w:fill="auto"/>
          </w:tcPr>
          <w:p w:rsidR="00DD0DFA" w:rsidRPr="00DD0DFA" w:rsidRDefault="00DD0DFA" w:rsidP="00DD0DFA">
            <w:pPr>
              <w:suppressAutoHyphens w:val="0"/>
              <w:spacing w:before="40" w:after="40" w:line="220" w:lineRule="exact"/>
              <w:rPr>
                <w:rFonts w:eastAsia="Times New Roman"/>
                <w:b/>
                <w:sz w:val="18"/>
              </w:rPr>
            </w:pPr>
            <w:r w:rsidRPr="00DD0DFA">
              <w:rPr>
                <w:b/>
                <w:sz w:val="18"/>
              </w:rPr>
              <w:t>&gt; 1,3 m/s</w:t>
            </w:r>
            <w:r w:rsidRPr="00DD0DFA">
              <w:rPr>
                <w:b/>
                <w:sz w:val="18"/>
                <w:vertAlign w:val="superscript"/>
              </w:rPr>
              <w:t>2</w:t>
            </w:r>
          </w:p>
        </w:tc>
      </w:tr>
      <w:tr w:rsidR="00DD0DFA" w:rsidRPr="00DD0DFA" w:rsidTr="00DD0DFA">
        <w:tc>
          <w:tcPr>
            <w:tcW w:w="2711" w:type="dxa"/>
            <w:tcBorders>
              <w:bottom w:val="single" w:sz="12" w:space="0" w:color="auto"/>
            </w:tcBorders>
            <w:shd w:val="clear" w:color="auto" w:fill="auto"/>
          </w:tcPr>
          <w:p w:rsidR="00DD0DFA" w:rsidRPr="00DD0DFA" w:rsidRDefault="00DD0DFA" w:rsidP="00DD0DFA">
            <w:pPr>
              <w:suppressAutoHyphens w:val="0"/>
              <w:spacing w:before="40" w:after="40" w:line="220" w:lineRule="exact"/>
              <w:rPr>
                <w:rFonts w:eastAsia="Times New Roman"/>
                <w:b/>
                <w:sz w:val="18"/>
              </w:rPr>
            </w:pPr>
            <w:r w:rsidRPr="00DD0DFA">
              <w:rPr>
                <w:b/>
                <w:sz w:val="18"/>
              </w:rPr>
              <w:t>Peut émettre le signal</w:t>
            </w:r>
          </w:p>
        </w:tc>
        <w:tc>
          <w:tcPr>
            <w:tcW w:w="3526" w:type="dxa"/>
            <w:tcBorders>
              <w:bottom w:val="single" w:sz="12" w:space="0" w:color="auto"/>
            </w:tcBorders>
            <w:shd w:val="clear" w:color="auto" w:fill="auto"/>
          </w:tcPr>
          <w:p w:rsidR="00DD0DFA" w:rsidRPr="00DD0DFA" w:rsidRDefault="00DD0DFA" w:rsidP="00DD0DFA">
            <w:pPr>
              <w:suppressAutoHyphens w:val="0"/>
              <w:spacing w:before="40" w:after="40" w:line="220" w:lineRule="exact"/>
              <w:rPr>
                <w:rFonts w:eastAsia="Times New Roman"/>
                <w:b/>
                <w:sz w:val="18"/>
              </w:rPr>
            </w:pPr>
            <w:r w:rsidRPr="00DD0DFA">
              <w:rPr>
                <w:b/>
                <w:sz w:val="18"/>
              </w:rPr>
              <w:t>Doit émettre le signal</w:t>
            </w:r>
          </w:p>
        </w:tc>
      </w:tr>
    </w:tbl>
    <w:p w:rsidR="00DD0DFA" w:rsidRPr="00DD0DFA" w:rsidRDefault="00DD0DFA" w:rsidP="00DD0DFA">
      <w:pPr>
        <w:pStyle w:val="SingleTxtG"/>
        <w:spacing w:before="120"/>
        <w:ind w:left="2268"/>
        <w:rPr>
          <w:b/>
          <w:bCs/>
          <w:sz w:val="16"/>
          <w:szCs w:val="16"/>
        </w:rPr>
      </w:pPr>
      <w:bookmarkStart w:id="1" w:name="_Hlk43975836"/>
      <w:r w:rsidRPr="00DD0DFA">
        <w:rPr>
          <w:b/>
          <w:bCs/>
          <w:sz w:val="16"/>
          <w:szCs w:val="16"/>
          <w:vertAlign w:val="superscript"/>
        </w:rPr>
        <w:t>6</w:t>
      </w:r>
      <w:r w:rsidRPr="00DD0DFA">
        <w:rPr>
          <w:b/>
          <w:bCs/>
          <w:sz w:val="16"/>
          <w:szCs w:val="16"/>
        </w:rPr>
        <w:t>Au moment de l’homologation de type, le constructeur automobile doit confirmer le respect de cette disposition.</w:t>
      </w:r>
    </w:p>
    <w:p w:rsidR="00DD0DFA" w:rsidRPr="00DD0DFA" w:rsidRDefault="00DD0DFA" w:rsidP="00DD0DFA">
      <w:pPr>
        <w:pStyle w:val="SingleTxtG"/>
        <w:ind w:left="2268"/>
        <w:rPr>
          <w:b/>
        </w:rPr>
      </w:pPr>
      <w:r w:rsidRPr="00DD0DFA">
        <w:rPr>
          <w:b/>
          <w:bCs/>
        </w:rPr>
        <w:t>Une fois émis, le signal doit persister tant qu’une demande de décélération est maintenue. Il peut toutefois être supprimé à l’arrêt.</w:t>
      </w:r>
    </w:p>
    <w:bookmarkEnd w:id="1"/>
    <w:p w:rsidR="00DD0DFA" w:rsidRPr="00DD0DFA" w:rsidRDefault="00DD0DFA" w:rsidP="00DD0DFA">
      <w:pPr>
        <w:pStyle w:val="SingleTxtG"/>
        <w:ind w:left="2268"/>
        <w:rPr>
          <w:b/>
        </w:rPr>
      </w:pPr>
      <w:r w:rsidRPr="00DD0DFA">
        <w:rPr>
          <w:b/>
          <w:bCs/>
        </w:rPr>
        <w:t xml:space="preserve">Une mesure appropriée (par exemple, l’élimination de l’hystérésis, le lissage ou la temporisation) doit être mise en œuvre afin d’éviter que des </w:t>
      </w:r>
      <w:r w:rsidRPr="00DD0DFA">
        <w:rPr>
          <w:b/>
          <w:bCs/>
        </w:rPr>
        <w:lastRenderedPageBreak/>
        <w:t>modifications rapides du signal n’entraînent le clignotement des feux stop.</w:t>
      </w:r>
    </w:p>
    <w:p w:rsidR="00DD0DFA" w:rsidRPr="00DD0DFA" w:rsidRDefault="00DD0DFA" w:rsidP="00B2281E">
      <w:pPr>
        <w:pStyle w:val="SingleTxtG"/>
      </w:pPr>
      <w:r w:rsidRPr="00DD0DFA">
        <w:rPr>
          <w:i/>
          <w:iCs/>
        </w:rPr>
        <w:t>Paragraphe 5.2.22.3</w:t>
      </w:r>
      <w:r w:rsidRPr="00DD0DFA">
        <w:t>, lire (la note</w:t>
      </w:r>
      <w:r w:rsidR="00B2281E">
        <w:t> </w:t>
      </w:r>
      <w:r w:rsidRPr="00DD0DFA">
        <w:t>7 demeure inchangée)</w:t>
      </w:r>
      <w:r w:rsidR="00B2281E">
        <w:t> </w:t>
      </w:r>
      <w:r w:rsidRPr="00DD0DFA">
        <w:t>:</w:t>
      </w:r>
    </w:p>
    <w:p w:rsidR="00DD0DFA" w:rsidRPr="00DD0DFA" w:rsidRDefault="00DD0DFA" w:rsidP="00B2281E">
      <w:pPr>
        <w:pStyle w:val="SingleTxtG"/>
        <w:ind w:left="2268" w:hanging="1134"/>
        <w:rPr>
          <w:vertAlign w:val="superscript"/>
        </w:rPr>
      </w:pPr>
      <w:r w:rsidRPr="00DD0DFA">
        <w:t>5.2.22.3</w:t>
      </w:r>
      <w:r w:rsidRPr="00DD0DFA">
        <w:tab/>
        <w:t xml:space="preserve">L’actionnement d’une partie du système de freinage de service par le biais </w:t>
      </w:r>
      <w:r w:rsidRPr="00DD0DFA">
        <w:rPr>
          <w:b/>
          <w:bCs/>
        </w:rPr>
        <w:t>au moyen du</w:t>
      </w:r>
      <w:r w:rsidRPr="00DD0DFA">
        <w:t xml:space="preserve"> «</w:t>
      </w:r>
      <w:r w:rsidR="00B2281E">
        <w:t> </w:t>
      </w:r>
      <w:r w:rsidRPr="00DD0DFA">
        <w:t>freinage sélectif</w:t>
      </w:r>
      <w:r w:rsidR="00B2281E">
        <w:t> </w:t>
      </w:r>
      <w:r w:rsidRPr="00DD0DFA">
        <w:t xml:space="preserve">» </w:t>
      </w:r>
      <w:r w:rsidRPr="00DD0DFA">
        <w:rPr>
          <w:b/>
          <w:bCs/>
        </w:rPr>
        <w:t>ou de fonctions dont le but premier n’est pas de réduire la vitesse du véhicule (par exemple un léger actionnement du frein à friction pour nettoyer les disques)</w:t>
      </w:r>
      <w:r w:rsidRPr="00DD0DFA">
        <w:t xml:space="preserve"> ne doit pas générer le signal susmentionné</w:t>
      </w:r>
      <w:r w:rsidRPr="00DD0DFA">
        <w:rPr>
          <w:vertAlign w:val="superscript"/>
        </w:rPr>
        <w:t>7</w:t>
      </w:r>
      <w:r w:rsidRPr="00DD0DFA">
        <w:t>.</w:t>
      </w:r>
    </w:p>
    <w:p w:rsidR="00DD0DFA" w:rsidRPr="0024100C" w:rsidRDefault="00DD0DFA" w:rsidP="005E2785">
      <w:pPr>
        <w:pStyle w:val="SingleTxtG"/>
        <w:rPr>
          <w:sz w:val="16"/>
          <w:szCs w:val="16"/>
        </w:rPr>
      </w:pPr>
      <w:r w:rsidRPr="0024100C">
        <w:rPr>
          <w:sz w:val="16"/>
          <w:szCs w:val="16"/>
          <w:vertAlign w:val="superscript"/>
        </w:rPr>
        <w:t>7</w:t>
      </w:r>
      <w:r w:rsidRPr="0024100C">
        <w:rPr>
          <w:sz w:val="16"/>
          <w:szCs w:val="16"/>
        </w:rPr>
        <w:t xml:space="preserve"> En situation de «</w:t>
      </w:r>
      <w:r w:rsidR="00B2281E" w:rsidRPr="0024100C">
        <w:rPr>
          <w:sz w:val="16"/>
          <w:szCs w:val="16"/>
        </w:rPr>
        <w:t> </w:t>
      </w:r>
      <w:r w:rsidRPr="0024100C">
        <w:rPr>
          <w:sz w:val="16"/>
          <w:szCs w:val="16"/>
        </w:rPr>
        <w:t>freinage sélectif</w:t>
      </w:r>
      <w:r w:rsidR="00B2281E" w:rsidRPr="0024100C">
        <w:rPr>
          <w:sz w:val="16"/>
          <w:szCs w:val="16"/>
        </w:rPr>
        <w:t> </w:t>
      </w:r>
      <w:r w:rsidRPr="0024100C">
        <w:rPr>
          <w:sz w:val="16"/>
          <w:szCs w:val="16"/>
        </w:rPr>
        <w:t>», le passage à la fonction «</w:t>
      </w:r>
      <w:r w:rsidR="00B2281E" w:rsidRPr="0024100C">
        <w:rPr>
          <w:sz w:val="16"/>
          <w:szCs w:val="16"/>
        </w:rPr>
        <w:t> </w:t>
      </w:r>
      <w:r w:rsidRPr="0024100C">
        <w:rPr>
          <w:sz w:val="16"/>
          <w:szCs w:val="16"/>
        </w:rPr>
        <w:t>freinage à commande automatique</w:t>
      </w:r>
      <w:r w:rsidR="00B2281E" w:rsidRPr="0024100C">
        <w:rPr>
          <w:sz w:val="16"/>
          <w:szCs w:val="16"/>
        </w:rPr>
        <w:t> </w:t>
      </w:r>
      <w:r w:rsidRPr="0024100C">
        <w:rPr>
          <w:sz w:val="16"/>
          <w:szCs w:val="16"/>
        </w:rPr>
        <w:t>» est possible.</w:t>
      </w:r>
      <w:bookmarkStart w:id="2" w:name="_GoBack"/>
      <w:bookmarkEnd w:id="2"/>
    </w:p>
    <w:p w:rsidR="00DD0DFA" w:rsidRPr="00DD0DFA" w:rsidRDefault="00DD0DFA" w:rsidP="00B2281E">
      <w:pPr>
        <w:pStyle w:val="SingleTxtG"/>
      </w:pPr>
      <w:r w:rsidRPr="00DD0DFA">
        <w:rPr>
          <w:i/>
          <w:iCs/>
        </w:rPr>
        <w:t>Paragraphe 5.2.22.4</w:t>
      </w:r>
      <w:r w:rsidRPr="00DD0DFA">
        <w:t>, lire (y compris la suppression du renvoi à la note de bas de page</w:t>
      </w:r>
      <w:r w:rsidR="00B2281E">
        <w:t> </w:t>
      </w:r>
      <w:r w:rsidRPr="00DD0DFA">
        <w:t>8) :</w:t>
      </w:r>
    </w:p>
    <w:p w:rsidR="00DD0DFA" w:rsidRPr="00DD0DFA" w:rsidRDefault="00DD0DFA" w:rsidP="00B2281E">
      <w:pPr>
        <w:pStyle w:val="SingleTxtG"/>
        <w:ind w:left="2268" w:hanging="1134"/>
        <w:rPr>
          <w:strike/>
        </w:rPr>
      </w:pPr>
      <w:r w:rsidRPr="00DD0DFA">
        <w:t>5.2.22.4</w:t>
      </w:r>
      <w:r w:rsidRPr="00DD0DFA">
        <w:tab/>
      </w:r>
      <w:r w:rsidRPr="00DD0DFA">
        <w:rPr>
          <w:strike/>
        </w:rPr>
        <w:t>Les systèmes de freinage électrique par récupération, tels qu’ils sont définis au paragraphe 2.17 du présent Règlement, qui produisent un ralentissement par relâchement de la pédale d’accélérateur, doivent émettre le signal susmentionné conformément aux dispositions suivantes :</w:t>
      </w:r>
    </w:p>
    <w:tbl>
      <w:tblPr>
        <w:tblW w:w="6237" w:type="dxa"/>
        <w:tblInd w:w="2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72"/>
        <w:gridCol w:w="2565"/>
      </w:tblGrid>
      <w:tr w:rsidR="00B2281E" w:rsidRPr="00B2281E" w:rsidTr="005E2785">
        <w:trPr>
          <w:tblHeader/>
        </w:trPr>
        <w:tc>
          <w:tcPr>
            <w:tcW w:w="3672" w:type="dxa"/>
            <w:shd w:val="clear" w:color="auto" w:fill="auto"/>
            <w:vAlign w:val="bottom"/>
          </w:tcPr>
          <w:p w:rsidR="00DD0DFA" w:rsidRPr="005E2785" w:rsidRDefault="00DD0DFA" w:rsidP="00B2281E">
            <w:pPr>
              <w:suppressAutoHyphens w:val="0"/>
              <w:spacing w:before="80" w:after="80" w:line="200" w:lineRule="exact"/>
              <w:rPr>
                <w:bCs/>
                <w:i/>
                <w:strike/>
                <w:sz w:val="16"/>
              </w:rPr>
            </w:pPr>
            <w:r w:rsidRPr="005E2785">
              <w:rPr>
                <w:i/>
                <w:strike/>
                <w:sz w:val="16"/>
              </w:rPr>
              <w:t xml:space="preserve">Décélérations du véhicule </w:t>
            </w:r>
          </w:p>
        </w:tc>
        <w:tc>
          <w:tcPr>
            <w:tcW w:w="2565" w:type="dxa"/>
            <w:shd w:val="clear" w:color="auto" w:fill="auto"/>
            <w:vAlign w:val="bottom"/>
          </w:tcPr>
          <w:p w:rsidR="00DD0DFA" w:rsidRPr="005E2785" w:rsidRDefault="00DD0DFA" w:rsidP="00B2281E">
            <w:pPr>
              <w:suppressAutoHyphens w:val="0"/>
              <w:spacing w:before="80" w:after="80" w:line="200" w:lineRule="exact"/>
              <w:jc w:val="right"/>
              <w:rPr>
                <w:i/>
                <w:strike/>
                <w:sz w:val="16"/>
              </w:rPr>
            </w:pPr>
            <w:r w:rsidRPr="005E2785">
              <w:rPr>
                <w:i/>
                <w:strike/>
                <w:sz w:val="16"/>
              </w:rPr>
              <w:t xml:space="preserve">Émission du signal </w:t>
            </w:r>
          </w:p>
        </w:tc>
      </w:tr>
      <w:tr w:rsidR="00B2281E" w:rsidRPr="00B2281E" w:rsidTr="005E2785">
        <w:tc>
          <w:tcPr>
            <w:tcW w:w="3672" w:type="dxa"/>
            <w:shd w:val="clear" w:color="auto" w:fill="auto"/>
          </w:tcPr>
          <w:p w:rsidR="00DD0DFA" w:rsidRPr="005E2785" w:rsidRDefault="00DD0DFA" w:rsidP="00B2281E">
            <w:pPr>
              <w:suppressAutoHyphens w:val="0"/>
              <w:spacing w:before="40" w:after="40" w:line="220" w:lineRule="exact"/>
              <w:rPr>
                <w:strike/>
                <w:sz w:val="18"/>
              </w:rPr>
            </w:pPr>
            <w:r w:rsidRPr="005E2785">
              <w:rPr>
                <w:strike/>
                <w:sz w:val="18"/>
              </w:rPr>
              <w:t>≤0.7m/s2</w:t>
            </w:r>
          </w:p>
        </w:tc>
        <w:tc>
          <w:tcPr>
            <w:tcW w:w="2565" w:type="dxa"/>
            <w:shd w:val="clear" w:color="auto" w:fill="auto"/>
            <w:vAlign w:val="bottom"/>
          </w:tcPr>
          <w:p w:rsidR="00DD0DFA" w:rsidRPr="005E2785" w:rsidRDefault="00DD0DFA" w:rsidP="00B2281E">
            <w:pPr>
              <w:suppressAutoHyphens w:val="0"/>
              <w:spacing w:before="40" w:after="40" w:line="220" w:lineRule="exact"/>
              <w:jc w:val="right"/>
              <w:rPr>
                <w:strike/>
                <w:sz w:val="18"/>
              </w:rPr>
            </w:pPr>
            <w:r w:rsidRPr="005E2785">
              <w:rPr>
                <w:strike/>
                <w:sz w:val="18"/>
              </w:rPr>
              <w:t>Le signal ne doit pas être émis</w:t>
            </w:r>
          </w:p>
        </w:tc>
      </w:tr>
      <w:tr w:rsidR="00B2281E" w:rsidRPr="00B2281E" w:rsidTr="005E2785">
        <w:tc>
          <w:tcPr>
            <w:tcW w:w="3672" w:type="dxa"/>
            <w:shd w:val="clear" w:color="auto" w:fill="auto"/>
          </w:tcPr>
          <w:p w:rsidR="00DD0DFA" w:rsidRPr="005E2785" w:rsidRDefault="00DD0DFA" w:rsidP="00B2281E">
            <w:pPr>
              <w:suppressAutoHyphens w:val="0"/>
              <w:spacing w:before="40" w:after="40" w:line="220" w:lineRule="exact"/>
              <w:rPr>
                <w:strike/>
                <w:sz w:val="18"/>
              </w:rPr>
            </w:pPr>
            <w:r w:rsidRPr="005E2785">
              <w:rPr>
                <w:strike/>
                <w:sz w:val="18"/>
              </w:rPr>
              <w:t>&gt;0,7m/s2 et ≤1.3m/s2</w:t>
            </w:r>
          </w:p>
        </w:tc>
        <w:tc>
          <w:tcPr>
            <w:tcW w:w="2565" w:type="dxa"/>
            <w:shd w:val="clear" w:color="auto" w:fill="auto"/>
            <w:vAlign w:val="bottom"/>
          </w:tcPr>
          <w:p w:rsidR="00DD0DFA" w:rsidRPr="005E2785" w:rsidRDefault="00DD0DFA" w:rsidP="00B2281E">
            <w:pPr>
              <w:suppressAutoHyphens w:val="0"/>
              <w:spacing w:before="40" w:after="40" w:line="220" w:lineRule="exact"/>
              <w:jc w:val="right"/>
              <w:rPr>
                <w:strike/>
                <w:sz w:val="18"/>
              </w:rPr>
            </w:pPr>
            <w:r w:rsidRPr="005E2785">
              <w:rPr>
                <w:strike/>
                <w:sz w:val="18"/>
              </w:rPr>
              <w:t>Le signal peut être émis</w:t>
            </w:r>
          </w:p>
        </w:tc>
      </w:tr>
      <w:tr w:rsidR="00B2281E" w:rsidRPr="00B2281E" w:rsidTr="005E2785">
        <w:tc>
          <w:tcPr>
            <w:tcW w:w="3672" w:type="dxa"/>
            <w:shd w:val="clear" w:color="auto" w:fill="auto"/>
          </w:tcPr>
          <w:p w:rsidR="00DD0DFA" w:rsidRPr="005E2785" w:rsidRDefault="00DD0DFA" w:rsidP="00B2281E">
            <w:pPr>
              <w:suppressAutoHyphens w:val="0"/>
              <w:spacing w:before="40" w:after="40" w:line="220" w:lineRule="exact"/>
              <w:rPr>
                <w:strike/>
                <w:sz w:val="18"/>
              </w:rPr>
            </w:pPr>
            <w:r w:rsidRPr="005E2785">
              <w:rPr>
                <w:strike/>
                <w:sz w:val="18"/>
              </w:rPr>
              <w:t>&gt;1,3m/s2</w:t>
            </w:r>
          </w:p>
        </w:tc>
        <w:tc>
          <w:tcPr>
            <w:tcW w:w="2565" w:type="dxa"/>
            <w:shd w:val="clear" w:color="auto" w:fill="auto"/>
            <w:vAlign w:val="bottom"/>
          </w:tcPr>
          <w:p w:rsidR="00DD0DFA" w:rsidRPr="005E2785" w:rsidRDefault="00DD0DFA" w:rsidP="00B2281E">
            <w:pPr>
              <w:suppressAutoHyphens w:val="0"/>
              <w:spacing w:before="40" w:after="40" w:line="220" w:lineRule="exact"/>
              <w:jc w:val="right"/>
              <w:rPr>
                <w:strike/>
                <w:sz w:val="18"/>
              </w:rPr>
            </w:pPr>
            <w:r w:rsidRPr="005E2785">
              <w:rPr>
                <w:strike/>
                <w:sz w:val="18"/>
              </w:rPr>
              <w:t>Le signal doit être émis</w:t>
            </w:r>
          </w:p>
        </w:tc>
      </w:tr>
    </w:tbl>
    <w:p w:rsidR="00DD0DFA" w:rsidRPr="00DD0DFA" w:rsidRDefault="00DD0DFA" w:rsidP="005E2785">
      <w:pPr>
        <w:pStyle w:val="SingleTxtG"/>
        <w:spacing w:before="120"/>
        <w:ind w:left="2268"/>
        <w:rPr>
          <w:strike/>
        </w:rPr>
      </w:pPr>
      <w:r w:rsidRPr="00DD0DFA">
        <w:rPr>
          <w:strike/>
        </w:rPr>
        <w:t>Dans tous les cas, le signal doit être désactivé au plus tard lorsque la décélération tombe sous le seuil de 0,7 m/s</w:t>
      </w:r>
      <w:r w:rsidRPr="00DD0DFA">
        <w:rPr>
          <w:strike/>
          <w:vertAlign w:val="superscript"/>
        </w:rPr>
        <w:t>2(8)</w:t>
      </w:r>
      <w:r w:rsidRPr="00DD0DFA">
        <w:rPr>
          <w:strike/>
        </w:rPr>
        <w:t>.</w:t>
      </w:r>
    </w:p>
    <w:p w:rsidR="00DD0DFA" w:rsidRPr="00DD0DFA" w:rsidRDefault="00DD0DFA" w:rsidP="005E2785">
      <w:pPr>
        <w:pStyle w:val="SingleTxtG"/>
        <w:ind w:left="2268"/>
        <w:rPr>
          <w:bCs/>
        </w:rPr>
      </w:pPr>
      <w:r w:rsidRPr="00DD0DFA">
        <w:rPr>
          <w:b/>
          <w:bCs/>
        </w:rPr>
        <w:t>Le signal ne doit pas être émis lorsque le ralentissement est uniquement dû à l’effet de freinage naturel du moteur, à la résistance à l’air ou au roulement ou à la déclivité</w:t>
      </w:r>
      <w:r w:rsidRPr="00DD0DFA">
        <w:t xml:space="preserve"> </w:t>
      </w:r>
      <w:r w:rsidRPr="00DD0DFA">
        <w:rPr>
          <w:b/>
          <w:bCs/>
        </w:rPr>
        <w:t>de la route.</w:t>
      </w:r>
    </w:p>
    <w:p w:rsidR="00DD0DFA" w:rsidRPr="00DD0DFA" w:rsidRDefault="00DD0DFA" w:rsidP="005E2785">
      <w:pPr>
        <w:pStyle w:val="HChG"/>
      </w:pPr>
      <w:r w:rsidRPr="00DD0DFA">
        <w:tab/>
        <w:t>III.</w:t>
      </w:r>
      <w:r w:rsidRPr="00DD0DFA">
        <w:tab/>
      </w:r>
      <w:r w:rsidR="005E2785">
        <w:t>J</w:t>
      </w:r>
      <w:r w:rsidRPr="00DD0DFA">
        <w:t>ustification</w:t>
      </w:r>
    </w:p>
    <w:p w:rsidR="00DD0DFA" w:rsidRPr="00DD0DFA" w:rsidRDefault="00DD0DFA" w:rsidP="005E2785">
      <w:pPr>
        <w:pStyle w:val="SingleTxtG"/>
      </w:pPr>
      <w:r w:rsidRPr="00DD0DFA">
        <w:t>1.</w:t>
      </w:r>
      <w:r w:rsidRPr="00DD0DFA">
        <w:tab/>
        <w:t>Les modifications qu’il est proposé d’apporter au paragraphe 5.2.22, si elles étaient adoptées, permettraient une conception de véhicules assurant l’uniformité du comportement du système d’allumage des feux stop pour différents types de systèmes de freinage, y</w:t>
      </w:r>
      <w:r w:rsidR="005A1AE1">
        <w:t> </w:t>
      </w:r>
      <w:r w:rsidRPr="00DD0DFA">
        <w:t>compris ceux des véhicules électriques.</w:t>
      </w:r>
    </w:p>
    <w:p w:rsidR="00DD0DFA" w:rsidRPr="00DD0DFA" w:rsidRDefault="00DD0DFA" w:rsidP="005E2785">
      <w:pPr>
        <w:pStyle w:val="SingleTxtG"/>
      </w:pPr>
      <w:r w:rsidRPr="00DD0DFA">
        <w:t>2.</w:t>
      </w:r>
      <w:r w:rsidRPr="00DD0DFA">
        <w:tab/>
        <w:t xml:space="preserve">L’allumage des feux stop devrait être lié à un ralentissement intentionnel, et être harmonisé pour les différents types de systèmes de freinage. </w:t>
      </w:r>
    </w:p>
    <w:p w:rsidR="005A1AE1" w:rsidRDefault="00DD0DFA" w:rsidP="005E2785">
      <w:pPr>
        <w:pStyle w:val="SingleTxtG"/>
      </w:pPr>
      <w:r w:rsidRPr="00DD0DFA">
        <w:t>3.</w:t>
      </w:r>
      <w:r w:rsidRPr="00DD0DFA">
        <w:tab/>
        <w:t>L’intention de ralentir peut être liée à :</w:t>
      </w:r>
    </w:p>
    <w:p w:rsidR="00DD0DFA" w:rsidRPr="00DD0DFA" w:rsidRDefault="00DD0DFA" w:rsidP="005A1AE1">
      <w:pPr>
        <w:pStyle w:val="SingleTxtG"/>
        <w:ind w:firstLine="567"/>
      </w:pPr>
      <w:r w:rsidRPr="00DD0DFA">
        <w:t>a)</w:t>
      </w:r>
      <w:r w:rsidRPr="00DD0DFA">
        <w:tab/>
        <w:t>L’action du conducteur</w:t>
      </w:r>
      <w:r w:rsidR="005A1AE1">
        <w:t> </w:t>
      </w:r>
      <w:r w:rsidRPr="00DD0DFA">
        <w:t xml:space="preserve">; </w:t>
      </w:r>
    </w:p>
    <w:p w:rsidR="00DD0DFA" w:rsidRPr="00DD0DFA" w:rsidRDefault="00DD0DFA" w:rsidP="005A1AE1">
      <w:pPr>
        <w:pStyle w:val="SingleTxtG"/>
        <w:ind w:firstLine="567"/>
      </w:pPr>
      <w:r w:rsidRPr="00DD0DFA">
        <w:t>b)</w:t>
      </w:r>
      <w:r w:rsidRPr="00DD0DFA">
        <w:tab/>
        <w:t>L’activation d’un système de freinage à commande automatique</w:t>
      </w:r>
      <w:r w:rsidR="005A1AE1">
        <w:t> </w:t>
      </w:r>
      <w:r w:rsidRPr="00DD0DFA">
        <w:t xml:space="preserve">;  </w:t>
      </w:r>
    </w:p>
    <w:p w:rsidR="00DD0DFA" w:rsidRPr="00DD0DFA" w:rsidRDefault="00DD0DFA" w:rsidP="005A1AE1">
      <w:pPr>
        <w:pStyle w:val="SingleTxtG"/>
        <w:ind w:firstLine="567"/>
      </w:pPr>
      <w:r w:rsidRPr="00DD0DFA">
        <w:t>c)</w:t>
      </w:r>
      <w:r w:rsidRPr="00DD0DFA">
        <w:tab/>
        <w:t>L’ activation d’un système de freinage électrique à récupération.</w:t>
      </w:r>
    </w:p>
    <w:p w:rsidR="00DD0DFA" w:rsidRPr="00DD0DFA" w:rsidRDefault="00DD0DFA" w:rsidP="005E2785">
      <w:pPr>
        <w:pStyle w:val="SingleTxtG"/>
      </w:pPr>
      <w:r w:rsidRPr="00DD0DFA">
        <w:t>4.</w:t>
      </w:r>
      <w:r w:rsidRPr="00DD0DFA">
        <w:tab/>
        <w:t>On trouvera des explications plus détaillées dans une présentation faisant l’objet d’un document informel soumis en parallèle.</w:t>
      </w:r>
    </w:p>
    <w:p w:rsidR="00DD0DFA" w:rsidRPr="005A1AE1" w:rsidRDefault="005A1AE1" w:rsidP="005A1AE1">
      <w:pPr>
        <w:pStyle w:val="SingleTxtG"/>
        <w:spacing w:before="240" w:after="0"/>
        <w:jc w:val="center"/>
        <w:rPr>
          <w:u w:val="single"/>
        </w:rPr>
      </w:pPr>
      <w:r>
        <w:rPr>
          <w:u w:val="single"/>
        </w:rPr>
        <w:tab/>
      </w:r>
      <w:r>
        <w:rPr>
          <w:u w:val="single"/>
        </w:rPr>
        <w:tab/>
      </w:r>
      <w:r>
        <w:rPr>
          <w:u w:val="single"/>
        </w:rPr>
        <w:tab/>
      </w:r>
    </w:p>
    <w:sectPr w:rsidR="00DD0DFA" w:rsidRPr="005A1AE1" w:rsidSect="00DD091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8AC" w:rsidRDefault="002D08AC" w:rsidP="00F95C08">
      <w:pPr>
        <w:spacing w:line="240" w:lineRule="auto"/>
      </w:pPr>
    </w:p>
  </w:endnote>
  <w:endnote w:type="continuationSeparator" w:id="0">
    <w:p w:rsidR="002D08AC" w:rsidRPr="00AC3823" w:rsidRDefault="002D08AC" w:rsidP="00AC3823">
      <w:pPr>
        <w:pStyle w:val="Pieddepage"/>
      </w:pPr>
    </w:p>
  </w:endnote>
  <w:endnote w:type="continuationNotice" w:id="1">
    <w:p w:rsidR="002D08AC" w:rsidRDefault="002D08A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91B" w:rsidRPr="00DD091B" w:rsidRDefault="00DD091B" w:rsidP="00DD091B">
    <w:pPr>
      <w:pStyle w:val="Pieddepage"/>
      <w:tabs>
        <w:tab w:val="right" w:pos="9638"/>
      </w:tabs>
    </w:pPr>
    <w:r w:rsidRPr="00DD091B">
      <w:rPr>
        <w:b/>
        <w:sz w:val="18"/>
      </w:rPr>
      <w:fldChar w:fldCharType="begin"/>
    </w:r>
    <w:r w:rsidRPr="00DD091B">
      <w:rPr>
        <w:b/>
        <w:sz w:val="18"/>
      </w:rPr>
      <w:instrText xml:space="preserve"> PAGE  \* MERGEFORMAT </w:instrText>
    </w:r>
    <w:r w:rsidRPr="00DD091B">
      <w:rPr>
        <w:b/>
        <w:sz w:val="18"/>
      </w:rPr>
      <w:fldChar w:fldCharType="separate"/>
    </w:r>
    <w:r w:rsidRPr="00DD091B">
      <w:rPr>
        <w:b/>
        <w:noProof/>
        <w:sz w:val="18"/>
      </w:rPr>
      <w:t>2</w:t>
    </w:r>
    <w:r w:rsidRPr="00DD091B">
      <w:rPr>
        <w:b/>
        <w:sz w:val="18"/>
      </w:rPr>
      <w:fldChar w:fldCharType="end"/>
    </w:r>
    <w:r>
      <w:rPr>
        <w:b/>
        <w:sz w:val="18"/>
      </w:rPr>
      <w:tab/>
    </w:r>
    <w:r>
      <w:t>GE.20-09170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91B" w:rsidRPr="00DD091B" w:rsidRDefault="00DD091B" w:rsidP="00DD091B">
    <w:pPr>
      <w:pStyle w:val="Pieddepage"/>
      <w:tabs>
        <w:tab w:val="right" w:pos="9638"/>
      </w:tabs>
      <w:rPr>
        <w:b/>
        <w:sz w:val="18"/>
      </w:rPr>
    </w:pPr>
    <w:r>
      <w:t>GE.20-09170</w:t>
    </w:r>
    <w:r>
      <w:tab/>
    </w:r>
    <w:r w:rsidRPr="00DD091B">
      <w:rPr>
        <w:b/>
        <w:sz w:val="18"/>
      </w:rPr>
      <w:fldChar w:fldCharType="begin"/>
    </w:r>
    <w:r w:rsidRPr="00DD091B">
      <w:rPr>
        <w:b/>
        <w:sz w:val="18"/>
      </w:rPr>
      <w:instrText xml:space="preserve"> PAGE  \* MERGEFORMAT </w:instrText>
    </w:r>
    <w:r w:rsidRPr="00DD091B">
      <w:rPr>
        <w:b/>
        <w:sz w:val="18"/>
      </w:rPr>
      <w:fldChar w:fldCharType="separate"/>
    </w:r>
    <w:r w:rsidRPr="00DD091B">
      <w:rPr>
        <w:b/>
        <w:noProof/>
        <w:sz w:val="18"/>
      </w:rPr>
      <w:t>3</w:t>
    </w:r>
    <w:r w:rsidRPr="00DD091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DD091B" w:rsidRDefault="00DD091B" w:rsidP="00DD091B">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20-09170  (F)    280720    280720</w:t>
    </w:r>
    <w:r>
      <w:rPr>
        <w:sz w:val="20"/>
      </w:rPr>
      <w:br/>
    </w:r>
    <w:r w:rsidRPr="00DD091B">
      <w:rPr>
        <w:rFonts w:ascii="C39T30Lfz" w:hAnsi="C39T30Lfz"/>
        <w:sz w:val="56"/>
      </w:rPr>
      <w:t></w:t>
    </w:r>
    <w:r w:rsidRPr="00DD091B">
      <w:rPr>
        <w:rFonts w:ascii="C39T30Lfz" w:hAnsi="C39T30Lfz"/>
        <w:sz w:val="56"/>
      </w:rPr>
      <w:t></w:t>
    </w:r>
    <w:r w:rsidRPr="00DD091B">
      <w:rPr>
        <w:rFonts w:ascii="C39T30Lfz" w:hAnsi="C39T30Lfz"/>
        <w:sz w:val="56"/>
      </w:rPr>
      <w:t></w:t>
    </w:r>
    <w:r w:rsidRPr="00DD091B">
      <w:rPr>
        <w:rFonts w:ascii="C39T30Lfz" w:hAnsi="C39T30Lfz"/>
        <w:sz w:val="56"/>
      </w:rPr>
      <w:t></w:t>
    </w:r>
    <w:r w:rsidRPr="00DD091B">
      <w:rPr>
        <w:rFonts w:ascii="C39T30Lfz" w:hAnsi="C39T30Lfz"/>
        <w:sz w:val="56"/>
      </w:rPr>
      <w:t></w:t>
    </w:r>
    <w:r w:rsidRPr="00DD091B">
      <w:rPr>
        <w:rFonts w:ascii="C39T30Lfz" w:hAnsi="C39T30Lfz"/>
        <w:sz w:val="56"/>
      </w:rPr>
      <w:t></w:t>
    </w:r>
    <w:r w:rsidRPr="00DD091B">
      <w:rPr>
        <w:rFonts w:ascii="C39T30Lfz" w:hAnsi="C39T30Lfz"/>
        <w:sz w:val="56"/>
      </w:rPr>
      <w:t></w:t>
    </w:r>
    <w:r w:rsidRPr="00DD091B">
      <w:rPr>
        <w:rFonts w:ascii="C39T30Lfz" w:hAnsi="C39T30Lfz"/>
        <w:sz w:val="56"/>
      </w:rPr>
      <w:t></w:t>
    </w:r>
    <w:r w:rsidRPr="00DD091B">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VA/2020/3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20/3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8AC" w:rsidRPr="00AC3823" w:rsidRDefault="002D08AC" w:rsidP="00AC3823">
      <w:pPr>
        <w:pStyle w:val="Pieddepage"/>
        <w:tabs>
          <w:tab w:val="right" w:pos="2155"/>
        </w:tabs>
        <w:spacing w:after="80" w:line="240" w:lineRule="atLeast"/>
        <w:ind w:left="680"/>
        <w:rPr>
          <w:u w:val="single"/>
        </w:rPr>
      </w:pPr>
      <w:r>
        <w:rPr>
          <w:u w:val="single"/>
        </w:rPr>
        <w:tab/>
      </w:r>
    </w:p>
  </w:footnote>
  <w:footnote w:type="continuationSeparator" w:id="0">
    <w:p w:rsidR="002D08AC" w:rsidRPr="00AC3823" w:rsidRDefault="002D08AC" w:rsidP="00AC3823">
      <w:pPr>
        <w:pStyle w:val="Pieddepage"/>
        <w:tabs>
          <w:tab w:val="right" w:pos="2155"/>
        </w:tabs>
        <w:spacing w:after="80" w:line="240" w:lineRule="atLeast"/>
        <w:ind w:left="680"/>
        <w:rPr>
          <w:u w:val="single"/>
        </w:rPr>
      </w:pPr>
      <w:r>
        <w:rPr>
          <w:u w:val="single"/>
        </w:rPr>
        <w:tab/>
      </w:r>
    </w:p>
  </w:footnote>
  <w:footnote w:type="continuationNotice" w:id="1">
    <w:p w:rsidR="002D08AC" w:rsidRPr="00AC3823" w:rsidRDefault="002D08AC">
      <w:pPr>
        <w:spacing w:line="240" w:lineRule="auto"/>
        <w:rPr>
          <w:sz w:val="2"/>
          <w:szCs w:val="2"/>
        </w:rPr>
      </w:pPr>
    </w:p>
  </w:footnote>
  <w:footnote w:id="2">
    <w:p w:rsidR="00021BC1" w:rsidRPr="00021BC1" w:rsidRDefault="00021BC1">
      <w:pPr>
        <w:pStyle w:val="Notedebasdepage"/>
      </w:pPr>
      <w:r>
        <w:rPr>
          <w:rStyle w:val="Appelnotedebasdep"/>
        </w:rPr>
        <w:tab/>
      </w:r>
      <w:r w:rsidRPr="00021BC1">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2020 tel qu’il figure dans le projet de budget-programme pour 2020 (A/74/6 (titre</w:t>
      </w:r>
      <w:r>
        <w:rPr>
          <w:lang w:val="fr-FR"/>
        </w:rPr>
        <w:t> </w:t>
      </w:r>
      <w:r>
        <w:rPr>
          <w:lang w:val="fr-FR"/>
        </w:rPr>
        <w:t>V, chap.</w:t>
      </w:r>
      <w:r>
        <w:rPr>
          <w:lang w:val="fr-FR"/>
        </w:rPr>
        <w:t> </w:t>
      </w:r>
      <w:r>
        <w:rPr>
          <w:lang w:val="fr-FR"/>
        </w:rPr>
        <w:t>20), par.</w:t>
      </w:r>
      <w:r>
        <w:rPr>
          <w:lang w:val="fr-FR"/>
        </w:rPr>
        <w:t> </w:t>
      </w:r>
      <w:r>
        <w:rPr>
          <w:lang w:val="fr-FR"/>
        </w:rPr>
        <w:t>20.37),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91B" w:rsidRPr="00DD091B" w:rsidRDefault="00DD091B">
    <w:pPr>
      <w:pStyle w:val="En-tte"/>
    </w:pPr>
    <w:fldSimple w:instr=" TITLE  \* MERGEFORMAT ">
      <w:r>
        <w:t>ECE/TRANS/WP.29/GRVA/2020/31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91B" w:rsidRPr="00DD091B" w:rsidRDefault="00DD091B" w:rsidP="00DD091B">
    <w:pPr>
      <w:pStyle w:val="En-tte"/>
      <w:jc w:val="right"/>
    </w:pPr>
    <w:fldSimple w:instr=" TITLE  \* MERGEFORMAT ">
      <w:r>
        <w:t>ECE/TRANS/WP.29/GRVA/2020/31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D08AC"/>
    <w:rsid w:val="00017F94"/>
    <w:rsid w:val="00021BC1"/>
    <w:rsid w:val="00023842"/>
    <w:rsid w:val="000334F9"/>
    <w:rsid w:val="00045FEB"/>
    <w:rsid w:val="0007796D"/>
    <w:rsid w:val="000B7790"/>
    <w:rsid w:val="00111F2F"/>
    <w:rsid w:val="0014365E"/>
    <w:rsid w:val="00143C66"/>
    <w:rsid w:val="00176178"/>
    <w:rsid w:val="001F525A"/>
    <w:rsid w:val="00223272"/>
    <w:rsid w:val="0024100C"/>
    <w:rsid w:val="0024779E"/>
    <w:rsid w:val="00257168"/>
    <w:rsid w:val="002744B8"/>
    <w:rsid w:val="002832AC"/>
    <w:rsid w:val="002D08AC"/>
    <w:rsid w:val="002D7C93"/>
    <w:rsid w:val="00305801"/>
    <w:rsid w:val="003916DE"/>
    <w:rsid w:val="00421996"/>
    <w:rsid w:val="00441C3B"/>
    <w:rsid w:val="00446FE5"/>
    <w:rsid w:val="00452396"/>
    <w:rsid w:val="004837D8"/>
    <w:rsid w:val="004E2EED"/>
    <w:rsid w:val="004E468C"/>
    <w:rsid w:val="005442AE"/>
    <w:rsid w:val="005505B7"/>
    <w:rsid w:val="00573BE5"/>
    <w:rsid w:val="00586ED3"/>
    <w:rsid w:val="00596AA9"/>
    <w:rsid w:val="005A1AE1"/>
    <w:rsid w:val="005E2785"/>
    <w:rsid w:val="0071601D"/>
    <w:rsid w:val="007A62E6"/>
    <w:rsid w:val="007F20FA"/>
    <w:rsid w:val="0080684C"/>
    <w:rsid w:val="00871C75"/>
    <w:rsid w:val="008776DC"/>
    <w:rsid w:val="009446C0"/>
    <w:rsid w:val="009705C8"/>
    <w:rsid w:val="009C1CF4"/>
    <w:rsid w:val="009F6B74"/>
    <w:rsid w:val="00A3029F"/>
    <w:rsid w:val="00A30353"/>
    <w:rsid w:val="00AC3823"/>
    <w:rsid w:val="00AE323C"/>
    <w:rsid w:val="00AF0CB5"/>
    <w:rsid w:val="00B00181"/>
    <w:rsid w:val="00B00B0D"/>
    <w:rsid w:val="00B2281E"/>
    <w:rsid w:val="00B45F2E"/>
    <w:rsid w:val="00B765F7"/>
    <w:rsid w:val="00BA0CA9"/>
    <w:rsid w:val="00C02897"/>
    <w:rsid w:val="00C97039"/>
    <w:rsid w:val="00CD3748"/>
    <w:rsid w:val="00D3439C"/>
    <w:rsid w:val="00DB1831"/>
    <w:rsid w:val="00DD091B"/>
    <w:rsid w:val="00DD0DFA"/>
    <w:rsid w:val="00DD3BFD"/>
    <w:rsid w:val="00DF6678"/>
    <w:rsid w:val="00E0299A"/>
    <w:rsid w:val="00E85C74"/>
    <w:rsid w:val="00EA6547"/>
    <w:rsid w:val="00EF2E22"/>
    <w:rsid w:val="00F35BAF"/>
    <w:rsid w:val="00F660DF"/>
    <w:rsid w:val="00F94664"/>
    <w:rsid w:val="00F9573C"/>
    <w:rsid w:val="00F95C08"/>
    <w:rsid w:val="00F95CA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0D3CD0"/>
  <w15:docId w15:val="{EB2B0D86-F99F-4B90-B142-5CB7172B5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3</Pages>
  <Words>800</Words>
  <Characters>5605</Characters>
  <Application>Microsoft Office Word</Application>
  <DocSecurity>0</DocSecurity>
  <Lines>467</Lines>
  <Paragraphs>256</Paragraphs>
  <ScaleCrop>false</ScaleCrop>
  <HeadingPairs>
    <vt:vector size="2" baseType="variant">
      <vt:variant>
        <vt:lpstr>Titre</vt:lpstr>
      </vt:variant>
      <vt:variant>
        <vt:i4>1</vt:i4>
      </vt:variant>
    </vt:vector>
  </HeadingPairs>
  <TitlesOfParts>
    <vt:vector size="1" baseType="lpstr">
      <vt:lpstr>ECE/TRANS/WP.29/GRVA/2020/31</vt:lpstr>
    </vt:vector>
  </TitlesOfParts>
  <Company>DCM</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ECE/TRANS/WP.29/GRVA/2020/31</dc:title>
  <dc:subject/>
  <dc:creator>Brianne MAGNAT</dc:creator>
  <cp:keywords/>
  <cp:lastModifiedBy>Brianne Magnat</cp:lastModifiedBy>
  <cp:revision>2</cp:revision>
  <cp:lastPrinted>2014-05-14T10:59:00Z</cp:lastPrinted>
  <dcterms:created xsi:type="dcterms:W3CDTF">2020-07-28T11:52:00Z</dcterms:created>
  <dcterms:modified xsi:type="dcterms:W3CDTF">2020-07-28T11:52:00Z</dcterms:modified>
</cp:coreProperties>
</file>