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9263BD"/>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263BD" w:rsidP="009263BD">
            <w:pPr>
              <w:jc w:val="right"/>
            </w:pPr>
            <w:r w:rsidRPr="009263BD">
              <w:rPr>
                <w:sz w:val="40"/>
              </w:rPr>
              <w:t>ECE</w:t>
            </w:r>
            <w:r>
              <w:t>/TRANS/WP.29/GRVA/2020/24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263BD" w:rsidP="00C97039">
            <w:pPr>
              <w:spacing w:before="240"/>
            </w:pPr>
            <w:r>
              <w:t>Distr. générale</w:t>
            </w:r>
          </w:p>
          <w:p w:rsidR="009263BD" w:rsidRDefault="009263BD" w:rsidP="009263BD">
            <w:pPr>
              <w:spacing w:line="240" w:lineRule="exact"/>
            </w:pPr>
            <w:r>
              <w:t>8 juillet 2020</w:t>
            </w:r>
          </w:p>
          <w:p w:rsidR="009263BD" w:rsidRDefault="009263BD" w:rsidP="009263BD">
            <w:pPr>
              <w:spacing w:line="240" w:lineRule="exact"/>
            </w:pPr>
            <w:r>
              <w:t>Français</w:t>
            </w:r>
          </w:p>
          <w:p w:rsidR="009263BD" w:rsidRPr="00DB58B5" w:rsidRDefault="009263BD" w:rsidP="009263B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9263BD" w:rsidRDefault="009263BD" w:rsidP="00A3029F">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9263BD" w:rsidRDefault="009263BD" w:rsidP="00A3029F">
      <w:pPr>
        <w:spacing w:before="120"/>
        <w:rPr>
          <w:b/>
        </w:rPr>
      </w:pPr>
      <w:r>
        <w:rPr>
          <w:b/>
        </w:rPr>
        <w:t xml:space="preserve">Groupe de travail </w:t>
      </w:r>
      <w:r w:rsidRPr="00EA3397">
        <w:rPr>
          <w:rFonts w:eastAsia="Times New Roman"/>
          <w:b/>
          <w:bCs/>
        </w:rPr>
        <w:t>des véhicules automatisés</w:t>
      </w:r>
      <w:r>
        <w:rPr>
          <w:rFonts w:eastAsia="Times New Roman"/>
          <w:b/>
          <w:bCs/>
        </w:rPr>
        <w:t>/autonomes et connectés</w:t>
      </w:r>
    </w:p>
    <w:p w:rsidR="009263BD" w:rsidRDefault="009263BD" w:rsidP="00A3029F">
      <w:pPr>
        <w:spacing w:before="120"/>
        <w:rPr>
          <w:b/>
        </w:rPr>
      </w:pPr>
      <w:r>
        <w:rPr>
          <w:b/>
        </w:rPr>
        <w:t>Septième session</w:t>
      </w:r>
    </w:p>
    <w:p w:rsidR="009263BD" w:rsidRDefault="009263BD" w:rsidP="00A3029F">
      <w:pPr>
        <w:spacing w:line="240" w:lineRule="exact"/>
      </w:pPr>
      <w:r>
        <w:t>Genève, 21-25 septembre 2020</w:t>
      </w:r>
    </w:p>
    <w:p w:rsidR="009263BD" w:rsidRDefault="009263BD" w:rsidP="00A3029F">
      <w:pPr>
        <w:spacing w:line="240" w:lineRule="exact"/>
      </w:pPr>
      <w:r>
        <w:t>Point 6 a) de l’ordre du jour provisoire</w:t>
      </w:r>
    </w:p>
    <w:p w:rsidR="009263BD" w:rsidRPr="006C2E64" w:rsidRDefault="009263BD" w:rsidP="009263BD">
      <w:pPr>
        <w:rPr>
          <w:b/>
        </w:rPr>
      </w:pPr>
      <w:r>
        <w:rPr>
          <w:b/>
          <w:bCs/>
          <w:lang w:val="fr-FR"/>
        </w:rPr>
        <w:t xml:space="preserve">Règlement ONU </w:t>
      </w:r>
      <w:r>
        <w:rPr>
          <w:b/>
          <w:bCs/>
          <w:lang w:val="fr-FR"/>
        </w:rPr>
        <w:t>n</w:t>
      </w:r>
      <w:r w:rsidRPr="009263BD">
        <w:rPr>
          <w:b/>
          <w:bCs/>
          <w:vertAlign w:val="superscript"/>
          <w:lang w:val="fr-FR"/>
        </w:rPr>
        <w:t>o</w:t>
      </w:r>
      <w:r>
        <w:rPr>
          <w:b/>
          <w:bCs/>
          <w:lang w:val="fr-FR"/>
        </w:rPr>
        <w:t> </w:t>
      </w:r>
      <w:r>
        <w:rPr>
          <w:b/>
          <w:bCs/>
          <w:lang w:val="fr-FR"/>
        </w:rPr>
        <w:t>79 (Équipement de direction)</w:t>
      </w:r>
      <w:r>
        <w:rPr>
          <w:b/>
          <w:bCs/>
          <w:lang w:val="fr-FR"/>
        </w:rPr>
        <w:t> </w:t>
      </w:r>
      <w:r>
        <w:rPr>
          <w:b/>
          <w:bCs/>
          <w:lang w:val="fr-FR"/>
        </w:rPr>
        <w:t>:</w:t>
      </w:r>
      <w:r>
        <w:rPr>
          <w:b/>
        </w:rPr>
        <w:t xml:space="preserve"> </w:t>
      </w:r>
      <w:r>
        <w:rPr>
          <w:b/>
        </w:rPr>
        <w:br/>
      </w:r>
      <w:r>
        <w:rPr>
          <w:b/>
          <w:bCs/>
          <w:lang w:val="fr-FR"/>
        </w:rPr>
        <w:t>Fonction de direction à commande automatique</w:t>
      </w:r>
    </w:p>
    <w:p w:rsidR="009263BD" w:rsidRPr="006C2E64" w:rsidRDefault="009263BD" w:rsidP="009263BD">
      <w:pPr>
        <w:pStyle w:val="HChG"/>
      </w:pPr>
      <w:r>
        <w:rPr>
          <w:lang w:val="fr-FR"/>
        </w:rPr>
        <w:tab/>
      </w:r>
      <w:r>
        <w:rPr>
          <w:lang w:val="fr-FR"/>
        </w:rPr>
        <w:tab/>
        <w:t>Proposition de complément à la série</w:t>
      </w:r>
      <w:r>
        <w:rPr>
          <w:lang w:val="fr-FR"/>
        </w:rPr>
        <w:t> </w:t>
      </w:r>
      <w:r>
        <w:rPr>
          <w:lang w:val="fr-FR"/>
        </w:rPr>
        <w:t xml:space="preserve">03 d’amendements </w:t>
      </w:r>
      <w:r>
        <w:rPr>
          <w:lang w:val="fr-FR"/>
        </w:rPr>
        <w:br/>
      </w:r>
      <w:r>
        <w:rPr>
          <w:lang w:val="fr-FR"/>
        </w:rPr>
        <w:t xml:space="preserve">au Règlement ONU </w:t>
      </w:r>
      <w:r>
        <w:rPr>
          <w:lang w:val="fr-FR"/>
        </w:rPr>
        <w:t>n</w:t>
      </w:r>
      <w:r w:rsidRPr="009263BD">
        <w:rPr>
          <w:vertAlign w:val="superscript"/>
          <w:lang w:val="fr-FR"/>
        </w:rPr>
        <w:t>o</w:t>
      </w:r>
      <w:r>
        <w:rPr>
          <w:lang w:val="fr-FR"/>
        </w:rPr>
        <w:t> </w:t>
      </w:r>
      <w:r>
        <w:rPr>
          <w:lang w:val="fr-FR"/>
        </w:rPr>
        <w:t>79 (Équipement de direction)</w:t>
      </w:r>
    </w:p>
    <w:p w:rsidR="009263BD" w:rsidRPr="006C2E64" w:rsidRDefault="009263BD" w:rsidP="009263BD">
      <w:pPr>
        <w:pStyle w:val="H1G"/>
        <w:rPr>
          <w:szCs w:val="24"/>
        </w:rPr>
      </w:pPr>
      <w:r>
        <w:rPr>
          <w:lang w:val="fr-FR"/>
        </w:rPr>
        <w:tab/>
      </w:r>
      <w:r>
        <w:rPr>
          <w:lang w:val="fr-FR"/>
        </w:rPr>
        <w:tab/>
        <w:t>Communication de l’expert de l’Allemagne</w:t>
      </w:r>
      <w:r w:rsidRPr="009263BD">
        <w:rPr>
          <w:rStyle w:val="Appelnotedebasdep"/>
          <w:b w:val="0"/>
          <w:bCs/>
          <w:sz w:val="20"/>
          <w:vertAlign w:val="baseline"/>
        </w:rPr>
        <w:footnoteReference w:customMarkFollows="1" w:id="2"/>
        <w:t>*</w:t>
      </w:r>
    </w:p>
    <w:p w:rsidR="009263BD" w:rsidRDefault="009263BD" w:rsidP="009263BD">
      <w:pPr>
        <w:pStyle w:val="SingleTxtG"/>
        <w:ind w:firstLine="567"/>
      </w:pPr>
      <w:r>
        <w:rPr>
          <w:lang w:val="fr-FR"/>
        </w:rPr>
        <w:t>Le texte ci-après, établi par les experts de l’Allemagne, est fondé sur le document informel GRVA-05-53, présenté à la cinquième session du Groupe de travail des véhicules automatisés/autonomes et connectés (GRVA). Les modifications qu’il est proposé d’apporter au texte actuel du Règlement figurent en caractères gras pour les ajouts et biffés pour les suppressions.</w:t>
      </w:r>
    </w:p>
    <w:p w:rsidR="009263BD" w:rsidRPr="006C2E64" w:rsidRDefault="009263BD" w:rsidP="009263BD">
      <w:pPr>
        <w:pStyle w:val="HChG"/>
      </w:pPr>
      <w:r>
        <w:rPr>
          <w:lang w:val="fr-FR"/>
        </w:rPr>
        <w:tab/>
      </w:r>
      <w:r>
        <w:rPr>
          <w:lang w:val="fr-FR"/>
        </w:rPr>
        <w:t>I.</w:t>
      </w:r>
      <w:r>
        <w:rPr>
          <w:lang w:val="fr-FR"/>
        </w:rPr>
        <w:tab/>
        <w:t>Proposition</w:t>
      </w:r>
    </w:p>
    <w:p w:rsidR="009263BD" w:rsidRPr="006C2E64" w:rsidRDefault="009263BD" w:rsidP="009263BD">
      <w:pPr>
        <w:pStyle w:val="SingleTxtG"/>
      </w:pPr>
      <w:r>
        <w:rPr>
          <w:i/>
          <w:iCs/>
          <w:lang w:val="fr-FR"/>
        </w:rPr>
        <w:t>Paragraphe 5.6.4.7</w:t>
      </w:r>
      <w:r>
        <w:rPr>
          <w:lang w:val="fr-FR"/>
        </w:rPr>
        <w:t>, lire</w:t>
      </w:r>
      <w:r>
        <w:rPr>
          <w:lang w:val="fr-FR"/>
        </w:rPr>
        <w:t> </w:t>
      </w:r>
      <w:r>
        <w:rPr>
          <w:lang w:val="fr-FR"/>
        </w:rPr>
        <w:t>:</w:t>
      </w:r>
    </w:p>
    <w:p w:rsidR="009263BD" w:rsidRPr="006C2E64" w:rsidRDefault="009263BD" w:rsidP="009263BD">
      <w:pPr>
        <w:pStyle w:val="SingleTxtG"/>
      </w:pPr>
      <w:r>
        <w:rPr>
          <w:lang w:val="fr-FR"/>
        </w:rPr>
        <w:t>« 5.6.4.7</w:t>
      </w:r>
      <w:r>
        <w:rPr>
          <w:lang w:val="fr-FR"/>
        </w:rPr>
        <w:tab/>
        <w:t>Situations critiques</w:t>
      </w:r>
    </w:p>
    <w:p w:rsidR="009263BD" w:rsidRPr="006C2E64" w:rsidRDefault="009263BD" w:rsidP="009263BD">
      <w:pPr>
        <w:pStyle w:val="SingleTxtG"/>
        <w:ind w:left="2268"/>
      </w:pPr>
      <w:r>
        <w:rPr>
          <w:lang w:val="fr-FR"/>
        </w:rPr>
        <w:t>Une situation est considérée comme critique si, au moment où débute une manœuvre de changement de voie, un véhicule en approche dans la voie de destination est obligé de ralentir en effectuant une décélération supérieure à 3 m/s</w:t>
      </w:r>
      <w:r w:rsidRPr="00183CBF">
        <w:rPr>
          <w:vertAlign w:val="superscript"/>
          <w:lang w:val="fr-FR"/>
        </w:rPr>
        <w:t>2</w:t>
      </w:r>
      <w:r>
        <w:rPr>
          <w:lang w:val="fr-FR"/>
        </w:rPr>
        <w:t>, 0,4</w:t>
      </w:r>
      <w:r>
        <w:rPr>
          <w:lang w:val="fr-FR"/>
        </w:rPr>
        <w:t> </w:t>
      </w:r>
      <w:r>
        <w:rPr>
          <w:lang w:val="fr-FR"/>
        </w:rPr>
        <w:t>s après le début de la manœuvre, pour que la distance entre les deux véhicules ne soit jamais inférieure à la distance parcourue en 1</w:t>
      </w:r>
      <w:r>
        <w:rPr>
          <w:lang w:val="fr-FR"/>
        </w:rPr>
        <w:t> </w:t>
      </w:r>
      <w:r>
        <w:rPr>
          <w:lang w:val="fr-FR"/>
        </w:rPr>
        <w:t>s par le véhicule changeant de voie.</w:t>
      </w:r>
      <w:bookmarkStart w:id="0" w:name="_GoBack"/>
      <w:bookmarkEnd w:id="0"/>
    </w:p>
    <w:p w:rsidR="009263BD" w:rsidRPr="006C2E64" w:rsidRDefault="009263BD" w:rsidP="009263BD">
      <w:pPr>
        <w:pStyle w:val="SingleTxtG"/>
        <w:ind w:left="2268"/>
      </w:pPr>
      <w:r>
        <w:rPr>
          <w:lang w:val="fr-FR"/>
        </w:rPr>
        <w:lastRenderedPageBreak/>
        <w:tab/>
        <w:t>La distance critique au début de la manœuvre de changement de voie doit donc être calculée selon la formule suivante</w:t>
      </w:r>
      <w:r>
        <w:rPr>
          <w:lang w:val="fr-FR"/>
        </w:rPr>
        <w:t> </w:t>
      </w:r>
      <w:r>
        <w:rPr>
          <w:lang w:val="fr-FR"/>
        </w:rPr>
        <w:t>:</w:t>
      </w:r>
    </w:p>
    <w:p w:rsidR="009263BD" w:rsidRPr="00EA199F" w:rsidRDefault="009263BD" w:rsidP="009263BD">
      <w:pPr>
        <w:pStyle w:val="SingleTxtG"/>
        <w:ind w:left="2835"/>
      </w:pPr>
      <w:r w:rsidRPr="00EA199F">
        <w:t>S</w:t>
      </w:r>
      <w:r w:rsidRPr="00EA199F">
        <w:rPr>
          <w:vertAlign w:val="subscript"/>
        </w:rPr>
        <w:t>critical</w:t>
      </w:r>
      <w:r w:rsidRPr="00EA199F">
        <w:t xml:space="preserve"> = (v</w:t>
      </w:r>
      <w:r w:rsidRPr="00EA199F">
        <w:rPr>
          <w:vertAlign w:val="subscript"/>
        </w:rPr>
        <w:t>rear</w:t>
      </w:r>
      <w:r w:rsidRPr="00EA199F">
        <w:t xml:space="preserve"> - v</w:t>
      </w:r>
      <w:r w:rsidRPr="00EA199F">
        <w:rPr>
          <w:vertAlign w:val="subscript"/>
        </w:rPr>
        <w:t>ACSF</w:t>
      </w:r>
      <w:r w:rsidRPr="00EA199F">
        <w:t>) * t</w:t>
      </w:r>
      <w:r w:rsidRPr="00EA199F">
        <w:rPr>
          <w:vertAlign w:val="subscript"/>
        </w:rPr>
        <w:t>B</w:t>
      </w:r>
      <w:r w:rsidRPr="00EA199F">
        <w:t xml:space="preserve"> + (v</w:t>
      </w:r>
      <w:r w:rsidRPr="00EA199F">
        <w:rPr>
          <w:vertAlign w:val="subscript"/>
        </w:rPr>
        <w:t>rear</w:t>
      </w:r>
      <w:r w:rsidRPr="00EA199F">
        <w:t xml:space="preserve"> - v</w:t>
      </w:r>
      <w:r w:rsidRPr="00EA199F">
        <w:rPr>
          <w:vertAlign w:val="subscript"/>
        </w:rPr>
        <w:t>ACSF</w:t>
      </w:r>
      <w:r w:rsidRPr="00EA199F">
        <w:t>)</w:t>
      </w:r>
      <w:r w:rsidRPr="00EA199F">
        <w:rPr>
          <w:vertAlign w:val="superscript"/>
        </w:rPr>
        <w:t>2</w:t>
      </w:r>
      <w:r w:rsidRPr="00EA199F">
        <w:t xml:space="preserve"> / (2 * a) + v</w:t>
      </w:r>
      <w:r w:rsidRPr="00EA199F">
        <w:rPr>
          <w:vertAlign w:val="subscript"/>
        </w:rPr>
        <w:t>ACSF</w:t>
      </w:r>
      <w:r w:rsidRPr="00EA199F">
        <w:t xml:space="preserve"> * t</w:t>
      </w:r>
      <w:r w:rsidRPr="00EA199F">
        <w:rPr>
          <w:vertAlign w:val="subscript"/>
        </w:rPr>
        <w:t>G</w:t>
      </w:r>
    </w:p>
    <w:p w:rsidR="009263BD" w:rsidRPr="006C2E64" w:rsidRDefault="009263BD" w:rsidP="009263BD">
      <w:pPr>
        <w:pStyle w:val="SingleTxtG"/>
        <w:ind w:left="2268"/>
      </w:pPr>
      <w:r w:rsidRPr="00EA199F">
        <w:tab/>
      </w:r>
      <w:r>
        <w:rPr>
          <w:lang w:val="fr-FR"/>
        </w:rPr>
        <w:t>où</w:t>
      </w:r>
      <w:r>
        <w:rPr>
          <w:lang w:val="fr-FR"/>
        </w:rPr>
        <w:t> </w:t>
      </w:r>
      <w:r>
        <w:rPr>
          <w:lang w:val="fr-FR"/>
        </w:rPr>
        <w:t>:</w:t>
      </w:r>
    </w:p>
    <w:p w:rsidR="009263BD" w:rsidRPr="006C2E64" w:rsidRDefault="009263BD" w:rsidP="009263BD">
      <w:pPr>
        <w:pStyle w:val="SingleTxtG"/>
        <w:tabs>
          <w:tab w:val="left" w:pos="2835"/>
          <w:tab w:val="left" w:pos="3402"/>
        </w:tabs>
        <w:ind w:left="3969" w:hanging="1134"/>
      </w:pPr>
      <w:r>
        <w:rPr>
          <w:lang w:val="fr-FR"/>
        </w:rPr>
        <w:t>v</w:t>
      </w:r>
      <w:r w:rsidRPr="006C2E64">
        <w:rPr>
          <w:vertAlign w:val="subscript"/>
          <w:lang w:val="fr-FR"/>
        </w:rPr>
        <w:t>rear</w:t>
      </w:r>
      <w:r>
        <w:rPr>
          <w:lang w:val="fr-FR"/>
        </w:rPr>
        <w:tab/>
        <w:t>est</w:t>
      </w:r>
      <w:r>
        <w:rPr>
          <w:lang w:val="fr-FR"/>
        </w:rPr>
        <w:tab/>
        <w:t>La vitesse effective du véhicule en approche ou 130 km/h, la valeur retenue étant la moins élevée ;</w:t>
      </w:r>
    </w:p>
    <w:p w:rsidR="009263BD" w:rsidRPr="006C2E64" w:rsidRDefault="009263BD" w:rsidP="009263BD">
      <w:pPr>
        <w:pStyle w:val="SingleTxtG"/>
        <w:tabs>
          <w:tab w:val="left" w:pos="2835"/>
          <w:tab w:val="left" w:pos="3402"/>
        </w:tabs>
        <w:ind w:left="3969" w:hanging="1134"/>
      </w:pPr>
      <w:r>
        <w:rPr>
          <w:lang w:val="fr-FR"/>
        </w:rPr>
        <w:t>v</w:t>
      </w:r>
      <w:r w:rsidRPr="006C2E64">
        <w:rPr>
          <w:vertAlign w:val="subscript"/>
          <w:lang w:val="fr-FR"/>
        </w:rPr>
        <w:t>ACSF</w:t>
      </w:r>
      <w:r>
        <w:rPr>
          <w:lang w:val="fr-FR"/>
        </w:rPr>
        <w:tab/>
        <w:t>est</w:t>
      </w:r>
      <w:r>
        <w:rPr>
          <w:lang w:val="fr-FR"/>
        </w:rPr>
        <w:tab/>
        <w:t>La vitesse effective du véhicule équipé de l’ACSF</w:t>
      </w:r>
      <w:r>
        <w:rPr>
          <w:lang w:val="fr-FR"/>
        </w:rPr>
        <w:t> </w:t>
      </w:r>
      <w:r>
        <w:rPr>
          <w:lang w:val="fr-FR"/>
        </w:rPr>
        <w:t>;</w:t>
      </w:r>
    </w:p>
    <w:p w:rsidR="009263BD" w:rsidRPr="006C2E64" w:rsidRDefault="009263BD" w:rsidP="009263BD">
      <w:pPr>
        <w:pStyle w:val="SingleTxtG"/>
        <w:tabs>
          <w:tab w:val="left" w:pos="2835"/>
          <w:tab w:val="left" w:pos="3402"/>
        </w:tabs>
        <w:ind w:left="3969" w:hanging="1134"/>
      </w:pPr>
      <w:r>
        <w:rPr>
          <w:lang w:val="fr-FR"/>
        </w:rPr>
        <w:t>a</w:t>
      </w:r>
      <w:r>
        <w:rPr>
          <w:lang w:val="fr-FR"/>
        </w:rPr>
        <w:tab/>
        <w:t>=</w:t>
      </w:r>
      <w:r>
        <w:rPr>
          <w:lang w:val="fr-FR"/>
        </w:rPr>
        <w:tab/>
        <w:t>3</w:t>
      </w:r>
      <w:r w:rsidR="00832E4F">
        <w:rPr>
          <w:lang w:val="fr-FR"/>
        </w:rPr>
        <w:t> </w:t>
      </w:r>
      <w:r>
        <w:rPr>
          <w:lang w:val="fr-FR"/>
        </w:rPr>
        <w:t>m/s</w:t>
      </w:r>
      <w:r w:rsidRPr="00183CBF">
        <w:rPr>
          <w:vertAlign w:val="superscript"/>
          <w:lang w:val="fr-FR"/>
        </w:rPr>
        <w:t>2</w:t>
      </w:r>
      <w:r>
        <w:rPr>
          <w:lang w:val="fr-FR"/>
        </w:rPr>
        <w:tab/>
        <w:t>(Décélération du véhicule en approche)</w:t>
      </w:r>
      <w:r>
        <w:rPr>
          <w:lang w:val="fr-FR"/>
        </w:rPr>
        <w:t> </w:t>
      </w:r>
      <w:r>
        <w:rPr>
          <w:lang w:val="fr-FR"/>
        </w:rPr>
        <w:t>;</w:t>
      </w:r>
    </w:p>
    <w:p w:rsidR="009263BD" w:rsidRPr="009263BD" w:rsidRDefault="009263BD" w:rsidP="009263BD">
      <w:pPr>
        <w:pStyle w:val="SingleTxtG"/>
        <w:tabs>
          <w:tab w:val="left" w:pos="2835"/>
          <w:tab w:val="left" w:pos="3402"/>
        </w:tabs>
        <w:ind w:left="3969" w:hanging="1134"/>
        <w:rPr>
          <w:lang w:val="fr-FR"/>
        </w:rPr>
      </w:pPr>
      <w:r>
        <w:rPr>
          <w:lang w:val="fr-FR"/>
        </w:rPr>
        <w:t>t</w:t>
      </w:r>
      <w:r w:rsidRPr="006C2E64">
        <w:rPr>
          <w:vertAlign w:val="subscript"/>
          <w:lang w:val="fr-FR"/>
        </w:rPr>
        <w:t>B</w:t>
      </w:r>
      <w:r>
        <w:rPr>
          <w:lang w:val="fr-FR"/>
        </w:rPr>
        <w:tab/>
        <w:t>=</w:t>
      </w:r>
      <w:r>
        <w:rPr>
          <w:lang w:val="fr-FR"/>
        </w:rPr>
        <w:tab/>
        <w:t>0,4</w:t>
      </w:r>
      <w:r w:rsidR="00832E4F">
        <w:rPr>
          <w:lang w:val="fr-FR"/>
        </w:rPr>
        <w:t> </w:t>
      </w:r>
      <w:r>
        <w:rPr>
          <w:lang w:val="fr-FR"/>
        </w:rPr>
        <w:t>s</w:t>
      </w:r>
      <w:r>
        <w:rPr>
          <w:lang w:val="fr-FR"/>
        </w:rPr>
        <w:tab/>
        <w:t>(Temps écoulé après le début de la manœuvre de changement de voie, correspondant au début de la décélération du véhicule en approche) ;</w:t>
      </w:r>
    </w:p>
    <w:p w:rsidR="009263BD" w:rsidRPr="006C2E64" w:rsidRDefault="009263BD" w:rsidP="009263BD">
      <w:pPr>
        <w:pStyle w:val="SingleTxtG"/>
        <w:tabs>
          <w:tab w:val="left" w:pos="2835"/>
          <w:tab w:val="left" w:pos="3402"/>
        </w:tabs>
        <w:ind w:left="3969" w:hanging="1134"/>
      </w:pPr>
      <w:r>
        <w:rPr>
          <w:lang w:val="fr-FR"/>
        </w:rPr>
        <w:t>t</w:t>
      </w:r>
      <w:r w:rsidRPr="006C2E64">
        <w:rPr>
          <w:vertAlign w:val="subscript"/>
          <w:lang w:val="fr-FR"/>
        </w:rPr>
        <w:t>G</w:t>
      </w:r>
      <w:r>
        <w:rPr>
          <w:lang w:val="fr-FR"/>
        </w:rPr>
        <w:tab/>
        <w:t>=</w:t>
      </w:r>
      <w:r>
        <w:rPr>
          <w:lang w:val="fr-FR"/>
        </w:rPr>
        <w:tab/>
        <w:t>1</w:t>
      </w:r>
      <w:r w:rsidR="00832E4F">
        <w:rPr>
          <w:lang w:val="fr-FR"/>
        </w:rPr>
        <w:t> </w:t>
      </w:r>
      <w:r>
        <w:rPr>
          <w:lang w:val="fr-FR"/>
        </w:rPr>
        <w:t>s</w:t>
      </w:r>
      <w:r>
        <w:rPr>
          <w:lang w:val="fr-FR"/>
        </w:rPr>
        <w:tab/>
        <w:t>(Écart restant entre les véhicules après la décélération du véhicule en approche).</w:t>
      </w:r>
    </w:p>
    <w:p w:rsidR="009263BD" w:rsidRPr="00B05A53" w:rsidRDefault="009263BD" w:rsidP="009263BD">
      <w:pPr>
        <w:pStyle w:val="SingleTxtG"/>
        <w:ind w:left="2268"/>
      </w:pPr>
      <w:r>
        <w:rPr>
          <w:b/>
          <w:lang w:val="fr-FR"/>
        </w:rPr>
        <w:t>Si le constructeur prend en compte des paramètres supplémentaires (l’accélération du véhicule engagé dans la manœuvre de changement de voie ou la décélération du véhicule en approche, par exemple) pour déterminer qu’un véhicule se trouve dans une situation critique, il peut modifier la formule, auquel cas la modification doit être déclarée au service technique et évaluée par celui-ci.</w:t>
      </w:r>
      <w:r>
        <w:rPr>
          <w:lang w:val="fr-FR"/>
        </w:rPr>
        <w:t xml:space="preserve"> </w:t>
      </w:r>
      <w:r w:rsidRPr="00EA199F">
        <w:rPr>
          <w:b/>
          <w:lang w:val="fr-FR"/>
        </w:rPr>
        <w:t>Dans tous les cas,</w:t>
      </w:r>
      <w:r>
        <w:rPr>
          <w:lang w:val="fr-FR"/>
        </w:rPr>
        <w:t xml:space="preserve"> </w:t>
      </w:r>
      <w:r>
        <w:rPr>
          <w:b/>
          <w:lang w:val="fr-FR"/>
        </w:rPr>
        <w:t>il doit être assuré qu’un véhicule en approche ne sera pas obligé de ralentir en effectuant une décélération supérieure à 3 m/s</w:t>
      </w:r>
      <w:r w:rsidRPr="00183CBF">
        <w:rPr>
          <w:b/>
          <w:vertAlign w:val="superscript"/>
          <w:lang w:val="fr-FR"/>
        </w:rPr>
        <w:t>2</w:t>
      </w:r>
      <w:r>
        <w:rPr>
          <w:b/>
          <w:lang w:val="fr-FR"/>
        </w:rPr>
        <w:t>, 0,4 s après le début de la manœuvre, pour que la distance entre les deux véhicules ne soit jamais inférieure à la distance parcourue en 1 s par le véhicule changeant de voie.</w:t>
      </w:r>
      <w:r>
        <w:rPr>
          <w:lang w:val="fr-FR"/>
        </w:rPr>
        <w:t xml:space="preserve"> </w:t>
      </w:r>
      <w:r>
        <w:rPr>
          <w:b/>
          <w:lang w:val="fr-FR"/>
        </w:rPr>
        <w:t>La formule modifiée utilisée par le constructeur pour déterminer qu’un véhicule se trouve dans une situation critique doit figurer dans le dossier d’homologation de type.</w:t>
      </w:r>
      <w:r>
        <w:rPr>
          <w:lang w:val="fr-FR"/>
        </w:rPr>
        <w:t> ».</w:t>
      </w:r>
    </w:p>
    <w:p w:rsidR="009263BD" w:rsidRPr="00A70175" w:rsidRDefault="009263BD" w:rsidP="009263BD">
      <w:pPr>
        <w:pStyle w:val="HChG"/>
        <w:rPr>
          <w:rFonts w:eastAsia="MS Mincho"/>
        </w:rPr>
      </w:pPr>
      <w:r>
        <w:tab/>
        <w:t>II.</w:t>
      </w:r>
      <w:r>
        <w:tab/>
      </w:r>
      <w:r>
        <w:rPr>
          <w:lang w:val="fr-FR"/>
        </w:rPr>
        <w:t>Justification</w:t>
      </w:r>
    </w:p>
    <w:p w:rsidR="009263BD" w:rsidRPr="006C2E64" w:rsidRDefault="009263BD" w:rsidP="009263BD">
      <w:pPr>
        <w:pStyle w:val="SingleTxtG"/>
      </w:pPr>
      <w:r>
        <w:rPr>
          <w:lang w:val="fr-FR"/>
        </w:rPr>
        <w:t>1.</w:t>
      </w:r>
      <w:r>
        <w:rPr>
          <w:lang w:val="fr-FR"/>
        </w:rPr>
        <w:tab/>
        <w:t>Les systèmes déjà en service à ce jour ont été mis sur le marché sur la base des homologations par dérogation accordées dans l’Union européenne. Ils présentent des performances satisfaisantes et sûres. Pour être homologués conformément aux dispositions de la série</w:t>
      </w:r>
      <w:r>
        <w:rPr>
          <w:lang w:val="fr-FR"/>
        </w:rPr>
        <w:t> </w:t>
      </w:r>
      <w:r>
        <w:rPr>
          <w:lang w:val="fr-FR"/>
        </w:rPr>
        <w:t xml:space="preserve">03 d’amendements au Règlement ONU </w:t>
      </w:r>
      <w:r>
        <w:rPr>
          <w:lang w:val="fr-FR"/>
        </w:rPr>
        <w:t>n</w:t>
      </w:r>
      <w:r w:rsidRPr="009263BD">
        <w:rPr>
          <w:vertAlign w:val="superscript"/>
          <w:lang w:val="fr-FR"/>
        </w:rPr>
        <w:t>o</w:t>
      </w:r>
      <w:r>
        <w:rPr>
          <w:lang w:val="fr-FR"/>
        </w:rPr>
        <w:t> </w:t>
      </w:r>
      <w:r>
        <w:rPr>
          <w:lang w:val="fr-FR"/>
        </w:rPr>
        <w:t xml:space="preserve">79, ces systèmes devraient être modifiés d’une manière qui aurait des effets négatifs sur les performances. Aucun motif de sécurité ne semble justifier une telle modification. La présente proposition vise donc à adapter le texte actuel du Règlement ONU </w:t>
      </w:r>
      <w:r>
        <w:rPr>
          <w:lang w:val="fr-FR"/>
        </w:rPr>
        <w:t>n</w:t>
      </w:r>
      <w:r w:rsidRPr="009263BD">
        <w:rPr>
          <w:vertAlign w:val="superscript"/>
          <w:lang w:val="fr-FR"/>
        </w:rPr>
        <w:t>o</w:t>
      </w:r>
      <w:r>
        <w:rPr>
          <w:lang w:val="fr-FR"/>
        </w:rPr>
        <w:t> </w:t>
      </w:r>
      <w:r>
        <w:rPr>
          <w:lang w:val="fr-FR"/>
        </w:rPr>
        <w:t>79 à la technologie utilisée.</w:t>
      </w:r>
    </w:p>
    <w:p w:rsidR="009263BD" w:rsidRPr="006C2E64" w:rsidRDefault="009263BD" w:rsidP="009263BD">
      <w:pPr>
        <w:pStyle w:val="SingleTxtG"/>
      </w:pPr>
      <w:r>
        <w:rPr>
          <w:lang w:val="fr-FR"/>
        </w:rPr>
        <w:t>2.</w:t>
      </w:r>
      <w:r>
        <w:rPr>
          <w:lang w:val="fr-FR"/>
        </w:rPr>
        <w:tab/>
        <w:t>La formule actuelle de calcul de S</w:t>
      </w:r>
      <w:r w:rsidRPr="006C2E64">
        <w:rPr>
          <w:vertAlign w:val="subscript"/>
          <w:lang w:val="fr-FR"/>
        </w:rPr>
        <w:t>critical</w:t>
      </w:r>
      <w:r>
        <w:rPr>
          <w:lang w:val="fr-FR"/>
        </w:rPr>
        <w:t xml:space="preserve"> ne tient pas compte du comportement dynamique réel des véhicules et aboutit de ce fait à l’imposition d’écarts qui</w:t>
      </w:r>
      <w:r w:rsidRPr="000863E5">
        <w:rPr>
          <w:lang w:val="fr-FR"/>
        </w:rPr>
        <w:t xml:space="preserve"> </w:t>
      </w:r>
      <w:r>
        <w:rPr>
          <w:lang w:val="fr-FR"/>
        </w:rPr>
        <w:t xml:space="preserve">ne se présentent généralement pas </w:t>
      </w:r>
      <w:r w:rsidRPr="006C2E64">
        <w:rPr>
          <w:lang w:val="fr-FR"/>
        </w:rPr>
        <w:t>dans certaines conditions de circulation</w:t>
      </w:r>
      <w:r>
        <w:rPr>
          <w:lang w:val="fr-FR"/>
        </w:rPr>
        <w:t>.</w:t>
      </w:r>
    </w:p>
    <w:p w:rsidR="009263BD" w:rsidRPr="006C2E64" w:rsidRDefault="009263BD" w:rsidP="009263BD">
      <w:pPr>
        <w:pStyle w:val="SingleTxtG"/>
      </w:pPr>
      <w:r>
        <w:rPr>
          <w:lang w:val="fr-FR"/>
        </w:rPr>
        <w:t>3.</w:t>
      </w:r>
      <w:r>
        <w:rPr>
          <w:lang w:val="fr-FR"/>
        </w:rPr>
        <w:tab/>
        <w:t>Il devrait être possible d’envisager un calcul plus dynamique de la distance critique, à condition de respecter le principe de sécurité consistant à ne pas obliger un véhicule en approche à ralentir en effectuant une décélération supérieure à 3</w:t>
      </w:r>
      <w:r>
        <w:rPr>
          <w:lang w:val="fr-FR"/>
        </w:rPr>
        <w:t> </w:t>
      </w:r>
      <w:r>
        <w:rPr>
          <w:lang w:val="fr-FR"/>
        </w:rPr>
        <w:t>m/s</w:t>
      </w:r>
      <w:r w:rsidRPr="004C203D">
        <w:rPr>
          <w:vertAlign w:val="superscript"/>
          <w:lang w:val="fr-FR"/>
        </w:rPr>
        <w:t>2</w:t>
      </w:r>
      <w:r>
        <w:rPr>
          <w:lang w:val="fr-FR"/>
        </w:rPr>
        <w:t>.</w:t>
      </w:r>
    </w:p>
    <w:p w:rsidR="00F9573C" w:rsidRDefault="009263BD" w:rsidP="009263BD">
      <w:pPr>
        <w:pStyle w:val="SingleTxtG"/>
        <w:rPr>
          <w:lang w:val="fr-FR"/>
        </w:rPr>
      </w:pPr>
      <w:r>
        <w:rPr>
          <w:lang w:val="fr-FR"/>
        </w:rPr>
        <w:t>4.</w:t>
      </w:r>
      <w:r>
        <w:rPr>
          <w:lang w:val="fr-FR"/>
        </w:rPr>
        <w:tab/>
        <w:t>Comme il existe différentes manières de prendre en compte le comportement dynamique des véhicules dans la formule d’origine, il est proposé, à condition que le principe de sécurité soit maintenu, de permettre au constructeur d’établir sa propre formule, plutôt que de chercher à définir une formule plus complexe dans le Règlement.</w:t>
      </w:r>
    </w:p>
    <w:p w:rsidR="009263BD" w:rsidRPr="009263BD" w:rsidRDefault="009263BD" w:rsidP="009263BD">
      <w:pPr>
        <w:pStyle w:val="SingleTxtG"/>
        <w:spacing w:before="240" w:after="0"/>
        <w:jc w:val="center"/>
        <w:rPr>
          <w:u w:val="single"/>
        </w:rPr>
      </w:pPr>
      <w:r>
        <w:rPr>
          <w:u w:val="single"/>
        </w:rPr>
        <w:tab/>
      </w:r>
      <w:r>
        <w:rPr>
          <w:u w:val="single"/>
        </w:rPr>
        <w:tab/>
      </w:r>
      <w:r>
        <w:rPr>
          <w:u w:val="single"/>
        </w:rPr>
        <w:tab/>
      </w:r>
    </w:p>
    <w:sectPr w:rsidR="009263BD" w:rsidRPr="009263BD" w:rsidSect="009263B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4FE" w:rsidRDefault="00BD64FE" w:rsidP="00F95C08">
      <w:pPr>
        <w:spacing w:line="240" w:lineRule="auto"/>
      </w:pPr>
    </w:p>
  </w:endnote>
  <w:endnote w:type="continuationSeparator" w:id="0">
    <w:p w:rsidR="00BD64FE" w:rsidRPr="00AC3823" w:rsidRDefault="00BD64FE" w:rsidP="00AC3823">
      <w:pPr>
        <w:pStyle w:val="Pieddepage"/>
      </w:pPr>
    </w:p>
  </w:endnote>
  <w:endnote w:type="continuationNotice" w:id="1">
    <w:p w:rsidR="00BD64FE" w:rsidRDefault="00BD64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3BD" w:rsidRPr="009263BD" w:rsidRDefault="009263BD" w:rsidP="009263BD">
    <w:pPr>
      <w:pStyle w:val="Pieddepage"/>
      <w:tabs>
        <w:tab w:val="right" w:pos="9638"/>
      </w:tabs>
    </w:pPr>
    <w:r w:rsidRPr="009263BD">
      <w:rPr>
        <w:b/>
        <w:sz w:val="18"/>
      </w:rPr>
      <w:fldChar w:fldCharType="begin"/>
    </w:r>
    <w:r w:rsidRPr="009263BD">
      <w:rPr>
        <w:b/>
        <w:sz w:val="18"/>
      </w:rPr>
      <w:instrText xml:space="preserve"> PAGE  \* MERGEFORMAT </w:instrText>
    </w:r>
    <w:r w:rsidRPr="009263BD">
      <w:rPr>
        <w:b/>
        <w:sz w:val="18"/>
      </w:rPr>
      <w:fldChar w:fldCharType="separate"/>
    </w:r>
    <w:r w:rsidRPr="009263BD">
      <w:rPr>
        <w:b/>
        <w:noProof/>
        <w:sz w:val="18"/>
      </w:rPr>
      <w:t>2</w:t>
    </w:r>
    <w:r w:rsidRPr="009263BD">
      <w:rPr>
        <w:b/>
        <w:sz w:val="18"/>
      </w:rPr>
      <w:fldChar w:fldCharType="end"/>
    </w:r>
    <w:r>
      <w:rPr>
        <w:b/>
        <w:sz w:val="18"/>
      </w:rPr>
      <w:tab/>
    </w:r>
    <w:r>
      <w:t>GE.20-09093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3BD" w:rsidRPr="009263BD" w:rsidRDefault="009263BD" w:rsidP="009263BD">
    <w:pPr>
      <w:pStyle w:val="Pieddepage"/>
      <w:tabs>
        <w:tab w:val="right" w:pos="9638"/>
      </w:tabs>
      <w:rPr>
        <w:b/>
        <w:sz w:val="18"/>
      </w:rPr>
    </w:pPr>
    <w:r>
      <w:t>GE.20-09093</w:t>
    </w:r>
    <w:r>
      <w:tab/>
    </w:r>
    <w:r w:rsidRPr="009263BD">
      <w:rPr>
        <w:b/>
        <w:sz w:val="18"/>
      </w:rPr>
      <w:fldChar w:fldCharType="begin"/>
    </w:r>
    <w:r w:rsidRPr="009263BD">
      <w:rPr>
        <w:b/>
        <w:sz w:val="18"/>
      </w:rPr>
      <w:instrText xml:space="preserve"> PAGE  \* MERGEFORMAT </w:instrText>
    </w:r>
    <w:r w:rsidRPr="009263BD">
      <w:rPr>
        <w:b/>
        <w:sz w:val="18"/>
      </w:rPr>
      <w:fldChar w:fldCharType="separate"/>
    </w:r>
    <w:r w:rsidRPr="009263BD">
      <w:rPr>
        <w:b/>
        <w:noProof/>
        <w:sz w:val="18"/>
      </w:rPr>
      <w:t>3</w:t>
    </w:r>
    <w:r w:rsidRPr="009263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9263BD" w:rsidRDefault="009263BD" w:rsidP="009263BD">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20-09093  (F)    240720    270720</w:t>
    </w:r>
    <w:r>
      <w:rPr>
        <w:sz w:val="20"/>
      </w:rPr>
      <w:br/>
    </w:r>
    <w:r w:rsidRPr="009263BD">
      <w:rPr>
        <w:rFonts w:ascii="C39T30Lfz" w:hAnsi="C39T30Lfz"/>
        <w:sz w:val="56"/>
      </w:rPr>
      <w:t></w:t>
    </w:r>
    <w:r w:rsidRPr="009263BD">
      <w:rPr>
        <w:rFonts w:ascii="C39T30Lfz" w:hAnsi="C39T30Lfz"/>
        <w:sz w:val="56"/>
      </w:rPr>
      <w:t></w:t>
    </w:r>
    <w:r w:rsidRPr="009263BD">
      <w:rPr>
        <w:rFonts w:ascii="C39T30Lfz" w:hAnsi="C39T30Lfz"/>
        <w:sz w:val="56"/>
      </w:rPr>
      <w:t></w:t>
    </w:r>
    <w:r w:rsidRPr="009263BD">
      <w:rPr>
        <w:rFonts w:ascii="C39T30Lfz" w:hAnsi="C39T30Lfz"/>
        <w:sz w:val="56"/>
      </w:rPr>
      <w:t></w:t>
    </w:r>
    <w:r w:rsidRPr="009263BD">
      <w:rPr>
        <w:rFonts w:ascii="C39T30Lfz" w:hAnsi="C39T30Lfz"/>
        <w:sz w:val="56"/>
      </w:rPr>
      <w:t></w:t>
    </w:r>
    <w:r w:rsidRPr="009263BD">
      <w:rPr>
        <w:rFonts w:ascii="C39T30Lfz" w:hAnsi="C39T30Lfz"/>
        <w:sz w:val="56"/>
      </w:rPr>
      <w:t></w:t>
    </w:r>
    <w:r w:rsidRPr="009263BD">
      <w:rPr>
        <w:rFonts w:ascii="C39T30Lfz" w:hAnsi="C39T30Lfz"/>
        <w:sz w:val="56"/>
      </w:rPr>
      <w:t></w:t>
    </w:r>
    <w:r w:rsidRPr="009263BD">
      <w:rPr>
        <w:rFonts w:ascii="C39T30Lfz" w:hAnsi="C39T30Lfz"/>
        <w:sz w:val="56"/>
      </w:rPr>
      <w:t></w:t>
    </w:r>
    <w:r w:rsidRPr="009263BD">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4FE" w:rsidRPr="00AC3823" w:rsidRDefault="00BD64FE" w:rsidP="00AC3823">
      <w:pPr>
        <w:pStyle w:val="Pieddepage"/>
        <w:tabs>
          <w:tab w:val="right" w:pos="2155"/>
        </w:tabs>
        <w:spacing w:after="80" w:line="240" w:lineRule="atLeast"/>
        <w:ind w:left="680"/>
        <w:rPr>
          <w:u w:val="single"/>
        </w:rPr>
      </w:pPr>
      <w:r>
        <w:rPr>
          <w:u w:val="single"/>
        </w:rPr>
        <w:tab/>
      </w:r>
    </w:p>
  </w:footnote>
  <w:footnote w:type="continuationSeparator" w:id="0">
    <w:p w:rsidR="00BD64FE" w:rsidRPr="00AC3823" w:rsidRDefault="00BD64FE" w:rsidP="00AC3823">
      <w:pPr>
        <w:pStyle w:val="Pieddepage"/>
        <w:tabs>
          <w:tab w:val="right" w:pos="2155"/>
        </w:tabs>
        <w:spacing w:after="80" w:line="240" w:lineRule="atLeast"/>
        <w:ind w:left="680"/>
        <w:rPr>
          <w:u w:val="single"/>
        </w:rPr>
      </w:pPr>
      <w:r>
        <w:rPr>
          <w:u w:val="single"/>
        </w:rPr>
        <w:tab/>
      </w:r>
    </w:p>
  </w:footnote>
  <w:footnote w:type="continuationNotice" w:id="1">
    <w:p w:rsidR="00BD64FE" w:rsidRPr="00AC3823" w:rsidRDefault="00BD64FE">
      <w:pPr>
        <w:spacing w:line="240" w:lineRule="auto"/>
        <w:rPr>
          <w:sz w:val="2"/>
          <w:szCs w:val="2"/>
        </w:rPr>
      </w:pPr>
    </w:p>
  </w:footnote>
  <w:footnote w:id="2">
    <w:p w:rsidR="009263BD" w:rsidRPr="009263BD" w:rsidRDefault="009263BD">
      <w:pPr>
        <w:pStyle w:val="Notedebasdepage"/>
      </w:pPr>
      <w:r>
        <w:rPr>
          <w:rStyle w:val="Appelnotedebasdep"/>
        </w:rPr>
        <w:tab/>
      </w:r>
      <w:r w:rsidRPr="009263BD">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2020 tel qu’il figure dans le projet de budget-programme pour 2020 (A/74/6 (titre</w:t>
      </w:r>
      <w:r>
        <w:rPr>
          <w:lang w:val="fr-FR"/>
        </w:rPr>
        <w:t> </w:t>
      </w:r>
      <w:r>
        <w:rPr>
          <w:lang w:val="fr-FR"/>
        </w:rPr>
        <w:t>V, chap.</w:t>
      </w:r>
      <w:r>
        <w:rPr>
          <w:lang w:val="fr-FR"/>
        </w:rPr>
        <w:t> </w:t>
      </w:r>
      <w:r>
        <w:rPr>
          <w:lang w:val="fr-FR"/>
        </w:rPr>
        <w:t>20), par.</w:t>
      </w:r>
      <w:r>
        <w:rPr>
          <w:lang w:val="fr-FR"/>
        </w:rPr>
        <w:t> </w:t>
      </w:r>
      <w:r>
        <w:rPr>
          <w:lang w:val="fr-FR"/>
        </w:rPr>
        <w:t>20.37),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3BD" w:rsidRPr="009263BD" w:rsidRDefault="009263BD">
    <w:pPr>
      <w:pStyle w:val="En-tte"/>
    </w:pPr>
    <w:fldSimple w:instr=" TITLE  \* MERGEFORMAT ">
      <w:r w:rsidR="001D1276">
        <w:t>ECE/TRANS/WP.29/GRVA/2020/24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3BD" w:rsidRPr="009263BD" w:rsidRDefault="009263BD" w:rsidP="009263BD">
    <w:pPr>
      <w:pStyle w:val="En-tte"/>
      <w:jc w:val="right"/>
    </w:pPr>
    <w:fldSimple w:instr=" TITLE  \* MERGEFORMAT ">
      <w:r w:rsidR="001D1276">
        <w:t>ECE/TRANS/WP.29/GRVA/2020/24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D64FE"/>
    <w:rsid w:val="00017F94"/>
    <w:rsid w:val="00023842"/>
    <w:rsid w:val="000334F9"/>
    <w:rsid w:val="00045FEB"/>
    <w:rsid w:val="0007796D"/>
    <w:rsid w:val="000B7790"/>
    <w:rsid w:val="00111F2F"/>
    <w:rsid w:val="0014365E"/>
    <w:rsid w:val="00143C66"/>
    <w:rsid w:val="00176178"/>
    <w:rsid w:val="001D1276"/>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505B7"/>
    <w:rsid w:val="00573BE5"/>
    <w:rsid w:val="00586ED3"/>
    <w:rsid w:val="00596AA9"/>
    <w:rsid w:val="006921E4"/>
    <w:rsid w:val="0071601D"/>
    <w:rsid w:val="007A62E6"/>
    <w:rsid w:val="007F20FA"/>
    <w:rsid w:val="0080684C"/>
    <w:rsid w:val="00832E4F"/>
    <w:rsid w:val="00871C75"/>
    <w:rsid w:val="008776DC"/>
    <w:rsid w:val="009263BD"/>
    <w:rsid w:val="009446C0"/>
    <w:rsid w:val="009705C8"/>
    <w:rsid w:val="009C1CF4"/>
    <w:rsid w:val="009F6B74"/>
    <w:rsid w:val="00A3029F"/>
    <w:rsid w:val="00A30353"/>
    <w:rsid w:val="00AC3823"/>
    <w:rsid w:val="00AE323C"/>
    <w:rsid w:val="00AF0CB5"/>
    <w:rsid w:val="00B00181"/>
    <w:rsid w:val="00B00B0D"/>
    <w:rsid w:val="00B45F2E"/>
    <w:rsid w:val="00B765F7"/>
    <w:rsid w:val="00BA0CA9"/>
    <w:rsid w:val="00BD64FE"/>
    <w:rsid w:val="00C02897"/>
    <w:rsid w:val="00C97039"/>
    <w:rsid w:val="00D3439C"/>
    <w:rsid w:val="00DB1831"/>
    <w:rsid w:val="00DD3BFD"/>
    <w:rsid w:val="00DE177F"/>
    <w:rsid w:val="00DF6678"/>
    <w:rsid w:val="00E0299A"/>
    <w:rsid w:val="00E85C74"/>
    <w:rsid w:val="00EA6547"/>
    <w:rsid w:val="00EF2E22"/>
    <w:rsid w:val="00F35BAF"/>
    <w:rsid w:val="00F660DF"/>
    <w:rsid w:val="00F81AB8"/>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B5B059"/>
  <w15:docId w15:val="{EFBA2E81-0821-41A3-B761-A16733CA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722</Words>
  <Characters>3793</Characters>
  <Application>Microsoft Office Word</Application>
  <DocSecurity>0</DocSecurity>
  <Lines>82</Lines>
  <Paragraphs>42</Paragraphs>
  <ScaleCrop>false</ScaleCrop>
  <HeadingPairs>
    <vt:vector size="2" baseType="variant">
      <vt:variant>
        <vt:lpstr>Titre</vt:lpstr>
      </vt:variant>
      <vt:variant>
        <vt:i4>1</vt:i4>
      </vt:variant>
    </vt:vector>
  </HeadingPairs>
  <TitlesOfParts>
    <vt:vector size="1" baseType="lpstr">
      <vt:lpstr>ECE/TRANS/WP.29/GRVA/2020/24</vt:lpstr>
    </vt:vector>
  </TitlesOfParts>
  <Company>DCM</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ECE/TRANS/WP.29/GRVA/2020/24</dc:title>
  <dc:subject/>
  <dc:creator>Marie DESCHAMPS</dc:creator>
  <cp:keywords/>
  <cp:lastModifiedBy>Marie DESCHAMPS</cp:lastModifiedBy>
  <cp:revision>2</cp:revision>
  <cp:lastPrinted>2014-05-14T10:59:00Z</cp:lastPrinted>
  <dcterms:created xsi:type="dcterms:W3CDTF">2020-07-27T09:35:00Z</dcterms:created>
  <dcterms:modified xsi:type="dcterms:W3CDTF">2020-07-27T09:35:00Z</dcterms:modified>
</cp:coreProperties>
</file>