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93D9D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E37507" w14:textId="77777777" w:rsidR="002D5AAC" w:rsidRDefault="002D5AAC" w:rsidP="008D3E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0D6EF2" w14:textId="77777777" w:rsidR="002D5AAC" w:rsidRPr="00BD33EE" w:rsidRDefault="00DF71B9" w:rsidP="008D3E3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663F37" w14:textId="77777777" w:rsidR="002D5AAC" w:rsidRDefault="006C7032" w:rsidP="008D3E3D">
            <w:pPr>
              <w:jc w:val="right"/>
            </w:pPr>
            <w:r w:rsidRPr="006C7032">
              <w:rPr>
                <w:sz w:val="40"/>
              </w:rPr>
              <w:t>ECE</w:t>
            </w:r>
            <w:r>
              <w:t>/TRANS/WP.29/GRVA/2020/9</w:t>
            </w:r>
          </w:p>
        </w:tc>
      </w:tr>
      <w:tr w:rsidR="002D5AAC" w:rsidRPr="00330822" w14:paraId="148F183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1954DE" w14:textId="77777777" w:rsidR="002D5AAC" w:rsidRDefault="002E5067" w:rsidP="008D3E3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08DC22" wp14:editId="4FF1F57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D985DE" w14:textId="77777777" w:rsidR="002D5AAC" w:rsidRPr="00033EE1" w:rsidRDefault="008A37C8" w:rsidP="008D3E3D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F1587D" w14:textId="77777777" w:rsidR="006C7032" w:rsidRPr="006C7032" w:rsidRDefault="006C7032" w:rsidP="008D3E3D">
            <w:pPr>
              <w:spacing w:before="240" w:line="240" w:lineRule="exact"/>
              <w:rPr>
                <w:lang w:val="en-US"/>
              </w:rPr>
            </w:pPr>
            <w:r w:rsidRPr="006C7032">
              <w:rPr>
                <w:lang w:val="en-US"/>
              </w:rPr>
              <w:t>Distr.: General</w:t>
            </w:r>
          </w:p>
          <w:p w14:paraId="7DDC67C8" w14:textId="77777777" w:rsidR="006C7032" w:rsidRDefault="006C7032" w:rsidP="008D3E3D">
            <w:pPr>
              <w:spacing w:line="240" w:lineRule="exact"/>
              <w:rPr>
                <w:lang w:val="en-US"/>
              </w:rPr>
            </w:pPr>
            <w:r w:rsidRPr="006C7032">
              <w:rPr>
                <w:lang w:val="en-US"/>
              </w:rPr>
              <w:t>29 November 2019</w:t>
            </w:r>
          </w:p>
          <w:p w14:paraId="0B866297" w14:textId="77777777" w:rsidR="006C7032" w:rsidRPr="006C7032" w:rsidRDefault="006C7032" w:rsidP="008D3E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80E2F1" w14:textId="77777777" w:rsidR="006C7032" w:rsidRPr="006C7032" w:rsidRDefault="006C7032" w:rsidP="008D3E3D">
            <w:pPr>
              <w:spacing w:line="240" w:lineRule="exact"/>
              <w:rPr>
                <w:lang w:val="en-US"/>
              </w:rPr>
            </w:pPr>
            <w:r w:rsidRPr="006C7032">
              <w:rPr>
                <w:lang w:val="en-US"/>
              </w:rPr>
              <w:t>Original: English</w:t>
            </w:r>
          </w:p>
        </w:tc>
      </w:tr>
    </w:tbl>
    <w:p w14:paraId="50A08F3B" w14:textId="77777777" w:rsidR="006C7032" w:rsidRDefault="008A37C8" w:rsidP="008D3E3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A3AC71" w14:textId="77777777" w:rsidR="006C7032" w:rsidRPr="00592798" w:rsidRDefault="006C7032" w:rsidP="008D3E3D">
      <w:pPr>
        <w:spacing w:before="120"/>
        <w:rPr>
          <w:sz w:val="28"/>
          <w:szCs w:val="28"/>
        </w:rPr>
      </w:pPr>
      <w:r w:rsidRPr="00592798">
        <w:rPr>
          <w:sz w:val="28"/>
          <w:szCs w:val="28"/>
        </w:rPr>
        <w:t>Комитет по внутреннему транспорту</w:t>
      </w:r>
    </w:p>
    <w:p w14:paraId="341B3502" w14:textId="77777777" w:rsidR="006C7032" w:rsidRPr="00592798" w:rsidRDefault="006C7032" w:rsidP="008D3E3D">
      <w:pPr>
        <w:spacing w:before="120"/>
        <w:rPr>
          <w:b/>
          <w:sz w:val="24"/>
          <w:szCs w:val="24"/>
        </w:rPr>
      </w:pPr>
      <w:r w:rsidRPr="0059279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60969">
        <w:rPr>
          <w:b/>
          <w:bCs/>
          <w:sz w:val="24"/>
          <w:szCs w:val="24"/>
        </w:rPr>
        <w:br/>
      </w:r>
      <w:r w:rsidRPr="00592798">
        <w:rPr>
          <w:b/>
          <w:bCs/>
          <w:sz w:val="24"/>
          <w:szCs w:val="24"/>
        </w:rPr>
        <w:t>в области транспортных средств</w:t>
      </w:r>
    </w:p>
    <w:p w14:paraId="12CD4BEC" w14:textId="1E8CB91B" w:rsidR="006C7032" w:rsidRPr="00592798" w:rsidRDefault="006C7032" w:rsidP="008D3E3D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 w:rsidR="00660969"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  <w:r w:rsidR="00330822" w:rsidRPr="00330822">
        <w:rPr>
          <w:rStyle w:val="aa"/>
          <w:bCs/>
          <w:sz w:val="20"/>
          <w:vertAlign w:val="baseline"/>
        </w:rPr>
        <w:footnoteReference w:customMarkFollows="1" w:id="1"/>
        <w:t>*</w:t>
      </w:r>
    </w:p>
    <w:p w14:paraId="68E64711" w14:textId="77777777" w:rsidR="006C7032" w:rsidRPr="00592798" w:rsidRDefault="006C7032" w:rsidP="008D3E3D">
      <w:pPr>
        <w:spacing w:before="120"/>
        <w:rPr>
          <w:b/>
        </w:rPr>
      </w:pPr>
      <w:r>
        <w:rPr>
          <w:b/>
          <w:bCs/>
        </w:rPr>
        <w:t>Пятая сессия</w:t>
      </w:r>
    </w:p>
    <w:p w14:paraId="65414911" w14:textId="77777777" w:rsidR="006C7032" w:rsidRPr="00592798" w:rsidRDefault="006C7032" w:rsidP="008D3E3D">
      <w:r>
        <w:t>Женева, 10–14 февраля 2020 года</w:t>
      </w:r>
    </w:p>
    <w:p w14:paraId="149CEE9D" w14:textId="355FC211" w:rsidR="006C7032" w:rsidRPr="00592798" w:rsidRDefault="006C7032" w:rsidP="008D3E3D">
      <w:r>
        <w:t>Пункт 6</w:t>
      </w:r>
      <w:r w:rsidR="00330822" w:rsidRPr="00330822">
        <w:t xml:space="preserve"> </w:t>
      </w:r>
      <w:r>
        <w:t>a</w:t>
      </w:r>
      <w:r w:rsidR="00330822" w:rsidRPr="00330822">
        <w:t>)</w:t>
      </w:r>
      <w:r>
        <w:t xml:space="preserve"> предварительной повестки дня</w:t>
      </w:r>
    </w:p>
    <w:p w14:paraId="637AC3EA" w14:textId="77777777" w:rsidR="006C7032" w:rsidRPr="00592798" w:rsidRDefault="006C7032" w:rsidP="008D3E3D">
      <w:pPr>
        <w:rPr>
          <w:b/>
        </w:rPr>
      </w:pPr>
      <w:r>
        <w:rPr>
          <w:b/>
          <w:bCs/>
        </w:rPr>
        <w:t>Правила № 79 ООН</w:t>
      </w:r>
    </w:p>
    <w:p w14:paraId="77BAE1C3" w14:textId="77777777" w:rsidR="006C7032" w:rsidRPr="00592798" w:rsidRDefault="006C7032" w:rsidP="008D3E3D">
      <w:pPr>
        <w:rPr>
          <w:b/>
        </w:rPr>
      </w:pPr>
      <w:r>
        <w:rPr>
          <w:b/>
          <w:bCs/>
        </w:rPr>
        <w:t>Автоматизированная функция рулевого управления</w:t>
      </w:r>
    </w:p>
    <w:p w14:paraId="5773FC69" w14:textId="77777777" w:rsidR="006C7032" w:rsidRPr="00592798" w:rsidRDefault="006C7032" w:rsidP="008D3E3D">
      <w:pPr>
        <w:pStyle w:val="HChG"/>
        <w:keepNext w:val="0"/>
      </w:pPr>
      <w:bookmarkStart w:id="2" w:name="OLE_LINK2"/>
      <w:r>
        <w:tab/>
      </w:r>
      <w:r>
        <w:tab/>
      </w:r>
      <w:r>
        <w:rPr>
          <w:bCs/>
        </w:rPr>
        <w:t>Предложение по дополнению к поправкам серии</w:t>
      </w:r>
      <w:r w:rsidR="009C5069" w:rsidRPr="009C5069">
        <w:rPr>
          <w:bCs/>
        </w:rPr>
        <w:t xml:space="preserve"> </w:t>
      </w:r>
      <w:r>
        <w:rPr>
          <w:bCs/>
        </w:rPr>
        <w:t>03 к</w:t>
      </w:r>
      <w:r w:rsidR="009C5069">
        <w:rPr>
          <w:bCs/>
          <w:lang w:val="en-US"/>
        </w:rPr>
        <w:t> </w:t>
      </w:r>
      <w:r>
        <w:rPr>
          <w:bCs/>
        </w:rPr>
        <w:t>Правилам № 79 ООН (оборудование рулевого управления)</w:t>
      </w:r>
      <w:bookmarkEnd w:id="2"/>
    </w:p>
    <w:p w14:paraId="17A72AAE" w14:textId="0BBE2FCC" w:rsidR="006C7032" w:rsidRPr="00592798" w:rsidRDefault="006C7032" w:rsidP="008D3E3D">
      <w:pPr>
        <w:pStyle w:val="H1G"/>
        <w:keepNext w:val="0"/>
        <w:rPr>
          <w:szCs w:val="24"/>
        </w:rPr>
      </w:pPr>
      <w:r>
        <w:tab/>
      </w:r>
      <w:r>
        <w:tab/>
      </w:r>
      <w:r w:rsidRPr="00660969">
        <w:t>Представлено экспертом от Европейской ассоциации по</w:t>
      </w:r>
      <w:r w:rsidR="00660969">
        <w:rPr>
          <w:lang w:val="fr-CH"/>
        </w:rPr>
        <w:t> </w:t>
      </w:r>
      <w:r w:rsidRPr="00660969">
        <w:t>электромобильности</w:t>
      </w:r>
      <w:r w:rsidR="00330822" w:rsidRPr="00330822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p w14:paraId="031D0339" w14:textId="1132CB21" w:rsidR="00330822" w:rsidRDefault="006C7032" w:rsidP="008D3E3D">
      <w:pPr>
        <w:pStyle w:val="SingleTxtG"/>
        <w:tabs>
          <w:tab w:val="left" w:pos="1701"/>
        </w:tabs>
      </w:pPr>
      <w:r>
        <w:tab/>
      </w:r>
      <w:r>
        <w:tab/>
        <w:t>Воспроизведенный ниже текст был подготовлен экспертом от Европейской ассоциации по электромобильности (АВЕРЕ) для внесения поправок в Правила № 79 ООН. Он нацелен на уточнение текста Правил. Он основан на документе ECE/TRANS/WP.29/GRVA/2019/26.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  <w:r w:rsidR="00330822">
        <w:br w:type="page"/>
      </w:r>
    </w:p>
    <w:p w14:paraId="0B11430E" w14:textId="1132CB21" w:rsidR="006C7032" w:rsidRPr="00592798" w:rsidRDefault="006C7032" w:rsidP="008D3E3D">
      <w:pPr>
        <w:pStyle w:val="HChG"/>
        <w:keepNext w:val="0"/>
      </w:pPr>
      <w:r>
        <w:lastRenderedPageBreak/>
        <w:tab/>
        <w:t>I.</w:t>
      </w:r>
      <w:r>
        <w:tab/>
        <w:t>Предложение</w:t>
      </w:r>
    </w:p>
    <w:p w14:paraId="30461D0C" w14:textId="77777777" w:rsidR="006C7032" w:rsidRPr="00592798" w:rsidRDefault="006C7032" w:rsidP="008D3E3D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 xml:space="preserve">Пункт 5.6.4.6.7 </w:t>
      </w:r>
      <w:r>
        <w:t>изменить следующим образом:</w:t>
      </w:r>
    </w:p>
    <w:p w14:paraId="0CD51F3C" w14:textId="77777777" w:rsidR="006C7032" w:rsidRPr="00592798" w:rsidRDefault="006C7032" w:rsidP="008D3E3D">
      <w:pPr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>
        <w:t>«5.6.4.6.7</w:t>
      </w:r>
      <w:r>
        <w:tab/>
        <w:t xml:space="preserve">Указатель поворота остается включенным в течение всего периода осуществления маневра смены полосы и выключается системой </w:t>
      </w:r>
      <w:r>
        <w:rPr>
          <w:b/>
          <w:bCs/>
        </w:rPr>
        <w:t xml:space="preserve">автоматически </w:t>
      </w:r>
      <w:r>
        <w:t xml:space="preserve">не позднее чем через 0,5 с после восстановления функции АФРУ категории В1 по удержанию транспортного средства в пределах полосы, как указано в пункте 5.6.4.6.6, выше. </w:t>
      </w:r>
      <w:r>
        <w:rPr>
          <w:b/>
          <w:bCs/>
        </w:rPr>
        <w:t>Автоматическое выключение системой указателя поворота требуется только в том случае, если маневр смены полосы инициирован автоматически</w:t>
      </w:r>
      <w:r>
        <w:t xml:space="preserve"> </w:t>
      </w:r>
      <w:r>
        <w:rPr>
          <w:b/>
          <w:bCs/>
        </w:rPr>
        <w:t>или если переключатель указателя поворота</w:t>
      </w:r>
      <w:r>
        <w:t xml:space="preserve"> </w:t>
      </w:r>
      <w:r>
        <w:rPr>
          <w:b/>
          <w:bCs/>
        </w:rPr>
        <w:t xml:space="preserve">не полностью включен (фиксированное </w:t>
      </w:r>
      <w:r w:rsidRPr="002829BE">
        <w:rPr>
          <w:b/>
          <w:bCs/>
        </w:rPr>
        <w:t>положение</w:t>
      </w:r>
      <w:r>
        <w:rPr>
          <w:b/>
          <w:bCs/>
        </w:rPr>
        <w:t>)</w:t>
      </w:r>
      <w:r>
        <w:t xml:space="preserve"> </w:t>
      </w:r>
      <w:r>
        <w:rPr>
          <w:b/>
          <w:bCs/>
        </w:rPr>
        <w:t>во время маневра смены полосы</w:t>
      </w:r>
      <w:r w:rsidRPr="000937BC">
        <w:rPr>
          <w:bCs/>
        </w:rPr>
        <w:t>»</w:t>
      </w:r>
      <w:r>
        <w:t>.</w:t>
      </w:r>
    </w:p>
    <w:p w14:paraId="671BE8C5" w14:textId="77777777" w:rsidR="006C7032" w:rsidRPr="00660969" w:rsidRDefault="006C7032" w:rsidP="00330822">
      <w:pPr>
        <w:pStyle w:val="HChG"/>
      </w:pPr>
      <w:r w:rsidRPr="00660969">
        <w:tab/>
        <w:t>II.</w:t>
      </w:r>
      <w:r w:rsidRPr="00660969">
        <w:tab/>
      </w:r>
      <w:r w:rsidRPr="00330822">
        <w:t>Об</w:t>
      </w:r>
      <w:bookmarkStart w:id="3" w:name="_GoBack"/>
      <w:bookmarkEnd w:id="3"/>
      <w:r w:rsidRPr="00330822">
        <w:t>основание</w:t>
      </w:r>
    </w:p>
    <w:p w14:paraId="34BDB6F4" w14:textId="77777777" w:rsidR="006C7032" w:rsidRPr="00592798" w:rsidRDefault="006C7032" w:rsidP="00330822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>Проанализировав поведение водителя, мы предлагаем изменить пункт 5.6.4.6.7. Это предложение обеспечивает согласованность ожидаемого поведения транспортных средств с функцией АФРУ категории C и транспортных средств без такой функции. Полностью включив указатель поворота, водитель может рассчитывать на то, что по окончании маневра смены полосы движения он вручную отключит указатель поворота.</w:t>
      </w:r>
    </w:p>
    <w:p w14:paraId="6D2087A7" w14:textId="77777777" w:rsidR="00E12C5F" w:rsidRDefault="006C7032" w:rsidP="00330822">
      <w:pPr>
        <w:pStyle w:val="SingleTxtG"/>
      </w:pPr>
      <w:r>
        <w:t>2.</w:t>
      </w:r>
      <w:r>
        <w:tab/>
        <w:t>На рассмотрение Договаривающихся сторон будет представлен неофициальный документ, в котором будут отражены изменения, предложенные в настоящем документе с учетом документа ECE/TRANS/WP.29/GRVA/2019/24, принятого на сентябрьской сессии GRVA.</w:t>
      </w:r>
    </w:p>
    <w:p w14:paraId="140109C8" w14:textId="646389AB" w:rsidR="00A71E65" w:rsidRPr="00A71E65" w:rsidRDefault="00A71E65" w:rsidP="00A71E65">
      <w:pPr>
        <w:tabs>
          <w:tab w:val="left" w:pos="1701"/>
        </w:tabs>
        <w:autoSpaceDE w:val="0"/>
        <w:autoSpaceDN w:val="0"/>
        <w:adjustRightInd w:val="0"/>
        <w:spacing w:before="240" w:line="240" w:lineRule="auto"/>
        <w:ind w:left="1134" w:right="1134"/>
        <w:jc w:val="center"/>
        <w:rPr>
          <w:u w:val="single"/>
        </w:rPr>
      </w:pPr>
      <w:r>
        <w:rPr>
          <w:u w:val="single"/>
        </w:rPr>
        <w:tab/>
      </w:r>
      <w:r w:rsidR="0033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1E65" w:rsidRPr="00A71E65" w:rsidSect="006C7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EC45" w14:textId="77777777" w:rsidR="00CA29C5" w:rsidRPr="00A312BC" w:rsidRDefault="00CA29C5" w:rsidP="00A312BC"/>
  </w:endnote>
  <w:endnote w:type="continuationSeparator" w:id="0">
    <w:p w14:paraId="2DE39983" w14:textId="77777777" w:rsidR="00CA29C5" w:rsidRPr="00A312BC" w:rsidRDefault="00CA29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36FE" w14:textId="77777777" w:rsidR="006C7032" w:rsidRPr="006C7032" w:rsidRDefault="006C7032">
    <w:pPr>
      <w:pStyle w:val="a8"/>
    </w:pPr>
    <w:r w:rsidRPr="006C7032">
      <w:rPr>
        <w:b/>
        <w:sz w:val="18"/>
      </w:rPr>
      <w:fldChar w:fldCharType="begin"/>
    </w:r>
    <w:r w:rsidRPr="006C7032">
      <w:rPr>
        <w:b/>
        <w:sz w:val="18"/>
      </w:rPr>
      <w:instrText xml:space="preserve"> PAGE  \* MERGEFORMAT </w:instrText>
    </w:r>
    <w:r w:rsidRPr="006C7032">
      <w:rPr>
        <w:b/>
        <w:sz w:val="18"/>
      </w:rPr>
      <w:fldChar w:fldCharType="separate"/>
    </w:r>
    <w:r w:rsidRPr="006C7032">
      <w:rPr>
        <w:b/>
        <w:noProof/>
        <w:sz w:val="18"/>
      </w:rPr>
      <w:t>2</w:t>
    </w:r>
    <w:r w:rsidRPr="006C7032">
      <w:rPr>
        <w:b/>
        <w:sz w:val="18"/>
      </w:rPr>
      <w:fldChar w:fldCharType="end"/>
    </w:r>
    <w:r>
      <w:rPr>
        <w:b/>
        <w:sz w:val="18"/>
      </w:rPr>
      <w:tab/>
    </w:r>
    <w:r>
      <w:t>GE.19-20572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3B14" w14:textId="77777777" w:rsidR="006C7032" w:rsidRPr="006C7032" w:rsidRDefault="006C7032" w:rsidP="006C7032">
    <w:pPr>
      <w:pStyle w:val="a8"/>
      <w:tabs>
        <w:tab w:val="clear" w:pos="9639"/>
        <w:tab w:val="right" w:pos="9638"/>
      </w:tabs>
      <w:rPr>
        <w:b/>
        <w:sz w:val="18"/>
      </w:rPr>
    </w:pPr>
    <w:r>
      <w:t>GE.19-20572</w:t>
    </w:r>
    <w:r>
      <w:tab/>
    </w:r>
    <w:r w:rsidRPr="006C7032">
      <w:rPr>
        <w:b/>
        <w:sz w:val="18"/>
      </w:rPr>
      <w:fldChar w:fldCharType="begin"/>
    </w:r>
    <w:r w:rsidRPr="006C7032">
      <w:rPr>
        <w:b/>
        <w:sz w:val="18"/>
      </w:rPr>
      <w:instrText xml:space="preserve"> PAGE  \* MERGEFORMAT </w:instrText>
    </w:r>
    <w:r w:rsidRPr="006C7032">
      <w:rPr>
        <w:b/>
        <w:sz w:val="18"/>
      </w:rPr>
      <w:fldChar w:fldCharType="separate"/>
    </w:r>
    <w:r w:rsidRPr="006C7032">
      <w:rPr>
        <w:b/>
        <w:noProof/>
        <w:sz w:val="18"/>
      </w:rPr>
      <w:t>3</w:t>
    </w:r>
    <w:r w:rsidRPr="006C70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B8EA" w14:textId="77777777" w:rsidR="00042B72" w:rsidRPr="006C7032" w:rsidRDefault="006C7032" w:rsidP="006C703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192476" wp14:editId="4898B9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19-20572  (R)</w:t>
    </w:r>
    <w:r w:rsidR="003A6375">
      <w:rPr>
        <w:lang w:val="fr-CH"/>
      </w:rPr>
      <w:t xml:space="preserve">  061219  061219</w:t>
    </w:r>
    <w:r>
      <w:br/>
    </w:r>
    <w:r w:rsidRPr="006C7032">
      <w:rPr>
        <w:rFonts w:ascii="C39T30Lfz" w:hAnsi="C39T30Lfz"/>
        <w:kern w:val="14"/>
        <w:sz w:val="56"/>
      </w:rPr>
      <w:t></w:t>
    </w:r>
    <w:r w:rsidRPr="006C7032">
      <w:rPr>
        <w:rFonts w:ascii="C39T30Lfz" w:hAnsi="C39T30Lfz"/>
        <w:kern w:val="14"/>
        <w:sz w:val="56"/>
      </w:rPr>
      <w:t></w:t>
    </w:r>
    <w:r w:rsidRPr="006C7032">
      <w:rPr>
        <w:rFonts w:ascii="C39T30Lfz" w:hAnsi="C39T30Lfz"/>
        <w:kern w:val="14"/>
        <w:sz w:val="56"/>
      </w:rPr>
      <w:t></w:t>
    </w:r>
    <w:r w:rsidRPr="006C7032">
      <w:rPr>
        <w:rFonts w:ascii="C39T30Lfz" w:hAnsi="C39T30Lfz"/>
        <w:kern w:val="14"/>
        <w:sz w:val="56"/>
      </w:rPr>
      <w:t></w:t>
    </w:r>
    <w:r w:rsidRPr="006C7032">
      <w:rPr>
        <w:rFonts w:ascii="C39T30Lfz" w:hAnsi="C39T30Lfz"/>
        <w:kern w:val="14"/>
        <w:sz w:val="56"/>
      </w:rPr>
      <w:t></w:t>
    </w:r>
    <w:r w:rsidRPr="006C7032">
      <w:rPr>
        <w:rFonts w:ascii="C39T30Lfz" w:hAnsi="C39T30Lfz"/>
        <w:kern w:val="14"/>
        <w:sz w:val="56"/>
      </w:rPr>
      <w:t></w:t>
    </w:r>
    <w:r w:rsidRPr="006C7032">
      <w:rPr>
        <w:rFonts w:ascii="C39T30Lfz" w:hAnsi="C39T30Lfz"/>
        <w:kern w:val="14"/>
        <w:sz w:val="56"/>
      </w:rPr>
      <w:t></w:t>
    </w:r>
    <w:r w:rsidRPr="006C7032">
      <w:rPr>
        <w:rFonts w:ascii="C39T30Lfz" w:hAnsi="C39T30Lfz"/>
        <w:kern w:val="14"/>
        <w:sz w:val="56"/>
      </w:rPr>
      <w:t></w:t>
    </w:r>
    <w:r w:rsidRPr="006C703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05A1D1" wp14:editId="281DA6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C741" w14:textId="77777777" w:rsidR="00CA29C5" w:rsidRPr="001075E9" w:rsidRDefault="00CA29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95499E" w14:textId="77777777" w:rsidR="00CA29C5" w:rsidRDefault="00CA29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A60F43" w14:textId="6BE87F7C" w:rsidR="00330822" w:rsidRPr="00330822" w:rsidRDefault="00330822">
      <w:pPr>
        <w:pStyle w:val="ad"/>
        <w:rPr>
          <w:sz w:val="20"/>
        </w:rPr>
      </w:pPr>
      <w:r>
        <w:tab/>
      </w:r>
      <w:r w:rsidRPr="00330822">
        <w:rPr>
          <w:rStyle w:val="aa"/>
          <w:sz w:val="20"/>
          <w:vertAlign w:val="baseline"/>
        </w:rPr>
        <w:t>*</w:t>
      </w:r>
      <w:r w:rsidRPr="00330822">
        <w:rPr>
          <w:rStyle w:val="aa"/>
          <w:vertAlign w:val="baseline"/>
        </w:rPr>
        <w:tab/>
      </w:r>
      <w:bookmarkStart w:id="1" w:name="_Hlk26544762"/>
      <w:r w:rsidRPr="007A32F9">
        <w:t xml:space="preserve">Прежнее название: </w:t>
      </w:r>
      <w:r w:rsidRPr="00436CF4">
        <w:rPr>
          <w:b/>
        </w:rPr>
        <w:t>Рабочая группа по вопросам торможения и ходовой части (GRRF)</w:t>
      </w:r>
      <w:r w:rsidRPr="007A32F9">
        <w:t>.</w:t>
      </w:r>
      <w:bookmarkEnd w:id="1"/>
    </w:p>
  </w:footnote>
  <w:footnote w:id="2">
    <w:p w14:paraId="1A3C5118" w14:textId="464C3867" w:rsidR="00330822" w:rsidRDefault="00330822">
      <w:pPr>
        <w:pStyle w:val="ad"/>
      </w:pPr>
      <w:r>
        <w:tab/>
      </w:r>
      <w:r w:rsidRPr="00330822">
        <w:rPr>
          <w:rStyle w:val="aa"/>
          <w:sz w:val="20"/>
          <w:vertAlign w:val="baseline"/>
        </w:rPr>
        <w:t>**</w:t>
      </w:r>
      <w:r w:rsidRPr="00330822">
        <w:rPr>
          <w:rStyle w:val="aa"/>
          <w:vertAlign w:val="baseline"/>
        </w:rPr>
        <w:tab/>
      </w:r>
      <w:r w:rsidRPr="00330822"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  <w:p w14:paraId="751C93EB" w14:textId="77777777" w:rsidR="00330822" w:rsidRPr="00330822" w:rsidRDefault="00330822">
      <w:pPr>
        <w:pStyle w:val="ad"/>
        <w:rPr>
          <w:sz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5DF4" w14:textId="72C25231" w:rsidR="006C7032" w:rsidRPr="006C7032" w:rsidRDefault="001E70B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15C48">
      <w:t>ECE/TRANS/WP.29/GRVA/2020/9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8B5B" w14:textId="3233796D" w:rsidR="006C7032" w:rsidRPr="006C7032" w:rsidRDefault="001E70B2" w:rsidP="006C703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15C48">
      <w:t>ECE/TRANS/WP.29/GRVA/2020/9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8C18" w14:textId="77777777" w:rsidR="003A6375" w:rsidRDefault="003A6375" w:rsidP="008540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C5"/>
    <w:rsid w:val="000144E8"/>
    <w:rsid w:val="00033EE1"/>
    <w:rsid w:val="00042B72"/>
    <w:rsid w:val="000558BD"/>
    <w:rsid w:val="000937BC"/>
    <w:rsid w:val="000B57E7"/>
    <w:rsid w:val="000B6373"/>
    <w:rsid w:val="000E315F"/>
    <w:rsid w:val="000E4E5B"/>
    <w:rsid w:val="000F09DF"/>
    <w:rsid w:val="000F61B2"/>
    <w:rsid w:val="001014C1"/>
    <w:rsid w:val="001075E9"/>
    <w:rsid w:val="00107F35"/>
    <w:rsid w:val="0013626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0FD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822"/>
    <w:rsid w:val="003402C2"/>
    <w:rsid w:val="00381C24"/>
    <w:rsid w:val="00387CD4"/>
    <w:rsid w:val="003958D0"/>
    <w:rsid w:val="003A0D43"/>
    <w:rsid w:val="003A48CE"/>
    <w:rsid w:val="003A6375"/>
    <w:rsid w:val="003B00E5"/>
    <w:rsid w:val="003E0B46"/>
    <w:rsid w:val="003F5982"/>
    <w:rsid w:val="00407B78"/>
    <w:rsid w:val="0042070F"/>
    <w:rsid w:val="00424203"/>
    <w:rsid w:val="00436CF4"/>
    <w:rsid w:val="00452493"/>
    <w:rsid w:val="00453318"/>
    <w:rsid w:val="00454AF2"/>
    <w:rsid w:val="00454E07"/>
    <w:rsid w:val="00472C5C"/>
    <w:rsid w:val="004D384C"/>
    <w:rsid w:val="004E05B7"/>
    <w:rsid w:val="0050108D"/>
    <w:rsid w:val="00513081"/>
    <w:rsid w:val="00517901"/>
    <w:rsid w:val="00526683"/>
    <w:rsid w:val="00547FE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3CA"/>
    <w:rsid w:val="00660969"/>
    <w:rsid w:val="00680D03"/>
    <w:rsid w:val="00681A10"/>
    <w:rsid w:val="006A1ED8"/>
    <w:rsid w:val="006C2031"/>
    <w:rsid w:val="006C7032"/>
    <w:rsid w:val="006D461A"/>
    <w:rsid w:val="006F35EE"/>
    <w:rsid w:val="007021FF"/>
    <w:rsid w:val="00712895"/>
    <w:rsid w:val="00715C48"/>
    <w:rsid w:val="00734ACB"/>
    <w:rsid w:val="00757357"/>
    <w:rsid w:val="00792497"/>
    <w:rsid w:val="007A32F9"/>
    <w:rsid w:val="007D4369"/>
    <w:rsid w:val="00806737"/>
    <w:rsid w:val="00825F8D"/>
    <w:rsid w:val="00834B71"/>
    <w:rsid w:val="008526F0"/>
    <w:rsid w:val="00854000"/>
    <w:rsid w:val="0086445C"/>
    <w:rsid w:val="00894693"/>
    <w:rsid w:val="008A08D7"/>
    <w:rsid w:val="008A37C8"/>
    <w:rsid w:val="008B6909"/>
    <w:rsid w:val="008D3E3D"/>
    <w:rsid w:val="008D53B6"/>
    <w:rsid w:val="008F7609"/>
    <w:rsid w:val="00906890"/>
    <w:rsid w:val="00911BE4"/>
    <w:rsid w:val="00951972"/>
    <w:rsid w:val="009608F3"/>
    <w:rsid w:val="009A24AC"/>
    <w:rsid w:val="009C5069"/>
    <w:rsid w:val="009C59D7"/>
    <w:rsid w:val="009C6FE6"/>
    <w:rsid w:val="009D7E7D"/>
    <w:rsid w:val="00A14DA8"/>
    <w:rsid w:val="00A312BC"/>
    <w:rsid w:val="00A71E65"/>
    <w:rsid w:val="00A84021"/>
    <w:rsid w:val="00A84D35"/>
    <w:rsid w:val="00A917B3"/>
    <w:rsid w:val="00AB4B51"/>
    <w:rsid w:val="00B01BA5"/>
    <w:rsid w:val="00B10CC7"/>
    <w:rsid w:val="00B36DF7"/>
    <w:rsid w:val="00B474C9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9C5"/>
    <w:rsid w:val="00CB151C"/>
    <w:rsid w:val="00CE5A1A"/>
    <w:rsid w:val="00CE66F5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13CC5"/>
  <w15:docId w15:val="{A2AADA9E-3BB3-4963-A5E3-9D8366D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C7032"/>
    <w:rPr>
      <w:lang w:val="ru-RU" w:eastAsia="en-US"/>
    </w:rPr>
  </w:style>
  <w:style w:type="character" w:customStyle="1" w:styleId="HChGChar">
    <w:name w:val="_ H _Ch_G Char"/>
    <w:link w:val="HChG"/>
    <w:rsid w:val="006C703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C703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291</Words>
  <Characters>2081</Characters>
  <Application>Microsoft Office Word</Application>
  <DocSecurity>0</DocSecurity>
  <Lines>55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ECE/TRANS/WP.29/GRVA/2020/9</vt:lpstr>
      <vt:lpstr>A/</vt:lpstr>
      <vt:lpstr>A/</vt:lpstr>
    </vt:vector>
  </TitlesOfParts>
  <Company>DCM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ECE/TRANS/WP.29/GRVA/2020/9</dc:title>
  <dc:subject/>
  <dc:creator>Nina STEPANOVA</dc:creator>
  <cp:keywords/>
  <cp:lastModifiedBy>Ioulia Goussarova</cp:lastModifiedBy>
  <cp:revision>4</cp:revision>
  <cp:lastPrinted>2019-12-06T16:15:00Z</cp:lastPrinted>
  <dcterms:created xsi:type="dcterms:W3CDTF">2019-12-06T16:15:00Z</dcterms:created>
  <dcterms:modified xsi:type="dcterms:W3CDTF">2019-12-06T16:19:00Z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