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04C131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6237FB" w14:textId="77777777" w:rsidR="00F35BAF" w:rsidRPr="00DB58B5" w:rsidRDefault="00F35BAF" w:rsidP="008F57A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30A59A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1EEBE2" w14:textId="77777777" w:rsidR="00F35BAF" w:rsidRPr="00DB58B5" w:rsidRDefault="008F57A9" w:rsidP="008F57A9">
            <w:pPr>
              <w:jc w:val="right"/>
            </w:pPr>
            <w:r w:rsidRPr="008F57A9">
              <w:rPr>
                <w:sz w:val="40"/>
              </w:rPr>
              <w:t>ECE</w:t>
            </w:r>
            <w:r>
              <w:t>/TRANS/WP.29/GRVA/2020/6</w:t>
            </w:r>
          </w:p>
        </w:tc>
      </w:tr>
      <w:tr w:rsidR="00F35BAF" w:rsidRPr="00DB58B5" w14:paraId="38A2FB1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8653D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07CC278" wp14:editId="0D3D49B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4A64A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604FBF8" w14:textId="77777777" w:rsidR="00F35BAF" w:rsidRDefault="008F57A9" w:rsidP="00C97039">
            <w:pPr>
              <w:spacing w:before="240"/>
            </w:pPr>
            <w:r>
              <w:t>Distr. générale</w:t>
            </w:r>
          </w:p>
          <w:p w14:paraId="584318A2" w14:textId="77777777" w:rsidR="008F57A9" w:rsidRDefault="008F57A9" w:rsidP="008F57A9">
            <w:pPr>
              <w:spacing w:line="240" w:lineRule="exact"/>
            </w:pPr>
            <w:r>
              <w:t>29 novembre 2019</w:t>
            </w:r>
          </w:p>
          <w:p w14:paraId="2114D9E4" w14:textId="77777777" w:rsidR="008F57A9" w:rsidRDefault="008F57A9" w:rsidP="008F57A9">
            <w:pPr>
              <w:spacing w:line="240" w:lineRule="exact"/>
            </w:pPr>
            <w:r>
              <w:t>Français</w:t>
            </w:r>
          </w:p>
          <w:p w14:paraId="37F7CDE7" w14:textId="77777777" w:rsidR="008F57A9" w:rsidRPr="00DB58B5" w:rsidRDefault="008F57A9" w:rsidP="008F57A9">
            <w:pPr>
              <w:spacing w:line="240" w:lineRule="exact"/>
            </w:pPr>
            <w:r>
              <w:t>Original : anglais</w:t>
            </w:r>
          </w:p>
        </w:tc>
      </w:tr>
    </w:tbl>
    <w:p w14:paraId="5F87C24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635E41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C7CBB60" w14:textId="77777777" w:rsidR="00675CD7" w:rsidRPr="00A637ED" w:rsidRDefault="00675CD7" w:rsidP="00A637ED">
      <w:pPr>
        <w:spacing w:before="120"/>
        <w:rPr>
          <w:b/>
          <w:sz w:val="24"/>
          <w:szCs w:val="24"/>
          <w:lang w:val="fr-FR"/>
        </w:rPr>
      </w:pPr>
      <w:r w:rsidRPr="00A637ED">
        <w:rPr>
          <w:b/>
          <w:sz w:val="24"/>
          <w:szCs w:val="24"/>
          <w:lang w:val="fr-FR"/>
        </w:rPr>
        <w:t xml:space="preserve">Forum mondial de l’harmonisation des Règlements </w:t>
      </w:r>
      <w:r w:rsidR="00A637ED">
        <w:rPr>
          <w:b/>
          <w:sz w:val="24"/>
          <w:szCs w:val="24"/>
          <w:lang w:val="fr-FR"/>
        </w:rPr>
        <w:br/>
      </w:r>
      <w:r w:rsidRPr="00A637ED">
        <w:rPr>
          <w:b/>
          <w:sz w:val="24"/>
          <w:szCs w:val="24"/>
          <w:lang w:val="fr-FR"/>
        </w:rPr>
        <w:t>concernant les véhicules</w:t>
      </w:r>
    </w:p>
    <w:p w14:paraId="282D0427" w14:textId="77777777" w:rsidR="00675CD7" w:rsidRPr="00A637ED" w:rsidRDefault="00675CD7" w:rsidP="00A637ED">
      <w:pPr>
        <w:spacing w:before="120"/>
        <w:rPr>
          <w:b/>
          <w:lang w:val="fr-FR"/>
        </w:rPr>
      </w:pPr>
      <w:r w:rsidRPr="00A637ED">
        <w:rPr>
          <w:b/>
          <w:bCs/>
          <w:lang w:val="fr-FR"/>
        </w:rPr>
        <w:t>Groupe de travail des véhicules automatisés/autonomes et connectés</w:t>
      </w:r>
      <w:r w:rsidR="00A637ED" w:rsidRPr="00A637ED">
        <w:rPr>
          <w:rStyle w:val="Appelnotedebasdep"/>
          <w:bCs/>
          <w:sz w:val="20"/>
          <w:vertAlign w:val="baseline"/>
        </w:rPr>
        <w:footnoteReference w:customMarkFollows="1" w:id="2"/>
        <w:t>*</w:t>
      </w:r>
    </w:p>
    <w:p w14:paraId="6205216F" w14:textId="77777777" w:rsidR="00675CD7" w:rsidRPr="00A637ED" w:rsidRDefault="00675CD7" w:rsidP="00A637ED">
      <w:pPr>
        <w:spacing w:before="120"/>
        <w:rPr>
          <w:b/>
          <w:lang w:val="fr-FR"/>
        </w:rPr>
      </w:pPr>
      <w:r w:rsidRPr="00A637ED">
        <w:rPr>
          <w:b/>
          <w:lang w:val="fr-FR"/>
        </w:rPr>
        <w:t>Cinquième session</w:t>
      </w:r>
    </w:p>
    <w:p w14:paraId="79E09449" w14:textId="77777777" w:rsidR="00675CD7" w:rsidRPr="00A637ED" w:rsidRDefault="00675CD7" w:rsidP="00675CD7">
      <w:pPr>
        <w:rPr>
          <w:lang w:val="fr-FR"/>
        </w:rPr>
      </w:pPr>
      <w:r w:rsidRPr="00A637ED">
        <w:rPr>
          <w:lang w:val="fr-FR"/>
        </w:rPr>
        <w:t>Genève, 10-14</w:t>
      </w:r>
      <w:r w:rsidR="00A637ED">
        <w:rPr>
          <w:lang w:val="fr-FR"/>
        </w:rPr>
        <w:t> </w:t>
      </w:r>
      <w:r w:rsidRPr="00A637ED">
        <w:rPr>
          <w:lang w:val="fr-FR"/>
        </w:rPr>
        <w:t>février 2020</w:t>
      </w:r>
    </w:p>
    <w:p w14:paraId="37A5A31D" w14:textId="77777777" w:rsidR="00675CD7" w:rsidRPr="00A637ED" w:rsidRDefault="00675CD7" w:rsidP="00675CD7">
      <w:pPr>
        <w:rPr>
          <w:lang w:val="fr-FR"/>
        </w:rPr>
      </w:pPr>
      <w:bookmarkStart w:id="1" w:name="OLE_LINK2"/>
      <w:r w:rsidRPr="00A637ED">
        <w:rPr>
          <w:lang w:val="fr-FR"/>
        </w:rPr>
        <w:t>Point</w:t>
      </w:r>
      <w:r w:rsidR="00A637ED">
        <w:rPr>
          <w:lang w:val="fr-FR"/>
        </w:rPr>
        <w:t> </w:t>
      </w:r>
      <w:r w:rsidRPr="00A637ED">
        <w:rPr>
          <w:lang w:val="fr-FR"/>
        </w:rPr>
        <w:t>5</w:t>
      </w:r>
      <w:r w:rsidR="00A637ED">
        <w:rPr>
          <w:lang w:val="fr-FR"/>
        </w:rPr>
        <w:t> </w:t>
      </w:r>
      <w:r w:rsidRPr="00A637ED">
        <w:rPr>
          <w:lang w:val="fr-FR"/>
        </w:rPr>
        <w:t>a) de l’ordre du jour provisoire</w:t>
      </w:r>
    </w:p>
    <w:p w14:paraId="686F6D45" w14:textId="77777777" w:rsidR="00675CD7" w:rsidRPr="00A637ED" w:rsidRDefault="00675CD7" w:rsidP="00675CD7">
      <w:pPr>
        <w:rPr>
          <w:b/>
          <w:lang w:val="fr-FR"/>
        </w:rPr>
      </w:pPr>
      <w:r w:rsidRPr="00A637ED">
        <w:rPr>
          <w:b/>
          <w:lang w:val="fr-FR"/>
        </w:rPr>
        <w:t>Véhicules connectés :</w:t>
      </w:r>
    </w:p>
    <w:p w14:paraId="15BFD2D3" w14:textId="77777777" w:rsidR="00675CD7" w:rsidRPr="00A637ED" w:rsidRDefault="00675CD7" w:rsidP="00675CD7">
      <w:pPr>
        <w:rPr>
          <w:b/>
          <w:lang w:val="fr-FR"/>
        </w:rPr>
      </w:pPr>
      <w:r w:rsidRPr="00A637ED">
        <w:rPr>
          <w:b/>
          <w:lang w:val="fr-FR"/>
        </w:rPr>
        <w:t>Cybersécurité, protection des données et mises à jour de logiciels</w:t>
      </w:r>
    </w:p>
    <w:p w14:paraId="7B07AB8F" w14:textId="77777777" w:rsidR="00675CD7" w:rsidRPr="00CC6FD4" w:rsidRDefault="00675CD7" w:rsidP="00A637ED">
      <w:pPr>
        <w:pStyle w:val="HChG"/>
        <w:rPr>
          <w:lang w:val="fr-FR"/>
        </w:rPr>
      </w:pPr>
      <w:r w:rsidRPr="00CC6FD4">
        <w:rPr>
          <w:lang w:val="fr-FR"/>
        </w:rPr>
        <w:tab/>
      </w:r>
      <w:r w:rsidRPr="00CC6FD4">
        <w:rPr>
          <w:lang w:val="fr-FR"/>
        </w:rPr>
        <w:tab/>
      </w:r>
      <w:bookmarkEnd w:id="1"/>
      <w:r w:rsidRPr="00CC6FD4">
        <w:rPr>
          <w:lang w:val="fr-FR"/>
        </w:rPr>
        <w:t>Rapport sur la phase d</w:t>
      </w:r>
      <w:r>
        <w:rPr>
          <w:lang w:val="fr-FR"/>
        </w:rPr>
        <w:t>’</w:t>
      </w:r>
      <w:r w:rsidRPr="00CC6FD4">
        <w:rPr>
          <w:lang w:val="fr-FR"/>
        </w:rPr>
        <w:t>essai des mises à jour de logiciels</w:t>
      </w:r>
    </w:p>
    <w:p w14:paraId="704D9504" w14:textId="77777777" w:rsidR="00675CD7" w:rsidRPr="00CC6FD4" w:rsidRDefault="00675CD7" w:rsidP="00A637ED">
      <w:pPr>
        <w:pStyle w:val="H1G"/>
        <w:rPr>
          <w:szCs w:val="24"/>
          <w:lang w:val="fr-FR"/>
        </w:rPr>
      </w:pPr>
      <w:r w:rsidRPr="00CC6FD4">
        <w:rPr>
          <w:lang w:val="fr-FR"/>
        </w:rPr>
        <w:tab/>
      </w:r>
      <w:r w:rsidRPr="00CC6FD4">
        <w:rPr>
          <w:lang w:val="fr-FR"/>
        </w:rPr>
        <w:tab/>
        <w:t>Communication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de l’équipe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pour la cybersécurité </w:t>
      </w:r>
      <w:r w:rsidR="007C4E3B">
        <w:rPr>
          <w:lang w:val="fr-FR"/>
        </w:rPr>
        <w:br/>
      </w:r>
      <w:r w:rsidRPr="00CC6FD4">
        <w:rPr>
          <w:lang w:val="fr-FR"/>
        </w:rPr>
        <w:t>et les questions de sûreté des transmissions sans fil</w:t>
      </w:r>
      <w:r w:rsidR="00A637ED" w:rsidRPr="007C4E3B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14:paraId="6B5AB542" w14:textId="77777777" w:rsidR="00675CD7" w:rsidRPr="00CC6FD4" w:rsidRDefault="00675CD7" w:rsidP="007C4E3B">
      <w:pPr>
        <w:pStyle w:val="SingleTxtG"/>
        <w:ind w:firstLine="567"/>
        <w:rPr>
          <w:lang w:val="fr-FR"/>
        </w:rPr>
      </w:pPr>
      <w:r w:rsidRPr="00CC6FD4">
        <w:rPr>
          <w:lang w:val="fr-FR"/>
        </w:rPr>
        <w:t>Le présent rapport a été établi par les coprésidents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de l’équipe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pour la cybersécurité et les questions de sûreté des transmissions sans fil. Il fait la synthèse des résultats de la phase d</w:t>
      </w:r>
      <w:r>
        <w:rPr>
          <w:lang w:val="fr-FR"/>
        </w:rPr>
        <w:t>’</w:t>
      </w:r>
      <w:r w:rsidRPr="00CC6FD4">
        <w:rPr>
          <w:lang w:val="fr-FR"/>
        </w:rPr>
        <w:t>essai des projets de Règlements ONU sur la cybersécurité et les mises à jour à distance. Il décrit aussi les objectifs</w:t>
      </w:r>
      <w:r>
        <w:rPr>
          <w:lang w:val="fr-FR"/>
        </w:rPr>
        <w:t xml:space="preserve"> et la méthode de réalisation</w:t>
      </w:r>
      <w:r w:rsidRPr="00CC6FD4">
        <w:rPr>
          <w:lang w:val="fr-FR"/>
        </w:rPr>
        <w:t xml:space="preserve"> de cette phase d</w:t>
      </w:r>
      <w:r>
        <w:rPr>
          <w:lang w:val="fr-FR"/>
        </w:rPr>
        <w:t>’</w:t>
      </w:r>
      <w:r w:rsidRPr="00CC6FD4">
        <w:rPr>
          <w:lang w:val="fr-FR"/>
        </w:rPr>
        <w:t>essai.</w:t>
      </w:r>
    </w:p>
    <w:p w14:paraId="11E89A18" w14:textId="77777777" w:rsidR="00675CD7" w:rsidRPr="00CC6FD4" w:rsidRDefault="00675CD7" w:rsidP="00E4465E">
      <w:pPr>
        <w:pStyle w:val="HChG"/>
        <w:rPr>
          <w:lang w:val="fr-FR"/>
        </w:rPr>
      </w:pPr>
      <w:r w:rsidRPr="00CC6FD4">
        <w:rPr>
          <w:lang w:val="fr-FR"/>
        </w:rPr>
        <w:br w:type="page"/>
      </w:r>
      <w:bookmarkStart w:id="2" w:name="_Toc498341508"/>
      <w:bookmarkStart w:id="3" w:name="_Toc507661162"/>
      <w:r w:rsidR="00E4465E">
        <w:rPr>
          <w:lang w:val="fr-FR"/>
        </w:rPr>
        <w:lastRenderedPageBreak/>
        <w:tab/>
      </w:r>
      <w:r w:rsidRPr="00CC6FD4">
        <w:rPr>
          <w:lang w:val="fr-FR"/>
        </w:rPr>
        <w:t>1.</w:t>
      </w:r>
      <w:r w:rsidRPr="00CC6FD4">
        <w:rPr>
          <w:lang w:val="fr-FR"/>
        </w:rPr>
        <w:tab/>
        <w:t>Introduction</w:t>
      </w:r>
      <w:bookmarkEnd w:id="2"/>
      <w:bookmarkEnd w:id="3"/>
    </w:p>
    <w:p w14:paraId="236C3A9A" w14:textId="77777777" w:rsidR="00675CD7" w:rsidRPr="00CC6FD4" w:rsidRDefault="00675CD7" w:rsidP="00E4465E">
      <w:pPr>
        <w:pStyle w:val="H1G"/>
        <w:rPr>
          <w:lang w:val="fr-FR"/>
        </w:rPr>
      </w:pPr>
      <w:bookmarkStart w:id="4" w:name="_Toc498341509"/>
      <w:bookmarkStart w:id="5" w:name="_Toc507661163"/>
      <w:r w:rsidRPr="00CC6FD4">
        <w:rPr>
          <w:lang w:val="fr-FR"/>
        </w:rPr>
        <w:tab/>
        <w:t>1.1</w:t>
      </w:r>
      <w:r w:rsidRPr="00CC6FD4">
        <w:rPr>
          <w:lang w:val="fr-FR"/>
        </w:rPr>
        <w:tab/>
      </w:r>
      <w:bookmarkEnd w:id="4"/>
      <w:bookmarkEnd w:id="5"/>
      <w:r w:rsidRPr="00CC6FD4">
        <w:rPr>
          <w:lang w:val="fr-FR"/>
        </w:rPr>
        <w:t>Préambule</w:t>
      </w:r>
    </w:p>
    <w:p w14:paraId="0A10DC0C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1.1.1</w:t>
      </w:r>
      <w:r w:rsidRPr="00CC6FD4">
        <w:rPr>
          <w:lang w:val="fr-FR"/>
        </w:rPr>
        <w:tab/>
      </w:r>
      <w:r w:rsidR="00E4465E">
        <w:rPr>
          <w:lang w:val="fr-FR"/>
        </w:rPr>
        <w:tab/>
      </w:r>
      <w:r w:rsidRPr="00CC6FD4">
        <w:rPr>
          <w:lang w:val="fr-FR"/>
        </w:rPr>
        <w:t>Un</w:t>
      </w:r>
      <w:r>
        <w:rPr>
          <w:lang w:val="fr-FR"/>
        </w:rPr>
        <w:t>e</w:t>
      </w:r>
      <w:r w:rsidRPr="00CC6FD4">
        <w:rPr>
          <w:lang w:val="fr-FR"/>
        </w:rPr>
        <w:t xml:space="preserve"> </w:t>
      </w:r>
      <w:r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a été créé</w:t>
      </w:r>
      <w:r>
        <w:rPr>
          <w:lang w:val="fr-FR"/>
        </w:rPr>
        <w:t>e</w:t>
      </w:r>
      <w:r w:rsidRPr="00CC6FD4">
        <w:rPr>
          <w:lang w:val="fr-FR"/>
        </w:rPr>
        <w:t xml:space="preserve"> en tant que sous-groupe du groupe de travail informel des systèmes de transport intelligents et de la conduite automatisée du Forum mondial de l</w:t>
      </w:r>
      <w:r>
        <w:rPr>
          <w:lang w:val="fr-FR"/>
        </w:rPr>
        <w:t>’</w:t>
      </w:r>
      <w:r w:rsidRPr="00CC6FD4">
        <w:rPr>
          <w:lang w:val="fr-FR"/>
        </w:rPr>
        <w:t>harmonisation des Règlements concernant les véhicules (WP.29) pour examiner les questions relatives à la cybersécurité et à la sûreté des transmissions sans fil.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Elle </w:t>
      </w:r>
      <w:r w:rsidRPr="00CC6FD4">
        <w:rPr>
          <w:lang w:val="fr-FR"/>
        </w:rPr>
        <w:t>est composé</w:t>
      </w:r>
      <w:r>
        <w:rPr>
          <w:lang w:val="fr-FR"/>
        </w:rPr>
        <w:t>e</w:t>
      </w:r>
      <w:r w:rsidRPr="00CC6FD4">
        <w:rPr>
          <w:lang w:val="fr-FR"/>
        </w:rPr>
        <w:t xml:space="preserve"> de représentants des Parties contractantes (dont l</w:t>
      </w:r>
      <w:r>
        <w:rPr>
          <w:lang w:val="fr-FR"/>
        </w:rPr>
        <w:t>’</w:t>
      </w:r>
      <w:r w:rsidRPr="00CC6FD4">
        <w:rPr>
          <w:lang w:val="fr-FR"/>
        </w:rPr>
        <w:t>Allemagne, la France, le Japon, les Pays-Bas, la République de Corée et le Royaume-Uni de Grande-Bretagne et d</w:t>
      </w:r>
      <w:r>
        <w:rPr>
          <w:lang w:val="fr-FR"/>
        </w:rPr>
        <w:t>’</w:t>
      </w:r>
      <w:r w:rsidRPr="00CC6FD4">
        <w:rPr>
          <w:lang w:val="fr-FR"/>
        </w:rPr>
        <w:t>Irlande du Nord en tant que participants réguliers) et d</w:t>
      </w:r>
      <w:r>
        <w:rPr>
          <w:lang w:val="fr-FR"/>
        </w:rPr>
        <w:t>’</w:t>
      </w:r>
      <w:r w:rsidRPr="00CC6FD4">
        <w:rPr>
          <w:lang w:val="fr-FR"/>
        </w:rPr>
        <w:t>organisations non gouvernementales,</w:t>
      </w:r>
      <w:r>
        <w:rPr>
          <w:lang w:val="fr-FR"/>
        </w:rPr>
        <w:t xml:space="preserve"> dont</w:t>
      </w:r>
      <w:r w:rsidRPr="00CC6FD4">
        <w:rPr>
          <w:lang w:val="fr-FR"/>
        </w:rPr>
        <w:t xml:space="preserve"> l</w:t>
      </w:r>
      <w:r>
        <w:rPr>
          <w:lang w:val="fr-FR"/>
        </w:rPr>
        <w:t>’</w:t>
      </w:r>
      <w:r w:rsidRPr="00CC6FD4">
        <w:rPr>
          <w:lang w:val="fr-FR"/>
        </w:rPr>
        <w:t>Association européenne des fournisseurs de l</w:t>
      </w:r>
      <w:r>
        <w:rPr>
          <w:lang w:val="fr-FR"/>
        </w:rPr>
        <w:t>’</w:t>
      </w:r>
      <w:r w:rsidRPr="00CC6FD4">
        <w:rPr>
          <w:lang w:val="fr-FR"/>
        </w:rPr>
        <w:t>automobile (CLEPA), le Comité international de l</w:t>
      </w:r>
      <w:r>
        <w:rPr>
          <w:lang w:val="fr-FR"/>
        </w:rPr>
        <w:t>’</w:t>
      </w:r>
      <w:r w:rsidRPr="00CC6FD4">
        <w:rPr>
          <w:lang w:val="fr-FR"/>
        </w:rPr>
        <w:t>inspection technique automobile (CITA), la Fédération internationale de l</w:t>
      </w:r>
      <w:r>
        <w:rPr>
          <w:lang w:val="fr-FR"/>
        </w:rPr>
        <w:t>’</w:t>
      </w:r>
      <w:r w:rsidRPr="00CC6FD4">
        <w:rPr>
          <w:lang w:val="fr-FR"/>
        </w:rPr>
        <w:t>automobile (FIA), l</w:t>
      </w:r>
      <w:r>
        <w:rPr>
          <w:lang w:val="fr-FR"/>
        </w:rPr>
        <w:t>’</w:t>
      </w:r>
      <w:r w:rsidRPr="00CC6FD4">
        <w:rPr>
          <w:lang w:val="fr-FR"/>
        </w:rPr>
        <w:t xml:space="preserve">Union internationale des télécommunications </w:t>
      </w:r>
      <w:r w:rsidR="00E4465E">
        <w:rPr>
          <w:lang w:val="fr-FR"/>
        </w:rPr>
        <w:t xml:space="preserve">− </w:t>
      </w:r>
      <w:r w:rsidRPr="00CC6FD4">
        <w:rPr>
          <w:lang w:val="fr-FR"/>
        </w:rPr>
        <w:t>Secteur de la normalisation des télécommunications (UIT-T) et l</w:t>
      </w:r>
      <w:r>
        <w:rPr>
          <w:lang w:val="fr-FR"/>
        </w:rPr>
        <w:t>’</w:t>
      </w:r>
      <w:r w:rsidRPr="00CC6FD4">
        <w:rPr>
          <w:lang w:val="fr-FR"/>
        </w:rPr>
        <w:t xml:space="preserve">Organisation internationale des constructeurs automobiles (OICA). </w:t>
      </w:r>
      <w:r>
        <w:rPr>
          <w:lang w:val="fr-FR"/>
        </w:rPr>
        <w:t xml:space="preserve">À la suite de </w:t>
      </w:r>
      <w:r w:rsidRPr="00CC6FD4">
        <w:rPr>
          <w:lang w:val="fr-FR"/>
        </w:rPr>
        <w:t>la réforme du WP.29,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l’équipe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rend compte </w:t>
      </w:r>
      <w:r>
        <w:rPr>
          <w:lang w:val="fr-FR"/>
        </w:rPr>
        <w:t xml:space="preserve">désormais </w:t>
      </w:r>
      <w:r w:rsidRPr="00CC6FD4">
        <w:rPr>
          <w:lang w:val="fr-FR"/>
        </w:rPr>
        <w:t>au Groupe de travail des véhicules automatisés/autonomes et connectés (GRVA).</w:t>
      </w:r>
    </w:p>
    <w:p w14:paraId="43D67161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1.1.2</w:t>
      </w:r>
      <w:r w:rsidRPr="00CC6FD4">
        <w:rPr>
          <w:lang w:val="fr-FR"/>
        </w:rPr>
        <w:tab/>
      </w:r>
      <w:r>
        <w:rPr>
          <w:lang w:val="fr-FR"/>
        </w:rPr>
        <w:t xml:space="preserve">L’équipe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est chargé</w:t>
      </w:r>
      <w:r>
        <w:rPr>
          <w:lang w:val="fr-FR"/>
        </w:rPr>
        <w:t>e</w:t>
      </w:r>
      <w:r w:rsidRPr="00CC6FD4">
        <w:rPr>
          <w:lang w:val="fr-FR"/>
        </w:rPr>
        <w:t xml:space="preserve"> d</w:t>
      </w:r>
      <w:r>
        <w:rPr>
          <w:lang w:val="fr-FR"/>
        </w:rPr>
        <w:t>’</w:t>
      </w:r>
      <w:r w:rsidRPr="00CC6FD4">
        <w:rPr>
          <w:lang w:val="fr-FR"/>
        </w:rPr>
        <w:t>élaborer</w:t>
      </w:r>
      <w:r>
        <w:rPr>
          <w:lang w:val="fr-FR"/>
        </w:rPr>
        <w:t>,</w:t>
      </w:r>
      <w:r w:rsidRPr="00CC6FD4">
        <w:rPr>
          <w:lang w:val="fr-FR"/>
        </w:rPr>
        <w:t xml:space="preserve"> sous la forme d</w:t>
      </w:r>
      <w:r>
        <w:rPr>
          <w:lang w:val="fr-FR"/>
        </w:rPr>
        <w:t>’</w:t>
      </w:r>
      <w:r w:rsidRPr="00CC6FD4">
        <w:rPr>
          <w:lang w:val="fr-FR"/>
        </w:rPr>
        <w:t>une recommandation ou d</w:t>
      </w:r>
      <w:r>
        <w:rPr>
          <w:lang w:val="fr-FR"/>
        </w:rPr>
        <w:t>’</w:t>
      </w:r>
      <w:r w:rsidRPr="00CC6FD4">
        <w:rPr>
          <w:lang w:val="fr-FR"/>
        </w:rPr>
        <w:t>une résolution</w:t>
      </w:r>
      <w:r>
        <w:rPr>
          <w:lang w:val="fr-FR"/>
        </w:rPr>
        <w:t>,</w:t>
      </w:r>
      <w:r w:rsidRPr="00CC6FD4">
        <w:rPr>
          <w:lang w:val="fr-FR"/>
        </w:rPr>
        <w:t xml:space="preserve"> </w:t>
      </w:r>
      <w:r>
        <w:rPr>
          <w:lang w:val="fr-FR"/>
        </w:rPr>
        <w:t>des dispositions qui conviennent à</w:t>
      </w:r>
      <w:r w:rsidRPr="00D1706E">
        <w:rPr>
          <w:lang w:val="fr-FR"/>
        </w:rPr>
        <w:t xml:space="preserve"> l</w:t>
      </w:r>
      <w:r>
        <w:rPr>
          <w:lang w:val="fr-FR"/>
        </w:rPr>
        <w:t>’</w:t>
      </w:r>
      <w:r w:rsidRPr="00D1706E">
        <w:rPr>
          <w:lang w:val="fr-FR"/>
        </w:rPr>
        <w:t xml:space="preserve">Accord de 1998, </w:t>
      </w:r>
      <w:r w:rsidRPr="00CC6FD4">
        <w:rPr>
          <w:lang w:val="fr-FR"/>
        </w:rPr>
        <w:t>ainsi</w:t>
      </w:r>
      <w:r>
        <w:rPr>
          <w:lang w:val="fr-FR"/>
        </w:rPr>
        <w:t xml:space="preserve"> que deux projets de </w:t>
      </w:r>
      <w:r w:rsidRPr="00CC6FD4">
        <w:rPr>
          <w:lang w:val="fr-FR"/>
        </w:rPr>
        <w:t>Règlement</w:t>
      </w:r>
      <w:r>
        <w:rPr>
          <w:lang w:val="fr-FR"/>
        </w:rPr>
        <w:t>s</w:t>
      </w:r>
      <w:r w:rsidRPr="00CC6FD4">
        <w:rPr>
          <w:lang w:val="fr-FR"/>
        </w:rPr>
        <w:t xml:space="preserve"> ONU</w:t>
      </w:r>
      <w:r>
        <w:rPr>
          <w:lang w:val="fr-FR"/>
        </w:rPr>
        <w:t>, concernant respectivement</w:t>
      </w:r>
      <w:r w:rsidRPr="00CC6FD4">
        <w:rPr>
          <w:lang w:val="fr-FR"/>
        </w:rPr>
        <w:t xml:space="preserve"> les questions de cybersécurité et les questions relatives aux mises à jour à distance.</w:t>
      </w:r>
    </w:p>
    <w:p w14:paraId="14C878D9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1.1.3</w:t>
      </w:r>
      <w:r w:rsidRPr="00CC6FD4">
        <w:rPr>
          <w:lang w:val="fr-FR"/>
        </w:rPr>
        <w:tab/>
      </w:r>
      <w:r>
        <w:rPr>
          <w:lang w:val="fr-FR"/>
        </w:rPr>
        <w:t xml:space="preserve">L’équipe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a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entamé </w:t>
      </w:r>
      <w:r w:rsidRPr="00CC6FD4">
        <w:rPr>
          <w:lang w:val="fr-FR"/>
        </w:rPr>
        <w:t>ses travaux le 21</w:t>
      </w:r>
      <w:r w:rsidR="00C834C8">
        <w:rPr>
          <w:lang w:val="fr-FR"/>
        </w:rPr>
        <w:t> </w:t>
      </w:r>
      <w:r w:rsidRPr="00CC6FD4">
        <w:rPr>
          <w:lang w:val="fr-FR"/>
        </w:rPr>
        <w:t>décembre 2016</w:t>
      </w:r>
      <w:r w:rsidR="00E4465E">
        <w:rPr>
          <w:lang w:val="fr-FR"/>
        </w:rPr>
        <w:t xml:space="preserve"> </w:t>
      </w:r>
      <w:r>
        <w:rPr>
          <w:lang w:val="fr-FR"/>
        </w:rPr>
        <w:t>et a établi</w:t>
      </w:r>
      <w:r w:rsidRPr="00CC6FD4">
        <w:rPr>
          <w:lang w:val="fr-FR"/>
        </w:rPr>
        <w:t xml:space="preserve"> </w:t>
      </w:r>
      <w:r>
        <w:rPr>
          <w:lang w:val="fr-FR"/>
        </w:rPr>
        <w:t xml:space="preserve">en 2018 </w:t>
      </w:r>
      <w:r w:rsidRPr="00CC6FD4">
        <w:rPr>
          <w:lang w:val="fr-FR"/>
        </w:rPr>
        <w:t>deux projets de règlements concernant la cybersécurité et les processus de mise à jour</w:t>
      </w:r>
      <w:r>
        <w:rPr>
          <w:lang w:val="fr-FR"/>
        </w:rPr>
        <w:t xml:space="preserve"> logicielle </w:t>
      </w:r>
      <w:r w:rsidRPr="00CC6FD4">
        <w:rPr>
          <w:lang w:val="fr-FR"/>
        </w:rPr>
        <w:t>(publiés respectivement sous les cotes ECE/TRANS/WP.29/GRVA/2019/2</w:t>
      </w:r>
      <w:r>
        <w:rPr>
          <w:lang w:val="fr-FR"/>
        </w:rPr>
        <w:t xml:space="preserve"> </w:t>
      </w:r>
      <w:r w:rsidRPr="00CC6FD4">
        <w:rPr>
          <w:lang w:val="fr-FR"/>
        </w:rPr>
        <w:t>et ECE/TRANS/WP.29/GRVA/2019/3).</w:t>
      </w:r>
    </w:p>
    <w:p w14:paraId="69D0D1CE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1.1.4</w:t>
      </w:r>
      <w:r w:rsidRPr="00CC6FD4">
        <w:rPr>
          <w:lang w:val="fr-FR"/>
        </w:rPr>
        <w:tab/>
      </w:r>
      <w:r w:rsidRPr="002F3B23">
        <w:rPr>
          <w:lang w:val="fr-FR"/>
        </w:rPr>
        <w:t>L</w:t>
      </w:r>
      <w:r>
        <w:rPr>
          <w:lang w:val="fr-FR"/>
        </w:rPr>
        <w:t>’</w:t>
      </w:r>
      <w:r w:rsidRPr="002F3B23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a recommandé de mettre</w:t>
      </w:r>
      <w:r>
        <w:rPr>
          <w:lang w:val="fr-FR"/>
        </w:rPr>
        <w:t xml:space="preserve"> c</w:t>
      </w:r>
      <w:r w:rsidRPr="00CC6FD4">
        <w:rPr>
          <w:lang w:val="fr-FR"/>
        </w:rPr>
        <w:t>es règlements à l</w:t>
      </w:r>
      <w:r>
        <w:rPr>
          <w:lang w:val="fr-FR"/>
        </w:rPr>
        <w:t>’</w:t>
      </w:r>
      <w:r w:rsidRPr="00CC6FD4">
        <w:rPr>
          <w:lang w:val="fr-FR"/>
        </w:rPr>
        <w:t>essai pour s</w:t>
      </w:r>
      <w:r>
        <w:rPr>
          <w:lang w:val="fr-FR"/>
        </w:rPr>
        <w:t>’</w:t>
      </w:r>
      <w:r w:rsidRPr="00CC6FD4">
        <w:rPr>
          <w:lang w:val="fr-FR"/>
        </w:rPr>
        <w:t xml:space="preserve">assurer que </w:t>
      </w:r>
      <w:r>
        <w:rPr>
          <w:lang w:val="fr-FR"/>
        </w:rPr>
        <w:t xml:space="preserve">l’application </w:t>
      </w:r>
      <w:r w:rsidRPr="00CC6FD4">
        <w:rPr>
          <w:lang w:val="fr-FR"/>
        </w:rPr>
        <w:t>de leurs prescriptions</w:t>
      </w:r>
      <w:r w:rsidR="00E4465E">
        <w:rPr>
          <w:lang w:val="fr-FR"/>
        </w:rPr>
        <w:t xml:space="preserve"> </w:t>
      </w:r>
      <w:r>
        <w:rPr>
          <w:lang w:val="fr-FR"/>
        </w:rPr>
        <w:t>peut être démontrée</w:t>
      </w:r>
      <w:r w:rsidRPr="00CC6FD4">
        <w:rPr>
          <w:lang w:val="fr-FR"/>
        </w:rPr>
        <w:t xml:space="preserve"> et</w:t>
      </w:r>
      <w:r>
        <w:rPr>
          <w:lang w:val="fr-FR"/>
        </w:rPr>
        <w:t xml:space="preserve"> se prête à évaluation de la part des </w:t>
      </w:r>
      <w:r w:rsidRPr="00CC6FD4">
        <w:rPr>
          <w:lang w:val="fr-FR"/>
        </w:rPr>
        <w:t>services techniques et</w:t>
      </w:r>
      <w:r>
        <w:rPr>
          <w:lang w:val="fr-FR"/>
        </w:rPr>
        <w:t xml:space="preserve"> d</w:t>
      </w:r>
      <w:r w:rsidRPr="00CC6FD4">
        <w:rPr>
          <w:lang w:val="fr-FR"/>
        </w:rPr>
        <w:t>es autorités d</w:t>
      </w:r>
      <w:r>
        <w:rPr>
          <w:lang w:val="fr-FR"/>
        </w:rPr>
        <w:t>’</w:t>
      </w:r>
      <w:r w:rsidRPr="00CC6FD4">
        <w:rPr>
          <w:lang w:val="fr-FR"/>
        </w:rPr>
        <w:t xml:space="preserve">homologation. Cette recommandation </w:t>
      </w:r>
      <w:r>
        <w:rPr>
          <w:lang w:val="fr-FR"/>
        </w:rPr>
        <w:t>a été acceptée</w:t>
      </w:r>
      <w:r w:rsidRPr="00CC6FD4">
        <w:rPr>
          <w:lang w:val="fr-FR"/>
        </w:rPr>
        <w:t xml:space="preserve">. </w:t>
      </w:r>
    </w:p>
    <w:p w14:paraId="0B0DB5CA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1.1.5</w:t>
      </w:r>
      <w:r w:rsidRPr="00CC6FD4">
        <w:rPr>
          <w:lang w:val="fr-FR"/>
        </w:rPr>
        <w:tab/>
        <w:t>La phase d</w:t>
      </w:r>
      <w:r>
        <w:rPr>
          <w:lang w:val="fr-FR"/>
        </w:rPr>
        <w:t>’</w:t>
      </w:r>
      <w:r w:rsidRPr="00CC6FD4">
        <w:rPr>
          <w:lang w:val="fr-FR"/>
        </w:rPr>
        <w:t>essai a associé les autorités</w:t>
      </w:r>
      <w:r>
        <w:rPr>
          <w:lang w:val="fr-FR"/>
        </w:rPr>
        <w:t xml:space="preserve"> d’homologation et les</w:t>
      </w:r>
      <w:r w:rsidR="00E4465E">
        <w:rPr>
          <w:lang w:val="fr-FR"/>
        </w:rPr>
        <w:t xml:space="preserve"> </w:t>
      </w:r>
      <w:r w:rsidRPr="00CC6FD4">
        <w:rPr>
          <w:lang w:val="fr-FR"/>
        </w:rPr>
        <w:t>services techniques de plusieurs pays, ainsi que les constructeurs de véhicules qui s</w:t>
      </w:r>
      <w:r>
        <w:rPr>
          <w:lang w:val="fr-FR"/>
        </w:rPr>
        <w:t>’</w:t>
      </w:r>
      <w:r w:rsidRPr="00CC6FD4">
        <w:rPr>
          <w:lang w:val="fr-FR"/>
        </w:rPr>
        <w:t>étaient portés volontaires pour y prendre part. Bien que</w:t>
      </w:r>
      <w:r w:rsidR="00E4465E">
        <w:rPr>
          <w:lang w:val="fr-FR"/>
        </w:rPr>
        <w:t xml:space="preserve"> </w:t>
      </w:r>
      <w:r>
        <w:rPr>
          <w:lang w:val="fr-FR"/>
        </w:rPr>
        <w:t>l’</w:t>
      </w:r>
      <w:r w:rsidRPr="003C36F8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n</w:t>
      </w:r>
      <w:r>
        <w:rPr>
          <w:lang w:val="fr-FR"/>
        </w:rPr>
        <w:t>’</w:t>
      </w:r>
      <w:r w:rsidRPr="00CC6FD4">
        <w:rPr>
          <w:lang w:val="fr-FR"/>
        </w:rPr>
        <w:t>ait fixé aucune exigence ou condition préalable en matière de connaissances ou d</w:t>
      </w:r>
      <w:r>
        <w:rPr>
          <w:lang w:val="fr-FR"/>
        </w:rPr>
        <w:t>’</w:t>
      </w:r>
      <w:r w:rsidRPr="00CC6FD4">
        <w:rPr>
          <w:lang w:val="fr-FR"/>
        </w:rPr>
        <w:t>agrément, l</w:t>
      </w:r>
      <w:r>
        <w:rPr>
          <w:lang w:val="fr-FR"/>
        </w:rPr>
        <w:t>’</w:t>
      </w:r>
      <w:r w:rsidRPr="00CC6FD4">
        <w:rPr>
          <w:lang w:val="fr-FR"/>
        </w:rPr>
        <w:t>exercice a réuni des autorités d</w:t>
      </w:r>
      <w:r>
        <w:rPr>
          <w:lang w:val="fr-FR"/>
        </w:rPr>
        <w:t>’</w:t>
      </w:r>
      <w:r w:rsidRPr="00CC6FD4">
        <w:rPr>
          <w:lang w:val="fr-FR"/>
        </w:rPr>
        <w:t>homologation de cybersécurité, des agences nationales de cybersécurité, des services techniques d</w:t>
      </w:r>
      <w:r>
        <w:rPr>
          <w:lang w:val="fr-FR"/>
        </w:rPr>
        <w:t>’</w:t>
      </w:r>
      <w:r w:rsidRPr="00CC6FD4">
        <w:rPr>
          <w:lang w:val="fr-FR"/>
        </w:rPr>
        <w:t xml:space="preserve">homologation de véhicules agréés </w:t>
      </w:r>
      <w:r w:rsidRPr="003C36F8">
        <w:rPr>
          <w:lang w:val="fr-FR"/>
        </w:rPr>
        <w:t>ISO/</w:t>
      </w:r>
      <w:r w:rsidRPr="005B7AB1">
        <w:rPr>
          <w:lang w:val="fr-FR"/>
        </w:rPr>
        <w:t>IEC 17020 et ISO</w:t>
      </w:r>
      <w:r w:rsidR="00C834C8">
        <w:rPr>
          <w:lang w:val="fr-FR"/>
        </w:rPr>
        <w:t>/</w:t>
      </w:r>
      <w:r w:rsidRPr="005B7AB1">
        <w:rPr>
          <w:lang w:val="fr-FR"/>
        </w:rPr>
        <w:t>IEC</w:t>
      </w:r>
      <w:r w:rsidR="00C834C8">
        <w:rPr>
          <w:lang w:val="fr-FR"/>
        </w:rPr>
        <w:t> </w:t>
      </w:r>
      <w:r w:rsidRPr="005B7AB1">
        <w:rPr>
          <w:lang w:val="fr-FR"/>
        </w:rPr>
        <w:t>17025</w:t>
      </w:r>
      <w:r w:rsidRPr="003C36F8">
        <w:rPr>
          <w:lang w:val="fr-FR"/>
        </w:rPr>
        <w:t>, ainsi que des professionnels de</w:t>
      </w:r>
      <w:r w:rsidRPr="00CC6FD4">
        <w:rPr>
          <w:lang w:val="fr-FR"/>
        </w:rPr>
        <w:t xml:space="preserve"> l</w:t>
      </w:r>
      <w:r>
        <w:rPr>
          <w:lang w:val="fr-FR"/>
        </w:rPr>
        <w:t>’</w:t>
      </w:r>
      <w:r w:rsidRPr="00CC6FD4">
        <w:rPr>
          <w:lang w:val="fr-FR"/>
        </w:rPr>
        <w:t>audit et de la cybersécurité.</w:t>
      </w:r>
    </w:p>
    <w:p w14:paraId="2803B3B7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1.1.6</w:t>
      </w:r>
      <w:r w:rsidRPr="00CC6FD4">
        <w:rPr>
          <w:lang w:val="fr-FR"/>
        </w:rPr>
        <w:tab/>
        <w:t>Le présent rapport décrit la phase d</w:t>
      </w:r>
      <w:r>
        <w:rPr>
          <w:lang w:val="fr-FR"/>
        </w:rPr>
        <w:t>’</w:t>
      </w:r>
      <w:r w:rsidRPr="00CC6FD4">
        <w:rPr>
          <w:lang w:val="fr-FR"/>
        </w:rPr>
        <w:t>essai ainsi que les</w:t>
      </w:r>
      <w:r>
        <w:rPr>
          <w:lang w:val="fr-FR"/>
        </w:rPr>
        <w:t xml:space="preserve"> conclusions et résultats auxquels elle a abouti</w:t>
      </w:r>
      <w:r w:rsidRPr="00CC6FD4">
        <w:rPr>
          <w:lang w:val="fr-FR"/>
        </w:rPr>
        <w:t xml:space="preserve">. Il donne également suite à </w:t>
      </w:r>
      <w:r w:rsidR="000741C3">
        <w:rPr>
          <w:lang w:val="fr-FR"/>
        </w:rPr>
        <w:t>la</w:t>
      </w:r>
      <w:r w:rsidRPr="00CC6FD4">
        <w:rPr>
          <w:lang w:val="fr-FR"/>
        </w:rPr>
        <w:t xml:space="preserve"> priorité énoncée dans le document-cadre sur les véhicules automatisés/autonomes</w:t>
      </w:r>
      <w:r>
        <w:rPr>
          <w:lang w:val="fr-FR"/>
        </w:rPr>
        <w:t xml:space="preserve"> </w:t>
      </w:r>
      <w:r w:rsidRPr="00CC6FD4">
        <w:rPr>
          <w:lang w:val="fr-FR"/>
        </w:rPr>
        <w:t>(ECE/TRANS/WP.29/2019/34/Rev.1),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c’est-à-dire </w:t>
      </w:r>
      <w:r w:rsidRPr="00CC6FD4">
        <w:rPr>
          <w:lang w:val="fr-FR"/>
        </w:rPr>
        <w:t>la soumission au WP.29 d</w:t>
      </w:r>
      <w:r>
        <w:rPr>
          <w:lang w:val="fr-FR"/>
        </w:rPr>
        <w:t>’</w:t>
      </w:r>
      <w:r w:rsidRPr="00CC6FD4">
        <w:rPr>
          <w:lang w:val="fr-FR"/>
        </w:rPr>
        <w:t>un rapport sur la phase d</w:t>
      </w:r>
      <w:r>
        <w:rPr>
          <w:lang w:val="fr-FR"/>
        </w:rPr>
        <w:t>’</w:t>
      </w:r>
      <w:r w:rsidRPr="00CC6FD4">
        <w:rPr>
          <w:lang w:val="fr-FR"/>
        </w:rPr>
        <w:t>essai.</w:t>
      </w:r>
    </w:p>
    <w:p w14:paraId="31124933" w14:textId="77777777" w:rsidR="00675CD7" w:rsidRPr="00CC6FD4" w:rsidRDefault="00C834C8" w:rsidP="00C834C8">
      <w:pPr>
        <w:pStyle w:val="HChG"/>
        <w:rPr>
          <w:lang w:val="fr-FR"/>
        </w:rPr>
      </w:pPr>
      <w:r>
        <w:rPr>
          <w:lang w:val="fr-FR"/>
        </w:rPr>
        <w:tab/>
      </w:r>
      <w:r w:rsidR="00675CD7" w:rsidRPr="00CC6FD4">
        <w:rPr>
          <w:lang w:val="fr-FR"/>
        </w:rPr>
        <w:t>2.</w:t>
      </w:r>
      <w:r w:rsidR="00675CD7" w:rsidRPr="00CC6FD4">
        <w:rPr>
          <w:lang w:val="fr-FR"/>
        </w:rPr>
        <w:tab/>
        <w:t>Phase d</w:t>
      </w:r>
      <w:r w:rsidR="00675CD7">
        <w:rPr>
          <w:lang w:val="fr-FR"/>
        </w:rPr>
        <w:t>’</w:t>
      </w:r>
      <w:r w:rsidR="00675CD7" w:rsidRPr="00CC6FD4">
        <w:rPr>
          <w:lang w:val="fr-FR"/>
        </w:rPr>
        <w:t>essai</w:t>
      </w:r>
    </w:p>
    <w:p w14:paraId="258EFB93" w14:textId="77777777" w:rsidR="00675CD7" w:rsidRPr="00CC6FD4" w:rsidRDefault="00675CD7" w:rsidP="00C834C8">
      <w:pPr>
        <w:pStyle w:val="H1G"/>
        <w:rPr>
          <w:lang w:val="fr-FR"/>
        </w:rPr>
      </w:pPr>
      <w:r w:rsidRPr="00CC6FD4">
        <w:rPr>
          <w:lang w:val="fr-FR"/>
        </w:rPr>
        <w:tab/>
        <w:t>2.1</w:t>
      </w:r>
      <w:r w:rsidRPr="00CC6FD4">
        <w:rPr>
          <w:lang w:val="fr-FR"/>
        </w:rPr>
        <w:tab/>
        <w:t>Objectifs de la phase d</w:t>
      </w:r>
      <w:r>
        <w:rPr>
          <w:lang w:val="fr-FR"/>
        </w:rPr>
        <w:t>’</w:t>
      </w:r>
      <w:r w:rsidRPr="00CC6FD4">
        <w:rPr>
          <w:lang w:val="fr-FR"/>
        </w:rPr>
        <w:t>essai</w:t>
      </w:r>
    </w:p>
    <w:p w14:paraId="79560C44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2.1.1</w:t>
      </w:r>
      <w:r w:rsidRPr="00CC6FD4">
        <w:rPr>
          <w:lang w:val="fr-FR"/>
        </w:rPr>
        <w:tab/>
        <w:t>La phase d</w:t>
      </w:r>
      <w:r>
        <w:rPr>
          <w:lang w:val="fr-FR"/>
        </w:rPr>
        <w:t>’</w:t>
      </w:r>
      <w:r w:rsidRPr="00CC6FD4">
        <w:rPr>
          <w:lang w:val="fr-FR"/>
        </w:rPr>
        <w:t>essai</w:t>
      </w:r>
      <w:r>
        <w:rPr>
          <w:lang w:val="fr-FR"/>
        </w:rPr>
        <w:t xml:space="preserve"> visait à s’assurer de</w:t>
      </w:r>
      <w:r w:rsidRPr="00CC6FD4">
        <w:rPr>
          <w:lang w:val="fr-FR"/>
        </w:rPr>
        <w:t xml:space="preserve"> l</w:t>
      </w:r>
      <w:r>
        <w:rPr>
          <w:lang w:val="fr-FR"/>
        </w:rPr>
        <w:t>’</w:t>
      </w:r>
      <w:r w:rsidRPr="00CC6FD4">
        <w:rPr>
          <w:lang w:val="fr-FR"/>
        </w:rPr>
        <w:t>applicabilité et</w:t>
      </w:r>
      <w:r>
        <w:rPr>
          <w:lang w:val="fr-FR"/>
        </w:rPr>
        <w:t xml:space="preserve"> de</w:t>
      </w:r>
      <w:r w:rsidRPr="00CC6FD4">
        <w:rPr>
          <w:lang w:val="fr-FR"/>
        </w:rPr>
        <w:t xml:space="preserve"> la solidité des deux projets de règlements,</w:t>
      </w:r>
      <w:r w:rsidR="00E4465E">
        <w:rPr>
          <w:lang w:val="fr-FR"/>
        </w:rPr>
        <w:t xml:space="preserve"> </w:t>
      </w:r>
      <w:r>
        <w:rPr>
          <w:lang w:val="fr-FR"/>
        </w:rPr>
        <w:t>ainsi qu’à vérifier</w:t>
      </w:r>
      <w:r w:rsidRPr="00CC6FD4">
        <w:rPr>
          <w:lang w:val="fr-FR"/>
        </w:rPr>
        <w:t xml:space="preserve"> </w:t>
      </w:r>
      <w:r>
        <w:rPr>
          <w:lang w:val="fr-FR"/>
        </w:rPr>
        <w:t xml:space="preserve">que </w:t>
      </w:r>
      <w:r w:rsidRPr="00CC6FD4">
        <w:rPr>
          <w:lang w:val="fr-FR"/>
        </w:rPr>
        <w:t>les autorités d</w:t>
      </w:r>
      <w:r>
        <w:rPr>
          <w:lang w:val="fr-FR"/>
        </w:rPr>
        <w:t>’</w:t>
      </w:r>
      <w:r w:rsidRPr="00CC6FD4">
        <w:rPr>
          <w:lang w:val="fr-FR"/>
        </w:rPr>
        <w:t xml:space="preserve">homologation et </w:t>
      </w:r>
      <w:r w:rsidRPr="00CC6FD4">
        <w:rPr>
          <w:lang w:val="fr-FR"/>
        </w:rPr>
        <w:lastRenderedPageBreak/>
        <w:t xml:space="preserve">les services techniques </w:t>
      </w:r>
      <w:r>
        <w:rPr>
          <w:lang w:val="fr-FR"/>
        </w:rPr>
        <w:t>seraient</w:t>
      </w:r>
      <w:r w:rsidRPr="00CC6FD4">
        <w:rPr>
          <w:lang w:val="fr-FR"/>
        </w:rPr>
        <w:t xml:space="preserve"> en mesure d</w:t>
      </w:r>
      <w:r>
        <w:rPr>
          <w:lang w:val="fr-FR"/>
        </w:rPr>
        <w:t>’</w:t>
      </w:r>
      <w:r w:rsidRPr="00CC6FD4">
        <w:rPr>
          <w:lang w:val="fr-FR"/>
        </w:rPr>
        <w:t>évaluer les informations</w:t>
      </w:r>
      <w:r>
        <w:rPr>
          <w:lang w:val="fr-FR"/>
        </w:rPr>
        <w:t xml:space="preserve"> reçues </w:t>
      </w:r>
      <w:r w:rsidRPr="00CC6FD4">
        <w:rPr>
          <w:lang w:val="fr-FR"/>
        </w:rPr>
        <w:t xml:space="preserve">et de parvenir </w:t>
      </w:r>
      <w:r>
        <w:rPr>
          <w:lang w:val="fr-FR"/>
        </w:rPr>
        <w:t>aux</w:t>
      </w:r>
      <w:r w:rsidRPr="00CC6FD4">
        <w:rPr>
          <w:lang w:val="fr-FR"/>
        </w:rPr>
        <w:t xml:space="preserve"> mêmes conclusions</w:t>
      </w:r>
      <w:r w:rsidR="00E4465E">
        <w:rPr>
          <w:lang w:val="fr-FR"/>
        </w:rPr>
        <w:t xml:space="preserve"> </w:t>
      </w:r>
      <w:r w:rsidRPr="00371D9B">
        <w:rPr>
          <w:lang w:val="fr-FR"/>
        </w:rPr>
        <w:t xml:space="preserve">sur la base </w:t>
      </w:r>
      <w:r>
        <w:rPr>
          <w:lang w:val="fr-FR"/>
        </w:rPr>
        <w:t>d’</w:t>
      </w:r>
      <w:r w:rsidRPr="00CC6FD4">
        <w:rPr>
          <w:lang w:val="fr-FR"/>
        </w:rPr>
        <w:t>informations</w:t>
      </w:r>
      <w:r>
        <w:rPr>
          <w:lang w:val="fr-FR"/>
        </w:rPr>
        <w:t xml:space="preserve"> identiques</w:t>
      </w:r>
      <w:r w:rsidR="0057535A">
        <w:rPr>
          <w:lang w:val="fr-FR"/>
        </w:rPr>
        <w:t> </w:t>
      </w:r>
      <w:r>
        <w:rPr>
          <w:lang w:val="fr-FR"/>
        </w:rPr>
        <w:t xml:space="preserve">; ce dernier point a été vérifié au moyen des </w:t>
      </w:r>
      <w:r w:rsidRPr="00813459">
        <w:rPr>
          <w:lang w:val="fr-FR"/>
        </w:rPr>
        <w:t>essais interlaboratoires</w:t>
      </w:r>
      <w:r>
        <w:rPr>
          <w:lang w:val="fr-FR"/>
        </w:rPr>
        <w:t xml:space="preserve"> mentionnés plus loin</w:t>
      </w:r>
      <w:r w:rsidRPr="00813459">
        <w:rPr>
          <w:lang w:val="fr-FR"/>
        </w:rPr>
        <w:t>.</w:t>
      </w:r>
    </w:p>
    <w:p w14:paraId="7521930C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2.1.2</w:t>
      </w:r>
      <w:r w:rsidR="00C834C8">
        <w:rPr>
          <w:lang w:val="fr-FR"/>
        </w:rPr>
        <w:tab/>
      </w:r>
      <w:r>
        <w:rPr>
          <w:lang w:val="fr-FR"/>
        </w:rPr>
        <w:t>Afin de faciliter</w:t>
      </w:r>
      <w:r w:rsidRPr="00CC6FD4">
        <w:rPr>
          <w:lang w:val="fr-FR"/>
        </w:rPr>
        <w:t xml:space="preserve"> la </w:t>
      </w:r>
      <w:r>
        <w:rPr>
          <w:lang w:val="fr-FR"/>
        </w:rPr>
        <w:t xml:space="preserve">future </w:t>
      </w:r>
      <w:r w:rsidRPr="00CC6FD4">
        <w:rPr>
          <w:lang w:val="fr-FR"/>
        </w:rPr>
        <w:t>mise en œuvre des règlements, la phase d</w:t>
      </w:r>
      <w:r>
        <w:rPr>
          <w:lang w:val="fr-FR"/>
        </w:rPr>
        <w:t>’</w:t>
      </w:r>
      <w:r w:rsidRPr="00CC6FD4">
        <w:rPr>
          <w:lang w:val="fr-FR"/>
        </w:rPr>
        <w:t xml:space="preserve">essai </w:t>
      </w:r>
      <w:r>
        <w:rPr>
          <w:lang w:val="fr-FR"/>
        </w:rPr>
        <w:t xml:space="preserve">a également consisté à </w:t>
      </w:r>
      <w:r w:rsidRPr="00CC6FD4">
        <w:rPr>
          <w:lang w:val="fr-FR"/>
        </w:rPr>
        <w:t>recueillir les données d</w:t>
      </w:r>
      <w:r>
        <w:rPr>
          <w:lang w:val="fr-FR"/>
        </w:rPr>
        <w:t>’</w:t>
      </w:r>
      <w:r w:rsidRPr="00CC6FD4">
        <w:rPr>
          <w:lang w:val="fr-FR"/>
        </w:rPr>
        <w:t>expérience des participants et à</w:t>
      </w:r>
      <w:r>
        <w:rPr>
          <w:lang w:val="fr-FR"/>
        </w:rPr>
        <w:t xml:space="preserve"> fournir </w:t>
      </w:r>
      <w:r w:rsidRPr="00CC6FD4">
        <w:rPr>
          <w:lang w:val="fr-FR"/>
        </w:rPr>
        <w:t>des</w:t>
      </w:r>
      <w:r w:rsidR="00E4465E">
        <w:rPr>
          <w:lang w:val="fr-FR"/>
        </w:rPr>
        <w:t xml:space="preserve"> </w:t>
      </w:r>
      <w:r>
        <w:rPr>
          <w:lang w:val="fr-FR"/>
        </w:rPr>
        <w:t>orientations</w:t>
      </w:r>
      <w:r w:rsidRPr="00CC6FD4">
        <w:rPr>
          <w:lang w:val="fr-FR"/>
        </w:rPr>
        <w:t xml:space="preserve"> sur la manière d</w:t>
      </w:r>
      <w:r>
        <w:rPr>
          <w:lang w:val="fr-FR"/>
        </w:rPr>
        <w:t>’</w:t>
      </w:r>
      <w:r w:rsidRPr="00CC6FD4">
        <w:rPr>
          <w:lang w:val="fr-FR"/>
        </w:rPr>
        <w:t>évaluer</w:t>
      </w:r>
      <w:r>
        <w:rPr>
          <w:lang w:val="fr-FR"/>
        </w:rPr>
        <w:t xml:space="preserve"> la documentation reçue et</w:t>
      </w:r>
      <w:r w:rsidRPr="00CC6FD4">
        <w:rPr>
          <w:lang w:val="fr-FR"/>
        </w:rPr>
        <w:t xml:space="preserve"> l</w:t>
      </w:r>
      <w:r>
        <w:rPr>
          <w:lang w:val="fr-FR"/>
        </w:rPr>
        <w:t>’</w:t>
      </w:r>
      <w:r w:rsidRPr="00CC6FD4">
        <w:rPr>
          <w:lang w:val="fr-FR"/>
        </w:rPr>
        <w:t>application des prescriptions réglementaires. Ces différent</w:t>
      </w:r>
      <w:r>
        <w:rPr>
          <w:lang w:val="fr-FR"/>
        </w:rPr>
        <w:t>e</w:t>
      </w:r>
      <w:r w:rsidRPr="00CC6FD4">
        <w:rPr>
          <w:lang w:val="fr-FR"/>
        </w:rPr>
        <w:t xml:space="preserve">s </w:t>
      </w:r>
      <w:r>
        <w:rPr>
          <w:lang w:val="fr-FR"/>
        </w:rPr>
        <w:t>données</w:t>
      </w:r>
      <w:r w:rsidRPr="00CC6FD4">
        <w:rPr>
          <w:lang w:val="fr-FR"/>
        </w:rPr>
        <w:t xml:space="preserve"> figurent dans un document d</w:t>
      </w:r>
      <w:r>
        <w:rPr>
          <w:lang w:val="fr-FR"/>
        </w:rPr>
        <w:t>’</w:t>
      </w:r>
      <w:r w:rsidRPr="00CC6FD4">
        <w:rPr>
          <w:lang w:val="fr-FR"/>
        </w:rPr>
        <w:t>interprétation.</w:t>
      </w:r>
    </w:p>
    <w:p w14:paraId="2413276D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2.1.3</w:t>
      </w:r>
      <w:r w:rsidRPr="00CC6FD4">
        <w:rPr>
          <w:lang w:val="fr-FR"/>
        </w:rPr>
        <w:tab/>
        <w:t>La phase d</w:t>
      </w:r>
      <w:r>
        <w:rPr>
          <w:lang w:val="fr-FR"/>
        </w:rPr>
        <w:t>’</w:t>
      </w:r>
      <w:r w:rsidRPr="00CC6FD4">
        <w:rPr>
          <w:lang w:val="fr-FR"/>
        </w:rPr>
        <w:t>essai n</w:t>
      </w:r>
      <w:r>
        <w:rPr>
          <w:lang w:val="fr-FR"/>
        </w:rPr>
        <w:t>’</w:t>
      </w:r>
      <w:r w:rsidRPr="00CC6FD4">
        <w:rPr>
          <w:lang w:val="fr-FR"/>
        </w:rPr>
        <w:t>avait pas pour objectif d</w:t>
      </w:r>
      <w:r>
        <w:rPr>
          <w:lang w:val="fr-FR"/>
        </w:rPr>
        <w:t>’</w:t>
      </w:r>
      <w:r w:rsidRPr="00CC6FD4">
        <w:rPr>
          <w:lang w:val="fr-FR"/>
        </w:rPr>
        <w:t>homologuer ou d</w:t>
      </w:r>
      <w:r>
        <w:rPr>
          <w:lang w:val="fr-FR"/>
        </w:rPr>
        <w:t>’</w:t>
      </w:r>
      <w:r w:rsidRPr="00CC6FD4">
        <w:rPr>
          <w:lang w:val="fr-FR"/>
        </w:rPr>
        <w:t>évaluer des types de véhicules, ni les systèmes de gestion des constructeurs.</w:t>
      </w:r>
    </w:p>
    <w:p w14:paraId="0DDC4203" w14:textId="77777777" w:rsidR="00675CD7" w:rsidRPr="00CC6FD4" w:rsidRDefault="00C834C8" w:rsidP="00C834C8">
      <w:pPr>
        <w:pStyle w:val="H1G"/>
        <w:rPr>
          <w:lang w:val="fr-FR"/>
        </w:rPr>
      </w:pPr>
      <w:r>
        <w:rPr>
          <w:lang w:val="fr-FR"/>
        </w:rPr>
        <w:tab/>
      </w:r>
      <w:r w:rsidR="00675CD7" w:rsidRPr="00CC6FD4">
        <w:rPr>
          <w:lang w:val="fr-FR"/>
        </w:rPr>
        <w:t>2.2</w:t>
      </w:r>
      <w:r w:rsidR="00675CD7" w:rsidRPr="00CC6FD4">
        <w:rPr>
          <w:lang w:val="fr-FR"/>
        </w:rPr>
        <w:tab/>
      </w:r>
      <w:r w:rsidR="00675CD7">
        <w:rPr>
          <w:lang w:val="fr-FR"/>
        </w:rPr>
        <w:t xml:space="preserve">Aperçu </w:t>
      </w:r>
      <w:r w:rsidR="00675CD7" w:rsidRPr="00CC6FD4">
        <w:rPr>
          <w:lang w:val="fr-FR"/>
        </w:rPr>
        <w:t>de la phase d</w:t>
      </w:r>
      <w:r w:rsidR="00675CD7">
        <w:rPr>
          <w:lang w:val="fr-FR"/>
        </w:rPr>
        <w:t>’</w:t>
      </w:r>
      <w:r w:rsidR="00675CD7" w:rsidRPr="00CC6FD4">
        <w:rPr>
          <w:lang w:val="fr-FR"/>
        </w:rPr>
        <w:t xml:space="preserve">essai </w:t>
      </w:r>
    </w:p>
    <w:p w14:paraId="55DD3685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2.2.1</w:t>
      </w:r>
      <w:r w:rsidRPr="00CC6FD4">
        <w:rPr>
          <w:lang w:val="fr-FR"/>
        </w:rPr>
        <w:tab/>
        <w:t>La phase d</w:t>
      </w:r>
      <w:r>
        <w:rPr>
          <w:lang w:val="fr-FR"/>
        </w:rPr>
        <w:t>’</w:t>
      </w:r>
      <w:r w:rsidRPr="00CC6FD4">
        <w:rPr>
          <w:lang w:val="fr-FR"/>
        </w:rPr>
        <w:t>essai a débuté en février 2019 et s</w:t>
      </w:r>
      <w:r>
        <w:rPr>
          <w:lang w:val="fr-FR"/>
        </w:rPr>
        <w:t>’</w:t>
      </w:r>
      <w:r w:rsidRPr="00CC6FD4">
        <w:rPr>
          <w:lang w:val="fr-FR"/>
        </w:rPr>
        <w:t>est achevée en août 2019.</w:t>
      </w:r>
    </w:p>
    <w:p w14:paraId="22816675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2.2.2</w:t>
      </w:r>
      <w:r w:rsidRPr="00CC6FD4">
        <w:rPr>
          <w:lang w:val="fr-FR"/>
        </w:rPr>
        <w:tab/>
        <w:t>Les participants potentiels se sont réunis en février 2019 pour se mettre d</w:t>
      </w:r>
      <w:r>
        <w:rPr>
          <w:lang w:val="fr-FR"/>
        </w:rPr>
        <w:t>’</w:t>
      </w:r>
      <w:r w:rsidRPr="00CC6FD4">
        <w:rPr>
          <w:lang w:val="fr-FR"/>
        </w:rPr>
        <w:t>accord sur la manière dont la phase d</w:t>
      </w:r>
      <w:r>
        <w:rPr>
          <w:lang w:val="fr-FR"/>
        </w:rPr>
        <w:t>’</w:t>
      </w:r>
      <w:r w:rsidRPr="00CC6FD4">
        <w:rPr>
          <w:lang w:val="fr-FR"/>
        </w:rPr>
        <w:t xml:space="preserve">essai se déroulerait et dont les exigences des constructeurs </w:t>
      </w:r>
      <w:r>
        <w:rPr>
          <w:lang w:val="fr-FR"/>
        </w:rPr>
        <w:t>en matière</w:t>
      </w:r>
      <w:r w:rsidR="00E4465E">
        <w:rPr>
          <w:lang w:val="fr-FR"/>
        </w:rPr>
        <w:t xml:space="preserve"> </w:t>
      </w:r>
      <w:r w:rsidRPr="00CC6FD4">
        <w:rPr>
          <w:lang w:val="fr-FR"/>
        </w:rPr>
        <w:t>de</w:t>
      </w:r>
      <w:r w:rsidR="00E4465E">
        <w:rPr>
          <w:lang w:val="fr-FR"/>
        </w:rPr>
        <w:t xml:space="preserve"> </w:t>
      </w:r>
      <w:r w:rsidRPr="00CC6FD4">
        <w:rPr>
          <w:lang w:val="fr-FR"/>
        </w:rPr>
        <w:t>confidentialité seraient prises en compte. Ils ont convenu que les noms des participants ne seraient pas divulgués, et que les informations détaillées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échangées par </w:t>
      </w:r>
      <w:r w:rsidRPr="00CC6FD4">
        <w:rPr>
          <w:lang w:val="fr-FR"/>
        </w:rPr>
        <w:t>les constructeurs, les services techniques et les autorités d</w:t>
      </w:r>
      <w:r>
        <w:rPr>
          <w:lang w:val="fr-FR"/>
        </w:rPr>
        <w:t>’</w:t>
      </w:r>
      <w:r w:rsidRPr="00CC6FD4">
        <w:rPr>
          <w:lang w:val="fr-FR"/>
        </w:rPr>
        <w:t>homologation demeureraient connu</w:t>
      </w:r>
      <w:r>
        <w:rPr>
          <w:lang w:val="fr-FR"/>
        </w:rPr>
        <w:t>e</w:t>
      </w:r>
      <w:r w:rsidRPr="00CC6FD4">
        <w:rPr>
          <w:lang w:val="fr-FR"/>
        </w:rPr>
        <w:t>s d</w:t>
      </w:r>
      <w:r>
        <w:rPr>
          <w:lang w:val="fr-FR"/>
        </w:rPr>
        <w:t>’</w:t>
      </w:r>
      <w:r w:rsidRPr="00CC6FD4">
        <w:rPr>
          <w:lang w:val="fr-FR"/>
        </w:rPr>
        <w:t>eux seuls.</w:t>
      </w:r>
      <w:r>
        <w:rPr>
          <w:lang w:val="fr-FR"/>
        </w:rPr>
        <w:t xml:space="preserve"> Les observations apportées en retour porteraient</w:t>
      </w:r>
      <w:r w:rsidRPr="00CC6FD4">
        <w:rPr>
          <w:lang w:val="fr-FR"/>
        </w:rPr>
        <w:t xml:space="preserve"> sur les règlements et non sur les informations évaluées. Pour plus de détails, on </w:t>
      </w:r>
      <w:r>
        <w:rPr>
          <w:lang w:val="fr-FR"/>
        </w:rPr>
        <w:t xml:space="preserve">peut </w:t>
      </w:r>
      <w:r w:rsidRPr="00CC6FD4">
        <w:rPr>
          <w:lang w:val="fr-FR"/>
        </w:rPr>
        <w:t>se reporter au cadre de référence de la phase d</w:t>
      </w:r>
      <w:r>
        <w:rPr>
          <w:lang w:val="fr-FR"/>
        </w:rPr>
        <w:t>’</w:t>
      </w:r>
      <w:r w:rsidRPr="00CC6FD4">
        <w:rPr>
          <w:lang w:val="fr-FR"/>
        </w:rPr>
        <w:t xml:space="preserve">essai, </w:t>
      </w:r>
      <w:r>
        <w:rPr>
          <w:lang w:val="fr-FR"/>
        </w:rPr>
        <w:t>qui figure</w:t>
      </w:r>
      <w:r w:rsidR="00E4465E">
        <w:rPr>
          <w:lang w:val="fr-FR"/>
        </w:rPr>
        <w:t xml:space="preserve"> </w:t>
      </w:r>
      <w:r w:rsidRPr="00CC6FD4">
        <w:rPr>
          <w:lang w:val="fr-FR"/>
        </w:rPr>
        <w:t>dans le document « TFCS-TPCM1-02rev1 (Chair) Provisional terms of reference ».</w:t>
      </w:r>
    </w:p>
    <w:p w14:paraId="59445DAF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2.2.3</w:t>
      </w:r>
      <w:r w:rsidRPr="00CC6FD4">
        <w:rPr>
          <w:lang w:val="fr-FR"/>
        </w:rPr>
        <w:tab/>
        <w:t>La phase d</w:t>
      </w:r>
      <w:r>
        <w:rPr>
          <w:lang w:val="fr-FR"/>
        </w:rPr>
        <w:t>’</w:t>
      </w:r>
      <w:r w:rsidRPr="00CC6FD4">
        <w:rPr>
          <w:lang w:val="fr-FR"/>
        </w:rPr>
        <w:t>essai s</w:t>
      </w:r>
      <w:r>
        <w:rPr>
          <w:lang w:val="fr-FR"/>
        </w:rPr>
        <w:t>’</w:t>
      </w:r>
      <w:r w:rsidRPr="00CC6FD4">
        <w:rPr>
          <w:lang w:val="fr-FR"/>
        </w:rPr>
        <w:t>est déroulée comme suit : chaque constructeur s</w:t>
      </w:r>
      <w:r>
        <w:rPr>
          <w:lang w:val="fr-FR"/>
        </w:rPr>
        <w:t>’</w:t>
      </w:r>
      <w:r w:rsidRPr="00CC6FD4">
        <w:rPr>
          <w:lang w:val="fr-FR"/>
        </w:rPr>
        <w:t>est associé à un service technique ou à une autorité d</w:t>
      </w:r>
      <w:r>
        <w:rPr>
          <w:lang w:val="fr-FR"/>
        </w:rPr>
        <w:t>’</w:t>
      </w:r>
      <w:r w:rsidRPr="00CC6FD4">
        <w:rPr>
          <w:lang w:val="fr-FR"/>
        </w:rPr>
        <w:t xml:space="preserve">homologation. Une fois que les dispositions voulues avaient été prises, </w:t>
      </w:r>
      <w:r>
        <w:rPr>
          <w:lang w:val="fr-FR"/>
        </w:rPr>
        <w:t xml:space="preserve">un délai a été donné </w:t>
      </w:r>
      <w:r w:rsidRPr="00CC6FD4">
        <w:rPr>
          <w:lang w:val="fr-FR"/>
        </w:rPr>
        <w:t>aux constructeurs pour leur permettre de collecter les informations nécessaires. Les parties</w:t>
      </w:r>
      <w:r>
        <w:rPr>
          <w:lang w:val="fr-FR"/>
        </w:rPr>
        <w:t xml:space="preserve"> </w:t>
      </w:r>
      <w:r w:rsidRPr="00CC6FD4">
        <w:rPr>
          <w:lang w:val="fr-FR"/>
        </w:rPr>
        <w:t>se sont réunies pour déterminer les modalités d</w:t>
      </w:r>
      <w:r>
        <w:rPr>
          <w:lang w:val="fr-FR"/>
        </w:rPr>
        <w:t>’</w:t>
      </w:r>
      <w:r w:rsidRPr="00CC6FD4">
        <w:rPr>
          <w:lang w:val="fr-FR"/>
        </w:rPr>
        <w:t>évaluation des règlements et les moyens de rendre plus structurée la collecte des informations. L</w:t>
      </w:r>
      <w:r>
        <w:rPr>
          <w:lang w:val="fr-FR"/>
        </w:rPr>
        <w:t>’</w:t>
      </w:r>
      <w:r w:rsidRPr="00CC6FD4">
        <w:rPr>
          <w:lang w:val="fr-FR"/>
        </w:rPr>
        <w:t xml:space="preserve">évaluation a </w:t>
      </w:r>
      <w:r>
        <w:rPr>
          <w:lang w:val="fr-FR"/>
        </w:rPr>
        <w:t>ensuite eu lieu</w:t>
      </w:r>
      <w:r w:rsidRPr="00CC6FD4">
        <w:rPr>
          <w:lang w:val="fr-FR"/>
        </w:rPr>
        <w:t>.</w:t>
      </w:r>
      <w:r w:rsidR="00E4465E">
        <w:rPr>
          <w:lang w:val="fr-FR"/>
        </w:rPr>
        <w:t xml:space="preserve"> </w:t>
      </w:r>
      <w:r>
        <w:rPr>
          <w:lang w:val="fr-FR"/>
        </w:rPr>
        <w:t>L’</w:t>
      </w:r>
      <w:r w:rsidRPr="00906B1C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a reçu des observations de la part des Parties contractantes et des organismes de l</w:t>
      </w:r>
      <w:r>
        <w:rPr>
          <w:lang w:val="fr-FR"/>
        </w:rPr>
        <w:t>’</w:t>
      </w:r>
      <w:r w:rsidRPr="00CC6FD4">
        <w:rPr>
          <w:lang w:val="fr-FR"/>
        </w:rPr>
        <w:t>industrie.</w:t>
      </w:r>
    </w:p>
    <w:p w14:paraId="2ECAF1D8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2.2.4</w:t>
      </w:r>
      <w:r w:rsidRPr="00CC6FD4">
        <w:rPr>
          <w:lang w:val="fr-FR"/>
        </w:rPr>
        <w:tab/>
        <w:t>La phase d</w:t>
      </w:r>
      <w:r>
        <w:rPr>
          <w:lang w:val="fr-FR"/>
        </w:rPr>
        <w:t>’</w:t>
      </w:r>
      <w:r w:rsidRPr="00CC6FD4">
        <w:rPr>
          <w:lang w:val="fr-FR"/>
        </w:rPr>
        <w:t>essai a suscité une large mobilisation. Sept Parties contractantes (Allemagne, Espagne, France, Japon, Pays-Bas, République de Corée et Royaume-Uni de Grande-Bretagne et d</w:t>
      </w:r>
      <w:r>
        <w:rPr>
          <w:lang w:val="fr-FR"/>
        </w:rPr>
        <w:t>’</w:t>
      </w:r>
      <w:r w:rsidRPr="00CC6FD4">
        <w:rPr>
          <w:lang w:val="fr-FR"/>
        </w:rPr>
        <w:t>Irlande du Nord) y ont participé, tout comme plus d</w:t>
      </w:r>
      <w:r>
        <w:rPr>
          <w:lang w:val="fr-FR"/>
        </w:rPr>
        <w:t>’</w:t>
      </w:r>
      <w:r w:rsidRPr="00CC6FD4">
        <w:rPr>
          <w:lang w:val="fr-FR"/>
        </w:rPr>
        <w:t xml:space="preserve">une quinzaine de constructeurs (de véhicules des catégories M et N). Un constructeur </w:t>
      </w:r>
      <w:r>
        <w:rPr>
          <w:lang w:val="fr-FR"/>
        </w:rPr>
        <w:t>a pu</w:t>
      </w:r>
      <w:r w:rsidRPr="00CC6FD4">
        <w:rPr>
          <w:lang w:val="fr-FR"/>
        </w:rPr>
        <w:t xml:space="preserve"> travailler avec deux services techniques </w:t>
      </w:r>
      <w:r>
        <w:rPr>
          <w:lang w:val="fr-FR"/>
        </w:rPr>
        <w:t xml:space="preserve">pour procéder à </w:t>
      </w:r>
      <w:r w:rsidRPr="00CC6FD4">
        <w:rPr>
          <w:lang w:val="fr-FR"/>
        </w:rPr>
        <w:t>une évaluation conjointe d</w:t>
      </w:r>
      <w:r>
        <w:rPr>
          <w:lang w:val="fr-FR"/>
        </w:rPr>
        <w:t>’</w:t>
      </w:r>
      <w:r w:rsidRPr="00CC6FD4">
        <w:rPr>
          <w:lang w:val="fr-FR"/>
        </w:rPr>
        <w:t>un même ensemble d</w:t>
      </w:r>
      <w:r>
        <w:rPr>
          <w:lang w:val="fr-FR"/>
        </w:rPr>
        <w:t>’</w:t>
      </w:r>
      <w:r w:rsidRPr="00CC6FD4">
        <w:rPr>
          <w:lang w:val="fr-FR"/>
        </w:rPr>
        <w:t xml:space="preserve">informations. </w:t>
      </w:r>
    </w:p>
    <w:p w14:paraId="3AACBB31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2.2.5</w:t>
      </w:r>
      <w:r w:rsidRPr="00CC6FD4">
        <w:rPr>
          <w:lang w:val="fr-FR"/>
        </w:rPr>
        <w:tab/>
        <w:t>La phase d</w:t>
      </w:r>
      <w:r>
        <w:rPr>
          <w:lang w:val="fr-FR"/>
        </w:rPr>
        <w:t>’</w:t>
      </w:r>
      <w:r w:rsidRPr="00CC6FD4">
        <w:rPr>
          <w:lang w:val="fr-FR"/>
        </w:rPr>
        <w:t>essai a reçu le soutien de l</w:t>
      </w:r>
      <w:r>
        <w:rPr>
          <w:lang w:val="fr-FR"/>
        </w:rPr>
        <w:t>’</w:t>
      </w:r>
      <w:r w:rsidRPr="00CC6FD4">
        <w:rPr>
          <w:lang w:val="fr-FR"/>
        </w:rPr>
        <w:t>Organisation internationale de normalisation (ISO) et de SAE International, qui ont fourni un exemplaire de leur projet de norme ISO/SAE 21434. Cette norme est vouée à étayer le règlement sur la cybersécurité.</w:t>
      </w:r>
    </w:p>
    <w:p w14:paraId="0F962AD5" w14:textId="77777777" w:rsidR="00675CD7" w:rsidRPr="00CC6FD4" w:rsidRDefault="00C834C8" w:rsidP="00C834C8">
      <w:pPr>
        <w:pStyle w:val="H1G"/>
        <w:rPr>
          <w:lang w:val="fr-FR"/>
        </w:rPr>
      </w:pPr>
      <w:r>
        <w:rPr>
          <w:lang w:val="fr-FR"/>
        </w:rPr>
        <w:tab/>
      </w:r>
      <w:r w:rsidR="00675CD7" w:rsidRPr="00CC6FD4">
        <w:rPr>
          <w:lang w:val="fr-FR"/>
        </w:rPr>
        <w:t>2.3</w:t>
      </w:r>
      <w:r w:rsidR="00675CD7" w:rsidRPr="00CC6FD4">
        <w:rPr>
          <w:lang w:val="fr-FR"/>
        </w:rPr>
        <w:tab/>
        <w:t>Résultats de la phase d</w:t>
      </w:r>
      <w:r w:rsidR="00675CD7">
        <w:rPr>
          <w:lang w:val="fr-FR"/>
        </w:rPr>
        <w:t>’</w:t>
      </w:r>
      <w:r w:rsidR="00675CD7" w:rsidRPr="00CC6FD4">
        <w:rPr>
          <w:lang w:val="fr-FR"/>
        </w:rPr>
        <w:t>essai</w:t>
      </w:r>
    </w:p>
    <w:p w14:paraId="0EF5F3AA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2.3.1</w:t>
      </w:r>
      <w:r w:rsidRPr="00CC6FD4">
        <w:rPr>
          <w:lang w:val="fr-FR"/>
        </w:rPr>
        <w:tab/>
        <w:t xml:space="preserve">Les Parties contractantes ont </w:t>
      </w:r>
      <w:r>
        <w:rPr>
          <w:lang w:val="fr-FR"/>
        </w:rPr>
        <w:t>rendu compte</w:t>
      </w:r>
      <w:r w:rsidR="00E4465E">
        <w:rPr>
          <w:lang w:val="fr-FR"/>
        </w:rPr>
        <w:t xml:space="preserve"> </w:t>
      </w:r>
      <w:r w:rsidRPr="00CC6FD4">
        <w:rPr>
          <w:lang w:val="fr-FR"/>
        </w:rPr>
        <w:t xml:space="preserve">de </w:t>
      </w:r>
      <w:r>
        <w:rPr>
          <w:lang w:val="fr-FR"/>
        </w:rPr>
        <w:t xml:space="preserve">leurs </w:t>
      </w:r>
      <w:r w:rsidRPr="00CC6FD4">
        <w:rPr>
          <w:lang w:val="fr-FR"/>
        </w:rPr>
        <w:t>expérience</w:t>
      </w:r>
      <w:r>
        <w:rPr>
          <w:lang w:val="fr-FR"/>
        </w:rPr>
        <w:t>s</w:t>
      </w:r>
      <w:r w:rsidRPr="00CC6FD4">
        <w:rPr>
          <w:lang w:val="fr-FR"/>
        </w:rPr>
        <w:t xml:space="preserve"> dans le cadre de la phase d</w:t>
      </w:r>
      <w:r>
        <w:rPr>
          <w:lang w:val="fr-FR"/>
        </w:rPr>
        <w:t>’</w:t>
      </w:r>
      <w:r w:rsidRPr="00CC6FD4">
        <w:rPr>
          <w:lang w:val="fr-FR"/>
        </w:rPr>
        <w:t>essai</w:t>
      </w:r>
      <w:r w:rsidR="00E4465E">
        <w:rPr>
          <w:lang w:val="fr-FR"/>
        </w:rPr>
        <w:t xml:space="preserve"> </w:t>
      </w:r>
      <w:r>
        <w:rPr>
          <w:lang w:val="fr-FR"/>
        </w:rPr>
        <w:t>lors d’</w:t>
      </w:r>
      <w:r w:rsidRPr="00CC6FD4">
        <w:rPr>
          <w:lang w:val="fr-FR"/>
        </w:rPr>
        <w:t>une réunion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de l’équipe </w:t>
      </w:r>
      <w:r w:rsidRPr="00CC6FD4">
        <w:rPr>
          <w:lang w:val="fr-FR"/>
        </w:rPr>
        <w:t>spécial</w:t>
      </w:r>
      <w:r>
        <w:rPr>
          <w:lang w:val="fr-FR"/>
        </w:rPr>
        <w:t>e,</w:t>
      </w:r>
      <w:r w:rsidRPr="00CC6FD4">
        <w:rPr>
          <w:lang w:val="fr-FR"/>
        </w:rPr>
        <w:t xml:space="preserve"> tenue à </w:t>
      </w:r>
      <w:r>
        <w:rPr>
          <w:lang w:val="fr-FR"/>
        </w:rPr>
        <w:t xml:space="preserve">Leyde </w:t>
      </w:r>
      <w:r w:rsidRPr="00CC6FD4">
        <w:rPr>
          <w:lang w:val="fr-FR"/>
        </w:rPr>
        <w:t>les 17 et 18</w:t>
      </w:r>
      <w:r w:rsidR="00C834C8">
        <w:rPr>
          <w:lang w:val="fr-FR"/>
        </w:rPr>
        <w:t> </w:t>
      </w:r>
      <w:r w:rsidRPr="00CC6FD4">
        <w:rPr>
          <w:lang w:val="fr-FR"/>
        </w:rPr>
        <w:t xml:space="preserve">juillet 2019, et ont </w:t>
      </w:r>
      <w:r>
        <w:rPr>
          <w:lang w:val="fr-FR"/>
        </w:rPr>
        <w:t>par la suite donné</w:t>
      </w:r>
      <w:r w:rsidRPr="00CC6FD4">
        <w:rPr>
          <w:lang w:val="fr-FR"/>
        </w:rPr>
        <w:t xml:space="preserve"> confirmation de leurs impressions à la réunion</w:t>
      </w:r>
      <w:r w:rsidR="0057535A">
        <w:rPr>
          <w:lang w:val="fr-FR"/>
        </w:rPr>
        <w:t xml:space="preserve"> de</w:t>
      </w:r>
      <w:r w:rsidR="00E4465E">
        <w:rPr>
          <w:lang w:val="fr-FR"/>
        </w:rPr>
        <w:t xml:space="preserve"> </w:t>
      </w:r>
      <w:r>
        <w:rPr>
          <w:lang w:val="fr-FR"/>
        </w:rPr>
        <w:t>l’</w:t>
      </w:r>
      <w:r w:rsidRPr="00906B1C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organisée à Genève les 27 et 28</w:t>
      </w:r>
      <w:r w:rsidR="00C834C8">
        <w:rPr>
          <w:lang w:val="fr-FR"/>
        </w:rPr>
        <w:t> </w:t>
      </w:r>
      <w:r w:rsidRPr="00CC6FD4">
        <w:rPr>
          <w:lang w:val="fr-FR"/>
        </w:rPr>
        <w:t>août 2019.</w:t>
      </w:r>
    </w:p>
    <w:p w14:paraId="0C9182C6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2.3.2</w:t>
      </w:r>
      <w:r w:rsidRPr="00CC6FD4">
        <w:rPr>
          <w:lang w:val="fr-FR"/>
        </w:rPr>
        <w:tab/>
        <w:t>Rapport a été fait par les représentants de</w:t>
      </w:r>
      <w:r>
        <w:rPr>
          <w:lang w:val="fr-FR"/>
        </w:rPr>
        <w:t>s P</w:t>
      </w:r>
      <w:r w:rsidRPr="00CC6FD4">
        <w:rPr>
          <w:lang w:val="fr-FR"/>
        </w:rPr>
        <w:t xml:space="preserve">arties contractantes (Allemagne, Espagne, France, Japon, Pays-Bas, République de Corée et Royaume-Uni de </w:t>
      </w:r>
      <w:r w:rsidRPr="00CC6FD4">
        <w:rPr>
          <w:lang w:val="fr-FR"/>
        </w:rPr>
        <w:lastRenderedPageBreak/>
        <w:t>Grande-Bretagne et d</w:t>
      </w:r>
      <w:r>
        <w:rPr>
          <w:lang w:val="fr-FR"/>
        </w:rPr>
        <w:t>’</w:t>
      </w:r>
      <w:r w:rsidRPr="00CC6FD4">
        <w:rPr>
          <w:lang w:val="fr-FR"/>
        </w:rPr>
        <w:t>Irlande du Nord), ainsi que par l</w:t>
      </w:r>
      <w:r>
        <w:rPr>
          <w:lang w:val="fr-FR"/>
        </w:rPr>
        <w:t>’</w:t>
      </w:r>
      <w:r w:rsidRPr="00CC6FD4">
        <w:rPr>
          <w:lang w:val="fr-FR"/>
        </w:rPr>
        <w:t>industrie. Les exposés présentés sont disponibles sur la page wiki</w:t>
      </w:r>
      <w:r w:rsidR="00E4465E">
        <w:rPr>
          <w:lang w:val="fr-FR"/>
        </w:rPr>
        <w:t xml:space="preserve"> </w:t>
      </w:r>
      <w:r>
        <w:rPr>
          <w:lang w:val="fr-FR"/>
        </w:rPr>
        <w:t>de l’</w:t>
      </w:r>
      <w:r w:rsidRPr="00904A40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>. Ils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précisent </w:t>
      </w:r>
      <w:r w:rsidRPr="00CC6FD4">
        <w:rPr>
          <w:lang w:val="fr-FR"/>
        </w:rPr>
        <w:t>les domaines dans lesquels des orientations complémentaires</w:t>
      </w:r>
      <w:r>
        <w:rPr>
          <w:lang w:val="fr-FR"/>
        </w:rPr>
        <w:t xml:space="preserve"> pourraient permettre</w:t>
      </w:r>
      <w:r w:rsidR="00E4465E">
        <w:rPr>
          <w:lang w:val="fr-FR"/>
        </w:rPr>
        <w:t xml:space="preserve"> </w:t>
      </w:r>
      <w:r>
        <w:rPr>
          <w:lang w:val="fr-FR"/>
        </w:rPr>
        <w:t>de faciliter</w:t>
      </w:r>
      <w:r w:rsidRPr="00CC6FD4">
        <w:rPr>
          <w:lang w:val="fr-FR"/>
        </w:rPr>
        <w:t xml:space="preserve"> l</w:t>
      </w:r>
      <w:r>
        <w:rPr>
          <w:lang w:val="fr-FR"/>
        </w:rPr>
        <w:t>’</w:t>
      </w:r>
      <w:r w:rsidRPr="00CC6FD4">
        <w:rPr>
          <w:lang w:val="fr-FR"/>
        </w:rPr>
        <w:t>interprétation des règlements et</w:t>
      </w:r>
      <w:r>
        <w:rPr>
          <w:lang w:val="fr-FR"/>
        </w:rPr>
        <w:t xml:space="preserve"> d’améliorer, si</w:t>
      </w:r>
      <w:r w:rsidR="00E4465E">
        <w:rPr>
          <w:lang w:val="fr-FR"/>
        </w:rPr>
        <w:t xml:space="preserve"> </w:t>
      </w:r>
      <w:r>
        <w:rPr>
          <w:lang w:val="fr-FR"/>
        </w:rPr>
        <w:t>possible, le ressenti global</w:t>
      </w:r>
      <w:r w:rsidRPr="00CC6FD4">
        <w:rPr>
          <w:lang w:val="fr-FR"/>
        </w:rPr>
        <w:t>. On trouvera une synthèse des résultats de la phase d</w:t>
      </w:r>
      <w:r>
        <w:rPr>
          <w:lang w:val="fr-FR"/>
        </w:rPr>
        <w:t>’</w:t>
      </w:r>
      <w:r w:rsidRPr="00CC6FD4">
        <w:rPr>
          <w:lang w:val="fr-FR"/>
        </w:rPr>
        <w:t>essai dans le document « TFCS-TPCM2-14 (Sec) Overview on the initial findings during the test phase ».</w:t>
      </w:r>
    </w:p>
    <w:p w14:paraId="45529A61" w14:textId="77777777" w:rsidR="00675CD7" w:rsidRPr="00CC6FD4" w:rsidRDefault="00675CD7" w:rsidP="00C834C8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2.3.3</w:t>
      </w:r>
      <w:r w:rsidRPr="00CC6FD4">
        <w:rPr>
          <w:lang w:val="fr-FR"/>
        </w:rPr>
        <w:tab/>
        <w:t xml:space="preserve">Ces résultats indiquent </w:t>
      </w:r>
      <w:r>
        <w:rPr>
          <w:lang w:val="fr-FR"/>
        </w:rPr>
        <w:t>que</w:t>
      </w:r>
      <w:r w:rsidR="00C834C8">
        <w:rPr>
          <w:lang w:val="fr-FR"/>
        </w:rPr>
        <w:t> </w:t>
      </w:r>
      <w:r w:rsidRPr="00CC6FD4">
        <w:rPr>
          <w:lang w:val="fr-FR"/>
        </w:rPr>
        <w:t xml:space="preserve">: </w:t>
      </w:r>
    </w:p>
    <w:p w14:paraId="0CF95AC6" w14:textId="77777777" w:rsidR="00675CD7" w:rsidRPr="00CC6FD4" w:rsidRDefault="00675CD7" w:rsidP="00C834C8">
      <w:pPr>
        <w:pStyle w:val="Bullet2G"/>
        <w:rPr>
          <w:lang w:val="fr-FR"/>
        </w:rPr>
      </w:pPr>
      <w:r>
        <w:rPr>
          <w:lang w:val="fr-FR"/>
        </w:rPr>
        <w:t>Le bilan préliminaire est positif</w:t>
      </w:r>
      <w:r w:rsidRPr="00CC6FD4">
        <w:rPr>
          <w:lang w:val="fr-FR"/>
        </w:rPr>
        <w:t> ;</w:t>
      </w:r>
    </w:p>
    <w:p w14:paraId="551C281C" w14:textId="77777777" w:rsidR="00675CD7" w:rsidRPr="00CC6FD4" w:rsidRDefault="00675CD7" w:rsidP="00C834C8">
      <w:pPr>
        <w:pStyle w:val="Bullet2G"/>
        <w:rPr>
          <w:lang w:val="fr-FR"/>
        </w:rPr>
      </w:pPr>
      <w:r w:rsidRPr="00CC6FD4">
        <w:rPr>
          <w:lang w:val="fr-FR"/>
        </w:rPr>
        <w:t>Le concept général fonctionne comme prévu.</w:t>
      </w:r>
    </w:p>
    <w:p w14:paraId="343B8D45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2.3.4</w:t>
      </w:r>
      <w:r w:rsidRPr="00CC6FD4">
        <w:rPr>
          <w:lang w:val="fr-FR"/>
        </w:rPr>
        <w:tab/>
      </w:r>
      <w:r>
        <w:rPr>
          <w:lang w:val="fr-FR"/>
        </w:rPr>
        <w:t>La méthode</w:t>
      </w:r>
      <w:r w:rsidRPr="00CC6FD4">
        <w:rPr>
          <w:lang w:val="fr-FR"/>
        </w:rPr>
        <w:t xml:space="preserve"> adoptée par les participants pour évaluer les règlements et l</w:t>
      </w:r>
      <w:r>
        <w:rPr>
          <w:lang w:val="fr-FR"/>
        </w:rPr>
        <w:t>’</w:t>
      </w:r>
      <w:r w:rsidRPr="00CC6FD4">
        <w:rPr>
          <w:lang w:val="fr-FR"/>
        </w:rPr>
        <w:t>expérience qu</w:t>
      </w:r>
      <w:r>
        <w:rPr>
          <w:lang w:val="fr-FR"/>
        </w:rPr>
        <w:t>’</w:t>
      </w:r>
      <w:r w:rsidRPr="00CC6FD4">
        <w:rPr>
          <w:lang w:val="fr-FR"/>
        </w:rPr>
        <w:t>ils ont acquise</w:t>
      </w:r>
      <w:r>
        <w:rPr>
          <w:lang w:val="fr-FR"/>
        </w:rPr>
        <w:t xml:space="preserve"> ce faisant</w:t>
      </w:r>
      <w:r w:rsidRPr="00CC6FD4">
        <w:rPr>
          <w:lang w:val="fr-FR"/>
        </w:rPr>
        <w:t xml:space="preserve"> sont décrites dans</w:t>
      </w:r>
      <w:r>
        <w:rPr>
          <w:lang w:val="fr-FR"/>
        </w:rPr>
        <w:t xml:space="preserve"> de</w:t>
      </w:r>
      <w:r w:rsidRPr="00CC6FD4">
        <w:rPr>
          <w:lang w:val="fr-FR"/>
        </w:rPr>
        <w:t>s documents d</w:t>
      </w:r>
      <w:r>
        <w:rPr>
          <w:lang w:val="fr-FR"/>
        </w:rPr>
        <w:t>’</w:t>
      </w:r>
      <w:r w:rsidRPr="00CC6FD4">
        <w:rPr>
          <w:lang w:val="fr-FR"/>
        </w:rPr>
        <w:t>interprétation.</w:t>
      </w:r>
      <w:r w:rsidR="00E4465E">
        <w:rPr>
          <w:lang w:val="fr-FR"/>
        </w:rPr>
        <w:t xml:space="preserve"> </w:t>
      </w:r>
      <w:r>
        <w:rPr>
          <w:lang w:val="fr-FR"/>
        </w:rPr>
        <w:t>On y détaille</w:t>
      </w:r>
      <w:r w:rsidRPr="00CC6FD4">
        <w:rPr>
          <w:lang w:val="fr-FR"/>
        </w:rPr>
        <w:t xml:space="preserve"> les points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sur </w:t>
      </w:r>
      <w:r w:rsidRPr="00CC6FD4">
        <w:rPr>
          <w:lang w:val="fr-FR"/>
        </w:rPr>
        <w:t xml:space="preserve">lesquels les services techniques </w:t>
      </w:r>
      <w:r>
        <w:rPr>
          <w:lang w:val="fr-FR"/>
        </w:rPr>
        <w:t>et</w:t>
      </w:r>
      <w:r w:rsidRPr="00CC6FD4">
        <w:rPr>
          <w:lang w:val="fr-FR"/>
        </w:rPr>
        <w:t xml:space="preserve"> les autorités d</w:t>
      </w:r>
      <w:r>
        <w:rPr>
          <w:lang w:val="fr-FR"/>
        </w:rPr>
        <w:t>’</w:t>
      </w:r>
      <w:r w:rsidRPr="00CC6FD4">
        <w:rPr>
          <w:lang w:val="fr-FR"/>
        </w:rPr>
        <w:t>homologation devaient vérifi</w:t>
      </w:r>
      <w:r>
        <w:rPr>
          <w:lang w:val="fr-FR"/>
        </w:rPr>
        <w:t xml:space="preserve">er le respect </w:t>
      </w:r>
      <w:r w:rsidRPr="00CC6FD4">
        <w:rPr>
          <w:lang w:val="fr-FR"/>
        </w:rPr>
        <w:t xml:space="preserve">des prescriptions. Ils explicitent également les </w:t>
      </w:r>
      <w:r>
        <w:rPr>
          <w:lang w:val="fr-FR"/>
        </w:rPr>
        <w:t xml:space="preserve">points de </w:t>
      </w:r>
      <w:r w:rsidRPr="00CC6FD4">
        <w:rPr>
          <w:lang w:val="fr-FR"/>
        </w:rPr>
        <w:t>vue des constructeurs et des fournisseurs.</w:t>
      </w:r>
    </w:p>
    <w:p w14:paraId="6BA75466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2.3.5</w:t>
      </w:r>
      <w:r w:rsidRPr="00CC6FD4">
        <w:rPr>
          <w:lang w:val="fr-FR"/>
        </w:rPr>
        <w:tab/>
      </w:r>
      <w:bookmarkStart w:id="6" w:name="_Hlk24136942"/>
      <w:r w:rsidRPr="00CC6FD4">
        <w:rPr>
          <w:lang w:val="fr-FR"/>
        </w:rPr>
        <w:t xml:space="preserve">Plusieurs améliorations et ajouts à apporter aux </w:t>
      </w:r>
      <w:r>
        <w:rPr>
          <w:lang w:val="fr-FR"/>
        </w:rPr>
        <w:t xml:space="preserve">règlements </w:t>
      </w:r>
      <w:r w:rsidRPr="00CC6FD4">
        <w:rPr>
          <w:lang w:val="fr-FR"/>
        </w:rPr>
        <w:t>ont été proposés. Ces améliorations et ajouts, qui se fondent sur les enseignements tirés de la phase d</w:t>
      </w:r>
      <w:r>
        <w:rPr>
          <w:lang w:val="fr-FR"/>
        </w:rPr>
        <w:t>’</w:t>
      </w:r>
      <w:r w:rsidRPr="00CC6FD4">
        <w:rPr>
          <w:lang w:val="fr-FR"/>
        </w:rPr>
        <w:t xml:space="preserve">essai, seront examinés </w:t>
      </w:r>
      <w:r>
        <w:rPr>
          <w:lang w:val="fr-FR"/>
        </w:rPr>
        <w:t xml:space="preserve">de </w:t>
      </w:r>
      <w:r w:rsidRPr="00CC6FD4">
        <w:rPr>
          <w:lang w:val="fr-FR"/>
        </w:rPr>
        <w:t>plus</w:t>
      </w:r>
      <w:r>
        <w:rPr>
          <w:lang w:val="fr-FR"/>
        </w:rPr>
        <w:t xml:space="preserve"> près</w:t>
      </w:r>
      <w:r w:rsidR="00E4465E">
        <w:rPr>
          <w:lang w:val="fr-FR"/>
        </w:rPr>
        <w:t xml:space="preserve"> </w:t>
      </w:r>
      <w:r w:rsidRPr="00CC6FD4">
        <w:rPr>
          <w:lang w:val="fr-FR"/>
        </w:rPr>
        <w:t xml:space="preserve">par </w:t>
      </w:r>
      <w:r>
        <w:rPr>
          <w:lang w:val="fr-FR"/>
        </w:rPr>
        <w:t xml:space="preserve">l’équipe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>.</w:t>
      </w:r>
      <w:r>
        <w:rPr>
          <w:lang w:val="fr-FR"/>
        </w:rPr>
        <w:t xml:space="preserve"> Il a été suggéré </w:t>
      </w:r>
      <w:r w:rsidRPr="00CC6FD4">
        <w:rPr>
          <w:lang w:val="fr-FR"/>
        </w:rPr>
        <w:t>que certaines des informations figurant dans le</w:t>
      </w:r>
      <w:r>
        <w:rPr>
          <w:lang w:val="fr-FR"/>
        </w:rPr>
        <w:t>s</w:t>
      </w:r>
      <w:r w:rsidRPr="00CC6FD4">
        <w:rPr>
          <w:lang w:val="fr-FR"/>
        </w:rPr>
        <w:t xml:space="preserve"> document</w:t>
      </w:r>
      <w:r>
        <w:rPr>
          <w:lang w:val="fr-FR"/>
        </w:rPr>
        <w:t>s</w:t>
      </w:r>
      <w:r w:rsidRPr="00CC6FD4">
        <w:rPr>
          <w:lang w:val="fr-FR"/>
        </w:rPr>
        <w:t xml:space="preserve"> d</w:t>
      </w:r>
      <w:r>
        <w:rPr>
          <w:lang w:val="fr-FR"/>
        </w:rPr>
        <w:t>’</w:t>
      </w:r>
      <w:r w:rsidRPr="00CC6FD4">
        <w:rPr>
          <w:lang w:val="fr-FR"/>
        </w:rPr>
        <w:t xml:space="preserve">interprétation </w:t>
      </w:r>
      <w:r>
        <w:rPr>
          <w:lang w:val="fr-FR"/>
        </w:rPr>
        <w:t>pourraient être</w:t>
      </w:r>
      <w:r w:rsidRPr="00CC6FD4">
        <w:rPr>
          <w:lang w:val="fr-FR"/>
        </w:rPr>
        <w:t xml:space="preserve"> insérées dans les règlements afin d</w:t>
      </w:r>
      <w:r>
        <w:rPr>
          <w:lang w:val="fr-FR"/>
        </w:rPr>
        <w:t>’</w:t>
      </w:r>
      <w:r w:rsidRPr="00CC6FD4">
        <w:rPr>
          <w:lang w:val="fr-FR"/>
        </w:rPr>
        <w:t>en renforcer la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sécurité </w:t>
      </w:r>
      <w:r w:rsidRPr="00CC6FD4">
        <w:rPr>
          <w:lang w:val="fr-FR"/>
        </w:rPr>
        <w:t>juridique.</w:t>
      </w:r>
      <w:bookmarkEnd w:id="6"/>
    </w:p>
    <w:p w14:paraId="0D5DC013" w14:textId="77777777" w:rsidR="00675CD7" w:rsidRPr="00CC6FD4" w:rsidRDefault="00675CD7" w:rsidP="00C834C8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2.3.6</w:t>
      </w:r>
      <w:r w:rsidRPr="00CC6FD4">
        <w:rPr>
          <w:lang w:val="fr-FR"/>
        </w:rPr>
        <w:tab/>
        <w:t xml:space="preserve">Les résultats des essais interlaboratoires ont été </w:t>
      </w:r>
      <w:r>
        <w:rPr>
          <w:lang w:val="fr-FR"/>
        </w:rPr>
        <w:t>communiqués</w:t>
      </w:r>
      <w:r w:rsidRPr="00CC6FD4">
        <w:rPr>
          <w:lang w:val="fr-FR"/>
        </w:rPr>
        <w:t xml:space="preserve"> par le constructeur qui</w:t>
      </w:r>
      <w:r>
        <w:rPr>
          <w:lang w:val="fr-FR"/>
        </w:rPr>
        <w:t xml:space="preserve"> y a participé</w:t>
      </w:r>
      <w:r w:rsidRPr="00CC6FD4">
        <w:rPr>
          <w:lang w:val="fr-FR"/>
        </w:rPr>
        <w:t xml:space="preserve">. Il en ressortait </w:t>
      </w:r>
      <w:r>
        <w:rPr>
          <w:lang w:val="fr-FR"/>
        </w:rPr>
        <w:t>que</w:t>
      </w:r>
      <w:r w:rsidR="00C834C8">
        <w:rPr>
          <w:lang w:val="fr-FR"/>
        </w:rPr>
        <w:t> </w:t>
      </w:r>
      <w:r w:rsidRPr="00CC6FD4">
        <w:rPr>
          <w:lang w:val="fr-FR"/>
        </w:rPr>
        <w:t>:</w:t>
      </w:r>
    </w:p>
    <w:p w14:paraId="609E457C" w14:textId="77777777" w:rsidR="00675CD7" w:rsidRPr="00CC6FD4" w:rsidRDefault="00675CD7" w:rsidP="003D577C">
      <w:pPr>
        <w:pStyle w:val="Bullet2G"/>
        <w:rPr>
          <w:lang w:val="fr-FR"/>
        </w:rPr>
      </w:pPr>
      <w:r w:rsidRPr="00CC6FD4">
        <w:rPr>
          <w:lang w:val="fr-FR"/>
        </w:rPr>
        <w:t>Les différents services techniques et autorités d</w:t>
      </w:r>
      <w:r>
        <w:rPr>
          <w:lang w:val="fr-FR"/>
        </w:rPr>
        <w:t>’</w:t>
      </w:r>
      <w:r w:rsidRPr="00CC6FD4">
        <w:rPr>
          <w:lang w:val="fr-FR"/>
        </w:rPr>
        <w:t>homologation avaient la même interprétation des règlements ;</w:t>
      </w:r>
    </w:p>
    <w:p w14:paraId="32DC82CF" w14:textId="77777777" w:rsidR="00675CD7" w:rsidRPr="00CC6FD4" w:rsidRDefault="00675CD7" w:rsidP="003D577C">
      <w:pPr>
        <w:pStyle w:val="Bullet2G"/>
        <w:rPr>
          <w:lang w:val="fr-FR"/>
        </w:rPr>
      </w:pPr>
      <w:r w:rsidRPr="00CC6FD4">
        <w:rPr>
          <w:lang w:val="fr-FR"/>
        </w:rPr>
        <w:t>Les différents services techniques et autorités d</w:t>
      </w:r>
      <w:r>
        <w:rPr>
          <w:lang w:val="fr-FR"/>
        </w:rPr>
        <w:t>’</w:t>
      </w:r>
      <w:r w:rsidRPr="00CC6FD4">
        <w:rPr>
          <w:lang w:val="fr-FR"/>
        </w:rPr>
        <w:t>homologation partageaient le même avis s</w:t>
      </w:r>
      <w:r>
        <w:rPr>
          <w:lang w:val="fr-FR"/>
        </w:rPr>
        <w:t>’</w:t>
      </w:r>
      <w:r w:rsidRPr="00CC6FD4">
        <w:rPr>
          <w:lang w:val="fr-FR"/>
        </w:rPr>
        <w:t>agissant de la documentation dont ils avaient besoin ;</w:t>
      </w:r>
    </w:p>
    <w:p w14:paraId="50931418" w14:textId="77777777" w:rsidR="00675CD7" w:rsidRPr="00CC6FD4" w:rsidRDefault="00675CD7" w:rsidP="003D577C">
      <w:pPr>
        <w:pStyle w:val="Bullet2G"/>
        <w:rPr>
          <w:lang w:val="fr-FR"/>
        </w:rPr>
      </w:pPr>
      <w:r w:rsidRPr="00CC6FD4">
        <w:rPr>
          <w:lang w:val="fr-FR"/>
        </w:rPr>
        <w:t>Le projet de norme ISO/SAE 21434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avait été d’une aide précieuse pour </w:t>
      </w:r>
      <w:r w:rsidRPr="00CC6FD4">
        <w:rPr>
          <w:lang w:val="fr-FR"/>
        </w:rPr>
        <w:t>l</w:t>
      </w:r>
      <w:r>
        <w:rPr>
          <w:lang w:val="fr-FR"/>
        </w:rPr>
        <w:t>’</w:t>
      </w:r>
      <w:r w:rsidRPr="00CC6FD4">
        <w:rPr>
          <w:lang w:val="fr-FR"/>
        </w:rPr>
        <w:t>évaluation et</w:t>
      </w:r>
      <w:r w:rsidR="00E4465E">
        <w:rPr>
          <w:lang w:val="fr-FR"/>
        </w:rPr>
        <w:t xml:space="preserve"> </w:t>
      </w:r>
      <w:r w:rsidRPr="00CC6FD4">
        <w:rPr>
          <w:lang w:val="fr-FR"/>
        </w:rPr>
        <w:t>l</w:t>
      </w:r>
      <w:r>
        <w:rPr>
          <w:lang w:val="fr-FR"/>
        </w:rPr>
        <w:t>’</w:t>
      </w:r>
      <w:r w:rsidRPr="00CC6FD4">
        <w:rPr>
          <w:lang w:val="fr-FR"/>
        </w:rPr>
        <w:t>harmonisation.</w:t>
      </w:r>
    </w:p>
    <w:p w14:paraId="3576AED7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2.3.7</w:t>
      </w:r>
      <w:r w:rsidRPr="00CC6FD4">
        <w:rPr>
          <w:lang w:val="fr-FR"/>
        </w:rPr>
        <w:tab/>
        <w:t>Les essais interlaboratoires</w:t>
      </w:r>
      <w:r>
        <w:rPr>
          <w:lang w:val="fr-FR"/>
        </w:rPr>
        <w:t xml:space="preserve"> ont confirmé qu’un </w:t>
      </w:r>
      <w:r w:rsidRPr="00CC6FD4">
        <w:rPr>
          <w:lang w:val="fr-FR"/>
        </w:rPr>
        <w:t>même dossier d</w:t>
      </w:r>
      <w:r>
        <w:rPr>
          <w:lang w:val="fr-FR"/>
        </w:rPr>
        <w:t>’</w:t>
      </w:r>
      <w:r w:rsidRPr="00CC6FD4">
        <w:rPr>
          <w:lang w:val="fr-FR"/>
        </w:rPr>
        <w:t>inform</w:t>
      </w:r>
      <w:r>
        <w:rPr>
          <w:lang w:val="fr-FR"/>
        </w:rPr>
        <w:t>ation complet permettrait</w:t>
      </w:r>
      <w:r w:rsidRPr="00CC6FD4">
        <w:rPr>
          <w:lang w:val="fr-FR"/>
        </w:rPr>
        <w:t xml:space="preserve"> d</w:t>
      </w:r>
      <w:r>
        <w:rPr>
          <w:lang w:val="fr-FR"/>
        </w:rPr>
        <w:t>’</w:t>
      </w:r>
      <w:r w:rsidRPr="00CC6FD4">
        <w:rPr>
          <w:lang w:val="fr-FR"/>
        </w:rPr>
        <w:t xml:space="preserve">aboutir </w:t>
      </w:r>
      <w:r>
        <w:rPr>
          <w:lang w:val="fr-FR"/>
        </w:rPr>
        <w:t>aux mêmes conclusions</w:t>
      </w:r>
      <w:r w:rsidRPr="00CC6FD4">
        <w:rPr>
          <w:lang w:val="fr-FR"/>
        </w:rPr>
        <w:t>.</w:t>
      </w:r>
    </w:p>
    <w:p w14:paraId="251E4AF2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2.3.8</w:t>
      </w:r>
      <w:r w:rsidRPr="00CC6FD4">
        <w:rPr>
          <w:lang w:val="fr-FR"/>
        </w:rPr>
        <w:tab/>
        <w:t>La principale conclusion tirée par</w:t>
      </w:r>
      <w:r w:rsidR="00E4465E">
        <w:rPr>
          <w:lang w:val="fr-FR"/>
        </w:rPr>
        <w:t xml:space="preserve"> </w:t>
      </w:r>
      <w:r w:rsidRPr="00192FFE">
        <w:rPr>
          <w:lang w:val="fr-FR"/>
        </w:rPr>
        <w:t>l</w:t>
      </w:r>
      <w:r>
        <w:rPr>
          <w:lang w:val="fr-FR"/>
        </w:rPr>
        <w:t>’</w:t>
      </w:r>
      <w:r w:rsidRPr="00192FFE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est que les règlements fonctionnent comme prévu et apporteront</w:t>
      </w:r>
      <w:r w:rsidR="00E4465E">
        <w:rPr>
          <w:lang w:val="fr-FR"/>
        </w:rPr>
        <w:t xml:space="preserve"> </w:t>
      </w:r>
      <w:r>
        <w:rPr>
          <w:lang w:val="fr-FR"/>
        </w:rPr>
        <w:t>de la</w:t>
      </w:r>
      <w:r w:rsidRPr="00CC6FD4">
        <w:rPr>
          <w:lang w:val="fr-FR"/>
        </w:rPr>
        <w:t xml:space="preserve"> valeur ajoutée.</w:t>
      </w:r>
    </w:p>
    <w:p w14:paraId="162DDB6A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C6FD4">
        <w:rPr>
          <w:lang w:val="fr-FR"/>
        </w:rPr>
        <w:t>2.3.9</w:t>
      </w:r>
      <w:r w:rsidRPr="00CC6FD4">
        <w:rPr>
          <w:lang w:val="fr-FR"/>
        </w:rPr>
        <w:tab/>
        <w:t>La phase d</w:t>
      </w:r>
      <w:r>
        <w:rPr>
          <w:lang w:val="fr-FR"/>
        </w:rPr>
        <w:t>’</w:t>
      </w:r>
      <w:r w:rsidRPr="00CC6FD4">
        <w:rPr>
          <w:lang w:val="fr-FR"/>
        </w:rPr>
        <w:t>essai en tant qu</w:t>
      </w:r>
      <w:r>
        <w:rPr>
          <w:lang w:val="fr-FR"/>
        </w:rPr>
        <w:t>’</w:t>
      </w:r>
      <w:r w:rsidRPr="00CC6FD4">
        <w:rPr>
          <w:lang w:val="fr-FR"/>
        </w:rPr>
        <w:t>activité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192FFE">
        <w:rPr>
          <w:lang w:val="fr-FR"/>
        </w:rPr>
        <w:t>l</w:t>
      </w:r>
      <w:r>
        <w:rPr>
          <w:lang w:val="fr-FR"/>
        </w:rPr>
        <w:t>’</w:t>
      </w:r>
      <w:r w:rsidRPr="00192FFE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s</w:t>
      </w:r>
      <w:r>
        <w:rPr>
          <w:lang w:val="fr-FR"/>
        </w:rPr>
        <w:t>’</w:t>
      </w:r>
      <w:r w:rsidRPr="00CC6FD4">
        <w:rPr>
          <w:lang w:val="fr-FR"/>
        </w:rPr>
        <w:t>est terminée le 30</w:t>
      </w:r>
      <w:r w:rsidR="00A83145">
        <w:rPr>
          <w:lang w:val="fr-FR"/>
        </w:rPr>
        <w:t> </w:t>
      </w:r>
      <w:r w:rsidRPr="00CC6FD4">
        <w:rPr>
          <w:lang w:val="fr-FR"/>
        </w:rPr>
        <w:t xml:space="preserve">août 2019. </w:t>
      </w:r>
    </w:p>
    <w:p w14:paraId="78473F81" w14:textId="77777777" w:rsidR="00675CD7" w:rsidRPr="00CC6FD4" w:rsidRDefault="00A83145" w:rsidP="00A83145">
      <w:pPr>
        <w:pStyle w:val="HChG"/>
        <w:rPr>
          <w:lang w:val="fr-FR"/>
        </w:rPr>
      </w:pPr>
      <w:r>
        <w:rPr>
          <w:lang w:val="fr-FR"/>
        </w:rPr>
        <w:tab/>
      </w:r>
      <w:r w:rsidR="00675CD7">
        <w:rPr>
          <w:lang w:val="fr-FR"/>
        </w:rPr>
        <w:t>3</w:t>
      </w:r>
      <w:r w:rsidR="00675CD7" w:rsidRPr="00CC6FD4">
        <w:rPr>
          <w:lang w:val="fr-FR"/>
        </w:rPr>
        <w:t>.</w:t>
      </w:r>
      <w:r w:rsidR="00675CD7" w:rsidRPr="00CC6FD4">
        <w:rPr>
          <w:lang w:val="fr-FR"/>
        </w:rPr>
        <w:tab/>
        <w:t>Prochaines étapes</w:t>
      </w:r>
    </w:p>
    <w:p w14:paraId="605C3B70" w14:textId="77777777" w:rsidR="00675CD7" w:rsidRPr="00CC6FD4" w:rsidRDefault="00A83145" w:rsidP="00A83145">
      <w:pPr>
        <w:pStyle w:val="H1G"/>
        <w:rPr>
          <w:lang w:val="fr-FR"/>
        </w:rPr>
      </w:pPr>
      <w:r>
        <w:rPr>
          <w:lang w:val="fr-FR"/>
        </w:rPr>
        <w:tab/>
      </w:r>
      <w:r w:rsidR="00675CD7">
        <w:rPr>
          <w:lang w:val="fr-FR"/>
        </w:rPr>
        <w:t>3</w:t>
      </w:r>
      <w:r w:rsidR="00675CD7" w:rsidRPr="00CC6FD4">
        <w:rPr>
          <w:lang w:val="fr-FR"/>
        </w:rPr>
        <w:t>.1</w:t>
      </w:r>
      <w:r w:rsidR="00675CD7" w:rsidRPr="00CC6FD4">
        <w:rPr>
          <w:lang w:val="fr-FR"/>
        </w:rPr>
        <w:tab/>
        <w:t>Suite donnée aux points soulevés</w:t>
      </w:r>
    </w:p>
    <w:p w14:paraId="4D611007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3</w:t>
      </w:r>
      <w:r w:rsidRPr="00CC6FD4">
        <w:rPr>
          <w:lang w:val="fr-FR"/>
        </w:rPr>
        <w:t>.1.1</w:t>
      </w:r>
      <w:r w:rsidRPr="00CC6FD4">
        <w:rPr>
          <w:lang w:val="fr-FR"/>
        </w:rPr>
        <w:tab/>
        <w:t>Les points soulevés par les participants à la phase d</w:t>
      </w:r>
      <w:r>
        <w:rPr>
          <w:lang w:val="fr-FR"/>
        </w:rPr>
        <w:t>’</w:t>
      </w:r>
      <w:r w:rsidRPr="00CC6FD4">
        <w:rPr>
          <w:lang w:val="fr-FR"/>
        </w:rPr>
        <w:t xml:space="preserve">essai et les modifications suggérées dans ce cadre ont été regroupés et soumis </w:t>
      </w:r>
      <w:r>
        <w:rPr>
          <w:lang w:val="fr-FR"/>
        </w:rPr>
        <w:t xml:space="preserve">à </w:t>
      </w:r>
      <w:r w:rsidRPr="00DF0151">
        <w:rPr>
          <w:lang w:val="fr-FR"/>
        </w:rPr>
        <w:t>l</w:t>
      </w:r>
      <w:r>
        <w:rPr>
          <w:lang w:val="fr-FR"/>
        </w:rPr>
        <w:t>’</w:t>
      </w:r>
      <w:r w:rsidRPr="00DF0151">
        <w:rPr>
          <w:lang w:val="fr-FR"/>
        </w:rPr>
        <w:t xml:space="preserve">équipe </w:t>
      </w:r>
      <w:r>
        <w:rPr>
          <w:lang w:val="fr-FR"/>
        </w:rPr>
        <w:t>spéciale</w:t>
      </w:r>
      <w:r w:rsidRPr="00CC6FD4">
        <w:rPr>
          <w:lang w:val="fr-FR"/>
        </w:rPr>
        <w:t>.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Elle </w:t>
      </w:r>
      <w:r w:rsidRPr="00CC6FD4">
        <w:rPr>
          <w:lang w:val="fr-FR"/>
        </w:rPr>
        <w:t>en a débuté l</w:t>
      </w:r>
      <w:r>
        <w:rPr>
          <w:lang w:val="fr-FR"/>
        </w:rPr>
        <w:t>’</w:t>
      </w:r>
      <w:r w:rsidRPr="00CC6FD4">
        <w:rPr>
          <w:lang w:val="fr-FR"/>
        </w:rPr>
        <w:t>examen à sa quinzième réunion et le poursuivra et l</w:t>
      </w:r>
      <w:r>
        <w:rPr>
          <w:lang w:val="fr-FR"/>
        </w:rPr>
        <w:t>’</w:t>
      </w:r>
      <w:r w:rsidRPr="00CC6FD4">
        <w:rPr>
          <w:lang w:val="fr-FR"/>
        </w:rPr>
        <w:t>achèvera à ses seizième et dix-septième réunions</w:t>
      </w:r>
      <w:r>
        <w:rPr>
          <w:lang w:val="fr-FR"/>
        </w:rPr>
        <w:t>, qui</w:t>
      </w:r>
      <w:r w:rsidR="00E4465E">
        <w:rPr>
          <w:lang w:val="fr-FR"/>
        </w:rPr>
        <w:t xml:space="preserve"> </w:t>
      </w:r>
      <w:r w:rsidRPr="00CC6FD4">
        <w:rPr>
          <w:lang w:val="fr-FR"/>
        </w:rPr>
        <w:t>se tiendront, respectivement, en novembre 2019 au Japon et en janvier 2020 aux États-Unis d</w:t>
      </w:r>
      <w:r>
        <w:rPr>
          <w:lang w:val="fr-FR"/>
        </w:rPr>
        <w:t>’</w:t>
      </w:r>
      <w:r w:rsidRPr="00CC6FD4">
        <w:rPr>
          <w:lang w:val="fr-FR"/>
        </w:rPr>
        <w:t>Amérique.</w:t>
      </w:r>
    </w:p>
    <w:p w14:paraId="1FB0BC4E" w14:textId="77777777" w:rsidR="00675CD7" w:rsidRPr="00CC6FD4" w:rsidRDefault="00361F3D" w:rsidP="00361F3D">
      <w:pPr>
        <w:pStyle w:val="H1G"/>
        <w:rPr>
          <w:lang w:val="fr-FR"/>
        </w:rPr>
      </w:pPr>
      <w:r>
        <w:rPr>
          <w:lang w:val="fr-FR"/>
        </w:rPr>
        <w:tab/>
        <w:t>3</w:t>
      </w:r>
      <w:r w:rsidR="00675CD7" w:rsidRPr="00CC6FD4">
        <w:rPr>
          <w:lang w:val="fr-FR"/>
        </w:rPr>
        <w:t>.2</w:t>
      </w:r>
      <w:r w:rsidR="00675CD7" w:rsidRPr="00CC6FD4">
        <w:rPr>
          <w:lang w:val="fr-FR"/>
        </w:rPr>
        <w:tab/>
        <w:t>Points particuliers devant être réglés par</w:t>
      </w:r>
      <w:r w:rsidR="00E4465E">
        <w:rPr>
          <w:lang w:val="fr-FR"/>
        </w:rPr>
        <w:t xml:space="preserve"> </w:t>
      </w:r>
      <w:r w:rsidR="00675CD7">
        <w:rPr>
          <w:lang w:val="fr-FR"/>
        </w:rPr>
        <w:t>l’équipe</w:t>
      </w:r>
      <w:r w:rsidR="00675CD7" w:rsidRPr="00CC6FD4">
        <w:rPr>
          <w:lang w:val="fr-FR"/>
        </w:rPr>
        <w:t xml:space="preserve"> spécial</w:t>
      </w:r>
      <w:r w:rsidR="00675CD7">
        <w:rPr>
          <w:lang w:val="fr-FR"/>
        </w:rPr>
        <w:t>e</w:t>
      </w:r>
    </w:p>
    <w:p w14:paraId="5A34B50E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3</w:t>
      </w:r>
      <w:r w:rsidRPr="00CC6FD4">
        <w:rPr>
          <w:lang w:val="fr-FR"/>
        </w:rPr>
        <w:t>.2.1</w:t>
      </w:r>
      <w:r w:rsidRPr="00CC6FD4">
        <w:rPr>
          <w:lang w:val="fr-FR"/>
        </w:rPr>
        <w:tab/>
      </w:r>
      <w:r w:rsidRPr="00CC6FD4">
        <w:rPr>
          <w:b/>
          <w:bCs/>
          <w:lang w:val="fr-FR"/>
        </w:rPr>
        <w:t xml:space="preserve">Règlements à </w:t>
      </w:r>
      <w:r>
        <w:rPr>
          <w:b/>
          <w:bCs/>
          <w:lang w:val="fr-FR"/>
        </w:rPr>
        <w:t>établir</w:t>
      </w:r>
      <w:r w:rsidRPr="00CC6FD4">
        <w:rPr>
          <w:lang w:val="fr-FR"/>
        </w:rPr>
        <w:t xml:space="preserve"> </w:t>
      </w:r>
      <w:r w:rsidR="00361F3D">
        <w:rPr>
          <w:lang w:val="fr-FR"/>
        </w:rPr>
        <w:t>−</w:t>
      </w:r>
      <w:r w:rsidRPr="00CC6FD4">
        <w:rPr>
          <w:lang w:val="fr-FR"/>
        </w:rPr>
        <w:t xml:space="preserve"> La phase d</w:t>
      </w:r>
      <w:r>
        <w:rPr>
          <w:lang w:val="fr-FR"/>
        </w:rPr>
        <w:t>’</w:t>
      </w:r>
      <w:r w:rsidRPr="00CC6FD4">
        <w:rPr>
          <w:lang w:val="fr-FR"/>
        </w:rPr>
        <w:t>essai a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débouché sur </w:t>
      </w:r>
      <w:r w:rsidRPr="00CC6FD4">
        <w:rPr>
          <w:lang w:val="fr-FR"/>
        </w:rPr>
        <w:t xml:space="preserve">des propositions de modifications à apporter aux prescriptions. </w:t>
      </w:r>
      <w:r>
        <w:rPr>
          <w:lang w:val="fr-FR"/>
        </w:rPr>
        <w:t>L’</w:t>
      </w:r>
      <w:r w:rsidRPr="00DF0151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</w:t>
      </w:r>
      <w:r>
        <w:rPr>
          <w:lang w:val="fr-FR"/>
        </w:rPr>
        <w:t>achèvera</w:t>
      </w:r>
      <w:r w:rsidRPr="00CC6FD4">
        <w:rPr>
          <w:lang w:val="fr-FR"/>
        </w:rPr>
        <w:t xml:space="preserve"> </w:t>
      </w:r>
      <w:r w:rsidRPr="00CC6FD4">
        <w:rPr>
          <w:lang w:val="fr-FR"/>
        </w:rPr>
        <w:lastRenderedPageBreak/>
        <w:t>l</w:t>
      </w:r>
      <w:r>
        <w:rPr>
          <w:lang w:val="fr-FR"/>
        </w:rPr>
        <w:t>’</w:t>
      </w:r>
      <w:r w:rsidRPr="00CC6FD4">
        <w:rPr>
          <w:lang w:val="fr-FR"/>
        </w:rPr>
        <w:t>examen de ces propositions ainsi que des observations reçues ultérieurement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lors de </w:t>
      </w:r>
      <w:r w:rsidRPr="00CC6FD4">
        <w:rPr>
          <w:lang w:val="fr-FR"/>
        </w:rPr>
        <w:t>sa prochaine réunion en novembre 2019. Cela permettra au GRVA d</w:t>
      </w:r>
      <w:r>
        <w:rPr>
          <w:lang w:val="fr-FR"/>
        </w:rPr>
        <w:t>’</w:t>
      </w:r>
      <w:r w:rsidRPr="00CC6FD4">
        <w:rPr>
          <w:lang w:val="fr-FR"/>
        </w:rPr>
        <w:t>avancer dans ses travaux et d</w:t>
      </w:r>
      <w:r>
        <w:rPr>
          <w:lang w:val="fr-FR"/>
        </w:rPr>
        <w:t>’</w:t>
      </w:r>
      <w:r w:rsidRPr="00CC6FD4">
        <w:rPr>
          <w:lang w:val="fr-FR"/>
        </w:rPr>
        <w:t>adopter éventuellement les règlements en février 2020.</w:t>
      </w:r>
    </w:p>
    <w:p w14:paraId="3312C72F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3</w:t>
      </w:r>
      <w:r w:rsidRPr="00CC6FD4">
        <w:rPr>
          <w:lang w:val="fr-FR"/>
        </w:rPr>
        <w:t>.2.2</w:t>
      </w:r>
      <w:r w:rsidRPr="00CC6FD4">
        <w:rPr>
          <w:lang w:val="fr-FR"/>
        </w:rPr>
        <w:tab/>
      </w:r>
      <w:r w:rsidRPr="00CC6FD4">
        <w:rPr>
          <w:b/>
          <w:bCs/>
          <w:lang w:val="fr-FR"/>
        </w:rPr>
        <w:t>Compétences des services techniques</w:t>
      </w:r>
      <w:r w:rsidRPr="00CC6FD4">
        <w:rPr>
          <w:lang w:val="fr-FR"/>
        </w:rPr>
        <w:t xml:space="preserve"> </w:t>
      </w:r>
      <w:r w:rsidR="002963BD">
        <w:rPr>
          <w:lang w:val="fr-FR"/>
        </w:rPr>
        <w:t>−</w:t>
      </w:r>
      <w:r w:rsidRPr="00CC6FD4">
        <w:rPr>
          <w:lang w:val="fr-FR"/>
        </w:rPr>
        <w:t xml:space="preserve"> Les règlements étant nouveaux, la question s</w:t>
      </w:r>
      <w:r>
        <w:rPr>
          <w:lang w:val="fr-FR"/>
        </w:rPr>
        <w:t>’</w:t>
      </w:r>
      <w:r w:rsidRPr="00CC6FD4">
        <w:rPr>
          <w:lang w:val="fr-FR"/>
        </w:rPr>
        <w:t>est posée de savoir quelles seraient les compétences dont les autorités d</w:t>
      </w:r>
      <w:r>
        <w:rPr>
          <w:lang w:val="fr-FR"/>
        </w:rPr>
        <w:t>’</w:t>
      </w:r>
      <w:r w:rsidRPr="00CC6FD4">
        <w:rPr>
          <w:lang w:val="fr-FR"/>
        </w:rPr>
        <w:t>homologation et les services techniques auraient besoin. Il a été constaté que cette question était du ressort des Parties contractantes en vertu de l</w:t>
      </w:r>
      <w:r>
        <w:rPr>
          <w:lang w:val="fr-FR"/>
        </w:rPr>
        <w:t>’</w:t>
      </w:r>
      <w:r w:rsidRPr="00CC6FD4">
        <w:rPr>
          <w:lang w:val="fr-FR"/>
        </w:rPr>
        <w:t>Accord de 1958 (conformément aux dispositions de l</w:t>
      </w:r>
      <w:r>
        <w:rPr>
          <w:lang w:val="fr-FR"/>
        </w:rPr>
        <w:t>’</w:t>
      </w:r>
      <w:r w:rsidRPr="00CC6FD4">
        <w:rPr>
          <w:lang w:val="fr-FR"/>
        </w:rPr>
        <w:t>annexe</w:t>
      </w:r>
      <w:r w:rsidR="002963BD">
        <w:rPr>
          <w:lang w:val="fr-FR"/>
        </w:rPr>
        <w:t> </w:t>
      </w:r>
      <w:r w:rsidRPr="00CC6FD4">
        <w:rPr>
          <w:lang w:val="fr-FR"/>
        </w:rPr>
        <w:t>2), mais les participants n</w:t>
      </w:r>
      <w:r>
        <w:rPr>
          <w:lang w:val="fr-FR"/>
        </w:rPr>
        <w:t>’</w:t>
      </w:r>
      <w:r w:rsidRPr="00CC6FD4">
        <w:rPr>
          <w:lang w:val="fr-FR"/>
        </w:rPr>
        <w:t>en n</w:t>
      </w:r>
      <w:r>
        <w:rPr>
          <w:lang w:val="fr-FR"/>
        </w:rPr>
        <w:t>’</w:t>
      </w:r>
      <w:r w:rsidRPr="00CC6FD4">
        <w:rPr>
          <w:lang w:val="fr-FR"/>
        </w:rPr>
        <w:t>ont pas moins pu faire part de leurs vues, que</w:t>
      </w:r>
      <w:r w:rsidR="00E4465E">
        <w:rPr>
          <w:lang w:val="fr-FR"/>
        </w:rPr>
        <w:t xml:space="preserve"> </w:t>
      </w:r>
      <w:r w:rsidRPr="00BD2B7E">
        <w:rPr>
          <w:lang w:val="fr-FR"/>
        </w:rPr>
        <w:t>l</w:t>
      </w:r>
      <w:r>
        <w:rPr>
          <w:lang w:val="fr-FR"/>
        </w:rPr>
        <w:t>’</w:t>
      </w:r>
      <w:r w:rsidRPr="00BD2B7E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examiner</w:t>
      </w:r>
      <w:r>
        <w:rPr>
          <w:lang w:val="fr-FR"/>
        </w:rPr>
        <w:t>a</w:t>
      </w:r>
      <w:r w:rsidRPr="00CC6FD4">
        <w:rPr>
          <w:lang w:val="fr-FR"/>
        </w:rPr>
        <w:t xml:space="preserve"> </w:t>
      </w:r>
      <w:r>
        <w:rPr>
          <w:lang w:val="fr-FR"/>
        </w:rPr>
        <w:t>de plus près</w:t>
      </w:r>
      <w:r w:rsidRPr="00CC6FD4">
        <w:rPr>
          <w:lang w:val="fr-FR"/>
        </w:rPr>
        <w:t>. Il ressort de l</w:t>
      </w:r>
      <w:r>
        <w:rPr>
          <w:lang w:val="fr-FR"/>
        </w:rPr>
        <w:t>’</w:t>
      </w:r>
      <w:r w:rsidRPr="00CC6FD4">
        <w:rPr>
          <w:lang w:val="fr-FR"/>
        </w:rPr>
        <w:t>expérience acquise dans le cadre de la phase d</w:t>
      </w:r>
      <w:r>
        <w:rPr>
          <w:lang w:val="fr-FR"/>
        </w:rPr>
        <w:t>’</w:t>
      </w:r>
      <w:r w:rsidRPr="00CC6FD4">
        <w:rPr>
          <w:lang w:val="fr-FR"/>
        </w:rPr>
        <w:t>essai que l</w:t>
      </w:r>
      <w:r>
        <w:rPr>
          <w:lang w:val="fr-FR"/>
        </w:rPr>
        <w:t>’</w:t>
      </w:r>
      <w:r w:rsidRPr="00CC6FD4">
        <w:rPr>
          <w:lang w:val="fr-FR"/>
        </w:rPr>
        <w:t>évaluation pourrait se faire à l</w:t>
      </w:r>
      <w:r>
        <w:rPr>
          <w:lang w:val="fr-FR"/>
        </w:rPr>
        <w:t>’</w:t>
      </w:r>
      <w:r w:rsidRPr="00CC6FD4">
        <w:rPr>
          <w:lang w:val="fr-FR"/>
        </w:rPr>
        <w:t>aide d</w:t>
      </w:r>
      <w:r>
        <w:rPr>
          <w:lang w:val="fr-FR"/>
        </w:rPr>
        <w:t>’</w:t>
      </w:r>
      <w:r w:rsidRPr="00CC6FD4">
        <w:rPr>
          <w:lang w:val="fr-FR"/>
        </w:rPr>
        <w:t>un auditeur principal (chargé de vérifier que tous les points sont pris en compte) et d</w:t>
      </w:r>
      <w:r>
        <w:rPr>
          <w:lang w:val="fr-FR"/>
        </w:rPr>
        <w:t>’</w:t>
      </w:r>
      <w:r w:rsidRPr="00CC6FD4">
        <w:rPr>
          <w:lang w:val="fr-FR"/>
        </w:rPr>
        <w:t>experts spécialisés (chargés d</w:t>
      </w:r>
      <w:r>
        <w:rPr>
          <w:lang w:val="fr-FR"/>
        </w:rPr>
        <w:t>’</w:t>
      </w:r>
      <w:r w:rsidRPr="00CC6FD4">
        <w:rPr>
          <w:lang w:val="fr-FR"/>
        </w:rPr>
        <w:t>examiner des points particuliers). L</w:t>
      </w:r>
      <w:r>
        <w:rPr>
          <w:lang w:val="fr-FR"/>
        </w:rPr>
        <w:t>’</w:t>
      </w:r>
      <w:r w:rsidRPr="00CC6FD4">
        <w:rPr>
          <w:lang w:val="fr-FR"/>
        </w:rPr>
        <w:t>observation a été faite qu</w:t>
      </w:r>
      <w:r>
        <w:rPr>
          <w:lang w:val="fr-FR"/>
        </w:rPr>
        <w:t>’</w:t>
      </w:r>
      <w:r w:rsidRPr="00CC6FD4">
        <w:rPr>
          <w:lang w:val="fr-FR"/>
        </w:rPr>
        <w:t>il existait plusieurs organisations, dont l</w:t>
      </w:r>
      <w:r>
        <w:rPr>
          <w:lang w:val="fr-FR"/>
        </w:rPr>
        <w:t>’</w:t>
      </w:r>
      <w:r w:rsidRPr="00CC6FD4">
        <w:rPr>
          <w:lang w:val="fr-FR"/>
        </w:rPr>
        <w:t>Agence européenne chargée de la sécurité des réseaux et de l</w:t>
      </w:r>
      <w:r>
        <w:rPr>
          <w:lang w:val="fr-FR"/>
        </w:rPr>
        <w:t>’</w:t>
      </w:r>
      <w:r w:rsidRPr="00CC6FD4">
        <w:rPr>
          <w:lang w:val="fr-FR"/>
        </w:rPr>
        <w:t xml:space="preserve">information (ENISA), </w:t>
      </w:r>
      <w:r>
        <w:rPr>
          <w:lang w:val="fr-FR"/>
        </w:rPr>
        <w:t xml:space="preserve">qui pourraient </w:t>
      </w:r>
      <w:r w:rsidRPr="00CC6FD4">
        <w:rPr>
          <w:lang w:val="fr-FR"/>
        </w:rPr>
        <w:t>aider à trouver</w:t>
      </w:r>
      <w:r w:rsidR="00E4465E">
        <w:rPr>
          <w:lang w:val="fr-FR"/>
        </w:rPr>
        <w:t xml:space="preserve"> </w:t>
      </w:r>
      <w:r>
        <w:rPr>
          <w:lang w:val="fr-FR"/>
        </w:rPr>
        <w:t>de tels</w:t>
      </w:r>
      <w:r w:rsidRPr="00CC6FD4">
        <w:rPr>
          <w:lang w:val="fr-FR"/>
        </w:rPr>
        <w:t xml:space="preserve"> experts.</w:t>
      </w:r>
      <w:r w:rsidR="00E4465E">
        <w:rPr>
          <w:lang w:val="fr-FR"/>
        </w:rPr>
        <w:t xml:space="preserve"> </w:t>
      </w:r>
      <w:r>
        <w:rPr>
          <w:lang w:val="fr-FR"/>
        </w:rPr>
        <w:t>L’</w:t>
      </w:r>
      <w:r w:rsidRPr="00BD2B7E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="00E4465E">
        <w:rPr>
          <w:lang w:val="fr-FR"/>
        </w:rPr>
        <w:t xml:space="preserve"> </w:t>
      </w:r>
      <w:r>
        <w:rPr>
          <w:lang w:val="fr-FR"/>
        </w:rPr>
        <w:t>poursuivra</w:t>
      </w:r>
      <w:r w:rsidRPr="00CC6FD4">
        <w:rPr>
          <w:lang w:val="fr-FR"/>
        </w:rPr>
        <w:t xml:space="preserve"> sa réflexion sur cette question </w:t>
      </w:r>
      <w:r>
        <w:rPr>
          <w:lang w:val="fr-FR"/>
        </w:rPr>
        <w:t>en</w:t>
      </w:r>
      <w:r w:rsidR="00E4465E">
        <w:rPr>
          <w:lang w:val="fr-FR"/>
        </w:rPr>
        <w:t xml:space="preserve"> </w:t>
      </w:r>
      <w:r>
        <w:rPr>
          <w:lang w:val="fr-FR"/>
        </w:rPr>
        <w:t>vue de</w:t>
      </w:r>
      <w:r w:rsidRPr="00CC6FD4">
        <w:rPr>
          <w:lang w:val="fr-FR"/>
        </w:rPr>
        <w:t xml:space="preserve"> la prochaine session du GRVA.</w:t>
      </w:r>
    </w:p>
    <w:p w14:paraId="72701B88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3</w:t>
      </w:r>
      <w:r w:rsidRPr="00CC6FD4">
        <w:rPr>
          <w:lang w:val="fr-FR"/>
        </w:rPr>
        <w:t>.2.3</w:t>
      </w:r>
      <w:r w:rsidRPr="00CC6FD4">
        <w:rPr>
          <w:lang w:val="fr-FR"/>
        </w:rPr>
        <w:tab/>
      </w:r>
      <w:r w:rsidRPr="00CC6FD4">
        <w:rPr>
          <w:b/>
          <w:lang w:val="fr-FR"/>
        </w:rPr>
        <w:t>Mises à jour logicielles concernant des véhicules dont la production est « définitivement arrêtée »</w:t>
      </w:r>
      <w:r w:rsidRPr="002963BD">
        <w:rPr>
          <w:lang w:val="fr-FR"/>
        </w:rPr>
        <w:t xml:space="preserve"> </w:t>
      </w:r>
      <w:r w:rsidR="002963BD">
        <w:rPr>
          <w:lang w:val="fr-FR"/>
        </w:rPr>
        <w:t>−</w:t>
      </w:r>
      <w:r w:rsidRPr="00CC6FD4">
        <w:rPr>
          <w:lang w:val="fr-FR"/>
        </w:rPr>
        <w:t xml:space="preserve"> Une autre question qui s</w:t>
      </w:r>
      <w:r>
        <w:rPr>
          <w:lang w:val="fr-FR"/>
        </w:rPr>
        <w:t>’</w:t>
      </w:r>
      <w:r w:rsidRPr="00CC6FD4">
        <w:rPr>
          <w:lang w:val="fr-FR"/>
        </w:rPr>
        <w:t>est posée est celle des mises à jour logicielles concernant des types de véhicules dont la production est « définitivement arrêtée », l</w:t>
      </w:r>
      <w:r>
        <w:rPr>
          <w:lang w:val="fr-FR"/>
        </w:rPr>
        <w:t>’</w:t>
      </w:r>
      <w:r w:rsidRPr="00CC6FD4">
        <w:rPr>
          <w:lang w:val="fr-FR"/>
        </w:rPr>
        <w:t>Accord de 1958 étant muet à ce sujet.</w:t>
      </w:r>
      <w:r w:rsidR="00E4465E">
        <w:rPr>
          <w:lang w:val="fr-FR"/>
        </w:rPr>
        <w:t xml:space="preserve"> </w:t>
      </w:r>
      <w:r>
        <w:rPr>
          <w:lang w:val="fr-FR"/>
        </w:rPr>
        <w:t>L’</w:t>
      </w:r>
      <w:r w:rsidRPr="00BD2B7E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a élaboré des orientations à l</w:t>
      </w:r>
      <w:r>
        <w:rPr>
          <w:lang w:val="fr-FR"/>
        </w:rPr>
        <w:t>’</w:t>
      </w:r>
      <w:r w:rsidRPr="00CC6FD4">
        <w:rPr>
          <w:lang w:val="fr-FR"/>
        </w:rPr>
        <w:t>usage des organismes nationaux et régionaux concernant ces mises à jour.</w:t>
      </w:r>
    </w:p>
    <w:p w14:paraId="51DD18DB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3</w:t>
      </w:r>
      <w:r w:rsidRPr="00CC6FD4">
        <w:rPr>
          <w:lang w:val="fr-FR"/>
        </w:rPr>
        <w:t>.2.4</w:t>
      </w:r>
      <w:r w:rsidRPr="00CC6FD4">
        <w:rPr>
          <w:lang w:val="fr-FR"/>
        </w:rPr>
        <w:tab/>
      </w:r>
      <w:r w:rsidRPr="00CC6FD4">
        <w:rPr>
          <w:b/>
          <w:bCs/>
          <w:lang w:val="fr-FR"/>
        </w:rPr>
        <w:t>Critères d</w:t>
      </w:r>
      <w:r>
        <w:rPr>
          <w:b/>
          <w:bCs/>
          <w:lang w:val="fr-FR"/>
        </w:rPr>
        <w:t>’</w:t>
      </w:r>
      <w:r w:rsidRPr="00CC6FD4">
        <w:rPr>
          <w:b/>
          <w:bCs/>
          <w:lang w:val="fr-FR"/>
        </w:rPr>
        <w:t>évaluation du respect des prescriptions</w:t>
      </w:r>
      <w:r w:rsidRPr="00CC6FD4">
        <w:rPr>
          <w:lang w:val="fr-FR"/>
        </w:rPr>
        <w:t xml:space="preserve"> </w:t>
      </w:r>
      <w:r w:rsidR="002963BD">
        <w:rPr>
          <w:lang w:val="fr-FR"/>
        </w:rPr>
        <w:t>−</w:t>
      </w:r>
      <w:r w:rsidRPr="00CC6FD4">
        <w:rPr>
          <w:lang w:val="fr-FR"/>
        </w:rPr>
        <w:t xml:space="preserve"> Les règlements définissent les processus qui devraient être en place et imposent aux constructeurs de démontrer que ces processus sont bel et bien en place, qu</w:t>
      </w:r>
      <w:r>
        <w:rPr>
          <w:lang w:val="fr-FR"/>
        </w:rPr>
        <w:t>’</w:t>
      </w:r>
      <w:r w:rsidRPr="00CC6FD4">
        <w:rPr>
          <w:lang w:val="fr-FR"/>
        </w:rPr>
        <w:t>ils fonctionnent et qu</w:t>
      </w:r>
      <w:r>
        <w:rPr>
          <w:lang w:val="fr-FR"/>
        </w:rPr>
        <w:t>’</w:t>
      </w:r>
      <w:r w:rsidRPr="00CC6FD4">
        <w:rPr>
          <w:lang w:val="fr-FR"/>
        </w:rPr>
        <w:t>ils sont appliqués aux différents types de véhicules. Cela crée les conditions de la réalisation d</w:t>
      </w:r>
      <w:r>
        <w:rPr>
          <w:lang w:val="fr-FR"/>
        </w:rPr>
        <w:t>’</w:t>
      </w:r>
      <w:r w:rsidRPr="00CC6FD4">
        <w:rPr>
          <w:lang w:val="fr-FR"/>
        </w:rPr>
        <w:t>une évaluation et d</w:t>
      </w:r>
      <w:r>
        <w:rPr>
          <w:lang w:val="fr-FR"/>
        </w:rPr>
        <w:t>’</w:t>
      </w:r>
      <w:r w:rsidRPr="00CC6FD4">
        <w:rPr>
          <w:lang w:val="fr-FR"/>
        </w:rPr>
        <w:t>un audit fondés sur des observations factuelles, visant à vérifier l</w:t>
      </w:r>
      <w:r>
        <w:rPr>
          <w:lang w:val="fr-FR"/>
        </w:rPr>
        <w:t>’</w:t>
      </w:r>
      <w:r w:rsidRPr="00CC6FD4">
        <w:rPr>
          <w:lang w:val="fr-FR"/>
        </w:rPr>
        <w:t>application des prescriptions. Les documents d</w:t>
      </w:r>
      <w:r>
        <w:rPr>
          <w:lang w:val="fr-FR"/>
        </w:rPr>
        <w:t>’</w:t>
      </w:r>
      <w:r w:rsidRPr="00CC6FD4">
        <w:rPr>
          <w:lang w:val="fr-FR"/>
        </w:rPr>
        <w:t xml:space="preserve">interprétation donnent des indications sur ce qui est nécessaire pour démontrer le respect de certaines prescriptions. Des prescriptions et spécifications supplémentaires pourraient aussi être </w:t>
      </w:r>
      <w:r>
        <w:rPr>
          <w:lang w:val="fr-FR"/>
        </w:rPr>
        <w:t>insérées</w:t>
      </w:r>
      <w:r w:rsidRPr="00CC6FD4">
        <w:rPr>
          <w:lang w:val="fr-FR"/>
        </w:rPr>
        <w:t xml:space="preserve"> dans les règlements afin d</w:t>
      </w:r>
      <w:r>
        <w:rPr>
          <w:lang w:val="fr-FR"/>
        </w:rPr>
        <w:t>’</w:t>
      </w:r>
      <w:r w:rsidRPr="00CC6FD4">
        <w:rPr>
          <w:lang w:val="fr-FR"/>
        </w:rPr>
        <w:t>en renforcer la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sécurité </w:t>
      </w:r>
      <w:r w:rsidRPr="00CC6FD4">
        <w:rPr>
          <w:lang w:val="fr-FR"/>
        </w:rPr>
        <w:t>juridique. Ces travaux seront achevés à la réunion de janvier, qui précédera la prochaine session du GRVA.</w:t>
      </w:r>
    </w:p>
    <w:p w14:paraId="2A0F6B7E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3</w:t>
      </w:r>
      <w:r w:rsidRPr="00CC6FD4">
        <w:rPr>
          <w:lang w:val="fr-FR"/>
        </w:rPr>
        <w:t>.2.5</w:t>
      </w:r>
      <w:r w:rsidRPr="00CC6FD4">
        <w:rPr>
          <w:lang w:val="fr-FR"/>
        </w:rPr>
        <w:tab/>
      </w:r>
      <w:r w:rsidRPr="00CC6FD4">
        <w:rPr>
          <w:b/>
          <w:bCs/>
          <w:lang w:val="fr-FR"/>
        </w:rPr>
        <w:t>Méthode de gestion du risque</w:t>
      </w:r>
      <w:r w:rsidRPr="00CC6FD4">
        <w:rPr>
          <w:lang w:val="fr-FR"/>
        </w:rPr>
        <w:t xml:space="preserve"> </w:t>
      </w:r>
      <w:r w:rsidR="002963BD">
        <w:rPr>
          <w:lang w:val="fr-FR"/>
        </w:rPr>
        <w:t>−</w:t>
      </w:r>
      <w:r w:rsidRPr="00CC6FD4">
        <w:rPr>
          <w:lang w:val="fr-FR"/>
        </w:rPr>
        <w:t xml:space="preserve"> </w:t>
      </w:r>
      <w:r w:rsidRPr="002963BD">
        <w:rPr>
          <w:lang w:val="fr-FR"/>
        </w:rPr>
        <w:t>Il</w:t>
      </w:r>
      <w:r w:rsidRPr="00CC6FD4">
        <w:rPr>
          <w:lang w:val="fr-FR"/>
        </w:rPr>
        <w:t xml:space="preserve"> a été relevé que la méthode adoptée pour garantir la cybersécurité consiste à assurer la gestion du risque à la fois en</w:t>
      </w:r>
      <w:r>
        <w:rPr>
          <w:lang w:val="fr-FR"/>
        </w:rPr>
        <w:t xml:space="preserve"> faisant concevoir</w:t>
      </w:r>
      <w:r w:rsidRPr="00CC6FD4">
        <w:rPr>
          <w:lang w:val="fr-FR"/>
        </w:rPr>
        <w:t xml:space="preserve"> les véhicules d</w:t>
      </w:r>
      <w:r>
        <w:rPr>
          <w:lang w:val="fr-FR"/>
        </w:rPr>
        <w:t>’</w:t>
      </w:r>
      <w:r w:rsidRPr="00CC6FD4">
        <w:rPr>
          <w:lang w:val="fr-FR"/>
        </w:rPr>
        <w:t>une certaine manière et en imposant aux constructeurs de disposer d</w:t>
      </w:r>
      <w:r>
        <w:rPr>
          <w:lang w:val="fr-FR"/>
        </w:rPr>
        <w:t>’</w:t>
      </w:r>
      <w:r w:rsidRPr="00CC6FD4">
        <w:rPr>
          <w:lang w:val="fr-FR"/>
        </w:rPr>
        <w:t>un plan d</w:t>
      </w:r>
      <w:r>
        <w:rPr>
          <w:lang w:val="fr-FR"/>
        </w:rPr>
        <w:t>’</w:t>
      </w:r>
      <w:r w:rsidRPr="00CC6FD4">
        <w:rPr>
          <w:lang w:val="fr-FR"/>
        </w:rPr>
        <w:t>action dans l</w:t>
      </w:r>
      <w:r>
        <w:rPr>
          <w:lang w:val="fr-FR"/>
        </w:rPr>
        <w:t>’</w:t>
      </w:r>
      <w:r w:rsidRPr="00CC6FD4">
        <w:rPr>
          <w:lang w:val="fr-FR"/>
        </w:rPr>
        <w:t>éventualité où des mesures complémentaires devraient être prises. Cette méthode est conforme aux meilleures pratiques et pourrait être préconisée pour l</w:t>
      </w:r>
      <w:r>
        <w:rPr>
          <w:lang w:val="fr-FR"/>
        </w:rPr>
        <w:t>’</w:t>
      </w:r>
      <w:r w:rsidRPr="00CC6FD4">
        <w:rPr>
          <w:lang w:val="fr-FR"/>
        </w:rPr>
        <w:t>initiative sectorielle sur la cybersécurité du Groupe de travail des politiques de coopération en matière de réglementation et de normalisation (WP.6).</w:t>
      </w:r>
    </w:p>
    <w:p w14:paraId="2C9B83C3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3</w:t>
      </w:r>
      <w:r w:rsidRPr="00CC6FD4">
        <w:rPr>
          <w:lang w:val="fr-FR"/>
        </w:rPr>
        <w:t>.2.6</w:t>
      </w:r>
      <w:r w:rsidRPr="00CC6FD4">
        <w:rPr>
          <w:lang w:val="fr-FR"/>
        </w:rPr>
        <w:tab/>
      </w:r>
      <w:r w:rsidRPr="00CC6FD4">
        <w:rPr>
          <w:b/>
          <w:lang w:val="fr-FR"/>
        </w:rPr>
        <w:t>Modalités d</w:t>
      </w:r>
      <w:r>
        <w:rPr>
          <w:b/>
          <w:lang w:val="fr-FR"/>
        </w:rPr>
        <w:t>’</w:t>
      </w:r>
      <w:r w:rsidRPr="00CC6FD4">
        <w:rPr>
          <w:b/>
          <w:lang w:val="fr-FR"/>
        </w:rPr>
        <w:t>harmonisation des évaluations réalisées par les différents services techniques</w:t>
      </w:r>
      <w:r w:rsidRPr="002963BD">
        <w:rPr>
          <w:lang w:val="fr-FR"/>
        </w:rPr>
        <w:t xml:space="preserve"> </w:t>
      </w:r>
      <w:r w:rsidR="002963BD">
        <w:rPr>
          <w:lang w:val="fr-FR"/>
        </w:rPr>
        <w:t>−</w:t>
      </w:r>
      <w:r w:rsidRPr="00CC6FD4">
        <w:rPr>
          <w:lang w:val="fr-FR"/>
        </w:rPr>
        <w:t xml:space="preserve"> Les essais interlaboratoires ont montré que les différents services techniques aboutiraient aux mêmes conclusions</w:t>
      </w:r>
      <w:r w:rsidR="00E4465E">
        <w:rPr>
          <w:lang w:val="fr-FR"/>
        </w:rPr>
        <w:t xml:space="preserve"> </w:t>
      </w:r>
      <w:r>
        <w:rPr>
          <w:lang w:val="fr-FR"/>
        </w:rPr>
        <w:t xml:space="preserve">sur la base </w:t>
      </w:r>
      <w:r w:rsidRPr="00CC6FD4">
        <w:rPr>
          <w:lang w:val="fr-FR"/>
        </w:rPr>
        <w:t>de la même documentation. Plusieurs outils supplémentaires d</w:t>
      </w:r>
      <w:r>
        <w:rPr>
          <w:lang w:val="fr-FR"/>
        </w:rPr>
        <w:t>’</w:t>
      </w:r>
      <w:r w:rsidRPr="00CC6FD4">
        <w:rPr>
          <w:lang w:val="fr-FR"/>
        </w:rPr>
        <w:t>aide à l</w:t>
      </w:r>
      <w:r>
        <w:rPr>
          <w:lang w:val="fr-FR"/>
        </w:rPr>
        <w:t>’</w:t>
      </w:r>
      <w:r w:rsidRPr="00CC6FD4">
        <w:rPr>
          <w:lang w:val="fr-FR"/>
        </w:rPr>
        <w:t>harmonisation sont en cours de mise au point via l</w:t>
      </w:r>
      <w:r>
        <w:rPr>
          <w:lang w:val="fr-FR"/>
        </w:rPr>
        <w:t>’élaboration de</w:t>
      </w:r>
      <w:r w:rsidRPr="00CC6FD4">
        <w:rPr>
          <w:lang w:val="fr-FR"/>
        </w:rPr>
        <w:t xml:space="preserve"> documents d</w:t>
      </w:r>
      <w:r>
        <w:rPr>
          <w:lang w:val="fr-FR"/>
        </w:rPr>
        <w:t>’</w:t>
      </w:r>
      <w:r w:rsidRPr="00CC6FD4">
        <w:rPr>
          <w:lang w:val="fr-FR"/>
        </w:rPr>
        <w:t>interprétation et de la norme ISO/SAE 21434. Ces travaux se poursuivront</w:t>
      </w:r>
      <w:r w:rsidR="00E4465E">
        <w:rPr>
          <w:lang w:val="fr-FR"/>
        </w:rPr>
        <w:t xml:space="preserve"> </w:t>
      </w:r>
      <w:r>
        <w:rPr>
          <w:lang w:val="fr-FR"/>
        </w:rPr>
        <w:t>lors de</w:t>
      </w:r>
      <w:r w:rsidRPr="00CC6FD4">
        <w:rPr>
          <w:lang w:val="fr-FR"/>
        </w:rPr>
        <w:t xml:space="preserve"> la réunion de janvier.</w:t>
      </w:r>
    </w:p>
    <w:p w14:paraId="651A9226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3</w:t>
      </w:r>
      <w:r w:rsidRPr="00CC6FD4">
        <w:rPr>
          <w:lang w:val="fr-FR"/>
        </w:rPr>
        <w:t>.2.7</w:t>
      </w:r>
      <w:r w:rsidRPr="00CC6FD4">
        <w:rPr>
          <w:lang w:val="fr-FR"/>
        </w:rPr>
        <w:tab/>
      </w:r>
      <w:r w:rsidRPr="00CC6FD4">
        <w:rPr>
          <w:b/>
          <w:bCs/>
          <w:lang w:val="fr-FR"/>
        </w:rPr>
        <w:t>Type de véhicule</w:t>
      </w:r>
      <w:r w:rsidRPr="00CC6FD4">
        <w:rPr>
          <w:lang w:val="fr-FR"/>
        </w:rPr>
        <w:t xml:space="preserve"> </w:t>
      </w:r>
      <w:r w:rsidR="002963BD">
        <w:rPr>
          <w:lang w:val="fr-FR"/>
        </w:rPr>
        <w:t>−</w:t>
      </w:r>
      <w:r w:rsidRPr="00CC6FD4">
        <w:rPr>
          <w:lang w:val="fr-FR"/>
        </w:rPr>
        <w:t xml:space="preserve"> La question a aussi été posée de savoir à quels véhicules les règlements devraient s</w:t>
      </w:r>
      <w:r>
        <w:rPr>
          <w:lang w:val="fr-FR"/>
        </w:rPr>
        <w:t>’</w:t>
      </w:r>
      <w:r w:rsidRPr="00CC6FD4">
        <w:rPr>
          <w:lang w:val="fr-FR"/>
        </w:rPr>
        <w:t>appliquer dans un premier temps. Cette question a été examinée et tranchée par le GRVA.</w:t>
      </w:r>
    </w:p>
    <w:p w14:paraId="4765B27E" w14:textId="77777777" w:rsidR="00675CD7" w:rsidRPr="00CC6FD4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3</w:t>
      </w:r>
      <w:r w:rsidRPr="00CC6FD4">
        <w:rPr>
          <w:lang w:val="fr-FR"/>
        </w:rPr>
        <w:t>.2.8</w:t>
      </w:r>
      <w:r w:rsidRPr="00CC6FD4">
        <w:rPr>
          <w:lang w:val="fr-FR"/>
        </w:rPr>
        <w:tab/>
      </w:r>
      <w:r w:rsidRPr="00CC6FD4">
        <w:rPr>
          <w:b/>
          <w:lang w:val="fr-FR"/>
        </w:rPr>
        <w:t>Méthode alternative d</w:t>
      </w:r>
      <w:r>
        <w:rPr>
          <w:b/>
          <w:lang w:val="fr-FR"/>
        </w:rPr>
        <w:t>’</w:t>
      </w:r>
      <w:r w:rsidRPr="00CC6FD4">
        <w:rPr>
          <w:b/>
          <w:lang w:val="fr-FR"/>
        </w:rPr>
        <w:t xml:space="preserve">identification du logiciel installé sur un véhicule </w:t>
      </w:r>
      <w:r w:rsidR="002963BD">
        <w:rPr>
          <w:lang w:val="fr-FR"/>
        </w:rPr>
        <w:t>− </w:t>
      </w:r>
      <w:r w:rsidRPr="00CC6FD4">
        <w:rPr>
          <w:lang w:val="fr-FR"/>
        </w:rPr>
        <w:t>Une méthode d</w:t>
      </w:r>
      <w:r>
        <w:rPr>
          <w:lang w:val="fr-FR"/>
        </w:rPr>
        <w:t>’</w:t>
      </w:r>
      <w:r w:rsidRPr="00CC6FD4">
        <w:rPr>
          <w:lang w:val="fr-FR"/>
        </w:rPr>
        <w:t xml:space="preserve">application du concept de </w:t>
      </w:r>
      <w:r w:rsidRPr="00CC6FD4">
        <w:rPr>
          <w:i/>
          <w:lang w:val="fr-FR"/>
        </w:rPr>
        <w:t>numéro d</w:t>
      </w:r>
      <w:r>
        <w:rPr>
          <w:i/>
          <w:lang w:val="fr-FR"/>
        </w:rPr>
        <w:t>’</w:t>
      </w:r>
      <w:r w:rsidRPr="00CC6FD4">
        <w:rPr>
          <w:i/>
          <w:lang w:val="fr-FR"/>
        </w:rPr>
        <w:t xml:space="preserve">identification du </w:t>
      </w:r>
      <w:r w:rsidRPr="00CC6FD4">
        <w:rPr>
          <w:i/>
          <w:lang w:val="fr-FR"/>
        </w:rPr>
        <w:lastRenderedPageBreak/>
        <w:t>logiciel (code RXSWIN) propre au Règlement ONU n</w:t>
      </w:r>
      <w:r w:rsidRPr="00CC6FD4">
        <w:rPr>
          <w:i/>
          <w:vertAlign w:val="superscript"/>
          <w:lang w:val="fr-FR"/>
        </w:rPr>
        <w:t>o</w:t>
      </w:r>
      <w:r w:rsidRPr="00CC6FD4">
        <w:rPr>
          <w:i/>
          <w:lang w:val="fr-FR"/>
        </w:rPr>
        <w:t> X</w:t>
      </w:r>
      <w:r w:rsidRPr="00CC6FD4">
        <w:rPr>
          <w:lang w:val="fr-FR"/>
        </w:rPr>
        <w:t xml:space="preserve"> a été adoptée, à titre d</w:t>
      </w:r>
      <w:r>
        <w:rPr>
          <w:lang w:val="fr-FR"/>
        </w:rPr>
        <w:t>’</w:t>
      </w:r>
      <w:r w:rsidRPr="00CC6FD4">
        <w:rPr>
          <w:lang w:val="fr-FR"/>
        </w:rPr>
        <w:t>alternative à la proposition</w:t>
      </w:r>
      <w:r>
        <w:rPr>
          <w:lang w:val="fr-FR"/>
        </w:rPr>
        <w:t xml:space="preserve"> déjà formulée</w:t>
      </w:r>
      <w:r w:rsidRPr="00CC6FD4">
        <w:rPr>
          <w:lang w:val="fr-FR"/>
        </w:rPr>
        <w:t>. Cette méthode offre davantage de souplesse en matière d</w:t>
      </w:r>
      <w:r>
        <w:rPr>
          <w:lang w:val="fr-FR"/>
        </w:rPr>
        <w:t>’</w:t>
      </w:r>
      <w:r w:rsidRPr="00CC6FD4">
        <w:rPr>
          <w:lang w:val="fr-FR"/>
        </w:rPr>
        <w:t>identification du logiciel installé sur un véhicule en fonction du règlement applicable.</w:t>
      </w:r>
      <w:r w:rsidR="00E4465E">
        <w:rPr>
          <w:lang w:val="fr-FR"/>
        </w:rPr>
        <w:t xml:space="preserve"> </w:t>
      </w:r>
      <w:r w:rsidRPr="00270420">
        <w:rPr>
          <w:lang w:val="fr-FR"/>
        </w:rPr>
        <w:t>L</w:t>
      </w:r>
      <w:r>
        <w:rPr>
          <w:lang w:val="fr-FR"/>
        </w:rPr>
        <w:t>’</w:t>
      </w:r>
      <w:r w:rsidRPr="00270420">
        <w:rPr>
          <w:lang w:val="fr-FR"/>
        </w:rPr>
        <w:t xml:space="preserve">équipe </w:t>
      </w:r>
      <w:r w:rsidRPr="00CC6FD4">
        <w:rPr>
          <w:lang w:val="fr-FR"/>
        </w:rPr>
        <w:t>spécial</w:t>
      </w:r>
      <w:r>
        <w:rPr>
          <w:lang w:val="fr-FR"/>
        </w:rPr>
        <w:t>e</w:t>
      </w:r>
      <w:r w:rsidRPr="00CC6FD4">
        <w:rPr>
          <w:lang w:val="fr-FR"/>
        </w:rPr>
        <w:t xml:space="preserve"> l</w:t>
      </w:r>
      <w:r>
        <w:rPr>
          <w:lang w:val="fr-FR"/>
        </w:rPr>
        <w:t>’</w:t>
      </w:r>
      <w:r w:rsidRPr="00CC6FD4">
        <w:rPr>
          <w:lang w:val="fr-FR"/>
        </w:rPr>
        <w:t xml:space="preserve">adoptera formellement </w:t>
      </w:r>
      <w:r>
        <w:rPr>
          <w:lang w:val="fr-FR"/>
        </w:rPr>
        <w:t xml:space="preserve">à sa prochaine réunion </w:t>
      </w:r>
      <w:r w:rsidR="00A62BA2">
        <w:rPr>
          <w:lang w:val="fr-FR"/>
        </w:rPr>
        <w:t xml:space="preserve">en </w:t>
      </w:r>
      <w:r w:rsidRPr="00CC6FD4">
        <w:rPr>
          <w:lang w:val="fr-FR"/>
        </w:rPr>
        <w:t>novembre</w:t>
      </w:r>
      <w:r w:rsidR="00A62BA2">
        <w:rPr>
          <w:lang w:val="fr-FR"/>
        </w:rPr>
        <w:t>.</w:t>
      </w:r>
    </w:p>
    <w:p w14:paraId="237D5AD3" w14:textId="77777777" w:rsidR="00675CD7" w:rsidRPr="00CC6FD4" w:rsidRDefault="002963BD" w:rsidP="002963BD">
      <w:pPr>
        <w:pStyle w:val="H1G"/>
        <w:rPr>
          <w:lang w:val="fr-FR"/>
        </w:rPr>
      </w:pPr>
      <w:r>
        <w:rPr>
          <w:lang w:val="fr-FR"/>
        </w:rPr>
        <w:tab/>
      </w:r>
      <w:r w:rsidR="00675CD7">
        <w:rPr>
          <w:lang w:val="fr-FR"/>
        </w:rPr>
        <w:t>3</w:t>
      </w:r>
      <w:r w:rsidR="00675CD7" w:rsidRPr="00CC6FD4">
        <w:rPr>
          <w:lang w:val="fr-FR"/>
        </w:rPr>
        <w:t>.3</w:t>
      </w:r>
      <w:r w:rsidR="00675CD7" w:rsidRPr="00CC6FD4">
        <w:rPr>
          <w:lang w:val="fr-FR"/>
        </w:rPr>
        <w:tab/>
        <w:t>Bilan de la phase d</w:t>
      </w:r>
      <w:r w:rsidR="00675CD7">
        <w:rPr>
          <w:lang w:val="fr-FR"/>
        </w:rPr>
        <w:t>’</w:t>
      </w:r>
      <w:r w:rsidR="00675CD7" w:rsidRPr="00CC6FD4">
        <w:rPr>
          <w:lang w:val="fr-FR"/>
        </w:rPr>
        <w:t>essai</w:t>
      </w:r>
    </w:p>
    <w:p w14:paraId="1B121C55" w14:textId="77777777" w:rsidR="00675CD7" w:rsidRDefault="00675CD7" w:rsidP="00E4465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3</w:t>
      </w:r>
      <w:r w:rsidRPr="00CC6FD4">
        <w:rPr>
          <w:lang w:val="fr-FR"/>
        </w:rPr>
        <w:t>.3.1</w:t>
      </w:r>
      <w:r w:rsidRPr="00CC6FD4">
        <w:rPr>
          <w:lang w:val="fr-FR"/>
        </w:rPr>
        <w:tab/>
      </w:r>
      <w:r>
        <w:rPr>
          <w:lang w:val="fr-FR"/>
        </w:rPr>
        <w:t>Le travail accompli</w:t>
      </w:r>
      <w:r w:rsidRPr="00CC6FD4">
        <w:rPr>
          <w:lang w:val="fr-FR"/>
        </w:rPr>
        <w:t xml:space="preserve"> dans le cadre de la phase d</w:t>
      </w:r>
      <w:r>
        <w:rPr>
          <w:lang w:val="fr-FR"/>
        </w:rPr>
        <w:t>’</w:t>
      </w:r>
      <w:r w:rsidRPr="00CC6FD4">
        <w:rPr>
          <w:lang w:val="fr-FR"/>
        </w:rPr>
        <w:t xml:space="preserve">essai </w:t>
      </w:r>
      <w:r>
        <w:rPr>
          <w:lang w:val="fr-FR"/>
        </w:rPr>
        <w:t>a</w:t>
      </w:r>
      <w:r w:rsidRPr="00CC6FD4">
        <w:rPr>
          <w:lang w:val="fr-FR"/>
        </w:rPr>
        <w:t xml:space="preserve"> permis d</w:t>
      </w:r>
      <w:r>
        <w:rPr>
          <w:lang w:val="fr-FR"/>
        </w:rPr>
        <w:t>’</w:t>
      </w:r>
      <w:r w:rsidRPr="00CC6FD4">
        <w:rPr>
          <w:lang w:val="fr-FR"/>
        </w:rPr>
        <w:t>améliorer les projets de règlements et</w:t>
      </w:r>
      <w:r>
        <w:rPr>
          <w:lang w:val="fr-FR"/>
        </w:rPr>
        <w:t xml:space="preserve"> de constater qu’ils</w:t>
      </w:r>
      <w:r w:rsidRPr="00CC6FD4">
        <w:rPr>
          <w:lang w:val="fr-FR"/>
        </w:rPr>
        <w:t xml:space="preserve"> </w:t>
      </w:r>
      <w:r>
        <w:rPr>
          <w:lang w:val="fr-FR"/>
        </w:rPr>
        <w:t>fonctionn</w:t>
      </w:r>
      <w:r w:rsidRPr="00CC6FD4">
        <w:rPr>
          <w:lang w:val="fr-FR"/>
        </w:rPr>
        <w:t>aient comme prévu. Les modifications</w:t>
      </w:r>
      <w:r>
        <w:rPr>
          <w:lang w:val="fr-FR"/>
        </w:rPr>
        <w:t xml:space="preserve"> apportées à ces projets </w:t>
      </w:r>
      <w:r w:rsidRPr="00CC6FD4">
        <w:rPr>
          <w:lang w:val="fr-FR"/>
        </w:rPr>
        <w:t xml:space="preserve">et </w:t>
      </w:r>
      <w:r>
        <w:rPr>
          <w:lang w:val="fr-FR"/>
        </w:rPr>
        <w:t>les travaux menés</w:t>
      </w:r>
      <w:r w:rsidRPr="00CC6FD4">
        <w:rPr>
          <w:lang w:val="fr-FR"/>
        </w:rPr>
        <w:t xml:space="preserve"> sur le</w:t>
      </w:r>
      <w:r>
        <w:rPr>
          <w:lang w:val="fr-FR"/>
        </w:rPr>
        <w:t>s</w:t>
      </w:r>
      <w:r w:rsidRPr="00CC6FD4">
        <w:rPr>
          <w:lang w:val="fr-FR"/>
        </w:rPr>
        <w:t xml:space="preserve"> documents d</w:t>
      </w:r>
      <w:r>
        <w:rPr>
          <w:lang w:val="fr-FR"/>
        </w:rPr>
        <w:t>’</w:t>
      </w:r>
      <w:r w:rsidRPr="00CC6FD4">
        <w:rPr>
          <w:lang w:val="fr-FR"/>
        </w:rPr>
        <w:t>interprétation permettront pour leur part de répondre aux préoccupations</w:t>
      </w:r>
      <w:r>
        <w:rPr>
          <w:lang w:val="fr-FR"/>
        </w:rPr>
        <w:t xml:space="preserve"> qu’ont suscitées</w:t>
      </w:r>
      <w:r w:rsidRPr="00CC6FD4">
        <w:rPr>
          <w:lang w:val="fr-FR"/>
        </w:rPr>
        <w:t xml:space="preserve"> durant la phase d</w:t>
      </w:r>
      <w:r>
        <w:rPr>
          <w:lang w:val="fr-FR"/>
        </w:rPr>
        <w:t>’</w:t>
      </w:r>
      <w:r w:rsidRPr="00CC6FD4">
        <w:rPr>
          <w:lang w:val="fr-FR"/>
        </w:rPr>
        <w:t>essai certains aspects de la mise en œuvre des règlements.</w:t>
      </w:r>
    </w:p>
    <w:p w14:paraId="20D5ADE4" w14:textId="77777777" w:rsidR="002963BD" w:rsidRPr="001D1E1F" w:rsidRDefault="001D1E1F" w:rsidP="001D1E1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963BD" w:rsidRPr="001D1E1F" w:rsidSect="008F57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6EE1" w14:textId="77777777" w:rsidR="003D577C" w:rsidRDefault="003D577C" w:rsidP="00F95C08">
      <w:pPr>
        <w:spacing w:line="240" w:lineRule="auto"/>
      </w:pPr>
    </w:p>
  </w:endnote>
  <w:endnote w:type="continuationSeparator" w:id="0">
    <w:p w14:paraId="76BB3F50" w14:textId="77777777" w:rsidR="003D577C" w:rsidRPr="00AC3823" w:rsidRDefault="003D577C" w:rsidP="00AC3823">
      <w:pPr>
        <w:pStyle w:val="Pieddepage"/>
      </w:pPr>
    </w:p>
  </w:endnote>
  <w:endnote w:type="continuationNotice" w:id="1">
    <w:p w14:paraId="1ED07302" w14:textId="77777777" w:rsidR="003D577C" w:rsidRDefault="003D57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D921" w14:textId="77777777" w:rsidR="003D577C" w:rsidRPr="008F57A9" w:rsidRDefault="003D577C" w:rsidP="008F57A9">
    <w:pPr>
      <w:pStyle w:val="Pieddepage"/>
      <w:tabs>
        <w:tab w:val="right" w:pos="9638"/>
      </w:tabs>
    </w:pPr>
    <w:r w:rsidRPr="008F57A9">
      <w:rPr>
        <w:b/>
        <w:sz w:val="18"/>
      </w:rPr>
      <w:fldChar w:fldCharType="begin"/>
    </w:r>
    <w:r w:rsidRPr="008F57A9">
      <w:rPr>
        <w:b/>
        <w:sz w:val="18"/>
      </w:rPr>
      <w:instrText xml:space="preserve"> PAGE  \* MERGEFORMAT </w:instrText>
    </w:r>
    <w:r w:rsidRPr="008F57A9">
      <w:rPr>
        <w:b/>
        <w:sz w:val="18"/>
      </w:rPr>
      <w:fldChar w:fldCharType="separate"/>
    </w:r>
    <w:r w:rsidRPr="008F57A9">
      <w:rPr>
        <w:b/>
        <w:noProof/>
        <w:sz w:val="18"/>
      </w:rPr>
      <w:t>2</w:t>
    </w:r>
    <w:r w:rsidRPr="008F57A9">
      <w:rPr>
        <w:b/>
        <w:sz w:val="18"/>
      </w:rPr>
      <w:fldChar w:fldCharType="end"/>
    </w:r>
    <w:r>
      <w:rPr>
        <w:b/>
        <w:sz w:val="18"/>
      </w:rPr>
      <w:tab/>
    </w:r>
    <w:r>
      <w:t>GE.19-20569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B29C" w14:textId="77777777" w:rsidR="003D577C" w:rsidRPr="008F57A9" w:rsidRDefault="003D577C" w:rsidP="008F57A9">
    <w:pPr>
      <w:pStyle w:val="Pieddepage"/>
      <w:tabs>
        <w:tab w:val="right" w:pos="9638"/>
      </w:tabs>
      <w:rPr>
        <w:b/>
        <w:sz w:val="18"/>
      </w:rPr>
    </w:pPr>
    <w:r>
      <w:t>GE.19-20569</w:t>
    </w:r>
    <w:r>
      <w:tab/>
    </w:r>
    <w:r w:rsidRPr="008F57A9">
      <w:rPr>
        <w:b/>
        <w:sz w:val="18"/>
      </w:rPr>
      <w:fldChar w:fldCharType="begin"/>
    </w:r>
    <w:r w:rsidRPr="008F57A9">
      <w:rPr>
        <w:b/>
        <w:sz w:val="18"/>
      </w:rPr>
      <w:instrText xml:space="preserve"> PAGE  \* MERGEFORMAT </w:instrText>
    </w:r>
    <w:r w:rsidRPr="008F57A9">
      <w:rPr>
        <w:b/>
        <w:sz w:val="18"/>
      </w:rPr>
      <w:fldChar w:fldCharType="separate"/>
    </w:r>
    <w:r w:rsidRPr="008F57A9">
      <w:rPr>
        <w:b/>
        <w:noProof/>
        <w:sz w:val="18"/>
      </w:rPr>
      <w:t>3</w:t>
    </w:r>
    <w:r w:rsidRPr="008F57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684F" w14:textId="77777777" w:rsidR="003D577C" w:rsidRPr="008F57A9" w:rsidRDefault="003D577C" w:rsidP="008F57A9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54D27CA" wp14:editId="7BFC141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19-20569  (F)    111219    1</w:t>
    </w:r>
    <w:r w:rsidR="00692174">
      <w:rPr>
        <w:sz w:val="20"/>
      </w:rPr>
      <w:t>6</w:t>
    </w:r>
    <w:r>
      <w:rPr>
        <w:sz w:val="20"/>
      </w:rPr>
      <w:t>1219</w:t>
    </w:r>
    <w:r>
      <w:rPr>
        <w:sz w:val="20"/>
      </w:rPr>
      <w:br/>
    </w:r>
    <w:r w:rsidRPr="008F57A9">
      <w:rPr>
        <w:rFonts w:ascii="C39T30Lfz" w:hAnsi="C39T30Lfz"/>
        <w:sz w:val="56"/>
      </w:rPr>
      <w:t></w:t>
    </w:r>
    <w:r w:rsidRPr="008F57A9">
      <w:rPr>
        <w:rFonts w:ascii="C39T30Lfz" w:hAnsi="C39T30Lfz"/>
        <w:sz w:val="56"/>
      </w:rPr>
      <w:t></w:t>
    </w:r>
    <w:r w:rsidRPr="008F57A9">
      <w:rPr>
        <w:rFonts w:ascii="C39T30Lfz" w:hAnsi="C39T30Lfz"/>
        <w:sz w:val="56"/>
      </w:rPr>
      <w:t></w:t>
    </w:r>
    <w:r w:rsidRPr="008F57A9">
      <w:rPr>
        <w:rFonts w:ascii="C39T30Lfz" w:hAnsi="C39T30Lfz"/>
        <w:sz w:val="56"/>
      </w:rPr>
      <w:t></w:t>
    </w:r>
    <w:r w:rsidRPr="008F57A9">
      <w:rPr>
        <w:rFonts w:ascii="C39T30Lfz" w:hAnsi="C39T30Lfz"/>
        <w:sz w:val="56"/>
      </w:rPr>
      <w:t></w:t>
    </w:r>
    <w:r w:rsidRPr="008F57A9">
      <w:rPr>
        <w:rFonts w:ascii="C39T30Lfz" w:hAnsi="C39T30Lfz"/>
        <w:sz w:val="56"/>
      </w:rPr>
      <w:t></w:t>
    </w:r>
    <w:r w:rsidRPr="008F57A9">
      <w:rPr>
        <w:rFonts w:ascii="C39T30Lfz" w:hAnsi="C39T30Lfz"/>
        <w:sz w:val="56"/>
      </w:rPr>
      <w:t></w:t>
    </w:r>
    <w:r w:rsidRPr="008F57A9">
      <w:rPr>
        <w:rFonts w:ascii="C39T30Lfz" w:hAnsi="C39T30Lfz"/>
        <w:sz w:val="56"/>
      </w:rPr>
      <w:t></w:t>
    </w:r>
    <w:r w:rsidRPr="008F57A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09CDBC1" wp14:editId="6CA7439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20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6E56" w14:textId="77777777" w:rsidR="003D577C" w:rsidRPr="00AC3823" w:rsidRDefault="003D577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F7F848" w14:textId="77777777" w:rsidR="003D577C" w:rsidRPr="00AC3823" w:rsidRDefault="003D577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4CEAC8" w14:textId="77777777" w:rsidR="003D577C" w:rsidRPr="00AC3823" w:rsidRDefault="003D577C">
      <w:pPr>
        <w:spacing w:line="240" w:lineRule="auto"/>
        <w:rPr>
          <w:sz w:val="2"/>
          <w:szCs w:val="2"/>
        </w:rPr>
      </w:pPr>
    </w:p>
  </w:footnote>
  <w:footnote w:id="2">
    <w:p w14:paraId="67D80450" w14:textId="77777777" w:rsidR="003D577C" w:rsidRPr="00A637ED" w:rsidRDefault="003D577C">
      <w:pPr>
        <w:pStyle w:val="Notedebasdepage"/>
        <w:rPr>
          <w:szCs w:val="18"/>
        </w:rPr>
      </w:pPr>
      <w:r>
        <w:rPr>
          <w:rStyle w:val="Appelnotedebasdep"/>
        </w:rPr>
        <w:tab/>
      </w:r>
      <w:r w:rsidRPr="00A637E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A637ED">
        <w:rPr>
          <w:szCs w:val="18"/>
        </w:rPr>
        <w:t xml:space="preserve">Ancien Groupe de travail en </w:t>
      </w:r>
      <w:bookmarkStart w:id="0" w:name="_GoBack"/>
      <w:bookmarkEnd w:id="0"/>
      <w:r w:rsidRPr="00A637ED">
        <w:rPr>
          <w:szCs w:val="18"/>
        </w:rPr>
        <w:t>matière de roulement et de freinage (GRRF).</w:t>
      </w:r>
    </w:p>
  </w:footnote>
  <w:footnote w:id="3">
    <w:p w14:paraId="652A6DF7" w14:textId="77777777" w:rsidR="003D577C" w:rsidRPr="00A637ED" w:rsidRDefault="003D577C">
      <w:pPr>
        <w:pStyle w:val="Notedebasdepage"/>
      </w:pPr>
      <w:r>
        <w:rPr>
          <w:rStyle w:val="Appelnotedebasdep"/>
        </w:rPr>
        <w:tab/>
      </w:r>
      <w:r w:rsidRPr="00A637ED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A637ED">
        <w:rPr>
          <w:szCs w:val="18"/>
        </w:rPr>
        <w:t>Conformément au programme de travail du Comité des transports intérieurs pour 2020 tel qu’il figure dans le projet de budget-programme pour 2020 (A/74/6 (partie</w:t>
      </w:r>
      <w:r>
        <w:rPr>
          <w:szCs w:val="18"/>
        </w:rPr>
        <w:t> </w:t>
      </w:r>
      <w:r w:rsidRPr="00A637ED">
        <w:rPr>
          <w:szCs w:val="18"/>
        </w:rPr>
        <w:t>V, chap.</w:t>
      </w:r>
      <w:r>
        <w:rPr>
          <w:szCs w:val="18"/>
        </w:rPr>
        <w:t> </w:t>
      </w:r>
      <w:r w:rsidRPr="00A637ED">
        <w:rPr>
          <w:szCs w:val="18"/>
        </w:rPr>
        <w:t>20), par.</w:t>
      </w:r>
      <w:r>
        <w:rPr>
          <w:szCs w:val="18"/>
        </w:rPr>
        <w:t> </w:t>
      </w:r>
      <w:r w:rsidRPr="00A637ED">
        <w:rPr>
          <w:szCs w:val="18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0CDD" w14:textId="4CF42568" w:rsidR="003D577C" w:rsidRPr="008F57A9" w:rsidRDefault="00E8155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677F78">
      <w:t>ECE/TRANS/WP.29/GRVA/2020/6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E74C" w14:textId="756A891C" w:rsidR="003D577C" w:rsidRPr="008F57A9" w:rsidRDefault="00E81552" w:rsidP="008F57A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77F78">
      <w:t>ECE/TRANS/WP.29/GRVA/2020/6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6D80"/>
    <w:rsid w:val="00017F94"/>
    <w:rsid w:val="00023842"/>
    <w:rsid w:val="000334F9"/>
    <w:rsid w:val="00045FEB"/>
    <w:rsid w:val="000741C3"/>
    <w:rsid w:val="0007796D"/>
    <w:rsid w:val="000B7790"/>
    <w:rsid w:val="00111F2F"/>
    <w:rsid w:val="0014365E"/>
    <w:rsid w:val="00143C66"/>
    <w:rsid w:val="00176178"/>
    <w:rsid w:val="001D1E1F"/>
    <w:rsid w:val="001F525A"/>
    <w:rsid w:val="00223272"/>
    <w:rsid w:val="0024779E"/>
    <w:rsid w:val="00257168"/>
    <w:rsid w:val="002744B8"/>
    <w:rsid w:val="002832AC"/>
    <w:rsid w:val="002963BD"/>
    <w:rsid w:val="002D7C93"/>
    <w:rsid w:val="00305801"/>
    <w:rsid w:val="00332695"/>
    <w:rsid w:val="00361F3D"/>
    <w:rsid w:val="003916DE"/>
    <w:rsid w:val="003D577C"/>
    <w:rsid w:val="00421996"/>
    <w:rsid w:val="00441C3B"/>
    <w:rsid w:val="00446FE5"/>
    <w:rsid w:val="00452396"/>
    <w:rsid w:val="004837D8"/>
    <w:rsid w:val="0048480A"/>
    <w:rsid w:val="004E2EED"/>
    <w:rsid w:val="004E468C"/>
    <w:rsid w:val="00533B38"/>
    <w:rsid w:val="005505B7"/>
    <w:rsid w:val="00573BE5"/>
    <w:rsid w:val="0057535A"/>
    <w:rsid w:val="00586ED3"/>
    <w:rsid w:val="00596AA9"/>
    <w:rsid w:val="00675CD7"/>
    <w:rsid w:val="00677F78"/>
    <w:rsid w:val="00692174"/>
    <w:rsid w:val="0071601D"/>
    <w:rsid w:val="007A62E6"/>
    <w:rsid w:val="007C4E3B"/>
    <w:rsid w:val="007F20FA"/>
    <w:rsid w:val="0080684C"/>
    <w:rsid w:val="00871C75"/>
    <w:rsid w:val="008776DC"/>
    <w:rsid w:val="008F57A9"/>
    <w:rsid w:val="009446C0"/>
    <w:rsid w:val="009705C8"/>
    <w:rsid w:val="009C1CF4"/>
    <w:rsid w:val="009F6B74"/>
    <w:rsid w:val="00A3029F"/>
    <w:rsid w:val="00A30353"/>
    <w:rsid w:val="00A62BA2"/>
    <w:rsid w:val="00A637ED"/>
    <w:rsid w:val="00A63F77"/>
    <w:rsid w:val="00A83145"/>
    <w:rsid w:val="00A85204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834C8"/>
    <w:rsid w:val="00C97039"/>
    <w:rsid w:val="00D05C97"/>
    <w:rsid w:val="00D3439C"/>
    <w:rsid w:val="00D66D80"/>
    <w:rsid w:val="00DB1831"/>
    <w:rsid w:val="00DD3BFD"/>
    <w:rsid w:val="00DF6678"/>
    <w:rsid w:val="00E0299A"/>
    <w:rsid w:val="00E4465E"/>
    <w:rsid w:val="00E81552"/>
    <w:rsid w:val="00E85C74"/>
    <w:rsid w:val="00EA6547"/>
    <w:rsid w:val="00EF2E22"/>
    <w:rsid w:val="00F35BAF"/>
    <w:rsid w:val="00F660DF"/>
    <w:rsid w:val="00F94664"/>
    <w:rsid w:val="00F9573C"/>
    <w:rsid w:val="00F95C08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C901"/>
  <w15:docId w15:val="{150315F7-2C12-43EF-8520-63A0782A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6</Pages>
  <Words>2270</Words>
  <Characters>13124</Characters>
  <Application>Microsoft Office Word</Application>
  <DocSecurity>0</DocSecurity>
  <Lines>243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ECE/TRANS/WP.29/GRVA/2020/6</vt:lpstr>
    </vt:vector>
  </TitlesOfParts>
  <Company>DCM</Company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ECE/TRANS/WP.29/GRVA/2020/6</dc:title>
  <dc:subject/>
  <dc:creator>Christine CHAUTAGNAT</dc:creator>
  <cp:keywords/>
  <cp:lastModifiedBy>Christine Chautagnat</cp:lastModifiedBy>
  <cp:revision>3</cp:revision>
  <cp:lastPrinted>2019-12-16T08:21:00Z</cp:lastPrinted>
  <dcterms:created xsi:type="dcterms:W3CDTF">2019-12-16T08:21:00Z</dcterms:created>
  <dcterms:modified xsi:type="dcterms:W3CDTF">2019-12-16T08:23:00Z</dcterms:modified>
</cp:coreProperties>
</file>