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820AF2A" w14:textId="77777777" w:rsidTr="00387CD4">
        <w:trPr>
          <w:trHeight w:hRule="exact" w:val="851"/>
        </w:trPr>
        <w:tc>
          <w:tcPr>
            <w:tcW w:w="142" w:type="dxa"/>
            <w:tcBorders>
              <w:bottom w:val="single" w:sz="4" w:space="0" w:color="auto"/>
            </w:tcBorders>
          </w:tcPr>
          <w:p w14:paraId="046FDA0E" w14:textId="77777777" w:rsidR="002D5AAC" w:rsidRPr="00F520D6" w:rsidRDefault="002D5AAC" w:rsidP="001253ED">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14:paraId="520CF57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632DBA2" w14:textId="77777777" w:rsidR="002D5AAC" w:rsidRDefault="001253ED" w:rsidP="001253ED">
            <w:pPr>
              <w:jc w:val="right"/>
            </w:pPr>
            <w:r w:rsidRPr="001253ED">
              <w:rPr>
                <w:sz w:val="40"/>
              </w:rPr>
              <w:t>ECE</w:t>
            </w:r>
            <w:r>
              <w:t>/TRANS/WP.29/GRSP/67</w:t>
            </w:r>
          </w:p>
        </w:tc>
      </w:tr>
      <w:tr w:rsidR="002D5AAC" w:rsidRPr="00326131" w14:paraId="374ECCD5" w14:textId="77777777" w:rsidTr="00387CD4">
        <w:trPr>
          <w:trHeight w:hRule="exact" w:val="2835"/>
        </w:trPr>
        <w:tc>
          <w:tcPr>
            <w:tcW w:w="1280" w:type="dxa"/>
            <w:gridSpan w:val="2"/>
            <w:tcBorders>
              <w:top w:val="single" w:sz="4" w:space="0" w:color="auto"/>
              <w:bottom w:val="single" w:sz="12" w:space="0" w:color="auto"/>
            </w:tcBorders>
          </w:tcPr>
          <w:p w14:paraId="18ECCBE1" w14:textId="77777777" w:rsidR="002D5AAC" w:rsidRDefault="002E5067" w:rsidP="00387CD4">
            <w:pPr>
              <w:spacing w:before="120"/>
              <w:jc w:val="center"/>
            </w:pPr>
            <w:r>
              <w:rPr>
                <w:noProof/>
                <w:lang w:val="fr-CH" w:eastAsia="fr-CH"/>
              </w:rPr>
              <w:drawing>
                <wp:inline distT="0" distB="0" distL="0" distR="0" wp14:anchorId="0BFF8973" wp14:editId="6548A6F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F5646B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BE2A082" w14:textId="77777777" w:rsidR="002D5AAC" w:rsidRDefault="001253ED" w:rsidP="00387CD4">
            <w:pPr>
              <w:spacing w:before="240"/>
              <w:rPr>
                <w:lang w:val="en-US"/>
              </w:rPr>
            </w:pPr>
            <w:r>
              <w:rPr>
                <w:lang w:val="en-US"/>
              </w:rPr>
              <w:t>Distr.: General</w:t>
            </w:r>
          </w:p>
          <w:p w14:paraId="00347B83" w14:textId="77777777" w:rsidR="001253ED" w:rsidRDefault="001253ED" w:rsidP="001253ED">
            <w:pPr>
              <w:spacing w:line="240" w:lineRule="exact"/>
              <w:rPr>
                <w:lang w:val="en-US"/>
              </w:rPr>
            </w:pPr>
            <w:r>
              <w:rPr>
                <w:lang w:val="en-US"/>
              </w:rPr>
              <w:t xml:space="preserve">2 </w:t>
            </w:r>
            <w:r w:rsidR="00160B4E">
              <w:rPr>
                <w:lang w:val="en-US"/>
              </w:rPr>
              <w:t>September</w:t>
            </w:r>
            <w:r>
              <w:rPr>
                <w:lang w:val="en-US"/>
              </w:rPr>
              <w:t xml:space="preserve"> 2020</w:t>
            </w:r>
          </w:p>
          <w:p w14:paraId="787313B9" w14:textId="77777777" w:rsidR="001253ED" w:rsidRDefault="001253ED" w:rsidP="001253ED">
            <w:pPr>
              <w:spacing w:line="240" w:lineRule="exact"/>
              <w:rPr>
                <w:lang w:val="en-US"/>
              </w:rPr>
            </w:pPr>
            <w:r>
              <w:rPr>
                <w:lang w:val="en-US"/>
              </w:rPr>
              <w:t>Russian</w:t>
            </w:r>
          </w:p>
          <w:p w14:paraId="71C896D1" w14:textId="77777777" w:rsidR="001253ED" w:rsidRPr="008D53B6" w:rsidRDefault="001253ED" w:rsidP="001253ED">
            <w:pPr>
              <w:spacing w:line="240" w:lineRule="exact"/>
              <w:rPr>
                <w:lang w:val="en-US"/>
              </w:rPr>
            </w:pPr>
            <w:r>
              <w:rPr>
                <w:lang w:val="en-US"/>
              </w:rPr>
              <w:t>Original: English</w:t>
            </w:r>
          </w:p>
        </w:tc>
      </w:tr>
    </w:tbl>
    <w:p w14:paraId="6514D96C" w14:textId="77777777" w:rsidR="001253ED" w:rsidRDefault="008A37C8" w:rsidP="00255343">
      <w:pPr>
        <w:spacing w:before="120"/>
        <w:rPr>
          <w:b/>
          <w:sz w:val="28"/>
          <w:szCs w:val="28"/>
        </w:rPr>
      </w:pPr>
      <w:r w:rsidRPr="00245892">
        <w:rPr>
          <w:b/>
          <w:sz w:val="28"/>
          <w:szCs w:val="28"/>
        </w:rPr>
        <w:t>Европейская экономическая комиссия</w:t>
      </w:r>
    </w:p>
    <w:p w14:paraId="6BE60077" w14:textId="77777777" w:rsidR="001253ED" w:rsidRPr="001253ED" w:rsidRDefault="001253ED" w:rsidP="00160B4E">
      <w:pPr>
        <w:spacing w:before="120"/>
        <w:rPr>
          <w:sz w:val="28"/>
          <w:szCs w:val="28"/>
        </w:rPr>
      </w:pPr>
      <w:r w:rsidRPr="001253ED">
        <w:rPr>
          <w:sz w:val="28"/>
          <w:szCs w:val="28"/>
        </w:rPr>
        <w:t>Комитет по внутреннему транспорту</w:t>
      </w:r>
    </w:p>
    <w:p w14:paraId="71ACB536" w14:textId="77777777" w:rsidR="001253ED" w:rsidRPr="001253ED" w:rsidRDefault="001253ED" w:rsidP="00160B4E">
      <w:pPr>
        <w:spacing w:before="120"/>
        <w:rPr>
          <w:b/>
          <w:sz w:val="24"/>
          <w:szCs w:val="24"/>
        </w:rPr>
      </w:pPr>
      <w:r w:rsidRPr="001253ED">
        <w:rPr>
          <w:b/>
          <w:bCs/>
          <w:sz w:val="24"/>
          <w:szCs w:val="24"/>
        </w:rPr>
        <w:t xml:space="preserve">Всемирный форум для согласования правил </w:t>
      </w:r>
      <w:r w:rsidR="00160B4E">
        <w:rPr>
          <w:b/>
          <w:bCs/>
          <w:sz w:val="24"/>
          <w:szCs w:val="24"/>
        </w:rPr>
        <w:br/>
      </w:r>
      <w:r w:rsidRPr="001253ED">
        <w:rPr>
          <w:b/>
          <w:bCs/>
          <w:sz w:val="24"/>
          <w:szCs w:val="24"/>
        </w:rPr>
        <w:t>в области транспортных средств</w:t>
      </w:r>
    </w:p>
    <w:p w14:paraId="09B0CCAF" w14:textId="77777777" w:rsidR="001253ED" w:rsidRPr="001253ED" w:rsidRDefault="001253ED" w:rsidP="00160B4E">
      <w:pPr>
        <w:spacing w:before="120"/>
        <w:rPr>
          <w:b/>
          <w:sz w:val="24"/>
          <w:szCs w:val="24"/>
        </w:rPr>
      </w:pPr>
      <w:r w:rsidRPr="001253ED">
        <w:rPr>
          <w:b/>
          <w:bCs/>
          <w:sz w:val="24"/>
          <w:szCs w:val="24"/>
        </w:rPr>
        <w:t>Рабочая группа по пассивной безопасности</w:t>
      </w:r>
    </w:p>
    <w:p w14:paraId="5EA916FC" w14:textId="77777777" w:rsidR="001253ED" w:rsidRPr="001253ED" w:rsidRDefault="001253ED" w:rsidP="00160B4E">
      <w:pPr>
        <w:spacing w:before="120"/>
        <w:rPr>
          <w:b/>
        </w:rPr>
      </w:pPr>
      <w:r w:rsidRPr="001253ED">
        <w:rPr>
          <w:b/>
          <w:bCs/>
        </w:rPr>
        <w:t>Шестьдесят седьмая сессия</w:t>
      </w:r>
    </w:p>
    <w:p w14:paraId="17E3B158" w14:textId="77777777" w:rsidR="001253ED" w:rsidRPr="001253ED" w:rsidRDefault="001253ED" w:rsidP="001253ED">
      <w:r w:rsidRPr="001253ED">
        <w:t>Женева, 20–23 июля 2020 года (онлайн)</w:t>
      </w:r>
    </w:p>
    <w:p w14:paraId="151730BF" w14:textId="77777777" w:rsidR="001253ED" w:rsidRPr="001253ED" w:rsidRDefault="001253ED" w:rsidP="00160B4E">
      <w:pPr>
        <w:pStyle w:val="HChG"/>
      </w:pPr>
      <w:r w:rsidRPr="001253ED">
        <w:tab/>
      </w:r>
      <w:r w:rsidRPr="001253ED">
        <w:tab/>
        <w:t>Записка Председателя о совещании Рабочей группы по</w:t>
      </w:r>
      <w:r w:rsidR="00160B4E">
        <w:rPr>
          <w:lang w:val="en-US"/>
        </w:rPr>
        <w:t> </w:t>
      </w:r>
      <w:r w:rsidRPr="001253ED">
        <w:t>пассивной безопасности, проведенном вместо ее</w:t>
      </w:r>
      <w:r w:rsidR="00160B4E">
        <w:rPr>
          <w:lang w:val="en-US"/>
        </w:rPr>
        <w:t> </w:t>
      </w:r>
      <w:r w:rsidRPr="001253ED">
        <w:t>шестьдесят седьмой сессии</w:t>
      </w:r>
    </w:p>
    <w:p w14:paraId="35B5D692" w14:textId="77777777" w:rsidR="001253ED" w:rsidRDefault="001253ED" w:rsidP="00831BBC">
      <w:pPr>
        <w:spacing w:after="120"/>
        <w:rPr>
          <w:sz w:val="28"/>
        </w:rPr>
      </w:pPr>
      <w:r>
        <w:rPr>
          <w:sz w:val="28"/>
        </w:rPr>
        <w:t>Содержание</w:t>
      </w:r>
    </w:p>
    <w:p w14:paraId="1BF567F2" w14:textId="77777777" w:rsidR="001253ED" w:rsidRDefault="001253ED" w:rsidP="00831BBC">
      <w:pPr>
        <w:tabs>
          <w:tab w:val="right" w:pos="8929"/>
          <w:tab w:val="right" w:pos="9638"/>
        </w:tabs>
        <w:spacing w:after="120"/>
        <w:ind w:left="283"/>
        <w:rPr>
          <w:sz w:val="18"/>
        </w:rPr>
      </w:pPr>
      <w:r>
        <w:rPr>
          <w:i/>
          <w:sz w:val="18"/>
        </w:rPr>
        <w:tab/>
        <w:t>Пункты</w:t>
      </w:r>
      <w:r>
        <w:rPr>
          <w:i/>
          <w:sz w:val="18"/>
        </w:rPr>
        <w:tab/>
        <w:t>Стр.</w:t>
      </w:r>
    </w:p>
    <w:p w14:paraId="30A17EA4" w14:textId="77777777" w:rsidR="001253ED" w:rsidRPr="001253ED" w:rsidRDefault="00160B4E" w:rsidP="001253ED">
      <w:pPr>
        <w:tabs>
          <w:tab w:val="right" w:pos="850"/>
          <w:tab w:val="left" w:pos="1134"/>
          <w:tab w:val="left" w:pos="1559"/>
          <w:tab w:val="left" w:pos="1984"/>
          <w:tab w:val="left" w:leader="dot" w:pos="7654"/>
          <w:tab w:val="right" w:pos="8929"/>
          <w:tab w:val="right" w:pos="9638"/>
        </w:tabs>
        <w:spacing w:after="120"/>
      </w:pPr>
      <w:r>
        <w:tab/>
      </w:r>
      <w:r w:rsidR="001253ED" w:rsidRPr="001253ED">
        <w:t>I.</w:t>
      </w:r>
      <w:r w:rsidR="001253ED" w:rsidRPr="001253ED">
        <w:tab/>
        <w:t>Участники</w:t>
      </w:r>
      <w:r w:rsidR="001253ED" w:rsidRPr="001253ED">
        <w:tab/>
      </w:r>
      <w:r w:rsidR="001253ED" w:rsidRPr="001253ED">
        <w:tab/>
        <w:t>1–2</w:t>
      </w:r>
      <w:r w:rsidR="001253ED" w:rsidRPr="001253ED">
        <w:tab/>
        <w:t>3</w:t>
      </w:r>
    </w:p>
    <w:p w14:paraId="3E84173F" w14:textId="77777777" w:rsidR="001253ED" w:rsidRPr="001253ED" w:rsidRDefault="00160B4E" w:rsidP="001253ED">
      <w:pPr>
        <w:tabs>
          <w:tab w:val="right" w:pos="850"/>
          <w:tab w:val="left" w:pos="1134"/>
          <w:tab w:val="left" w:pos="1559"/>
          <w:tab w:val="left" w:pos="1984"/>
          <w:tab w:val="left" w:leader="dot" w:pos="7654"/>
          <w:tab w:val="right" w:pos="8929"/>
          <w:tab w:val="right" w:pos="9638"/>
        </w:tabs>
        <w:spacing w:after="120"/>
      </w:pPr>
      <w:r>
        <w:tab/>
      </w:r>
      <w:r w:rsidR="001253ED" w:rsidRPr="001253ED">
        <w:t>II.</w:t>
      </w:r>
      <w:r w:rsidR="001253ED" w:rsidRPr="001253ED">
        <w:tab/>
        <w:t>Утверждение повестки дня (пункт 1 повестки дня)</w:t>
      </w:r>
      <w:r w:rsidR="001253ED" w:rsidRPr="001253ED">
        <w:tab/>
      </w:r>
      <w:r w:rsidR="001253ED" w:rsidRPr="001253ED">
        <w:tab/>
        <w:t>3</w:t>
      </w:r>
      <w:r w:rsidR="001253ED" w:rsidRPr="001253ED">
        <w:tab/>
        <w:t>3</w:t>
      </w:r>
    </w:p>
    <w:p w14:paraId="6C7C922B" w14:textId="77777777" w:rsidR="001253ED" w:rsidRPr="001253ED" w:rsidRDefault="00160B4E" w:rsidP="00160B4E">
      <w:pPr>
        <w:tabs>
          <w:tab w:val="right" w:pos="850"/>
          <w:tab w:val="left" w:pos="1134"/>
          <w:tab w:val="left" w:pos="1559"/>
          <w:tab w:val="left" w:pos="1984"/>
          <w:tab w:val="left" w:leader="dot" w:pos="7654"/>
          <w:tab w:val="right" w:pos="8929"/>
          <w:tab w:val="right" w:pos="9638"/>
        </w:tabs>
        <w:spacing w:after="120"/>
        <w:ind w:left="1134" w:hanging="1134"/>
      </w:pPr>
      <w:r>
        <w:tab/>
      </w:r>
      <w:r w:rsidR="001253ED" w:rsidRPr="001253ED">
        <w:t>III.</w:t>
      </w:r>
      <w:r w:rsidR="001253ED" w:rsidRPr="001253ED">
        <w:tab/>
        <w:t xml:space="preserve">Глобальные технические правила № 9 ООН (безопасность пешеходов) </w:t>
      </w:r>
      <w:r>
        <w:br/>
      </w:r>
      <w:r w:rsidR="001253ED" w:rsidRPr="001253ED">
        <w:t>(пункт 2 повестки дня)</w:t>
      </w:r>
      <w:r w:rsidR="001253ED" w:rsidRPr="001253ED">
        <w:tab/>
      </w:r>
      <w:r w:rsidR="001253ED" w:rsidRPr="001253ED">
        <w:tab/>
        <w:t>4–6</w:t>
      </w:r>
      <w:r w:rsidR="001253ED" w:rsidRPr="001253ED">
        <w:tab/>
        <w:t>3</w:t>
      </w:r>
    </w:p>
    <w:p w14:paraId="02006400" w14:textId="77777777" w:rsidR="001253ED" w:rsidRPr="001253ED" w:rsidRDefault="00160B4E" w:rsidP="001253ED">
      <w:pPr>
        <w:tabs>
          <w:tab w:val="right" w:pos="850"/>
          <w:tab w:val="left" w:pos="1134"/>
          <w:tab w:val="left" w:pos="1559"/>
          <w:tab w:val="left" w:pos="1984"/>
          <w:tab w:val="left" w:leader="dot" w:pos="7654"/>
          <w:tab w:val="right" w:pos="8929"/>
          <w:tab w:val="right" w:pos="9631"/>
        </w:tabs>
        <w:spacing w:after="120"/>
      </w:pPr>
      <w:r>
        <w:tab/>
      </w:r>
      <w:r>
        <w:tab/>
      </w:r>
      <w:r w:rsidR="001253ED" w:rsidRPr="001253ED">
        <w:t>A.</w:t>
      </w:r>
      <w:r w:rsidR="001253ED" w:rsidRPr="001253ED">
        <w:tab/>
        <w:t>Предложение по поправке 3</w:t>
      </w:r>
      <w:r w:rsidR="001253ED" w:rsidRPr="001253ED">
        <w:tab/>
      </w:r>
      <w:r w:rsidR="001253ED" w:rsidRPr="001253ED">
        <w:tab/>
        <w:t>4–5</w:t>
      </w:r>
      <w:r w:rsidR="001253ED" w:rsidRPr="001253ED">
        <w:tab/>
        <w:t>3</w:t>
      </w:r>
    </w:p>
    <w:p w14:paraId="64090886" w14:textId="77777777" w:rsidR="001253ED" w:rsidRPr="001253ED" w:rsidRDefault="00160B4E" w:rsidP="001253ED">
      <w:pPr>
        <w:tabs>
          <w:tab w:val="right" w:pos="850"/>
          <w:tab w:val="left" w:pos="1134"/>
          <w:tab w:val="left" w:pos="1559"/>
          <w:tab w:val="left" w:pos="1984"/>
          <w:tab w:val="left" w:leader="dot" w:pos="7654"/>
          <w:tab w:val="right" w:pos="8929"/>
          <w:tab w:val="right" w:pos="9631"/>
        </w:tabs>
        <w:spacing w:after="120"/>
      </w:pPr>
      <w:r>
        <w:tab/>
      </w:r>
      <w:r>
        <w:tab/>
      </w:r>
      <w:r w:rsidR="001253ED" w:rsidRPr="001253ED">
        <w:t>B.</w:t>
      </w:r>
      <w:r w:rsidR="001253ED" w:rsidRPr="001253ED">
        <w:tab/>
        <w:t>Предложение по поправке 4</w:t>
      </w:r>
      <w:r w:rsidR="001253ED" w:rsidRPr="001253ED">
        <w:tab/>
      </w:r>
      <w:r w:rsidR="001253ED" w:rsidRPr="001253ED">
        <w:tab/>
        <w:t>6</w:t>
      </w:r>
      <w:r w:rsidR="001253ED" w:rsidRPr="001253ED">
        <w:tab/>
        <w:t>4</w:t>
      </w:r>
    </w:p>
    <w:p w14:paraId="4998E32F" w14:textId="77777777" w:rsidR="001253ED" w:rsidRPr="001253ED" w:rsidRDefault="00160B4E" w:rsidP="00160B4E">
      <w:pPr>
        <w:tabs>
          <w:tab w:val="right" w:pos="850"/>
          <w:tab w:val="left" w:pos="1134"/>
          <w:tab w:val="left" w:pos="1559"/>
          <w:tab w:val="left" w:pos="1984"/>
          <w:tab w:val="left" w:leader="dot" w:pos="7654"/>
          <w:tab w:val="right" w:pos="8929"/>
          <w:tab w:val="right" w:pos="9631"/>
        </w:tabs>
        <w:spacing w:after="120"/>
        <w:ind w:left="1134" w:hanging="1134"/>
      </w:pPr>
      <w:r>
        <w:tab/>
      </w:r>
      <w:r w:rsidR="001253ED" w:rsidRPr="001253ED">
        <w:t>IV.</w:t>
      </w:r>
      <w:r w:rsidR="001253ED" w:rsidRPr="001253ED">
        <w:tab/>
        <w:t xml:space="preserve">Глобальные технические правила № 13 ООН (транспортные средства, </w:t>
      </w:r>
      <w:r>
        <w:br/>
      </w:r>
      <w:r w:rsidR="001253ED" w:rsidRPr="001253ED">
        <w:t>работающие на водороде и топливных элементах) (пункт 3 повестки дня)</w:t>
      </w:r>
      <w:r w:rsidR="001253ED" w:rsidRPr="001253ED">
        <w:tab/>
      </w:r>
      <w:r w:rsidR="001253ED" w:rsidRPr="001253ED">
        <w:tab/>
        <w:t>7</w:t>
      </w:r>
      <w:r w:rsidR="001253ED" w:rsidRPr="001253ED">
        <w:tab/>
        <w:t>4</w:t>
      </w:r>
    </w:p>
    <w:p w14:paraId="09505F24" w14:textId="055990BB" w:rsidR="001253ED" w:rsidRPr="00F520D6" w:rsidRDefault="00160B4E" w:rsidP="00160B4E">
      <w:pPr>
        <w:tabs>
          <w:tab w:val="right" w:pos="840"/>
          <w:tab w:val="left" w:pos="1134"/>
          <w:tab w:val="left" w:pos="1559"/>
          <w:tab w:val="left" w:pos="1984"/>
          <w:tab w:val="left" w:leader="dot" w:pos="7654"/>
          <w:tab w:val="right" w:pos="8929"/>
          <w:tab w:val="right" w:pos="9631"/>
        </w:tabs>
        <w:spacing w:after="120"/>
        <w:ind w:left="1134" w:hanging="1134"/>
      </w:pPr>
      <w:r>
        <w:tab/>
      </w:r>
      <w:r w:rsidR="001253ED" w:rsidRPr="001253ED">
        <w:t>V.</w:t>
      </w:r>
      <w:r w:rsidR="001253ED" w:rsidRPr="001253ED">
        <w:tab/>
        <w:t xml:space="preserve">Глобальные технические правила № 20 ООН (безопасность </w:t>
      </w:r>
      <w:r>
        <w:br/>
      </w:r>
      <w:r w:rsidR="001253ED" w:rsidRPr="001253ED">
        <w:t>электромобилей) (пункт 4 повестки дня)</w:t>
      </w:r>
      <w:r w:rsidR="001253ED" w:rsidRPr="001253ED">
        <w:tab/>
      </w:r>
      <w:r w:rsidR="001253ED" w:rsidRPr="001253ED">
        <w:tab/>
        <w:t>8</w:t>
      </w:r>
      <w:r w:rsidR="001253ED" w:rsidRPr="001253ED">
        <w:tab/>
      </w:r>
      <w:r w:rsidR="00F520D6" w:rsidRPr="00F520D6">
        <w:t>5</w:t>
      </w:r>
    </w:p>
    <w:p w14:paraId="6B5E8C1E" w14:textId="77777777" w:rsidR="001253ED" w:rsidRPr="001253ED" w:rsidRDefault="00160B4E" w:rsidP="001253ED">
      <w:pPr>
        <w:tabs>
          <w:tab w:val="right" w:pos="840"/>
          <w:tab w:val="left" w:pos="1134"/>
          <w:tab w:val="left" w:pos="1559"/>
          <w:tab w:val="left" w:pos="1984"/>
          <w:tab w:val="left" w:leader="dot" w:pos="7654"/>
          <w:tab w:val="right" w:pos="8929"/>
          <w:tab w:val="right" w:pos="9631"/>
        </w:tabs>
        <w:spacing w:after="120"/>
      </w:pPr>
      <w:r>
        <w:tab/>
      </w:r>
      <w:r w:rsidR="001253ED" w:rsidRPr="001253ED">
        <w:t>VI.</w:t>
      </w:r>
      <w:r w:rsidR="001253ED" w:rsidRPr="001253ED">
        <w:tab/>
        <w:t>Правила № 16 ООН (ремни безопасности) (пункт 5 повестки дня)</w:t>
      </w:r>
      <w:r w:rsidR="001253ED" w:rsidRPr="001253ED">
        <w:tab/>
      </w:r>
      <w:r w:rsidR="001253ED" w:rsidRPr="001253ED">
        <w:tab/>
        <w:t>9–11</w:t>
      </w:r>
      <w:r w:rsidR="001253ED" w:rsidRPr="001253ED">
        <w:tab/>
        <w:t>5</w:t>
      </w:r>
    </w:p>
    <w:p w14:paraId="253242E7" w14:textId="45FD1E75" w:rsidR="001253ED" w:rsidRPr="00F520D6" w:rsidRDefault="00160B4E" w:rsidP="001253ED">
      <w:pPr>
        <w:tabs>
          <w:tab w:val="right" w:pos="850"/>
          <w:tab w:val="left" w:pos="1134"/>
          <w:tab w:val="left" w:pos="1559"/>
          <w:tab w:val="left" w:pos="1984"/>
          <w:tab w:val="left" w:leader="dot" w:pos="7654"/>
          <w:tab w:val="right" w:pos="8929"/>
          <w:tab w:val="right" w:pos="9659"/>
        </w:tabs>
        <w:spacing w:after="120"/>
      </w:pPr>
      <w:r>
        <w:tab/>
      </w:r>
      <w:r w:rsidR="001253ED" w:rsidRPr="001253ED">
        <w:t>VII.</w:t>
      </w:r>
      <w:r w:rsidR="001253ED" w:rsidRPr="001253ED">
        <w:tab/>
        <w:t>Правила № 17 ООН (прочность сидений) (пункт 6 повестки дня)</w:t>
      </w:r>
      <w:r w:rsidR="001253ED" w:rsidRPr="001253ED">
        <w:tab/>
      </w:r>
      <w:r w:rsidR="001253ED" w:rsidRPr="001253ED">
        <w:tab/>
        <w:t>12–13</w:t>
      </w:r>
      <w:r w:rsidR="001253ED" w:rsidRPr="001253ED">
        <w:tab/>
      </w:r>
      <w:r w:rsidR="00F520D6" w:rsidRPr="00F520D6">
        <w:t>6</w:t>
      </w:r>
    </w:p>
    <w:p w14:paraId="143D4FE4" w14:textId="2A984067" w:rsidR="001253ED" w:rsidRPr="00F520D6" w:rsidRDefault="00160B4E" w:rsidP="001253ED">
      <w:pPr>
        <w:tabs>
          <w:tab w:val="right" w:pos="850"/>
          <w:tab w:val="left" w:pos="1134"/>
          <w:tab w:val="left" w:pos="1559"/>
          <w:tab w:val="left" w:pos="1984"/>
          <w:tab w:val="left" w:leader="dot" w:pos="7654"/>
          <w:tab w:val="right" w:pos="8929"/>
          <w:tab w:val="right" w:pos="9659"/>
        </w:tabs>
        <w:spacing w:after="120"/>
      </w:pPr>
      <w:r>
        <w:tab/>
      </w:r>
      <w:r w:rsidR="001253ED" w:rsidRPr="001253ED">
        <w:t>VIII.</w:t>
      </w:r>
      <w:r w:rsidR="001253ED" w:rsidRPr="001253ED">
        <w:tab/>
        <w:t>Правила № 22 ООН (защитные шлемы) (пункт 7 повестки дня)</w:t>
      </w:r>
      <w:r w:rsidR="001253ED" w:rsidRPr="001253ED">
        <w:tab/>
      </w:r>
      <w:r w:rsidR="001253ED" w:rsidRPr="001253ED">
        <w:tab/>
        <w:t>14–15</w:t>
      </w:r>
      <w:r w:rsidR="001253ED" w:rsidRPr="001253ED">
        <w:tab/>
      </w:r>
      <w:r w:rsidR="00F520D6" w:rsidRPr="00F520D6">
        <w:t>6</w:t>
      </w:r>
    </w:p>
    <w:p w14:paraId="0F2EAB9B" w14:textId="3F6241A2" w:rsidR="001253ED" w:rsidRPr="00F520D6" w:rsidRDefault="00160B4E" w:rsidP="001253ED">
      <w:pPr>
        <w:tabs>
          <w:tab w:val="right" w:pos="850"/>
          <w:tab w:val="left" w:pos="1134"/>
          <w:tab w:val="left" w:pos="1559"/>
          <w:tab w:val="left" w:pos="1984"/>
          <w:tab w:val="left" w:leader="dot" w:pos="7654"/>
          <w:tab w:val="right" w:pos="8929"/>
          <w:tab w:val="right" w:pos="9659"/>
        </w:tabs>
        <w:spacing w:after="120"/>
      </w:pPr>
      <w:r>
        <w:tab/>
      </w:r>
      <w:r w:rsidR="001253ED" w:rsidRPr="001253ED">
        <w:t>IX.</w:t>
      </w:r>
      <w:r w:rsidR="001253ED" w:rsidRPr="001253ED">
        <w:tab/>
        <w:t>Правила № 94 ООН (лобовое столкновение) (пункт 8 повестки дня)</w:t>
      </w:r>
      <w:r w:rsidR="001253ED" w:rsidRPr="001253ED">
        <w:tab/>
      </w:r>
      <w:r w:rsidR="001253ED" w:rsidRPr="001253ED">
        <w:tab/>
        <w:t>16–17</w:t>
      </w:r>
      <w:r w:rsidR="001253ED" w:rsidRPr="001253ED">
        <w:tab/>
      </w:r>
      <w:r w:rsidR="00F520D6" w:rsidRPr="00F520D6">
        <w:t>7</w:t>
      </w:r>
    </w:p>
    <w:p w14:paraId="0C7A219E" w14:textId="464F8EF1" w:rsidR="001253ED" w:rsidRPr="00F520D6" w:rsidRDefault="00160B4E" w:rsidP="001253ED">
      <w:pPr>
        <w:tabs>
          <w:tab w:val="right" w:pos="850"/>
          <w:tab w:val="left" w:pos="1134"/>
          <w:tab w:val="left" w:pos="1559"/>
          <w:tab w:val="left" w:pos="1984"/>
          <w:tab w:val="left" w:leader="dot" w:pos="7654"/>
          <w:tab w:val="right" w:pos="8929"/>
          <w:tab w:val="right" w:pos="9659"/>
        </w:tabs>
        <w:spacing w:after="120"/>
      </w:pPr>
      <w:r>
        <w:tab/>
      </w:r>
      <w:r w:rsidR="001253ED" w:rsidRPr="001253ED">
        <w:t>X.</w:t>
      </w:r>
      <w:r w:rsidR="001253ED" w:rsidRPr="001253ED">
        <w:tab/>
        <w:t>Правила № 95 ООН (боковое столкновение) (пункт 9 повестки дня)</w:t>
      </w:r>
      <w:r w:rsidR="001253ED" w:rsidRPr="001253ED">
        <w:tab/>
      </w:r>
      <w:r w:rsidR="001253ED" w:rsidRPr="001253ED">
        <w:tab/>
        <w:t>18</w:t>
      </w:r>
      <w:r w:rsidR="001253ED" w:rsidRPr="001253ED">
        <w:tab/>
      </w:r>
      <w:r w:rsidR="00F520D6" w:rsidRPr="00F520D6">
        <w:t>7</w:t>
      </w:r>
    </w:p>
    <w:p w14:paraId="446868BD" w14:textId="20806229" w:rsidR="001253ED" w:rsidRPr="00F520D6" w:rsidRDefault="00160B4E" w:rsidP="00160B4E">
      <w:pPr>
        <w:tabs>
          <w:tab w:val="right" w:pos="850"/>
          <w:tab w:val="left" w:pos="1134"/>
          <w:tab w:val="left" w:pos="1559"/>
          <w:tab w:val="left" w:pos="1984"/>
          <w:tab w:val="left" w:leader="dot" w:pos="7654"/>
          <w:tab w:val="right" w:pos="8929"/>
          <w:tab w:val="right" w:pos="9659"/>
        </w:tabs>
        <w:spacing w:after="120"/>
        <w:ind w:left="1134" w:hanging="1134"/>
      </w:pPr>
      <w:r>
        <w:tab/>
      </w:r>
      <w:r w:rsidR="001253ED" w:rsidRPr="001253ED">
        <w:t>XI.</w:t>
      </w:r>
      <w:r w:rsidR="001253ED" w:rsidRPr="001253ED">
        <w:tab/>
        <w:t xml:space="preserve">Правила № 100 ООН (транспортные средства с электроприводом) </w:t>
      </w:r>
      <w:r>
        <w:br/>
      </w:r>
      <w:r w:rsidR="001253ED" w:rsidRPr="001253ED">
        <w:t>(пункт 10 повестки дня)</w:t>
      </w:r>
      <w:r w:rsidR="001253ED" w:rsidRPr="001253ED">
        <w:tab/>
      </w:r>
      <w:r w:rsidR="001253ED" w:rsidRPr="001253ED">
        <w:tab/>
        <w:t>19</w:t>
      </w:r>
      <w:r w:rsidR="001253ED" w:rsidRPr="001253ED">
        <w:tab/>
      </w:r>
      <w:r w:rsidR="00F520D6" w:rsidRPr="00F520D6">
        <w:t>8</w:t>
      </w:r>
    </w:p>
    <w:p w14:paraId="7486F94B" w14:textId="2B4F53F9" w:rsidR="001253ED" w:rsidRPr="00F520D6" w:rsidRDefault="00160B4E" w:rsidP="001253ED">
      <w:pPr>
        <w:tabs>
          <w:tab w:val="right" w:pos="850"/>
          <w:tab w:val="left" w:pos="1134"/>
          <w:tab w:val="left" w:pos="1559"/>
          <w:tab w:val="left" w:pos="1984"/>
          <w:tab w:val="left" w:leader="dot" w:pos="7654"/>
          <w:tab w:val="right" w:pos="8929"/>
          <w:tab w:val="right" w:pos="9659"/>
        </w:tabs>
        <w:spacing w:after="120"/>
      </w:pPr>
      <w:r>
        <w:tab/>
      </w:r>
      <w:r w:rsidR="001253ED" w:rsidRPr="001253ED">
        <w:t>XII.</w:t>
      </w:r>
      <w:r w:rsidR="001253ED" w:rsidRPr="001253ED">
        <w:tab/>
        <w:t>Правила № 127 ООН (безопасность пешеходов) (пункт 11 повестки дня)</w:t>
      </w:r>
      <w:r w:rsidR="001253ED" w:rsidRPr="001253ED">
        <w:tab/>
      </w:r>
      <w:r w:rsidR="001253ED" w:rsidRPr="001253ED">
        <w:tab/>
        <w:t>20−21</w:t>
      </w:r>
      <w:r w:rsidR="001253ED" w:rsidRPr="001253ED">
        <w:tab/>
      </w:r>
      <w:r w:rsidR="00F520D6" w:rsidRPr="00F520D6">
        <w:t>8</w:t>
      </w:r>
    </w:p>
    <w:p w14:paraId="79169BE4" w14:textId="6C9E27F8" w:rsidR="001253ED" w:rsidRPr="00F520D6" w:rsidRDefault="00160B4E" w:rsidP="00160B4E">
      <w:pPr>
        <w:keepNext/>
        <w:tabs>
          <w:tab w:val="right" w:pos="850"/>
          <w:tab w:val="left" w:pos="1134"/>
          <w:tab w:val="left" w:pos="1559"/>
          <w:tab w:val="left" w:pos="1984"/>
          <w:tab w:val="left" w:leader="dot" w:pos="7654"/>
          <w:tab w:val="right" w:pos="8929"/>
          <w:tab w:val="right" w:pos="9659"/>
        </w:tabs>
        <w:spacing w:after="120"/>
        <w:ind w:left="1134" w:hanging="1134"/>
      </w:pPr>
      <w:r>
        <w:tab/>
      </w:r>
      <w:r w:rsidR="001253ED" w:rsidRPr="001253ED">
        <w:t>XIII.</w:t>
      </w:r>
      <w:r w:rsidR="001253ED" w:rsidRPr="001253ED">
        <w:tab/>
        <w:t xml:space="preserve">Правила № 129 ООН (усовершенствованные детские удерживающие </w:t>
      </w:r>
      <w:r>
        <w:br/>
      </w:r>
      <w:r w:rsidR="001253ED" w:rsidRPr="001253ED">
        <w:t>системы) (пункт 12 повестки дня)</w:t>
      </w:r>
      <w:r w:rsidR="001253ED" w:rsidRPr="001253ED">
        <w:tab/>
      </w:r>
      <w:r w:rsidR="001253ED" w:rsidRPr="001253ED">
        <w:tab/>
        <w:t>22−23</w:t>
      </w:r>
      <w:r w:rsidR="001253ED" w:rsidRPr="001253ED">
        <w:tab/>
      </w:r>
      <w:r w:rsidR="00F520D6" w:rsidRPr="00F520D6">
        <w:t>9</w:t>
      </w:r>
    </w:p>
    <w:p w14:paraId="73677E86" w14:textId="10E1693E" w:rsidR="001253ED" w:rsidRPr="00F520D6" w:rsidRDefault="00160B4E" w:rsidP="00160B4E">
      <w:pPr>
        <w:tabs>
          <w:tab w:val="right" w:pos="850"/>
          <w:tab w:val="left" w:pos="1134"/>
          <w:tab w:val="left" w:pos="1559"/>
          <w:tab w:val="left" w:pos="1984"/>
          <w:tab w:val="left" w:leader="dot" w:pos="7654"/>
          <w:tab w:val="right" w:pos="8929"/>
          <w:tab w:val="right" w:pos="9659"/>
        </w:tabs>
        <w:spacing w:after="120"/>
        <w:ind w:left="1134" w:hanging="1134"/>
      </w:pPr>
      <w:r>
        <w:tab/>
      </w:r>
      <w:r w:rsidR="001253ED" w:rsidRPr="001253ED">
        <w:t>XIV.</w:t>
      </w:r>
      <w:r w:rsidR="001253ED" w:rsidRPr="001253ED">
        <w:tab/>
        <w:t xml:space="preserve">Правила № 134 ООН (транспортные средства, работающие на водороде </w:t>
      </w:r>
      <w:r>
        <w:br/>
      </w:r>
      <w:r w:rsidR="001253ED" w:rsidRPr="001253ED">
        <w:t>и топливных элементах (ТСВТЭ)) (пункт 13 повестки дня)</w:t>
      </w:r>
      <w:r w:rsidR="001253ED" w:rsidRPr="001253ED">
        <w:tab/>
      </w:r>
      <w:r w:rsidR="001253ED" w:rsidRPr="001253ED">
        <w:tab/>
        <w:t>24</w:t>
      </w:r>
      <w:r w:rsidR="001253ED" w:rsidRPr="001253ED">
        <w:tab/>
      </w:r>
      <w:r w:rsidR="00F520D6" w:rsidRPr="00F520D6">
        <w:t>9</w:t>
      </w:r>
    </w:p>
    <w:p w14:paraId="646DCEE4" w14:textId="036D0214" w:rsidR="001253ED" w:rsidRPr="00F520D6" w:rsidRDefault="00160B4E" w:rsidP="00160B4E">
      <w:pPr>
        <w:tabs>
          <w:tab w:val="right" w:pos="850"/>
          <w:tab w:val="left" w:pos="1134"/>
          <w:tab w:val="left" w:pos="1559"/>
          <w:tab w:val="left" w:pos="1984"/>
          <w:tab w:val="left" w:leader="dot" w:pos="7654"/>
          <w:tab w:val="right" w:pos="8929"/>
          <w:tab w:val="right" w:pos="9659"/>
        </w:tabs>
        <w:spacing w:after="120"/>
        <w:ind w:left="1134" w:hanging="1134"/>
      </w:pPr>
      <w:r>
        <w:tab/>
      </w:r>
      <w:r w:rsidR="001253ED" w:rsidRPr="001253ED">
        <w:t>XV.</w:t>
      </w:r>
      <w:r w:rsidR="001253ED" w:rsidRPr="001253ED">
        <w:tab/>
        <w:t xml:space="preserve">Правила № 137 ООН (лобовой удар с уделением особого внимания </w:t>
      </w:r>
      <w:r>
        <w:br/>
      </w:r>
      <w:r w:rsidR="001253ED" w:rsidRPr="001253ED">
        <w:t>удерживающим системам) (пункт 14 повестки дня)</w:t>
      </w:r>
      <w:r w:rsidR="001253ED" w:rsidRPr="001253ED">
        <w:tab/>
      </w:r>
      <w:r w:rsidR="001253ED" w:rsidRPr="001253ED">
        <w:tab/>
        <w:t>25–26</w:t>
      </w:r>
      <w:r w:rsidR="001253ED" w:rsidRPr="001253ED">
        <w:tab/>
      </w:r>
      <w:r w:rsidR="00F520D6" w:rsidRPr="00F520D6">
        <w:t>10</w:t>
      </w:r>
    </w:p>
    <w:p w14:paraId="63A6F68A" w14:textId="1D95981A" w:rsidR="001253ED" w:rsidRPr="00DB61F4" w:rsidRDefault="00160B4E" w:rsidP="00160B4E">
      <w:pPr>
        <w:tabs>
          <w:tab w:val="right" w:pos="850"/>
          <w:tab w:val="left" w:pos="1134"/>
          <w:tab w:val="left" w:pos="1559"/>
          <w:tab w:val="left" w:pos="1984"/>
          <w:tab w:val="left" w:leader="dot" w:pos="7654"/>
          <w:tab w:val="right" w:pos="8929"/>
          <w:tab w:val="right" w:pos="9659"/>
        </w:tabs>
        <w:spacing w:after="120"/>
        <w:ind w:left="1134" w:hanging="1134"/>
      </w:pPr>
      <w:r>
        <w:tab/>
      </w:r>
      <w:r w:rsidR="001253ED" w:rsidRPr="001253ED">
        <w:t>XVI.</w:t>
      </w:r>
      <w:r w:rsidR="001253ED" w:rsidRPr="001253ED">
        <w:tab/>
        <w:t xml:space="preserve">Обеспечение безопасности детей в городских и междугородных автобусах </w:t>
      </w:r>
      <w:r>
        <w:br/>
      </w:r>
      <w:r w:rsidR="001253ED" w:rsidRPr="001253ED">
        <w:t>(пункт 15 повестки дня)</w:t>
      </w:r>
      <w:r w:rsidR="001253ED" w:rsidRPr="001253ED">
        <w:tab/>
      </w:r>
      <w:r w:rsidR="001253ED" w:rsidRPr="001253ED">
        <w:tab/>
        <w:t>27</w:t>
      </w:r>
      <w:r w:rsidR="001253ED" w:rsidRPr="001253ED">
        <w:tab/>
      </w:r>
      <w:r w:rsidR="00DB61F4" w:rsidRPr="00DB61F4">
        <w:t>10</w:t>
      </w:r>
    </w:p>
    <w:p w14:paraId="174CF3B0" w14:textId="7401FF73" w:rsidR="001253ED" w:rsidRPr="00DB61F4" w:rsidRDefault="00160B4E" w:rsidP="00160B4E">
      <w:pPr>
        <w:tabs>
          <w:tab w:val="right" w:pos="850"/>
          <w:tab w:val="left" w:pos="1134"/>
          <w:tab w:val="left" w:pos="1559"/>
          <w:tab w:val="left" w:pos="1984"/>
          <w:tab w:val="left" w:leader="dot" w:pos="7654"/>
          <w:tab w:val="right" w:pos="8929"/>
          <w:tab w:val="right" w:pos="9659"/>
        </w:tabs>
        <w:spacing w:after="120"/>
        <w:ind w:left="1134" w:hanging="1134"/>
      </w:pPr>
      <w:r>
        <w:tab/>
      </w:r>
      <w:r w:rsidR="001253ED" w:rsidRPr="001253ED">
        <w:t>XVII.</w:t>
      </w:r>
      <w:r w:rsidR="001253ED" w:rsidRPr="001253ED">
        <w:tab/>
        <w:t xml:space="preserve">Обмен мнениями по вопросу об автоматизации транспортных средств </w:t>
      </w:r>
      <w:r>
        <w:br/>
      </w:r>
      <w:r w:rsidR="001253ED" w:rsidRPr="001253ED">
        <w:t>(пункт 16 повестки дня)</w:t>
      </w:r>
      <w:r w:rsidR="001253ED" w:rsidRPr="001253ED">
        <w:tab/>
      </w:r>
      <w:r w:rsidR="001253ED" w:rsidRPr="001253ED">
        <w:tab/>
        <w:t>28</w:t>
      </w:r>
      <w:r w:rsidR="001253ED" w:rsidRPr="001253ED">
        <w:tab/>
      </w:r>
      <w:r w:rsidR="00DB61F4" w:rsidRPr="00DB61F4">
        <w:t>11</w:t>
      </w:r>
    </w:p>
    <w:p w14:paraId="7E2D5B75" w14:textId="677B47E0" w:rsidR="001253ED" w:rsidRPr="00DB61F4" w:rsidRDefault="00160B4E" w:rsidP="001253ED">
      <w:pPr>
        <w:tabs>
          <w:tab w:val="right" w:pos="850"/>
          <w:tab w:val="left" w:pos="1134"/>
          <w:tab w:val="left" w:pos="1559"/>
          <w:tab w:val="left" w:pos="1984"/>
          <w:tab w:val="left" w:leader="dot" w:pos="7654"/>
          <w:tab w:val="right" w:pos="8929"/>
          <w:tab w:val="right" w:pos="9659"/>
        </w:tabs>
        <w:spacing w:after="120"/>
      </w:pPr>
      <w:r>
        <w:tab/>
      </w:r>
      <w:r w:rsidR="001253ED" w:rsidRPr="001253ED">
        <w:t>XVIII.</w:t>
      </w:r>
      <w:r w:rsidR="001253ED" w:rsidRPr="001253ED">
        <w:tab/>
        <w:t>Прочие вопросы (пункт 17 повестки дня)</w:t>
      </w:r>
      <w:r w:rsidR="001253ED" w:rsidRPr="001253ED">
        <w:tab/>
      </w:r>
      <w:r w:rsidR="001253ED" w:rsidRPr="001253ED">
        <w:tab/>
        <w:t>29–36</w:t>
      </w:r>
      <w:r w:rsidR="001253ED" w:rsidRPr="001253ED">
        <w:tab/>
      </w:r>
      <w:r w:rsidR="00DB61F4" w:rsidRPr="00DB61F4">
        <w:t>11</w:t>
      </w:r>
    </w:p>
    <w:p w14:paraId="2D1AA45F" w14:textId="02B1C958" w:rsidR="001253ED" w:rsidRPr="00DB61F4" w:rsidRDefault="00160B4E" w:rsidP="00160B4E">
      <w:pPr>
        <w:tabs>
          <w:tab w:val="right" w:pos="850"/>
          <w:tab w:val="left" w:pos="1134"/>
          <w:tab w:val="left" w:pos="1582"/>
          <w:tab w:val="left" w:pos="1984"/>
          <w:tab w:val="left" w:leader="dot" w:pos="7654"/>
          <w:tab w:val="right" w:pos="8929"/>
          <w:tab w:val="right" w:pos="9659"/>
        </w:tabs>
        <w:spacing w:after="120"/>
        <w:ind w:left="1582" w:hanging="1582"/>
      </w:pPr>
      <w:r>
        <w:tab/>
      </w:r>
      <w:r>
        <w:tab/>
      </w:r>
      <w:r w:rsidR="001253ED" w:rsidRPr="001253ED">
        <w:t>A.</w:t>
      </w:r>
      <w:r w:rsidR="001253ED" w:rsidRPr="001253ED">
        <w:tab/>
        <w:t xml:space="preserve">Основные вопросы, рассмотренные на сессиях WP.29 в марте </w:t>
      </w:r>
      <w:r>
        <w:br/>
      </w:r>
      <w:r w:rsidR="001253ED" w:rsidRPr="001253ED">
        <w:t>и июне 2020 года</w:t>
      </w:r>
      <w:r w:rsidR="001253ED" w:rsidRPr="001253ED">
        <w:tab/>
      </w:r>
      <w:r w:rsidR="001253ED" w:rsidRPr="001253ED">
        <w:tab/>
        <w:t>29</w:t>
      </w:r>
      <w:r w:rsidR="001253ED" w:rsidRPr="001253ED">
        <w:tab/>
      </w:r>
      <w:r w:rsidR="00DB61F4" w:rsidRPr="00DB61F4">
        <w:t>11</w:t>
      </w:r>
    </w:p>
    <w:p w14:paraId="72209691" w14:textId="39C283BF" w:rsidR="001253ED" w:rsidRPr="00DB61F4" w:rsidRDefault="00160B4E" w:rsidP="001253ED">
      <w:pPr>
        <w:tabs>
          <w:tab w:val="right" w:pos="850"/>
          <w:tab w:val="left" w:pos="1134"/>
          <w:tab w:val="left" w:pos="1559"/>
          <w:tab w:val="left" w:pos="1984"/>
          <w:tab w:val="left" w:leader="dot" w:pos="7654"/>
          <w:tab w:val="right" w:pos="8929"/>
          <w:tab w:val="right" w:pos="9659"/>
        </w:tabs>
        <w:spacing w:after="120"/>
      </w:pPr>
      <w:r>
        <w:tab/>
      </w:r>
      <w:r>
        <w:tab/>
      </w:r>
      <w:r w:rsidR="001253ED" w:rsidRPr="001253ED">
        <w:t>B.</w:t>
      </w:r>
      <w:r w:rsidR="001253ED" w:rsidRPr="001253ED">
        <w:tab/>
        <w:t>Правила № 44 ООН (детские удерживающие системы)</w:t>
      </w:r>
      <w:r w:rsidR="001253ED" w:rsidRPr="001253ED">
        <w:tab/>
      </w:r>
      <w:r w:rsidR="001253ED" w:rsidRPr="001253ED">
        <w:tab/>
        <w:t>30–33</w:t>
      </w:r>
      <w:r w:rsidR="001253ED" w:rsidRPr="001253ED">
        <w:tab/>
      </w:r>
      <w:r w:rsidR="00DB61F4" w:rsidRPr="00DB61F4">
        <w:t>11</w:t>
      </w:r>
    </w:p>
    <w:p w14:paraId="673D3282" w14:textId="1B19C3DA" w:rsidR="001253ED" w:rsidRPr="00DB61F4" w:rsidRDefault="00160B4E" w:rsidP="001253ED">
      <w:pPr>
        <w:tabs>
          <w:tab w:val="right" w:pos="850"/>
          <w:tab w:val="left" w:pos="1134"/>
          <w:tab w:val="left" w:pos="1559"/>
          <w:tab w:val="left" w:pos="1984"/>
          <w:tab w:val="left" w:leader="dot" w:pos="7654"/>
          <w:tab w:val="right" w:pos="8929"/>
          <w:tab w:val="right" w:pos="9659"/>
        </w:tabs>
        <w:spacing w:after="120"/>
      </w:pPr>
      <w:r>
        <w:tab/>
      </w:r>
      <w:r>
        <w:tab/>
      </w:r>
      <w:r w:rsidR="001253ED" w:rsidRPr="001253ED">
        <w:t>C.</w:t>
      </w:r>
      <w:r w:rsidR="001253ED" w:rsidRPr="001253ED">
        <w:tab/>
        <w:t>Перечень приоритетных направлений работы GRSP</w:t>
      </w:r>
      <w:r w:rsidR="001253ED" w:rsidRPr="001253ED">
        <w:tab/>
      </w:r>
      <w:r w:rsidR="001253ED" w:rsidRPr="001253ED">
        <w:tab/>
        <w:t>34</w:t>
      </w:r>
      <w:r w:rsidR="001253ED" w:rsidRPr="001253ED">
        <w:tab/>
        <w:t>1</w:t>
      </w:r>
      <w:r w:rsidR="00DB61F4" w:rsidRPr="00DB61F4">
        <w:t>2</w:t>
      </w:r>
    </w:p>
    <w:p w14:paraId="31C78C8E" w14:textId="7FA45AB4" w:rsidR="001253ED" w:rsidRPr="00DB61F4" w:rsidRDefault="00160B4E" w:rsidP="00160B4E">
      <w:pPr>
        <w:tabs>
          <w:tab w:val="right" w:pos="850"/>
          <w:tab w:val="left" w:pos="1134"/>
          <w:tab w:val="left" w:pos="1559"/>
          <w:tab w:val="left" w:pos="1984"/>
          <w:tab w:val="left" w:leader="dot" w:pos="7654"/>
          <w:tab w:val="right" w:pos="8929"/>
          <w:tab w:val="right" w:pos="9659"/>
        </w:tabs>
        <w:spacing w:after="120"/>
        <w:ind w:left="1559" w:hanging="1559"/>
      </w:pPr>
      <w:r>
        <w:tab/>
      </w:r>
      <w:r>
        <w:tab/>
      </w:r>
      <w:r w:rsidR="001253ED" w:rsidRPr="001253ED">
        <w:t>D.</w:t>
      </w:r>
      <w:r w:rsidR="001253ED" w:rsidRPr="001253ED">
        <w:tab/>
        <w:t xml:space="preserve">Новые Правила ООН, касающиеся целостности топливной системы </w:t>
      </w:r>
      <w:r>
        <w:br/>
      </w:r>
      <w:r w:rsidR="001253ED" w:rsidRPr="001253ED">
        <w:t>и безопасности электрического привода в случае удара сзади</w:t>
      </w:r>
      <w:r w:rsidR="001253ED" w:rsidRPr="001253ED">
        <w:tab/>
      </w:r>
      <w:r w:rsidR="001253ED" w:rsidRPr="001253ED">
        <w:tab/>
        <w:t>35</w:t>
      </w:r>
      <w:r w:rsidR="001253ED" w:rsidRPr="001253ED">
        <w:tab/>
        <w:t>1</w:t>
      </w:r>
      <w:r w:rsidR="00DB61F4" w:rsidRPr="00DB61F4">
        <w:t>3</w:t>
      </w:r>
    </w:p>
    <w:p w14:paraId="4F67E991" w14:textId="1DB3E59B" w:rsidR="001253ED" w:rsidRPr="00DB61F4" w:rsidRDefault="00160B4E" w:rsidP="001253ED">
      <w:pPr>
        <w:tabs>
          <w:tab w:val="right" w:pos="850"/>
          <w:tab w:val="left" w:pos="1134"/>
          <w:tab w:val="left" w:pos="1559"/>
          <w:tab w:val="left" w:pos="1984"/>
          <w:tab w:val="left" w:leader="dot" w:pos="7654"/>
          <w:tab w:val="right" w:pos="8929"/>
          <w:tab w:val="right" w:pos="9659"/>
        </w:tabs>
        <w:spacing w:after="120"/>
      </w:pPr>
      <w:r>
        <w:tab/>
      </w:r>
      <w:r>
        <w:tab/>
      </w:r>
      <w:r w:rsidR="001253ED" w:rsidRPr="001253ED">
        <w:t>E.</w:t>
      </w:r>
      <w:r w:rsidR="001253ED" w:rsidRPr="001253ED">
        <w:tab/>
        <w:t>Соболезнования</w:t>
      </w:r>
      <w:r w:rsidR="001253ED" w:rsidRPr="001253ED">
        <w:tab/>
      </w:r>
      <w:r w:rsidR="001253ED" w:rsidRPr="001253ED">
        <w:tab/>
        <w:t>36</w:t>
      </w:r>
      <w:r w:rsidR="001253ED" w:rsidRPr="001253ED">
        <w:tab/>
        <w:t>1</w:t>
      </w:r>
      <w:r w:rsidR="00DB61F4" w:rsidRPr="00DB61F4">
        <w:t>3</w:t>
      </w:r>
    </w:p>
    <w:p w14:paraId="6078528A" w14:textId="493A3C41" w:rsidR="001253ED" w:rsidRPr="00DB61F4" w:rsidRDefault="00160B4E" w:rsidP="00160B4E">
      <w:pPr>
        <w:tabs>
          <w:tab w:val="right" w:pos="850"/>
          <w:tab w:val="left" w:pos="1134"/>
          <w:tab w:val="left" w:pos="1559"/>
          <w:tab w:val="left" w:pos="1984"/>
          <w:tab w:val="left" w:leader="dot" w:pos="7654"/>
          <w:tab w:val="right" w:pos="8929"/>
          <w:tab w:val="right" w:pos="9659"/>
        </w:tabs>
        <w:spacing w:after="120"/>
        <w:ind w:left="1134" w:hanging="1134"/>
      </w:pPr>
      <w:r>
        <w:tab/>
      </w:r>
      <w:r w:rsidR="001253ED" w:rsidRPr="001253ED">
        <w:t>XIX.</w:t>
      </w:r>
      <w:r w:rsidR="001253ED" w:rsidRPr="001253ED">
        <w:tab/>
        <w:t xml:space="preserve">Предварительная повестка дня следующей сессии </w:t>
      </w:r>
      <w:r>
        <w:br/>
      </w:r>
      <w:r w:rsidR="001253ED" w:rsidRPr="001253ED">
        <w:t>(пункт 18 повестки дня)</w:t>
      </w:r>
      <w:r w:rsidR="001253ED" w:rsidRPr="001253ED">
        <w:tab/>
      </w:r>
      <w:r w:rsidR="001253ED" w:rsidRPr="001253ED">
        <w:tab/>
        <w:t>37</w:t>
      </w:r>
      <w:r w:rsidR="001253ED" w:rsidRPr="001253ED">
        <w:tab/>
        <w:t>1</w:t>
      </w:r>
      <w:r w:rsidR="00DB61F4" w:rsidRPr="00DB61F4">
        <w:t>3</w:t>
      </w:r>
    </w:p>
    <w:p w14:paraId="0303636F" w14:textId="77777777" w:rsidR="001253ED" w:rsidRPr="00326131" w:rsidRDefault="001253ED" w:rsidP="001253ED">
      <w:pPr>
        <w:tabs>
          <w:tab w:val="right" w:pos="850"/>
          <w:tab w:val="left" w:pos="1134"/>
          <w:tab w:val="left" w:pos="1559"/>
          <w:tab w:val="left" w:pos="1984"/>
          <w:tab w:val="left" w:leader="dot" w:pos="7654"/>
          <w:tab w:val="right" w:pos="8929"/>
          <w:tab w:val="right" w:pos="9638"/>
        </w:tabs>
        <w:spacing w:after="120"/>
        <w:rPr>
          <w:lang w:val="en-US"/>
        </w:rPr>
      </w:pPr>
      <w:r w:rsidRPr="001253ED">
        <w:t>Приложения</w:t>
      </w:r>
    </w:p>
    <w:p w14:paraId="340A50FF" w14:textId="3439C871" w:rsidR="001253ED" w:rsidRPr="00DB61F4" w:rsidRDefault="00160B4E" w:rsidP="00160B4E">
      <w:pPr>
        <w:tabs>
          <w:tab w:val="right" w:pos="850"/>
          <w:tab w:val="left" w:pos="1134"/>
          <w:tab w:val="left" w:pos="1559"/>
          <w:tab w:val="left" w:pos="1984"/>
          <w:tab w:val="left" w:leader="dot" w:pos="8931"/>
          <w:tab w:val="right" w:pos="9638"/>
        </w:tabs>
        <w:spacing w:after="120"/>
        <w:ind w:left="1134" w:hanging="1134"/>
        <w:rPr>
          <w:lang w:val="en-US"/>
        </w:rPr>
      </w:pPr>
      <w:r w:rsidRPr="00326131">
        <w:rPr>
          <w:lang w:val="en-US"/>
        </w:rPr>
        <w:tab/>
      </w:r>
      <w:r w:rsidR="001253ED" w:rsidRPr="00DB61F4">
        <w:rPr>
          <w:lang w:val="en-US"/>
        </w:rPr>
        <w:t>I.</w:t>
      </w:r>
      <w:r w:rsidR="001253ED" w:rsidRPr="00DB61F4">
        <w:rPr>
          <w:lang w:val="en-US"/>
        </w:rPr>
        <w:tab/>
      </w:r>
      <w:r w:rsidR="00DB61F4" w:rsidRPr="00DB61F4">
        <w:rPr>
          <w:lang w:val="en-US"/>
        </w:rPr>
        <w:t xml:space="preserve">List of informal documents (GRSP-67-…) distributed without an official symbol during </w:t>
      </w:r>
      <w:r w:rsidR="00DB61F4">
        <w:rPr>
          <w:lang w:val="en-US"/>
        </w:rPr>
        <w:br/>
      </w:r>
      <w:r w:rsidR="00DB61F4" w:rsidRPr="00DB61F4">
        <w:rPr>
          <w:lang w:val="en-US"/>
        </w:rPr>
        <w:t>the session</w:t>
      </w:r>
      <w:r w:rsidR="001253ED" w:rsidRPr="00DB61F4">
        <w:rPr>
          <w:lang w:val="en-US"/>
        </w:rPr>
        <w:tab/>
      </w:r>
      <w:r w:rsidR="001253ED" w:rsidRPr="00DB61F4">
        <w:rPr>
          <w:lang w:val="en-US"/>
        </w:rPr>
        <w:tab/>
        <w:t>1</w:t>
      </w:r>
      <w:r w:rsidR="00DB61F4" w:rsidRPr="00DB61F4">
        <w:rPr>
          <w:lang w:val="en-US"/>
        </w:rPr>
        <w:t>5</w:t>
      </w:r>
    </w:p>
    <w:p w14:paraId="0AD21EE8" w14:textId="6850D41C" w:rsidR="001253ED" w:rsidRPr="00DB61F4" w:rsidRDefault="00160B4E" w:rsidP="00160B4E">
      <w:pPr>
        <w:tabs>
          <w:tab w:val="right" w:pos="850"/>
          <w:tab w:val="left" w:pos="1134"/>
          <w:tab w:val="left" w:pos="1559"/>
          <w:tab w:val="left" w:pos="1984"/>
          <w:tab w:val="left" w:leader="dot" w:pos="8931"/>
          <w:tab w:val="right" w:pos="9638"/>
        </w:tabs>
        <w:spacing w:after="120"/>
      </w:pPr>
      <w:r w:rsidRPr="00DB61F4">
        <w:rPr>
          <w:lang w:val="en-US"/>
        </w:rPr>
        <w:tab/>
      </w:r>
      <w:r w:rsidR="001253ED" w:rsidRPr="001253ED">
        <w:t>II.</w:t>
      </w:r>
      <w:r w:rsidR="001253ED" w:rsidRPr="001253ED">
        <w:tab/>
        <w:t>Проект поправок к ГТП № 9 ООН (безопасность пешеходов)</w:t>
      </w:r>
      <w:r w:rsidR="001253ED" w:rsidRPr="001253ED">
        <w:tab/>
      </w:r>
      <w:r w:rsidR="001253ED" w:rsidRPr="001253ED">
        <w:tab/>
        <w:t>1</w:t>
      </w:r>
      <w:r w:rsidR="00DB61F4" w:rsidRPr="00DB61F4">
        <w:t>8</w:t>
      </w:r>
    </w:p>
    <w:p w14:paraId="39F873B6" w14:textId="767B3C3F" w:rsidR="001253ED" w:rsidRPr="00DB61F4" w:rsidRDefault="00160B4E" w:rsidP="00160B4E">
      <w:pPr>
        <w:tabs>
          <w:tab w:val="right" w:pos="850"/>
          <w:tab w:val="left" w:pos="1134"/>
          <w:tab w:val="left" w:pos="1559"/>
          <w:tab w:val="left" w:pos="1984"/>
          <w:tab w:val="left" w:leader="dot" w:pos="8931"/>
          <w:tab w:val="right" w:pos="9638"/>
        </w:tabs>
        <w:spacing w:after="120"/>
      </w:pPr>
      <w:r>
        <w:tab/>
      </w:r>
      <w:r w:rsidR="001253ED" w:rsidRPr="001253ED">
        <w:t>III.</w:t>
      </w:r>
      <w:r w:rsidR="001253ED" w:rsidRPr="001253ED">
        <w:tab/>
        <w:t>Проект поправок к Правилам № 16 ООН (ремни безопасности)</w:t>
      </w:r>
      <w:r w:rsidR="001253ED" w:rsidRPr="001253ED">
        <w:tab/>
      </w:r>
      <w:r w:rsidR="001253ED" w:rsidRPr="001253ED">
        <w:tab/>
      </w:r>
      <w:r w:rsidR="00DB61F4" w:rsidRPr="00DB61F4">
        <w:t>22</w:t>
      </w:r>
    </w:p>
    <w:p w14:paraId="0B7BE742" w14:textId="0A9E890A" w:rsidR="001253ED" w:rsidRPr="00DB61F4" w:rsidRDefault="00160B4E" w:rsidP="00160B4E">
      <w:pPr>
        <w:tabs>
          <w:tab w:val="right" w:pos="850"/>
          <w:tab w:val="left" w:pos="1134"/>
          <w:tab w:val="left" w:pos="1559"/>
          <w:tab w:val="left" w:pos="1984"/>
          <w:tab w:val="left" w:leader="dot" w:pos="8931"/>
          <w:tab w:val="right" w:pos="9638"/>
        </w:tabs>
        <w:spacing w:after="120"/>
      </w:pPr>
      <w:r>
        <w:tab/>
      </w:r>
      <w:r w:rsidR="001253ED" w:rsidRPr="001253ED">
        <w:t>IV.</w:t>
      </w:r>
      <w:r w:rsidR="001253ED" w:rsidRPr="001253ED">
        <w:tab/>
        <w:t>Проект поправок к Правилам № 17 ООН (прочность сидений)</w:t>
      </w:r>
      <w:r w:rsidR="001253ED" w:rsidRPr="001253ED">
        <w:tab/>
      </w:r>
      <w:r w:rsidR="001253ED" w:rsidRPr="001253ED">
        <w:tab/>
        <w:t>2</w:t>
      </w:r>
      <w:r w:rsidR="00DB61F4" w:rsidRPr="00DB61F4">
        <w:t>3</w:t>
      </w:r>
    </w:p>
    <w:p w14:paraId="2B639629" w14:textId="25920304" w:rsidR="001253ED" w:rsidRPr="00DB61F4" w:rsidRDefault="00160B4E" w:rsidP="00160B4E">
      <w:pPr>
        <w:tabs>
          <w:tab w:val="right" w:pos="850"/>
          <w:tab w:val="left" w:pos="1134"/>
          <w:tab w:val="left" w:pos="1559"/>
          <w:tab w:val="left" w:pos="1984"/>
          <w:tab w:val="left" w:leader="dot" w:pos="8931"/>
          <w:tab w:val="right" w:pos="9638"/>
        </w:tabs>
        <w:spacing w:after="120"/>
      </w:pPr>
      <w:r>
        <w:tab/>
      </w:r>
      <w:r w:rsidR="001253ED" w:rsidRPr="001253ED">
        <w:t>V.</w:t>
      </w:r>
      <w:r w:rsidR="001253ED" w:rsidRPr="001253ED">
        <w:tab/>
        <w:t>Проект поправок к Правилам № 44 ООН (детские удерживающие системы)</w:t>
      </w:r>
      <w:r w:rsidR="001253ED" w:rsidRPr="001253ED">
        <w:tab/>
      </w:r>
      <w:r w:rsidR="001253ED" w:rsidRPr="001253ED">
        <w:tab/>
        <w:t>2</w:t>
      </w:r>
      <w:r w:rsidR="00DB61F4" w:rsidRPr="00DB61F4">
        <w:t>4</w:t>
      </w:r>
    </w:p>
    <w:p w14:paraId="26846BCD" w14:textId="7344DAD1" w:rsidR="001253ED" w:rsidRPr="00DB61F4" w:rsidRDefault="00160B4E" w:rsidP="00160B4E">
      <w:pPr>
        <w:tabs>
          <w:tab w:val="right" w:pos="850"/>
          <w:tab w:val="left" w:pos="1134"/>
          <w:tab w:val="left" w:pos="1559"/>
          <w:tab w:val="left" w:pos="1984"/>
          <w:tab w:val="left" w:leader="dot" w:pos="8931"/>
          <w:tab w:val="right" w:pos="9638"/>
        </w:tabs>
        <w:spacing w:after="120"/>
      </w:pPr>
      <w:r>
        <w:tab/>
      </w:r>
      <w:r w:rsidR="001253ED" w:rsidRPr="001253ED">
        <w:t>VI.</w:t>
      </w:r>
      <w:r w:rsidR="001253ED" w:rsidRPr="001253ED">
        <w:tab/>
        <w:t>Проект поправок к Правилам № 94 ООН (лобовое столкновение)</w:t>
      </w:r>
      <w:r w:rsidR="001253ED" w:rsidRPr="001253ED">
        <w:tab/>
      </w:r>
      <w:r w:rsidR="001253ED" w:rsidRPr="001253ED">
        <w:tab/>
        <w:t>2</w:t>
      </w:r>
      <w:r w:rsidR="00DB61F4" w:rsidRPr="00DB61F4">
        <w:t>6</w:t>
      </w:r>
    </w:p>
    <w:p w14:paraId="41286732" w14:textId="092DC530" w:rsidR="001253ED" w:rsidRPr="00DB61F4" w:rsidRDefault="00160B4E" w:rsidP="00160B4E">
      <w:pPr>
        <w:tabs>
          <w:tab w:val="right" w:pos="850"/>
          <w:tab w:val="left" w:pos="1134"/>
          <w:tab w:val="left" w:pos="1559"/>
          <w:tab w:val="left" w:pos="1984"/>
          <w:tab w:val="left" w:leader="dot" w:pos="8931"/>
          <w:tab w:val="right" w:pos="9638"/>
        </w:tabs>
        <w:spacing w:after="120"/>
      </w:pPr>
      <w:r>
        <w:tab/>
      </w:r>
      <w:r w:rsidR="001253ED" w:rsidRPr="001253ED">
        <w:t>VII.</w:t>
      </w:r>
      <w:r w:rsidR="001253ED" w:rsidRPr="001253ED">
        <w:tab/>
        <w:t>Проект поправок к Правилам № 95 ООН (боковое столкновение)</w:t>
      </w:r>
      <w:r w:rsidR="001253ED" w:rsidRPr="001253ED">
        <w:tab/>
      </w:r>
      <w:r w:rsidR="001253ED" w:rsidRPr="001253ED">
        <w:tab/>
        <w:t>2</w:t>
      </w:r>
      <w:r w:rsidR="00DB61F4" w:rsidRPr="00DB61F4">
        <w:t>7</w:t>
      </w:r>
    </w:p>
    <w:p w14:paraId="460BCD31" w14:textId="61996D0C" w:rsidR="001253ED" w:rsidRPr="00DB61F4" w:rsidRDefault="00160B4E" w:rsidP="00160B4E">
      <w:pPr>
        <w:tabs>
          <w:tab w:val="right" w:pos="850"/>
          <w:tab w:val="left" w:pos="1134"/>
          <w:tab w:val="left" w:pos="1559"/>
          <w:tab w:val="left" w:pos="1984"/>
          <w:tab w:val="left" w:leader="dot" w:pos="8931"/>
          <w:tab w:val="right" w:pos="9638"/>
        </w:tabs>
        <w:spacing w:after="120"/>
      </w:pPr>
      <w:r>
        <w:tab/>
      </w:r>
      <w:r w:rsidR="001253ED" w:rsidRPr="001253ED">
        <w:t>VIII.</w:t>
      </w:r>
      <w:r w:rsidR="001253ED" w:rsidRPr="001253ED">
        <w:tab/>
        <w:t>Проект поправок к Правилам № 100 ООН (транспортные средства с электроприводом)</w:t>
      </w:r>
      <w:r w:rsidR="001253ED" w:rsidRPr="001253ED">
        <w:tab/>
      </w:r>
      <w:r w:rsidR="001253ED" w:rsidRPr="001253ED">
        <w:tab/>
        <w:t>2</w:t>
      </w:r>
      <w:r w:rsidR="00DB61F4" w:rsidRPr="00DB61F4">
        <w:t>8</w:t>
      </w:r>
    </w:p>
    <w:p w14:paraId="4DCBBD72" w14:textId="785EB343" w:rsidR="001253ED" w:rsidRPr="00DB61F4" w:rsidRDefault="00160B4E" w:rsidP="00160B4E">
      <w:pPr>
        <w:tabs>
          <w:tab w:val="right" w:pos="850"/>
          <w:tab w:val="left" w:pos="1134"/>
          <w:tab w:val="left" w:pos="1559"/>
          <w:tab w:val="left" w:pos="1984"/>
          <w:tab w:val="left" w:leader="dot" w:pos="8931"/>
          <w:tab w:val="right" w:pos="9638"/>
        </w:tabs>
        <w:spacing w:after="120"/>
        <w:ind w:left="1134" w:hanging="1134"/>
      </w:pPr>
      <w:r>
        <w:tab/>
      </w:r>
      <w:r w:rsidR="001253ED" w:rsidRPr="001253ED">
        <w:t>IX.</w:t>
      </w:r>
      <w:r w:rsidR="001253ED" w:rsidRPr="001253ED">
        <w:tab/>
        <w:t xml:space="preserve">Проект поправок к Правилам № 137 ООН (лобовой удар с уделением особого </w:t>
      </w:r>
      <w:r>
        <w:br/>
      </w:r>
      <w:r w:rsidR="001253ED" w:rsidRPr="001253ED">
        <w:t>внимания удерживающим системам)</w:t>
      </w:r>
      <w:r w:rsidR="001253ED" w:rsidRPr="001253ED">
        <w:tab/>
      </w:r>
      <w:r w:rsidR="001253ED" w:rsidRPr="001253ED">
        <w:tab/>
      </w:r>
      <w:r w:rsidR="00DB61F4" w:rsidRPr="00DB61F4">
        <w:t>30</w:t>
      </w:r>
    </w:p>
    <w:p w14:paraId="1C2FA6CB" w14:textId="07539F22" w:rsidR="001253ED" w:rsidRPr="00DB61F4" w:rsidRDefault="00160B4E" w:rsidP="00160B4E">
      <w:pPr>
        <w:tabs>
          <w:tab w:val="right" w:pos="850"/>
          <w:tab w:val="left" w:pos="1134"/>
          <w:tab w:val="left" w:pos="1559"/>
          <w:tab w:val="left" w:pos="1984"/>
          <w:tab w:val="left" w:leader="dot" w:pos="8931"/>
          <w:tab w:val="right" w:pos="9638"/>
        </w:tabs>
        <w:spacing w:after="120"/>
        <w:ind w:left="1134" w:hanging="1134"/>
      </w:pPr>
      <w:r>
        <w:tab/>
      </w:r>
      <w:r w:rsidR="001253ED" w:rsidRPr="001253ED">
        <w:t>X.</w:t>
      </w:r>
      <w:r w:rsidR="001253ED" w:rsidRPr="001253ED">
        <w:tab/>
        <w:t xml:space="preserve">Проект поправок к новым Правилам ООН, касающимся целостности топливной </w:t>
      </w:r>
      <w:r>
        <w:br/>
      </w:r>
      <w:r w:rsidR="001253ED" w:rsidRPr="001253ED">
        <w:t>системы и безопасности электрического привода в случае удара сзади</w:t>
      </w:r>
      <w:r w:rsidR="001253ED" w:rsidRPr="001253ED">
        <w:tab/>
      </w:r>
      <w:r w:rsidR="001253ED" w:rsidRPr="001253ED">
        <w:tab/>
      </w:r>
      <w:r w:rsidR="00DB61F4" w:rsidRPr="00DB61F4">
        <w:t>31</w:t>
      </w:r>
    </w:p>
    <w:p w14:paraId="6B1E6E32" w14:textId="4A194E03" w:rsidR="001253ED" w:rsidRPr="00DB61F4" w:rsidRDefault="00160B4E" w:rsidP="00160B4E">
      <w:pPr>
        <w:tabs>
          <w:tab w:val="right" w:pos="850"/>
          <w:tab w:val="left" w:pos="1134"/>
          <w:tab w:val="left" w:pos="1559"/>
          <w:tab w:val="left" w:pos="1984"/>
          <w:tab w:val="left" w:leader="dot" w:pos="8931"/>
          <w:tab w:val="right" w:pos="9638"/>
        </w:tabs>
        <w:spacing w:after="120"/>
        <w:rPr>
          <w:lang w:val="en-US"/>
        </w:rPr>
      </w:pPr>
      <w:r>
        <w:tab/>
      </w:r>
      <w:r w:rsidR="001253ED" w:rsidRPr="00DB61F4">
        <w:rPr>
          <w:lang w:val="en-US"/>
        </w:rPr>
        <w:t>XI.</w:t>
      </w:r>
      <w:r w:rsidR="001253ED" w:rsidRPr="00DB61F4">
        <w:rPr>
          <w:lang w:val="en-US"/>
        </w:rPr>
        <w:tab/>
      </w:r>
      <w:r w:rsidR="00DB61F4" w:rsidRPr="00DB61F4">
        <w:rPr>
          <w:lang w:val="en-US"/>
        </w:rPr>
        <w:t>List of GRSP informal working groups</w:t>
      </w:r>
      <w:r w:rsidR="001253ED" w:rsidRPr="00DB61F4">
        <w:rPr>
          <w:lang w:val="en-US"/>
        </w:rPr>
        <w:tab/>
      </w:r>
      <w:r w:rsidR="001253ED" w:rsidRPr="00DB61F4">
        <w:rPr>
          <w:lang w:val="en-US"/>
        </w:rPr>
        <w:tab/>
      </w:r>
      <w:r w:rsidR="00DB61F4" w:rsidRPr="00DB61F4">
        <w:rPr>
          <w:lang w:val="en-US"/>
        </w:rPr>
        <w:t>32</w:t>
      </w:r>
    </w:p>
    <w:p w14:paraId="097653B4" w14:textId="77777777" w:rsidR="001253ED" w:rsidRPr="00DB61F4" w:rsidRDefault="001253ED">
      <w:pPr>
        <w:suppressAutoHyphens w:val="0"/>
        <w:spacing w:line="240" w:lineRule="auto"/>
        <w:rPr>
          <w:lang w:val="en-US"/>
        </w:rPr>
      </w:pPr>
      <w:r w:rsidRPr="00DB61F4">
        <w:rPr>
          <w:lang w:val="en-US"/>
        </w:rPr>
        <w:br w:type="page"/>
      </w:r>
    </w:p>
    <w:p w14:paraId="1B75C449" w14:textId="77777777" w:rsidR="001253ED" w:rsidRPr="001253ED" w:rsidRDefault="008E4D90" w:rsidP="008E4D90">
      <w:pPr>
        <w:pStyle w:val="HChG"/>
      </w:pPr>
      <w:r w:rsidRPr="00DB61F4">
        <w:rPr>
          <w:lang w:val="en-US"/>
        </w:rPr>
        <w:tab/>
      </w:r>
      <w:r w:rsidR="001253ED" w:rsidRPr="001253ED">
        <w:t>I.</w:t>
      </w:r>
      <w:r w:rsidR="001253ED" w:rsidRPr="001253ED">
        <w:tab/>
      </w:r>
      <w:r w:rsidR="001253ED" w:rsidRPr="001253ED">
        <w:tab/>
        <w:t>Участники</w:t>
      </w:r>
    </w:p>
    <w:p w14:paraId="0FF7D839" w14:textId="30EE6ADF" w:rsidR="001253ED" w:rsidRPr="001253ED" w:rsidRDefault="001253ED" w:rsidP="001253ED">
      <w:pPr>
        <w:pStyle w:val="SingleTxtG"/>
      </w:pPr>
      <w:r w:rsidRPr="001253ED">
        <w:t>1.</w:t>
      </w:r>
      <w:r w:rsidRPr="001253ED">
        <w:tab/>
        <w:t xml:space="preserve">Рабочая группа по пассивной безопасности (GRSP) провела совещание </w:t>
      </w:r>
      <w:r w:rsidR="008E4D90">
        <w:br/>
      </w:r>
      <w:r w:rsidRPr="001253ED">
        <w:t>20−23 июля 2020 года в онлайновом режиме и без устного перевода (неофициальное совещание вместо шестьдесят седьмой сессии), организованное из Женевы. Функции Председателя исполнял г-н Мартин Кубек (Соединенные Штаты Америки). В</w:t>
      </w:r>
      <w:r w:rsidR="008E4D90">
        <w:rPr>
          <w:lang w:val="en-US"/>
        </w:rPr>
        <w:t> </w:t>
      </w:r>
      <w:r w:rsidRPr="001253ED">
        <w:t>соответствии с правилом 1 a) Правил процедуры Всемирного форума для согласования правил в области транспортных средств (WP.29) (</w:t>
      </w:r>
      <w:r w:rsidR="00C04EC7">
        <w:rPr>
          <w:lang w:val="en-US"/>
        </w:rPr>
        <w:t>ECE</w:t>
      </w:r>
      <w:r w:rsidR="00C04EC7" w:rsidRPr="00C04EC7">
        <w:t>/</w:t>
      </w:r>
      <w:r w:rsidRPr="001253ED">
        <w:t>TRANS/WP.29/</w:t>
      </w:r>
      <w:r w:rsidR="008E4D90">
        <w:br/>
      </w:r>
      <w:r w:rsidRPr="001253ED">
        <w:t>690/Rev.1) в работе сессии участвовали эксперты от следующих стран: Вьетнама, Германии, Израиля, Индии, Испании, Италии, Канады, Китая, Нигерии,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Турции, Финляндии, Франции, Чехии, Швейцарии, Южной Африки и Японии. Кроме того, в ее работе участвовали эксперты от Европейской комиссии (ЕК). В работе сессии участвовали также эксперты от следующих неправительственных организаций: Международной организации потребительских союзов (МОПС), Европейской ассоциации по координации представительства потребителей в области стандартизации (АСЭК), Европейской ассоциации поставщиков автомобильных деталей (КСАОД), Международной автомобильной федерации (ФИА), Международной мотоциклетной федерации (ММФ), Глобальной программы оценки новых автомобилей (Глобальной программы НКАП), Международной ассоциации заводов-изготовителей мотоциклов (МАЗМ), Международной организации предприятий автомобильной промышленности (МОПАП) и Всемирной ассоциации предприятий велосипедной промышленности (ВБИА).</w:t>
      </w:r>
    </w:p>
    <w:p w14:paraId="322EC2EC" w14:textId="77777777" w:rsidR="001253ED" w:rsidRPr="001253ED" w:rsidRDefault="001253ED" w:rsidP="001253ED">
      <w:pPr>
        <w:pStyle w:val="SingleTxtG"/>
      </w:pPr>
      <w:r w:rsidRPr="001253ED">
        <w:t>2.</w:t>
      </w:r>
      <w:r w:rsidRPr="001253ED">
        <w:tab/>
        <w:t>Перечень неофициальных документов, распространенных в ходе сессии, содержится в приложении I к настоящему докладу.</w:t>
      </w:r>
    </w:p>
    <w:p w14:paraId="46F8A4C3" w14:textId="77777777" w:rsidR="001253ED" w:rsidRPr="001253ED" w:rsidRDefault="001253ED" w:rsidP="008E4D90">
      <w:pPr>
        <w:pStyle w:val="HChG"/>
      </w:pPr>
      <w:r w:rsidRPr="001253ED">
        <w:tab/>
        <w:t>II.</w:t>
      </w:r>
      <w:r w:rsidRPr="001253ED">
        <w:tab/>
        <w:t>Утверждение повестки дня (пункт 1 повестки дня)</w:t>
      </w:r>
    </w:p>
    <w:p w14:paraId="4BD59C30" w14:textId="77777777" w:rsidR="001253ED" w:rsidRPr="001253ED" w:rsidRDefault="001253ED" w:rsidP="008E4D90">
      <w:pPr>
        <w:pStyle w:val="SingleTxtG"/>
        <w:ind w:left="2835" w:hanging="1701"/>
        <w:jc w:val="left"/>
      </w:pPr>
      <w:r w:rsidRPr="001253ED">
        <w:rPr>
          <w:i/>
          <w:iCs/>
        </w:rPr>
        <w:t>Документация</w:t>
      </w:r>
      <w:r w:rsidRPr="001253ED">
        <w:t>:</w:t>
      </w:r>
      <w:r w:rsidRPr="001253ED">
        <w:tab/>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/2020/</w:t>
      </w:r>
      <w:r w:rsidRPr="001253ED">
        <w:rPr>
          <w:lang w:val="en-US"/>
        </w:rPr>
        <w:t>Rev</w:t>
      </w:r>
      <w:r w:rsidRPr="001253ED">
        <w:t>.1</w:t>
      </w:r>
      <w:r w:rsidR="008E4D90">
        <w:br/>
      </w:r>
      <w:r w:rsidRPr="001253ED">
        <w:t>неофициальные документы GRSP-67-01-Rev.3, GRSP-67-02, GRSP-67-03 и GRSP-67-26</w:t>
      </w:r>
    </w:p>
    <w:p w14:paraId="5CD5C4FD" w14:textId="77777777" w:rsidR="001253ED" w:rsidRPr="001253ED" w:rsidRDefault="001253ED" w:rsidP="001253ED">
      <w:pPr>
        <w:pStyle w:val="SingleTxtG"/>
      </w:pPr>
      <w:r w:rsidRPr="001253ED">
        <w:t>3.</w:t>
      </w:r>
      <w:r w:rsidRPr="001253ED">
        <w:tab/>
        <w:t>GRSP рассмотрела и утвердила повестку дня (ECE/TRANS/WP.29/GRSP/</w:t>
      </w:r>
      <w:r w:rsidR="008E4D90">
        <w:br/>
      </w:r>
      <w:r w:rsidRPr="001253ED">
        <w:t>2020/Rev.1), предложенную для шестьдесят седьмой сессии, порядок рассмотрения ее пунктов (GRSP-67-01-Rev.3), руководящие принципы проведения совещаний в виртуальном режиме (GRSP-67-02), памятку о порядке работы (GRSP-67-03) и соответствующие аннотации (GRSP-67-26-Rev.1). Перечень неофициальных рабочих групп GRSP содержится в приложении XI к настоящему докладу.</w:t>
      </w:r>
    </w:p>
    <w:p w14:paraId="0FF2F8CD" w14:textId="77777777" w:rsidR="001253ED" w:rsidRPr="001253ED" w:rsidRDefault="001253ED" w:rsidP="008E4D90">
      <w:pPr>
        <w:pStyle w:val="HChG"/>
      </w:pPr>
      <w:r w:rsidRPr="001253ED">
        <w:tab/>
        <w:t>III.</w:t>
      </w:r>
      <w:r w:rsidRPr="001253ED">
        <w:tab/>
        <w:t>Глобальные технические правила № 9 ООН (безопасность пешеходов) (пункт 2 повестки дня)</w:t>
      </w:r>
    </w:p>
    <w:p w14:paraId="773F909C" w14:textId="77777777" w:rsidR="001253ED" w:rsidRPr="001253ED" w:rsidRDefault="008E4D90" w:rsidP="008E4D90">
      <w:pPr>
        <w:pStyle w:val="H1G"/>
      </w:pPr>
      <w:r>
        <w:tab/>
      </w:r>
      <w:r>
        <w:rPr>
          <w:lang w:val="en-US"/>
        </w:rPr>
        <w:t>A</w:t>
      </w:r>
      <w:r w:rsidRPr="008E4D90">
        <w:t>.</w:t>
      </w:r>
      <w:r>
        <w:tab/>
      </w:r>
      <w:r w:rsidR="001253ED" w:rsidRPr="001253ED">
        <w:t>Предложение по поправке 3</w:t>
      </w:r>
    </w:p>
    <w:p w14:paraId="5C9B9D17" w14:textId="77777777" w:rsidR="001253ED" w:rsidRPr="001253ED" w:rsidRDefault="001253ED" w:rsidP="008E4D90">
      <w:pPr>
        <w:pStyle w:val="SingleTxtG"/>
        <w:ind w:left="2835" w:hanging="1701"/>
        <w:jc w:val="left"/>
      </w:pPr>
      <w:r w:rsidRPr="001253ED">
        <w:rPr>
          <w:i/>
          <w:iCs/>
        </w:rPr>
        <w:t>Документация</w:t>
      </w:r>
      <w:r w:rsidRPr="001253ED">
        <w:t>:</w:t>
      </w:r>
      <w:r w:rsidRPr="001253ED">
        <w:tab/>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 xml:space="preserve">/2012/2 </w:t>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/2014/5</w:t>
      </w:r>
      <w:r w:rsidR="008E4D90">
        <w:br/>
      </w:r>
      <w:r w:rsidRPr="001253ED">
        <w:t xml:space="preserve">неофициальные документы GRSP-65-17, GRSP-65-13 </w:t>
      </w:r>
      <w:r w:rsidR="008E4D90">
        <w:br/>
      </w:r>
      <w:r w:rsidRPr="001253ED">
        <w:t>и GRSP-65-30</w:t>
      </w:r>
    </w:p>
    <w:p w14:paraId="58E67543" w14:textId="77777777" w:rsidR="001253ED" w:rsidRPr="001253ED" w:rsidRDefault="001253ED" w:rsidP="001253ED">
      <w:pPr>
        <w:pStyle w:val="SingleTxtG"/>
      </w:pPr>
      <w:r w:rsidRPr="001253ED">
        <w:t>4.</w:t>
      </w:r>
      <w:r w:rsidRPr="001253ED">
        <w:tab/>
        <w:t>Эксперт от Германии вновь заявил о своем намерении найти решение (GRSP-65-17), которое позволило бы отразить наихудший вариант, связанный, например, с</w:t>
      </w:r>
      <w:r w:rsidR="008E4D90">
        <w:rPr>
          <w:lang w:val="en-US"/>
        </w:rPr>
        <w:t> </w:t>
      </w:r>
      <w:r w:rsidRPr="001253ED">
        <w:t>разной высотой транспортного средства из-за регулируемых систем подвески. Он</w:t>
      </w:r>
      <w:r w:rsidR="008E4D90">
        <w:rPr>
          <w:b/>
          <w:lang w:val="en-US"/>
        </w:rPr>
        <w:t> </w:t>
      </w:r>
      <w:r w:rsidRPr="001253ED">
        <w:t xml:space="preserve">также указал, что в рамках пункта 11 повестки дня, касающегося Правил № 127 ООН, было представлено конкретное предложение. GRSP решила отложить обсуждение до своей сессии в декабре 2020 года в ожидании рассмотрения этого вопроса Исполнительным комитетом Соглашения 1998 года (АС.3) на его сессии в ноябре 2020 года. </w:t>
      </w:r>
    </w:p>
    <w:p w14:paraId="1C2D797D" w14:textId="77777777" w:rsidR="001253ED" w:rsidRPr="001253ED" w:rsidRDefault="001253ED" w:rsidP="001253ED">
      <w:pPr>
        <w:pStyle w:val="SingleTxtG"/>
      </w:pPr>
      <w:r w:rsidRPr="001253ED">
        <w:t>5.</w:t>
      </w:r>
      <w:r w:rsidRPr="001253ED">
        <w:tab/>
        <w:t>Со ссылкой на решение AC.3, принятое на его сессии в марте 2020 года (см.</w:t>
      </w:r>
      <w:r w:rsidR="008E4D90">
        <w:rPr>
          <w:lang w:val="en-US"/>
        </w:rPr>
        <w:t> </w:t>
      </w:r>
      <w:r w:rsidRPr="001253ED">
        <w:t>ECE/TRANS/WP.29/1151, пункт 158), GRSP вновь заявила о своем намерении завершить работу по согласованию ГТП № 9 ООН с Правилами № 127 ООН, в которые уже были включены положения предлагаемой поправки 3 к ГТП ООН, касающиеся испытания с использованием модели головы (ECE/TRANS/WP.29/GRSP/2014/5 с поправками, содержащимися в документе GRSP-65-13). Вместе с тем эксперт от Соединенных Штатов Америки отметил, что в связи с переносом нынешней сессии GRSP с мая на июль АС.3 не получил результатов обсуждения и что, прежде чем АС.3 проведет голосование по предлагаемой поправке 3 на своей сессии в марте 2021 года, в ходе следующей сессии АС.3 в ноябре 2020 года его необходимо сначала проинформировать об этом процессе.</w:t>
      </w:r>
    </w:p>
    <w:p w14:paraId="179A6457" w14:textId="77777777" w:rsidR="001253ED" w:rsidRPr="001253ED" w:rsidRDefault="001253ED" w:rsidP="001253ED">
      <w:pPr>
        <w:pStyle w:val="SingleTxtG"/>
      </w:pPr>
      <w:r w:rsidRPr="001253ED">
        <w:tab/>
        <w:t>В этой связи GRSP рекомендовала представить: а) поправку 3 к ГТП № 9 ООН (ECE/TRANS/WP.29/GRSP/2014/5) с поправками, содержащимися в приложении II к настоящему докладу, b) окончательный доклад о ходе работы (ECE/TRANS/</w:t>
      </w:r>
      <w:r w:rsidR="00831BBC">
        <w:br/>
      </w:r>
      <w:r w:rsidRPr="001253ED">
        <w:t xml:space="preserve">WP.29/GRSP/2012/2) с поправками, содержащимися в приложении II к настоящему докладу, и с) разрешение на разработку (ECE/TRANS/WP.29/AC.3/31) для рассмотрения и голосования на сессиях WP.29 и AC.3 в марте 2021 года. </w:t>
      </w:r>
    </w:p>
    <w:p w14:paraId="19080C5D" w14:textId="77777777" w:rsidR="001253ED" w:rsidRPr="001253ED" w:rsidRDefault="001253ED" w:rsidP="00831BBC">
      <w:pPr>
        <w:pStyle w:val="H1G"/>
      </w:pPr>
      <w:r w:rsidRPr="001253ED">
        <w:tab/>
        <w:t>B.</w:t>
      </w:r>
      <w:r w:rsidRPr="001253ED">
        <w:tab/>
        <w:t>Предложение по поправке 4</w:t>
      </w:r>
    </w:p>
    <w:p w14:paraId="64CF0C72" w14:textId="77777777" w:rsidR="001253ED" w:rsidRPr="001253ED" w:rsidRDefault="001253ED" w:rsidP="001253ED">
      <w:pPr>
        <w:pStyle w:val="SingleTxtG"/>
      </w:pPr>
      <w:r w:rsidRPr="001253ED">
        <w:t>6.</w:t>
      </w:r>
      <w:r w:rsidRPr="001253ED">
        <w:tab/>
        <w:t>Никакой новой информации по этому пункту повестки дня представлено не было.</w:t>
      </w:r>
    </w:p>
    <w:p w14:paraId="761D683F" w14:textId="77777777" w:rsidR="001253ED" w:rsidRPr="001253ED" w:rsidRDefault="001253ED" w:rsidP="00831BBC">
      <w:pPr>
        <w:pStyle w:val="HChG"/>
      </w:pPr>
      <w:r w:rsidRPr="001253ED">
        <w:tab/>
        <w:t>IV.</w:t>
      </w:r>
      <w:r w:rsidRPr="001253ED">
        <w:tab/>
        <w:t>Глобальные технические правила № 13 ООН (транспортные средства, работающие на водороде и</w:t>
      </w:r>
      <w:r w:rsidR="00831BBC">
        <w:rPr>
          <w:lang w:val="en-US"/>
        </w:rPr>
        <w:t> </w:t>
      </w:r>
      <w:r w:rsidRPr="001253ED">
        <w:t>топливных элементах) (пункт 3 повестки дня)</w:t>
      </w:r>
    </w:p>
    <w:p w14:paraId="61353C3C" w14:textId="77777777" w:rsidR="001253ED" w:rsidRPr="001253ED" w:rsidRDefault="001253ED" w:rsidP="001253ED">
      <w:pPr>
        <w:pStyle w:val="SingleTxtG"/>
      </w:pPr>
      <w:r w:rsidRPr="001253ED">
        <w:rPr>
          <w:i/>
          <w:iCs/>
        </w:rPr>
        <w:t>Документация</w:t>
      </w:r>
      <w:r w:rsidRPr="001253ED">
        <w:t>:</w:t>
      </w:r>
      <w:r w:rsidRPr="001253ED">
        <w:tab/>
        <w:t>неофициальный документ GRSP-67-38</w:t>
      </w:r>
    </w:p>
    <w:p w14:paraId="5254B3AB" w14:textId="77777777" w:rsidR="001253ED" w:rsidRPr="001253ED" w:rsidRDefault="001253ED" w:rsidP="001253ED">
      <w:pPr>
        <w:pStyle w:val="SingleTxtG"/>
      </w:pPr>
      <w:r w:rsidRPr="001253ED">
        <w:t>7.</w:t>
      </w:r>
      <w:r w:rsidRPr="001253ED">
        <w:tab/>
        <w:t xml:space="preserve">Эксперт от Соединенных Штатов Америки от имени коспонсоров (Япония, Республика Корея и Европейский союз) проинформировала GRSP о ходе работы НРГ по этапу 2 разработки ГТП № 13 ООН, касающихся транспортных средств, работающих на водороде и топливных элементах (ТСВТЭ) (GRSP-67-38). </w:t>
      </w:r>
      <w:r w:rsidR="00831BBC">
        <w:br/>
      </w:r>
      <w:r w:rsidRPr="001253ED">
        <w:t xml:space="preserve">Он проинформировал GRSP о том, что последнее совещание НРГ по этапу 2 разработки ГТП ООН, касающихся ТСВТЭ, состоялось в ноябре 2019 года. </w:t>
      </w:r>
      <w:r w:rsidR="00831BBC">
        <w:br/>
      </w:r>
      <w:r w:rsidRPr="001253ED">
        <w:t>Он добавил, что с тех пор НРГ проводила с помощью системы WebEx лишь виртуальные совещания в сокращенном формате и что последнее совещание коспонсоров, в котором приняли участие эксперты из договаривающихся сторон и некоторые представители промышленности и организаций, занимающихся разработкой стандартов, состоялось 4 июня 2020 года. Он пояснил, что главная цель заключается в том, чтобы оценить текущее положение дел, проинформировать друг друга о любых изменениях в области национального регулирования или исследований и, насколько это возможно, продвинуть вперед работу в целевых группах, которые являются основными участниками разработки поправки, дополненной результатами испытаний и исследований. Он разъяснил некоторые из недавних технических вопросов, которыми занимается НРГ: а) критерии проведения испытания с использованием салазок в случае большегрузных транспортных средств, b)</w:t>
      </w:r>
      <w:r w:rsidR="00831BBC">
        <w:rPr>
          <w:lang w:val="en-US"/>
        </w:rPr>
        <w:t> </w:t>
      </w:r>
      <w:r w:rsidRPr="001253ED">
        <w:t>направление сброса давления терморегулирующим предохранительным клапаном, с) заправочный блок и d) сокращение НРД с 225</w:t>
      </w:r>
      <w:r w:rsidR="00831BBC">
        <w:rPr>
          <w:lang w:val="en-US"/>
        </w:rPr>
        <w:t> </w:t>
      </w:r>
      <w:r w:rsidRPr="001253ED">
        <w:t>% до 200</w:t>
      </w:r>
      <w:r w:rsidR="00831BBC">
        <w:rPr>
          <w:lang w:val="en-US"/>
        </w:rPr>
        <w:t> </w:t>
      </w:r>
      <w:r w:rsidRPr="001253ED">
        <w:t>%. Кроме того, он добавил, что, несмотря на ограничения, НРГ продолжила свою работу и учредила редакционную целевую группу по формулированию текста поправок к ГТП ООН. Еще в ноябре 2019 года он высказывал оценку, согласно которой для выполнения задачи, выходящей за рамки нынешнего мандата, может потребоваться дополнительное время. В то же время из-за коронавирусной инфекции (COVID-19) большинство государственных и промышленных лабораторий и испытательных центров были вынуждены закрыться на длительный период времени, поэтому необходимость продления мандата стала неизбежной. В заключение он проинформировал GRSP о том, что НРГ планирует провести свое следующее виртуальное совещание в конце августа или в начале сентября 2020 года.</w:t>
      </w:r>
      <w:bookmarkStart w:id="0" w:name="_Hlk10728906"/>
    </w:p>
    <w:p w14:paraId="167D9A37" w14:textId="77777777" w:rsidR="001253ED" w:rsidRPr="001253ED" w:rsidRDefault="001253ED" w:rsidP="00831BBC">
      <w:pPr>
        <w:pStyle w:val="HChG"/>
      </w:pPr>
      <w:bookmarkStart w:id="1" w:name="_Hlk11662088"/>
      <w:bookmarkEnd w:id="0"/>
      <w:r w:rsidRPr="001253ED">
        <w:tab/>
        <w:t>V.</w:t>
      </w:r>
      <w:r w:rsidRPr="001253ED">
        <w:tab/>
        <w:t>Глобальные технические правила № 20 ООН (безопасность электромобилей) (пункт 4 повестки дня)</w:t>
      </w:r>
    </w:p>
    <w:p w14:paraId="6B91E374" w14:textId="77777777" w:rsidR="001253ED" w:rsidRPr="001253ED" w:rsidRDefault="001253ED" w:rsidP="001253ED">
      <w:pPr>
        <w:pStyle w:val="SingleTxtG"/>
      </w:pPr>
      <w:r w:rsidRPr="001253ED">
        <w:rPr>
          <w:i/>
          <w:iCs/>
        </w:rPr>
        <w:t>Документация</w:t>
      </w:r>
      <w:r w:rsidRPr="001253ED">
        <w:t>:</w:t>
      </w:r>
      <w:r w:rsidRPr="001253ED">
        <w:tab/>
        <w:t>неофициальный документ GRSP-67-37</w:t>
      </w:r>
    </w:p>
    <w:p w14:paraId="56CFD12D" w14:textId="333C5950" w:rsidR="001253ED" w:rsidRPr="001253ED" w:rsidRDefault="001253ED" w:rsidP="001253ED">
      <w:pPr>
        <w:pStyle w:val="SingleTxtG"/>
      </w:pPr>
      <w:r w:rsidRPr="001253ED">
        <w:t>8.</w:t>
      </w:r>
      <w:r w:rsidRPr="001253ED">
        <w:tab/>
        <w:t>Эксперт от Соединенных Штатов Америки от имени коспонсоров (Китая, Японии, Европейского союза и членов НРГ по этапу 2 разработки ГТП № 20) сообщил о прогрессе в работе, достигнутом на совещании НРГ по этапу 2 разработки ГТП, касающихся безопасности электромобилей (БЭМ). GRSP была проинформирована о том, что последняя сессия состоялась в декабре 2019 года и что с тех пор НРГ провела одно виртуальное совещание с помощью системы WebEx. Он пояснил, что на совещании коспонсоров 25 июня 2020 года присутствовали делегаты от договаривающихся сторон, в том числе от Объединенного исследовательского центра ЕК, которое выступало в качестве принимающей стороны. Он добавил, что основная цель заключается в информировании участников НРГ о любых изменениях в области регулирования и исследований. Он отметил, что, поскольку из-за вспышки COVID-19 правительствам и предприятиям промышленности пришлось замедлить или приостановить свою работу по большинству направлений деятельности, возможно, потребуется продление мандата. Вместе с тем, по его словам, весьма обнадеживает то, что, судя по информации с последнего совещания, производители и лаборатории возобновляют свою работу. Кроме того, он пояснил, что в отношении некоторых из нерешенных технических вопросов, в том числе касающихся методов инициирования теплового пробоя, все еще требуется проведение исследований и оценочных испытаний и что НРГ оценивает предложения Канады и Японии. Он также проинформировал GRSP о том, что НРГ проводит оценку предложения МОПАП, касающегося критериев низкого энергопотребления в процессе эксплуатации (в</w:t>
      </w:r>
      <w:r w:rsidR="00831BBC">
        <w:rPr>
          <w:lang w:val="en-US"/>
        </w:rPr>
        <w:t> </w:t>
      </w:r>
      <w:r w:rsidRPr="001253ED">
        <w:t>режиме вождения) и анализа результатов испытания с использование</w:t>
      </w:r>
      <w:r w:rsidR="0074070D">
        <w:t>м</w:t>
      </w:r>
      <w:r w:rsidRPr="001253ED">
        <w:t xml:space="preserve"> салазок, поскольку значения ускорения являются слишком низкими и считаются неприемлемыми для большегрузных транспортных средств. Кроме того, он пояснил, что Соединенные Штаты Америки предоставляют доклады об исследовании, опубликованные Национальной администрацией безопасности дорожного движения (НАБДД), которые посвящены диагностике аккумуляторных батарей, методам инициирования теплового пробоя аккумуляторных батарей и регулированию управлени</w:t>
      </w:r>
      <w:r w:rsidR="00956273">
        <w:t>я</w:t>
      </w:r>
      <w:r w:rsidRPr="001253ED">
        <w:t xml:space="preserve"> остаточной энергией в перезаряжаемой системе хранения электрической энергии (ПСХЭЭ). Он добавил также, что Китай проинформировал НРГ о своем новом национальном обязательном стандарте, который, как ожидается, полностью вступит в силу в январе 2021 года и который охватывает функциональные требования, касающиеся ускорения и замедления, а также безопасности аккумуляторных батарей. В заключение он отметил, что, несмотря на ограничения, НРГ удалось добиться хороших результатов, однако ей, скорее всего, потребуется дополнительное время и что на сентябрь или начало октября 2020 года запланировано следующее виртуальное совещание, на котором НРГ планирует обсудить вопрос о продлении своего мандата.</w:t>
      </w:r>
    </w:p>
    <w:bookmarkEnd w:id="1"/>
    <w:p w14:paraId="7D9884E2" w14:textId="77777777" w:rsidR="001253ED" w:rsidRPr="001253ED" w:rsidRDefault="001253ED" w:rsidP="00831BBC">
      <w:pPr>
        <w:pStyle w:val="HChG"/>
      </w:pPr>
      <w:r w:rsidRPr="001253ED">
        <w:tab/>
        <w:t>VI.</w:t>
      </w:r>
      <w:r w:rsidRPr="001253ED">
        <w:tab/>
        <w:t xml:space="preserve">Правила № 16 ООН (ремни безопасности) </w:t>
      </w:r>
      <w:r w:rsidR="00831BBC">
        <w:br/>
      </w:r>
      <w:r w:rsidRPr="001253ED">
        <w:t>(пункт 5 повестки дня)</w:t>
      </w:r>
    </w:p>
    <w:p w14:paraId="5F2ED4A0"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t xml:space="preserve">ECE/TRANS/WP.29/GRSP/2020/2 </w:t>
      </w:r>
      <w:r w:rsidR="00831BBC">
        <w:br/>
      </w:r>
      <w:r w:rsidRPr="001253ED">
        <w:t xml:space="preserve">неофициальные документы GRSP-66-08, GRSP-66-14 </w:t>
      </w:r>
      <w:r w:rsidR="00831BBC">
        <w:br/>
      </w:r>
      <w:r w:rsidRPr="001253ED">
        <w:t>и GRSP-67-35</w:t>
      </w:r>
    </w:p>
    <w:p w14:paraId="229FE827" w14:textId="77777777" w:rsidR="001253ED" w:rsidRPr="001253ED" w:rsidRDefault="001253ED" w:rsidP="001253ED">
      <w:pPr>
        <w:pStyle w:val="SingleTxtG"/>
      </w:pPr>
      <w:r w:rsidRPr="001253ED">
        <w:t>9.</w:t>
      </w:r>
      <w:r w:rsidRPr="001253ED">
        <w:tab/>
        <w:t>Эксперт от МОПАП внес на рассмотрение документ ECE/TRANS/WP.29/</w:t>
      </w:r>
      <w:r w:rsidR="00831BBC">
        <w:br/>
      </w:r>
      <w:r w:rsidRPr="001253ED">
        <w:t>GRSP/2020/2 с поправками, содержащимися в документе GRSP-67-35, касающийся требований к сигнализаторам непристегнутых ремней безопасности в некоторых транспортных средствах определенной конструкции и уточнения нынешнего текста переходных положений. GRSP приняла документ ECE/TRANS/WP.29/GRSP/2020/2 с поправками, содержащимися в приложении III к настоящему докладу. Секретариату было поручено представить это предложение в качестве проекта дополнения 6 к поправкам серии 07 и дополнения 2 к поправкам серии 08 к Правилам № 16 ООН для рассмотрения и голосования на сессиях WP.29 и Административного комитета Соглашения 1958 года (AC.1) в ноябре 2020 года.</w:t>
      </w:r>
    </w:p>
    <w:p w14:paraId="6B99D477" w14:textId="77777777" w:rsidR="001253ED" w:rsidRPr="001253ED" w:rsidRDefault="001253ED" w:rsidP="001253ED">
      <w:pPr>
        <w:pStyle w:val="SingleTxtG"/>
      </w:pPr>
      <w:r w:rsidRPr="001253ED">
        <w:t>10.</w:t>
      </w:r>
      <w:r w:rsidRPr="001253ED">
        <w:tab/>
        <w:t>GRSP решила отложить обсуждение вопроса об альтернативном (по</w:t>
      </w:r>
      <w:r w:rsidR="00831BBC">
        <w:rPr>
          <w:lang w:val="en-US"/>
        </w:rPr>
        <w:t> </w:t>
      </w:r>
      <w:r w:rsidRPr="001253ED">
        <w:t xml:space="preserve">усмотрению изготовителя) выключателе подушки безопасности на передних сиденьях в сочетании с детскими удерживающими системами, устанавливаемыми против направления движения на задних сиденьях, до своей сессии в декабре 2020 года и поручила секретариату оставить GRSP-66-14 в качестве неофициального документа. </w:t>
      </w:r>
    </w:p>
    <w:p w14:paraId="0778D132" w14:textId="77777777" w:rsidR="001253ED" w:rsidRPr="001253ED" w:rsidRDefault="001253ED" w:rsidP="001253ED">
      <w:pPr>
        <w:pStyle w:val="SingleTxtG"/>
      </w:pPr>
      <w:r w:rsidRPr="001253ED">
        <w:t>11.</w:t>
      </w:r>
      <w:r w:rsidRPr="001253ED">
        <w:tab/>
        <w:t>В заключение GRSP решила отложить обсуждение вопроса о возможности использования трехточечных ремней безопасности в транспортных средствах категорий М</w:t>
      </w:r>
      <w:r w:rsidRPr="001253ED">
        <w:rPr>
          <w:vertAlign w:val="subscript"/>
        </w:rPr>
        <w:t>2</w:t>
      </w:r>
      <w:r w:rsidRPr="001253ED">
        <w:t xml:space="preserve"> и М</w:t>
      </w:r>
      <w:r w:rsidRPr="001253ED">
        <w:rPr>
          <w:vertAlign w:val="subscript"/>
        </w:rPr>
        <w:t>3</w:t>
      </w:r>
      <w:r w:rsidRPr="001253ED">
        <w:t xml:space="preserve"> (GRSP-66-08) до своей сессии в декабре 2020 года.</w:t>
      </w:r>
    </w:p>
    <w:p w14:paraId="40FE174C" w14:textId="77777777" w:rsidR="001253ED" w:rsidRPr="001253ED" w:rsidRDefault="001253ED" w:rsidP="00831BBC">
      <w:pPr>
        <w:pStyle w:val="HChG"/>
      </w:pPr>
      <w:r w:rsidRPr="001253ED">
        <w:tab/>
        <w:t>VII.</w:t>
      </w:r>
      <w:r w:rsidRPr="001253ED">
        <w:tab/>
        <w:t xml:space="preserve">Правила № 17 ООН (прочность сидений) </w:t>
      </w:r>
      <w:r w:rsidR="00831BBC">
        <w:br/>
      </w:r>
      <w:r w:rsidRPr="001253ED">
        <w:t>(пункт 6 повестки дня)</w:t>
      </w:r>
    </w:p>
    <w:p w14:paraId="6ED097EC"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 xml:space="preserve">/2020/8 </w:t>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 xml:space="preserve">/2019/9 </w:t>
      </w:r>
      <w:r w:rsidR="00831BBC">
        <w:br/>
      </w:r>
      <w:r w:rsidRPr="001253ED">
        <w:t>неофициальные документы GRSP-67-17 и GRSP-67-28</w:t>
      </w:r>
    </w:p>
    <w:p w14:paraId="5361265B" w14:textId="77777777" w:rsidR="001253ED" w:rsidRPr="001253ED" w:rsidRDefault="001253ED" w:rsidP="001253ED">
      <w:pPr>
        <w:pStyle w:val="SingleTxtG"/>
      </w:pPr>
      <w:r w:rsidRPr="001253ED">
        <w:t>12.</w:t>
      </w:r>
      <w:r w:rsidRPr="001253ED">
        <w:tab/>
        <w:t>Эксперт от Японии в рамках сообщения (GRSP-67-17) представил документ ECE/TRANS/WP.29/GRSP/2020/8 от имени Целевой группы по согласованию Правил</w:t>
      </w:r>
      <w:r w:rsidR="00831BBC">
        <w:rPr>
          <w:lang w:val="en-US"/>
        </w:rPr>
        <w:t> </w:t>
      </w:r>
      <w:r w:rsidRPr="001253ED">
        <w:t xml:space="preserve">№ 17 ООН с положениями ГТП № 7 ООН (этап 2). Эксперт от Италии просил об отсрочке в отношении переходных положений для всех новых транспортных средств (пункты 13.13.2 и 13.13.3). В заключение GRSP приняла документ ECE/TRANS/WP.29/GRSP/2020/8 с поправками, содержащимися в приложении IV к настоящему докладу. Секретариату было поручено представить это предложение в качестве проекта поправок серии 10 к Правилам № 17 ООН для рассмотрения и голосования на сессиях WP.29 и AC.1 в ноябре 2020 года. Одновременно с этим эксперт от КСАОД снял с рассмотрения документ ECE/TRANS/WP.29/GRSP/2019/9. </w:t>
      </w:r>
    </w:p>
    <w:p w14:paraId="51094102" w14:textId="77777777" w:rsidR="001253ED" w:rsidRPr="001253ED" w:rsidRDefault="001253ED" w:rsidP="001253ED">
      <w:pPr>
        <w:pStyle w:val="SingleTxtG"/>
      </w:pPr>
      <w:r w:rsidRPr="001253ED">
        <w:t>13.</w:t>
      </w:r>
      <w:r w:rsidRPr="001253ED">
        <w:tab/>
        <w:t>Кроме того, эксперт от МОПАП представил документ GRSP-67-28 с целью уточнить высоту подголовников для процедуры испытания в случае транспортных средств с низкой крышей. Эксперт от ЕК сделал оговорку, сославшись на необходимость изучения данного предложения. В заключение секретариату было поручено распространить документ GRSP-67-28 под официальным условным обозначением на следующей сессии GRSP в декабре 2020 года.</w:t>
      </w:r>
    </w:p>
    <w:p w14:paraId="6B0FBC4C" w14:textId="77777777" w:rsidR="001253ED" w:rsidRPr="001253ED" w:rsidRDefault="00831BBC" w:rsidP="00831BBC">
      <w:pPr>
        <w:pStyle w:val="HChG"/>
      </w:pPr>
      <w:r>
        <w:tab/>
      </w:r>
      <w:r w:rsidR="001253ED" w:rsidRPr="001253ED">
        <w:t>VIII.</w:t>
      </w:r>
      <w:r w:rsidR="001253ED" w:rsidRPr="001253ED">
        <w:tab/>
        <w:t xml:space="preserve">Правила № 22 ООН (защитные шлемы) </w:t>
      </w:r>
      <w:r>
        <w:br/>
      </w:r>
      <w:r w:rsidR="001253ED" w:rsidRPr="001253ED">
        <w:t>(пункт 7 повестки дня)</w:t>
      </w:r>
    </w:p>
    <w:p w14:paraId="55B78FE4" w14:textId="77777777" w:rsidR="001253ED" w:rsidRPr="001253ED" w:rsidRDefault="001253ED" w:rsidP="001253ED">
      <w:pPr>
        <w:pStyle w:val="SingleTxtG"/>
      </w:pPr>
      <w:r w:rsidRPr="001253ED">
        <w:rPr>
          <w:i/>
          <w:iCs/>
        </w:rPr>
        <w:t>Документация</w:t>
      </w:r>
      <w:r w:rsidRPr="001253ED">
        <w:t>:</w:t>
      </w:r>
      <w:r w:rsidRPr="001253ED">
        <w:tab/>
        <w:t>неофициальные документы GRSP-67-09-Rev.1 и GRSP-67-25</w:t>
      </w:r>
    </w:p>
    <w:p w14:paraId="7E180766" w14:textId="77777777" w:rsidR="001253ED" w:rsidRPr="001253ED" w:rsidRDefault="001253ED" w:rsidP="001253ED">
      <w:pPr>
        <w:pStyle w:val="SingleTxtG"/>
      </w:pPr>
      <w:r w:rsidRPr="001253ED">
        <w:t>14.</w:t>
      </w:r>
      <w:r w:rsidRPr="001253ED">
        <w:tab/>
        <w:t>Эксперт от Израиля представил сообщение (GRSP-67-09-Rev.1), в котором он разъяснил точку зрения представителей отрасли производства коммуникационных систем для мотоциклетных шлемов относительно поправок серии 06 к Правилам ООН, принятым WP.29 на ее сессии в июне 2020 года. Он пояснил, что представители этой отрасли поддерживают Правила ООН, обеспечивающие безопасность мотоциклистов. Вместе с тем он заявил, что эти правила должны осуществляться, исходя из практических соображений, однако в соответствии с пересмотренным пунктом</w:t>
      </w:r>
      <w:r w:rsidR="00831BBC">
        <w:rPr>
          <w:lang w:val="en-US"/>
        </w:rPr>
        <w:t> </w:t>
      </w:r>
      <w:r w:rsidRPr="001253ED">
        <w:t>7.3.1.3.5 Правил ООН официальное утверждение типа действительно при использовании только тех принадлежностей, которые подвергались испытаниям в ходе процедуры официального утверждения типа шлема. Он пояснил, что это требование приведет к возникновению серьезных препятствий для торговли коммуникационными системами для мотоциклетных шлемов, которыми обычно пользуются мотоциклисты. В этой связи он просил включить представителей отрасли производства коммуникационных систем для мотоциклетных шлемов в процесс разработки требований к официальному утверждению типа для решения проблемы торговых барьеров посредством: а) проведения отдельных испытаний для шлемов, на которые могут быть установлены принадлежности; b) проведения особых испытаний для принадлежностей, предназначенных для коммуникации. В заключение он выразил готовность поделиться своим опытом для разработки поправок, касающихся принадлежностей, устанавливаемых на транспортное средство после его продажи. Эксперт от Италии, Председатель НРГ по защитным шлемам (НРГ по ЗШ), в своем сообщении (GRSP-67-25) пояснил, что принять участие в работе этой группы могут все заинтересованные стороны. Кроме того, он добавил, что в Правилах № 22 ООН конкретно говорится об официальном утверждении типа шлема и что изготовитель шлема (держатель официального утверждения типа защитного шлема) несет ответственность за соответствие изделия и за соблюдение требований безопасности, проверенных в ходе процедуры официального утверждения типа. Он пояснил, что в результате возможного несоответствия шлемов, обусловленного установкой непроверенных изделий после продажи, возникнут вопросы, касающиеся ответственности.</w:t>
      </w:r>
    </w:p>
    <w:p w14:paraId="7AE0D1A2" w14:textId="77777777" w:rsidR="001253ED" w:rsidRPr="001253ED" w:rsidRDefault="001253ED" w:rsidP="001253ED">
      <w:pPr>
        <w:pStyle w:val="SingleTxtG"/>
      </w:pPr>
      <w:r w:rsidRPr="001253ED">
        <w:t>15.</w:t>
      </w:r>
      <w:r w:rsidRPr="001253ED">
        <w:tab/>
        <w:t>GRSP отметила, что деятельность НРГ была приостановлена из-за отсутствия результатов исследований, которые позволили бы приступить к этапу 2 разработки Правил ООН. В этой связи GRSP одобрила рекомендацию Председателя НРГ относительно представления к сессии GRSP в декабре 2020 года предложения по поправкам, касающимся принадлежностей, устанавливаемых на транспортное средство после его продажи. В заключение GRSP приняла к сведению предложение эксперта от Соединенных Штатов Америки представить НРГ результаты исследований НАБДД после того, как НАБДД возобновит свою работу.</w:t>
      </w:r>
    </w:p>
    <w:p w14:paraId="1DD71E2D" w14:textId="77777777" w:rsidR="001253ED" w:rsidRPr="001253ED" w:rsidRDefault="001253ED" w:rsidP="00831BBC">
      <w:pPr>
        <w:pStyle w:val="HChG"/>
      </w:pPr>
      <w:r w:rsidRPr="001253ED">
        <w:tab/>
        <w:t>IX.</w:t>
      </w:r>
      <w:r w:rsidRPr="001253ED">
        <w:tab/>
        <w:t xml:space="preserve">Правила № 94 ООН (лобовое столкновение) </w:t>
      </w:r>
      <w:r w:rsidR="00831BBC">
        <w:br/>
      </w:r>
      <w:r w:rsidRPr="001253ED">
        <w:t>(пункт 8 повестки дня)</w:t>
      </w:r>
    </w:p>
    <w:p w14:paraId="60AD7498" w14:textId="77777777" w:rsidR="001253ED" w:rsidRPr="001253ED" w:rsidRDefault="001253ED" w:rsidP="00831BBC">
      <w:pPr>
        <w:pStyle w:val="SingleTxtG"/>
        <w:ind w:left="2835" w:hanging="1701"/>
      </w:pPr>
      <w:r w:rsidRPr="001253ED">
        <w:rPr>
          <w:i/>
          <w:iCs/>
        </w:rPr>
        <w:t>Документация</w:t>
      </w:r>
      <w:r w:rsidRPr="001253ED">
        <w:t>:</w:t>
      </w:r>
      <w:r w:rsidRPr="001253ED">
        <w:tab/>
        <w:t xml:space="preserve">ECE/TRANS/WP.29/GRSP/2020/4 </w:t>
      </w:r>
      <w:r w:rsidR="00831BBC">
        <w:br/>
      </w:r>
      <w:r w:rsidRPr="001253ED">
        <w:t>неофициальные документы GRSP-67-20-Rev.1 и GRSP-67-27</w:t>
      </w:r>
    </w:p>
    <w:p w14:paraId="795ED9A9" w14:textId="77777777" w:rsidR="001253ED" w:rsidRPr="001253ED" w:rsidRDefault="001253ED" w:rsidP="001253ED">
      <w:pPr>
        <w:pStyle w:val="SingleTxtG"/>
      </w:pPr>
      <w:r w:rsidRPr="001253ED">
        <w:t>16.</w:t>
      </w:r>
      <w:r w:rsidRPr="001253ED">
        <w:tab/>
        <w:t>GRSP возобновила обсуждение предложения (ECE/TRANS/WP.29/GRSP/</w:t>
      </w:r>
      <w:r w:rsidR="00831BBC">
        <w:br/>
      </w:r>
      <w:r w:rsidRPr="001253ED">
        <w:t>2020/4), представленного экспертами от Японии и Европейской комиссии от имени целевой группы по вопросу о внесении поправок в требования, касающиеся послеаварийной электробезопасности в случае лобового столкновения, в котором предлагается транспонировать положения ГТП № 20 (этап 1) в Соглашение 1958 года (см. ECE/TRANS/WP.29/GRSP/66, пункт 32). Эксперт от Японии внес на рассмотрение документ GRSP-67-20-Rev.1, содержащий поправки к определению ПСХЭЭ. В то же время эксперт от МОПАП представил документ GRSP-67-27 для внесения поправок в переходные положения.</w:t>
      </w:r>
    </w:p>
    <w:p w14:paraId="46D11E8E" w14:textId="77777777" w:rsidR="001253ED" w:rsidRPr="001253ED" w:rsidRDefault="001253ED" w:rsidP="001253ED">
      <w:pPr>
        <w:pStyle w:val="SingleTxtG"/>
      </w:pPr>
      <w:r w:rsidRPr="001253ED">
        <w:t>17.</w:t>
      </w:r>
      <w:r w:rsidRPr="001253ED">
        <w:tab/>
        <w:t>GRSP приняла документ ECE/TRANS/WP.29/GRSP/2020/4 с поправками, содержащимися в приложении VI к настоящему докладу. Секретариату было поручено представить это предложение в качестве проекта поправок серии 04 к Правилам № 94 ООН для рассмотрения и голосования на сессиях WP.29 и AC.1 в ноябре 2020 года. В</w:t>
      </w:r>
      <w:r w:rsidR="00831BBC">
        <w:rPr>
          <w:lang w:val="en-US"/>
        </w:rPr>
        <w:t> </w:t>
      </w:r>
      <w:r w:rsidRPr="001253ED">
        <w:t>заключение GRSP решила также начать обсуждение аналогичных поправок к Правилам № 12 ООН (система рулевого управления) и № 135 (боковой удар о столб (БУС)) на основе предложений, которые будут внесены на рассмотрение экспертами от Нидерландов и другими заинтересованными сторонами.</w:t>
      </w:r>
    </w:p>
    <w:p w14:paraId="5F8E18A8" w14:textId="77777777" w:rsidR="001253ED" w:rsidRPr="001253ED" w:rsidRDefault="001253ED" w:rsidP="00831BBC">
      <w:pPr>
        <w:pStyle w:val="HChG"/>
      </w:pPr>
      <w:r w:rsidRPr="001253ED">
        <w:tab/>
        <w:t>X.</w:t>
      </w:r>
      <w:r w:rsidRPr="001253ED">
        <w:tab/>
        <w:t xml:space="preserve">Правила № 95 ООН (боковое столкновение) </w:t>
      </w:r>
      <w:r w:rsidR="00831BBC">
        <w:br/>
      </w:r>
      <w:r w:rsidRPr="001253ED">
        <w:t>(пункт 9 повестки дня)</w:t>
      </w:r>
    </w:p>
    <w:p w14:paraId="6954D486"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t xml:space="preserve">ECE/TRANS/WP.29/GRSP/2020/5 </w:t>
      </w:r>
      <w:r w:rsidR="00831BBC">
        <w:br/>
      </w:r>
      <w:r w:rsidRPr="001253ED">
        <w:t>неофициальный документ GRSP-67-21-Rev.1</w:t>
      </w:r>
    </w:p>
    <w:p w14:paraId="7669FD4E" w14:textId="77777777" w:rsidR="001253ED" w:rsidRPr="001253ED" w:rsidRDefault="001253ED" w:rsidP="001253ED">
      <w:pPr>
        <w:pStyle w:val="SingleTxtG"/>
      </w:pPr>
      <w:r w:rsidRPr="001253ED">
        <w:t>18.</w:t>
      </w:r>
      <w:r w:rsidRPr="001253ED">
        <w:tab/>
        <w:t>GRSP возобновила обсуждение предложения (ECE/TRANS/WP.29/GRSP/</w:t>
      </w:r>
      <w:r w:rsidR="00831BBC">
        <w:br/>
      </w:r>
      <w:r w:rsidRPr="001253ED">
        <w:t>2020/5), представленного экспертами от Японии и Европейской комиссии от имени целевой группы по вопросу о внесении поправок в требования, касающиеся послеаварийной электробезопасности в случае бокового столкновения (см. пункт 16). Эксперт от Японии представил документ GRSP-67-21-Rev.1, содержащий поправки к определению ПСХЭЭ. GRSP приняла документ ECE/TRANS/WP.29/GRSP/2020/5 с поправками, содержащимися в приложении VII к настоящему докладу. Секретариату было поручено представить это предложение в качестве проекта поправок серии 05 к Правилам № 95 ООН для рассмотрения и голосования на сессиях WP.29 и AC.1 в ноябре 2020 года.</w:t>
      </w:r>
    </w:p>
    <w:p w14:paraId="5B27975D" w14:textId="77777777" w:rsidR="001253ED" w:rsidRPr="001253ED" w:rsidRDefault="001253ED" w:rsidP="00831BBC">
      <w:pPr>
        <w:pStyle w:val="HChG"/>
      </w:pPr>
      <w:r w:rsidRPr="001253ED">
        <w:tab/>
        <w:t>XI.</w:t>
      </w:r>
      <w:r w:rsidRPr="001253ED">
        <w:tab/>
        <w:t>Правила № 100 ООН (транспортные средства с</w:t>
      </w:r>
      <w:r w:rsidR="00831BBC">
        <w:rPr>
          <w:lang w:val="en-US"/>
        </w:rPr>
        <w:t> </w:t>
      </w:r>
      <w:r w:rsidRPr="001253ED">
        <w:t>электроприводом) (пункт 10 повестки дня)</w:t>
      </w:r>
    </w:p>
    <w:p w14:paraId="18E6B8B5"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t xml:space="preserve">ECE/TRANS/WP.29/GRSP/2020/6 </w:t>
      </w:r>
      <w:r w:rsidR="00831BBC">
        <w:br/>
      </w:r>
      <w:r w:rsidRPr="001253ED">
        <w:t>неофициальный документ GRSP-67-22-Rev.1</w:t>
      </w:r>
    </w:p>
    <w:p w14:paraId="6648BD23" w14:textId="77777777" w:rsidR="001253ED" w:rsidRPr="001253ED" w:rsidRDefault="001253ED" w:rsidP="001253ED">
      <w:pPr>
        <w:pStyle w:val="SingleTxtG"/>
      </w:pPr>
      <w:r w:rsidRPr="001253ED">
        <w:t>19.</w:t>
      </w:r>
      <w:r w:rsidRPr="001253ED">
        <w:tab/>
        <w:t>GRSP возобновила обсуждение предложения (ECE/TRANS/WP.29/GRSP/</w:t>
      </w:r>
      <w:r w:rsidR="00831BBC">
        <w:br/>
      </w:r>
      <w:r w:rsidRPr="001253ED">
        <w:t>2020/6), внесенного на рассмотрение экспертами от Японии и Европейской комиссии от имени целевой группы и направленного на транспонирование положений ГТП №</w:t>
      </w:r>
      <w:r w:rsidR="00831BBC">
        <w:rPr>
          <w:lang w:val="en-US"/>
        </w:rPr>
        <w:t> </w:t>
      </w:r>
      <w:r w:rsidRPr="001253ED">
        <w:t>20 ООН (этап 1) в Соглашение 1958 года (см. пункты 16 и 18). Эксперт от Японии представил документ GRSP-67-22-Rev.1, в котором предлагаются поправки в определение ПСХЭЭ, уточняется сфера охвата и проводится полное согласование с положениями ГТП № 20 ООН (этап I). GRSP приняла документ ECE/TRANS/</w:t>
      </w:r>
      <w:r w:rsidR="00831BBC">
        <w:br/>
      </w:r>
      <w:r w:rsidRPr="001253ED">
        <w:t>WP.29/GRSP/2020/6 с поправками, содержащимися в приложении VIII к настоящему докладу. Секретариату было поручено представить это предложение в качестве проекта поправок серии 03 к Правилам № 100 ООН для рассмотрения и голосования на сессиях WP.29 и AC.1 в ноябре 2020 года.</w:t>
      </w:r>
    </w:p>
    <w:p w14:paraId="0F8CC933" w14:textId="77777777" w:rsidR="001253ED" w:rsidRPr="001253ED" w:rsidRDefault="001253ED" w:rsidP="00831BBC">
      <w:pPr>
        <w:pStyle w:val="HChG"/>
      </w:pPr>
      <w:r w:rsidRPr="001253ED">
        <w:tab/>
        <w:t>XII.</w:t>
      </w:r>
      <w:r w:rsidRPr="001253ED">
        <w:tab/>
        <w:t xml:space="preserve">Правила № 127 ООН (безопасность пешеходов) </w:t>
      </w:r>
      <w:r w:rsidR="00831BBC">
        <w:br/>
      </w:r>
      <w:r w:rsidRPr="001253ED">
        <w:t>(пункт 11 повестки дня)</w:t>
      </w:r>
    </w:p>
    <w:p w14:paraId="270F6912"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 xml:space="preserve">/2019/18 </w:t>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/2020/9</w:t>
      </w:r>
      <w:r w:rsidR="00831BBC">
        <w:br/>
      </w:r>
      <w:r w:rsidRPr="001253ED">
        <w:t>неофициальные документы GRSP-67-07 и GRSP-67-11</w:t>
      </w:r>
    </w:p>
    <w:p w14:paraId="153E8C37" w14:textId="77777777" w:rsidR="001253ED" w:rsidRPr="001253ED" w:rsidRDefault="001253ED" w:rsidP="001253ED">
      <w:pPr>
        <w:pStyle w:val="SingleTxtG"/>
      </w:pPr>
      <w:r w:rsidRPr="001253ED">
        <w:t>20.</w:t>
      </w:r>
      <w:r w:rsidRPr="001253ED">
        <w:tab/>
        <w:t>Эксперт от Германии подтвердил свое предложение (ECE/TRANS/WP.29/</w:t>
      </w:r>
      <w:r w:rsidR="00831BBC">
        <w:br/>
      </w:r>
      <w:r w:rsidRPr="001253ED">
        <w:t>GRSP/2019/18) и сослался на пункт 3 а) повестки дня (см. пункт 4). Эксперт от МОПАП представил документ GRSP-67-07 в качестве встречного предложения, направленного на разъяснение вопроса о том, что высота транспортного средства влияет на результаты испытаний с использованием модели головы и модели ноги и поэтому в отношении столкновения с пешеходом следует рассматривать все возможные значения высоты транспортного средства, движущегося со скоростью до 11,1 м/с (40</w:t>
      </w:r>
      <w:r w:rsidR="00831BBC">
        <w:rPr>
          <w:lang w:val="en-US"/>
        </w:rPr>
        <w:t> </w:t>
      </w:r>
      <w:r w:rsidRPr="001253ED">
        <w:t>км/ч). Германия заявила о своем общем согласии с предложением МОПАП, однако предложила внести дополнительные разъяснения. GRSP решила возобновить обсуждение на своей сессии в декабре 2020 года на основе предложения экспертов от Германии, Соединенного Королевства и МОПАП, которое, возможно, будет пересмотрено.</w:t>
      </w:r>
    </w:p>
    <w:p w14:paraId="1B95E80F" w14:textId="77777777" w:rsidR="001253ED" w:rsidRPr="001253ED" w:rsidRDefault="001253ED" w:rsidP="001253ED">
      <w:pPr>
        <w:pStyle w:val="SingleTxtG"/>
      </w:pPr>
      <w:r w:rsidRPr="001253ED">
        <w:t>21.</w:t>
      </w:r>
      <w:r w:rsidRPr="001253ED">
        <w:tab/>
        <w:t>GRSP приняла к сведению документ ECE/TRANS/WP.29/GRSP/2020/9, подготовленный экспертами редакционной целевой группы для приведения Правил ООН в соответствие с положениями пересмотренного Регламента по общей безопасности Европейского союза, в котором предусматриваются расширение зоны удара головы, с тем чтобы она включала в себя зону ветрового стекла, а также внесение незначительных изменений и уточнений в существующие требования и соответствующие переходные положения. Эксперт от Республики Корея представил сообщение (GRSP-67-11), в котором изложены результаты имитационного моделирования, на основе которого он собирался предложить различные требования в отношении испытаний. GRSP решила возобновить рассмотрение этого вопроса на основе пересмотренного текста, который подготовят эксперты редакционной целевой группы.</w:t>
      </w:r>
    </w:p>
    <w:p w14:paraId="60F44543" w14:textId="77777777" w:rsidR="001253ED" w:rsidRPr="001253ED" w:rsidRDefault="001253ED" w:rsidP="00831BBC">
      <w:pPr>
        <w:pStyle w:val="HChG"/>
      </w:pPr>
      <w:r w:rsidRPr="001253ED">
        <w:tab/>
        <w:t>XIII.</w:t>
      </w:r>
      <w:r w:rsidRPr="001253ED">
        <w:tab/>
        <w:t>Правила № 129 ООН (усовершенствованные детские удерживающие системы) (пункт 12 повестки дня)</w:t>
      </w:r>
    </w:p>
    <w:p w14:paraId="161215ED"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 xml:space="preserve">/2019/19 </w:t>
      </w:r>
      <w:r w:rsidRPr="001253ED">
        <w:rPr>
          <w:lang w:val="en-US"/>
        </w:rPr>
        <w:t>ECE</w:t>
      </w:r>
      <w:r w:rsidRPr="001253ED">
        <w:t>/</w:t>
      </w:r>
      <w:r w:rsidRPr="001253ED">
        <w:rPr>
          <w:lang w:val="en-US"/>
        </w:rPr>
        <w:t>TRANS</w:t>
      </w:r>
      <w:r w:rsidRPr="001253ED">
        <w:t>/</w:t>
      </w:r>
      <w:r w:rsidRPr="001253ED">
        <w:rPr>
          <w:lang w:val="en-US"/>
        </w:rPr>
        <w:t>WP</w:t>
      </w:r>
      <w:r w:rsidRPr="001253ED">
        <w:t>.29/</w:t>
      </w:r>
      <w:r w:rsidRPr="001253ED">
        <w:rPr>
          <w:lang w:val="en-US"/>
        </w:rPr>
        <w:t>GRSP</w:t>
      </w:r>
      <w:r w:rsidRPr="001253ED">
        <w:t xml:space="preserve">/2020/3 </w:t>
      </w:r>
      <w:r w:rsidR="00831BBC">
        <w:br/>
      </w:r>
      <w:r w:rsidRPr="001253ED">
        <w:t xml:space="preserve">неофициальные документы GRSP-66-28, GRSP-67-16, </w:t>
      </w:r>
      <w:r w:rsidR="00831BBC">
        <w:br/>
      </w:r>
      <w:r w:rsidRPr="001253ED">
        <w:t>GRSP-67-23, GRSP-67-24, GRSP-67-33 и GRSP-67-34</w:t>
      </w:r>
    </w:p>
    <w:p w14:paraId="4EDFDEDE" w14:textId="77777777" w:rsidR="001253ED" w:rsidRPr="001253ED" w:rsidRDefault="001253ED" w:rsidP="001253ED">
      <w:pPr>
        <w:pStyle w:val="SingleTxtG"/>
      </w:pPr>
      <w:r w:rsidRPr="001253ED">
        <w:t>22.</w:t>
      </w:r>
      <w:r w:rsidRPr="001253ED">
        <w:tab/>
        <w:t xml:space="preserve">Эксперт от КСАОД вновь напомнил о предложении (GRSP-67-33) (заменяющем собой документы ECE/TRANS/WP.29/GRSP/2020/3 и GRSP-67-16) и сообщении (GRSP-67-34), целью которых являются: а) предоставление потребителям инструкций в цифровой форме, b) регистрация важнейшей измерительной информации в системе официального утверждения типа и с) усовершенствование процедуры оценки внешних габаритов усовершенствованных систем детского удерживания (УДУС). Эксперт от Японии сделал оговорку, сославшись на необходимость изучения, касающегося инструкций для потребителей в цифровой форме; потребители, не имеющие доступа к Интернету, должны получать ту же самую информацию в печатном виде. GRSP решила возобновить обсуждение этой темы на своей сессии в мае 2020 года и поручила секретариату распространить документ GRSP-67-33 под официальным условным обозначением. </w:t>
      </w:r>
    </w:p>
    <w:p w14:paraId="7D75C635" w14:textId="77777777" w:rsidR="001253ED" w:rsidRPr="001253ED" w:rsidRDefault="001253ED" w:rsidP="001253ED">
      <w:pPr>
        <w:pStyle w:val="SingleTxtG"/>
      </w:pPr>
      <w:r w:rsidRPr="001253ED">
        <w:t>23.</w:t>
      </w:r>
      <w:r w:rsidRPr="001253ED">
        <w:tab/>
        <w:t>GRSP возобновила обсуждение документа ECE/TRANS/WP.29/GRSP/2019/19, касающегося предельных значений вертикального ускорения грудной клетки манекенов серии Q в ходе динамических испытаний УДУС, в соответствии с решением, принятым на ее сессии в декабре 2019 года (см. ECE/TRANS/</w:t>
      </w:r>
      <w:r w:rsidR="00831BBC">
        <w:br/>
      </w:r>
      <w:r w:rsidRPr="001253ED">
        <w:t>WP.29/GRSP/67, пункт 41). Эксперт от КСАОД напомнил GRSP, что цель этого решения заключалась в том, чтобы предоставить возможность для сбора и анализа данных мониторинга. Эксперт от КСАОД уточнил (см. GRSP-67-23), что данные были впоследствии представлены органом по официальному утверждению типа и Агентством сертификации транспортных средств (АСТС) Соединенного Королевства. Он добавил, что для получения предлагаемых предельных значений сжимающей силы, Fz и изгибающего момента эти данные были дополнены выборкой КСАОД. Затем он представил предложение (см. GRSP-67-24) о поправках к критериям оценки степени травмирования при лобовом ударе и ударе сзади в целях уточнения предельных значений сжимающей силы и изгибающего момента, измеряемых в верхней части шеи манекенов Q0, Q1 и Q1.5. Однако он рекомендовал другим договаривающимся сторонам также предоставить данные мониторинга в поддержку этого анализа, чтобы подтвердить предлагаемые предельные значения. GRSP одобрила просьбу эксперта от КСАОД и решила возобновить обсуждение на своей сессии в декабре 2020 года на основе пересмотренного официального предложения. Кроме того, эксперты от Глобальной программы НКАП и АСЭК от имени МОПС сняли с рассмотрения документ ECE/TRANS/WP.29/GRSP/2019/19. GRSP решила отложить рассмотрение документа GRSP-66-28 до своей сессии в декабре 2020 года ввиду нехватки времени.</w:t>
      </w:r>
    </w:p>
    <w:p w14:paraId="2A41DE1C" w14:textId="77777777" w:rsidR="001253ED" w:rsidRPr="001253ED" w:rsidRDefault="001253ED" w:rsidP="00831BBC">
      <w:pPr>
        <w:pStyle w:val="HChG"/>
      </w:pPr>
      <w:r w:rsidRPr="001253ED">
        <w:tab/>
        <w:t>XIV.</w:t>
      </w:r>
      <w:r w:rsidRPr="001253ED">
        <w:tab/>
        <w:t>Правила № 134 ООН (транспортные средства, работающие на водороде и топливных элементах (ТСВТЭ)) (пункт 13 повестки дня)</w:t>
      </w:r>
    </w:p>
    <w:p w14:paraId="3BF29F94"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t xml:space="preserve">ECE/TRANS/WP.29/GRSP/2020/10 </w:t>
      </w:r>
      <w:r w:rsidR="00831BBC">
        <w:br/>
      </w:r>
      <w:r w:rsidRPr="001253ED">
        <w:t>неофициальные документы GRSP-67-12 и GRSP-67-29</w:t>
      </w:r>
      <w:bookmarkStart w:id="2" w:name="_Hlk46907816"/>
      <w:bookmarkStart w:id="3" w:name="_Hlk28014528"/>
      <w:bookmarkEnd w:id="2"/>
      <w:bookmarkEnd w:id="3"/>
    </w:p>
    <w:p w14:paraId="65E0CE93" w14:textId="77777777" w:rsidR="001253ED" w:rsidRPr="001253ED" w:rsidRDefault="001253ED" w:rsidP="001253ED">
      <w:pPr>
        <w:pStyle w:val="SingleTxtG"/>
      </w:pPr>
      <w:r w:rsidRPr="001253ED">
        <w:t>24.</w:t>
      </w:r>
      <w:r w:rsidRPr="001253ED">
        <w:tab/>
        <w:t>GRSP возобновила рассмотрение предложения (ECE/TRANS/WP.29/GRSP/</w:t>
      </w:r>
      <w:r w:rsidR="00831BBC">
        <w:br/>
      </w:r>
      <w:r w:rsidRPr="001253ED">
        <w:t>2020/10 и поправка GRSP-67-12), представленного экспертом от Нидерландов и направленного на внедрение маркировки автобусов, работающих на водороде, которая соответствует существующим регламентационным требованиям к идентификации автобусов, работающих на сжиженном нефтяном газе, компримированном природном газе и сжиженном природном газе. Эксперт от МОПАП представил документ GRSP-67-29, содержащий, в частности, поправки к предлагаемым переходным положениям. GRSP решила возобновить обсуждение этого вопроса на своей сессии в декабре 2020</w:t>
      </w:r>
      <w:r w:rsidR="00831BBC">
        <w:rPr>
          <w:lang w:val="en-US"/>
        </w:rPr>
        <w:t> </w:t>
      </w:r>
      <w:r w:rsidRPr="001253ED">
        <w:t>года на основе пересмотренного предложения, внесенного на рассмотрение экспертом от Нидерландов в сотрудничестве с экспертом от МОПАП.</w:t>
      </w:r>
    </w:p>
    <w:p w14:paraId="7C61C71F" w14:textId="77777777" w:rsidR="001253ED" w:rsidRPr="001253ED" w:rsidRDefault="00831BBC" w:rsidP="00831BBC">
      <w:pPr>
        <w:pStyle w:val="HChG"/>
      </w:pPr>
      <w:r>
        <w:tab/>
      </w:r>
      <w:r w:rsidR="001253ED" w:rsidRPr="001253ED">
        <w:t>XV.</w:t>
      </w:r>
      <w:r w:rsidR="001253ED" w:rsidRPr="001253ED">
        <w:tab/>
        <w:t xml:space="preserve">Правила № 137 ООН (лобовой удар с уделением </w:t>
      </w:r>
      <w:r>
        <w:br/>
      </w:r>
      <w:r w:rsidR="001253ED" w:rsidRPr="001253ED">
        <w:t xml:space="preserve">особого внимания удерживающим системам) </w:t>
      </w:r>
      <w:r>
        <w:br/>
      </w:r>
      <w:r w:rsidR="001253ED" w:rsidRPr="001253ED">
        <w:t>(пункт 14 повестки дня)</w:t>
      </w:r>
    </w:p>
    <w:p w14:paraId="4E20FBC7"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t xml:space="preserve">ECE/TRANS/WP.29/GRSP/2020/7 </w:t>
      </w:r>
      <w:r w:rsidR="00831BBC">
        <w:br/>
      </w:r>
      <w:r w:rsidRPr="001253ED">
        <w:t>неофициальные документы GRSP-66-20 и GRSP-67-18-Rev.1</w:t>
      </w:r>
    </w:p>
    <w:p w14:paraId="6267E386" w14:textId="3472B779" w:rsidR="001253ED" w:rsidRPr="001253ED" w:rsidRDefault="001253ED" w:rsidP="001253ED">
      <w:pPr>
        <w:pStyle w:val="SingleTxtG"/>
      </w:pPr>
      <w:r w:rsidRPr="001253ED">
        <w:t>25.</w:t>
      </w:r>
      <w:r w:rsidRPr="001253ED">
        <w:tab/>
        <w:t>GRSP возобновила обсуждение предложения (ECE/TRANS/WP.29/GRSP/</w:t>
      </w:r>
      <w:r w:rsidR="00831BBC">
        <w:br/>
      </w:r>
      <w:r w:rsidRPr="001253ED">
        <w:t>2020/7), представленного экспертами от Японии и Европейской комиссии от имени целевой группы по вопросу о внесении поправок в требования, касающиеся послеаварийной электробезопасности в случае полного лобового удара (см. пункты 16, 18 и 19). Эксперт от Японии представил документ GRSP-67-</w:t>
      </w:r>
      <w:r w:rsidR="00326131" w:rsidRPr="00326131">
        <w:t>18</w:t>
      </w:r>
      <w:r w:rsidRPr="001253ED">
        <w:t>-Rev.1, содержащий поправки к определению ПСХЭЭ. GRSP приняла документ ECE/TRANS/WP.29/</w:t>
      </w:r>
      <w:r w:rsidR="00831BBC">
        <w:br/>
      </w:r>
      <w:r w:rsidRPr="001253ED">
        <w:t>GRSP/2020/7 с поправками, содержащимися в приложении IX к настоящему докладу. Секретариату было поручено представить это предложение в качестве проекта поправок серии 02 к Правилам № 137 ООН для рассмотрения и голосования на сессиях WP.29 и AC.1 в ноябре 2020 года.</w:t>
      </w:r>
    </w:p>
    <w:p w14:paraId="46906A8A" w14:textId="77777777" w:rsidR="001253ED" w:rsidRPr="001253ED" w:rsidRDefault="001253ED" w:rsidP="001253ED">
      <w:pPr>
        <w:pStyle w:val="SingleTxtG"/>
      </w:pPr>
      <w:r w:rsidRPr="001253ED">
        <w:t>26.</w:t>
      </w:r>
      <w:r w:rsidRPr="001253ED">
        <w:tab/>
        <w:t>GRSP возобновила обсуждение вопроса о включении транспортных средств категории L</w:t>
      </w:r>
      <w:r w:rsidRPr="001253ED">
        <w:rPr>
          <w:vertAlign w:val="subscript"/>
        </w:rPr>
        <w:t>7</w:t>
      </w:r>
      <w:r w:rsidRPr="001253ED">
        <w:t xml:space="preserve"> в сферу применения Правил № 137 ООН. Эксперт от МАЗМ напомнил о своем сообщении (GRSP-66-20), представленном на сессии GRSP в декабре 2019 года, в котором был предложен трехэтапный подход к согласованию требований в отношении (пассивной) безопасности, предъявляемых к тяжелым квадрициклам с кузовом (L</w:t>
      </w:r>
      <w:r w:rsidRPr="001253ED">
        <w:rPr>
          <w:vertAlign w:val="subscript"/>
        </w:rPr>
        <w:t>7</w:t>
      </w:r>
      <w:r w:rsidRPr="001253ED">
        <w:t>), третий этап которого включает в себя предложение об обновлении Правил № 137 ООН. Он пояснил, что в соответствии с первым этапом в июле 2020</w:t>
      </w:r>
      <w:r w:rsidR="00831BBC">
        <w:rPr>
          <w:lang w:val="en-US"/>
        </w:rPr>
        <w:t> </w:t>
      </w:r>
      <w:r w:rsidRPr="001253ED">
        <w:t>года МАЗМ представила на сессии Рабочей группы по общим предписаниям, касающимся безопасности (GRSG), предложение (GRSG-118-18) с четким определением кузовных транспортных средств категории L</w:t>
      </w:r>
      <w:r w:rsidRPr="001253ED">
        <w:rPr>
          <w:vertAlign w:val="subscript"/>
        </w:rPr>
        <w:t>7</w:t>
      </w:r>
      <w:r w:rsidRPr="001253ED">
        <w:t xml:space="preserve"> в Сводной резолюции о конструкции транспортных средств (СР.3), которое получило позитивный отклик. Кроме того, он добавил, что его организация надеется, что первый этап будет завершен после подготовки официального документа к сессии GRSG в октябре 2020 года. В</w:t>
      </w:r>
      <w:r w:rsidR="00831BBC">
        <w:rPr>
          <w:lang w:val="en-US"/>
        </w:rPr>
        <w:t> </w:t>
      </w:r>
      <w:r w:rsidRPr="001253ED">
        <w:t>заключение он отметил, что до завершения первого (и второго) этапов дальнейшее обсуждение вопроса, касающегося заинтересованности договаривающихся сторон в разработке предложения о включении транспортных средств категории L</w:t>
      </w:r>
      <w:r w:rsidRPr="001253ED">
        <w:rPr>
          <w:vertAlign w:val="subscript"/>
        </w:rPr>
        <w:t>7</w:t>
      </w:r>
      <w:r w:rsidRPr="001253ED">
        <w:t xml:space="preserve"> в Правила</w:t>
      </w:r>
      <w:r w:rsidR="00831BBC">
        <w:rPr>
          <w:lang w:val="en-US"/>
        </w:rPr>
        <w:t> </w:t>
      </w:r>
      <w:r w:rsidRPr="001253ED">
        <w:t>№ 137 ООН, признано преждевременным.</w:t>
      </w:r>
    </w:p>
    <w:p w14:paraId="2D540853" w14:textId="77777777" w:rsidR="001253ED" w:rsidRPr="001253ED" w:rsidRDefault="001253ED" w:rsidP="00831BBC">
      <w:pPr>
        <w:pStyle w:val="HChG"/>
      </w:pPr>
      <w:r w:rsidRPr="001253ED">
        <w:tab/>
        <w:t>XVI.</w:t>
      </w:r>
      <w:r w:rsidRPr="001253ED">
        <w:tab/>
        <w:t>Обеспечение безопасности детей в городских и</w:t>
      </w:r>
      <w:r w:rsidR="00831BBC">
        <w:rPr>
          <w:lang w:val="en-US"/>
        </w:rPr>
        <w:t> </w:t>
      </w:r>
      <w:r w:rsidRPr="001253ED">
        <w:t>междугородных автобусах (пункт 15 повестки дня)</w:t>
      </w:r>
    </w:p>
    <w:p w14:paraId="0BD029FA" w14:textId="77777777" w:rsidR="001253ED" w:rsidRPr="001253ED" w:rsidRDefault="001253ED" w:rsidP="001253ED">
      <w:pPr>
        <w:pStyle w:val="SingleTxtG"/>
      </w:pPr>
      <w:r w:rsidRPr="001253ED">
        <w:rPr>
          <w:i/>
          <w:iCs/>
        </w:rPr>
        <w:t>Документация</w:t>
      </w:r>
      <w:r w:rsidRPr="001253ED">
        <w:t>:</w:t>
      </w:r>
      <w:r w:rsidRPr="001253ED">
        <w:tab/>
        <w:t>неофициальный документ GRSP-67-08</w:t>
      </w:r>
    </w:p>
    <w:p w14:paraId="4BE71CC8" w14:textId="77777777" w:rsidR="001253ED" w:rsidRPr="001253ED" w:rsidRDefault="001253ED" w:rsidP="001253ED">
      <w:pPr>
        <w:pStyle w:val="SingleTxtG"/>
      </w:pPr>
      <w:r w:rsidRPr="001253ED">
        <w:t>27.</w:t>
      </w:r>
      <w:r w:rsidRPr="001253ED">
        <w:tab/>
        <w:t xml:space="preserve">Эксперт от Испании от имени НРГ по повышению безопасности перевозки детей в городских и междугородных автобусах проинформировала GRSP о ходе работы этой НРГ (GRSP-67-08). Она пояснила, что НРГ провела три совещания и наметила задачи и </w:t>
      </w:r>
      <w:r w:rsidR="00831BBC">
        <w:t>«</w:t>
      </w:r>
      <w:r w:rsidRPr="001253ED">
        <w:t>дорожную карту</w:t>
      </w:r>
      <w:r w:rsidR="00831BBC">
        <w:t>»</w:t>
      </w:r>
      <w:r w:rsidRPr="001253ED">
        <w:t xml:space="preserve"> для завершения работы над предложением для его представления GRSP к 2022 году. Она добавила, что для более эффективного взаимодействия НРГ необходимо проводить очные совещания и что четвертое совещание было отложено в связи с COVID-19. GRSP решила возобновить обсуждение этого вопроса на своей сессии в декабре 2020 года.</w:t>
      </w:r>
      <w:bookmarkStart w:id="4" w:name="_Hlk10733494"/>
    </w:p>
    <w:bookmarkEnd w:id="4"/>
    <w:p w14:paraId="7C481100" w14:textId="77777777" w:rsidR="001253ED" w:rsidRPr="001253ED" w:rsidRDefault="00831BBC" w:rsidP="00831BBC">
      <w:pPr>
        <w:pStyle w:val="HChG"/>
      </w:pPr>
      <w:r>
        <w:tab/>
      </w:r>
      <w:r w:rsidR="001253ED" w:rsidRPr="001253ED">
        <w:t>XVII.</w:t>
      </w:r>
      <w:r w:rsidR="001253ED" w:rsidRPr="001253ED">
        <w:tab/>
      </w:r>
      <w:r w:rsidR="001253ED" w:rsidRPr="001253ED">
        <w:tab/>
        <w:t>Обмен мнениями по вопросу об автоматизации транспортных средств (пункт 16 повестки дня)</w:t>
      </w:r>
    </w:p>
    <w:p w14:paraId="73C11FDD" w14:textId="77777777" w:rsidR="001253ED" w:rsidRPr="001253ED" w:rsidRDefault="001253ED" w:rsidP="001253ED">
      <w:pPr>
        <w:pStyle w:val="SingleTxtG"/>
        <w:rPr>
          <w:iCs/>
        </w:rPr>
      </w:pPr>
      <w:r w:rsidRPr="001253ED">
        <w:t>28.</w:t>
      </w:r>
      <w:r w:rsidRPr="001253ED">
        <w:tab/>
        <w:t xml:space="preserve">Представитель Соединенных Штатов Америки напомнил GRSP об одобренном Всемирным форумом рамочном документе ECE/TRANS/WP.29/2019/34/Rev.2, касающемся приоритетных тем для автоматизированных и подключенных транспортных средств. Он вновь заявил, что вопрос обеспечения безопасности при аварии сохраняет свою актуальность и что этот рамочный документ будет отражен в работе по смежным темам, вытекающим из направлений деятельности GRSP. Эксперт от Германии также подтвердил необходимость разработки документа, в котором были бы отражены приоритетные темы пассивной безопасности. GRSP решила возобновить обсуждение этого вопроса на основе предложения, которое будет разработано экспертом от Германии с экспертами от МОПАП и других заинтересованных сторон. </w:t>
      </w:r>
    </w:p>
    <w:p w14:paraId="52F04CA8" w14:textId="77777777" w:rsidR="001253ED" w:rsidRPr="001253ED" w:rsidRDefault="001253ED" w:rsidP="00831BBC">
      <w:pPr>
        <w:pStyle w:val="HChG"/>
      </w:pPr>
      <w:r w:rsidRPr="001253ED">
        <w:tab/>
        <w:t>XVIII.</w:t>
      </w:r>
      <w:r w:rsidRPr="001253ED">
        <w:tab/>
      </w:r>
      <w:r w:rsidRPr="001253ED">
        <w:tab/>
        <w:t>Прочие вопросы (пункт 17 повестки дня)</w:t>
      </w:r>
    </w:p>
    <w:p w14:paraId="67B9AE1B" w14:textId="77777777" w:rsidR="001253ED" w:rsidRPr="001253ED" w:rsidRDefault="001253ED" w:rsidP="00831BBC">
      <w:pPr>
        <w:pStyle w:val="H1G"/>
      </w:pPr>
      <w:r w:rsidRPr="001253ED">
        <w:tab/>
        <w:t>A.</w:t>
      </w:r>
      <w:r w:rsidRPr="001253ED">
        <w:tab/>
        <w:t>Основные вопросы, рассмотренные на сессиях WP.29 в марте и</w:t>
      </w:r>
      <w:r w:rsidR="00831BBC">
        <w:t> </w:t>
      </w:r>
      <w:r w:rsidRPr="001253ED">
        <w:t>июне 2020 года</w:t>
      </w:r>
    </w:p>
    <w:p w14:paraId="59594349" w14:textId="77777777" w:rsidR="001253ED" w:rsidRPr="001253ED" w:rsidRDefault="001253ED" w:rsidP="001253ED">
      <w:pPr>
        <w:pStyle w:val="SingleTxtG"/>
      </w:pPr>
      <w:r w:rsidRPr="001253ED">
        <w:rPr>
          <w:i/>
          <w:iCs/>
        </w:rPr>
        <w:t>Документация</w:t>
      </w:r>
      <w:r w:rsidRPr="001253ED">
        <w:t>:</w:t>
      </w:r>
      <w:r w:rsidRPr="001253ED">
        <w:tab/>
        <w:t>неофициальный документ GRSP-67-04</w:t>
      </w:r>
    </w:p>
    <w:p w14:paraId="50771C90" w14:textId="77777777" w:rsidR="001253ED" w:rsidRPr="001253ED" w:rsidRDefault="001253ED" w:rsidP="001253ED">
      <w:pPr>
        <w:pStyle w:val="SingleTxtG"/>
        <w:rPr>
          <w:bCs/>
        </w:rPr>
      </w:pPr>
      <w:r w:rsidRPr="001253ED">
        <w:t>29.</w:t>
      </w:r>
      <w:r w:rsidRPr="001253ED">
        <w:tab/>
        <w:t>Секретарь проинформировал об основных вопросах (GRSP-67-04), рассмотренных на сто восьмидесятой и сто восемьдесят первой сессиях WP.29 (ECE/TRANS/WP.29/1151 и ECE/TRANS/WP.29/1153).</w:t>
      </w:r>
    </w:p>
    <w:p w14:paraId="048FA060" w14:textId="77777777" w:rsidR="001253ED" w:rsidRPr="001253ED" w:rsidRDefault="001253ED" w:rsidP="00831BBC">
      <w:pPr>
        <w:pStyle w:val="H1G"/>
      </w:pPr>
      <w:r w:rsidRPr="001253ED">
        <w:tab/>
        <w:t>B.</w:t>
      </w:r>
      <w:r w:rsidRPr="001253ED">
        <w:tab/>
        <w:t>Правила № 44 ООН (детские удерживающие системы)</w:t>
      </w:r>
    </w:p>
    <w:p w14:paraId="1508311C" w14:textId="77777777" w:rsidR="001253ED" w:rsidRPr="001253ED" w:rsidRDefault="001253ED" w:rsidP="00831BBC">
      <w:pPr>
        <w:pStyle w:val="SingleTxtG"/>
        <w:ind w:left="2835" w:hanging="1701"/>
        <w:jc w:val="left"/>
      </w:pPr>
      <w:r w:rsidRPr="001253ED">
        <w:rPr>
          <w:i/>
          <w:iCs/>
        </w:rPr>
        <w:t>Документация</w:t>
      </w:r>
      <w:r w:rsidRPr="001253ED">
        <w:t>:</w:t>
      </w:r>
      <w:r w:rsidRPr="001253ED">
        <w:tab/>
        <w:t xml:space="preserve">неофициальные документы GRSP-67-05, GRSP-67-10, </w:t>
      </w:r>
      <w:r w:rsidR="00831BBC">
        <w:br/>
      </w:r>
      <w:r w:rsidRPr="001253ED">
        <w:t>GRSP-67-14, GRSP-67-31, GRSP-67-32 и GRSP-67-36</w:t>
      </w:r>
    </w:p>
    <w:p w14:paraId="7650B56B" w14:textId="0E1F0EC2" w:rsidR="001253ED" w:rsidRPr="001253ED" w:rsidRDefault="001253ED" w:rsidP="001253ED">
      <w:pPr>
        <w:pStyle w:val="SingleTxtG"/>
      </w:pPr>
      <w:r w:rsidRPr="001253ED">
        <w:t>30.</w:t>
      </w:r>
      <w:r w:rsidRPr="001253ED">
        <w:tab/>
        <w:t>Эксперт от Польши просила отложить до сессии GRSP в декабре 2020 года обсуждение вопроса о направляющем механизме ремней, тип которого был официально утвержден властями ее страны, так как результаты исследовательских испытаний направляющего механизма ремней еще не были представлены экспертом от ЕК. Эксперты от Нидерландов и АСЭК/МОПС заявили о необходимости обсуждения этого вопроса, поскольку они полагают, что этот вид ДУС является опасным. Эксперт от Нидерландов представил документ GRSP-67-05, пояснив, что направляющий механизм ремней не входит в сферу применения Правил ООН и не может быть официально утвержден по типу; таким образом, официальное утверждение типа должно быть отозвано. Наконец, в связи с процедурой Соглашения 1958 года (Пересмотр 3, статьи 4.2, 10.4 и приложение 6 (пункты 2 и 3)) он заявил, что с помощью документа GRSP-67-05 он хотел заручиться поддержкой других договаривающихся сторон и наладить взаимодействие с экспертом от Польши, с тем чтобы избежать необходимости в арбитражном разбирательстве, предусмотренном в соответствии с приложением 6 к Соглашению 1958 года. Эксперт от АСЭК/МОПС представил документы GRSP-67-10 и GRSP-67-36, в которых продемонстрировано наличие высокого риска получения травм брюшной полости в обоих случаях в результате проскальзывания под ремнем. В ожидании вышеупомянутых результатов испытаний эксперт от Польши представила документ GRSP-67-32, в котором содержатся некоторые результаты испытаний, демонстрирующие эксплуатационные параметры этого типа направляющего механизма ремней в лабораторных условиях. Она пояснила также, что официальное утверждение типа направляющего механизма ремней было получено в соответствии с дополнением 10 к поправкам серии 04. При этом она добавила, что, по мнению некоторых заинтересованных сторон, этот тип направляющего механизма ремней должен был проходить испытания в соответствии с приложением 11, в результате чего к механизму применялись бы другие критерии. Вместе с тем она заявила, что, по ее мнению, существует четкая правовая основа, согласно которой предоставление официального утверждения типа на основании дополнения 10 является корректным. Отвечая на это, эксперт от Нидерландов заявил, что, помимо того факта, что этот механизм не соответствует нескольким требованиям Правил № 44 ООН, дополнение не вводит новые требования, а лишь уточняет существующие требования или процедуру проведения испытаний. Даже в период действия дополнения 10 было очевидно, что направляющий механизм ремней не может быть утвержден в качестве детской удерживающей системы.</w:t>
      </w:r>
    </w:p>
    <w:p w14:paraId="114CB732" w14:textId="5B8BAE72" w:rsidR="001253ED" w:rsidRPr="001253ED" w:rsidRDefault="001253ED" w:rsidP="001253ED">
      <w:pPr>
        <w:pStyle w:val="SingleTxtG"/>
      </w:pPr>
      <w:r w:rsidRPr="001253ED">
        <w:t>31.</w:t>
      </w:r>
      <w:r w:rsidRPr="001253ED">
        <w:tab/>
        <w:t>Эксперт от ЕК напомнил GRSP, что группа согласилась с его прежним предложением (ECE/TRANS/WP.29/GRSP/2019/28) об изменении области применения Правил № 44 ООН (детские удерживающие системы) с уточнением, что если направляющий механизм ремней не является частью детской удерживающей системы, то он не может быть официально утвержден на основании Правил № 44 (см.</w:t>
      </w:r>
      <w:r w:rsidR="00831BBC">
        <w:t> </w:t>
      </w:r>
      <w:r w:rsidRPr="001253ED">
        <w:t xml:space="preserve">ECE/TRANS/WP.29/GRSP/66, пункты 27 и 28). Вместе с тем он пояснил, что ЕК пересмотрел документ, представленный WP.29, поскольку толкование, согласно которому </w:t>
      </w:r>
      <w:r w:rsidR="009B31FC">
        <w:t>«</w:t>
      </w:r>
      <w:r w:rsidRPr="001253ED">
        <w:t>направляющая лямка</w:t>
      </w:r>
      <w:r w:rsidR="009B31FC">
        <w:t>»</w:t>
      </w:r>
      <w:r w:rsidRPr="001253ED">
        <w:t xml:space="preserve"> и аналогичные механизмы не могут официально утверждаться в качестве детской удерживающей системы, уже было одобрено WP.29 на ее сессии в марте 2012 года (см. ECE/TRANS/WP.29/1095, пункт 35). В этой связи он представил документ GRSP-67-31, который касался только поэтапного исключения таких приспособлений из сферы применения Правил № 44 ООН. </w:t>
      </w:r>
    </w:p>
    <w:p w14:paraId="471CAD3D" w14:textId="77777777" w:rsidR="001253ED" w:rsidRPr="001253ED" w:rsidRDefault="001253ED" w:rsidP="001253ED">
      <w:pPr>
        <w:pStyle w:val="SingleTxtG"/>
      </w:pPr>
      <w:r w:rsidRPr="001253ED">
        <w:t>32.</w:t>
      </w:r>
      <w:r w:rsidRPr="001253ED">
        <w:tab/>
        <w:t>Председатель GRSP сослался на приложение 6 к Соглашению 1958 года и подчеркнул всесторонний характер рассмотрения различных мнений органов соответствующих договаривающихся сторон, занимающихся официальным утверждением типа, и договаривающихся сторон, применяющих Правила № 44 ООН. Таким образом, эксперты от Германии, Испании, Италии, Российской Федерации, Соединенного Королевства, Франции и Швейцарии прямо поддержали просьбу эксперта от Нидерландов об отзыве официального утверждения типа, предоставленного Польшей для направляющего механизма ремней, в то время как ни один из других присутствовавших делегатов не заявил о том, что воздерживается или выражает несогласие с этой просьбой. Эксперты отметили также, что Председатель призвал эксперта от Нидерландов продолжить обсуждение с польским органом по официальному утверждению с целью налаживания сотрудничества с Польшей, с тем чтобы избежать арбитражного разбирательства в соответствии с приложением 6 к</w:t>
      </w:r>
      <w:r w:rsidR="00C3708E">
        <w:t> </w:t>
      </w:r>
      <w:r w:rsidRPr="001253ED">
        <w:t>Соглашению 1958 года, которое начнется на сессии WP.29 в ноябре 2020 года.</w:t>
      </w:r>
    </w:p>
    <w:p w14:paraId="322EE037" w14:textId="14E85680" w:rsidR="001253ED" w:rsidRPr="001253ED" w:rsidRDefault="001253ED" w:rsidP="001253ED">
      <w:pPr>
        <w:pStyle w:val="SingleTxtG"/>
        <w:rPr>
          <w:b/>
          <w:bCs/>
        </w:rPr>
      </w:pPr>
      <w:r w:rsidRPr="001253ED">
        <w:t>33.</w:t>
      </w:r>
      <w:r w:rsidRPr="001253ED">
        <w:tab/>
        <w:t>GRSP рассмотрела также документ GRSP-67-14, внесенный на рассмотрение экспертом от Франции для исправления даты в переходных положениях. В заключение GRSP приняла документы GRSP-67-14 и GRSP-67-31, воспроизведенные в приложении V к настоящему докладу. Секретариату было поручено представить оба предложения в качестве проекта дополнения 18 к поправкам серии 04 к Правилам</w:t>
      </w:r>
      <w:r w:rsidR="00426C89">
        <w:t> </w:t>
      </w:r>
      <w:r w:rsidRPr="001253ED">
        <w:t>№</w:t>
      </w:r>
      <w:r w:rsidR="00C3708E">
        <w:t> </w:t>
      </w:r>
      <w:r w:rsidRPr="001253ED">
        <w:t>44 ООН для рассмотрения и голосования на сессиях WP.29 и AC.1 в ноябре 2020</w:t>
      </w:r>
      <w:r w:rsidR="00C3708E">
        <w:t> </w:t>
      </w:r>
      <w:r w:rsidRPr="001253ED">
        <w:t>года.</w:t>
      </w:r>
    </w:p>
    <w:p w14:paraId="4B5C7CC4" w14:textId="77777777" w:rsidR="001253ED" w:rsidRPr="001253ED" w:rsidRDefault="001253ED" w:rsidP="00C3708E">
      <w:pPr>
        <w:pStyle w:val="H1G"/>
      </w:pPr>
      <w:r w:rsidRPr="001253ED">
        <w:tab/>
        <w:t>C.</w:t>
      </w:r>
      <w:r w:rsidRPr="001253ED">
        <w:tab/>
        <w:t>Перечень приоритетных направлений работы GRSP</w:t>
      </w:r>
    </w:p>
    <w:p w14:paraId="362B3C6D" w14:textId="77777777" w:rsidR="001253ED" w:rsidRPr="001253ED" w:rsidRDefault="001253ED" w:rsidP="00C3708E">
      <w:pPr>
        <w:pStyle w:val="SingleTxtG"/>
        <w:ind w:left="2835" w:hanging="1701"/>
        <w:jc w:val="left"/>
      </w:pPr>
      <w:r w:rsidRPr="001253ED">
        <w:rPr>
          <w:i/>
          <w:iCs/>
        </w:rPr>
        <w:t>Документация</w:t>
      </w:r>
      <w:r w:rsidRPr="001253ED">
        <w:t>:</w:t>
      </w:r>
      <w:r w:rsidRPr="001253ED">
        <w:tab/>
        <w:t xml:space="preserve">неофициальные документы GRSP-67-06, GRSP-67-06-Rev.1 </w:t>
      </w:r>
      <w:r w:rsidR="00C3708E">
        <w:br/>
      </w:r>
      <w:r w:rsidRPr="001253ED">
        <w:t>и GRSP-67-15</w:t>
      </w:r>
    </w:p>
    <w:p w14:paraId="33B9F78B" w14:textId="77777777" w:rsidR="001253ED" w:rsidRPr="001253ED" w:rsidRDefault="001253ED" w:rsidP="001253ED">
      <w:pPr>
        <w:pStyle w:val="SingleTxtG"/>
      </w:pPr>
      <w:r w:rsidRPr="001253ED">
        <w:t>34.</w:t>
      </w:r>
      <w:r w:rsidRPr="001253ED">
        <w:tab/>
        <w:t>GRSP приняла к сведению пересмотренный перечень приоритетных направлений работы (GRSP-67-06), представленный на мартовской и июньской сессиях Административного комитета по координации работы (WP.29/AC.2). Говоря о пересмотре деятельности WP.29, касающейся автономных транспортных средств, и</w:t>
      </w:r>
      <w:r w:rsidR="00C3708E">
        <w:t> </w:t>
      </w:r>
      <w:r w:rsidRPr="001253ED">
        <w:t>о рамочном документе ECE/TRANS/WP.29/2019/34/Rev.2 (см. пункт 28 выше), эксперт от Соединенных Штатов Америки пояснил, что первоначальный перечень приоритетных направлений работы был изменен (GRSP-66-39-Rev.5). Вместе с тем он добавил, что для определения трех основных приоритетных направлений, вытекающих главным образом из рамочного документа, потребуется дальнейшая работа по определению приоритетности. GRSP рассмотрела предложение эксперта от КСАОД (GRSP-67-15), в котором определены три основных приоритетных направления деятельности, включенные в документ GRSP-67-06-Rev.1: обеспечение безопасности при столкновении, защита водителя и пассажиров и безопасность электромобилей. GRSP отметила также, что предыдущий перечень текущей деятельности по вопросам, представляющим большой интерес для договаривающихся сторон, остается в силе. В этой связи GRSP приняла документ GRSP-67-06-Rev.1 в качестве рабочего проекта, подлежащего пересмотру на ее сессии в декабре 2020 года.</w:t>
      </w:r>
    </w:p>
    <w:p w14:paraId="005A5017" w14:textId="77777777" w:rsidR="001253ED" w:rsidRPr="001253ED" w:rsidRDefault="001253ED" w:rsidP="00C3708E">
      <w:pPr>
        <w:pStyle w:val="H1G"/>
      </w:pPr>
      <w:r w:rsidRPr="001253ED">
        <w:tab/>
        <w:t>D.</w:t>
      </w:r>
      <w:r w:rsidRPr="001253ED">
        <w:tab/>
        <w:t xml:space="preserve">Новые Правила ООН, касающиеся целостности топливной системы и безопасности электрического привода в случае </w:t>
      </w:r>
      <w:r w:rsidR="00C3708E">
        <w:br/>
      </w:r>
      <w:r w:rsidRPr="001253ED">
        <w:t>удара сзади</w:t>
      </w:r>
    </w:p>
    <w:p w14:paraId="23BF2580" w14:textId="77777777" w:rsidR="001253ED" w:rsidRPr="001253ED" w:rsidRDefault="001253ED" w:rsidP="00C3708E">
      <w:pPr>
        <w:pStyle w:val="SingleTxtG"/>
        <w:ind w:left="2835" w:hanging="1701"/>
        <w:jc w:val="left"/>
        <w:rPr>
          <w:iCs/>
        </w:rPr>
      </w:pPr>
      <w:r w:rsidRPr="001253ED">
        <w:rPr>
          <w:i/>
          <w:iCs/>
        </w:rPr>
        <w:t>Документация</w:t>
      </w:r>
      <w:r w:rsidRPr="001253ED">
        <w:t>:</w:t>
      </w:r>
      <w:r w:rsidRPr="001253ED">
        <w:tab/>
        <w:t xml:space="preserve">ECE/TRANS/WP.29/2020/76 </w:t>
      </w:r>
      <w:r w:rsidR="00C3708E">
        <w:br/>
      </w:r>
      <w:r w:rsidRPr="001253ED">
        <w:t>неофициальный документ GRSP-67-19-Rev.1</w:t>
      </w:r>
    </w:p>
    <w:p w14:paraId="770E5A3E" w14:textId="77777777" w:rsidR="001253ED" w:rsidRPr="001253ED" w:rsidRDefault="001253ED" w:rsidP="001253ED">
      <w:pPr>
        <w:pStyle w:val="SingleTxtG"/>
      </w:pPr>
      <w:r w:rsidRPr="001253ED">
        <w:t>35.</w:t>
      </w:r>
      <w:r w:rsidRPr="001253ED">
        <w:tab/>
        <w:t>GRSP рассмотрела предложение (GRSP-67-19-Rev.1), внесенное на рассмотрение экспертами от Японии, о внесении поправок в определение ПСХЭЭ (см.</w:t>
      </w:r>
      <w:r w:rsidR="00C3708E">
        <w:t> </w:t>
      </w:r>
      <w:r w:rsidRPr="001253ED">
        <w:t>пункты 16, 18, 19 и 25). GRSP приняла это предложение, воспроизведенное в приложении X к настоящему докладу. Секретариату было поручено представить это предложение в качестве проекта дополнения 1 к первоначальному варианту новых Правил ООН (ECE/TRANS/WP.29/2020/76) об официальном утверждении типов транспортных средств, касающихся целостности топливной системы и безопасности электропривода в случае столкновения сзади, для рассмотрения и голосования на сессиях WP.29 и AC.1 в ноябре 2020 года. Вместе с тем Председателю GRSP было поручено обратиться к WP.29 за указаниями относительно рекомендации о том, чтобы вышеупомянутое дополнение носило обязательный характер начиная с даты его принятия AC.1 (до его вступления в силу), с тем чтобы обеспечить последовательное применение Правил ООН всеми договаривающимися сторонами Соглашения.</w:t>
      </w:r>
    </w:p>
    <w:p w14:paraId="7CA8F455" w14:textId="77777777" w:rsidR="001253ED" w:rsidRPr="001253ED" w:rsidRDefault="001253ED" w:rsidP="00C3708E">
      <w:pPr>
        <w:pStyle w:val="H1G"/>
      </w:pPr>
      <w:r w:rsidRPr="001253ED">
        <w:tab/>
        <w:t>E.</w:t>
      </w:r>
      <w:r w:rsidRPr="001253ED">
        <w:tab/>
        <w:t>Соболезнования</w:t>
      </w:r>
    </w:p>
    <w:p w14:paraId="78B24BCC" w14:textId="77777777" w:rsidR="001253ED" w:rsidRPr="001253ED" w:rsidRDefault="001253ED" w:rsidP="001253ED">
      <w:pPr>
        <w:pStyle w:val="SingleTxtG"/>
      </w:pPr>
      <w:r w:rsidRPr="001253ED">
        <w:t>36.</w:t>
      </w:r>
      <w:r w:rsidRPr="001253ED">
        <w:tab/>
        <w:t xml:space="preserve">GRSP узнала, что г-н Х. Аммерлан (Нидерланды) скончался 3 апреля 2020 года, и почтила его память минутой молчания. GRSP вспомнила о том, как он в последний раз участвовал в работе сессии GRSP в декабре 2019 года, вновь отметила его преданность делу и ценный вклад в повышение безопасности транспортных средств в течение многих лет его участия в работе сессий и выразила соболезнования и сочувствие его семье. </w:t>
      </w:r>
    </w:p>
    <w:p w14:paraId="6B12D91A" w14:textId="77777777" w:rsidR="001253ED" w:rsidRPr="001253ED" w:rsidRDefault="001253ED" w:rsidP="00C3708E">
      <w:pPr>
        <w:pStyle w:val="HChG"/>
      </w:pPr>
      <w:r w:rsidRPr="001253ED">
        <w:tab/>
        <w:t>XIX.</w:t>
      </w:r>
      <w:r w:rsidRPr="001253ED">
        <w:tab/>
        <w:t xml:space="preserve">Предварительная повестка дня следующей сессии </w:t>
      </w:r>
      <w:r w:rsidR="00C3708E">
        <w:br/>
      </w:r>
      <w:r w:rsidRPr="001253ED">
        <w:t>(пункт 18 повестки дня)</w:t>
      </w:r>
    </w:p>
    <w:p w14:paraId="4D1FAE5C" w14:textId="77777777" w:rsidR="001253ED" w:rsidRPr="001253ED" w:rsidRDefault="001253ED" w:rsidP="001253ED">
      <w:pPr>
        <w:pStyle w:val="SingleTxtG"/>
      </w:pPr>
      <w:r w:rsidRPr="001253ED">
        <w:t>37.</w:t>
      </w:r>
      <w:r w:rsidRPr="001253ED">
        <w:tab/>
        <w:t xml:space="preserve">Шестьдесят седьмую сессию планируется провести в Женеве c 7 декабря </w:t>
      </w:r>
      <w:r w:rsidR="00C3708E">
        <w:br/>
      </w:r>
      <w:r w:rsidRPr="001253ED">
        <w:t>(14 ч 30 мин) по 11 декабря (12 ч 30 мин) 2020 года. GRSP отметила, что предельный срок для представления официальной документации в секретариат — 11 сентября 2020</w:t>
      </w:r>
      <w:r w:rsidR="00C3708E">
        <w:t> </w:t>
      </w:r>
      <w:r w:rsidRPr="001253ED">
        <w:t>года, т. е. за двенадцать недель до начала сессии. GRSP утвердила следующую предварительную повестку дня:</w:t>
      </w:r>
    </w:p>
    <w:p w14:paraId="5370D943" w14:textId="77777777" w:rsidR="001253ED" w:rsidRPr="001253ED" w:rsidRDefault="001253ED" w:rsidP="001253ED">
      <w:pPr>
        <w:pStyle w:val="SingleTxtG"/>
      </w:pPr>
      <w:r w:rsidRPr="001253ED">
        <w:t>1.</w:t>
      </w:r>
      <w:r w:rsidRPr="001253ED">
        <w:tab/>
        <w:t>Утверждение повестки дня.</w:t>
      </w:r>
    </w:p>
    <w:p w14:paraId="2B4BB103" w14:textId="77777777" w:rsidR="001253ED" w:rsidRPr="001253ED" w:rsidRDefault="001253ED" w:rsidP="001253ED">
      <w:pPr>
        <w:pStyle w:val="SingleTxtG"/>
      </w:pPr>
      <w:r w:rsidRPr="001253ED">
        <w:t>2.</w:t>
      </w:r>
      <w:r w:rsidRPr="001253ED">
        <w:tab/>
        <w:t>Глобальные технические правила № 9 ООН (безопасность пешеходов):</w:t>
      </w:r>
    </w:p>
    <w:p w14:paraId="11D2997C" w14:textId="77777777" w:rsidR="001253ED" w:rsidRPr="001253ED" w:rsidRDefault="001253ED" w:rsidP="001253ED">
      <w:pPr>
        <w:pStyle w:val="SingleTxtG"/>
      </w:pPr>
      <w:r w:rsidRPr="001253ED">
        <w:tab/>
      </w:r>
      <w:r w:rsidRPr="001253ED">
        <w:tab/>
        <w:t>a)</w:t>
      </w:r>
      <w:r w:rsidRPr="001253ED">
        <w:tab/>
        <w:t>предложение по поправке 3;</w:t>
      </w:r>
    </w:p>
    <w:p w14:paraId="5756D1E8" w14:textId="77777777" w:rsidR="001253ED" w:rsidRPr="001253ED" w:rsidRDefault="001253ED" w:rsidP="001253ED">
      <w:pPr>
        <w:pStyle w:val="SingleTxtG"/>
      </w:pPr>
      <w:r w:rsidRPr="001253ED">
        <w:tab/>
      </w:r>
      <w:r w:rsidRPr="001253ED">
        <w:tab/>
        <w:t>b)</w:t>
      </w:r>
      <w:r w:rsidRPr="001253ED">
        <w:tab/>
        <w:t>предложение по поправке 4.</w:t>
      </w:r>
    </w:p>
    <w:p w14:paraId="38BFA366" w14:textId="77777777" w:rsidR="001253ED" w:rsidRPr="001253ED" w:rsidRDefault="001253ED" w:rsidP="00C3708E">
      <w:pPr>
        <w:pStyle w:val="SingleTxtG"/>
        <w:ind w:left="1701" w:hanging="567"/>
      </w:pPr>
      <w:r w:rsidRPr="001253ED">
        <w:t>3.</w:t>
      </w:r>
      <w:r w:rsidRPr="001253ED">
        <w:tab/>
        <w:t>Глобальные технические правила № 13 ООН (транспортные средства, работающие на водороде и топливных элементах).</w:t>
      </w:r>
    </w:p>
    <w:p w14:paraId="2AEC4C09" w14:textId="77777777" w:rsidR="001253ED" w:rsidRPr="001253ED" w:rsidRDefault="001253ED" w:rsidP="001253ED">
      <w:pPr>
        <w:pStyle w:val="SingleTxtG"/>
      </w:pPr>
      <w:r w:rsidRPr="001253ED">
        <w:t>4.</w:t>
      </w:r>
      <w:r w:rsidRPr="001253ED">
        <w:tab/>
        <w:t>Глобальные технические правила № 20 ООН (безопасность электромобилей).</w:t>
      </w:r>
    </w:p>
    <w:p w14:paraId="462DAFCA" w14:textId="77777777" w:rsidR="001253ED" w:rsidRPr="001253ED" w:rsidRDefault="001253ED" w:rsidP="001253ED">
      <w:pPr>
        <w:pStyle w:val="SingleTxtG"/>
        <w:rPr>
          <w:bCs/>
        </w:rPr>
      </w:pPr>
      <w:r w:rsidRPr="001253ED">
        <w:t>5.</w:t>
      </w:r>
      <w:r w:rsidRPr="001253ED">
        <w:tab/>
        <w:t>Правила № 12 ООН (система рулевого управления).</w:t>
      </w:r>
    </w:p>
    <w:p w14:paraId="61BDACE6" w14:textId="77777777" w:rsidR="001253ED" w:rsidRPr="001253ED" w:rsidRDefault="001253ED" w:rsidP="001253ED">
      <w:pPr>
        <w:pStyle w:val="SingleTxtG"/>
      </w:pPr>
      <w:r w:rsidRPr="001253ED">
        <w:t>6.</w:t>
      </w:r>
      <w:r w:rsidRPr="001253ED">
        <w:tab/>
        <w:t>Правила № 17 ООН (прочность сидений).</w:t>
      </w:r>
    </w:p>
    <w:p w14:paraId="449EEF90" w14:textId="77777777" w:rsidR="001253ED" w:rsidRPr="001253ED" w:rsidRDefault="001253ED" w:rsidP="001253ED">
      <w:pPr>
        <w:pStyle w:val="SingleTxtG"/>
      </w:pPr>
      <w:r w:rsidRPr="001253ED">
        <w:t>7.</w:t>
      </w:r>
      <w:r w:rsidRPr="001253ED">
        <w:tab/>
        <w:t>Правила № 22 ООН (защитные шлемы).</w:t>
      </w:r>
    </w:p>
    <w:p w14:paraId="20593265" w14:textId="77777777" w:rsidR="001253ED" w:rsidRPr="001253ED" w:rsidRDefault="001253ED" w:rsidP="001253ED">
      <w:pPr>
        <w:pStyle w:val="SingleTxtG"/>
        <w:rPr>
          <w:bCs/>
        </w:rPr>
      </w:pPr>
      <w:r w:rsidRPr="001253ED">
        <w:t>8.</w:t>
      </w:r>
      <w:r w:rsidRPr="001253ED">
        <w:tab/>
        <w:t>Правила № 44 ООН (детские удерживающие системы).</w:t>
      </w:r>
    </w:p>
    <w:p w14:paraId="18EF0052" w14:textId="77777777" w:rsidR="001253ED" w:rsidRPr="001253ED" w:rsidRDefault="001253ED" w:rsidP="001253ED">
      <w:pPr>
        <w:pStyle w:val="SingleTxtG"/>
      </w:pPr>
      <w:r w:rsidRPr="001253ED">
        <w:t>9.</w:t>
      </w:r>
      <w:r w:rsidRPr="001253ED">
        <w:tab/>
        <w:t>Правила № 127 ООН (безопасность пешеходов).</w:t>
      </w:r>
    </w:p>
    <w:p w14:paraId="23EC0309" w14:textId="77777777" w:rsidR="001253ED" w:rsidRPr="001253ED" w:rsidRDefault="001253ED" w:rsidP="001253ED">
      <w:pPr>
        <w:pStyle w:val="SingleTxtG"/>
      </w:pPr>
      <w:r w:rsidRPr="001253ED">
        <w:t>10.</w:t>
      </w:r>
      <w:r w:rsidRPr="001253ED">
        <w:tab/>
        <w:t>Правила № 129 ООН (усовершенствованные детские удерживающие системы).</w:t>
      </w:r>
    </w:p>
    <w:p w14:paraId="303D416B" w14:textId="77777777" w:rsidR="001253ED" w:rsidRPr="001253ED" w:rsidRDefault="001253ED" w:rsidP="00C3708E">
      <w:pPr>
        <w:pStyle w:val="SingleTxtG"/>
        <w:ind w:left="1701" w:hanging="567"/>
      </w:pPr>
      <w:r w:rsidRPr="001253ED">
        <w:t>11.</w:t>
      </w:r>
      <w:r w:rsidRPr="001253ED">
        <w:tab/>
        <w:t>Правила № 134 ООН (транспортные средства, работающие на водороде и топливных элементах).</w:t>
      </w:r>
    </w:p>
    <w:p w14:paraId="390374D9" w14:textId="77777777" w:rsidR="001253ED" w:rsidRPr="001253ED" w:rsidRDefault="001253ED" w:rsidP="001253ED">
      <w:pPr>
        <w:pStyle w:val="SingleTxtG"/>
      </w:pPr>
      <w:r w:rsidRPr="001253ED">
        <w:t>12.</w:t>
      </w:r>
      <w:r w:rsidRPr="001253ED">
        <w:tab/>
        <w:t>Правила № 135 ООН (боковой удар о столб (БУС)).</w:t>
      </w:r>
    </w:p>
    <w:p w14:paraId="54A66D8A" w14:textId="77777777" w:rsidR="001253ED" w:rsidRPr="001253ED" w:rsidRDefault="001253ED" w:rsidP="00C3708E">
      <w:pPr>
        <w:pStyle w:val="SingleTxtG"/>
        <w:ind w:left="1701" w:hanging="567"/>
      </w:pPr>
      <w:r w:rsidRPr="001253ED">
        <w:t>13.</w:t>
      </w:r>
      <w:r w:rsidRPr="001253ED">
        <w:tab/>
        <w:t>Правила № 137 ООН (лобовой удар с уделением особого внимания удерживающим системам).</w:t>
      </w:r>
    </w:p>
    <w:p w14:paraId="0FC536A1" w14:textId="77777777" w:rsidR="001253ED" w:rsidRPr="001253ED" w:rsidRDefault="001253ED" w:rsidP="001253ED">
      <w:pPr>
        <w:pStyle w:val="SingleTxtG"/>
      </w:pPr>
      <w:r w:rsidRPr="001253ED">
        <w:t>14.</w:t>
      </w:r>
      <w:r w:rsidRPr="001253ED">
        <w:tab/>
        <w:t>Общая резолюция № 1.</w:t>
      </w:r>
    </w:p>
    <w:p w14:paraId="1BCD7CC2" w14:textId="77777777" w:rsidR="001253ED" w:rsidRPr="001253ED" w:rsidRDefault="001253ED" w:rsidP="001253ED">
      <w:pPr>
        <w:pStyle w:val="SingleTxtG"/>
      </w:pPr>
      <w:r w:rsidRPr="001253ED">
        <w:t>15.</w:t>
      </w:r>
      <w:r w:rsidRPr="001253ED">
        <w:tab/>
        <w:t>Обеспечение безопасности детей в городских и междугородных автобусах.</w:t>
      </w:r>
    </w:p>
    <w:p w14:paraId="3537CFC8" w14:textId="77777777" w:rsidR="001253ED" w:rsidRPr="001253ED" w:rsidRDefault="001253ED" w:rsidP="001253ED">
      <w:pPr>
        <w:pStyle w:val="SingleTxtG"/>
        <w:rPr>
          <w:bCs/>
        </w:rPr>
      </w:pPr>
      <w:r w:rsidRPr="001253ED">
        <w:t>16.</w:t>
      </w:r>
      <w:r w:rsidRPr="001253ED">
        <w:tab/>
        <w:t>Обмен мнениями по вопросу об автоматизации транспортных средств.</w:t>
      </w:r>
    </w:p>
    <w:p w14:paraId="392AF310" w14:textId="77777777" w:rsidR="001253ED" w:rsidRPr="001253ED" w:rsidRDefault="001253ED" w:rsidP="001253ED">
      <w:pPr>
        <w:pStyle w:val="SingleTxtG"/>
        <w:rPr>
          <w:bCs/>
        </w:rPr>
      </w:pPr>
      <w:r w:rsidRPr="001253ED">
        <w:t>17.</w:t>
      </w:r>
      <w:r w:rsidRPr="001253ED">
        <w:tab/>
        <w:t>Стратегия Комитета по внутреннему транспорту.</w:t>
      </w:r>
    </w:p>
    <w:p w14:paraId="3FBB8AA0" w14:textId="77777777" w:rsidR="001253ED" w:rsidRPr="001253ED" w:rsidRDefault="001253ED" w:rsidP="001253ED">
      <w:pPr>
        <w:pStyle w:val="SingleTxtG"/>
        <w:rPr>
          <w:bCs/>
        </w:rPr>
      </w:pPr>
      <w:r w:rsidRPr="001253ED">
        <w:t>18.</w:t>
      </w:r>
      <w:r w:rsidRPr="001253ED">
        <w:tab/>
        <w:t>Выборы должностных лиц.</w:t>
      </w:r>
    </w:p>
    <w:p w14:paraId="18C1DF7D" w14:textId="77777777" w:rsidR="001253ED" w:rsidRPr="001253ED" w:rsidRDefault="001253ED" w:rsidP="001253ED">
      <w:pPr>
        <w:pStyle w:val="SingleTxtG"/>
      </w:pPr>
      <w:r w:rsidRPr="001253ED">
        <w:t>19.</w:t>
      </w:r>
      <w:r w:rsidRPr="001253ED">
        <w:tab/>
        <w:t>Прочие вопросы:</w:t>
      </w:r>
    </w:p>
    <w:p w14:paraId="60A77D33" w14:textId="77777777" w:rsidR="001253ED" w:rsidRPr="001253ED" w:rsidRDefault="00C3708E" w:rsidP="00C3708E">
      <w:pPr>
        <w:pStyle w:val="SingleTxtG"/>
        <w:tabs>
          <w:tab w:val="left" w:pos="1701"/>
        </w:tabs>
        <w:ind w:left="2268" w:hanging="1134"/>
      </w:pPr>
      <w:r>
        <w:tab/>
      </w:r>
      <w:r w:rsidR="001253ED" w:rsidRPr="001253ED">
        <w:t>a)</w:t>
      </w:r>
      <w:r w:rsidR="001253ED" w:rsidRPr="001253ED">
        <w:tab/>
        <w:t>обмен информацией о национальных и международных требованиях, касающихся пассивной безопасности;</w:t>
      </w:r>
    </w:p>
    <w:p w14:paraId="147AEF9D" w14:textId="77777777" w:rsidR="001253ED" w:rsidRPr="001253ED" w:rsidRDefault="00C3708E" w:rsidP="00C3708E">
      <w:pPr>
        <w:pStyle w:val="SingleTxtG"/>
        <w:tabs>
          <w:tab w:val="left" w:pos="1701"/>
        </w:tabs>
        <w:ind w:left="2268" w:hanging="1134"/>
      </w:pPr>
      <w:r>
        <w:tab/>
      </w:r>
      <w:r w:rsidR="001253ED" w:rsidRPr="001253ED">
        <w:t>b)</w:t>
      </w:r>
      <w:r w:rsidR="001253ED" w:rsidRPr="001253ED">
        <w:tab/>
        <w:t>Правила № 0 ООН (международная система официального утверждения типа комплектного транспортного средства);</w:t>
      </w:r>
    </w:p>
    <w:p w14:paraId="4B470498" w14:textId="77777777" w:rsidR="001253ED" w:rsidRPr="001253ED" w:rsidRDefault="00C3708E" w:rsidP="001253ED">
      <w:pPr>
        <w:pStyle w:val="SingleTxtG"/>
        <w:rPr>
          <w:bCs/>
        </w:rPr>
      </w:pPr>
      <w:r>
        <w:tab/>
      </w:r>
      <w:r>
        <w:tab/>
      </w:r>
      <w:r w:rsidR="001253ED" w:rsidRPr="001253ED">
        <w:t>c)</w:t>
      </w:r>
      <w:r w:rsidR="001253ED" w:rsidRPr="001253ED">
        <w:tab/>
        <w:t>основные вопросы, рассмотренные на сессии WP.29 в ноябре 2020 года;</w:t>
      </w:r>
    </w:p>
    <w:p w14:paraId="7E881BA6" w14:textId="77777777" w:rsidR="001253ED" w:rsidRPr="001253ED" w:rsidRDefault="00C3708E" w:rsidP="001253ED">
      <w:pPr>
        <w:pStyle w:val="SingleTxtG"/>
        <w:rPr>
          <w:bCs/>
        </w:rPr>
      </w:pPr>
      <w:r>
        <w:tab/>
      </w:r>
      <w:r>
        <w:tab/>
      </w:r>
      <w:r w:rsidR="001253ED" w:rsidRPr="001253ED">
        <w:t>d)</w:t>
      </w:r>
      <w:r w:rsidR="001253ED" w:rsidRPr="001253ED">
        <w:tab/>
        <w:t>объемный механизм определения точки Н;</w:t>
      </w:r>
    </w:p>
    <w:p w14:paraId="4699A6BE" w14:textId="77777777" w:rsidR="001253ED" w:rsidRPr="001253ED" w:rsidRDefault="00C3708E" w:rsidP="001253ED">
      <w:pPr>
        <w:pStyle w:val="SingleTxtG"/>
      </w:pPr>
      <w:r>
        <w:tab/>
      </w:r>
      <w:r>
        <w:tab/>
      </w:r>
      <w:r w:rsidR="001253ED" w:rsidRPr="001253ED">
        <w:t>e)</w:t>
      </w:r>
      <w:r w:rsidR="001253ED" w:rsidRPr="001253ED">
        <w:tab/>
        <w:t>интеллектуальные транспортные системы;</w:t>
      </w:r>
    </w:p>
    <w:p w14:paraId="0F9E8F2F" w14:textId="77777777" w:rsidR="001253ED" w:rsidRDefault="00C3708E" w:rsidP="001253ED">
      <w:pPr>
        <w:pStyle w:val="SingleTxtG"/>
      </w:pPr>
      <w:r>
        <w:tab/>
      </w:r>
      <w:r>
        <w:tab/>
      </w:r>
      <w:r w:rsidR="001253ED" w:rsidRPr="001253ED">
        <w:t>f)</w:t>
      </w:r>
      <w:r w:rsidR="001253ED" w:rsidRPr="001253ED">
        <w:tab/>
        <w:t>дети, оставленные в автомобилях.</w:t>
      </w:r>
    </w:p>
    <w:p w14:paraId="50E7AE7A" w14:textId="77777777" w:rsidR="001253ED" w:rsidRDefault="001253ED">
      <w:pPr>
        <w:suppressAutoHyphens w:val="0"/>
        <w:spacing w:line="240" w:lineRule="auto"/>
        <w:rPr>
          <w:rFonts w:eastAsia="Times New Roman" w:cs="Times New Roman"/>
          <w:szCs w:val="20"/>
        </w:rPr>
      </w:pPr>
      <w:r>
        <w:br w:type="page"/>
      </w:r>
    </w:p>
    <w:p w14:paraId="631D6532" w14:textId="77777777" w:rsidR="001253ED" w:rsidRPr="007C6939" w:rsidRDefault="001253ED" w:rsidP="001253ED">
      <w:pPr>
        <w:pStyle w:val="HChG"/>
      </w:pPr>
      <w:r w:rsidRPr="00D62842">
        <w:rPr>
          <w:bCs/>
        </w:rPr>
        <w:t>Приложение</w:t>
      </w:r>
      <w:r w:rsidRPr="007C6939">
        <w:rPr>
          <w:bCs/>
        </w:rPr>
        <w:t xml:space="preserve"> </w:t>
      </w:r>
      <w:r w:rsidRPr="00C45DA4">
        <w:rPr>
          <w:bCs/>
          <w:lang w:val="en-US"/>
        </w:rPr>
        <w:t>I</w:t>
      </w:r>
    </w:p>
    <w:p w14:paraId="79C0180F" w14:textId="77777777" w:rsidR="001253ED" w:rsidRPr="007C6939" w:rsidRDefault="001253ED" w:rsidP="001253ED">
      <w:pPr>
        <w:pStyle w:val="H1G"/>
        <w:spacing w:before="120" w:after="120" w:line="240" w:lineRule="auto"/>
        <w:jc w:val="right"/>
        <w:rPr>
          <w:b w:val="0"/>
          <w:bCs/>
          <w:sz w:val="20"/>
        </w:rPr>
      </w:pPr>
      <w:r w:rsidRPr="007C6939">
        <w:rPr>
          <w:b w:val="0"/>
          <w:bCs/>
          <w:sz w:val="20"/>
        </w:rPr>
        <w:t>[</w:t>
      </w:r>
      <w:r>
        <w:rPr>
          <w:b w:val="0"/>
          <w:bCs/>
          <w:sz w:val="20"/>
        </w:rPr>
        <w:t>Только на английском языке</w:t>
      </w:r>
      <w:r w:rsidRPr="007C6939">
        <w:rPr>
          <w:b w:val="0"/>
          <w:bCs/>
          <w:sz w:val="20"/>
        </w:rPr>
        <w:t>]</w:t>
      </w:r>
    </w:p>
    <w:p w14:paraId="5968030A" w14:textId="77777777" w:rsidR="001253ED" w:rsidRPr="00C45DA4" w:rsidRDefault="001253ED" w:rsidP="001253ED">
      <w:pPr>
        <w:pStyle w:val="HChG"/>
        <w:spacing w:line="240" w:lineRule="auto"/>
        <w:rPr>
          <w:lang w:val="en-US"/>
        </w:rPr>
      </w:pPr>
      <w:r w:rsidRPr="007C6939">
        <w:tab/>
      </w:r>
      <w:r w:rsidRPr="007C6939">
        <w:tab/>
      </w:r>
      <w:bookmarkStart w:id="5" w:name="_Hlk54273622"/>
      <w:r w:rsidRPr="00C45DA4">
        <w:rPr>
          <w:lang w:val="en-US"/>
        </w:rPr>
        <w:t>List of informal documents (GRSP-67-…) distributed without an official symbol during the session</w:t>
      </w:r>
      <w:bookmarkEnd w:id="5"/>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1253ED" w:rsidRPr="00D62842" w14:paraId="63C77392" w14:textId="77777777" w:rsidTr="00831BBC">
        <w:trPr>
          <w:tblHeader/>
        </w:trPr>
        <w:tc>
          <w:tcPr>
            <w:tcW w:w="567" w:type="dxa"/>
            <w:tcBorders>
              <w:bottom w:val="single" w:sz="12" w:space="0" w:color="auto"/>
            </w:tcBorders>
          </w:tcPr>
          <w:p w14:paraId="06497FC3" w14:textId="77777777" w:rsidR="001253ED" w:rsidRPr="00D62842" w:rsidRDefault="001253ED" w:rsidP="00831BBC">
            <w:pPr>
              <w:spacing w:line="240" w:lineRule="auto"/>
              <w:rPr>
                <w:i/>
                <w:sz w:val="18"/>
                <w:szCs w:val="18"/>
              </w:rPr>
            </w:pPr>
            <w:r w:rsidRPr="00D62842">
              <w:rPr>
                <w:i/>
                <w:sz w:val="18"/>
                <w:szCs w:val="18"/>
              </w:rPr>
              <w:t>No.</w:t>
            </w:r>
          </w:p>
        </w:tc>
        <w:tc>
          <w:tcPr>
            <w:tcW w:w="1299" w:type="dxa"/>
            <w:tcBorders>
              <w:bottom w:val="single" w:sz="12" w:space="0" w:color="auto"/>
            </w:tcBorders>
          </w:tcPr>
          <w:p w14:paraId="4CB7093F" w14:textId="77777777" w:rsidR="001253ED" w:rsidRPr="00D62842" w:rsidRDefault="001253ED" w:rsidP="00831BBC">
            <w:pPr>
              <w:spacing w:line="240" w:lineRule="auto"/>
              <w:rPr>
                <w:i/>
                <w:sz w:val="18"/>
                <w:szCs w:val="18"/>
              </w:rPr>
            </w:pPr>
            <w:r w:rsidRPr="00D62842">
              <w:rPr>
                <w:i/>
                <w:sz w:val="18"/>
                <w:szCs w:val="18"/>
              </w:rPr>
              <w:t>Transmitted by</w:t>
            </w:r>
          </w:p>
        </w:tc>
        <w:tc>
          <w:tcPr>
            <w:tcW w:w="700" w:type="dxa"/>
            <w:tcBorders>
              <w:bottom w:val="single" w:sz="12" w:space="0" w:color="auto"/>
            </w:tcBorders>
          </w:tcPr>
          <w:p w14:paraId="24EA9293" w14:textId="77777777" w:rsidR="001253ED" w:rsidRPr="00D62842" w:rsidRDefault="001253ED" w:rsidP="00831BBC">
            <w:pPr>
              <w:spacing w:line="240" w:lineRule="auto"/>
              <w:jc w:val="center"/>
              <w:rPr>
                <w:i/>
                <w:sz w:val="18"/>
                <w:szCs w:val="18"/>
              </w:rPr>
            </w:pPr>
            <w:r w:rsidRPr="00D62842">
              <w:rPr>
                <w:i/>
                <w:sz w:val="18"/>
                <w:szCs w:val="18"/>
              </w:rPr>
              <w:t>Agenda item</w:t>
            </w:r>
          </w:p>
        </w:tc>
        <w:tc>
          <w:tcPr>
            <w:tcW w:w="900" w:type="dxa"/>
            <w:tcBorders>
              <w:bottom w:val="single" w:sz="12" w:space="0" w:color="auto"/>
            </w:tcBorders>
          </w:tcPr>
          <w:p w14:paraId="5605DF54" w14:textId="77777777" w:rsidR="001253ED" w:rsidRPr="00D62842" w:rsidRDefault="001253ED" w:rsidP="00831BBC">
            <w:pPr>
              <w:spacing w:line="240" w:lineRule="auto"/>
              <w:jc w:val="center"/>
              <w:rPr>
                <w:i/>
                <w:sz w:val="18"/>
                <w:szCs w:val="18"/>
              </w:rPr>
            </w:pPr>
            <w:r w:rsidRPr="00D62842">
              <w:rPr>
                <w:i/>
                <w:sz w:val="18"/>
                <w:szCs w:val="18"/>
              </w:rPr>
              <w:t>Language</w:t>
            </w:r>
          </w:p>
        </w:tc>
        <w:tc>
          <w:tcPr>
            <w:tcW w:w="3400" w:type="dxa"/>
            <w:tcBorders>
              <w:bottom w:val="single" w:sz="12" w:space="0" w:color="auto"/>
            </w:tcBorders>
          </w:tcPr>
          <w:p w14:paraId="3A556FC2" w14:textId="77777777" w:rsidR="001253ED" w:rsidRPr="00D62842" w:rsidRDefault="001253ED" w:rsidP="00831BBC">
            <w:pPr>
              <w:pStyle w:val="ad"/>
              <w:tabs>
                <w:tab w:val="clear" w:pos="1021"/>
              </w:tabs>
              <w:spacing w:line="240" w:lineRule="auto"/>
              <w:ind w:left="0" w:right="34" w:firstLine="0"/>
              <w:rPr>
                <w:i/>
                <w:szCs w:val="18"/>
              </w:rPr>
            </w:pPr>
            <w:r w:rsidRPr="00D62842">
              <w:rPr>
                <w:i/>
                <w:szCs w:val="18"/>
              </w:rPr>
              <w:t>Title</w:t>
            </w:r>
          </w:p>
        </w:tc>
        <w:tc>
          <w:tcPr>
            <w:tcW w:w="605" w:type="dxa"/>
            <w:tcBorders>
              <w:bottom w:val="single" w:sz="12" w:space="0" w:color="auto"/>
            </w:tcBorders>
          </w:tcPr>
          <w:p w14:paraId="7AAD41EF" w14:textId="77777777" w:rsidR="001253ED" w:rsidRPr="00D62842" w:rsidRDefault="001253ED" w:rsidP="00831BBC">
            <w:pPr>
              <w:spacing w:line="240" w:lineRule="auto"/>
              <w:rPr>
                <w:i/>
                <w:sz w:val="18"/>
                <w:szCs w:val="18"/>
              </w:rPr>
            </w:pPr>
            <w:r w:rsidRPr="00D62842">
              <w:rPr>
                <w:i/>
                <w:sz w:val="18"/>
                <w:szCs w:val="18"/>
              </w:rPr>
              <w:t>Follow-up</w:t>
            </w:r>
          </w:p>
        </w:tc>
      </w:tr>
      <w:tr w:rsidR="001253ED" w:rsidRPr="00D62842" w14:paraId="40E9ED3A" w14:textId="77777777" w:rsidTr="00831BBC">
        <w:tc>
          <w:tcPr>
            <w:tcW w:w="567" w:type="dxa"/>
            <w:tcBorders>
              <w:top w:val="single" w:sz="12" w:space="0" w:color="auto"/>
            </w:tcBorders>
          </w:tcPr>
          <w:p w14:paraId="75A98AB7" w14:textId="77777777" w:rsidR="001253ED" w:rsidRPr="00D62842" w:rsidRDefault="001253ED" w:rsidP="00831BBC">
            <w:pPr>
              <w:pStyle w:val="SingleTxtG"/>
              <w:spacing w:before="120" w:line="240" w:lineRule="auto"/>
              <w:ind w:left="0" w:right="0"/>
            </w:pPr>
            <w:r w:rsidRPr="00D62842">
              <w:t>01</w:t>
            </w:r>
          </w:p>
        </w:tc>
        <w:tc>
          <w:tcPr>
            <w:tcW w:w="1299" w:type="dxa"/>
            <w:tcBorders>
              <w:top w:val="single" w:sz="12" w:space="0" w:color="auto"/>
            </w:tcBorders>
          </w:tcPr>
          <w:p w14:paraId="043B9727" w14:textId="77777777" w:rsidR="001253ED" w:rsidRPr="00D62842" w:rsidRDefault="001253ED" w:rsidP="00831BBC">
            <w:pPr>
              <w:pStyle w:val="SingleTxtG"/>
              <w:spacing w:before="120" w:line="240" w:lineRule="auto"/>
              <w:ind w:left="0" w:right="0"/>
            </w:pPr>
            <w:r w:rsidRPr="00D62842">
              <w:t>GRSP/Chair</w:t>
            </w:r>
          </w:p>
        </w:tc>
        <w:tc>
          <w:tcPr>
            <w:tcW w:w="700" w:type="dxa"/>
            <w:tcBorders>
              <w:top w:val="single" w:sz="12" w:space="0" w:color="auto"/>
            </w:tcBorders>
          </w:tcPr>
          <w:p w14:paraId="7D2272A1" w14:textId="77777777" w:rsidR="001253ED" w:rsidRPr="00D62842" w:rsidRDefault="001253ED" w:rsidP="00831BBC">
            <w:pPr>
              <w:pStyle w:val="SingleTxtG"/>
              <w:spacing w:before="120" w:line="240" w:lineRule="auto"/>
              <w:ind w:left="0" w:right="0"/>
              <w:jc w:val="center"/>
            </w:pPr>
            <w:r w:rsidRPr="00D62842">
              <w:t>1</w:t>
            </w:r>
          </w:p>
        </w:tc>
        <w:tc>
          <w:tcPr>
            <w:tcW w:w="900" w:type="dxa"/>
            <w:tcBorders>
              <w:top w:val="single" w:sz="12" w:space="0" w:color="auto"/>
            </w:tcBorders>
          </w:tcPr>
          <w:p w14:paraId="2D9484EC" w14:textId="77777777" w:rsidR="001253ED" w:rsidRPr="00D62842" w:rsidRDefault="001253ED" w:rsidP="00831BBC">
            <w:pPr>
              <w:pStyle w:val="SingleTxtG"/>
              <w:spacing w:before="120" w:line="240" w:lineRule="auto"/>
              <w:ind w:left="0" w:right="0"/>
              <w:jc w:val="center"/>
            </w:pPr>
            <w:r w:rsidRPr="00D62842">
              <w:t>E</w:t>
            </w:r>
          </w:p>
        </w:tc>
        <w:tc>
          <w:tcPr>
            <w:tcW w:w="3400" w:type="dxa"/>
            <w:tcBorders>
              <w:top w:val="single" w:sz="12" w:space="0" w:color="auto"/>
            </w:tcBorders>
          </w:tcPr>
          <w:p w14:paraId="35BC2415" w14:textId="77777777" w:rsidR="001253ED" w:rsidRPr="00C45DA4" w:rsidRDefault="001253ED" w:rsidP="00831BBC">
            <w:pPr>
              <w:pStyle w:val="SingleTxtG"/>
              <w:spacing w:before="120" w:line="240" w:lineRule="auto"/>
              <w:ind w:left="0" w:right="0"/>
              <w:jc w:val="left"/>
              <w:rPr>
                <w:lang w:val="en-US"/>
              </w:rPr>
            </w:pPr>
            <w:r w:rsidRPr="00C45DA4">
              <w:rPr>
                <w:lang w:val="en-US"/>
              </w:rPr>
              <w:t>Running order of the</w:t>
            </w:r>
            <w:r w:rsidRPr="00C45DA4">
              <w:rPr>
                <w:b/>
                <w:bCs/>
                <w:lang w:val="en-US"/>
              </w:rPr>
              <w:t xml:space="preserve"> </w:t>
            </w:r>
            <w:r w:rsidRPr="00C45DA4">
              <w:rPr>
                <w:lang w:val="en-US"/>
              </w:rPr>
              <w:t>67th session of GRSP</w:t>
            </w:r>
          </w:p>
        </w:tc>
        <w:tc>
          <w:tcPr>
            <w:tcW w:w="605" w:type="dxa"/>
            <w:tcBorders>
              <w:top w:val="single" w:sz="12" w:space="0" w:color="auto"/>
            </w:tcBorders>
          </w:tcPr>
          <w:p w14:paraId="0DC10503" w14:textId="77777777" w:rsidR="001253ED" w:rsidRPr="00D62842" w:rsidRDefault="001253ED" w:rsidP="00831BBC">
            <w:pPr>
              <w:spacing w:before="120" w:line="240" w:lineRule="auto"/>
              <w:jc w:val="center"/>
            </w:pPr>
            <w:r w:rsidRPr="00D62842">
              <w:t>(a)</w:t>
            </w:r>
          </w:p>
        </w:tc>
      </w:tr>
      <w:tr w:rsidR="001253ED" w:rsidRPr="00D62842" w14:paraId="59DA84CE" w14:textId="77777777" w:rsidTr="00831BBC">
        <w:tc>
          <w:tcPr>
            <w:tcW w:w="567" w:type="dxa"/>
          </w:tcPr>
          <w:p w14:paraId="693E9931" w14:textId="77777777" w:rsidR="001253ED" w:rsidRPr="00D62842" w:rsidRDefault="001253ED" w:rsidP="00831BBC">
            <w:pPr>
              <w:pStyle w:val="SingleTxtG"/>
              <w:spacing w:line="240" w:lineRule="auto"/>
              <w:ind w:left="0" w:right="0"/>
            </w:pPr>
            <w:r w:rsidRPr="00D62842">
              <w:t>02</w:t>
            </w:r>
          </w:p>
        </w:tc>
        <w:tc>
          <w:tcPr>
            <w:tcW w:w="1299" w:type="dxa"/>
          </w:tcPr>
          <w:p w14:paraId="2187E5D0" w14:textId="77777777" w:rsidR="001253ED" w:rsidRPr="00D62842" w:rsidRDefault="001253ED" w:rsidP="00831BBC">
            <w:pPr>
              <w:pStyle w:val="SingleTxtG"/>
              <w:spacing w:line="240" w:lineRule="auto"/>
              <w:ind w:left="0" w:right="0"/>
            </w:pPr>
            <w:r w:rsidRPr="00D62842">
              <w:t>Secretariat</w:t>
            </w:r>
          </w:p>
        </w:tc>
        <w:tc>
          <w:tcPr>
            <w:tcW w:w="700" w:type="dxa"/>
          </w:tcPr>
          <w:p w14:paraId="75881D73" w14:textId="77777777" w:rsidR="001253ED" w:rsidRPr="00D62842" w:rsidRDefault="001253ED" w:rsidP="00831BBC">
            <w:pPr>
              <w:pStyle w:val="SingleTxtG"/>
              <w:spacing w:line="240" w:lineRule="auto"/>
              <w:ind w:left="0" w:right="0"/>
              <w:jc w:val="center"/>
            </w:pPr>
            <w:r w:rsidRPr="00D62842">
              <w:t>1</w:t>
            </w:r>
          </w:p>
        </w:tc>
        <w:tc>
          <w:tcPr>
            <w:tcW w:w="900" w:type="dxa"/>
          </w:tcPr>
          <w:p w14:paraId="01DEAA29" w14:textId="77777777" w:rsidR="001253ED" w:rsidRPr="00D62842" w:rsidRDefault="001253ED" w:rsidP="00831BBC">
            <w:pPr>
              <w:pStyle w:val="SingleTxtG"/>
              <w:spacing w:line="240" w:lineRule="auto"/>
              <w:ind w:left="0" w:right="0"/>
              <w:jc w:val="center"/>
            </w:pPr>
            <w:r w:rsidRPr="00D62842">
              <w:t>E</w:t>
            </w:r>
          </w:p>
        </w:tc>
        <w:tc>
          <w:tcPr>
            <w:tcW w:w="3400" w:type="dxa"/>
          </w:tcPr>
          <w:p w14:paraId="5632913A" w14:textId="77777777" w:rsidR="001253ED" w:rsidRPr="00D62842" w:rsidRDefault="001253ED" w:rsidP="00831BBC">
            <w:pPr>
              <w:pStyle w:val="SingleTxtG"/>
              <w:spacing w:line="240" w:lineRule="auto"/>
              <w:ind w:left="0" w:right="0"/>
              <w:jc w:val="left"/>
            </w:pPr>
            <w:r w:rsidRPr="00D62842">
              <w:t>Virtual meeting guidelines</w:t>
            </w:r>
          </w:p>
        </w:tc>
        <w:tc>
          <w:tcPr>
            <w:tcW w:w="605" w:type="dxa"/>
          </w:tcPr>
          <w:p w14:paraId="6CFA4FF6" w14:textId="77777777" w:rsidR="001253ED" w:rsidRPr="00D62842" w:rsidRDefault="001253ED" w:rsidP="00831BBC">
            <w:pPr>
              <w:spacing w:line="240" w:lineRule="auto"/>
              <w:jc w:val="center"/>
            </w:pPr>
            <w:r w:rsidRPr="00D62842">
              <w:t>(a)</w:t>
            </w:r>
          </w:p>
        </w:tc>
      </w:tr>
      <w:tr w:rsidR="001253ED" w:rsidRPr="00D62842" w14:paraId="440A6AA3" w14:textId="77777777" w:rsidTr="00831BBC">
        <w:tc>
          <w:tcPr>
            <w:tcW w:w="567" w:type="dxa"/>
          </w:tcPr>
          <w:p w14:paraId="2F25B72B" w14:textId="77777777" w:rsidR="001253ED" w:rsidRPr="00D62842" w:rsidRDefault="001253ED" w:rsidP="00831BBC">
            <w:pPr>
              <w:pStyle w:val="SingleTxtG"/>
              <w:spacing w:line="240" w:lineRule="auto"/>
              <w:ind w:left="0" w:right="0"/>
            </w:pPr>
            <w:r w:rsidRPr="00D62842">
              <w:t>03</w:t>
            </w:r>
          </w:p>
        </w:tc>
        <w:tc>
          <w:tcPr>
            <w:tcW w:w="1299" w:type="dxa"/>
          </w:tcPr>
          <w:p w14:paraId="54F0A86A" w14:textId="77777777" w:rsidR="001253ED" w:rsidRPr="00D62842" w:rsidRDefault="001253ED" w:rsidP="00831BBC">
            <w:pPr>
              <w:pStyle w:val="SingleTxtG"/>
              <w:spacing w:line="240" w:lineRule="auto"/>
              <w:ind w:left="0" w:right="0"/>
            </w:pPr>
            <w:r w:rsidRPr="00D62842">
              <w:t>GRSP/Chair</w:t>
            </w:r>
          </w:p>
        </w:tc>
        <w:tc>
          <w:tcPr>
            <w:tcW w:w="700" w:type="dxa"/>
          </w:tcPr>
          <w:p w14:paraId="2F79C266" w14:textId="77777777" w:rsidR="001253ED" w:rsidRPr="00D62842" w:rsidRDefault="001253ED" w:rsidP="00831BBC">
            <w:pPr>
              <w:pStyle w:val="SingleTxtG"/>
              <w:spacing w:line="240" w:lineRule="auto"/>
              <w:ind w:left="0" w:right="0"/>
              <w:jc w:val="center"/>
            </w:pPr>
            <w:r w:rsidRPr="00D62842">
              <w:t>1</w:t>
            </w:r>
          </w:p>
        </w:tc>
        <w:tc>
          <w:tcPr>
            <w:tcW w:w="900" w:type="dxa"/>
          </w:tcPr>
          <w:p w14:paraId="6D239F5D" w14:textId="77777777" w:rsidR="001253ED" w:rsidRPr="00D62842" w:rsidRDefault="001253ED" w:rsidP="00831BBC">
            <w:pPr>
              <w:pStyle w:val="SingleTxtG"/>
              <w:spacing w:line="240" w:lineRule="auto"/>
              <w:ind w:left="0" w:right="0"/>
              <w:jc w:val="center"/>
            </w:pPr>
            <w:r w:rsidRPr="00D62842">
              <w:t>E</w:t>
            </w:r>
          </w:p>
        </w:tc>
        <w:tc>
          <w:tcPr>
            <w:tcW w:w="3400" w:type="dxa"/>
          </w:tcPr>
          <w:p w14:paraId="0AA5AA99" w14:textId="77777777" w:rsidR="001253ED" w:rsidRPr="00D62842" w:rsidRDefault="001253ED" w:rsidP="00831BBC">
            <w:pPr>
              <w:pStyle w:val="SingleTxtG"/>
              <w:spacing w:line="240" w:lineRule="auto"/>
              <w:ind w:left="0" w:right="0"/>
              <w:jc w:val="left"/>
            </w:pPr>
            <w:r w:rsidRPr="00D62842">
              <w:t>Memo on proceedings</w:t>
            </w:r>
          </w:p>
        </w:tc>
        <w:tc>
          <w:tcPr>
            <w:tcW w:w="605" w:type="dxa"/>
          </w:tcPr>
          <w:p w14:paraId="108E7425" w14:textId="77777777" w:rsidR="001253ED" w:rsidRPr="00D62842" w:rsidRDefault="001253ED" w:rsidP="00831BBC">
            <w:pPr>
              <w:spacing w:line="240" w:lineRule="auto"/>
              <w:jc w:val="center"/>
            </w:pPr>
            <w:r w:rsidRPr="00D62842">
              <w:t>(a)</w:t>
            </w:r>
          </w:p>
        </w:tc>
      </w:tr>
      <w:tr w:rsidR="001253ED" w:rsidRPr="00D62842" w14:paraId="6F1F62C3" w14:textId="77777777" w:rsidTr="00831BBC">
        <w:tc>
          <w:tcPr>
            <w:tcW w:w="567" w:type="dxa"/>
          </w:tcPr>
          <w:p w14:paraId="5EA9B5B9" w14:textId="77777777" w:rsidR="001253ED" w:rsidRPr="00D62842" w:rsidRDefault="001253ED" w:rsidP="00831BBC">
            <w:pPr>
              <w:pStyle w:val="SingleTxtG"/>
              <w:spacing w:line="240" w:lineRule="auto"/>
              <w:ind w:left="0" w:right="0"/>
            </w:pPr>
            <w:r w:rsidRPr="00D62842">
              <w:t>04</w:t>
            </w:r>
          </w:p>
        </w:tc>
        <w:tc>
          <w:tcPr>
            <w:tcW w:w="1299" w:type="dxa"/>
          </w:tcPr>
          <w:p w14:paraId="2FAD5120" w14:textId="77777777" w:rsidR="001253ED" w:rsidRPr="00D62842" w:rsidRDefault="001253ED" w:rsidP="00831BBC">
            <w:pPr>
              <w:pStyle w:val="SingleTxtG"/>
              <w:spacing w:line="240" w:lineRule="auto"/>
              <w:ind w:left="0" w:right="0"/>
              <w:jc w:val="left"/>
            </w:pPr>
            <w:r w:rsidRPr="00D62842">
              <w:t>Secretariat</w:t>
            </w:r>
          </w:p>
        </w:tc>
        <w:tc>
          <w:tcPr>
            <w:tcW w:w="700" w:type="dxa"/>
          </w:tcPr>
          <w:p w14:paraId="270E0714" w14:textId="77777777" w:rsidR="001253ED" w:rsidRPr="00D62842" w:rsidRDefault="001253ED" w:rsidP="00831BBC">
            <w:pPr>
              <w:pStyle w:val="SingleTxtG"/>
              <w:spacing w:line="240" w:lineRule="auto"/>
              <w:ind w:left="0" w:right="0"/>
              <w:jc w:val="center"/>
            </w:pPr>
            <w:r w:rsidRPr="00D62842">
              <w:t>17(a)</w:t>
            </w:r>
          </w:p>
        </w:tc>
        <w:tc>
          <w:tcPr>
            <w:tcW w:w="900" w:type="dxa"/>
          </w:tcPr>
          <w:p w14:paraId="6032448F" w14:textId="77777777" w:rsidR="001253ED" w:rsidRPr="00D62842" w:rsidRDefault="001253ED" w:rsidP="00831BBC">
            <w:pPr>
              <w:pStyle w:val="SingleTxtG"/>
              <w:spacing w:line="240" w:lineRule="auto"/>
              <w:ind w:left="0" w:right="0"/>
              <w:jc w:val="center"/>
            </w:pPr>
            <w:r w:rsidRPr="00D62842">
              <w:t>E</w:t>
            </w:r>
          </w:p>
        </w:tc>
        <w:tc>
          <w:tcPr>
            <w:tcW w:w="3400" w:type="dxa"/>
          </w:tcPr>
          <w:p w14:paraId="037D07EE" w14:textId="77777777" w:rsidR="001253ED" w:rsidRPr="00C45DA4" w:rsidRDefault="001253ED" w:rsidP="00831BBC">
            <w:pPr>
              <w:pStyle w:val="SingleTxtG"/>
              <w:spacing w:line="240" w:lineRule="auto"/>
              <w:ind w:left="0" w:right="0"/>
              <w:jc w:val="left"/>
              <w:rPr>
                <w:lang w:val="en-US"/>
              </w:rPr>
            </w:pPr>
            <w:r w:rsidRPr="00C45DA4">
              <w:rPr>
                <w:lang w:val="en-US"/>
              </w:rPr>
              <w:t>Highlights of the March and June WP.29 sessions</w:t>
            </w:r>
          </w:p>
        </w:tc>
        <w:tc>
          <w:tcPr>
            <w:tcW w:w="605" w:type="dxa"/>
          </w:tcPr>
          <w:p w14:paraId="6EA5F11A" w14:textId="77777777" w:rsidR="001253ED" w:rsidRPr="00D62842" w:rsidRDefault="001253ED" w:rsidP="00831BBC">
            <w:pPr>
              <w:spacing w:line="240" w:lineRule="auto"/>
              <w:jc w:val="center"/>
            </w:pPr>
            <w:r w:rsidRPr="00D62842">
              <w:t>(a)</w:t>
            </w:r>
          </w:p>
        </w:tc>
      </w:tr>
      <w:tr w:rsidR="001253ED" w:rsidRPr="00D62842" w14:paraId="2F659E76" w14:textId="77777777" w:rsidTr="00831BBC">
        <w:tc>
          <w:tcPr>
            <w:tcW w:w="567" w:type="dxa"/>
          </w:tcPr>
          <w:p w14:paraId="221CB778" w14:textId="77777777" w:rsidR="001253ED" w:rsidRPr="00D62842" w:rsidRDefault="001253ED" w:rsidP="00831BBC">
            <w:pPr>
              <w:pStyle w:val="SingleTxtG"/>
              <w:spacing w:line="240" w:lineRule="auto"/>
              <w:ind w:left="0" w:right="0"/>
            </w:pPr>
            <w:r w:rsidRPr="00D62842">
              <w:t>05</w:t>
            </w:r>
          </w:p>
        </w:tc>
        <w:tc>
          <w:tcPr>
            <w:tcW w:w="1299" w:type="dxa"/>
          </w:tcPr>
          <w:p w14:paraId="42B74E56" w14:textId="77777777" w:rsidR="001253ED" w:rsidRPr="00D62842" w:rsidRDefault="001253ED" w:rsidP="00831BBC">
            <w:pPr>
              <w:pStyle w:val="SingleTxtG"/>
              <w:spacing w:line="240" w:lineRule="auto"/>
              <w:ind w:left="0" w:right="0"/>
            </w:pPr>
            <w:r w:rsidRPr="00D62842">
              <w:t>The Netherlands</w:t>
            </w:r>
          </w:p>
        </w:tc>
        <w:tc>
          <w:tcPr>
            <w:tcW w:w="700" w:type="dxa"/>
          </w:tcPr>
          <w:p w14:paraId="0D45079F" w14:textId="77777777" w:rsidR="001253ED" w:rsidRPr="00D62842" w:rsidRDefault="001253ED" w:rsidP="00831BBC">
            <w:pPr>
              <w:pStyle w:val="SingleTxtG"/>
              <w:spacing w:line="240" w:lineRule="auto"/>
              <w:ind w:left="0" w:right="0"/>
              <w:jc w:val="center"/>
            </w:pPr>
            <w:r w:rsidRPr="00D62842">
              <w:t>17(b)</w:t>
            </w:r>
          </w:p>
        </w:tc>
        <w:tc>
          <w:tcPr>
            <w:tcW w:w="900" w:type="dxa"/>
          </w:tcPr>
          <w:p w14:paraId="2C421217" w14:textId="77777777" w:rsidR="001253ED" w:rsidRPr="00D62842" w:rsidRDefault="001253ED" w:rsidP="00831BBC">
            <w:pPr>
              <w:pStyle w:val="SingleTxtG"/>
              <w:spacing w:line="240" w:lineRule="auto"/>
              <w:ind w:left="0" w:right="0"/>
              <w:jc w:val="center"/>
            </w:pPr>
            <w:r w:rsidRPr="00D62842">
              <w:t>E</w:t>
            </w:r>
          </w:p>
        </w:tc>
        <w:tc>
          <w:tcPr>
            <w:tcW w:w="3400" w:type="dxa"/>
          </w:tcPr>
          <w:p w14:paraId="7DBCC016" w14:textId="77777777" w:rsidR="001253ED" w:rsidRPr="00C45DA4" w:rsidRDefault="001253ED" w:rsidP="00831BBC">
            <w:pPr>
              <w:pStyle w:val="SingleTxtG"/>
              <w:spacing w:line="240" w:lineRule="auto"/>
              <w:ind w:left="0" w:right="0"/>
              <w:jc w:val="left"/>
              <w:rPr>
                <w:lang w:val="en-US"/>
              </w:rPr>
            </w:pPr>
            <w:r w:rsidRPr="00C45DA4">
              <w:rPr>
                <w:lang w:val="en-US"/>
              </w:rPr>
              <w:t>Type Approval E20 44R 04 4013 – Belt-guide</w:t>
            </w:r>
          </w:p>
        </w:tc>
        <w:tc>
          <w:tcPr>
            <w:tcW w:w="605" w:type="dxa"/>
          </w:tcPr>
          <w:p w14:paraId="4D2213FD" w14:textId="77777777" w:rsidR="001253ED" w:rsidRPr="00D62842" w:rsidRDefault="001253ED" w:rsidP="00831BBC">
            <w:pPr>
              <w:spacing w:line="240" w:lineRule="auto"/>
              <w:jc w:val="center"/>
            </w:pPr>
            <w:r w:rsidRPr="00D62842">
              <w:t>(c)</w:t>
            </w:r>
          </w:p>
        </w:tc>
      </w:tr>
      <w:tr w:rsidR="001253ED" w:rsidRPr="00D62842" w14:paraId="26EDA7C5" w14:textId="77777777" w:rsidTr="00831BBC">
        <w:tc>
          <w:tcPr>
            <w:tcW w:w="567" w:type="dxa"/>
          </w:tcPr>
          <w:p w14:paraId="687CEEA1" w14:textId="77777777" w:rsidR="001253ED" w:rsidRPr="00D62842" w:rsidRDefault="001253ED" w:rsidP="00831BBC">
            <w:pPr>
              <w:pStyle w:val="SingleTxtG"/>
              <w:spacing w:line="240" w:lineRule="auto"/>
              <w:ind w:left="0" w:right="0"/>
            </w:pPr>
            <w:r w:rsidRPr="00D62842">
              <w:t>06/</w:t>
            </w:r>
            <w:r w:rsidRPr="00D62842">
              <w:br/>
              <w:t>Rev.1</w:t>
            </w:r>
          </w:p>
        </w:tc>
        <w:tc>
          <w:tcPr>
            <w:tcW w:w="1299" w:type="dxa"/>
          </w:tcPr>
          <w:p w14:paraId="1BDB878F" w14:textId="77777777" w:rsidR="001253ED" w:rsidRPr="00D62842" w:rsidRDefault="001253ED" w:rsidP="00831BBC">
            <w:pPr>
              <w:pStyle w:val="SingleTxtG"/>
              <w:spacing w:line="240" w:lineRule="auto"/>
              <w:ind w:left="0" w:right="0"/>
              <w:jc w:val="left"/>
            </w:pPr>
            <w:r w:rsidRPr="00D62842">
              <w:t>Secretariat</w:t>
            </w:r>
          </w:p>
        </w:tc>
        <w:tc>
          <w:tcPr>
            <w:tcW w:w="700" w:type="dxa"/>
          </w:tcPr>
          <w:p w14:paraId="4FEC3019" w14:textId="77777777" w:rsidR="001253ED" w:rsidRPr="00D62842" w:rsidRDefault="001253ED" w:rsidP="00831BBC">
            <w:pPr>
              <w:pStyle w:val="SingleTxtG"/>
              <w:spacing w:line="240" w:lineRule="auto"/>
              <w:ind w:left="0" w:right="0"/>
              <w:jc w:val="center"/>
            </w:pPr>
            <w:r w:rsidRPr="00D62842">
              <w:t>17(a)</w:t>
            </w:r>
          </w:p>
        </w:tc>
        <w:tc>
          <w:tcPr>
            <w:tcW w:w="900" w:type="dxa"/>
          </w:tcPr>
          <w:p w14:paraId="32FDFCEF" w14:textId="77777777" w:rsidR="001253ED" w:rsidRPr="00D62842" w:rsidRDefault="001253ED" w:rsidP="00831BBC">
            <w:pPr>
              <w:pStyle w:val="SingleTxtG"/>
              <w:spacing w:line="240" w:lineRule="auto"/>
              <w:ind w:left="0" w:right="0"/>
              <w:jc w:val="center"/>
            </w:pPr>
            <w:r w:rsidRPr="00D62842">
              <w:t>E</w:t>
            </w:r>
          </w:p>
        </w:tc>
        <w:tc>
          <w:tcPr>
            <w:tcW w:w="3400" w:type="dxa"/>
          </w:tcPr>
          <w:p w14:paraId="54DD2C19" w14:textId="77777777" w:rsidR="001253ED" w:rsidRPr="00C45DA4" w:rsidRDefault="001253ED" w:rsidP="00831BBC">
            <w:pPr>
              <w:pStyle w:val="SingleTxtG"/>
              <w:spacing w:line="240" w:lineRule="auto"/>
              <w:ind w:left="0" w:right="0"/>
              <w:jc w:val="left"/>
              <w:rPr>
                <w:lang w:val="en-US"/>
              </w:rPr>
            </w:pPr>
            <w:r w:rsidRPr="00C45DA4">
              <w:rPr>
                <w:lang w:val="en-US"/>
              </w:rPr>
              <w:t>List of priorities of GRSP</w:t>
            </w:r>
          </w:p>
        </w:tc>
        <w:tc>
          <w:tcPr>
            <w:tcW w:w="605" w:type="dxa"/>
          </w:tcPr>
          <w:p w14:paraId="43F19BAA" w14:textId="77777777" w:rsidR="001253ED" w:rsidRPr="00D62842" w:rsidRDefault="001253ED" w:rsidP="00831BBC">
            <w:pPr>
              <w:spacing w:line="240" w:lineRule="auto"/>
              <w:jc w:val="center"/>
            </w:pPr>
            <w:r w:rsidRPr="00D62842">
              <w:t>(c)</w:t>
            </w:r>
          </w:p>
        </w:tc>
      </w:tr>
      <w:tr w:rsidR="001253ED" w:rsidRPr="00D62842" w14:paraId="695556A6" w14:textId="77777777" w:rsidTr="00831BBC">
        <w:tc>
          <w:tcPr>
            <w:tcW w:w="567" w:type="dxa"/>
          </w:tcPr>
          <w:p w14:paraId="0649F056" w14:textId="77777777" w:rsidR="001253ED" w:rsidRPr="00D62842" w:rsidRDefault="001253ED" w:rsidP="00831BBC">
            <w:pPr>
              <w:pStyle w:val="SingleTxtG"/>
              <w:spacing w:line="240" w:lineRule="auto"/>
              <w:ind w:left="0" w:right="0"/>
            </w:pPr>
            <w:r w:rsidRPr="00D62842">
              <w:t>07</w:t>
            </w:r>
          </w:p>
        </w:tc>
        <w:tc>
          <w:tcPr>
            <w:tcW w:w="1299" w:type="dxa"/>
          </w:tcPr>
          <w:p w14:paraId="5D95B675" w14:textId="77777777" w:rsidR="001253ED" w:rsidRPr="00D62842" w:rsidRDefault="001253ED" w:rsidP="00831BBC">
            <w:pPr>
              <w:pStyle w:val="SingleTxtG"/>
              <w:spacing w:line="240" w:lineRule="auto"/>
              <w:ind w:left="0" w:right="0"/>
              <w:jc w:val="left"/>
            </w:pPr>
            <w:r w:rsidRPr="00D62842">
              <w:t>OICA</w:t>
            </w:r>
          </w:p>
        </w:tc>
        <w:tc>
          <w:tcPr>
            <w:tcW w:w="700" w:type="dxa"/>
          </w:tcPr>
          <w:p w14:paraId="53858E94" w14:textId="77777777" w:rsidR="001253ED" w:rsidRPr="00D62842" w:rsidRDefault="001253ED" w:rsidP="00831BBC">
            <w:pPr>
              <w:pStyle w:val="SingleTxtG"/>
              <w:spacing w:line="240" w:lineRule="auto"/>
              <w:ind w:left="0" w:right="0"/>
              <w:jc w:val="center"/>
            </w:pPr>
            <w:r w:rsidRPr="00D62842">
              <w:t>11</w:t>
            </w:r>
          </w:p>
        </w:tc>
        <w:tc>
          <w:tcPr>
            <w:tcW w:w="900" w:type="dxa"/>
          </w:tcPr>
          <w:p w14:paraId="45BBA912" w14:textId="77777777" w:rsidR="001253ED" w:rsidRPr="00D62842" w:rsidRDefault="001253ED" w:rsidP="00831BBC">
            <w:pPr>
              <w:pStyle w:val="SingleTxtG"/>
              <w:spacing w:line="240" w:lineRule="auto"/>
              <w:ind w:left="0" w:right="0"/>
              <w:jc w:val="center"/>
            </w:pPr>
            <w:r w:rsidRPr="00D62842">
              <w:t>E</w:t>
            </w:r>
          </w:p>
        </w:tc>
        <w:tc>
          <w:tcPr>
            <w:tcW w:w="3400" w:type="dxa"/>
          </w:tcPr>
          <w:p w14:paraId="4B51E131" w14:textId="77777777" w:rsidR="001253ED" w:rsidRPr="00C45DA4" w:rsidRDefault="001253ED" w:rsidP="00831BBC">
            <w:pPr>
              <w:pStyle w:val="SingleTxtG"/>
              <w:spacing w:line="240" w:lineRule="auto"/>
              <w:ind w:left="0" w:right="0"/>
              <w:jc w:val="left"/>
              <w:rPr>
                <w:lang w:val="en-US"/>
              </w:rPr>
            </w:pPr>
            <w:r w:rsidRPr="00C45DA4">
              <w:rPr>
                <w:lang w:val="en-US"/>
              </w:rPr>
              <w:t>Proposal for the 03 series of amendments to UN Regulation No. 127 (Pedestrian safety) – document GRSP/2019/18</w:t>
            </w:r>
          </w:p>
        </w:tc>
        <w:tc>
          <w:tcPr>
            <w:tcW w:w="605" w:type="dxa"/>
          </w:tcPr>
          <w:p w14:paraId="1F3903D9" w14:textId="77777777" w:rsidR="001253ED" w:rsidRPr="00D62842" w:rsidRDefault="001253ED" w:rsidP="00831BBC">
            <w:pPr>
              <w:spacing w:line="240" w:lineRule="auto"/>
              <w:jc w:val="center"/>
            </w:pPr>
            <w:r w:rsidRPr="00D62842">
              <w:t>(a)</w:t>
            </w:r>
          </w:p>
        </w:tc>
      </w:tr>
      <w:tr w:rsidR="001253ED" w:rsidRPr="00D62842" w14:paraId="6287A27F" w14:textId="77777777" w:rsidTr="00831BBC">
        <w:tc>
          <w:tcPr>
            <w:tcW w:w="567" w:type="dxa"/>
          </w:tcPr>
          <w:p w14:paraId="09EA0EB3" w14:textId="77777777" w:rsidR="001253ED" w:rsidRPr="00D62842" w:rsidRDefault="001253ED" w:rsidP="00831BBC">
            <w:pPr>
              <w:pStyle w:val="SingleTxtG"/>
              <w:spacing w:line="240" w:lineRule="auto"/>
              <w:ind w:left="0" w:right="0"/>
            </w:pPr>
            <w:r w:rsidRPr="00D62842">
              <w:t>08</w:t>
            </w:r>
          </w:p>
        </w:tc>
        <w:tc>
          <w:tcPr>
            <w:tcW w:w="1299" w:type="dxa"/>
          </w:tcPr>
          <w:p w14:paraId="7342AE2F" w14:textId="77777777" w:rsidR="001253ED" w:rsidRPr="00D62842" w:rsidRDefault="001253ED" w:rsidP="00831BBC">
            <w:pPr>
              <w:pStyle w:val="SingleTxtG"/>
              <w:spacing w:line="240" w:lineRule="auto"/>
              <w:ind w:left="0" w:right="0"/>
            </w:pPr>
            <w:r w:rsidRPr="00D62842">
              <w:t>Spain</w:t>
            </w:r>
          </w:p>
        </w:tc>
        <w:tc>
          <w:tcPr>
            <w:tcW w:w="700" w:type="dxa"/>
          </w:tcPr>
          <w:p w14:paraId="60213403" w14:textId="77777777" w:rsidR="001253ED" w:rsidRPr="00D62842" w:rsidRDefault="001253ED" w:rsidP="00831BBC">
            <w:pPr>
              <w:pStyle w:val="SingleTxtG"/>
              <w:spacing w:line="240" w:lineRule="auto"/>
              <w:ind w:left="0" w:right="0"/>
              <w:jc w:val="center"/>
            </w:pPr>
            <w:r w:rsidRPr="00D62842">
              <w:t>15</w:t>
            </w:r>
          </w:p>
        </w:tc>
        <w:tc>
          <w:tcPr>
            <w:tcW w:w="900" w:type="dxa"/>
          </w:tcPr>
          <w:p w14:paraId="74D54981" w14:textId="77777777" w:rsidR="001253ED" w:rsidRPr="00D62842" w:rsidRDefault="001253ED" w:rsidP="00831BBC">
            <w:pPr>
              <w:pStyle w:val="SingleTxtG"/>
              <w:spacing w:line="240" w:lineRule="auto"/>
              <w:ind w:left="0" w:right="0"/>
              <w:jc w:val="center"/>
            </w:pPr>
            <w:r w:rsidRPr="00D62842">
              <w:t>E</w:t>
            </w:r>
          </w:p>
        </w:tc>
        <w:tc>
          <w:tcPr>
            <w:tcW w:w="3400" w:type="dxa"/>
          </w:tcPr>
          <w:p w14:paraId="3571C1B7" w14:textId="77777777" w:rsidR="001253ED" w:rsidRPr="00C45DA4" w:rsidRDefault="001253ED" w:rsidP="00831BBC">
            <w:pPr>
              <w:pStyle w:val="SingleTxtG"/>
              <w:spacing w:line="240" w:lineRule="auto"/>
              <w:ind w:left="0" w:right="0"/>
              <w:jc w:val="left"/>
              <w:rPr>
                <w:lang w:val="en-US"/>
              </w:rPr>
            </w:pPr>
            <w:r w:rsidRPr="00C45DA4">
              <w:rPr>
                <w:lang w:val="en-US"/>
              </w:rPr>
              <w:t>Status Report of the Informal Working Group on Safer Transport of Children in Buses and Coaches (IWG-STCBC)</w:t>
            </w:r>
          </w:p>
        </w:tc>
        <w:tc>
          <w:tcPr>
            <w:tcW w:w="605" w:type="dxa"/>
          </w:tcPr>
          <w:p w14:paraId="68215A07" w14:textId="77777777" w:rsidR="001253ED" w:rsidRPr="00D62842" w:rsidRDefault="001253ED" w:rsidP="00831BBC">
            <w:pPr>
              <w:spacing w:line="240" w:lineRule="auto"/>
              <w:jc w:val="center"/>
            </w:pPr>
            <w:r w:rsidRPr="00D62842">
              <w:t>(a)</w:t>
            </w:r>
          </w:p>
        </w:tc>
      </w:tr>
      <w:tr w:rsidR="001253ED" w:rsidRPr="00D62842" w14:paraId="3F5A1C10" w14:textId="77777777" w:rsidTr="00831BBC">
        <w:trPr>
          <w:cantSplit/>
        </w:trPr>
        <w:tc>
          <w:tcPr>
            <w:tcW w:w="567" w:type="dxa"/>
          </w:tcPr>
          <w:p w14:paraId="0871C7D1" w14:textId="77777777" w:rsidR="001253ED" w:rsidRPr="00D62842" w:rsidRDefault="001253ED" w:rsidP="00831BBC">
            <w:pPr>
              <w:pStyle w:val="SingleTxtG"/>
              <w:spacing w:line="240" w:lineRule="auto"/>
              <w:ind w:left="0" w:right="0"/>
            </w:pPr>
            <w:r w:rsidRPr="00D62842">
              <w:t>09/</w:t>
            </w:r>
            <w:r w:rsidRPr="00D62842">
              <w:br/>
              <w:t>Rev.1</w:t>
            </w:r>
            <w:r w:rsidRPr="00D62842">
              <w:br/>
            </w:r>
          </w:p>
        </w:tc>
        <w:tc>
          <w:tcPr>
            <w:tcW w:w="1299" w:type="dxa"/>
          </w:tcPr>
          <w:p w14:paraId="100B6310" w14:textId="77777777" w:rsidR="001253ED" w:rsidRPr="00D62842" w:rsidRDefault="001253ED" w:rsidP="00831BBC">
            <w:pPr>
              <w:pStyle w:val="SingleTxtG"/>
              <w:spacing w:line="240" w:lineRule="auto"/>
              <w:ind w:left="0" w:right="0"/>
              <w:jc w:val="left"/>
            </w:pPr>
            <w:r w:rsidRPr="00D62842">
              <w:t>Israel</w:t>
            </w:r>
          </w:p>
        </w:tc>
        <w:tc>
          <w:tcPr>
            <w:tcW w:w="700" w:type="dxa"/>
          </w:tcPr>
          <w:p w14:paraId="1FE410E4" w14:textId="77777777" w:rsidR="001253ED" w:rsidRPr="00D62842" w:rsidRDefault="001253ED" w:rsidP="00831BBC">
            <w:pPr>
              <w:pStyle w:val="SingleTxtG"/>
              <w:spacing w:line="240" w:lineRule="auto"/>
              <w:ind w:left="0" w:right="0"/>
              <w:jc w:val="center"/>
            </w:pPr>
            <w:r w:rsidRPr="00D62842">
              <w:t>7</w:t>
            </w:r>
          </w:p>
        </w:tc>
        <w:tc>
          <w:tcPr>
            <w:tcW w:w="900" w:type="dxa"/>
          </w:tcPr>
          <w:p w14:paraId="0B68B786" w14:textId="77777777" w:rsidR="001253ED" w:rsidRPr="00D62842" w:rsidRDefault="001253ED" w:rsidP="00831BBC">
            <w:pPr>
              <w:pStyle w:val="SingleTxtG"/>
              <w:spacing w:line="240" w:lineRule="auto"/>
              <w:ind w:left="0" w:right="0"/>
              <w:jc w:val="center"/>
            </w:pPr>
            <w:r w:rsidRPr="00D62842">
              <w:t>E</w:t>
            </w:r>
          </w:p>
        </w:tc>
        <w:tc>
          <w:tcPr>
            <w:tcW w:w="3400" w:type="dxa"/>
          </w:tcPr>
          <w:p w14:paraId="4B55481A" w14:textId="77777777" w:rsidR="001253ED" w:rsidRPr="00C45DA4" w:rsidRDefault="001253ED" w:rsidP="00831BBC">
            <w:pPr>
              <w:pStyle w:val="SingleTxtG"/>
              <w:spacing w:line="240" w:lineRule="auto"/>
              <w:ind w:left="0" w:right="0"/>
              <w:jc w:val="left"/>
              <w:rPr>
                <w:lang w:val="en-US"/>
              </w:rPr>
            </w:pPr>
            <w:r w:rsidRPr="00C45DA4">
              <w:rPr>
                <w:lang w:val="en-US"/>
              </w:rPr>
              <w:t>UN Regulation No. 22.06 motorcycle helmet communication industry</w:t>
            </w:r>
          </w:p>
        </w:tc>
        <w:tc>
          <w:tcPr>
            <w:tcW w:w="605" w:type="dxa"/>
          </w:tcPr>
          <w:p w14:paraId="21BBDEAB" w14:textId="77777777" w:rsidR="001253ED" w:rsidRPr="00D62842" w:rsidRDefault="001253ED" w:rsidP="00831BBC">
            <w:pPr>
              <w:spacing w:line="240" w:lineRule="auto"/>
              <w:jc w:val="center"/>
            </w:pPr>
            <w:r w:rsidRPr="00D62842">
              <w:t>(a)</w:t>
            </w:r>
          </w:p>
        </w:tc>
      </w:tr>
      <w:tr w:rsidR="001253ED" w:rsidRPr="00D62842" w14:paraId="04A36DF5" w14:textId="77777777" w:rsidTr="00831BBC">
        <w:tc>
          <w:tcPr>
            <w:tcW w:w="567" w:type="dxa"/>
          </w:tcPr>
          <w:p w14:paraId="7EF378C3" w14:textId="77777777" w:rsidR="001253ED" w:rsidRPr="00D62842" w:rsidRDefault="001253ED" w:rsidP="00831BBC">
            <w:pPr>
              <w:pStyle w:val="SingleTxtG"/>
              <w:spacing w:line="240" w:lineRule="auto"/>
              <w:ind w:left="0" w:right="0"/>
            </w:pPr>
            <w:r w:rsidRPr="00D62842">
              <w:t>10</w:t>
            </w:r>
          </w:p>
        </w:tc>
        <w:tc>
          <w:tcPr>
            <w:tcW w:w="1299" w:type="dxa"/>
          </w:tcPr>
          <w:p w14:paraId="5D6CC0B5" w14:textId="77777777" w:rsidR="001253ED" w:rsidRPr="00D62842" w:rsidRDefault="001253ED" w:rsidP="00831BBC">
            <w:pPr>
              <w:pStyle w:val="SingleTxtG"/>
              <w:spacing w:line="240" w:lineRule="auto"/>
              <w:ind w:left="0" w:right="0"/>
            </w:pPr>
            <w:r w:rsidRPr="00D62842">
              <w:t>ANEC</w:t>
            </w:r>
          </w:p>
        </w:tc>
        <w:tc>
          <w:tcPr>
            <w:tcW w:w="700" w:type="dxa"/>
          </w:tcPr>
          <w:p w14:paraId="3029C0F0" w14:textId="77777777" w:rsidR="001253ED" w:rsidRPr="00D62842" w:rsidRDefault="001253ED" w:rsidP="00831BBC">
            <w:pPr>
              <w:pStyle w:val="SingleTxtG"/>
              <w:spacing w:line="240" w:lineRule="auto"/>
              <w:ind w:left="0" w:right="0"/>
              <w:jc w:val="center"/>
            </w:pPr>
            <w:r w:rsidRPr="00D62842">
              <w:t>17(b)</w:t>
            </w:r>
          </w:p>
        </w:tc>
        <w:tc>
          <w:tcPr>
            <w:tcW w:w="900" w:type="dxa"/>
          </w:tcPr>
          <w:p w14:paraId="4CDB8137" w14:textId="77777777" w:rsidR="001253ED" w:rsidRPr="00D62842" w:rsidRDefault="001253ED" w:rsidP="00831BBC">
            <w:pPr>
              <w:pStyle w:val="SingleTxtG"/>
              <w:spacing w:line="240" w:lineRule="auto"/>
              <w:ind w:left="0" w:right="0"/>
              <w:jc w:val="center"/>
            </w:pPr>
            <w:r w:rsidRPr="00D62842">
              <w:t>E</w:t>
            </w:r>
          </w:p>
        </w:tc>
        <w:tc>
          <w:tcPr>
            <w:tcW w:w="3400" w:type="dxa"/>
          </w:tcPr>
          <w:p w14:paraId="1BF90681" w14:textId="77777777" w:rsidR="001253ED" w:rsidRPr="00C45DA4" w:rsidRDefault="001253ED" w:rsidP="00831BBC">
            <w:pPr>
              <w:pStyle w:val="SingleTxtG"/>
              <w:spacing w:line="240" w:lineRule="auto"/>
              <w:ind w:left="0" w:right="0"/>
              <w:rPr>
                <w:lang w:val="en-US"/>
              </w:rPr>
            </w:pPr>
            <w:r w:rsidRPr="00C45DA4">
              <w:rPr>
                <w:lang w:val="en-US"/>
              </w:rPr>
              <w:t>ANEC calls for support for proposal to improve UN Regulation No. 44 on Child Restraint Systems to ensure the highest protection practicable for children travelling by car</w:t>
            </w:r>
          </w:p>
        </w:tc>
        <w:tc>
          <w:tcPr>
            <w:tcW w:w="605" w:type="dxa"/>
          </w:tcPr>
          <w:p w14:paraId="3B7B4F71" w14:textId="77777777" w:rsidR="001253ED" w:rsidRPr="00D62842" w:rsidRDefault="001253ED" w:rsidP="00831BBC">
            <w:pPr>
              <w:spacing w:line="240" w:lineRule="auto"/>
              <w:jc w:val="center"/>
            </w:pPr>
            <w:r w:rsidRPr="00D62842">
              <w:t>(a)</w:t>
            </w:r>
          </w:p>
        </w:tc>
      </w:tr>
      <w:tr w:rsidR="001253ED" w:rsidRPr="00D62842" w14:paraId="21C9AFD2" w14:textId="77777777" w:rsidTr="00831BBC">
        <w:trPr>
          <w:cantSplit/>
        </w:trPr>
        <w:tc>
          <w:tcPr>
            <w:tcW w:w="567" w:type="dxa"/>
          </w:tcPr>
          <w:p w14:paraId="0CBE038F" w14:textId="77777777" w:rsidR="001253ED" w:rsidRPr="00D62842" w:rsidRDefault="001253ED" w:rsidP="00831BBC">
            <w:pPr>
              <w:pStyle w:val="SingleTxtG"/>
              <w:spacing w:line="240" w:lineRule="auto"/>
              <w:ind w:left="0" w:right="0"/>
            </w:pPr>
            <w:r w:rsidRPr="00D62842">
              <w:t>11</w:t>
            </w:r>
          </w:p>
        </w:tc>
        <w:tc>
          <w:tcPr>
            <w:tcW w:w="1299" w:type="dxa"/>
          </w:tcPr>
          <w:p w14:paraId="709B3739" w14:textId="77777777" w:rsidR="001253ED" w:rsidRPr="00D62842" w:rsidRDefault="001253ED" w:rsidP="00831BBC">
            <w:pPr>
              <w:pStyle w:val="SingleTxtG"/>
              <w:spacing w:line="240" w:lineRule="auto"/>
              <w:ind w:left="0" w:right="0"/>
            </w:pPr>
            <w:r w:rsidRPr="00D62842">
              <w:t>Rep. of Korea</w:t>
            </w:r>
          </w:p>
        </w:tc>
        <w:tc>
          <w:tcPr>
            <w:tcW w:w="700" w:type="dxa"/>
          </w:tcPr>
          <w:p w14:paraId="0DA28158" w14:textId="77777777" w:rsidR="001253ED" w:rsidRPr="00D62842" w:rsidRDefault="001253ED" w:rsidP="00831BBC">
            <w:pPr>
              <w:pStyle w:val="SingleTxtG"/>
              <w:spacing w:line="240" w:lineRule="auto"/>
              <w:ind w:left="0" w:right="0"/>
              <w:jc w:val="center"/>
            </w:pPr>
            <w:r w:rsidRPr="00D62842">
              <w:t>11</w:t>
            </w:r>
          </w:p>
        </w:tc>
        <w:tc>
          <w:tcPr>
            <w:tcW w:w="900" w:type="dxa"/>
          </w:tcPr>
          <w:p w14:paraId="2E48B55B" w14:textId="77777777" w:rsidR="001253ED" w:rsidRPr="00D62842" w:rsidRDefault="001253ED" w:rsidP="00831BBC">
            <w:pPr>
              <w:pStyle w:val="SingleTxtG"/>
              <w:spacing w:line="240" w:lineRule="auto"/>
              <w:ind w:left="0" w:right="0"/>
              <w:jc w:val="center"/>
            </w:pPr>
            <w:r w:rsidRPr="00D62842">
              <w:t>E</w:t>
            </w:r>
          </w:p>
        </w:tc>
        <w:tc>
          <w:tcPr>
            <w:tcW w:w="3400" w:type="dxa"/>
          </w:tcPr>
          <w:p w14:paraId="36623A3A" w14:textId="77777777" w:rsidR="001253ED" w:rsidRPr="00D62842" w:rsidRDefault="001253ED" w:rsidP="00831BBC">
            <w:pPr>
              <w:pStyle w:val="SingleTxtG"/>
              <w:spacing w:line="240" w:lineRule="auto"/>
              <w:ind w:left="0" w:right="0"/>
            </w:pPr>
            <w:r w:rsidRPr="00D62842">
              <w:t>Korea Opinion on UN Regulation No. 127 Amendment Proposal (ECE/TRANS/WP.29/GRSP/2020/9)</w:t>
            </w:r>
          </w:p>
        </w:tc>
        <w:tc>
          <w:tcPr>
            <w:tcW w:w="605" w:type="dxa"/>
          </w:tcPr>
          <w:p w14:paraId="71609890" w14:textId="77777777" w:rsidR="001253ED" w:rsidRPr="00D62842" w:rsidRDefault="001253ED" w:rsidP="00831BBC">
            <w:pPr>
              <w:spacing w:line="240" w:lineRule="auto"/>
              <w:jc w:val="center"/>
            </w:pPr>
            <w:r w:rsidRPr="00D62842">
              <w:t>(a)</w:t>
            </w:r>
          </w:p>
        </w:tc>
      </w:tr>
      <w:tr w:rsidR="001253ED" w:rsidRPr="00D62842" w14:paraId="7F26FAAF" w14:textId="77777777" w:rsidTr="00831BBC">
        <w:trPr>
          <w:cantSplit/>
        </w:trPr>
        <w:tc>
          <w:tcPr>
            <w:tcW w:w="567" w:type="dxa"/>
          </w:tcPr>
          <w:p w14:paraId="516AC728" w14:textId="77777777" w:rsidR="001253ED" w:rsidRPr="00D62842" w:rsidRDefault="001253ED" w:rsidP="00831BBC">
            <w:pPr>
              <w:pStyle w:val="SingleTxtG"/>
              <w:spacing w:line="240" w:lineRule="auto"/>
              <w:ind w:left="0" w:right="0"/>
            </w:pPr>
            <w:r w:rsidRPr="00D62842">
              <w:t>12</w:t>
            </w:r>
          </w:p>
        </w:tc>
        <w:tc>
          <w:tcPr>
            <w:tcW w:w="1299" w:type="dxa"/>
          </w:tcPr>
          <w:p w14:paraId="08672865" w14:textId="77777777" w:rsidR="001253ED" w:rsidRPr="00D62842" w:rsidRDefault="001253ED" w:rsidP="00831BBC">
            <w:pPr>
              <w:pStyle w:val="SingleTxtG"/>
              <w:keepNext/>
              <w:keepLines/>
              <w:spacing w:line="240" w:lineRule="auto"/>
              <w:ind w:left="0" w:right="0"/>
            </w:pPr>
            <w:r w:rsidRPr="00D62842">
              <w:t>The Netherlands</w:t>
            </w:r>
          </w:p>
        </w:tc>
        <w:tc>
          <w:tcPr>
            <w:tcW w:w="700" w:type="dxa"/>
          </w:tcPr>
          <w:p w14:paraId="78855C84" w14:textId="77777777" w:rsidR="001253ED" w:rsidRPr="00D62842" w:rsidRDefault="001253ED" w:rsidP="00831BBC">
            <w:pPr>
              <w:pStyle w:val="SingleTxtG"/>
              <w:keepNext/>
              <w:keepLines/>
              <w:spacing w:line="240" w:lineRule="auto"/>
              <w:ind w:left="0" w:right="0"/>
              <w:jc w:val="center"/>
            </w:pPr>
            <w:r w:rsidRPr="00D62842">
              <w:t>13</w:t>
            </w:r>
          </w:p>
        </w:tc>
        <w:tc>
          <w:tcPr>
            <w:tcW w:w="900" w:type="dxa"/>
          </w:tcPr>
          <w:p w14:paraId="2F3B2C24" w14:textId="77777777" w:rsidR="001253ED" w:rsidRPr="00D62842" w:rsidRDefault="001253ED" w:rsidP="00831BBC">
            <w:pPr>
              <w:pStyle w:val="SingleTxtG"/>
              <w:keepNext/>
              <w:keepLines/>
              <w:spacing w:line="240" w:lineRule="auto"/>
              <w:ind w:left="0" w:right="0"/>
              <w:jc w:val="center"/>
            </w:pPr>
            <w:r w:rsidRPr="00D62842">
              <w:t>E</w:t>
            </w:r>
          </w:p>
        </w:tc>
        <w:tc>
          <w:tcPr>
            <w:tcW w:w="3400" w:type="dxa"/>
          </w:tcPr>
          <w:p w14:paraId="0C19220B" w14:textId="77777777" w:rsidR="001253ED" w:rsidRPr="00C45DA4" w:rsidRDefault="001253ED" w:rsidP="00831BBC">
            <w:pPr>
              <w:pStyle w:val="SingleTxtG"/>
              <w:spacing w:line="240" w:lineRule="auto"/>
              <w:ind w:left="0" w:right="0"/>
              <w:rPr>
                <w:lang w:val="en-US"/>
              </w:rPr>
            </w:pPr>
            <w:r w:rsidRPr="00C45DA4">
              <w:rPr>
                <w:lang w:val="en-US"/>
              </w:rPr>
              <w:t>Proposal for the 01 series of amendments to Regulation No. 134 (Hydrogen and Fuel Cells Vehicles)</w:t>
            </w:r>
          </w:p>
        </w:tc>
        <w:tc>
          <w:tcPr>
            <w:tcW w:w="605" w:type="dxa"/>
          </w:tcPr>
          <w:p w14:paraId="3B3BC5FB" w14:textId="77777777" w:rsidR="001253ED" w:rsidRPr="00D62842" w:rsidRDefault="001253ED" w:rsidP="00831BBC">
            <w:pPr>
              <w:spacing w:line="240" w:lineRule="auto"/>
              <w:jc w:val="center"/>
            </w:pPr>
            <w:r w:rsidRPr="00D62842">
              <w:t>(a)</w:t>
            </w:r>
          </w:p>
        </w:tc>
      </w:tr>
      <w:tr w:rsidR="001253ED" w:rsidRPr="00D62842" w14:paraId="1BB77397" w14:textId="77777777" w:rsidTr="00831BBC">
        <w:trPr>
          <w:cantSplit/>
        </w:trPr>
        <w:tc>
          <w:tcPr>
            <w:tcW w:w="567" w:type="dxa"/>
          </w:tcPr>
          <w:p w14:paraId="156BF6E0" w14:textId="77777777" w:rsidR="001253ED" w:rsidRPr="00D62842" w:rsidRDefault="001253ED" w:rsidP="00831BBC">
            <w:pPr>
              <w:pStyle w:val="SingleTxtG"/>
              <w:spacing w:line="240" w:lineRule="auto"/>
              <w:ind w:left="0" w:right="0"/>
            </w:pPr>
            <w:r w:rsidRPr="00D62842">
              <w:t>13</w:t>
            </w:r>
          </w:p>
        </w:tc>
        <w:tc>
          <w:tcPr>
            <w:tcW w:w="1299" w:type="dxa"/>
          </w:tcPr>
          <w:p w14:paraId="69EAA70B" w14:textId="77777777" w:rsidR="001253ED" w:rsidRPr="00D62842" w:rsidRDefault="001253ED" w:rsidP="00831BBC">
            <w:pPr>
              <w:pStyle w:val="SingleTxtG"/>
              <w:spacing w:line="240" w:lineRule="auto"/>
              <w:ind w:left="0" w:right="0"/>
            </w:pPr>
            <w:r w:rsidRPr="00D62842">
              <w:t>Secretariat</w:t>
            </w:r>
          </w:p>
        </w:tc>
        <w:tc>
          <w:tcPr>
            <w:tcW w:w="700" w:type="dxa"/>
          </w:tcPr>
          <w:p w14:paraId="6A174F9F" w14:textId="77777777" w:rsidR="001253ED" w:rsidRPr="00D62842" w:rsidRDefault="001253ED" w:rsidP="00831BBC">
            <w:pPr>
              <w:pStyle w:val="SingleTxtG"/>
              <w:spacing w:line="240" w:lineRule="auto"/>
              <w:ind w:left="0" w:right="0"/>
              <w:jc w:val="center"/>
            </w:pPr>
            <w:r w:rsidRPr="00D62842">
              <w:t>2(a)</w:t>
            </w:r>
          </w:p>
        </w:tc>
        <w:tc>
          <w:tcPr>
            <w:tcW w:w="900" w:type="dxa"/>
          </w:tcPr>
          <w:p w14:paraId="1B5685EB" w14:textId="77777777" w:rsidR="001253ED" w:rsidRPr="00D62842" w:rsidRDefault="001253ED" w:rsidP="00831BBC">
            <w:pPr>
              <w:pStyle w:val="SingleTxtG"/>
              <w:spacing w:line="240" w:lineRule="auto"/>
              <w:ind w:left="0" w:right="0"/>
              <w:jc w:val="center"/>
            </w:pPr>
            <w:r w:rsidRPr="00D62842">
              <w:t>E</w:t>
            </w:r>
          </w:p>
        </w:tc>
        <w:tc>
          <w:tcPr>
            <w:tcW w:w="3400" w:type="dxa"/>
          </w:tcPr>
          <w:p w14:paraId="615C4536" w14:textId="77777777" w:rsidR="001253ED" w:rsidRPr="00C45DA4" w:rsidRDefault="001253ED" w:rsidP="00831BBC">
            <w:pPr>
              <w:pStyle w:val="SingleTxtG"/>
              <w:spacing w:line="240" w:lineRule="auto"/>
              <w:ind w:left="0" w:right="0"/>
              <w:rPr>
                <w:lang w:val="en-US"/>
              </w:rPr>
            </w:pPr>
            <w:r w:rsidRPr="00C45DA4">
              <w:rPr>
                <w:lang w:val="en-US"/>
              </w:rPr>
              <w:t>Proposal for amendment 3 UN Global Technical Regulation No. 9 (Pedestrian safety)</w:t>
            </w:r>
          </w:p>
        </w:tc>
        <w:tc>
          <w:tcPr>
            <w:tcW w:w="605" w:type="dxa"/>
          </w:tcPr>
          <w:p w14:paraId="2BD81557" w14:textId="77777777" w:rsidR="001253ED" w:rsidRPr="00D62842" w:rsidRDefault="001253ED" w:rsidP="00831BBC">
            <w:pPr>
              <w:spacing w:line="240" w:lineRule="auto"/>
              <w:jc w:val="center"/>
            </w:pPr>
            <w:r w:rsidRPr="00D62842">
              <w:t>(d)</w:t>
            </w:r>
          </w:p>
        </w:tc>
      </w:tr>
      <w:tr w:rsidR="001253ED" w:rsidRPr="00D62842" w14:paraId="44163D0F" w14:textId="77777777" w:rsidTr="00831BBC">
        <w:trPr>
          <w:cantSplit/>
        </w:trPr>
        <w:tc>
          <w:tcPr>
            <w:tcW w:w="567" w:type="dxa"/>
          </w:tcPr>
          <w:p w14:paraId="67DA182F" w14:textId="77777777" w:rsidR="001253ED" w:rsidRPr="00D62842" w:rsidRDefault="001253ED" w:rsidP="00831BBC">
            <w:pPr>
              <w:pStyle w:val="SingleTxtG"/>
              <w:spacing w:line="240" w:lineRule="auto"/>
              <w:ind w:left="0" w:right="0"/>
            </w:pPr>
            <w:r w:rsidRPr="00D62842">
              <w:t>14</w:t>
            </w:r>
          </w:p>
        </w:tc>
        <w:tc>
          <w:tcPr>
            <w:tcW w:w="1299" w:type="dxa"/>
          </w:tcPr>
          <w:p w14:paraId="34DEA2FC" w14:textId="77777777" w:rsidR="001253ED" w:rsidRPr="00D62842" w:rsidRDefault="001253ED" w:rsidP="00831BBC">
            <w:r w:rsidRPr="00D62842">
              <w:t>France</w:t>
            </w:r>
          </w:p>
        </w:tc>
        <w:tc>
          <w:tcPr>
            <w:tcW w:w="700" w:type="dxa"/>
          </w:tcPr>
          <w:p w14:paraId="5C1F6434" w14:textId="77777777" w:rsidR="001253ED" w:rsidRPr="00D62842" w:rsidRDefault="001253ED" w:rsidP="00831BBC">
            <w:pPr>
              <w:pStyle w:val="SingleTxtG"/>
              <w:spacing w:line="240" w:lineRule="auto"/>
              <w:ind w:left="0" w:right="0"/>
              <w:jc w:val="center"/>
            </w:pPr>
            <w:r w:rsidRPr="00D62842">
              <w:t>17(b)</w:t>
            </w:r>
          </w:p>
        </w:tc>
        <w:tc>
          <w:tcPr>
            <w:tcW w:w="900" w:type="dxa"/>
          </w:tcPr>
          <w:p w14:paraId="3B5403BF" w14:textId="77777777" w:rsidR="001253ED" w:rsidRPr="00D62842" w:rsidRDefault="001253ED" w:rsidP="00831BBC">
            <w:pPr>
              <w:pStyle w:val="SingleTxtG"/>
              <w:spacing w:line="240" w:lineRule="auto"/>
              <w:ind w:left="0" w:right="0"/>
              <w:jc w:val="center"/>
            </w:pPr>
            <w:r w:rsidRPr="00D62842">
              <w:t>E</w:t>
            </w:r>
          </w:p>
        </w:tc>
        <w:tc>
          <w:tcPr>
            <w:tcW w:w="3400" w:type="dxa"/>
          </w:tcPr>
          <w:p w14:paraId="21207C99" w14:textId="77777777" w:rsidR="001253ED" w:rsidRPr="00C45DA4" w:rsidRDefault="001253ED" w:rsidP="00C3708E">
            <w:pPr>
              <w:pStyle w:val="SingleTxtG"/>
              <w:spacing w:line="240" w:lineRule="auto"/>
              <w:ind w:left="0" w:right="0"/>
              <w:jc w:val="left"/>
              <w:rPr>
                <w:lang w:val="en-US"/>
              </w:rPr>
            </w:pPr>
            <w:r w:rsidRPr="00C45DA4">
              <w:rPr>
                <w:lang w:val="en-US"/>
              </w:rPr>
              <w:t>Proposal Supplement 18 to the 04 series of amendments to UN Regulation No. 44 (Child restraint systems)</w:t>
            </w:r>
          </w:p>
        </w:tc>
        <w:tc>
          <w:tcPr>
            <w:tcW w:w="605" w:type="dxa"/>
          </w:tcPr>
          <w:p w14:paraId="7658B49F" w14:textId="77777777" w:rsidR="001253ED" w:rsidRPr="00D62842" w:rsidRDefault="001253ED" w:rsidP="00831BBC">
            <w:pPr>
              <w:spacing w:line="240" w:lineRule="auto"/>
              <w:jc w:val="center"/>
            </w:pPr>
            <w:r w:rsidRPr="00D62842">
              <w:t>(d)</w:t>
            </w:r>
          </w:p>
        </w:tc>
      </w:tr>
      <w:tr w:rsidR="001253ED" w:rsidRPr="00D62842" w14:paraId="40C6AC98" w14:textId="77777777" w:rsidTr="00831BBC">
        <w:tc>
          <w:tcPr>
            <w:tcW w:w="567" w:type="dxa"/>
          </w:tcPr>
          <w:p w14:paraId="243147AF" w14:textId="77777777" w:rsidR="001253ED" w:rsidRPr="00D62842" w:rsidRDefault="001253ED" w:rsidP="00831BBC">
            <w:pPr>
              <w:pStyle w:val="SingleTxtG"/>
              <w:spacing w:line="240" w:lineRule="auto"/>
              <w:ind w:left="0" w:right="0"/>
            </w:pPr>
            <w:r w:rsidRPr="00D62842">
              <w:t>15</w:t>
            </w:r>
          </w:p>
        </w:tc>
        <w:tc>
          <w:tcPr>
            <w:tcW w:w="1299" w:type="dxa"/>
          </w:tcPr>
          <w:p w14:paraId="1197D93F" w14:textId="77777777" w:rsidR="001253ED" w:rsidRPr="00D62842" w:rsidRDefault="001253ED" w:rsidP="00831BBC">
            <w:r w:rsidRPr="00D62842">
              <w:t>CLEPA</w:t>
            </w:r>
          </w:p>
        </w:tc>
        <w:tc>
          <w:tcPr>
            <w:tcW w:w="700" w:type="dxa"/>
          </w:tcPr>
          <w:p w14:paraId="0976031B" w14:textId="77777777" w:rsidR="001253ED" w:rsidRPr="00D62842" w:rsidRDefault="001253ED" w:rsidP="00831BBC">
            <w:pPr>
              <w:pStyle w:val="SingleTxtG"/>
              <w:spacing w:line="240" w:lineRule="auto"/>
              <w:ind w:left="0" w:right="0"/>
              <w:jc w:val="center"/>
            </w:pPr>
            <w:r w:rsidRPr="00D62842">
              <w:t>17(c)</w:t>
            </w:r>
          </w:p>
        </w:tc>
        <w:tc>
          <w:tcPr>
            <w:tcW w:w="900" w:type="dxa"/>
          </w:tcPr>
          <w:p w14:paraId="0F61E5A6" w14:textId="77777777" w:rsidR="001253ED" w:rsidRPr="00D62842" w:rsidRDefault="001253ED" w:rsidP="00831BBC">
            <w:pPr>
              <w:pStyle w:val="SingleTxtG"/>
              <w:spacing w:line="240" w:lineRule="auto"/>
              <w:ind w:left="0" w:right="0"/>
              <w:jc w:val="center"/>
            </w:pPr>
            <w:r w:rsidRPr="00D62842">
              <w:t>E</w:t>
            </w:r>
          </w:p>
        </w:tc>
        <w:tc>
          <w:tcPr>
            <w:tcW w:w="3400" w:type="dxa"/>
          </w:tcPr>
          <w:p w14:paraId="39B3C5AE" w14:textId="77777777" w:rsidR="001253ED" w:rsidRPr="00C45DA4" w:rsidRDefault="001253ED" w:rsidP="00C3708E">
            <w:pPr>
              <w:pStyle w:val="SingleTxtG"/>
              <w:spacing w:line="240" w:lineRule="auto"/>
              <w:ind w:left="0" w:right="0"/>
              <w:jc w:val="left"/>
              <w:rPr>
                <w:lang w:val="en-US"/>
              </w:rPr>
            </w:pPr>
            <w:r w:rsidRPr="00C45DA4">
              <w:rPr>
                <w:lang w:val="en-US"/>
              </w:rPr>
              <w:t>Amendments to GRSP-67-06  "List of priorities of GRSP"</w:t>
            </w:r>
          </w:p>
        </w:tc>
        <w:tc>
          <w:tcPr>
            <w:tcW w:w="605" w:type="dxa"/>
          </w:tcPr>
          <w:p w14:paraId="40B37CC7" w14:textId="77777777" w:rsidR="001253ED" w:rsidRPr="00D62842" w:rsidRDefault="001253ED" w:rsidP="00831BBC">
            <w:pPr>
              <w:spacing w:line="240" w:lineRule="auto"/>
              <w:jc w:val="center"/>
            </w:pPr>
            <w:r w:rsidRPr="00D62842">
              <w:t>(a)</w:t>
            </w:r>
          </w:p>
        </w:tc>
      </w:tr>
      <w:tr w:rsidR="001253ED" w:rsidRPr="00D62842" w14:paraId="58A1C00A" w14:textId="77777777" w:rsidTr="00831BBC">
        <w:tc>
          <w:tcPr>
            <w:tcW w:w="567" w:type="dxa"/>
          </w:tcPr>
          <w:p w14:paraId="20D815F1" w14:textId="77777777" w:rsidR="001253ED" w:rsidRPr="00D62842" w:rsidRDefault="001253ED" w:rsidP="00831BBC">
            <w:pPr>
              <w:pStyle w:val="SingleTxtG"/>
              <w:spacing w:line="240" w:lineRule="auto"/>
              <w:ind w:left="0" w:right="0"/>
            </w:pPr>
            <w:r w:rsidRPr="00D62842">
              <w:t>16</w:t>
            </w:r>
          </w:p>
        </w:tc>
        <w:tc>
          <w:tcPr>
            <w:tcW w:w="1299" w:type="dxa"/>
          </w:tcPr>
          <w:p w14:paraId="1CCE8669" w14:textId="77777777" w:rsidR="001253ED" w:rsidRPr="00D62842" w:rsidRDefault="001253ED" w:rsidP="00831BBC">
            <w:pPr>
              <w:pStyle w:val="SingleTxtG"/>
              <w:spacing w:line="240" w:lineRule="auto"/>
              <w:ind w:left="0" w:right="0"/>
              <w:jc w:val="left"/>
            </w:pPr>
            <w:r w:rsidRPr="00D62842">
              <w:t>CLEPA</w:t>
            </w:r>
          </w:p>
        </w:tc>
        <w:tc>
          <w:tcPr>
            <w:tcW w:w="700" w:type="dxa"/>
          </w:tcPr>
          <w:p w14:paraId="3A07250A" w14:textId="77777777" w:rsidR="001253ED" w:rsidRPr="00D62842" w:rsidRDefault="001253ED" w:rsidP="00831BBC">
            <w:pPr>
              <w:pStyle w:val="SingleTxtG"/>
              <w:spacing w:line="240" w:lineRule="auto"/>
              <w:ind w:left="0" w:right="0"/>
              <w:jc w:val="center"/>
            </w:pPr>
            <w:r w:rsidRPr="00D62842">
              <w:t>12</w:t>
            </w:r>
          </w:p>
        </w:tc>
        <w:tc>
          <w:tcPr>
            <w:tcW w:w="900" w:type="dxa"/>
          </w:tcPr>
          <w:p w14:paraId="3F24C1A1" w14:textId="77777777" w:rsidR="001253ED" w:rsidRPr="00D62842" w:rsidRDefault="001253ED" w:rsidP="00831BBC">
            <w:pPr>
              <w:pStyle w:val="SingleTxtG"/>
              <w:spacing w:line="240" w:lineRule="auto"/>
              <w:ind w:left="0" w:right="0"/>
              <w:jc w:val="center"/>
            </w:pPr>
            <w:r w:rsidRPr="00D62842">
              <w:t>E</w:t>
            </w:r>
          </w:p>
        </w:tc>
        <w:tc>
          <w:tcPr>
            <w:tcW w:w="3400" w:type="dxa"/>
          </w:tcPr>
          <w:p w14:paraId="002524E5" w14:textId="77777777" w:rsidR="001253ED" w:rsidRPr="00C45DA4" w:rsidRDefault="001253ED" w:rsidP="00831BBC">
            <w:pPr>
              <w:suppressAutoHyphens w:val="0"/>
              <w:autoSpaceDE w:val="0"/>
              <w:autoSpaceDN w:val="0"/>
              <w:adjustRightInd w:val="0"/>
              <w:spacing w:after="120" w:line="240" w:lineRule="auto"/>
              <w:rPr>
                <w:lang w:val="en-US"/>
              </w:rPr>
            </w:pPr>
            <w:r w:rsidRPr="00C45DA4">
              <w:rPr>
                <w:lang w:val="en-US"/>
              </w:rPr>
              <w:t xml:space="preserve">Supplement 5 to the 03 series of </w:t>
            </w:r>
            <w:r w:rsidR="00C3708E">
              <w:rPr>
                <w:lang w:val="en-US"/>
              </w:rPr>
              <w:br/>
            </w:r>
            <w:r w:rsidRPr="00C45DA4">
              <w:rPr>
                <w:lang w:val="en-US"/>
              </w:rPr>
              <w:t>amendments to UN Regulation No. 129 (Enhanced Child Restraint Systems)</w:t>
            </w:r>
          </w:p>
        </w:tc>
        <w:tc>
          <w:tcPr>
            <w:tcW w:w="605" w:type="dxa"/>
          </w:tcPr>
          <w:p w14:paraId="2C050BC8" w14:textId="77777777" w:rsidR="001253ED" w:rsidRPr="00D62842" w:rsidRDefault="001253ED" w:rsidP="00831BBC">
            <w:pPr>
              <w:spacing w:line="240" w:lineRule="auto"/>
              <w:jc w:val="center"/>
            </w:pPr>
            <w:r w:rsidRPr="00D62842">
              <w:t>(a)</w:t>
            </w:r>
          </w:p>
        </w:tc>
      </w:tr>
      <w:tr w:rsidR="001253ED" w:rsidRPr="00D62842" w14:paraId="23A84866" w14:textId="77777777" w:rsidTr="00831BBC">
        <w:tc>
          <w:tcPr>
            <w:tcW w:w="567" w:type="dxa"/>
          </w:tcPr>
          <w:p w14:paraId="50511354" w14:textId="77777777" w:rsidR="001253ED" w:rsidRPr="00D62842" w:rsidRDefault="001253ED" w:rsidP="00831BBC">
            <w:pPr>
              <w:pStyle w:val="SingleTxtG"/>
              <w:spacing w:before="120" w:line="240" w:lineRule="auto"/>
              <w:ind w:left="0" w:right="0"/>
            </w:pPr>
            <w:r w:rsidRPr="00D62842">
              <w:t>17</w:t>
            </w:r>
          </w:p>
        </w:tc>
        <w:tc>
          <w:tcPr>
            <w:tcW w:w="1299" w:type="dxa"/>
          </w:tcPr>
          <w:p w14:paraId="515F533C" w14:textId="77777777" w:rsidR="001253ED" w:rsidRPr="00D62842" w:rsidRDefault="001253ED" w:rsidP="00831BBC">
            <w:pPr>
              <w:pStyle w:val="SingleTxtG"/>
              <w:spacing w:before="120" w:line="240" w:lineRule="auto"/>
              <w:ind w:left="0" w:right="0"/>
              <w:jc w:val="left"/>
            </w:pPr>
            <w:r w:rsidRPr="00D62842">
              <w:t>Japan</w:t>
            </w:r>
          </w:p>
        </w:tc>
        <w:tc>
          <w:tcPr>
            <w:tcW w:w="700" w:type="dxa"/>
          </w:tcPr>
          <w:p w14:paraId="5108F6D8" w14:textId="77777777" w:rsidR="001253ED" w:rsidRPr="00D62842" w:rsidRDefault="001253ED" w:rsidP="00831BBC">
            <w:pPr>
              <w:pStyle w:val="SingleTxtG"/>
              <w:spacing w:before="120" w:line="240" w:lineRule="auto"/>
              <w:ind w:left="0" w:right="0"/>
              <w:jc w:val="center"/>
            </w:pPr>
            <w:r w:rsidRPr="00D62842">
              <w:t>6</w:t>
            </w:r>
          </w:p>
        </w:tc>
        <w:tc>
          <w:tcPr>
            <w:tcW w:w="900" w:type="dxa"/>
          </w:tcPr>
          <w:p w14:paraId="5FF29256" w14:textId="77777777" w:rsidR="001253ED" w:rsidRPr="00D62842" w:rsidRDefault="001253ED" w:rsidP="00831BBC">
            <w:pPr>
              <w:pStyle w:val="SingleTxtG"/>
              <w:spacing w:before="120" w:line="240" w:lineRule="auto"/>
              <w:ind w:left="0" w:right="0"/>
              <w:jc w:val="center"/>
            </w:pPr>
            <w:r w:rsidRPr="00D62842">
              <w:t>E</w:t>
            </w:r>
          </w:p>
        </w:tc>
        <w:tc>
          <w:tcPr>
            <w:tcW w:w="3400" w:type="dxa"/>
          </w:tcPr>
          <w:p w14:paraId="77E4CD39" w14:textId="77777777" w:rsidR="001253ED" w:rsidRPr="00C45DA4" w:rsidRDefault="001253ED" w:rsidP="00831BBC">
            <w:pPr>
              <w:pStyle w:val="SingleTxtG"/>
              <w:spacing w:before="120" w:line="240" w:lineRule="auto"/>
              <w:ind w:left="0" w:right="0"/>
              <w:jc w:val="left"/>
              <w:rPr>
                <w:lang w:val="en-US"/>
              </w:rPr>
            </w:pPr>
            <w:r w:rsidRPr="00C45DA4">
              <w:rPr>
                <w:lang w:val="en-US"/>
              </w:rPr>
              <w:t>ECE/TRANS/WP.29/GRSP/2020/8 - Alignment of GTR No. 7 head restraints with UN Regulation No. 17</w:t>
            </w:r>
          </w:p>
        </w:tc>
        <w:tc>
          <w:tcPr>
            <w:tcW w:w="605" w:type="dxa"/>
          </w:tcPr>
          <w:p w14:paraId="1FA1F7B3" w14:textId="77777777" w:rsidR="001253ED" w:rsidRPr="00D62842" w:rsidRDefault="001253ED" w:rsidP="00831BBC">
            <w:pPr>
              <w:spacing w:before="120" w:line="240" w:lineRule="auto"/>
              <w:jc w:val="center"/>
            </w:pPr>
            <w:r w:rsidRPr="00D62842">
              <w:t>(a)</w:t>
            </w:r>
          </w:p>
        </w:tc>
      </w:tr>
      <w:tr w:rsidR="001253ED" w:rsidRPr="00D62842" w14:paraId="161680EB" w14:textId="77777777" w:rsidTr="00831BBC">
        <w:tc>
          <w:tcPr>
            <w:tcW w:w="567" w:type="dxa"/>
          </w:tcPr>
          <w:p w14:paraId="09EE37A4" w14:textId="77777777" w:rsidR="001253ED" w:rsidRPr="00D62842" w:rsidRDefault="001253ED" w:rsidP="00831BBC">
            <w:pPr>
              <w:pStyle w:val="SingleTxtG"/>
              <w:spacing w:line="240" w:lineRule="auto"/>
              <w:ind w:left="0" w:right="0"/>
            </w:pPr>
            <w:r w:rsidRPr="00D62842">
              <w:t>18/</w:t>
            </w:r>
            <w:r w:rsidRPr="00D62842">
              <w:br/>
              <w:t>Rev.1</w:t>
            </w:r>
          </w:p>
        </w:tc>
        <w:tc>
          <w:tcPr>
            <w:tcW w:w="1299" w:type="dxa"/>
          </w:tcPr>
          <w:p w14:paraId="12D9461A" w14:textId="77777777" w:rsidR="001253ED" w:rsidRPr="00D62842" w:rsidRDefault="001253ED" w:rsidP="00831BBC">
            <w:pPr>
              <w:pStyle w:val="SingleTxtG"/>
              <w:spacing w:line="240" w:lineRule="auto"/>
              <w:ind w:left="0" w:right="0"/>
            </w:pPr>
            <w:r w:rsidRPr="00D62842">
              <w:t>Japan</w:t>
            </w:r>
          </w:p>
        </w:tc>
        <w:tc>
          <w:tcPr>
            <w:tcW w:w="700" w:type="dxa"/>
          </w:tcPr>
          <w:p w14:paraId="34631DC6" w14:textId="77777777" w:rsidR="001253ED" w:rsidRPr="00D62842" w:rsidRDefault="001253ED" w:rsidP="00831BBC">
            <w:pPr>
              <w:pStyle w:val="SingleTxtG"/>
              <w:spacing w:line="240" w:lineRule="auto"/>
              <w:ind w:left="0" w:right="0"/>
              <w:jc w:val="center"/>
            </w:pPr>
            <w:r w:rsidRPr="00D62842">
              <w:t>14</w:t>
            </w:r>
          </w:p>
        </w:tc>
        <w:tc>
          <w:tcPr>
            <w:tcW w:w="900" w:type="dxa"/>
          </w:tcPr>
          <w:p w14:paraId="597A15F6" w14:textId="77777777" w:rsidR="001253ED" w:rsidRPr="00D62842" w:rsidRDefault="001253ED" w:rsidP="00831BBC">
            <w:pPr>
              <w:pStyle w:val="SingleTxtG"/>
              <w:spacing w:line="240" w:lineRule="auto"/>
              <w:ind w:left="0" w:right="0"/>
              <w:jc w:val="center"/>
            </w:pPr>
            <w:r w:rsidRPr="00D62842">
              <w:t>E</w:t>
            </w:r>
          </w:p>
        </w:tc>
        <w:tc>
          <w:tcPr>
            <w:tcW w:w="3400" w:type="dxa"/>
          </w:tcPr>
          <w:p w14:paraId="3BA960D3" w14:textId="77777777" w:rsidR="001253ED" w:rsidRPr="00C45DA4" w:rsidRDefault="001253ED" w:rsidP="00831BBC">
            <w:pPr>
              <w:suppressAutoHyphens w:val="0"/>
              <w:autoSpaceDE w:val="0"/>
              <w:autoSpaceDN w:val="0"/>
              <w:adjustRightInd w:val="0"/>
              <w:spacing w:after="120" w:line="240" w:lineRule="auto"/>
              <w:rPr>
                <w:lang w:val="en-US"/>
              </w:rPr>
            </w:pPr>
            <w:r w:rsidRPr="00C45DA4">
              <w:rPr>
                <w:lang w:val="en-US"/>
              </w:rPr>
              <w:t xml:space="preserve">Proposal to amend document ECE/TRANS/WP.29/GRSP/2020/7 </w:t>
            </w:r>
            <w:r w:rsidR="00C3708E">
              <w:rPr>
                <w:lang w:val="en-US"/>
              </w:rPr>
              <w:br/>
            </w:r>
            <w:r w:rsidRPr="00C45DA4">
              <w:rPr>
                <w:lang w:val="en-US"/>
              </w:rPr>
              <w:t xml:space="preserve">Proposal for the 02 series of amendments to UN Regulation No. 137 (frontal </w:t>
            </w:r>
            <w:r w:rsidR="00C3708E">
              <w:rPr>
                <w:lang w:val="en-US"/>
              </w:rPr>
              <w:br/>
            </w:r>
            <w:r w:rsidRPr="00C45DA4">
              <w:rPr>
                <w:lang w:val="en-US"/>
              </w:rPr>
              <w:t xml:space="preserve">collision with focus on the restraint </w:t>
            </w:r>
            <w:r w:rsidR="00C3708E">
              <w:rPr>
                <w:lang w:val="en-US"/>
              </w:rPr>
              <w:br/>
            </w:r>
            <w:r w:rsidRPr="00C45DA4">
              <w:rPr>
                <w:lang w:val="en-US"/>
              </w:rPr>
              <w:t>system)</w:t>
            </w:r>
          </w:p>
        </w:tc>
        <w:tc>
          <w:tcPr>
            <w:tcW w:w="605" w:type="dxa"/>
          </w:tcPr>
          <w:p w14:paraId="6BF44C0D" w14:textId="77777777" w:rsidR="001253ED" w:rsidRPr="00D62842" w:rsidRDefault="001253ED" w:rsidP="00831BBC">
            <w:pPr>
              <w:spacing w:line="240" w:lineRule="auto"/>
              <w:jc w:val="center"/>
            </w:pPr>
            <w:r w:rsidRPr="00D62842">
              <w:t>(d)</w:t>
            </w:r>
          </w:p>
        </w:tc>
      </w:tr>
      <w:tr w:rsidR="001253ED" w:rsidRPr="00D62842" w14:paraId="443647D6" w14:textId="77777777" w:rsidTr="00831BBC">
        <w:tc>
          <w:tcPr>
            <w:tcW w:w="567" w:type="dxa"/>
          </w:tcPr>
          <w:p w14:paraId="785C63F3" w14:textId="77777777" w:rsidR="001253ED" w:rsidRPr="00D62842" w:rsidRDefault="001253ED" w:rsidP="00831BBC">
            <w:pPr>
              <w:pStyle w:val="SingleTxtG"/>
              <w:spacing w:line="240" w:lineRule="auto"/>
              <w:ind w:left="0" w:right="0"/>
            </w:pPr>
            <w:r w:rsidRPr="00D62842">
              <w:t>19/</w:t>
            </w:r>
            <w:r w:rsidRPr="00D62842">
              <w:br/>
              <w:t xml:space="preserve">Rev.1 </w:t>
            </w:r>
          </w:p>
        </w:tc>
        <w:tc>
          <w:tcPr>
            <w:tcW w:w="1299" w:type="dxa"/>
          </w:tcPr>
          <w:p w14:paraId="0B736468" w14:textId="77777777" w:rsidR="001253ED" w:rsidRPr="00D62842" w:rsidRDefault="001253ED" w:rsidP="00831BBC">
            <w:pPr>
              <w:suppressAutoHyphens w:val="0"/>
              <w:autoSpaceDE w:val="0"/>
              <w:autoSpaceDN w:val="0"/>
              <w:adjustRightInd w:val="0"/>
              <w:spacing w:line="240" w:lineRule="auto"/>
            </w:pPr>
            <w:r w:rsidRPr="00D62842">
              <w:t>Japan</w:t>
            </w:r>
          </w:p>
        </w:tc>
        <w:tc>
          <w:tcPr>
            <w:tcW w:w="700" w:type="dxa"/>
          </w:tcPr>
          <w:p w14:paraId="64DF9876" w14:textId="77777777" w:rsidR="001253ED" w:rsidRPr="00D62842" w:rsidRDefault="001253ED" w:rsidP="00831BBC">
            <w:pPr>
              <w:pStyle w:val="SingleTxtG"/>
              <w:spacing w:line="240" w:lineRule="auto"/>
              <w:ind w:left="0" w:right="0"/>
              <w:jc w:val="center"/>
            </w:pPr>
            <w:r w:rsidRPr="00D62842">
              <w:t>17(d)</w:t>
            </w:r>
          </w:p>
        </w:tc>
        <w:tc>
          <w:tcPr>
            <w:tcW w:w="900" w:type="dxa"/>
          </w:tcPr>
          <w:p w14:paraId="70E8C6EC" w14:textId="77777777" w:rsidR="001253ED" w:rsidRPr="00D62842" w:rsidRDefault="001253ED" w:rsidP="00831BBC">
            <w:pPr>
              <w:pStyle w:val="SingleTxtG"/>
              <w:spacing w:line="240" w:lineRule="auto"/>
              <w:ind w:left="0" w:right="0"/>
              <w:jc w:val="center"/>
            </w:pPr>
            <w:r w:rsidRPr="00D62842">
              <w:t>E</w:t>
            </w:r>
          </w:p>
        </w:tc>
        <w:tc>
          <w:tcPr>
            <w:tcW w:w="3400" w:type="dxa"/>
          </w:tcPr>
          <w:p w14:paraId="2D2446B1" w14:textId="77777777" w:rsidR="001253ED" w:rsidRPr="00C45DA4" w:rsidRDefault="001253ED" w:rsidP="00831BBC">
            <w:pPr>
              <w:pStyle w:val="SingleTxtG"/>
              <w:spacing w:line="240" w:lineRule="auto"/>
              <w:ind w:left="0" w:right="0"/>
              <w:jc w:val="left"/>
              <w:rPr>
                <w:lang w:val="en-US"/>
              </w:rPr>
            </w:pPr>
            <w:r w:rsidRPr="00C45DA4">
              <w:rPr>
                <w:lang w:val="en-US"/>
              </w:rPr>
              <w:t>Proposal for Corrigendum 1 to the new UN Regulation concerning the approval of vehicles with regard to fuel system integrity and safety of electric power train in the event of a rear-end collision (ECE/TRANS/WP.29/2020/76)</w:t>
            </w:r>
          </w:p>
        </w:tc>
        <w:tc>
          <w:tcPr>
            <w:tcW w:w="605" w:type="dxa"/>
          </w:tcPr>
          <w:p w14:paraId="63B8D0FC" w14:textId="77777777" w:rsidR="001253ED" w:rsidRPr="00D62842" w:rsidRDefault="001253ED" w:rsidP="00831BBC">
            <w:pPr>
              <w:spacing w:line="240" w:lineRule="auto"/>
              <w:jc w:val="center"/>
            </w:pPr>
            <w:r w:rsidRPr="00D62842">
              <w:t>(d)</w:t>
            </w:r>
          </w:p>
        </w:tc>
      </w:tr>
      <w:tr w:rsidR="001253ED" w:rsidRPr="00D62842" w14:paraId="44C2941F" w14:textId="77777777" w:rsidTr="00831BBC">
        <w:tc>
          <w:tcPr>
            <w:tcW w:w="567" w:type="dxa"/>
          </w:tcPr>
          <w:p w14:paraId="716EB2FB" w14:textId="77777777" w:rsidR="001253ED" w:rsidRPr="00D62842" w:rsidRDefault="001253ED" w:rsidP="00831BBC">
            <w:pPr>
              <w:pStyle w:val="SingleTxtG"/>
              <w:spacing w:line="240" w:lineRule="auto"/>
              <w:ind w:left="0" w:right="0"/>
            </w:pPr>
            <w:r w:rsidRPr="00D62842">
              <w:t>20/</w:t>
            </w:r>
            <w:r w:rsidRPr="00D62842">
              <w:br/>
              <w:t>Rev.1</w:t>
            </w:r>
          </w:p>
        </w:tc>
        <w:tc>
          <w:tcPr>
            <w:tcW w:w="1299" w:type="dxa"/>
          </w:tcPr>
          <w:p w14:paraId="3ED54A02" w14:textId="77777777" w:rsidR="001253ED" w:rsidRPr="00D62842" w:rsidRDefault="001253ED" w:rsidP="00831BBC">
            <w:pPr>
              <w:pStyle w:val="SingleTxtG"/>
              <w:spacing w:line="240" w:lineRule="auto"/>
              <w:ind w:left="0" w:right="0"/>
              <w:jc w:val="left"/>
            </w:pPr>
            <w:r w:rsidRPr="00D62842">
              <w:t>Japan</w:t>
            </w:r>
          </w:p>
        </w:tc>
        <w:tc>
          <w:tcPr>
            <w:tcW w:w="700" w:type="dxa"/>
          </w:tcPr>
          <w:p w14:paraId="17850E43" w14:textId="77777777" w:rsidR="001253ED" w:rsidRPr="00D62842" w:rsidRDefault="001253ED" w:rsidP="00831BBC">
            <w:pPr>
              <w:pStyle w:val="SingleTxtG"/>
              <w:spacing w:line="240" w:lineRule="auto"/>
              <w:ind w:left="0" w:right="0"/>
              <w:jc w:val="center"/>
            </w:pPr>
            <w:r w:rsidRPr="00D62842">
              <w:t>8</w:t>
            </w:r>
          </w:p>
        </w:tc>
        <w:tc>
          <w:tcPr>
            <w:tcW w:w="900" w:type="dxa"/>
          </w:tcPr>
          <w:p w14:paraId="6680EA84" w14:textId="77777777" w:rsidR="001253ED" w:rsidRPr="00D62842" w:rsidRDefault="001253ED" w:rsidP="00831BBC">
            <w:pPr>
              <w:pStyle w:val="SingleTxtG"/>
              <w:spacing w:line="240" w:lineRule="auto"/>
              <w:ind w:left="0" w:right="0"/>
              <w:jc w:val="center"/>
            </w:pPr>
            <w:r w:rsidRPr="00D62842">
              <w:t>E</w:t>
            </w:r>
          </w:p>
        </w:tc>
        <w:tc>
          <w:tcPr>
            <w:tcW w:w="3400" w:type="dxa"/>
          </w:tcPr>
          <w:p w14:paraId="7AB1C369" w14:textId="77777777" w:rsidR="001253ED" w:rsidRPr="00C45DA4" w:rsidRDefault="001253ED" w:rsidP="00831BBC">
            <w:pPr>
              <w:pStyle w:val="SingleTxtG"/>
              <w:tabs>
                <w:tab w:val="left" w:pos="1222"/>
              </w:tabs>
              <w:spacing w:line="240" w:lineRule="auto"/>
              <w:ind w:left="0" w:right="0"/>
              <w:jc w:val="left"/>
              <w:rPr>
                <w:lang w:val="en-US"/>
              </w:rPr>
            </w:pPr>
            <w:r w:rsidRPr="00C45DA4">
              <w:rPr>
                <w:lang w:val="en-US"/>
              </w:rPr>
              <w:t>Proposal to amend document ECE/TRANS/WP.29/GRSP/2020/4 Proposal for the 04 series of amendments to UN Regulation No. 94 (protection of the occupants in the event of a frontal collision)</w:t>
            </w:r>
          </w:p>
        </w:tc>
        <w:tc>
          <w:tcPr>
            <w:tcW w:w="605" w:type="dxa"/>
          </w:tcPr>
          <w:p w14:paraId="10A27DD8" w14:textId="77777777" w:rsidR="001253ED" w:rsidRPr="00D62842" w:rsidRDefault="001253ED" w:rsidP="00831BBC">
            <w:pPr>
              <w:spacing w:line="240" w:lineRule="auto"/>
              <w:jc w:val="center"/>
            </w:pPr>
            <w:r w:rsidRPr="00D62842">
              <w:t>(d)</w:t>
            </w:r>
          </w:p>
        </w:tc>
      </w:tr>
      <w:tr w:rsidR="001253ED" w:rsidRPr="00D62842" w14:paraId="4808BECA" w14:textId="77777777" w:rsidTr="00831BBC">
        <w:tc>
          <w:tcPr>
            <w:tcW w:w="567" w:type="dxa"/>
          </w:tcPr>
          <w:p w14:paraId="77B93C21" w14:textId="77777777" w:rsidR="001253ED" w:rsidRPr="00D62842" w:rsidRDefault="001253ED" w:rsidP="00831BBC">
            <w:pPr>
              <w:pStyle w:val="SingleTxtG"/>
              <w:spacing w:line="240" w:lineRule="auto"/>
              <w:ind w:left="0" w:right="0"/>
            </w:pPr>
            <w:r w:rsidRPr="00D62842">
              <w:t>21/</w:t>
            </w:r>
            <w:r w:rsidRPr="00D62842">
              <w:br/>
              <w:t>Rev.1</w:t>
            </w:r>
          </w:p>
        </w:tc>
        <w:tc>
          <w:tcPr>
            <w:tcW w:w="1299" w:type="dxa"/>
          </w:tcPr>
          <w:p w14:paraId="1844BA26" w14:textId="77777777" w:rsidR="001253ED" w:rsidRPr="00D62842" w:rsidRDefault="001253ED" w:rsidP="00831BBC">
            <w:pPr>
              <w:spacing w:line="240" w:lineRule="auto"/>
            </w:pPr>
            <w:r w:rsidRPr="00D62842">
              <w:t>Japan</w:t>
            </w:r>
          </w:p>
        </w:tc>
        <w:tc>
          <w:tcPr>
            <w:tcW w:w="700" w:type="dxa"/>
          </w:tcPr>
          <w:p w14:paraId="1FA5F689" w14:textId="77777777" w:rsidR="001253ED" w:rsidRPr="00D62842" w:rsidRDefault="001253ED" w:rsidP="00831BBC">
            <w:pPr>
              <w:pStyle w:val="SingleTxtG"/>
              <w:spacing w:line="240" w:lineRule="auto"/>
              <w:ind w:left="0" w:right="0"/>
              <w:jc w:val="center"/>
            </w:pPr>
            <w:r w:rsidRPr="00D62842">
              <w:t>9</w:t>
            </w:r>
          </w:p>
        </w:tc>
        <w:tc>
          <w:tcPr>
            <w:tcW w:w="900" w:type="dxa"/>
          </w:tcPr>
          <w:p w14:paraId="3CEF981F" w14:textId="77777777" w:rsidR="001253ED" w:rsidRPr="00D62842" w:rsidRDefault="001253ED" w:rsidP="00831BBC">
            <w:pPr>
              <w:pStyle w:val="SingleTxtG"/>
              <w:spacing w:line="240" w:lineRule="auto"/>
              <w:ind w:left="0" w:right="0"/>
              <w:jc w:val="center"/>
            </w:pPr>
            <w:r w:rsidRPr="00D62842">
              <w:t>E</w:t>
            </w:r>
          </w:p>
        </w:tc>
        <w:tc>
          <w:tcPr>
            <w:tcW w:w="3400" w:type="dxa"/>
          </w:tcPr>
          <w:p w14:paraId="4EABB97F" w14:textId="77777777" w:rsidR="001253ED" w:rsidRPr="00C45DA4" w:rsidRDefault="001253ED" w:rsidP="00831BBC">
            <w:pPr>
              <w:pStyle w:val="SingleTxtG"/>
              <w:spacing w:line="240" w:lineRule="auto"/>
              <w:ind w:left="0" w:right="0"/>
              <w:jc w:val="left"/>
              <w:rPr>
                <w:lang w:val="en-US"/>
              </w:rPr>
            </w:pPr>
            <w:r w:rsidRPr="00C45DA4">
              <w:rPr>
                <w:lang w:val="en-US"/>
              </w:rPr>
              <w:t>Proposal to amend document ECE/TRANS/WP.29/GRSP/2020/5 Proposal for the 04 series of amendments to UN Regulation No. 95 (Lateral collision)</w:t>
            </w:r>
          </w:p>
        </w:tc>
        <w:tc>
          <w:tcPr>
            <w:tcW w:w="605" w:type="dxa"/>
          </w:tcPr>
          <w:p w14:paraId="2CF82DFB" w14:textId="77777777" w:rsidR="001253ED" w:rsidRPr="00D62842" w:rsidRDefault="001253ED" w:rsidP="00831BBC">
            <w:pPr>
              <w:spacing w:line="240" w:lineRule="auto"/>
              <w:jc w:val="center"/>
            </w:pPr>
            <w:r w:rsidRPr="00D62842">
              <w:t>(d)</w:t>
            </w:r>
          </w:p>
        </w:tc>
      </w:tr>
      <w:tr w:rsidR="001253ED" w:rsidRPr="00D62842" w14:paraId="03C5BB97" w14:textId="77777777" w:rsidTr="00831BBC">
        <w:tc>
          <w:tcPr>
            <w:tcW w:w="567" w:type="dxa"/>
          </w:tcPr>
          <w:p w14:paraId="128C2599" w14:textId="77777777" w:rsidR="001253ED" w:rsidRPr="00D62842" w:rsidRDefault="001253ED" w:rsidP="00831BBC">
            <w:pPr>
              <w:pStyle w:val="SingleTxtG"/>
              <w:spacing w:line="240" w:lineRule="auto"/>
              <w:ind w:left="0" w:right="0"/>
            </w:pPr>
            <w:r w:rsidRPr="00D62842">
              <w:t>22/</w:t>
            </w:r>
            <w:r w:rsidRPr="00D62842">
              <w:br/>
              <w:t>Rev.1</w:t>
            </w:r>
          </w:p>
        </w:tc>
        <w:tc>
          <w:tcPr>
            <w:tcW w:w="1299" w:type="dxa"/>
          </w:tcPr>
          <w:p w14:paraId="258B2CBC" w14:textId="77777777" w:rsidR="001253ED" w:rsidRPr="00D62842" w:rsidRDefault="001253ED" w:rsidP="00831BBC">
            <w:pPr>
              <w:spacing w:line="240" w:lineRule="auto"/>
            </w:pPr>
            <w:r w:rsidRPr="00D62842">
              <w:t>Japan</w:t>
            </w:r>
          </w:p>
        </w:tc>
        <w:tc>
          <w:tcPr>
            <w:tcW w:w="700" w:type="dxa"/>
          </w:tcPr>
          <w:p w14:paraId="673FED14" w14:textId="77777777" w:rsidR="001253ED" w:rsidRPr="00D62842" w:rsidRDefault="001253ED" w:rsidP="00831BBC">
            <w:pPr>
              <w:pStyle w:val="SingleTxtG"/>
              <w:spacing w:line="240" w:lineRule="auto"/>
              <w:ind w:left="0" w:right="0"/>
              <w:jc w:val="center"/>
            </w:pPr>
            <w:r w:rsidRPr="00D62842">
              <w:t>10</w:t>
            </w:r>
          </w:p>
        </w:tc>
        <w:tc>
          <w:tcPr>
            <w:tcW w:w="900" w:type="dxa"/>
          </w:tcPr>
          <w:p w14:paraId="1A770EBB" w14:textId="77777777" w:rsidR="001253ED" w:rsidRPr="00D62842" w:rsidRDefault="001253ED" w:rsidP="00831BBC">
            <w:pPr>
              <w:pStyle w:val="SingleTxtG"/>
              <w:spacing w:line="240" w:lineRule="auto"/>
              <w:ind w:left="0" w:right="0"/>
              <w:jc w:val="center"/>
            </w:pPr>
            <w:r w:rsidRPr="00D62842">
              <w:t>E</w:t>
            </w:r>
          </w:p>
        </w:tc>
        <w:tc>
          <w:tcPr>
            <w:tcW w:w="3400" w:type="dxa"/>
          </w:tcPr>
          <w:p w14:paraId="647CD613" w14:textId="77777777" w:rsidR="001253ED" w:rsidRPr="00C45DA4" w:rsidRDefault="001253ED" w:rsidP="00831BBC">
            <w:pPr>
              <w:pStyle w:val="SingleTxtG"/>
              <w:spacing w:line="240" w:lineRule="auto"/>
              <w:ind w:left="0" w:right="0"/>
              <w:jc w:val="left"/>
              <w:rPr>
                <w:lang w:val="en-US"/>
              </w:rPr>
            </w:pPr>
            <w:r w:rsidRPr="00C45DA4">
              <w:rPr>
                <w:lang w:val="en-US"/>
              </w:rPr>
              <w:t>Proposal to amend document ECE/TRANS/WP.29/GRSP/2020/6 Proposal for the 03 series of amendments to UN Regulation No. 100 (Specific requirements for the electric power train)</w:t>
            </w:r>
          </w:p>
        </w:tc>
        <w:tc>
          <w:tcPr>
            <w:tcW w:w="605" w:type="dxa"/>
          </w:tcPr>
          <w:p w14:paraId="242D954F" w14:textId="77777777" w:rsidR="001253ED" w:rsidRPr="00D62842" w:rsidRDefault="001253ED" w:rsidP="00831BBC">
            <w:pPr>
              <w:spacing w:line="240" w:lineRule="auto"/>
              <w:jc w:val="center"/>
            </w:pPr>
            <w:r w:rsidRPr="00D62842">
              <w:t>(d)</w:t>
            </w:r>
          </w:p>
        </w:tc>
      </w:tr>
      <w:tr w:rsidR="001253ED" w:rsidRPr="00D62842" w14:paraId="2AE30942" w14:textId="77777777" w:rsidTr="00831BBC">
        <w:tc>
          <w:tcPr>
            <w:tcW w:w="567" w:type="dxa"/>
          </w:tcPr>
          <w:p w14:paraId="53BA32B2" w14:textId="77777777" w:rsidR="001253ED" w:rsidRPr="00D62842" w:rsidRDefault="001253ED" w:rsidP="00831BBC">
            <w:pPr>
              <w:pStyle w:val="SingleTxtG"/>
              <w:spacing w:line="240" w:lineRule="auto"/>
              <w:ind w:left="0" w:right="0"/>
            </w:pPr>
            <w:r w:rsidRPr="00D62842">
              <w:t>23</w:t>
            </w:r>
          </w:p>
        </w:tc>
        <w:tc>
          <w:tcPr>
            <w:tcW w:w="1299" w:type="dxa"/>
          </w:tcPr>
          <w:p w14:paraId="2937C243" w14:textId="77777777" w:rsidR="001253ED" w:rsidRPr="00D62842" w:rsidRDefault="001253ED" w:rsidP="00831BBC">
            <w:pPr>
              <w:spacing w:line="240" w:lineRule="auto"/>
            </w:pPr>
            <w:r w:rsidRPr="00D62842">
              <w:t>CLEPA</w:t>
            </w:r>
          </w:p>
        </w:tc>
        <w:tc>
          <w:tcPr>
            <w:tcW w:w="700" w:type="dxa"/>
          </w:tcPr>
          <w:p w14:paraId="5B2457E2" w14:textId="77777777" w:rsidR="001253ED" w:rsidRPr="00D62842" w:rsidRDefault="001253ED" w:rsidP="00831BBC">
            <w:pPr>
              <w:pStyle w:val="SingleTxtG"/>
              <w:spacing w:line="240" w:lineRule="auto"/>
              <w:ind w:left="0" w:right="0"/>
              <w:jc w:val="center"/>
            </w:pPr>
            <w:r w:rsidRPr="00D62842">
              <w:t>12</w:t>
            </w:r>
          </w:p>
        </w:tc>
        <w:tc>
          <w:tcPr>
            <w:tcW w:w="900" w:type="dxa"/>
          </w:tcPr>
          <w:p w14:paraId="1C4C6740" w14:textId="77777777" w:rsidR="001253ED" w:rsidRPr="00D62842" w:rsidRDefault="001253ED" w:rsidP="00831BBC">
            <w:pPr>
              <w:pStyle w:val="SingleTxtG"/>
              <w:spacing w:line="240" w:lineRule="auto"/>
              <w:ind w:left="0" w:right="0"/>
              <w:jc w:val="center"/>
            </w:pPr>
            <w:r w:rsidRPr="00D62842">
              <w:t>E</w:t>
            </w:r>
          </w:p>
        </w:tc>
        <w:tc>
          <w:tcPr>
            <w:tcW w:w="3400" w:type="dxa"/>
          </w:tcPr>
          <w:p w14:paraId="3A21B62D" w14:textId="77777777" w:rsidR="001253ED" w:rsidRPr="00C45DA4" w:rsidRDefault="001253ED" w:rsidP="00831BBC">
            <w:pPr>
              <w:pStyle w:val="SingleTxtG"/>
              <w:spacing w:line="240" w:lineRule="auto"/>
              <w:ind w:left="0" w:right="0"/>
              <w:jc w:val="left"/>
              <w:rPr>
                <w:lang w:val="en-US"/>
              </w:rPr>
            </w:pPr>
            <w:r w:rsidRPr="00C45DA4">
              <w:rPr>
                <w:lang w:val="en-US"/>
              </w:rPr>
              <w:t>Explanatory presentation to CLEPA neck load limits proposal</w:t>
            </w:r>
          </w:p>
        </w:tc>
        <w:tc>
          <w:tcPr>
            <w:tcW w:w="605" w:type="dxa"/>
          </w:tcPr>
          <w:p w14:paraId="3A56B178" w14:textId="77777777" w:rsidR="001253ED" w:rsidRPr="00D62842" w:rsidRDefault="001253ED" w:rsidP="00831BBC">
            <w:pPr>
              <w:spacing w:line="240" w:lineRule="auto"/>
              <w:jc w:val="center"/>
            </w:pPr>
            <w:r w:rsidRPr="00D62842">
              <w:t>(a)</w:t>
            </w:r>
          </w:p>
        </w:tc>
      </w:tr>
      <w:tr w:rsidR="001253ED" w:rsidRPr="00D62842" w14:paraId="701F4B6C" w14:textId="77777777" w:rsidTr="00831BBC">
        <w:tc>
          <w:tcPr>
            <w:tcW w:w="567" w:type="dxa"/>
          </w:tcPr>
          <w:p w14:paraId="62E6F973" w14:textId="77777777" w:rsidR="001253ED" w:rsidRPr="00D62842" w:rsidRDefault="001253ED" w:rsidP="00831BBC">
            <w:pPr>
              <w:pStyle w:val="SingleTxtG"/>
              <w:spacing w:line="240" w:lineRule="auto"/>
              <w:ind w:left="0" w:right="0"/>
            </w:pPr>
            <w:r w:rsidRPr="00D62842">
              <w:t>24</w:t>
            </w:r>
          </w:p>
        </w:tc>
        <w:tc>
          <w:tcPr>
            <w:tcW w:w="1299" w:type="dxa"/>
          </w:tcPr>
          <w:p w14:paraId="51FC8DC3" w14:textId="77777777" w:rsidR="001253ED" w:rsidRPr="00D62842" w:rsidRDefault="001253ED" w:rsidP="00831BBC">
            <w:pPr>
              <w:spacing w:line="240" w:lineRule="auto"/>
            </w:pPr>
            <w:r w:rsidRPr="00D62842">
              <w:t>CLEPA</w:t>
            </w:r>
          </w:p>
        </w:tc>
        <w:tc>
          <w:tcPr>
            <w:tcW w:w="700" w:type="dxa"/>
          </w:tcPr>
          <w:p w14:paraId="60D75BA3" w14:textId="77777777" w:rsidR="001253ED" w:rsidRPr="00D62842" w:rsidRDefault="001253ED" w:rsidP="00831BBC">
            <w:pPr>
              <w:pStyle w:val="SingleTxtG"/>
              <w:spacing w:line="240" w:lineRule="auto"/>
              <w:ind w:left="0" w:right="0"/>
              <w:jc w:val="center"/>
            </w:pPr>
            <w:r w:rsidRPr="00D62842">
              <w:t>12</w:t>
            </w:r>
          </w:p>
        </w:tc>
        <w:tc>
          <w:tcPr>
            <w:tcW w:w="900" w:type="dxa"/>
          </w:tcPr>
          <w:p w14:paraId="40E36856" w14:textId="77777777" w:rsidR="001253ED" w:rsidRPr="00D62842" w:rsidRDefault="001253ED" w:rsidP="00831BBC">
            <w:pPr>
              <w:pStyle w:val="SingleTxtG"/>
              <w:spacing w:line="240" w:lineRule="auto"/>
              <w:ind w:left="0" w:right="0"/>
              <w:jc w:val="center"/>
            </w:pPr>
            <w:r w:rsidRPr="00D62842">
              <w:t>E</w:t>
            </w:r>
          </w:p>
        </w:tc>
        <w:tc>
          <w:tcPr>
            <w:tcW w:w="3400" w:type="dxa"/>
          </w:tcPr>
          <w:p w14:paraId="6F268933" w14:textId="77777777" w:rsidR="001253ED" w:rsidRPr="00C45DA4" w:rsidRDefault="001253ED" w:rsidP="00831BBC">
            <w:pPr>
              <w:pStyle w:val="SingleTxtG"/>
              <w:spacing w:line="240" w:lineRule="auto"/>
              <w:ind w:left="0" w:right="0"/>
              <w:jc w:val="left"/>
              <w:rPr>
                <w:lang w:val="en-US"/>
              </w:rPr>
            </w:pPr>
            <w:r w:rsidRPr="00C45DA4">
              <w:rPr>
                <w:lang w:val="en-US"/>
              </w:rPr>
              <w:t>Proposal for the 04 series of amendments to UN Regulation No. 129 (Enhanced Child Restraint Systems)</w:t>
            </w:r>
          </w:p>
        </w:tc>
        <w:tc>
          <w:tcPr>
            <w:tcW w:w="605" w:type="dxa"/>
          </w:tcPr>
          <w:p w14:paraId="346A6130" w14:textId="77777777" w:rsidR="001253ED" w:rsidRPr="00D62842" w:rsidRDefault="001253ED" w:rsidP="00831BBC">
            <w:pPr>
              <w:spacing w:line="240" w:lineRule="auto"/>
              <w:jc w:val="center"/>
            </w:pPr>
            <w:r w:rsidRPr="00D62842">
              <w:t>(a)</w:t>
            </w:r>
          </w:p>
        </w:tc>
      </w:tr>
      <w:tr w:rsidR="001253ED" w:rsidRPr="00D62842" w14:paraId="0D823A5F" w14:textId="77777777" w:rsidTr="00831BBC">
        <w:trPr>
          <w:cantSplit/>
        </w:trPr>
        <w:tc>
          <w:tcPr>
            <w:tcW w:w="567" w:type="dxa"/>
          </w:tcPr>
          <w:p w14:paraId="7B9D5808" w14:textId="77777777" w:rsidR="001253ED" w:rsidRPr="00D62842" w:rsidRDefault="001253ED" w:rsidP="00831BBC">
            <w:pPr>
              <w:pStyle w:val="SingleTxtG"/>
              <w:spacing w:line="240" w:lineRule="auto"/>
              <w:ind w:left="0" w:right="0"/>
            </w:pPr>
            <w:r w:rsidRPr="00D62842">
              <w:t>25</w:t>
            </w:r>
          </w:p>
        </w:tc>
        <w:tc>
          <w:tcPr>
            <w:tcW w:w="1299" w:type="dxa"/>
          </w:tcPr>
          <w:p w14:paraId="5E471707" w14:textId="77777777" w:rsidR="001253ED" w:rsidRPr="00D62842" w:rsidRDefault="001253ED" w:rsidP="00831BBC">
            <w:pPr>
              <w:pStyle w:val="SingleTxtG"/>
              <w:spacing w:line="240" w:lineRule="auto"/>
              <w:ind w:left="0" w:right="0"/>
              <w:jc w:val="left"/>
            </w:pPr>
            <w:r w:rsidRPr="00D62842">
              <w:t>Italy</w:t>
            </w:r>
          </w:p>
        </w:tc>
        <w:tc>
          <w:tcPr>
            <w:tcW w:w="700" w:type="dxa"/>
          </w:tcPr>
          <w:p w14:paraId="684B4593" w14:textId="77777777" w:rsidR="001253ED" w:rsidRPr="00D62842" w:rsidRDefault="001253ED" w:rsidP="00831BBC">
            <w:pPr>
              <w:pStyle w:val="SingleTxtG"/>
              <w:spacing w:line="240" w:lineRule="auto"/>
              <w:ind w:left="0" w:right="0"/>
              <w:jc w:val="center"/>
            </w:pPr>
            <w:r w:rsidRPr="00D62842">
              <w:t>7</w:t>
            </w:r>
          </w:p>
        </w:tc>
        <w:tc>
          <w:tcPr>
            <w:tcW w:w="900" w:type="dxa"/>
          </w:tcPr>
          <w:p w14:paraId="2AB91708" w14:textId="77777777" w:rsidR="001253ED" w:rsidRPr="00D62842" w:rsidRDefault="001253ED" w:rsidP="00831BBC">
            <w:pPr>
              <w:pStyle w:val="SingleTxtG"/>
              <w:spacing w:line="240" w:lineRule="auto"/>
              <w:ind w:left="0" w:right="0"/>
              <w:jc w:val="center"/>
            </w:pPr>
            <w:r w:rsidRPr="00D62842">
              <w:t>E</w:t>
            </w:r>
          </w:p>
        </w:tc>
        <w:tc>
          <w:tcPr>
            <w:tcW w:w="3400" w:type="dxa"/>
          </w:tcPr>
          <w:p w14:paraId="19B566B3" w14:textId="77777777" w:rsidR="001253ED" w:rsidRPr="00C45DA4" w:rsidRDefault="001253ED" w:rsidP="00831BBC">
            <w:pPr>
              <w:pStyle w:val="SingleTxtG"/>
              <w:spacing w:line="240" w:lineRule="auto"/>
              <w:ind w:left="0" w:right="0"/>
              <w:jc w:val="left"/>
              <w:rPr>
                <w:lang w:val="en-US"/>
              </w:rPr>
            </w:pPr>
            <w:r w:rsidRPr="00C45DA4">
              <w:rPr>
                <w:lang w:val="en-US"/>
              </w:rPr>
              <w:t>Proposal for the 06 series of amendments of Regulation No. 22 (Protective helmets)</w:t>
            </w:r>
          </w:p>
        </w:tc>
        <w:tc>
          <w:tcPr>
            <w:tcW w:w="605" w:type="dxa"/>
          </w:tcPr>
          <w:p w14:paraId="5F319DDE" w14:textId="77777777" w:rsidR="001253ED" w:rsidRPr="00D62842" w:rsidRDefault="001253ED" w:rsidP="00831BBC">
            <w:pPr>
              <w:spacing w:line="240" w:lineRule="auto"/>
              <w:jc w:val="center"/>
            </w:pPr>
            <w:r w:rsidRPr="00D62842">
              <w:t>(a)</w:t>
            </w:r>
          </w:p>
        </w:tc>
      </w:tr>
      <w:tr w:rsidR="001253ED" w:rsidRPr="00D62842" w14:paraId="3504800B" w14:textId="77777777" w:rsidTr="00831BBC">
        <w:trPr>
          <w:cantSplit/>
        </w:trPr>
        <w:tc>
          <w:tcPr>
            <w:tcW w:w="567" w:type="dxa"/>
          </w:tcPr>
          <w:p w14:paraId="5806177E" w14:textId="77777777" w:rsidR="001253ED" w:rsidRPr="00D62842" w:rsidRDefault="001253ED" w:rsidP="00831BBC">
            <w:pPr>
              <w:pStyle w:val="SingleTxtG"/>
              <w:spacing w:line="240" w:lineRule="auto"/>
              <w:ind w:left="0" w:right="0"/>
            </w:pPr>
            <w:r w:rsidRPr="00D62842">
              <w:t>26/</w:t>
            </w:r>
            <w:r w:rsidRPr="00D62842">
              <w:br/>
              <w:t>Rev.1</w:t>
            </w:r>
          </w:p>
        </w:tc>
        <w:tc>
          <w:tcPr>
            <w:tcW w:w="1299" w:type="dxa"/>
          </w:tcPr>
          <w:p w14:paraId="7CC01376" w14:textId="77777777" w:rsidR="001253ED" w:rsidRPr="00D62842" w:rsidRDefault="001253ED" w:rsidP="00831BBC">
            <w:pPr>
              <w:spacing w:line="240" w:lineRule="auto"/>
            </w:pPr>
            <w:r w:rsidRPr="00D62842">
              <w:t>GRSP Chair</w:t>
            </w:r>
          </w:p>
        </w:tc>
        <w:tc>
          <w:tcPr>
            <w:tcW w:w="700" w:type="dxa"/>
          </w:tcPr>
          <w:p w14:paraId="6FB79C23" w14:textId="77777777" w:rsidR="001253ED" w:rsidRPr="00D62842" w:rsidRDefault="001253ED" w:rsidP="00831BBC">
            <w:pPr>
              <w:pStyle w:val="SingleTxtG"/>
              <w:spacing w:line="240" w:lineRule="auto"/>
              <w:ind w:left="0" w:right="0"/>
              <w:jc w:val="center"/>
            </w:pPr>
            <w:r w:rsidRPr="00D62842">
              <w:t>1</w:t>
            </w:r>
          </w:p>
        </w:tc>
        <w:tc>
          <w:tcPr>
            <w:tcW w:w="900" w:type="dxa"/>
          </w:tcPr>
          <w:p w14:paraId="71EDD7BC" w14:textId="77777777" w:rsidR="001253ED" w:rsidRPr="00D62842" w:rsidRDefault="001253ED" w:rsidP="00831BBC">
            <w:pPr>
              <w:pStyle w:val="SingleTxtG"/>
              <w:spacing w:line="240" w:lineRule="auto"/>
              <w:ind w:left="0" w:right="0"/>
              <w:jc w:val="center"/>
            </w:pPr>
            <w:r w:rsidRPr="00D62842">
              <w:t>E</w:t>
            </w:r>
          </w:p>
        </w:tc>
        <w:tc>
          <w:tcPr>
            <w:tcW w:w="3400" w:type="dxa"/>
          </w:tcPr>
          <w:p w14:paraId="4C7A2C3A" w14:textId="77777777" w:rsidR="001253ED" w:rsidRPr="00C45DA4" w:rsidRDefault="001253ED" w:rsidP="00831BBC">
            <w:pPr>
              <w:pStyle w:val="SingleTxtG"/>
              <w:spacing w:line="240" w:lineRule="auto"/>
              <w:ind w:left="0" w:right="0"/>
              <w:jc w:val="left"/>
              <w:rPr>
                <w:lang w:val="en-US"/>
              </w:rPr>
            </w:pPr>
            <w:r w:rsidRPr="00C45DA4">
              <w:rPr>
                <w:lang w:val="en-US"/>
              </w:rPr>
              <w:t>Consolidated revised annotated provisional agenda for the sixty-seventh session</w:t>
            </w:r>
          </w:p>
        </w:tc>
        <w:tc>
          <w:tcPr>
            <w:tcW w:w="605" w:type="dxa"/>
          </w:tcPr>
          <w:p w14:paraId="05FF7A53" w14:textId="77777777" w:rsidR="001253ED" w:rsidRPr="00D62842" w:rsidRDefault="001253ED" w:rsidP="00831BBC">
            <w:pPr>
              <w:spacing w:line="240" w:lineRule="auto"/>
              <w:jc w:val="center"/>
            </w:pPr>
            <w:r w:rsidRPr="00D62842">
              <w:t>(a)</w:t>
            </w:r>
          </w:p>
        </w:tc>
      </w:tr>
      <w:tr w:rsidR="001253ED" w:rsidRPr="00D62842" w14:paraId="6E9D66EC" w14:textId="77777777" w:rsidTr="00831BBC">
        <w:trPr>
          <w:cantSplit/>
        </w:trPr>
        <w:tc>
          <w:tcPr>
            <w:tcW w:w="567" w:type="dxa"/>
          </w:tcPr>
          <w:p w14:paraId="08B10130" w14:textId="77777777" w:rsidR="001253ED" w:rsidRPr="00D62842" w:rsidRDefault="001253ED" w:rsidP="00831BBC">
            <w:pPr>
              <w:pStyle w:val="SingleTxtG"/>
              <w:spacing w:line="240" w:lineRule="auto"/>
              <w:ind w:left="0" w:right="0"/>
            </w:pPr>
            <w:r w:rsidRPr="00D62842">
              <w:t>27</w:t>
            </w:r>
          </w:p>
        </w:tc>
        <w:tc>
          <w:tcPr>
            <w:tcW w:w="1299" w:type="dxa"/>
          </w:tcPr>
          <w:p w14:paraId="09874417" w14:textId="77777777" w:rsidR="001253ED" w:rsidRPr="00D62842" w:rsidRDefault="001253ED" w:rsidP="00831BBC">
            <w:pPr>
              <w:spacing w:line="240" w:lineRule="auto"/>
            </w:pPr>
            <w:r w:rsidRPr="00D62842">
              <w:t>OICA</w:t>
            </w:r>
          </w:p>
        </w:tc>
        <w:tc>
          <w:tcPr>
            <w:tcW w:w="700" w:type="dxa"/>
          </w:tcPr>
          <w:p w14:paraId="254BDBEE" w14:textId="77777777" w:rsidR="001253ED" w:rsidRPr="00D62842" w:rsidRDefault="001253ED" w:rsidP="00831BBC">
            <w:pPr>
              <w:pStyle w:val="SingleTxtG"/>
              <w:spacing w:line="240" w:lineRule="auto"/>
              <w:ind w:left="0" w:right="0"/>
              <w:jc w:val="center"/>
            </w:pPr>
            <w:r w:rsidRPr="00D62842">
              <w:t>8</w:t>
            </w:r>
          </w:p>
        </w:tc>
        <w:tc>
          <w:tcPr>
            <w:tcW w:w="900" w:type="dxa"/>
          </w:tcPr>
          <w:p w14:paraId="6A410E6D" w14:textId="77777777" w:rsidR="001253ED" w:rsidRPr="00D62842" w:rsidRDefault="001253ED" w:rsidP="00831BBC">
            <w:pPr>
              <w:pStyle w:val="SingleTxtG"/>
              <w:spacing w:line="240" w:lineRule="auto"/>
              <w:ind w:left="0" w:right="0"/>
              <w:jc w:val="center"/>
            </w:pPr>
            <w:r w:rsidRPr="00D62842">
              <w:t>E</w:t>
            </w:r>
          </w:p>
        </w:tc>
        <w:tc>
          <w:tcPr>
            <w:tcW w:w="3400" w:type="dxa"/>
          </w:tcPr>
          <w:p w14:paraId="5CD36B0D" w14:textId="77777777" w:rsidR="001253ED" w:rsidRPr="00C45DA4" w:rsidRDefault="001253ED" w:rsidP="00831BBC">
            <w:pPr>
              <w:pStyle w:val="SingleTxtG"/>
              <w:spacing w:line="240" w:lineRule="auto"/>
              <w:ind w:left="0" w:right="0"/>
              <w:jc w:val="left"/>
              <w:rPr>
                <w:lang w:val="en-US"/>
              </w:rPr>
            </w:pPr>
            <w:r w:rsidRPr="00C45DA4">
              <w:rPr>
                <w:lang w:val="en-US"/>
              </w:rPr>
              <w:t>Proposal for the 04 series of amendments to UN Regulation No. 94 (protection of the occupants in the event of a frontal collision)</w:t>
            </w:r>
          </w:p>
        </w:tc>
        <w:tc>
          <w:tcPr>
            <w:tcW w:w="605" w:type="dxa"/>
          </w:tcPr>
          <w:p w14:paraId="35BEAA70" w14:textId="77777777" w:rsidR="001253ED" w:rsidRPr="00D62842" w:rsidRDefault="001253ED" w:rsidP="00831BBC">
            <w:pPr>
              <w:spacing w:line="240" w:lineRule="auto"/>
              <w:jc w:val="center"/>
            </w:pPr>
            <w:r w:rsidRPr="00D62842">
              <w:t>(d)</w:t>
            </w:r>
          </w:p>
        </w:tc>
      </w:tr>
      <w:tr w:rsidR="001253ED" w:rsidRPr="00D62842" w14:paraId="542138D5" w14:textId="77777777" w:rsidTr="00831BBC">
        <w:tc>
          <w:tcPr>
            <w:tcW w:w="567" w:type="dxa"/>
          </w:tcPr>
          <w:p w14:paraId="27825C94" w14:textId="77777777" w:rsidR="001253ED" w:rsidRPr="00D62842" w:rsidRDefault="001253ED" w:rsidP="00831BBC">
            <w:pPr>
              <w:pStyle w:val="SingleTxtG"/>
              <w:spacing w:line="240" w:lineRule="auto"/>
              <w:ind w:left="0" w:right="0"/>
            </w:pPr>
            <w:r w:rsidRPr="00D62842">
              <w:t>28</w:t>
            </w:r>
          </w:p>
        </w:tc>
        <w:tc>
          <w:tcPr>
            <w:tcW w:w="1299" w:type="dxa"/>
          </w:tcPr>
          <w:p w14:paraId="4F266285" w14:textId="77777777" w:rsidR="001253ED" w:rsidRPr="00D62842" w:rsidRDefault="001253ED" w:rsidP="00831BBC">
            <w:pPr>
              <w:spacing w:line="240" w:lineRule="auto"/>
            </w:pPr>
            <w:r w:rsidRPr="00D62842">
              <w:t>OICA</w:t>
            </w:r>
          </w:p>
        </w:tc>
        <w:tc>
          <w:tcPr>
            <w:tcW w:w="700" w:type="dxa"/>
          </w:tcPr>
          <w:p w14:paraId="0E9E7078" w14:textId="77777777" w:rsidR="001253ED" w:rsidRPr="00D62842" w:rsidRDefault="001253ED" w:rsidP="00831BBC">
            <w:pPr>
              <w:pStyle w:val="SingleTxtG"/>
              <w:spacing w:line="240" w:lineRule="auto"/>
              <w:ind w:left="0" w:right="0"/>
              <w:jc w:val="center"/>
            </w:pPr>
            <w:r w:rsidRPr="00D62842">
              <w:t>6</w:t>
            </w:r>
          </w:p>
        </w:tc>
        <w:tc>
          <w:tcPr>
            <w:tcW w:w="900" w:type="dxa"/>
          </w:tcPr>
          <w:p w14:paraId="6F4D7180" w14:textId="77777777" w:rsidR="001253ED" w:rsidRPr="00D62842" w:rsidRDefault="001253ED" w:rsidP="00831BBC">
            <w:pPr>
              <w:pStyle w:val="SingleTxtG"/>
              <w:spacing w:line="240" w:lineRule="auto"/>
              <w:ind w:left="0" w:right="0"/>
              <w:jc w:val="center"/>
            </w:pPr>
            <w:r w:rsidRPr="00D62842">
              <w:t>E</w:t>
            </w:r>
          </w:p>
        </w:tc>
        <w:tc>
          <w:tcPr>
            <w:tcW w:w="3400" w:type="dxa"/>
          </w:tcPr>
          <w:p w14:paraId="09082767" w14:textId="77777777" w:rsidR="001253ED" w:rsidRPr="00C45DA4" w:rsidRDefault="001253ED" w:rsidP="00831BBC">
            <w:pPr>
              <w:pStyle w:val="SingleTxtG"/>
              <w:spacing w:line="240" w:lineRule="auto"/>
              <w:ind w:left="0" w:right="0"/>
              <w:jc w:val="left"/>
              <w:rPr>
                <w:lang w:val="en-US"/>
              </w:rPr>
            </w:pPr>
            <w:r w:rsidRPr="00C45DA4">
              <w:rPr>
                <w:lang w:val="en-US"/>
              </w:rPr>
              <w:t>Proposal to amend document ECE/TRANS/WP.29/GRSP/2020/8</w:t>
            </w:r>
          </w:p>
        </w:tc>
        <w:tc>
          <w:tcPr>
            <w:tcW w:w="605" w:type="dxa"/>
          </w:tcPr>
          <w:p w14:paraId="18DC3D1D" w14:textId="77777777" w:rsidR="001253ED" w:rsidRPr="00D62842" w:rsidRDefault="001253ED" w:rsidP="00831BBC">
            <w:pPr>
              <w:spacing w:line="240" w:lineRule="auto"/>
              <w:jc w:val="center"/>
            </w:pPr>
            <w:r w:rsidRPr="00D62842">
              <w:t>(b)</w:t>
            </w:r>
          </w:p>
        </w:tc>
      </w:tr>
      <w:tr w:rsidR="001253ED" w:rsidRPr="00D62842" w14:paraId="73F136EE" w14:textId="77777777" w:rsidTr="00831BBC">
        <w:tc>
          <w:tcPr>
            <w:tcW w:w="567" w:type="dxa"/>
          </w:tcPr>
          <w:p w14:paraId="198E1F2B" w14:textId="77777777" w:rsidR="001253ED" w:rsidRPr="00D62842" w:rsidRDefault="001253ED" w:rsidP="00831BBC">
            <w:pPr>
              <w:pStyle w:val="SingleTxtG"/>
              <w:spacing w:line="240" w:lineRule="auto"/>
              <w:ind w:left="0" w:right="0"/>
            </w:pPr>
            <w:r w:rsidRPr="00D62842">
              <w:t>29</w:t>
            </w:r>
          </w:p>
        </w:tc>
        <w:tc>
          <w:tcPr>
            <w:tcW w:w="1299" w:type="dxa"/>
          </w:tcPr>
          <w:p w14:paraId="7C4E7BA6" w14:textId="77777777" w:rsidR="001253ED" w:rsidRPr="00D62842" w:rsidRDefault="001253ED" w:rsidP="00831BBC">
            <w:pPr>
              <w:spacing w:line="240" w:lineRule="auto"/>
            </w:pPr>
            <w:r w:rsidRPr="00D62842">
              <w:t>OICA</w:t>
            </w:r>
          </w:p>
        </w:tc>
        <w:tc>
          <w:tcPr>
            <w:tcW w:w="700" w:type="dxa"/>
          </w:tcPr>
          <w:p w14:paraId="69EA96FF" w14:textId="77777777" w:rsidR="001253ED" w:rsidRPr="00D62842" w:rsidRDefault="001253ED" w:rsidP="00831BBC">
            <w:pPr>
              <w:pStyle w:val="SingleTxtG"/>
              <w:spacing w:line="240" w:lineRule="auto"/>
              <w:ind w:left="0" w:right="0"/>
              <w:jc w:val="center"/>
            </w:pPr>
            <w:r w:rsidRPr="00D62842">
              <w:t>13</w:t>
            </w:r>
          </w:p>
        </w:tc>
        <w:tc>
          <w:tcPr>
            <w:tcW w:w="900" w:type="dxa"/>
          </w:tcPr>
          <w:p w14:paraId="67AFB30A" w14:textId="77777777" w:rsidR="001253ED" w:rsidRPr="00D62842" w:rsidRDefault="001253ED" w:rsidP="00831BBC">
            <w:pPr>
              <w:pStyle w:val="SingleTxtG"/>
              <w:spacing w:line="240" w:lineRule="auto"/>
              <w:ind w:left="0" w:right="0"/>
              <w:jc w:val="center"/>
            </w:pPr>
            <w:r w:rsidRPr="00D62842">
              <w:t>E</w:t>
            </w:r>
          </w:p>
        </w:tc>
        <w:tc>
          <w:tcPr>
            <w:tcW w:w="3400" w:type="dxa"/>
          </w:tcPr>
          <w:p w14:paraId="5A7470E1" w14:textId="77777777" w:rsidR="001253ED" w:rsidRPr="00C45DA4" w:rsidRDefault="001253ED" w:rsidP="00831BBC">
            <w:pPr>
              <w:pStyle w:val="SingleTxtG"/>
              <w:spacing w:line="240" w:lineRule="auto"/>
              <w:ind w:left="0" w:right="0"/>
              <w:jc w:val="left"/>
              <w:rPr>
                <w:lang w:val="en-US"/>
              </w:rPr>
            </w:pPr>
            <w:r w:rsidRPr="00C45DA4">
              <w:rPr>
                <w:lang w:val="en-US"/>
              </w:rPr>
              <w:t>Proposal for the 01 series of amendments to Regulation No. 134</w:t>
            </w:r>
          </w:p>
        </w:tc>
        <w:tc>
          <w:tcPr>
            <w:tcW w:w="605" w:type="dxa"/>
          </w:tcPr>
          <w:p w14:paraId="401B574F" w14:textId="77777777" w:rsidR="001253ED" w:rsidRPr="00D62842" w:rsidRDefault="001253ED" w:rsidP="00831BBC">
            <w:pPr>
              <w:spacing w:line="240" w:lineRule="auto"/>
              <w:jc w:val="center"/>
            </w:pPr>
            <w:r w:rsidRPr="00D62842">
              <w:t>(a)</w:t>
            </w:r>
          </w:p>
        </w:tc>
      </w:tr>
      <w:tr w:rsidR="001253ED" w:rsidRPr="00D62842" w14:paraId="589A76C7" w14:textId="77777777" w:rsidTr="00831BBC">
        <w:tc>
          <w:tcPr>
            <w:tcW w:w="567" w:type="dxa"/>
          </w:tcPr>
          <w:p w14:paraId="07D5425F" w14:textId="77777777" w:rsidR="001253ED" w:rsidRPr="00D62842" w:rsidRDefault="001253ED" w:rsidP="00831BBC">
            <w:pPr>
              <w:pStyle w:val="SingleTxtG"/>
              <w:spacing w:line="240" w:lineRule="auto"/>
              <w:ind w:left="0" w:right="0"/>
            </w:pPr>
            <w:r w:rsidRPr="00D62842">
              <w:t>30</w:t>
            </w:r>
          </w:p>
        </w:tc>
        <w:tc>
          <w:tcPr>
            <w:tcW w:w="1299" w:type="dxa"/>
          </w:tcPr>
          <w:p w14:paraId="1B5FFE5F" w14:textId="77777777" w:rsidR="001253ED" w:rsidRPr="00D62842" w:rsidRDefault="001253ED" w:rsidP="00831BBC">
            <w:pPr>
              <w:spacing w:line="240" w:lineRule="auto"/>
            </w:pPr>
            <w:r w:rsidRPr="00D62842">
              <w:t>NL</w:t>
            </w:r>
          </w:p>
        </w:tc>
        <w:tc>
          <w:tcPr>
            <w:tcW w:w="700" w:type="dxa"/>
          </w:tcPr>
          <w:p w14:paraId="4CAE3D68" w14:textId="77777777" w:rsidR="001253ED" w:rsidRPr="00D62842" w:rsidRDefault="001253ED" w:rsidP="00831BBC">
            <w:pPr>
              <w:pStyle w:val="SingleTxtG"/>
              <w:spacing w:line="240" w:lineRule="auto"/>
              <w:ind w:left="0" w:right="0"/>
              <w:jc w:val="center"/>
            </w:pPr>
            <w:r w:rsidRPr="00D62842">
              <w:t>2(a)</w:t>
            </w:r>
          </w:p>
        </w:tc>
        <w:tc>
          <w:tcPr>
            <w:tcW w:w="900" w:type="dxa"/>
          </w:tcPr>
          <w:p w14:paraId="53768FC7" w14:textId="77777777" w:rsidR="001253ED" w:rsidRPr="00D62842" w:rsidRDefault="001253ED" w:rsidP="00831BBC">
            <w:pPr>
              <w:pStyle w:val="SingleTxtG"/>
              <w:spacing w:line="240" w:lineRule="auto"/>
              <w:ind w:left="0" w:right="0"/>
              <w:jc w:val="center"/>
            </w:pPr>
            <w:r w:rsidRPr="00D62842">
              <w:t>E</w:t>
            </w:r>
          </w:p>
        </w:tc>
        <w:tc>
          <w:tcPr>
            <w:tcW w:w="3400" w:type="dxa"/>
          </w:tcPr>
          <w:p w14:paraId="0676ACB3" w14:textId="77777777" w:rsidR="001253ED" w:rsidRPr="00C45DA4" w:rsidRDefault="001253ED" w:rsidP="00831BBC">
            <w:pPr>
              <w:pStyle w:val="SingleTxtG"/>
              <w:spacing w:line="240" w:lineRule="auto"/>
              <w:ind w:left="0" w:right="0"/>
              <w:jc w:val="left"/>
              <w:rPr>
                <w:lang w:val="en-US"/>
              </w:rPr>
            </w:pPr>
            <w:r w:rsidRPr="00C45DA4">
              <w:rPr>
                <w:lang w:val="en-US"/>
              </w:rPr>
              <w:t>Global Technical Regulation No. 9 (Pedestrian safety) – Proposal for Amendment 3 - Revised Final Progress Report</w:t>
            </w:r>
          </w:p>
        </w:tc>
        <w:tc>
          <w:tcPr>
            <w:tcW w:w="605" w:type="dxa"/>
          </w:tcPr>
          <w:p w14:paraId="11CBF59E" w14:textId="77777777" w:rsidR="001253ED" w:rsidRPr="00D62842" w:rsidRDefault="001253ED" w:rsidP="00831BBC">
            <w:pPr>
              <w:spacing w:line="240" w:lineRule="auto"/>
              <w:jc w:val="center"/>
            </w:pPr>
            <w:r w:rsidRPr="00D62842">
              <w:t>(d)</w:t>
            </w:r>
          </w:p>
        </w:tc>
      </w:tr>
      <w:tr w:rsidR="001253ED" w:rsidRPr="00D62842" w14:paraId="5279644A" w14:textId="77777777" w:rsidTr="00831BBC">
        <w:tc>
          <w:tcPr>
            <w:tcW w:w="567" w:type="dxa"/>
          </w:tcPr>
          <w:p w14:paraId="38CB9BF7" w14:textId="77777777" w:rsidR="001253ED" w:rsidRPr="00D62842" w:rsidRDefault="001253ED" w:rsidP="00831BBC">
            <w:pPr>
              <w:pStyle w:val="SingleTxtG"/>
              <w:spacing w:before="120" w:line="240" w:lineRule="auto"/>
              <w:ind w:left="0" w:right="0"/>
            </w:pPr>
            <w:r w:rsidRPr="00D62842">
              <w:t>31</w:t>
            </w:r>
          </w:p>
        </w:tc>
        <w:tc>
          <w:tcPr>
            <w:tcW w:w="1299" w:type="dxa"/>
          </w:tcPr>
          <w:p w14:paraId="762B2D3E" w14:textId="77777777" w:rsidR="001253ED" w:rsidRPr="00D62842" w:rsidRDefault="001253ED" w:rsidP="00831BBC">
            <w:pPr>
              <w:spacing w:before="120" w:line="240" w:lineRule="auto"/>
            </w:pPr>
            <w:r w:rsidRPr="00D62842">
              <w:t>EC</w:t>
            </w:r>
          </w:p>
        </w:tc>
        <w:tc>
          <w:tcPr>
            <w:tcW w:w="700" w:type="dxa"/>
          </w:tcPr>
          <w:p w14:paraId="71738D8B" w14:textId="77777777" w:rsidR="001253ED" w:rsidRPr="00D62842" w:rsidRDefault="001253ED" w:rsidP="00831BBC">
            <w:pPr>
              <w:pStyle w:val="SingleTxtG"/>
              <w:spacing w:before="120" w:line="240" w:lineRule="auto"/>
              <w:ind w:left="0" w:right="0"/>
              <w:jc w:val="center"/>
            </w:pPr>
            <w:r w:rsidRPr="00D62842">
              <w:t>17(b)</w:t>
            </w:r>
          </w:p>
        </w:tc>
        <w:tc>
          <w:tcPr>
            <w:tcW w:w="900" w:type="dxa"/>
          </w:tcPr>
          <w:p w14:paraId="790A0E98" w14:textId="77777777" w:rsidR="001253ED" w:rsidRPr="00D62842" w:rsidRDefault="001253ED" w:rsidP="00831BBC">
            <w:pPr>
              <w:pStyle w:val="SingleTxtG"/>
              <w:spacing w:before="120" w:line="240" w:lineRule="auto"/>
              <w:ind w:left="0" w:right="0"/>
              <w:jc w:val="center"/>
            </w:pPr>
            <w:r w:rsidRPr="00D62842">
              <w:t>E</w:t>
            </w:r>
          </w:p>
        </w:tc>
        <w:tc>
          <w:tcPr>
            <w:tcW w:w="3400" w:type="dxa"/>
          </w:tcPr>
          <w:p w14:paraId="11DEDC3A" w14:textId="77777777" w:rsidR="001253ED" w:rsidRPr="00C45DA4" w:rsidRDefault="001253ED" w:rsidP="00831BBC">
            <w:pPr>
              <w:pStyle w:val="SingleTxtG"/>
              <w:spacing w:before="120" w:line="240" w:lineRule="auto"/>
              <w:ind w:left="0" w:right="0"/>
              <w:jc w:val="left"/>
              <w:rPr>
                <w:lang w:val="en-US"/>
              </w:rPr>
            </w:pPr>
            <w:r w:rsidRPr="00C45DA4">
              <w:rPr>
                <w:lang w:val="en-US"/>
              </w:rPr>
              <w:t>Proposed amendments to ECE/TRANS/WP.29/2020/53 as a follow up of the last session of WP.29. </w:t>
            </w:r>
          </w:p>
        </w:tc>
        <w:tc>
          <w:tcPr>
            <w:tcW w:w="605" w:type="dxa"/>
          </w:tcPr>
          <w:p w14:paraId="2DB34C0D" w14:textId="77777777" w:rsidR="001253ED" w:rsidRPr="00D62842" w:rsidRDefault="001253ED" w:rsidP="00831BBC">
            <w:pPr>
              <w:spacing w:before="120" w:line="240" w:lineRule="auto"/>
              <w:jc w:val="center"/>
            </w:pPr>
            <w:r w:rsidRPr="00D62842">
              <w:t>(d)</w:t>
            </w:r>
          </w:p>
        </w:tc>
      </w:tr>
      <w:tr w:rsidR="001253ED" w:rsidRPr="00D62842" w14:paraId="283F6AB2" w14:textId="77777777" w:rsidTr="00831BBC">
        <w:tc>
          <w:tcPr>
            <w:tcW w:w="567" w:type="dxa"/>
          </w:tcPr>
          <w:p w14:paraId="1609555C" w14:textId="77777777" w:rsidR="001253ED" w:rsidRPr="00D62842" w:rsidRDefault="001253ED" w:rsidP="00831BBC">
            <w:pPr>
              <w:pStyle w:val="SingleTxtG"/>
              <w:spacing w:line="240" w:lineRule="auto"/>
              <w:ind w:left="0" w:right="0"/>
            </w:pPr>
            <w:r w:rsidRPr="00D62842">
              <w:t>32</w:t>
            </w:r>
          </w:p>
        </w:tc>
        <w:tc>
          <w:tcPr>
            <w:tcW w:w="1299" w:type="dxa"/>
          </w:tcPr>
          <w:p w14:paraId="7F1C622A" w14:textId="77777777" w:rsidR="001253ED" w:rsidRPr="00D62842" w:rsidRDefault="001253ED" w:rsidP="00831BBC">
            <w:pPr>
              <w:spacing w:line="240" w:lineRule="auto"/>
            </w:pPr>
            <w:r w:rsidRPr="00D62842">
              <w:t>Poland</w:t>
            </w:r>
          </w:p>
        </w:tc>
        <w:tc>
          <w:tcPr>
            <w:tcW w:w="700" w:type="dxa"/>
          </w:tcPr>
          <w:p w14:paraId="7EEEEADA" w14:textId="77777777" w:rsidR="001253ED" w:rsidRPr="00D62842" w:rsidRDefault="001253ED" w:rsidP="00831BBC">
            <w:pPr>
              <w:pStyle w:val="SingleTxtG"/>
              <w:spacing w:line="240" w:lineRule="auto"/>
              <w:ind w:left="0" w:right="0"/>
              <w:jc w:val="center"/>
            </w:pPr>
            <w:r w:rsidRPr="00D62842">
              <w:t>17(b)</w:t>
            </w:r>
          </w:p>
        </w:tc>
        <w:tc>
          <w:tcPr>
            <w:tcW w:w="900" w:type="dxa"/>
          </w:tcPr>
          <w:p w14:paraId="2EB4A84E" w14:textId="77777777" w:rsidR="001253ED" w:rsidRPr="00D62842" w:rsidRDefault="001253ED" w:rsidP="00831BBC">
            <w:pPr>
              <w:pStyle w:val="SingleTxtG"/>
              <w:spacing w:line="240" w:lineRule="auto"/>
              <w:ind w:left="0" w:right="0"/>
              <w:jc w:val="center"/>
            </w:pPr>
            <w:r w:rsidRPr="00D62842">
              <w:t>E</w:t>
            </w:r>
          </w:p>
        </w:tc>
        <w:tc>
          <w:tcPr>
            <w:tcW w:w="3400" w:type="dxa"/>
          </w:tcPr>
          <w:p w14:paraId="63A97C98" w14:textId="77777777" w:rsidR="001253ED" w:rsidRPr="00D62842" w:rsidRDefault="001253ED" w:rsidP="00831BBC">
            <w:pPr>
              <w:pStyle w:val="SingleTxtG"/>
              <w:spacing w:line="240" w:lineRule="auto"/>
              <w:ind w:left="0" w:right="0"/>
              <w:jc w:val="left"/>
            </w:pPr>
            <w:r w:rsidRPr="00D62842">
              <w:t>Smart Kid Belt</w:t>
            </w:r>
          </w:p>
        </w:tc>
        <w:tc>
          <w:tcPr>
            <w:tcW w:w="605" w:type="dxa"/>
          </w:tcPr>
          <w:p w14:paraId="781DBF43" w14:textId="77777777" w:rsidR="001253ED" w:rsidRPr="00D62842" w:rsidRDefault="001253ED" w:rsidP="00831BBC">
            <w:pPr>
              <w:spacing w:line="240" w:lineRule="auto"/>
              <w:jc w:val="center"/>
            </w:pPr>
            <w:r w:rsidRPr="00D62842">
              <w:t>(a)</w:t>
            </w:r>
          </w:p>
        </w:tc>
      </w:tr>
      <w:tr w:rsidR="001253ED" w:rsidRPr="00D62842" w14:paraId="75BFF7AA" w14:textId="77777777" w:rsidTr="00831BBC">
        <w:tc>
          <w:tcPr>
            <w:tcW w:w="567" w:type="dxa"/>
          </w:tcPr>
          <w:p w14:paraId="23ED0429" w14:textId="77777777" w:rsidR="001253ED" w:rsidRPr="00D62842" w:rsidRDefault="001253ED" w:rsidP="00831BBC">
            <w:pPr>
              <w:pStyle w:val="SingleTxtG"/>
              <w:spacing w:line="240" w:lineRule="auto"/>
              <w:ind w:left="0" w:right="0"/>
            </w:pPr>
            <w:r w:rsidRPr="00D62842">
              <w:t>33</w:t>
            </w:r>
          </w:p>
        </w:tc>
        <w:tc>
          <w:tcPr>
            <w:tcW w:w="1299" w:type="dxa"/>
          </w:tcPr>
          <w:p w14:paraId="56C55609" w14:textId="77777777" w:rsidR="001253ED" w:rsidRPr="00D62842" w:rsidRDefault="001253ED" w:rsidP="00831BBC">
            <w:pPr>
              <w:spacing w:line="240" w:lineRule="auto"/>
            </w:pPr>
            <w:r w:rsidRPr="00D62842">
              <w:t>CLEPA</w:t>
            </w:r>
          </w:p>
        </w:tc>
        <w:tc>
          <w:tcPr>
            <w:tcW w:w="700" w:type="dxa"/>
          </w:tcPr>
          <w:p w14:paraId="6B827980" w14:textId="77777777" w:rsidR="001253ED" w:rsidRPr="00D62842" w:rsidRDefault="001253ED" w:rsidP="00831BBC">
            <w:pPr>
              <w:pStyle w:val="SingleTxtG"/>
              <w:spacing w:line="240" w:lineRule="auto"/>
              <w:ind w:left="0" w:right="0"/>
              <w:jc w:val="center"/>
            </w:pPr>
            <w:r w:rsidRPr="00D62842">
              <w:t>12</w:t>
            </w:r>
          </w:p>
        </w:tc>
        <w:tc>
          <w:tcPr>
            <w:tcW w:w="900" w:type="dxa"/>
          </w:tcPr>
          <w:p w14:paraId="077C025D" w14:textId="77777777" w:rsidR="001253ED" w:rsidRPr="00D62842" w:rsidRDefault="001253ED" w:rsidP="00831BBC">
            <w:pPr>
              <w:pStyle w:val="SingleTxtG"/>
              <w:spacing w:line="240" w:lineRule="auto"/>
              <w:ind w:left="0" w:right="0"/>
              <w:jc w:val="center"/>
            </w:pPr>
            <w:r w:rsidRPr="00D62842">
              <w:t>E</w:t>
            </w:r>
          </w:p>
        </w:tc>
        <w:tc>
          <w:tcPr>
            <w:tcW w:w="3400" w:type="dxa"/>
          </w:tcPr>
          <w:p w14:paraId="3B735BC3" w14:textId="77777777" w:rsidR="001253ED" w:rsidRPr="00C45DA4" w:rsidRDefault="001253ED" w:rsidP="00831BBC">
            <w:pPr>
              <w:pStyle w:val="SingleTxtG"/>
              <w:spacing w:line="240" w:lineRule="auto"/>
              <w:ind w:left="0" w:right="0"/>
              <w:rPr>
                <w:lang w:val="en-US"/>
              </w:rPr>
            </w:pPr>
            <w:r w:rsidRPr="00C45DA4">
              <w:rPr>
                <w:lang w:val="en-US"/>
              </w:rPr>
              <w:t>Proposal for Supplement 5 to the 03 series of amendments to UN Regulation No. 129 (Enhanced Child Restraint Systems)</w:t>
            </w:r>
          </w:p>
        </w:tc>
        <w:tc>
          <w:tcPr>
            <w:tcW w:w="605" w:type="dxa"/>
          </w:tcPr>
          <w:p w14:paraId="53942799" w14:textId="77777777" w:rsidR="001253ED" w:rsidRPr="00D62842" w:rsidRDefault="001253ED" w:rsidP="00831BBC">
            <w:pPr>
              <w:spacing w:line="240" w:lineRule="auto"/>
              <w:jc w:val="center"/>
            </w:pPr>
            <w:r w:rsidRPr="00D62842">
              <w:t>(b)</w:t>
            </w:r>
          </w:p>
        </w:tc>
      </w:tr>
      <w:tr w:rsidR="001253ED" w:rsidRPr="00D62842" w14:paraId="46C7ACE2" w14:textId="77777777" w:rsidTr="00831BBC">
        <w:tc>
          <w:tcPr>
            <w:tcW w:w="567" w:type="dxa"/>
          </w:tcPr>
          <w:p w14:paraId="608D21DA" w14:textId="77777777" w:rsidR="001253ED" w:rsidRPr="00D62842" w:rsidRDefault="001253ED" w:rsidP="00831BBC">
            <w:pPr>
              <w:pStyle w:val="SingleTxtG"/>
              <w:spacing w:line="240" w:lineRule="auto"/>
              <w:ind w:left="0" w:right="0"/>
            </w:pPr>
            <w:r w:rsidRPr="00D62842">
              <w:t>34</w:t>
            </w:r>
          </w:p>
        </w:tc>
        <w:tc>
          <w:tcPr>
            <w:tcW w:w="1299" w:type="dxa"/>
          </w:tcPr>
          <w:p w14:paraId="21589405" w14:textId="77777777" w:rsidR="001253ED" w:rsidRPr="00D62842" w:rsidRDefault="001253ED" w:rsidP="00831BBC">
            <w:pPr>
              <w:spacing w:line="240" w:lineRule="auto"/>
            </w:pPr>
            <w:r w:rsidRPr="00D62842">
              <w:t>CLEPA</w:t>
            </w:r>
          </w:p>
        </w:tc>
        <w:tc>
          <w:tcPr>
            <w:tcW w:w="700" w:type="dxa"/>
          </w:tcPr>
          <w:p w14:paraId="5E3345E7" w14:textId="77777777" w:rsidR="001253ED" w:rsidRPr="00D62842" w:rsidRDefault="001253ED" w:rsidP="00831BBC">
            <w:pPr>
              <w:pStyle w:val="SingleTxtG"/>
              <w:spacing w:line="240" w:lineRule="auto"/>
              <w:ind w:left="0" w:right="0"/>
              <w:jc w:val="center"/>
            </w:pPr>
            <w:r w:rsidRPr="00D62842">
              <w:t>12</w:t>
            </w:r>
          </w:p>
        </w:tc>
        <w:tc>
          <w:tcPr>
            <w:tcW w:w="900" w:type="dxa"/>
          </w:tcPr>
          <w:p w14:paraId="700D90B2" w14:textId="77777777" w:rsidR="001253ED" w:rsidRPr="00D62842" w:rsidRDefault="001253ED" w:rsidP="00831BBC">
            <w:pPr>
              <w:pStyle w:val="SingleTxtG"/>
              <w:spacing w:line="240" w:lineRule="auto"/>
              <w:ind w:left="0" w:right="0"/>
              <w:jc w:val="center"/>
            </w:pPr>
            <w:r w:rsidRPr="00D62842">
              <w:t>E</w:t>
            </w:r>
          </w:p>
        </w:tc>
        <w:tc>
          <w:tcPr>
            <w:tcW w:w="3400" w:type="dxa"/>
          </w:tcPr>
          <w:p w14:paraId="5374FE70" w14:textId="77777777" w:rsidR="001253ED" w:rsidRPr="00C45DA4" w:rsidRDefault="001253ED" w:rsidP="00831BBC">
            <w:pPr>
              <w:pStyle w:val="SingleTxtG"/>
              <w:spacing w:line="240" w:lineRule="auto"/>
              <w:ind w:left="0" w:right="0"/>
              <w:rPr>
                <w:lang w:val="en-US"/>
              </w:rPr>
            </w:pPr>
            <w:r w:rsidRPr="00C45DA4">
              <w:rPr>
                <w:lang w:val="en-US"/>
              </w:rPr>
              <w:t>Explanatory presentation to CLEPA Regulation No. 129 proposals</w:t>
            </w:r>
          </w:p>
        </w:tc>
        <w:tc>
          <w:tcPr>
            <w:tcW w:w="605" w:type="dxa"/>
          </w:tcPr>
          <w:p w14:paraId="4A51FF9B" w14:textId="77777777" w:rsidR="001253ED" w:rsidRPr="00D62842" w:rsidRDefault="001253ED" w:rsidP="00831BBC">
            <w:pPr>
              <w:spacing w:line="240" w:lineRule="auto"/>
              <w:jc w:val="center"/>
            </w:pPr>
            <w:r w:rsidRPr="00D62842">
              <w:t>(a)</w:t>
            </w:r>
          </w:p>
        </w:tc>
      </w:tr>
      <w:tr w:rsidR="001253ED" w:rsidRPr="00D62842" w14:paraId="4773630F" w14:textId="77777777" w:rsidTr="00831BBC">
        <w:tc>
          <w:tcPr>
            <w:tcW w:w="567" w:type="dxa"/>
          </w:tcPr>
          <w:p w14:paraId="75403031" w14:textId="77777777" w:rsidR="001253ED" w:rsidRPr="00D62842" w:rsidRDefault="001253ED" w:rsidP="00831BBC">
            <w:pPr>
              <w:pStyle w:val="SingleTxtG"/>
              <w:spacing w:line="240" w:lineRule="auto"/>
              <w:ind w:left="0" w:right="0"/>
            </w:pPr>
            <w:r w:rsidRPr="00D62842">
              <w:t>35</w:t>
            </w:r>
          </w:p>
        </w:tc>
        <w:tc>
          <w:tcPr>
            <w:tcW w:w="1299" w:type="dxa"/>
          </w:tcPr>
          <w:p w14:paraId="3A85BCB1" w14:textId="77777777" w:rsidR="001253ED" w:rsidRPr="00D62842" w:rsidRDefault="001253ED" w:rsidP="00831BBC">
            <w:pPr>
              <w:spacing w:line="240" w:lineRule="auto"/>
            </w:pPr>
            <w:r w:rsidRPr="00D62842">
              <w:t>OICA</w:t>
            </w:r>
          </w:p>
        </w:tc>
        <w:tc>
          <w:tcPr>
            <w:tcW w:w="700" w:type="dxa"/>
          </w:tcPr>
          <w:p w14:paraId="37A49390" w14:textId="77777777" w:rsidR="001253ED" w:rsidRPr="00D62842" w:rsidRDefault="001253ED" w:rsidP="00831BBC">
            <w:pPr>
              <w:pStyle w:val="SingleTxtG"/>
              <w:spacing w:line="240" w:lineRule="auto"/>
              <w:ind w:left="0" w:right="0"/>
              <w:jc w:val="center"/>
            </w:pPr>
            <w:r w:rsidRPr="00D62842">
              <w:t>5</w:t>
            </w:r>
          </w:p>
        </w:tc>
        <w:tc>
          <w:tcPr>
            <w:tcW w:w="900" w:type="dxa"/>
          </w:tcPr>
          <w:p w14:paraId="3FBDDD2B" w14:textId="77777777" w:rsidR="001253ED" w:rsidRPr="00D62842" w:rsidRDefault="001253ED" w:rsidP="00831BBC">
            <w:pPr>
              <w:pStyle w:val="SingleTxtG"/>
              <w:spacing w:line="240" w:lineRule="auto"/>
              <w:ind w:left="0" w:right="0"/>
              <w:jc w:val="center"/>
            </w:pPr>
            <w:r w:rsidRPr="00D62842">
              <w:t>E</w:t>
            </w:r>
          </w:p>
        </w:tc>
        <w:tc>
          <w:tcPr>
            <w:tcW w:w="3400" w:type="dxa"/>
          </w:tcPr>
          <w:p w14:paraId="71DA9D00" w14:textId="77777777" w:rsidR="001253ED" w:rsidRPr="00C45DA4" w:rsidRDefault="001253ED" w:rsidP="00831BBC">
            <w:pPr>
              <w:pStyle w:val="SingleTxtG"/>
              <w:spacing w:line="240" w:lineRule="auto"/>
              <w:ind w:left="0" w:right="0"/>
              <w:rPr>
                <w:lang w:val="en-US"/>
              </w:rPr>
            </w:pPr>
            <w:r w:rsidRPr="00C45DA4">
              <w:rPr>
                <w:lang w:val="en-US"/>
              </w:rPr>
              <w:t>Proposal for Supplement 6 to the 07 series of amendments and for Supplement 2 to the 08 series of amendments to UN Regulation No. 16 (Safety-belts)</w:t>
            </w:r>
          </w:p>
        </w:tc>
        <w:tc>
          <w:tcPr>
            <w:tcW w:w="605" w:type="dxa"/>
          </w:tcPr>
          <w:p w14:paraId="6AC5F5CB" w14:textId="77777777" w:rsidR="001253ED" w:rsidRPr="00D62842" w:rsidRDefault="001253ED" w:rsidP="00831BBC">
            <w:pPr>
              <w:spacing w:line="240" w:lineRule="auto"/>
              <w:jc w:val="center"/>
            </w:pPr>
            <w:r w:rsidRPr="00D62842">
              <w:t>(d)</w:t>
            </w:r>
          </w:p>
        </w:tc>
      </w:tr>
      <w:tr w:rsidR="001253ED" w:rsidRPr="00D62842" w14:paraId="0086B0A6" w14:textId="77777777" w:rsidTr="00831BBC">
        <w:tc>
          <w:tcPr>
            <w:tcW w:w="567" w:type="dxa"/>
          </w:tcPr>
          <w:p w14:paraId="30AC0919" w14:textId="77777777" w:rsidR="001253ED" w:rsidRPr="00D62842" w:rsidRDefault="001253ED" w:rsidP="00831BBC">
            <w:pPr>
              <w:pStyle w:val="SingleTxtG"/>
              <w:spacing w:line="240" w:lineRule="auto"/>
              <w:ind w:left="0" w:right="0"/>
            </w:pPr>
            <w:r w:rsidRPr="00D62842">
              <w:t>36</w:t>
            </w:r>
          </w:p>
        </w:tc>
        <w:tc>
          <w:tcPr>
            <w:tcW w:w="1299" w:type="dxa"/>
          </w:tcPr>
          <w:p w14:paraId="52E5C4F8" w14:textId="77777777" w:rsidR="001253ED" w:rsidRPr="00D62842" w:rsidRDefault="001253ED" w:rsidP="00831BBC">
            <w:pPr>
              <w:spacing w:line="240" w:lineRule="auto"/>
            </w:pPr>
            <w:r w:rsidRPr="00D62842">
              <w:t>CI/ANEC</w:t>
            </w:r>
          </w:p>
        </w:tc>
        <w:tc>
          <w:tcPr>
            <w:tcW w:w="700" w:type="dxa"/>
          </w:tcPr>
          <w:p w14:paraId="53C24379" w14:textId="77777777" w:rsidR="001253ED" w:rsidRPr="00D62842" w:rsidRDefault="001253ED" w:rsidP="00831BBC">
            <w:pPr>
              <w:pStyle w:val="SingleTxtG"/>
              <w:spacing w:line="240" w:lineRule="auto"/>
              <w:ind w:left="0" w:right="0"/>
              <w:jc w:val="center"/>
            </w:pPr>
            <w:r w:rsidRPr="00D62842">
              <w:t>17(b)</w:t>
            </w:r>
          </w:p>
        </w:tc>
        <w:tc>
          <w:tcPr>
            <w:tcW w:w="900" w:type="dxa"/>
          </w:tcPr>
          <w:p w14:paraId="5EA34994" w14:textId="77777777" w:rsidR="001253ED" w:rsidRPr="00D62842" w:rsidRDefault="001253ED" w:rsidP="00831BBC">
            <w:pPr>
              <w:pStyle w:val="SingleTxtG"/>
              <w:spacing w:line="240" w:lineRule="auto"/>
              <w:ind w:left="0" w:right="0"/>
              <w:jc w:val="center"/>
            </w:pPr>
            <w:r w:rsidRPr="00D62842">
              <w:t>E</w:t>
            </w:r>
          </w:p>
        </w:tc>
        <w:tc>
          <w:tcPr>
            <w:tcW w:w="3400" w:type="dxa"/>
          </w:tcPr>
          <w:p w14:paraId="394A9DB0" w14:textId="77777777" w:rsidR="001253ED" w:rsidRPr="00C45DA4" w:rsidRDefault="001253ED" w:rsidP="00831BBC">
            <w:pPr>
              <w:pStyle w:val="SingleTxtG"/>
              <w:spacing w:line="240" w:lineRule="auto"/>
              <w:ind w:left="0" w:right="0"/>
              <w:jc w:val="left"/>
              <w:rPr>
                <w:lang w:val="en-US"/>
              </w:rPr>
            </w:pPr>
            <w:r w:rsidRPr="00C45DA4">
              <w:rPr>
                <w:lang w:val="en-US"/>
              </w:rPr>
              <w:t>Belt-guides in UN Regulation No. 44 and in realistic test environment</w:t>
            </w:r>
          </w:p>
        </w:tc>
        <w:tc>
          <w:tcPr>
            <w:tcW w:w="605" w:type="dxa"/>
          </w:tcPr>
          <w:p w14:paraId="7E904A7E" w14:textId="77777777" w:rsidR="001253ED" w:rsidRPr="00D62842" w:rsidRDefault="001253ED" w:rsidP="00831BBC">
            <w:pPr>
              <w:spacing w:line="240" w:lineRule="auto"/>
              <w:jc w:val="center"/>
            </w:pPr>
            <w:r w:rsidRPr="00D62842">
              <w:t>(a)</w:t>
            </w:r>
          </w:p>
        </w:tc>
      </w:tr>
      <w:tr w:rsidR="001253ED" w:rsidRPr="00D62842" w14:paraId="3C280268" w14:textId="77777777" w:rsidTr="00831BBC">
        <w:tc>
          <w:tcPr>
            <w:tcW w:w="567" w:type="dxa"/>
          </w:tcPr>
          <w:p w14:paraId="4A3380EF" w14:textId="77777777" w:rsidR="001253ED" w:rsidRPr="00D62842" w:rsidRDefault="001253ED" w:rsidP="00831BBC">
            <w:pPr>
              <w:pStyle w:val="SingleTxtG"/>
              <w:spacing w:line="240" w:lineRule="auto"/>
              <w:ind w:left="0" w:right="0"/>
            </w:pPr>
            <w:r w:rsidRPr="00D62842">
              <w:t>37</w:t>
            </w:r>
          </w:p>
        </w:tc>
        <w:tc>
          <w:tcPr>
            <w:tcW w:w="1299" w:type="dxa"/>
          </w:tcPr>
          <w:p w14:paraId="34E6263F" w14:textId="77777777" w:rsidR="001253ED" w:rsidRPr="00D62842" w:rsidRDefault="001253ED" w:rsidP="00831BBC">
            <w:pPr>
              <w:spacing w:line="240" w:lineRule="auto"/>
            </w:pPr>
            <w:r w:rsidRPr="00D62842">
              <w:t>GRSP Chair</w:t>
            </w:r>
          </w:p>
        </w:tc>
        <w:tc>
          <w:tcPr>
            <w:tcW w:w="700" w:type="dxa"/>
          </w:tcPr>
          <w:p w14:paraId="7C560085" w14:textId="77777777" w:rsidR="001253ED" w:rsidRPr="00D62842" w:rsidRDefault="001253ED" w:rsidP="00831BBC">
            <w:pPr>
              <w:pStyle w:val="SingleTxtG"/>
              <w:spacing w:line="240" w:lineRule="auto"/>
              <w:ind w:left="0" w:right="0"/>
              <w:jc w:val="center"/>
            </w:pPr>
            <w:r w:rsidRPr="00D62842">
              <w:t>4</w:t>
            </w:r>
          </w:p>
        </w:tc>
        <w:tc>
          <w:tcPr>
            <w:tcW w:w="900" w:type="dxa"/>
          </w:tcPr>
          <w:p w14:paraId="0A5EF305" w14:textId="77777777" w:rsidR="001253ED" w:rsidRPr="00D62842" w:rsidRDefault="001253ED" w:rsidP="00831BBC">
            <w:pPr>
              <w:pStyle w:val="SingleTxtG"/>
              <w:spacing w:line="240" w:lineRule="auto"/>
              <w:ind w:left="0" w:right="0"/>
              <w:jc w:val="center"/>
            </w:pPr>
            <w:r w:rsidRPr="00D62842">
              <w:t>E</w:t>
            </w:r>
          </w:p>
        </w:tc>
        <w:tc>
          <w:tcPr>
            <w:tcW w:w="3400" w:type="dxa"/>
          </w:tcPr>
          <w:p w14:paraId="779DAE4D" w14:textId="77777777" w:rsidR="001253ED" w:rsidRPr="00C45DA4" w:rsidRDefault="001253ED" w:rsidP="00831BBC">
            <w:pPr>
              <w:pStyle w:val="SingleTxtG"/>
              <w:spacing w:line="240" w:lineRule="auto"/>
              <w:ind w:left="0" w:right="0"/>
              <w:jc w:val="left"/>
              <w:rPr>
                <w:lang w:val="en-US"/>
              </w:rPr>
            </w:pPr>
            <w:r w:rsidRPr="00C45DA4">
              <w:rPr>
                <w:lang w:val="en-US"/>
              </w:rPr>
              <w:t>Progress Report on the Informal Working Group (IWG) for the GTR 20 on Electric Vehicle Safety (EVS)</w:t>
            </w:r>
          </w:p>
        </w:tc>
        <w:tc>
          <w:tcPr>
            <w:tcW w:w="605" w:type="dxa"/>
          </w:tcPr>
          <w:p w14:paraId="7734B59B" w14:textId="77777777" w:rsidR="001253ED" w:rsidRPr="00D62842" w:rsidRDefault="001253ED" w:rsidP="00831BBC">
            <w:pPr>
              <w:spacing w:line="240" w:lineRule="auto"/>
              <w:jc w:val="center"/>
            </w:pPr>
            <w:r w:rsidRPr="00D62842">
              <w:t>(a)</w:t>
            </w:r>
          </w:p>
        </w:tc>
      </w:tr>
      <w:tr w:rsidR="001253ED" w:rsidRPr="00D62842" w14:paraId="5458716F" w14:textId="77777777" w:rsidTr="00831BBC">
        <w:tc>
          <w:tcPr>
            <w:tcW w:w="567" w:type="dxa"/>
          </w:tcPr>
          <w:p w14:paraId="65F11670" w14:textId="77777777" w:rsidR="001253ED" w:rsidRPr="00D62842" w:rsidRDefault="001253ED" w:rsidP="00831BBC">
            <w:pPr>
              <w:pStyle w:val="SingleTxtG"/>
              <w:spacing w:line="240" w:lineRule="auto"/>
              <w:ind w:left="0" w:right="0"/>
            </w:pPr>
            <w:r w:rsidRPr="00D62842">
              <w:t>38</w:t>
            </w:r>
          </w:p>
        </w:tc>
        <w:tc>
          <w:tcPr>
            <w:tcW w:w="1299" w:type="dxa"/>
          </w:tcPr>
          <w:p w14:paraId="6CF6AB8A" w14:textId="77777777" w:rsidR="001253ED" w:rsidRPr="00D62842" w:rsidRDefault="001253ED" w:rsidP="00831BBC">
            <w:pPr>
              <w:spacing w:line="240" w:lineRule="auto"/>
            </w:pPr>
            <w:r w:rsidRPr="00D62842">
              <w:t>GRSP Chair</w:t>
            </w:r>
          </w:p>
        </w:tc>
        <w:tc>
          <w:tcPr>
            <w:tcW w:w="700" w:type="dxa"/>
          </w:tcPr>
          <w:p w14:paraId="4E1FB9B4" w14:textId="77777777" w:rsidR="001253ED" w:rsidRPr="00D62842" w:rsidRDefault="001253ED" w:rsidP="00831BBC">
            <w:pPr>
              <w:pStyle w:val="SingleTxtG"/>
              <w:spacing w:line="240" w:lineRule="auto"/>
              <w:ind w:left="0" w:right="0"/>
              <w:jc w:val="center"/>
            </w:pPr>
            <w:r w:rsidRPr="00D62842">
              <w:t>3</w:t>
            </w:r>
          </w:p>
        </w:tc>
        <w:tc>
          <w:tcPr>
            <w:tcW w:w="900" w:type="dxa"/>
          </w:tcPr>
          <w:p w14:paraId="32240FE0" w14:textId="77777777" w:rsidR="001253ED" w:rsidRPr="00D62842" w:rsidRDefault="001253ED" w:rsidP="00831BBC">
            <w:pPr>
              <w:pStyle w:val="SingleTxtG"/>
              <w:spacing w:line="240" w:lineRule="auto"/>
              <w:ind w:left="0" w:right="0"/>
              <w:jc w:val="center"/>
            </w:pPr>
            <w:r w:rsidRPr="00D62842">
              <w:t>E</w:t>
            </w:r>
          </w:p>
        </w:tc>
        <w:tc>
          <w:tcPr>
            <w:tcW w:w="3400" w:type="dxa"/>
          </w:tcPr>
          <w:p w14:paraId="2C81C3EA" w14:textId="77777777" w:rsidR="001253ED" w:rsidRPr="00C45DA4" w:rsidRDefault="001253ED" w:rsidP="00831BBC">
            <w:pPr>
              <w:pStyle w:val="SingleTxtG"/>
              <w:spacing w:line="240" w:lineRule="auto"/>
              <w:ind w:left="0" w:right="0"/>
              <w:jc w:val="left"/>
              <w:rPr>
                <w:lang w:val="en-US"/>
              </w:rPr>
            </w:pPr>
            <w:r w:rsidRPr="00C45DA4">
              <w:rPr>
                <w:lang w:val="en-US"/>
              </w:rPr>
              <w:t>Progress Report on the Informal Working Group (IWG) for the GTR 13 on Hydrogen and Fuel Cell Vehicles (HFCV)</w:t>
            </w:r>
          </w:p>
        </w:tc>
        <w:tc>
          <w:tcPr>
            <w:tcW w:w="605" w:type="dxa"/>
          </w:tcPr>
          <w:p w14:paraId="0945C30D" w14:textId="77777777" w:rsidR="001253ED" w:rsidRPr="00D62842" w:rsidRDefault="001253ED" w:rsidP="00831BBC">
            <w:pPr>
              <w:spacing w:line="240" w:lineRule="auto"/>
              <w:jc w:val="center"/>
            </w:pPr>
            <w:r w:rsidRPr="00D62842">
              <w:t>(a)</w:t>
            </w:r>
          </w:p>
        </w:tc>
      </w:tr>
      <w:tr w:rsidR="001253ED" w:rsidRPr="00D62842" w14:paraId="4FB822A9" w14:textId="77777777" w:rsidTr="00831BBC">
        <w:tc>
          <w:tcPr>
            <w:tcW w:w="567" w:type="dxa"/>
            <w:tcBorders>
              <w:bottom w:val="single" w:sz="4" w:space="0" w:color="auto"/>
            </w:tcBorders>
          </w:tcPr>
          <w:p w14:paraId="60049380" w14:textId="77777777" w:rsidR="001253ED" w:rsidRPr="00D62842" w:rsidRDefault="001253ED" w:rsidP="00831BBC">
            <w:pPr>
              <w:pStyle w:val="SingleTxtG"/>
              <w:spacing w:line="240" w:lineRule="auto"/>
              <w:ind w:left="0" w:right="0"/>
            </w:pPr>
          </w:p>
        </w:tc>
        <w:tc>
          <w:tcPr>
            <w:tcW w:w="1299" w:type="dxa"/>
            <w:tcBorders>
              <w:bottom w:val="single" w:sz="4" w:space="0" w:color="auto"/>
            </w:tcBorders>
          </w:tcPr>
          <w:p w14:paraId="2A9B9016" w14:textId="77777777" w:rsidR="001253ED" w:rsidRPr="00D62842" w:rsidRDefault="001253ED" w:rsidP="00831BBC">
            <w:pPr>
              <w:spacing w:line="240" w:lineRule="auto"/>
            </w:pPr>
          </w:p>
        </w:tc>
        <w:tc>
          <w:tcPr>
            <w:tcW w:w="700" w:type="dxa"/>
            <w:tcBorders>
              <w:bottom w:val="single" w:sz="4" w:space="0" w:color="auto"/>
            </w:tcBorders>
          </w:tcPr>
          <w:p w14:paraId="2CF355C3" w14:textId="77777777" w:rsidR="001253ED" w:rsidRPr="00D62842" w:rsidRDefault="001253ED" w:rsidP="00831BBC">
            <w:pPr>
              <w:pStyle w:val="SingleTxtG"/>
              <w:spacing w:line="240" w:lineRule="auto"/>
              <w:ind w:left="0" w:right="0"/>
              <w:jc w:val="center"/>
            </w:pPr>
          </w:p>
        </w:tc>
        <w:tc>
          <w:tcPr>
            <w:tcW w:w="900" w:type="dxa"/>
            <w:tcBorders>
              <w:bottom w:val="single" w:sz="4" w:space="0" w:color="auto"/>
            </w:tcBorders>
          </w:tcPr>
          <w:p w14:paraId="0E2DF568" w14:textId="77777777" w:rsidR="001253ED" w:rsidRPr="00D62842" w:rsidRDefault="001253ED" w:rsidP="00831BBC">
            <w:pPr>
              <w:pStyle w:val="SingleTxtG"/>
              <w:spacing w:line="240" w:lineRule="auto"/>
              <w:ind w:left="0" w:right="0"/>
              <w:jc w:val="center"/>
            </w:pPr>
          </w:p>
        </w:tc>
        <w:tc>
          <w:tcPr>
            <w:tcW w:w="3400" w:type="dxa"/>
            <w:tcBorders>
              <w:bottom w:val="single" w:sz="4" w:space="0" w:color="auto"/>
            </w:tcBorders>
          </w:tcPr>
          <w:p w14:paraId="142C48E9" w14:textId="77777777" w:rsidR="001253ED" w:rsidRPr="00D62842" w:rsidRDefault="001253ED" w:rsidP="00831BBC">
            <w:pPr>
              <w:pStyle w:val="SingleTxtG"/>
              <w:spacing w:line="240" w:lineRule="auto"/>
              <w:ind w:left="0" w:right="0"/>
              <w:jc w:val="left"/>
            </w:pPr>
          </w:p>
        </w:tc>
        <w:tc>
          <w:tcPr>
            <w:tcW w:w="605" w:type="dxa"/>
            <w:tcBorders>
              <w:bottom w:val="single" w:sz="4" w:space="0" w:color="auto"/>
            </w:tcBorders>
          </w:tcPr>
          <w:p w14:paraId="01F5D9FB" w14:textId="77777777" w:rsidR="001253ED" w:rsidRPr="00D62842" w:rsidRDefault="001253ED" w:rsidP="00831BBC">
            <w:pPr>
              <w:spacing w:line="240" w:lineRule="auto"/>
              <w:jc w:val="center"/>
            </w:pPr>
          </w:p>
        </w:tc>
      </w:tr>
    </w:tbl>
    <w:p w14:paraId="66169B3D" w14:textId="77777777" w:rsidR="001253ED" w:rsidRPr="00D62842" w:rsidRDefault="001253ED" w:rsidP="001253ED">
      <w:pPr>
        <w:pStyle w:val="SingleTxtG"/>
        <w:keepNext/>
        <w:keepLines/>
        <w:spacing w:before="40" w:line="240" w:lineRule="auto"/>
        <w:ind w:left="567" w:right="113" w:firstLine="567"/>
        <w:jc w:val="left"/>
      </w:pPr>
      <w:r w:rsidRPr="00D62842">
        <w:rPr>
          <w:i/>
          <w:iCs/>
        </w:rPr>
        <w:t>Notes</w:t>
      </w:r>
      <w:r w:rsidRPr="00D62842">
        <w:t>:</w:t>
      </w:r>
    </w:p>
    <w:p w14:paraId="0C4E6EF2" w14:textId="77777777" w:rsidR="001253ED" w:rsidRPr="00C45DA4" w:rsidRDefault="001253ED" w:rsidP="001253ED">
      <w:pPr>
        <w:pStyle w:val="SingleTxtG"/>
        <w:spacing w:after="0" w:line="240" w:lineRule="auto"/>
        <w:rPr>
          <w:lang w:val="en-US"/>
        </w:rPr>
      </w:pPr>
      <w:r w:rsidRPr="00C45DA4">
        <w:rPr>
          <w:lang w:val="en-US"/>
        </w:rPr>
        <w:t>(a)</w:t>
      </w:r>
      <w:r w:rsidRPr="00C45DA4">
        <w:rPr>
          <w:lang w:val="en-US"/>
        </w:rPr>
        <w:tab/>
        <w:t>Consideration completed or superseded.</w:t>
      </w:r>
    </w:p>
    <w:p w14:paraId="3802F017" w14:textId="77777777" w:rsidR="001253ED" w:rsidRPr="00C45DA4" w:rsidRDefault="001253ED" w:rsidP="001253ED">
      <w:pPr>
        <w:pStyle w:val="SingleTxtG"/>
        <w:spacing w:after="0" w:line="240" w:lineRule="auto"/>
        <w:rPr>
          <w:lang w:val="en-US"/>
        </w:rPr>
      </w:pPr>
      <w:r w:rsidRPr="00C45DA4">
        <w:rPr>
          <w:lang w:val="en-US"/>
        </w:rPr>
        <w:t>(b)</w:t>
      </w:r>
      <w:r w:rsidRPr="00C45DA4">
        <w:rPr>
          <w:lang w:val="en-US"/>
        </w:rPr>
        <w:tab/>
        <w:t>Continue consideration at the next session with an official symbol.</w:t>
      </w:r>
    </w:p>
    <w:p w14:paraId="63C16258" w14:textId="77777777" w:rsidR="001253ED" w:rsidRPr="00C45DA4" w:rsidRDefault="001253ED" w:rsidP="001253ED">
      <w:pPr>
        <w:pStyle w:val="SingleTxtG"/>
        <w:spacing w:after="0" w:line="240" w:lineRule="auto"/>
        <w:rPr>
          <w:lang w:val="en-US"/>
        </w:rPr>
      </w:pPr>
      <w:r w:rsidRPr="00C45DA4">
        <w:rPr>
          <w:lang w:val="en-US"/>
        </w:rPr>
        <w:t>(c)</w:t>
      </w:r>
      <w:r w:rsidRPr="00C45DA4">
        <w:rPr>
          <w:lang w:val="en-US"/>
        </w:rPr>
        <w:tab/>
        <w:t>Continue consideration at the next session as an informal document.</w:t>
      </w:r>
    </w:p>
    <w:p w14:paraId="0CE6A875" w14:textId="77777777" w:rsidR="001253ED" w:rsidRPr="001253ED" w:rsidRDefault="001253ED" w:rsidP="001253ED">
      <w:pPr>
        <w:pStyle w:val="SingleTxtG"/>
        <w:rPr>
          <w:lang w:val="en-US"/>
        </w:rPr>
      </w:pPr>
      <w:r w:rsidRPr="00C45DA4">
        <w:rPr>
          <w:lang w:val="en-US"/>
        </w:rPr>
        <w:t>(d)</w:t>
      </w:r>
      <w:r w:rsidRPr="00C45DA4">
        <w:rPr>
          <w:lang w:val="en-US"/>
        </w:rPr>
        <w:tab/>
        <w:t>Adopted and to be submitted to WP.29.</w:t>
      </w:r>
    </w:p>
    <w:p w14:paraId="07D945DB" w14:textId="77777777" w:rsidR="001253ED" w:rsidRDefault="001253ED">
      <w:pPr>
        <w:suppressAutoHyphens w:val="0"/>
        <w:spacing w:line="240" w:lineRule="auto"/>
        <w:rPr>
          <w:rFonts w:eastAsia="Times New Roman" w:cs="Times New Roman"/>
          <w:szCs w:val="20"/>
          <w:lang w:val="en-US"/>
        </w:rPr>
      </w:pPr>
      <w:r>
        <w:rPr>
          <w:lang w:val="en-US"/>
        </w:rPr>
        <w:br w:type="page"/>
      </w:r>
    </w:p>
    <w:p w14:paraId="3559A2A0" w14:textId="77777777" w:rsidR="001253ED" w:rsidRPr="001253ED" w:rsidRDefault="001253ED" w:rsidP="00B44FA2">
      <w:pPr>
        <w:pStyle w:val="HChG"/>
      </w:pPr>
      <w:r w:rsidRPr="001253ED">
        <w:t>Приложение II</w:t>
      </w:r>
    </w:p>
    <w:p w14:paraId="4AC09337" w14:textId="35663863" w:rsidR="001253ED" w:rsidRPr="001253ED" w:rsidRDefault="00B44FA2" w:rsidP="00B44FA2">
      <w:pPr>
        <w:pStyle w:val="HChG"/>
      </w:pPr>
      <w:r>
        <w:tab/>
      </w:r>
      <w:r>
        <w:tab/>
      </w:r>
      <w:r w:rsidR="001253ED" w:rsidRPr="001253ED">
        <w:t xml:space="preserve">Проект поправок к ГТП № 9 ООН </w:t>
      </w:r>
      <w:r w:rsidR="00C30DB9">
        <w:br/>
      </w:r>
      <w:r w:rsidR="001253ED" w:rsidRPr="001253ED">
        <w:t>(безопасность пешеходов)</w:t>
      </w:r>
    </w:p>
    <w:p w14:paraId="58DC7C92" w14:textId="77777777" w:rsidR="001253ED" w:rsidRPr="001253ED" w:rsidRDefault="00B44FA2" w:rsidP="00B44FA2">
      <w:pPr>
        <w:pStyle w:val="H1G"/>
      </w:pPr>
      <w:r>
        <w:tab/>
      </w:r>
      <w:r>
        <w:tab/>
      </w:r>
      <w:r w:rsidR="001253ED" w:rsidRPr="001253ED">
        <w:t>Поправки, принятые к документу ECE/TRANS/WP.29/GRSP/2014/5 (см. пункт 5 настоящего доклада)</w:t>
      </w:r>
    </w:p>
    <w:p w14:paraId="1DA3D3D8" w14:textId="77777777" w:rsidR="001253ED" w:rsidRPr="001253ED" w:rsidRDefault="001253ED" w:rsidP="001253ED">
      <w:pPr>
        <w:pStyle w:val="SingleTxtG"/>
        <w:rPr>
          <w:b/>
          <w:bCs/>
          <w:i/>
          <w:iCs/>
        </w:rPr>
      </w:pPr>
      <w:r w:rsidRPr="001253ED">
        <w:rPr>
          <w:b/>
          <w:bCs/>
          <w:i/>
          <w:iCs/>
        </w:rPr>
        <w:t>В тексте правил (части В)</w:t>
      </w:r>
    </w:p>
    <w:p w14:paraId="3102C10A" w14:textId="77777777" w:rsidR="001253ED" w:rsidRPr="001253ED" w:rsidRDefault="001253ED" w:rsidP="001253ED">
      <w:pPr>
        <w:pStyle w:val="SingleTxtG"/>
        <w:rPr>
          <w:b/>
          <w:bCs/>
        </w:rPr>
      </w:pPr>
      <w:r w:rsidRPr="001253ED">
        <w:rPr>
          <w:b/>
          <w:bCs/>
          <w:i/>
          <w:iCs/>
        </w:rPr>
        <w:t>Пункт 3.1</w:t>
      </w:r>
      <w:r w:rsidRPr="001253ED">
        <w:rPr>
          <w:b/>
          <w:bCs/>
        </w:rPr>
        <w:t xml:space="preserve"> изменить следующим образом:</w:t>
      </w:r>
    </w:p>
    <w:p w14:paraId="51B45F9E" w14:textId="77777777" w:rsidR="001253ED" w:rsidRPr="001253ED" w:rsidRDefault="001253ED" w:rsidP="001253ED">
      <w:pPr>
        <w:pStyle w:val="SingleTxtG"/>
      </w:pPr>
      <w:r w:rsidRPr="001253ED">
        <w:t>«3.1</w:t>
      </w:r>
      <w:r w:rsidRPr="001253ED">
        <w:tab/>
      </w:r>
      <w:r w:rsidR="00B44FA2">
        <w:tab/>
      </w:r>
      <w:r w:rsidRPr="001253ED">
        <w:t>…»</w:t>
      </w:r>
    </w:p>
    <w:p w14:paraId="0FC51914" w14:textId="77777777" w:rsidR="001253ED" w:rsidRPr="001253ED" w:rsidRDefault="001253ED" w:rsidP="001253ED">
      <w:pPr>
        <w:pStyle w:val="SingleTxtG"/>
        <w:rPr>
          <w:b/>
        </w:rPr>
      </w:pPr>
      <w:r w:rsidRPr="001253ED">
        <w:rPr>
          <w:i/>
          <w:iCs/>
        </w:rPr>
        <w:t>Пункты 3.8</w:t>
      </w:r>
      <w:r w:rsidRPr="001253ED">
        <w:rPr>
          <w:b/>
          <w:bCs/>
          <w:i/>
          <w:iCs/>
        </w:rPr>
        <w:t>−</w:t>
      </w:r>
      <w:r w:rsidRPr="001253ED">
        <w:rPr>
          <w:i/>
          <w:iCs/>
        </w:rPr>
        <w:t>3.</w:t>
      </w:r>
      <w:r w:rsidRPr="001253ED">
        <w:rPr>
          <w:b/>
          <w:bCs/>
          <w:i/>
          <w:iCs/>
        </w:rPr>
        <w:t>10</w:t>
      </w:r>
      <w:r w:rsidRPr="001253ED">
        <w:rPr>
          <w:i/>
          <w:iCs/>
        </w:rPr>
        <w:t xml:space="preserve"> (прежние),</w:t>
      </w:r>
      <w:r w:rsidRPr="001253ED">
        <w:t xml:space="preserve"> изменить нумерацию на 3.9</w:t>
      </w:r>
      <w:r w:rsidRPr="001253ED">
        <w:rPr>
          <w:b/>
          <w:bCs/>
        </w:rPr>
        <w:t>−3.11</w:t>
      </w:r>
      <w:r w:rsidRPr="001253ED">
        <w:t>.</w:t>
      </w:r>
    </w:p>
    <w:p w14:paraId="175FBE3A" w14:textId="77777777" w:rsidR="001253ED" w:rsidRPr="001253ED" w:rsidRDefault="001253ED" w:rsidP="001253ED">
      <w:pPr>
        <w:pStyle w:val="SingleTxtG"/>
      </w:pPr>
      <w:r w:rsidRPr="001253ED">
        <w:rPr>
          <w:i/>
          <w:iCs/>
        </w:rPr>
        <w:t xml:space="preserve">Пункт </w:t>
      </w:r>
      <w:r w:rsidRPr="001253ED">
        <w:rPr>
          <w:b/>
          <w:bCs/>
          <w:i/>
          <w:iCs/>
        </w:rPr>
        <w:t>3.11</w:t>
      </w:r>
      <w:r w:rsidRPr="001253ED">
        <w:rPr>
          <w:i/>
          <w:iCs/>
        </w:rPr>
        <w:t xml:space="preserve"> (прежний)</w:t>
      </w:r>
      <w:r w:rsidRPr="001253ED">
        <w:t xml:space="preserve">, нумерацию изменить на </w:t>
      </w:r>
      <w:r w:rsidRPr="001253ED">
        <w:rPr>
          <w:b/>
          <w:bCs/>
        </w:rPr>
        <w:t>3.12</w:t>
      </w:r>
      <w:r w:rsidRPr="001253ED">
        <w:t xml:space="preserve">, а текст </w:t>
      </w:r>
      <w:r w:rsidR="00B44FA2">
        <w:t>—</w:t>
      </w:r>
      <w:r w:rsidRPr="001253ED">
        <w:t xml:space="preserve"> следующим образом: </w:t>
      </w:r>
    </w:p>
    <w:p w14:paraId="4F11861E" w14:textId="62D1B0A4" w:rsidR="001253ED" w:rsidRPr="001253ED" w:rsidRDefault="001253ED" w:rsidP="00B44FA2">
      <w:pPr>
        <w:pStyle w:val="SingleTxtG"/>
        <w:ind w:left="2268" w:hanging="1134"/>
        <w:rPr>
          <w:bCs/>
        </w:rPr>
      </w:pPr>
      <w:r w:rsidRPr="001253ED">
        <w:rPr>
          <w:b/>
          <w:bCs/>
        </w:rPr>
        <w:t>«3.12</w:t>
      </w:r>
      <w:r w:rsidRPr="001253ED">
        <w:tab/>
      </w:r>
      <w:r w:rsidR="00B44FA2">
        <w:tab/>
      </w:r>
      <w:r w:rsidRPr="001253ED">
        <w:rPr>
          <w:b/>
          <w:bCs/>
          <w:i/>
          <w:iCs/>
        </w:rPr>
        <w:t>"зона испытания бампера"</w:t>
      </w:r>
      <w:r w:rsidRPr="001253ED">
        <w:rPr>
          <w:b/>
          <w:bCs/>
        </w:rPr>
        <w:t xml:space="preserve"> означает либо переднюю облицовку транспортного средства между левым и правым углами бампера в соответствии с определением, содержащимся в пункте 3.15, минус зоны, покрытые расстоянием длиной 42 мм внутрь от каждого угла бампера, измеряемым горизонтально и перпендикулярно продольной средней плоскости транспортного средства либо между самыми дальними выступающими концами бамперной балки </w:t>
      </w:r>
      <w:r w:rsidR="0040403D">
        <w:rPr>
          <w:b/>
          <w:bCs/>
        </w:rPr>
        <w:br/>
      </w:r>
      <w:r w:rsidRPr="001253ED">
        <w:rPr>
          <w:b/>
          <w:bCs/>
        </w:rPr>
        <w:t>в соответствии с определением, содержащимся в пункте 3.9</w:t>
      </w:r>
      <w:r w:rsidRPr="001253ED">
        <w:t xml:space="preserve"> </w:t>
      </w:r>
      <w:r w:rsidR="0040403D">
        <w:br/>
      </w:r>
      <w:r w:rsidRPr="001253ED">
        <w:rPr>
          <w:b/>
          <w:bCs/>
        </w:rPr>
        <w:t>(см. рис. 5D), минус зоны, покрытые расстоянием длиной 42 мм внутрь от каждого угла бампера, измеряемым горизонтально и перпендикулярно продольной средней плоскости транспортного средства, в зависимости от того, какая зона шире».</w:t>
      </w:r>
    </w:p>
    <w:p w14:paraId="6E531EF0" w14:textId="77777777" w:rsidR="001253ED" w:rsidRPr="001253ED" w:rsidRDefault="001253ED" w:rsidP="001253ED">
      <w:pPr>
        <w:pStyle w:val="SingleTxtG"/>
      </w:pPr>
      <w:r w:rsidRPr="001253ED">
        <w:rPr>
          <w:i/>
          <w:iCs/>
        </w:rPr>
        <w:t xml:space="preserve">Пункт </w:t>
      </w:r>
      <w:r w:rsidRPr="001253ED">
        <w:rPr>
          <w:b/>
          <w:bCs/>
          <w:i/>
          <w:iCs/>
        </w:rPr>
        <w:t>3.12</w:t>
      </w:r>
      <w:r w:rsidRPr="001253ED">
        <w:rPr>
          <w:i/>
          <w:iCs/>
        </w:rPr>
        <w:t xml:space="preserve"> (прежний)</w:t>
      </w:r>
      <w:r w:rsidRPr="001253ED">
        <w:t xml:space="preserve">, изменить нумерацию на </w:t>
      </w:r>
      <w:r w:rsidRPr="001253ED">
        <w:rPr>
          <w:b/>
          <w:bCs/>
        </w:rPr>
        <w:t>3.13</w:t>
      </w:r>
      <w:r w:rsidRPr="001253ED">
        <w:t xml:space="preserve">. </w:t>
      </w:r>
    </w:p>
    <w:p w14:paraId="05D6C890" w14:textId="77777777" w:rsidR="001253ED" w:rsidRPr="001253ED" w:rsidRDefault="001253ED" w:rsidP="001253ED">
      <w:pPr>
        <w:pStyle w:val="SingleTxtG"/>
      </w:pPr>
      <w:r w:rsidRPr="001253ED">
        <w:rPr>
          <w:i/>
          <w:iCs/>
        </w:rPr>
        <w:t xml:space="preserve">Пункт </w:t>
      </w:r>
      <w:r w:rsidRPr="001253ED">
        <w:rPr>
          <w:b/>
          <w:bCs/>
          <w:i/>
          <w:iCs/>
        </w:rPr>
        <w:t>3.13</w:t>
      </w:r>
      <w:r w:rsidRPr="001253ED">
        <w:rPr>
          <w:i/>
          <w:iCs/>
        </w:rPr>
        <w:t xml:space="preserve"> (прежний)</w:t>
      </w:r>
      <w:r w:rsidRPr="001253ED">
        <w:t xml:space="preserve">, нумерацию изменить на </w:t>
      </w:r>
      <w:r w:rsidRPr="001253ED">
        <w:rPr>
          <w:b/>
          <w:bCs/>
        </w:rPr>
        <w:t>3.14</w:t>
      </w:r>
      <w:r w:rsidRPr="001253ED">
        <w:t xml:space="preserve">, а текст </w:t>
      </w:r>
      <w:r w:rsidR="00B44FA2">
        <w:t>—</w:t>
      </w:r>
      <w:r w:rsidRPr="001253ED">
        <w:t xml:space="preserve"> следующим образом: </w:t>
      </w:r>
    </w:p>
    <w:p w14:paraId="1BD8FB08" w14:textId="77777777" w:rsidR="001253ED" w:rsidRPr="001253ED" w:rsidRDefault="001253ED" w:rsidP="00B44FA2">
      <w:pPr>
        <w:pStyle w:val="SingleTxtG"/>
        <w:ind w:left="2268" w:hanging="1134"/>
      </w:pPr>
      <w:r w:rsidRPr="001253ED">
        <w:t>«</w:t>
      </w:r>
      <w:r w:rsidRPr="001253ED">
        <w:rPr>
          <w:b/>
          <w:bCs/>
        </w:rPr>
        <w:t>3.14</w:t>
      </w:r>
      <w:r w:rsidRPr="001253ED">
        <w:tab/>
      </w:r>
      <w:r w:rsidR="00B44FA2">
        <w:tab/>
      </w:r>
      <w:r w:rsidRPr="001253ED">
        <w:t>"</w:t>
      </w:r>
      <w:r w:rsidRPr="001253ED">
        <w:rPr>
          <w:i/>
          <w:iCs/>
        </w:rPr>
        <w:t>Зона испытания с использованием модели головы ребенка</w:t>
      </w:r>
      <w:r w:rsidRPr="001253ED">
        <w:t xml:space="preserve">" </w:t>
      </w:r>
      <w:r w:rsidR="00B44FA2">
        <w:t>—</w:t>
      </w:r>
      <w:r w:rsidRPr="001253ED">
        <w:t xml:space="preserve"> это зона на …»</w:t>
      </w:r>
    </w:p>
    <w:p w14:paraId="6E2316A7" w14:textId="77777777" w:rsidR="001253ED" w:rsidRPr="001253ED" w:rsidRDefault="001253ED" w:rsidP="001253ED">
      <w:pPr>
        <w:pStyle w:val="SingleTxtG"/>
      </w:pPr>
      <w:r w:rsidRPr="001253ED">
        <w:rPr>
          <w:i/>
          <w:iCs/>
        </w:rPr>
        <w:t>Пункты 3.</w:t>
      </w:r>
      <w:r w:rsidRPr="001253ED">
        <w:rPr>
          <w:b/>
          <w:bCs/>
          <w:i/>
          <w:iCs/>
        </w:rPr>
        <w:t>14</w:t>
      </w:r>
      <w:r w:rsidRPr="001253ED">
        <w:rPr>
          <w:i/>
          <w:iCs/>
        </w:rPr>
        <w:t>−3.</w:t>
      </w:r>
      <w:r w:rsidRPr="001253ED">
        <w:rPr>
          <w:b/>
          <w:bCs/>
          <w:i/>
          <w:iCs/>
        </w:rPr>
        <w:t xml:space="preserve">19 </w:t>
      </w:r>
      <w:r w:rsidRPr="001253ED">
        <w:rPr>
          <w:i/>
          <w:iCs/>
        </w:rPr>
        <w:t>(прежние),</w:t>
      </w:r>
      <w:r w:rsidRPr="001253ED">
        <w:t xml:space="preserve"> изменить нумерацию на 3.</w:t>
      </w:r>
      <w:r w:rsidRPr="001253ED">
        <w:rPr>
          <w:b/>
          <w:bCs/>
        </w:rPr>
        <w:t>15</w:t>
      </w:r>
      <w:r w:rsidRPr="001253ED">
        <w:t>−3.</w:t>
      </w:r>
      <w:r w:rsidRPr="001253ED">
        <w:rPr>
          <w:b/>
          <w:bCs/>
        </w:rPr>
        <w:t>20</w:t>
      </w:r>
      <w:r w:rsidRPr="001253ED">
        <w:t>.</w:t>
      </w:r>
    </w:p>
    <w:p w14:paraId="53290013" w14:textId="77777777" w:rsidR="001253ED" w:rsidRPr="001253ED" w:rsidRDefault="001253ED" w:rsidP="001253ED">
      <w:pPr>
        <w:pStyle w:val="SingleTxtG"/>
      </w:pPr>
      <w:r w:rsidRPr="001253ED">
        <w:rPr>
          <w:i/>
          <w:iCs/>
        </w:rPr>
        <w:t>Пункт 3.</w:t>
      </w:r>
      <w:r w:rsidRPr="001253ED">
        <w:rPr>
          <w:b/>
          <w:bCs/>
          <w:i/>
          <w:iCs/>
        </w:rPr>
        <w:t>20</w:t>
      </w:r>
      <w:r w:rsidRPr="001253ED">
        <w:rPr>
          <w:i/>
          <w:iCs/>
        </w:rPr>
        <w:t xml:space="preserve"> (прежний)</w:t>
      </w:r>
      <w:r w:rsidRPr="001253ED">
        <w:t xml:space="preserve">, исключить. </w:t>
      </w:r>
    </w:p>
    <w:p w14:paraId="66F4B909" w14:textId="77777777" w:rsidR="001253ED" w:rsidRPr="001253ED" w:rsidRDefault="001253ED" w:rsidP="001253ED">
      <w:pPr>
        <w:pStyle w:val="SingleTxtG"/>
      </w:pPr>
      <w:r w:rsidRPr="001253ED">
        <w:rPr>
          <w:i/>
          <w:iCs/>
        </w:rPr>
        <w:t>Включить новые пункты 3.</w:t>
      </w:r>
      <w:r w:rsidRPr="001253ED">
        <w:rPr>
          <w:b/>
          <w:bCs/>
          <w:i/>
          <w:iCs/>
        </w:rPr>
        <w:t>21</w:t>
      </w:r>
      <w:r w:rsidRPr="001253ED">
        <w:rPr>
          <w:i/>
          <w:iCs/>
        </w:rPr>
        <w:t>–3.</w:t>
      </w:r>
      <w:r w:rsidRPr="001253ED">
        <w:rPr>
          <w:b/>
          <w:bCs/>
          <w:i/>
          <w:iCs/>
        </w:rPr>
        <w:t>21.2</w:t>
      </w:r>
      <w:r w:rsidRPr="001253ED">
        <w:t xml:space="preserve"> следующего содержания:</w:t>
      </w:r>
    </w:p>
    <w:p w14:paraId="556B69D5" w14:textId="77777777" w:rsidR="001253ED" w:rsidRPr="001253ED" w:rsidRDefault="001253ED" w:rsidP="001253ED">
      <w:pPr>
        <w:pStyle w:val="SingleTxtG"/>
        <w:rPr>
          <w:bCs/>
        </w:rPr>
      </w:pPr>
      <w:r w:rsidRPr="001253ED">
        <w:t>«</w:t>
      </w:r>
      <w:r w:rsidRPr="001253ED">
        <w:rPr>
          <w:b/>
          <w:bCs/>
        </w:rPr>
        <w:t>3.21</w:t>
      </w:r>
      <w:r w:rsidRPr="001253ED">
        <w:tab/>
      </w:r>
      <w:r w:rsidR="00B44FA2">
        <w:tab/>
      </w:r>
      <w:r w:rsidRPr="001253ED">
        <w:t>"Измерительная точка"</w:t>
      </w:r>
    </w:p>
    <w:p w14:paraId="14C7E8DF" w14:textId="77777777" w:rsidR="001253ED" w:rsidRPr="001253ED" w:rsidRDefault="00B44FA2" w:rsidP="00B44FA2">
      <w:pPr>
        <w:pStyle w:val="SingleTxtG"/>
        <w:ind w:left="2268" w:hanging="1134"/>
        <w:rPr>
          <w:bCs/>
          <w:iCs/>
        </w:rPr>
      </w:pPr>
      <w:r>
        <w:tab/>
      </w:r>
      <w:r>
        <w:tab/>
      </w:r>
      <w:r w:rsidR="001253ED" w:rsidRPr="001253ED">
        <w:t>Измерительная точка может</w:t>
      </w:r>
      <w:r w:rsidR="001253ED" w:rsidRPr="001253ED">
        <w:rPr>
          <w:b/>
          <w:bCs/>
        </w:rPr>
        <w:t xml:space="preserve"> </w:t>
      </w:r>
      <w:r w:rsidR="001253ED" w:rsidRPr="001253ED">
        <w:t>также упоминаться как "точка проведения испытаний" или "точка удара". Во всех случаях результат испытания будет увязываться с этой точкой независимо от места первого контакта.</w:t>
      </w:r>
    </w:p>
    <w:p w14:paraId="543D7A58" w14:textId="77777777" w:rsidR="001253ED" w:rsidRPr="001253ED" w:rsidRDefault="001253ED" w:rsidP="00B44FA2">
      <w:pPr>
        <w:pStyle w:val="SingleTxtG"/>
        <w:ind w:left="2268" w:hanging="1134"/>
        <w:rPr>
          <w:bCs/>
        </w:rPr>
      </w:pPr>
      <w:r w:rsidRPr="001253ED">
        <w:rPr>
          <w:b/>
          <w:bCs/>
        </w:rPr>
        <w:t>3.21.1</w:t>
      </w:r>
      <w:r w:rsidRPr="001253ED">
        <w:tab/>
        <w:t>"Измерительная точка" для испытания модели головы означает точку на внешней поверхности транспортного средства, которая выбрана для оценки. Измерительная точка находится в том месте, где профиль модели головы соприкасается с поперечным сечением наружной поверхности транспортного средства в вертикальной продольной плоскости, проходящей через центр тяжести модели головы (см. рис.6А).</w:t>
      </w:r>
    </w:p>
    <w:p w14:paraId="558B58CF" w14:textId="77777777" w:rsidR="001253ED" w:rsidRPr="001253ED" w:rsidRDefault="001253ED" w:rsidP="00B44FA2">
      <w:pPr>
        <w:pStyle w:val="SingleTxtG"/>
        <w:ind w:left="2268" w:hanging="1134"/>
      </w:pPr>
      <w:r w:rsidRPr="001253ED">
        <w:rPr>
          <w:b/>
          <w:bCs/>
        </w:rPr>
        <w:t>3.21.2</w:t>
      </w:r>
      <w:r w:rsidRPr="001253ED">
        <w:tab/>
        <w:t>"Измерительная точка" для модели нижней части ноги для целей испытания бампера и модели верхней части ноги для целей испытания бампера находится в вертикальной продольной плоскости, проходящей через центральную ось ударного элемента (см. рис.6В)».</w:t>
      </w:r>
    </w:p>
    <w:p w14:paraId="5DDAEB0B" w14:textId="77777777" w:rsidR="001253ED" w:rsidRPr="001253ED" w:rsidRDefault="001253ED" w:rsidP="001253ED">
      <w:pPr>
        <w:pStyle w:val="SingleTxtG"/>
      </w:pPr>
      <w:r w:rsidRPr="001253ED">
        <w:rPr>
          <w:i/>
          <w:iCs/>
        </w:rPr>
        <w:t>Пункты 3.</w:t>
      </w:r>
      <w:r w:rsidRPr="001253ED">
        <w:rPr>
          <w:b/>
          <w:bCs/>
          <w:i/>
          <w:iCs/>
        </w:rPr>
        <w:t>21</w:t>
      </w:r>
      <w:r w:rsidRPr="001253ED">
        <w:rPr>
          <w:i/>
          <w:iCs/>
        </w:rPr>
        <w:t>−3.</w:t>
      </w:r>
      <w:r w:rsidRPr="001253ED">
        <w:rPr>
          <w:b/>
          <w:bCs/>
          <w:i/>
          <w:iCs/>
        </w:rPr>
        <w:t>24</w:t>
      </w:r>
      <w:r w:rsidRPr="001253ED">
        <w:rPr>
          <w:i/>
          <w:iCs/>
        </w:rPr>
        <w:t xml:space="preserve"> (прежние),</w:t>
      </w:r>
      <w:r w:rsidRPr="001253ED">
        <w:t xml:space="preserve"> изменить нумерацию на </w:t>
      </w:r>
      <w:r w:rsidRPr="001253ED">
        <w:rPr>
          <w:b/>
          <w:bCs/>
        </w:rPr>
        <w:t>3.22−3.25</w:t>
      </w:r>
      <w:r w:rsidRPr="001253ED">
        <w:t>.</w:t>
      </w:r>
    </w:p>
    <w:p w14:paraId="3277E9C7" w14:textId="77777777" w:rsidR="001253ED" w:rsidRPr="001253ED" w:rsidRDefault="001253ED" w:rsidP="00B44FA2">
      <w:pPr>
        <w:pStyle w:val="SingleTxtG"/>
        <w:keepNext/>
        <w:rPr>
          <w:b/>
          <w:bCs/>
        </w:rPr>
      </w:pPr>
      <w:r w:rsidRPr="001253ED">
        <w:rPr>
          <w:b/>
          <w:bCs/>
          <w:i/>
          <w:iCs/>
        </w:rPr>
        <w:t>Пункт 3.25 (прежний)</w:t>
      </w:r>
      <w:r w:rsidRPr="001253ED">
        <w:rPr>
          <w:b/>
          <w:bCs/>
        </w:rPr>
        <w:t xml:space="preserve">, нумерацию изменить на 3.26, а текст </w:t>
      </w:r>
      <w:r w:rsidR="00B44FA2">
        <w:rPr>
          <w:b/>
          <w:bCs/>
        </w:rPr>
        <w:t>—</w:t>
      </w:r>
      <w:r w:rsidRPr="001253ED">
        <w:rPr>
          <w:b/>
          <w:bCs/>
        </w:rPr>
        <w:t xml:space="preserve"> следующим образом:</w:t>
      </w:r>
      <w:r w:rsidRPr="001253ED">
        <w:t xml:space="preserve"> </w:t>
      </w:r>
    </w:p>
    <w:p w14:paraId="3D503688" w14:textId="77777777" w:rsidR="001253ED" w:rsidRPr="001253ED" w:rsidRDefault="001253ED" w:rsidP="00B44FA2">
      <w:pPr>
        <w:pStyle w:val="SingleTxtG"/>
        <w:ind w:left="2268" w:hanging="1134"/>
        <w:rPr>
          <w:b/>
          <w:bCs/>
        </w:rPr>
      </w:pPr>
      <w:r w:rsidRPr="001253ED">
        <w:rPr>
          <w:b/>
          <w:bCs/>
        </w:rPr>
        <w:t>«3.26</w:t>
      </w:r>
      <w:r w:rsidRPr="001253ED">
        <w:tab/>
      </w:r>
      <w:r w:rsidRPr="00181889">
        <w:rPr>
          <w:b/>
          <w:bCs/>
        </w:rPr>
        <w:t>"</w:t>
      </w:r>
      <w:r w:rsidRPr="001253ED">
        <w:rPr>
          <w:b/>
          <w:bCs/>
        </w:rPr>
        <w:t>Основные контрольные точки</w:t>
      </w:r>
      <w:r w:rsidRPr="00181889">
        <w:rPr>
          <w:b/>
          <w:bCs/>
        </w:rPr>
        <w:t>"</w:t>
      </w:r>
      <w:r w:rsidRPr="001253ED">
        <w:rPr>
          <w:b/>
          <w:bCs/>
        </w:rPr>
        <w:t xml:space="preserve"> означает отверстия, поверхности, отметки и идентификационные знаки на кузове транспортного средства.</w:t>
      </w:r>
      <w:r w:rsidRPr="001253ED">
        <w:t xml:space="preserve"> </w:t>
      </w:r>
      <w:r w:rsidRPr="001253ED">
        <w:rPr>
          <w:b/>
          <w:bCs/>
        </w:rPr>
        <w:t>Тип используемой контрольной точки и вертикальное (Z) положение каждой точки относительно уровня грунта определяются изготовителем транспортного средства с учетом условий эксплуатации, указанных в пункте 3.24.</w:t>
      </w:r>
      <w:r w:rsidRPr="001253ED">
        <w:t xml:space="preserve"> </w:t>
      </w:r>
      <w:r w:rsidRPr="001253ED">
        <w:rPr>
          <w:b/>
          <w:bCs/>
        </w:rPr>
        <w:t>Эти точки выбирают таким образом, чтобы можно было легко проверить габаритную высоту передней и задней части транспортного средства и его положение.</w:t>
      </w:r>
      <w:r w:rsidRPr="001253ED">
        <w:t xml:space="preserve"> </w:t>
      </w:r>
    </w:p>
    <w:p w14:paraId="4948E4EF" w14:textId="77777777" w:rsidR="001253ED" w:rsidRPr="001253ED" w:rsidRDefault="001253ED" w:rsidP="00B44FA2">
      <w:pPr>
        <w:pStyle w:val="SingleTxtG"/>
        <w:ind w:left="2268" w:hanging="1134"/>
        <w:rPr>
          <w:b/>
          <w:bCs/>
        </w:rPr>
      </w:pPr>
      <w:r w:rsidRPr="001253ED">
        <w:tab/>
      </w:r>
      <w:r w:rsidRPr="001253ED">
        <w:rPr>
          <w:b/>
          <w:bCs/>
        </w:rPr>
        <w:t>Основные контрольные точки находятся в пределах ± 25 мм от расчетного положения на вертикальной оси (Z).</w:t>
      </w:r>
      <w:r w:rsidRPr="001253ED">
        <w:t xml:space="preserve"> </w:t>
      </w:r>
      <w:r w:rsidRPr="001253ED">
        <w:rPr>
          <w:b/>
          <w:bCs/>
        </w:rPr>
        <w:t>Все испытания проводятся в условиях, при которых либо транспортное средство устанавливается в расчетное положение, либо корректируются все последующие измерения для моделирования расчетного положения транспортного средства.</w:t>
      </w:r>
      <w:r w:rsidRPr="001253ED">
        <w:t xml:space="preserve"> </w:t>
      </w:r>
      <w:r w:rsidRPr="001253ED">
        <w:rPr>
          <w:b/>
          <w:bCs/>
        </w:rPr>
        <w:t>Данное положение считается обычным для движения».</w:t>
      </w:r>
    </w:p>
    <w:p w14:paraId="0C838363" w14:textId="77777777" w:rsidR="001253ED" w:rsidRPr="001253ED" w:rsidRDefault="001253ED" w:rsidP="001253ED">
      <w:pPr>
        <w:pStyle w:val="SingleTxtG"/>
        <w:rPr>
          <w:b/>
          <w:bCs/>
        </w:rPr>
      </w:pPr>
      <w:r w:rsidRPr="001253ED">
        <w:rPr>
          <w:b/>
          <w:bCs/>
          <w:i/>
          <w:iCs/>
        </w:rPr>
        <w:t>Пункт 3.26 (прежний),</w:t>
      </w:r>
      <w:r w:rsidRPr="001253ED">
        <w:t xml:space="preserve"> </w:t>
      </w:r>
      <w:r w:rsidRPr="001253ED">
        <w:rPr>
          <w:b/>
          <w:bCs/>
        </w:rPr>
        <w:t>изменить нумерацию на 3.27.</w:t>
      </w:r>
    </w:p>
    <w:p w14:paraId="2C542949" w14:textId="77777777" w:rsidR="001253ED" w:rsidRPr="001253ED" w:rsidRDefault="001253ED" w:rsidP="001253ED">
      <w:pPr>
        <w:pStyle w:val="SingleTxtG"/>
      </w:pPr>
      <w:r w:rsidRPr="001253ED">
        <w:rPr>
          <w:i/>
          <w:iCs/>
        </w:rPr>
        <w:t xml:space="preserve">Пункт </w:t>
      </w:r>
      <w:r w:rsidRPr="001253ED">
        <w:rPr>
          <w:b/>
          <w:bCs/>
          <w:i/>
          <w:iCs/>
        </w:rPr>
        <w:t xml:space="preserve">3.28 </w:t>
      </w:r>
      <w:r w:rsidRPr="001253ED">
        <w:rPr>
          <w:i/>
          <w:iCs/>
        </w:rPr>
        <w:t>(прежний),</w:t>
      </w:r>
      <w:r w:rsidRPr="001253ED">
        <w:t xml:space="preserve"> исключить.</w:t>
      </w:r>
    </w:p>
    <w:p w14:paraId="33C09177" w14:textId="77777777" w:rsidR="001253ED" w:rsidRPr="001253ED" w:rsidRDefault="001253ED" w:rsidP="001253ED">
      <w:pPr>
        <w:pStyle w:val="SingleTxtG"/>
        <w:rPr>
          <w:iCs/>
        </w:rPr>
      </w:pPr>
      <w:r w:rsidRPr="001253ED">
        <w:rPr>
          <w:i/>
          <w:iCs/>
        </w:rPr>
        <w:t>Включить новые рисунки 6A и 6B</w:t>
      </w:r>
      <w:r w:rsidRPr="001253ED">
        <w:t xml:space="preserve"> следующего содержания:</w:t>
      </w:r>
    </w:p>
    <w:p w14:paraId="7D9941B1" w14:textId="77777777" w:rsidR="001253ED" w:rsidRPr="001253ED" w:rsidRDefault="001253ED" w:rsidP="00B44FA2">
      <w:pPr>
        <w:pStyle w:val="SingleTxtG"/>
        <w:ind w:left="2268" w:hanging="1134"/>
      </w:pPr>
      <w:r w:rsidRPr="001253ED">
        <w:t>«Рис. 6А</w:t>
      </w:r>
      <w:r w:rsidRPr="001253ED">
        <w:tab/>
        <w:t>Измерительная точка в вертикальной продольной плоскости, проходящей через центр ударного элемента в виде модели головы (см.</w:t>
      </w:r>
      <w:r w:rsidR="00B44FA2">
        <w:t> </w:t>
      </w:r>
      <w:r w:rsidRPr="001253ED">
        <w:t xml:space="preserve">пункт </w:t>
      </w:r>
      <w:r w:rsidRPr="001253ED">
        <w:rPr>
          <w:b/>
          <w:bCs/>
        </w:rPr>
        <w:t>3.21.1</w:t>
      </w:r>
      <w:r w:rsidRPr="001253ED">
        <w:t>) …</w:t>
      </w:r>
    </w:p>
    <w:p w14:paraId="7B7A1DBB" w14:textId="77777777" w:rsidR="001253ED" w:rsidRPr="001253ED" w:rsidRDefault="001253ED" w:rsidP="001253ED">
      <w:pPr>
        <w:pStyle w:val="SingleTxtG"/>
        <w:rPr>
          <w:bCs/>
        </w:rPr>
      </w:pPr>
      <w:r w:rsidRPr="001253ED">
        <w:t>Рис. 6B</w:t>
      </w:r>
    </w:p>
    <w:p w14:paraId="16D387A5" w14:textId="77777777" w:rsidR="001253ED" w:rsidRPr="001253ED" w:rsidRDefault="001253ED" w:rsidP="001253ED">
      <w:pPr>
        <w:pStyle w:val="SingleTxtG"/>
        <w:rPr>
          <w:b/>
        </w:rPr>
      </w:pPr>
      <w:r w:rsidRPr="001253ED">
        <w:t xml:space="preserve">Измерительная точка в вертикальной продольной плоскости, проходящей через центральную ось ударного элемента в виде модели ноги (см. пункт </w:t>
      </w:r>
      <w:r w:rsidRPr="001253ED">
        <w:rPr>
          <w:b/>
          <w:bCs/>
        </w:rPr>
        <w:t>3.21.2</w:t>
      </w:r>
      <w:r w:rsidRPr="001253ED">
        <w:t>)</w:t>
      </w:r>
    </w:p>
    <w:p w14:paraId="4C079065" w14:textId="77777777" w:rsidR="001253ED" w:rsidRPr="001253ED" w:rsidRDefault="001253ED" w:rsidP="001253ED">
      <w:pPr>
        <w:pStyle w:val="SingleTxtG"/>
      </w:pPr>
      <w:r w:rsidRPr="001253ED">
        <w:t>…»</w:t>
      </w:r>
    </w:p>
    <w:p w14:paraId="593B4928" w14:textId="77777777" w:rsidR="001253ED" w:rsidRPr="001253ED" w:rsidRDefault="001253ED" w:rsidP="001253ED">
      <w:pPr>
        <w:pStyle w:val="SingleTxtG"/>
      </w:pPr>
      <w:r w:rsidRPr="001253ED">
        <w:rPr>
          <w:i/>
          <w:iCs/>
        </w:rPr>
        <w:t>Пункт 7.1.1.1</w:t>
      </w:r>
      <w:r w:rsidRPr="001253ED">
        <w:t xml:space="preserve"> изменить следующим образом:</w:t>
      </w:r>
    </w:p>
    <w:p w14:paraId="527274E6" w14:textId="77777777" w:rsidR="001253ED" w:rsidRPr="001253ED" w:rsidRDefault="001253ED" w:rsidP="00B44FA2">
      <w:pPr>
        <w:pStyle w:val="SingleTxtG"/>
        <w:ind w:left="2268" w:hanging="1134"/>
      </w:pPr>
      <w:r w:rsidRPr="001253ED">
        <w:t xml:space="preserve">«7.1.1.1 </w:t>
      </w:r>
      <w:r w:rsidRPr="001253ED">
        <w:tab/>
        <w:t xml:space="preserve">Выбранные расчетные измерительные точки должны располагаться в зоне испытания бампера, определенной в пункте </w:t>
      </w:r>
      <w:r w:rsidRPr="001253ED">
        <w:rPr>
          <w:b/>
          <w:bCs/>
        </w:rPr>
        <w:t>3.12</w:t>
      </w:r>
      <w:r w:rsidRPr="001253ED">
        <w:t>».</w:t>
      </w:r>
    </w:p>
    <w:p w14:paraId="0BFB6E94" w14:textId="77777777" w:rsidR="001253ED" w:rsidRPr="001253ED" w:rsidRDefault="001253ED" w:rsidP="001253ED">
      <w:pPr>
        <w:pStyle w:val="SingleTxtG"/>
      </w:pPr>
      <w:r w:rsidRPr="001253ED">
        <w:rPr>
          <w:i/>
          <w:iCs/>
        </w:rPr>
        <w:t>Пункты 7.1.2.1 и 7.1.2.2</w:t>
      </w:r>
      <w:r w:rsidRPr="001253ED">
        <w:t xml:space="preserve"> изменить следующим образом:</w:t>
      </w:r>
    </w:p>
    <w:p w14:paraId="47CDE122" w14:textId="77777777" w:rsidR="001253ED" w:rsidRPr="001253ED" w:rsidRDefault="001253ED" w:rsidP="00B44FA2">
      <w:pPr>
        <w:pStyle w:val="SingleTxtG"/>
        <w:ind w:left="2268" w:hanging="1134"/>
      </w:pPr>
      <w:r w:rsidRPr="001253ED">
        <w:t>«7.1.2.1</w:t>
      </w:r>
      <w:r w:rsidRPr="001253ED">
        <w:tab/>
        <w:t xml:space="preserve">Выбранные расчетные измерительные точки должны располагаться в зоне испытания бампера, определенной в пункте </w:t>
      </w:r>
      <w:r w:rsidRPr="001253ED">
        <w:rPr>
          <w:b/>
          <w:bCs/>
        </w:rPr>
        <w:t>3.12</w:t>
      </w:r>
      <w:r w:rsidRPr="001253ED">
        <w:t>.</w:t>
      </w:r>
    </w:p>
    <w:p w14:paraId="4042A620" w14:textId="77777777" w:rsidR="001253ED" w:rsidRPr="001253ED" w:rsidRDefault="001253ED" w:rsidP="001253ED">
      <w:pPr>
        <w:pStyle w:val="SingleTxtG"/>
      </w:pPr>
      <w:r w:rsidRPr="001253ED">
        <w:t>…»</w:t>
      </w:r>
    </w:p>
    <w:p w14:paraId="57EBEC1F" w14:textId="77777777" w:rsidR="001253ED" w:rsidRPr="001253ED" w:rsidRDefault="001253ED" w:rsidP="001253ED">
      <w:pPr>
        <w:pStyle w:val="SingleTxtG"/>
      </w:pPr>
      <w:r w:rsidRPr="001253ED">
        <w:rPr>
          <w:i/>
          <w:iCs/>
        </w:rPr>
        <w:t>Пункты 7.3.2 и 7.3.3</w:t>
      </w:r>
      <w:r w:rsidRPr="001253ED">
        <w:t xml:space="preserve"> изменить следующим образом:</w:t>
      </w:r>
    </w:p>
    <w:p w14:paraId="10CE3A94" w14:textId="77777777" w:rsidR="001253ED" w:rsidRPr="001253ED" w:rsidRDefault="001253ED" w:rsidP="00B44FA2">
      <w:pPr>
        <w:pStyle w:val="SingleTxtG"/>
        <w:ind w:left="2268" w:hanging="1134"/>
      </w:pPr>
      <w:r w:rsidRPr="001253ED">
        <w:t>«7.3.2</w:t>
      </w:r>
      <w:r w:rsidRPr="001253ED">
        <w:tab/>
        <w:t>Ни одна измерительная …</w:t>
      </w:r>
    </w:p>
    <w:p w14:paraId="52AA0706" w14:textId="77777777" w:rsidR="001253ED" w:rsidRPr="001253ED" w:rsidRDefault="001253ED" w:rsidP="00B44FA2">
      <w:pPr>
        <w:pStyle w:val="SingleTxtG"/>
        <w:ind w:left="2268" w:hanging="1134"/>
      </w:pPr>
      <w:r w:rsidRPr="001253ED">
        <w:tab/>
        <w:t>Заданные точки измерения на капоте при использовании ударного элемента в виде модели головы ребенка должны находиться в пределах зоны испытания с использованием модели головы ребенка, как это определено в пункте </w:t>
      </w:r>
      <w:r w:rsidRPr="001253ED">
        <w:rPr>
          <w:b/>
          <w:bCs/>
        </w:rPr>
        <w:t>3.14.</w:t>
      </w:r>
    </w:p>
    <w:p w14:paraId="5FDC410D" w14:textId="77777777" w:rsidR="001253ED" w:rsidRPr="001253ED" w:rsidRDefault="001253ED" w:rsidP="001253ED">
      <w:pPr>
        <w:pStyle w:val="SingleTxtG"/>
      </w:pPr>
      <w:r w:rsidRPr="001253ED">
        <w:t>…»</w:t>
      </w:r>
    </w:p>
    <w:p w14:paraId="1FB881B1" w14:textId="77777777" w:rsidR="001253ED" w:rsidRPr="001253ED" w:rsidRDefault="00B44FA2" w:rsidP="00B44FA2">
      <w:pPr>
        <w:pStyle w:val="H1G"/>
      </w:pPr>
      <w:r>
        <w:tab/>
      </w:r>
      <w:r>
        <w:tab/>
      </w:r>
      <w:r w:rsidR="001253ED" w:rsidRPr="001253ED">
        <w:t>Поправки, принятые к документу ECE/TRANS/WP.29/GRSP/2012/2 (см. пункт 5 настоящего доклада)</w:t>
      </w:r>
    </w:p>
    <w:p w14:paraId="04542158" w14:textId="77777777" w:rsidR="001253ED" w:rsidRPr="001253ED" w:rsidRDefault="001253ED" w:rsidP="00B44FA2">
      <w:pPr>
        <w:pStyle w:val="H1G"/>
      </w:pPr>
      <w:r w:rsidRPr="001253ED">
        <w:tab/>
        <w:t>A.</w:t>
      </w:r>
      <w:r w:rsidRPr="001253ED">
        <w:tab/>
      </w:r>
      <w:r w:rsidRPr="001253ED">
        <w:tab/>
        <w:t>В</w:t>
      </w:r>
      <w:bookmarkStart w:id="6" w:name="_GoBack"/>
      <w:bookmarkEnd w:id="6"/>
      <w:r w:rsidRPr="001253ED">
        <w:t>ведение</w:t>
      </w:r>
    </w:p>
    <w:p w14:paraId="2A8FEFBB" w14:textId="77777777" w:rsidR="001253ED" w:rsidRPr="001253ED" w:rsidRDefault="001253ED" w:rsidP="00B44FA2">
      <w:pPr>
        <w:pStyle w:val="SingleTxtG"/>
        <w:ind w:left="1701" w:hanging="567"/>
      </w:pPr>
      <w:r w:rsidRPr="001253ED">
        <w:t>1.</w:t>
      </w:r>
      <w:r w:rsidRPr="001253ED">
        <w:tab/>
        <w:t xml:space="preserve">Цель </w:t>
      </w:r>
      <w:r w:rsidRPr="001253ED">
        <w:rPr>
          <w:b/>
          <w:bCs/>
        </w:rPr>
        <w:t>Глобальных технических правил</w:t>
      </w:r>
      <w:r w:rsidRPr="001253ED">
        <w:t xml:space="preserve"> № 9 ООН — усовершенствовать конструкцию элементов передней части транспортных средств, которые, как было установлено, являются причиной травматизма в случае наезда на пешехода или иного уязвимого участника дорожного движения.</w:t>
      </w:r>
    </w:p>
    <w:p w14:paraId="6EECACB3" w14:textId="77777777" w:rsidR="001253ED" w:rsidRPr="001253ED" w:rsidRDefault="001253ED" w:rsidP="00B44FA2">
      <w:pPr>
        <w:pStyle w:val="SingleTxtG"/>
        <w:ind w:left="1701" w:hanging="567"/>
      </w:pPr>
      <w:r w:rsidRPr="001253ED">
        <w:t>2.</w:t>
      </w:r>
      <w:r w:rsidRPr="001253ED">
        <w:tab/>
        <w:t xml:space="preserve">Цель настоящего предложения — внести изменения в </w:t>
      </w:r>
      <w:r w:rsidRPr="001253ED">
        <w:rPr>
          <w:b/>
          <w:bCs/>
        </w:rPr>
        <w:t>Глобальные технические правила</w:t>
      </w:r>
      <w:r w:rsidRPr="001253ED">
        <w:t xml:space="preserve"> (ГТП) № 9 ООН, касающиеся безопасности автотранспортных средств для пешеходов, с тем чтобы повысить их безопасность и безопасность других уязвимых участников дорожного движения. Оно предусматривает уточнение нынешнего текста ГТП № 9 ООН по безопасности пешеходов, с тем чтобы исключить возможность его неверного толкования и внести некоторые редакционные исправления.</w:t>
      </w:r>
    </w:p>
    <w:p w14:paraId="08AA5215" w14:textId="77777777" w:rsidR="001253ED" w:rsidRPr="001253ED" w:rsidRDefault="001253ED" w:rsidP="00B44FA2">
      <w:pPr>
        <w:pStyle w:val="H1G"/>
      </w:pPr>
      <w:r w:rsidRPr="001253ED">
        <w:tab/>
        <w:t>B.</w:t>
      </w:r>
      <w:r w:rsidRPr="001253ED">
        <w:tab/>
        <w:t>Обоснование изменений</w:t>
      </w:r>
    </w:p>
    <w:p w14:paraId="091B9745" w14:textId="22A31A2A" w:rsidR="001253ED" w:rsidRPr="001253ED" w:rsidRDefault="001253ED" w:rsidP="00B44FA2">
      <w:pPr>
        <w:pStyle w:val="SingleTxtG"/>
        <w:ind w:left="1701" w:hanging="567"/>
      </w:pPr>
      <w:r w:rsidRPr="001253ED">
        <w:t>3.</w:t>
      </w:r>
      <w:r w:rsidRPr="001253ED">
        <w:tab/>
        <w:t>С учетом замечаний эксперта от МОПАП, изложенных в неофициальном документе GRSP-48-27, GRSP признала, что нынешняя формулировка в ГТП</w:t>
      </w:r>
      <w:r w:rsidR="002E078D">
        <w:rPr>
          <w:lang w:val="en-US"/>
        </w:rPr>
        <w:t> </w:t>
      </w:r>
      <w:r w:rsidRPr="001253ED">
        <w:t>№</w:t>
      </w:r>
      <w:r w:rsidR="002E078D">
        <w:rPr>
          <w:lang w:val="en-US"/>
        </w:rPr>
        <w:t> </w:t>
      </w:r>
      <w:r w:rsidRPr="001253ED">
        <w:t xml:space="preserve">9 ООН, а также в </w:t>
      </w:r>
      <w:r w:rsidRPr="001253ED">
        <w:rPr>
          <w:b/>
          <w:bCs/>
        </w:rPr>
        <w:t xml:space="preserve">имевшемся на тот момент </w:t>
      </w:r>
      <w:r w:rsidRPr="001253ED">
        <w:t xml:space="preserve">проекте правил </w:t>
      </w:r>
      <w:r w:rsidRPr="001253ED">
        <w:rPr>
          <w:b/>
          <w:bCs/>
        </w:rPr>
        <w:t>№ 127</w:t>
      </w:r>
      <w:r w:rsidRPr="001253ED">
        <w:t xml:space="preserve"> ООН (Соглашение 1958 года) по безопасности пешеходов может явиться причиной трудностей с толкованием в части использования первой точки контакта в качестве основной контрольной точки в случае процедуры испытания с использованием модели головы. В исправлении 2 к ГТП № 9 ООН на этот момент было обращено еще более пристальное внимание в связи с будущим применением ГТП № 9 ООН Договаривающимися сторонами Соглашения 1998</w:t>
      </w:r>
      <w:r w:rsidR="00414748">
        <w:t> </w:t>
      </w:r>
      <w:r w:rsidRPr="001253ED">
        <w:t>года, а также Правил ООН — Договаривающимися сторонами Соглашения 1958 года.</w:t>
      </w:r>
    </w:p>
    <w:p w14:paraId="0286E8EB" w14:textId="77777777" w:rsidR="001253ED" w:rsidRPr="001253ED" w:rsidRDefault="001253ED" w:rsidP="00414748">
      <w:pPr>
        <w:pStyle w:val="SingleTxtG"/>
        <w:ind w:left="1701" w:hanging="567"/>
      </w:pPr>
      <w:r w:rsidRPr="001253ED">
        <w:t>4.</w:t>
      </w:r>
      <w:r w:rsidRPr="001253ED">
        <w:tab/>
        <w:t xml:space="preserve">Опыт, накопленный в Японии и Европе, показывает, что первую точку контакта, возможно, не следует … GRSP полагает, что эта предлагаемая процедура является </w:t>
      </w:r>
      <w:r w:rsidRPr="001253ED">
        <w:rPr>
          <w:b/>
          <w:bCs/>
        </w:rPr>
        <w:t>более четкой</w:t>
      </w:r>
      <w:r w:rsidRPr="001253ED">
        <w:t>, поскольку ее можно применить к каждой ...</w:t>
      </w:r>
    </w:p>
    <w:p w14:paraId="0CA2315A" w14:textId="77777777" w:rsidR="001253ED" w:rsidRPr="001253ED" w:rsidRDefault="001253ED" w:rsidP="001253ED">
      <w:pPr>
        <w:pStyle w:val="SingleTxtG"/>
      </w:pPr>
      <w:r w:rsidRPr="001253ED">
        <w:t>…</w:t>
      </w:r>
    </w:p>
    <w:p w14:paraId="454C0318" w14:textId="77777777" w:rsidR="001253ED" w:rsidRPr="001253ED" w:rsidRDefault="001253ED" w:rsidP="001253ED">
      <w:pPr>
        <w:pStyle w:val="SingleTxtG"/>
        <w:rPr>
          <w:b/>
          <w:bCs/>
        </w:rPr>
      </w:pPr>
      <w:r w:rsidRPr="001253ED">
        <w:t>7.</w:t>
      </w:r>
      <w:r w:rsidRPr="001253ED">
        <w:tab/>
        <w:t xml:space="preserve">Помимо... </w:t>
      </w:r>
      <w:r w:rsidRPr="001253ED">
        <w:rPr>
          <w:b/>
          <w:bCs/>
        </w:rPr>
        <w:t>безопасности пешеходов.</w:t>
      </w:r>
    </w:p>
    <w:p w14:paraId="101F7F70" w14:textId="77777777" w:rsidR="001253ED" w:rsidRPr="001253ED" w:rsidRDefault="001253ED" w:rsidP="00414748">
      <w:pPr>
        <w:pStyle w:val="SingleTxtG"/>
        <w:ind w:left="1701" w:hanging="567"/>
      </w:pPr>
      <w:r w:rsidRPr="001253ED">
        <w:rPr>
          <w:b/>
          <w:bCs/>
        </w:rPr>
        <w:t>8.</w:t>
      </w:r>
      <w:r w:rsidRPr="001253ED">
        <w:tab/>
        <w:t>В заключение предлагаются некоторые второстепенные редакционные исправления, уточняющие порядок сертификации ударных элементов.</w:t>
      </w:r>
    </w:p>
    <w:p w14:paraId="23689A12" w14:textId="77777777" w:rsidR="001253ED" w:rsidRPr="001253ED" w:rsidRDefault="001253ED" w:rsidP="00414748">
      <w:pPr>
        <w:pStyle w:val="SingleTxtG"/>
        <w:ind w:left="1701" w:hanging="567"/>
        <w:rPr>
          <w:b/>
          <w:bCs/>
        </w:rPr>
      </w:pPr>
      <w:r w:rsidRPr="001253ED">
        <w:rPr>
          <w:b/>
          <w:bCs/>
        </w:rPr>
        <w:t>9.</w:t>
      </w:r>
      <w:r w:rsidRPr="001253ED">
        <w:tab/>
        <w:t>Изложенные выше изменения процедуры основаны на опыте, накопленном за время обсуждения ГТП № 9 ООН в ходе совещаний прежней неофициальной группы по безопасности пешеходов (INF GR PS). В то же время можно было бы собрать экспериментальные данные, полученные в ходе испытаний транспортных средств на соответствие законодательству Японии и Европы, а</w:t>
      </w:r>
      <w:r w:rsidR="00414748">
        <w:t> </w:t>
      </w:r>
      <w:r w:rsidRPr="001253ED">
        <w:t xml:space="preserve">также принять во внимание потребности потребителей во всем мире. Эти процедуры отражают широко распространенную практику нормативного регулирования. Предлагаемые изменения позволят уточнить будущие всемирные правила по безопасности пешеходов в целях сведения до минимума возможностей неоднозначного </w:t>
      </w:r>
      <w:r w:rsidRPr="001253ED">
        <w:rPr>
          <w:b/>
          <w:bCs/>
        </w:rPr>
        <w:t>толкования и создания равных условий для национальных законодательных рамок, основанных на ГТП № 9 ООН.</w:t>
      </w:r>
    </w:p>
    <w:p w14:paraId="7EEB68B8" w14:textId="34D13F02" w:rsidR="001253ED" w:rsidRPr="001253ED" w:rsidRDefault="001253ED" w:rsidP="00414748">
      <w:pPr>
        <w:pStyle w:val="SingleTxtG"/>
        <w:ind w:left="1701" w:hanging="567"/>
        <w:rPr>
          <w:b/>
          <w:bCs/>
        </w:rPr>
      </w:pPr>
      <w:r w:rsidRPr="001253ED">
        <w:rPr>
          <w:b/>
          <w:bCs/>
        </w:rPr>
        <w:t>10.</w:t>
      </w:r>
      <w:r w:rsidRPr="001253ED">
        <w:t xml:space="preserve"> </w:t>
      </w:r>
      <w:r w:rsidRPr="001253ED">
        <w:tab/>
      </w:r>
      <w:r w:rsidRPr="001253ED">
        <w:rPr>
          <w:b/>
          <w:bCs/>
        </w:rPr>
        <w:t>Предлагаемые изменения уже включены в Правила № 127 ООН с поправками серии 01, которые были опубликованы в январе 2015 года.</w:t>
      </w:r>
      <w:r w:rsidRPr="001253ED">
        <w:t xml:space="preserve"> </w:t>
      </w:r>
      <w:r w:rsidRPr="001253ED">
        <w:rPr>
          <w:b/>
          <w:bCs/>
        </w:rPr>
        <w:t>В</w:t>
      </w:r>
      <w:r w:rsidR="004B23B7">
        <w:rPr>
          <w:b/>
          <w:bCs/>
          <w:lang w:val="en-US"/>
        </w:rPr>
        <w:t> </w:t>
      </w:r>
      <w:r w:rsidRPr="001253ED">
        <w:rPr>
          <w:b/>
          <w:bCs/>
        </w:rPr>
        <w:t>период с 2012 года по декабрь 2019 года этот вопрос оставался в повестке дня GRSP в связи с оговорками в отношении изучения, и в настоящее время ожидаются результаты изучения и анализа затрат и выгод.</w:t>
      </w:r>
    </w:p>
    <w:p w14:paraId="281D6649" w14:textId="77777777" w:rsidR="001253ED" w:rsidRPr="001253ED" w:rsidRDefault="001253ED" w:rsidP="00414748">
      <w:pPr>
        <w:pStyle w:val="H1G"/>
      </w:pPr>
      <w:r w:rsidRPr="001253ED">
        <w:tab/>
        <w:t>C.</w:t>
      </w:r>
      <w:r w:rsidRPr="001253ED">
        <w:tab/>
        <w:t>Опыт разработки ГТП ООН</w:t>
      </w:r>
    </w:p>
    <w:p w14:paraId="0AE9D9B6" w14:textId="77777777" w:rsidR="001253ED" w:rsidRPr="001253ED" w:rsidRDefault="001253ED" w:rsidP="00414748">
      <w:pPr>
        <w:pStyle w:val="SingleTxtG"/>
        <w:ind w:left="1701" w:hanging="567"/>
      </w:pPr>
      <w:r w:rsidRPr="001253ED">
        <w:rPr>
          <w:b/>
          <w:bCs/>
        </w:rPr>
        <w:t>11.</w:t>
      </w:r>
      <w:r w:rsidRPr="001253ED">
        <w:tab/>
        <w:t xml:space="preserve">Проект </w:t>
      </w:r>
      <w:r w:rsidRPr="001253ED">
        <w:rPr>
          <w:b/>
          <w:bCs/>
        </w:rPr>
        <w:t>Глобальных технических правил</w:t>
      </w:r>
      <w:r w:rsidRPr="001253ED">
        <w:t xml:space="preserve"> по безопасности пешеходов был занесен в Глобальный регистр 12 ноября 2008 года по общему согласию Договаривающихся сторон и издан под обозначением ECE/TRANS/180/Add.9. </w:t>
      </w:r>
    </w:p>
    <w:p w14:paraId="4851D0C4" w14:textId="77777777" w:rsidR="001253ED" w:rsidRPr="001253ED" w:rsidRDefault="001253ED" w:rsidP="00414748">
      <w:pPr>
        <w:pStyle w:val="SingleTxtG"/>
        <w:ind w:left="1701" w:hanging="567"/>
      </w:pPr>
      <w:r w:rsidRPr="001253ED">
        <w:rPr>
          <w:b/>
          <w:bCs/>
        </w:rPr>
        <w:t>12.</w:t>
      </w:r>
      <w:r w:rsidRPr="001253ED">
        <w:tab/>
        <w:t xml:space="preserve">Предложение разработать эту поправку к ГТП № 9 ООН было впервые представлено Исполнительному комитету Соглашения 1998 года (AC.3) для рассмотрения в ходе сто пятидесятой сессии WP.29 (15−18 ноября 2011 года) </w:t>
      </w:r>
      <w:r w:rsidR="00414748">
        <w:br/>
      </w:r>
      <w:r w:rsidRPr="001253ED">
        <w:t>в качестве документа ECE/TRANS/WP.29/2011/148, подготовленного Нидерландами.</w:t>
      </w:r>
    </w:p>
    <w:p w14:paraId="05C2CB25" w14:textId="77777777" w:rsidR="001253ED" w:rsidRPr="001253ED" w:rsidRDefault="001253ED" w:rsidP="00414748">
      <w:pPr>
        <w:pStyle w:val="SingleTxtG"/>
        <w:ind w:left="1701" w:hanging="567"/>
        <w:rPr>
          <w:b/>
          <w:bCs/>
        </w:rPr>
      </w:pPr>
      <w:r w:rsidRPr="001253ED">
        <w:rPr>
          <w:b/>
          <w:bCs/>
        </w:rPr>
        <w:t>13.</w:t>
      </w:r>
      <w:r w:rsidRPr="001253ED">
        <w:tab/>
        <w:t xml:space="preserve">В ходе своей пятьдесят первой сессии 21−25 мая 2012 года </w:t>
      </w:r>
      <w:r w:rsidRPr="001253ED">
        <w:rPr>
          <w:b/>
          <w:bCs/>
        </w:rPr>
        <w:t>GRSP просила обновить окончательный доклад о поправках к ГТП ООН (ECE/TRANS/</w:t>
      </w:r>
      <w:r w:rsidR="00414748">
        <w:rPr>
          <w:b/>
          <w:bCs/>
        </w:rPr>
        <w:br/>
      </w:r>
      <w:r w:rsidRPr="001253ED">
        <w:rPr>
          <w:b/>
          <w:bCs/>
        </w:rPr>
        <w:t>WP.29/GRSP/2012/2).</w:t>
      </w:r>
    </w:p>
    <w:p w14:paraId="1CF7F90D" w14:textId="77777777" w:rsidR="001253ED" w:rsidRPr="001253ED" w:rsidRDefault="001253ED" w:rsidP="00414748">
      <w:pPr>
        <w:pStyle w:val="SingleTxtG"/>
        <w:ind w:left="1701" w:hanging="567"/>
        <w:rPr>
          <w:b/>
          <w:bCs/>
        </w:rPr>
      </w:pPr>
      <w:r w:rsidRPr="001253ED">
        <w:rPr>
          <w:b/>
          <w:bCs/>
        </w:rPr>
        <w:t>14.</w:t>
      </w:r>
      <w:r w:rsidRPr="001253ED">
        <w:tab/>
      </w:r>
      <w:r w:rsidRPr="001253ED">
        <w:rPr>
          <w:b/>
          <w:bCs/>
        </w:rPr>
        <w:t>В ходе пятьдесят второй сессии, состоявшейся 11−14 декабря 2012 года, Европейская комиссия представила документ ECE/TRANS/WP.29/GRSP/</w:t>
      </w:r>
      <w:r w:rsidR="00414748">
        <w:rPr>
          <w:b/>
          <w:bCs/>
        </w:rPr>
        <w:br/>
      </w:r>
      <w:r w:rsidRPr="001253ED">
        <w:rPr>
          <w:b/>
          <w:bCs/>
        </w:rPr>
        <w:t>2012/14.</w:t>
      </w:r>
    </w:p>
    <w:p w14:paraId="701A1A72" w14:textId="77777777" w:rsidR="001253ED" w:rsidRPr="001253ED" w:rsidRDefault="001253ED" w:rsidP="00414748">
      <w:pPr>
        <w:pStyle w:val="SingleTxtG"/>
        <w:ind w:left="1701" w:hanging="567"/>
        <w:rPr>
          <w:b/>
          <w:bCs/>
        </w:rPr>
      </w:pPr>
      <w:r w:rsidRPr="001253ED">
        <w:rPr>
          <w:b/>
          <w:bCs/>
        </w:rPr>
        <w:t>15.</w:t>
      </w:r>
      <w:r w:rsidRPr="001253ED">
        <w:tab/>
      </w:r>
      <w:r w:rsidRPr="001253ED">
        <w:rPr>
          <w:b/>
          <w:bCs/>
        </w:rPr>
        <w:t>В ходе пятьдесят пятой сессии, состоявшейся 19−23 мая 2014 года, Европейская комиссия представила документы ECE/TRANS/WP.29/GRSP/</w:t>
      </w:r>
      <w:r w:rsidR="00414748">
        <w:rPr>
          <w:b/>
          <w:bCs/>
        </w:rPr>
        <w:br/>
      </w:r>
      <w:r w:rsidRPr="001253ED">
        <w:rPr>
          <w:b/>
          <w:bCs/>
        </w:rPr>
        <w:t>2014/2 и ECE/TRANS/WP.29/GRSP/2014/5 с целью уточнения этапа I и (на</w:t>
      </w:r>
      <w:r w:rsidR="00414748">
        <w:rPr>
          <w:b/>
          <w:bCs/>
        </w:rPr>
        <w:t> </w:t>
      </w:r>
      <w:r w:rsidRPr="001253ED">
        <w:rPr>
          <w:b/>
          <w:bCs/>
        </w:rPr>
        <w:t>момент составления проекта) этапа II разработки ГТП ООН.</w:t>
      </w:r>
    </w:p>
    <w:p w14:paraId="3475867E" w14:textId="77777777" w:rsidR="001253ED" w:rsidRPr="001253ED" w:rsidRDefault="001253ED" w:rsidP="00414748">
      <w:pPr>
        <w:pStyle w:val="SingleTxtG"/>
        <w:ind w:left="1701" w:hanging="567"/>
        <w:rPr>
          <w:b/>
          <w:bCs/>
        </w:rPr>
      </w:pPr>
      <w:r w:rsidRPr="001253ED">
        <w:rPr>
          <w:b/>
          <w:bCs/>
        </w:rPr>
        <w:t>16.</w:t>
      </w:r>
      <w:r w:rsidRPr="001253ED">
        <w:tab/>
      </w:r>
      <w:r w:rsidRPr="001253ED">
        <w:rPr>
          <w:b/>
          <w:bCs/>
        </w:rPr>
        <w:t>В ходе шестьдесят шестой сессии, состоявшейся 10−13 декабря 2019 года, было принято решение завершить работу по этому вопросу, и окончательное предложение было представлено GRSP в качестве неофициального документа GRSP-67-13.</w:t>
      </w:r>
    </w:p>
    <w:p w14:paraId="1BB56C03" w14:textId="77777777" w:rsidR="001253ED" w:rsidRDefault="001253ED">
      <w:pPr>
        <w:suppressAutoHyphens w:val="0"/>
        <w:spacing w:line="240" w:lineRule="auto"/>
        <w:rPr>
          <w:rFonts w:eastAsia="Times New Roman" w:cs="Times New Roman"/>
          <w:szCs w:val="20"/>
        </w:rPr>
      </w:pPr>
      <w:r>
        <w:br w:type="page"/>
      </w:r>
    </w:p>
    <w:p w14:paraId="19FD7992" w14:textId="77777777" w:rsidR="001253ED" w:rsidRPr="001253ED" w:rsidRDefault="001253ED" w:rsidP="00414748">
      <w:pPr>
        <w:pStyle w:val="HChG"/>
      </w:pPr>
      <w:r w:rsidRPr="001253ED">
        <w:t>Приложение III</w:t>
      </w:r>
    </w:p>
    <w:p w14:paraId="2C2D9EA5" w14:textId="77777777" w:rsidR="001253ED" w:rsidRPr="001253ED" w:rsidRDefault="001253ED" w:rsidP="00414748">
      <w:pPr>
        <w:pStyle w:val="HChG"/>
      </w:pPr>
      <w:r w:rsidRPr="001253ED">
        <w:tab/>
      </w:r>
      <w:r w:rsidRPr="001253ED">
        <w:tab/>
        <w:t xml:space="preserve">Проект поправок к Правилам № 16 ООН </w:t>
      </w:r>
      <w:r w:rsidR="00414748">
        <w:br/>
      </w:r>
      <w:r w:rsidRPr="001253ED">
        <w:t>(ремни безопасности)</w:t>
      </w:r>
    </w:p>
    <w:p w14:paraId="6D2BFA27" w14:textId="77777777" w:rsidR="001253ED" w:rsidRPr="001253ED" w:rsidRDefault="001253ED" w:rsidP="00414748">
      <w:pPr>
        <w:pStyle w:val="H1G"/>
      </w:pPr>
      <w:r w:rsidRPr="001253ED">
        <w:tab/>
      </w:r>
      <w:r w:rsidRPr="001253ED">
        <w:tab/>
        <w:t>Поправки, принятые к документу ECE/TRANS/WP.29/GRSP/2020/2 (см. пункт 9 настоящего доклада)</w:t>
      </w:r>
    </w:p>
    <w:p w14:paraId="4B289EAE" w14:textId="77777777" w:rsidR="001253ED" w:rsidRPr="001253ED" w:rsidRDefault="001253ED" w:rsidP="001253ED">
      <w:pPr>
        <w:pStyle w:val="SingleTxtG"/>
      </w:pPr>
      <w:r w:rsidRPr="001253ED">
        <w:rPr>
          <w:i/>
          <w:iCs/>
        </w:rPr>
        <w:t xml:space="preserve">Пункт 8.4.4.2 </w:t>
      </w:r>
      <w:r w:rsidRPr="001253ED">
        <w:t>изменить следующим образом:</w:t>
      </w:r>
    </w:p>
    <w:p w14:paraId="705C646E" w14:textId="77777777" w:rsidR="001253ED" w:rsidRPr="001253ED" w:rsidRDefault="001253ED" w:rsidP="00414748">
      <w:pPr>
        <w:pStyle w:val="SingleTxtG"/>
        <w:ind w:left="2268" w:hanging="1134"/>
        <w:rPr>
          <w:b/>
          <w:bCs/>
        </w:rPr>
      </w:pPr>
      <w:r w:rsidRPr="001253ED">
        <w:t>«8.4.4.2</w:t>
      </w:r>
      <w:r w:rsidRPr="001253ED">
        <w:tab/>
        <w:t xml:space="preserve">Визуальное предупреждение должно указывать по крайней мере все задние сиденья и позволять смотрящему вперед водителю, находящемуся на сиденье водителя, определить сидячее место, на котором не пристегнут ремень безопасности. В случае транспортных средств с информированием об использовании задних сидений нет необходимости в том, чтобы визуальное предупреждение указывало непристегнутые ремни безопасности на незанятых сидячих местах. В случае сидений, которые могут </w:t>
      </w:r>
      <w:r w:rsidRPr="001253ED">
        <w:rPr>
          <w:b/>
          <w:bCs/>
        </w:rPr>
        <w:t>фиксироваться в различных установленных положениях</w:t>
      </w:r>
      <w:r w:rsidRPr="001253ED">
        <w:t xml:space="preserve"> внутри транспортного средства (например, установленных на направляющих в полу),</w:t>
      </w:r>
      <w:r w:rsidRPr="001253ED">
        <w:rPr>
          <w:b/>
          <w:bCs/>
        </w:rPr>
        <w:t xml:space="preserve"> визуальное предупреждение</w:t>
      </w:r>
      <w:r w:rsidRPr="001253ED">
        <w:t xml:space="preserve"> должно по крайней мере указывать, когда не пристегнут любой из задних ремней безопасности».</w:t>
      </w:r>
    </w:p>
    <w:p w14:paraId="2385CD65" w14:textId="77777777" w:rsidR="001253ED" w:rsidRDefault="001253ED">
      <w:pPr>
        <w:suppressAutoHyphens w:val="0"/>
        <w:spacing w:line="240" w:lineRule="auto"/>
        <w:rPr>
          <w:rFonts w:eastAsia="Times New Roman" w:cs="Times New Roman"/>
          <w:szCs w:val="20"/>
        </w:rPr>
      </w:pPr>
      <w:r>
        <w:br w:type="page"/>
      </w:r>
    </w:p>
    <w:p w14:paraId="5F2551DD" w14:textId="77777777" w:rsidR="001253ED" w:rsidRPr="001253ED" w:rsidRDefault="001253ED" w:rsidP="00414748">
      <w:pPr>
        <w:pStyle w:val="HChG"/>
      </w:pPr>
      <w:r w:rsidRPr="001253ED">
        <w:t>Приложение IV</w:t>
      </w:r>
    </w:p>
    <w:p w14:paraId="35C271A3" w14:textId="77777777" w:rsidR="001253ED" w:rsidRPr="001253ED" w:rsidRDefault="001253ED" w:rsidP="00414748">
      <w:pPr>
        <w:pStyle w:val="HChG"/>
      </w:pPr>
      <w:r w:rsidRPr="001253ED">
        <w:tab/>
      </w:r>
      <w:r w:rsidRPr="001253ED">
        <w:tab/>
        <w:t xml:space="preserve">Проект поправок к Правилам № 17 ООН </w:t>
      </w:r>
      <w:r w:rsidR="00414748">
        <w:br/>
      </w:r>
      <w:r w:rsidRPr="001253ED">
        <w:t>(прочность сидений)</w:t>
      </w:r>
    </w:p>
    <w:p w14:paraId="7F8E58B2" w14:textId="77777777" w:rsidR="001253ED" w:rsidRPr="001253ED" w:rsidRDefault="001253ED" w:rsidP="00414748">
      <w:pPr>
        <w:pStyle w:val="H1G"/>
      </w:pPr>
      <w:r w:rsidRPr="001253ED">
        <w:tab/>
      </w:r>
      <w:r w:rsidRPr="001253ED">
        <w:tab/>
        <w:t>Поправки, принятые к документу ECE/TRANS/WP.29/GRSP/2020/8 (см. пункт 12 настоящего доклада)</w:t>
      </w:r>
      <w:bookmarkStart w:id="7" w:name="_Hlk28090830"/>
      <w:bookmarkEnd w:id="7"/>
    </w:p>
    <w:p w14:paraId="12EDA6BE" w14:textId="5BD3D70E" w:rsidR="001253ED" w:rsidRPr="001253ED" w:rsidRDefault="001253ED" w:rsidP="001253ED">
      <w:pPr>
        <w:pStyle w:val="SingleTxtG"/>
      </w:pPr>
      <w:r w:rsidRPr="001253ED">
        <w:rPr>
          <w:i/>
          <w:iCs/>
        </w:rPr>
        <w:t xml:space="preserve">Включить новые пункты </w:t>
      </w:r>
      <w:r w:rsidR="00AA72C4" w:rsidRPr="00040061">
        <w:rPr>
          <w:i/>
          <w:iCs/>
        </w:rPr>
        <w:t>1</w:t>
      </w:r>
      <w:r w:rsidRPr="001253ED">
        <w:rPr>
          <w:i/>
          <w:iCs/>
        </w:rPr>
        <w:t>3.13–</w:t>
      </w:r>
      <w:r w:rsidR="007D1125">
        <w:rPr>
          <w:i/>
          <w:iCs/>
        </w:rPr>
        <w:t>1</w:t>
      </w:r>
      <w:r w:rsidRPr="001253ED">
        <w:rPr>
          <w:i/>
          <w:iCs/>
        </w:rPr>
        <w:t>3.13.5</w:t>
      </w:r>
      <w:r w:rsidRPr="001253ED">
        <w:t xml:space="preserve"> следующего содержания:</w:t>
      </w:r>
    </w:p>
    <w:p w14:paraId="42228716" w14:textId="77777777" w:rsidR="001253ED" w:rsidRPr="001253ED" w:rsidRDefault="001253ED" w:rsidP="001253ED">
      <w:pPr>
        <w:pStyle w:val="SingleTxtG"/>
        <w:rPr>
          <w:bCs/>
        </w:rPr>
      </w:pPr>
      <w:r w:rsidRPr="001253ED">
        <w:t>«…</w:t>
      </w:r>
    </w:p>
    <w:p w14:paraId="41A53C72" w14:textId="77777777" w:rsidR="001253ED" w:rsidRPr="001253ED" w:rsidRDefault="001253ED" w:rsidP="00414748">
      <w:pPr>
        <w:pStyle w:val="SingleTxtG"/>
        <w:ind w:left="2268" w:hanging="1134"/>
        <w:rPr>
          <w:bCs/>
        </w:rPr>
      </w:pPr>
      <w:r w:rsidRPr="001253ED">
        <w:t>13.13.2</w:t>
      </w:r>
      <w:r w:rsidRPr="001253ED">
        <w:tab/>
        <w:t xml:space="preserve">До 1 сентября </w:t>
      </w:r>
      <w:r w:rsidRPr="001253ED">
        <w:rPr>
          <w:b/>
          <w:bCs/>
        </w:rPr>
        <w:t>2026</w:t>
      </w:r>
      <w:r w:rsidRPr="001253ED">
        <w:t xml:space="preserve"> года Договаривающиеся стороны, применяющие настоящие Правила ООН, признают официальные утверждения типа ООН на основании поправок предшествующих серий, которые были первоначально распространены до 1 сентября 2022 года.</w:t>
      </w:r>
    </w:p>
    <w:p w14:paraId="7B0CB901" w14:textId="77777777" w:rsidR="001253ED" w:rsidRPr="001253ED" w:rsidRDefault="001253ED" w:rsidP="00414748">
      <w:pPr>
        <w:pStyle w:val="SingleTxtG"/>
        <w:ind w:left="2268" w:hanging="1134"/>
        <w:rPr>
          <w:bCs/>
        </w:rPr>
      </w:pPr>
      <w:r w:rsidRPr="001253ED">
        <w:t>13.13.3</w:t>
      </w:r>
      <w:r w:rsidRPr="001253ED">
        <w:tab/>
        <w:t xml:space="preserve">Начиная с 1 сентября </w:t>
      </w:r>
      <w:r w:rsidRPr="001253ED">
        <w:rPr>
          <w:b/>
          <w:bCs/>
        </w:rPr>
        <w:t>2026</w:t>
      </w:r>
      <w:r w:rsidRPr="001253ED">
        <w:t xml:space="preserve"> года Договаривающиеся стороны, применяющие настоящие Правила, не обязаны признавать официальные утверждения типа, выданные на основании поправок предыдущих серий к настоящим Правилам. </w:t>
      </w:r>
    </w:p>
    <w:p w14:paraId="3222422B" w14:textId="77777777" w:rsidR="001253ED" w:rsidRPr="001253ED" w:rsidRDefault="001253ED" w:rsidP="00414748">
      <w:pPr>
        <w:pStyle w:val="SingleTxtG"/>
        <w:ind w:left="2268" w:hanging="1134"/>
        <w:rPr>
          <w:bCs/>
        </w:rPr>
      </w:pPr>
      <w:r w:rsidRPr="001253ED">
        <w:t>13.13.4</w:t>
      </w:r>
      <w:r w:rsidRPr="001253ED">
        <w:tab/>
        <w:t>Независимо от пункта 13.13.3 Договаривающиеся стороны, применяющие настоящие Правила ООН, продолжают признавать официальные утверждения типа ООН, выданные на основании поправок предыдущих серий к настоящим Правилам ООН и касающиеся транспортных средств, которые не затронуты изменениями, внесенными на основании поправок серии 10.</w:t>
      </w:r>
    </w:p>
    <w:p w14:paraId="67512730" w14:textId="77777777" w:rsidR="001253ED" w:rsidRPr="001253ED" w:rsidRDefault="001253ED" w:rsidP="001253ED">
      <w:pPr>
        <w:pStyle w:val="SingleTxtG"/>
        <w:rPr>
          <w:bCs/>
        </w:rPr>
      </w:pPr>
      <w:r w:rsidRPr="001253ED">
        <w:t>…»</w:t>
      </w:r>
    </w:p>
    <w:p w14:paraId="2F5945CA" w14:textId="77777777" w:rsidR="001253ED" w:rsidRDefault="001253ED">
      <w:pPr>
        <w:suppressAutoHyphens w:val="0"/>
        <w:spacing w:line="240" w:lineRule="auto"/>
        <w:rPr>
          <w:rFonts w:eastAsia="Times New Roman" w:cs="Times New Roman"/>
          <w:szCs w:val="20"/>
        </w:rPr>
      </w:pPr>
      <w:r>
        <w:br w:type="page"/>
      </w:r>
    </w:p>
    <w:p w14:paraId="0ED718B3" w14:textId="77777777" w:rsidR="001253ED" w:rsidRPr="001253ED" w:rsidRDefault="001253ED" w:rsidP="00414748">
      <w:pPr>
        <w:pStyle w:val="HChG"/>
      </w:pPr>
      <w:r w:rsidRPr="001253ED">
        <w:t>Приложение V</w:t>
      </w:r>
    </w:p>
    <w:p w14:paraId="6CDB34FC" w14:textId="77777777" w:rsidR="001253ED" w:rsidRPr="001253ED" w:rsidRDefault="001253ED" w:rsidP="00414748">
      <w:pPr>
        <w:pStyle w:val="HChG"/>
      </w:pPr>
      <w:r w:rsidRPr="001253ED">
        <w:tab/>
      </w:r>
      <w:r w:rsidRPr="001253ED">
        <w:tab/>
        <w:t xml:space="preserve">Проект поправок к Правилам № 44 ООН </w:t>
      </w:r>
      <w:r w:rsidR="00414748">
        <w:br/>
      </w:r>
      <w:r w:rsidRPr="001253ED">
        <w:t>(детские удерживающие системы)</w:t>
      </w:r>
    </w:p>
    <w:p w14:paraId="308C9CF6" w14:textId="77777777" w:rsidR="001253ED" w:rsidRPr="001253ED" w:rsidRDefault="001253ED" w:rsidP="00414748">
      <w:pPr>
        <w:pStyle w:val="H1G"/>
      </w:pPr>
      <w:r w:rsidRPr="001253ED">
        <w:tab/>
      </w:r>
      <w:r w:rsidRPr="001253ED">
        <w:tab/>
        <w:t xml:space="preserve">Принятый текст, основанный на документах GRSP-67-14 </w:t>
      </w:r>
      <w:r w:rsidR="00414748">
        <w:br/>
      </w:r>
      <w:r w:rsidRPr="001253ED">
        <w:t>и GRSP-67-31 (см. пункт 33 настоящего доклада)</w:t>
      </w:r>
      <w:bookmarkStart w:id="8" w:name="_Hlk47004115"/>
      <w:bookmarkEnd w:id="8"/>
    </w:p>
    <w:p w14:paraId="1D6E551F" w14:textId="77777777" w:rsidR="001253ED" w:rsidRPr="001253ED" w:rsidRDefault="001253ED" w:rsidP="001253ED">
      <w:pPr>
        <w:pStyle w:val="SingleTxtG"/>
      </w:pPr>
      <w:r w:rsidRPr="001253ED">
        <w:rPr>
          <w:i/>
          <w:iCs/>
        </w:rPr>
        <w:t>Пункт 6.1.3</w:t>
      </w:r>
      <w:r w:rsidRPr="001253ED">
        <w:t xml:space="preserve"> изменить следующим образом:</w:t>
      </w:r>
    </w:p>
    <w:p w14:paraId="2CC4523E" w14:textId="77777777" w:rsidR="001253ED" w:rsidRPr="001253ED" w:rsidRDefault="001253ED" w:rsidP="00414748">
      <w:pPr>
        <w:pStyle w:val="SingleTxtG"/>
        <w:ind w:left="2268" w:hanging="1134"/>
      </w:pPr>
      <w:r w:rsidRPr="001253ED">
        <w:t>«6.1.3</w:t>
      </w:r>
      <w:r w:rsidRPr="001253ED">
        <w:tab/>
        <w:t>В зависимости от своей категории детское удерживающее устройство должно крепиться к конструкции транспортного средства или к конструкции сиденья.</w:t>
      </w:r>
    </w:p>
    <w:p w14:paraId="0293CF0C" w14:textId="77777777" w:rsidR="001253ED" w:rsidRPr="001253ED" w:rsidRDefault="001253ED" w:rsidP="001253ED">
      <w:pPr>
        <w:pStyle w:val="SingleTxtG"/>
      </w:pPr>
      <w:r w:rsidRPr="001253ED">
        <w:t>Возможные конфигурации для официального утверждения Таблица групп/категорий</w:t>
      </w:r>
    </w:p>
    <w:tbl>
      <w:tblPr>
        <w:tblW w:w="8496"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246"/>
        <w:gridCol w:w="567"/>
        <w:gridCol w:w="851"/>
        <w:gridCol w:w="567"/>
        <w:gridCol w:w="847"/>
      </w:tblGrid>
      <w:tr w:rsidR="001253ED" w:rsidRPr="00414748" w14:paraId="0CE44D04" w14:textId="77777777" w:rsidTr="00414748">
        <w:trPr>
          <w:cantSplit/>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7B7AAD83"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Группа Категория</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2C5F769A"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Универсальная (1)</w:t>
            </w:r>
          </w:p>
        </w:tc>
        <w:tc>
          <w:tcPr>
            <w:tcW w:w="1770" w:type="dxa"/>
            <w:gridSpan w:val="2"/>
            <w:tcBorders>
              <w:top w:val="single" w:sz="2" w:space="0" w:color="auto"/>
              <w:left w:val="single" w:sz="2" w:space="0" w:color="auto"/>
              <w:bottom w:val="single" w:sz="2" w:space="0" w:color="auto"/>
              <w:right w:val="single" w:sz="2" w:space="0" w:color="auto"/>
            </w:tcBorders>
            <w:vAlign w:val="bottom"/>
            <w:hideMark/>
          </w:tcPr>
          <w:p w14:paraId="6555ADA9" w14:textId="77777777" w:rsidR="001253ED" w:rsidRPr="00414748" w:rsidRDefault="001253ED" w:rsidP="00414748">
            <w:pPr>
              <w:suppressAutoHyphens w:val="0"/>
              <w:autoSpaceDE w:val="0"/>
              <w:autoSpaceDN w:val="0"/>
              <w:adjustRightInd w:val="0"/>
              <w:snapToGrid w:val="0"/>
              <w:spacing w:before="80" w:after="80" w:line="200" w:lineRule="exact"/>
              <w:ind w:left="57" w:right="57"/>
              <w:rPr>
                <w:i/>
                <w:spacing w:val="-2"/>
                <w:sz w:val="16"/>
                <w:szCs w:val="18"/>
              </w:rPr>
            </w:pPr>
            <w:r w:rsidRPr="00414748">
              <w:rPr>
                <w:i/>
                <w:iCs/>
                <w:sz w:val="16"/>
                <w:szCs w:val="18"/>
              </w:rPr>
              <w:t>Полууниверсальная (2)</w:t>
            </w:r>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2F423AF"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 xml:space="preserve">Ограниченного </w:t>
            </w:r>
            <w:r w:rsidR="00414748">
              <w:rPr>
                <w:i/>
                <w:iCs/>
                <w:sz w:val="16"/>
                <w:szCs w:val="18"/>
              </w:rPr>
              <w:br/>
            </w:r>
            <w:r w:rsidRPr="00414748">
              <w:rPr>
                <w:i/>
                <w:iCs/>
                <w:sz w:val="16"/>
                <w:szCs w:val="18"/>
              </w:rPr>
              <w:t>использования</w:t>
            </w:r>
          </w:p>
        </w:tc>
        <w:tc>
          <w:tcPr>
            <w:tcW w:w="1414" w:type="dxa"/>
            <w:gridSpan w:val="2"/>
            <w:tcBorders>
              <w:top w:val="single" w:sz="2" w:space="0" w:color="auto"/>
              <w:left w:val="single" w:sz="2" w:space="0" w:color="auto"/>
              <w:bottom w:val="single" w:sz="2" w:space="0" w:color="auto"/>
              <w:right w:val="single" w:sz="2" w:space="0" w:color="auto"/>
            </w:tcBorders>
            <w:vAlign w:val="bottom"/>
            <w:hideMark/>
          </w:tcPr>
          <w:p w14:paraId="0B09AAA6"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Конкретного транспортного средства</w:t>
            </w:r>
          </w:p>
        </w:tc>
      </w:tr>
      <w:tr w:rsidR="001253ED" w:rsidRPr="00414748" w14:paraId="600563E4" w14:textId="77777777" w:rsidTr="00414748">
        <w:trPr>
          <w:cantSplit/>
          <w:tblHeader/>
        </w:trPr>
        <w:tc>
          <w:tcPr>
            <w:tcW w:w="2360" w:type="dxa"/>
            <w:gridSpan w:val="2"/>
            <w:vMerge/>
            <w:tcBorders>
              <w:top w:val="single" w:sz="2" w:space="0" w:color="auto"/>
              <w:left w:val="single" w:sz="2" w:space="0" w:color="auto"/>
              <w:bottom w:val="single" w:sz="12" w:space="0" w:color="auto"/>
              <w:right w:val="single" w:sz="2" w:space="0" w:color="auto"/>
            </w:tcBorders>
            <w:vAlign w:val="bottom"/>
            <w:hideMark/>
          </w:tcPr>
          <w:p w14:paraId="2D6B5A76" w14:textId="77777777" w:rsidR="001253ED" w:rsidRPr="00414748" w:rsidRDefault="001253ED" w:rsidP="00414748">
            <w:pPr>
              <w:suppressAutoHyphens w:val="0"/>
              <w:spacing w:before="80" w:after="80" w:line="200" w:lineRule="exact"/>
              <w:rPr>
                <w:i/>
                <w:sz w:val="16"/>
                <w:szCs w:val="18"/>
                <w:lang w:eastAsia="fr-FR"/>
              </w:rPr>
            </w:pPr>
          </w:p>
        </w:tc>
        <w:tc>
          <w:tcPr>
            <w:tcW w:w="524" w:type="dxa"/>
            <w:tcBorders>
              <w:top w:val="single" w:sz="2" w:space="0" w:color="auto"/>
              <w:left w:val="single" w:sz="2" w:space="0" w:color="auto"/>
              <w:bottom w:val="single" w:sz="12" w:space="0" w:color="auto"/>
              <w:right w:val="single" w:sz="2" w:space="0" w:color="auto"/>
            </w:tcBorders>
            <w:vAlign w:val="bottom"/>
            <w:hideMark/>
          </w:tcPr>
          <w:p w14:paraId="0A7A29B3"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ДУС</w:t>
            </w:r>
          </w:p>
        </w:tc>
        <w:tc>
          <w:tcPr>
            <w:tcW w:w="1010" w:type="dxa"/>
            <w:tcBorders>
              <w:top w:val="single" w:sz="2" w:space="0" w:color="auto"/>
              <w:left w:val="single" w:sz="2" w:space="0" w:color="auto"/>
              <w:bottom w:val="single" w:sz="12" w:space="0" w:color="auto"/>
              <w:right w:val="single" w:sz="2" w:space="0" w:color="auto"/>
            </w:tcBorders>
            <w:vAlign w:val="bottom"/>
            <w:hideMark/>
          </w:tcPr>
          <w:p w14:paraId="0B9E80C9"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ДУС ISOFIX</w:t>
            </w:r>
          </w:p>
        </w:tc>
        <w:tc>
          <w:tcPr>
            <w:tcW w:w="524" w:type="dxa"/>
            <w:tcBorders>
              <w:top w:val="single" w:sz="2" w:space="0" w:color="auto"/>
              <w:left w:val="single" w:sz="2" w:space="0" w:color="auto"/>
              <w:bottom w:val="single" w:sz="12" w:space="0" w:color="auto"/>
              <w:right w:val="single" w:sz="2" w:space="0" w:color="auto"/>
            </w:tcBorders>
            <w:vAlign w:val="bottom"/>
            <w:hideMark/>
          </w:tcPr>
          <w:p w14:paraId="5ABF60CE"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ДУС</w:t>
            </w:r>
          </w:p>
        </w:tc>
        <w:tc>
          <w:tcPr>
            <w:tcW w:w="1246" w:type="dxa"/>
            <w:tcBorders>
              <w:top w:val="single" w:sz="2" w:space="0" w:color="auto"/>
              <w:left w:val="single" w:sz="2" w:space="0" w:color="auto"/>
              <w:bottom w:val="single" w:sz="12" w:space="0" w:color="auto"/>
              <w:right w:val="single" w:sz="2" w:space="0" w:color="auto"/>
            </w:tcBorders>
            <w:vAlign w:val="bottom"/>
            <w:hideMark/>
          </w:tcPr>
          <w:p w14:paraId="7AF1AB1B"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 xml:space="preserve">ДУС </w:t>
            </w:r>
            <w:r w:rsidR="00414748">
              <w:rPr>
                <w:i/>
                <w:iCs/>
                <w:sz w:val="16"/>
                <w:szCs w:val="18"/>
              </w:rPr>
              <w:br/>
            </w:r>
            <w:r w:rsidRPr="00414748">
              <w:rPr>
                <w:i/>
                <w:iCs/>
                <w:sz w:val="16"/>
                <w:szCs w:val="18"/>
              </w:rPr>
              <w:t>ISOFIX</w:t>
            </w:r>
          </w:p>
        </w:tc>
        <w:tc>
          <w:tcPr>
            <w:tcW w:w="567" w:type="dxa"/>
            <w:tcBorders>
              <w:top w:val="single" w:sz="2" w:space="0" w:color="auto"/>
              <w:left w:val="single" w:sz="2" w:space="0" w:color="auto"/>
              <w:bottom w:val="single" w:sz="12" w:space="0" w:color="auto"/>
              <w:right w:val="single" w:sz="2" w:space="0" w:color="auto"/>
            </w:tcBorders>
            <w:vAlign w:val="bottom"/>
            <w:hideMark/>
          </w:tcPr>
          <w:p w14:paraId="243E16B5"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ДУС</w:t>
            </w:r>
          </w:p>
        </w:tc>
        <w:tc>
          <w:tcPr>
            <w:tcW w:w="851" w:type="dxa"/>
            <w:tcBorders>
              <w:top w:val="single" w:sz="2" w:space="0" w:color="auto"/>
              <w:left w:val="single" w:sz="2" w:space="0" w:color="auto"/>
              <w:bottom w:val="single" w:sz="12" w:space="0" w:color="auto"/>
              <w:right w:val="single" w:sz="2" w:space="0" w:color="auto"/>
            </w:tcBorders>
            <w:vAlign w:val="bottom"/>
            <w:hideMark/>
          </w:tcPr>
          <w:p w14:paraId="7CF9E6CE"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ДУС ISOFIX</w:t>
            </w:r>
          </w:p>
        </w:tc>
        <w:tc>
          <w:tcPr>
            <w:tcW w:w="567" w:type="dxa"/>
            <w:tcBorders>
              <w:top w:val="single" w:sz="2" w:space="0" w:color="auto"/>
              <w:left w:val="single" w:sz="2" w:space="0" w:color="auto"/>
              <w:bottom w:val="single" w:sz="12" w:space="0" w:color="auto"/>
              <w:right w:val="single" w:sz="2" w:space="0" w:color="auto"/>
            </w:tcBorders>
            <w:vAlign w:val="bottom"/>
            <w:hideMark/>
          </w:tcPr>
          <w:p w14:paraId="1A1870DD"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ДУС</w:t>
            </w:r>
          </w:p>
        </w:tc>
        <w:tc>
          <w:tcPr>
            <w:tcW w:w="847" w:type="dxa"/>
            <w:tcBorders>
              <w:top w:val="single" w:sz="2" w:space="0" w:color="auto"/>
              <w:left w:val="single" w:sz="2" w:space="0" w:color="auto"/>
              <w:bottom w:val="single" w:sz="12" w:space="0" w:color="auto"/>
              <w:right w:val="single" w:sz="2" w:space="0" w:color="auto"/>
            </w:tcBorders>
            <w:vAlign w:val="bottom"/>
            <w:hideMark/>
          </w:tcPr>
          <w:p w14:paraId="36AE83DC" w14:textId="77777777" w:rsidR="001253ED" w:rsidRPr="00414748" w:rsidRDefault="001253ED" w:rsidP="00414748">
            <w:pPr>
              <w:suppressAutoHyphens w:val="0"/>
              <w:autoSpaceDE w:val="0"/>
              <w:autoSpaceDN w:val="0"/>
              <w:adjustRightInd w:val="0"/>
              <w:snapToGrid w:val="0"/>
              <w:spacing w:before="80" w:after="80" w:line="200" w:lineRule="exact"/>
              <w:ind w:left="57" w:right="113"/>
              <w:rPr>
                <w:i/>
                <w:sz w:val="16"/>
                <w:szCs w:val="18"/>
              </w:rPr>
            </w:pPr>
            <w:r w:rsidRPr="00414748">
              <w:rPr>
                <w:i/>
                <w:iCs/>
                <w:sz w:val="16"/>
                <w:szCs w:val="18"/>
              </w:rPr>
              <w:t>ДУС ISOFIX</w:t>
            </w:r>
          </w:p>
        </w:tc>
      </w:tr>
      <w:tr w:rsidR="001253ED" w:rsidRPr="00D62842" w14:paraId="1288C13D" w14:textId="77777777" w:rsidTr="00414748">
        <w:trPr>
          <w:trHeight w:hRule="exact" w:val="400"/>
        </w:trPr>
        <w:tc>
          <w:tcPr>
            <w:tcW w:w="348" w:type="dxa"/>
            <w:vMerge w:val="restart"/>
            <w:tcBorders>
              <w:top w:val="single" w:sz="12" w:space="0" w:color="auto"/>
              <w:left w:val="single" w:sz="2" w:space="0" w:color="auto"/>
              <w:bottom w:val="single" w:sz="2" w:space="0" w:color="auto"/>
              <w:right w:val="single" w:sz="4" w:space="0" w:color="auto"/>
            </w:tcBorders>
            <w:vAlign w:val="center"/>
            <w:hideMark/>
          </w:tcPr>
          <w:p w14:paraId="49D5FAEB" w14:textId="77777777" w:rsidR="001253ED" w:rsidRPr="00D62842" w:rsidRDefault="001253ED" w:rsidP="00046863">
            <w:pPr>
              <w:suppressAutoHyphens w:val="0"/>
              <w:autoSpaceDE w:val="0"/>
              <w:autoSpaceDN w:val="0"/>
              <w:adjustRightInd w:val="0"/>
              <w:spacing w:before="40" w:after="40" w:line="220" w:lineRule="exact"/>
              <w:ind w:left="11"/>
              <w:rPr>
                <w:sz w:val="18"/>
                <w:szCs w:val="18"/>
              </w:rPr>
            </w:pPr>
            <w:r w:rsidRPr="00D62842">
              <w:t>0</w:t>
            </w:r>
          </w:p>
        </w:tc>
        <w:tc>
          <w:tcPr>
            <w:tcW w:w="2012" w:type="dxa"/>
            <w:tcBorders>
              <w:top w:val="single" w:sz="4" w:space="0" w:color="auto"/>
              <w:left w:val="single" w:sz="4" w:space="0" w:color="auto"/>
              <w:bottom w:val="single" w:sz="4" w:space="0" w:color="auto"/>
              <w:right w:val="single" w:sz="4" w:space="0" w:color="auto"/>
            </w:tcBorders>
            <w:hideMark/>
          </w:tcPr>
          <w:p w14:paraId="3107E216"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Детская люлька</w:t>
            </w:r>
          </w:p>
        </w:tc>
        <w:tc>
          <w:tcPr>
            <w:tcW w:w="524" w:type="dxa"/>
            <w:tcBorders>
              <w:top w:val="single" w:sz="4" w:space="0" w:color="auto"/>
              <w:left w:val="single" w:sz="4" w:space="0" w:color="auto"/>
              <w:bottom w:val="single" w:sz="4" w:space="0" w:color="auto"/>
              <w:right w:val="single" w:sz="4" w:space="0" w:color="auto"/>
            </w:tcBorders>
            <w:hideMark/>
          </w:tcPr>
          <w:p w14:paraId="1679423B"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4" w:space="0" w:color="auto"/>
              <w:left w:val="single" w:sz="4" w:space="0" w:color="auto"/>
              <w:bottom w:val="single" w:sz="4" w:space="0" w:color="auto"/>
              <w:right w:val="single" w:sz="4" w:space="0" w:color="auto"/>
            </w:tcBorders>
            <w:hideMark/>
          </w:tcPr>
          <w:p w14:paraId="44EE9BE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4" w:space="0" w:color="auto"/>
              <w:left w:val="single" w:sz="4" w:space="0" w:color="auto"/>
              <w:bottom w:val="single" w:sz="4" w:space="0" w:color="auto"/>
              <w:right w:val="single" w:sz="4" w:space="0" w:color="auto"/>
            </w:tcBorders>
            <w:hideMark/>
          </w:tcPr>
          <w:p w14:paraId="10E0289E"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4" w:space="0" w:color="auto"/>
              <w:left w:val="single" w:sz="4" w:space="0" w:color="auto"/>
              <w:bottom w:val="single" w:sz="4" w:space="0" w:color="auto"/>
              <w:right w:val="single" w:sz="4" w:space="0" w:color="auto"/>
            </w:tcBorders>
            <w:hideMark/>
          </w:tcPr>
          <w:p w14:paraId="0282E941"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567" w:type="dxa"/>
            <w:tcBorders>
              <w:top w:val="single" w:sz="4" w:space="0" w:color="auto"/>
              <w:left w:val="single" w:sz="4" w:space="0" w:color="auto"/>
              <w:bottom w:val="single" w:sz="4" w:space="0" w:color="auto"/>
              <w:right w:val="single" w:sz="4" w:space="0" w:color="auto"/>
            </w:tcBorders>
            <w:hideMark/>
          </w:tcPr>
          <w:p w14:paraId="733B0A66"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4" w:space="0" w:color="auto"/>
              <w:left w:val="single" w:sz="4" w:space="0" w:color="auto"/>
              <w:bottom w:val="single" w:sz="4" w:space="0" w:color="auto"/>
              <w:right w:val="single" w:sz="4" w:space="0" w:color="auto"/>
            </w:tcBorders>
            <w:hideMark/>
          </w:tcPr>
          <w:p w14:paraId="3B0AD635"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4" w:space="0" w:color="auto"/>
              <w:left w:val="single" w:sz="4" w:space="0" w:color="auto"/>
              <w:bottom w:val="single" w:sz="4" w:space="0" w:color="auto"/>
              <w:right w:val="single" w:sz="4" w:space="0" w:color="auto"/>
            </w:tcBorders>
            <w:hideMark/>
          </w:tcPr>
          <w:p w14:paraId="29C87012"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4" w:space="0" w:color="auto"/>
              <w:left w:val="single" w:sz="4" w:space="0" w:color="auto"/>
              <w:bottom w:val="single" w:sz="4" w:space="0" w:color="auto"/>
              <w:right w:val="single" w:sz="4" w:space="0" w:color="auto"/>
            </w:tcBorders>
            <w:hideMark/>
          </w:tcPr>
          <w:p w14:paraId="09801A97"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60E4D2C3" w14:textId="77777777" w:rsidTr="00414748">
        <w:trPr>
          <w:trHeight w:hRule="exact" w:val="400"/>
        </w:trPr>
        <w:tc>
          <w:tcPr>
            <w:tcW w:w="348" w:type="dxa"/>
            <w:vMerge/>
            <w:tcBorders>
              <w:top w:val="single" w:sz="12" w:space="0" w:color="auto"/>
              <w:left w:val="single" w:sz="2" w:space="0" w:color="auto"/>
              <w:bottom w:val="single" w:sz="2" w:space="0" w:color="auto"/>
              <w:right w:val="single" w:sz="4" w:space="0" w:color="auto"/>
            </w:tcBorders>
            <w:vAlign w:val="center"/>
            <w:hideMark/>
          </w:tcPr>
          <w:p w14:paraId="236A0559" w14:textId="77777777" w:rsidR="001253ED" w:rsidRPr="00D62842" w:rsidRDefault="001253ED" w:rsidP="00046863">
            <w:pPr>
              <w:suppressAutoHyphens w:val="0"/>
              <w:spacing w:line="240" w:lineRule="auto"/>
              <w:ind w:left="11"/>
              <w:rPr>
                <w:sz w:val="18"/>
                <w:szCs w:val="18"/>
                <w:lang w:eastAsia="fr-FR"/>
              </w:rPr>
            </w:pPr>
          </w:p>
        </w:tc>
        <w:tc>
          <w:tcPr>
            <w:tcW w:w="2012" w:type="dxa"/>
            <w:tcBorders>
              <w:top w:val="single" w:sz="4" w:space="0" w:color="auto"/>
              <w:left w:val="single" w:sz="2" w:space="0" w:color="auto"/>
              <w:bottom w:val="single" w:sz="2" w:space="0" w:color="auto"/>
              <w:right w:val="single" w:sz="2" w:space="0" w:color="auto"/>
            </w:tcBorders>
          </w:tcPr>
          <w:p w14:paraId="355BE60C"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2195357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14:paraId="743137FF"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14:paraId="1F3E380F" w14:textId="77777777" w:rsidR="001253ED" w:rsidRPr="00D62842" w:rsidRDefault="001253ED" w:rsidP="00831BBC">
            <w:pPr>
              <w:spacing w:before="40" w:after="40" w:line="220" w:lineRule="exact"/>
              <w:ind w:left="57" w:right="57"/>
              <w:rPr>
                <w:sz w:val="18"/>
                <w:szCs w:val="18"/>
              </w:rPr>
            </w:pPr>
          </w:p>
        </w:tc>
        <w:tc>
          <w:tcPr>
            <w:tcW w:w="1246" w:type="dxa"/>
            <w:tcBorders>
              <w:top w:val="single" w:sz="4" w:space="0" w:color="auto"/>
              <w:left w:val="single" w:sz="2" w:space="0" w:color="auto"/>
              <w:bottom w:val="single" w:sz="2" w:space="0" w:color="auto"/>
              <w:right w:val="single" w:sz="2" w:space="0" w:color="auto"/>
            </w:tcBorders>
          </w:tcPr>
          <w:p w14:paraId="30F96C32"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p>
        </w:tc>
        <w:tc>
          <w:tcPr>
            <w:tcW w:w="567" w:type="dxa"/>
            <w:tcBorders>
              <w:top w:val="single" w:sz="4" w:space="0" w:color="auto"/>
              <w:left w:val="single" w:sz="2" w:space="0" w:color="auto"/>
              <w:bottom w:val="single" w:sz="2" w:space="0" w:color="auto"/>
              <w:right w:val="single" w:sz="2" w:space="0" w:color="auto"/>
            </w:tcBorders>
          </w:tcPr>
          <w:p w14:paraId="6BB87E59" w14:textId="77777777" w:rsidR="001253ED" w:rsidRPr="00D62842" w:rsidRDefault="001253ED" w:rsidP="00831BBC">
            <w:pPr>
              <w:spacing w:before="40" w:after="40" w:line="220" w:lineRule="exact"/>
              <w:ind w:left="57" w:right="57"/>
              <w:rPr>
                <w:sz w:val="18"/>
                <w:szCs w:val="18"/>
              </w:rPr>
            </w:pPr>
          </w:p>
        </w:tc>
        <w:tc>
          <w:tcPr>
            <w:tcW w:w="851" w:type="dxa"/>
            <w:tcBorders>
              <w:top w:val="single" w:sz="4" w:space="0" w:color="auto"/>
              <w:left w:val="single" w:sz="2" w:space="0" w:color="auto"/>
              <w:bottom w:val="single" w:sz="2" w:space="0" w:color="auto"/>
              <w:right w:val="single" w:sz="2" w:space="0" w:color="auto"/>
            </w:tcBorders>
          </w:tcPr>
          <w:p w14:paraId="1FD4016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p>
        </w:tc>
        <w:tc>
          <w:tcPr>
            <w:tcW w:w="567" w:type="dxa"/>
            <w:tcBorders>
              <w:top w:val="single" w:sz="4" w:space="0" w:color="auto"/>
              <w:left w:val="single" w:sz="2" w:space="0" w:color="auto"/>
              <w:bottom w:val="single" w:sz="2" w:space="0" w:color="auto"/>
              <w:right w:val="single" w:sz="2" w:space="0" w:color="auto"/>
            </w:tcBorders>
          </w:tcPr>
          <w:p w14:paraId="2346F456" w14:textId="77777777" w:rsidR="001253ED" w:rsidRPr="00D62842" w:rsidRDefault="001253ED" w:rsidP="00831BBC">
            <w:pPr>
              <w:spacing w:before="40" w:after="40" w:line="220" w:lineRule="exact"/>
              <w:ind w:left="57" w:right="57"/>
              <w:rPr>
                <w:sz w:val="18"/>
                <w:szCs w:val="18"/>
              </w:rPr>
            </w:pPr>
          </w:p>
        </w:tc>
        <w:tc>
          <w:tcPr>
            <w:tcW w:w="847" w:type="dxa"/>
            <w:tcBorders>
              <w:top w:val="single" w:sz="4" w:space="0" w:color="auto"/>
              <w:left w:val="single" w:sz="2" w:space="0" w:color="auto"/>
              <w:bottom w:val="single" w:sz="2" w:space="0" w:color="auto"/>
              <w:right w:val="single" w:sz="2" w:space="0" w:color="auto"/>
            </w:tcBorders>
          </w:tcPr>
          <w:p w14:paraId="74183CE3"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p>
        </w:tc>
      </w:tr>
      <w:tr w:rsidR="001253ED" w:rsidRPr="00D62842" w14:paraId="0263E7E2" w14:textId="77777777" w:rsidTr="00414748">
        <w:trPr>
          <w:trHeight w:hRule="exact" w:val="579"/>
        </w:trPr>
        <w:tc>
          <w:tcPr>
            <w:tcW w:w="348" w:type="dxa"/>
            <w:vMerge/>
            <w:tcBorders>
              <w:top w:val="single" w:sz="12" w:space="0" w:color="auto"/>
              <w:left w:val="single" w:sz="2" w:space="0" w:color="auto"/>
              <w:bottom w:val="single" w:sz="2" w:space="0" w:color="auto"/>
              <w:right w:val="single" w:sz="4" w:space="0" w:color="auto"/>
            </w:tcBorders>
            <w:vAlign w:val="center"/>
            <w:hideMark/>
          </w:tcPr>
          <w:p w14:paraId="45767E3F" w14:textId="77777777" w:rsidR="001253ED" w:rsidRPr="00D62842" w:rsidRDefault="001253ED" w:rsidP="00046863">
            <w:pPr>
              <w:suppressAutoHyphens w:val="0"/>
              <w:spacing w:line="240" w:lineRule="auto"/>
              <w:ind w:left="11"/>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6DD616F1"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Против направления движения</w:t>
            </w:r>
          </w:p>
        </w:tc>
        <w:tc>
          <w:tcPr>
            <w:tcW w:w="524" w:type="dxa"/>
            <w:tcBorders>
              <w:top w:val="single" w:sz="2" w:space="0" w:color="auto"/>
              <w:left w:val="single" w:sz="2" w:space="0" w:color="auto"/>
              <w:bottom w:val="single" w:sz="2" w:space="0" w:color="auto"/>
              <w:right w:val="single" w:sz="2" w:space="0" w:color="auto"/>
            </w:tcBorders>
            <w:hideMark/>
          </w:tcPr>
          <w:p w14:paraId="493B1682"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7ADB55E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4B7BBFEF"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657F0A11"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567" w:type="dxa"/>
            <w:tcBorders>
              <w:top w:val="single" w:sz="2" w:space="0" w:color="auto"/>
              <w:left w:val="single" w:sz="2" w:space="0" w:color="auto"/>
              <w:bottom w:val="single" w:sz="2" w:space="0" w:color="auto"/>
              <w:right w:val="single" w:sz="2" w:space="0" w:color="auto"/>
            </w:tcBorders>
            <w:hideMark/>
          </w:tcPr>
          <w:p w14:paraId="55B20AA3"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2A4EEE9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31244630"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57A57AC6"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447F9160" w14:textId="77777777" w:rsidTr="00414748">
        <w:trPr>
          <w:trHeight w:hRule="exact" w:val="534"/>
        </w:trPr>
        <w:tc>
          <w:tcPr>
            <w:tcW w:w="348" w:type="dxa"/>
            <w:tcBorders>
              <w:top w:val="single" w:sz="2" w:space="0" w:color="auto"/>
              <w:left w:val="single" w:sz="2" w:space="0" w:color="auto"/>
              <w:bottom w:val="single" w:sz="2" w:space="0" w:color="auto"/>
              <w:right w:val="single" w:sz="2" w:space="0" w:color="auto"/>
            </w:tcBorders>
            <w:vAlign w:val="center"/>
            <w:hideMark/>
          </w:tcPr>
          <w:p w14:paraId="4DC3766F" w14:textId="77777777" w:rsidR="001253ED" w:rsidRPr="00D62842" w:rsidRDefault="001253ED" w:rsidP="00046863">
            <w:pPr>
              <w:suppressAutoHyphens w:val="0"/>
              <w:autoSpaceDE w:val="0"/>
              <w:autoSpaceDN w:val="0"/>
              <w:adjustRightInd w:val="0"/>
              <w:spacing w:before="40" w:after="40" w:line="220" w:lineRule="exact"/>
              <w:ind w:left="11"/>
              <w:rPr>
                <w:sz w:val="18"/>
                <w:szCs w:val="18"/>
              </w:rPr>
            </w:pPr>
            <w:r w:rsidRPr="00D62842">
              <w:t>0+</w:t>
            </w:r>
          </w:p>
        </w:tc>
        <w:tc>
          <w:tcPr>
            <w:tcW w:w="2012" w:type="dxa"/>
            <w:tcBorders>
              <w:top w:val="single" w:sz="2" w:space="0" w:color="auto"/>
              <w:left w:val="single" w:sz="2" w:space="0" w:color="auto"/>
              <w:bottom w:val="single" w:sz="2" w:space="0" w:color="auto"/>
              <w:right w:val="single" w:sz="2" w:space="0" w:color="auto"/>
            </w:tcBorders>
            <w:hideMark/>
          </w:tcPr>
          <w:p w14:paraId="5EA3560B"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Против направления движения</w:t>
            </w:r>
          </w:p>
        </w:tc>
        <w:tc>
          <w:tcPr>
            <w:tcW w:w="524" w:type="dxa"/>
            <w:tcBorders>
              <w:top w:val="single" w:sz="2" w:space="0" w:color="auto"/>
              <w:left w:val="single" w:sz="2" w:space="0" w:color="auto"/>
              <w:bottom w:val="single" w:sz="2" w:space="0" w:color="auto"/>
              <w:right w:val="single" w:sz="2" w:space="0" w:color="auto"/>
            </w:tcBorders>
            <w:hideMark/>
          </w:tcPr>
          <w:p w14:paraId="3B28CD0C"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274F122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1F788FB4"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6F2DB9F0"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567" w:type="dxa"/>
            <w:tcBorders>
              <w:top w:val="single" w:sz="2" w:space="0" w:color="auto"/>
              <w:left w:val="single" w:sz="2" w:space="0" w:color="auto"/>
              <w:bottom w:val="single" w:sz="2" w:space="0" w:color="auto"/>
              <w:right w:val="single" w:sz="2" w:space="0" w:color="auto"/>
            </w:tcBorders>
            <w:hideMark/>
          </w:tcPr>
          <w:p w14:paraId="48432C51"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5407EA47"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4EB3913D"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59D7BD21"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5AB51765" w14:textId="77777777" w:rsidTr="00414748">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6CF8E969" w14:textId="77777777" w:rsidR="001253ED" w:rsidRPr="00D62842" w:rsidRDefault="001253ED" w:rsidP="00046863">
            <w:pPr>
              <w:suppressAutoHyphens w:val="0"/>
              <w:autoSpaceDE w:val="0"/>
              <w:autoSpaceDN w:val="0"/>
              <w:adjustRightInd w:val="0"/>
              <w:spacing w:before="40" w:after="40" w:line="220" w:lineRule="exact"/>
              <w:ind w:left="11"/>
              <w:rPr>
                <w:sz w:val="18"/>
                <w:szCs w:val="18"/>
              </w:rPr>
            </w:pPr>
            <w:r w:rsidRPr="00D62842">
              <w:t>I</w:t>
            </w:r>
          </w:p>
        </w:tc>
        <w:tc>
          <w:tcPr>
            <w:tcW w:w="2012" w:type="dxa"/>
            <w:tcBorders>
              <w:top w:val="single" w:sz="2" w:space="0" w:color="auto"/>
              <w:left w:val="single" w:sz="2" w:space="0" w:color="auto"/>
              <w:bottom w:val="single" w:sz="2" w:space="0" w:color="auto"/>
              <w:right w:val="single" w:sz="2" w:space="0" w:color="auto"/>
            </w:tcBorders>
            <w:hideMark/>
          </w:tcPr>
          <w:p w14:paraId="241F63AC"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Против направления движения</w:t>
            </w:r>
          </w:p>
        </w:tc>
        <w:tc>
          <w:tcPr>
            <w:tcW w:w="524" w:type="dxa"/>
            <w:tcBorders>
              <w:top w:val="single" w:sz="2" w:space="0" w:color="auto"/>
              <w:left w:val="single" w:sz="2" w:space="0" w:color="auto"/>
              <w:bottom w:val="single" w:sz="2" w:space="0" w:color="auto"/>
              <w:right w:val="single" w:sz="2" w:space="0" w:color="auto"/>
            </w:tcBorders>
            <w:hideMark/>
          </w:tcPr>
          <w:p w14:paraId="633F8125"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164A431C"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39FD3468"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41D04C34"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567" w:type="dxa"/>
            <w:tcBorders>
              <w:top w:val="single" w:sz="2" w:space="0" w:color="auto"/>
              <w:left w:val="single" w:sz="2" w:space="0" w:color="auto"/>
              <w:bottom w:val="single" w:sz="2" w:space="0" w:color="auto"/>
              <w:right w:val="single" w:sz="2" w:space="0" w:color="auto"/>
            </w:tcBorders>
            <w:hideMark/>
          </w:tcPr>
          <w:p w14:paraId="6F08393C"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2988A48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7A1D11C7"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484002B8"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729890B7" w14:textId="77777777" w:rsidTr="00414748">
        <w:trPr>
          <w:trHeight w:val="56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04F73A0" w14:textId="77777777" w:rsidR="001253ED" w:rsidRPr="00D62842" w:rsidRDefault="001253ED" w:rsidP="00046863">
            <w:pPr>
              <w:suppressAutoHyphens w:val="0"/>
              <w:spacing w:line="240" w:lineRule="auto"/>
              <w:ind w:left="11"/>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3313BD95"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По направлению движения (цельная конструкция)</w:t>
            </w:r>
          </w:p>
        </w:tc>
        <w:tc>
          <w:tcPr>
            <w:tcW w:w="524" w:type="dxa"/>
            <w:tcBorders>
              <w:top w:val="single" w:sz="2" w:space="0" w:color="auto"/>
              <w:left w:val="single" w:sz="2" w:space="0" w:color="auto"/>
              <w:bottom w:val="single" w:sz="2" w:space="0" w:color="auto"/>
              <w:right w:val="single" w:sz="2" w:space="0" w:color="auto"/>
            </w:tcBorders>
            <w:hideMark/>
          </w:tcPr>
          <w:p w14:paraId="175CCBBB"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5E008D2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524" w:type="dxa"/>
            <w:tcBorders>
              <w:top w:val="single" w:sz="2" w:space="0" w:color="auto"/>
              <w:left w:val="single" w:sz="2" w:space="0" w:color="auto"/>
              <w:bottom w:val="single" w:sz="2" w:space="0" w:color="auto"/>
              <w:right w:val="single" w:sz="2" w:space="0" w:color="auto"/>
            </w:tcBorders>
            <w:hideMark/>
          </w:tcPr>
          <w:p w14:paraId="563461FE"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32A03008"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567" w:type="dxa"/>
            <w:tcBorders>
              <w:top w:val="single" w:sz="2" w:space="0" w:color="auto"/>
              <w:left w:val="single" w:sz="2" w:space="0" w:color="auto"/>
              <w:bottom w:val="single" w:sz="2" w:space="0" w:color="auto"/>
              <w:right w:val="single" w:sz="2" w:space="0" w:color="auto"/>
            </w:tcBorders>
            <w:hideMark/>
          </w:tcPr>
          <w:p w14:paraId="465F65D1"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54D1E4A2"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133CEF4C"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23B5054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046CC099" w14:textId="77777777" w:rsidTr="00414748">
        <w:trPr>
          <w:trHeight w:val="57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61F4BC75" w14:textId="77777777" w:rsidR="001253ED" w:rsidRPr="00D62842" w:rsidRDefault="001253ED" w:rsidP="00046863">
            <w:pPr>
              <w:suppressAutoHyphens w:val="0"/>
              <w:spacing w:line="240" w:lineRule="auto"/>
              <w:ind w:left="11"/>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04EEB7A3"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По направлению движения (нецельная конструкция)</w:t>
            </w:r>
          </w:p>
        </w:tc>
        <w:tc>
          <w:tcPr>
            <w:tcW w:w="524" w:type="dxa"/>
            <w:tcBorders>
              <w:top w:val="single" w:sz="2" w:space="0" w:color="auto"/>
              <w:left w:val="single" w:sz="2" w:space="0" w:color="auto"/>
              <w:bottom w:val="single" w:sz="2" w:space="0" w:color="auto"/>
              <w:right w:val="single" w:sz="2" w:space="0" w:color="auto"/>
            </w:tcBorders>
            <w:hideMark/>
          </w:tcPr>
          <w:p w14:paraId="5507A79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1010" w:type="dxa"/>
            <w:tcBorders>
              <w:top w:val="single" w:sz="2" w:space="0" w:color="auto"/>
              <w:left w:val="single" w:sz="2" w:space="0" w:color="auto"/>
              <w:bottom w:val="single" w:sz="2" w:space="0" w:color="auto"/>
              <w:right w:val="single" w:sz="2" w:space="0" w:color="auto"/>
            </w:tcBorders>
            <w:hideMark/>
          </w:tcPr>
          <w:p w14:paraId="21B5B26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528A3C76"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1246" w:type="dxa"/>
            <w:tcBorders>
              <w:top w:val="single" w:sz="2" w:space="0" w:color="auto"/>
              <w:left w:val="single" w:sz="2" w:space="0" w:color="auto"/>
              <w:bottom w:val="single" w:sz="2" w:space="0" w:color="auto"/>
              <w:right w:val="single" w:sz="2" w:space="0" w:color="auto"/>
            </w:tcBorders>
            <w:hideMark/>
          </w:tcPr>
          <w:p w14:paraId="1C3E5E4D"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1FB464E0"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851" w:type="dxa"/>
            <w:tcBorders>
              <w:top w:val="single" w:sz="2" w:space="0" w:color="auto"/>
              <w:left w:val="single" w:sz="2" w:space="0" w:color="auto"/>
              <w:bottom w:val="single" w:sz="2" w:space="0" w:color="auto"/>
              <w:right w:val="single" w:sz="2" w:space="0" w:color="auto"/>
            </w:tcBorders>
            <w:hideMark/>
          </w:tcPr>
          <w:p w14:paraId="668EA1FD"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08E96518"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847" w:type="dxa"/>
            <w:tcBorders>
              <w:top w:val="single" w:sz="2" w:space="0" w:color="auto"/>
              <w:left w:val="single" w:sz="2" w:space="0" w:color="auto"/>
              <w:bottom w:val="single" w:sz="2" w:space="0" w:color="auto"/>
              <w:right w:val="single" w:sz="2" w:space="0" w:color="auto"/>
            </w:tcBorders>
            <w:hideMark/>
          </w:tcPr>
          <w:p w14:paraId="7CD7F8B2"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r>
      <w:tr w:rsidR="001253ED" w:rsidRPr="00D62842" w14:paraId="6E33C6F9" w14:textId="77777777" w:rsidTr="0041474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5B2571D7" w14:textId="77777777" w:rsidR="001253ED" w:rsidRPr="00D62842" w:rsidRDefault="001253ED" w:rsidP="00046863">
            <w:pPr>
              <w:suppressAutoHyphens w:val="0"/>
              <w:spacing w:line="240" w:lineRule="auto"/>
              <w:ind w:left="11"/>
              <w:rPr>
                <w:sz w:val="18"/>
                <w:szCs w:val="18"/>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468D3127"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 xml:space="preserve">По направлению движения (нецельная конструкция </w:t>
            </w:r>
            <w:r>
              <w:t>—</w:t>
            </w:r>
            <w:r w:rsidRPr="00D62842">
              <w:t xml:space="preserve"> см. пункт 6.1.12)</w:t>
            </w:r>
          </w:p>
        </w:tc>
        <w:tc>
          <w:tcPr>
            <w:tcW w:w="524" w:type="dxa"/>
            <w:tcBorders>
              <w:top w:val="single" w:sz="2" w:space="0" w:color="auto"/>
              <w:left w:val="single" w:sz="2" w:space="0" w:color="auto"/>
              <w:bottom w:val="single" w:sz="2" w:space="0" w:color="auto"/>
              <w:right w:val="single" w:sz="2" w:space="0" w:color="auto"/>
            </w:tcBorders>
            <w:hideMark/>
          </w:tcPr>
          <w:p w14:paraId="31A37C2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67DF0650"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72020799"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52EA5EEF"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0448D576"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7931D326"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077E5D5B"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15D02BF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2C3202FA" w14:textId="77777777" w:rsidTr="00414748">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53651E4A" w14:textId="77777777" w:rsidR="001253ED" w:rsidRPr="00D62842" w:rsidRDefault="001253ED" w:rsidP="00046863">
            <w:pPr>
              <w:suppressAutoHyphens w:val="0"/>
              <w:autoSpaceDE w:val="0"/>
              <w:autoSpaceDN w:val="0"/>
              <w:adjustRightInd w:val="0"/>
              <w:spacing w:before="40" w:after="40" w:line="220" w:lineRule="exact"/>
              <w:ind w:left="11"/>
              <w:rPr>
                <w:sz w:val="18"/>
                <w:szCs w:val="18"/>
                <w:u w:val="single"/>
              </w:rPr>
            </w:pPr>
            <w:r w:rsidRPr="00D62842">
              <w:t>II</w:t>
            </w:r>
          </w:p>
        </w:tc>
        <w:tc>
          <w:tcPr>
            <w:tcW w:w="2012" w:type="dxa"/>
            <w:tcBorders>
              <w:top w:val="single" w:sz="2" w:space="0" w:color="auto"/>
              <w:left w:val="single" w:sz="2" w:space="0" w:color="auto"/>
              <w:bottom w:val="single" w:sz="2" w:space="0" w:color="auto"/>
              <w:right w:val="single" w:sz="2" w:space="0" w:color="auto"/>
            </w:tcBorders>
            <w:hideMark/>
          </w:tcPr>
          <w:p w14:paraId="6947E302"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Против направления движения</w:t>
            </w:r>
          </w:p>
        </w:tc>
        <w:tc>
          <w:tcPr>
            <w:tcW w:w="524" w:type="dxa"/>
            <w:tcBorders>
              <w:top w:val="single" w:sz="2" w:space="0" w:color="auto"/>
              <w:left w:val="single" w:sz="2" w:space="0" w:color="auto"/>
              <w:bottom w:val="single" w:sz="2" w:space="0" w:color="auto"/>
              <w:right w:val="single" w:sz="2" w:space="0" w:color="auto"/>
            </w:tcBorders>
            <w:hideMark/>
          </w:tcPr>
          <w:p w14:paraId="05DCB3AC" w14:textId="77777777" w:rsidR="001253ED" w:rsidRPr="00D62842" w:rsidRDefault="001253ED" w:rsidP="00831BBC">
            <w:pPr>
              <w:suppressAutoHyphens w:val="0"/>
              <w:autoSpaceDE w:val="0"/>
              <w:autoSpaceDN w:val="0"/>
              <w:adjustRightInd w:val="0"/>
              <w:spacing w:before="40" w:after="40" w:line="220" w:lineRule="exact"/>
              <w:ind w:right="57"/>
              <w:rPr>
                <w:sz w:val="18"/>
                <w:szCs w:val="18"/>
              </w:rPr>
            </w:pPr>
            <w:r w:rsidRPr="00D62842">
              <w:t xml:space="preserve"> П(3)</w:t>
            </w:r>
          </w:p>
        </w:tc>
        <w:tc>
          <w:tcPr>
            <w:tcW w:w="1010" w:type="dxa"/>
            <w:tcBorders>
              <w:top w:val="single" w:sz="2" w:space="0" w:color="auto"/>
              <w:left w:val="single" w:sz="2" w:space="0" w:color="auto"/>
              <w:bottom w:val="single" w:sz="2" w:space="0" w:color="auto"/>
              <w:right w:val="single" w:sz="2" w:space="0" w:color="auto"/>
            </w:tcBorders>
            <w:hideMark/>
          </w:tcPr>
          <w:p w14:paraId="7EE58F31"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47B35678"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46090340"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62CE76EE"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25B569A5"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3BA2A8F9"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6A391D9D" w14:textId="77777777" w:rsidR="001253ED" w:rsidRPr="00D62842" w:rsidRDefault="001253ED" w:rsidP="00831BBC">
            <w:pPr>
              <w:spacing w:before="40" w:after="40" w:line="220" w:lineRule="exact"/>
              <w:ind w:left="57" w:right="57"/>
              <w:rPr>
                <w:sz w:val="18"/>
                <w:szCs w:val="18"/>
              </w:rPr>
            </w:pPr>
            <w:r w:rsidRPr="00D62842">
              <w:t>П(3)</w:t>
            </w:r>
          </w:p>
        </w:tc>
      </w:tr>
      <w:tr w:rsidR="001253ED" w:rsidRPr="00D62842" w14:paraId="5C206A02" w14:textId="77777777" w:rsidTr="0041474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15A8FCBA" w14:textId="77777777" w:rsidR="001253ED" w:rsidRPr="00D62842" w:rsidRDefault="001253ED" w:rsidP="00046863">
            <w:pPr>
              <w:suppressAutoHyphens w:val="0"/>
              <w:spacing w:line="240" w:lineRule="auto"/>
              <w:ind w:left="11"/>
              <w:rPr>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0EF41F20"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По направлению движения (цельная конструкция)</w:t>
            </w:r>
          </w:p>
        </w:tc>
        <w:tc>
          <w:tcPr>
            <w:tcW w:w="524" w:type="dxa"/>
            <w:tcBorders>
              <w:top w:val="single" w:sz="2" w:space="0" w:color="auto"/>
              <w:left w:val="single" w:sz="2" w:space="0" w:color="auto"/>
              <w:bottom w:val="single" w:sz="2" w:space="0" w:color="auto"/>
              <w:right w:val="single" w:sz="2" w:space="0" w:color="auto"/>
            </w:tcBorders>
            <w:hideMark/>
          </w:tcPr>
          <w:p w14:paraId="465AC0E7"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22A73330"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0363870B"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1C4052DE"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6AB7C605"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27349093"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269B1A51"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274D50C5" w14:textId="77777777" w:rsidR="001253ED" w:rsidRPr="00D62842" w:rsidRDefault="001253ED" w:rsidP="00831BBC">
            <w:pPr>
              <w:spacing w:before="40" w:after="40" w:line="220" w:lineRule="exact"/>
              <w:ind w:left="57" w:right="57"/>
              <w:rPr>
                <w:sz w:val="18"/>
                <w:szCs w:val="18"/>
              </w:rPr>
            </w:pPr>
            <w:r w:rsidRPr="00D62842">
              <w:t>П(3)</w:t>
            </w:r>
          </w:p>
        </w:tc>
      </w:tr>
      <w:tr w:rsidR="001253ED" w:rsidRPr="00D62842" w14:paraId="79784689" w14:textId="77777777" w:rsidTr="0041474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628FC3C3" w14:textId="77777777" w:rsidR="001253ED" w:rsidRPr="00D62842" w:rsidRDefault="001253ED" w:rsidP="00046863">
            <w:pPr>
              <w:suppressAutoHyphens w:val="0"/>
              <w:spacing w:line="240" w:lineRule="auto"/>
              <w:ind w:left="11"/>
              <w:rPr>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40560567"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По направлению движения (нецельная конструкция)</w:t>
            </w:r>
          </w:p>
        </w:tc>
        <w:tc>
          <w:tcPr>
            <w:tcW w:w="524" w:type="dxa"/>
            <w:tcBorders>
              <w:top w:val="single" w:sz="2" w:space="0" w:color="auto"/>
              <w:left w:val="single" w:sz="2" w:space="0" w:color="auto"/>
              <w:bottom w:val="single" w:sz="2" w:space="0" w:color="auto"/>
              <w:right w:val="single" w:sz="2" w:space="0" w:color="auto"/>
            </w:tcBorders>
            <w:hideMark/>
          </w:tcPr>
          <w:p w14:paraId="3F1A1A08"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6765880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3D20A706"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28B45E48"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2A91C67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3577F363"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55C0F83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66FFAC0C"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23547913" w14:textId="77777777" w:rsidTr="00414748">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1636F17B" w14:textId="77777777" w:rsidR="001253ED" w:rsidRPr="00D62842" w:rsidRDefault="001253ED" w:rsidP="00046863">
            <w:pPr>
              <w:suppressAutoHyphens w:val="0"/>
              <w:autoSpaceDE w:val="0"/>
              <w:autoSpaceDN w:val="0"/>
              <w:adjustRightInd w:val="0"/>
              <w:spacing w:before="40" w:after="40" w:line="220" w:lineRule="exact"/>
              <w:ind w:left="11"/>
              <w:rPr>
                <w:b/>
                <w:bCs/>
                <w:sz w:val="18"/>
                <w:szCs w:val="18"/>
                <w:u w:val="single"/>
              </w:rPr>
            </w:pPr>
            <w:r w:rsidRPr="00D62842">
              <w:t>III</w:t>
            </w:r>
          </w:p>
        </w:tc>
        <w:tc>
          <w:tcPr>
            <w:tcW w:w="2012" w:type="dxa"/>
            <w:tcBorders>
              <w:top w:val="single" w:sz="2" w:space="0" w:color="auto"/>
              <w:left w:val="single" w:sz="2" w:space="0" w:color="auto"/>
              <w:bottom w:val="single" w:sz="2" w:space="0" w:color="auto"/>
              <w:right w:val="single" w:sz="2" w:space="0" w:color="auto"/>
            </w:tcBorders>
            <w:hideMark/>
          </w:tcPr>
          <w:p w14:paraId="54DAAAF6"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Против направления движения</w:t>
            </w:r>
          </w:p>
        </w:tc>
        <w:tc>
          <w:tcPr>
            <w:tcW w:w="524" w:type="dxa"/>
            <w:tcBorders>
              <w:top w:val="single" w:sz="2" w:space="0" w:color="auto"/>
              <w:left w:val="single" w:sz="2" w:space="0" w:color="auto"/>
              <w:bottom w:val="single" w:sz="2" w:space="0" w:color="auto"/>
              <w:right w:val="single" w:sz="2" w:space="0" w:color="auto"/>
            </w:tcBorders>
            <w:hideMark/>
          </w:tcPr>
          <w:p w14:paraId="63DD90CF"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46092F30"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6964240B"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41C7B182"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24F19734"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63426A9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06005F14"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574C4088" w14:textId="77777777" w:rsidR="001253ED" w:rsidRPr="00D62842" w:rsidRDefault="001253ED" w:rsidP="00831BBC">
            <w:pPr>
              <w:spacing w:before="40" w:after="40" w:line="220" w:lineRule="exact"/>
              <w:ind w:left="57" w:right="57"/>
              <w:rPr>
                <w:sz w:val="18"/>
                <w:szCs w:val="18"/>
              </w:rPr>
            </w:pPr>
            <w:r w:rsidRPr="00D62842">
              <w:t>П(3)</w:t>
            </w:r>
          </w:p>
        </w:tc>
      </w:tr>
      <w:tr w:rsidR="001253ED" w:rsidRPr="00D62842" w14:paraId="5ED6EA41" w14:textId="77777777" w:rsidTr="0041474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AB5954E" w14:textId="77777777" w:rsidR="001253ED" w:rsidRPr="00D62842" w:rsidRDefault="001253ED" w:rsidP="00831BBC">
            <w:pPr>
              <w:suppressAutoHyphens w:val="0"/>
              <w:spacing w:line="240" w:lineRule="auto"/>
              <w:rPr>
                <w:b/>
                <w:bCs/>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232DD583"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По направлению движения (цельная конструкция)</w:t>
            </w:r>
          </w:p>
        </w:tc>
        <w:tc>
          <w:tcPr>
            <w:tcW w:w="524" w:type="dxa"/>
            <w:tcBorders>
              <w:top w:val="single" w:sz="2" w:space="0" w:color="auto"/>
              <w:left w:val="single" w:sz="2" w:space="0" w:color="auto"/>
              <w:bottom w:val="single" w:sz="2" w:space="0" w:color="auto"/>
              <w:right w:val="single" w:sz="2" w:space="0" w:color="auto"/>
            </w:tcBorders>
            <w:hideMark/>
          </w:tcPr>
          <w:p w14:paraId="3064C5F4"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250AE06F"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2D50BE0B" w14:textId="77777777" w:rsidR="001253ED" w:rsidRPr="00D62842" w:rsidRDefault="001253ED" w:rsidP="00831BBC">
            <w:pPr>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0D977CEC"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07A023CF" w14:textId="77777777" w:rsidR="001253ED" w:rsidRPr="00D62842" w:rsidRDefault="001253ED" w:rsidP="00831BBC">
            <w:pPr>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258A66E9"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499AC0A6" w14:textId="77777777" w:rsidR="001253ED" w:rsidRPr="00D62842" w:rsidRDefault="001253ED" w:rsidP="00831BBC">
            <w:pPr>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50DD8F7F" w14:textId="77777777" w:rsidR="001253ED" w:rsidRPr="00D62842" w:rsidRDefault="001253ED" w:rsidP="00831BBC">
            <w:pPr>
              <w:spacing w:before="40" w:after="40" w:line="220" w:lineRule="exact"/>
              <w:ind w:left="57" w:right="57"/>
              <w:rPr>
                <w:sz w:val="18"/>
                <w:szCs w:val="18"/>
              </w:rPr>
            </w:pPr>
            <w:r w:rsidRPr="00D62842">
              <w:t>П(3)</w:t>
            </w:r>
          </w:p>
        </w:tc>
      </w:tr>
      <w:tr w:rsidR="001253ED" w:rsidRPr="00D62842" w14:paraId="09078543" w14:textId="77777777" w:rsidTr="0041474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5E5A7C3" w14:textId="77777777" w:rsidR="001253ED" w:rsidRPr="00D62842" w:rsidRDefault="001253ED" w:rsidP="00831BBC">
            <w:pPr>
              <w:suppressAutoHyphens w:val="0"/>
              <w:spacing w:line="240" w:lineRule="auto"/>
              <w:rPr>
                <w:b/>
                <w:bCs/>
                <w:sz w:val="18"/>
                <w:szCs w:val="18"/>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0661D01D" w14:textId="77777777" w:rsidR="001253ED" w:rsidRPr="00D62842" w:rsidRDefault="001253ED" w:rsidP="00831BBC">
            <w:pPr>
              <w:suppressAutoHyphens w:val="0"/>
              <w:autoSpaceDE w:val="0"/>
              <w:autoSpaceDN w:val="0"/>
              <w:adjustRightInd w:val="0"/>
              <w:spacing w:before="40" w:after="40" w:line="220" w:lineRule="exact"/>
              <w:ind w:left="113" w:right="113"/>
              <w:rPr>
                <w:sz w:val="18"/>
                <w:szCs w:val="18"/>
              </w:rPr>
            </w:pPr>
            <w:r w:rsidRPr="00D62842">
              <w:t>По направлению движения (нецельная конструкция)</w:t>
            </w:r>
          </w:p>
        </w:tc>
        <w:tc>
          <w:tcPr>
            <w:tcW w:w="524" w:type="dxa"/>
            <w:tcBorders>
              <w:top w:val="single" w:sz="2" w:space="0" w:color="auto"/>
              <w:left w:val="single" w:sz="2" w:space="0" w:color="auto"/>
              <w:bottom w:val="single" w:sz="2" w:space="0" w:color="auto"/>
              <w:right w:val="single" w:sz="2" w:space="0" w:color="auto"/>
            </w:tcBorders>
            <w:hideMark/>
          </w:tcPr>
          <w:p w14:paraId="7179AE24"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010" w:type="dxa"/>
            <w:tcBorders>
              <w:top w:val="single" w:sz="2" w:space="0" w:color="auto"/>
              <w:left w:val="single" w:sz="2" w:space="0" w:color="auto"/>
              <w:bottom w:val="single" w:sz="2" w:space="0" w:color="auto"/>
              <w:right w:val="single" w:sz="2" w:space="0" w:color="auto"/>
            </w:tcBorders>
            <w:hideMark/>
          </w:tcPr>
          <w:p w14:paraId="641A9177"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24" w:type="dxa"/>
            <w:tcBorders>
              <w:top w:val="single" w:sz="2" w:space="0" w:color="auto"/>
              <w:left w:val="single" w:sz="2" w:space="0" w:color="auto"/>
              <w:bottom w:val="single" w:sz="2" w:space="0" w:color="auto"/>
              <w:right w:val="single" w:sz="2" w:space="0" w:color="auto"/>
            </w:tcBorders>
            <w:hideMark/>
          </w:tcPr>
          <w:p w14:paraId="6A4B5BC4"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1246" w:type="dxa"/>
            <w:tcBorders>
              <w:top w:val="single" w:sz="2" w:space="0" w:color="auto"/>
              <w:left w:val="single" w:sz="2" w:space="0" w:color="auto"/>
              <w:bottom w:val="single" w:sz="2" w:space="0" w:color="auto"/>
              <w:right w:val="single" w:sz="2" w:space="0" w:color="auto"/>
            </w:tcBorders>
            <w:hideMark/>
          </w:tcPr>
          <w:p w14:paraId="680C70B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404D7972"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851" w:type="dxa"/>
            <w:tcBorders>
              <w:top w:val="single" w:sz="2" w:space="0" w:color="auto"/>
              <w:left w:val="single" w:sz="2" w:space="0" w:color="auto"/>
              <w:bottom w:val="single" w:sz="2" w:space="0" w:color="auto"/>
              <w:right w:val="single" w:sz="2" w:space="0" w:color="auto"/>
            </w:tcBorders>
            <w:hideMark/>
          </w:tcPr>
          <w:p w14:paraId="7738D723"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НП</w:t>
            </w:r>
          </w:p>
        </w:tc>
        <w:tc>
          <w:tcPr>
            <w:tcW w:w="567" w:type="dxa"/>
            <w:tcBorders>
              <w:top w:val="single" w:sz="2" w:space="0" w:color="auto"/>
              <w:left w:val="single" w:sz="2" w:space="0" w:color="auto"/>
              <w:bottom w:val="single" w:sz="2" w:space="0" w:color="auto"/>
              <w:right w:val="single" w:sz="2" w:space="0" w:color="auto"/>
            </w:tcBorders>
            <w:hideMark/>
          </w:tcPr>
          <w:p w14:paraId="5AA259EA"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c>
          <w:tcPr>
            <w:tcW w:w="847" w:type="dxa"/>
            <w:tcBorders>
              <w:top w:val="single" w:sz="2" w:space="0" w:color="auto"/>
              <w:left w:val="single" w:sz="2" w:space="0" w:color="auto"/>
              <w:bottom w:val="single" w:sz="2" w:space="0" w:color="auto"/>
              <w:right w:val="single" w:sz="2" w:space="0" w:color="auto"/>
            </w:tcBorders>
            <w:hideMark/>
          </w:tcPr>
          <w:p w14:paraId="21605E1F" w14:textId="77777777" w:rsidR="001253ED" w:rsidRPr="00D62842" w:rsidRDefault="001253ED" w:rsidP="00831BBC">
            <w:pPr>
              <w:suppressAutoHyphens w:val="0"/>
              <w:autoSpaceDE w:val="0"/>
              <w:autoSpaceDN w:val="0"/>
              <w:adjustRightInd w:val="0"/>
              <w:spacing w:before="40" w:after="40" w:line="220" w:lineRule="exact"/>
              <w:ind w:left="57" w:right="57"/>
              <w:rPr>
                <w:sz w:val="18"/>
                <w:szCs w:val="18"/>
              </w:rPr>
            </w:pPr>
            <w:r w:rsidRPr="00D62842">
              <w:t>П(3)</w:t>
            </w:r>
          </w:p>
        </w:tc>
      </w:tr>
      <w:tr w:rsidR="001253ED" w:rsidRPr="00D62842" w14:paraId="4258F552" w14:textId="77777777" w:rsidTr="001253ED">
        <w:trPr>
          <w:trHeight w:val="465"/>
        </w:trPr>
        <w:tc>
          <w:tcPr>
            <w:tcW w:w="8496" w:type="dxa"/>
            <w:gridSpan w:val="10"/>
            <w:tcBorders>
              <w:top w:val="single" w:sz="2" w:space="0" w:color="auto"/>
              <w:left w:val="single" w:sz="2" w:space="0" w:color="auto"/>
              <w:bottom w:val="single" w:sz="2" w:space="0" w:color="auto"/>
              <w:right w:val="single" w:sz="2" w:space="0" w:color="auto"/>
            </w:tcBorders>
            <w:hideMark/>
          </w:tcPr>
          <w:p w14:paraId="008FFF16" w14:textId="77777777" w:rsidR="001253ED" w:rsidRPr="00414748" w:rsidRDefault="001253ED" w:rsidP="00831BBC">
            <w:pPr>
              <w:widowControl w:val="0"/>
              <w:suppressAutoHyphens w:val="0"/>
              <w:autoSpaceDE w:val="0"/>
              <w:autoSpaceDN w:val="0"/>
              <w:adjustRightInd w:val="0"/>
              <w:spacing w:before="40" w:line="240" w:lineRule="auto"/>
              <w:ind w:left="113" w:right="113"/>
              <w:rPr>
                <w:i/>
                <w:sz w:val="19"/>
                <w:szCs w:val="19"/>
              </w:rPr>
            </w:pPr>
            <w:r w:rsidRPr="00414748">
              <w:rPr>
                <w:i/>
                <w:iCs/>
                <w:sz w:val="19"/>
                <w:szCs w:val="19"/>
              </w:rPr>
              <w:t>Обозначения:</w:t>
            </w:r>
            <w:r w:rsidRPr="00414748">
              <w:rPr>
                <w:sz w:val="19"/>
                <w:szCs w:val="19"/>
              </w:rPr>
              <w:t xml:space="preserve"> </w:t>
            </w:r>
          </w:p>
          <w:p w14:paraId="2F3994C2" w14:textId="77777777" w:rsidR="001253ED" w:rsidRPr="00414748" w:rsidRDefault="001253ED" w:rsidP="00414748">
            <w:pPr>
              <w:widowControl w:val="0"/>
              <w:tabs>
                <w:tab w:val="left" w:pos="749"/>
              </w:tabs>
              <w:suppressAutoHyphens w:val="0"/>
              <w:autoSpaceDE w:val="0"/>
              <w:autoSpaceDN w:val="0"/>
              <w:adjustRightInd w:val="0"/>
              <w:spacing w:line="240" w:lineRule="auto"/>
              <w:ind w:left="113" w:right="113"/>
              <w:rPr>
                <w:sz w:val="19"/>
                <w:szCs w:val="19"/>
              </w:rPr>
            </w:pPr>
            <w:r w:rsidRPr="00414748">
              <w:rPr>
                <w:sz w:val="19"/>
                <w:szCs w:val="19"/>
              </w:rPr>
              <w:t xml:space="preserve">ДУС: </w:t>
            </w:r>
            <w:r w:rsidRPr="00414748">
              <w:rPr>
                <w:sz w:val="19"/>
                <w:szCs w:val="19"/>
              </w:rPr>
              <w:tab/>
              <w:t>детская удерживающая система</w:t>
            </w:r>
          </w:p>
          <w:p w14:paraId="4F0C9EEF" w14:textId="77777777" w:rsidR="001253ED" w:rsidRPr="00414748" w:rsidRDefault="001253ED" w:rsidP="00414748">
            <w:pPr>
              <w:widowControl w:val="0"/>
              <w:tabs>
                <w:tab w:val="left" w:pos="749"/>
              </w:tabs>
              <w:suppressAutoHyphens w:val="0"/>
              <w:autoSpaceDE w:val="0"/>
              <w:autoSpaceDN w:val="0"/>
              <w:adjustRightInd w:val="0"/>
              <w:spacing w:line="240" w:lineRule="auto"/>
              <w:ind w:left="113" w:right="283"/>
              <w:rPr>
                <w:sz w:val="19"/>
                <w:szCs w:val="19"/>
              </w:rPr>
            </w:pPr>
            <w:r w:rsidRPr="00414748">
              <w:rPr>
                <w:sz w:val="19"/>
                <w:szCs w:val="19"/>
              </w:rPr>
              <w:t xml:space="preserve">П: </w:t>
            </w:r>
            <w:r w:rsidRPr="00414748">
              <w:rPr>
                <w:sz w:val="19"/>
                <w:szCs w:val="19"/>
              </w:rPr>
              <w:tab/>
              <w:t>применимо</w:t>
            </w:r>
          </w:p>
          <w:p w14:paraId="323A0E9B" w14:textId="77777777" w:rsidR="001253ED" w:rsidRPr="00414748" w:rsidRDefault="001253ED" w:rsidP="00414748">
            <w:pPr>
              <w:widowControl w:val="0"/>
              <w:tabs>
                <w:tab w:val="left" w:pos="749"/>
              </w:tabs>
              <w:suppressAutoHyphens w:val="0"/>
              <w:autoSpaceDE w:val="0"/>
              <w:autoSpaceDN w:val="0"/>
              <w:adjustRightInd w:val="0"/>
              <w:spacing w:line="240" w:lineRule="auto"/>
              <w:ind w:left="113" w:right="113"/>
              <w:rPr>
                <w:sz w:val="19"/>
                <w:szCs w:val="19"/>
              </w:rPr>
            </w:pPr>
            <w:r w:rsidRPr="00414748">
              <w:rPr>
                <w:sz w:val="19"/>
                <w:szCs w:val="19"/>
              </w:rPr>
              <w:t xml:space="preserve">НП: </w:t>
            </w:r>
            <w:r w:rsidRPr="00414748">
              <w:rPr>
                <w:sz w:val="19"/>
                <w:szCs w:val="19"/>
              </w:rPr>
              <w:tab/>
              <w:t>неприменимо</w:t>
            </w:r>
          </w:p>
          <w:p w14:paraId="784F0EF2" w14:textId="77777777" w:rsidR="001253ED" w:rsidRPr="00414748" w:rsidRDefault="001253ED" w:rsidP="00831BBC">
            <w:pPr>
              <w:widowControl w:val="0"/>
              <w:suppressAutoHyphens w:val="0"/>
              <w:autoSpaceDE w:val="0"/>
              <w:autoSpaceDN w:val="0"/>
              <w:adjustRightInd w:val="0"/>
              <w:spacing w:line="240" w:lineRule="auto"/>
              <w:ind w:left="113" w:right="113"/>
              <w:rPr>
                <w:sz w:val="19"/>
                <w:szCs w:val="19"/>
              </w:rPr>
            </w:pPr>
            <w:r w:rsidRPr="00414748">
              <w:rPr>
                <w:sz w:val="19"/>
                <w:szCs w:val="19"/>
              </w:rPr>
              <w:t>______________________</w:t>
            </w:r>
          </w:p>
          <w:p w14:paraId="0BFD546D" w14:textId="77777777" w:rsidR="001253ED" w:rsidRPr="00414748" w:rsidRDefault="001253ED" w:rsidP="00414748">
            <w:pPr>
              <w:widowControl w:val="0"/>
              <w:autoSpaceDE w:val="0"/>
              <w:autoSpaceDN w:val="0"/>
              <w:adjustRightInd w:val="0"/>
              <w:spacing w:before="60" w:line="240" w:lineRule="auto"/>
              <w:ind w:left="113" w:right="113"/>
              <w:rPr>
                <w:sz w:val="19"/>
                <w:szCs w:val="19"/>
              </w:rPr>
            </w:pPr>
            <w:r w:rsidRPr="00414748">
              <w:rPr>
                <w:sz w:val="19"/>
                <w:szCs w:val="19"/>
                <w:vertAlign w:val="superscript"/>
              </w:rPr>
              <w:t>1)</w:t>
            </w:r>
            <w:r w:rsidRPr="00414748">
              <w:rPr>
                <w:sz w:val="19"/>
                <w:szCs w:val="19"/>
              </w:rPr>
              <w:tab/>
              <w:t>Универсальная ДУС ISOFIX означает удерживающие устройства, устанавливаемые в транспортном средстве по направлению движения с целью эксплуатации в положениях, предусматривающих использование системы креплений ISOFIX и верхнего крепления страховочного троса.</w:t>
            </w:r>
          </w:p>
          <w:p w14:paraId="109C8C7A" w14:textId="77777777" w:rsidR="001253ED" w:rsidRPr="00414748" w:rsidRDefault="001253ED" w:rsidP="00414748">
            <w:pPr>
              <w:widowControl w:val="0"/>
              <w:autoSpaceDE w:val="0"/>
              <w:autoSpaceDN w:val="0"/>
              <w:adjustRightInd w:val="0"/>
              <w:spacing w:before="60" w:line="240" w:lineRule="auto"/>
              <w:ind w:left="113" w:right="113"/>
              <w:rPr>
                <w:sz w:val="19"/>
                <w:szCs w:val="19"/>
              </w:rPr>
            </w:pPr>
            <w:r w:rsidRPr="00414748">
              <w:rPr>
                <w:sz w:val="19"/>
                <w:szCs w:val="19"/>
                <w:vertAlign w:val="superscript"/>
              </w:rPr>
              <w:t>2)</w:t>
            </w:r>
            <w:r w:rsidRPr="00414748">
              <w:rPr>
                <w:sz w:val="19"/>
                <w:szCs w:val="19"/>
              </w:rPr>
              <w:tab/>
              <w:t>Полууниверсальная ДУС ISOFIX означает:</w:t>
            </w:r>
          </w:p>
          <w:p w14:paraId="60C5E49B" w14:textId="77777777" w:rsidR="001253ED" w:rsidRPr="00414748" w:rsidRDefault="001253ED" w:rsidP="00414748">
            <w:pPr>
              <w:widowControl w:val="0"/>
              <w:autoSpaceDE w:val="0"/>
              <w:autoSpaceDN w:val="0"/>
              <w:adjustRightInd w:val="0"/>
              <w:spacing w:line="240" w:lineRule="auto"/>
              <w:ind w:left="844" w:right="113" w:hanging="284"/>
              <w:rPr>
                <w:sz w:val="19"/>
                <w:szCs w:val="19"/>
              </w:rPr>
            </w:pPr>
            <w:r w:rsidRPr="00414748">
              <w:rPr>
                <w:rFonts w:ascii="Symbol" w:hAnsi="Symbol"/>
                <w:sz w:val="19"/>
                <w:szCs w:val="19"/>
              </w:rPr>
              <w:t></w:t>
            </w:r>
            <w:r w:rsidRPr="00414748">
              <w:rPr>
                <w:sz w:val="19"/>
                <w:szCs w:val="19"/>
              </w:rPr>
              <w:tab/>
              <w:t xml:space="preserve">устанавливаемые по направлению движения удерживающие устройства, оборудованные опорой для ног; </w:t>
            </w:r>
          </w:p>
          <w:p w14:paraId="22E008AB" w14:textId="77777777" w:rsidR="001253ED" w:rsidRPr="00414748" w:rsidRDefault="001253ED" w:rsidP="00414748">
            <w:pPr>
              <w:widowControl w:val="0"/>
              <w:tabs>
                <w:tab w:val="left" w:pos="284"/>
              </w:tabs>
              <w:autoSpaceDE w:val="0"/>
              <w:autoSpaceDN w:val="0"/>
              <w:adjustRightInd w:val="0"/>
              <w:spacing w:line="240" w:lineRule="auto"/>
              <w:ind w:left="844" w:right="113" w:hanging="284"/>
              <w:rPr>
                <w:spacing w:val="-2"/>
                <w:sz w:val="19"/>
                <w:szCs w:val="19"/>
              </w:rPr>
            </w:pPr>
            <w:r w:rsidRPr="00414748">
              <w:rPr>
                <w:rFonts w:ascii="Symbol" w:hAnsi="Symbol"/>
                <w:spacing w:val="-2"/>
                <w:sz w:val="19"/>
                <w:szCs w:val="19"/>
              </w:rPr>
              <w:t></w:t>
            </w:r>
            <w:r w:rsidRPr="00414748">
              <w:rPr>
                <w:sz w:val="19"/>
                <w:szCs w:val="19"/>
              </w:rPr>
              <w:tab/>
              <w:t>устанавливаемые против направления движения удерживающие устройства, оборудованные опорой для ног либо лямкой верхнего страховочного троса и предназначенные для эксплуатации на транспортных средствах в положениях, предусматривающих использование системы креплений ISOFIX и крепления верхнего страховочного троса, если это необходимо;</w:t>
            </w:r>
          </w:p>
          <w:p w14:paraId="07B9535A" w14:textId="77777777" w:rsidR="001253ED" w:rsidRPr="00414748" w:rsidRDefault="001253ED" w:rsidP="00414748">
            <w:pPr>
              <w:widowControl w:val="0"/>
              <w:tabs>
                <w:tab w:val="left" w:pos="284"/>
              </w:tabs>
              <w:autoSpaceDE w:val="0"/>
              <w:autoSpaceDN w:val="0"/>
              <w:adjustRightInd w:val="0"/>
              <w:spacing w:line="240" w:lineRule="auto"/>
              <w:ind w:left="844" w:right="113" w:hanging="284"/>
              <w:rPr>
                <w:sz w:val="19"/>
                <w:szCs w:val="19"/>
              </w:rPr>
            </w:pPr>
            <w:r w:rsidRPr="00414748">
              <w:rPr>
                <w:rFonts w:ascii="Symbol" w:hAnsi="Symbol"/>
                <w:sz w:val="19"/>
                <w:szCs w:val="19"/>
              </w:rPr>
              <w:t></w:t>
            </w:r>
            <w:r w:rsidRPr="00414748">
              <w:rPr>
                <w:sz w:val="19"/>
                <w:szCs w:val="19"/>
              </w:rPr>
              <w:tab/>
              <w:t xml:space="preserve">устанавливаемые против направления движения удерживающие устройства с опорой на приборную панель транспортного средства, предназначенные для эксплуатации на переднем пассажирском сиденье, оборудованном системой креплений ISOFIX; или </w:t>
            </w:r>
          </w:p>
          <w:p w14:paraId="6BBF6541" w14:textId="77777777" w:rsidR="001253ED" w:rsidRPr="00414748" w:rsidRDefault="001253ED" w:rsidP="00414748">
            <w:pPr>
              <w:widowControl w:val="0"/>
              <w:tabs>
                <w:tab w:val="left" w:pos="284"/>
              </w:tabs>
              <w:autoSpaceDE w:val="0"/>
              <w:autoSpaceDN w:val="0"/>
              <w:adjustRightInd w:val="0"/>
              <w:spacing w:line="240" w:lineRule="auto"/>
              <w:ind w:left="844" w:hanging="284"/>
              <w:rPr>
                <w:sz w:val="19"/>
                <w:szCs w:val="19"/>
              </w:rPr>
            </w:pPr>
            <w:r w:rsidRPr="00414748">
              <w:rPr>
                <w:rFonts w:ascii="Symbol" w:hAnsi="Symbol"/>
                <w:sz w:val="19"/>
                <w:szCs w:val="19"/>
              </w:rPr>
              <w:t></w:t>
            </w:r>
            <w:r w:rsidRPr="00414748">
              <w:rPr>
                <w:sz w:val="19"/>
                <w:szCs w:val="19"/>
              </w:rPr>
              <w:tab/>
              <w:t>устанавливаемые в боковом положении удерживающие устройства,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 предусматривающих использование системы креплений ISOFIX и крепления верхнего страховочного троса, если это необходимо.</w:t>
            </w:r>
          </w:p>
          <w:p w14:paraId="289C6C58" w14:textId="77777777" w:rsidR="001253ED" w:rsidRPr="00414748" w:rsidRDefault="001253ED" w:rsidP="00414748">
            <w:pPr>
              <w:widowControl w:val="0"/>
              <w:tabs>
                <w:tab w:val="left" w:pos="284"/>
              </w:tabs>
              <w:autoSpaceDE w:val="0"/>
              <w:autoSpaceDN w:val="0"/>
              <w:adjustRightInd w:val="0"/>
              <w:spacing w:line="240" w:lineRule="auto"/>
              <w:ind w:left="567" w:hanging="7"/>
              <w:rPr>
                <w:sz w:val="19"/>
                <w:szCs w:val="19"/>
              </w:rPr>
            </w:pPr>
            <w:r w:rsidRPr="00414748">
              <w:rPr>
                <w:sz w:val="19"/>
                <w:szCs w:val="19"/>
              </w:rPr>
              <w:t>…</w:t>
            </w:r>
          </w:p>
          <w:p w14:paraId="13F53E05" w14:textId="77777777" w:rsidR="001253ED" w:rsidRPr="00D62842" w:rsidRDefault="001253ED" w:rsidP="00414748">
            <w:pPr>
              <w:widowControl w:val="0"/>
              <w:autoSpaceDE w:val="0"/>
              <w:autoSpaceDN w:val="0"/>
              <w:adjustRightInd w:val="0"/>
              <w:spacing w:after="120" w:line="240" w:lineRule="auto"/>
              <w:ind w:left="142"/>
              <w:rPr>
                <w:b/>
                <w:sz w:val="18"/>
                <w:szCs w:val="18"/>
              </w:rPr>
            </w:pPr>
            <w:r w:rsidRPr="00414748">
              <w:rPr>
                <w:sz w:val="19"/>
                <w:szCs w:val="19"/>
                <w:vertAlign w:val="superscript"/>
              </w:rPr>
              <w:t>3)</w:t>
            </w:r>
            <w:r w:rsidRPr="00414748">
              <w:rPr>
                <w:sz w:val="19"/>
                <w:szCs w:val="19"/>
              </w:rPr>
              <w:tab/>
              <w:t>Новые официальные утверждения и распространения официальных утверждений будут предоставляться в соответствии с пунктами 17.16–17.23.</w:t>
            </w:r>
          </w:p>
        </w:tc>
      </w:tr>
    </w:tbl>
    <w:p w14:paraId="69C82AC5" w14:textId="77777777" w:rsidR="001253ED" w:rsidRPr="001253ED" w:rsidRDefault="001253ED" w:rsidP="00414748">
      <w:pPr>
        <w:pStyle w:val="SingleTxtG"/>
        <w:jc w:val="right"/>
      </w:pPr>
      <w:r w:rsidRPr="001253ED">
        <w:t>»</w:t>
      </w:r>
    </w:p>
    <w:p w14:paraId="3F1DBB8E" w14:textId="77777777" w:rsidR="001253ED" w:rsidRPr="001253ED" w:rsidRDefault="001253ED" w:rsidP="001253ED">
      <w:pPr>
        <w:pStyle w:val="SingleTxtG"/>
      </w:pPr>
      <w:r w:rsidRPr="001253ED">
        <w:rPr>
          <w:i/>
          <w:iCs/>
        </w:rPr>
        <w:t>Пункт 17.21</w:t>
      </w:r>
      <w:r w:rsidRPr="001253ED">
        <w:t xml:space="preserve"> изменить следующим образом:</w:t>
      </w:r>
    </w:p>
    <w:p w14:paraId="72B11751" w14:textId="77777777" w:rsidR="001253ED" w:rsidRPr="001253ED" w:rsidRDefault="001253ED" w:rsidP="00414748">
      <w:pPr>
        <w:pStyle w:val="SingleTxtG"/>
        <w:ind w:left="2268" w:hanging="1134"/>
        <w:rPr>
          <w:b/>
          <w:bCs/>
          <w:iCs/>
        </w:rPr>
      </w:pPr>
      <w:r w:rsidRPr="001253ED">
        <w:t>«17.21</w:t>
      </w:r>
      <w:r w:rsidRPr="001253ED">
        <w:tab/>
        <w:t xml:space="preserve">Начиная с 1 сентября </w:t>
      </w:r>
      <w:r w:rsidRPr="001253ED">
        <w:rPr>
          <w:b/>
          <w:bCs/>
        </w:rPr>
        <w:t xml:space="preserve">2023 </w:t>
      </w:r>
      <w:r w:rsidRPr="001253ED">
        <w:t>года никаких распространений на основании настоящих Правил в отношении детских удерживающих систем, кроме группы 3, не предоставляется».</w:t>
      </w:r>
    </w:p>
    <w:p w14:paraId="0ED86B60" w14:textId="77777777" w:rsidR="001253ED" w:rsidRPr="001253ED" w:rsidRDefault="001253ED" w:rsidP="001253ED">
      <w:pPr>
        <w:pStyle w:val="SingleTxtG"/>
      </w:pPr>
      <w:r w:rsidRPr="001253ED">
        <w:rPr>
          <w:i/>
          <w:iCs/>
        </w:rPr>
        <w:t>Включить новые пункты 17.22–17.25</w:t>
      </w:r>
      <w:r w:rsidRPr="001253ED">
        <w:t xml:space="preserve"> следующего содержания:</w:t>
      </w:r>
    </w:p>
    <w:p w14:paraId="1F9BF98D" w14:textId="77777777" w:rsidR="001253ED" w:rsidRPr="001253ED" w:rsidRDefault="001253ED" w:rsidP="00414748">
      <w:pPr>
        <w:pStyle w:val="SingleTxtG"/>
        <w:ind w:left="2268" w:hanging="1134"/>
      </w:pPr>
      <w:r w:rsidRPr="001253ED">
        <w:t>«17.22</w:t>
      </w:r>
      <w:r w:rsidRPr="001253ED">
        <w:tab/>
        <w:t>Начиная с 1 сентября 2021 года Договаривающиеся стороны, применяющие настоящие Правила, не обязаны признавать официальные утверждения типа на основании настоящих Правил, предоставленные впервые после 1 сентября 2021 года.</w:t>
      </w:r>
    </w:p>
    <w:p w14:paraId="3DC14820" w14:textId="77777777" w:rsidR="001253ED" w:rsidRPr="001253ED" w:rsidRDefault="001253ED" w:rsidP="00414748">
      <w:pPr>
        <w:pStyle w:val="SingleTxtG"/>
        <w:ind w:left="2268" w:hanging="1134"/>
      </w:pPr>
      <w:r w:rsidRPr="001253ED">
        <w:t xml:space="preserve">17.23 </w:t>
      </w:r>
      <w:r w:rsidRPr="001253ED">
        <w:tab/>
        <w:t>До 1 сентября 2023 года Договаривающиеся стороны, применяющие настоящие Правила, признают официальные утверждения типа на основании поправок серии 04 к настоящим Правилам, предоставленные впервые до 1 сентября 2021 года.</w:t>
      </w:r>
    </w:p>
    <w:p w14:paraId="3AF8CC6A" w14:textId="77777777" w:rsidR="001253ED" w:rsidRPr="001253ED" w:rsidRDefault="001253ED" w:rsidP="00414748">
      <w:pPr>
        <w:pStyle w:val="SingleTxtG"/>
        <w:ind w:left="2268" w:hanging="1134"/>
      </w:pPr>
      <w:r w:rsidRPr="001253ED">
        <w:t xml:space="preserve">17.24 </w:t>
      </w:r>
      <w:r w:rsidRPr="001253ED">
        <w:tab/>
        <w:t>Начиная с 1 сентября 2023 года Договаривающиеся стороны, применяющие настоящие Правила, не обязаны признавать официальные утверждения типа, предоставленные на основании настоящих Правил.</w:t>
      </w:r>
    </w:p>
    <w:p w14:paraId="75C6E1B6" w14:textId="77777777" w:rsidR="001253ED" w:rsidRDefault="001253ED" w:rsidP="00414748">
      <w:pPr>
        <w:pStyle w:val="SingleTxtG"/>
        <w:ind w:left="2268" w:hanging="1134"/>
      </w:pPr>
      <w:r w:rsidRPr="001253ED">
        <w:t xml:space="preserve">17.25 </w:t>
      </w:r>
      <w:r w:rsidRPr="001253ED">
        <w:tab/>
        <w:t xml:space="preserve">Независимо от пунктов </w:t>
      </w:r>
      <w:r w:rsidRPr="001253ED">
        <w:rPr>
          <w:b/>
          <w:bCs/>
        </w:rPr>
        <w:t xml:space="preserve">17.22 и </w:t>
      </w:r>
      <w:r w:rsidRPr="001253ED">
        <w:t>17.24 Договаривающиеся стороны, применяющие настоящие Правила, продолжают признавать официальные утверждения типа данных встроенных детских удерживающих систем или встроенных детских удерживающих систем для конкретных транспортных средств, предоставленные на основании поправок серии 04 к настоящим Правилам».</w:t>
      </w:r>
      <w:r>
        <w:br w:type="page"/>
      </w:r>
    </w:p>
    <w:p w14:paraId="69CDEFD6" w14:textId="77777777" w:rsidR="001253ED" w:rsidRPr="001253ED" w:rsidRDefault="001253ED" w:rsidP="00414748">
      <w:pPr>
        <w:pStyle w:val="HChG"/>
      </w:pPr>
      <w:r w:rsidRPr="001253ED">
        <w:t>Приложение VI</w:t>
      </w:r>
    </w:p>
    <w:p w14:paraId="1C76D42A" w14:textId="77777777" w:rsidR="001253ED" w:rsidRPr="001253ED" w:rsidRDefault="001253ED" w:rsidP="00414748">
      <w:pPr>
        <w:pStyle w:val="HChG"/>
      </w:pPr>
      <w:r w:rsidRPr="001253ED">
        <w:tab/>
      </w:r>
      <w:r w:rsidRPr="001253ED">
        <w:tab/>
        <w:t xml:space="preserve">Проект поправок к Правилам № 94 ООН </w:t>
      </w:r>
      <w:r w:rsidR="00414748">
        <w:br/>
      </w:r>
      <w:r w:rsidRPr="001253ED">
        <w:t>(лобовое столкновение)</w:t>
      </w:r>
    </w:p>
    <w:p w14:paraId="15B6068F" w14:textId="77777777" w:rsidR="001253ED" w:rsidRPr="001253ED" w:rsidRDefault="001253ED" w:rsidP="00414748">
      <w:pPr>
        <w:pStyle w:val="H1G"/>
      </w:pPr>
      <w:r w:rsidRPr="001253ED">
        <w:tab/>
      </w:r>
      <w:r w:rsidRPr="001253ED">
        <w:tab/>
        <w:t>Поправки, принятые к документу ECE/TRANS/WP.29/GRSP/2020/4 (см. пункт 17 настоящего доклада)</w:t>
      </w:r>
      <w:bookmarkStart w:id="9" w:name="_Hlk28098332"/>
      <w:bookmarkEnd w:id="9"/>
    </w:p>
    <w:p w14:paraId="03265161" w14:textId="77777777" w:rsidR="001253ED" w:rsidRPr="001253ED" w:rsidRDefault="001253ED" w:rsidP="001253ED">
      <w:pPr>
        <w:pStyle w:val="SingleTxtG"/>
        <w:rPr>
          <w:i/>
        </w:rPr>
      </w:pPr>
      <w:r w:rsidRPr="001253ED">
        <w:rPr>
          <w:i/>
          <w:iCs/>
        </w:rPr>
        <w:t>Пункт 2.16</w:t>
      </w:r>
      <w:r w:rsidRPr="001253ED">
        <w:t xml:space="preserve"> изменить следующим образом:</w:t>
      </w:r>
    </w:p>
    <w:p w14:paraId="700C96E8" w14:textId="77777777" w:rsidR="001253ED" w:rsidRPr="001253ED" w:rsidRDefault="001253ED" w:rsidP="00414748">
      <w:pPr>
        <w:pStyle w:val="SingleTxtG"/>
        <w:ind w:left="2268" w:hanging="1134"/>
      </w:pPr>
      <w:r w:rsidRPr="001253ED">
        <w:t>«2.16</w:t>
      </w:r>
      <w:r w:rsidRPr="001253ED">
        <w:tab/>
        <w:t>"</w:t>
      </w:r>
      <w:r w:rsidRPr="007D1125">
        <w:rPr>
          <w:i/>
          <w:iCs/>
        </w:rPr>
        <w:t>Перезаряжаемая система хранения электрической энергии (ПСХЭЭ)</w:t>
      </w:r>
      <w:r w:rsidRPr="001253ED">
        <w:t xml:space="preserve">" означает перезаряжаемую систему хранения энергии, которая обеспечивает подачу электроэнергии для создания </w:t>
      </w:r>
      <w:r w:rsidRPr="001253ED">
        <w:rPr>
          <w:b/>
          <w:bCs/>
        </w:rPr>
        <w:t xml:space="preserve">электрической </w:t>
      </w:r>
      <w:r w:rsidRPr="001253ED">
        <w:t>тяги.</w:t>
      </w:r>
    </w:p>
    <w:p w14:paraId="2E06239E" w14:textId="77777777" w:rsidR="001253ED" w:rsidRPr="001253ED" w:rsidRDefault="001253ED" w:rsidP="00414748">
      <w:pPr>
        <w:pStyle w:val="SingleTxtG"/>
        <w:ind w:left="2268" w:hanging="1134"/>
        <w:rPr>
          <w:b/>
        </w:rPr>
      </w:pPr>
      <w:r w:rsidRPr="001253ED">
        <w:tab/>
        <w:t xml:space="preserve">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w:t>
      </w:r>
      <w:r w:rsidRPr="001253ED">
        <w:rPr>
          <w:b/>
          <w:bCs/>
        </w:rPr>
        <w:t>ПСХЭЭ.</w:t>
      </w:r>
      <w:r w:rsidRPr="001253ED">
        <w:t xml:space="preserve"> </w:t>
      </w:r>
    </w:p>
    <w:p w14:paraId="3C912D01" w14:textId="77777777" w:rsidR="001253ED" w:rsidRPr="001253ED" w:rsidRDefault="00414748" w:rsidP="00414748">
      <w:pPr>
        <w:pStyle w:val="SingleTxtG"/>
        <w:ind w:left="2268" w:hanging="1134"/>
      </w:pPr>
      <w:r>
        <w:rPr>
          <w:b/>
          <w:bCs/>
        </w:rPr>
        <w:tab/>
      </w:r>
      <w:r w:rsidR="001253ED" w:rsidRPr="001253ED">
        <w:rPr>
          <w:b/>
          <w:bCs/>
        </w:rPr>
        <w:t>ПСХЭЭ</w:t>
      </w:r>
      <w:r w:rsidR="001253ED" w:rsidRPr="001253ED">
        <w:t xml:space="preserve"> может включать в себя необходимые системы для физической поддержки, регулирования температурного режима, устройств электронного управления и кожух».</w:t>
      </w:r>
    </w:p>
    <w:p w14:paraId="28785994" w14:textId="77777777" w:rsidR="001253ED" w:rsidRPr="001253ED" w:rsidRDefault="001253ED" w:rsidP="001253ED">
      <w:pPr>
        <w:pStyle w:val="SingleTxtG"/>
        <w:rPr>
          <w:i/>
        </w:rPr>
      </w:pPr>
      <w:r w:rsidRPr="001253ED">
        <w:rPr>
          <w:i/>
          <w:iCs/>
        </w:rPr>
        <w:t>Пункты 12.2 и 12.3</w:t>
      </w:r>
      <w:r w:rsidRPr="001253ED">
        <w:t xml:space="preserve"> изменить следующим образом:</w:t>
      </w:r>
    </w:p>
    <w:p w14:paraId="2C1150EB" w14:textId="77777777" w:rsidR="001253ED" w:rsidRPr="001253ED" w:rsidRDefault="001253ED" w:rsidP="00414748">
      <w:pPr>
        <w:pStyle w:val="SingleTxtG"/>
        <w:ind w:left="2268" w:hanging="1134"/>
        <w:rPr>
          <w:b/>
        </w:rPr>
      </w:pPr>
      <w:r w:rsidRPr="001253ED">
        <w:t>«12.2</w:t>
      </w:r>
      <w:r w:rsidRPr="001253ED">
        <w:tab/>
        <w:t xml:space="preserve">Начиная с </w:t>
      </w:r>
      <w:r w:rsidRPr="001253ED">
        <w:rPr>
          <w:b/>
          <w:bCs/>
        </w:rPr>
        <w:t>1 сентября 2023 года</w:t>
      </w:r>
      <w:r w:rsidRPr="001253ED">
        <w:t xml:space="preserve"> Договаривающиеся стороны, применяющие настоящие Правила, не обязаны признавать официальные утверждения типа в отношении транспортных </w:t>
      </w:r>
      <w:r w:rsidRPr="001253ED">
        <w:rPr>
          <w:b/>
          <w:bCs/>
        </w:rPr>
        <w:t>средств, впервые предоставленные</w:t>
      </w:r>
      <w:r w:rsidRPr="001253ED">
        <w:t xml:space="preserve"> на основании поправок </w:t>
      </w:r>
      <w:r w:rsidRPr="001253ED">
        <w:rPr>
          <w:b/>
          <w:bCs/>
        </w:rPr>
        <w:t>предыдущих серий</w:t>
      </w:r>
      <w:r w:rsidRPr="001253ED">
        <w:t xml:space="preserve"> после </w:t>
      </w:r>
      <w:r w:rsidRPr="001253ED">
        <w:rPr>
          <w:b/>
          <w:bCs/>
        </w:rPr>
        <w:t>1</w:t>
      </w:r>
      <w:r w:rsidR="00414748">
        <w:rPr>
          <w:b/>
          <w:bCs/>
        </w:rPr>
        <w:t> </w:t>
      </w:r>
      <w:r w:rsidRPr="001253ED">
        <w:rPr>
          <w:b/>
          <w:bCs/>
        </w:rPr>
        <w:t>сентября 2023 года</w:t>
      </w:r>
      <w:r w:rsidRPr="001253ED">
        <w:t>.</w:t>
      </w:r>
    </w:p>
    <w:p w14:paraId="2F5A0C28" w14:textId="77777777" w:rsidR="001253ED" w:rsidRPr="001253ED" w:rsidRDefault="001253ED" w:rsidP="00414748">
      <w:pPr>
        <w:pStyle w:val="SingleTxtG"/>
        <w:ind w:left="2268" w:hanging="1134"/>
        <w:rPr>
          <w:iCs/>
        </w:rPr>
      </w:pPr>
      <w:r w:rsidRPr="001253ED">
        <w:t>12.3</w:t>
      </w:r>
      <w:r w:rsidRPr="001253ED">
        <w:tab/>
        <w:t xml:space="preserve">Договаривающиеся стороны, применяющие настоящие Правила, продолжают признавать официальные утверждения типа, предоставленные в отношении </w:t>
      </w:r>
      <w:r w:rsidRPr="001253ED">
        <w:rPr>
          <w:b/>
          <w:bCs/>
        </w:rPr>
        <w:t xml:space="preserve">транспортных средств на основании </w:t>
      </w:r>
      <w:r w:rsidRPr="001253ED">
        <w:t xml:space="preserve">поправок </w:t>
      </w:r>
      <w:r w:rsidRPr="001253ED">
        <w:rPr>
          <w:b/>
          <w:bCs/>
        </w:rPr>
        <w:t>предыдущих</w:t>
      </w:r>
      <w:r w:rsidRPr="001253ED">
        <w:t xml:space="preserve"> серий</w:t>
      </w:r>
      <w:r w:rsidRPr="001253ED">
        <w:rPr>
          <w:b/>
          <w:bCs/>
        </w:rPr>
        <w:t>, впервые распространенные до 1</w:t>
      </w:r>
      <w:r w:rsidR="00414748">
        <w:rPr>
          <w:b/>
          <w:bCs/>
        </w:rPr>
        <w:t> </w:t>
      </w:r>
      <w:r w:rsidRPr="001253ED">
        <w:rPr>
          <w:b/>
          <w:bCs/>
        </w:rPr>
        <w:t>сентября 2023 года, при условии что эта возможность предусмотрена переходными положениями в этих соответствующих предыдущих сериях поправок».</w:t>
      </w:r>
    </w:p>
    <w:p w14:paraId="2C912AA2" w14:textId="77777777" w:rsidR="001253ED" w:rsidRDefault="001253ED">
      <w:pPr>
        <w:suppressAutoHyphens w:val="0"/>
        <w:spacing w:line="240" w:lineRule="auto"/>
        <w:rPr>
          <w:rFonts w:eastAsia="Times New Roman" w:cs="Times New Roman"/>
          <w:szCs w:val="20"/>
        </w:rPr>
      </w:pPr>
      <w:r>
        <w:br w:type="page"/>
      </w:r>
    </w:p>
    <w:p w14:paraId="581D42FF" w14:textId="77777777" w:rsidR="001253ED" w:rsidRPr="001253ED" w:rsidRDefault="001253ED" w:rsidP="00414748">
      <w:pPr>
        <w:pStyle w:val="HChG"/>
      </w:pPr>
      <w:r w:rsidRPr="001253ED">
        <w:t>Приложение VII</w:t>
      </w:r>
    </w:p>
    <w:p w14:paraId="75A008AD" w14:textId="77777777" w:rsidR="001253ED" w:rsidRPr="001253ED" w:rsidRDefault="001253ED" w:rsidP="00414748">
      <w:pPr>
        <w:pStyle w:val="HChG"/>
      </w:pPr>
      <w:r w:rsidRPr="001253ED">
        <w:tab/>
      </w:r>
      <w:r w:rsidRPr="001253ED">
        <w:tab/>
        <w:t xml:space="preserve">Проект поправок к Правилам № 95 ООН </w:t>
      </w:r>
      <w:r w:rsidR="00414748">
        <w:br/>
      </w:r>
      <w:r w:rsidRPr="001253ED">
        <w:t>(боковое столкновение)</w:t>
      </w:r>
    </w:p>
    <w:p w14:paraId="1779BF19" w14:textId="77777777" w:rsidR="001253ED" w:rsidRPr="001253ED" w:rsidRDefault="001253ED" w:rsidP="00414748">
      <w:pPr>
        <w:pStyle w:val="H1G"/>
      </w:pPr>
      <w:r w:rsidRPr="001253ED">
        <w:tab/>
      </w:r>
      <w:r w:rsidR="00414748">
        <w:tab/>
      </w:r>
      <w:r w:rsidRPr="001253ED">
        <w:t>Поправки, принятые к документу ECE/TRANS/WP.29/GRSP/2020/5 (см. пункт 18 настоящего доклада)</w:t>
      </w:r>
    </w:p>
    <w:p w14:paraId="34A4EB70" w14:textId="77777777" w:rsidR="001253ED" w:rsidRPr="001253ED" w:rsidRDefault="001253ED" w:rsidP="001253ED">
      <w:pPr>
        <w:pStyle w:val="SingleTxtG"/>
        <w:rPr>
          <w:i/>
        </w:rPr>
      </w:pPr>
      <w:r w:rsidRPr="001253ED">
        <w:rPr>
          <w:i/>
          <w:iCs/>
        </w:rPr>
        <w:t>Пункт 2.16</w:t>
      </w:r>
      <w:r w:rsidRPr="001253ED">
        <w:t xml:space="preserve"> изменить следующим образом:</w:t>
      </w:r>
    </w:p>
    <w:p w14:paraId="35E8FADC" w14:textId="77777777" w:rsidR="001253ED" w:rsidRPr="001253ED" w:rsidRDefault="001253ED" w:rsidP="00414748">
      <w:pPr>
        <w:pStyle w:val="SingleTxtG"/>
        <w:ind w:left="2268" w:hanging="1134"/>
      </w:pPr>
      <w:r w:rsidRPr="001253ED">
        <w:t>«2.16</w:t>
      </w:r>
      <w:r w:rsidRPr="001253ED">
        <w:tab/>
        <w:t>"</w:t>
      </w:r>
      <w:r w:rsidRPr="00C71EC0">
        <w:rPr>
          <w:i/>
          <w:iCs/>
        </w:rPr>
        <w:t>Перезаряжаемая система хранения электрической энергии (ПСХЭЭ)</w:t>
      </w:r>
      <w:r w:rsidRPr="001253ED">
        <w:t xml:space="preserve">" означает перезаряжаемую систему хранения энергии, которая обеспечивает подачу электроэнергии для создания </w:t>
      </w:r>
      <w:r w:rsidRPr="001253ED">
        <w:rPr>
          <w:b/>
          <w:bCs/>
        </w:rPr>
        <w:t>электрической</w:t>
      </w:r>
      <w:r w:rsidRPr="001253ED">
        <w:t xml:space="preserve"> тяги.</w:t>
      </w:r>
    </w:p>
    <w:p w14:paraId="45EC953A" w14:textId="77777777" w:rsidR="001253ED" w:rsidRPr="001253ED" w:rsidRDefault="001253ED" w:rsidP="00414748">
      <w:pPr>
        <w:pStyle w:val="SingleTxtG"/>
        <w:ind w:left="2268" w:hanging="1134"/>
        <w:rPr>
          <w:b/>
        </w:rPr>
      </w:pPr>
      <w:r w:rsidRPr="001253ED">
        <w:tab/>
        <w:t xml:space="preserve">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w:t>
      </w:r>
      <w:r w:rsidRPr="001253ED">
        <w:rPr>
          <w:b/>
          <w:bCs/>
        </w:rPr>
        <w:t>ПСХЭЭ.</w:t>
      </w:r>
      <w:r w:rsidRPr="001253ED">
        <w:t xml:space="preserve"> </w:t>
      </w:r>
    </w:p>
    <w:p w14:paraId="20259A9A" w14:textId="77777777" w:rsidR="001253ED" w:rsidRPr="001253ED" w:rsidRDefault="00414748" w:rsidP="00414748">
      <w:pPr>
        <w:pStyle w:val="SingleTxtG"/>
        <w:ind w:left="2268" w:hanging="1134"/>
      </w:pPr>
      <w:r>
        <w:rPr>
          <w:b/>
          <w:bCs/>
        </w:rPr>
        <w:tab/>
      </w:r>
      <w:r w:rsidR="001253ED" w:rsidRPr="001253ED">
        <w:rPr>
          <w:b/>
          <w:bCs/>
        </w:rPr>
        <w:t>ПСХЭЭ</w:t>
      </w:r>
      <w:r w:rsidR="001253ED" w:rsidRPr="001253ED">
        <w:t xml:space="preserve"> может включать в себя необходимые системы для физической поддержки, регулирования температурного режима, </w:t>
      </w:r>
      <w:r w:rsidR="001253ED" w:rsidRPr="001253ED">
        <w:rPr>
          <w:b/>
          <w:bCs/>
        </w:rPr>
        <w:t>устройств</w:t>
      </w:r>
      <w:r w:rsidR="001253ED" w:rsidRPr="001253ED">
        <w:t xml:space="preserve"> </w:t>
      </w:r>
      <w:r w:rsidR="001253ED" w:rsidRPr="001253ED">
        <w:rPr>
          <w:b/>
          <w:bCs/>
        </w:rPr>
        <w:t>электронного управления</w:t>
      </w:r>
      <w:r w:rsidR="001253ED" w:rsidRPr="001253ED">
        <w:t xml:space="preserve"> и </w:t>
      </w:r>
      <w:r w:rsidR="001253ED" w:rsidRPr="001253ED">
        <w:rPr>
          <w:b/>
          <w:bCs/>
        </w:rPr>
        <w:t>кожух</w:t>
      </w:r>
      <w:r w:rsidR="001253ED" w:rsidRPr="001253ED">
        <w:t>».</w:t>
      </w:r>
    </w:p>
    <w:p w14:paraId="5DA8D930" w14:textId="77777777" w:rsidR="001253ED" w:rsidRDefault="001253ED">
      <w:pPr>
        <w:suppressAutoHyphens w:val="0"/>
        <w:spacing w:line="240" w:lineRule="auto"/>
        <w:rPr>
          <w:rFonts w:eastAsia="Times New Roman" w:cs="Times New Roman"/>
          <w:szCs w:val="20"/>
        </w:rPr>
      </w:pPr>
      <w:r>
        <w:br w:type="page"/>
      </w:r>
    </w:p>
    <w:p w14:paraId="31A0FF13" w14:textId="77777777" w:rsidR="001253ED" w:rsidRPr="001253ED" w:rsidRDefault="001253ED" w:rsidP="00414748">
      <w:pPr>
        <w:pStyle w:val="HChG"/>
      </w:pPr>
      <w:r w:rsidRPr="001253ED">
        <w:t>Приложение VIII</w:t>
      </w:r>
    </w:p>
    <w:p w14:paraId="08664051" w14:textId="77777777" w:rsidR="001253ED" w:rsidRPr="001253ED" w:rsidRDefault="001253ED" w:rsidP="00414748">
      <w:pPr>
        <w:pStyle w:val="HChG"/>
      </w:pPr>
      <w:r w:rsidRPr="001253ED">
        <w:tab/>
      </w:r>
      <w:r w:rsidRPr="001253ED">
        <w:tab/>
        <w:t xml:space="preserve">Проект поправок к Правилам № 100 ООН (транспортные средства с электроприводом) </w:t>
      </w:r>
    </w:p>
    <w:p w14:paraId="55BE10AE" w14:textId="77777777" w:rsidR="001253ED" w:rsidRPr="001253ED" w:rsidRDefault="001253ED" w:rsidP="00414748">
      <w:pPr>
        <w:pStyle w:val="H1G"/>
      </w:pPr>
      <w:r w:rsidRPr="001253ED">
        <w:tab/>
      </w:r>
      <w:r w:rsidR="00414748">
        <w:tab/>
      </w:r>
      <w:r w:rsidRPr="001253ED">
        <w:t xml:space="preserve">Поправки, принятые к документу ECE/TRANS/WP.29/GRSP/2020/6 (см. пункт 19 настоящего доклада) </w:t>
      </w:r>
    </w:p>
    <w:p w14:paraId="7792D852" w14:textId="77777777" w:rsidR="001253ED" w:rsidRPr="001253ED" w:rsidRDefault="001253ED" w:rsidP="001253ED">
      <w:pPr>
        <w:pStyle w:val="SingleTxtG"/>
        <w:rPr>
          <w:i/>
        </w:rPr>
      </w:pPr>
      <w:r w:rsidRPr="001253ED">
        <w:rPr>
          <w:i/>
          <w:iCs/>
        </w:rPr>
        <w:t>Пункты 1.1–1.2</w:t>
      </w:r>
      <w:r w:rsidRPr="001253ED">
        <w:t xml:space="preserve"> изменить следующим образом:</w:t>
      </w:r>
    </w:p>
    <w:p w14:paraId="5781BE52" w14:textId="77777777" w:rsidR="001253ED" w:rsidRPr="001253ED" w:rsidRDefault="001253ED" w:rsidP="00AA72E1">
      <w:pPr>
        <w:pStyle w:val="SingleTxtG"/>
        <w:ind w:left="2268" w:hanging="1134"/>
      </w:pPr>
      <w:r w:rsidRPr="001253ED">
        <w:t>«1.1</w:t>
      </w:r>
      <w:r w:rsidRPr="001253ED">
        <w:tab/>
        <w:t>Часть I: Требования к безопасности, касающиеся электрического привода дорожных транспортных средств категорий M и N</w:t>
      </w:r>
      <w:r w:rsidRPr="00AA72E1">
        <w:rPr>
          <w:sz w:val="18"/>
          <w:szCs w:val="18"/>
          <w:vertAlign w:val="superscript"/>
        </w:rPr>
        <w:footnoteReference w:id="1"/>
      </w:r>
      <w:r w:rsidRPr="001253ED">
        <w:t>, максимальная расчетная скорость которых превышает 25 км/ч и которые оснащены электрическим приводом, за исключением транспортных средств, имеющих постоянное соединение с сетью.</w:t>
      </w:r>
    </w:p>
    <w:p w14:paraId="276F256F" w14:textId="77777777" w:rsidR="001253ED" w:rsidRPr="001253ED" w:rsidRDefault="001253ED" w:rsidP="00AA72E1">
      <w:pPr>
        <w:pStyle w:val="SingleTxtG"/>
        <w:ind w:left="2268" w:hanging="1134"/>
      </w:pPr>
      <w:r w:rsidRPr="001253ED">
        <w:tab/>
        <w:t>Часть I настоящих Правил не охватывает</w:t>
      </w:r>
      <w:r w:rsidRPr="001253ED">
        <w:rPr>
          <w:b/>
          <w:bCs/>
        </w:rPr>
        <w:t>:</w:t>
      </w:r>
    </w:p>
    <w:p w14:paraId="6DFBDE66" w14:textId="77777777" w:rsidR="001253ED" w:rsidRPr="001253ED" w:rsidRDefault="00AA72E1" w:rsidP="00AA72E1">
      <w:pPr>
        <w:pStyle w:val="SingleTxtG"/>
        <w:tabs>
          <w:tab w:val="left" w:pos="2268"/>
        </w:tabs>
        <w:ind w:left="2835" w:hanging="1701"/>
        <w:rPr>
          <w:bCs/>
        </w:rPr>
      </w:pPr>
      <w:r>
        <w:tab/>
      </w:r>
      <w:r w:rsidR="001253ED" w:rsidRPr="001253ED">
        <w:t>a)</w:t>
      </w:r>
      <w:r w:rsidR="001253ED" w:rsidRPr="001253ED">
        <w:tab/>
        <w:t xml:space="preserve">требования к безопасности дорожных транспортных средств после аварии; </w:t>
      </w:r>
    </w:p>
    <w:p w14:paraId="728FEF67" w14:textId="77777777" w:rsidR="001253ED" w:rsidRPr="001253ED" w:rsidRDefault="00AA72E1" w:rsidP="00AA72E1">
      <w:pPr>
        <w:pStyle w:val="SingleTxtG"/>
        <w:tabs>
          <w:tab w:val="left" w:pos="2268"/>
        </w:tabs>
        <w:ind w:left="2835" w:hanging="1701"/>
        <w:rPr>
          <w:bCs/>
        </w:rPr>
      </w:pPr>
      <w:r>
        <w:tab/>
      </w:r>
      <w:r w:rsidR="001253ED" w:rsidRPr="001253ED">
        <w:t>b)</w:t>
      </w:r>
      <w:r w:rsidR="001253ED" w:rsidRPr="001253ED">
        <w:tab/>
        <w:t>высоковольтные компоненты и системы, не имеющие гальванического соединения с высоковольтной шиной электрического привода.</w:t>
      </w:r>
    </w:p>
    <w:p w14:paraId="16E04878" w14:textId="77777777" w:rsidR="001253ED" w:rsidRPr="001253ED" w:rsidRDefault="001253ED" w:rsidP="00AA72E1">
      <w:pPr>
        <w:pStyle w:val="SingleTxtG"/>
        <w:ind w:left="2268" w:hanging="1134"/>
      </w:pPr>
      <w:r w:rsidRPr="001253ED">
        <w:t>1.2</w:t>
      </w:r>
      <w:r w:rsidRPr="001253ED">
        <w:tab/>
        <w:t>Часть II: Требования к безопасности, касающиеся перезаряжаемой системы хранения электрической энергии (ПСХЭЭ) дорожных транспортных средств категорий M и N, которые оснащены электрическим приводом, за исключением транспортных средств, имеющих постоянное соединение с сетью.</w:t>
      </w:r>
    </w:p>
    <w:p w14:paraId="3548D56C" w14:textId="77777777" w:rsidR="001253ED" w:rsidRPr="001253ED" w:rsidRDefault="00AA72E1" w:rsidP="00AA72E1">
      <w:pPr>
        <w:pStyle w:val="SingleTxtG"/>
        <w:ind w:left="2268" w:hanging="1134"/>
      </w:pPr>
      <w:r>
        <w:rPr>
          <w:b/>
          <w:bCs/>
        </w:rPr>
        <w:tab/>
      </w:r>
      <w:r w:rsidR="001253ED" w:rsidRPr="001253ED">
        <w:rPr>
          <w:b/>
          <w:bCs/>
        </w:rPr>
        <w:t>Часть II настоящих Правил не применяется к аккумуляторной батарее</w:t>
      </w:r>
      <w:r w:rsidR="001253ED" w:rsidRPr="00AA72E1">
        <w:rPr>
          <w:b/>
          <w:bCs/>
          <w:strike/>
        </w:rPr>
        <w:t>ПСХЭЭ</w:t>
      </w:r>
      <w:r w:rsidR="001253ED" w:rsidRPr="001253ED">
        <w:rPr>
          <w:b/>
          <w:bCs/>
        </w:rPr>
        <w:t>, которая используется в основном в качестве источника питания для запуска двигателя и/или освещения и/или иных вспомогательных систем транспортного средства».</w:t>
      </w:r>
    </w:p>
    <w:p w14:paraId="4630620E" w14:textId="77777777" w:rsidR="001253ED" w:rsidRPr="001253ED" w:rsidRDefault="001253ED" w:rsidP="001253ED">
      <w:pPr>
        <w:pStyle w:val="SingleTxtG"/>
      </w:pPr>
      <w:r w:rsidRPr="001253ED">
        <w:rPr>
          <w:i/>
          <w:iCs/>
        </w:rPr>
        <w:t xml:space="preserve">Пункт 2.9 (прежний), </w:t>
      </w:r>
      <w:r w:rsidRPr="001253ED">
        <w:t>изменить нумерацию на 2.14.</w:t>
      </w:r>
    </w:p>
    <w:p w14:paraId="492E9A69" w14:textId="77777777" w:rsidR="001253ED" w:rsidRPr="001253ED" w:rsidRDefault="001253ED" w:rsidP="001253ED">
      <w:pPr>
        <w:pStyle w:val="SingleTxtG"/>
        <w:rPr>
          <w:i/>
        </w:rPr>
      </w:pPr>
      <w:r w:rsidRPr="001253ED">
        <w:rPr>
          <w:i/>
          <w:iCs/>
        </w:rPr>
        <w:t>Пункт 2.29 (прежний)</w:t>
      </w:r>
      <w:r w:rsidRPr="001253ED">
        <w:t>, нумерацию изменить на 2.37, а текст − следующим образом:</w:t>
      </w:r>
    </w:p>
    <w:p w14:paraId="1BE69A7E" w14:textId="77777777" w:rsidR="001253ED" w:rsidRPr="001253ED" w:rsidRDefault="001253ED" w:rsidP="00AA72E1">
      <w:pPr>
        <w:pStyle w:val="SingleTxtG"/>
        <w:ind w:left="2268" w:hanging="1134"/>
      </w:pPr>
      <w:r w:rsidRPr="001253ED">
        <w:t>«</w:t>
      </w:r>
      <w:r w:rsidRPr="001253ED">
        <w:rPr>
          <w:b/>
          <w:bCs/>
        </w:rPr>
        <w:t>2.37</w:t>
      </w:r>
      <w:r w:rsidRPr="001253ED">
        <w:tab/>
        <w:t xml:space="preserve">"Перезаряжаемая система хранения электрической энергии (ПСХЭЭ)" означает перезаряжаемую систему хранения энергии, которая обеспечивает подачу электроэнергии для создания </w:t>
      </w:r>
      <w:r w:rsidRPr="001253ED">
        <w:rPr>
          <w:b/>
          <w:bCs/>
        </w:rPr>
        <w:t xml:space="preserve">электрической </w:t>
      </w:r>
      <w:r w:rsidRPr="001253ED">
        <w:t>тяги.</w:t>
      </w:r>
    </w:p>
    <w:p w14:paraId="78C1A046" w14:textId="77777777" w:rsidR="001253ED" w:rsidRPr="001253ED" w:rsidRDefault="001253ED" w:rsidP="00AA72E1">
      <w:pPr>
        <w:pStyle w:val="SingleTxtG"/>
        <w:ind w:left="2268" w:hanging="1134"/>
        <w:rPr>
          <w:b/>
        </w:rPr>
      </w:pPr>
      <w:r w:rsidRPr="001253ED">
        <w:tab/>
        <w:t xml:space="preserve">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w:t>
      </w:r>
      <w:r w:rsidRPr="001253ED">
        <w:rPr>
          <w:b/>
          <w:bCs/>
        </w:rPr>
        <w:t>ПСХЭЭ.</w:t>
      </w:r>
      <w:r w:rsidRPr="001253ED">
        <w:t xml:space="preserve"> </w:t>
      </w:r>
    </w:p>
    <w:p w14:paraId="372E88BA" w14:textId="77777777" w:rsidR="001253ED" w:rsidRPr="001253ED" w:rsidRDefault="001253ED" w:rsidP="00AA72E1">
      <w:pPr>
        <w:pStyle w:val="SingleTxtG"/>
        <w:ind w:left="2268" w:hanging="1134"/>
      </w:pPr>
      <w:r w:rsidRPr="001253ED">
        <w:tab/>
      </w:r>
      <w:r w:rsidRPr="001253ED">
        <w:rPr>
          <w:b/>
          <w:bCs/>
        </w:rPr>
        <w:t xml:space="preserve">ПСХЭЭ </w:t>
      </w:r>
      <w:r w:rsidRPr="001253ED">
        <w:t xml:space="preserve">может включать в себя необходимые системы для физической поддержки, регулирования температурного режима, </w:t>
      </w:r>
      <w:r w:rsidRPr="001253ED">
        <w:rPr>
          <w:b/>
          <w:bCs/>
        </w:rPr>
        <w:t>устройств электронного управления</w:t>
      </w:r>
      <w:r w:rsidRPr="001253ED">
        <w:t xml:space="preserve"> и</w:t>
      </w:r>
      <w:r w:rsidRPr="001253ED">
        <w:rPr>
          <w:b/>
          <w:bCs/>
        </w:rPr>
        <w:t xml:space="preserve"> кожух</w:t>
      </w:r>
      <w:r w:rsidRPr="004A08F0">
        <w:t>».</w:t>
      </w:r>
    </w:p>
    <w:p w14:paraId="0F40259C" w14:textId="77777777" w:rsidR="001253ED" w:rsidRPr="001253ED" w:rsidRDefault="001253ED" w:rsidP="001253ED">
      <w:pPr>
        <w:pStyle w:val="SingleTxtG"/>
        <w:rPr>
          <w:i/>
        </w:rPr>
      </w:pPr>
      <w:r w:rsidRPr="001253ED">
        <w:rPr>
          <w:i/>
          <w:iCs/>
        </w:rPr>
        <w:t>Включить новые пункты 12.3 и 12.4</w:t>
      </w:r>
      <w:r w:rsidRPr="001253ED">
        <w:t xml:space="preserve"> следующего содержания:</w:t>
      </w:r>
    </w:p>
    <w:p w14:paraId="2AEF8393" w14:textId="77777777" w:rsidR="001253ED" w:rsidRPr="001253ED" w:rsidRDefault="001253ED" w:rsidP="00AA72E1">
      <w:pPr>
        <w:pStyle w:val="SingleTxtG"/>
        <w:ind w:left="2268" w:hanging="1134"/>
        <w:rPr>
          <w:b/>
        </w:rPr>
      </w:pPr>
      <w:r w:rsidRPr="001253ED">
        <w:rPr>
          <w:b/>
          <w:bCs/>
        </w:rPr>
        <w:t>«12.3</w:t>
      </w:r>
      <w:r w:rsidRPr="001253ED">
        <w:rPr>
          <w:b/>
          <w:bCs/>
        </w:rPr>
        <w:tab/>
        <w:t>До 1 сентября 2025 года Договаривающиеся стороны, применяющие настоящие Правила, признают официальные утверждения типа в соответствии с поправками предыдущих серий, выданные впервые до 1 сентября 2023 года.</w:t>
      </w:r>
    </w:p>
    <w:p w14:paraId="41977731" w14:textId="77777777" w:rsidR="001253ED" w:rsidRPr="001253ED" w:rsidRDefault="001253ED" w:rsidP="00AA72E1">
      <w:pPr>
        <w:pStyle w:val="SingleTxtG"/>
        <w:keepNext/>
        <w:keepLines/>
        <w:ind w:left="2268" w:hanging="1134"/>
      </w:pPr>
      <w:r w:rsidRPr="001253ED">
        <w:rPr>
          <w:b/>
          <w:bCs/>
        </w:rPr>
        <w:t>12.4</w:t>
      </w:r>
      <w:r w:rsidRPr="001253ED">
        <w:tab/>
      </w:r>
      <w:r w:rsidRPr="001253ED">
        <w:rPr>
          <w:b/>
          <w:bCs/>
        </w:rPr>
        <w:t>Начиная с 1 сентября 2025 года Договаривающиеся стороны, применяющие настоящие Правила, не обязаны признавать официальные утверждения типа, выданные на основании поправок предыдущих серий к настоящим Правилам».</w:t>
      </w:r>
    </w:p>
    <w:p w14:paraId="6AC47601" w14:textId="77777777" w:rsidR="001253ED" w:rsidRPr="001253ED" w:rsidRDefault="001253ED" w:rsidP="001253ED">
      <w:pPr>
        <w:pStyle w:val="SingleTxtG"/>
      </w:pPr>
      <w:r w:rsidRPr="001253ED">
        <w:rPr>
          <w:i/>
          <w:iCs/>
        </w:rPr>
        <w:t>Изменить нумерацию (прежних) пунктов 12.3 и 12.4 на 12.5 и 12.6.</w:t>
      </w:r>
    </w:p>
    <w:p w14:paraId="0DEFF116" w14:textId="77777777" w:rsidR="001253ED" w:rsidRDefault="001253ED">
      <w:pPr>
        <w:suppressAutoHyphens w:val="0"/>
        <w:spacing w:line="240" w:lineRule="auto"/>
        <w:rPr>
          <w:rFonts w:eastAsia="Times New Roman" w:cs="Times New Roman"/>
          <w:szCs w:val="20"/>
        </w:rPr>
      </w:pPr>
      <w:r>
        <w:br w:type="page"/>
      </w:r>
    </w:p>
    <w:p w14:paraId="4900A20C" w14:textId="77777777" w:rsidR="001253ED" w:rsidRPr="001253ED" w:rsidRDefault="001253ED" w:rsidP="00AA72E1">
      <w:pPr>
        <w:pStyle w:val="HChG"/>
      </w:pPr>
      <w:r w:rsidRPr="001253ED">
        <w:t>Приложение IX</w:t>
      </w:r>
    </w:p>
    <w:p w14:paraId="38558405" w14:textId="77777777" w:rsidR="001253ED" w:rsidRPr="001253ED" w:rsidRDefault="001253ED" w:rsidP="00AA72E1">
      <w:pPr>
        <w:pStyle w:val="HChG"/>
      </w:pPr>
      <w:r w:rsidRPr="001253ED">
        <w:tab/>
      </w:r>
      <w:r w:rsidRPr="001253ED">
        <w:tab/>
        <w:t>Проект поправок к Правилам № 137 ООН (лобовой удар с уделением особого внимания удерживающим системам)</w:t>
      </w:r>
    </w:p>
    <w:p w14:paraId="43B68F9B" w14:textId="77777777" w:rsidR="001253ED" w:rsidRPr="001253ED" w:rsidRDefault="001253ED" w:rsidP="00AA72E1">
      <w:pPr>
        <w:pStyle w:val="H1G"/>
      </w:pPr>
      <w:r w:rsidRPr="001253ED">
        <w:tab/>
      </w:r>
      <w:r w:rsidR="00AA72E1">
        <w:tab/>
      </w:r>
      <w:r w:rsidRPr="001253ED">
        <w:t xml:space="preserve">Поправки, принятые к документу ECE/TRANS/WP.29/GRSP/2020/7 (см. пункт 25 настоящего доклада) </w:t>
      </w:r>
    </w:p>
    <w:p w14:paraId="4DAFF457" w14:textId="77777777" w:rsidR="001253ED" w:rsidRPr="001253ED" w:rsidRDefault="001253ED" w:rsidP="001253ED">
      <w:pPr>
        <w:pStyle w:val="SingleTxtG"/>
        <w:rPr>
          <w:i/>
        </w:rPr>
      </w:pPr>
      <w:r w:rsidRPr="001253ED">
        <w:rPr>
          <w:i/>
          <w:iCs/>
        </w:rPr>
        <w:t xml:space="preserve">Пункт 2.12 </w:t>
      </w:r>
      <w:r w:rsidRPr="001253ED">
        <w:t>изменить следующим образом:</w:t>
      </w:r>
    </w:p>
    <w:p w14:paraId="723D8EEF" w14:textId="77777777" w:rsidR="001253ED" w:rsidRPr="001253ED" w:rsidRDefault="001253ED" w:rsidP="00AA72E1">
      <w:pPr>
        <w:pStyle w:val="SingleTxtG"/>
        <w:ind w:left="2268" w:hanging="1134"/>
      </w:pPr>
      <w:r w:rsidRPr="001253ED">
        <w:t>«2.12</w:t>
      </w:r>
      <w:r w:rsidRPr="001253ED">
        <w:tab/>
        <w:t>"</w:t>
      </w:r>
      <w:r w:rsidRPr="002B1C83">
        <w:rPr>
          <w:i/>
          <w:iCs/>
        </w:rPr>
        <w:t>Перезаряжаемая система хранения электрической энергии (ПСХЭЭ)</w:t>
      </w:r>
      <w:r w:rsidRPr="001253ED">
        <w:t xml:space="preserve">" означает перезаряжаемую систему хранения энергии, которая обеспечивает подачу электроэнергии для создания </w:t>
      </w:r>
      <w:r w:rsidRPr="001253ED">
        <w:rPr>
          <w:b/>
          <w:bCs/>
        </w:rPr>
        <w:t>электрической</w:t>
      </w:r>
      <w:r w:rsidRPr="001253ED">
        <w:t xml:space="preserve"> тяги.</w:t>
      </w:r>
    </w:p>
    <w:p w14:paraId="3EA16527" w14:textId="77777777" w:rsidR="001253ED" w:rsidRPr="001253ED" w:rsidRDefault="001253ED" w:rsidP="00AA72E1">
      <w:pPr>
        <w:pStyle w:val="SingleTxtG"/>
        <w:ind w:left="2268" w:hanging="1134"/>
        <w:rPr>
          <w:b/>
          <w:bCs/>
        </w:rPr>
      </w:pPr>
      <w:r w:rsidRPr="001253ED">
        <w:tab/>
        <w:t xml:space="preserve">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w:t>
      </w:r>
      <w:r w:rsidRPr="001253ED">
        <w:rPr>
          <w:b/>
          <w:bCs/>
        </w:rPr>
        <w:t xml:space="preserve">ПСХЭЭ. </w:t>
      </w:r>
    </w:p>
    <w:p w14:paraId="50B26C99" w14:textId="77777777" w:rsidR="001253ED" w:rsidRPr="001253ED" w:rsidRDefault="00AA72E1" w:rsidP="00AA72E1">
      <w:pPr>
        <w:pStyle w:val="SingleTxtG"/>
        <w:ind w:left="2268" w:hanging="1134"/>
      </w:pPr>
      <w:r>
        <w:rPr>
          <w:b/>
          <w:bCs/>
        </w:rPr>
        <w:tab/>
      </w:r>
      <w:r w:rsidR="001253ED" w:rsidRPr="001253ED">
        <w:rPr>
          <w:b/>
          <w:bCs/>
        </w:rPr>
        <w:t>ПСХЭЭ</w:t>
      </w:r>
      <w:r w:rsidR="001253ED" w:rsidRPr="001253ED">
        <w:t xml:space="preserve"> может включать в себя необходимые системы для физической поддержки, регулирования температурного режима, </w:t>
      </w:r>
      <w:r w:rsidR="001253ED" w:rsidRPr="001253ED">
        <w:rPr>
          <w:b/>
          <w:bCs/>
        </w:rPr>
        <w:t xml:space="preserve">устройств электронного управления </w:t>
      </w:r>
      <w:r w:rsidR="001253ED" w:rsidRPr="001253ED">
        <w:t xml:space="preserve">и </w:t>
      </w:r>
      <w:r w:rsidR="001253ED" w:rsidRPr="001253ED">
        <w:rPr>
          <w:b/>
          <w:bCs/>
        </w:rPr>
        <w:t>кожух</w:t>
      </w:r>
      <w:r w:rsidR="001253ED" w:rsidRPr="001253ED">
        <w:t>».</w:t>
      </w:r>
    </w:p>
    <w:p w14:paraId="67FD04D8" w14:textId="77777777" w:rsidR="001253ED" w:rsidRPr="001253ED" w:rsidRDefault="001253ED" w:rsidP="001253ED">
      <w:pPr>
        <w:pStyle w:val="SingleTxtG"/>
        <w:rPr>
          <w:bCs/>
        </w:rPr>
      </w:pPr>
      <w:r w:rsidRPr="001253ED">
        <w:rPr>
          <w:i/>
          <w:iCs/>
        </w:rPr>
        <w:t>Пункты 12.1 и 12.2</w:t>
      </w:r>
      <w:r w:rsidRPr="001253ED">
        <w:t xml:space="preserve"> изменить следующим образом:</w:t>
      </w:r>
    </w:p>
    <w:p w14:paraId="70AFB572" w14:textId="77777777" w:rsidR="001253ED" w:rsidRPr="001253ED" w:rsidRDefault="001253ED" w:rsidP="00AA72E1">
      <w:pPr>
        <w:pStyle w:val="SingleTxtG"/>
        <w:ind w:left="2268" w:hanging="1134"/>
        <w:rPr>
          <w:bCs/>
        </w:rPr>
      </w:pPr>
      <w:r w:rsidRPr="001253ED">
        <w:t>«12.1</w:t>
      </w:r>
      <w:r w:rsidRPr="001253ED">
        <w:tab/>
        <w:t xml:space="preserve">Начиная с официальной даты вступления в силу поправок серии </w:t>
      </w:r>
      <w:r w:rsidRPr="001253ED">
        <w:rPr>
          <w:b/>
          <w:bCs/>
        </w:rPr>
        <w:t>02</w:t>
      </w:r>
      <w:r w:rsidRPr="001253ED">
        <w:t xml:space="preserve">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поправками серии</w:t>
      </w:r>
      <w:r w:rsidR="00AA72E1">
        <w:t> </w:t>
      </w:r>
      <w:r w:rsidRPr="001253ED">
        <w:t>02.</w:t>
      </w:r>
    </w:p>
    <w:p w14:paraId="1FD0D498" w14:textId="77777777" w:rsidR="001253ED" w:rsidRPr="001253ED" w:rsidRDefault="001253ED" w:rsidP="00AA72E1">
      <w:pPr>
        <w:pStyle w:val="SingleTxtG"/>
        <w:ind w:left="2268" w:hanging="1134"/>
        <w:rPr>
          <w:bCs/>
        </w:rPr>
      </w:pPr>
      <w:r w:rsidRPr="001253ED">
        <w:t>12.2</w:t>
      </w:r>
      <w:r w:rsidRPr="001253ED">
        <w:tab/>
        <w:t>Начиная с 1 сентября 2023 года Договаривающиеся стороны, применяющие настоящие Правила, не обязаны признавать официальные утверждения типа в отношении транспортных средств с электроприводом, работающим под высоким напряжением, впервые предоставленные на основании поправок серии</w:t>
      </w:r>
      <w:r w:rsidRPr="001253ED">
        <w:rPr>
          <w:b/>
          <w:bCs/>
        </w:rPr>
        <w:t xml:space="preserve"> 01</w:t>
      </w:r>
      <w:r w:rsidRPr="001253ED">
        <w:t xml:space="preserve"> после 1 сентября 2023</w:t>
      </w:r>
      <w:r w:rsidR="00AA72E1">
        <w:t> </w:t>
      </w:r>
      <w:r w:rsidRPr="001253ED">
        <w:t>года».</w:t>
      </w:r>
    </w:p>
    <w:p w14:paraId="2978A090" w14:textId="77777777" w:rsidR="001253ED" w:rsidRDefault="001253ED">
      <w:pPr>
        <w:suppressAutoHyphens w:val="0"/>
        <w:spacing w:line="240" w:lineRule="auto"/>
        <w:rPr>
          <w:rFonts w:eastAsia="Times New Roman" w:cs="Times New Roman"/>
          <w:szCs w:val="20"/>
        </w:rPr>
      </w:pPr>
      <w:r>
        <w:br w:type="page"/>
      </w:r>
    </w:p>
    <w:p w14:paraId="13B489E2" w14:textId="77777777" w:rsidR="001253ED" w:rsidRPr="001253ED" w:rsidRDefault="001253ED" w:rsidP="00AA72E1">
      <w:pPr>
        <w:pStyle w:val="HChG"/>
      </w:pPr>
      <w:r w:rsidRPr="001253ED">
        <w:t>Приложение X</w:t>
      </w:r>
    </w:p>
    <w:p w14:paraId="101A6737" w14:textId="77777777" w:rsidR="001253ED" w:rsidRPr="001253ED" w:rsidRDefault="001253ED" w:rsidP="00AA72E1">
      <w:pPr>
        <w:pStyle w:val="HChG"/>
      </w:pPr>
      <w:r w:rsidRPr="001253ED">
        <w:tab/>
      </w:r>
      <w:r w:rsidRPr="001253ED">
        <w:tab/>
        <w:t>Проект поправок к новым Правилам ООН, касающимся целостности топливной системы и безопасности электрического привода в случае удара сзади</w:t>
      </w:r>
    </w:p>
    <w:p w14:paraId="5FF660BA" w14:textId="77777777" w:rsidR="001253ED" w:rsidRPr="001253ED" w:rsidRDefault="001253ED" w:rsidP="00AA72E1">
      <w:pPr>
        <w:pStyle w:val="H1G"/>
      </w:pPr>
      <w:r w:rsidRPr="001253ED">
        <w:tab/>
      </w:r>
      <w:r w:rsidR="00AA72E1">
        <w:tab/>
      </w:r>
      <w:r w:rsidR="00AA72E1">
        <w:tab/>
      </w:r>
      <w:r w:rsidRPr="001253ED">
        <w:t>Принятый текст, основанный на документе GRSP-67-19-Rev.1 (см.</w:t>
      </w:r>
      <w:r w:rsidR="00AA72E1">
        <w:t> </w:t>
      </w:r>
      <w:r w:rsidRPr="001253ED">
        <w:t>пункт 35 настоящего доклада) (ECE/TRANS/WP.29/2020/76)</w:t>
      </w:r>
    </w:p>
    <w:p w14:paraId="09E99ECF" w14:textId="77777777" w:rsidR="001253ED" w:rsidRPr="001253ED" w:rsidRDefault="001253ED" w:rsidP="001253ED">
      <w:pPr>
        <w:pStyle w:val="SingleTxtG"/>
        <w:rPr>
          <w:i/>
        </w:rPr>
      </w:pPr>
      <w:r w:rsidRPr="001253ED">
        <w:rPr>
          <w:i/>
          <w:iCs/>
        </w:rPr>
        <w:t>Пункт 2.8</w:t>
      </w:r>
      <w:r w:rsidRPr="001253ED">
        <w:t xml:space="preserve"> изменить следующим образом:</w:t>
      </w:r>
    </w:p>
    <w:p w14:paraId="627E1981" w14:textId="77777777" w:rsidR="001253ED" w:rsidRPr="001253ED" w:rsidRDefault="001253ED" w:rsidP="00AA72E1">
      <w:pPr>
        <w:pStyle w:val="SingleTxtG"/>
        <w:ind w:left="2268" w:hanging="1134"/>
      </w:pPr>
      <w:r w:rsidRPr="001253ED">
        <w:t>«2.8</w:t>
      </w:r>
      <w:r w:rsidRPr="001253ED">
        <w:tab/>
        <w:t>"</w:t>
      </w:r>
      <w:r w:rsidRPr="00627A20">
        <w:rPr>
          <w:i/>
          <w:iCs/>
        </w:rPr>
        <w:t>Перезаряжаемая система хранения электрической энергии (ПСХЭЭ)</w:t>
      </w:r>
      <w:r w:rsidRPr="001253ED">
        <w:t xml:space="preserve">" означает перезаряжаемую систему хранения энергии, которая обеспечивает подачу электроэнергии для создания </w:t>
      </w:r>
      <w:r w:rsidRPr="001253ED">
        <w:rPr>
          <w:b/>
          <w:bCs/>
        </w:rPr>
        <w:t xml:space="preserve">электрической </w:t>
      </w:r>
      <w:r w:rsidRPr="001253ED">
        <w:t>тяги.</w:t>
      </w:r>
    </w:p>
    <w:p w14:paraId="1AA54D72" w14:textId="77777777" w:rsidR="001253ED" w:rsidRPr="001253ED" w:rsidRDefault="001253ED" w:rsidP="00AA72E1">
      <w:pPr>
        <w:pStyle w:val="SingleTxtG"/>
        <w:ind w:left="2268" w:hanging="1134"/>
        <w:rPr>
          <w:b/>
        </w:rPr>
      </w:pPr>
      <w:r w:rsidRPr="001253ED">
        <w:tab/>
        <w:t xml:space="preserve">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w:t>
      </w:r>
      <w:r w:rsidRPr="001253ED">
        <w:rPr>
          <w:b/>
          <w:bCs/>
        </w:rPr>
        <w:t>ПСХЭЭ.</w:t>
      </w:r>
      <w:r w:rsidRPr="001253ED">
        <w:t xml:space="preserve"> </w:t>
      </w:r>
    </w:p>
    <w:p w14:paraId="5298D140" w14:textId="77777777" w:rsidR="001253ED" w:rsidRPr="001253ED" w:rsidRDefault="00AA72E1" w:rsidP="00AA72E1">
      <w:pPr>
        <w:pStyle w:val="SingleTxtG"/>
        <w:ind w:left="2268" w:hanging="1134"/>
      </w:pPr>
      <w:r>
        <w:rPr>
          <w:b/>
          <w:bCs/>
        </w:rPr>
        <w:tab/>
      </w:r>
      <w:r w:rsidR="001253ED" w:rsidRPr="001253ED">
        <w:rPr>
          <w:b/>
          <w:bCs/>
        </w:rPr>
        <w:t xml:space="preserve">ПСХЭЭ </w:t>
      </w:r>
      <w:r w:rsidR="001253ED" w:rsidRPr="001253ED">
        <w:t xml:space="preserve">может включать в себя необходимые системы для физической поддержки, регулирования температурного режима, </w:t>
      </w:r>
      <w:r w:rsidR="001253ED" w:rsidRPr="001253ED">
        <w:rPr>
          <w:b/>
          <w:bCs/>
        </w:rPr>
        <w:t xml:space="preserve">устройств электронного управления </w:t>
      </w:r>
      <w:r w:rsidR="001253ED" w:rsidRPr="001253ED">
        <w:t xml:space="preserve">и </w:t>
      </w:r>
      <w:r w:rsidR="001253ED" w:rsidRPr="001253ED">
        <w:rPr>
          <w:b/>
          <w:bCs/>
        </w:rPr>
        <w:t>кожух</w:t>
      </w:r>
      <w:r w:rsidR="001253ED" w:rsidRPr="001253ED">
        <w:t>».</w:t>
      </w:r>
    </w:p>
    <w:p w14:paraId="4BA05EFD" w14:textId="77777777" w:rsidR="001253ED" w:rsidRDefault="001253ED">
      <w:pPr>
        <w:suppressAutoHyphens w:val="0"/>
        <w:spacing w:line="240" w:lineRule="auto"/>
        <w:rPr>
          <w:rFonts w:eastAsia="Times New Roman" w:cs="Times New Roman"/>
          <w:szCs w:val="20"/>
        </w:rPr>
      </w:pPr>
      <w:r>
        <w:br w:type="page"/>
      </w:r>
    </w:p>
    <w:p w14:paraId="6268E879" w14:textId="77777777" w:rsidR="001253ED" w:rsidRPr="007C6939" w:rsidRDefault="001253ED" w:rsidP="001253ED">
      <w:pPr>
        <w:pStyle w:val="HChG"/>
        <w:spacing w:before="480"/>
      </w:pPr>
      <w:r>
        <w:rPr>
          <w:bCs/>
        </w:rPr>
        <w:t>Приложение</w:t>
      </w:r>
      <w:r w:rsidRPr="007C6939">
        <w:rPr>
          <w:bCs/>
        </w:rPr>
        <w:t xml:space="preserve"> </w:t>
      </w:r>
      <w:r w:rsidRPr="007F634A">
        <w:rPr>
          <w:bCs/>
          <w:lang w:val="en-US"/>
        </w:rPr>
        <w:t>XI</w:t>
      </w:r>
    </w:p>
    <w:p w14:paraId="6DAB5E9E" w14:textId="77777777" w:rsidR="001253ED" w:rsidRPr="007C6939" w:rsidRDefault="001253ED" w:rsidP="001253ED">
      <w:pPr>
        <w:pStyle w:val="H1G"/>
        <w:spacing w:before="120" w:after="120" w:line="240" w:lineRule="auto"/>
        <w:jc w:val="right"/>
        <w:rPr>
          <w:b w:val="0"/>
          <w:bCs/>
          <w:sz w:val="20"/>
        </w:rPr>
      </w:pPr>
      <w:r w:rsidRPr="007C6939">
        <w:rPr>
          <w:b w:val="0"/>
          <w:bCs/>
          <w:sz w:val="20"/>
        </w:rPr>
        <w:t>[</w:t>
      </w:r>
      <w:r>
        <w:rPr>
          <w:b w:val="0"/>
          <w:bCs/>
          <w:sz w:val="20"/>
        </w:rPr>
        <w:t>Только на английском языке</w:t>
      </w:r>
      <w:r w:rsidRPr="007C6939">
        <w:rPr>
          <w:b w:val="0"/>
          <w:bCs/>
          <w:sz w:val="20"/>
        </w:rPr>
        <w:t>]</w:t>
      </w:r>
    </w:p>
    <w:p w14:paraId="6259CC7B" w14:textId="77777777" w:rsidR="001253ED" w:rsidRPr="007F634A" w:rsidRDefault="001253ED" w:rsidP="001253ED">
      <w:pPr>
        <w:pStyle w:val="H23G"/>
        <w:spacing w:line="240" w:lineRule="auto"/>
        <w:rPr>
          <w:sz w:val="24"/>
          <w:szCs w:val="24"/>
          <w:lang w:val="en-US"/>
        </w:rPr>
      </w:pPr>
      <w:r w:rsidRPr="007C6939">
        <w:tab/>
      </w:r>
      <w:r w:rsidRPr="007C6939">
        <w:tab/>
      </w:r>
      <w:bookmarkStart w:id="10" w:name="_Hlk54273583"/>
      <w:r w:rsidRPr="007F634A">
        <w:rPr>
          <w:sz w:val="24"/>
          <w:szCs w:val="24"/>
          <w:lang w:val="en-US"/>
        </w:rPr>
        <w:t>List of GRSP informal working groups</w:t>
      </w:r>
      <w:bookmarkEnd w:id="10"/>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1253ED" w:rsidRPr="004758A6" w14:paraId="70A31E76" w14:textId="77777777" w:rsidTr="00831BBC">
        <w:trPr>
          <w:trHeight w:val="609"/>
        </w:trPr>
        <w:tc>
          <w:tcPr>
            <w:tcW w:w="2166" w:type="dxa"/>
            <w:tcBorders>
              <w:top w:val="single" w:sz="4" w:space="0" w:color="auto"/>
              <w:bottom w:val="single" w:sz="12" w:space="0" w:color="auto"/>
            </w:tcBorders>
            <w:shd w:val="clear" w:color="auto" w:fill="auto"/>
            <w:vAlign w:val="bottom"/>
          </w:tcPr>
          <w:p w14:paraId="2A0678E8" w14:textId="77777777" w:rsidR="001253ED" w:rsidRPr="0021052F" w:rsidRDefault="001253ED" w:rsidP="00831BBC">
            <w:pPr>
              <w:spacing w:before="80" w:after="80" w:line="240" w:lineRule="auto"/>
              <w:ind w:right="113"/>
              <w:rPr>
                <w:i/>
              </w:rPr>
            </w:pPr>
            <w:r w:rsidRPr="0021052F">
              <w:rPr>
                <w:i/>
                <w:iCs/>
              </w:rPr>
              <w:t>Informal working group</w:t>
            </w:r>
          </w:p>
        </w:tc>
        <w:tc>
          <w:tcPr>
            <w:tcW w:w="3500" w:type="dxa"/>
            <w:tcBorders>
              <w:top w:val="single" w:sz="4" w:space="0" w:color="auto"/>
              <w:bottom w:val="single" w:sz="12" w:space="0" w:color="auto"/>
            </w:tcBorders>
            <w:shd w:val="clear" w:color="auto" w:fill="auto"/>
            <w:vAlign w:val="bottom"/>
          </w:tcPr>
          <w:p w14:paraId="5559172D" w14:textId="77777777" w:rsidR="001253ED" w:rsidRPr="0021052F" w:rsidRDefault="001253ED" w:rsidP="00831BBC">
            <w:pPr>
              <w:spacing w:before="80" w:after="80" w:line="240" w:lineRule="auto"/>
              <w:ind w:right="113"/>
              <w:rPr>
                <w:i/>
              </w:rPr>
            </w:pPr>
            <w:r w:rsidRPr="0021052F">
              <w:rPr>
                <w:i/>
                <w:iCs/>
              </w:rPr>
              <w:t>Chair</w:t>
            </w:r>
          </w:p>
        </w:tc>
        <w:tc>
          <w:tcPr>
            <w:tcW w:w="1900" w:type="dxa"/>
            <w:tcBorders>
              <w:top w:val="single" w:sz="4" w:space="0" w:color="auto"/>
              <w:bottom w:val="single" w:sz="12" w:space="0" w:color="auto"/>
            </w:tcBorders>
            <w:vAlign w:val="bottom"/>
          </w:tcPr>
          <w:p w14:paraId="55DAEA58" w14:textId="77777777" w:rsidR="001253ED" w:rsidRPr="007F634A" w:rsidRDefault="001253ED" w:rsidP="00831BBC">
            <w:pPr>
              <w:spacing w:before="80" w:after="80" w:line="240" w:lineRule="auto"/>
              <w:rPr>
                <w:i/>
                <w:iCs/>
                <w:lang w:val="en-US"/>
              </w:rPr>
            </w:pPr>
            <w:r w:rsidRPr="007F634A">
              <w:rPr>
                <w:i/>
                <w:iCs/>
                <w:lang w:val="en-US"/>
              </w:rPr>
              <w:t>Expiry date of the mandate [pending WP.29 decision]</w:t>
            </w:r>
          </w:p>
        </w:tc>
        <w:tc>
          <w:tcPr>
            <w:tcW w:w="800" w:type="dxa"/>
            <w:tcBorders>
              <w:top w:val="single" w:sz="4" w:space="0" w:color="auto"/>
              <w:bottom w:val="single" w:sz="12" w:space="0" w:color="auto"/>
            </w:tcBorders>
            <w:shd w:val="clear" w:color="auto" w:fill="auto"/>
            <w:vAlign w:val="bottom"/>
          </w:tcPr>
          <w:p w14:paraId="4A5D195F" w14:textId="77777777" w:rsidR="001253ED" w:rsidRPr="0021052F" w:rsidRDefault="001253ED" w:rsidP="00831BBC">
            <w:pPr>
              <w:spacing w:before="80" w:after="80" w:line="240" w:lineRule="auto"/>
              <w:ind w:right="113"/>
              <w:rPr>
                <w:i/>
              </w:rPr>
            </w:pPr>
            <w:r w:rsidRPr="0021052F">
              <w:rPr>
                <w:i/>
                <w:iCs/>
              </w:rPr>
              <w:t>Secretary</w:t>
            </w:r>
          </w:p>
        </w:tc>
      </w:tr>
      <w:tr w:rsidR="001253ED" w:rsidRPr="00AA72E1" w14:paraId="0146131D" w14:textId="77777777" w:rsidTr="00831BBC">
        <w:tc>
          <w:tcPr>
            <w:tcW w:w="2166" w:type="dxa"/>
            <w:shd w:val="clear" w:color="auto" w:fill="auto"/>
          </w:tcPr>
          <w:p w14:paraId="3CD4839D" w14:textId="77777777" w:rsidR="001253ED" w:rsidRPr="00AA72E1" w:rsidRDefault="001253ED" w:rsidP="00831BBC">
            <w:pPr>
              <w:spacing w:before="40" w:after="120" w:line="240" w:lineRule="auto"/>
              <w:ind w:right="113"/>
            </w:pPr>
            <w:r w:rsidRPr="00AA72E1">
              <w:t>Harmonized side impact dummies</w:t>
            </w:r>
          </w:p>
        </w:tc>
        <w:tc>
          <w:tcPr>
            <w:tcW w:w="3500" w:type="dxa"/>
            <w:shd w:val="clear" w:color="auto" w:fill="auto"/>
          </w:tcPr>
          <w:p w14:paraId="3FC9E37E" w14:textId="77777777" w:rsidR="001253ED" w:rsidRPr="00AA72E1" w:rsidRDefault="001253ED" w:rsidP="00831BBC">
            <w:pPr>
              <w:spacing w:line="240" w:lineRule="auto"/>
              <w:rPr>
                <w:lang w:val="en-US"/>
              </w:rPr>
            </w:pPr>
            <w:r w:rsidRPr="00AA72E1">
              <w:rPr>
                <w:lang w:val="en-US"/>
              </w:rPr>
              <w:t>Mr. David SUTULA (USA)</w:t>
            </w:r>
          </w:p>
          <w:p w14:paraId="3F294139" w14:textId="77777777" w:rsidR="001253ED" w:rsidRPr="00AA72E1" w:rsidRDefault="001253ED" w:rsidP="00831BBC">
            <w:pPr>
              <w:spacing w:line="240" w:lineRule="auto"/>
              <w:rPr>
                <w:lang w:val="en-US"/>
              </w:rPr>
            </w:pPr>
            <w:r w:rsidRPr="00AA72E1">
              <w:rPr>
                <w:bCs/>
                <w:lang w:val="en-US"/>
              </w:rPr>
              <w:t xml:space="preserve">Phone: </w:t>
            </w:r>
            <w:r w:rsidRPr="00AA72E1">
              <w:rPr>
                <w:lang w:val="en-US"/>
              </w:rPr>
              <w:t>+1 202 366 32 73</w:t>
            </w:r>
          </w:p>
          <w:p w14:paraId="2CB8097D" w14:textId="77777777" w:rsidR="001253ED" w:rsidRPr="00AA72E1" w:rsidRDefault="001253ED" w:rsidP="00831BBC">
            <w:pPr>
              <w:keepNext/>
              <w:keepLines/>
              <w:tabs>
                <w:tab w:val="left" w:pos="4536"/>
              </w:tabs>
              <w:rPr>
                <w:lang w:val="fr-CH"/>
              </w:rPr>
            </w:pPr>
            <w:r w:rsidRPr="00AA72E1">
              <w:rPr>
                <w:bCs/>
                <w:lang w:val="fr-CH"/>
              </w:rPr>
              <w:t xml:space="preserve">Fax: </w:t>
            </w:r>
            <w:r w:rsidRPr="00AA72E1">
              <w:rPr>
                <w:lang w:val="fr-CH"/>
              </w:rPr>
              <w:t>+1 202 493 29 90</w:t>
            </w:r>
          </w:p>
          <w:p w14:paraId="2B50DBD3" w14:textId="77777777" w:rsidR="001253ED" w:rsidRPr="00AA72E1" w:rsidRDefault="001253ED" w:rsidP="00831BBC">
            <w:pPr>
              <w:spacing w:after="120" w:line="240" w:lineRule="auto"/>
              <w:rPr>
                <w:lang w:val="fr-CH"/>
              </w:rPr>
            </w:pPr>
            <w:r w:rsidRPr="00AA72E1">
              <w:rPr>
                <w:lang w:val="fr-CH"/>
              </w:rPr>
              <w:t>Email</w:t>
            </w:r>
            <w:r w:rsidRPr="00AA72E1">
              <w:rPr>
                <w:bCs/>
                <w:lang w:val="fr-CH"/>
              </w:rPr>
              <w:t xml:space="preserve">: </w:t>
            </w:r>
            <w:r w:rsidRPr="00AA72E1">
              <w:rPr>
                <w:lang w:val="fr-CH"/>
              </w:rPr>
              <w:t>david.sutula@dot.gov</w:t>
            </w:r>
          </w:p>
        </w:tc>
        <w:tc>
          <w:tcPr>
            <w:tcW w:w="1900" w:type="dxa"/>
          </w:tcPr>
          <w:p w14:paraId="580DF834" w14:textId="77777777" w:rsidR="001253ED" w:rsidRPr="00AA72E1" w:rsidRDefault="001253ED" w:rsidP="00831BBC">
            <w:pPr>
              <w:spacing w:line="240" w:lineRule="auto"/>
            </w:pPr>
            <w:r w:rsidRPr="00AA72E1">
              <w:t>Suspended</w:t>
            </w:r>
          </w:p>
        </w:tc>
        <w:tc>
          <w:tcPr>
            <w:tcW w:w="800" w:type="dxa"/>
            <w:shd w:val="clear" w:color="auto" w:fill="auto"/>
          </w:tcPr>
          <w:p w14:paraId="2AF7D8D4" w14:textId="77777777" w:rsidR="001253ED" w:rsidRPr="00AA72E1" w:rsidRDefault="001253ED" w:rsidP="00831BBC">
            <w:pPr>
              <w:spacing w:line="240" w:lineRule="auto"/>
            </w:pPr>
          </w:p>
        </w:tc>
      </w:tr>
      <w:tr w:rsidR="001253ED" w:rsidRPr="00AA72E1" w14:paraId="69508CC2" w14:textId="77777777" w:rsidTr="00831BBC">
        <w:tc>
          <w:tcPr>
            <w:tcW w:w="2166" w:type="dxa"/>
            <w:shd w:val="clear" w:color="auto" w:fill="auto"/>
          </w:tcPr>
          <w:p w14:paraId="7857E7B2" w14:textId="77777777" w:rsidR="001253ED" w:rsidRPr="00AA72E1" w:rsidRDefault="001253ED" w:rsidP="00831BBC">
            <w:pPr>
              <w:spacing w:before="40" w:after="120" w:line="240" w:lineRule="auto"/>
              <w:ind w:right="113"/>
            </w:pPr>
            <w:r w:rsidRPr="00AA72E1">
              <w:t xml:space="preserve">Head Restraints </w:t>
            </w:r>
            <w:r w:rsidRPr="00AA72E1">
              <w:br/>
              <w:t>(GTR7-Phase 2)</w:t>
            </w:r>
          </w:p>
        </w:tc>
        <w:tc>
          <w:tcPr>
            <w:tcW w:w="3500" w:type="dxa"/>
            <w:shd w:val="clear" w:color="auto" w:fill="auto"/>
          </w:tcPr>
          <w:p w14:paraId="5F607F4A" w14:textId="77777777" w:rsidR="001253ED" w:rsidRPr="00AA72E1" w:rsidRDefault="001253ED" w:rsidP="00831BBC">
            <w:pPr>
              <w:spacing w:line="240" w:lineRule="auto"/>
              <w:rPr>
                <w:lang w:val="en-US"/>
              </w:rPr>
            </w:pPr>
            <w:r w:rsidRPr="00AA72E1">
              <w:rPr>
                <w:lang w:val="en-US"/>
              </w:rPr>
              <w:t>Mr. Bernard FROST (UK)</w:t>
            </w:r>
          </w:p>
          <w:p w14:paraId="1400275B" w14:textId="77777777" w:rsidR="001253ED" w:rsidRPr="00AA72E1" w:rsidRDefault="001253ED" w:rsidP="00831BBC">
            <w:pPr>
              <w:spacing w:line="240" w:lineRule="auto"/>
              <w:rPr>
                <w:lang w:val="en-US"/>
              </w:rPr>
            </w:pPr>
            <w:r w:rsidRPr="00AA72E1">
              <w:rPr>
                <w:lang w:val="en-US"/>
              </w:rPr>
              <w:t xml:space="preserve">Phone: +44(0)207 9442107 </w:t>
            </w:r>
          </w:p>
          <w:p w14:paraId="64F28FFE" w14:textId="77777777" w:rsidR="001253ED" w:rsidRPr="00AA72E1" w:rsidRDefault="001253ED" w:rsidP="00831BBC">
            <w:pPr>
              <w:keepNext/>
              <w:keepLines/>
              <w:rPr>
                <w:lang w:val="fr-CH"/>
              </w:rPr>
            </w:pPr>
            <w:r w:rsidRPr="00AA72E1">
              <w:rPr>
                <w:lang w:val="fr-CH"/>
              </w:rPr>
              <w:t>Fax: +44(0)207 9449623</w:t>
            </w:r>
          </w:p>
          <w:p w14:paraId="488AFD7B" w14:textId="77777777" w:rsidR="001253ED" w:rsidRPr="00AA72E1" w:rsidRDefault="001253ED" w:rsidP="00831BBC">
            <w:pPr>
              <w:keepNext/>
              <w:keepLines/>
              <w:spacing w:after="120"/>
              <w:rPr>
                <w:lang w:val="fr-CH"/>
              </w:rPr>
            </w:pPr>
            <w:r w:rsidRPr="00AA72E1">
              <w:rPr>
                <w:lang w:val="fr-CH"/>
              </w:rPr>
              <w:t xml:space="preserve">Email: </w:t>
            </w:r>
            <w:hyperlink r:id="rId8" w:history="1">
              <w:r w:rsidRPr="00AA72E1">
                <w:rPr>
                  <w:rStyle w:val="af1"/>
                  <w:color w:val="auto"/>
                  <w:lang w:val="fr-CH"/>
                </w:rPr>
                <w:t>bernie.frost@dft.gsi.gov.uk</w:t>
              </w:r>
            </w:hyperlink>
          </w:p>
        </w:tc>
        <w:tc>
          <w:tcPr>
            <w:tcW w:w="1900" w:type="dxa"/>
          </w:tcPr>
          <w:p w14:paraId="172B3B57" w14:textId="77777777" w:rsidR="001253ED" w:rsidRPr="00AA72E1" w:rsidRDefault="001253ED" w:rsidP="00831BBC">
            <w:pPr>
              <w:spacing w:line="240" w:lineRule="auto"/>
            </w:pPr>
            <w:r w:rsidRPr="00AA72E1">
              <w:t>Dissolved</w:t>
            </w:r>
          </w:p>
        </w:tc>
        <w:tc>
          <w:tcPr>
            <w:tcW w:w="800" w:type="dxa"/>
            <w:shd w:val="clear" w:color="auto" w:fill="auto"/>
          </w:tcPr>
          <w:p w14:paraId="70904268" w14:textId="77777777" w:rsidR="001253ED" w:rsidRPr="00AA72E1" w:rsidRDefault="001253ED" w:rsidP="00831BBC">
            <w:pPr>
              <w:spacing w:line="240" w:lineRule="auto"/>
            </w:pPr>
            <w:r w:rsidRPr="00AA72E1">
              <w:t>OICA</w:t>
            </w:r>
          </w:p>
        </w:tc>
      </w:tr>
      <w:tr w:rsidR="001253ED" w:rsidRPr="00AA72E1" w14:paraId="5B1D9136" w14:textId="77777777" w:rsidTr="00831BBC">
        <w:tc>
          <w:tcPr>
            <w:tcW w:w="2166" w:type="dxa"/>
            <w:shd w:val="clear" w:color="auto" w:fill="auto"/>
          </w:tcPr>
          <w:p w14:paraId="5234EDC7" w14:textId="77777777" w:rsidR="001253ED" w:rsidRPr="00AA72E1" w:rsidRDefault="001253ED" w:rsidP="00831BBC">
            <w:pPr>
              <w:spacing w:before="40" w:after="120" w:line="240" w:lineRule="auto"/>
              <w:ind w:right="113"/>
              <w:rPr>
                <w:lang w:val="en-US"/>
              </w:rPr>
            </w:pPr>
            <w:r w:rsidRPr="00AA72E1">
              <w:rPr>
                <w:lang w:val="en-US" w:eastAsia="en-GB"/>
              </w:rPr>
              <w:t>UN GTR No. 9 on Pedestrian Safety Deployable – Pedestrian Protection Systems (DPPS)</w:t>
            </w:r>
          </w:p>
        </w:tc>
        <w:tc>
          <w:tcPr>
            <w:tcW w:w="3500" w:type="dxa"/>
            <w:shd w:val="clear" w:color="auto" w:fill="auto"/>
          </w:tcPr>
          <w:p w14:paraId="5392DC6F" w14:textId="77777777" w:rsidR="001253ED" w:rsidRPr="00AA72E1" w:rsidRDefault="001253ED" w:rsidP="00831BBC">
            <w:pPr>
              <w:spacing w:line="240" w:lineRule="auto"/>
              <w:rPr>
                <w:lang w:val="en-US"/>
              </w:rPr>
            </w:pPr>
            <w:r w:rsidRPr="00AA72E1">
              <w:rPr>
                <w:lang w:val="en-US"/>
              </w:rPr>
              <w:t>Mr. Jin Seop PARK (</w:t>
            </w:r>
            <w:r w:rsidRPr="00AA72E1">
              <w:rPr>
                <w:bCs/>
                <w:lang w:val="en-US" w:eastAsia="en-GB"/>
              </w:rPr>
              <w:t>Republic of Korea</w:t>
            </w:r>
            <w:r w:rsidRPr="00AA72E1">
              <w:rPr>
                <w:lang w:val="en-US"/>
              </w:rPr>
              <w:t>)</w:t>
            </w:r>
          </w:p>
          <w:p w14:paraId="441F72CE" w14:textId="77777777" w:rsidR="001253ED" w:rsidRPr="00AA72E1" w:rsidRDefault="001253ED" w:rsidP="00831BBC">
            <w:pPr>
              <w:spacing w:after="120" w:line="240" w:lineRule="auto"/>
              <w:ind w:right="-5"/>
            </w:pPr>
            <w:r w:rsidRPr="00AA72E1">
              <w:rPr>
                <w:lang w:val="en-US"/>
              </w:rPr>
              <w:br/>
            </w:r>
            <w:r w:rsidRPr="00AA72E1">
              <w:t xml:space="preserve">Email: </w:t>
            </w:r>
            <w:hyperlink r:id="rId9" w:history="1">
              <w:r w:rsidRPr="00AA72E1">
                <w:rPr>
                  <w:rStyle w:val="af1"/>
                  <w:color w:val="auto"/>
                </w:rPr>
                <w:t>jspark@kotsa.or.kr</w:t>
              </w:r>
            </w:hyperlink>
          </w:p>
        </w:tc>
        <w:tc>
          <w:tcPr>
            <w:tcW w:w="1900" w:type="dxa"/>
          </w:tcPr>
          <w:p w14:paraId="05841292" w14:textId="77777777" w:rsidR="001253ED" w:rsidRPr="00AA72E1" w:rsidRDefault="001253ED" w:rsidP="00831BBC">
            <w:pPr>
              <w:spacing w:before="40" w:after="120" w:line="240" w:lineRule="auto"/>
              <w:ind w:right="113"/>
            </w:pPr>
            <w:r w:rsidRPr="00AA72E1">
              <w:t>June 2021</w:t>
            </w:r>
          </w:p>
        </w:tc>
        <w:tc>
          <w:tcPr>
            <w:tcW w:w="800" w:type="dxa"/>
            <w:shd w:val="clear" w:color="auto" w:fill="auto"/>
          </w:tcPr>
          <w:p w14:paraId="36C91453" w14:textId="77777777" w:rsidR="001253ED" w:rsidRPr="00AA72E1" w:rsidRDefault="001253ED" w:rsidP="00831BBC">
            <w:pPr>
              <w:spacing w:before="40" w:after="120" w:line="240" w:lineRule="auto"/>
              <w:ind w:right="113"/>
            </w:pPr>
            <w:r w:rsidRPr="00AA72E1">
              <w:t>OICA</w:t>
            </w:r>
          </w:p>
        </w:tc>
      </w:tr>
      <w:tr w:rsidR="001253ED" w:rsidRPr="00AA72E1" w14:paraId="3AD040F0" w14:textId="77777777" w:rsidTr="00831BBC">
        <w:tc>
          <w:tcPr>
            <w:tcW w:w="2166" w:type="dxa"/>
            <w:shd w:val="clear" w:color="auto" w:fill="auto"/>
          </w:tcPr>
          <w:p w14:paraId="1858B563" w14:textId="77777777" w:rsidR="001253ED" w:rsidRPr="00AA72E1" w:rsidRDefault="001253ED" w:rsidP="00831BBC">
            <w:pPr>
              <w:spacing w:before="40" w:after="120" w:line="240" w:lineRule="auto"/>
              <w:ind w:right="113"/>
              <w:rPr>
                <w:lang w:val="es-ES"/>
              </w:rPr>
            </w:pPr>
            <w:r w:rsidRPr="00AA72E1">
              <w:rPr>
                <w:lang w:val="es-ES"/>
              </w:rPr>
              <w:t>UN GTR No. 20 (EVS) – Phase 2</w:t>
            </w:r>
          </w:p>
        </w:tc>
        <w:tc>
          <w:tcPr>
            <w:tcW w:w="3500" w:type="dxa"/>
            <w:shd w:val="clear" w:color="auto" w:fill="auto"/>
            <w:vAlign w:val="center"/>
          </w:tcPr>
          <w:p w14:paraId="1E33589B" w14:textId="77777777" w:rsidR="001253ED" w:rsidRPr="00AA72E1" w:rsidRDefault="001253ED" w:rsidP="00831BBC">
            <w:pPr>
              <w:keepNext/>
              <w:keepLines/>
              <w:spacing w:after="120"/>
              <w:rPr>
                <w:lang w:val="en-US"/>
              </w:rPr>
            </w:pPr>
            <w:r w:rsidRPr="00AA72E1">
              <w:rPr>
                <w:lang w:val="en-US"/>
              </w:rPr>
              <w:t>Mr. Martin KOUBEK</w:t>
            </w:r>
            <w:r w:rsidRPr="00AA72E1">
              <w:rPr>
                <w:b/>
                <w:lang w:val="en-US"/>
              </w:rPr>
              <w:t xml:space="preserve"> </w:t>
            </w:r>
            <w:r w:rsidRPr="00AA72E1">
              <w:rPr>
                <w:lang w:val="en-US"/>
              </w:rPr>
              <w:t>(USA) and vice-chaired by EC, Japan, and China)</w:t>
            </w:r>
          </w:p>
          <w:p w14:paraId="32DAEA48" w14:textId="77777777" w:rsidR="001253ED" w:rsidRPr="00AA72E1" w:rsidRDefault="001253ED" w:rsidP="00831BBC">
            <w:pPr>
              <w:keepNext/>
              <w:keepLines/>
              <w:spacing w:after="120"/>
            </w:pPr>
            <w:r w:rsidRPr="00AA72E1">
              <w:t>Phone: +1 202 366 4026</w:t>
            </w:r>
            <w:r w:rsidRPr="00AA72E1">
              <w:br/>
              <w:t xml:space="preserve">Email: </w:t>
            </w:r>
            <w:hyperlink r:id="rId10" w:history="1">
              <w:r w:rsidRPr="00AA72E1">
                <w:rPr>
                  <w:rStyle w:val="af1"/>
                  <w:color w:val="auto"/>
                </w:rPr>
                <w:t>martin.koubek@dot.gov</w:t>
              </w:r>
            </w:hyperlink>
          </w:p>
        </w:tc>
        <w:tc>
          <w:tcPr>
            <w:tcW w:w="1900" w:type="dxa"/>
          </w:tcPr>
          <w:p w14:paraId="135A99EF" w14:textId="77777777" w:rsidR="001253ED" w:rsidRPr="00AA72E1" w:rsidRDefault="001253ED" w:rsidP="00831BBC">
            <w:pPr>
              <w:spacing w:before="40" w:after="120" w:line="240" w:lineRule="auto"/>
              <w:ind w:right="113"/>
            </w:pPr>
            <w:r w:rsidRPr="00AA72E1">
              <w:t>December 2021</w:t>
            </w:r>
          </w:p>
        </w:tc>
        <w:tc>
          <w:tcPr>
            <w:tcW w:w="800" w:type="dxa"/>
            <w:shd w:val="clear" w:color="auto" w:fill="auto"/>
          </w:tcPr>
          <w:p w14:paraId="15D02E22" w14:textId="77777777" w:rsidR="001253ED" w:rsidRPr="00AA72E1" w:rsidRDefault="001253ED" w:rsidP="00831BBC">
            <w:pPr>
              <w:spacing w:before="40" w:after="120" w:line="240" w:lineRule="auto"/>
              <w:ind w:right="113"/>
            </w:pPr>
            <w:r w:rsidRPr="00AA72E1">
              <w:t>Japan</w:t>
            </w:r>
          </w:p>
          <w:p w14:paraId="6E868CB0" w14:textId="77777777" w:rsidR="001253ED" w:rsidRPr="00AA72E1" w:rsidRDefault="001253ED" w:rsidP="00831BBC">
            <w:pPr>
              <w:spacing w:before="40" w:after="120" w:line="240" w:lineRule="auto"/>
              <w:ind w:right="113"/>
            </w:pPr>
          </w:p>
        </w:tc>
      </w:tr>
      <w:tr w:rsidR="001253ED" w:rsidRPr="00AA72E1" w14:paraId="448C170D" w14:textId="77777777" w:rsidTr="00831BBC">
        <w:tc>
          <w:tcPr>
            <w:tcW w:w="2166" w:type="dxa"/>
            <w:shd w:val="clear" w:color="auto" w:fill="auto"/>
          </w:tcPr>
          <w:p w14:paraId="6257FA8C" w14:textId="77777777" w:rsidR="001253ED" w:rsidRPr="00AA72E1" w:rsidRDefault="001253ED" w:rsidP="00831BBC">
            <w:pPr>
              <w:spacing w:before="40" w:after="120" w:line="240" w:lineRule="auto"/>
              <w:ind w:right="113"/>
              <w:rPr>
                <w:lang w:val="en-US"/>
              </w:rPr>
            </w:pPr>
            <w:r w:rsidRPr="00AA72E1">
              <w:rPr>
                <w:lang w:val="en-US"/>
              </w:rPr>
              <w:t>Three-dimensional H-point machine</w:t>
            </w:r>
          </w:p>
        </w:tc>
        <w:tc>
          <w:tcPr>
            <w:tcW w:w="3500" w:type="dxa"/>
            <w:shd w:val="clear" w:color="auto" w:fill="auto"/>
          </w:tcPr>
          <w:p w14:paraId="6433B203" w14:textId="77777777" w:rsidR="001253ED" w:rsidRPr="00AA72E1" w:rsidRDefault="001253ED" w:rsidP="00831BBC">
            <w:pPr>
              <w:keepNext/>
              <w:keepLines/>
              <w:tabs>
                <w:tab w:val="left" w:pos="4536"/>
              </w:tabs>
            </w:pPr>
            <w:r w:rsidRPr="00AA72E1">
              <w:t>Mr. Luis MARTINEZ (Spain)</w:t>
            </w:r>
          </w:p>
          <w:p w14:paraId="2E40FF2C" w14:textId="77777777" w:rsidR="001253ED" w:rsidRPr="00AA72E1" w:rsidRDefault="001253ED" w:rsidP="00831BBC">
            <w:pPr>
              <w:keepNext/>
              <w:keepLines/>
              <w:tabs>
                <w:tab w:val="left" w:pos="4536"/>
              </w:tabs>
            </w:pPr>
            <w:r w:rsidRPr="00AA72E1">
              <w:t>Phone: +34 91 336 53 00</w:t>
            </w:r>
          </w:p>
          <w:p w14:paraId="0E8A0BE9" w14:textId="77777777" w:rsidR="001253ED" w:rsidRPr="00AA72E1" w:rsidRDefault="001253ED" w:rsidP="00831BBC">
            <w:pPr>
              <w:keepNext/>
              <w:keepLines/>
              <w:tabs>
                <w:tab w:val="left" w:pos="4536"/>
              </w:tabs>
            </w:pPr>
            <w:r w:rsidRPr="00AA72E1">
              <w:t>Fax: +34 91 336 53 02</w:t>
            </w:r>
          </w:p>
          <w:p w14:paraId="60F7A3B6" w14:textId="77777777" w:rsidR="001253ED" w:rsidRPr="00AA72E1" w:rsidRDefault="001253ED" w:rsidP="00831BBC">
            <w:pPr>
              <w:keepNext/>
              <w:keepLines/>
              <w:tabs>
                <w:tab w:val="left" w:pos="4536"/>
              </w:tabs>
              <w:spacing w:after="120"/>
            </w:pPr>
            <w:r w:rsidRPr="00AA72E1">
              <w:t xml:space="preserve">Email: </w:t>
            </w:r>
            <w:hyperlink r:id="rId11" w:history="1">
              <w:r w:rsidRPr="00AA72E1">
                <w:rPr>
                  <w:rStyle w:val="af1"/>
                  <w:color w:val="auto"/>
                </w:rPr>
                <w:t>luis.martinez@upm.es</w:t>
              </w:r>
            </w:hyperlink>
          </w:p>
        </w:tc>
        <w:tc>
          <w:tcPr>
            <w:tcW w:w="1900" w:type="dxa"/>
          </w:tcPr>
          <w:p w14:paraId="1750748E" w14:textId="77777777" w:rsidR="001253ED" w:rsidRPr="00AA72E1" w:rsidRDefault="001253ED" w:rsidP="00831BBC">
            <w:pPr>
              <w:keepNext/>
              <w:keepLines/>
              <w:tabs>
                <w:tab w:val="left" w:pos="4536"/>
              </w:tabs>
            </w:pPr>
            <w:r w:rsidRPr="00AA72E1">
              <w:t>[…]</w:t>
            </w:r>
          </w:p>
        </w:tc>
        <w:tc>
          <w:tcPr>
            <w:tcW w:w="800" w:type="dxa"/>
            <w:shd w:val="clear" w:color="auto" w:fill="auto"/>
          </w:tcPr>
          <w:p w14:paraId="04943399" w14:textId="77777777" w:rsidR="001253ED" w:rsidRPr="00AA72E1" w:rsidRDefault="001253ED" w:rsidP="00831BBC">
            <w:pPr>
              <w:spacing w:before="40" w:after="120" w:line="240" w:lineRule="auto"/>
              <w:ind w:right="113"/>
            </w:pPr>
          </w:p>
        </w:tc>
      </w:tr>
      <w:tr w:rsidR="001253ED" w:rsidRPr="00AA72E1" w14:paraId="1965C218" w14:textId="77777777" w:rsidTr="00831BBC">
        <w:tc>
          <w:tcPr>
            <w:tcW w:w="2166" w:type="dxa"/>
            <w:shd w:val="clear" w:color="auto" w:fill="auto"/>
          </w:tcPr>
          <w:p w14:paraId="4D5D167A" w14:textId="77777777" w:rsidR="001253ED" w:rsidRPr="00AA72E1" w:rsidRDefault="001253ED" w:rsidP="00831BBC">
            <w:pPr>
              <w:spacing w:before="40" w:after="120" w:line="240" w:lineRule="auto"/>
              <w:ind w:right="113"/>
              <w:rPr>
                <w:lang w:val="es-ES"/>
              </w:rPr>
            </w:pPr>
            <w:r w:rsidRPr="00AA72E1">
              <w:rPr>
                <w:lang w:val="es-ES"/>
              </w:rPr>
              <w:t>UN GTR No. 13 (HFCV) – Phase 2</w:t>
            </w:r>
          </w:p>
        </w:tc>
        <w:tc>
          <w:tcPr>
            <w:tcW w:w="3500" w:type="dxa"/>
            <w:shd w:val="clear" w:color="auto" w:fill="auto"/>
            <w:vAlign w:val="center"/>
          </w:tcPr>
          <w:p w14:paraId="07342E79" w14:textId="77777777" w:rsidR="001253ED" w:rsidRPr="00AA72E1" w:rsidRDefault="001253ED" w:rsidP="00831BBC">
            <w:pPr>
              <w:spacing w:line="240" w:lineRule="auto"/>
              <w:rPr>
                <w:lang w:val="en-US" w:eastAsia="en-GB"/>
              </w:rPr>
            </w:pPr>
            <w:r w:rsidRPr="00AA72E1">
              <w:rPr>
                <w:lang w:val="en-US" w:eastAsia="en-GB"/>
              </w:rPr>
              <w:t>Mr. Martin KOUBEK</w:t>
            </w:r>
            <w:r w:rsidRPr="00AA72E1">
              <w:rPr>
                <w:b/>
                <w:lang w:val="en-US" w:eastAsia="en-GB"/>
              </w:rPr>
              <w:t xml:space="preserve"> </w:t>
            </w:r>
            <w:r w:rsidRPr="00AA72E1">
              <w:rPr>
                <w:lang w:val="en-US" w:eastAsia="en-GB"/>
              </w:rPr>
              <w:t>(USA)(c</w:t>
            </w:r>
            <w:r w:rsidRPr="00AA72E1">
              <w:rPr>
                <w:rFonts w:eastAsia="Malgun Gothic"/>
                <w:lang w:val="en-US" w:eastAsia="ko-KR"/>
              </w:rPr>
              <w:t>o</w:t>
            </w:r>
            <w:r w:rsidRPr="00AA72E1">
              <w:rPr>
                <w:lang w:val="en-US" w:eastAsia="en-GB"/>
              </w:rPr>
              <w:t xml:space="preserve">-chaired by Japan and </w:t>
            </w:r>
            <w:r w:rsidRPr="00AA72E1">
              <w:rPr>
                <w:rFonts w:eastAsia="Malgun Gothic"/>
                <w:lang w:val="en-US" w:eastAsia="ko-KR"/>
              </w:rPr>
              <w:t>vice-chaired by China and Republic of Korea</w:t>
            </w:r>
            <w:r w:rsidRPr="00AA72E1">
              <w:rPr>
                <w:lang w:val="en-US" w:eastAsia="en-GB"/>
              </w:rPr>
              <w:t>)</w:t>
            </w:r>
          </w:p>
          <w:p w14:paraId="77E79DDD" w14:textId="77777777" w:rsidR="001253ED" w:rsidRPr="00AA72E1" w:rsidRDefault="001253ED" w:rsidP="00831BBC">
            <w:pPr>
              <w:spacing w:line="240" w:lineRule="auto"/>
              <w:rPr>
                <w:lang w:val="en-US" w:eastAsia="en-GB"/>
              </w:rPr>
            </w:pPr>
          </w:p>
          <w:p w14:paraId="0BA0132F" w14:textId="77777777" w:rsidR="001253ED" w:rsidRPr="00AA72E1" w:rsidRDefault="001253ED" w:rsidP="00831BBC">
            <w:pPr>
              <w:spacing w:after="120" w:line="240" w:lineRule="auto"/>
            </w:pPr>
            <w:r w:rsidRPr="00AA72E1">
              <w:t>Phone: +1 202 366 4026</w:t>
            </w:r>
            <w:r w:rsidRPr="00AA72E1">
              <w:br/>
              <w:t>Email: martin.koubek@dot.gov</w:t>
            </w:r>
          </w:p>
        </w:tc>
        <w:tc>
          <w:tcPr>
            <w:tcW w:w="1900" w:type="dxa"/>
          </w:tcPr>
          <w:p w14:paraId="170CBB22" w14:textId="77777777" w:rsidR="001253ED" w:rsidRPr="00AA72E1" w:rsidRDefault="001253ED" w:rsidP="00831BBC">
            <w:pPr>
              <w:spacing w:before="40" w:after="120" w:line="240" w:lineRule="auto"/>
              <w:ind w:right="113"/>
            </w:pPr>
            <w:r w:rsidRPr="00AA72E1">
              <w:t>December 2020</w:t>
            </w:r>
          </w:p>
        </w:tc>
        <w:tc>
          <w:tcPr>
            <w:tcW w:w="800" w:type="dxa"/>
            <w:shd w:val="clear" w:color="auto" w:fill="auto"/>
          </w:tcPr>
          <w:p w14:paraId="5E73BEA6" w14:textId="77777777" w:rsidR="001253ED" w:rsidRPr="00AA72E1" w:rsidRDefault="001253ED" w:rsidP="00831BBC">
            <w:pPr>
              <w:spacing w:before="40" w:after="120" w:line="240" w:lineRule="auto"/>
              <w:ind w:right="113"/>
            </w:pPr>
            <w:r w:rsidRPr="00AA72E1">
              <w:t>[…]</w:t>
            </w:r>
          </w:p>
        </w:tc>
      </w:tr>
      <w:tr w:rsidR="001253ED" w:rsidRPr="00AA72E1" w14:paraId="4ADA6D58" w14:textId="77777777" w:rsidTr="00831BBC">
        <w:tc>
          <w:tcPr>
            <w:tcW w:w="2166" w:type="dxa"/>
            <w:shd w:val="clear" w:color="auto" w:fill="auto"/>
          </w:tcPr>
          <w:p w14:paraId="6FD3D9C0" w14:textId="77777777" w:rsidR="001253ED" w:rsidRPr="00AA72E1" w:rsidRDefault="001253ED" w:rsidP="00831BBC">
            <w:pPr>
              <w:spacing w:before="40" w:after="120" w:line="240" w:lineRule="auto"/>
              <w:ind w:right="113"/>
            </w:pPr>
            <w:r w:rsidRPr="00AA72E1">
              <w:t>Protective helmets</w:t>
            </w:r>
          </w:p>
        </w:tc>
        <w:tc>
          <w:tcPr>
            <w:tcW w:w="3500" w:type="dxa"/>
            <w:shd w:val="clear" w:color="auto" w:fill="auto"/>
          </w:tcPr>
          <w:p w14:paraId="2D557C15" w14:textId="77777777" w:rsidR="001253ED" w:rsidRPr="00AA72E1" w:rsidRDefault="001253ED" w:rsidP="00831BBC">
            <w:pPr>
              <w:keepNext/>
              <w:keepLines/>
              <w:tabs>
                <w:tab w:val="left" w:pos="4536"/>
              </w:tabs>
              <w:rPr>
                <w:lang w:val="en-US"/>
              </w:rPr>
            </w:pPr>
            <w:r w:rsidRPr="00AA72E1">
              <w:rPr>
                <w:lang w:val="en-US"/>
              </w:rPr>
              <w:t>Mr. Luca ROCCO</w:t>
            </w:r>
          </w:p>
          <w:p w14:paraId="438609AB" w14:textId="77777777" w:rsidR="001253ED" w:rsidRPr="00AA72E1" w:rsidRDefault="001253ED" w:rsidP="00831BBC">
            <w:pPr>
              <w:keepNext/>
              <w:keepLines/>
              <w:tabs>
                <w:tab w:val="left" w:pos="4536"/>
              </w:tabs>
              <w:rPr>
                <w:lang w:val="en-US"/>
              </w:rPr>
            </w:pPr>
            <w:r w:rsidRPr="00AA72E1">
              <w:rPr>
                <w:lang w:val="en-US"/>
              </w:rPr>
              <w:t>Phone: +39 06 4158 3268</w:t>
            </w:r>
          </w:p>
          <w:p w14:paraId="082DCF60" w14:textId="77777777" w:rsidR="001253ED" w:rsidRPr="00AA72E1" w:rsidRDefault="001253ED" w:rsidP="00831BBC">
            <w:pPr>
              <w:keepNext/>
              <w:keepLines/>
              <w:tabs>
                <w:tab w:val="left" w:pos="4536"/>
              </w:tabs>
              <w:rPr>
                <w:lang w:val="en-US"/>
              </w:rPr>
            </w:pPr>
            <w:r w:rsidRPr="00AA72E1">
              <w:rPr>
                <w:lang w:val="en-US"/>
              </w:rPr>
              <w:t>Fax: +39 06 4158 3253</w:t>
            </w:r>
          </w:p>
          <w:p w14:paraId="607938B7" w14:textId="77777777" w:rsidR="001253ED" w:rsidRPr="00AA72E1" w:rsidRDefault="001253ED" w:rsidP="00831BBC">
            <w:pPr>
              <w:keepNext/>
              <w:keepLines/>
              <w:tabs>
                <w:tab w:val="left" w:pos="4536"/>
              </w:tabs>
              <w:spacing w:after="120"/>
            </w:pPr>
            <w:r w:rsidRPr="00AA72E1">
              <w:t xml:space="preserve">Email: </w:t>
            </w:r>
            <w:hyperlink r:id="rId12" w:history="1">
              <w:r w:rsidRPr="00AA72E1">
                <w:rPr>
                  <w:rStyle w:val="af1"/>
                  <w:color w:val="auto"/>
                </w:rPr>
                <w:t>luca.rocco@mit.gov.it</w:t>
              </w:r>
            </w:hyperlink>
          </w:p>
        </w:tc>
        <w:tc>
          <w:tcPr>
            <w:tcW w:w="1900" w:type="dxa"/>
          </w:tcPr>
          <w:p w14:paraId="2581B014" w14:textId="77777777" w:rsidR="001253ED" w:rsidRPr="00AA72E1" w:rsidRDefault="001253ED" w:rsidP="00831BBC">
            <w:pPr>
              <w:keepNext/>
              <w:keepLines/>
              <w:tabs>
                <w:tab w:val="left" w:pos="4536"/>
              </w:tabs>
            </w:pPr>
            <w:r w:rsidRPr="00AA72E1">
              <w:t>Suspended</w:t>
            </w:r>
          </w:p>
        </w:tc>
        <w:tc>
          <w:tcPr>
            <w:tcW w:w="800" w:type="dxa"/>
            <w:shd w:val="clear" w:color="auto" w:fill="auto"/>
          </w:tcPr>
          <w:p w14:paraId="7B4CC2CF" w14:textId="77777777" w:rsidR="001253ED" w:rsidRPr="00AA72E1" w:rsidRDefault="001253ED" w:rsidP="00831BBC">
            <w:pPr>
              <w:spacing w:before="40" w:after="120" w:line="240" w:lineRule="auto"/>
              <w:ind w:right="113"/>
            </w:pPr>
          </w:p>
        </w:tc>
      </w:tr>
      <w:tr w:rsidR="001253ED" w:rsidRPr="00AA72E1" w14:paraId="476DD0D9" w14:textId="77777777" w:rsidTr="00831BBC">
        <w:tc>
          <w:tcPr>
            <w:tcW w:w="2166" w:type="dxa"/>
            <w:tcBorders>
              <w:bottom w:val="single" w:sz="12" w:space="0" w:color="auto"/>
            </w:tcBorders>
            <w:shd w:val="clear" w:color="auto" w:fill="auto"/>
          </w:tcPr>
          <w:p w14:paraId="38A1A368" w14:textId="77777777" w:rsidR="001253ED" w:rsidRPr="00AA72E1" w:rsidRDefault="001253ED" w:rsidP="00831BBC">
            <w:pPr>
              <w:spacing w:before="40" w:after="120" w:line="240" w:lineRule="auto"/>
              <w:ind w:right="113"/>
              <w:rPr>
                <w:lang w:val="en-US"/>
              </w:rPr>
            </w:pPr>
            <w:r w:rsidRPr="00AA72E1">
              <w:rPr>
                <w:lang w:val="en-US"/>
              </w:rPr>
              <w:t>Securing children in buses and coaches</w:t>
            </w:r>
          </w:p>
        </w:tc>
        <w:tc>
          <w:tcPr>
            <w:tcW w:w="3500" w:type="dxa"/>
            <w:tcBorders>
              <w:bottom w:val="single" w:sz="12" w:space="0" w:color="auto"/>
            </w:tcBorders>
            <w:shd w:val="clear" w:color="auto" w:fill="auto"/>
          </w:tcPr>
          <w:p w14:paraId="2C06AFD7" w14:textId="77777777" w:rsidR="001253ED" w:rsidRPr="00AA72E1" w:rsidRDefault="001253ED" w:rsidP="00831BBC">
            <w:pPr>
              <w:keepNext/>
              <w:keepLines/>
              <w:tabs>
                <w:tab w:val="left" w:pos="4536"/>
              </w:tabs>
              <w:rPr>
                <w:lang w:val="fr-CH"/>
              </w:rPr>
            </w:pPr>
            <w:r w:rsidRPr="00AA72E1">
              <w:rPr>
                <w:lang w:val="fr-CH"/>
              </w:rPr>
              <w:t>Ms. Marta ANGLES</w:t>
            </w:r>
          </w:p>
          <w:p w14:paraId="17948387" w14:textId="77777777" w:rsidR="001253ED" w:rsidRPr="00AA72E1" w:rsidRDefault="001253ED" w:rsidP="00831BBC">
            <w:pPr>
              <w:keepNext/>
              <w:keepLines/>
              <w:tabs>
                <w:tab w:val="left" w:pos="4536"/>
              </w:tabs>
              <w:rPr>
                <w:lang w:val="fr-CH"/>
              </w:rPr>
            </w:pPr>
            <w:r w:rsidRPr="00AA72E1">
              <w:rPr>
                <w:lang w:val="fr-CH"/>
              </w:rPr>
              <w:t>Phone: +34 977 166 020</w:t>
            </w:r>
          </w:p>
          <w:p w14:paraId="3786A344" w14:textId="77777777" w:rsidR="001253ED" w:rsidRPr="00AA72E1" w:rsidRDefault="001253ED" w:rsidP="00831BBC">
            <w:pPr>
              <w:keepNext/>
              <w:keepLines/>
              <w:tabs>
                <w:tab w:val="left" w:pos="4536"/>
              </w:tabs>
              <w:rPr>
                <w:lang w:val="fr-CH"/>
              </w:rPr>
            </w:pPr>
            <w:r w:rsidRPr="00AA72E1">
              <w:rPr>
                <w:lang w:val="fr-CH"/>
              </w:rPr>
              <w:t>Fax: ++34 977 166 009</w:t>
            </w:r>
          </w:p>
          <w:p w14:paraId="43323DA5" w14:textId="77777777" w:rsidR="001253ED" w:rsidRPr="00AA72E1" w:rsidRDefault="001253ED" w:rsidP="00831BBC">
            <w:pPr>
              <w:keepNext/>
              <w:keepLines/>
              <w:tabs>
                <w:tab w:val="left" w:pos="4536"/>
              </w:tabs>
              <w:spacing w:after="120"/>
              <w:rPr>
                <w:lang w:val="fr-CH"/>
              </w:rPr>
            </w:pPr>
            <w:r w:rsidRPr="00AA72E1">
              <w:rPr>
                <w:lang w:val="fr-CH"/>
              </w:rPr>
              <w:t>Email: mangles@idiada.com</w:t>
            </w:r>
            <w:r w:rsidRPr="00AA72E1">
              <w:rPr>
                <w:rStyle w:val="af1"/>
                <w:color w:val="auto"/>
                <w:lang w:val="fr-CH"/>
              </w:rPr>
              <w:t>]</w:t>
            </w:r>
          </w:p>
        </w:tc>
        <w:tc>
          <w:tcPr>
            <w:tcW w:w="1900" w:type="dxa"/>
            <w:tcBorders>
              <w:bottom w:val="single" w:sz="12" w:space="0" w:color="auto"/>
            </w:tcBorders>
          </w:tcPr>
          <w:p w14:paraId="7973C9E4" w14:textId="77777777" w:rsidR="001253ED" w:rsidRPr="00AA72E1" w:rsidRDefault="001253ED" w:rsidP="00831BBC">
            <w:pPr>
              <w:keepNext/>
              <w:keepLines/>
              <w:tabs>
                <w:tab w:val="left" w:pos="4536"/>
              </w:tabs>
            </w:pPr>
            <w:r w:rsidRPr="00AA72E1">
              <w:t>March 2023</w:t>
            </w:r>
          </w:p>
        </w:tc>
        <w:tc>
          <w:tcPr>
            <w:tcW w:w="800" w:type="dxa"/>
            <w:tcBorders>
              <w:bottom w:val="single" w:sz="12" w:space="0" w:color="auto"/>
            </w:tcBorders>
            <w:shd w:val="clear" w:color="auto" w:fill="auto"/>
          </w:tcPr>
          <w:p w14:paraId="6A151FB2" w14:textId="77777777" w:rsidR="001253ED" w:rsidRPr="00AA72E1" w:rsidRDefault="001253ED" w:rsidP="00831BBC">
            <w:pPr>
              <w:spacing w:before="40" w:after="120" w:line="240" w:lineRule="auto"/>
              <w:ind w:right="113"/>
            </w:pPr>
          </w:p>
        </w:tc>
      </w:tr>
    </w:tbl>
    <w:p w14:paraId="5AF1DEDC" w14:textId="77777777" w:rsidR="001253ED" w:rsidRPr="001253ED" w:rsidRDefault="001253ED" w:rsidP="001253ED">
      <w:pPr>
        <w:spacing w:before="240"/>
        <w:jc w:val="center"/>
        <w:rPr>
          <w:u w:val="single"/>
        </w:rPr>
      </w:pPr>
      <w:r>
        <w:rPr>
          <w:u w:val="single"/>
        </w:rPr>
        <w:tab/>
      </w:r>
      <w:r>
        <w:rPr>
          <w:u w:val="single"/>
        </w:rPr>
        <w:tab/>
      </w:r>
      <w:r>
        <w:rPr>
          <w:u w:val="single"/>
        </w:rPr>
        <w:tab/>
      </w:r>
    </w:p>
    <w:sectPr w:rsidR="001253ED" w:rsidRPr="001253ED" w:rsidSect="001253ED">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BBB9" w14:textId="77777777" w:rsidR="00426C89" w:rsidRPr="00A312BC" w:rsidRDefault="00426C89" w:rsidP="00A312BC"/>
  </w:endnote>
  <w:endnote w:type="continuationSeparator" w:id="0">
    <w:p w14:paraId="3B578E76" w14:textId="77777777" w:rsidR="00426C89" w:rsidRPr="00A312BC" w:rsidRDefault="00426C8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88B4" w14:textId="77777777" w:rsidR="00426C89" w:rsidRPr="001253ED" w:rsidRDefault="00426C89">
    <w:pPr>
      <w:pStyle w:val="a8"/>
    </w:pPr>
    <w:r w:rsidRPr="001253ED">
      <w:rPr>
        <w:b/>
        <w:sz w:val="18"/>
      </w:rPr>
      <w:fldChar w:fldCharType="begin"/>
    </w:r>
    <w:r w:rsidRPr="001253ED">
      <w:rPr>
        <w:b/>
        <w:sz w:val="18"/>
      </w:rPr>
      <w:instrText xml:space="preserve"> PAGE  \* MERGEFORMAT </w:instrText>
    </w:r>
    <w:r w:rsidRPr="001253ED">
      <w:rPr>
        <w:b/>
        <w:sz w:val="18"/>
      </w:rPr>
      <w:fldChar w:fldCharType="separate"/>
    </w:r>
    <w:r w:rsidRPr="001253ED">
      <w:rPr>
        <w:b/>
        <w:noProof/>
        <w:sz w:val="18"/>
      </w:rPr>
      <w:t>2</w:t>
    </w:r>
    <w:r w:rsidRPr="001253ED">
      <w:rPr>
        <w:b/>
        <w:sz w:val="18"/>
      </w:rPr>
      <w:fldChar w:fldCharType="end"/>
    </w:r>
    <w:r>
      <w:rPr>
        <w:b/>
        <w:sz w:val="18"/>
      </w:rPr>
      <w:tab/>
    </w:r>
    <w:r>
      <w:t>GE.20-11424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0FB7" w14:textId="77777777" w:rsidR="00426C89" w:rsidRPr="001253ED" w:rsidRDefault="00426C89" w:rsidP="001253ED">
    <w:pPr>
      <w:pStyle w:val="a8"/>
      <w:tabs>
        <w:tab w:val="clear" w:pos="9639"/>
        <w:tab w:val="right" w:pos="9638"/>
      </w:tabs>
      <w:rPr>
        <w:b/>
        <w:sz w:val="18"/>
      </w:rPr>
    </w:pPr>
    <w:r>
      <w:t>GE.20-11424</w:t>
    </w:r>
    <w:r>
      <w:tab/>
    </w:r>
    <w:r w:rsidRPr="001253ED">
      <w:rPr>
        <w:b/>
        <w:sz w:val="18"/>
      </w:rPr>
      <w:fldChar w:fldCharType="begin"/>
    </w:r>
    <w:r w:rsidRPr="001253ED">
      <w:rPr>
        <w:b/>
        <w:sz w:val="18"/>
      </w:rPr>
      <w:instrText xml:space="preserve"> PAGE  \* MERGEFORMAT </w:instrText>
    </w:r>
    <w:r w:rsidRPr="001253ED">
      <w:rPr>
        <w:b/>
        <w:sz w:val="18"/>
      </w:rPr>
      <w:fldChar w:fldCharType="separate"/>
    </w:r>
    <w:r w:rsidRPr="001253ED">
      <w:rPr>
        <w:b/>
        <w:noProof/>
        <w:sz w:val="18"/>
      </w:rPr>
      <w:t>3</w:t>
    </w:r>
    <w:r w:rsidRPr="001253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C490" w14:textId="1D5C0FE9" w:rsidR="00426C89" w:rsidRPr="001253ED" w:rsidRDefault="00426C89" w:rsidP="001253ED">
    <w:pPr>
      <w:spacing w:before="120" w:line="240" w:lineRule="auto"/>
    </w:pPr>
    <w:r>
      <w:t>GE.</w:t>
    </w:r>
    <w:r>
      <w:rPr>
        <w:b/>
        <w:noProof/>
        <w:lang w:val="fr-CH" w:eastAsia="fr-CH"/>
      </w:rPr>
      <w:drawing>
        <wp:anchor distT="0" distB="0" distL="114300" distR="114300" simplePos="0" relativeHeight="251658240" behindDoc="0" locked="0" layoutInCell="1" allowOverlap="1" wp14:anchorId="18CB1D3C" wp14:editId="432D441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20-11424  (R)</w:t>
    </w:r>
    <w:r>
      <w:rPr>
        <w:lang w:val="en-US"/>
      </w:rPr>
      <w:t xml:space="preserve">  191020  231020</w:t>
    </w:r>
    <w:r>
      <w:br/>
    </w:r>
    <w:r w:rsidRPr="001253ED">
      <w:rPr>
        <w:rFonts w:ascii="C39T30Lfz" w:hAnsi="C39T30Lfz"/>
        <w:kern w:val="14"/>
        <w:sz w:val="56"/>
      </w:rPr>
      <w:t>*2011424*</w:t>
    </w:r>
    <w:r>
      <w:rPr>
        <w:noProof/>
      </w:rPr>
      <w:drawing>
        <wp:anchor distT="0" distB="0" distL="114300" distR="114300" simplePos="0" relativeHeight="251659264" behindDoc="0" locked="0" layoutInCell="1" allowOverlap="1" wp14:anchorId="7A6CCF76" wp14:editId="3B5FD40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F1B8" w14:textId="77777777" w:rsidR="00426C89" w:rsidRPr="001075E9" w:rsidRDefault="00426C89" w:rsidP="001075E9">
      <w:pPr>
        <w:tabs>
          <w:tab w:val="right" w:pos="2155"/>
        </w:tabs>
        <w:spacing w:after="80" w:line="240" w:lineRule="auto"/>
        <w:ind w:left="680"/>
        <w:rPr>
          <w:u w:val="single"/>
        </w:rPr>
      </w:pPr>
      <w:r>
        <w:rPr>
          <w:u w:val="single"/>
        </w:rPr>
        <w:tab/>
      </w:r>
    </w:p>
  </w:footnote>
  <w:footnote w:type="continuationSeparator" w:id="0">
    <w:p w14:paraId="17FCBB56" w14:textId="77777777" w:rsidR="00426C89" w:rsidRDefault="00426C89" w:rsidP="00407B78">
      <w:pPr>
        <w:tabs>
          <w:tab w:val="right" w:pos="2155"/>
        </w:tabs>
        <w:spacing w:after="80"/>
        <w:ind w:left="680"/>
        <w:rPr>
          <w:u w:val="single"/>
        </w:rPr>
      </w:pPr>
      <w:r>
        <w:rPr>
          <w:u w:val="single"/>
        </w:rPr>
        <w:tab/>
      </w:r>
    </w:p>
  </w:footnote>
  <w:footnote w:id="1">
    <w:p w14:paraId="66571665" w14:textId="77777777" w:rsidR="00426C89" w:rsidRPr="00902A8A" w:rsidRDefault="00426C89" w:rsidP="001253ED">
      <w:pPr>
        <w:pStyle w:val="ad"/>
        <w:ind w:left="1418" w:hanging="709"/>
      </w:pPr>
      <w:r>
        <w:rPr>
          <w:szCs w:val="18"/>
        </w:rPr>
        <w:tab/>
      </w:r>
      <w:r w:rsidRPr="00902A8A">
        <w:rPr>
          <w:rStyle w:val="aa"/>
          <w:szCs w:val="18"/>
        </w:rPr>
        <w:footnoteRef/>
      </w:r>
      <w:r>
        <w:tab/>
        <w:t>В соответствии с определениями, содержащимися в Сводной резолюции о конструкции транспортных средств (СР.3), документ ECE/TRANS/WP.29/78/Rev.2, пункт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54D7" w14:textId="6113C9AE" w:rsidR="00426C89" w:rsidRPr="001253ED" w:rsidRDefault="00426C89">
    <w:pPr>
      <w:pStyle w:val="a5"/>
    </w:pPr>
    <w:fldSimple w:instr=" TITLE  \* MERGEFORMAT ">
      <w:r w:rsidR="006A7AA2">
        <w:t>ECE/TRANS/WP.29/GRSP/67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8132" w14:textId="0C3D1827" w:rsidR="00426C89" w:rsidRPr="001253ED" w:rsidRDefault="00426C89" w:rsidP="001253ED">
    <w:pPr>
      <w:pStyle w:val="a5"/>
      <w:jc w:val="right"/>
    </w:pPr>
    <w:fldSimple w:instr=" TITLE  \* MERGEFORMAT ">
      <w:r w:rsidR="006A7AA2">
        <w:t>ECE/TRANS/WP.29/GRSP/67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64E84"/>
    <w:multiLevelType w:val="hybridMultilevel"/>
    <w:tmpl w:val="898C26B6"/>
    <w:lvl w:ilvl="0" w:tplc="E750A11E">
      <w:start w:val="1"/>
      <w:numFmt w:val="upperLetter"/>
      <w:lvlText w:val="%1."/>
      <w:lvlJc w:val="left"/>
      <w:pPr>
        <w:ind w:left="1210" w:hanging="8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5A"/>
    <w:rsid w:val="00033EE1"/>
    <w:rsid w:val="00040061"/>
    <w:rsid w:val="00042B72"/>
    <w:rsid w:val="00046863"/>
    <w:rsid w:val="000558BD"/>
    <w:rsid w:val="000B57E7"/>
    <w:rsid w:val="000B6373"/>
    <w:rsid w:val="000E4E5B"/>
    <w:rsid w:val="000F09DF"/>
    <w:rsid w:val="000F61B2"/>
    <w:rsid w:val="001075E9"/>
    <w:rsid w:val="001253ED"/>
    <w:rsid w:val="0014152F"/>
    <w:rsid w:val="00160B4E"/>
    <w:rsid w:val="00180183"/>
    <w:rsid w:val="0018024D"/>
    <w:rsid w:val="00181889"/>
    <w:rsid w:val="0018649F"/>
    <w:rsid w:val="00196389"/>
    <w:rsid w:val="001B3EF6"/>
    <w:rsid w:val="001C7A89"/>
    <w:rsid w:val="00255343"/>
    <w:rsid w:val="0027151D"/>
    <w:rsid w:val="002A2EFC"/>
    <w:rsid w:val="002B0106"/>
    <w:rsid w:val="002B1C83"/>
    <w:rsid w:val="002B74B1"/>
    <w:rsid w:val="002C0E18"/>
    <w:rsid w:val="002D5AAC"/>
    <w:rsid w:val="002E078D"/>
    <w:rsid w:val="002E5067"/>
    <w:rsid w:val="002F405F"/>
    <w:rsid w:val="002F7EEC"/>
    <w:rsid w:val="00301299"/>
    <w:rsid w:val="00305C08"/>
    <w:rsid w:val="00307FB6"/>
    <w:rsid w:val="00317339"/>
    <w:rsid w:val="00322004"/>
    <w:rsid w:val="00326131"/>
    <w:rsid w:val="003402C2"/>
    <w:rsid w:val="00381C24"/>
    <w:rsid w:val="00387CD4"/>
    <w:rsid w:val="003958D0"/>
    <w:rsid w:val="003A0D43"/>
    <w:rsid w:val="003A48CE"/>
    <w:rsid w:val="003B00E5"/>
    <w:rsid w:val="003E0B46"/>
    <w:rsid w:val="0040403D"/>
    <w:rsid w:val="00407B78"/>
    <w:rsid w:val="00414748"/>
    <w:rsid w:val="00424203"/>
    <w:rsid w:val="00426C89"/>
    <w:rsid w:val="00452493"/>
    <w:rsid w:val="00453318"/>
    <w:rsid w:val="00454AF2"/>
    <w:rsid w:val="00454E07"/>
    <w:rsid w:val="00472C5C"/>
    <w:rsid w:val="004A08F0"/>
    <w:rsid w:val="004B23B7"/>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27A20"/>
    <w:rsid w:val="006345DB"/>
    <w:rsid w:val="00640F49"/>
    <w:rsid w:val="00680D03"/>
    <w:rsid w:val="00681A10"/>
    <w:rsid w:val="006A1ED8"/>
    <w:rsid w:val="006A7AA2"/>
    <w:rsid w:val="006C2031"/>
    <w:rsid w:val="006D461A"/>
    <w:rsid w:val="006F35EE"/>
    <w:rsid w:val="007021FF"/>
    <w:rsid w:val="00712895"/>
    <w:rsid w:val="00734ACB"/>
    <w:rsid w:val="0074070D"/>
    <w:rsid w:val="00757357"/>
    <w:rsid w:val="00792497"/>
    <w:rsid w:val="007D1125"/>
    <w:rsid w:val="00806737"/>
    <w:rsid w:val="00825F8D"/>
    <w:rsid w:val="00831BBC"/>
    <w:rsid w:val="00834B71"/>
    <w:rsid w:val="00855553"/>
    <w:rsid w:val="0086445C"/>
    <w:rsid w:val="00894693"/>
    <w:rsid w:val="008A08D7"/>
    <w:rsid w:val="008A37C8"/>
    <w:rsid w:val="008B6909"/>
    <w:rsid w:val="008D53B6"/>
    <w:rsid w:val="008E4D90"/>
    <w:rsid w:val="008F7609"/>
    <w:rsid w:val="00906890"/>
    <w:rsid w:val="00911BE4"/>
    <w:rsid w:val="00951972"/>
    <w:rsid w:val="00956273"/>
    <w:rsid w:val="009608F3"/>
    <w:rsid w:val="00972619"/>
    <w:rsid w:val="009946AF"/>
    <w:rsid w:val="009A24AC"/>
    <w:rsid w:val="009B31FC"/>
    <w:rsid w:val="009C59D7"/>
    <w:rsid w:val="009C6FE6"/>
    <w:rsid w:val="009D7E7D"/>
    <w:rsid w:val="00A14DA8"/>
    <w:rsid w:val="00A312BC"/>
    <w:rsid w:val="00A84021"/>
    <w:rsid w:val="00A84D35"/>
    <w:rsid w:val="00A917B3"/>
    <w:rsid w:val="00AA72C4"/>
    <w:rsid w:val="00AA72E1"/>
    <w:rsid w:val="00AB4B51"/>
    <w:rsid w:val="00B10CC7"/>
    <w:rsid w:val="00B36DF7"/>
    <w:rsid w:val="00B44FA2"/>
    <w:rsid w:val="00B539E7"/>
    <w:rsid w:val="00B62458"/>
    <w:rsid w:val="00B77A5A"/>
    <w:rsid w:val="00BC18B2"/>
    <w:rsid w:val="00BD33EE"/>
    <w:rsid w:val="00BE1CC7"/>
    <w:rsid w:val="00C04EC7"/>
    <w:rsid w:val="00C106D6"/>
    <w:rsid w:val="00C119AE"/>
    <w:rsid w:val="00C30DB9"/>
    <w:rsid w:val="00C3708E"/>
    <w:rsid w:val="00C60F0C"/>
    <w:rsid w:val="00C71E84"/>
    <w:rsid w:val="00C71EC0"/>
    <w:rsid w:val="00C805C9"/>
    <w:rsid w:val="00C92939"/>
    <w:rsid w:val="00CA1679"/>
    <w:rsid w:val="00CB151C"/>
    <w:rsid w:val="00CE5A1A"/>
    <w:rsid w:val="00CF55F6"/>
    <w:rsid w:val="00D33D63"/>
    <w:rsid w:val="00D5253A"/>
    <w:rsid w:val="00D873A8"/>
    <w:rsid w:val="00D90028"/>
    <w:rsid w:val="00D90138"/>
    <w:rsid w:val="00D9145B"/>
    <w:rsid w:val="00DB61F4"/>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520D6"/>
    <w:rsid w:val="00F53320"/>
    <w:rsid w:val="00F94155"/>
    <w:rsid w:val="00F9783F"/>
    <w:rsid w:val="00FC2E4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14130"/>
  <w15:docId w15:val="{2025C5AF-F99D-4351-8DF2-FCD3FB15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aliases w:val="h4"/>
    <w:basedOn w:val="a"/>
    <w:next w:val="a"/>
    <w:link w:val="40"/>
    <w:qFormat/>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Fußnotentext,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Fußnotentext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Block Text"/>
    <w:basedOn w:val="a"/>
    <w:semiHidden/>
    <w:unhideWhenUsed/>
    <w:rsid w:val="001253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customStyle="1" w:styleId="SingleTxtGChar">
    <w:name w:val="_ Single Txt_G Char"/>
    <w:link w:val="SingleTxtG"/>
    <w:qFormat/>
    <w:rsid w:val="001253ED"/>
    <w:rPr>
      <w:lang w:val="ru-RU" w:eastAsia="en-US"/>
    </w:rPr>
  </w:style>
  <w:style w:type="character" w:customStyle="1" w:styleId="H1GChar">
    <w:name w:val="_ H_1_G Char"/>
    <w:link w:val="H1G"/>
    <w:rsid w:val="001253ED"/>
    <w:rPr>
      <w:b/>
      <w:sz w:val="24"/>
      <w:lang w:val="ru-RU" w:eastAsia="ru-RU"/>
    </w:rPr>
  </w:style>
  <w:style w:type="character" w:customStyle="1" w:styleId="40">
    <w:name w:val="Заголовок 4 Знак"/>
    <w:aliases w:val="h4 Знак"/>
    <w:link w:val="4"/>
    <w:locked/>
    <w:rsid w:val="001253ED"/>
    <w:rPr>
      <w:rFonts w:eastAsiaTheme="minorHAnsi" w:cstheme="minorBidi"/>
      <w:b/>
      <w:bCs/>
      <w:sz w:val="28"/>
      <w:szCs w:val="28"/>
      <w:lang w:val="ru-RU" w:eastAsia="en-US"/>
    </w:rPr>
  </w:style>
  <w:style w:type="character" w:customStyle="1" w:styleId="HChGChar">
    <w:name w:val="_ H _Ch_G Char"/>
    <w:link w:val="HChG"/>
    <w:rsid w:val="001253ED"/>
    <w:rPr>
      <w:b/>
      <w:sz w:val="28"/>
      <w:lang w:val="ru-RU" w:eastAsia="ru-RU"/>
    </w:rPr>
  </w:style>
  <w:style w:type="character" w:customStyle="1" w:styleId="H23GChar">
    <w:name w:val="_ H_2/3_G Char"/>
    <w:link w:val="H23G"/>
    <w:locked/>
    <w:rsid w:val="001253ED"/>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nie.frost@dft.gsi.gov.uk_"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luca.rocco@mit.gov.i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s.martinez@upm.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tin.koubek@dot.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park@kotsa.or.k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32</Pages>
  <Words>7170</Words>
  <Characters>63816</Characters>
  <Application>Microsoft Office Word</Application>
  <DocSecurity>0</DocSecurity>
  <Lines>5801</Lines>
  <Paragraphs>2366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ECE/TRANS/WP.29/GRSP/67</vt:lpstr>
      <vt:lpstr>A/</vt:lpstr>
      <vt:lpstr>A/</vt:lpstr>
    </vt:vector>
  </TitlesOfParts>
  <Company>DCM</Company>
  <LinksUpToDate>false</LinksUpToDate>
  <CharactersWithSpaces>68620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ECE/TRANS/WP.29/GRSP/67</dc:title>
  <dc:subject/>
  <dc:creator>Anna PETELINA</dc:creator>
  <cp:keywords/>
  <cp:lastModifiedBy>Anna Petelina</cp:lastModifiedBy>
  <cp:revision>3</cp:revision>
  <cp:lastPrinted>2020-10-23T14:23:00Z</cp:lastPrinted>
  <dcterms:created xsi:type="dcterms:W3CDTF">2020-10-23T14:23:00Z</dcterms:created>
  <dcterms:modified xsi:type="dcterms:W3CDTF">2020-10-23T14:23:00Z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