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04D03F2" w14:textId="77777777" w:rsidTr="00C97039">
        <w:trPr>
          <w:trHeight w:hRule="exact" w:val="851"/>
        </w:trPr>
        <w:tc>
          <w:tcPr>
            <w:tcW w:w="1276" w:type="dxa"/>
            <w:tcBorders>
              <w:bottom w:val="single" w:sz="4" w:space="0" w:color="auto"/>
            </w:tcBorders>
          </w:tcPr>
          <w:p w14:paraId="3B9A092A" w14:textId="77777777" w:rsidR="00F35BAF" w:rsidRPr="00DB58B5" w:rsidRDefault="00F35BAF" w:rsidP="00457504"/>
        </w:tc>
        <w:tc>
          <w:tcPr>
            <w:tcW w:w="2268" w:type="dxa"/>
            <w:tcBorders>
              <w:bottom w:val="single" w:sz="4" w:space="0" w:color="auto"/>
            </w:tcBorders>
            <w:vAlign w:val="bottom"/>
          </w:tcPr>
          <w:p w14:paraId="1F5E527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08F9B7F" w14:textId="77777777" w:rsidR="00F35BAF" w:rsidRPr="00DB58B5" w:rsidRDefault="00457504" w:rsidP="00457504">
            <w:pPr>
              <w:jc w:val="right"/>
            </w:pPr>
            <w:r w:rsidRPr="00457504">
              <w:rPr>
                <w:sz w:val="40"/>
              </w:rPr>
              <w:t>ECE</w:t>
            </w:r>
            <w:r>
              <w:t>/TRANS/WP.29/GRSP/2020/14</w:t>
            </w:r>
          </w:p>
        </w:tc>
      </w:tr>
      <w:tr w:rsidR="00F35BAF" w:rsidRPr="00DB58B5" w14:paraId="07961396" w14:textId="77777777" w:rsidTr="00C97039">
        <w:trPr>
          <w:trHeight w:hRule="exact" w:val="2835"/>
        </w:trPr>
        <w:tc>
          <w:tcPr>
            <w:tcW w:w="1276" w:type="dxa"/>
            <w:tcBorders>
              <w:top w:val="single" w:sz="4" w:space="0" w:color="auto"/>
              <w:bottom w:val="single" w:sz="12" w:space="0" w:color="auto"/>
            </w:tcBorders>
          </w:tcPr>
          <w:p w14:paraId="459D2638" w14:textId="77777777" w:rsidR="00F35BAF" w:rsidRPr="00DB58B5" w:rsidRDefault="00F35BAF" w:rsidP="00C97039">
            <w:pPr>
              <w:spacing w:before="120"/>
              <w:jc w:val="center"/>
            </w:pPr>
            <w:r>
              <w:rPr>
                <w:noProof/>
                <w:lang w:eastAsia="fr-CH"/>
              </w:rPr>
              <w:drawing>
                <wp:inline distT="0" distB="0" distL="0" distR="0" wp14:anchorId="1B5AF4A5" wp14:editId="0B680EA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8D0066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F9172BC" w14:textId="77777777" w:rsidR="00F35BAF" w:rsidRDefault="00457504" w:rsidP="00C97039">
            <w:pPr>
              <w:spacing w:before="240"/>
            </w:pPr>
            <w:r>
              <w:t>Distr. générale</w:t>
            </w:r>
          </w:p>
          <w:p w14:paraId="29EB5251" w14:textId="77777777" w:rsidR="00457504" w:rsidRDefault="00457504" w:rsidP="00457504">
            <w:pPr>
              <w:spacing w:line="240" w:lineRule="exact"/>
            </w:pPr>
            <w:r>
              <w:t>24 septembre 2020</w:t>
            </w:r>
          </w:p>
          <w:p w14:paraId="43C1B3DC" w14:textId="77777777" w:rsidR="00457504" w:rsidRDefault="00457504" w:rsidP="00457504">
            <w:pPr>
              <w:spacing w:line="240" w:lineRule="exact"/>
            </w:pPr>
            <w:r>
              <w:t>Français</w:t>
            </w:r>
          </w:p>
          <w:p w14:paraId="791DCEDE" w14:textId="77777777" w:rsidR="00457504" w:rsidRPr="00DB58B5" w:rsidRDefault="00457504" w:rsidP="00457504">
            <w:pPr>
              <w:spacing w:line="240" w:lineRule="exact"/>
            </w:pPr>
            <w:r>
              <w:t>Original : anglais</w:t>
            </w:r>
          </w:p>
        </w:tc>
      </w:tr>
    </w:tbl>
    <w:p w14:paraId="237A1B90" w14:textId="77777777" w:rsidR="007F20FA" w:rsidRPr="000312C0" w:rsidRDefault="007F20FA" w:rsidP="007F20FA">
      <w:pPr>
        <w:spacing w:before="120"/>
        <w:rPr>
          <w:b/>
          <w:sz w:val="28"/>
          <w:szCs w:val="28"/>
        </w:rPr>
      </w:pPr>
      <w:r w:rsidRPr="000312C0">
        <w:rPr>
          <w:b/>
          <w:sz w:val="28"/>
          <w:szCs w:val="28"/>
        </w:rPr>
        <w:t>Commission économique pour l’Europe</w:t>
      </w:r>
    </w:p>
    <w:p w14:paraId="1E803463" w14:textId="77777777" w:rsidR="007F20FA" w:rsidRDefault="007F20FA" w:rsidP="007F20FA">
      <w:pPr>
        <w:spacing w:before="120"/>
        <w:rPr>
          <w:sz w:val="28"/>
          <w:szCs w:val="28"/>
        </w:rPr>
      </w:pPr>
      <w:r w:rsidRPr="00685843">
        <w:rPr>
          <w:sz w:val="28"/>
          <w:szCs w:val="28"/>
        </w:rPr>
        <w:t>Comité des transports intérieurs</w:t>
      </w:r>
    </w:p>
    <w:p w14:paraId="376681F9" w14:textId="77777777" w:rsidR="00740248" w:rsidRDefault="00740248" w:rsidP="00740248">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7294F649" w14:textId="77777777" w:rsidR="00740248" w:rsidRPr="001C5FC8" w:rsidRDefault="00740248" w:rsidP="00740248">
      <w:pPr>
        <w:spacing w:before="120"/>
        <w:rPr>
          <w:b/>
          <w:lang w:val="fr-FR"/>
        </w:rPr>
      </w:pPr>
      <w:r w:rsidRPr="001C5FC8">
        <w:rPr>
          <w:b/>
          <w:bCs/>
          <w:lang w:val="fr-FR"/>
        </w:rPr>
        <w:t>Groupe de travail de la sécurité passive</w:t>
      </w:r>
    </w:p>
    <w:p w14:paraId="57B93DA3" w14:textId="77777777" w:rsidR="00740248" w:rsidRPr="001C5FC8" w:rsidRDefault="00740248" w:rsidP="00740248">
      <w:pPr>
        <w:spacing w:before="120"/>
        <w:rPr>
          <w:b/>
          <w:lang w:val="fr-FR"/>
        </w:rPr>
      </w:pPr>
      <w:r w:rsidRPr="001C5FC8">
        <w:rPr>
          <w:b/>
          <w:bCs/>
          <w:lang w:val="fr-FR"/>
        </w:rPr>
        <w:t>Soixante-huitième session</w:t>
      </w:r>
      <w:r w:rsidRPr="001C5FC8">
        <w:rPr>
          <w:lang w:val="fr-FR"/>
        </w:rPr>
        <w:t xml:space="preserve"> </w:t>
      </w:r>
    </w:p>
    <w:p w14:paraId="787E7E70" w14:textId="77777777" w:rsidR="00740248" w:rsidRPr="001C5FC8" w:rsidRDefault="00740248" w:rsidP="00740248">
      <w:pPr>
        <w:rPr>
          <w:bCs/>
          <w:lang w:val="fr-FR"/>
        </w:rPr>
      </w:pPr>
      <w:r w:rsidRPr="001C5FC8">
        <w:rPr>
          <w:lang w:val="fr-FR"/>
        </w:rPr>
        <w:t>Genève, 7-11 décembre 2020</w:t>
      </w:r>
    </w:p>
    <w:p w14:paraId="27C581EE" w14:textId="77777777" w:rsidR="00740248" w:rsidRPr="00416775" w:rsidRDefault="00740248" w:rsidP="00740248">
      <w:pPr>
        <w:rPr>
          <w:bCs/>
        </w:rPr>
      </w:pPr>
      <w:r>
        <w:rPr>
          <w:lang w:val="fr-FR"/>
        </w:rPr>
        <w:t>Point 15 de l’ordre du jour provisoire</w:t>
      </w:r>
    </w:p>
    <w:p w14:paraId="5F164906" w14:textId="77777777" w:rsidR="00740248" w:rsidRPr="00416775" w:rsidRDefault="00740248" w:rsidP="00740248">
      <w:pPr>
        <w:rPr>
          <w:b/>
        </w:rPr>
      </w:pPr>
      <w:r>
        <w:rPr>
          <w:b/>
          <w:bCs/>
          <w:lang w:val="fr-FR"/>
        </w:rPr>
        <w:t xml:space="preserve">Règlement ONU </w:t>
      </w:r>
      <w:r w:rsidRPr="00416775">
        <w:rPr>
          <w:b/>
          <w:bCs/>
          <w:lang w:val="fr-FR"/>
        </w:rPr>
        <w:t>n</w:t>
      </w:r>
      <w:r w:rsidRPr="00416775">
        <w:rPr>
          <w:b/>
          <w:bCs/>
          <w:vertAlign w:val="superscript"/>
          <w:lang w:val="fr-FR"/>
        </w:rPr>
        <w:t>o</w:t>
      </w:r>
      <w:r>
        <w:rPr>
          <w:b/>
          <w:bCs/>
          <w:lang w:val="fr-FR"/>
        </w:rPr>
        <w:t> </w:t>
      </w:r>
      <w:r>
        <w:rPr>
          <w:b/>
          <w:bCs/>
          <w:lang w:val="fr-FR"/>
        </w:rPr>
        <w:t xml:space="preserve">137 (Choc avant, l’accent étant mis </w:t>
      </w:r>
      <w:r>
        <w:rPr>
          <w:b/>
          <w:bCs/>
          <w:lang w:val="fr-FR"/>
        </w:rPr>
        <w:br/>
      </w:r>
      <w:r>
        <w:rPr>
          <w:b/>
          <w:bCs/>
          <w:lang w:val="fr-FR"/>
        </w:rPr>
        <w:t>sur les systèmes de retenue)</w:t>
      </w:r>
    </w:p>
    <w:p w14:paraId="74FC428B" w14:textId="77777777" w:rsidR="00740248" w:rsidRPr="00416775" w:rsidRDefault="00740248" w:rsidP="00740248">
      <w:pPr>
        <w:pStyle w:val="HChG"/>
      </w:pPr>
      <w:r>
        <w:rPr>
          <w:lang w:val="fr-FR"/>
        </w:rPr>
        <w:tab/>
      </w:r>
      <w:r>
        <w:rPr>
          <w:lang w:val="fr-FR"/>
        </w:rPr>
        <w:tab/>
        <w:t xml:space="preserve">Proposition de complément 1 à la série 02 d’amendements </w:t>
      </w:r>
      <w:r>
        <w:rPr>
          <w:lang w:val="fr-FR"/>
        </w:rPr>
        <w:br/>
      </w:r>
      <w:r>
        <w:rPr>
          <w:lang w:val="fr-FR"/>
        </w:rPr>
        <w:t xml:space="preserve">au Règlement ONU </w:t>
      </w:r>
      <w:r w:rsidRPr="00416775">
        <w:rPr>
          <w:lang w:val="fr-FR"/>
        </w:rPr>
        <w:t>n</w:t>
      </w:r>
      <w:r w:rsidRPr="00416775">
        <w:rPr>
          <w:vertAlign w:val="superscript"/>
          <w:lang w:val="fr-FR"/>
        </w:rPr>
        <w:t>o</w:t>
      </w:r>
      <w:r>
        <w:rPr>
          <w:lang w:val="fr-FR"/>
        </w:rPr>
        <w:t> </w:t>
      </w:r>
      <w:r>
        <w:rPr>
          <w:lang w:val="fr-FR"/>
        </w:rPr>
        <w:t xml:space="preserve">137 (Choc avant, l’accent étant mis </w:t>
      </w:r>
      <w:r>
        <w:rPr>
          <w:lang w:val="fr-FR"/>
        </w:rPr>
        <w:br/>
      </w:r>
      <w:r>
        <w:rPr>
          <w:lang w:val="fr-FR"/>
        </w:rPr>
        <w:t>sur les systèmes de retenue)</w:t>
      </w:r>
    </w:p>
    <w:p w14:paraId="0C91C6C2" w14:textId="77777777" w:rsidR="00740248" w:rsidRPr="00416775" w:rsidRDefault="00740248" w:rsidP="00740248">
      <w:pPr>
        <w:pStyle w:val="H1G"/>
      </w:pPr>
      <w:r>
        <w:rPr>
          <w:lang w:val="fr-FR"/>
        </w:rPr>
        <w:tab/>
      </w:r>
      <w:r>
        <w:rPr>
          <w:lang w:val="fr-FR"/>
        </w:rPr>
        <w:tab/>
      </w:r>
      <w:r>
        <w:rPr>
          <w:lang w:val="fr-FR"/>
        </w:rPr>
        <w:t xml:space="preserve">Communication de l’expert de l’Organisation internationale </w:t>
      </w:r>
      <w:r>
        <w:rPr>
          <w:lang w:val="fr-FR"/>
        </w:rPr>
        <w:br/>
      </w:r>
      <w:r>
        <w:rPr>
          <w:lang w:val="fr-FR"/>
        </w:rPr>
        <w:t>des constructeurs d’automobiles</w:t>
      </w:r>
      <w:r w:rsidRPr="00740248">
        <w:rPr>
          <w:b w:val="0"/>
          <w:bCs/>
          <w:sz w:val="20"/>
          <w:lang w:val="fr-FR"/>
        </w:rPr>
        <w:footnoteReference w:customMarkFollows="1" w:id="2"/>
        <w:t>*</w:t>
      </w:r>
      <w:r>
        <w:rPr>
          <w:lang w:val="fr-FR"/>
        </w:rPr>
        <w:t xml:space="preserve"> </w:t>
      </w:r>
    </w:p>
    <w:p w14:paraId="4F82C87B" w14:textId="77777777" w:rsidR="00740248" w:rsidRDefault="00740248" w:rsidP="00740248">
      <w:pPr>
        <w:pStyle w:val="SingleTxtG"/>
        <w:ind w:firstLine="567"/>
        <w:rPr>
          <w:lang w:val="fr-FR"/>
        </w:rPr>
      </w:pPr>
      <w:r>
        <w:rPr>
          <w:lang w:val="fr-FR"/>
        </w:rPr>
        <w:t>Le texte reproduit ci-après, établi par l’expert de l’Organisation internationale des constructeurs d’automobiles (OICA), vise à préciser les dispositions transitoires de la série</w:t>
      </w:r>
      <w:r>
        <w:rPr>
          <w:lang w:val="fr-FR"/>
        </w:rPr>
        <w:t> </w:t>
      </w:r>
      <w:r>
        <w:rPr>
          <w:lang w:val="fr-FR"/>
        </w:rPr>
        <w:t xml:space="preserve">02 d’amendements au Règlement ONU </w:t>
      </w:r>
      <w:r w:rsidRPr="00416775">
        <w:rPr>
          <w:lang w:val="fr-FR"/>
        </w:rPr>
        <w:t>n</w:t>
      </w:r>
      <w:r w:rsidRPr="00416775">
        <w:rPr>
          <w:vertAlign w:val="superscript"/>
          <w:lang w:val="fr-FR"/>
        </w:rPr>
        <w:t>o</w:t>
      </w:r>
      <w:r w:rsidRPr="00740248">
        <w:rPr>
          <w:lang w:val="fr-FR"/>
        </w:rPr>
        <w:t> </w:t>
      </w:r>
      <w:r>
        <w:rPr>
          <w:lang w:val="fr-FR"/>
        </w:rPr>
        <w:t xml:space="preserve">137 (ECE/TRANS/WP.29/2020/110), sur le modèle du texte adopté pour le Règlement ONU </w:t>
      </w:r>
      <w:r w:rsidRPr="00416775">
        <w:rPr>
          <w:lang w:val="fr-FR"/>
        </w:rPr>
        <w:t>n</w:t>
      </w:r>
      <w:r w:rsidRPr="00416775">
        <w:rPr>
          <w:vertAlign w:val="superscript"/>
          <w:lang w:val="fr-FR"/>
        </w:rPr>
        <w:t>o</w:t>
      </w:r>
      <w:r w:rsidRPr="00740248">
        <w:rPr>
          <w:lang w:val="fr-FR"/>
        </w:rPr>
        <w:t> </w:t>
      </w:r>
      <w:r>
        <w:rPr>
          <w:lang w:val="fr-FR"/>
        </w:rPr>
        <w:t>94 (ECE/TRANS/WP.29/2020/107) à la soixante</w:t>
      </w:r>
      <w:r>
        <w:rPr>
          <w:lang w:val="fr-FR"/>
        </w:rPr>
        <w:noBreakHyphen/>
      </w:r>
      <w:r>
        <w:rPr>
          <w:lang w:val="fr-FR"/>
        </w:rPr>
        <w:t>septième session du Groupe de travail de la sécurité passive (GRSP) (voir le document ECE/TRANS/WP.29/GRSP/67, par.</w:t>
      </w:r>
      <w:r w:rsidRPr="00740248">
        <w:rPr>
          <w:lang w:val="fr-FR"/>
        </w:rPr>
        <w:t> </w:t>
      </w:r>
      <w:r>
        <w:rPr>
          <w:lang w:val="fr-FR"/>
        </w:rPr>
        <w:t>17). Les changements qu’il est proposé d’apporter au texte actuel du Règlement ONU, tel que modifié par le document ECE/TRANS/WP.29/2020/110, figurent en caractères gras pour les ajouts et biffés pour les suppressions.</w:t>
      </w:r>
    </w:p>
    <w:p w14:paraId="675205E0" w14:textId="77777777" w:rsidR="00740248" w:rsidRPr="00416775" w:rsidRDefault="00740248" w:rsidP="00740248">
      <w:pPr>
        <w:pStyle w:val="HChG"/>
      </w:pPr>
      <w:r>
        <w:rPr>
          <w:lang w:val="fr-FR"/>
        </w:rPr>
        <w:br w:type="page"/>
      </w:r>
      <w:r>
        <w:rPr>
          <w:lang w:val="fr-FR"/>
        </w:rPr>
        <w:lastRenderedPageBreak/>
        <w:tab/>
      </w:r>
      <w:r>
        <w:rPr>
          <w:lang w:val="fr-FR"/>
        </w:rPr>
        <w:t>I.</w:t>
      </w:r>
      <w:r>
        <w:rPr>
          <w:lang w:val="fr-FR"/>
        </w:rPr>
        <w:tab/>
        <w:t>Proposition</w:t>
      </w:r>
    </w:p>
    <w:p w14:paraId="50B8517E" w14:textId="77777777" w:rsidR="00740248" w:rsidRPr="00416775" w:rsidRDefault="00740248" w:rsidP="00740248">
      <w:pPr>
        <w:pStyle w:val="SingleTxtG"/>
        <w:keepNext/>
        <w:rPr>
          <w:rFonts w:eastAsia="SimSun"/>
        </w:rPr>
      </w:pPr>
      <w:r>
        <w:rPr>
          <w:i/>
          <w:iCs/>
          <w:lang w:val="fr-FR"/>
        </w:rPr>
        <w:t>Paragraphes 12.2 et 12.3</w:t>
      </w:r>
      <w:r>
        <w:rPr>
          <w:lang w:val="fr-FR"/>
        </w:rPr>
        <w:t>, lire</w:t>
      </w:r>
      <w:r>
        <w:rPr>
          <w:lang w:val="fr-FR"/>
        </w:rPr>
        <w:t> </w:t>
      </w:r>
      <w:r>
        <w:rPr>
          <w:lang w:val="fr-FR"/>
        </w:rPr>
        <w:t>:</w:t>
      </w:r>
    </w:p>
    <w:p w14:paraId="4A1B36EC" w14:textId="77777777" w:rsidR="00740248" w:rsidRPr="00416775" w:rsidRDefault="00740248" w:rsidP="00740248">
      <w:pPr>
        <w:pStyle w:val="SingleTxtG"/>
        <w:ind w:left="2268" w:hanging="1134"/>
      </w:pPr>
      <w:r>
        <w:rPr>
          <w:lang w:val="fr-FR"/>
        </w:rPr>
        <w:t>«</w:t>
      </w:r>
      <w:r>
        <w:rPr>
          <w:lang w:val="fr-FR"/>
        </w:rPr>
        <w:t> </w:t>
      </w:r>
      <w:r>
        <w:rPr>
          <w:lang w:val="fr-FR"/>
        </w:rPr>
        <w:t>12.2</w:t>
      </w:r>
      <w:r>
        <w:rPr>
          <w:lang w:val="fr-FR"/>
        </w:rPr>
        <w:tab/>
        <w:t>À compter du 1</w:t>
      </w:r>
      <w:r w:rsidRPr="00416775">
        <w:rPr>
          <w:vertAlign w:val="superscript"/>
          <w:lang w:val="fr-FR"/>
        </w:rPr>
        <w:t>er</w:t>
      </w:r>
      <w:r w:rsidRPr="00740248">
        <w:rPr>
          <w:lang w:val="fr-FR"/>
        </w:rPr>
        <w:t> </w:t>
      </w:r>
      <w:r>
        <w:rPr>
          <w:lang w:val="fr-FR"/>
        </w:rPr>
        <w:t xml:space="preserve">septembre 2023, les Parties contractantes appliquant le présent Règlement ne seront plus tenues d’accepter les homologations de type établies conformément aux séries </w:t>
      </w:r>
      <w:r>
        <w:rPr>
          <w:b/>
          <w:bCs/>
          <w:lang w:val="fr-FR"/>
        </w:rPr>
        <w:t>précédentes</w:t>
      </w:r>
      <w:r>
        <w:rPr>
          <w:strike/>
          <w:lang w:val="fr-FR"/>
        </w:rPr>
        <w:t>03</w:t>
      </w:r>
      <w:r>
        <w:rPr>
          <w:lang w:val="fr-FR"/>
        </w:rPr>
        <w:t xml:space="preserve"> d’amendements, délivrées pour la première fois après le 1</w:t>
      </w:r>
      <w:r w:rsidRPr="00740248">
        <w:rPr>
          <w:vertAlign w:val="superscript"/>
          <w:lang w:val="fr-FR"/>
        </w:rPr>
        <w:t>er</w:t>
      </w:r>
      <w:r>
        <w:rPr>
          <w:lang w:val="fr-FR"/>
        </w:rPr>
        <w:t> </w:t>
      </w:r>
      <w:r>
        <w:rPr>
          <w:lang w:val="fr-FR"/>
        </w:rPr>
        <w:t xml:space="preserve">septembre 2023, </w:t>
      </w:r>
      <w:r>
        <w:rPr>
          <w:strike/>
          <w:lang w:val="fr-FR"/>
        </w:rPr>
        <w:t>pour les véhicules dotés d’une chaîne de traction électrique à haute tension</w:t>
      </w:r>
      <w:r>
        <w:rPr>
          <w:lang w:val="fr-FR"/>
        </w:rPr>
        <w:t>.</w:t>
      </w:r>
    </w:p>
    <w:p w14:paraId="1116E802" w14:textId="77777777" w:rsidR="00740248" w:rsidRPr="00416775" w:rsidRDefault="00740248" w:rsidP="00740248">
      <w:pPr>
        <w:pStyle w:val="SingleTxtG"/>
        <w:ind w:left="2268" w:hanging="1134"/>
      </w:pPr>
      <w:r>
        <w:rPr>
          <w:lang w:val="fr-FR"/>
        </w:rPr>
        <w:t>12.3</w:t>
      </w:r>
      <w:r>
        <w:rPr>
          <w:lang w:val="fr-FR"/>
        </w:rPr>
        <w:tab/>
        <w:t xml:space="preserve">Les Parties contractantes appliquant le présent Règlement continueront de reconnaître les homologations de type établies au titre </w:t>
      </w:r>
      <w:r>
        <w:rPr>
          <w:b/>
          <w:bCs/>
          <w:lang w:val="fr-FR"/>
        </w:rPr>
        <w:t>des séries précédentes</w:t>
      </w:r>
      <w:r>
        <w:rPr>
          <w:lang w:val="fr-FR"/>
        </w:rPr>
        <w:t xml:space="preserve"> </w:t>
      </w:r>
      <w:r>
        <w:rPr>
          <w:strike/>
          <w:lang w:val="fr-FR"/>
        </w:rPr>
        <w:t>de la série 01</w:t>
      </w:r>
      <w:r w:rsidRPr="00740248">
        <w:rPr>
          <w:strike/>
          <w:lang w:val="fr-FR"/>
        </w:rPr>
        <w:t xml:space="preserve"> </w:t>
      </w:r>
      <w:r>
        <w:rPr>
          <w:lang w:val="fr-FR"/>
        </w:rPr>
        <w:t xml:space="preserve">d’amendements audit Règlement, </w:t>
      </w:r>
      <w:r>
        <w:rPr>
          <w:b/>
          <w:bCs/>
          <w:lang w:val="fr-FR"/>
        </w:rPr>
        <w:t>délivrées pour la première fois avant le 1</w:t>
      </w:r>
      <w:r w:rsidRPr="00416775">
        <w:rPr>
          <w:b/>
          <w:bCs/>
          <w:vertAlign w:val="superscript"/>
          <w:lang w:val="fr-FR"/>
        </w:rPr>
        <w:t>er</w:t>
      </w:r>
      <w:r w:rsidRPr="00740248">
        <w:rPr>
          <w:lang w:val="fr-FR"/>
        </w:rPr>
        <w:t> </w:t>
      </w:r>
      <w:r>
        <w:rPr>
          <w:b/>
          <w:bCs/>
          <w:lang w:val="fr-FR"/>
        </w:rPr>
        <w:t xml:space="preserve">septembre 2023, </w:t>
      </w:r>
      <w:r>
        <w:rPr>
          <w:strike/>
          <w:lang w:val="fr-FR"/>
        </w:rPr>
        <w:t>pour les véhicules non dotés d’une chaîne de traction électrique à haute tension</w:t>
      </w:r>
      <w:r w:rsidRPr="00740248">
        <w:rPr>
          <w:strike/>
          <w:lang w:val="fr-FR"/>
        </w:rPr>
        <w:t>,</w:t>
      </w:r>
      <w:r>
        <w:rPr>
          <w:b/>
          <w:bCs/>
          <w:lang w:val="fr-FR"/>
        </w:rPr>
        <w:t xml:space="preserve"> sous réserve que les dispositions transitoires énoncées dans lesdites séries d’amendements prévoient cette possibilité.</w:t>
      </w:r>
      <w:r>
        <w:rPr>
          <w:b/>
          <w:bCs/>
          <w:lang w:val="fr-FR"/>
        </w:rPr>
        <w:t> </w:t>
      </w:r>
      <w:r w:rsidRPr="00921EDF">
        <w:rPr>
          <w:lang w:val="fr-FR"/>
        </w:rPr>
        <w:t>».</w:t>
      </w:r>
    </w:p>
    <w:p w14:paraId="36CF5A43" w14:textId="77777777" w:rsidR="00740248" w:rsidRPr="00416775" w:rsidRDefault="00740248" w:rsidP="00740248">
      <w:pPr>
        <w:pStyle w:val="HChG"/>
      </w:pPr>
      <w:r>
        <w:rPr>
          <w:lang w:val="fr-FR"/>
        </w:rPr>
        <w:tab/>
      </w:r>
      <w:r>
        <w:rPr>
          <w:lang w:val="fr-FR"/>
        </w:rPr>
        <w:t>II.</w:t>
      </w:r>
      <w:r>
        <w:rPr>
          <w:lang w:val="fr-FR"/>
        </w:rPr>
        <w:tab/>
        <w:t>Justification</w:t>
      </w:r>
    </w:p>
    <w:p w14:paraId="4BC68565" w14:textId="77777777" w:rsidR="00740248" w:rsidRPr="00416775" w:rsidRDefault="00740248" w:rsidP="00740248">
      <w:pPr>
        <w:pStyle w:val="SingleTxtG"/>
        <w:rPr>
          <w:bdr w:val="none" w:sz="0" w:space="0" w:color="auto" w:frame="1"/>
        </w:rPr>
      </w:pPr>
      <w:r>
        <w:rPr>
          <w:lang w:val="fr-FR"/>
        </w:rPr>
        <w:t>1.</w:t>
      </w:r>
      <w:r>
        <w:rPr>
          <w:lang w:val="fr-FR"/>
        </w:rPr>
        <w:tab/>
        <w:t>Paragraphe 12.2</w:t>
      </w:r>
      <w:r>
        <w:rPr>
          <w:lang w:val="fr-FR"/>
        </w:rPr>
        <w:t> </w:t>
      </w:r>
      <w:r>
        <w:rPr>
          <w:lang w:val="fr-FR"/>
        </w:rPr>
        <w:t>: Dans la mesure où les prescriptions techniques modifiées par la série 02 d’amendements n’ont pas d’incidence sur les caractéristiques des véhicules non électriques, l’homologation des nouveaux modèles de ce type de véhicules au titre de la dernière série (05) est une simple formalité administrative. Il n’est donc pas nécessaire d’élaborer des dispositions transitoires distinctes pour les véhicules électriques et pour ceux qui ne le sont pas, et l’on peut appliquer les dispositions types des directives générales (ECE/TRANS/WP.29/1044/Rev.2).</w:t>
      </w:r>
    </w:p>
    <w:p w14:paraId="19F8515B" w14:textId="77777777" w:rsidR="00740248" w:rsidRPr="00416775" w:rsidRDefault="00740248" w:rsidP="00740248">
      <w:pPr>
        <w:pStyle w:val="SingleTxtG"/>
        <w:rPr>
          <w:bdr w:val="none" w:sz="0" w:space="0" w:color="auto" w:frame="1"/>
        </w:rPr>
      </w:pPr>
      <w:r>
        <w:rPr>
          <w:lang w:val="fr-FR"/>
        </w:rPr>
        <w:t>2.</w:t>
      </w:r>
      <w:r>
        <w:rPr>
          <w:lang w:val="fr-FR"/>
        </w:rPr>
        <w:tab/>
        <w:t>Paragraphe 12.3</w:t>
      </w:r>
      <w:r>
        <w:rPr>
          <w:lang w:val="fr-FR"/>
        </w:rPr>
        <w:t> </w:t>
      </w:r>
      <w:r>
        <w:rPr>
          <w:lang w:val="fr-FR"/>
        </w:rPr>
        <w:t xml:space="preserve">: La série d’amendements visée a pour but d’aligner les prescriptions techniques du Règlement ONU sur celles du RTM ONU </w:t>
      </w:r>
      <w:r w:rsidRPr="00740248">
        <w:rPr>
          <w:rFonts w:eastAsia="MS Mincho"/>
          <w:lang w:val="fr-FR"/>
        </w:rPr>
        <w:t>n</w:t>
      </w:r>
      <w:r w:rsidRPr="00740248">
        <w:rPr>
          <w:rFonts w:eastAsia="MS Mincho"/>
          <w:vertAlign w:val="superscript"/>
          <w:lang w:val="fr-FR"/>
        </w:rPr>
        <w:t>o</w:t>
      </w:r>
      <w:r>
        <w:rPr>
          <w:lang w:val="fr-FR"/>
        </w:rPr>
        <w:t> </w:t>
      </w:r>
      <w:r>
        <w:rPr>
          <w:lang w:val="fr-FR"/>
        </w:rPr>
        <w:t>20, avec quelques améliorations en matière de sécurité. Par conséquent, les homologations accordées avant la date b), soit le 1</w:t>
      </w:r>
      <w:r w:rsidRPr="00416775">
        <w:rPr>
          <w:vertAlign w:val="superscript"/>
          <w:lang w:val="fr-FR"/>
        </w:rPr>
        <w:t>er</w:t>
      </w:r>
      <w:r w:rsidR="00501C06">
        <w:rPr>
          <w:lang w:val="fr-FR"/>
        </w:rPr>
        <w:t> </w:t>
      </w:r>
      <w:r>
        <w:rPr>
          <w:lang w:val="fr-FR"/>
        </w:rPr>
        <w:t>septembre 2023, devraient continuer d’être reconnues.</w:t>
      </w:r>
    </w:p>
    <w:p w14:paraId="6655C57B" w14:textId="77777777" w:rsidR="00740248" w:rsidRPr="00416775" w:rsidRDefault="00740248" w:rsidP="00740248">
      <w:pPr>
        <w:pStyle w:val="SingleTxtG"/>
        <w:rPr>
          <w:bdr w:val="none" w:sz="0" w:space="0" w:color="auto" w:frame="1"/>
        </w:rPr>
      </w:pPr>
      <w:r>
        <w:rPr>
          <w:lang w:val="fr-FR"/>
        </w:rPr>
        <w:t>3.</w:t>
      </w:r>
      <w:r>
        <w:rPr>
          <w:lang w:val="fr-FR"/>
        </w:rPr>
        <w:tab/>
        <w:t>Le paragraphe 12.3 tel que proposé est en principe conforme à la disposition type V.8 de la directive générale. Cependant, il est difficile de savoir si les termes « the preceding series » dans la version anglaise renvoient à une ou plusieurs séries. Étant entendu qu’il faut comprendre cette expression comme désignant «l’une quelconque des séries précédentes », le membre de phrase supplémentaire « sous réserve que les dispositions transitoires... » a pour objet de préciser que les possibilités offertes par les précédentes séries d’amendements sont toujours valables.</w:t>
      </w:r>
    </w:p>
    <w:p w14:paraId="0385ED15" w14:textId="77777777" w:rsidR="00740248" w:rsidRPr="00416775" w:rsidRDefault="00740248" w:rsidP="00501C06">
      <w:pPr>
        <w:pStyle w:val="SingleTxtG"/>
        <w:keepNext/>
        <w:rPr>
          <w:bdr w:val="none" w:sz="0" w:space="0" w:color="auto" w:frame="1"/>
        </w:rPr>
      </w:pPr>
      <w:r>
        <w:rPr>
          <w:lang w:val="fr-FR"/>
        </w:rPr>
        <w:t>4.</w:t>
      </w:r>
      <w:r>
        <w:rPr>
          <w:lang w:val="fr-FR"/>
        </w:rPr>
        <w:tab/>
        <w:t xml:space="preserve">S’agissant du Règlement ONU </w:t>
      </w:r>
      <w:r w:rsidR="00501C06" w:rsidRPr="00501C06">
        <w:rPr>
          <w:rFonts w:eastAsia="MS Mincho"/>
          <w:lang w:val="fr-FR"/>
        </w:rPr>
        <w:t>n</w:t>
      </w:r>
      <w:r w:rsidR="00501C06" w:rsidRPr="00501C06">
        <w:rPr>
          <w:rFonts w:eastAsia="MS Mincho"/>
          <w:vertAlign w:val="superscript"/>
          <w:lang w:val="fr-FR"/>
        </w:rPr>
        <w:t>o</w:t>
      </w:r>
      <w:r w:rsidR="00501C06">
        <w:rPr>
          <w:lang w:val="fr-FR"/>
        </w:rPr>
        <w:t> </w:t>
      </w:r>
      <w:r>
        <w:rPr>
          <w:lang w:val="fr-FR"/>
        </w:rPr>
        <w:t>137, les possibilités suivantes sont prévues</w:t>
      </w:r>
      <w:r w:rsidR="00501C06">
        <w:rPr>
          <w:lang w:val="fr-FR"/>
        </w:rPr>
        <w:t> </w:t>
      </w:r>
      <w:r>
        <w:rPr>
          <w:lang w:val="fr-FR"/>
        </w:rPr>
        <w:t xml:space="preserve">: </w:t>
      </w:r>
    </w:p>
    <w:p w14:paraId="43E4F999" w14:textId="77777777" w:rsidR="00740248" w:rsidRPr="00416775" w:rsidRDefault="00740248" w:rsidP="00501C06">
      <w:pPr>
        <w:pStyle w:val="SingleTxtG"/>
        <w:ind w:firstLine="567"/>
        <w:rPr>
          <w:bdr w:val="none" w:sz="0" w:space="0" w:color="auto" w:frame="1"/>
        </w:rPr>
      </w:pPr>
      <w:r>
        <w:rPr>
          <w:lang w:val="fr-FR"/>
        </w:rPr>
        <w:t>a)</w:t>
      </w:r>
      <w:r>
        <w:rPr>
          <w:lang w:val="fr-FR"/>
        </w:rPr>
        <w:tab/>
        <w:t xml:space="preserve"> S</w:t>
      </w:r>
      <w:r w:rsidRPr="00845502">
        <w:rPr>
          <w:lang w:val="fr-FR"/>
        </w:rPr>
        <w:t>érie 01 d</w:t>
      </w:r>
      <w:r>
        <w:rPr>
          <w:lang w:val="fr-FR"/>
        </w:rPr>
        <w:t>’</w:t>
      </w:r>
      <w:r w:rsidRPr="00845502">
        <w:rPr>
          <w:lang w:val="fr-FR"/>
        </w:rPr>
        <w:t>amendements</w:t>
      </w:r>
      <w:r>
        <w:rPr>
          <w:lang w:val="fr-FR"/>
        </w:rPr>
        <w:t> : introduction d’une compression thoracique de 34</w:t>
      </w:r>
      <w:r w:rsidR="00501C06">
        <w:rPr>
          <w:lang w:val="fr-FR"/>
        </w:rPr>
        <w:t> </w:t>
      </w:r>
      <w:r>
        <w:rPr>
          <w:lang w:val="fr-FR"/>
        </w:rPr>
        <w:t>mm pour les nouveaux modèles seulement (véhicules électriques et véhicules non électriques)</w:t>
      </w:r>
      <w:r w:rsidR="00501C06">
        <w:rPr>
          <w:lang w:val="fr-FR"/>
        </w:rPr>
        <w:t> ;</w:t>
      </w:r>
    </w:p>
    <w:p w14:paraId="42483A8C" w14:textId="77777777" w:rsidR="00740248" w:rsidRPr="00416775" w:rsidRDefault="00740248" w:rsidP="00501C06">
      <w:pPr>
        <w:pStyle w:val="SingleTxtG"/>
        <w:ind w:firstLine="567"/>
        <w:rPr>
          <w:bdr w:val="none" w:sz="0" w:space="0" w:color="auto" w:frame="1"/>
        </w:rPr>
      </w:pPr>
      <w:r>
        <w:rPr>
          <w:lang w:val="fr-FR"/>
        </w:rPr>
        <w:t>b)</w:t>
      </w:r>
      <w:r>
        <w:rPr>
          <w:lang w:val="fr-FR"/>
        </w:rPr>
        <w:tab/>
        <w:t xml:space="preserve">Les homologations délivrées au titre de la version initiale du Règlement ONU </w:t>
      </w:r>
      <w:r w:rsidR="00501C06" w:rsidRPr="00501C06">
        <w:rPr>
          <w:rFonts w:eastAsia="MS Mincho"/>
          <w:lang w:val="fr-FR"/>
        </w:rPr>
        <w:t>n</w:t>
      </w:r>
      <w:r w:rsidR="00501C06" w:rsidRPr="00501C06">
        <w:rPr>
          <w:rFonts w:eastAsia="MS Mincho"/>
          <w:vertAlign w:val="superscript"/>
          <w:lang w:val="fr-FR"/>
        </w:rPr>
        <w:t>o</w:t>
      </w:r>
      <w:r w:rsidR="00501C06">
        <w:rPr>
          <w:lang w:val="fr-FR"/>
        </w:rPr>
        <w:t> </w:t>
      </w:r>
      <w:r>
        <w:rPr>
          <w:lang w:val="fr-FR"/>
        </w:rPr>
        <w:t>137 continuent d’être acceptées si elles ont été accordées avant le 1</w:t>
      </w:r>
      <w:r w:rsidRPr="00501C06">
        <w:rPr>
          <w:vertAlign w:val="superscript"/>
          <w:lang w:val="fr-FR"/>
        </w:rPr>
        <w:t>er</w:t>
      </w:r>
      <w:r w:rsidR="00501C06">
        <w:rPr>
          <w:lang w:val="fr-FR"/>
        </w:rPr>
        <w:t> </w:t>
      </w:r>
      <w:r>
        <w:rPr>
          <w:lang w:val="fr-FR"/>
        </w:rPr>
        <w:t>septembre 2020.</w:t>
      </w:r>
    </w:p>
    <w:p w14:paraId="67FAF023" w14:textId="77777777" w:rsidR="00F9573C" w:rsidRDefault="00740248" w:rsidP="00501C06">
      <w:pPr>
        <w:pStyle w:val="SingleTxtG"/>
        <w:rPr>
          <w:lang w:val="fr-FR"/>
        </w:rPr>
      </w:pPr>
      <w:r>
        <w:rPr>
          <w:lang w:val="fr-FR"/>
        </w:rPr>
        <w:t>5.</w:t>
      </w:r>
      <w:r>
        <w:rPr>
          <w:lang w:val="fr-FR"/>
        </w:rPr>
        <w:tab/>
        <w:t xml:space="preserve">L’OICA suggère d’utiliser le même libellé que celui qui a été adopté par le GRSP pour le Règlement ONU </w:t>
      </w:r>
      <w:r w:rsidR="00501C06" w:rsidRPr="00501C06">
        <w:rPr>
          <w:rFonts w:eastAsia="MS Mincho"/>
          <w:lang w:val="fr-FR"/>
        </w:rPr>
        <w:t>n</w:t>
      </w:r>
      <w:r w:rsidR="00501C06" w:rsidRPr="00501C06">
        <w:rPr>
          <w:rFonts w:eastAsia="MS Mincho"/>
          <w:vertAlign w:val="superscript"/>
          <w:lang w:val="fr-FR"/>
        </w:rPr>
        <w:t>o</w:t>
      </w:r>
      <w:r w:rsidR="00501C06">
        <w:rPr>
          <w:lang w:val="fr-FR"/>
        </w:rPr>
        <w:t> </w:t>
      </w:r>
      <w:bookmarkStart w:id="0" w:name="_GoBack"/>
      <w:bookmarkEnd w:id="0"/>
      <w:r>
        <w:rPr>
          <w:lang w:val="fr-FR"/>
        </w:rPr>
        <w:t>94.</w:t>
      </w:r>
    </w:p>
    <w:p w14:paraId="20DB6268" w14:textId="77777777" w:rsidR="00740248" w:rsidRPr="00740248" w:rsidRDefault="00740248" w:rsidP="00740248">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740248" w:rsidRPr="00740248" w:rsidSect="0045750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3DD1D" w14:textId="77777777" w:rsidR="00BB4C36" w:rsidRDefault="00BB4C36" w:rsidP="00F95C08">
      <w:pPr>
        <w:spacing w:line="240" w:lineRule="auto"/>
      </w:pPr>
    </w:p>
  </w:endnote>
  <w:endnote w:type="continuationSeparator" w:id="0">
    <w:p w14:paraId="2517CEBE" w14:textId="77777777" w:rsidR="00BB4C36" w:rsidRPr="00AC3823" w:rsidRDefault="00BB4C36" w:rsidP="00AC3823">
      <w:pPr>
        <w:pStyle w:val="Pieddepage"/>
      </w:pPr>
    </w:p>
  </w:endnote>
  <w:endnote w:type="continuationNotice" w:id="1">
    <w:p w14:paraId="7F6000BF" w14:textId="77777777" w:rsidR="00BB4C36" w:rsidRDefault="00BB4C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BA36" w14:textId="77777777" w:rsidR="00457504" w:rsidRPr="00457504" w:rsidRDefault="00457504" w:rsidP="00457504">
    <w:pPr>
      <w:pStyle w:val="Pieddepage"/>
      <w:tabs>
        <w:tab w:val="right" w:pos="9638"/>
      </w:tabs>
    </w:pPr>
    <w:r w:rsidRPr="00457504">
      <w:rPr>
        <w:b/>
        <w:sz w:val="18"/>
      </w:rPr>
      <w:fldChar w:fldCharType="begin"/>
    </w:r>
    <w:r w:rsidRPr="00457504">
      <w:rPr>
        <w:b/>
        <w:sz w:val="18"/>
      </w:rPr>
      <w:instrText xml:space="preserve"> PAGE  \* MERGEFORMAT </w:instrText>
    </w:r>
    <w:r w:rsidRPr="00457504">
      <w:rPr>
        <w:b/>
        <w:sz w:val="18"/>
      </w:rPr>
      <w:fldChar w:fldCharType="separate"/>
    </w:r>
    <w:r w:rsidRPr="00457504">
      <w:rPr>
        <w:b/>
        <w:noProof/>
        <w:sz w:val="18"/>
      </w:rPr>
      <w:t>2</w:t>
    </w:r>
    <w:r w:rsidRPr="00457504">
      <w:rPr>
        <w:b/>
        <w:sz w:val="18"/>
      </w:rPr>
      <w:fldChar w:fldCharType="end"/>
    </w:r>
    <w:r>
      <w:rPr>
        <w:b/>
        <w:sz w:val="18"/>
      </w:rPr>
      <w:tab/>
    </w:r>
    <w:r>
      <w:t>GE.20-12388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556BD" w14:textId="77777777" w:rsidR="00457504" w:rsidRPr="00457504" w:rsidRDefault="00457504" w:rsidP="00457504">
    <w:pPr>
      <w:pStyle w:val="Pieddepage"/>
      <w:tabs>
        <w:tab w:val="right" w:pos="9638"/>
      </w:tabs>
      <w:rPr>
        <w:b/>
        <w:sz w:val="18"/>
      </w:rPr>
    </w:pPr>
    <w:r>
      <w:t>GE.20-12388</w:t>
    </w:r>
    <w:r>
      <w:tab/>
    </w:r>
    <w:r w:rsidRPr="00457504">
      <w:rPr>
        <w:b/>
        <w:sz w:val="18"/>
      </w:rPr>
      <w:fldChar w:fldCharType="begin"/>
    </w:r>
    <w:r w:rsidRPr="00457504">
      <w:rPr>
        <w:b/>
        <w:sz w:val="18"/>
      </w:rPr>
      <w:instrText xml:space="preserve"> PAGE  \* MERGEFORMAT </w:instrText>
    </w:r>
    <w:r w:rsidRPr="00457504">
      <w:rPr>
        <w:b/>
        <w:sz w:val="18"/>
      </w:rPr>
      <w:fldChar w:fldCharType="separate"/>
    </w:r>
    <w:r w:rsidRPr="00457504">
      <w:rPr>
        <w:b/>
        <w:noProof/>
        <w:sz w:val="18"/>
      </w:rPr>
      <w:t>3</w:t>
    </w:r>
    <w:r w:rsidRPr="0045750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9BC2B" w14:textId="77777777" w:rsidR="007F20FA" w:rsidRPr="00457504" w:rsidRDefault="00457504" w:rsidP="00457504">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925DEBA" wp14:editId="5CDE3B8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20-12388  (F)    191020    191020</w:t>
    </w:r>
    <w:r>
      <w:rPr>
        <w:sz w:val="20"/>
      </w:rPr>
      <w:br/>
    </w:r>
    <w:r w:rsidRPr="00457504">
      <w:rPr>
        <w:rFonts w:ascii="C39T30Lfz" w:hAnsi="C39T30Lfz"/>
        <w:sz w:val="56"/>
      </w:rPr>
      <w:t>*2012388*</w:t>
    </w:r>
    <w:r>
      <w:rPr>
        <w:noProof/>
        <w:sz w:val="20"/>
      </w:rPr>
      <w:drawing>
        <wp:anchor distT="0" distB="0" distL="114300" distR="114300" simplePos="0" relativeHeight="251658240" behindDoc="0" locked="0" layoutInCell="1" allowOverlap="1" wp14:anchorId="78A5F996" wp14:editId="1264F49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3A748" w14:textId="77777777" w:rsidR="00BB4C36" w:rsidRPr="00AC3823" w:rsidRDefault="00BB4C36" w:rsidP="00AC3823">
      <w:pPr>
        <w:pStyle w:val="Pieddepage"/>
        <w:tabs>
          <w:tab w:val="right" w:pos="2155"/>
        </w:tabs>
        <w:spacing w:after="80" w:line="240" w:lineRule="atLeast"/>
        <w:ind w:left="680"/>
        <w:rPr>
          <w:u w:val="single"/>
        </w:rPr>
      </w:pPr>
      <w:r>
        <w:rPr>
          <w:u w:val="single"/>
        </w:rPr>
        <w:tab/>
      </w:r>
    </w:p>
  </w:footnote>
  <w:footnote w:type="continuationSeparator" w:id="0">
    <w:p w14:paraId="7C7BD380" w14:textId="77777777" w:rsidR="00BB4C36" w:rsidRPr="00AC3823" w:rsidRDefault="00BB4C36" w:rsidP="00AC3823">
      <w:pPr>
        <w:pStyle w:val="Pieddepage"/>
        <w:tabs>
          <w:tab w:val="right" w:pos="2155"/>
        </w:tabs>
        <w:spacing w:after="80" w:line="240" w:lineRule="atLeast"/>
        <w:ind w:left="680"/>
        <w:rPr>
          <w:u w:val="single"/>
        </w:rPr>
      </w:pPr>
      <w:r>
        <w:rPr>
          <w:u w:val="single"/>
        </w:rPr>
        <w:tab/>
      </w:r>
    </w:p>
  </w:footnote>
  <w:footnote w:type="continuationNotice" w:id="1">
    <w:p w14:paraId="4E67B1B2" w14:textId="77777777" w:rsidR="00BB4C36" w:rsidRPr="00AC3823" w:rsidRDefault="00BB4C36">
      <w:pPr>
        <w:spacing w:line="240" w:lineRule="auto"/>
        <w:rPr>
          <w:sz w:val="2"/>
          <w:szCs w:val="2"/>
        </w:rPr>
      </w:pPr>
    </w:p>
  </w:footnote>
  <w:footnote w:id="2">
    <w:p w14:paraId="460728EE" w14:textId="77777777" w:rsidR="00740248" w:rsidRPr="00416775" w:rsidRDefault="00740248" w:rsidP="00740248">
      <w:pPr>
        <w:pStyle w:val="Notedebasdepage"/>
      </w:pPr>
      <w:r>
        <w:rPr>
          <w:lang w:val="fr-FR"/>
        </w:rPr>
        <w:tab/>
      </w:r>
      <w:r w:rsidRPr="00740248">
        <w:rPr>
          <w:sz w:val="20"/>
          <w:lang w:val="fr-FR"/>
        </w:rPr>
        <w:t>*</w:t>
      </w:r>
      <w:r>
        <w:rPr>
          <w:lang w:val="fr-FR"/>
        </w:rPr>
        <w:tab/>
        <w:t>Conformément au programme de travail du Comité des transports intérieurs pour 2020 tel qu’il figure dans le projet de budget-programme pour 2020 (A/74/6 (titre</w:t>
      </w:r>
      <w:r w:rsidRPr="00740248">
        <w:rPr>
          <w:lang w:val="fr-FR"/>
        </w:rPr>
        <w:t> </w:t>
      </w:r>
      <w:r>
        <w:rPr>
          <w:lang w:val="fr-FR"/>
        </w:rPr>
        <w:t>V, chap.</w:t>
      </w:r>
      <w:r w:rsidRPr="00740248">
        <w:rPr>
          <w:lang w:val="fr-FR"/>
        </w:rPr>
        <w:t> </w:t>
      </w:r>
      <w:r>
        <w:rPr>
          <w:lang w:val="fr-FR"/>
        </w:rPr>
        <w:t>20), par.</w:t>
      </w:r>
      <w:r w:rsidRPr="00740248">
        <w:rPr>
          <w:lang w:val="fr-FR"/>
        </w:rPr>
        <w:t> </w:t>
      </w:r>
      <w:r>
        <w:rPr>
          <w:lang w:val="fr-FR"/>
        </w:rPr>
        <w:t xml:space="preserve">20.37), le Forum mondial a pour mission d’élaborer, d’harmoniser et de mettre à jour les Règlements ONU en vue d’améliorer les caractéristiques fonctionnelles des véhicules. Le présent document est soumis en vertu de ce mandat.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6235" w14:textId="6B4E6554" w:rsidR="00457504" w:rsidRPr="00457504" w:rsidRDefault="00457504">
    <w:pPr>
      <w:pStyle w:val="En-tte"/>
    </w:pPr>
    <w:fldSimple w:instr=" TITLE  \* MERGEFORMAT ">
      <w:r w:rsidR="00CD315A">
        <w:t>ECE/TRANS/WP.29/GRSP/2020/14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DB9DA" w14:textId="38F370E7" w:rsidR="00457504" w:rsidRPr="00457504" w:rsidRDefault="00457504" w:rsidP="00457504">
    <w:pPr>
      <w:pStyle w:val="En-tte"/>
      <w:jc w:val="right"/>
    </w:pPr>
    <w:fldSimple w:instr=" TITLE  \* MERGEFORMAT ">
      <w:r w:rsidR="00CD315A">
        <w:t>ECE/TRANS/WP.29/GRSP/2020/14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revisionView w:inkAnnotation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B4C36"/>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21996"/>
    <w:rsid w:val="00441C3B"/>
    <w:rsid w:val="00446FE5"/>
    <w:rsid w:val="00452396"/>
    <w:rsid w:val="00457504"/>
    <w:rsid w:val="004837D8"/>
    <w:rsid w:val="004E2EED"/>
    <w:rsid w:val="004E468C"/>
    <w:rsid w:val="00501C06"/>
    <w:rsid w:val="005505B7"/>
    <w:rsid w:val="00573BE5"/>
    <w:rsid w:val="00586ED3"/>
    <w:rsid w:val="00596AA9"/>
    <w:rsid w:val="0071601D"/>
    <w:rsid w:val="00740248"/>
    <w:rsid w:val="007A62E6"/>
    <w:rsid w:val="007F20FA"/>
    <w:rsid w:val="0080684C"/>
    <w:rsid w:val="00871C75"/>
    <w:rsid w:val="008776DC"/>
    <w:rsid w:val="008C658C"/>
    <w:rsid w:val="009446C0"/>
    <w:rsid w:val="009705C8"/>
    <w:rsid w:val="009C1CF4"/>
    <w:rsid w:val="009F6B74"/>
    <w:rsid w:val="00A3029F"/>
    <w:rsid w:val="00A30353"/>
    <w:rsid w:val="00AC3823"/>
    <w:rsid w:val="00AE323C"/>
    <w:rsid w:val="00AF0CB5"/>
    <w:rsid w:val="00B00181"/>
    <w:rsid w:val="00B00B0D"/>
    <w:rsid w:val="00B45F2E"/>
    <w:rsid w:val="00B765F7"/>
    <w:rsid w:val="00BA0CA9"/>
    <w:rsid w:val="00BB4C36"/>
    <w:rsid w:val="00C02897"/>
    <w:rsid w:val="00C97039"/>
    <w:rsid w:val="00CD315A"/>
    <w:rsid w:val="00D3439C"/>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C91F97"/>
  <w15:docId w15:val="{5475F11A-E8DC-4B4A-88F8-C24864CA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740248"/>
    <w:rPr>
      <w:rFonts w:ascii="Times New Roman" w:eastAsiaTheme="minorHAnsi" w:hAnsi="Times New Roman" w:cs="Times New Roman"/>
      <w:sz w:val="20"/>
      <w:szCs w:val="20"/>
      <w:lang w:eastAsia="en-US"/>
    </w:rPr>
  </w:style>
  <w:style w:type="character" w:customStyle="1" w:styleId="HChGChar">
    <w:name w:val="_ H _Ch_G Char"/>
    <w:link w:val="HChG"/>
    <w:rsid w:val="00740248"/>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541</Words>
  <Characters>3789</Characters>
  <Application>Microsoft Office Word</Application>
  <DocSecurity>0</DocSecurity>
  <Lines>315</Lines>
  <Paragraphs>173</Paragraphs>
  <ScaleCrop>false</ScaleCrop>
  <HeadingPairs>
    <vt:vector size="2" baseType="variant">
      <vt:variant>
        <vt:lpstr>Titre</vt:lpstr>
      </vt:variant>
      <vt:variant>
        <vt:i4>1</vt:i4>
      </vt:variant>
    </vt:vector>
  </HeadingPairs>
  <TitlesOfParts>
    <vt:vector size="1" baseType="lpstr">
      <vt:lpstr>ECE/TRANS/WP.29/GRSP/2020/14</vt:lpstr>
    </vt:vector>
  </TitlesOfParts>
  <Company>DCM</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ECE/TRANS/WP.29/GRSP/2020/14</dc:title>
  <dc:subject/>
  <dc:creator>Nathalie VITTOZ</dc:creator>
  <cp:keywords/>
  <cp:lastModifiedBy>Nathalie Vittoz</cp:lastModifiedBy>
  <cp:revision>3</cp:revision>
  <cp:lastPrinted>2020-10-19T10:00:00Z</cp:lastPrinted>
  <dcterms:created xsi:type="dcterms:W3CDTF">2020-10-19T10:00:00Z</dcterms:created>
  <dcterms:modified xsi:type="dcterms:W3CDTF">2020-10-19T10:00:00Z</dcterms:modified>
</cp:coreProperties>
</file>