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36C4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36C43" w:rsidP="00F36C43">
            <w:pPr>
              <w:jc w:val="right"/>
            </w:pPr>
            <w:r w:rsidRPr="00F36C43">
              <w:rPr>
                <w:sz w:val="40"/>
              </w:rPr>
              <w:t>ECE</w:t>
            </w:r>
            <w:r>
              <w:t>/TRANS/WP.29/GRSP/2020/10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36C43" w:rsidP="00C97039">
            <w:pPr>
              <w:spacing w:before="240"/>
            </w:pPr>
            <w:r>
              <w:t>Distr. générale</w:t>
            </w:r>
          </w:p>
          <w:p w:rsidR="00F36C43" w:rsidRDefault="00F36C43" w:rsidP="00F36C43">
            <w:pPr>
              <w:spacing w:line="240" w:lineRule="exact"/>
            </w:pPr>
            <w:r>
              <w:t>20 février 2020</w:t>
            </w:r>
          </w:p>
          <w:p w:rsidR="00F36C43" w:rsidRDefault="00F36C43" w:rsidP="00F36C43">
            <w:pPr>
              <w:spacing w:line="240" w:lineRule="exact"/>
            </w:pPr>
            <w:r>
              <w:t>Français</w:t>
            </w:r>
          </w:p>
          <w:p w:rsidR="00F36C43" w:rsidRPr="00DB58B5" w:rsidRDefault="00F36C43" w:rsidP="00F36C4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36C43" w:rsidRDefault="00F36C4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36C43" w:rsidRDefault="00F36C43" w:rsidP="00257168">
      <w:pPr>
        <w:spacing w:before="120" w:after="120" w:line="240" w:lineRule="exact"/>
        <w:rPr>
          <w:b/>
        </w:rPr>
      </w:pPr>
      <w:r>
        <w:rPr>
          <w:b/>
        </w:rPr>
        <w:t>Groupe de travail de la sécurité passive</w:t>
      </w:r>
    </w:p>
    <w:p w:rsidR="00F36C43" w:rsidRPr="00C46AD2" w:rsidRDefault="00F36C43" w:rsidP="00F36C43">
      <w:pPr>
        <w:spacing w:line="240" w:lineRule="auto"/>
        <w:rPr>
          <w:b/>
          <w:szCs w:val="24"/>
        </w:rPr>
      </w:pPr>
      <w:r w:rsidRPr="00C46AD2">
        <w:rPr>
          <w:b/>
          <w:szCs w:val="24"/>
        </w:rPr>
        <w:t>Soixante-septième session</w:t>
      </w:r>
    </w:p>
    <w:p w:rsidR="00F36C43" w:rsidRPr="00C46AD2" w:rsidRDefault="00F36C43" w:rsidP="00F36C43">
      <w:pPr>
        <w:spacing w:line="240" w:lineRule="auto"/>
        <w:rPr>
          <w:bCs/>
          <w:szCs w:val="24"/>
        </w:rPr>
      </w:pPr>
      <w:r w:rsidRPr="00C46AD2">
        <w:rPr>
          <w:bCs/>
          <w:szCs w:val="24"/>
        </w:rPr>
        <w:t>Genève, 11-15 mai 2020</w:t>
      </w:r>
    </w:p>
    <w:p w:rsidR="00F36C43" w:rsidRPr="00C46AD2" w:rsidRDefault="00F36C43" w:rsidP="00F36C43">
      <w:pPr>
        <w:spacing w:line="240" w:lineRule="auto"/>
        <w:rPr>
          <w:bCs/>
          <w:szCs w:val="24"/>
        </w:rPr>
      </w:pPr>
      <w:r w:rsidRPr="00C46AD2">
        <w:rPr>
          <w:bCs/>
          <w:szCs w:val="24"/>
        </w:rPr>
        <w:t>Point</w:t>
      </w:r>
      <w:r>
        <w:rPr>
          <w:bCs/>
          <w:szCs w:val="24"/>
        </w:rPr>
        <w:t> </w:t>
      </w:r>
      <w:r w:rsidRPr="00C46AD2">
        <w:rPr>
          <w:bCs/>
          <w:szCs w:val="24"/>
        </w:rPr>
        <w:t>14 de l’ordre du jour provisoire</w:t>
      </w:r>
    </w:p>
    <w:p w:rsidR="00F36C43" w:rsidRDefault="00F36C43" w:rsidP="00F36C43">
      <w:pPr>
        <w:spacing w:line="240" w:lineRule="exact"/>
      </w:pPr>
      <w:r w:rsidRPr="00C46AD2">
        <w:rPr>
          <w:b/>
          <w:szCs w:val="24"/>
        </w:rPr>
        <w:t xml:space="preserve">Règlement ONU </w:t>
      </w:r>
      <w:r w:rsidRPr="00F36C43">
        <w:rPr>
          <w:rFonts w:eastAsia="MS Mincho"/>
          <w:b/>
          <w:szCs w:val="22"/>
        </w:rPr>
        <w:t>n</w:t>
      </w:r>
      <w:r w:rsidRPr="00F36C43">
        <w:rPr>
          <w:rFonts w:eastAsia="MS Mincho"/>
          <w:b/>
          <w:szCs w:val="22"/>
          <w:vertAlign w:val="superscript"/>
        </w:rPr>
        <w:t>o</w:t>
      </w:r>
      <w:r>
        <w:rPr>
          <w:b/>
          <w:szCs w:val="24"/>
        </w:rPr>
        <w:t> </w:t>
      </w:r>
      <w:r w:rsidRPr="00C46AD2">
        <w:rPr>
          <w:b/>
          <w:szCs w:val="24"/>
        </w:rPr>
        <w:t>134 (Véhicules à hydrogène et à pile à combustible)</w:t>
      </w:r>
    </w:p>
    <w:p w:rsidR="00F36C43" w:rsidRPr="00F36C43" w:rsidRDefault="00F36C43" w:rsidP="00F36C43">
      <w:pPr>
        <w:pStyle w:val="HChG"/>
        <w:rPr>
          <w:lang w:val="fr-FR"/>
        </w:rPr>
      </w:pPr>
      <w:bookmarkStart w:id="0" w:name="_Hlk35244400"/>
      <w:r>
        <w:rPr>
          <w:lang w:val="fr-FR"/>
        </w:rPr>
        <w:tab/>
      </w:r>
      <w:r>
        <w:rPr>
          <w:lang w:val="fr-FR"/>
        </w:rPr>
        <w:tab/>
      </w:r>
      <w:r w:rsidRPr="00F36C43">
        <w:rPr>
          <w:lang w:val="fr-FR"/>
        </w:rPr>
        <w:t>Proposition de série</w:t>
      </w:r>
      <w:r>
        <w:rPr>
          <w:lang w:val="fr-FR"/>
        </w:rPr>
        <w:t> </w:t>
      </w:r>
      <w:r w:rsidRPr="00F36C43">
        <w:rPr>
          <w:lang w:val="fr-FR"/>
        </w:rPr>
        <w:t>01 d’amendements au Règlement n</w:t>
      </w:r>
      <w:r w:rsidRPr="00F36C43">
        <w:rPr>
          <w:vertAlign w:val="superscript"/>
          <w:lang w:val="fr-FR"/>
        </w:rPr>
        <w:t>o</w:t>
      </w:r>
      <w:r w:rsidRPr="00F36C43">
        <w:rPr>
          <w:lang w:val="fr-FR"/>
        </w:rPr>
        <w:t> 134 (Véhicules à hydrogène et à pile à combustible)</w:t>
      </w:r>
    </w:p>
    <w:p w:rsidR="00F36C43" w:rsidRPr="00F36C43" w:rsidRDefault="00F36C43" w:rsidP="00F82463">
      <w:pPr>
        <w:pStyle w:val="H1G"/>
        <w:rPr>
          <w:lang w:val="fr-FR"/>
        </w:rPr>
      </w:pPr>
      <w:r>
        <w:rPr>
          <w:lang w:val="fr-FR"/>
        </w:rPr>
        <w:tab/>
      </w:r>
      <w:r>
        <w:rPr>
          <w:lang w:val="fr-FR"/>
        </w:rPr>
        <w:tab/>
      </w:r>
      <w:r w:rsidRPr="00F36C43">
        <w:rPr>
          <w:lang w:val="fr-FR"/>
        </w:rPr>
        <w:t>Communication de l’expert des Pays-Bas</w:t>
      </w:r>
      <w:r w:rsidRPr="00F82463">
        <w:rPr>
          <w:b w:val="0"/>
          <w:sz w:val="20"/>
        </w:rPr>
        <w:footnoteReference w:customMarkFollows="1" w:id="2"/>
        <w:t>*</w:t>
      </w:r>
    </w:p>
    <w:p w:rsidR="00F36C43" w:rsidRPr="00F36C43" w:rsidRDefault="00F36C43" w:rsidP="00F36C43">
      <w:pPr>
        <w:pStyle w:val="SingleTxtG"/>
        <w:ind w:firstLine="567"/>
        <w:rPr>
          <w:lang w:val="fr-FR"/>
        </w:rPr>
      </w:pPr>
      <w:r w:rsidRPr="00F36C43">
        <w:rPr>
          <w:lang w:val="fr-FR"/>
        </w:rPr>
        <w:t>Le texte ci-après, établi par l’expert des Pays-Bas, vise à parvenir à une signalisation des autobus et des camions fonctionnant à l’hydrogène qui soit conforme à celle des autobus fonctionnant au gaz de pétrole liquéfié (GPL), au gaz naturel comprimé (GNC) et au gaz naturel liquéfié (GNL), qui figure déjà dans des règlements existants. Il est fondé sur les documents informels GRSP-66-05 et GRSP-66-40, qui ont été distribués à la soixante-sixième session du Groupe de travail de la sécurité passive (GRSP) (voir le document ECE/TRANS/WP.29/GRSP/66, par.</w:t>
      </w:r>
      <w:r>
        <w:rPr>
          <w:lang w:val="fr-FR"/>
        </w:rPr>
        <w:t> </w:t>
      </w:r>
      <w:r w:rsidRPr="00F36C43">
        <w:rPr>
          <w:lang w:val="fr-FR"/>
        </w:rPr>
        <w:t>42). Les</w:t>
      </w:r>
      <w:r>
        <w:rPr>
          <w:lang w:val="fr-FR"/>
        </w:rPr>
        <w:t> </w:t>
      </w:r>
      <w:r w:rsidRPr="00F36C43">
        <w:rPr>
          <w:lang w:val="fr-FR"/>
        </w:rPr>
        <w:t>modifications qu’il est proposé d’apporter au texte actuel du Règlement ONU figurent en caractères gras pour les ajouts et biffés pour les suppressions.</w:t>
      </w:r>
    </w:p>
    <w:p w:rsidR="00F36C43" w:rsidRPr="00F36C43" w:rsidRDefault="00F36C43" w:rsidP="00F36C43">
      <w:pPr>
        <w:pStyle w:val="HChG"/>
        <w:rPr>
          <w:lang w:val="fr-FR"/>
        </w:rPr>
      </w:pPr>
      <w:r w:rsidRPr="00F36C43">
        <w:rPr>
          <w:lang w:val="fr-FR"/>
        </w:rPr>
        <w:br w:type="page"/>
      </w:r>
      <w:r w:rsidRPr="00F36C43">
        <w:rPr>
          <w:lang w:val="fr-FR"/>
        </w:rPr>
        <w:lastRenderedPageBreak/>
        <w:tab/>
        <w:t>I.</w:t>
      </w:r>
      <w:r w:rsidRPr="00F36C43">
        <w:rPr>
          <w:lang w:val="fr-FR"/>
        </w:rPr>
        <w:tab/>
        <w:t>Proposition</w:t>
      </w:r>
    </w:p>
    <w:p w:rsidR="00F36C43" w:rsidRPr="00F36C43" w:rsidRDefault="00F36C43" w:rsidP="00F36C43">
      <w:pPr>
        <w:pStyle w:val="SingleTxtG"/>
        <w:rPr>
          <w:i/>
          <w:lang w:val="fr-FR"/>
        </w:rPr>
      </w:pPr>
      <w:r w:rsidRPr="00F36C43">
        <w:rPr>
          <w:i/>
          <w:iCs/>
          <w:lang w:val="fr-FR"/>
        </w:rPr>
        <w:t>Table des matières, liste des annexes</w:t>
      </w:r>
      <w:r w:rsidRPr="00F36C43">
        <w:rPr>
          <w:lang w:val="fr-FR"/>
        </w:rPr>
        <w:t>,</w:t>
      </w:r>
      <w:r w:rsidRPr="00F36C43">
        <w:rPr>
          <w:i/>
          <w:lang w:val="fr-FR"/>
        </w:rPr>
        <w:t xml:space="preserve"> </w:t>
      </w:r>
      <w:r w:rsidRPr="00F36C43">
        <w:rPr>
          <w:iCs/>
          <w:lang w:val="fr-FR"/>
        </w:rPr>
        <w:t>lire</w:t>
      </w:r>
      <w:r>
        <w:rPr>
          <w:iCs/>
          <w:lang w:val="fr-FR"/>
        </w:rPr>
        <w:t> :</w:t>
      </w:r>
    </w:p>
    <w:p w:rsidR="00F36C43" w:rsidRPr="00F36C43" w:rsidRDefault="00F36C43" w:rsidP="00F36C43">
      <w:pPr>
        <w:spacing w:after="120"/>
        <w:rPr>
          <w:sz w:val="28"/>
          <w:lang w:val="fr-FR"/>
        </w:rPr>
      </w:pPr>
      <w:r w:rsidRPr="00F36C43">
        <w:rPr>
          <w:lang w:val="fr-FR"/>
        </w:rPr>
        <w:t>« </w:t>
      </w:r>
      <w:r w:rsidRPr="00F36C43">
        <w:rPr>
          <w:sz w:val="28"/>
          <w:lang w:val="fr-FR"/>
        </w:rPr>
        <w:t>Table des matières</w:t>
      </w:r>
    </w:p>
    <w:p w:rsidR="00F36C43" w:rsidRPr="00F36C43" w:rsidRDefault="00F36C43" w:rsidP="00F36C43">
      <w:pPr>
        <w:tabs>
          <w:tab w:val="right" w:pos="9638"/>
        </w:tabs>
        <w:spacing w:after="120"/>
        <w:ind w:left="283"/>
        <w:rPr>
          <w:i/>
          <w:lang w:val="fr-FR"/>
        </w:rPr>
      </w:pPr>
      <w:r w:rsidRPr="00F36C43">
        <w:rPr>
          <w:i/>
          <w:lang w:val="fr-FR"/>
        </w:rPr>
        <w:tab/>
      </w:r>
      <w:r w:rsidRPr="00F36C43">
        <w:rPr>
          <w:i/>
          <w:sz w:val="18"/>
          <w:lang w:val="fr-FR"/>
        </w:rPr>
        <w:t>Page</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Règlement</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1.</w:t>
      </w:r>
      <w:r w:rsidRPr="00F36C43">
        <w:rPr>
          <w:lang w:val="fr-FR"/>
        </w:rPr>
        <w:tab/>
        <w:t xml:space="preserve">Objet </w:t>
      </w:r>
      <w:r w:rsidRPr="00F36C43">
        <w:rPr>
          <w:lang w:val="fr-FR"/>
        </w:rPr>
        <w:tab/>
      </w:r>
      <w:r w:rsidRPr="00F36C43">
        <w:rPr>
          <w:lang w:val="fr-FR"/>
        </w:rPr>
        <w:tab/>
        <w:t>5</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2.</w:t>
      </w:r>
      <w:r w:rsidRPr="00F36C43">
        <w:rPr>
          <w:lang w:val="fr-FR"/>
        </w:rPr>
        <w:tab/>
        <w:t xml:space="preserve">Définitions </w:t>
      </w:r>
      <w:r w:rsidRPr="00F36C43">
        <w:rPr>
          <w:lang w:val="fr-FR"/>
        </w:rPr>
        <w:tab/>
      </w:r>
      <w:r w:rsidRPr="00F36C43">
        <w:rPr>
          <w:lang w:val="fr-FR"/>
        </w:rPr>
        <w:tab/>
        <w:t>5</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3.</w:t>
      </w:r>
      <w:r w:rsidRPr="00F36C43">
        <w:rPr>
          <w:lang w:val="fr-FR"/>
        </w:rPr>
        <w:tab/>
        <w:t>Demande d’homologation</w:t>
      </w:r>
      <w:r w:rsidRPr="00F36C43">
        <w:rPr>
          <w:lang w:val="fr-FR"/>
        </w:rPr>
        <w:tab/>
      </w:r>
      <w:r w:rsidRPr="00F36C43">
        <w:rPr>
          <w:lang w:val="fr-FR"/>
        </w:rPr>
        <w:tab/>
        <w:t>7</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4.</w:t>
      </w:r>
      <w:r w:rsidRPr="00F36C43">
        <w:rPr>
          <w:lang w:val="fr-FR"/>
        </w:rPr>
        <w:tab/>
        <w:t xml:space="preserve">Homologation </w:t>
      </w:r>
      <w:r w:rsidRPr="00F36C43">
        <w:rPr>
          <w:lang w:val="fr-FR"/>
        </w:rPr>
        <w:tab/>
      </w:r>
      <w:r w:rsidRPr="00F36C43">
        <w:rPr>
          <w:lang w:val="fr-FR"/>
        </w:rPr>
        <w:tab/>
        <w:t>8</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5.</w:t>
      </w:r>
      <w:r w:rsidRPr="00F36C43">
        <w:rPr>
          <w:lang w:val="fr-FR"/>
        </w:rPr>
        <w:tab/>
        <w:t>Partie I – Spécifications du système de stockage d’hydrogène comprimé</w:t>
      </w:r>
      <w:r w:rsidRPr="00F36C43">
        <w:rPr>
          <w:lang w:val="fr-FR"/>
        </w:rPr>
        <w:tab/>
      </w:r>
      <w:r w:rsidRPr="00F36C43">
        <w:rPr>
          <w:lang w:val="fr-FR"/>
        </w:rPr>
        <w:tab/>
        <w:t>9</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6.</w:t>
      </w:r>
      <w:r w:rsidRPr="00F36C43">
        <w:rPr>
          <w:lang w:val="fr-FR"/>
        </w:rPr>
        <w:tab/>
        <w:t xml:space="preserve">Part II – Spécifications des composants spécifiques du système de stockage </w:t>
      </w:r>
      <w:r w:rsidR="002412C4">
        <w:rPr>
          <w:lang w:val="fr-FR"/>
        </w:rPr>
        <w:br/>
      </w:r>
      <w:r w:rsidRPr="00F36C43">
        <w:rPr>
          <w:lang w:val="fr-FR"/>
        </w:rPr>
        <w:t>d’hydrogène comprimé</w:t>
      </w:r>
      <w:r w:rsidRPr="00F36C43">
        <w:rPr>
          <w:lang w:val="fr-FR"/>
        </w:rPr>
        <w:tab/>
      </w:r>
      <w:r w:rsidRPr="00F36C43">
        <w:rPr>
          <w:lang w:val="fr-FR"/>
        </w:rPr>
        <w:tab/>
        <w:t>15</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7.</w:t>
      </w:r>
      <w:r w:rsidRPr="00F36C43">
        <w:rPr>
          <w:lang w:val="fr-FR"/>
        </w:rPr>
        <w:tab/>
        <w:t xml:space="preserve">Partie III – Spécifications d’un système d’alimentation en carburant du véhicule </w:t>
      </w:r>
      <w:r w:rsidR="002412C4">
        <w:rPr>
          <w:lang w:val="fr-FR"/>
        </w:rPr>
        <w:br/>
      </w:r>
      <w:r w:rsidRPr="00F36C43">
        <w:rPr>
          <w:lang w:val="fr-FR"/>
        </w:rPr>
        <w:t>comportant un système de stockage d’hydrogène comprimé</w:t>
      </w:r>
      <w:r w:rsidRPr="00F36C43">
        <w:rPr>
          <w:lang w:val="fr-FR"/>
        </w:rPr>
        <w:tab/>
      </w:r>
      <w:r w:rsidRPr="00F36C43">
        <w:rPr>
          <w:lang w:val="fr-FR"/>
        </w:rPr>
        <w:tab/>
        <w:t>16</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8.</w:t>
      </w:r>
      <w:r w:rsidRPr="00F36C43">
        <w:rPr>
          <w:lang w:val="fr-FR"/>
        </w:rPr>
        <w:tab/>
        <w:t>Modification du type et extension de l’homologation</w:t>
      </w:r>
      <w:r w:rsidRPr="00F36C43">
        <w:rPr>
          <w:lang w:val="fr-FR"/>
        </w:rPr>
        <w:tab/>
      </w:r>
      <w:r w:rsidRPr="00F36C43">
        <w:rPr>
          <w:lang w:val="fr-FR"/>
        </w:rPr>
        <w:tab/>
        <w:t>19</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9.</w:t>
      </w:r>
      <w:r w:rsidRPr="00F36C43">
        <w:rPr>
          <w:lang w:val="fr-FR"/>
        </w:rPr>
        <w:tab/>
        <w:t>Conformité de la production</w:t>
      </w:r>
      <w:r w:rsidRPr="00F36C43">
        <w:rPr>
          <w:lang w:val="fr-FR"/>
        </w:rPr>
        <w:tab/>
      </w:r>
      <w:r w:rsidRPr="00F36C43">
        <w:rPr>
          <w:lang w:val="fr-FR"/>
        </w:rPr>
        <w:tab/>
        <w:t>20</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10.</w:t>
      </w:r>
      <w:r w:rsidRPr="00F36C43">
        <w:rPr>
          <w:lang w:val="fr-FR"/>
        </w:rPr>
        <w:tab/>
        <w:t>Sanctions pour non-conformité de la production</w:t>
      </w:r>
      <w:r w:rsidRPr="00F36C43">
        <w:rPr>
          <w:lang w:val="fr-FR"/>
        </w:rPr>
        <w:tab/>
      </w:r>
      <w:r w:rsidRPr="00F36C43">
        <w:rPr>
          <w:lang w:val="fr-FR"/>
        </w:rPr>
        <w:tab/>
        <w:t>22</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11.</w:t>
      </w:r>
      <w:r w:rsidRPr="00F36C43">
        <w:rPr>
          <w:lang w:val="fr-FR"/>
        </w:rPr>
        <w:tab/>
        <w:t>Arrêt définitif de la production</w:t>
      </w:r>
      <w:r w:rsidRPr="00F36C43">
        <w:rPr>
          <w:lang w:val="fr-FR"/>
        </w:rPr>
        <w:tab/>
      </w:r>
      <w:r w:rsidRPr="00F36C43">
        <w:rPr>
          <w:lang w:val="fr-FR"/>
        </w:rPr>
        <w:tab/>
        <w:t>22</w:t>
      </w:r>
    </w:p>
    <w:p w:rsidR="00F36C43" w:rsidRPr="00F36C43" w:rsidRDefault="00F36C43" w:rsidP="00F36C43">
      <w:pPr>
        <w:tabs>
          <w:tab w:val="right" w:pos="850"/>
          <w:tab w:val="right" w:leader="dot" w:pos="8787"/>
          <w:tab w:val="right" w:pos="9638"/>
        </w:tabs>
        <w:spacing w:after="120"/>
        <w:ind w:left="1134" w:hanging="1134"/>
        <w:rPr>
          <w:lang w:val="fr-FR"/>
        </w:rPr>
      </w:pPr>
      <w:r w:rsidRPr="00F36C43">
        <w:rPr>
          <w:lang w:val="fr-FR"/>
        </w:rPr>
        <w:tab/>
        <w:t>12.</w:t>
      </w:r>
      <w:r w:rsidRPr="00F36C43">
        <w:rPr>
          <w:lang w:val="fr-FR"/>
        </w:rPr>
        <w:tab/>
        <w:t xml:space="preserve">Noms et adresses des services techniques chargés des essais d’homologation </w:t>
      </w:r>
      <w:r w:rsidR="002412C4">
        <w:rPr>
          <w:lang w:val="fr-FR"/>
        </w:rPr>
        <w:br/>
      </w:r>
      <w:r w:rsidRPr="00F36C43">
        <w:rPr>
          <w:lang w:val="fr-FR"/>
        </w:rPr>
        <w:t>et des autorités d’homologation de type</w:t>
      </w:r>
      <w:r w:rsidRPr="00F36C43">
        <w:rPr>
          <w:lang w:val="fr-FR"/>
        </w:rPr>
        <w:tab/>
      </w:r>
      <w:r w:rsidRPr="00F36C43">
        <w:rPr>
          <w:lang w:val="fr-FR"/>
        </w:rPr>
        <w:tab/>
        <w:t>22</w:t>
      </w:r>
    </w:p>
    <w:p w:rsidR="00F36C43" w:rsidRPr="00F36C43" w:rsidRDefault="00F36C43" w:rsidP="00F36C43">
      <w:pPr>
        <w:tabs>
          <w:tab w:val="right" w:pos="850"/>
          <w:tab w:val="right" w:leader="dot" w:pos="8787"/>
          <w:tab w:val="right" w:pos="9638"/>
        </w:tabs>
        <w:spacing w:after="120"/>
        <w:ind w:left="1134" w:hanging="1134"/>
        <w:rPr>
          <w:i/>
          <w:lang w:val="fr-FR"/>
        </w:rPr>
      </w:pPr>
      <w:r>
        <w:rPr>
          <w:b/>
          <w:lang w:val="fr-FR"/>
        </w:rPr>
        <w:tab/>
      </w:r>
      <w:r w:rsidRPr="00F36C43">
        <w:rPr>
          <w:b/>
          <w:lang w:val="fr-FR"/>
        </w:rPr>
        <w:t>13.</w:t>
      </w:r>
      <w:r w:rsidRPr="00F36C43">
        <w:rPr>
          <w:b/>
          <w:lang w:val="fr-FR"/>
        </w:rPr>
        <w:tab/>
        <w:t xml:space="preserve">Dispositions transitoires </w:t>
      </w:r>
      <w:r w:rsidRPr="00F36C43">
        <w:rPr>
          <w:i/>
          <w:lang w:val="fr-FR"/>
        </w:rPr>
        <w:tab/>
      </w:r>
      <w:r w:rsidRPr="00F36C43">
        <w:rPr>
          <w:i/>
          <w:lang w:val="fr-FR"/>
        </w:rPr>
        <w:tab/>
      </w:r>
      <w:r w:rsidRPr="00F36C43">
        <w:rPr>
          <w:lang w:val="fr-FR"/>
        </w:rPr>
        <w:t>23 »</w:t>
      </w:r>
    </w:p>
    <w:p w:rsidR="00F36C43" w:rsidRPr="00F36C43" w:rsidRDefault="00F36C43" w:rsidP="00F36C43">
      <w:pPr>
        <w:pStyle w:val="SingleTxtG"/>
        <w:spacing w:before="360"/>
        <w:rPr>
          <w:i/>
          <w:lang w:val="fr-FR"/>
        </w:rPr>
      </w:pPr>
      <w:r w:rsidRPr="00F36C43">
        <w:rPr>
          <w:i/>
          <w:lang w:val="fr-FR"/>
        </w:rPr>
        <w:t xml:space="preserve">Le paragraphe 7.1.1.2 </w:t>
      </w:r>
      <w:r w:rsidRPr="00F36C43">
        <w:rPr>
          <w:iCs/>
          <w:lang w:val="fr-FR"/>
        </w:rPr>
        <w:t>est supprimé.</w:t>
      </w:r>
    </w:p>
    <w:p w:rsidR="00F36C43" w:rsidRPr="00F36C43" w:rsidRDefault="00F36C43" w:rsidP="00F36C43">
      <w:pPr>
        <w:pStyle w:val="SingleTxtG"/>
        <w:rPr>
          <w:i/>
          <w:lang w:val="fr-FR"/>
        </w:rPr>
      </w:pPr>
      <w:r w:rsidRPr="00F36C43">
        <w:rPr>
          <w:i/>
          <w:lang w:val="fr-FR"/>
        </w:rPr>
        <w:t xml:space="preserve">Les paragraphes 7.1.1.3 et 7.1.1.4 </w:t>
      </w:r>
      <w:r w:rsidRPr="00F36C43">
        <w:rPr>
          <w:iCs/>
          <w:lang w:val="fr-FR"/>
        </w:rPr>
        <w:t>deviennent les paragraphes 7.1.1.2 et 7.1.1.3.</w:t>
      </w:r>
    </w:p>
    <w:p w:rsidR="00F36C43" w:rsidRPr="00F36C43" w:rsidRDefault="00F36C43" w:rsidP="00F36C43">
      <w:pPr>
        <w:pStyle w:val="SingleTxtG"/>
        <w:rPr>
          <w:i/>
          <w:lang w:val="fr-FR"/>
        </w:rPr>
      </w:pPr>
      <w:r w:rsidRPr="00F36C43">
        <w:rPr>
          <w:i/>
          <w:lang w:val="fr-FR"/>
        </w:rPr>
        <w:t>Ajouter un nouveau paragraphe 7.1.7</w:t>
      </w:r>
      <w:r w:rsidR="00AB16B1">
        <w:t>,</w:t>
      </w:r>
      <w:r w:rsidRPr="00F36C43">
        <w:rPr>
          <w:i/>
          <w:lang w:val="fr-FR"/>
        </w:rPr>
        <w:t xml:space="preserve"> </w:t>
      </w:r>
      <w:r w:rsidRPr="00F36C43">
        <w:rPr>
          <w:lang w:val="fr-FR"/>
        </w:rPr>
        <w:t xml:space="preserve">libellé </w:t>
      </w:r>
      <w:r w:rsidRPr="00F36C43">
        <w:rPr>
          <w:iCs/>
          <w:lang w:val="fr-FR"/>
        </w:rPr>
        <w:t>comme suit</w:t>
      </w:r>
      <w:r>
        <w:rPr>
          <w:iCs/>
          <w:lang w:val="fr-FR"/>
        </w:rPr>
        <w:t> :</w:t>
      </w:r>
    </w:p>
    <w:p w:rsidR="00F36C43" w:rsidRPr="00F36C43" w:rsidRDefault="00F36C43" w:rsidP="00F36C43">
      <w:pPr>
        <w:pStyle w:val="SingleTxtG"/>
        <w:ind w:left="2268" w:hanging="1134"/>
        <w:rPr>
          <w:b/>
          <w:lang w:val="fr-FR"/>
        </w:rPr>
      </w:pPr>
      <w:r w:rsidRPr="00F36C43">
        <w:rPr>
          <w:lang w:val="fr-FR"/>
        </w:rPr>
        <w:t>«</w:t>
      </w:r>
      <w:r w:rsidRPr="00F36C43">
        <w:rPr>
          <w:b/>
          <w:lang w:val="fr-FR"/>
        </w:rPr>
        <w:t xml:space="preserve"> 7.1.7 </w:t>
      </w:r>
      <w:r w:rsidRPr="00F36C43">
        <w:rPr>
          <w:b/>
          <w:lang w:val="fr-FR"/>
        </w:rPr>
        <w:tab/>
        <w:t>Signalisation des véhicules fonctionnant à l’hydrogène.</w:t>
      </w:r>
    </w:p>
    <w:p w:rsidR="00F36C43" w:rsidRPr="00F36C43" w:rsidRDefault="00F36C43" w:rsidP="00F36C43">
      <w:pPr>
        <w:pStyle w:val="SingleTxtG"/>
        <w:ind w:left="2268" w:hanging="1134"/>
        <w:rPr>
          <w:b/>
          <w:lang w:val="fr-FR"/>
        </w:rPr>
      </w:pPr>
      <w:r w:rsidRPr="00F36C43">
        <w:rPr>
          <w:b/>
          <w:lang w:val="fr-FR"/>
        </w:rPr>
        <w:t>7.1.7.1</w:t>
      </w:r>
      <w:r w:rsidRPr="00F36C43">
        <w:rPr>
          <w:b/>
          <w:lang w:val="fr-FR"/>
        </w:rPr>
        <w:tab/>
        <w:t>Des étiquettes conformes aux prescriptions de l’annexe</w:t>
      </w:r>
      <w:r>
        <w:rPr>
          <w:b/>
          <w:lang w:val="fr-FR"/>
        </w:rPr>
        <w:t> </w:t>
      </w:r>
      <w:r w:rsidRPr="00F36C43">
        <w:rPr>
          <w:b/>
          <w:lang w:val="fr-FR"/>
        </w:rPr>
        <w:t>6 doivent être  placées sur les véhicules des catégories M</w:t>
      </w:r>
      <w:r w:rsidRPr="00F36C43">
        <w:rPr>
          <w:b/>
          <w:vertAlign w:val="subscript"/>
          <w:lang w:val="fr-FR"/>
        </w:rPr>
        <w:t>2</w:t>
      </w:r>
      <w:r w:rsidRPr="00F36C43">
        <w:rPr>
          <w:b/>
          <w:lang w:val="fr-FR"/>
        </w:rPr>
        <w:t>/N</w:t>
      </w:r>
      <w:r w:rsidRPr="00F36C43">
        <w:rPr>
          <w:b/>
          <w:vertAlign w:val="subscript"/>
          <w:lang w:val="fr-FR"/>
        </w:rPr>
        <w:t>2</w:t>
      </w:r>
      <w:r w:rsidRPr="00F36C43">
        <w:rPr>
          <w:b/>
          <w:lang w:val="fr-FR"/>
        </w:rPr>
        <w:t xml:space="preserve"> et M</w:t>
      </w:r>
      <w:r w:rsidRPr="00F36C43">
        <w:rPr>
          <w:b/>
          <w:vertAlign w:val="subscript"/>
          <w:lang w:val="fr-FR"/>
        </w:rPr>
        <w:t>3</w:t>
      </w:r>
      <w:r w:rsidRPr="00F36C43">
        <w:rPr>
          <w:b/>
          <w:lang w:val="fr-FR"/>
        </w:rPr>
        <w:t>/N</w:t>
      </w:r>
      <w:r w:rsidRPr="00F36C43">
        <w:rPr>
          <w:b/>
          <w:vertAlign w:val="subscript"/>
          <w:lang w:val="fr-FR"/>
        </w:rPr>
        <w:t>3</w:t>
      </w:r>
      <w:r w:rsidRPr="00F36C43">
        <w:rPr>
          <w:b/>
          <w:lang w:val="fr-FR"/>
        </w:rPr>
        <w:t xml:space="preserve"> équipés d’un système d’hydrogène comprimé.</w:t>
      </w:r>
    </w:p>
    <w:p w:rsidR="00F36C43" w:rsidRPr="00F36C43" w:rsidRDefault="00F36C43" w:rsidP="00F36C43">
      <w:pPr>
        <w:pStyle w:val="SingleTxtG"/>
        <w:ind w:left="2268" w:hanging="1134"/>
        <w:rPr>
          <w:b/>
          <w:lang w:val="fr-FR"/>
        </w:rPr>
      </w:pPr>
      <w:r w:rsidRPr="00F36C43">
        <w:rPr>
          <w:b/>
          <w:lang w:val="fr-FR"/>
        </w:rPr>
        <w:t xml:space="preserve">7.1.7.2 </w:t>
      </w:r>
      <w:r w:rsidRPr="00F36C43">
        <w:rPr>
          <w:b/>
          <w:lang w:val="fr-FR"/>
        </w:rPr>
        <w:tab/>
        <w:t>Les étiquettes doivent être placées à l’avant et à l’arrière du véhicule  ainsi que sur la partie extérieure des portières côté droit (lorsque la conduite est à gauche) ou côté gauche (lorsque la conduite est à droite).</w:t>
      </w:r>
    </w:p>
    <w:p w:rsidR="00F36C43" w:rsidRPr="00F36C43" w:rsidRDefault="00F36C43" w:rsidP="00F36C43">
      <w:pPr>
        <w:pStyle w:val="SingleTxtG"/>
        <w:ind w:left="2268" w:hanging="1134"/>
        <w:rPr>
          <w:lang w:val="fr-FR"/>
        </w:rPr>
      </w:pPr>
      <w:r w:rsidRPr="00F36C43">
        <w:rPr>
          <w:b/>
          <w:lang w:val="fr-FR"/>
        </w:rPr>
        <w:t>7.1.7.3</w:t>
      </w:r>
      <w:r w:rsidRPr="00F36C43">
        <w:rPr>
          <w:b/>
          <w:lang w:val="fr-FR"/>
        </w:rPr>
        <w:tab/>
        <w:t>Une étiquette  doit être placée à proximité du réceptacle de remplissage</w:t>
      </w:r>
      <w:r w:rsidRPr="00F36C43">
        <w:rPr>
          <w:b/>
          <w:vertAlign w:val="subscript"/>
          <w:lang w:val="fr-FR"/>
        </w:rPr>
        <w:t>,</w:t>
      </w:r>
      <w:r w:rsidRPr="00F36C43">
        <w:rPr>
          <w:b/>
          <w:lang w:val="fr-FR"/>
        </w:rPr>
        <w:t xml:space="preserve"> par exemple au revers d’une trappe, et donner les renseignements suivants</w:t>
      </w:r>
      <w:r>
        <w:rPr>
          <w:b/>
          <w:lang w:val="fr-FR"/>
        </w:rPr>
        <w:t> </w:t>
      </w:r>
      <w:r w:rsidRPr="00F36C43">
        <w:rPr>
          <w:b/>
          <w:lang w:val="fr-FR"/>
        </w:rPr>
        <w:t>: la nature du carburant (en reprenant le dessin, l’indication des zones, les couleurs et les pictogrammes de l’étiquette décrits à l’annexe</w:t>
      </w:r>
      <w:r>
        <w:rPr>
          <w:b/>
          <w:lang w:val="fr-FR"/>
        </w:rPr>
        <w:t> </w:t>
      </w:r>
      <w:r w:rsidRPr="00F36C43">
        <w:rPr>
          <w:b/>
          <w:lang w:val="fr-FR"/>
        </w:rPr>
        <w:t>6), la pression de service maximale admissible (PSMA), la pression de service nominale (PSN) et la date de retrait du service des réservoirs.</w:t>
      </w:r>
      <w:r>
        <w:rPr>
          <w:b/>
          <w:lang w:val="fr-FR"/>
        </w:rPr>
        <w:t> </w:t>
      </w:r>
      <w:r w:rsidRPr="00F36C43">
        <w:t>»</w:t>
      </w:r>
    </w:p>
    <w:p w:rsidR="00F36C43" w:rsidRPr="00F36C43" w:rsidRDefault="00F36C43" w:rsidP="00F36C43">
      <w:pPr>
        <w:pStyle w:val="SingleTxtG"/>
        <w:keepNext/>
        <w:keepLines/>
        <w:rPr>
          <w:lang w:val="fr-FR"/>
        </w:rPr>
      </w:pPr>
      <w:r w:rsidRPr="00F36C43">
        <w:rPr>
          <w:i/>
          <w:lang w:val="fr-FR"/>
        </w:rPr>
        <w:lastRenderedPageBreak/>
        <w:t>Ajouter les nouveaux paragraphes 13 à 13.4</w:t>
      </w:r>
      <w:r w:rsidR="002412C4">
        <w:t>,</w:t>
      </w:r>
      <w:r w:rsidRPr="00F36C43">
        <w:rPr>
          <w:iCs/>
          <w:lang w:val="fr-FR"/>
        </w:rPr>
        <w:t xml:space="preserve"> libellés comme suit</w:t>
      </w:r>
      <w:r>
        <w:rPr>
          <w:iCs/>
          <w:lang w:val="fr-FR"/>
        </w:rPr>
        <w:t> </w:t>
      </w:r>
      <w:r>
        <w:t>:</w:t>
      </w:r>
    </w:p>
    <w:p w:rsidR="00F36C43" w:rsidRPr="00F36C43" w:rsidRDefault="00F36C43" w:rsidP="002412C4">
      <w:pPr>
        <w:pStyle w:val="HChG"/>
        <w:rPr>
          <w:lang w:val="fr-FR"/>
        </w:rPr>
      </w:pPr>
      <w:bookmarkStart w:id="1" w:name="_Toc384289018"/>
      <w:r>
        <w:rPr>
          <w:lang w:val="fr-FR"/>
        </w:rPr>
        <w:tab/>
      </w:r>
      <w:r>
        <w:rPr>
          <w:lang w:val="fr-FR"/>
        </w:rPr>
        <w:tab/>
      </w:r>
      <w:r w:rsidRPr="00F36C43">
        <w:rPr>
          <w:sz w:val="20"/>
        </w:rPr>
        <w:t>« </w:t>
      </w:r>
      <w:r w:rsidRPr="00F36C43">
        <w:rPr>
          <w:lang w:val="fr-FR"/>
        </w:rPr>
        <w:t>13</w:t>
      </w:r>
      <w:r w:rsidRPr="00F36C43">
        <w:rPr>
          <w:lang w:val="fr-FR"/>
        </w:rPr>
        <w:tab/>
      </w:r>
      <w:r w:rsidRPr="00F36C43">
        <w:rPr>
          <w:lang w:val="fr-FR"/>
        </w:rPr>
        <w:tab/>
        <w:t xml:space="preserve">Dispositions transitoires </w:t>
      </w:r>
    </w:p>
    <w:p w:rsidR="00F36C43" w:rsidRPr="00F36C43" w:rsidRDefault="00F36C43" w:rsidP="00F36C43">
      <w:pPr>
        <w:pStyle w:val="SingleTxtG"/>
        <w:ind w:left="2268" w:hanging="1134"/>
        <w:rPr>
          <w:b/>
          <w:lang w:val="fr-FR"/>
        </w:rPr>
      </w:pPr>
      <w:r w:rsidRPr="00F36C43">
        <w:rPr>
          <w:b/>
          <w:lang w:val="fr-FR"/>
        </w:rPr>
        <w:t>13.1</w:t>
      </w:r>
      <w:r w:rsidRPr="00F36C43">
        <w:rPr>
          <w:b/>
          <w:lang w:val="fr-FR"/>
        </w:rPr>
        <w:tab/>
        <w:t>À compter de la date officielle d’entrée en vigueur de la série 01 d’amendements, aucune Partie contractante appliquant le présent Règlement ONU ne pourra refuser d’accorder ou d’accepter une homologation de type ONU en vertu de ce  Règlement ONU tel que modifié par la série 01 d’amendements.</w:t>
      </w:r>
    </w:p>
    <w:p w:rsidR="00F36C43" w:rsidRPr="00F36C43" w:rsidRDefault="00F36C43" w:rsidP="00F36C43">
      <w:pPr>
        <w:pStyle w:val="SingleTxtG"/>
        <w:ind w:left="2268" w:hanging="1134"/>
        <w:rPr>
          <w:b/>
          <w:lang w:val="fr-FR"/>
        </w:rPr>
      </w:pPr>
      <w:r w:rsidRPr="00F36C43">
        <w:rPr>
          <w:b/>
          <w:lang w:val="fr-FR"/>
        </w:rPr>
        <w:t>13.2</w:t>
      </w:r>
      <w:r w:rsidRPr="00F36C43">
        <w:rPr>
          <w:b/>
          <w:lang w:val="fr-FR"/>
        </w:rPr>
        <w:tab/>
        <w:t>À compter du [1</w:t>
      </w:r>
      <w:r w:rsidRPr="00F36C43">
        <w:rPr>
          <w:b/>
          <w:vertAlign w:val="superscript"/>
          <w:lang w:val="fr-FR"/>
        </w:rPr>
        <w:t>er</w:t>
      </w:r>
      <w:r w:rsidR="004F05FA">
        <w:rPr>
          <w:b/>
          <w:vertAlign w:val="superscript"/>
          <w:lang w:val="fr-FR"/>
        </w:rPr>
        <w:t> </w:t>
      </w:r>
      <w:r w:rsidRPr="00F36C43">
        <w:rPr>
          <w:b/>
          <w:lang w:val="fr-FR"/>
        </w:rPr>
        <w:t>septembre 2022], les Parties contractantes appliquant le présent Règlement ONU ne seront plus tenues d’accepter les homologations de type ONU délivrées au titre des précédentes séries d’amendements [le 1</w:t>
      </w:r>
      <w:r w:rsidRPr="00F36C43">
        <w:rPr>
          <w:b/>
          <w:vertAlign w:val="superscript"/>
          <w:lang w:val="fr-FR"/>
        </w:rPr>
        <w:t>er</w:t>
      </w:r>
      <w:r w:rsidR="00B42684">
        <w:rPr>
          <w:b/>
          <w:lang w:val="fr-FR"/>
        </w:rPr>
        <w:t> </w:t>
      </w:r>
      <w:r w:rsidRPr="00F36C43">
        <w:rPr>
          <w:b/>
          <w:lang w:val="fr-FR"/>
        </w:rPr>
        <w:t>septembre 2022] ou ultérieurement.</w:t>
      </w:r>
    </w:p>
    <w:p w:rsidR="00F36C43" w:rsidRPr="00F36C43" w:rsidRDefault="00F36C43" w:rsidP="00F36C43">
      <w:pPr>
        <w:pStyle w:val="SingleTxtG"/>
        <w:ind w:left="2268" w:hanging="1134"/>
        <w:rPr>
          <w:b/>
          <w:lang w:val="fr-FR"/>
        </w:rPr>
      </w:pPr>
      <w:r w:rsidRPr="00F36C43">
        <w:rPr>
          <w:b/>
          <w:lang w:val="fr-FR"/>
        </w:rPr>
        <w:t>13.3</w:t>
      </w:r>
      <w:r w:rsidRPr="00F36C43">
        <w:rPr>
          <w:b/>
          <w:lang w:val="fr-FR"/>
        </w:rPr>
        <w:tab/>
        <w:t>Jusqu’au [1</w:t>
      </w:r>
      <w:r w:rsidRPr="00F36C43">
        <w:rPr>
          <w:b/>
          <w:vertAlign w:val="superscript"/>
          <w:lang w:val="fr-FR"/>
        </w:rPr>
        <w:t>er</w:t>
      </w:r>
      <w:r>
        <w:rPr>
          <w:b/>
          <w:lang w:val="fr-FR"/>
        </w:rPr>
        <w:t> </w:t>
      </w:r>
      <w:r w:rsidRPr="00F36C43">
        <w:rPr>
          <w:b/>
          <w:lang w:val="fr-FR"/>
        </w:rPr>
        <w:t>septembre 2024,] les Parties contractantes appliquant le présent Règlement ONU devront accepter les homologations de type délivrées au titre des précédentes séries d’amendements avant le [1</w:t>
      </w:r>
      <w:r w:rsidRPr="00F36C43">
        <w:rPr>
          <w:b/>
          <w:vertAlign w:val="superscript"/>
          <w:lang w:val="fr-FR"/>
        </w:rPr>
        <w:t>er</w:t>
      </w:r>
      <w:r w:rsidR="00B42684">
        <w:rPr>
          <w:b/>
          <w:lang w:val="fr-FR"/>
        </w:rPr>
        <w:t> </w:t>
      </w:r>
      <w:r w:rsidRPr="00F36C43">
        <w:rPr>
          <w:b/>
          <w:lang w:val="fr-FR"/>
        </w:rPr>
        <w:t>septembre 2021.]</w:t>
      </w:r>
    </w:p>
    <w:p w:rsidR="00F36C43" w:rsidRPr="00F36C43" w:rsidRDefault="00F36C43" w:rsidP="00F36C43">
      <w:pPr>
        <w:pStyle w:val="SingleTxtG"/>
        <w:ind w:left="2268" w:hanging="1134"/>
        <w:rPr>
          <w:lang w:val="fr-FR"/>
        </w:rPr>
      </w:pPr>
      <w:r w:rsidRPr="00F36C43">
        <w:rPr>
          <w:b/>
          <w:lang w:val="fr-FR"/>
        </w:rPr>
        <w:t>13.4</w:t>
      </w:r>
      <w:r w:rsidRPr="00F36C43">
        <w:rPr>
          <w:b/>
          <w:lang w:val="fr-FR"/>
        </w:rPr>
        <w:tab/>
        <w:t>À compter du [1</w:t>
      </w:r>
      <w:r w:rsidRPr="00F36C43">
        <w:rPr>
          <w:b/>
          <w:vertAlign w:val="superscript"/>
          <w:lang w:val="fr-FR"/>
        </w:rPr>
        <w:t>er</w:t>
      </w:r>
      <w:r w:rsidR="00657C27">
        <w:rPr>
          <w:b/>
          <w:lang w:val="fr-FR"/>
        </w:rPr>
        <w:t> </w:t>
      </w:r>
      <w:r w:rsidRPr="00F36C43">
        <w:rPr>
          <w:b/>
          <w:lang w:val="fr-FR"/>
        </w:rPr>
        <w:t>septembre 2024,] les Parties contractantes appliquant le présent Règlement ne seront pas tenues d’accepter les homologations de type ONU délivrées  au titre des précédentes séries d’amendements.</w:t>
      </w:r>
      <w:r>
        <w:rPr>
          <w:b/>
          <w:lang w:val="fr-FR"/>
        </w:rPr>
        <w:t> </w:t>
      </w:r>
      <w:r w:rsidRPr="00F36C43">
        <w:t>»</w:t>
      </w:r>
    </w:p>
    <w:p w:rsidR="00F36C43" w:rsidRPr="00F36C43" w:rsidRDefault="00F36C43" w:rsidP="00F36C43">
      <w:pPr>
        <w:pStyle w:val="SingleTxtG"/>
        <w:rPr>
          <w:iCs/>
          <w:lang w:val="fr-FR"/>
        </w:rPr>
      </w:pPr>
      <w:r w:rsidRPr="00F36C43">
        <w:rPr>
          <w:i/>
          <w:lang w:val="fr-FR"/>
        </w:rPr>
        <w:t>Annexe</w:t>
      </w:r>
      <w:r>
        <w:rPr>
          <w:i/>
          <w:lang w:val="fr-FR"/>
        </w:rPr>
        <w:t> </w:t>
      </w:r>
      <w:r w:rsidRPr="00F36C43">
        <w:rPr>
          <w:i/>
          <w:lang w:val="fr-FR"/>
        </w:rPr>
        <w:t>2</w:t>
      </w:r>
      <w:r w:rsidRPr="00F36C43">
        <w:rPr>
          <w:lang w:val="fr-FR"/>
        </w:rPr>
        <w:t>,</w:t>
      </w:r>
      <w:r w:rsidRPr="00F36C43">
        <w:rPr>
          <w:i/>
          <w:lang w:val="fr-FR"/>
        </w:rPr>
        <w:t xml:space="preserve"> </w:t>
      </w:r>
      <w:r w:rsidRPr="00F36C43">
        <w:rPr>
          <w:iCs/>
          <w:lang w:val="fr-FR"/>
        </w:rPr>
        <w:t>lire</w:t>
      </w:r>
      <w:r>
        <w:rPr>
          <w:iCs/>
          <w:lang w:val="fr-FR"/>
        </w:rPr>
        <w:t> :</w:t>
      </w:r>
    </w:p>
    <w:p w:rsidR="00F36C43" w:rsidRPr="00F36C43" w:rsidRDefault="00F36C43" w:rsidP="002412C4">
      <w:pPr>
        <w:pStyle w:val="HChG"/>
        <w:rPr>
          <w:lang w:val="fr-FR"/>
        </w:rPr>
      </w:pPr>
      <w:r>
        <w:rPr>
          <w:lang w:val="fr-FR"/>
        </w:rPr>
        <w:tab/>
      </w:r>
      <w:r w:rsidRPr="00F36C43">
        <w:rPr>
          <w:lang w:val="fr-FR"/>
        </w:rPr>
        <w:t>« Annexe</w:t>
      </w:r>
      <w:r>
        <w:rPr>
          <w:lang w:val="fr-FR"/>
        </w:rPr>
        <w:t> </w:t>
      </w:r>
      <w:r w:rsidRPr="00F36C43">
        <w:rPr>
          <w:lang w:val="fr-FR"/>
        </w:rPr>
        <w:t>2</w:t>
      </w:r>
    </w:p>
    <w:p w:rsidR="00F36C43" w:rsidRPr="00F36C43" w:rsidRDefault="00F36C43" w:rsidP="002412C4">
      <w:pPr>
        <w:pStyle w:val="HChG"/>
        <w:rPr>
          <w:lang w:val="fr-FR"/>
        </w:rPr>
      </w:pPr>
      <w:r w:rsidRPr="00F36C43">
        <w:rPr>
          <w:lang w:val="fr-FR"/>
        </w:rPr>
        <w:tab/>
      </w:r>
      <w:r w:rsidRPr="00F36C43">
        <w:rPr>
          <w:lang w:val="fr-FR"/>
        </w:rPr>
        <w:tab/>
        <w:t>Exemples de marques d’homologation</w:t>
      </w:r>
    </w:p>
    <w:p w:rsidR="00F36C43" w:rsidRPr="00F36C43" w:rsidRDefault="00F36C43" w:rsidP="00F36C43">
      <w:pPr>
        <w:pStyle w:val="SingleTxtG"/>
        <w:rPr>
          <w:lang w:val="fr-FR"/>
        </w:rPr>
      </w:pPr>
      <w:r w:rsidRPr="00F36C43">
        <w:rPr>
          <w:lang w:val="fr-FR"/>
        </w:rPr>
        <w:t>Modèle</w:t>
      </w:r>
      <w:r>
        <w:rPr>
          <w:lang w:val="fr-FR"/>
        </w:rPr>
        <w:t> </w:t>
      </w:r>
      <w:r w:rsidRPr="00F36C43">
        <w:rPr>
          <w:lang w:val="fr-FR"/>
        </w:rPr>
        <w:t xml:space="preserve">A </w:t>
      </w:r>
      <w:r>
        <w:rPr>
          <w:lang w:val="fr-FR"/>
        </w:rPr>
        <w:br/>
      </w:r>
      <w:r w:rsidRPr="00F36C43">
        <w:rPr>
          <w:lang w:val="fr-FR"/>
        </w:rPr>
        <w:t>(</w:t>
      </w:r>
      <w:r>
        <w:rPr>
          <w:lang w:val="fr-FR"/>
        </w:rPr>
        <w:t>V</w:t>
      </w:r>
      <w:r w:rsidRPr="00F36C43">
        <w:rPr>
          <w:lang w:val="fr-FR"/>
        </w:rPr>
        <w:t>oir les paragraphes 4.4 à 4.4.2 du présent Règlement</w:t>
      </w:r>
      <w:r>
        <w:rPr>
          <w:lang w:val="fr-FR"/>
        </w:rPr>
        <w:t>.</w:t>
      </w:r>
      <w:r w:rsidRPr="00F36C43">
        <w:rPr>
          <w:lang w:val="fr-FR"/>
        </w:rPr>
        <w:t>)</w:t>
      </w:r>
    </w:p>
    <w:p w:rsidR="00F36C43" w:rsidRPr="00F36C43" w:rsidRDefault="00F36C43" w:rsidP="00F36C43">
      <w:pPr>
        <w:pStyle w:val="SingleTxtG"/>
        <w:spacing w:after="0" w:line="240" w:lineRule="auto"/>
        <w:rPr>
          <w:b/>
          <w:lang w:val="fr-FR"/>
        </w:rPr>
      </w:pPr>
      <w:r w:rsidRPr="00F36C43">
        <mc:AlternateContent>
          <mc:Choice Requires="wps">
            <w:drawing>
              <wp:anchor distT="0" distB="0" distL="114300" distR="114300" simplePos="0" relativeHeight="251652096" behindDoc="0" locked="0" layoutInCell="1" allowOverlap="1" wp14:anchorId="51C1394C" wp14:editId="7CC0027B">
                <wp:simplePos x="0" y="0"/>
                <wp:positionH relativeFrom="column">
                  <wp:posOffset>2603207</wp:posOffset>
                </wp:positionH>
                <wp:positionV relativeFrom="paragraph">
                  <wp:posOffset>289204</wp:posOffset>
                </wp:positionV>
                <wp:extent cx="1419302" cy="419100"/>
                <wp:effectExtent l="0" t="0" r="9525"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302"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C43" w:rsidRDefault="00F36C43" w:rsidP="00F36C43">
                            <w:pPr>
                              <w:rPr>
                                <w:sz w:val="32"/>
                              </w:rPr>
                            </w:pPr>
                            <w:r>
                              <w:rPr>
                                <w:sz w:val="32"/>
                                <w:lang w:eastAsia="ja-JP"/>
                              </w:rPr>
                              <w:t>134</w:t>
                            </w:r>
                            <w:r>
                              <w:rPr>
                                <w:sz w:val="32"/>
                              </w:rPr>
                              <w:t xml:space="preserve">R </w:t>
                            </w:r>
                            <w:r>
                              <w:rPr>
                                <w:sz w:val="32"/>
                              </w:rPr>
                              <w:t>−</w:t>
                            </w:r>
                            <w:r>
                              <w:rPr>
                                <w:sz w:val="32"/>
                              </w:rPr>
                              <w:t xml:space="preserve"> 01185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1394C" id="_x0000_t202" coordsize="21600,21600" o:spt="202" path="m,l,21600r21600,l21600,xe">
                <v:stroke joinstyle="miter"/>
                <v:path gradientshapeok="t" o:connecttype="rect"/>
              </v:shapetype>
              <v:shape id="Tekstvak 8" o:spid="_x0000_s1026" type="#_x0000_t202" style="position:absolute;left:0;text-align:left;margin-left:205pt;margin-top:22.75pt;width:111.7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" stroked="f">
                <v:textbox>
                  <w:txbxContent>
                    <w:p w:rsidR="00F36C43" w:rsidRDefault="00F36C43" w:rsidP="00F36C43">
                      <w:pPr>
                        <w:rPr>
                          <w:sz w:val="32"/>
                        </w:rPr>
                      </w:pPr>
                      <w:r>
                        <w:rPr>
                          <w:sz w:val="32"/>
                          <w:lang w:eastAsia="ja-JP"/>
                        </w:rPr>
                        <w:t>134</w:t>
                      </w:r>
                      <w:r>
                        <w:rPr>
                          <w:sz w:val="32"/>
                        </w:rPr>
                        <w:t xml:space="preserve">R </w:t>
                      </w:r>
                      <w:r>
                        <w:rPr>
                          <w:sz w:val="32"/>
                        </w:rPr>
                        <w:t>−</w:t>
                      </w:r>
                      <w:r>
                        <w:rPr>
                          <w:sz w:val="32"/>
                        </w:rPr>
                        <w:t xml:space="preserve"> 01185</w:t>
                      </w:r>
                    </w:p>
                  </w:txbxContent>
                </v:textbox>
              </v:shape>
            </w:pict>
          </mc:Fallback>
        </mc:AlternateContent>
      </w:r>
      <w:r w:rsidRPr="00F36C43">
        <w:rPr>
          <w:b/>
        </w:rPr>
        <w:drawing>
          <wp:inline distT="0" distB="0" distL="0" distR="0" wp14:anchorId="6D2C1BC5" wp14:editId="503254C5">
            <wp:extent cx="3924300" cy="923925"/>
            <wp:effectExtent l="0" t="0" r="0" b="9525"/>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rsidR="00F36C43" w:rsidRPr="00F36C43" w:rsidRDefault="00F36C43" w:rsidP="00F36C43">
      <w:pPr>
        <w:pStyle w:val="SingleTxtG"/>
        <w:jc w:val="right"/>
        <w:rPr>
          <w:lang w:val="fr-FR"/>
        </w:rPr>
      </w:pPr>
      <w:r w:rsidRPr="00F36C43">
        <w:rPr>
          <w:lang w:val="fr-FR"/>
        </w:rPr>
        <w:t>a = 8 mm min</w:t>
      </w:r>
    </w:p>
    <w:p w:rsidR="00F36C43" w:rsidRPr="00F36C43" w:rsidRDefault="00F36C43" w:rsidP="00F36C43">
      <w:pPr>
        <w:pStyle w:val="SingleTxtG"/>
        <w:ind w:firstLine="567"/>
        <w:rPr>
          <w:b/>
          <w:lang w:val="fr-FR"/>
        </w:rPr>
      </w:pPr>
      <w:r w:rsidRPr="00F36C43">
        <w:rPr>
          <w:lang w:val="fr-FR"/>
        </w:rPr>
        <w:t>La marque d’homologation ci-dessus, apposée sur un véhicule/système de stockage/composant spécifique, indique que le type de ce véhicule/système de stockage/composant spécifique a été homologué en Belgique (E6) en ce qui concerne les prescriptions de sécurité des véhicules fonctionnant à l’hydrogène en vertu du Règlement n</w:t>
      </w:r>
      <w:r w:rsidRPr="00F36C43">
        <w:rPr>
          <w:vertAlign w:val="superscript"/>
          <w:lang w:val="fr-FR"/>
        </w:rPr>
        <w:t>o</w:t>
      </w:r>
      <w:r>
        <w:rPr>
          <w:lang w:val="fr-FR"/>
        </w:rPr>
        <w:t> </w:t>
      </w:r>
      <w:r w:rsidRPr="00F36C43">
        <w:rPr>
          <w:lang w:val="fr-FR"/>
        </w:rPr>
        <w:t>134. Les deux premiers chiffres du numéro d’homologation indiquent que l’homologation a été délivrée conformément aux dispositions du Règlement n</w:t>
      </w:r>
      <w:r w:rsidRPr="00F36C43">
        <w:rPr>
          <w:vertAlign w:val="superscript"/>
          <w:lang w:val="fr-FR"/>
        </w:rPr>
        <w:t>o</w:t>
      </w:r>
      <w:r>
        <w:rPr>
          <w:lang w:val="fr-FR"/>
        </w:rPr>
        <w:t> </w:t>
      </w:r>
      <w:r w:rsidRPr="00F36C43">
        <w:rPr>
          <w:lang w:val="fr-FR"/>
        </w:rPr>
        <w:t xml:space="preserve">134 </w:t>
      </w:r>
      <w:r w:rsidRPr="00F36C43">
        <w:rPr>
          <w:strike/>
          <w:lang w:val="fr-FR"/>
        </w:rPr>
        <w:t>sous sa forme originale</w:t>
      </w:r>
      <w:r w:rsidRPr="00F36C43">
        <w:rPr>
          <w:lang w:val="fr-FR"/>
        </w:rPr>
        <w:t xml:space="preserve"> </w:t>
      </w:r>
      <w:r w:rsidRPr="00F36C43">
        <w:rPr>
          <w:b/>
          <w:lang w:val="fr-FR"/>
        </w:rPr>
        <w:t>tel que modifié par la série 01 d’amendements.</w:t>
      </w:r>
    </w:p>
    <w:p w:rsidR="00F36C43" w:rsidRPr="00F36C43" w:rsidRDefault="00F36C43" w:rsidP="00F36C43">
      <w:pPr>
        <w:pStyle w:val="SingleTxtG"/>
        <w:rPr>
          <w:lang w:val="fr-FR"/>
        </w:rPr>
      </w:pPr>
    </w:p>
    <w:p w:rsidR="00F36C43" w:rsidRPr="00F36C43" w:rsidRDefault="00F36C43" w:rsidP="00F36C43">
      <w:pPr>
        <w:pStyle w:val="SingleTxtG"/>
        <w:jc w:val="left"/>
        <w:rPr>
          <w:lang w:val="fr-FR"/>
        </w:rPr>
      </w:pPr>
      <w:r>
        <w:rPr>
          <w:lang w:val="fr-FR"/>
        </w:rPr>
        <w:br w:type="page"/>
      </w:r>
      <w:r w:rsidRPr="00F36C43">
        <w:rPr>
          <w:lang w:val="fr-FR"/>
        </w:rPr>
        <w:lastRenderedPageBreak/>
        <w:t>Modèle B</w:t>
      </w:r>
      <w:r>
        <w:rPr>
          <w:lang w:val="fr-FR"/>
        </w:rPr>
        <w:br/>
      </w:r>
      <w:r w:rsidRPr="00F36C43">
        <w:rPr>
          <w:lang w:val="fr-FR"/>
        </w:rPr>
        <w:t>(</w:t>
      </w:r>
      <w:r w:rsidRPr="00F36C43">
        <w:rPr>
          <w:lang w:val="fr-FR"/>
        </w:rPr>
        <w:t>V</w:t>
      </w:r>
      <w:r w:rsidRPr="00F36C43">
        <w:rPr>
          <w:lang w:val="fr-FR"/>
        </w:rPr>
        <w:t>oir le paragraphe 4.5 du présent Règlement</w:t>
      </w:r>
      <w:r>
        <w:rPr>
          <w:lang w:val="fr-FR"/>
        </w:rPr>
        <w:t>.</w:t>
      </w:r>
      <w:r w:rsidRPr="00F36C43">
        <w:rPr>
          <w:lang w:val="fr-FR"/>
        </w:rPr>
        <w:t>)</w:t>
      </w:r>
    </w:p>
    <w:p w:rsidR="00F36C43" w:rsidRPr="00F36C43" w:rsidRDefault="00F36C43" w:rsidP="00F36C43">
      <w:pPr>
        <w:pStyle w:val="SingleTxtG"/>
        <w:rPr>
          <w:lang w:val="fr-FR"/>
        </w:rPr>
      </w:pPr>
    </w:p>
    <w:p w:rsidR="00F36C43" w:rsidRPr="00F36C43" w:rsidRDefault="00F36C43" w:rsidP="00F36C43">
      <w:pPr>
        <w:pStyle w:val="SingleTxtG"/>
        <w:rPr>
          <w:lang w:val="fr-FR"/>
        </w:rPr>
      </w:pPr>
      <w:r w:rsidRPr="00F36C43">
        <mc:AlternateContent>
          <mc:Choice Requires="wps">
            <w:drawing>
              <wp:anchor distT="0" distB="0" distL="114300" distR="114300" simplePos="0" relativeHeight="251672576" behindDoc="0" locked="0" layoutInCell="1" allowOverlap="1" wp14:anchorId="35EADB50" wp14:editId="0DEC6C6C">
                <wp:simplePos x="0" y="0"/>
                <wp:positionH relativeFrom="column">
                  <wp:posOffset>5080000</wp:posOffset>
                </wp:positionH>
                <wp:positionV relativeFrom="paragraph">
                  <wp:posOffset>54610</wp:posOffset>
                </wp:positionV>
                <wp:extent cx="581660" cy="728345"/>
                <wp:effectExtent l="0" t="3175" r="0"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C43" w:rsidRDefault="00F36C43" w:rsidP="00F36C43">
                            <w:r>
                              <w:rPr>
                                <w:noProof/>
                                <w:lang w:eastAsia="fr-CH"/>
                              </w:rPr>
                              <w:drawing>
                                <wp:inline distT="0" distB="0" distL="0" distR="0" wp14:anchorId="11CE2826" wp14:editId="2CE7058F">
                                  <wp:extent cx="400050" cy="666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DB50" id="Tekstvak 7" o:spid="_x0000_s1027" type="#_x0000_t202" style="position:absolute;left:0;text-align:left;margin-left:400pt;margin-top:4.3pt;width:45.8pt;height:57.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" stroked="f">
                <v:textbox>
                  <w:txbxContent>
                    <w:p w:rsidR="00F36C43" w:rsidRDefault="00F36C43" w:rsidP="00F36C43">
                      <w:r>
                        <w:rPr>
                          <w:noProof/>
                          <w:lang w:eastAsia="fr-CH"/>
                        </w:rPr>
                        <w:drawing>
                          <wp:inline distT="0" distB="0" distL="0" distR="0" wp14:anchorId="11CE2826" wp14:editId="2CE7058F">
                            <wp:extent cx="400050" cy="666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v:textbox>
              </v:shape>
            </w:pict>
          </mc:Fallback>
        </mc:AlternateContent>
      </w:r>
      <w:r w:rsidRPr="00F36C43">
        <mc:AlternateContent>
          <mc:Choice Requires="wps">
            <w:drawing>
              <wp:anchor distT="0" distB="0" distL="114300" distR="114300" simplePos="0" relativeHeight="251662336" behindDoc="0" locked="0" layoutInCell="1" allowOverlap="1" wp14:anchorId="42083557" wp14:editId="4FF316BB">
                <wp:simplePos x="0" y="0"/>
                <wp:positionH relativeFrom="column">
                  <wp:posOffset>2476500</wp:posOffset>
                </wp:positionH>
                <wp:positionV relativeFrom="paragraph">
                  <wp:posOffset>40640</wp:posOffset>
                </wp:positionV>
                <wp:extent cx="2603500" cy="955040"/>
                <wp:effectExtent l="0" t="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F36C43" w:rsidRPr="00D00EBE" w:rsidTr="002201BA">
                              <w:trPr>
                                <w:trHeight w:val="411"/>
                              </w:trPr>
                              <w:tc>
                                <w:tcPr>
                                  <w:tcW w:w="1348"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F36C43" w:rsidRPr="00D65598" w:rsidTr="002201BA">
                              <w:trPr>
                                <w:trHeight w:val="411"/>
                              </w:trPr>
                              <w:tc>
                                <w:tcPr>
                                  <w:tcW w:w="1348"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rsidR="00F36C43" w:rsidRDefault="00F36C43" w:rsidP="00F36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3557" id="Tekstvak 4" o:spid="_x0000_s1028" type="#_x0000_t202" style="position:absolute;left:0;text-align:left;margin-left:195pt;margin-top:3.2pt;width:205pt;height:7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F36C43" w:rsidRPr="00D00EBE" w:rsidTr="002201BA">
                        <w:trPr>
                          <w:trHeight w:val="411"/>
                        </w:trPr>
                        <w:tc>
                          <w:tcPr>
                            <w:tcW w:w="1348"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F36C43" w:rsidRPr="00D65598" w:rsidTr="002201BA">
                        <w:trPr>
                          <w:trHeight w:val="411"/>
                        </w:trPr>
                        <w:tc>
                          <w:tcPr>
                            <w:tcW w:w="1348"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rsidR="00F36C43" w:rsidRPr="00D00EBE" w:rsidRDefault="00F36C43" w:rsidP="002201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rsidR="00F36C43" w:rsidRDefault="00F36C43" w:rsidP="00F36C43"/>
                  </w:txbxContent>
                </v:textbox>
              </v:shape>
            </w:pict>
          </mc:Fallback>
        </mc:AlternateContent>
      </w:r>
      <w:r w:rsidRPr="00F36C43">
        <w:rPr>
          <w:lang w:val="fr-FR"/>
        </w:rPr>
        <w:tab/>
      </w:r>
      <w:r w:rsidRPr="00F36C43">
        <w:drawing>
          <wp:inline distT="0" distB="0" distL="0" distR="0" wp14:anchorId="3BBBF2C1" wp14:editId="345CA264">
            <wp:extent cx="1628775" cy="904875"/>
            <wp:effectExtent l="0" t="0" r="9525" b="9525"/>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F36C43" w:rsidRPr="00F36C43" w:rsidRDefault="00F36C43" w:rsidP="00F36C43">
      <w:pPr>
        <w:pStyle w:val="SingleTxtG"/>
        <w:spacing w:after="0" w:line="240" w:lineRule="auto"/>
        <w:rPr>
          <w:lang w:val="fr-FR"/>
        </w:rPr>
      </w:pPr>
    </w:p>
    <w:p w:rsidR="00F36C43" w:rsidRPr="00F36C43" w:rsidRDefault="00F36C43" w:rsidP="00F36C43">
      <w:pPr>
        <w:pStyle w:val="SingleTxtG"/>
        <w:jc w:val="right"/>
        <w:rPr>
          <w:lang w:val="fr-FR"/>
        </w:rPr>
      </w:pPr>
      <w:r w:rsidRPr="00F36C43">
        <w:rPr>
          <w:lang w:val="fr-FR"/>
        </w:rPr>
        <w:t>a = 8 mm min.</w:t>
      </w:r>
    </w:p>
    <w:p w:rsidR="00F36C43" w:rsidRPr="00F36C43" w:rsidRDefault="00F36C43" w:rsidP="00F36C43">
      <w:pPr>
        <w:pStyle w:val="SingleTxtG"/>
        <w:ind w:firstLine="567"/>
        <w:rPr>
          <w:lang w:val="fr-FR"/>
        </w:rPr>
      </w:pPr>
      <w:r w:rsidRPr="00F36C43">
        <w:rPr>
          <w:lang w:val="fr-FR"/>
        </w:rPr>
        <w:t>La marque d’homologation ci-dessus, apposée sur un véhicule, indique que le véhicule routier concerné a été homologué aux Pays-Bas (E 4) en vertu des Règlements n</w:t>
      </w:r>
      <w:r w:rsidRPr="00F36C43">
        <w:rPr>
          <w:vertAlign w:val="superscript"/>
          <w:lang w:val="fr-FR"/>
        </w:rPr>
        <w:t>o</w:t>
      </w:r>
      <w:r>
        <w:rPr>
          <w:vertAlign w:val="superscript"/>
          <w:lang w:val="fr-FR"/>
        </w:rPr>
        <w:t>s</w:t>
      </w:r>
      <w:r>
        <w:rPr>
          <w:lang w:val="fr-FR"/>
        </w:rPr>
        <w:t> </w:t>
      </w:r>
      <w:r w:rsidRPr="00F36C43">
        <w:rPr>
          <w:lang w:val="fr-FR"/>
        </w:rPr>
        <w:t>134 et 100</w:t>
      </w:r>
      <w:r w:rsidRPr="00F36C43">
        <w:rPr>
          <w:lang w:val="fr-FR"/>
        </w:rPr>
        <w:footnoteReference w:customMarkFollows="1" w:id="3"/>
        <w:t>*</w:t>
      </w:r>
      <w:r>
        <w:t>.</w:t>
      </w:r>
      <w:r w:rsidRPr="00F36C43">
        <w:rPr>
          <w:lang w:val="fr-FR"/>
        </w:rPr>
        <w:t xml:space="preserve"> Le numéro d’homologation indique qu’à la date où les homologations correspondantes ont été délivrées, le Règlement </w:t>
      </w:r>
      <w:r w:rsidRPr="00F36C43">
        <w:rPr>
          <w:rFonts w:eastAsia="MS Mincho"/>
          <w:szCs w:val="22"/>
          <w:lang w:val="fr-FR"/>
        </w:rPr>
        <w:t>n</w:t>
      </w:r>
      <w:r w:rsidRPr="00F36C43">
        <w:rPr>
          <w:rFonts w:eastAsia="MS Mincho"/>
          <w:szCs w:val="22"/>
          <w:vertAlign w:val="superscript"/>
          <w:lang w:val="fr-FR"/>
        </w:rPr>
        <w:t>o</w:t>
      </w:r>
      <w:r>
        <w:rPr>
          <w:lang w:val="fr-FR"/>
        </w:rPr>
        <w:t> </w:t>
      </w:r>
      <w:r w:rsidRPr="00F36C43">
        <w:rPr>
          <w:lang w:val="fr-FR"/>
        </w:rPr>
        <w:t>100 était modifié par la série</w:t>
      </w:r>
      <w:r>
        <w:rPr>
          <w:lang w:val="fr-FR"/>
        </w:rPr>
        <w:t> </w:t>
      </w:r>
      <w:r w:rsidRPr="00F36C43">
        <w:rPr>
          <w:lang w:val="fr-FR"/>
        </w:rPr>
        <w:t>02 d’amendements et que le Règlement n</w:t>
      </w:r>
      <w:r w:rsidRPr="00F36C43">
        <w:rPr>
          <w:vertAlign w:val="superscript"/>
          <w:lang w:val="fr-FR"/>
        </w:rPr>
        <w:t>o</w:t>
      </w:r>
      <w:r>
        <w:rPr>
          <w:lang w:val="fr-FR"/>
        </w:rPr>
        <w:t> </w:t>
      </w:r>
      <w:r w:rsidRPr="00F36C43">
        <w:rPr>
          <w:lang w:val="fr-FR"/>
        </w:rPr>
        <w:t xml:space="preserve">134 était </w:t>
      </w:r>
      <w:r w:rsidRPr="00F36C43">
        <w:rPr>
          <w:strike/>
          <w:lang w:val="fr-FR"/>
        </w:rPr>
        <w:t>sous sa forme originale.</w:t>
      </w:r>
      <w:r w:rsidRPr="00F36C43">
        <w:rPr>
          <w:lang w:val="fr-FR"/>
        </w:rPr>
        <w:t xml:space="preserve"> </w:t>
      </w:r>
      <w:r w:rsidRPr="00F36C43">
        <w:rPr>
          <w:b/>
          <w:lang w:val="fr-FR"/>
        </w:rPr>
        <w:t>modifié par la série 01 d’amendements.</w:t>
      </w:r>
      <w:r w:rsidRPr="00F36C43">
        <w:rPr>
          <w:lang w:val="fr-FR"/>
        </w:rPr>
        <w:t> »</w:t>
      </w:r>
    </w:p>
    <w:p w:rsidR="00F36C43" w:rsidRPr="00F36C43" w:rsidRDefault="00F36C43" w:rsidP="00F36C43">
      <w:pPr>
        <w:pStyle w:val="SingleTxtG"/>
        <w:rPr>
          <w:i/>
          <w:lang w:val="fr-FR"/>
        </w:rPr>
      </w:pPr>
      <w:r w:rsidRPr="00F36C43">
        <w:rPr>
          <w:i/>
          <w:lang w:val="fr-FR"/>
        </w:rPr>
        <w:t>Ajouter une nouvelle annexe</w:t>
      </w:r>
      <w:r>
        <w:rPr>
          <w:i/>
          <w:lang w:val="fr-FR"/>
        </w:rPr>
        <w:t> </w:t>
      </w:r>
      <w:r w:rsidRPr="00F36C43">
        <w:rPr>
          <w:i/>
          <w:lang w:val="fr-FR"/>
        </w:rPr>
        <w:t>6</w:t>
      </w:r>
      <w:r w:rsidRPr="00F36C43">
        <w:rPr>
          <w:lang w:val="fr-FR"/>
        </w:rPr>
        <w:t>,</w:t>
      </w:r>
      <w:r w:rsidRPr="00F36C43">
        <w:rPr>
          <w:i/>
          <w:lang w:val="fr-FR"/>
        </w:rPr>
        <w:t xml:space="preserve"> </w:t>
      </w:r>
      <w:r w:rsidRPr="00F36C43">
        <w:rPr>
          <w:iCs/>
          <w:lang w:val="fr-FR"/>
        </w:rPr>
        <w:t>libellée comme suit</w:t>
      </w:r>
      <w:r>
        <w:rPr>
          <w:iCs/>
          <w:lang w:val="fr-FR"/>
        </w:rPr>
        <w:t> </w:t>
      </w:r>
      <w:r w:rsidRPr="00F36C43">
        <w:rPr>
          <w:iCs/>
          <w:lang w:val="fr-FR"/>
        </w:rPr>
        <w:t>:</w:t>
      </w:r>
    </w:p>
    <w:p w:rsidR="00F36C43" w:rsidRPr="00F36C43" w:rsidRDefault="00F36C43" w:rsidP="002412C4">
      <w:pPr>
        <w:pStyle w:val="HChG"/>
        <w:rPr>
          <w:lang w:val="fr-FR"/>
        </w:rPr>
      </w:pPr>
      <w:r w:rsidRPr="00F36C43">
        <w:rPr>
          <w:sz w:val="20"/>
          <w:lang w:val="fr-FR"/>
        </w:rPr>
        <w:t>« </w:t>
      </w:r>
      <w:r w:rsidRPr="00F36C43">
        <w:rPr>
          <w:lang w:val="fr-FR"/>
        </w:rPr>
        <w:t>Annexe</w:t>
      </w:r>
      <w:r>
        <w:rPr>
          <w:lang w:val="fr-FR"/>
        </w:rPr>
        <w:t> </w:t>
      </w:r>
      <w:r w:rsidRPr="00F36C43">
        <w:rPr>
          <w:lang w:val="fr-FR"/>
        </w:rPr>
        <w:t>6</w:t>
      </w:r>
    </w:p>
    <w:p w:rsidR="00F36C43" w:rsidRPr="00F36C43" w:rsidRDefault="00F36C43" w:rsidP="002412C4">
      <w:pPr>
        <w:pStyle w:val="HChG"/>
        <w:rPr>
          <w:lang w:val="fr-FR"/>
        </w:rPr>
      </w:pPr>
      <w:r w:rsidRPr="00F36C43">
        <w:rPr>
          <w:lang w:val="fr-FR"/>
        </w:rPr>
        <w:tab/>
      </w:r>
      <w:r w:rsidRPr="00F36C43">
        <w:rPr>
          <w:lang w:val="fr-FR"/>
        </w:rPr>
        <w:tab/>
        <w:t>Dispositions relatives à une étiquette pour les véhicules des</w:t>
      </w:r>
      <w:r w:rsidR="002412C4">
        <w:rPr>
          <w:lang w:val="fr-FR"/>
        </w:rPr>
        <w:t> </w:t>
      </w:r>
      <w:r w:rsidRPr="00F36C43">
        <w:rPr>
          <w:lang w:val="fr-FR"/>
        </w:rPr>
        <w:t>catégories</w:t>
      </w:r>
      <w:r>
        <w:rPr>
          <w:lang w:val="fr-FR"/>
        </w:rPr>
        <w:t> </w:t>
      </w:r>
      <w:r w:rsidRPr="00F36C43">
        <w:rPr>
          <w:lang w:val="fr-FR"/>
        </w:rPr>
        <w:t>M</w:t>
      </w:r>
      <w:r w:rsidRPr="00F36C43">
        <w:rPr>
          <w:vertAlign w:val="subscript"/>
          <w:lang w:val="fr-FR"/>
        </w:rPr>
        <w:t>2</w:t>
      </w:r>
      <w:r w:rsidRPr="00F36C43">
        <w:rPr>
          <w:lang w:val="fr-FR"/>
        </w:rPr>
        <w:t>/N</w:t>
      </w:r>
      <w:r w:rsidRPr="00F36C43">
        <w:rPr>
          <w:vertAlign w:val="subscript"/>
          <w:lang w:val="fr-FR"/>
        </w:rPr>
        <w:t>2</w:t>
      </w:r>
      <w:r w:rsidRPr="00F36C43">
        <w:rPr>
          <w:lang w:val="fr-FR"/>
        </w:rPr>
        <w:t xml:space="preserve"> et M</w:t>
      </w:r>
      <w:r w:rsidRPr="00F36C43">
        <w:rPr>
          <w:vertAlign w:val="subscript"/>
          <w:lang w:val="fr-FR"/>
        </w:rPr>
        <w:t>3</w:t>
      </w:r>
      <w:bookmarkEnd w:id="1"/>
      <w:r w:rsidRPr="00F36C43">
        <w:rPr>
          <w:lang w:val="fr-FR"/>
        </w:rPr>
        <w:t>/N</w:t>
      </w:r>
      <w:r w:rsidRPr="00F36C43">
        <w:rPr>
          <w:vertAlign w:val="subscript"/>
          <w:lang w:val="fr-FR"/>
        </w:rPr>
        <w:t xml:space="preserve">3 </w:t>
      </w:r>
      <w:r w:rsidRPr="00F36C43">
        <w:rPr>
          <w:lang w:val="fr-FR"/>
        </w:rPr>
        <w:t xml:space="preserve">fonctionnant </w:t>
      </w:r>
      <w:r w:rsidR="002412C4">
        <w:rPr>
          <w:lang w:val="fr-FR"/>
        </w:rPr>
        <w:br/>
      </w:r>
      <w:r w:rsidRPr="00F36C43">
        <w:rPr>
          <w:lang w:val="fr-FR"/>
        </w:rPr>
        <w:t>à l’hydrogène comprimé</w:t>
      </w:r>
    </w:p>
    <w:p w:rsidR="00F36C43" w:rsidRPr="00F36C43" w:rsidRDefault="00F36C43" w:rsidP="00F36C43">
      <w:pPr>
        <w:pStyle w:val="SingleTxtG"/>
        <w:rPr>
          <w:lang w:val="fr-FR"/>
        </w:rPr>
      </w:pPr>
      <w:r w:rsidRPr="00F36C43">
        <w:rPr>
          <w:lang w:val="fr-FR"/>
        </w:rPr>
        <w:t>(Paragraphe 7.1.7.1 et 7.1.7.3. du présent Règlement</w:t>
      </w:r>
      <w:r>
        <w:rPr>
          <w:lang w:val="fr-FR"/>
        </w:rPr>
        <w:t>.</w:t>
      </w:r>
      <w:r w:rsidRPr="00F36C43">
        <w:rPr>
          <w:lang w:val="fr-FR"/>
        </w:rPr>
        <w:t>)</w:t>
      </w:r>
    </w:p>
    <w:p w:rsidR="00F36C43" w:rsidRPr="00F36C43" w:rsidRDefault="00F36C43" w:rsidP="00F36C43">
      <w:pPr>
        <w:pStyle w:val="SingleTxtG"/>
        <w:rPr>
          <w:b/>
          <w:lang w:val="fr-FR"/>
        </w:rPr>
      </w:pPr>
    </w:p>
    <w:p w:rsidR="00F36C43" w:rsidRPr="00F36C43" w:rsidRDefault="00F36C43" w:rsidP="00F36C43">
      <w:pPr>
        <w:pStyle w:val="SingleTxtG"/>
        <w:rPr>
          <w:b/>
          <w:i/>
          <w:lang w:val="fr-FR"/>
        </w:rPr>
      </w:pPr>
      <w:r w:rsidRPr="00F36C43">
        <w:rPr>
          <w:b/>
          <w:i/>
        </w:rPr>
        <w:drawing>
          <wp:inline distT="0" distB="0" distL="0" distR="0" wp14:anchorId="60CEACB8" wp14:editId="73C4F93D">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pic:spPr>
                </pic:pic>
              </a:graphicData>
            </a:graphic>
          </wp:inline>
        </w:drawing>
      </w:r>
    </w:p>
    <w:p w:rsidR="00F36C43" w:rsidRPr="00F36C43" w:rsidRDefault="00F36C43" w:rsidP="00F36C43">
      <w:pPr>
        <w:pStyle w:val="SingleTxtG"/>
        <w:rPr>
          <w:lang w:val="fr-FR"/>
        </w:rPr>
      </w:pPr>
      <w:r w:rsidRPr="00F36C43">
        <w:rPr>
          <w:lang w:val="fr-FR"/>
        </w:rPr>
        <w:t>L’étiquette est un autocollant qui doit être résistant aux intempéries.</w:t>
      </w:r>
    </w:p>
    <w:p w:rsidR="00F36C43" w:rsidRPr="00F36C43" w:rsidRDefault="00F36C43" w:rsidP="00F36C43">
      <w:pPr>
        <w:pStyle w:val="SingleTxtG"/>
        <w:rPr>
          <w:lang w:val="fr-FR"/>
        </w:rPr>
      </w:pPr>
      <w:r w:rsidRPr="00F36C43">
        <w:rPr>
          <w:lang w:val="fr-FR"/>
        </w:rPr>
        <w:t>La zone centrale indique la source d’énergie première.</w:t>
      </w:r>
    </w:p>
    <w:p w:rsidR="00F36C43" w:rsidRPr="00F36C43" w:rsidRDefault="00F36C43" w:rsidP="00F36C43">
      <w:pPr>
        <w:pStyle w:val="SingleTxtG"/>
        <w:rPr>
          <w:lang w:val="fr-FR"/>
        </w:rPr>
      </w:pPr>
      <w:r w:rsidRPr="00F36C43">
        <w:rPr>
          <w:lang w:val="fr-FR"/>
        </w:rPr>
        <w:t>La zone supérieure indique la source d’énergie secondaire.</w:t>
      </w:r>
    </w:p>
    <w:p w:rsidR="00F36C43" w:rsidRPr="00F36C43" w:rsidRDefault="00F36C43" w:rsidP="00F36C43">
      <w:pPr>
        <w:pStyle w:val="SingleTxtG"/>
        <w:rPr>
          <w:lang w:val="fr-FR"/>
        </w:rPr>
      </w:pPr>
      <w:r w:rsidRPr="00F36C43">
        <w:rPr>
          <w:lang w:val="fr-FR"/>
        </w:rPr>
        <w:t>La zone de gauche indique le comportement du gaz en raison de sa densité.</w:t>
      </w:r>
    </w:p>
    <w:p w:rsidR="00F36C43" w:rsidRPr="00F36C43" w:rsidRDefault="00F36C43" w:rsidP="00F36C43">
      <w:pPr>
        <w:pStyle w:val="SingleTxtG"/>
        <w:rPr>
          <w:lang w:val="fr-FR"/>
        </w:rPr>
      </w:pPr>
      <w:r w:rsidRPr="00F36C43">
        <w:rPr>
          <w:lang w:val="fr-FR"/>
        </w:rPr>
        <w:lastRenderedPageBreak/>
        <w:t xml:space="preserve">La zone de droite indique l’état d’agrégation du carburant gazeux présent dans le réservoir. </w:t>
      </w:r>
    </w:p>
    <w:p w:rsidR="00F36C43" w:rsidRPr="00F36C43" w:rsidRDefault="00F36C43" w:rsidP="00F36C43">
      <w:pPr>
        <w:pStyle w:val="SingleTxtG"/>
        <w:rPr>
          <w:lang w:val="fr-FR"/>
        </w:rPr>
      </w:pPr>
      <w:r w:rsidRPr="00F36C43">
        <w:rPr>
          <w:lang w:val="fr-FR"/>
        </w:rPr>
        <w:t>Le schéma et les symboles doivent être conformes à la norme ISO</w:t>
      </w:r>
      <w:r>
        <w:rPr>
          <w:lang w:val="fr-FR"/>
        </w:rPr>
        <w:t> </w:t>
      </w:r>
      <w:r w:rsidRPr="00F36C43">
        <w:rPr>
          <w:lang w:val="fr-FR"/>
        </w:rPr>
        <w:t>17840-4:2018.</w:t>
      </w:r>
    </w:p>
    <w:p w:rsidR="00F36C43" w:rsidRPr="00F36C43" w:rsidRDefault="00F36C43" w:rsidP="00F36C43">
      <w:pPr>
        <w:pStyle w:val="SingleTxtG"/>
        <w:rPr>
          <w:lang w:val="fr-FR"/>
        </w:rPr>
      </w:pPr>
      <w:r w:rsidRPr="00F36C43">
        <w:rPr>
          <w:lang w:val="fr-FR"/>
        </w:rPr>
        <w:t>La couleur et les dimensions de l’autocollant doivent  être conformes aux prescriptions suivantes :</w:t>
      </w:r>
    </w:p>
    <w:p w:rsidR="00F36C43" w:rsidRPr="00F36C43" w:rsidRDefault="00F36C43" w:rsidP="00F36C43">
      <w:pPr>
        <w:pStyle w:val="SingleTxtG"/>
        <w:rPr>
          <w:lang w:val="fr-FR"/>
        </w:rPr>
      </w:pPr>
      <w:r w:rsidRPr="00F36C43">
        <w:rPr>
          <w:lang w:val="fr-FR"/>
        </w:rPr>
        <w:t>Couleurs</w:t>
      </w:r>
    </w:p>
    <w:p w:rsidR="00F36C43" w:rsidRPr="00F36C43" w:rsidRDefault="00F36C43" w:rsidP="00F36C43">
      <w:pPr>
        <w:pStyle w:val="SingleTxtG"/>
        <w:ind w:left="3969" w:hanging="2268"/>
        <w:rPr>
          <w:lang w:val="fr-FR"/>
        </w:rPr>
      </w:pPr>
      <w:r w:rsidRPr="00F36C43">
        <w:rPr>
          <w:lang w:val="fr-FR"/>
        </w:rPr>
        <w:t>Fond</w:t>
      </w:r>
      <w:r>
        <w:rPr>
          <w:lang w:val="fr-FR"/>
        </w:rPr>
        <w:t> :</w:t>
      </w:r>
      <w:r w:rsidRPr="00F36C43">
        <w:rPr>
          <w:lang w:val="fr-FR"/>
        </w:rPr>
        <w:tab/>
      </w:r>
      <w:r>
        <w:rPr>
          <w:lang w:val="fr-FR"/>
        </w:rPr>
        <w:tab/>
      </w:r>
      <w:r w:rsidRPr="00F36C43">
        <w:rPr>
          <w:lang w:val="fr-FR"/>
        </w:rPr>
        <w:t>bleu clair, RVB codes</w:t>
      </w:r>
      <w:r w:rsidR="00AA781C">
        <w:rPr>
          <w:lang w:val="fr-FR"/>
        </w:rPr>
        <w:t> </w:t>
      </w:r>
      <w:r w:rsidRPr="00F36C43">
        <w:rPr>
          <w:lang w:val="fr-FR"/>
        </w:rPr>
        <w:t>0, 176, 240</w:t>
      </w:r>
    </w:p>
    <w:p w:rsidR="00F36C43" w:rsidRPr="00F36C43" w:rsidRDefault="00F36C43" w:rsidP="00F36C43">
      <w:pPr>
        <w:pStyle w:val="SingleTxtG"/>
        <w:ind w:left="3969" w:hanging="2268"/>
        <w:rPr>
          <w:lang w:val="fr-FR"/>
        </w:rPr>
      </w:pPr>
      <w:r w:rsidRPr="00F36C43">
        <w:rPr>
          <w:lang w:val="fr-FR"/>
        </w:rPr>
        <w:t>Bordure</w:t>
      </w:r>
      <w:r>
        <w:rPr>
          <w:lang w:val="fr-FR"/>
        </w:rPr>
        <w:t> ;</w:t>
      </w:r>
      <w:r w:rsidRPr="00F36C43">
        <w:rPr>
          <w:lang w:val="fr-FR"/>
        </w:rPr>
        <w:tab/>
        <w:t>blanc ou blanc réfléchissant</w:t>
      </w:r>
    </w:p>
    <w:p w:rsidR="00F36C43" w:rsidRPr="00F36C43" w:rsidRDefault="00F36C43" w:rsidP="00F36C43">
      <w:pPr>
        <w:pStyle w:val="SingleTxtG"/>
        <w:ind w:left="3969" w:hanging="2268"/>
        <w:rPr>
          <w:lang w:val="fr-FR"/>
        </w:rPr>
      </w:pPr>
      <w:r w:rsidRPr="00F36C43">
        <w:rPr>
          <w:lang w:val="fr-FR"/>
        </w:rPr>
        <w:t>Lettres</w:t>
      </w:r>
      <w:r>
        <w:rPr>
          <w:lang w:val="fr-FR"/>
        </w:rPr>
        <w:t> :</w:t>
      </w:r>
      <w:r w:rsidRPr="00F36C43">
        <w:rPr>
          <w:lang w:val="fr-FR"/>
        </w:rPr>
        <w:tab/>
        <w:t>blanc ou blanc réfléchissant</w:t>
      </w:r>
    </w:p>
    <w:p w:rsidR="00F36C43" w:rsidRPr="00F36C43" w:rsidRDefault="00F36C43" w:rsidP="00F36C43">
      <w:pPr>
        <w:pStyle w:val="SingleTxtG"/>
        <w:rPr>
          <w:lang w:val="fr-FR"/>
        </w:rPr>
      </w:pPr>
      <w:r w:rsidRPr="00F36C43">
        <w:rPr>
          <w:lang w:val="fr-FR"/>
        </w:rPr>
        <w:t>Dimensions</w:t>
      </w:r>
    </w:p>
    <w:p w:rsidR="00F36C43" w:rsidRPr="00F36C43" w:rsidRDefault="00F36C43" w:rsidP="00F36C43">
      <w:pPr>
        <w:pStyle w:val="SingleTxtG"/>
        <w:ind w:left="3969" w:hanging="2268"/>
        <w:rPr>
          <w:lang w:val="fr-FR"/>
        </w:rPr>
      </w:pPr>
      <w:r w:rsidRPr="00F36C43">
        <w:rPr>
          <w:lang w:val="fr-FR"/>
        </w:rPr>
        <w:t>Largeur de l’autocollant</w:t>
      </w:r>
      <w:r>
        <w:rPr>
          <w:lang w:val="fr-FR"/>
        </w:rPr>
        <w:t> :</w:t>
      </w:r>
      <w:r w:rsidRPr="00F36C43">
        <w:rPr>
          <w:lang w:val="fr-FR"/>
        </w:rPr>
        <w:tab/>
        <w:t>110</w:t>
      </w:r>
      <w:r>
        <w:rPr>
          <w:lang w:val="fr-FR"/>
        </w:rPr>
        <w:t>-</w:t>
      </w:r>
      <w:r w:rsidRPr="00F36C43">
        <w:rPr>
          <w:lang w:val="fr-FR"/>
        </w:rPr>
        <w:t>150</w:t>
      </w:r>
      <w:r w:rsidR="00AA781C">
        <w:rPr>
          <w:lang w:val="fr-FR"/>
        </w:rPr>
        <w:t> </w:t>
      </w:r>
      <w:r w:rsidRPr="00F36C43">
        <w:rPr>
          <w:lang w:val="fr-FR"/>
        </w:rPr>
        <w:t>mm</w:t>
      </w:r>
    </w:p>
    <w:p w:rsidR="00F36C43" w:rsidRPr="00F36C43" w:rsidRDefault="00F36C43" w:rsidP="00F36C43">
      <w:pPr>
        <w:pStyle w:val="SingleTxtG"/>
        <w:ind w:left="3969" w:hanging="2268"/>
        <w:rPr>
          <w:lang w:val="fr-FR"/>
        </w:rPr>
      </w:pPr>
      <w:r w:rsidRPr="00F36C43">
        <w:rPr>
          <w:lang w:val="fr-FR"/>
        </w:rPr>
        <w:t>Hauteur de l’autocollant</w:t>
      </w:r>
      <w:r>
        <w:rPr>
          <w:lang w:val="fr-FR"/>
        </w:rPr>
        <w:t> :</w:t>
      </w:r>
      <w:r w:rsidRPr="00F36C43">
        <w:rPr>
          <w:lang w:val="fr-FR"/>
        </w:rPr>
        <w:t xml:space="preserve"> </w:t>
      </w:r>
      <w:r w:rsidRPr="00F36C43">
        <w:rPr>
          <w:lang w:val="fr-FR"/>
        </w:rPr>
        <w:tab/>
        <w:t>80</w:t>
      </w:r>
      <w:r>
        <w:rPr>
          <w:lang w:val="fr-FR"/>
        </w:rPr>
        <w:t>-</w:t>
      </w:r>
      <w:r w:rsidRPr="00F36C43">
        <w:rPr>
          <w:lang w:val="fr-FR"/>
        </w:rPr>
        <w:t>110</w:t>
      </w:r>
      <w:r w:rsidR="00AA781C">
        <w:rPr>
          <w:lang w:val="fr-FR"/>
        </w:rPr>
        <w:t> </w:t>
      </w:r>
      <w:r w:rsidRPr="00F36C43">
        <w:rPr>
          <w:lang w:val="fr-FR"/>
        </w:rPr>
        <w:t>mm</w:t>
      </w:r>
      <w:r>
        <w:rPr>
          <w:lang w:val="fr-FR"/>
        </w:rPr>
        <w:t>.</w:t>
      </w:r>
      <w:r w:rsidRPr="00F36C43">
        <w:rPr>
          <w:lang w:val="fr-FR"/>
        </w:rPr>
        <w:t> »</w:t>
      </w:r>
    </w:p>
    <w:p w:rsidR="00F36C43" w:rsidRPr="00F36C43" w:rsidRDefault="00F36C43" w:rsidP="002412C4">
      <w:pPr>
        <w:pStyle w:val="HChG"/>
        <w:rPr>
          <w:lang w:val="fr-FR"/>
        </w:rPr>
      </w:pPr>
      <w:r w:rsidRPr="00F36C43">
        <w:rPr>
          <w:lang w:val="fr-FR"/>
        </w:rPr>
        <w:tab/>
        <w:t>II.</w:t>
      </w:r>
      <w:r w:rsidRPr="00F36C43">
        <w:rPr>
          <w:lang w:val="fr-FR"/>
        </w:rPr>
        <w:tab/>
      </w:r>
      <w:r w:rsidRPr="00F36C43">
        <w:rPr>
          <w:lang w:val="fr-FR"/>
        </w:rPr>
        <w:tab/>
        <w:t>Justification</w:t>
      </w:r>
    </w:p>
    <w:p w:rsidR="00F36C43" w:rsidRPr="00F36C43" w:rsidRDefault="00F36C43" w:rsidP="00F36C43">
      <w:pPr>
        <w:pStyle w:val="SingleTxtG"/>
        <w:rPr>
          <w:lang w:val="fr-FR"/>
        </w:rPr>
      </w:pPr>
      <w:r w:rsidRPr="00F36C43">
        <w:rPr>
          <w:lang w:val="fr-FR"/>
        </w:rPr>
        <w:t>1.</w:t>
      </w:r>
      <w:r w:rsidRPr="00F36C43">
        <w:rPr>
          <w:lang w:val="fr-FR"/>
        </w:rPr>
        <w:tab/>
        <w:t>Des dispositions relatives aux carburants gazeux et liquéfiés ont été établies dans les Règlements ONU pour les véhicules des catégories</w:t>
      </w:r>
      <w:r w:rsidR="00AA781C">
        <w:rPr>
          <w:lang w:val="fr-FR"/>
        </w:rPr>
        <w:t> </w:t>
      </w:r>
      <w:r w:rsidRPr="00F36C43">
        <w:rPr>
          <w:lang w:val="fr-FR"/>
        </w:rPr>
        <w:t>M</w:t>
      </w:r>
      <w:r w:rsidRPr="00F36C43">
        <w:rPr>
          <w:vertAlign w:val="subscript"/>
          <w:lang w:val="fr-FR"/>
        </w:rPr>
        <w:t>2</w:t>
      </w:r>
      <w:r w:rsidRPr="00F36C43">
        <w:rPr>
          <w:lang w:val="fr-FR"/>
        </w:rPr>
        <w:t xml:space="preserve"> et M</w:t>
      </w:r>
      <w:r w:rsidRPr="00F36C43">
        <w:rPr>
          <w:vertAlign w:val="subscript"/>
          <w:lang w:val="fr-FR"/>
        </w:rPr>
        <w:t>3</w:t>
      </w:r>
      <w:r w:rsidRPr="00F36C43">
        <w:rPr>
          <w:lang w:val="fr-FR"/>
        </w:rPr>
        <w:t xml:space="preserve"> fonctionnant au GPL (Règlement ONU</w:t>
      </w:r>
      <w:r>
        <w:rPr>
          <w:lang w:val="fr-FR"/>
        </w:rPr>
        <w:t> </w:t>
      </w:r>
      <w:r w:rsidRPr="00F36C43">
        <w:rPr>
          <w:lang w:val="fr-FR"/>
        </w:rPr>
        <w:t>n</w:t>
      </w:r>
      <w:r w:rsidRPr="00F36C43">
        <w:rPr>
          <w:vertAlign w:val="superscript"/>
          <w:lang w:val="fr-FR"/>
        </w:rPr>
        <w:t>o</w:t>
      </w:r>
      <w:r>
        <w:rPr>
          <w:lang w:val="fr-FR"/>
        </w:rPr>
        <w:t> </w:t>
      </w:r>
      <w:r w:rsidRPr="00F36C43">
        <w:rPr>
          <w:lang w:val="fr-FR"/>
        </w:rPr>
        <w:t>67, par.</w:t>
      </w:r>
      <w:r w:rsidR="00AA781C">
        <w:rPr>
          <w:lang w:val="fr-FR"/>
        </w:rPr>
        <w:t> </w:t>
      </w:r>
      <w:r w:rsidRPr="00F36C43">
        <w:rPr>
          <w:lang w:val="fr-FR"/>
        </w:rPr>
        <w:t>17.1.8, y compris l’annexe</w:t>
      </w:r>
      <w:r w:rsidR="00F61F9C">
        <w:rPr>
          <w:lang w:val="fr-FR"/>
        </w:rPr>
        <w:t> </w:t>
      </w:r>
      <w:r w:rsidRPr="00F36C43">
        <w:rPr>
          <w:lang w:val="fr-FR"/>
        </w:rPr>
        <w:t>16 pour les détails) et pour les véhicules des catégories M</w:t>
      </w:r>
      <w:r w:rsidRPr="00F36C43">
        <w:rPr>
          <w:vertAlign w:val="subscript"/>
          <w:lang w:val="fr-FR"/>
        </w:rPr>
        <w:t>2</w:t>
      </w:r>
      <w:r w:rsidRPr="00F36C43">
        <w:rPr>
          <w:lang w:val="fr-FR"/>
        </w:rPr>
        <w:t xml:space="preserve"> et M</w:t>
      </w:r>
      <w:r w:rsidRPr="00F36C43">
        <w:rPr>
          <w:vertAlign w:val="subscript"/>
          <w:lang w:val="fr-FR"/>
        </w:rPr>
        <w:t>3</w:t>
      </w:r>
      <w:r w:rsidRPr="00F36C43">
        <w:rPr>
          <w:lang w:val="fr-FR"/>
        </w:rPr>
        <w:t xml:space="preserve"> fonctionnant au GNC/GNL (Règlement ONU</w:t>
      </w:r>
      <w:r w:rsidR="00F61F9C">
        <w:rPr>
          <w:lang w:val="fr-FR"/>
        </w:rPr>
        <w:t> </w:t>
      </w:r>
      <w:r w:rsidRPr="00F36C43">
        <w:rPr>
          <w:lang w:val="fr-FR"/>
        </w:rPr>
        <w:t>n</w:t>
      </w:r>
      <w:r w:rsidRPr="00F36C43">
        <w:rPr>
          <w:vertAlign w:val="superscript"/>
          <w:lang w:val="fr-FR"/>
        </w:rPr>
        <w:t>o</w:t>
      </w:r>
      <w:r w:rsidR="00F61F9C">
        <w:rPr>
          <w:lang w:val="fr-FR"/>
        </w:rPr>
        <w:t> </w:t>
      </w:r>
      <w:r w:rsidRPr="00F36C43">
        <w:rPr>
          <w:lang w:val="fr-FR"/>
        </w:rPr>
        <w:t>110, par. 18.1.8, y compris les annexes</w:t>
      </w:r>
      <w:r w:rsidR="00F61F9C">
        <w:rPr>
          <w:lang w:val="fr-FR"/>
        </w:rPr>
        <w:t> </w:t>
      </w:r>
      <w:r w:rsidRPr="00F36C43">
        <w:rPr>
          <w:lang w:val="fr-FR"/>
        </w:rPr>
        <w:t>6 et 7 pour les détails).</w:t>
      </w:r>
    </w:p>
    <w:p w:rsidR="00F36C43" w:rsidRPr="00F36C43" w:rsidRDefault="00F36C43" w:rsidP="00F36C43">
      <w:pPr>
        <w:pStyle w:val="SingleTxtG"/>
        <w:rPr>
          <w:lang w:val="fr-FR"/>
        </w:rPr>
      </w:pPr>
      <w:r w:rsidRPr="00F36C43">
        <w:rPr>
          <w:lang w:val="fr-FR"/>
        </w:rPr>
        <w:t>2.</w:t>
      </w:r>
      <w:r w:rsidRPr="00F36C43">
        <w:rPr>
          <w:lang w:val="fr-FR"/>
        </w:rPr>
        <w:tab/>
        <w:t>L’objectif de cet étiquetage supplémentaire est d’aider les services d’urgence à déterminer le mode d’intervention à adopter vis à vis de ces véhicules en cas d’incendie. [Face à un feu, on peut décider de refroidir les réservoirs ou les bouteilles pour éviter l’activation des dispositifs de décompression thermo-commandé (TPRD) ou, si l’incendie a progressé au-delà de ce stade, de prendre des mesures pour atténuer les effets d’un feu torche ou d’une explosion. Les gaz comprimés et liquéfiés se comportent de manière différente dans les incendies].</w:t>
      </w:r>
    </w:p>
    <w:p w:rsidR="00F36C43" w:rsidRPr="00F36C43" w:rsidRDefault="00F36C43" w:rsidP="00F36C43">
      <w:pPr>
        <w:pStyle w:val="SingleTxtG"/>
        <w:rPr>
          <w:lang w:val="fr-FR"/>
        </w:rPr>
      </w:pPr>
      <w:r w:rsidRPr="00F36C43">
        <w:rPr>
          <w:lang w:val="fr-FR"/>
        </w:rPr>
        <w:t>3.</w:t>
      </w:r>
      <w:r w:rsidRPr="00F36C43">
        <w:rPr>
          <w:lang w:val="fr-FR"/>
        </w:rPr>
        <w:tab/>
        <w:t>Il est nécessaire d’étendre le champ d’application du Règlement aux véhicules des catégories N</w:t>
      </w:r>
      <w:r w:rsidRPr="00F36C43">
        <w:rPr>
          <w:vertAlign w:val="subscript"/>
          <w:lang w:val="fr-FR"/>
        </w:rPr>
        <w:t>2</w:t>
      </w:r>
      <w:r w:rsidRPr="00F36C43">
        <w:rPr>
          <w:lang w:val="fr-FR"/>
        </w:rPr>
        <w:t>/N</w:t>
      </w:r>
      <w:r w:rsidRPr="00F36C43">
        <w:rPr>
          <w:vertAlign w:val="subscript"/>
          <w:lang w:val="fr-FR"/>
        </w:rPr>
        <w:t>3</w:t>
      </w:r>
      <w:r w:rsidRPr="00F36C43">
        <w:rPr>
          <w:lang w:val="fr-FR"/>
        </w:rPr>
        <w:t xml:space="preserve"> en raison de la grande diversité de ces véhicules à l’heure actuelle, alors que par le passé ils étaient traditionnellement alimentés au diesel.</w:t>
      </w:r>
    </w:p>
    <w:p w:rsidR="00F36C43" w:rsidRPr="00F36C43" w:rsidRDefault="00F36C43" w:rsidP="00F36C43">
      <w:pPr>
        <w:pStyle w:val="SingleTxtG"/>
        <w:rPr>
          <w:lang w:val="fr-FR"/>
        </w:rPr>
      </w:pPr>
      <w:r w:rsidRPr="00F36C43">
        <w:rPr>
          <w:lang w:val="fr-FR"/>
        </w:rPr>
        <w:t>4.</w:t>
      </w:r>
      <w:r w:rsidRPr="00F36C43">
        <w:rPr>
          <w:lang w:val="fr-FR"/>
        </w:rPr>
        <w:tab/>
        <w:t>En ce qui concerne l’installation des étiquettes, la présente proposition vise à garantir la cohérence avec les Règlements ONU n</w:t>
      </w:r>
      <w:r w:rsidRPr="00F36C43">
        <w:rPr>
          <w:vertAlign w:val="superscript"/>
          <w:lang w:val="fr-FR"/>
        </w:rPr>
        <w:t>o</w:t>
      </w:r>
      <w:r w:rsidR="00F61F9C">
        <w:rPr>
          <w:vertAlign w:val="superscript"/>
          <w:lang w:val="fr-FR"/>
        </w:rPr>
        <w:t>s </w:t>
      </w:r>
      <w:r w:rsidRPr="00F36C43">
        <w:rPr>
          <w:lang w:val="fr-FR"/>
        </w:rPr>
        <w:t>67 et 110.</w:t>
      </w:r>
    </w:p>
    <w:p w:rsidR="00F36C43" w:rsidRPr="00F36C43" w:rsidRDefault="00F36C43" w:rsidP="00F36C43">
      <w:pPr>
        <w:pStyle w:val="SingleTxtG"/>
        <w:rPr>
          <w:lang w:val="fr-FR"/>
        </w:rPr>
      </w:pPr>
      <w:r w:rsidRPr="00F36C43">
        <w:rPr>
          <w:lang w:val="fr-FR"/>
        </w:rPr>
        <w:t>5.</w:t>
      </w:r>
      <w:r w:rsidRPr="00F36C43">
        <w:rPr>
          <w:lang w:val="fr-FR"/>
        </w:rPr>
        <w:tab/>
        <w:t>Le CTIF</w:t>
      </w:r>
      <w:r w:rsidRPr="00F36C43">
        <w:rPr>
          <w:rStyle w:val="Appelnotedebasdep"/>
        </w:rPr>
        <w:footnoteReference w:id="4"/>
      </w:r>
      <w:r w:rsidRPr="00F36C43">
        <w:rPr>
          <w:lang w:val="fr-FR"/>
        </w:rPr>
        <w:t xml:space="preserve"> recommande l’utilisation de symboles conformes à la norme internationale </w:t>
      </w:r>
      <w:r w:rsidRPr="00F36C43">
        <w:rPr>
          <w:b/>
          <w:lang w:val="fr-FR"/>
        </w:rPr>
        <w:t>ISO</w:t>
      </w:r>
      <w:r w:rsidR="00F61F9C">
        <w:rPr>
          <w:b/>
          <w:lang w:val="fr-FR"/>
        </w:rPr>
        <w:t> </w:t>
      </w:r>
      <w:r w:rsidRPr="00F36C43">
        <w:rPr>
          <w:b/>
          <w:lang w:val="fr-FR"/>
        </w:rPr>
        <w:t>17840-4, Partie</w:t>
      </w:r>
      <w:r w:rsidR="00F61F9C">
        <w:rPr>
          <w:b/>
          <w:lang w:val="fr-FR"/>
        </w:rPr>
        <w:t> </w:t>
      </w:r>
      <w:r w:rsidRPr="00F36C43">
        <w:rPr>
          <w:b/>
          <w:lang w:val="fr-FR"/>
        </w:rPr>
        <w:t>4 Identification de l’énergie de propulsion</w:t>
      </w:r>
      <w:r w:rsidRPr="00F36C43">
        <w:rPr>
          <w:lang w:val="fr-FR"/>
        </w:rPr>
        <w:t>.</w:t>
      </w:r>
    </w:p>
    <w:p w:rsidR="00F36C43" w:rsidRPr="00F36C43" w:rsidRDefault="00F36C43" w:rsidP="00F36C43">
      <w:pPr>
        <w:pStyle w:val="SingleTxtG"/>
        <w:rPr>
          <w:lang w:val="fr-FR"/>
        </w:rPr>
      </w:pPr>
      <w:r w:rsidRPr="00F36C43">
        <w:rPr>
          <w:lang w:val="fr-FR"/>
        </w:rPr>
        <w:t>6.</w:t>
      </w:r>
      <w:r w:rsidRPr="00F36C43">
        <w:rPr>
          <w:lang w:val="fr-FR"/>
        </w:rPr>
        <w:tab/>
        <w:t>La présente propos</w:t>
      </w:r>
      <w:bookmarkStart w:id="2" w:name="_GoBack"/>
      <w:bookmarkEnd w:id="2"/>
      <w:r w:rsidRPr="00F36C43">
        <w:rPr>
          <w:lang w:val="fr-FR"/>
        </w:rPr>
        <w:t>ition vise à harmoniser l’aspect de l’étiquette avec la norme</w:t>
      </w:r>
      <w:r w:rsidR="00AA781C">
        <w:rPr>
          <w:lang w:val="fr-FR"/>
        </w:rPr>
        <w:t> </w:t>
      </w:r>
      <w:r w:rsidRPr="00F36C43">
        <w:rPr>
          <w:lang w:val="fr-FR"/>
        </w:rPr>
        <w:t>ISO susmentionnée.</w:t>
      </w:r>
    </w:p>
    <w:bookmarkEnd w:id="0"/>
    <w:p w:rsidR="00F9573C" w:rsidRPr="00F61F9C" w:rsidRDefault="00F61F9C" w:rsidP="00F61F9C">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F61F9C" w:rsidSect="00F36C43">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14" w:rsidRDefault="00B54314" w:rsidP="00F95C08">
      <w:pPr>
        <w:spacing w:line="240" w:lineRule="auto"/>
      </w:pPr>
    </w:p>
  </w:endnote>
  <w:endnote w:type="continuationSeparator" w:id="0">
    <w:p w:rsidR="00B54314" w:rsidRPr="00AC3823" w:rsidRDefault="00B54314" w:rsidP="00AC3823">
      <w:pPr>
        <w:pStyle w:val="Pieddepage"/>
      </w:pPr>
    </w:p>
  </w:endnote>
  <w:endnote w:type="continuationNotice" w:id="1">
    <w:p w:rsidR="00B54314" w:rsidRDefault="00B54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43" w:rsidRPr="00F36C43" w:rsidRDefault="00F36C43" w:rsidP="00F36C43">
    <w:pPr>
      <w:pStyle w:val="Pieddepage"/>
      <w:tabs>
        <w:tab w:val="right" w:pos="9638"/>
      </w:tabs>
    </w:pPr>
    <w:r w:rsidRPr="00F36C43">
      <w:rPr>
        <w:b/>
        <w:sz w:val="18"/>
      </w:rPr>
      <w:fldChar w:fldCharType="begin"/>
    </w:r>
    <w:r w:rsidRPr="00F36C43">
      <w:rPr>
        <w:b/>
        <w:sz w:val="18"/>
      </w:rPr>
      <w:instrText xml:space="preserve"> PAGE  \* MERGEFORMAT </w:instrText>
    </w:r>
    <w:r w:rsidRPr="00F36C43">
      <w:rPr>
        <w:b/>
        <w:sz w:val="18"/>
      </w:rPr>
      <w:fldChar w:fldCharType="separate"/>
    </w:r>
    <w:r w:rsidRPr="00F36C43">
      <w:rPr>
        <w:b/>
        <w:noProof/>
        <w:sz w:val="18"/>
      </w:rPr>
      <w:t>2</w:t>
    </w:r>
    <w:r w:rsidRPr="00F36C43">
      <w:rPr>
        <w:b/>
        <w:sz w:val="18"/>
      </w:rPr>
      <w:fldChar w:fldCharType="end"/>
    </w:r>
    <w:r>
      <w:rPr>
        <w:b/>
        <w:sz w:val="18"/>
      </w:rPr>
      <w:tab/>
    </w:r>
    <w:r>
      <w:t>GE.20-02704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43" w:rsidRPr="00F36C43" w:rsidRDefault="00F36C43" w:rsidP="00F36C43">
    <w:pPr>
      <w:pStyle w:val="Pieddepage"/>
      <w:tabs>
        <w:tab w:val="right" w:pos="9638"/>
      </w:tabs>
      <w:rPr>
        <w:b/>
        <w:sz w:val="18"/>
      </w:rPr>
    </w:pPr>
    <w:r>
      <w:t>GE.20-02704</w:t>
    </w:r>
    <w:r>
      <w:tab/>
    </w:r>
    <w:r w:rsidRPr="00F36C43">
      <w:rPr>
        <w:b/>
        <w:sz w:val="18"/>
      </w:rPr>
      <w:fldChar w:fldCharType="begin"/>
    </w:r>
    <w:r w:rsidRPr="00F36C43">
      <w:rPr>
        <w:b/>
        <w:sz w:val="18"/>
      </w:rPr>
      <w:instrText xml:space="preserve"> PAGE  \* MERGEFORMAT </w:instrText>
    </w:r>
    <w:r w:rsidRPr="00F36C43">
      <w:rPr>
        <w:b/>
        <w:sz w:val="18"/>
      </w:rPr>
      <w:fldChar w:fldCharType="separate"/>
    </w:r>
    <w:r w:rsidRPr="00F36C43">
      <w:rPr>
        <w:b/>
        <w:noProof/>
        <w:sz w:val="18"/>
      </w:rPr>
      <w:t>3</w:t>
    </w:r>
    <w:r w:rsidRPr="00F36C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36C43" w:rsidRDefault="00F36C43" w:rsidP="00F36C43">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20-02704  (F)    130320    160320</w:t>
    </w:r>
    <w:r>
      <w:rPr>
        <w:sz w:val="20"/>
      </w:rPr>
      <w:br/>
    </w:r>
    <w:r w:rsidRPr="00F36C43">
      <w:rPr>
        <w:rFonts w:ascii="C39T30Lfz" w:hAnsi="C39T30Lfz"/>
        <w:sz w:val="56"/>
      </w:rPr>
      <w:t></w:t>
    </w:r>
    <w:r w:rsidRPr="00F36C43">
      <w:rPr>
        <w:rFonts w:ascii="C39T30Lfz" w:hAnsi="C39T30Lfz"/>
        <w:sz w:val="56"/>
      </w:rPr>
      <w:t></w:t>
    </w:r>
    <w:r w:rsidRPr="00F36C43">
      <w:rPr>
        <w:rFonts w:ascii="C39T30Lfz" w:hAnsi="C39T30Lfz"/>
        <w:sz w:val="56"/>
      </w:rPr>
      <w:t></w:t>
    </w:r>
    <w:r w:rsidRPr="00F36C43">
      <w:rPr>
        <w:rFonts w:ascii="C39T30Lfz" w:hAnsi="C39T30Lfz"/>
        <w:sz w:val="56"/>
      </w:rPr>
      <w:t></w:t>
    </w:r>
    <w:r w:rsidRPr="00F36C43">
      <w:rPr>
        <w:rFonts w:ascii="C39T30Lfz" w:hAnsi="C39T30Lfz"/>
        <w:sz w:val="56"/>
      </w:rPr>
      <w:t></w:t>
    </w:r>
    <w:r w:rsidRPr="00F36C43">
      <w:rPr>
        <w:rFonts w:ascii="C39T30Lfz" w:hAnsi="C39T30Lfz"/>
        <w:sz w:val="56"/>
      </w:rPr>
      <w:t></w:t>
    </w:r>
    <w:r w:rsidRPr="00F36C43">
      <w:rPr>
        <w:rFonts w:ascii="C39T30Lfz" w:hAnsi="C39T30Lfz"/>
        <w:sz w:val="56"/>
      </w:rPr>
      <w:t></w:t>
    </w:r>
    <w:r w:rsidRPr="00F36C43">
      <w:rPr>
        <w:rFonts w:ascii="C39T30Lfz" w:hAnsi="C39T30Lfz"/>
        <w:sz w:val="56"/>
      </w:rPr>
      <w:t></w:t>
    </w:r>
    <w:r w:rsidRPr="00F36C4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14" w:rsidRPr="00AC3823" w:rsidRDefault="00B54314" w:rsidP="00AC3823">
      <w:pPr>
        <w:pStyle w:val="Pieddepage"/>
        <w:tabs>
          <w:tab w:val="right" w:pos="2155"/>
        </w:tabs>
        <w:spacing w:after="80" w:line="240" w:lineRule="atLeast"/>
        <w:ind w:left="680"/>
        <w:rPr>
          <w:u w:val="single"/>
        </w:rPr>
      </w:pPr>
      <w:r>
        <w:rPr>
          <w:u w:val="single"/>
        </w:rPr>
        <w:tab/>
      </w:r>
    </w:p>
  </w:footnote>
  <w:footnote w:type="continuationSeparator" w:id="0">
    <w:p w:rsidR="00B54314" w:rsidRPr="00AC3823" w:rsidRDefault="00B54314" w:rsidP="00AC3823">
      <w:pPr>
        <w:pStyle w:val="Pieddepage"/>
        <w:tabs>
          <w:tab w:val="right" w:pos="2155"/>
        </w:tabs>
        <w:spacing w:after="80" w:line="240" w:lineRule="atLeast"/>
        <w:ind w:left="680"/>
        <w:rPr>
          <w:u w:val="single"/>
        </w:rPr>
      </w:pPr>
      <w:r>
        <w:rPr>
          <w:u w:val="single"/>
        </w:rPr>
        <w:tab/>
      </w:r>
    </w:p>
  </w:footnote>
  <w:footnote w:type="continuationNotice" w:id="1">
    <w:p w:rsidR="00B54314" w:rsidRPr="00AC3823" w:rsidRDefault="00B54314">
      <w:pPr>
        <w:spacing w:line="240" w:lineRule="auto"/>
        <w:rPr>
          <w:sz w:val="2"/>
          <w:szCs w:val="2"/>
        </w:rPr>
      </w:pPr>
    </w:p>
  </w:footnote>
  <w:footnote w:id="2">
    <w:p w:rsidR="00F36C43" w:rsidRPr="00B543DC" w:rsidRDefault="00F36C43" w:rsidP="00F36C43">
      <w:pPr>
        <w:pStyle w:val="Notedebasdepage"/>
      </w:pPr>
      <w:r>
        <w:tab/>
      </w:r>
      <w:r w:rsidRPr="00B543DC">
        <w:rPr>
          <w:rStyle w:val="Appelnotedebasdep"/>
          <w:sz w:val="20"/>
        </w:rPr>
        <w:t>*</w:t>
      </w:r>
      <w:r w:rsidRPr="00B543DC">
        <w:rPr>
          <w:sz w:val="20"/>
        </w:rPr>
        <w:tab/>
      </w:r>
      <w:r w:rsidRPr="00B543DC">
        <w:t>Conformément au programme de travail du Comité des transports intérieurs pour 2020 tel qu’il figure dans le projet de budget-programme pour 2020 (A/74/6 (titre</w:t>
      </w:r>
      <w:r>
        <w:t> </w:t>
      </w:r>
      <w:r w:rsidRPr="00B543DC">
        <w:t>V, chap.</w:t>
      </w:r>
      <w:r>
        <w:t> </w:t>
      </w:r>
      <w:r w:rsidRPr="00B543DC">
        <w:t>20), par.</w:t>
      </w:r>
      <w:r>
        <w:t> </w:t>
      </w:r>
      <w:r w:rsidRPr="00B543DC">
        <w:t xml:space="preserve">20.37), le Forum mondial a pour mission d’élaborer, d’harmoniser et de mettre à jour les Règlements ONU en vue d’améliorer les caractéristiques fonctionnelles des véhicules. Le présent document est soumis en vertu de ce mandat. </w:t>
      </w:r>
    </w:p>
  </w:footnote>
  <w:footnote w:id="3">
    <w:p w:rsidR="00F36C43" w:rsidRPr="00350539" w:rsidRDefault="00F36C43" w:rsidP="00F36C43">
      <w:pPr>
        <w:pStyle w:val="Notedebasdepage"/>
      </w:pPr>
      <w:r w:rsidRPr="00F36C43">
        <w:rPr>
          <w:rStyle w:val="Appelnotedebasdep"/>
          <w:vertAlign w:val="baseline"/>
        </w:rPr>
        <w:tab/>
      </w:r>
      <w:r w:rsidRPr="00F36C43">
        <w:rPr>
          <w:rStyle w:val="Appelnotedebasdep"/>
          <w:sz w:val="20"/>
          <w:vertAlign w:val="baseline"/>
        </w:rPr>
        <w:t>*</w:t>
      </w:r>
      <w:r w:rsidRPr="00F36C43">
        <w:rPr>
          <w:rStyle w:val="Appelnotedebasdep"/>
          <w:sz w:val="20"/>
          <w:vertAlign w:val="baseline"/>
        </w:rPr>
        <w:tab/>
      </w:r>
      <w:r w:rsidRPr="00635F41">
        <w:t>Le dernier chiffre n’est donné qu’à titre d’exemple</w:t>
      </w:r>
      <w:r w:rsidRPr="00350539">
        <w:t>.</w:t>
      </w:r>
    </w:p>
  </w:footnote>
  <w:footnote w:id="4">
    <w:p w:rsidR="00F36C43" w:rsidRPr="00505246" w:rsidRDefault="00F36C43" w:rsidP="00F36C43">
      <w:pPr>
        <w:pStyle w:val="Notedebasdepage"/>
      </w:pPr>
      <w:r>
        <w:tab/>
      </w:r>
      <w:r w:rsidRPr="00B543DC">
        <w:rPr>
          <w:rStyle w:val="Appelnotedebasdep"/>
        </w:rPr>
        <w:footnoteRef/>
      </w:r>
      <w:r w:rsidRPr="00505246">
        <w:t xml:space="preserve"> </w:t>
      </w:r>
      <w:r w:rsidR="00F61F9C">
        <w:tab/>
      </w:r>
      <w:r w:rsidRPr="00505246">
        <w:t>CTIF</w:t>
      </w:r>
      <w:r w:rsidR="00F61F9C">
        <w:t> </w:t>
      </w:r>
      <w:r w:rsidRPr="00505246">
        <w:t xml:space="preserve">: </w:t>
      </w:r>
      <w:r>
        <w:t xml:space="preserve">sigle du </w:t>
      </w:r>
      <w:r w:rsidRPr="00F61F9C">
        <w:t>« </w:t>
      </w:r>
      <w:r w:rsidRPr="00505246">
        <w:rPr>
          <w:i/>
        </w:rPr>
        <w:t>Comité Technique International de pr</w:t>
      </w:r>
      <w:r>
        <w:rPr>
          <w:i/>
        </w:rPr>
        <w:t>é</w:t>
      </w:r>
      <w:r w:rsidRPr="00505246">
        <w:rPr>
          <w:i/>
        </w:rPr>
        <w:t>vention et d</w:t>
      </w:r>
      <w:r w:rsidR="00B42684">
        <w:rPr>
          <w:i/>
        </w:rPr>
        <w:t>’</w:t>
      </w:r>
      <w:r w:rsidRPr="00505246">
        <w:rPr>
          <w:i/>
        </w:rPr>
        <w:t>extinction de Feu</w:t>
      </w:r>
      <w:r>
        <w:rPr>
          <w:i/>
        </w:rPr>
        <w:t> </w:t>
      </w:r>
      <w:r w:rsidRPr="00F61F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43" w:rsidRPr="00F36C43" w:rsidRDefault="00F36C43">
    <w:pPr>
      <w:pStyle w:val="En-tte"/>
    </w:pPr>
    <w:fldSimple w:instr=" TITLE  \* MERGEFORMAT ">
      <w:r w:rsidR="00F82463">
        <w:t>ECE/TRANS/WP.29/GRSP/2020/10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43" w:rsidRPr="00F36C43" w:rsidRDefault="00F36C43" w:rsidP="00F36C43">
    <w:pPr>
      <w:pStyle w:val="En-tte"/>
      <w:jc w:val="right"/>
    </w:pPr>
    <w:fldSimple w:instr=" TITLE  \* MERGEFORMAT ">
      <w:r w:rsidR="00F82463">
        <w:t>ECE/TRANS/WP.29/GRSP/2020/10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4314"/>
    <w:rsid w:val="00017F94"/>
    <w:rsid w:val="00023842"/>
    <w:rsid w:val="000334F9"/>
    <w:rsid w:val="00045FEB"/>
    <w:rsid w:val="0007796D"/>
    <w:rsid w:val="000B7790"/>
    <w:rsid w:val="00111F2F"/>
    <w:rsid w:val="0014365E"/>
    <w:rsid w:val="00143C66"/>
    <w:rsid w:val="00176178"/>
    <w:rsid w:val="001F525A"/>
    <w:rsid w:val="00223272"/>
    <w:rsid w:val="002412C4"/>
    <w:rsid w:val="0024779E"/>
    <w:rsid w:val="00257168"/>
    <w:rsid w:val="002744B8"/>
    <w:rsid w:val="002832AC"/>
    <w:rsid w:val="002D7C93"/>
    <w:rsid w:val="00305801"/>
    <w:rsid w:val="003916DE"/>
    <w:rsid w:val="00421996"/>
    <w:rsid w:val="00441C3B"/>
    <w:rsid w:val="00446FE5"/>
    <w:rsid w:val="00452396"/>
    <w:rsid w:val="004837D8"/>
    <w:rsid w:val="004E2EED"/>
    <w:rsid w:val="004E468C"/>
    <w:rsid w:val="004F05FA"/>
    <w:rsid w:val="00512C54"/>
    <w:rsid w:val="005505B7"/>
    <w:rsid w:val="00573BE5"/>
    <w:rsid w:val="00586ED3"/>
    <w:rsid w:val="00596AA9"/>
    <w:rsid w:val="00657C27"/>
    <w:rsid w:val="0071601D"/>
    <w:rsid w:val="007A62E6"/>
    <w:rsid w:val="007F20FA"/>
    <w:rsid w:val="0080684C"/>
    <w:rsid w:val="00871C75"/>
    <w:rsid w:val="008776DC"/>
    <w:rsid w:val="009446C0"/>
    <w:rsid w:val="009705C8"/>
    <w:rsid w:val="009C1CF4"/>
    <w:rsid w:val="009F6B74"/>
    <w:rsid w:val="00A3029F"/>
    <w:rsid w:val="00A30353"/>
    <w:rsid w:val="00A75539"/>
    <w:rsid w:val="00AA781C"/>
    <w:rsid w:val="00AB16B1"/>
    <w:rsid w:val="00AC3823"/>
    <w:rsid w:val="00AE323C"/>
    <w:rsid w:val="00AF0CB5"/>
    <w:rsid w:val="00B00181"/>
    <w:rsid w:val="00B00B0D"/>
    <w:rsid w:val="00B42684"/>
    <w:rsid w:val="00B45F2E"/>
    <w:rsid w:val="00B54314"/>
    <w:rsid w:val="00B765F7"/>
    <w:rsid w:val="00BA0CA9"/>
    <w:rsid w:val="00C02897"/>
    <w:rsid w:val="00C97039"/>
    <w:rsid w:val="00D3439C"/>
    <w:rsid w:val="00DB1831"/>
    <w:rsid w:val="00DD3BFD"/>
    <w:rsid w:val="00DF6678"/>
    <w:rsid w:val="00E0299A"/>
    <w:rsid w:val="00E824D7"/>
    <w:rsid w:val="00E85C74"/>
    <w:rsid w:val="00EA6547"/>
    <w:rsid w:val="00EF2E22"/>
    <w:rsid w:val="00F35BAF"/>
    <w:rsid w:val="00F36C43"/>
    <w:rsid w:val="00F61F9C"/>
    <w:rsid w:val="00F660DF"/>
    <w:rsid w:val="00F8246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438D68"/>
  <w15:docId w15:val="{B629F937-47D6-4ACD-94EF-8F3B10DD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D214-317F-455C-8AC6-12A9DC92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5</Pages>
  <Words>1032</Words>
  <Characters>7226</Characters>
  <Application>Microsoft Office Word</Application>
  <DocSecurity>0</DocSecurity>
  <Lines>602</Lines>
  <Paragraphs>330</Paragraphs>
  <ScaleCrop>false</ScaleCrop>
  <HeadingPairs>
    <vt:vector size="2" baseType="variant">
      <vt:variant>
        <vt:lpstr>Titre</vt:lpstr>
      </vt:variant>
      <vt:variant>
        <vt:i4>1</vt:i4>
      </vt:variant>
    </vt:vector>
  </HeadingPairs>
  <TitlesOfParts>
    <vt:vector size="1" baseType="lpstr">
      <vt:lpstr>ECE/TRANS/WP.29/GRSP/2020/10</vt:lpstr>
    </vt:vector>
  </TitlesOfParts>
  <Company>DCM</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ECE/TRANS/WP.29/GRSP/2020/10</dc:title>
  <dc:subject/>
  <dc:creator>Edith BOURION</dc:creator>
  <cp:keywords/>
  <cp:lastModifiedBy>Edith Bourion</cp:lastModifiedBy>
  <cp:revision>2</cp:revision>
  <cp:lastPrinted>2020-03-16T09:07:00Z</cp:lastPrinted>
  <dcterms:created xsi:type="dcterms:W3CDTF">2020-03-16T10:34:00Z</dcterms:created>
  <dcterms:modified xsi:type="dcterms:W3CDTF">2020-03-16T10:34:00Z</dcterms:modified>
</cp:coreProperties>
</file>