
<file path=[Content_Types].xml><?xml version="1.0" encoding="utf-8"?>
<Types xmlns="http://schemas.openxmlformats.org/package/2006/content-types">
  <Default Extension="2B5C8550"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E5FA" w14:textId="072D0212" w:rsidR="00735ECE" w:rsidRPr="003627F5" w:rsidRDefault="00735ECE" w:rsidP="00E752F1">
      <w:pPr>
        <w:pStyle w:val="HChG"/>
        <w:ind w:left="0" w:firstLine="0"/>
      </w:pPr>
      <w:r w:rsidRPr="003627F5">
        <w:t>Proposal</w:t>
      </w:r>
      <w:r w:rsidR="00631128" w:rsidRPr="003627F5">
        <w:t xml:space="preserve"> </w:t>
      </w:r>
      <w:r w:rsidR="002702BB" w:rsidRPr="003627F5">
        <w:t xml:space="preserve">for </w:t>
      </w:r>
      <w:r w:rsidR="009A54F8" w:rsidRPr="003627F5">
        <w:t>S</w:t>
      </w:r>
      <w:r w:rsidR="002702BB" w:rsidRPr="003627F5">
        <w:t>upplement</w:t>
      </w:r>
      <w:r w:rsidR="009A54F8" w:rsidRPr="003627F5">
        <w:t xml:space="preserve"> 2</w:t>
      </w:r>
      <w:r w:rsidR="002702BB" w:rsidRPr="003627F5">
        <w:t xml:space="preserve"> to </w:t>
      </w:r>
      <w:r w:rsidR="009A54F8" w:rsidRPr="003627F5">
        <w:t xml:space="preserve">the 01 series of amendments of </w:t>
      </w:r>
      <w:r w:rsidR="00550308" w:rsidRPr="003627F5">
        <w:t xml:space="preserve">UN </w:t>
      </w:r>
      <w:r w:rsidR="002702BB" w:rsidRPr="003627F5">
        <w:t>Regulation No. 125</w:t>
      </w:r>
    </w:p>
    <w:p w14:paraId="25F2802A" w14:textId="76945FC3" w:rsidR="00DD3734" w:rsidRPr="003627F5" w:rsidRDefault="00DD3734" w:rsidP="00DD3734">
      <w:pPr>
        <w:pStyle w:val="H1G"/>
      </w:pPr>
      <w:r w:rsidRPr="003627F5">
        <w:tab/>
      </w:r>
      <w:r w:rsidRPr="003627F5">
        <w:tab/>
        <w:t>Submitted by</w:t>
      </w:r>
      <w:r w:rsidR="00FB611E" w:rsidRPr="003627F5">
        <w:t xml:space="preserve"> the expert from </w:t>
      </w:r>
      <w:r w:rsidR="00DA2B83" w:rsidRPr="003627F5">
        <w:t xml:space="preserve">the </w:t>
      </w:r>
    </w:p>
    <w:p w14:paraId="632B84A7" w14:textId="4DDBAE4E" w:rsidR="00550308" w:rsidRPr="003627F5" w:rsidRDefault="00631128" w:rsidP="00FB611E">
      <w:pPr>
        <w:pStyle w:val="SingleTxtG"/>
        <w:ind w:firstLine="567"/>
        <w:rPr>
          <w:sz w:val="21"/>
          <w:szCs w:val="21"/>
        </w:rPr>
      </w:pPr>
      <w:r w:rsidRPr="003627F5">
        <w:rPr>
          <w:szCs w:val="23"/>
        </w:rPr>
        <w:t xml:space="preserve">The text reproduced below was prepared by the expert from </w:t>
      </w:r>
      <w:r w:rsidR="00A86A56" w:rsidRPr="003627F5">
        <w:t xml:space="preserve">  </w:t>
      </w:r>
      <w:r w:rsidR="004D34F4">
        <w:t>OICA</w:t>
      </w:r>
      <w:r w:rsidR="004D34F4" w:rsidRPr="003627F5">
        <w:t xml:space="preserve"> </w:t>
      </w:r>
      <w:r w:rsidR="004D34F4" w:rsidRPr="003627F5">
        <w:rPr>
          <w:szCs w:val="23"/>
        </w:rPr>
        <w:t>to</w:t>
      </w:r>
      <w:r w:rsidRPr="003627F5">
        <w:rPr>
          <w:szCs w:val="23"/>
        </w:rPr>
        <w:t xml:space="preserve"> </w:t>
      </w:r>
      <w:r w:rsidR="00A86A56" w:rsidRPr="003627F5">
        <w:rPr>
          <w:szCs w:val="23"/>
        </w:rPr>
        <w:t xml:space="preserve">amend ECE/TRANS/WP.29/GRSG/2020/11 to </w:t>
      </w:r>
      <w:r w:rsidR="002702BB" w:rsidRPr="003627F5">
        <w:rPr>
          <w:szCs w:val="23"/>
        </w:rPr>
        <w:t>ex</w:t>
      </w:r>
      <w:r w:rsidR="00A86A56" w:rsidRPr="003627F5">
        <w:rPr>
          <w:szCs w:val="23"/>
        </w:rPr>
        <w:t xml:space="preserve">empt </w:t>
      </w:r>
      <w:r w:rsidR="004D34F4" w:rsidRPr="004D34F4">
        <w:rPr>
          <w:szCs w:val="23"/>
        </w:rPr>
        <w:t xml:space="preserve">foldable/adjustable </w:t>
      </w:r>
      <w:r w:rsidR="00A86A56" w:rsidRPr="003627F5">
        <w:rPr>
          <w:szCs w:val="23"/>
        </w:rPr>
        <w:t>parti</w:t>
      </w:r>
      <w:r w:rsidR="003627F5">
        <w:rPr>
          <w:szCs w:val="23"/>
        </w:rPr>
        <w:t>ti</w:t>
      </w:r>
      <w:r w:rsidR="00A86A56" w:rsidRPr="003627F5">
        <w:rPr>
          <w:szCs w:val="23"/>
        </w:rPr>
        <w:t>oning systems</w:t>
      </w:r>
      <w:r w:rsidRPr="003627F5">
        <w:t xml:space="preserve">. </w:t>
      </w:r>
      <w:r w:rsidRPr="003627F5">
        <w:rPr>
          <w:szCs w:val="23"/>
        </w:rPr>
        <w:t xml:space="preserve">The modifications to the current text of the UN Regulations are marked </w:t>
      </w:r>
      <w:r w:rsidRPr="003627F5">
        <w:rPr>
          <w:b/>
          <w:szCs w:val="23"/>
        </w:rPr>
        <w:t xml:space="preserve">in </w:t>
      </w:r>
      <w:r w:rsidR="00444332" w:rsidRPr="003627F5">
        <w:rPr>
          <w:b/>
          <w:szCs w:val="23"/>
        </w:rPr>
        <w:t>bold</w:t>
      </w:r>
      <w:r w:rsidR="00735ECE" w:rsidRPr="003627F5">
        <w:rPr>
          <w:sz w:val="21"/>
          <w:szCs w:val="21"/>
        </w:rPr>
        <w:t>.</w:t>
      </w:r>
      <w:r w:rsidR="00A86A56" w:rsidRPr="003627F5">
        <w:rPr>
          <w:sz w:val="21"/>
          <w:szCs w:val="21"/>
        </w:rPr>
        <w:t xml:space="preserve"> </w:t>
      </w:r>
      <w:r w:rsidR="00A86A56" w:rsidRPr="003627F5">
        <w:rPr>
          <w:sz w:val="21"/>
          <w:szCs w:val="21"/>
          <w:highlight w:val="lightGray"/>
        </w:rPr>
        <w:t xml:space="preserve">The greyed text is the original proposal in </w:t>
      </w:r>
      <w:r w:rsidR="00A86A56" w:rsidRPr="003627F5">
        <w:rPr>
          <w:szCs w:val="23"/>
          <w:highlight w:val="lightGray"/>
        </w:rPr>
        <w:t>ECE/TRANS/WP.29/GRSG/2020/11.</w:t>
      </w:r>
    </w:p>
    <w:p w14:paraId="0D2A828D" w14:textId="77777777" w:rsidR="00E752F1" w:rsidRPr="003627F5" w:rsidRDefault="00E752F1" w:rsidP="00E752F1">
      <w:pPr>
        <w:suppressAutoHyphens w:val="0"/>
        <w:spacing w:line="240" w:lineRule="auto"/>
        <w:rPr>
          <w:sz w:val="21"/>
          <w:szCs w:val="21"/>
        </w:rPr>
      </w:pPr>
    </w:p>
    <w:p w14:paraId="67436CDB" w14:textId="427E9518" w:rsidR="00550308" w:rsidRPr="003627F5" w:rsidRDefault="00550308" w:rsidP="00E752F1">
      <w:pPr>
        <w:suppressAutoHyphens w:val="0"/>
        <w:spacing w:line="240" w:lineRule="auto"/>
        <w:rPr>
          <w:sz w:val="21"/>
          <w:szCs w:val="21"/>
        </w:rPr>
      </w:pPr>
      <w:r w:rsidRPr="003627F5">
        <w:t>Supplement 2 to the 01 series of amendments of UN Regulation No. 125</w:t>
      </w:r>
    </w:p>
    <w:p w14:paraId="178CD9C1" w14:textId="229B7DCF" w:rsidR="00735ECE" w:rsidRPr="003627F5" w:rsidRDefault="00735ECE" w:rsidP="00550308">
      <w:pPr>
        <w:pStyle w:val="HChG"/>
        <w:numPr>
          <w:ilvl w:val="0"/>
          <w:numId w:val="25"/>
        </w:numPr>
        <w:tabs>
          <w:tab w:val="clear" w:pos="851"/>
          <w:tab w:val="right" w:pos="1134"/>
        </w:tabs>
      </w:pPr>
      <w:r w:rsidRPr="003627F5">
        <w:t>Proposal</w:t>
      </w:r>
    </w:p>
    <w:p w14:paraId="0FA5F7FF" w14:textId="2E51B01D" w:rsidR="00444332" w:rsidRPr="003627F5" w:rsidRDefault="00444332" w:rsidP="00444332">
      <w:pPr>
        <w:pStyle w:val="SingleTxtG"/>
        <w:rPr>
          <w:bCs/>
          <w:highlight w:val="lightGray"/>
        </w:rPr>
      </w:pPr>
      <w:r w:rsidRPr="003627F5">
        <w:rPr>
          <w:bCs/>
        </w:rPr>
        <w:tab/>
      </w:r>
      <w:r w:rsidR="002702BB" w:rsidRPr="003627F5">
        <w:rPr>
          <w:bCs/>
          <w:i/>
          <w:highlight w:val="lightGray"/>
        </w:rPr>
        <w:t>Paragraph 1.1</w:t>
      </w:r>
      <w:r w:rsidRPr="003627F5">
        <w:rPr>
          <w:bCs/>
          <w:i/>
          <w:highlight w:val="lightGray"/>
        </w:rPr>
        <w:t xml:space="preserve">., </w:t>
      </w:r>
      <w:r w:rsidRPr="003627F5">
        <w:rPr>
          <w:bCs/>
          <w:highlight w:val="lightGray"/>
        </w:rPr>
        <w:t>amend to read:</w:t>
      </w:r>
    </w:p>
    <w:p w14:paraId="6D279D2B" w14:textId="00D4C1A4" w:rsidR="00444332" w:rsidRPr="003627F5" w:rsidRDefault="00444332" w:rsidP="00444332">
      <w:pPr>
        <w:pStyle w:val="SingleTxtG"/>
        <w:ind w:left="2268" w:hanging="1134"/>
        <w:rPr>
          <w:highlight w:val="lightGray"/>
        </w:rPr>
      </w:pPr>
      <w:r w:rsidRPr="003627F5">
        <w:rPr>
          <w:highlight w:val="lightGray"/>
        </w:rPr>
        <w:t>"1.</w:t>
      </w:r>
      <w:r w:rsidR="002702BB" w:rsidRPr="003627F5">
        <w:rPr>
          <w:highlight w:val="lightGray"/>
        </w:rPr>
        <w:t>1</w:t>
      </w:r>
      <w:r w:rsidRPr="003627F5">
        <w:rPr>
          <w:highlight w:val="lightGray"/>
        </w:rPr>
        <w:t>.</w:t>
      </w:r>
      <w:r w:rsidRPr="003627F5">
        <w:rPr>
          <w:highlight w:val="lightGray"/>
        </w:rPr>
        <w:tab/>
      </w:r>
      <w:r w:rsidR="002702BB" w:rsidRPr="003627F5">
        <w:rPr>
          <w:highlight w:val="lightGray"/>
        </w:rPr>
        <w:t>This Regulation applies to the 180° forward field of vision of drivers of category M</w:t>
      </w:r>
      <w:r w:rsidR="002702BB" w:rsidRPr="003627F5">
        <w:rPr>
          <w:highlight w:val="lightGray"/>
          <w:vertAlign w:val="subscript"/>
        </w:rPr>
        <w:t>1</w:t>
      </w:r>
      <w:r w:rsidR="002702BB" w:rsidRPr="003627F5">
        <w:rPr>
          <w:highlight w:val="lightGray"/>
        </w:rPr>
        <w:t xml:space="preserve"> </w:t>
      </w:r>
      <w:r w:rsidR="002702BB" w:rsidRPr="003627F5">
        <w:rPr>
          <w:b/>
          <w:highlight w:val="lightGray"/>
        </w:rPr>
        <w:t>and N</w:t>
      </w:r>
      <w:r w:rsidR="002702BB" w:rsidRPr="003627F5">
        <w:rPr>
          <w:b/>
          <w:highlight w:val="lightGray"/>
          <w:vertAlign w:val="subscript"/>
        </w:rPr>
        <w:t>1</w:t>
      </w:r>
      <w:r w:rsidR="002702BB" w:rsidRPr="003627F5">
        <w:rPr>
          <w:highlight w:val="lightGray"/>
        </w:rPr>
        <w:t xml:space="preserve"> vehicles</w:t>
      </w:r>
      <w:r w:rsidR="00A77E9D" w:rsidRPr="003627F5">
        <w:rPr>
          <w:highlight w:val="lightGray"/>
        </w:rPr>
        <w:t>.</w:t>
      </w:r>
      <w:r w:rsidR="002702BB" w:rsidRPr="003627F5">
        <w:rPr>
          <w:rStyle w:val="FootnoteReference"/>
          <w:highlight w:val="lightGray"/>
        </w:rPr>
        <w:footnoteReference w:id="2"/>
      </w:r>
      <w:r w:rsidRPr="003627F5">
        <w:rPr>
          <w:highlight w:val="lightGray"/>
        </w:rPr>
        <w:t>"</w:t>
      </w:r>
    </w:p>
    <w:p w14:paraId="4D819577" w14:textId="0D763E78" w:rsidR="002702BB" w:rsidRPr="003627F5" w:rsidRDefault="002702BB" w:rsidP="002702BB">
      <w:pPr>
        <w:pStyle w:val="SingleTxtG"/>
        <w:rPr>
          <w:bCs/>
          <w:highlight w:val="lightGray"/>
        </w:rPr>
      </w:pPr>
      <w:r w:rsidRPr="003627F5">
        <w:rPr>
          <w:bCs/>
          <w:highlight w:val="lightGray"/>
        </w:rPr>
        <w:tab/>
      </w:r>
      <w:r w:rsidRPr="003627F5">
        <w:rPr>
          <w:bCs/>
          <w:i/>
          <w:highlight w:val="lightGray"/>
        </w:rPr>
        <w:t xml:space="preserve">Paragraph 1.3., </w:t>
      </w:r>
      <w:r w:rsidRPr="003627F5">
        <w:rPr>
          <w:bCs/>
          <w:highlight w:val="lightGray"/>
        </w:rPr>
        <w:t>amend to read:</w:t>
      </w:r>
    </w:p>
    <w:p w14:paraId="7F4FC713" w14:textId="2639667F" w:rsidR="002702BB" w:rsidRPr="003627F5" w:rsidRDefault="002702BB" w:rsidP="002702BB">
      <w:pPr>
        <w:pStyle w:val="SingleTxtG"/>
        <w:ind w:left="2268" w:hanging="1134"/>
      </w:pPr>
      <w:r w:rsidRPr="003627F5">
        <w:rPr>
          <w:highlight w:val="lightGray"/>
        </w:rPr>
        <w:t>"1.3.</w:t>
      </w:r>
      <w:r w:rsidRPr="003627F5">
        <w:rPr>
          <w:highlight w:val="lightGray"/>
        </w:rPr>
        <w:tab/>
        <w:t>The requirements of this Regulation are so worded as to apply to category M</w:t>
      </w:r>
      <w:r w:rsidRPr="003627F5">
        <w:rPr>
          <w:highlight w:val="lightGray"/>
          <w:vertAlign w:val="subscript"/>
        </w:rPr>
        <w:t>1</w:t>
      </w:r>
      <w:r w:rsidRPr="003627F5">
        <w:rPr>
          <w:highlight w:val="lightGray"/>
        </w:rPr>
        <w:t xml:space="preserve"> </w:t>
      </w:r>
      <w:r w:rsidRPr="003627F5">
        <w:rPr>
          <w:b/>
          <w:highlight w:val="lightGray"/>
        </w:rPr>
        <w:t>and N</w:t>
      </w:r>
      <w:r w:rsidRPr="003627F5">
        <w:rPr>
          <w:b/>
          <w:highlight w:val="lightGray"/>
          <w:vertAlign w:val="subscript"/>
        </w:rPr>
        <w:t>1</w:t>
      </w:r>
      <w:r w:rsidRPr="003627F5">
        <w:rPr>
          <w:highlight w:val="lightGray"/>
        </w:rPr>
        <w:t xml:space="preserve"> vehicles in which the driver is on the left. In category M</w:t>
      </w:r>
      <w:r w:rsidRPr="003627F5">
        <w:rPr>
          <w:highlight w:val="lightGray"/>
          <w:vertAlign w:val="subscript"/>
        </w:rPr>
        <w:t>1</w:t>
      </w:r>
      <w:r w:rsidRPr="003627F5">
        <w:rPr>
          <w:highlight w:val="lightGray"/>
        </w:rPr>
        <w:t xml:space="preserve"> </w:t>
      </w:r>
      <w:r w:rsidRPr="003627F5">
        <w:rPr>
          <w:b/>
          <w:highlight w:val="lightGray"/>
        </w:rPr>
        <w:t>and N</w:t>
      </w:r>
      <w:r w:rsidRPr="003627F5">
        <w:rPr>
          <w:b/>
          <w:highlight w:val="lightGray"/>
          <w:vertAlign w:val="subscript"/>
        </w:rPr>
        <w:t>1</w:t>
      </w:r>
      <w:r w:rsidRPr="003627F5">
        <w:rPr>
          <w:highlight w:val="lightGray"/>
        </w:rPr>
        <w:t xml:space="preserve"> vehicles in which the driver is on the right these requirements shall be applied by inverting the criteria, when appropriate."</w:t>
      </w:r>
    </w:p>
    <w:p w14:paraId="093A5411" w14:textId="1B8F8382" w:rsidR="00502885" w:rsidRPr="003627F5" w:rsidRDefault="003627F5" w:rsidP="00DB0015">
      <w:pPr>
        <w:pStyle w:val="SingleTxtG"/>
        <w:rPr>
          <w:bCs/>
          <w:iCs/>
        </w:rPr>
      </w:pPr>
      <w:r w:rsidRPr="003627F5">
        <w:rPr>
          <w:bCs/>
          <w:i/>
        </w:rPr>
        <w:t xml:space="preserve">Insert a new Paragraph </w:t>
      </w:r>
      <w:r w:rsidR="00502885" w:rsidRPr="003627F5">
        <w:rPr>
          <w:bCs/>
          <w:i/>
        </w:rPr>
        <w:t>2.19</w:t>
      </w:r>
      <w:r>
        <w:rPr>
          <w:bCs/>
          <w:i/>
        </w:rPr>
        <w:t xml:space="preserve">, </w:t>
      </w:r>
      <w:r w:rsidRPr="003627F5">
        <w:rPr>
          <w:bCs/>
          <w:iCs/>
        </w:rPr>
        <w:t>to read</w:t>
      </w:r>
      <w:r w:rsidR="00502885" w:rsidRPr="003627F5">
        <w:rPr>
          <w:bCs/>
          <w:iCs/>
        </w:rPr>
        <w:t>:</w:t>
      </w:r>
    </w:p>
    <w:p w14:paraId="4B4967AF" w14:textId="77777777" w:rsidR="00502885" w:rsidRPr="003627F5" w:rsidRDefault="00502885" w:rsidP="00502885">
      <w:pPr>
        <w:pStyle w:val="SingleTxtG"/>
        <w:ind w:left="2268" w:hanging="1134"/>
      </w:pPr>
      <w:bookmarkStart w:id="0" w:name="A0_S2_1"/>
      <w:r w:rsidRPr="003627F5">
        <w:t>“</w:t>
      </w:r>
      <w:r w:rsidRPr="003627F5">
        <w:rPr>
          <w:b/>
          <w:bCs/>
        </w:rPr>
        <w:t>2.1</w:t>
      </w:r>
      <w:bookmarkEnd w:id="0"/>
      <w:r w:rsidRPr="003627F5">
        <w:rPr>
          <w:b/>
          <w:bCs/>
        </w:rPr>
        <w:t xml:space="preserve">9 </w:t>
      </w:r>
      <w:r w:rsidRPr="003627F5">
        <w:rPr>
          <w:b/>
          <w:bCs/>
        </w:rPr>
        <w:tab/>
        <w:t>"Partitioning System" means parts or devices which in addition to the seat backs, are intended to protect occupants from displaced luggage.</w:t>
      </w:r>
      <w:r w:rsidRPr="003627F5">
        <w:t>”</w:t>
      </w:r>
    </w:p>
    <w:p w14:paraId="6A9EF157" w14:textId="1DB7BBB6" w:rsidR="00DB0015" w:rsidRPr="003627F5" w:rsidRDefault="00DB0015" w:rsidP="00DB0015">
      <w:pPr>
        <w:pStyle w:val="SingleTxtG"/>
        <w:rPr>
          <w:bCs/>
        </w:rPr>
      </w:pPr>
      <w:r w:rsidRPr="003627F5">
        <w:rPr>
          <w:bCs/>
          <w:i/>
        </w:rPr>
        <w:t xml:space="preserve">Paragraph 5.1.3., </w:t>
      </w:r>
      <w:r w:rsidRPr="003627F5">
        <w:rPr>
          <w:bCs/>
        </w:rPr>
        <w:t>amend to read:</w:t>
      </w:r>
    </w:p>
    <w:p w14:paraId="66BB7700" w14:textId="420427A7" w:rsidR="00502885" w:rsidRPr="003627F5" w:rsidRDefault="00502885" w:rsidP="00DB0015">
      <w:pPr>
        <w:pStyle w:val="SingleTxtG"/>
        <w:ind w:left="2268" w:hanging="1134"/>
      </w:pPr>
      <w:r w:rsidRPr="003627F5">
        <w:t>“</w:t>
      </w:r>
      <w:r w:rsidR="00DB0015" w:rsidRPr="003627F5">
        <w:t>5.1.3. </w:t>
      </w:r>
      <w:r w:rsidR="00482215">
        <w:tab/>
      </w:r>
      <w:r w:rsidR="00DB0015" w:rsidRPr="003627F5">
        <w:t xml:space="preserve">Except as provided in paragraph 5.1.3.3. or 5.1.3.4. </w:t>
      </w:r>
      <w:r w:rsidR="00DB0015" w:rsidRPr="003627F5">
        <w:rPr>
          <w:b/>
        </w:rPr>
        <w:t>or 5.1.3.5</w:t>
      </w:r>
      <w:r w:rsidR="00DB0015" w:rsidRPr="003627F5">
        <w:t xml:space="preserve"> below, other than the obstructions created by the "A"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w:t>
      </w:r>
      <w:r w:rsidR="00DB0015" w:rsidRPr="003627F5">
        <w:noBreakHyphen/>
        <w:t>Z and declining forward 4° below the horizontal, and the other two being perpendicular to the plane Y</w:t>
      </w:r>
      <w:r w:rsidR="00DB0015" w:rsidRPr="003627F5">
        <w:noBreakHyphen/>
        <w:t>Z and declining 4° below the horizontal (see Annex 4, appendix, figure 4).</w:t>
      </w:r>
      <w:r w:rsidRPr="003627F5">
        <w:t xml:space="preserve"> </w:t>
      </w:r>
    </w:p>
    <w:p w14:paraId="56C9D384" w14:textId="30BD122E" w:rsidR="00DB0015" w:rsidRPr="003627F5" w:rsidRDefault="00502885" w:rsidP="00502885">
      <w:pPr>
        <w:pStyle w:val="SingleTxtG"/>
        <w:ind w:left="2268"/>
      </w:pPr>
      <w:r w:rsidRPr="003627F5">
        <w:t>…”</w:t>
      </w:r>
    </w:p>
    <w:p w14:paraId="25877A31" w14:textId="5F6E5361" w:rsidR="00502885" w:rsidRPr="003627F5" w:rsidRDefault="003627F5" w:rsidP="00502885">
      <w:pPr>
        <w:pStyle w:val="SingleTxtG"/>
        <w:rPr>
          <w:i/>
        </w:rPr>
      </w:pPr>
      <w:r w:rsidRPr="003627F5">
        <w:rPr>
          <w:i/>
        </w:rPr>
        <w:t>Insert a new</w:t>
      </w:r>
      <w:r w:rsidR="00502885" w:rsidRPr="003627F5">
        <w:rPr>
          <w:i/>
        </w:rPr>
        <w:t xml:space="preserve"> Paragraph 5.1.3.5</w:t>
      </w:r>
      <w:r w:rsidRPr="003627F5">
        <w:rPr>
          <w:i/>
        </w:rPr>
        <w:t xml:space="preserve">, </w:t>
      </w:r>
      <w:r w:rsidRPr="003627F5">
        <w:rPr>
          <w:iCs/>
        </w:rPr>
        <w:t>to read</w:t>
      </w:r>
      <w:r w:rsidR="00502885" w:rsidRPr="003627F5">
        <w:rPr>
          <w:iCs/>
        </w:rPr>
        <w:t>:</w:t>
      </w:r>
    </w:p>
    <w:p w14:paraId="49AA9F0C" w14:textId="29987840" w:rsidR="0089578F" w:rsidRPr="003627F5" w:rsidRDefault="00502885" w:rsidP="00DB0015">
      <w:pPr>
        <w:pStyle w:val="SingleTxtG"/>
        <w:ind w:left="2268" w:hanging="1134"/>
        <w:rPr>
          <w:b/>
        </w:rPr>
      </w:pPr>
      <w:r w:rsidRPr="003627F5">
        <w:rPr>
          <w:bCs/>
        </w:rPr>
        <w:t>“</w:t>
      </w:r>
      <w:r w:rsidR="00DB0015" w:rsidRPr="003627F5">
        <w:rPr>
          <w:b/>
        </w:rPr>
        <w:t>5.1.3.</w:t>
      </w:r>
      <w:r w:rsidRPr="003627F5">
        <w:rPr>
          <w:b/>
        </w:rPr>
        <w:t>5</w:t>
      </w:r>
      <w:r w:rsidR="00DB0015" w:rsidRPr="003627F5">
        <w:rPr>
          <w:b/>
        </w:rPr>
        <w:t>. </w:t>
      </w:r>
      <w:r w:rsidR="003627F5" w:rsidRPr="003627F5">
        <w:rPr>
          <w:b/>
        </w:rPr>
        <w:tab/>
      </w:r>
      <w:r w:rsidR="005E1519" w:rsidRPr="003627F5">
        <w:rPr>
          <w:b/>
          <w:bCs/>
        </w:rPr>
        <w:t>An obstruction created by an partitioning system towards the passenger side will be tolerated if the partitioning system is adjustable and</w:t>
      </w:r>
      <w:r w:rsidR="003627F5">
        <w:rPr>
          <w:b/>
          <w:bCs/>
        </w:rPr>
        <w:t xml:space="preserve"> if,</w:t>
      </w:r>
      <w:r w:rsidR="005E1519" w:rsidRPr="003627F5">
        <w:rPr>
          <w:b/>
          <w:bCs/>
        </w:rPr>
        <w:t xml:space="preserve"> in its normal position of use as declared by the manufacturer</w:t>
      </w:r>
      <w:r w:rsidR="003627F5">
        <w:rPr>
          <w:b/>
          <w:bCs/>
        </w:rPr>
        <w:t>,</w:t>
      </w:r>
      <w:r w:rsidR="005E1519" w:rsidRPr="003627F5">
        <w:rPr>
          <w:b/>
          <w:bCs/>
        </w:rPr>
        <w:t xml:space="preserve"> no obstruction in the driver’s 180° forward direct field of vision is present. The vehicle owner’s manual shall indicate the normal position of use.</w:t>
      </w:r>
      <w:r w:rsidR="0089578F" w:rsidRPr="00482215">
        <w:rPr>
          <w:bCs/>
        </w:rPr>
        <w:t>”</w:t>
      </w:r>
    </w:p>
    <w:p w14:paraId="1996320F" w14:textId="77777777" w:rsidR="00A86A56" w:rsidRPr="003627F5" w:rsidRDefault="00A86A56" w:rsidP="002702BB">
      <w:pPr>
        <w:pStyle w:val="SingleTxtG"/>
        <w:ind w:left="2268" w:hanging="1134"/>
      </w:pPr>
    </w:p>
    <w:p w14:paraId="70244939" w14:textId="2152F927" w:rsidR="00E752F1" w:rsidRPr="003627F5" w:rsidRDefault="00E752F1" w:rsidP="00E752F1">
      <w:pPr>
        <w:pStyle w:val="HChG"/>
      </w:pPr>
    </w:p>
    <w:p w14:paraId="23E58B2D" w14:textId="7103F994" w:rsidR="00735ECE" w:rsidRPr="003627F5" w:rsidRDefault="00735ECE" w:rsidP="00E752F1">
      <w:pPr>
        <w:pStyle w:val="HChG"/>
        <w:numPr>
          <w:ilvl w:val="0"/>
          <w:numId w:val="25"/>
        </w:numPr>
      </w:pPr>
      <w:r w:rsidRPr="003627F5">
        <w:t>Justification</w:t>
      </w:r>
    </w:p>
    <w:p w14:paraId="12F3472B" w14:textId="2531CBEE" w:rsidR="00A86A56" w:rsidRPr="003627F5" w:rsidRDefault="00A86A56" w:rsidP="00A86A56">
      <w:pPr>
        <w:pStyle w:val="ListParagraph"/>
        <w:numPr>
          <w:ilvl w:val="0"/>
          <w:numId w:val="26"/>
        </w:numPr>
        <w:rPr>
          <w:lang w:eastAsia="de-DE"/>
        </w:rPr>
      </w:pPr>
      <w:r w:rsidRPr="003627F5">
        <w:t xml:space="preserve">EU </w:t>
      </w:r>
      <w:r w:rsidRPr="003627F5">
        <w:rPr>
          <w:lang w:eastAsia="de-DE"/>
        </w:rPr>
        <w:t xml:space="preserve">Regulation (EU) 2018/858 </w:t>
      </w:r>
      <w:r w:rsidR="004D34F4" w:rsidRPr="003627F5">
        <w:rPr>
          <w:lang w:eastAsia="de-DE"/>
        </w:rPr>
        <w:t>Annex</w:t>
      </w:r>
      <w:r w:rsidR="004D34F4">
        <w:rPr>
          <w:lang w:eastAsia="de-DE"/>
        </w:rPr>
        <w:t> </w:t>
      </w:r>
      <w:r w:rsidR="004D34F4" w:rsidRPr="003627F5">
        <w:rPr>
          <w:lang w:eastAsia="de-DE"/>
        </w:rPr>
        <w:t>I Part</w:t>
      </w:r>
      <w:r w:rsidR="004D34F4">
        <w:rPr>
          <w:lang w:eastAsia="de-DE"/>
        </w:rPr>
        <w:t> </w:t>
      </w:r>
      <w:proofErr w:type="gramStart"/>
      <w:r w:rsidRPr="003627F5">
        <w:rPr>
          <w:lang w:eastAsia="de-DE"/>
        </w:rPr>
        <w:t>A ,</w:t>
      </w:r>
      <w:proofErr w:type="gramEnd"/>
      <w:r w:rsidRPr="003627F5">
        <w:rPr>
          <w:lang w:eastAsia="de-DE"/>
        </w:rPr>
        <w:t xml:space="preserve"> Section 3 “Criteria for the </w:t>
      </w:r>
      <w:r w:rsidR="003627F5" w:rsidRPr="003627F5">
        <w:rPr>
          <w:lang w:eastAsia="de-DE"/>
        </w:rPr>
        <w:t>categorization</w:t>
      </w:r>
      <w:r w:rsidRPr="003627F5">
        <w:rPr>
          <w:lang w:eastAsia="de-DE"/>
        </w:rPr>
        <w:t xml:space="preserve"> of vehicles in category N” includes specific requirements in paragraphs 3.2 to 3.4 on securing of load. In smal</w:t>
      </w:r>
      <w:r w:rsidR="003627F5">
        <w:rPr>
          <w:lang w:eastAsia="de-DE"/>
        </w:rPr>
        <w:t>l</w:t>
      </w:r>
      <w:r w:rsidRPr="003627F5">
        <w:rPr>
          <w:lang w:eastAsia="de-DE"/>
        </w:rPr>
        <w:t xml:space="preserve"> N1 vehicles these requirements are met by </w:t>
      </w:r>
      <w:r w:rsidR="003627F5">
        <w:rPr>
          <w:lang w:eastAsia="de-DE"/>
        </w:rPr>
        <w:t>foldable/adjustable</w:t>
      </w:r>
      <w:r w:rsidRPr="003627F5">
        <w:rPr>
          <w:lang w:eastAsia="de-DE"/>
        </w:rPr>
        <w:t xml:space="preserve"> </w:t>
      </w:r>
      <w:r w:rsidR="003627F5" w:rsidRPr="003627F5">
        <w:rPr>
          <w:lang w:eastAsia="de-DE"/>
        </w:rPr>
        <w:t>partitioning</w:t>
      </w:r>
      <w:r w:rsidRPr="003627F5">
        <w:rPr>
          <w:lang w:eastAsia="de-DE"/>
        </w:rPr>
        <w:t xml:space="preserve"> systems. The full application of UN R125</w:t>
      </w:r>
      <w:r w:rsidR="00E752F1" w:rsidRPr="003627F5">
        <w:rPr>
          <w:lang w:eastAsia="de-DE"/>
        </w:rPr>
        <w:t xml:space="preserve"> to this vehicle category </w:t>
      </w:r>
      <w:r w:rsidRPr="003627F5">
        <w:rPr>
          <w:lang w:eastAsia="de-DE"/>
        </w:rPr>
        <w:t xml:space="preserve">will </w:t>
      </w:r>
      <w:r w:rsidR="003627F5">
        <w:rPr>
          <w:lang w:eastAsia="de-DE"/>
        </w:rPr>
        <w:t>remove</w:t>
      </w:r>
      <w:r w:rsidRPr="003627F5">
        <w:rPr>
          <w:lang w:eastAsia="de-DE"/>
        </w:rPr>
        <w:t xml:space="preserve"> the possibility of such systems</w:t>
      </w:r>
      <w:r w:rsidR="00E752F1" w:rsidRPr="003627F5">
        <w:rPr>
          <w:lang w:eastAsia="de-DE"/>
        </w:rPr>
        <w:t xml:space="preserve">. A </w:t>
      </w:r>
      <w:r w:rsidR="003627F5">
        <w:rPr>
          <w:lang w:eastAsia="de-DE"/>
        </w:rPr>
        <w:t>prohibition</w:t>
      </w:r>
      <w:r w:rsidR="00E752F1" w:rsidRPr="003627F5">
        <w:rPr>
          <w:lang w:eastAsia="de-DE"/>
        </w:rPr>
        <w:t xml:space="preserve"> of such systems </w:t>
      </w:r>
      <w:r w:rsidR="003627F5">
        <w:rPr>
          <w:lang w:eastAsia="de-DE"/>
        </w:rPr>
        <w:t>may</w:t>
      </w:r>
      <w:r w:rsidR="0089578F" w:rsidRPr="003627F5">
        <w:rPr>
          <w:lang w:eastAsia="de-DE"/>
        </w:rPr>
        <w:t xml:space="preserve"> lead </w:t>
      </w:r>
      <w:r w:rsidR="003627F5">
        <w:rPr>
          <w:lang w:eastAsia="de-DE"/>
        </w:rPr>
        <w:t>some</w:t>
      </w:r>
      <w:r w:rsidR="0089578F" w:rsidRPr="003627F5">
        <w:rPr>
          <w:lang w:eastAsia="de-DE"/>
        </w:rPr>
        <w:t xml:space="preserve"> users to </w:t>
      </w:r>
      <w:r w:rsidR="003627F5">
        <w:rPr>
          <w:lang w:eastAsia="de-DE"/>
        </w:rPr>
        <w:t>switch</w:t>
      </w:r>
      <w:r w:rsidR="0089578F" w:rsidRPr="003627F5">
        <w:rPr>
          <w:lang w:eastAsia="de-DE"/>
        </w:rPr>
        <w:t xml:space="preserve"> to larger vehicles</w:t>
      </w:r>
      <w:r w:rsidRPr="003627F5">
        <w:rPr>
          <w:lang w:eastAsia="de-DE"/>
        </w:rPr>
        <w:t>.</w:t>
      </w:r>
      <w:r w:rsidR="00E752F1" w:rsidRPr="003627F5">
        <w:rPr>
          <w:lang w:eastAsia="de-DE"/>
        </w:rPr>
        <w:t xml:space="preserve"> </w:t>
      </w:r>
    </w:p>
    <w:p w14:paraId="129A11FC" w14:textId="02259365" w:rsidR="009A54F8" w:rsidRPr="003627F5" w:rsidRDefault="00A86A56" w:rsidP="0089578F">
      <w:pPr>
        <w:pStyle w:val="ListParagraph"/>
        <w:numPr>
          <w:ilvl w:val="0"/>
          <w:numId w:val="26"/>
        </w:numPr>
      </w:pPr>
      <w:r w:rsidRPr="003627F5">
        <w:t xml:space="preserve">The </w:t>
      </w:r>
      <w:r w:rsidR="003627F5">
        <w:t xml:space="preserve">above </w:t>
      </w:r>
      <w:r w:rsidRPr="003627F5">
        <w:t>proposal adds the definition of parti</w:t>
      </w:r>
      <w:r w:rsidR="003627F5">
        <w:t>ti</w:t>
      </w:r>
      <w:r w:rsidRPr="003627F5">
        <w:t xml:space="preserve">oning </w:t>
      </w:r>
      <w:r w:rsidR="00502885" w:rsidRPr="003627F5">
        <w:t xml:space="preserve">system </w:t>
      </w:r>
      <w:r w:rsidRPr="003627F5">
        <w:t>as it is defined in UN Regulation No. 1</w:t>
      </w:r>
      <w:r w:rsidR="00502885" w:rsidRPr="003627F5">
        <w:t>26</w:t>
      </w:r>
      <w:r w:rsidRPr="003627F5">
        <w:t xml:space="preserve"> </w:t>
      </w:r>
      <w:r w:rsidR="0089578F" w:rsidRPr="003627F5">
        <w:t xml:space="preserve">and an allowance for </w:t>
      </w:r>
      <w:r w:rsidR="003627F5">
        <w:rPr>
          <w:lang w:eastAsia="de-DE"/>
        </w:rPr>
        <w:t>foldable</w:t>
      </w:r>
      <w:r w:rsidR="003627F5">
        <w:t>/</w:t>
      </w:r>
      <w:r w:rsidR="0089578F" w:rsidRPr="003627F5">
        <w:t>adjustable parti</w:t>
      </w:r>
      <w:r w:rsidR="003627F5">
        <w:t>ti</w:t>
      </w:r>
      <w:r w:rsidR="0089578F" w:rsidRPr="003627F5">
        <w:t xml:space="preserve">oning systems to </w:t>
      </w:r>
      <w:r w:rsidR="003627F5">
        <w:t xml:space="preserve">partially </w:t>
      </w:r>
      <w:r w:rsidR="0089578F" w:rsidRPr="003627F5">
        <w:t xml:space="preserve">obstruct the driver’s </w:t>
      </w:r>
      <w:r w:rsidR="003627F5">
        <w:t>field of view</w:t>
      </w:r>
      <w:r w:rsidR="00C113A6" w:rsidRPr="003627F5">
        <w:t xml:space="preserve">. </w:t>
      </w:r>
    </w:p>
    <w:p w14:paraId="6D41DBAD" w14:textId="12AB7FF0" w:rsidR="00735ECE" w:rsidRPr="003627F5" w:rsidRDefault="00735ECE" w:rsidP="00A77E9D">
      <w:pPr>
        <w:pStyle w:val="SingleTxtG"/>
      </w:pPr>
    </w:p>
    <w:p w14:paraId="23541201" w14:textId="77777777" w:rsidR="00A86A56" w:rsidRPr="003627F5" w:rsidRDefault="00A86A56" w:rsidP="00A77E9D">
      <w:pPr>
        <w:pStyle w:val="SingleTxtG"/>
      </w:pPr>
    </w:p>
    <w:p w14:paraId="7E92F3B7" w14:textId="2ED05A9F" w:rsidR="00A86A56" w:rsidRPr="003627F5" w:rsidRDefault="00A86A56" w:rsidP="00E752F1">
      <w:pPr>
        <w:jc w:val="right"/>
      </w:pPr>
      <w:r w:rsidRPr="003627F5">
        <w:rPr>
          <w:noProof/>
          <w:lang w:eastAsia="de-DE"/>
        </w:rPr>
        <w:drawing>
          <wp:inline distT="0" distB="0" distL="0" distR="0" wp14:anchorId="01178697" wp14:editId="2F6A278F">
            <wp:extent cx="5452769" cy="2073729"/>
            <wp:effectExtent l="0" t="0" r="0" b="3175"/>
            <wp:docPr id="2" name="Grafik 2" descr="cid:image002.jpg@01D60CED.D63B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60CED.D63BE4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85089" cy="2086021"/>
                    </a:xfrm>
                    <a:prstGeom prst="rect">
                      <a:avLst/>
                    </a:prstGeom>
                    <a:noFill/>
                    <a:ln>
                      <a:noFill/>
                    </a:ln>
                  </pic:spPr>
                </pic:pic>
              </a:graphicData>
            </a:graphic>
          </wp:inline>
        </w:drawing>
      </w:r>
    </w:p>
    <w:p w14:paraId="6B437E5C" w14:textId="29166CF7" w:rsidR="00A86A56" w:rsidRDefault="00A86A56" w:rsidP="00A77E9D">
      <w:pPr>
        <w:pStyle w:val="SingleTxtG"/>
      </w:pPr>
    </w:p>
    <w:p w14:paraId="5C5F0C75" w14:textId="21ECFEB6" w:rsidR="003B5046" w:rsidRPr="003627F5" w:rsidRDefault="003B5046" w:rsidP="00A77E9D">
      <w:pPr>
        <w:pStyle w:val="SingleTxtG"/>
      </w:pPr>
      <w:r>
        <w:rPr>
          <w:noProof/>
        </w:rPr>
        <w:drawing>
          <wp:inline distT="0" distB="0" distL="0" distR="0" wp14:anchorId="1BF45CAB" wp14:editId="0FC3FA06">
            <wp:extent cx="6120765" cy="3154045"/>
            <wp:effectExtent l="0" t="0" r="0" b="8255"/>
            <wp:docPr id="1" name="Image 5"/>
            <wp:cNvGraphicFramePr/>
            <a:graphic xmlns:a="http://schemas.openxmlformats.org/drawingml/2006/main">
              <a:graphicData uri="http://schemas.openxmlformats.org/drawingml/2006/picture">
                <pic:pic xmlns:pic="http://schemas.openxmlformats.org/drawingml/2006/picture">
                  <pic:nvPicPr>
                    <pic:cNvPr id="1"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154045"/>
                    </a:xfrm>
                    <a:prstGeom prst="rect">
                      <a:avLst/>
                    </a:prstGeom>
                    <a:noFill/>
                    <a:ln>
                      <a:noFill/>
                    </a:ln>
                  </pic:spPr>
                </pic:pic>
              </a:graphicData>
            </a:graphic>
          </wp:inline>
        </w:drawing>
      </w:r>
    </w:p>
    <w:p w14:paraId="45B78DD0" w14:textId="2DC84F90" w:rsidR="00A77E9D" w:rsidRPr="003627F5" w:rsidRDefault="00A77E9D" w:rsidP="00A77E9D">
      <w:pPr>
        <w:spacing w:before="240"/>
        <w:jc w:val="center"/>
        <w:rPr>
          <w:u w:val="single"/>
        </w:rPr>
      </w:pPr>
      <w:r w:rsidRPr="003627F5">
        <w:rPr>
          <w:u w:val="single"/>
        </w:rPr>
        <w:tab/>
      </w:r>
      <w:r w:rsidRPr="003627F5">
        <w:rPr>
          <w:u w:val="single"/>
        </w:rPr>
        <w:tab/>
      </w:r>
      <w:r w:rsidRPr="003627F5">
        <w:rPr>
          <w:u w:val="single"/>
        </w:rPr>
        <w:tab/>
      </w:r>
    </w:p>
    <w:sectPr w:rsidR="00A77E9D" w:rsidRPr="003627F5" w:rsidSect="00E752F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851"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0ED5" w14:textId="77777777" w:rsidR="00D62CFC" w:rsidRDefault="00D62CFC"/>
  </w:endnote>
  <w:endnote w:type="continuationSeparator" w:id="0">
    <w:p w14:paraId="20FF67AD" w14:textId="77777777" w:rsidR="00D62CFC" w:rsidRDefault="00D62CFC"/>
  </w:endnote>
  <w:endnote w:type="continuationNotice" w:id="1">
    <w:p w14:paraId="08F20D19" w14:textId="77777777" w:rsidR="00D62CFC" w:rsidRDefault="00D62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2A72" w14:textId="4EAA4DDE"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5E1519">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5E69" w14:textId="77777777"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00E752F1">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7E4D" w14:textId="77777777" w:rsidR="00602E7D" w:rsidRDefault="0060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DE619" w14:textId="77777777" w:rsidR="00D62CFC" w:rsidRPr="000B175B" w:rsidRDefault="00D62CFC" w:rsidP="000B175B">
      <w:pPr>
        <w:tabs>
          <w:tab w:val="right" w:pos="2155"/>
        </w:tabs>
        <w:spacing w:after="80"/>
        <w:ind w:left="680"/>
        <w:rPr>
          <w:u w:val="single"/>
        </w:rPr>
      </w:pPr>
      <w:r>
        <w:rPr>
          <w:u w:val="single"/>
        </w:rPr>
        <w:tab/>
      </w:r>
    </w:p>
  </w:footnote>
  <w:footnote w:type="continuationSeparator" w:id="0">
    <w:p w14:paraId="1E007ED9" w14:textId="77777777" w:rsidR="00D62CFC" w:rsidRPr="00FC68B7" w:rsidRDefault="00D62CFC" w:rsidP="00FC68B7">
      <w:pPr>
        <w:tabs>
          <w:tab w:val="left" w:pos="2155"/>
        </w:tabs>
        <w:spacing w:after="80"/>
        <w:ind w:left="680"/>
        <w:rPr>
          <w:u w:val="single"/>
        </w:rPr>
      </w:pPr>
      <w:r>
        <w:rPr>
          <w:u w:val="single"/>
        </w:rPr>
        <w:tab/>
      </w:r>
    </w:p>
  </w:footnote>
  <w:footnote w:type="continuationNotice" w:id="1">
    <w:p w14:paraId="2038D79D" w14:textId="77777777" w:rsidR="00D62CFC" w:rsidRDefault="00D62CFC"/>
  </w:footnote>
  <w:footnote w:id="2">
    <w:p w14:paraId="4A0BE996" w14:textId="732DA240" w:rsidR="002702BB" w:rsidRPr="009C0EC3" w:rsidRDefault="002702BB" w:rsidP="002702BB">
      <w:pPr>
        <w:pStyle w:val="FootnoteText"/>
        <w:widowControl w:val="0"/>
        <w:tabs>
          <w:tab w:val="clear" w:pos="1021"/>
          <w:tab w:val="right" w:pos="1020"/>
        </w:tabs>
      </w:pPr>
      <w:r>
        <w:tab/>
      </w:r>
      <w:r>
        <w:rPr>
          <w:rStyle w:val="FootnoteReference"/>
        </w:rPr>
        <w:footnoteRef/>
      </w:r>
      <w:r>
        <w:tab/>
        <w:t xml:space="preserve"> </w:t>
      </w:r>
      <w:r w:rsidRPr="001F4ED8">
        <w:rPr>
          <w:lang w:val="en-US"/>
        </w:rPr>
        <w:t>As defined in the Consolidated Resolution on the Construction of Vehicles (R.E.3.), document ECE/TRANS/WP.29/78/Rev.</w:t>
      </w:r>
      <w:r w:rsidR="00550308">
        <w:rPr>
          <w:lang w:val="en-US"/>
        </w:rPr>
        <w:t>6</w:t>
      </w:r>
      <w:r w:rsidRPr="001F4ED8">
        <w:rPr>
          <w:lang w:val="en-US"/>
        </w:rPr>
        <w:t xml:space="preserve">, para. </w:t>
      </w:r>
      <w:r w:rsidRPr="00803F07">
        <w:rPr>
          <w:lang w:val="en-US"/>
        </w:rPr>
        <w:t xml:space="preserve">2. </w:t>
      </w:r>
      <w:r w:rsidRPr="001F4ED8">
        <w:t xml:space="preserve">- </w:t>
      </w:r>
      <w:hyperlink r:id="rId1" w:history="1">
        <w:r w:rsidRPr="001F4ED8">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FF7" w14:textId="5C696A35" w:rsidR="00735ECE" w:rsidRPr="003613CD" w:rsidRDefault="003613CD" w:rsidP="003613CD">
    <w:pPr>
      <w:pStyle w:val="Header"/>
    </w:pPr>
    <w:r>
      <w:t>ECE/TRANS/WP.29/GRSG/20</w:t>
    </w:r>
    <w:r w:rsidR="00550308">
      <w:t>20</w:t>
    </w:r>
    <w:r w:rsidR="00171F2A">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E4A" w14:textId="1C42ABB0" w:rsidR="00735ECE" w:rsidRPr="00735ECE" w:rsidRDefault="00D62CFC" w:rsidP="00735ECE">
    <w:pPr>
      <w:pStyle w:val="Header"/>
      <w:jc w:val="right"/>
    </w:pPr>
    <w:fldSimple w:instr=" TITLE  \* MERGEFORMAT ">
      <w:r w:rsidR="00094922">
        <w:t>ECE/TRANS/WP.29/GRSG/2019/19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4D34F4" w:rsidRPr="00572A4F" w14:paraId="7208C153" w14:textId="77777777" w:rsidTr="002D2B6E">
      <w:tc>
        <w:tcPr>
          <w:tcW w:w="4395" w:type="dxa"/>
        </w:tcPr>
        <w:p w14:paraId="57E1AFDE" w14:textId="7A5201C3" w:rsidR="004D34F4" w:rsidRPr="00572A4F" w:rsidRDefault="004D34F4" w:rsidP="004D34F4">
          <w:pPr>
            <w:tabs>
              <w:tab w:val="center" w:pos="4513"/>
              <w:tab w:val="right" w:pos="9026"/>
            </w:tabs>
            <w:spacing w:line="240" w:lineRule="auto"/>
            <w:rPr>
              <w:rFonts w:eastAsia="SimSun"/>
            </w:rPr>
          </w:pPr>
          <w:r w:rsidRPr="00572A4F">
            <w:rPr>
              <w:rFonts w:eastAsia="SimSun"/>
            </w:rPr>
            <w:t>Submitted by the expert from</w:t>
          </w:r>
          <w:r>
            <w:rPr>
              <w:rFonts w:eastAsia="SimSun"/>
            </w:rPr>
            <w:t xml:space="preserve"> OICA</w:t>
          </w:r>
          <w:r w:rsidRPr="00572A4F">
            <w:rPr>
              <w:rFonts w:eastAsia="SimSun"/>
            </w:rPr>
            <w:t xml:space="preserve"> </w:t>
          </w:r>
        </w:p>
      </w:tc>
      <w:tc>
        <w:tcPr>
          <w:tcW w:w="4961" w:type="dxa"/>
        </w:tcPr>
        <w:p w14:paraId="0824ABCC" w14:textId="6C134716" w:rsidR="004D34F4" w:rsidRPr="00572A4F" w:rsidRDefault="004D34F4" w:rsidP="004D34F4">
          <w:pPr>
            <w:spacing w:line="240" w:lineRule="auto"/>
            <w:ind w:left="1207"/>
            <w:rPr>
              <w:rFonts w:eastAsia="SimSun"/>
              <w:b/>
              <w:bCs/>
            </w:rPr>
          </w:pPr>
          <w:r w:rsidRPr="00572A4F">
            <w:rPr>
              <w:rFonts w:eastAsia="SimSun"/>
              <w:u w:val="single"/>
            </w:rPr>
            <w:t>Informal document</w:t>
          </w:r>
          <w:r w:rsidRPr="00572A4F">
            <w:rPr>
              <w:rFonts w:eastAsia="SimSun"/>
            </w:rPr>
            <w:t xml:space="preserve"> </w:t>
          </w:r>
          <w:r w:rsidRPr="00572A4F">
            <w:rPr>
              <w:rFonts w:eastAsia="SimSun"/>
              <w:b/>
              <w:bCs/>
            </w:rPr>
            <w:t>GRSG-11</w:t>
          </w:r>
          <w:r>
            <w:rPr>
              <w:rFonts w:eastAsia="SimSun"/>
              <w:b/>
              <w:bCs/>
            </w:rPr>
            <w:t>8</w:t>
          </w:r>
          <w:r w:rsidRPr="00572A4F">
            <w:rPr>
              <w:rFonts w:eastAsia="SimSun"/>
              <w:b/>
              <w:bCs/>
            </w:rPr>
            <w:t>-</w:t>
          </w:r>
          <w:r w:rsidR="00602E7D">
            <w:rPr>
              <w:rFonts w:eastAsia="SimSun"/>
              <w:b/>
              <w:bCs/>
            </w:rPr>
            <w:t>26</w:t>
          </w:r>
          <w:bookmarkStart w:id="1" w:name="_GoBack"/>
          <w:bookmarkEnd w:id="1"/>
        </w:p>
        <w:p w14:paraId="01DF63EA" w14:textId="15372092" w:rsidR="004D34F4" w:rsidRPr="00572A4F" w:rsidRDefault="004D34F4" w:rsidP="004D34F4">
          <w:pPr>
            <w:tabs>
              <w:tab w:val="center" w:pos="4513"/>
              <w:tab w:val="right" w:pos="9026"/>
            </w:tabs>
            <w:spacing w:line="240" w:lineRule="auto"/>
            <w:ind w:left="1207"/>
            <w:rPr>
              <w:rFonts w:eastAsia="SimSun"/>
            </w:rPr>
          </w:pPr>
          <w:r w:rsidRPr="00572A4F">
            <w:rPr>
              <w:rFonts w:eastAsia="SimSun"/>
            </w:rPr>
            <w:t>(11</w:t>
          </w:r>
          <w:r>
            <w:rPr>
              <w:rFonts w:eastAsia="SimSun"/>
            </w:rPr>
            <w:t>8</w:t>
          </w:r>
          <w:r w:rsidRPr="00572A4F">
            <w:rPr>
              <w:rFonts w:eastAsia="SimSun"/>
            </w:rPr>
            <w:t xml:space="preserve">th GRSG, </w:t>
          </w:r>
          <w:r>
            <w:rPr>
              <w:rFonts w:eastAsia="SimSun"/>
            </w:rPr>
            <w:t xml:space="preserve">15-17 July 2020 </w:t>
          </w:r>
          <w:r>
            <w:rPr>
              <w:rFonts w:eastAsia="SimSun"/>
            </w:rPr>
            <w:br/>
          </w:r>
          <w:r w:rsidRPr="00572A4F">
            <w:rPr>
              <w:rFonts w:eastAsia="SimSun"/>
            </w:rPr>
            <w:t xml:space="preserve">Agenda item </w:t>
          </w:r>
          <w:r>
            <w:rPr>
              <w:rFonts w:eastAsia="SimSun"/>
            </w:rPr>
            <w:t>11</w:t>
          </w:r>
          <w:r w:rsidRPr="00572A4F">
            <w:rPr>
              <w:rFonts w:eastAsia="SimSun"/>
            </w:rPr>
            <w:t>)</w:t>
          </w:r>
        </w:p>
      </w:tc>
    </w:tr>
  </w:tbl>
  <w:p w14:paraId="1CDDCAA3" w14:textId="77777777" w:rsidR="00444332" w:rsidRPr="00444332" w:rsidRDefault="00444332" w:rsidP="00444332">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3516"/>
    <w:multiLevelType w:val="hybridMultilevel"/>
    <w:tmpl w:val="80C6ABD0"/>
    <w:lvl w:ilvl="0" w:tplc="3F1EC4FC">
      <w:start w:val="1"/>
      <w:numFmt w:val="decimal"/>
      <w:lvlText w:val="%1."/>
      <w:lvlJc w:val="left"/>
      <w:pPr>
        <w:ind w:left="1704" w:hanging="57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3677A3"/>
    <w:multiLevelType w:val="hybridMultilevel"/>
    <w:tmpl w:val="648845F8"/>
    <w:lvl w:ilvl="0" w:tplc="E2BE4A36">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4"/>
  </w:num>
  <w:num w:numId="15">
    <w:abstractNumId w:val="19"/>
  </w:num>
  <w:num w:numId="16">
    <w:abstractNumId w:val="16"/>
  </w:num>
  <w:num w:numId="17">
    <w:abstractNumId w:val="23"/>
  </w:num>
  <w:num w:numId="18">
    <w:abstractNumId w:val="24"/>
  </w:num>
  <w:num w:numId="19">
    <w:abstractNumId w:val="11"/>
  </w:num>
  <w:num w:numId="20">
    <w:abstractNumId w:val="12"/>
  </w:num>
  <w:num w:numId="21">
    <w:abstractNumId w:val="25"/>
  </w:num>
  <w:num w:numId="22">
    <w:abstractNumId w:val="21"/>
  </w:num>
  <w:num w:numId="23">
    <w:abstractNumId w:val="22"/>
  </w:num>
  <w:num w:numId="24">
    <w:abstractNumId w:val="13"/>
  </w:num>
  <w:num w:numId="25">
    <w:abstractNumId w:val="20"/>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5ECE"/>
    <w:rsid w:val="00002A7D"/>
    <w:rsid w:val="000038A8"/>
    <w:rsid w:val="00005DF3"/>
    <w:rsid w:val="00006790"/>
    <w:rsid w:val="0000748B"/>
    <w:rsid w:val="000130BE"/>
    <w:rsid w:val="00027624"/>
    <w:rsid w:val="00050F6B"/>
    <w:rsid w:val="000678CD"/>
    <w:rsid w:val="00072C8C"/>
    <w:rsid w:val="00081CE0"/>
    <w:rsid w:val="00084D30"/>
    <w:rsid w:val="00090320"/>
    <w:rsid w:val="000931C0"/>
    <w:rsid w:val="00094922"/>
    <w:rsid w:val="00097003"/>
    <w:rsid w:val="000A2E09"/>
    <w:rsid w:val="000A7E5B"/>
    <w:rsid w:val="000B175B"/>
    <w:rsid w:val="000B3A0F"/>
    <w:rsid w:val="000E0415"/>
    <w:rsid w:val="000E116F"/>
    <w:rsid w:val="000F7715"/>
    <w:rsid w:val="00156B99"/>
    <w:rsid w:val="00166124"/>
    <w:rsid w:val="00171F2A"/>
    <w:rsid w:val="00173DA2"/>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02BB"/>
    <w:rsid w:val="0027237A"/>
    <w:rsid w:val="002974E9"/>
    <w:rsid w:val="002A306B"/>
    <w:rsid w:val="002A7F94"/>
    <w:rsid w:val="002B109A"/>
    <w:rsid w:val="002C4F7B"/>
    <w:rsid w:val="002C6D45"/>
    <w:rsid w:val="002D6E53"/>
    <w:rsid w:val="002F046D"/>
    <w:rsid w:val="002F3023"/>
    <w:rsid w:val="00301764"/>
    <w:rsid w:val="00304DE4"/>
    <w:rsid w:val="003229D8"/>
    <w:rsid w:val="00336C97"/>
    <w:rsid w:val="00337F88"/>
    <w:rsid w:val="00342432"/>
    <w:rsid w:val="0035223F"/>
    <w:rsid w:val="00352D4B"/>
    <w:rsid w:val="0035638C"/>
    <w:rsid w:val="003613CD"/>
    <w:rsid w:val="003627F5"/>
    <w:rsid w:val="0037472C"/>
    <w:rsid w:val="003A46BB"/>
    <w:rsid w:val="003A4EC7"/>
    <w:rsid w:val="003A7295"/>
    <w:rsid w:val="003B1F60"/>
    <w:rsid w:val="003B5046"/>
    <w:rsid w:val="003C03F6"/>
    <w:rsid w:val="003C2CC4"/>
    <w:rsid w:val="003C3712"/>
    <w:rsid w:val="003D4B23"/>
    <w:rsid w:val="003E278A"/>
    <w:rsid w:val="00413520"/>
    <w:rsid w:val="004325CB"/>
    <w:rsid w:val="00440A07"/>
    <w:rsid w:val="00444332"/>
    <w:rsid w:val="00462880"/>
    <w:rsid w:val="00476F24"/>
    <w:rsid w:val="00482215"/>
    <w:rsid w:val="004A5D33"/>
    <w:rsid w:val="004B6526"/>
    <w:rsid w:val="004C229F"/>
    <w:rsid w:val="004C55B0"/>
    <w:rsid w:val="004D34F4"/>
    <w:rsid w:val="004F6BA0"/>
    <w:rsid w:val="00502885"/>
    <w:rsid w:val="00503BEA"/>
    <w:rsid w:val="00533616"/>
    <w:rsid w:val="00534754"/>
    <w:rsid w:val="00535ABA"/>
    <w:rsid w:val="0053768B"/>
    <w:rsid w:val="005420F2"/>
    <w:rsid w:val="0054285C"/>
    <w:rsid w:val="00550308"/>
    <w:rsid w:val="00566EF2"/>
    <w:rsid w:val="005840D3"/>
    <w:rsid w:val="00584173"/>
    <w:rsid w:val="00595520"/>
    <w:rsid w:val="005A44B9"/>
    <w:rsid w:val="005B1BA0"/>
    <w:rsid w:val="005B3DB3"/>
    <w:rsid w:val="005C0268"/>
    <w:rsid w:val="005D15CA"/>
    <w:rsid w:val="005D1854"/>
    <w:rsid w:val="005E1519"/>
    <w:rsid w:val="005F08DF"/>
    <w:rsid w:val="005F3066"/>
    <w:rsid w:val="005F3E61"/>
    <w:rsid w:val="00602E7D"/>
    <w:rsid w:val="00604DDD"/>
    <w:rsid w:val="006115CC"/>
    <w:rsid w:val="00611FC4"/>
    <w:rsid w:val="006176FB"/>
    <w:rsid w:val="00630FCB"/>
    <w:rsid w:val="00631128"/>
    <w:rsid w:val="00640B26"/>
    <w:rsid w:val="00647097"/>
    <w:rsid w:val="0065766B"/>
    <w:rsid w:val="006619F8"/>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56F1"/>
    <w:rsid w:val="0072632A"/>
    <w:rsid w:val="007358E8"/>
    <w:rsid w:val="00735ECE"/>
    <w:rsid w:val="00736ECE"/>
    <w:rsid w:val="00745260"/>
    <w:rsid w:val="0074533B"/>
    <w:rsid w:val="007643BC"/>
    <w:rsid w:val="00780C68"/>
    <w:rsid w:val="007851B0"/>
    <w:rsid w:val="007959FE"/>
    <w:rsid w:val="007A0CF1"/>
    <w:rsid w:val="007B6BA5"/>
    <w:rsid w:val="007C3390"/>
    <w:rsid w:val="007C42D8"/>
    <w:rsid w:val="007C4F4B"/>
    <w:rsid w:val="007D6F65"/>
    <w:rsid w:val="007D7362"/>
    <w:rsid w:val="007F5CE2"/>
    <w:rsid w:val="007F6611"/>
    <w:rsid w:val="00810BAC"/>
    <w:rsid w:val="008175E9"/>
    <w:rsid w:val="00817F0D"/>
    <w:rsid w:val="008242D7"/>
    <w:rsid w:val="0082577B"/>
    <w:rsid w:val="00825CB5"/>
    <w:rsid w:val="00866893"/>
    <w:rsid w:val="00866F02"/>
    <w:rsid w:val="00867D18"/>
    <w:rsid w:val="00871F9A"/>
    <w:rsid w:val="00871FD5"/>
    <w:rsid w:val="0088172E"/>
    <w:rsid w:val="00881EFA"/>
    <w:rsid w:val="008879CB"/>
    <w:rsid w:val="008918CA"/>
    <w:rsid w:val="008949C9"/>
    <w:rsid w:val="0089578F"/>
    <w:rsid w:val="008979B1"/>
    <w:rsid w:val="008A6B25"/>
    <w:rsid w:val="008A6C4F"/>
    <w:rsid w:val="008B389E"/>
    <w:rsid w:val="008D045E"/>
    <w:rsid w:val="008D3F25"/>
    <w:rsid w:val="008D4D82"/>
    <w:rsid w:val="008E0E46"/>
    <w:rsid w:val="008E7116"/>
    <w:rsid w:val="008F143B"/>
    <w:rsid w:val="008F3882"/>
    <w:rsid w:val="008F4B7C"/>
    <w:rsid w:val="00926E47"/>
    <w:rsid w:val="00930159"/>
    <w:rsid w:val="00947162"/>
    <w:rsid w:val="009522EE"/>
    <w:rsid w:val="009610D0"/>
    <w:rsid w:val="0096375C"/>
    <w:rsid w:val="009662E6"/>
    <w:rsid w:val="0097095E"/>
    <w:rsid w:val="009765F2"/>
    <w:rsid w:val="0098592B"/>
    <w:rsid w:val="00985FC4"/>
    <w:rsid w:val="00990766"/>
    <w:rsid w:val="00991261"/>
    <w:rsid w:val="009964C4"/>
    <w:rsid w:val="009A54F8"/>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77E9D"/>
    <w:rsid w:val="00A86A56"/>
    <w:rsid w:val="00A879A4"/>
    <w:rsid w:val="00AA0FF8"/>
    <w:rsid w:val="00AC0F2C"/>
    <w:rsid w:val="00AC502A"/>
    <w:rsid w:val="00AE1E26"/>
    <w:rsid w:val="00AF057D"/>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0812"/>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3A6"/>
    <w:rsid w:val="00C463DD"/>
    <w:rsid w:val="00C745C3"/>
    <w:rsid w:val="00C978F5"/>
    <w:rsid w:val="00CA24A4"/>
    <w:rsid w:val="00CB348D"/>
    <w:rsid w:val="00CC4932"/>
    <w:rsid w:val="00CD46F5"/>
    <w:rsid w:val="00CE4A8F"/>
    <w:rsid w:val="00CF071D"/>
    <w:rsid w:val="00D0123D"/>
    <w:rsid w:val="00D15B04"/>
    <w:rsid w:val="00D2031B"/>
    <w:rsid w:val="00D25FE2"/>
    <w:rsid w:val="00D37DA9"/>
    <w:rsid w:val="00D406A7"/>
    <w:rsid w:val="00D43252"/>
    <w:rsid w:val="00D44D86"/>
    <w:rsid w:val="00D50B7D"/>
    <w:rsid w:val="00D52012"/>
    <w:rsid w:val="00D62CFC"/>
    <w:rsid w:val="00D62EB9"/>
    <w:rsid w:val="00D704E5"/>
    <w:rsid w:val="00D70CFC"/>
    <w:rsid w:val="00D72727"/>
    <w:rsid w:val="00D978C6"/>
    <w:rsid w:val="00DA0956"/>
    <w:rsid w:val="00DA2B83"/>
    <w:rsid w:val="00DA357F"/>
    <w:rsid w:val="00DA3E12"/>
    <w:rsid w:val="00DB0015"/>
    <w:rsid w:val="00DC18AD"/>
    <w:rsid w:val="00DC2545"/>
    <w:rsid w:val="00DD3734"/>
    <w:rsid w:val="00DF7CAE"/>
    <w:rsid w:val="00E31286"/>
    <w:rsid w:val="00E423C0"/>
    <w:rsid w:val="00E6414C"/>
    <w:rsid w:val="00E7260F"/>
    <w:rsid w:val="00E752F1"/>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611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DFCC5"/>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 w:type="paragraph" w:styleId="ListParagraph">
    <w:name w:val="List Paragraph"/>
    <w:basedOn w:val="Normal"/>
    <w:uiPriority w:val="34"/>
    <w:semiHidden/>
    <w:qFormat/>
    <w:rsid w:val="00A86A56"/>
    <w:pPr>
      <w:ind w:left="720"/>
      <w:contextualSpacing/>
    </w:pPr>
  </w:style>
  <w:style w:type="paragraph" w:styleId="NormalWeb">
    <w:name w:val="Normal (Web)"/>
    <w:basedOn w:val="Normal"/>
    <w:uiPriority w:val="99"/>
    <w:semiHidden/>
    <w:unhideWhenUsed/>
    <w:rsid w:val="00502885"/>
    <w:pPr>
      <w:suppressAutoHyphens w:val="0"/>
      <w:spacing w:before="240" w:after="240"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99">
      <w:bodyDiv w:val="1"/>
      <w:marLeft w:val="0"/>
      <w:marRight w:val="0"/>
      <w:marTop w:val="0"/>
      <w:marBottom w:val="0"/>
      <w:divBdr>
        <w:top w:val="none" w:sz="0" w:space="0" w:color="auto"/>
        <w:left w:val="none" w:sz="0" w:space="0" w:color="auto"/>
        <w:bottom w:val="none" w:sz="0" w:space="0" w:color="auto"/>
        <w:right w:val="none" w:sz="0" w:space="0" w:color="auto"/>
      </w:divBdr>
      <w:divsChild>
        <w:div w:id="1438865985">
          <w:marLeft w:val="0"/>
          <w:marRight w:val="0"/>
          <w:marTop w:val="0"/>
          <w:marBottom w:val="0"/>
          <w:divBdr>
            <w:top w:val="none" w:sz="0" w:space="0" w:color="auto"/>
            <w:left w:val="none" w:sz="0" w:space="0" w:color="auto"/>
            <w:bottom w:val="none" w:sz="0" w:space="0" w:color="auto"/>
            <w:right w:val="none" w:sz="0" w:space="0" w:color="auto"/>
          </w:divBdr>
          <w:divsChild>
            <w:div w:id="392972809">
              <w:marLeft w:val="2475"/>
              <w:marRight w:val="0"/>
              <w:marTop w:val="0"/>
              <w:marBottom w:val="0"/>
              <w:divBdr>
                <w:top w:val="none" w:sz="0" w:space="0" w:color="auto"/>
                <w:left w:val="none" w:sz="0" w:space="0" w:color="auto"/>
                <w:bottom w:val="none" w:sz="0" w:space="0" w:color="auto"/>
                <w:right w:val="none" w:sz="0" w:space="0" w:color="auto"/>
              </w:divBdr>
              <w:divsChild>
                <w:div w:id="1006054717">
                  <w:marLeft w:val="0"/>
                  <w:marRight w:val="0"/>
                  <w:marTop w:val="0"/>
                  <w:marBottom w:val="0"/>
                  <w:divBdr>
                    <w:top w:val="none" w:sz="0" w:space="0" w:color="auto"/>
                    <w:left w:val="none" w:sz="0" w:space="0" w:color="auto"/>
                    <w:bottom w:val="none" w:sz="0" w:space="0" w:color="auto"/>
                    <w:right w:val="none" w:sz="0" w:space="0" w:color="auto"/>
                  </w:divBdr>
                  <w:divsChild>
                    <w:div w:id="1020397039">
                      <w:marLeft w:val="0"/>
                      <w:marRight w:val="0"/>
                      <w:marTop w:val="0"/>
                      <w:marBottom w:val="0"/>
                      <w:divBdr>
                        <w:top w:val="none" w:sz="0" w:space="0" w:color="auto"/>
                        <w:left w:val="none" w:sz="0" w:space="0" w:color="auto"/>
                        <w:bottom w:val="none" w:sz="0" w:space="0" w:color="auto"/>
                        <w:right w:val="none" w:sz="0" w:space="0" w:color="auto"/>
                      </w:divBdr>
                      <w:divsChild>
                        <w:div w:id="842940152">
                          <w:marLeft w:val="0"/>
                          <w:marRight w:val="225"/>
                          <w:marTop w:val="60"/>
                          <w:marBottom w:val="0"/>
                          <w:divBdr>
                            <w:top w:val="none" w:sz="0" w:space="0" w:color="auto"/>
                            <w:left w:val="none" w:sz="0" w:space="0" w:color="auto"/>
                            <w:bottom w:val="none" w:sz="0" w:space="0" w:color="auto"/>
                            <w:right w:val="none" w:sz="0" w:space="0" w:color="auto"/>
                          </w:divBdr>
                          <w:divsChild>
                            <w:div w:id="264656783">
                              <w:marLeft w:val="0"/>
                              <w:marRight w:val="0"/>
                              <w:marTop w:val="0"/>
                              <w:marBottom w:val="0"/>
                              <w:divBdr>
                                <w:top w:val="none" w:sz="0" w:space="0" w:color="auto"/>
                                <w:left w:val="none" w:sz="0" w:space="0" w:color="auto"/>
                                <w:bottom w:val="none" w:sz="0" w:space="0" w:color="auto"/>
                                <w:right w:val="none" w:sz="0" w:space="0" w:color="auto"/>
                              </w:divBdr>
                              <w:divsChild>
                                <w:div w:id="1793094708">
                                  <w:marLeft w:val="0"/>
                                  <w:marRight w:val="0"/>
                                  <w:marTop w:val="0"/>
                                  <w:marBottom w:val="0"/>
                                  <w:divBdr>
                                    <w:top w:val="none" w:sz="0" w:space="0" w:color="auto"/>
                                    <w:left w:val="none" w:sz="0" w:space="0" w:color="auto"/>
                                    <w:bottom w:val="none" w:sz="0" w:space="0" w:color="auto"/>
                                    <w:right w:val="none" w:sz="0" w:space="0" w:color="auto"/>
                                  </w:divBdr>
                                  <w:divsChild>
                                    <w:div w:id="14710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235351">
      <w:bodyDiv w:val="1"/>
      <w:marLeft w:val="0"/>
      <w:marRight w:val="0"/>
      <w:marTop w:val="0"/>
      <w:marBottom w:val="0"/>
      <w:divBdr>
        <w:top w:val="none" w:sz="0" w:space="0" w:color="auto"/>
        <w:left w:val="none" w:sz="0" w:space="0" w:color="auto"/>
        <w:bottom w:val="none" w:sz="0" w:space="0" w:color="auto"/>
        <w:right w:val="none" w:sz="0" w:space="0" w:color="auto"/>
      </w:divBdr>
    </w:div>
    <w:div w:id="529295139">
      <w:bodyDiv w:val="1"/>
      <w:marLeft w:val="0"/>
      <w:marRight w:val="0"/>
      <w:marTop w:val="0"/>
      <w:marBottom w:val="0"/>
      <w:divBdr>
        <w:top w:val="none" w:sz="0" w:space="0" w:color="auto"/>
        <w:left w:val="none" w:sz="0" w:space="0" w:color="auto"/>
        <w:bottom w:val="none" w:sz="0" w:space="0" w:color="auto"/>
        <w:right w:val="none" w:sz="0" w:space="0" w:color="auto"/>
      </w:divBdr>
      <w:divsChild>
        <w:div w:id="170221072">
          <w:marLeft w:val="0"/>
          <w:marRight w:val="0"/>
          <w:marTop w:val="0"/>
          <w:marBottom w:val="0"/>
          <w:divBdr>
            <w:top w:val="none" w:sz="0" w:space="0" w:color="auto"/>
            <w:left w:val="none" w:sz="0" w:space="0" w:color="auto"/>
            <w:bottom w:val="none" w:sz="0" w:space="0" w:color="auto"/>
            <w:right w:val="none" w:sz="0" w:space="0" w:color="auto"/>
          </w:divBdr>
          <w:divsChild>
            <w:div w:id="2076851992">
              <w:marLeft w:val="2475"/>
              <w:marRight w:val="0"/>
              <w:marTop w:val="0"/>
              <w:marBottom w:val="0"/>
              <w:divBdr>
                <w:top w:val="none" w:sz="0" w:space="0" w:color="auto"/>
                <w:left w:val="none" w:sz="0" w:space="0" w:color="auto"/>
                <w:bottom w:val="none" w:sz="0" w:space="0" w:color="auto"/>
                <w:right w:val="none" w:sz="0" w:space="0" w:color="auto"/>
              </w:divBdr>
              <w:divsChild>
                <w:div w:id="153304665">
                  <w:marLeft w:val="0"/>
                  <w:marRight w:val="0"/>
                  <w:marTop w:val="0"/>
                  <w:marBottom w:val="0"/>
                  <w:divBdr>
                    <w:top w:val="none" w:sz="0" w:space="0" w:color="auto"/>
                    <w:left w:val="none" w:sz="0" w:space="0" w:color="auto"/>
                    <w:bottom w:val="none" w:sz="0" w:space="0" w:color="auto"/>
                    <w:right w:val="none" w:sz="0" w:space="0" w:color="auto"/>
                  </w:divBdr>
                  <w:divsChild>
                    <w:div w:id="1057162978">
                      <w:marLeft w:val="0"/>
                      <w:marRight w:val="0"/>
                      <w:marTop w:val="0"/>
                      <w:marBottom w:val="0"/>
                      <w:divBdr>
                        <w:top w:val="none" w:sz="0" w:space="0" w:color="auto"/>
                        <w:left w:val="none" w:sz="0" w:space="0" w:color="auto"/>
                        <w:bottom w:val="none" w:sz="0" w:space="0" w:color="auto"/>
                        <w:right w:val="none" w:sz="0" w:space="0" w:color="auto"/>
                      </w:divBdr>
                      <w:divsChild>
                        <w:div w:id="98764392">
                          <w:marLeft w:val="0"/>
                          <w:marRight w:val="225"/>
                          <w:marTop w:val="60"/>
                          <w:marBottom w:val="0"/>
                          <w:divBdr>
                            <w:top w:val="none" w:sz="0" w:space="0" w:color="auto"/>
                            <w:left w:val="none" w:sz="0" w:space="0" w:color="auto"/>
                            <w:bottom w:val="none" w:sz="0" w:space="0" w:color="auto"/>
                            <w:right w:val="none" w:sz="0" w:space="0" w:color="auto"/>
                          </w:divBdr>
                          <w:divsChild>
                            <w:div w:id="259721460">
                              <w:marLeft w:val="0"/>
                              <w:marRight w:val="0"/>
                              <w:marTop w:val="0"/>
                              <w:marBottom w:val="0"/>
                              <w:divBdr>
                                <w:top w:val="none" w:sz="0" w:space="0" w:color="auto"/>
                                <w:left w:val="none" w:sz="0" w:space="0" w:color="auto"/>
                                <w:bottom w:val="none" w:sz="0" w:space="0" w:color="auto"/>
                                <w:right w:val="none" w:sz="0" w:space="0" w:color="auto"/>
                              </w:divBdr>
                              <w:divsChild>
                                <w:div w:id="1273324024">
                                  <w:marLeft w:val="0"/>
                                  <w:marRight w:val="0"/>
                                  <w:marTop w:val="0"/>
                                  <w:marBottom w:val="0"/>
                                  <w:divBdr>
                                    <w:top w:val="none" w:sz="0" w:space="0" w:color="auto"/>
                                    <w:left w:val="none" w:sz="0" w:space="0" w:color="auto"/>
                                    <w:bottom w:val="none" w:sz="0" w:space="0" w:color="auto"/>
                                    <w:right w:val="none" w:sz="0" w:space="0" w:color="auto"/>
                                  </w:divBdr>
                                  <w:divsChild>
                                    <w:div w:id="13355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275306">
      <w:bodyDiv w:val="1"/>
      <w:marLeft w:val="0"/>
      <w:marRight w:val="0"/>
      <w:marTop w:val="0"/>
      <w:marBottom w:val="0"/>
      <w:divBdr>
        <w:top w:val="none" w:sz="0" w:space="0" w:color="auto"/>
        <w:left w:val="none" w:sz="0" w:space="0" w:color="auto"/>
        <w:bottom w:val="none" w:sz="0" w:space="0" w:color="auto"/>
        <w:right w:val="none" w:sz="0" w:space="0" w:color="auto"/>
      </w:divBdr>
    </w:div>
    <w:div w:id="18249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2B5C8550"/><Relationship Id="rId4" Type="http://schemas.openxmlformats.org/officeDocument/2006/relationships/settings" Target="settings.xml"/><Relationship Id="rId9" Type="http://schemas.openxmlformats.org/officeDocument/2006/relationships/image" Target="cid:image002.jpg@01D60CED.D63BE40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D262-2D4E-44B2-8CC2-937F6578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2533</Characters>
  <Application>Microsoft Office Word</Application>
  <DocSecurity>0</DocSecurity>
  <Lines>74</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ECE/TRANS/WP.29/GRSG/2019/19</vt:lpstr>
      <vt:lpstr>ECE/TRANS/WP.29/GRSG/2019/19</vt:lpstr>
      <vt:lpstr>ECE/TRANS/WP.29/GRSG/2019/19</vt:lpstr>
    </vt:vector>
  </TitlesOfParts>
  <Company>CSD</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ECE/TRANS/WP.29/GRSG/2019/19</dc:title>
  <dc:subject>1912286</dc:subject>
  <dc:creator>Marie-Claude Collet</dc:creator>
  <cp:keywords/>
  <dc:description/>
  <cp:lastModifiedBy>Edoardo Gianotti</cp:lastModifiedBy>
  <cp:revision>2</cp:revision>
  <cp:lastPrinted>2020-01-20T14:32:00Z</cp:lastPrinted>
  <dcterms:created xsi:type="dcterms:W3CDTF">2020-07-10T09:53:00Z</dcterms:created>
  <dcterms:modified xsi:type="dcterms:W3CDTF">2020-07-10T09:53:00Z</dcterms:modified>
</cp:coreProperties>
</file>