
<file path=[Content_Types].xml><?xml version="1.0" encoding="utf-8"?>
<Types xmlns="http://schemas.openxmlformats.org/package/2006/content-types">
  <Default Extension="2B5C8550" ContentType="image/jpeg"/>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B10B4"/>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B10B4" w:rsidP="00DB10B4">
            <w:pPr>
              <w:jc w:val="right"/>
            </w:pPr>
            <w:r w:rsidRPr="00DB10B4">
              <w:rPr>
                <w:sz w:val="40"/>
              </w:rPr>
              <w:t>ECE</w:t>
            </w:r>
            <w:r>
              <w:t>/TRANS/WP.29/GRSG/2020/31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B10B4" w:rsidP="00C97039">
            <w:pPr>
              <w:spacing w:before="240"/>
            </w:pPr>
            <w:proofErr w:type="spellStart"/>
            <w:r>
              <w:t>Distr</w:t>
            </w:r>
            <w:proofErr w:type="spellEnd"/>
            <w:r>
              <w:t>. générale</w:t>
            </w:r>
          </w:p>
          <w:p w:rsidR="00DB10B4" w:rsidRDefault="00DB10B4" w:rsidP="00DB10B4">
            <w:pPr>
              <w:spacing w:line="240" w:lineRule="exact"/>
            </w:pPr>
            <w:r>
              <w:t>27 juillet 2020</w:t>
            </w:r>
          </w:p>
          <w:p w:rsidR="00DB10B4" w:rsidRDefault="00DB10B4" w:rsidP="00DB10B4">
            <w:pPr>
              <w:spacing w:line="240" w:lineRule="exact"/>
            </w:pPr>
            <w:r>
              <w:t>Français</w:t>
            </w:r>
          </w:p>
          <w:p w:rsidR="00DB10B4" w:rsidRPr="00DB58B5" w:rsidRDefault="00DB10B4" w:rsidP="00DB10B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DB10B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DB10B4" w:rsidRDefault="00DB10B4"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B10B4" w:rsidRDefault="00DB10B4" w:rsidP="00257168">
      <w:pPr>
        <w:spacing w:before="120" w:after="120" w:line="240" w:lineRule="exact"/>
        <w:rPr>
          <w:b/>
        </w:rPr>
      </w:pPr>
      <w:r>
        <w:rPr>
          <w:b/>
        </w:rPr>
        <w:t>Groupe de travail des dispositions générales de sécurité</w:t>
      </w:r>
    </w:p>
    <w:p w:rsidR="00DB10B4" w:rsidRDefault="00DB10B4" w:rsidP="00257168">
      <w:pPr>
        <w:spacing w:before="120" w:line="240" w:lineRule="exact"/>
        <w:rPr>
          <w:b/>
        </w:rPr>
      </w:pPr>
      <w:r>
        <w:rPr>
          <w:b/>
        </w:rPr>
        <w:t>119</w:t>
      </w:r>
      <w:r w:rsidRPr="00DB10B4">
        <w:rPr>
          <w:b/>
          <w:vertAlign w:val="superscript"/>
        </w:rPr>
        <w:t>e</w:t>
      </w:r>
      <w:r>
        <w:rPr>
          <w:b/>
        </w:rPr>
        <w:t xml:space="preserve"> session</w:t>
      </w:r>
    </w:p>
    <w:p w:rsidR="00DB10B4" w:rsidRPr="00235019" w:rsidRDefault="00DB10B4" w:rsidP="00DB10B4">
      <w:pPr>
        <w:rPr>
          <w:lang w:val="fr-FR"/>
        </w:rPr>
      </w:pPr>
      <w:r w:rsidRPr="00235019">
        <w:rPr>
          <w:lang w:val="fr-FR"/>
        </w:rPr>
        <w:t>Genève, 6-9 octobre 2020</w:t>
      </w:r>
    </w:p>
    <w:p w:rsidR="00DB10B4" w:rsidRPr="00235019" w:rsidRDefault="00DB10B4" w:rsidP="00DB10B4">
      <w:pPr>
        <w:rPr>
          <w:lang w:val="fr-FR"/>
        </w:rPr>
      </w:pPr>
      <w:r w:rsidRPr="00235019">
        <w:rPr>
          <w:lang w:val="fr-FR"/>
        </w:rPr>
        <w:t>Point 10 de l</w:t>
      </w:r>
      <w:r>
        <w:rPr>
          <w:lang w:val="fr-FR"/>
        </w:rPr>
        <w:t>’</w:t>
      </w:r>
      <w:r w:rsidRPr="00235019">
        <w:rPr>
          <w:lang w:val="fr-FR"/>
        </w:rPr>
        <w:t>ordre du jour provisoire</w:t>
      </w:r>
    </w:p>
    <w:p w:rsidR="00F9573C" w:rsidRDefault="00DB10B4" w:rsidP="00DB10B4">
      <w:pPr>
        <w:spacing w:line="240" w:lineRule="exact"/>
        <w:rPr>
          <w:b/>
          <w:lang w:val="fr-FR"/>
        </w:rPr>
      </w:pPr>
      <w:r w:rsidRPr="00235019">
        <w:rPr>
          <w:b/>
          <w:lang w:val="fr-FR"/>
        </w:rPr>
        <w:t>Règlement ONU n</w:t>
      </w:r>
      <w:r w:rsidRPr="00235019">
        <w:rPr>
          <w:b/>
          <w:vertAlign w:val="superscript"/>
          <w:lang w:val="fr-FR"/>
        </w:rPr>
        <w:t>o</w:t>
      </w:r>
      <w:r w:rsidRPr="00235019">
        <w:rPr>
          <w:b/>
          <w:lang w:val="fr-FR"/>
        </w:rPr>
        <w:t> 125 (Champ de vision du conducteur vers l</w:t>
      </w:r>
      <w:r>
        <w:rPr>
          <w:b/>
          <w:lang w:val="fr-FR"/>
        </w:rPr>
        <w:t>’</w:t>
      </w:r>
      <w:r w:rsidRPr="00235019">
        <w:rPr>
          <w:b/>
          <w:lang w:val="fr-FR"/>
        </w:rPr>
        <w:t>avant)</w:t>
      </w:r>
    </w:p>
    <w:p w:rsidR="00DB10B4" w:rsidRPr="00235019" w:rsidRDefault="00DB10B4" w:rsidP="00DB10B4">
      <w:pPr>
        <w:pStyle w:val="HChG"/>
        <w:rPr>
          <w:lang w:val="fr-FR"/>
        </w:rPr>
      </w:pPr>
      <w:r w:rsidRPr="00235019">
        <w:rPr>
          <w:lang w:val="fr-FR"/>
        </w:rPr>
        <w:tab/>
      </w:r>
      <w:r w:rsidRPr="00235019">
        <w:rPr>
          <w:lang w:val="fr-FR"/>
        </w:rPr>
        <w:tab/>
        <w:t>Proposition de complément 2 à la série 01 d</w:t>
      </w:r>
      <w:r>
        <w:rPr>
          <w:lang w:val="fr-FR"/>
        </w:rPr>
        <w:t>’</w:t>
      </w:r>
      <w:r w:rsidRPr="00235019">
        <w:rPr>
          <w:lang w:val="fr-FR"/>
        </w:rPr>
        <w:t xml:space="preserve">amendements </w:t>
      </w:r>
      <w:r>
        <w:rPr>
          <w:lang w:val="fr-FR"/>
        </w:rPr>
        <w:br/>
      </w:r>
      <w:r w:rsidRPr="00235019">
        <w:rPr>
          <w:lang w:val="fr-FR"/>
        </w:rPr>
        <w:t>au Règlement ONU n</w:t>
      </w:r>
      <w:r w:rsidRPr="00235019">
        <w:rPr>
          <w:vertAlign w:val="superscript"/>
          <w:lang w:val="fr-FR"/>
        </w:rPr>
        <w:t>o</w:t>
      </w:r>
      <w:r w:rsidRPr="00235019">
        <w:rPr>
          <w:lang w:val="fr-FR"/>
        </w:rPr>
        <w:t xml:space="preserve"> 125 (Champ de vision </w:t>
      </w:r>
      <w:r>
        <w:rPr>
          <w:lang w:val="fr-FR"/>
        </w:rPr>
        <w:br/>
      </w:r>
      <w:r w:rsidRPr="00235019">
        <w:rPr>
          <w:lang w:val="fr-FR"/>
        </w:rPr>
        <w:t>du conducteur vers l</w:t>
      </w:r>
      <w:r>
        <w:rPr>
          <w:lang w:val="fr-FR"/>
        </w:rPr>
        <w:t>’</w:t>
      </w:r>
      <w:r w:rsidRPr="00235019">
        <w:rPr>
          <w:lang w:val="fr-FR"/>
        </w:rPr>
        <w:t>avant)</w:t>
      </w:r>
    </w:p>
    <w:p w:rsidR="00DB10B4" w:rsidRDefault="00DB10B4" w:rsidP="00DB10B4">
      <w:pPr>
        <w:pStyle w:val="H1G"/>
        <w:rPr>
          <w:szCs w:val="24"/>
          <w:lang w:val="fr-FR"/>
        </w:rPr>
      </w:pPr>
      <w:r w:rsidRPr="00235019">
        <w:rPr>
          <w:lang w:val="fr-FR"/>
        </w:rPr>
        <w:tab/>
      </w:r>
      <w:r w:rsidRPr="00235019">
        <w:rPr>
          <w:lang w:val="fr-FR"/>
        </w:rPr>
        <w:tab/>
        <w:t>Communication de l</w:t>
      </w:r>
      <w:r>
        <w:rPr>
          <w:lang w:val="fr-FR"/>
        </w:rPr>
        <w:t>’</w:t>
      </w:r>
      <w:r w:rsidRPr="00235019">
        <w:rPr>
          <w:lang w:val="fr-FR"/>
        </w:rPr>
        <w:t>expert de l</w:t>
      </w:r>
      <w:r>
        <w:rPr>
          <w:lang w:val="fr-FR"/>
        </w:rPr>
        <w:t>’</w:t>
      </w:r>
      <w:r w:rsidRPr="00235019">
        <w:rPr>
          <w:lang w:val="fr-FR"/>
        </w:rPr>
        <w:t xml:space="preserve">Organisation internationale </w:t>
      </w:r>
      <w:r>
        <w:rPr>
          <w:lang w:val="fr-FR"/>
        </w:rPr>
        <w:br/>
      </w:r>
      <w:r w:rsidRPr="00235019">
        <w:rPr>
          <w:lang w:val="fr-FR"/>
        </w:rPr>
        <w:t>des constructeurs d</w:t>
      </w:r>
      <w:r>
        <w:rPr>
          <w:lang w:val="fr-FR"/>
        </w:rPr>
        <w:t>’</w:t>
      </w:r>
      <w:r w:rsidRPr="00235019">
        <w:rPr>
          <w:lang w:val="fr-FR"/>
        </w:rPr>
        <w:t>automobiles</w:t>
      </w:r>
      <w:r w:rsidRPr="00DB10B4">
        <w:rPr>
          <w:rStyle w:val="Appelnotedebasdep"/>
          <w:b w:val="0"/>
          <w:bCs/>
          <w:sz w:val="20"/>
          <w:vertAlign w:val="baseline"/>
          <w:lang w:val="fr-FR"/>
        </w:rPr>
        <w:footnoteReference w:customMarkFollows="1" w:id="2"/>
        <w:t>*</w:t>
      </w:r>
    </w:p>
    <w:p w:rsidR="00DB10B4" w:rsidRDefault="00DB10B4" w:rsidP="00DB10B4">
      <w:pPr>
        <w:pStyle w:val="SingleTxtG"/>
        <w:ind w:firstLine="567"/>
        <w:rPr>
          <w:lang w:val="fr-FR"/>
        </w:rPr>
      </w:pPr>
      <w:r w:rsidRPr="00235019">
        <w:rPr>
          <w:sz w:val="19"/>
          <w:szCs w:val="19"/>
          <w:lang w:val="fr-FR"/>
        </w:rPr>
        <w:t>Le texte ci-après, établi par l</w:t>
      </w:r>
      <w:r>
        <w:rPr>
          <w:sz w:val="19"/>
          <w:szCs w:val="19"/>
          <w:lang w:val="fr-FR"/>
        </w:rPr>
        <w:t>’</w:t>
      </w:r>
      <w:r w:rsidRPr="00235019">
        <w:rPr>
          <w:sz w:val="19"/>
          <w:szCs w:val="19"/>
          <w:lang w:val="fr-FR"/>
        </w:rPr>
        <w:t>expert de l</w:t>
      </w:r>
      <w:r>
        <w:rPr>
          <w:sz w:val="19"/>
          <w:szCs w:val="19"/>
          <w:lang w:val="fr-FR"/>
        </w:rPr>
        <w:t>’</w:t>
      </w:r>
      <w:r w:rsidRPr="00235019">
        <w:rPr>
          <w:sz w:val="19"/>
          <w:szCs w:val="19"/>
          <w:lang w:val="fr-FR"/>
        </w:rPr>
        <w:t>Organisation internationale des constructeurs d</w:t>
      </w:r>
      <w:r>
        <w:rPr>
          <w:sz w:val="19"/>
          <w:szCs w:val="19"/>
          <w:lang w:val="fr-FR"/>
        </w:rPr>
        <w:t>’</w:t>
      </w:r>
      <w:r w:rsidRPr="00235019">
        <w:rPr>
          <w:sz w:val="19"/>
          <w:szCs w:val="19"/>
          <w:lang w:val="fr-FR"/>
        </w:rPr>
        <w:t>automobiles (OICA), vise à modifier le document</w:t>
      </w:r>
      <w:r w:rsidRPr="00235019">
        <w:rPr>
          <w:lang w:val="fr-FR"/>
        </w:rPr>
        <w:t xml:space="preserve"> </w:t>
      </w:r>
      <w:r w:rsidRPr="00235019">
        <w:rPr>
          <w:szCs w:val="23"/>
          <w:lang w:val="fr-FR"/>
        </w:rPr>
        <w:t>ECE/TRANS/WP.29/GRSG/2020/11 afin de prévoir une exception pour les systèmes de cloisonnement pliables ou réglables</w:t>
      </w:r>
      <w:r w:rsidRPr="00235019">
        <w:rPr>
          <w:lang w:val="fr-FR"/>
        </w:rPr>
        <w:t>. Il est fondé sur le document GRSG-118-26. Les modifications qu</w:t>
      </w:r>
      <w:r>
        <w:rPr>
          <w:lang w:val="fr-FR"/>
        </w:rPr>
        <w:t>’</w:t>
      </w:r>
      <w:r w:rsidRPr="00235019">
        <w:rPr>
          <w:lang w:val="fr-FR"/>
        </w:rPr>
        <w:t>il est proposé d</w:t>
      </w:r>
      <w:r>
        <w:rPr>
          <w:lang w:val="fr-FR"/>
        </w:rPr>
        <w:t>’</w:t>
      </w:r>
      <w:r w:rsidRPr="00235019">
        <w:rPr>
          <w:lang w:val="fr-FR"/>
        </w:rPr>
        <w:t xml:space="preserve">apporter au texte actuel du Règlement figurent </w:t>
      </w:r>
      <w:r w:rsidRPr="00235019">
        <w:rPr>
          <w:b/>
          <w:bCs/>
          <w:lang w:val="fr-FR"/>
        </w:rPr>
        <w:t>en caractères gras</w:t>
      </w:r>
      <w:r w:rsidRPr="00DB10B4">
        <w:rPr>
          <w:lang w:val="fr-FR"/>
        </w:rPr>
        <w:t>.</w:t>
      </w:r>
      <w:r w:rsidR="00151C0E">
        <w:rPr>
          <w:lang w:val="fr-FR"/>
        </w:rPr>
        <w:t xml:space="preserve"> </w:t>
      </w:r>
      <w:bookmarkStart w:id="0" w:name="_GoBack"/>
      <w:bookmarkEnd w:id="0"/>
    </w:p>
    <w:p w:rsidR="00DB10B4" w:rsidRPr="00DB10B4" w:rsidRDefault="00DB10B4" w:rsidP="00DB10B4">
      <w:pPr>
        <w:pStyle w:val="HChG"/>
      </w:pPr>
      <w:r>
        <w:rPr>
          <w:lang w:val="fr-FR"/>
        </w:rPr>
        <w:br w:type="page"/>
      </w:r>
      <w:r w:rsidRPr="00235019">
        <w:rPr>
          <w:lang w:val="fr-FR"/>
        </w:rPr>
        <w:lastRenderedPageBreak/>
        <w:tab/>
        <w:t>I.</w:t>
      </w:r>
      <w:r w:rsidRPr="00235019">
        <w:rPr>
          <w:lang w:val="fr-FR"/>
        </w:rPr>
        <w:tab/>
        <w:t>Proposition</w:t>
      </w:r>
    </w:p>
    <w:p w:rsidR="00DB10B4" w:rsidRPr="00235019" w:rsidRDefault="00DB10B4" w:rsidP="00DB10B4">
      <w:pPr>
        <w:pStyle w:val="SingleTxtG"/>
        <w:ind w:left="2268" w:right="425" w:hanging="1134"/>
        <w:rPr>
          <w:bCs/>
          <w:lang w:val="fr-FR"/>
        </w:rPr>
      </w:pPr>
      <w:r w:rsidRPr="00235019">
        <w:rPr>
          <w:bCs/>
          <w:i/>
          <w:lang w:val="fr-FR"/>
        </w:rPr>
        <w:t xml:space="preserve">Paragraphe 1.1, </w:t>
      </w:r>
      <w:r w:rsidRPr="00235019">
        <w:rPr>
          <w:bCs/>
          <w:lang w:val="fr-FR"/>
        </w:rPr>
        <w:t>lire :</w:t>
      </w:r>
    </w:p>
    <w:p w:rsidR="00DB10B4" w:rsidRPr="00235019" w:rsidRDefault="00DB10B4" w:rsidP="00DB10B4">
      <w:pPr>
        <w:pStyle w:val="SingleTxtG"/>
        <w:ind w:left="2268" w:hanging="1134"/>
        <w:rPr>
          <w:lang w:val="fr-FR"/>
        </w:rPr>
      </w:pPr>
      <w:r w:rsidRPr="00235019">
        <w:rPr>
          <w:lang w:val="fr-FR"/>
        </w:rPr>
        <w:t>« 1.1</w:t>
      </w:r>
      <w:r w:rsidRPr="00235019">
        <w:rPr>
          <w:lang w:val="fr-FR"/>
        </w:rPr>
        <w:tab/>
        <w:t>Le présent Règlement s</w:t>
      </w:r>
      <w:r>
        <w:rPr>
          <w:lang w:val="fr-FR"/>
        </w:rPr>
        <w:t>’</w:t>
      </w:r>
      <w:r w:rsidRPr="00235019">
        <w:rPr>
          <w:lang w:val="fr-FR"/>
        </w:rPr>
        <w:t>applique au champ de vision sur 180° vers l</w:t>
      </w:r>
      <w:r>
        <w:rPr>
          <w:lang w:val="fr-FR"/>
        </w:rPr>
        <w:t>’</w:t>
      </w:r>
      <w:r w:rsidRPr="00235019">
        <w:rPr>
          <w:lang w:val="fr-FR"/>
        </w:rPr>
        <w:t>avant du conducteur de véhicules de</w:t>
      </w:r>
      <w:r w:rsidRPr="00235019">
        <w:rPr>
          <w:b/>
          <w:bCs/>
          <w:lang w:val="fr-FR"/>
        </w:rPr>
        <w:t>s</w:t>
      </w:r>
      <w:r w:rsidRPr="00235019">
        <w:rPr>
          <w:lang w:val="fr-FR"/>
        </w:rPr>
        <w:t xml:space="preserve"> catégorie</w:t>
      </w:r>
      <w:r w:rsidRPr="00235019">
        <w:rPr>
          <w:b/>
          <w:bCs/>
          <w:lang w:val="fr-FR"/>
        </w:rPr>
        <w:t>s</w:t>
      </w:r>
      <w:r w:rsidRPr="00235019">
        <w:rPr>
          <w:lang w:val="fr-FR"/>
        </w:rPr>
        <w:t xml:space="preserve"> M</w:t>
      </w:r>
      <w:r w:rsidRPr="00235019">
        <w:rPr>
          <w:vertAlign w:val="subscript"/>
          <w:lang w:val="fr-FR"/>
        </w:rPr>
        <w:t>1</w:t>
      </w:r>
      <w:r w:rsidRPr="00235019">
        <w:rPr>
          <w:lang w:val="fr-FR"/>
        </w:rPr>
        <w:t xml:space="preserve"> </w:t>
      </w:r>
      <w:r w:rsidRPr="00235019">
        <w:rPr>
          <w:b/>
          <w:bCs/>
          <w:lang w:val="fr-FR"/>
        </w:rPr>
        <w:t>et N</w:t>
      </w:r>
      <w:r w:rsidRPr="00235019">
        <w:rPr>
          <w:b/>
          <w:bCs/>
          <w:vertAlign w:val="subscript"/>
          <w:lang w:val="fr-FR"/>
        </w:rPr>
        <w:t>1</w:t>
      </w:r>
      <w:r w:rsidRPr="00DB10B4">
        <w:rPr>
          <w:rStyle w:val="Appelnotedebasdep"/>
        </w:rPr>
        <w:footnoteReference w:id="3"/>
      </w:r>
      <w:r w:rsidRPr="00235019">
        <w:rPr>
          <w:lang w:val="fr-FR"/>
        </w:rPr>
        <w:t>. »</w:t>
      </w:r>
      <w:r>
        <w:rPr>
          <w:lang w:val="fr-FR"/>
        </w:rPr>
        <w:t>.</w:t>
      </w:r>
    </w:p>
    <w:p w:rsidR="00DB10B4" w:rsidRPr="00235019" w:rsidRDefault="00DB10B4" w:rsidP="00DB10B4">
      <w:pPr>
        <w:pStyle w:val="SingleTxtG"/>
        <w:ind w:left="2268" w:right="425" w:hanging="1134"/>
        <w:rPr>
          <w:bCs/>
          <w:lang w:val="fr-FR"/>
        </w:rPr>
      </w:pPr>
      <w:r w:rsidRPr="00235019">
        <w:rPr>
          <w:bCs/>
          <w:i/>
          <w:lang w:val="fr-FR"/>
        </w:rPr>
        <w:t xml:space="preserve">Paragraphe 1.3, </w:t>
      </w:r>
      <w:r w:rsidRPr="00235019">
        <w:rPr>
          <w:bCs/>
          <w:lang w:val="fr-FR"/>
        </w:rPr>
        <w:t>lire :</w:t>
      </w:r>
    </w:p>
    <w:p w:rsidR="00DB10B4" w:rsidRPr="00235019" w:rsidRDefault="00DB10B4" w:rsidP="00DB10B4">
      <w:pPr>
        <w:pStyle w:val="SingleTxtG"/>
        <w:ind w:left="2268" w:hanging="1134"/>
        <w:rPr>
          <w:lang w:val="fr-FR"/>
        </w:rPr>
      </w:pPr>
      <w:r w:rsidRPr="00235019">
        <w:rPr>
          <w:lang w:val="fr-FR"/>
        </w:rPr>
        <w:t>« 1.3</w:t>
      </w:r>
      <w:r w:rsidRPr="00235019">
        <w:rPr>
          <w:lang w:val="fr-FR"/>
        </w:rPr>
        <w:tab/>
        <w:t>Ces prescriptions, telles qu</w:t>
      </w:r>
      <w:r>
        <w:rPr>
          <w:lang w:val="fr-FR"/>
        </w:rPr>
        <w:t>’</w:t>
      </w:r>
      <w:r w:rsidRPr="00235019">
        <w:rPr>
          <w:lang w:val="fr-FR"/>
        </w:rPr>
        <w:t>elles sont rédigées, s</w:t>
      </w:r>
      <w:r>
        <w:rPr>
          <w:lang w:val="fr-FR"/>
        </w:rPr>
        <w:t>’</w:t>
      </w:r>
      <w:r w:rsidRPr="00235019">
        <w:rPr>
          <w:lang w:val="fr-FR"/>
        </w:rPr>
        <w:t>appliquent aux véhicules de</w:t>
      </w:r>
      <w:r w:rsidRPr="00235019">
        <w:rPr>
          <w:b/>
          <w:bCs/>
          <w:lang w:val="fr-FR"/>
        </w:rPr>
        <w:t>s</w:t>
      </w:r>
      <w:r w:rsidRPr="00235019">
        <w:rPr>
          <w:lang w:val="fr-FR"/>
        </w:rPr>
        <w:t xml:space="preserve"> catégorie</w:t>
      </w:r>
      <w:r w:rsidRPr="00235019">
        <w:rPr>
          <w:b/>
          <w:bCs/>
          <w:lang w:val="fr-FR"/>
        </w:rPr>
        <w:t>s</w:t>
      </w:r>
      <w:r w:rsidRPr="00235019">
        <w:rPr>
          <w:lang w:val="fr-FR"/>
        </w:rPr>
        <w:t xml:space="preserve"> M</w:t>
      </w:r>
      <w:r w:rsidRPr="00235019">
        <w:rPr>
          <w:vertAlign w:val="subscript"/>
          <w:lang w:val="fr-FR"/>
        </w:rPr>
        <w:t>1</w:t>
      </w:r>
      <w:r w:rsidRPr="00235019">
        <w:rPr>
          <w:lang w:val="fr-FR"/>
        </w:rPr>
        <w:t xml:space="preserve"> </w:t>
      </w:r>
      <w:r w:rsidRPr="00235019">
        <w:rPr>
          <w:b/>
          <w:bCs/>
          <w:lang w:val="fr-FR"/>
        </w:rPr>
        <w:t>et N</w:t>
      </w:r>
      <w:r w:rsidRPr="00235019">
        <w:rPr>
          <w:b/>
          <w:bCs/>
          <w:vertAlign w:val="subscript"/>
          <w:lang w:val="fr-FR"/>
        </w:rPr>
        <w:t>1</w:t>
      </w:r>
      <w:r w:rsidRPr="00235019">
        <w:rPr>
          <w:lang w:val="fr-FR"/>
        </w:rPr>
        <w:t xml:space="preserve"> pour lesquels le poste de conduite est situé à gauche. Lorsque le poste de conduite est situé à droite, ces prescriptions sont applicables </w:t>
      </w:r>
      <w:r w:rsidRPr="007F6A29">
        <w:rPr>
          <w:i/>
          <w:iCs/>
          <w:lang w:val="fr-FR"/>
        </w:rPr>
        <w:t>mutatis mutandis</w:t>
      </w:r>
      <w:r w:rsidRPr="00235019">
        <w:rPr>
          <w:lang w:val="fr-FR"/>
        </w:rPr>
        <w:t xml:space="preserve"> par inversion des critères spécifiés. »</w:t>
      </w:r>
      <w:r>
        <w:rPr>
          <w:lang w:val="fr-FR"/>
        </w:rPr>
        <w:t>.</w:t>
      </w:r>
    </w:p>
    <w:p w:rsidR="00DB10B4" w:rsidRPr="00235019" w:rsidRDefault="00DB10B4" w:rsidP="00DB10B4">
      <w:pPr>
        <w:pStyle w:val="SingleTxtG"/>
        <w:ind w:left="2268" w:right="425" w:hanging="1134"/>
        <w:rPr>
          <w:bCs/>
          <w:iCs/>
          <w:lang w:val="fr-FR"/>
        </w:rPr>
      </w:pPr>
      <w:r w:rsidRPr="00235019">
        <w:rPr>
          <w:bCs/>
          <w:i/>
          <w:lang w:val="fr-FR"/>
        </w:rPr>
        <w:t xml:space="preserve">Ajouter le nouveau paragraphe 2.19, </w:t>
      </w:r>
      <w:r w:rsidRPr="00235019">
        <w:rPr>
          <w:bCs/>
          <w:iCs/>
          <w:lang w:val="fr-FR"/>
        </w:rPr>
        <w:t>libellé comme suit :</w:t>
      </w:r>
    </w:p>
    <w:p w:rsidR="00DB10B4" w:rsidRPr="00235019" w:rsidRDefault="00DB10B4" w:rsidP="00DB10B4">
      <w:pPr>
        <w:pStyle w:val="SingleTxtG"/>
        <w:ind w:left="2268" w:hanging="1134"/>
        <w:rPr>
          <w:b/>
          <w:bCs/>
          <w:lang w:val="fr-FR"/>
        </w:rPr>
      </w:pPr>
      <w:bookmarkStart w:id="1" w:name="A0_S2_1"/>
      <w:r w:rsidRPr="00235019">
        <w:rPr>
          <w:lang w:val="fr-FR"/>
        </w:rPr>
        <w:t>« </w:t>
      </w:r>
      <w:r w:rsidRPr="00235019">
        <w:rPr>
          <w:b/>
          <w:bCs/>
          <w:lang w:val="fr-FR"/>
        </w:rPr>
        <w:t>2.1</w:t>
      </w:r>
      <w:bookmarkEnd w:id="1"/>
      <w:r w:rsidRPr="00235019">
        <w:rPr>
          <w:b/>
          <w:bCs/>
          <w:lang w:val="fr-FR"/>
        </w:rPr>
        <w:t>9</w:t>
      </w:r>
      <w:r w:rsidRPr="00235019">
        <w:rPr>
          <w:b/>
          <w:bCs/>
          <w:lang w:val="fr-FR"/>
        </w:rPr>
        <w:tab/>
        <w:t xml:space="preserve">Par </w:t>
      </w:r>
      <w:r w:rsidR="007F6A29" w:rsidRPr="007F6A29">
        <w:rPr>
          <w:b/>
          <w:bCs/>
        </w:rPr>
        <w:t>“</w:t>
      </w:r>
      <w:r w:rsidRPr="00235019">
        <w:rPr>
          <w:b/>
          <w:bCs/>
          <w:lang w:val="fr-FR"/>
        </w:rPr>
        <w:t>système de cloisonnement</w:t>
      </w:r>
      <w:r w:rsidR="007F6A29" w:rsidRPr="007F6A29">
        <w:rPr>
          <w:b/>
          <w:bCs/>
        </w:rPr>
        <w:t>”</w:t>
      </w:r>
      <w:r w:rsidRPr="00235019">
        <w:rPr>
          <w:b/>
          <w:bCs/>
          <w:lang w:val="fr-FR"/>
        </w:rPr>
        <w:t>, on entend les accessoires ou dispositifs qui, en complément des dossiers de siège, sont destinés à protéger les occupants contre les déplacements de bagages.</w:t>
      </w:r>
      <w:r w:rsidRPr="00AE3126">
        <w:rPr>
          <w:lang w:val="fr-FR"/>
        </w:rPr>
        <w:t> ».</w:t>
      </w:r>
    </w:p>
    <w:p w:rsidR="00DB10B4" w:rsidRPr="00235019" w:rsidRDefault="00DB10B4" w:rsidP="00DB10B4">
      <w:pPr>
        <w:pStyle w:val="SingleTxtG"/>
        <w:ind w:left="2268" w:right="425" w:hanging="1134"/>
        <w:rPr>
          <w:bCs/>
          <w:lang w:val="fr-FR"/>
        </w:rPr>
      </w:pPr>
      <w:r w:rsidRPr="00235019">
        <w:rPr>
          <w:bCs/>
          <w:i/>
          <w:lang w:val="fr-FR"/>
        </w:rPr>
        <w:t xml:space="preserve">Paragraphe 5.1.3, </w:t>
      </w:r>
      <w:r w:rsidRPr="00235019">
        <w:rPr>
          <w:bCs/>
          <w:lang w:val="fr-FR"/>
        </w:rPr>
        <w:t>lire :</w:t>
      </w:r>
    </w:p>
    <w:p w:rsidR="00DB10B4" w:rsidRPr="00235019" w:rsidRDefault="00DB10B4" w:rsidP="00DB10B4">
      <w:pPr>
        <w:pStyle w:val="SingleTxtG"/>
        <w:ind w:left="2268" w:hanging="1134"/>
        <w:rPr>
          <w:lang w:val="fr-FR"/>
        </w:rPr>
      </w:pPr>
      <w:r w:rsidRPr="00235019">
        <w:rPr>
          <w:lang w:val="fr-FR"/>
        </w:rPr>
        <w:t>« 5.1.3</w:t>
      </w:r>
      <w:r w:rsidRPr="00235019">
        <w:rPr>
          <w:lang w:val="fr-FR"/>
        </w:rPr>
        <w:tab/>
        <w:t>Sous réserve des dispositions des paragraphes 5.1.3.3</w:t>
      </w:r>
      <w:r w:rsidRPr="00AE3126">
        <w:rPr>
          <w:b/>
          <w:bCs/>
          <w:lang w:val="fr-FR"/>
        </w:rPr>
        <w:t>,</w:t>
      </w:r>
      <w:r w:rsidRPr="00235019">
        <w:rPr>
          <w:lang w:val="fr-FR"/>
        </w:rPr>
        <w:t xml:space="preserve"> 5.1.3.4 </w:t>
      </w:r>
      <w:r w:rsidRPr="00235019">
        <w:rPr>
          <w:b/>
          <w:bCs/>
          <w:lang w:val="fr-FR"/>
        </w:rPr>
        <w:t>et 5.1.3.5</w:t>
      </w:r>
      <w:r w:rsidRPr="00235019">
        <w:rPr>
          <w:lang w:val="fr-FR"/>
        </w:rPr>
        <w:t xml:space="preserve"> ci</w:t>
      </w:r>
      <w:r>
        <w:rPr>
          <w:lang w:val="fr-FR"/>
        </w:rPr>
        <w:noBreakHyphen/>
      </w:r>
      <w:r w:rsidRPr="00235019">
        <w:rPr>
          <w:lang w:val="fr-FR"/>
        </w:rPr>
        <w:t>dessous, à l</w:t>
      </w:r>
      <w:r>
        <w:rPr>
          <w:lang w:val="fr-FR"/>
        </w:rPr>
        <w:t>’</w:t>
      </w:r>
      <w:r w:rsidRPr="00235019">
        <w:rPr>
          <w:lang w:val="fr-FR"/>
        </w:rPr>
        <w:t>exception des obstructions dues aux montants avant, aux montants de séparation des déflecteurs fixes ou mobiles ou des vitres latérales, aux antennes radio extérieures, aux dispositifs de vision indirecte satisfaisant aux prescriptions concernant le champ obligatoire de vision indirecte, ainsi qu</w:t>
      </w:r>
      <w:r>
        <w:rPr>
          <w:lang w:val="fr-FR"/>
        </w:rPr>
        <w:t>’</w:t>
      </w:r>
      <w:r w:rsidRPr="00235019">
        <w:rPr>
          <w:lang w:val="fr-FR"/>
        </w:rPr>
        <w:t xml:space="preserve">aux </w:t>
      </w:r>
      <w:proofErr w:type="spellStart"/>
      <w:r w:rsidRPr="00235019">
        <w:rPr>
          <w:lang w:val="fr-FR"/>
        </w:rPr>
        <w:t>essuie-glaces</w:t>
      </w:r>
      <w:proofErr w:type="spellEnd"/>
      <w:r w:rsidRPr="00235019">
        <w:rPr>
          <w:lang w:val="fr-FR"/>
        </w:rPr>
        <w:t>,</w:t>
      </w:r>
      <w:r>
        <w:rPr>
          <w:lang w:val="fr-FR"/>
        </w:rPr>
        <w:t xml:space="preserve"> </w:t>
      </w:r>
      <w:r w:rsidRPr="00235019">
        <w:rPr>
          <w:lang w:val="fr-FR"/>
        </w:rPr>
        <w:t>il ne peut exister aucune obstruction dans le champ de vision direct du conducteur sur 180° vers l</w:t>
      </w:r>
      <w:r>
        <w:rPr>
          <w:lang w:val="fr-FR"/>
        </w:rPr>
        <w:t>’</w:t>
      </w:r>
      <w:r w:rsidRPr="00235019">
        <w:rPr>
          <w:lang w:val="fr-FR"/>
        </w:rPr>
        <w:t>avant, au</w:t>
      </w:r>
      <w:r w:rsidR="007F6A29">
        <w:rPr>
          <w:lang w:val="fr-FR"/>
        </w:rPr>
        <w:noBreakHyphen/>
      </w:r>
      <w:r w:rsidRPr="00235019">
        <w:rPr>
          <w:lang w:val="fr-FR"/>
        </w:rPr>
        <w:t>dessous d</w:t>
      </w:r>
      <w:r>
        <w:rPr>
          <w:lang w:val="fr-FR"/>
        </w:rPr>
        <w:t>’</w:t>
      </w:r>
      <w:r w:rsidRPr="00235019">
        <w:rPr>
          <w:lang w:val="fr-FR"/>
        </w:rPr>
        <w:t>un plan horizontal passant par V1 et au-dessus de trois plans passant par V2, dont l</w:t>
      </w:r>
      <w:r>
        <w:rPr>
          <w:lang w:val="fr-FR"/>
        </w:rPr>
        <w:t>’</w:t>
      </w:r>
      <w:r w:rsidRPr="00235019">
        <w:rPr>
          <w:lang w:val="fr-FR"/>
        </w:rPr>
        <w:t>un est perpendiculaire au plan X-Z et incliné vers l</w:t>
      </w:r>
      <w:r>
        <w:rPr>
          <w:lang w:val="fr-FR"/>
        </w:rPr>
        <w:t>’</w:t>
      </w:r>
      <w:r w:rsidRPr="00235019">
        <w:rPr>
          <w:lang w:val="fr-FR"/>
        </w:rPr>
        <w:t>avant de 4° au-dessous de l</w:t>
      </w:r>
      <w:r>
        <w:rPr>
          <w:lang w:val="fr-FR"/>
        </w:rPr>
        <w:t>’</w:t>
      </w:r>
      <w:r w:rsidRPr="00235019">
        <w:rPr>
          <w:lang w:val="fr-FR"/>
        </w:rPr>
        <w:t>horizontale et les deux autres sont perpendiculaires au plan Y-Z et inclinés de 4° au-dessous de l</w:t>
      </w:r>
      <w:r>
        <w:rPr>
          <w:lang w:val="fr-FR"/>
        </w:rPr>
        <w:t>’</w:t>
      </w:r>
      <w:r w:rsidRPr="00235019">
        <w:rPr>
          <w:lang w:val="fr-FR"/>
        </w:rPr>
        <w:t>horizontale (voir annexe 4, appendice, fig</w:t>
      </w:r>
      <w:r w:rsidR="007F6A29">
        <w:rPr>
          <w:lang w:val="fr-FR"/>
        </w:rPr>
        <w:t>. </w:t>
      </w:r>
      <w:r w:rsidRPr="00235019">
        <w:rPr>
          <w:lang w:val="fr-FR"/>
        </w:rPr>
        <w:t>4).</w:t>
      </w:r>
      <w:r>
        <w:rPr>
          <w:lang w:val="fr-FR"/>
        </w:rPr>
        <w:t> ».</w:t>
      </w:r>
    </w:p>
    <w:p w:rsidR="00DB10B4" w:rsidRPr="00235019" w:rsidRDefault="00DB10B4" w:rsidP="00DB10B4">
      <w:pPr>
        <w:pStyle w:val="SingleTxtG"/>
        <w:ind w:left="2268" w:right="425" w:hanging="1134"/>
        <w:rPr>
          <w:lang w:val="fr-FR"/>
        </w:rPr>
      </w:pPr>
      <w:r w:rsidRPr="00235019">
        <w:rPr>
          <w:lang w:val="fr-FR"/>
        </w:rPr>
        <w:t>[…] ».</w:t>
      </w:r>
    </w:p>
    <w:p w:rsidR="00DB10B4" w:rsidRPr="00235019" w:rsidRDefault="00DB10B4" w:rsidP="00DB10B4">
      <w:pPr>
        <w:pStyle w:val="SingleTxtG"/>
        <w:ind w:left="2268" w:hanging="1134"/>
        <w:rPr>
          <w:i/>
          <w:lang w:val="fr-FR"/>
        </w:rPr>
      </w:pPr>
      <w:r w:rsidRPr="00235019">
        <w:rPr>
          <w:i/>
          <w:lang w:val="fr-FR"/>
        </w:rPr>
        <w:t xml:space="preserve">Ajouter le nouveau paragraphe 5.1.3.5, </w:t>
      </w:r>
      <w:r w:rsidRPr="00235019">
        <w:rPr>
          <w:iCs/>
          <w:lang w:val="fr-FR"/>
        </w:rPr>
        <w:t>libellé comme suit :</w:t>
      </w:r>
    </w:p>
    <w:p w:rsidR="00DB10B4" w:rsidRPr="00235019" w:rsidRDefault="00DB10B4" w:rsidP="00DB10B4">
      <w:pPr>
        <w:pStyle w:val="SingleTxtG"/>
        <w:ind w:left="2268" w:hanging="1134"/>
        <w:rPr>
          <w:b/>
          <w:lang w:val="fr-FR"/>
        </w:rPr>
      </w:pPr>
      <w:r w:rsidRPr="00235019">
        <w:rPr>
          <w:bCs/>
          <w:lang w:val="fr-FR"/>
        </w:rPr>
        <w:t>« </w:t>
      </w:r>
      <w:r w:rsidRPr="00235019">
        <w:rPr>
          <w:b/>
          <w:lang w:val="fr-FR"/>
        </w:rPr>
        <w:t>5.1.3.5</w:t>
      </w:r>
      <w:r w:rsidRPr="00235019">
        <w:rPr>
          <w:b/>
          <w:lang w:val="fr-FR"/>
        </w:rPr>
        <w:tab/>
        <w:t xml:space="preserve">Une obstruction créée par un système de cloisonnement </w:t>
      </w:r>
      <w:r>
        <w:rPr>
          <w:b/>
          <w:lang w:val="fr-FR"/>
        </w:rPr>
        <w:t>côté passager n</w:t>
      </w:r>
      <w:r>
        <w:rPr>
          <w:b/>
          <w:lang w:val="fr-FR"/>
        </w:rPr>
        <w:t>’</w:t>
      </w:r>
      <w:r>
        <w:rPr>
          <w:b/>
          <w:lang w:val="fr-FR"/>
        </w:rPr>
        <w:t xml:space="preserve">est </w:t>
      </w:r>
      <w:r w:rsidRPr="00235019">
        <w:rPr>
          <w:b/>
          <w:lang w:val="fr-FR"/>
        </w:rPr>
        <w:t>tolérée que si le système est réglable et si, dans sa position d</w:t>
      </w:r>
      <w:r>
        <w:rPr>
          <w:b/>
          <w:lang w:val="fr-FR"/>
        </w:rPr>
        <w:t>’</w:t>
      </w:r>
      <w:r w:rsidRPr="00235019">
        <w:rPr>
          <w:b/>
          <w:lang w:val="fr-FR"/>
        </w:rPr>
        <w:t>utilisation normale telle qu</w:t>
      </w:r>
      <w:r>
        <w:rPr>
          <w:b/>
          <w:lang w:val="fr-FR"/>
        </w:rPr>
        <w:t>’</w:t>
      </w:r>
      <w:r w:rsidRPr="00235019">
        <w:rPr>
          <w:b/>
          <w:lang w:val="fr-FR"/>
        </w:rPr>
        <w:t xml:space="preserve">indiquée par le </w:t>
      </w:r>
      <w:r>
        <w:rPr>
          <w:b/>
          <w:lang w:val="fr-FR"/>
        </w:rPr>
        <w:t>constructeur</w:t>
      </w:r>
      <w:r w:rsidRPr="00235019">
        <w:rPr>
          <w:b/>
          <w:lang w:val="fr-FR"/>
        </w:rPr>
        <w:t>, il n</w:t>
      </w:r>
      <w:r>
        <w:rPr>
          <w:b/>
          <w:lang w:val="fr-FR"/>
        </w:rPr>
        <w:t>’</w:t>
      </w:r>
      <w:r w:rsidRPr="00235019">
        <w:rPr>
          <w:b/>
          <w:lang w:val="fr-FR"/>
        </w:rPr>
        <w:t>existe aucune obstruction dans le champ de vision direct du conducteur sur 180° vers l</w:t>
      </w:r>
      <w:r>
        <w:rPr>
          <w:b/>
          <w:lang w:val="fr-FR"/>
        </w:rPr>
        <w:t>’</w:t>
      </w:r>
      <w:r w:rsidRPr="00235019">
        <w:rPr>
          <w:b/>
          <w:lang w:val="fr-FR"/>
        </w:rPr>
        <w:t>avant. La position d</w:t>
      </w:r>
      <w:r>
        <w:rPr>
          <w:b/>
          <w:lang w:val="fr-FR"/>
        </w:rPr>
        <w:t>’</w:t>
      </w:r>
      <w:r w:rsidRPr="00235019">
        <w:rPr>
          <w:b/>
          <w:lang w:val="fr-FR"/>
        </w:rPr>
        <w:t>utilisation normale doit être précisée dans le manuel destiné au propriétaire du véhicule.</w:t>
      </w:r>
      <w:r w:rsidRPr="00AE3126">
        <w:rPr>
          <w:bCs/>
          <w:lang w:val="fr-FR"/>
        </w:rPr>
        <w:t> ».</w:t>
      </w:r>
    </w:p>
    <w:p w:rsidR="00DB10B4" w:rsidRPr="00235019" w:rsidRDefault="00DB10B4" w:rsidP="00DB10B4">
      <w:pPr>
        <w:pStyle w:val="HChG"/>
        <w:rPr>
          <w:lang w:val="fr-FR"/>
        </w:rPr>
      </w:pPr>
      <w:r w:rsidRPr="00235019">
        <w:rPr>
          <w:lang w:val="fr-FR"/>
        </w:rPr>
        <w:tab/>
        <w:t>II.</w:t>
      </w:r>
      <w:r w:rsidRPr="00235019">
        <w:rPr>
          <w:lang w:val="fr-FR"/>
        </w:rPr>
        <w:tab/>
        <w:t>Justification</w:t>
      </w:r>
    </w:p>
    <w:p w:rsidR="00DB10B4" w:rsidRPr="00235019" w:rsidRDefault="00DB10B4" w:rsidP="00DB10B4">
      <w:pPr>
        <w:pStyle w:val="SingleTxtG"/>
        <w:rPr>
          <w:lang w:val="fr-FR" w:eastAsia="zh-CN"/>
        </w:rPr>
      </w:pPr>
      <w:r w:rsidRPr="00235019">
        <w:rPr>
          <w:lang w:val="fr-FR" w:eastAsia="zh-CN"/>
        </w:rPr>
        <w:t>1.</w:t>
      </w:r>
      <w:r w:rsidRPr="00235019">
        <w:rPr>
          <w:lang w:val="fr-FR" w:eastAsia="zh-CN"/>
        </w:rPr>
        <w:tab/>
        <w:t xml:space="preserve">Les paragraphes 3.2 à 3.4 de la section 3 </w:t>
      </w:r>
      <w:r>
        <w:rPr>
          <w:lang w:val="fr-FR" w:eastAsia="zh-CN"/>
        </w:rPr>
        <w:t>(</w:t>
      </w:r>
      <w:r w:rsidRPr="00235019">
        <w:rPr>
          <w:lang w:val="fr-FR" w:eastAsia="zh-CN"/>
        </w:rPr>
        <w:t>Critères pour la classification des véhicules dans la catégorie N</w:t>
      </w:r>
      <w:r>
        <w:rPr>
          <w:lang w:val="fr-FR" w:eastAsia="zh-CN"/>
        </w:rPr>
        <w:t>)</w:t>
      </w:r>
      <w:r w:rsidRPr="00235019">
        <w:rPr>
          <w:lang w:val="fr-FR" w:eastAsia="zh-CN"/>
        </w:rPr>
        <w:t xml:space="preserve"> de la partie A de l</w:t>
      </w:r>
      <w:r>
        <w:rPr>
          <w:lang w:val="fr-FR" w:eastAsia="zh-CN"/>
        </w:rPr>
        <w:t>’</w:t>
      </w:r>
      <w:r w:rsidRPr="00235019">
        <w:rPr>
          <w:lang w:val="fr-FR" w:eastAsia="zh-CN"/>
        </w:rPr>
        <w:t xml:space="preserve">annexe I du Règlement (UE) </w:t>
      </w:r>
      <w:r w:rsidR="007F6A29" w:rsidRPr="007F6A29">
        <w:rPr>
          <w:rFonts w:eastAsia="MS Mincho"/>
          <w:szCs w:val="22"/>
          <w:lang w:val="fr-FR" w:eastAsia="zh-CN"/>
        </w:rPr>
        <w:t>n</w:t>
      </w:r>
      <w:r w:rsidR="007F6A29" w:rsidRPr="007F6A29">
        <w:rPr>
          <w:rFonts w:eastAsia="MS Mincho"/>
          <w:szCs w:val="22"/>
          <w:vertAlign w:val="superscript"/>
          <w:lang w:val="fr-FR" w:eastAsia="zh-CN"/>
        </w:rPr>
        <w:t>o</w:t>
      </w:r>
      <w:r w:rsidR="007F6A29">
        <w:rPr>
          <w:lang w:val="fr-FR" w:eastAsia="zh-CN"/>
        </w:rPr>
        <w:t> </w:t>
      </w:r>
      <w:r w:rsidRPr="00235019">
        <w:rPr>
          <w:lang w:val="fr-FR" w:eastAsia="zh-CN"/>
        </w:rPr>
        <w:t>2018/858 établissent des prescriptions spécifiques concernant la fixation du chargement. Dans les petits véhicules de la catégorie N</w:t>
      </w:r>
      <w:r w:rsidRPr="00235019">
        <w:rPr>
          <w:vertAlign w:val="subscript"/>
          <w:lang w:val="fr-FR" w:eastAsia="zh-CN"/>
        </w:rPr>
        <w:t>1</w:t>
      </w:r>
      <w:r w:rsidRPr="00235019">
        <w:rPr>
          <w:lang w:val="fr-FR" w:eastAsia="zh-CN"/>
        </w:rPr>
        <w:t>, les systèmes de cloisonnement pliables ou réglables satisfont à ces prescriptions. Si le Règlement ONU n</w:t>
      </w:r>
      <w:r w:rsidRPr="00235019">
        <w:rPr>
          <w:vertAlign w:val="superscript"/>
          <w:lang w:val="fr-FR" w:eastAsia="zh-CN"/>
        </w:rPr>
        <w:t>o</w:t>
      </w:r>
      <w:r w:rsidRPr="00235019">
        <w:rPr>
          <w:lang w:val="fr-FR" w:eastAsia="zh-CN"/>
        </w:rPr>
        <w:t> 125 est pleinement appliqué à cette catégorie de véhicule, ces systèmes ne pourront pas être utilisés. L</w:t>
      </w:r>
      <w:r>
        <w:rPr>
          <w:lang w:val="fr-FR" w:eastAsia="zh-CN"/>
        </w:rPr>
        <w:t>’</w:t>
      </w:r>
      <w:r w:rsidRPr="00235019">
        <w:rPr>
          <w:lang w:val="fr-FR" w:eastAsia="zh-CN"/>
        </w:rPr>
        <w:t>interdiction de ces systèmes de cloisonnement pourrait pousser certains usagers à se tourner vers des véhicules plus grands.</w:t>
      </w:r>
    </w:p>
    <w:p w:rsidR="00DB10B4" w:rsidRDefault="00DB10B4" w:rsidP="00DB10B4">
      <w:pPr>
        <w:pStyle w:val="SingleTxtG"/>
        <w:rPr>
          <w:lang w:val="fr-FR" w:eastAsia="zh-CN"/>
        </w:rPr>
      </w:pPr>
      <w:r w:rsidRPr="00235019">
        <w:rPr>
          <w:lang w:val="fr-FR" w:eastAsia="zh-CN"/>
        </w:rPr>
        <w:t>2.</w:t>
      </w:r>
      <w:r w:rsidRPr="00235019">
        <w:rPr>
          <w:lang w:val="fr-FR" w:eastAsia="zh-CN"/>
        </w:rPr>
        <w:tab/>
        <w:t>La proposition ci-dessus vise à ajouter la définition de « système de cloisonnement » telle qu</w:t>
      </w:r>
      <w:r>
        <w:rPr>
          <w:lang w:val="fr-FR" w:eastAsia="zh-CN"/>
        </w:rPr>
        <w:t>’</w:t>
      </w:r>
      <w:r w:rsidRPr="00235019">
        <w:rPr>
          <w:lang w:val="fr-FR" w:eastAsia="zh-CN"/>
        </w:rPr>
        <w:t xml:space="preserve">elle figure dans le Règlement ONU </w:t>
      </w:r>
      <w:r w:rsidR="00346A08" w:rsidRPr="00346A08">
        <w:rPr>
          <w:rFonts w:eastAsia="MS Mincho"/>
          <w:szCs w:val="22"/>
          <w:lang w:val="fr-FR" w:eastAsia="zh-CN"/>
        </w:rPr>
        <w:t>n</w:t>
      </w:r>
      <w:r w:rsidR="00346A08" w:rsidRPr="00346A08">
        <w:rPr>
          <w:rFonts w:eastAsia="MS Mincho"/>
          <w:szCs w:val="22"/>
          <w:vertAlign w:val="superscript"/>
          <w:lang w:val="fr-FR" w:eastAsia="zh-CN"/>
        </w:rPr>
        <w:t>o</w:t>
      </w:r>
      <w:r w:rsidR="00346A08">
        <w:rPr>
          <w:lang w:val="fr-FR" w:eastAsia="zh-CN"/>
        </w:rPr>
        <w:t> </w:t>
      </w:r>
      <w:r w:rsidRPr="00235019">
        <w:rPr>
          <w:lang w:val="fr-FR" w:eastAsia="zh-CN"/>
        </w:rPr>
        <w:t>126 et à autoriser que les systèmes de cloisonnement pliables ou réglables obstruent partiellement le champ de vision du conducteur.</w:t>
      </w:r>
    </w:p>
    <w:p w:rsidR="00DB10B4" w:rsidRDefault="00DB10B4" w:rsidP="00DB10B4">
      <w:pPr>
        <w:pStyle w:val="SingleTxtG"/>
        <w:spacing w:after="360" w:line="240" w:lineRule="auto"/>
        <w:ind w:left="0"/>
        <w:jc w:val="left"/>
        <w:rPr>
          <w:lang w:val="fr-FR" w:eastAsia="zh-CN"/>
        </w:rPr>
      </w:pPr>
      <w:r>
        <w:rPr>
          <w:lang w:val="fr-FR" w:eastAsia="zh-CN"/>
        </w:rPr>
        <w:br w:type="page"/>
      </w:r>
      <w:r w:rsidRPr="00235019">
        <w:rPr>
          <w:noProof/>
          <w:lang w:val="fr-FR" w:eastAsia="de-DE"/>
        </w:rPr>
        <w:drawing>
          <wp:inline distT="0" distB="0" distL="0" distR="0" wp14:anchorId="36B8BB75" wp14:editId="67FC4ABF">
            <wp:extent cx="6084000" cy="2314800"/>
            <wp:effectExtent l="0" t="0" r="0" b="9525"/>
            <wp:docPr id="4" name="Grafik 2" descr="cid:image002.jpg@01D60CED.D63BE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jpg@01D60CED.D63BE4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84000" cy="2314800"/>
                    </a:xfrm>
                    <a:prstGeom prst="rect">
                      <a:avLst/>
                    </a:prstGeom>
                    <a:noFill/>
                    <a:ln>
                      <a:noFill/>
                    </a:ln>
                  </pic:spPr>
                </pic:pic>
              </a:graphicData>
            </a:graphic>
          </wp:inline>
        </w:drawing>
      </w:r>
    </w:p>
    <w:p w:rsidR="00DB10B4" w:rsidRDefault="00DB10B4" w:rsidP="00DB10B4">
      <w:pPr>
        <w:pStyle w:val="SingleTxtG"/>
        <w:spacing w:after="240" w:line="240" w:lineRule="auto"/>
        <w:ind w:left="0"/>
        <w:rPr>
          <w:lang w:val="fr-FR"/>
        </w:rPr>
      </w:pPr>
      <w:r w:rsidRPr="00235019">
        <w:rPr>
          <w:noProof/>
          <w:lang w:val="fr-FR"/>
        </w:rPr>
        <w:drawing>
          <wp:inline distT="0" distB="0" distL="0" distR="0" wp14:anchorId="1F3CF53E" wp14:editId="0099201F">
            <wp:extent cx="6084000" cy="3153600"/>
            <wp:effectExtent l="0" t="0" r="0" b="8890"/>
            <wp:docPr id="5" name="Image 5"/>
            <wp:cNvGraphicFramePr/>
            <a:graphic xmlns:a="http://schemas.openxmlformats.org/drawingml/2006/main">
              <a:graphicData uri="http://schemas.openxmlformats.org/drawingml/2006/picture">
                <pic:pic xmlns:pic="http://schemas.openxmlformats.org/drawingml/2006/picture">
                  <pic:nvPicPr>
                    <pic:cNvPr id="1" name="Image 5"/>
                    <pic:cNvPicPr/>
                  </pic:nvPicPr>
                  <pic:blipFill rotWithShape="1">
                    <a:blip r:embed="rId10">
                      <a:extLst>
                        <a:ext uri="{28A0092B-C50C-407E-A947-70E740481C1C}">
                          <a14:useLocalDpi xmlns:a14="http://schemas.microsoft.com/office/drawing/2010/main" val="0"/>
                        </a:ext>
                      </a:extLst>
                    </a:blip>
                    <a:srcRect r="3465"/>
                    <a:stretch/>
                  </pic:blipFill>
                  <pic:spPr bwMode="auto">
                    <a:xfrm>
                      <a:off x="0" y="0"/>
                      <a:ext cx="6084000" cy="3153600"/>
                    </a:xfrm>
                    <a:prstGeom prst="rect">
                      <a:avLst/>
                    </a:prstGeom>
                    <a:noFill/>
                    <a:ln>
                      <a:noFill/>
                    </a:ln>
                    <a:extLst>
                      <a:ext uri="{53640926-AAD7-44D8-BBD7-CCE9431645EC}">
                        <a14:shadowObscured xmlns:a14="http://schemas.microsoft.com/office/drawing/2010/main"/>
                      </a:ext>
                    </a:extLst>
                  </pic:spPr>
                </pic:pic>
              </a:graphicData>
            </a:graphic>
          </wp:inline>
        </w:drawing>
      </w:r>
    </w:p>
    <w:p w:rsidR="00DB10B4" w:rsidRPr="00DB10B4" w:rsidRDefault="00DB10B4" w:rsidP="00DB10B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B10B4" w:rsidRPr="00DB10B4" w:rsidSect="00DB10B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D47" w:rsidRDefault="00B32D47" w:rsidP="00F95C08">
      <w:pPr>
        <w:spacing w:line="240" w:lineRule="auto"/>
      </w:pPr>
    </w:p>
  </w:endnote>
  <w:endnote w:type="continuationSeparator" w:id="0">
    <w:p w:rsidR="00B32D47" w:rsidRPr="00AC3823" w:rsidRDefault="00B32D47" w:rsidP="00AC3823">
      <w:pPr>
        <w:pStyle w:val="Pieddepage"/>
      </w:pPr>
    </w:p>
  </w:endnote>
  <w:endnote w:type="continuationNotice" w:id="1">
    <w:p w:rsidR="00B32D47" w:rsidRDefault="00B32D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0B4" w:rsidRPr="00DB10B4" w:rsidRDefault="00DB10B4" w:rsidP="00DB10B4">
    <w:pPr>
      <w:pStyle w:val="Pieddepage"/>
      <w:tabs>
        <w:tab w:val="right" w:pos="9638"/>
      </w:tabs>
    </w:pPr>
    <w:r w:rsidRPr="00DB10B4">
      <w:rPr>
        <w:b/>
        <w:sz w:val="18"/>
      </w:rPr>
      <w:fldChar w:fldCharType="begin"/>
    </w:r>
    <w:r w:rsidRPr="00DB10B4">
      <w:rPr>
        <w:b/>
        <w:sz w:val="18"/>
      </w:rPr>
      <w:instrText xml:space="preserve"> PAGE  \* MERGEFORMAT </w:instrText>
    </w:r>
    <w:r w:rsidRPr="00DB10B4">
      <w:rPr>
        <w:b/>
        <w:sz w:val="18"/>
      </w:rPr>
      <w:fldChar w:fldCharType="separate"/>
    </w:r>
    <w:r w:rsidRPr="00DB10B4">
      <w:rPr>
        <w:b/>
        <w:noProof/>
        <w:sz w:val="18"/>
      </w:rPr>
      <w:t>2</w:t>
    </w:r>
    <w:r w:rsidRPr="00DB10B4">
      <w:rPr>
        <w:b/>
        <w:sz w:val="18"/>
      </w:rPr>
      <w:fldChar w:fldCharType="end"/>
    </w:r>
    <w:r>
      <w:rPr>
        <w:b/>
        <w:sz w:val="18"/>
      </w:rPr>
      <w:tab/>
    </w:r>
    <w:r>
      <w:t>GE.20-10022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0B4" w:rsidRPr="00DB10B4" w:rsidRDefault="00DB10B4" w:rsidP="00DB10B4">
    <w:pPr>
      <w:pStyle w:val="Pieddepage"/>
      <w:tabs>
        <w:tab w:val="right" w:pos="9638"/>
      </w:tabs>
      <w:rPr>
        <w:b/>
        <w:sz w:val="18"/>
      </w:rPr>
    </w:pPr>
    <w:r>
      <w:t>GE.20-10022</w:t>
    </w:r>
    <w:r>
      <w:tab/>
    </w:r>
    <w:r w:rsidRPr="00DB10B4">
      <w:rPr>
        <w:b/>
        <w:sz w:val="18"/>
      </w:rPr>
      <w:fldChar w:fldCharType="begin"/>
    </w:r>
    <w:r w:rsidRPr="00DB10B4">
      <w:rPr>
        <w:b/>
        <w:sz w:val="18"/>
      </w:rPr>
      <w:instrText xml:space="preserve"> PAGE  \* MERGEFORMAT </w:instrText>
    </w:r>
    <w:r w:rsidRPr="00DB10B4">
      <w:rPr>
        <w:b/>
        <w:sz w:val="18"/>
      </w:rPr>
      <w:fldChar w:fldCharType="separate"/>
    </w:r>
    <w:r w:rsidRPr="00DB10B4">
      <w:rPr>
        <w:b/>
        <w:noProof/>
        <w:sz w:val="18"/>
      </w:rPr>
      <w:t>3</w:t>
    </w:r>
    <w:r w:rsidRPr="00DB10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B10B4" w:rsidRDefault="00DB10B4" w:rsidP="00DB10B4">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20-10022  (F)</w:t>
    </w:r>
    <w:r w:rsidR="007F6A29">
      <w:rPr>
        <w:sz w:val="20"/>
      </w:rPr>
      <w:t xml:space="preserve">    180820    180820</w:t>
    </w:r>
    <w:r>
      <w:rPr>
        <w:sz w:val="20"/>
      </w:rPr>
      <w:br/>
    </w:r>
    <w:r w:rsidRPr="00DB10B4">
      <w:rPr>
        <w:rFonts w:ascii="C39T30Lfz" w:hAnsi="C39T30Lfz"/>
        <w:sz w:val="56"/>
      </w:rPr>
      <w:t></w:t>
    </w:r>
    <w:r w:rsidRPr="00DB10B4">
      <w:rPr>
        <w:rFonts w:ascii="C39T30Lfz" w:hAnsi="C39T30Lfz"/>
        <w:sz w:val="56"/>
      </w:rPr>
      <w:t></w:t>
    </w:r>
    <w:r w:rsidRPr="00DB10B4">
      <w:rPr>
        <w:rFonts w:ascii="C39T30Lfz" w:hAnsi="C39T30Lfz"/>
        <w:sz w:val="56"/>
      </w:rPr>
      <w:t></w:t>
    </w:r>
    <w:r w:rsidRPr="00DB10B4">
      <w:rPr>
        <w:rFonts w:ascii="C39T30Lfz" w:hAnsi="C39T30Lfz"/>
        <w:sz w:val="56"/>
      </w:rPr>
      <w:t></w:t>
    </w:r>
    <w:r w:rsidRPr="00DB10B4">
      <w:rPr>
        <w:rFonts w:ascii="C39T30Lfz" w:hAnsi="C39T30Lfz"/>
        <w:sz w:val="56"/>
      </w:rPr>
      <w:t></w:t>
    </w:r>
    <w:r w:rsidRPr="00DB10B4">
      <w:rPr>
        <w:rFonts w:ascii="C39T30Lfz" w:hAnsi="C39T30Lfz"/>
        <w:sz w:val="56"/>
      </w:rPr>
      <w:t></w:t>
    </w:r>
    <w:r w:rsidRPr="00DB10B4">
      <w:rPr>
        <w:rFonts w:ascii="C39T30Lfz" w:hAnsi="C39T30Lfz"/>
        <w:sz w:val="56"/>
      </w:rPr>
      <w:t></w:t>
    </w:r>
    <w:r w:rsidRPr="00DB10B4">
      <w:rPr>
        <w:rFonts w:ascii="C39T30Lfz" w:hAnsi="C39T30Lfz"/>
        <w:sz w:val="56"/>
      </w:rPr>
      <w:t></w:t>
    </w:r>
    <w:r w:rsidRPr="00DB10B4">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D47" w:rsidRPr="00AC3823" w:rsidRDefault="00B32D47" w:rsidP="00AC3823">
      <w:pPr>
        <w:pStyle w:val="Pieddepage"/>
        <w:tabs>
          <w:tab w:val="right" w:pos="2155"/>
        </w:tabs>
        <w:spacing w:after="80" w:line="240" w:lineRule="atLeast"/>
        <w:ind w:left="680"/>
        <w:rPr>
          <w:u w:val="single"/>
        </w:rPr>
      </w:pPr>
      <w:r>
        <w:rPr>
          <w:u w:val="single"/>
        </w:rPr>
        <w:tab/>
      </w:r>
    </w:p>
  </w:footnote>
  <w:footnote w:type="continuationSeparator" w:id="0">
    <w:p w:rsidR="00B32D47" w:rsidRPr="00AC3823" w:rsidRDefault="00B32D47" w:rsidP="00AC3823">
      <w:pPr>
        <w:pStyle w:val="Pieddepage"/>
        <w:tabs>
          <w:tab w:val="right" w:pos="2155"/>
        </w:tabs>
        <w:spacing w:after="80" w:line="240" w:lineRule="atLeast"/>
        <w:ind w:left="680"/>
        <w:rPr>
          <w:u w:val="single"/>
        </w:rPr>
      </w:pPr>
      <w:r>
        <w:rPr>
          <w:u w:val="single"/>
        </w:rPr>
        <w:tab/>
      </w:r>
    </w:p>
  </w:footnote>
  <w:footnote w:type="continuationNotice" w:id="1">
    <w:p w:rsidR="00B32D47" w:rsidRPr="00AC3823" w:rsidRDefault="00B32D47">
      <w:pPr>
        <w:spacing w:line="240" w:lineRule="auto"/>
        <w:rPr>
          <w:sz w:val="2"/>
          <w:szCs w:val="2"/>
        </w:rPr>
      </w:pPr>
    </w:p>
  </w:footnote>
  <w:footnote w:id="2">
    <w:p w:rsidR="00DB10B4" w:rsidRPr="0061369A" w:rsidRDefault="00DB10B4" w:rsidP="00DB10B4">
      <w:pPr>
        <w:pStyle w:val="Notedebasdepage"/>
        <w:rPr>
          <w:lang w:val="fr-FR"/>
        </w:rPr>
      </w:pPr>
      <w:r w:rsidRPr="007F6A29">
        <w:rPr>
          <w:rStyle w:val="Appelnotedebasdep"/>
          <w:sz w:val="20"/>
          <w:vertAlign w:val="baseline"/>
          <w:lang w:val="fr-FR"/>
        </w:rPr>
        <w:tab/>
        <w:t>*</w:t>
      </w:r>
      <w:r w:rsidRPr="007F6A29">
        <w:rPr>
          <w:rStyle w:val="Appelnotedebasdep"/>
          <w:sz w:val="20"/>
          <w:vertAlign w:val="baseline"/>
          <w:lang w:val="fr-FR"/>
        </w:rPr>
        <w:tab/>
      </w:r>
      <w:r w:rsidRPr="0061369A">
        <w:rPr>
          <w:lang w:val="fr-FR"/>
        </w:rPr>
        <w:t>Conformément au programme de travail du Comité des transports intérieurs pour 2020 tel qu</w:t>
      </w:r>
      <w:r w:rsidR="007F6A29">
        <w:rPr>
          <w:lang w:val="fr-FR"/>
        </w:rPr>
        <w:t>’</w:t>
      </w:r>
      <w:r w:rsidRPr="0061369A">
        <w:rPr>
          <w:lang w:val="fr-FR"/>
        </w:rPr>
        <w:t>il figure dans le projet de budget-programme pour 2020 (A/74/6 (titre V, chap</w:t>
      </w:r>
      <w:r w:rsidR="007F6A29">
        <w:rPr>
          <w:lang w:val="fr-FR"/>
        </w:rPr>
        <w:t>.</w:t>
      </w:r>
      <w:r w:rsidRPr="0061369A">
        <w:rPr>
          <w:lang w:val="fr-FR"/>
        </w:rPr>
        <w:t xml:space="preserve"> 20), par. 20.37), le Forum mondial a pour mission d</w:t>
      </w:r>
      <w:r w:rsidR="007F6A29">
        <w:rPr>
          <w:lang w:val="fr-FR"/>
        </w:rPr>
        <w:t>’</w:t>
      </w:r>
      <w:r w:rsidRPr="0061369A">
        <w:rPr>
          <w:lang w:val="fr-FR"/>
        </w:rPr>
        <w:t>élaborer, d</w:t>
      </w:r>
      <w:r w:rsidR="007F6A29">
        <w:rPr>
          <w:lang w:val="fr-FR"/>
        </w:rPr>
        <w:t>’</w:t>
      </w:r>
      <w:r w:rsidRPr="0061369A">
        <w:rPr>
          <w:lang w:val="fr-FR"/>
        </w:rPr>
        <w:t>harmoniser et de mettre à jour les Règlements ONU en vue d</w:t>
      </w:r>
      <w:r w:rsidR="007F6A29">
        <w:rPr>
          <w:lang w:val="fr-FR"/>
        </w:rPr>
        <w:t>’</w:t>
      </w:r>
      <w:r w:rsidRPr="0061369A">
        <w:rPr>
          <w:lang w:val="fr-FR"/>
        </w:rPr>
        <w:t>améliorer les caractéristiques fonctionnelles des véhicules. Le présent document est soumis en vertu de ce mandat.</w:t>
      </w:r>
    </w:p>
  </w:footnote>
  <w:footnote w:id="3">
    <w:p w:rsidR="00DB10B4" w:rsidRPr="00DB10B4" w:rsidRDefault="00DB10B4" w:rsidP="00DB10B4">
      <w:pPr>
        <w:pStyle w:val="Notedebasdepage"/>
      </w:pPr>
      <w:r w:rsidRPr="00235019">
        <w:rPr>
          <w:lang w:val="fr-FR"/>
        </w:rPr>
        <w:tab/>
      </w:r>
      <w:r w:rsidRPr="00DB10B4">
        <w:rPr>
          <w:rStyle w:val="Appelnotedebasdep"/>
        </w:rPr>
        <w:footnoteRef/>
      </w:r>
      <w:r w:rsidRPr="00235019">
        <w:rPr>
          <w:lang w:val="fr-FR"/>
        </w:rPr>
        <w:tab/>
      </w:r>
      <w:r w:rsidRPr="00C722A5">
        <w:rPr>
          <w:lang w:val="fr-FR"/>
        </w:rPr>
        <w:t>Telles que définies dans la Résolution d</w:t>
      </w:r>
      <w:r w:rsidR="007F6A29">
        <w:rPr>
          <w:lang w:val="fr-FR"/>
        </w:rPr>
        <w:t>’</w:t>
      </w:r>
      <w:r w:rsidRPr="00C722A5">
        <w:rPr>
          <w:lang w:val="fr-FR"/>
        </w:rPr>
        <w:t>ensemble sur la construction des véhicules (R.E.3.), document ECE/TRANS/WP.29/78/Rev.6, par. 2</w:t>
      </w:r>
      <w:r>
        <w:rPr>
          <w:lang w:val="fr-FR"/>
        </w:rPr>
        <w:t xml:space="preserve"> −</w:t>
      </w:r>
      <w:r w:rsidRPr="00C722A5">
        <w:rPr>
          <w:lang w:val="fr-FR"/>
        </w:rPr>
        <w:t xml:space="preserve"> </w:t>
      </w:r>
      <w:hyperlink r:id="rId1" w:history="1">
        <w:r w:rsidRPr="00DB10B4">
          <w:rPr>
            <w:rStyle w:val="Lienhypertexte"/>
          </w:rPr>
          <w:t>www.unece.org/trans/main/wp29/wp29wgs/ wp29gen/wp29resolutions.html</w:t>
        </w:r>
      </w:hyperlink>
      <w:r w:rsidRPr="00DB10B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0B4" w:rsidRPr="00DB10B4" w:rsidRDefault="00DB10B4">
    <w:pPr>
      <w:pStyle w:val="En-tte"/>
    </w:pPr>
    <w:fldSimple w:instr=" TITLE  \* MERGEFORMAT ">
      <w:r>
        <w:t>ECE/TRANS/WP.29/GRSG/2020/31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0B4" w:rsidRPr="00DB10B4" w:rsidRDefault="00DB10B4" w:rsidP="00DB10B4">
    <w:pPr>
      <w:pStyle w:val="En-tte"/>
      <w:jc w:val="right"/>
    </w:pPr>
    <w:fldSimple w:instr=" TITLE  \* MERGEFORMAT ">
      <w:r>
        <w:t>ECE/TRANS/WP.29/GRSG/2020/31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2D47"/>
    <w:rsid w:val="00017F94"/>
    <w:rsid w:val="00023842"/>
    <w:rsid w:val="000334F9"/>
    <w:rsid w:val="00045FEB"/>
    <w:rsid w:val="0007796D"/>
    <w:rsid w:val="000B7790"/>
    <w:rsid w:val="00111F2F"/>
    <w:rsid w:val="0014365E"/>
    <w:rsid w:val="00143C66"/>
    <w:rsid w:val="00151C0E"/>
    <w:rsid w:val="00176178"/>
    <w:rsid w:val="001F525A"/>
    <w:rsid w:val="00223272"/>
    <w:rsid w:val="0024779E"/>
    <w:rsid w:val="00257168"/>
    <w:rsid w:val="002744B8"/>
    <w:rsid w:val="002832AC"/>
    <w:rsid w:val="002A1517"/>
    <w:rsid w:val="002D7C93"/>
    <w:rsid w:val="00305801"/>
    <w:rsid w:val="00346A08"/>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F20FA"/>
    <w:rsid w:val="007F6A29"/>
    <w:rsid w:val="0080684C"/>
    <w:rsid w:val="00871C75"/>
    <w:rsid w:val="008776DC"/>
    <w:rsid w:val="009446C0"/>
    <w:rsid w:val="009705C8"/>
    <w:rsid w:val="009C1CF4"/>
    <w:rsid w:val="009F6B74"/>
    <w:rsid w:val="00A065D7"/>
    <w:rsid w:val="00A3029F"/>
    <w:rsid w:val="00A30353"/>
    <w:rsid w:val="00AC3823"/>
    <w:rsid w:val="00AE323C"/>
    <w:rsid w:val="00AF0CB5"/>
    <w:rsid w:val="00B00181"/>
    <w:rsid w:val="00B00B0D"/>
    <w:rsid w:val="00B32D47"/>
    <w:rsid w:val="00B45F2E"/>
    <w:rsid w:val="00B765F7"/>
    <w:rsid w:val="00BA0CA9"/>
    <w:rsid w:val="00C02897"/>
    <w:rsid w:val="00C97039"/>
    <w:rsid w:val="00D3439C"/>
    <w:rsid w:val="00DB10B4"/>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339057"/>
  <w15:docId w15:val="{7AF75834-A97B-4E7C-8354-D68C861E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R,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R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DB10B4"/>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DB10B4"/>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D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2B5C8550"/><Relationship Id="rId4" Type="http://schemas.openxmlformats.org/officeDocument/2006/relationships/webSettings" Target="webSettings.xml"/><Relationship Id="rId9" Type="http://schemas.openxmlformats.org/officeDocument/2006/relationships/image" Target="cid:image002.jpg@01D60CED.D63BE40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519</Words>
  <Characters>3635</Characters>
  <Application>Microsoft Office Word</Application>
  <DocSecurity>0</DocSecurity>
  <Lines>302</Lines>
  <Paragraphs>166</Paragraphs>
  <ScaleCrop>false</ScaleCrop>
  <HeadingPairs>
    <vt:vector size="2" baseType="variant">
      <vt:variant>
        <vt:lpstr>Titre</vt:lpstr>
      </vt:variant>
      <vt:variant>
        <vt:i4>1</vt:i4>
      </vt:variant>
    </vt:vector>
  </HeadingPairs>
  <TitlesOfParts>
    <vt:vector size="1" baseType="lpstr">
      <vt:lpstr>ECE/TRANS/WP.29/GRSG/2020/31</vt:lpstr>
    </vt:vector>
  </TitlesOfParts>
  <Company>DCM</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ECE/TRANS/WP.29/GRSG/2020/31</dc:title>
  <dc:subject/>
  <dc:creator>Corinne ROBERT</dc:creator>
  <cp:keywords/>
  <cp:lastModifiedBy>Corinne ROBERT</cp:lastModifiedBy>
  <cp:revision>2</cp:revision>
  <cp:lastPrinted>2014-05-14T10:59:00Z</cp:lastPrinted>
  <dcterms:created xsi:type="dcterms:W3CDTF">2020-08-18T13:35:00Z</dcterms:created>
  <dcterms:modified xsi:type="dcterms:W3CDTF">2020-08-18T13:35:00Z</dcterms:modified>
</cp:coreProperties>
</file>