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9A1DE5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9A1DE5" w:rsidP="009A1DE5">
            <w:pPr>
              <w:jc w:val="right"/>
            </w:pPr>
            <w:r w:rsidRPr="009A1DE5">
              <w:rPr>
                <w:sz w:val="40"/>
              </w:rPr>
              <w:t>ECE</w:t>
            </w:r>
            <w:r>
              <w:t>/TRANS/WP.29/GRSG/2020/23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9A1DE5" w:rsidP="00C97039">
            <w:pPr>
              <w:spacing w:before="240"/>
            </w:pPr>
            <w:r>
              <w:t>Distr. générale</w:t>
            </w:r>
          </w:p>
          <w:p w:rsidR="009A1DE5" w:rsidRDefault="009A1DE5" w:rsidP="009A1DE5">
            <w:pPr>
              <w:spacing w:line="240" w:lineRule="exact"/>
            </w:pPr>
            <w:r>
              <w:t>27 juillet 2020</w:t>
            </w:r>
          </w:p>
          <w:p w:rsidR="009A1DE5" w:rsidRDefault="009A1DE5" w:rsidP="009A1DE5">
            <w:pPr>
              <w:spacing w:line="240" w:lineRule="exact"/>
            </w:pPr>
            <w:r>
              <w:t>Français</w:t>
            </w:r>
          </w:p>
          <w:p w:rsidR="009A1DE5" w:rsidRPr="00DB58B5" w:rsidRDefault="009A1DE5" w:rsidP="009A1DE5">
            <w:pPr>
              <w:spacing w:line="240" w:lineRule="exact"/>
            </w:pPr>
            <w:r>
              <w:t>Original</w:t>
            </w:r>
            <w:r w:rsidR="00383983">
              <w:t> :</w:t>
            </w:r>
            <w:r>
              <w:t xml:space="preserve">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:rsidR="007F20FA" w:rsidRDefault="007F20FA" w:rsidP="00383983">
      <w:pPr>
        <w:spacing w:before="120" w:after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383983" w:rsidRPr="00383983" w:rsidRDefault="00383983" w:rsidP="00383983">
      <w:pPr>
        <w:spacing w:after="120"/>
        <w:ind w:right="4109"/>
        <w:rPr>
          <w:b/>
          <w:bCs/>
          <w:sz w:val="24"/>
          <w:szCs w:val="24"/>
          <w:lang w:val="fr-FR"/>
        </w:rPr>
      </w:pPr>
      <w:r w:rsidRPr="00383983">
        <w:rPr>
          <w:b/>
          <w:bCs/>
          <w:sz w:val="24"/>
          <w:szCs w:val="24"/>
          <w:lang w:val="fr-FR"/>
        </w:rPr>
        <w:t>Forum mondial de l’harmonisation des Règlements concernant les véhicules</w:t>
      </w:r>
    </w:p>
    <w:p w:rsidR="00383983" w:rsidRPr="00383983" w:rsidRDefault="00383983" w:rsidP="00383983">
      <w:pPr>
        <w:spacing w:after="120"/>
        <w:rPr>
          <w:b/>
          <w:bCs/>
          <w:lang w:val="fr-FR"/>
        </w:rPr>
      </w:pPr>
      <w:r w:rsidRPr="00383983">
        <w:rPr>
          <w:b/>
          <w:bCs/>
          <w:lang w:val="fr-FR"/>
        </w:rPr>
        <w:t>Groupe de travail des dispositions générales de sécurité</w:t>
      </w:r>
    </w:p>
    <w:p w:rsidR="00383983" w:rsidRPr="00383983" w:rsidRDefault="00383983" w:rsidP="00383983">
      <w:pPr>
        <w:rPr>
          <w:b/>
          <w:bCs/>
          <w:lang w:val="fr-FR"/>
        </w:rPr>
      </w:pPr>
      <w:r w:rsidRPr="00383983">
        <w:rPr>
          <w:b/>
          <w:bCs/>
          <w:lang w:val="fr-FR"/>
        </w:rPr>
        <w:t>119</w:t>
      </w:r>
      <w:r w:rsidRPr="00383983">
        <w:rPr>
          <w:b/>
          <w:bCs/>
          <w:vertAlign w:val="superscript"/>
          <w:lang w:val="fr-FR"/>
        </w:rPr>
        <w:t>e</w:t>
      </w:r>
      <w:r w:rsidR="00EE3874">
        <w:rPr>
          <w:b/>
          <w:bCs/>
          <w:lang w:val="fr-FR"/>
        </w:rPr>
        <w:t> </w:t>
      </w:r>
      <w:r w:rsidRPr="00383983">
        <w:rPr>
          <w:b/>
          <w:bCs/>
          <w:lang w:val="fr-FR"/>
        </w:rPr>
        <w:t>session</w:t>
      </w:r>
    </w:p>
    <w:p w:rsidR="00383983" w:rsidRPr="003C13A3" w:rsidRDefault="00383983" w:rsidP="00383983">
      <w:pPr>
        <w:rPr>
          <w:lang w:val="fr-FR"/>
        </w:rPr>
      </w:pPr>
      <w:r w:rsidRPr="002B106F">
        <w:rPr>
          <w:lang w:val="fr-FR"/>
        </w:rPr>
        <w:t>Genève, 6-9 octobre 2020</w:t>
      </w:r>
    </w:p>
    <w:p w:rsidR="00383983" w:rsidRPr="003C13A3" w:rsidRDefault="00383983" w:rsidP="00383983">
      <w:pPr>
        <w:rPr>
          <w:lang w:val="fr-FR"/>
        </w:rPr>
      </w:pPr>
      <w:r w:rsidRPr="002B106F">
        <w:rPr>
          <w:lang w:val="fr-FR"/>
        </w:rPr>
        <w:t>Point 7 a) de l</w:t>
      </w:r>
      <w:r>
        <w:rPr>
          <w:lang w:val="fr-FR"/>
        </w:rPr>
        <w:t>’</w:t>
      </w:r>
      <w:r w:rsidRPr="002B106F">
        <w:rPr>
          <w:lang w:val="fr-FR"/>
        </w:rPr>
        <w:t>ordre du jour provisoire</w:t>
      </w:r>
    </w:p>
    <w:p w:rsidR="00383983" w:rsidRPr="00383983" w:rsidRDefault="00383983" w:rsidP="00383983">
      <w:pPr>
        <w:ind w:right="3259"/>
        <w:rPr>
          <w:b/>
          <w:bCs/>
          <w:lang w:val="fr-FR"/>
        </w:rPr>
      </w:pPr>
      <w:r w:rsidRPr="00383983">
        <w:rPr>
          <w:b/>
          <w:bCs/>
          <w:lang w:val="fr-FR"/>
        </w:rPr>
        <w:t>Amendements aux Règlements ONU concernant les véhicules fonctionnant au gaz</w:t>
      </w:r>
      <w:r>
        <w:rPr>
          <w:b/>
          <w:bCs/>
          <w:lang w:val="fr-FR"/>
        </w:rPr>
        <w:t xml:space="preserve"> : </w:t>
      </w:r>
      <w:r w:rsidRPr="00383983">
        <w:rPr>
          <w:b/>
          <w:bCs/>
          <w:lang w:val="fr-FR"/>
        </w:rPr>
        <w:t>Règlement ONU n</w:t>
      </w:r>
      <w:r w:rsidRPr="00383983">
        <w:rPr>
          <w:b/>
          <w:bCs/>
          <w:vertAlign w:val="superscript"/>
          <w:lang w:val="fr-FR"/>
        </w:rPr>
        <w:t>o</w:t>
      </w:r>
      <w:r w:rsidRPr="00383983">
        <w:rPr>
          <w:b/>
          <w:bCs/>
          <w:lang w:val="fr-FR"/>
        </w:rPr>
        <w:t> 67 (Véhicules alimentés au GPL)</w:t>
      </w:r>
    </w:p>
    <w:p w:rsidR="00383983" w:rsidRPr="003C13A3" w:rsidRDefault="00383983" w:rsidP="00383983">
      <w:pPr>
        <w:pStyle w:val="HChG"/>
        <w:rPr>
          <w:lang w:val="fr-FR"/>
        </w:rPr>
      </w:pPr>
      <w:r w:rsidRPr="002B106F">
        <w:rPr>
          <w:lang w:val="fr-FR"/>
        </w:rPr>
        <w:tab/>
      </w:r>
      <w:r w:rsidRPr="002B106F">
        <w:rPr>
          <w:lang w:val="fr-FR"/>
        </w:rPr>
        <w:tab/>
        <w:t>Proposition de complément 16 à la série 01 d</w:t>
      </w:r>
      <w:r>
        <w:rPr>
          <w:lang w:val="fr-FR"/>
        </w:rPr>
        <w:t>’</w:t>
      </w:r>
      <w:r w:rsidRPr="002B106F">
        <w:rPr>
          <w:lang w:val="fr-FR"/>
        </w:rPr>
        <w:t xml:space="preserve">amendements au Règlement ONU </w:t>
      </w:r>
      <w:r w:rsidRPr="00F53815">
        <w:rPr>
          <w:lang w:val="fr-FR"/>
        </w:rPr>
        <w:t>n</w:t>
      </w:r>
      <w:r w:rsidRPr="00F53815">
        <w:rPr>
          <w:vertAlign w:val="superscript"/>
          <w:lang w:val="fr-FR"/>
        </w:rPr>
        <w:t>o</w:t>
      </w:r>
      <w:r w:rsidRPr="00383983">
        <w:rPr>
          <w:lang w:val="fr-FR"/>
        </w:rPr>
        <w:t> </w:t>
      </w:r>
      <w:r w:rsidRPr="002B106F">
        <w:rPr>
          <w:lang w:val="fr-FR"/>
        </w:rPr>
        <w:t>67 (Véhicules alimentés au GPL)</w:t>
      </w:r>
    </w:p>
    <w:p w:rsidR="00383983" w:rsidRPr="00EE3874" w:rsidRDefault="00383983" w:rsidP="00383983">
      <w:pPr>
        <w:pStyle w:val="H1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2B106F">
        <w:rPr>
          <w:lang w:val="fr-FR"/>
        </w:rPr>
        <w:t>Communication de l</w:t>
      </w:r>
      <w:r>
        <w:rPr>
          <w:lang w:val="fr-FR"/>
        </w:rPr>
        <w:t>’</w:t>
      </w:r>
      <w:r w:rsidRPr="002B106F">
        <w:rPr>
          <w:lang w:val="fr-FR"/>
        </w:rPr>
        <w:t xml:space="preserve">expert de </w:t>
      </w:r>
      <w:proofErr w:type="spellStart"/>
      <w:r w:rsidRPr="002B106F">
        <w:rPr>
          <w:lang w:val="fr-FR"/>
        </w:rPr>
        <w:t>Liquid</w:t>
      </w:r>
      <w:proofErr w:type="spellEnd"/>
      <w:r w:rsidRPr="002B106F">
        <w:rPr>
          <w:lang w:val="fr-FR"/>
        </w:rPr>
        <w:t xml:space="preserve"> Gas Europe</w:t>
      </w:r>
      <w:r w:rsidRPr="00EE3874">
        <w:rPr>
          <w:b w:val="0"/>
          <w:bCs/>
          <w:sz w:val="20"/>
          <w:lang w:val="fr-FR"/>
        </w:rPr>
        <w:footnoteReference w:customMarkFollows="1" w:id="2"/>
        <w:t>*</w:t>
      </w:r>
    </w:p>
    <w:p w:rsidR="00383983" w:rsidRDefault="00383983" w:rsidP="00383983">
      <w:pPr>
        <w:pStyle w:val="SingleTxtG"/>
        <w:ind w:firstLine="567"/>
        <w:rPr>
          <w:lang w:val="fr-FR"/>
        </w:rPr>
      </w:pPr>
      <w:r w:rsidRPr="002B106F">
        <w:rPr>
          <w:lang w:val="fr-FR"/>
        </w:rPr>
        <w:t>Le texte ci-après, établi par l</w:t>
      </w:r>
      <w:r>
        <w:rPr>
          <w:lang w:val="fr-FR"/>
        </w:rPr>
        <w:t>’</w:t>
      </w:r>
      <w:r w:rsidRPr="002B106F">
        <w:rPr>
          <w:lang w:val="fr-FR"/>
        </w:rPr>
        <w:t xml:space="preserve">expert de </w:t>
      </w:r>
      <w:proofErr w:type="spellStart"/>
      <w:r w:rsidRPr="002B106F">
        <w:rPr>
          <w:lang w:val="fr-FR"/>
        </w:rPr>
        <w:t>Liquid</w:t>
      </w:r>
      <w:proofErr w:type="spellEnd"/>
      <w:r w:rsidRPr="002B106F">
        <w:rPr>
          <w:lang w:val="fr-FR"/>
        </w:rPr>
        <w:t xml:space="preserve"> Gas Europe, vise à modifier les dispositions transitoires du Règlement ONU </w:t>
      </w:r>
      <w:r w:rsidRPr="00F53815">
        <w:rPr>
          <w:lang w:val="fr-FR"/>
        </w:rPr>
        <w:t>n</w:t>
      </w:r>
      <w:r w:rsidRPr="00F53815">
        <w:rPr>
          <w:vertAlign w:val="superscript"/>
          <w:lang w:val="fr-FR"/>
        </w:rPr>
        <w:t>o</w:t>
      </w:r>
      <w:r w:rsidRPr="00383983">
        <w:rPr>
          <w:lang w:val="fr-FR"/>
        </w:rPr>
        <w:t> </w:t>
      </w:r>
      <w:r w:rsidRPr="002B106F">
        <w:rPr>
          <w:lang w:val="fr-FR"/>
        </w:rPr>
        <w:t xml:space="preserve">67 et à préciser la validité des homologations de type délivrées en application de la série 01 dudit Règlement pour les </w:t>
      </w:r>
      <w:r>
        <w:rPr>
          <w:lang w:val="fr-FR"/>
        </w:rPr>
        <w:t>éléments</w:t>
      </w:r>
      <w:r w:rsidRPr="002B106F">
        <w:rPr>
          <w:lang w:val="fr-FR"/>
        </w:rPr>
        <w:t xml:space="preserve"> non concernés par les modifications introduites par la série 02 d</w:t>
      </w:r>
      <w:r>
        <w:rPr>
          <w:lang w:val="fr-FR"/>
        </w:rPr>
        <w:t>’</w:t>
      </w:r>
      <w:r w:rsidRPr="002B106F">
        <w:rPr>
          <w:lang w:val="fr-FR"/>
        </w:rPr>
        <w:t>amendements. Les modifications qu</w:t>
      </w:r>
      <w:r>
        <w:rPr>
          <w:lang w:val="fr-FR"/>
        </w:rPr>
        <w:t>’</w:t>
      </w:r>
      <w:r w:rsidRPr="002B106F">
        <w:rPr>
          <w:lang w:val="fr-FR"/>
        </w:rPr>
        <w:t>il est proposé d</w:t>
      </w:r>
      <w:r>
        <w:rPr>
          <w:lang w:val="fr-FR"/>
        </w:rPr>
        <w:t>’</w:t>
      </w:r>
      <w:r w:rsidRPr="002B106F">
        <w:rPr>
          <w:lang w:val="fr-FR"/>
        </w:rPr>
        <w:t xml:space="preserve">apporter au texte actuel du Règlement ONU </w:t>
      </w:r>
      <w:r w:rsidRPr="00BE13C8">
        <w:rPr>
          <w:lang w:val="fr-FR"/>
        </w:rPr>
        <w:t>n</w:t>
      </w:r>
      <w:r w:rsidRPr="00BE13C8">
        <w:rPr>
          <w:vertAlign w:val="superscript"/>
          <w:lang w:val="fr-FR"/>
        </w:rPr>
        <w:t>o</w:t>
      </w:r>
      <w:r w:rsidRPr="00383983">
        <w:rPr>
          <w:lang w:val="fr-FR"/>
        </w:rPr>
        <w:t> </w:t>
      </w:r>
      <w:r w:rsidRPr="002B106F">
        <w:rPr>
          <w:lang w:val="fr-FR"/>
        </w:rPr>
        <w:t>67 figurent en caractères gras pour les ajouts et biffés pour les suppressions.</w:t>
      </w:r>
    </w:p>
    <w:p w:rsidR="00383983" w:rsidRDefault="00EE3874" w:rsidP="00383983">
      <w:pPr>
        <w:pStyle w:val="HChG"/>
        <w:rPr>
          <w:lang w:val="fr-FR"/>
        </w:rPr>
      </w:pPr>
      <w:r>
        <w:rPr>
          <w:lang w:val="fr-FR"/>
        </w:rPr>
        <w:br w:type="page"/>
      </w:r>
      <w:r w:rsidR="00383983">
        <w:rPr>
          <w:lang w:val="fr-FR"/>
        </w:rPr>
        <w:lastRenderedPageBreak/>
        <w:tab/>
      </w:r>
      <w:r w:rsidR="00383983" w:rsidRPr="002B106F">
        <w:rPr>
          <w:lang w:val="fr-FR"/>
        </w:rPr>
        <w:t>I.</w:t>
      </w:r>
      <w:r w:rsidR="00383983" w:rsidRPr="002B106F">
        <w:rPr>
          <w:lang w:val="fr-FR"/>
        </w:rPr>
        <w:tab/>
        <w:t>Proposition</w:t>
      </w:r>
    </w:p>
    <w:p w:rsidR="00383983" w:rsidRPr="003C13A3" w:rsidRDefault="00383983" w:rsidP="00383983">
      <w:pPr>
        <w:pStyle w:val="SingleTxtG"/>
        <w:rPr>
          <w:lang w:val="fr-FR"/>
        </w:rPr>
      </w:pPr>
      <w:r w:rsidRPr="00383983">
        <w:rPr>
          <w:i/>
          <w:iCs/>
          <w:lang w:val="fr-FR"/>
        </w:rPr>
        <w:t>Ajouter le nouveau paragraphe 11.7</w:t>
      </w:r>
      <w:r>
        <w:rPr>
          <w:lang w:val="fr-FR"/>
        </w:rPr>
        <w:t>,</w:t>
      </w:r>
      <w:r w:rsidRPr="002B106F">
        <w:rPr>
          <w:lang w:val="fr-FR"/>
        </w:rPr>
        <w:t xml:space="preserve"> libellé comme suit</w:t>
      </w:r>
      <w:r>
        <w:rPr>
          <w:lang w:val="fr-FR"/>
        </w:rPr>
        <w:t> :</w:t>
      </w:r>
    </w:p>
    <w:p w:rsidR="00383983" w:rsidRPr="003C13A3" w:rsidRDefault="00383983" w:rsidP="00383983">
      <w:pPr>
        <w:pStyle w:val="SingleTxtG"/>
        <w:ind w:left="2268" w:hanging="1134"/>
        <w:rPr>
          <w:i/>
          <w:lang w:val="fr-FR"/>
        </w:rPr>
      </w:pPr>
      <w:r>
        <w:rPr>
          <w:lang w:val="fr-FR"/>
        </w:rPr>
        <w:t>« </w:t>
      </w:r>
      <w:r w:rsidRPr="00383983">
        <w:rPr>
          <w:b/>
          <w:bCs/>
          <w:lang w:val="fr-FR"/>
        </w:rPr>
        <w:t>11.7</w:t>
      </w:r>
      <w:r w:rsidRPr="00383983">
        <w:rPr>
          <w:b/>
          <w:bCs/>
          <w:lang w:val="fr-FR"/>
        </w:rPr>
        <w:tab/>
        <w:t>Nonobstant les dispositions du paragraphe 11.6 ci-dessus, les Parties contractantes appliquant le présent Règlement doivent continuer à reconnaître les homologations de type délivrées en application de la série 01 d’amendements au Règlement et à accorder des extensions d’homologations pour les éléments qui ne sont pas concernés par les modifications apportées par la série 02 d’amendements.</w:t>
      </w:r>
      <w:r w:rsidRPr="00FA2482">
        <w:rPr>
          <w:lang w:val="fr-FR"/>
        </w:rPr>
        <w:t> ».</w:t>
      </w:r>
    </w:p>
    <w:p w:rsidR="00383983" w:rsidRPr="003C13A3" w:rsidRDefault="00383983" w:rsidP="00383983">
      <w:pPr>
        <w:pStyle w:val="HChG"/>
        <w:rPr>
          <w:lang w:val="fr-FR"/>
        </w:rPr>
      </w:pPr>
      <w:r>
        <w:rPr>
          <w:lang w:val="fr-FR"/>
        </w:rPr>
        <w:tab/>
      </w:r>
      <w:r w:rsidRPr="002B106F">
        <w:rPr>
          <w:lang w:val="fr-FR"/>
        </w:rPr>
        <w:t>II.</w:t>
      </w:r>
      <w:r w:rsidRPr="002B106F">
        <w:rPr>
          <w:lang w:val="fr-FR"/>
        </w:rPr>
        <w:tab/>
        <w:t>Justification</w:t>
      </w:r>
    </w:p>
    <w:p w:rsidR="00383983" w:rsidRPr="003C13A3" w:rsidRDefault="00383983" w:rsidP="00383983">
      <w:pPr>
        <w:pStyle w:val="SingleTxtG"/>
        <w:ind w:firstLine="567"/>
        <w:rPr>
          <w:lang w:val="fr-FR"/>
        </w:rPr>
      </w:pPr>
      <w:r w:rsidRPr="002B106F">
        <w:rPr>
          <w:lang w:val="fr-FR"/>
        </w:rPr>
        <w:t>L</w:t>
      </w:r>
      <w:r>
        <w:rPr>
          <w:lang w:val="fr-FR"/>
        </w:rPr>
        <w:t>a</w:t>
      </w:r>
      <w:r w:rsidRPr="002B106F">
        <w:rPr>
          <w:lang w:val="fr-FR"/>
        </w:rPr>
        <w:t xml:space="preserve"> présent</w:t>
      </w:r>
      <w:r>
        <w:rPr>
          <w:lang w:val="fr-FR"/>
        </w:rPr>
        <w:t>e proposition d’</w:t>
      </w:r>
      <w:r w:rsidRPr="002B106F">
        <w:rPr>
          <w:lang w:val="fr-FR"/>
        </w:rPr>
        <w:t xml:space="preserve"> amendement vise à préciser la validité des homologations de type délivrées en application de la série 01 </w:t>
      </w:r>
      <w:r>
        <w:rPr>
          <w:lang w:val="fr-FR"/>
        </w:rPr>
        <w:t xml:space="preserve">d’amendements au </w:t>
      </w:r>
      <w:r w:rsidRPr="002B106F">
        <w:rPr>
          <w:lang w:val="fr-FR"/>
        </w:rPr>
        <w:t xml:space="preserve">Règlement ONU </w:t>
      </w:r>
      <w:r w:rsidRPr="00F53815">
        <w:rPr>
          <w:lang w:val="fr-FR"/>
        </w:rPr>
        <w:t>n</w:t>
      </w:r>
      <w:r w:rsidRPr="00F53815">
        <w:rPr>
          <w:vertAlign w:val="superscript"/>
          <w:lang w:val="fr-FR"/>
        </w:rPr>
        <w:t>o</w:t>
      </w:r>
      <w:r w:rsidRPr="00EE3874">
        <w:rPr>
          <w:lang w:val="fr-FR"/>
        </w:rPr>
        <w:t> </w:t>
      </w:r>
      <w:r w:rsidRPr="002B106F">
        <w:rPr>
          <w:lang w:val="fr-FR"/>
        </w:rPr>
        <w:t xml:space="preserve">67 pour les </w:t>
      </w:r>
      <w:r>
        <w:rPr>
          <w:lang w:val="fr-FR"/>
        </w:rPr>
        <w:t>éléments</w:t>
      </w:r>
      <w:r w:rsidRPr="002B106F">
        <w:rPr>
          <w:lang w:val="fr-FR"/>
        </w:rPr>
        <w:t xml:space="preserve"> non concernés par les modifications </w:t>
      </w:r>
      <w:r>
        <w:rPr>
          <w:lang w:val="fr-FR"/>
        </w:rPr>
        <w:t>apportées</w:t>
      </w:r>
      <w:r w:rsidRPr="002B106F">
        <w:rPr>
          <w:lang w:val="fr-FR"/>
        </w:rPr>
        <w:t xml:space="preserve"> par la série 02 d</w:t>
      </w:r>
      <w:r>
        <w:rPr>
          <w:lang w:val="fr-FR"/>
        </w:rPr>
        <w:t>’</w:t>
      </w:r>
      <w:r w:rsidRPr="002B106F">
        <w:rPr>
          <w:lang w:val="fr-FR"/>
        </w:rPr>
        <w:t xml:space="preserve">amendements. </w:t>
      </w:r>
      <w:proofErr w:type="spellStart"/>
      <w:r w:rsidRPr="002B106F">
        <w:rPr>
          <w:lang w:val="fr-FR"/>
        </w:rPr>
        <w:t>Liquid</w:t>
      </w:r>
      <w:proofErr w:type="spellEnd"/>
      <w:r w:rsidRPr="002B106F">
        <w:rPr>
          <w:lang w:val="fr-FR"/>
        </w:rPr>
        <w:t xml:space="preserve"> Gas Europe estime que les homologations de type délivrées conformément à la série 01 d</w:t>
      </w:r>
      <w:r>
        <w:rPr>
          <w:lang w:val="fr-FR"/>
        </w:rPr>
        <w:t>’</w:t>
      </w:r>
      <w:r w:rsidRPr="002B106F">
        <w:rPr>
          <w:lang w:val="fr-FR"/>
        </w:rPr>
        <w:t xml:space="preserve">amendements </w:t>
      </w:r>
      <w:r>
        <w:rPr>
          <w:lang w:val="fr-FR"/>
        </w:rPr>
        <w:t xml:space="preserve">doivent </w:t>
      </w:r>
      <w:r w:rsidRPr="002B106F">
        <w:rPr>
          <w:lang w:val="fr-FR"/>
        </w:rPr>
        <w:t>demeu</w:t>
      </w:r>
      <w:bookmarkStart w:id="0" w:name="_GoBack"/>
      <w:bookmarkEnd w:id="0"/>
      <w:r w:rsidRPr="002B106F">
        <w:rPr>
          <w:lang w:val="fr-FR"/>
        </w:rPr>
        <w:t>re</w:t>
      </w:r>
      <w:r>
        <w:rPr>
          <w:lang w:val="fr-FR"/>
        </w:rPr>
        <w:t>r</w:t>
      </w:r>
      <w:r w:rsidRPr="002B106F">
        <w:rPr>
          <w:lang w:val="fr-FR"/>
        </w:rPr>
        <w:t xml:space="preserve"> valables à moins que </w:t>
      </w:r>
      <w:r>
        <w:rPr>
          <w:lang w:val="fr-FR"/>
        </w:rPr>
        <w:t>l’élément</w:t>
      </w:r>
      <w:r w:rsidRPr="002B106F">
        <w:rPr>
          <w:lang w:val="fr-FR"/>
        </w:rPr>
        <w:t xml:space="preserve"> ne soit concerné par des dispositions techniques introduites par la série 02 d</w:t>
      </w:r>
      <w:r>
        <w:rPr>
          <w:lang w:val="fr-FR"/>
        </w:rPr>
        <w:t>’</w:t>
      </w:r>
      <w:r w:rsidRPr="002B106F">
        <w:rPr>
          <w:lang w:val="fr-FR"/>
        </w:rPr>
        <w:t>amendements.</w:t>
      </w:r>
    </w:p>
    <w:p w:rsidR="00F9573C" w:rsidRPr="00383983" w:rsidRDefault="00383983" w:rsidP="00383983">
      <w:pPr>
        <w:pStyle w:val="SingleTxtG"/>
        <w:spacing w:before="240" w:after="0"/>
        <w:jc w:val="center"/>
        <w:rPr>
          <w:u w:val="single"/>
          <w:lang w:val="fr-FR"/>
        </w:rPr>
      </w:pP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</w:p>
    <w:sectPr w:rsidR="00F9573C" w:rsidRPr="00383983" w:rsidSect="009A1DE5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53E6" w:rsidRDefault="004E53E6" w:rsidP="00F95C08">
      <w:pPr>
        <w:spacing w:line="240" w:lineRule="auto"/>
      </w:pPr>
    </w:p>
  </w:endnote>
  <w:endnote w:type="continuationSeparator" w:id="0">
    <w:p w:rsidR="004E53E6" w:rsidRPr="00AC3823" w:rsidRDefault="004E53E6" w:rsidP="00AC3823">
      <w:pPr>
        <w:pStyle w:val="Pieddepage"/>
      </w:pPr>
    </w:p>
  </w:endnote>
  <w:endnote w:type="continuationNotice" w:id="1">
    <w:p w:rsidR="004E53E6" w:rsidRDefault="004E53E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1DE5" w:rsidRPr="009A1DE5" w:rsidRDefault="009A1DE5" w:rsidP="009A1DE5">
    <w:pPr>
      <w:pStyle w:val="Pieddepage"/>
      <w:tabs>
        <w:tab w:val="right" w:pos="9638"/>
      </w:tabs>
    </w:pPr>
    <w:r w:rsidRPr="009A1DE5">
      <w:rPr>
        <w:b/>
        <w:sz w:val="18"/>
      </w:rPr>
      <w:fldChar w:fldCharType="begin"/>
    </w:r>
    <w:r w:rsidRPr="009A1DE5">
      <w:rPr>
        <w:b/>
        <w:sz w:val="18"/>
      </w:rPr>
      <w:instrText xml:space="preserve"> PAGE  \* MERGEFORMAT </w:instrText>
    </w:r>
    <w:r w:rsidRPr="009A1DE5">
      <w:rPr>
        <w:b/>
        <w:sz w:val="18"/>
      </w:rPr>
      <w:fldChar w:fldCharType="separate"/>
    </w:r>
    <w:r w:rsidRPr="009A1DE5">
      <w:rPr>
        <w:b/>
        <w:noProof/>
        <w:sz w:val="18"/>
      </w:rPr>
      <w:t>2</w:t>
    </w:r>
    <w:r w:rsidRPr="009A1DE5">
      <w:rPr>
        <w:b/>
        <w:sz w:val="18"/>
      </w:rPr>
      <w:fldChar w:fldCharType="end"/>
    </w:r>
    <w:r>
      <w:rPr>
        <w:b/>
        <w:sz w:val="18"/>
      </w:rPr>
      <w:tab/>
    </w:r>
    <w:r>
      <w:t>GE.20-10017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1DE5" w:rsidRPr="009A1DE5" w:rsidRDefault="009A1DE5" w:rsidP="009A1DE5">
    <w:pPr>
      <w:pStyle w:val="Pieddepage"/>
      <w:tabs>
        <w:tab w:val="right" w:pos="9638"/>
      </w:tabs>
      <w:rPr>
        <w:b/>
        <w:sz w:val="18"/>
      </w:rPr>
    </w:pPr>
    <w:r>
      <w:t>GE.20-10017</w:t>
    </w:r>
    <w:r>
      <w:tab/>
    </w:r>
    <w:r w:rsidRPr="009A1DE5">
      <w:rPr>
        <w:b/>
        <w:sz w:val="18"/>
      </w:rPr>
      <w:fldChar w:fldCharType="begin"/>
    </w:r>
    <w:r w:rsidRPr="009A1DE5">
      <w:rPr>
        <w:b/>
        <w:sz w:val="18"/>
      </w:rPr>
      <w:instrText xml:space="preserve"> PAGE  \* MERGEFORMAT </w:instrText>
    </w:r>
    <w:r w:rsidRPr="009A1DE5">
      <w:rPr>
        <w:b/>
        <w:sz w:val="18"/>
      </w:rPr>
      <w:fldChar w:fldCharType="separate"/>
    </w:r>
    <w:r w:rsidRPr="009A1DE5">
      <w:rPr>
        <w:b/>
        <w:noProof/>
        <w:sz w:val="18"/>
      </w:rPr>
      <w:t>3</w:t>
    </w:r>
    <w:r w:rsidRPr="009A1DE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0FA" w:rsidRPr="009A1DE5" w:rsidRDefault="009A1DE5" w:rsidP="009A1DE5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20-10017  (F)    210820    210820</w:t>
    </w:r>
    <w:r>
      <w:rPr>
        <w:sz w:val="20"/>
      </w:rPr>
      <w:br/>
    </w:r>
    <w:r w:rsidRPr="009A1DE5">
      <w:rPr>
        <w:rFonts w:ascii="C39T30Lfz" w:hAnsi="C39T30Lfz"/>
        <w:sz w:val="56"/>
      </w:rPr>
      <w:t></w:t>
    </w:r>
    <w:r w:rsidRPr="009A1DE5">
      <w:rPr>
        <w:rFonts w:ascii="C39T30Lfz" w:hAnsi="C39T30Lfz"/>
        <w:sz w:val="56"/>
      </w:rPr>
      <w:t></w:t>
    </w:r>
    <w:r w:rsidRPr="009A1DE5">
      <w:rPr>
        <w:rFonts w:ascii="C39T30Lfz" w:hAnsi="C39T30Lfz"/>
        <w:sz w:val="56"/>
      </w:rPr>
      <w:t></w:t>
    </w:r>
    <w:r w:rsidRPr="009A1DE5">
      <w:rPr>
        <w:rFonts w:ascii="C39T30Lfz" w:hAnsi="C39T30Lfz"/>
        <w:sz w:val="56"/>
      </w:rPr>
      <w:t></w:t>
    </w:r>
    <w:r w:rsidRPr="009A1DE5">
      <w:rPr>
        <w:rFonts w:ascii="C39T30Lfz" w:hAnsi="C39T30Lfz"/>
        <w:sz w:val="56"/>
      </w:rPr>
      <w:t></w:t>
    </w:r>
    <w:r w:rsidRPr="009A1DE5">
      <w:rPr>
        <w:rFonts w:ascii="C39T30Lfz" w:hAnsi="C39T30Lfz"/>
        <w:sz w:val="56"/>
      </w:rPr>
      <w:t></w:t>
    </w:r>
    <w:r w:rsidRPr="009A1DE5">
      <w:rPr>
        <w:rFonts w:ascii="C39T30Lfz" w:hAnsi="C39T30Lfz"/>
        <w:sz w:val="56"/>
      </w:rPr>
      <w:t></w:t>
    </w:r>
    <w:r w:rsidRPr="009A1DE5">
      <w:rPr>
        <w:rFonts w:ascii="C39T30Lfz" w:hAnsi="C39T30Lfz"/>
        <w:sz w:val="56"/>
      </w:rPr>
      <w:t></w:t>
    </w:r>
    <w:r w:rsidRPr="009A1DE5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53E6" w:rsidRPr="00AC3823" w:rsidRDefault="004E53E6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4E53E6" w:rsidRPr="00AC3823" w:rsidRDefault="004E53E6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4E53E6" w:rsidRPr="00AC3823" w:rsidRDefault="004E53E6">
      <w:pPr>
        <w:spacing w:line="240" w:lineRule="auto"/>
        <w:rPr>
          <w:sz w:val="2"/>
          <w:szCs w:val="2"/>
        </w:rPr>
      </w:pPr>
    </w:p>
  </w:footnote>
  <w:footnote w:id="2">
    <w:p w:rsidR="00383983" w:rsidRPr="003C13A3" w:rsidRDefault="00383983" w:rsidP="00383983">
      <w:pPr>
        <w:pStyle w:val="Notedebasdepage"/>
        <w:rPr>
          <w:rFonts w:eastAsia="Calibri"/>
          <w:lang w:val="fr-FR"/>
        </w:rPr>
      </w:pPr>
      <w:r w:rsidRPr="00383983">
        <w:rPr>
          <w:sz w:val="20"/>
          <w:lang w:val="fr-FR"/>
        </w:rPr>
        <w:tab/>
        <w:t>*</w:t>
      </w:r>
      <w:r w:rsidRPr="00383983">
        <w:rPr>
          <w:sz w:val="20"/>
          <w:lang w:val="fr-FR"/>
        </w:rPr>
        <w:tab/>
      </w:r>
      <w:r>
        <w:rPr>
          <w:lang w:val="fr-FR"/>
        </w:rPr>
        <w:t>Conformément au programme de travail du Comité des transports intérieurs pour 2020 tel qu’il figure dans le projet de budget-programme pour 2020 (A/74/6 (titre V, chap.</w:t>
      </w:r>
      <w:r>
        <w:rPr>
          <w:lang w:val="fr-FR"/>
        </w:rPr>
        <w:t> </w:t>
      </w:r>
      <w:r>
        <w:rPr>
          <w:lang w:val="fr-FR"/>
        </w:rPr>
        <w:t>20), par.</w:t>
      </w:r>
      <w:r>
        <w:rPr>
          <w:lang w:val="fr-FR"/>
        </w:rPr>
        <w:t> </w:t>
      </w:r>
      <w:r>
        <w:rPr>
          <w:lang w:val="fr-FR"/>
        </w:rPr>
        <w:t>20.37), le Forum mondial a pour mission d’élaborer, d’harmoniser et de mettre à jour les Règlements ONU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1DE5" w:rsidRPr="009A1DE5" w:rsidRDefault="009A1DE5">
    <w:pPr>
      <w:pStyle w:val="En-tte"/>
    </w:pPr>
    <w:fldSimple w:instr=" TITLE  \* MERGEFORMAT ">
      <w:r>
        <w:t>ECE/TRANS/WP.29/GRSG/2020/23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1DE5" w:rsidRPr="009A1DE5" w:rsidRDefault="009A1DE5" w:rsidP="009A1DE5">
    <w:pPr>
      <w:pStyle w:val="En-tte"/>
      <w:jc w:val="right"/>
    </w:pPr>
    <w:fldSimple w:instr=" TITLE  \* MERGEFORMAT ">
      <w:r>
        <w:t>ECE/TRANS/WP.29/GRSG/2020/23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E53E6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23272"/>
    <w:rsid w:val="0024779E"/>
    <w:rsid w:val="00257168"/>
    <w:rsid w:val="002744B8"/>
    <w:rsid w:val="002832AC"/>
    <w:rsid w:val="002D7C93"/>
    <w:rsid w:val="00305801"/>
    <w:rsid w:val="00383983"/>
    <w:rsid w:val="003916DE"/>
    <w:rsid w:val="00421996"/>
    <w:rsid w:val="00441C3B"/>
    <w:rsid w:val="00446FE5"/>
    <w:rsid w:val="00452396"/>
    <w:rsid w:val="004837D8"/>
    <w:rsid w:val="004E2EED"/>
    <w:rsid w:val="004E468C"/>
    <w:rsid w:val="004E53E6"/>
    <w:rsid w:val="005505B7"/>
    <w:rsid w:val="00573BE5"/>
    <w:rsid w:val="00586ED3"/>
    <w:rsid w:val="00596AA9"/>
    <w:rsid w:val="0071601D"/>
    <w:rsid w:val="007A62E6"/>
    <w:rsid w:val="007F20FA"/>
    <w:rsid w:val="0080684C"/>
    <w:rsid w:val="00871C75"/>
    <w:rsid w:val="008776DC"/>
    <w:rsid w:val="008C1D10"/>
    <w:rsid w:val="009446C0"/>
    <w:rsid w:val="009705C8"/>
    <w:rsid w:val="009A1DE5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A0CA9"/>
    <w:rsid w:val="00C02897"/>
    <w:rsid w:val="00C97039"/>
    <w:rsid w:val="00D3439C"/>
    <w:rsid w:val="00DB1831"/>
    <w:rsid w:val="00DD3BFD"/>
    <w:rsid w:val="00DF6678"/>
    <w:rsid w:val="00E0299A"/>
    <w:rsid w:val="00E85C74"/>
    <w:rsid w:val="00EA6547"/>
    <w:rsid w:val="00EE3874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11A0534B"/>
  <w15:docId w15:val="{BBFF57DC-347D-414F-A40A-CE14E2A82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383983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383983"/>
    <w:rPr>
      <w:rFonts w:ascii="Times New Roman" w:eastAsiaTheme="minorHAnsi" w:hAnsi="Times New Roman" w:cs="Times New Roman"/>
      <w:b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0</TotalTime>
  <Pages>2</Pages>
  <Words>276</Words>
  <Characters>1935</Characters>
  <Application>Microsoft Office Word</Application>
  <DocSecurity>0</DocSecurity>
  <Lines>161</Lines>
  <Paragraphs>88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ECE/TRANS/WP.29/GRSG/2020/23</dc:title>
  <dc:subject/>
  <dc:creator>Nicolas MORIN</dc:creator>
  <cp:keywords/>
  <cp:lastModifiedBy>Nicolas MORIN</cp:lastModifiedBy>
  <cp:revision>2</cp:revision>
  <cp:lastPrinted>2014-05-14T10:59:00Z</cp:lastPrinted>
  <dcterms:created xsi:type="dcterms:W3CDTF">2020-08-21T14:10:00Z</dcterms:created>
  <dcterms:modified xsi:type="dcterms:W3CDTF">2020-08-21T14:10:00Z</dcterms:modified>
</cp:coreProperties>
</file>