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3057C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772F8C" w14:textId="77777777" w:rsidR="002D5AAC" w:rsidRDefault="002D5AAC" w:rsidP="00743F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67EF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614211" w14:textId="77777777" w:rsidR="002D5AAC" w:rsidRDefault="00743FBA" w:rsidP="00743FBA">
            <w:pPr>
              <w:jc w:val="right"/>
            </w:pPr>
            <w:r w:rsidRPr="00743FBA">
              <w:rPr>
                <w:sz w:val="40"/>
              </w:rPr>
              <w:t>ECE</w:t>
            </w:r>
            <w:r>
              <w:t>/TRANS/WP.29/GRSG/2020/21</w:t>
            </w:r>
          </w:p>
        </w:tc>
      </w:tr>
      <w:tr w:rsidR="002D5AAC" w:rsidRPr="00743FBA" w14:paraId="1DCCFC3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A419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F3F8F8" wp14:editId="12A2F2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D64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A3C55F" w14:textId="77777777" w:rsidR="002D5AAC" w:rsidRDefault="00743F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D7C361" w14:textId="77777777" w:rsidR="00743FBA" w:rsidRDefault="00743FBA" w:rsidP="00743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F1BD3">
              <w:rPr>
                <w:lang w:val="en-US"/>
              </w:rPr>
              <w:t>7 July</w:t>
            </w:r>
            <w:r>
              <w:rPr>
                <w:lang w:val="en-US"/>
              </w:rPr>
              <w:t xml:space="preserve"> 2020</w:t>
            </w:r>
          </w:p>
          <w:p w14:paraId="406F0900" w14:textId="77777777" w:rsidR="00743FBA" w:rsidRDefault="00743FBA" w:rsidP="00743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B917A4" w14:textId="77777777" w:rsidR="00743FBA" w:rsidRPr="008D53B6" w:rsidRDefault="00743FBA" w:rsidP="00743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F3C954" w14:textId="77777777" w:rsidR="00743F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7F7A14" w14:textId="77777777" w:rsidR="00743FBA" w:rsidRPr="000F1BD3" w:rsidRDefault="00743FBA" w:rsidP="00743FBA">
      <w:pPr>
        <w:spacing w:before="120"/>
        <w:rPr>
          <w:sz w:val="28"/>
          <w:szCs w:val="28"/>
        </w:rPr>
      </w:pPr>
      <w:r w:rsidRPr="000F1BD3">
        <w:rPr>
          <w:sz w:val="28"/>
          <w:szCs w:val="28"/>
        </w:rPr>
        <w:t>Комитет по внутреннему транспорту</w:t>
      </w:r>
    </w:p>
    <w:p w14:paraId="5F7B0D95" w14:textId="77777777" w:rsidR="00743FBA" w:rsidRPr="000F1BD3" w:rsidRDefault="00743FBA" w:rsidP="00743FBA">
      <w:pPr>
        <w:spacing w:before="120"/>
        <w:rPr>
          <w:b/>
          <w:sz w:val="24"/>
          <w:szCs w:val="24"/>
        </w:rPr>
      </w:pPr>
      <w:r w:rsidRPr="000F1BD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0F1BD3">
        <w:rPr>
          <w:b/>
          <w:bCs/>
          <w:sz w:val="24"/>
          <w:szCs w:val="24"/>
        </w:rPr>
        <w:br/>
      </w:r>
      <w:r w:rsidRPr="000F1BD3">
        <w:rPr>
          <w:b/>
          <w:bCs/>
          <w:sz w:val="24"/>
          <w:szCs w:val="24"/>
        </w:rPr>
        <w:t>в области транспортных средств</w:t>
      </w:r>
    </w:p>
    <w:p w14:paraId="0EC4EF70" w14:textId="77777777" w:rsidR="00743FBA" w:rsidRPr="00AF4D0A" w:rsidRDefault="00743FBA" w:rsidP="00743FBA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 w:rsidR="000F1BD3"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34225B27" w14:textId="77777777" w:rsidR="00743FBA" w:rsidRPr="00AF4D0A" w:rsidRDefault="00743FBA" w:rsidP="00743FBA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250FBB3D" w14:textId="4A008D61" w:rsidR="00743FBA" w:rsidRPr="00AF4D0A" w:rsidRDefault="00743FBA" w:rsidP="00743FBA">
      <w:r>
        <w:t>Женева, 6</w:t>
      </w:r>
      <w:r w:rsidR="004D793F">
        <w:t>–</w:t>
      </w:r>
      <w:r>
        <w:t>9 октября 2020 года</w:t>
      </w:r>
    </w:p>
    <w:p w14:paraId="678EE55B" w14:textId="77777777" w:rsidR="00743FBA" w:rsidRPr="00AF4D0A" w:rsidRDefault="00743FBA" w:rsidP="00743FBA">
      <w:r>
        <w:t xml:space="preserve">Пункт 2 </w:t>
      </w:r>
      <w:r w:rsidR="00044713">
        <w:rPr>
          <w:lang w:val="en-US"/>
        </w:rPr>
        <w:t>b</w:t>
      </w:r>
      <w:r>
        <w:t>) предварительной повестки дня</w:t>
      </w:r>
    </w:p>
    <w:p w14:paraId="7001B7DC" w14:textId="77777777" w:rsidR="00743FBA" w:rsidRPr="00AF4D0A" w:rsidRDefault="00743FBA" w:rsidP="00743FBA">
      <w:pPr>
        <w:rPr>
          <w:b/>
        </w:rPr>
      </w:pPr>
      <w:r>
        <w:rPr>
          <w:b/>
          <w:bCs/>
        </w:rPr>
        <w:t xml:space="preserve">Поправки к правилам, касающимся городских </w:t>
      </w:r>
      <w:r w:rsidR="000F1BD3">
        <w:rPr>
          <w:b/>
          <w:bCs/>
        </w:rPr>
        <w:br/>
      </w:r>
      <w:r>
        <w:rPr>
          <w:b/>
          <w:bCs/>
        </w:rPr>
        <w:t>и междугородных автобусов:</w:t>
      </w:r>
      <w:r w:rsidR="000F1BD3" w:rsidRPr="000F1BD3">
        <w:rPr>
          <w:b/>
          <w:bCs/>
        </w:rPr>
        <w:t xml:space="preserve"> </w:t>
      </w:r>
      <w:r>
        <w:rPr>
          <w:b/>
          <w:bCs/>
        </w:rPr>
        <w:t xml:space="preserve">Правила № 118 ООН </w:t>
      </w:r>
      <w:r w:rsidR="000F1BD3">
        <w:rPr>
          <w:b/>
          <w:bCs/>
        </w:rPr>
        <w:br/>
      </w:r>
      <w:r>
        <w:rPr>
          <w:b/>
          <w:bCs/>
        </w:rPr>
        <w:t>(характеристики горения материалов)</w:t>
      </w:r>
    </w:p>
    <w:p w14:paraId="0CF77108" w14:textId="77777777" w:rsidR="00743FBA" w:rsidRPr="00AF4D0A" w:rsidRDefault="00743FBA" w:rsidP="00743FBA">
      <w:pPr>
        <w:pStyle w:val="HChG"/>
        <w:tabs>
          <w:tab w:val="left" w:pos="8505"/>
        </w:tabs>
      </w:pPr>
      <w:r>
        <w:tab/>
      </w:r>
      <w:r>
        <w:tab/>
      </w:r>
      <w:r>
        <w:rPr>
          <w:bCs/>
        </w:rPr>
        <w:t>Предложение по поправкам серии 04 к Правилам № 118 ООН (характеристики горения материалов)</w:t>
      </w:r>
    </w:p>
    <w:p w14:paraId="0BB7E7FF" w14:textId="77777777" w:rsidR="00743FBA" w:rsidRPr="000F1BD3" w:rsidRDefault="00743FBA" w:rsidP="00743FBA">
      <w:pPr>
        <w:pStyle w:val="H1G"/>
        <w:tabs>
          <w:tab w:val="left" w:pos="8505"/>
        </w:tabs>
        <w:ind w:firstLine="0"/>
        <w:rPr>
          <w:b w:val="0"/>
          <w:bCs/>
          <w:sz w:val="20"/>
        </w:rPr>
      </w:pPr>
      <w:r>
        <w:rPr>
          <w:bCs/>
        </w:rPr>
        <w:t>Представлено экспертами неофициальной рабочей группы по</w:t>
      </w:r>
      <w:r w:rsidR="000F1BD3">
        <w:rPr>
          <w:bCs/>
          <w:lang w:val="en-US"/>
        </w:rPr>
        <w:t> </w:t>
      </w:r>
      <w:r>
        <w:rPr>
          <w:bCs/>
        </w:rPr>
        <w:t>поведению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 случае пожара</w:t>
      </w:r>
      <w:r w:rsidRPr="000F1BD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294BDBEF" w14:textId="77777777" w:rsidR="00743FBA" w:rsidRPr="00AF4D0A" w:rsidRDefault="000F1BD3" w:rsidP="000F1BD3">
      <w:pPr>
        <w:pStyle w:val="SingleTxtG"/>
      </w:pPr>
      <w:r>
        <w:tab/>
      </w:r>
      <w:r>
        <w:tab/>
      </w:r>
      <w:r w:rsidR="00743FBA">
        <w:t>Воспроизведенный ниже текст был подготовлен неофициальной рабочей группой (НРГ) по поведению транспортных средств категорий М</w:t>
      </w:r>
      <w:r w:rsidR="00743FBA">
        <w:rPr>
          <w:vertAlign w:val="subscript"/>
        </w:rPr>
        <w:t>2</w:t>
      </w:r>
      <w:r w:rsidR="00743FBA">
        <w:t xml:space="preserve"> и М</w:t>
      </w:r>
      <w:r w:rsidR="00743FBA">
        <w:rPr>
          <w:vertAlign w:val="subscript"/>
        </w:rPr>
        <w:t>3</w:t>
      </w:r>
      <w:r w:rsidR="00743FBA">
        <w:t xml:space="preserve"> в случае пожара (БМФЕ), которой поручено оценить возможность внесения поправки(ок) в нормативные положения для повышения безопасности транспортных средств категорий М</w:t>
      </w:r>
      <w:r w:rsidR="00743FBA">
        <w:rPr>
          <w:vertAlign w:val="subscript"/>
        </w:rPr>
        <w:t>2</w:t>
      </w:r>
      <w:r w:rsidR="00743FBA">
        <w:t xml:space="preserve"> и М</w:t>
      </w:r>
      <w:r w:rsidR="00743FBA">
        <w:rPr>
          <w:vertAlign w:val="subscript"/>
        </w:rPr>
        <w:t>3</w:t>
      </w:r>
      <w:r w:rsidR="00743FBA">
        <w:t xml:space="preserve"> в случае пожара и разработать такие поправки через совершенствование требований, касающихся </w:t>
      </w:r>
      <w:r w:rsidR="00743FBA">
        <w:rPr>
          <w:rFonts w:eastAsiaTheme="minorEastAsia"/>
          <w:lang w:eastAsia="zh-CN"/>
        </w:rPr>
        <w:t>характеристик</w:t>
      </w:r>
      <w:r w:rsidR="00743FBA">
        <w:t xml:space="preserve"> используемых материалов. В его основу положен неофициальный документ GRSG-118-04, представленный на 118-й сессии Рабочей группы по общим предписаниям, касающимся безопасности (GRSG) (см. доклад  ECE/TRANS/WP.29/GRSG/97, пункты</w:t>
      </w:r>
      <w:r w:rsidR="00044713">
        <w:rPr>
          <w:lang w:val="en-US"/>
        </w:rPr>
        <w:t> </w:t>
      </w:r>
      <w:r w:rsidR="00743FBA">
        <w:t>XX). Изменения к нынешнему тексту Правил № 118 ООН выделены жирным шрифтом или зачеркиванием.</w:t>
      </w:r>
    </w:p>
    <w:p w14:paraId="5E411F70" w14:textId="77777777" w:rsidR="00743FBA" w:rsidRPr="00AF4D0A" w:rsidRDefault="00743FBA" w:rsidP="00743FBA">
      <w:pPr>
        <w:tabs>
          <w:tab w:val="left" w:pos="8505"/>
        </w:tabs>
        <w:ind w:left="1134" w:right="1134" w:firstLine="567"/>
        <w:jc w:val="both"/>
      </w:pPr>
      <w:r w:rsidRPr="00AF4D0A">
        <w:br w:type="page"/>
      </w:r>
    </w:p>
    <w:p w14:paraId="035FEDB3" w14:textId="77777777" w:rsidR="00743FBA" w:rsidRPr="00AF4D0A" w:rsidRDefault="00743FBA" w:rsidP="00743FBA">
      <w:pPr>
        <w:pStyle w:val="HChG"/>
      </w:pPr>
      <w:bookmarkStart w:id="1" w:name="_Hlk46496959"/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122E8F9F" w14:textId="77777777" w:rsidR="00743FBA" w:rsidRPr="00AF4D0A" w:rsidRDefault="00743FBA" w:rsidP="00743FBA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t>Включить новые пункты 12.15–12.18</w:t>
      </w:r>
      <w:r>
        <w:t xml:space="preserve"> следующего содержания:</w:t>
      </w:r>
      <w:bookmarkEnd w:id="1"/>
    </w:p>
    <w:p w14:paraId="1F4884F4" w14:textId="1C7B97CA" w:rsidR="00743FBA" w:rsidRPr="00AF4D0A" w:rsidRDefault="004D793F" w:rsidP="00743FBA">
      <w:pPr>
        <w:pStyle w:val="SingleTxtG"/>
        <w:ind w:left="2268" w:hanging="1134"/>
        <w:rPr>
          <w:b/>
          <w:bCs/>
        </w:rPr>
      </w:pPr>
      <w:r>
        <w:t>«</w:t>
      </w:r>
      <w:r w:rsidR="00743FBA">
        <w:rPr>
          <w:b/>
          <w:bCs/>
        </w:rPr>
        <w:t>12.15</w:t>
      </w:r>
      <w:r w:rsidR="00743FBA">
        <w:t xml:space="preserve"> </w:t>
      </w:r>
      <w:r w:rsidR="00743FBA">
        <w:tab/>
      </w:r>
      <w:r w:rsidR="00743FBA">
        <w:tab/>
      </w:r>
      <w:r w:rsidR="00743FBA">
        <w:rPr>
          <w:b/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04.</w:t>
      </w:r>
    </w:p>
    <w:p w14:paraId="3C215557" w14:textId="77777777" w:rsidR="00743FBA" w:rsidRPr="00AF4D0A" w:rsidRDefault="00743FBA" w:rsidP="00743FBA">
      <w:pPr>
        <w:pStyle w:val="SingleTxtG"/>
        <w:ind w:left="2268" w:hanging="1134"/>
        <w:rPr>
          <w:b/>
          <w:bCs/>
        </w:rPr>
      </w:pPr>
      <w:r w:rsidRPr="00E65F0A">
        <w:rPr>
          <w:b/>
          <w:bCs/>
        </w:rPr>
        <w:t>12.16</w:t>
      </w:r>
      <w:r>
        <w:t xml:space="preserve"> </w:t>
      </w:r>
      <w:r>
        <w:tab/>
      </w:r>
      <w:r>
        <w:tab/>
      </w:r>
      <w:r>
        <w:rPr>
          <w:b/>
          <w:bCs/>
        </w:rPr>
        <w:t>Начиная с 1 сентября [2022 года] Договаривающиеся стороны, применяющие настоящие Правила, не обязаны признавать официальные утверждения типа транспортного средства или компонента, впервые выданные на основании поправок предшествующих серий после 1 сентября [2022 года].</w:t>
      </w:r>
    </w:p>
    <w:p w14:paraId="65D3B622" w14:textId="77777777" w:rsidR="00743FBA" w:rsidRPr="00AF4D0A" w:rsidRDefault="00743FBA" w:rsidP="00743FBA">
      <w:pPr>
        <w:pStyle w:val="SingleTxtG"/>
        <w:ind w:left="2268" w:hanging="1134"/>
        <w:rPr>
          <w:b/>
          <w:bCs/>
        </w:rPr>
      </w:pPr>
      <w:r w:rsidRPr="00E65F0A">
        <w:rPr>
          <w:b/>
          <w:bCs/>
        </w:rPr>
        <w:t>12.17</w:t>
      </w:r>
      <w:r>
        <w:t xml:space="preserve"> </w:t>
      </w:r>
      <w:r>
        <w:tab/>
      </w:r>
      <w:r>
        <w:tab/>
      </w:r>
      <w:r>
        <w:rPr>
          <w:b/>
          <w:bCs/>
        </w:rPr>
        <w:t>До 1 сентября [2024 года] Договаривающиеся стороны, применяющие настоящие Правила, признают официальные утверждения типа транспортного средства или компонента, впервые выданные на основании поправок предшествующих серий до 1</w:t>
      </w:r>
      <w:r w:rsidR="00044713">
        <w:rPr>
          <w:b/>
          <w:bCs/>
          <w:lang w:val="en-US"/>
        </w:rPr>
        <w:t> </w:t>
      </w:r>
      <w:r>
        <w:rPr>
          <w:b/>
          <w:bCs/>
        </w:rPr>
        <w:t>сентября [2022 года].</w:t>
      </w:r>
    </w:p>
    <w:p w14:paraId="05FF13CA" w14:textId="00037A21" w:rsidR="00743FBA" w:rsidRPr="00AF4D0A" w:rsidRDefault="00743FBA" w:rsidP="00743FBA">
      <w:pPr>
        <w:pStyle w:val="SingleTxtG"/>
        <w:ind w:left="2268" w:hanging="1134"/>
        <w:rPr>
          <w:b/>
          <w:bCs/>
        </w:rPr>
      </w:pPr>
      <w:r w:rsidRPr="00E65F0A">
        <w:rPr>
          <w:b/>
          <w:bCs/>
        </w:rPr>
        <w:t>12.18</w:t>
      </w:r>
      <w:r>
        <w:t xml:space="preserve"> </w:t>
      </w:r>
      <w:r>
        <w:tab/>
      </w:r>
      <w:r>
        <w:tab/>
      </w:r>
      <w:r>
        <w:rPr>
          <w:b/>
          <w:bCs/>
        </w:rPr>
        <w:t>После 1 сентября [2024 года] Договаривающиеся стороны, применяющие настоящие Правила, не обязаны признавать официальные утверждения типа транспортного средства или компонента, выданные на основании предшествующих серий поправок к настоящим Правилам</w:t>
      </w:r>
      <w:r w:rsidR="004D793F">
        <w:t>»</w:t>
      </w:r>
      <w:r w:rsidRPr="00044713">
        <w:t>.</w:t>
      </w:r>
    </w:p>
    <w:p w14:paraId="25A6F344" w14:textId="77777777" w:rsidR="00743FBA" w:rsidRPr="0097076A" w:rsidRDefault="00743FBA" w:rsidP="00743FBA">
      <w:pPr>
        <w:pStyle w:val="SingleTxtG"/>
        <w:spacing w:before="240"/>
      </w:pPr>
      <w:r>
        <w:rPr>
          <w:i/>
          <w:iCs/>
        </w:rPr>
        <w:t>Приложение 2,</w:t>
      </w:r>
      <w:r>
        <w:t xml:space="preserve"> включить новые пункты 5 и 5.1 следующего содержания:</w:t>
      </w:r>
    </w:p>
    <w:p w14:paraId="10CF4B1A" w14:textId="7B2E650F" w:rsidR="00743FBA" w:rsidRPr="00AF4D0A" w:rsidRDefault="004D793F" w:rsidP="00743FBA">
      <w:pPr>
        <w:pStyle w:val="SingleTxtG"/>
        <w:ind w:left="2268" w:hanging="1134"/>
        <w:rPr>
          <w:b/>
          <w:bCs/>
        </w:rPr>
      </w:pPr>
      <w:r>
        <w:t>«</w:t>
      </w:r>
      <w:r w:rsidR="00743FBA">
        <w:rPr>
          <w:b/>
          <w:bCs/>
        </w:rPr>
        <w:t>5.</w:t>
      </w:r>
      <w:r w:rsidR="00743FBA">
        <w:tab/>
      </w:r>
      <w:r w:rsidR="00743FBA">
        <w:rPr>
          <w:b/>
          <w:bCs/>
        </w:rPr>
        <w:t>Клеевая основа</w:t>
      </w:r>
    </w:p>
    <w:p w14:paraId="7B80DE49" w14:textId="5CE575ED" w:rsidR="00743FBA" w:rsidRPr="00044713" w:rsidRDefault="00743FBA" w:rsidP="00743FBA">
      <w:pPr>
        <w:pStyle w:val="SingleTxtG"/>
        <w:ind w:left="2268" w:hanging="1134"/>
        <w:rPr>
          <w:b/>
          <w:bCs/>
        </w:rPr>
      </w:pPr>
      <w:r w:rsidRPr="00E65F0A">
        <w:rPr>
          <w:b/>
          <w:bCs/>
        </w:rPr>
        <w:t>5.1</w:t>
      </w:r>
      <w:r>
        <w:tab/>
      </w:r>
      <w:r>
        <w:rPr>
          <w:b/>
          <w:bCs/>
        </w:rPr>
        <w:t>В случае если для прикрепления материала к несущим конструкциям или скрепления материалов между собой используются клеевые основы, перечень клеевых основ, которые могут быть использованы без ухудшения характеристик горения материала(ов): ...</w:t>
      </w:r>
      <w:r w:rsidR="004D793F">
        <w:t>»</w:t>
      </w:r>
    </w:p>
    <w:p w14:paraId="19DC9F6B" w14:textId="77777777" w:rsidR="00743FBA" w:rsidRPr="00AF4D0A" w:rsidRDefault="00743FBA" w:rsidP="00044713">
      <w:pPr>
        <w:pStyle w:val="SingleTxtG"/>
      </w:pPr>
      <w:r w:rsidRPr="00E65F0A">
        <w:rPr>
          <w:i/>
          <w:iCs/>
        </w:rPr>
        <w:t>Часть I</w:t>
      </w:r>
      <w:r>
        <w:t>, включить новые пункты 5.2.4.1 и 5.2.4.2 следующего содержания:</w:t>
      </w:r>
    </w:p>
    <w:p w14:paraId="3FDC79F4" w14:textId="19771CDA" w:rsidR="00743FBA" w:rsidRPr="00AF4D0A" w:rsidRDefault="004D793F" w:rsidP="00743FBA">
      <w:pPr>
        <w:pStyle w:val="SingleTxtG"/>
        <w:ind w:left="2268" w:hanging="1134"/>
        <w:rPr>
          <w:b/>
          <w:bCs/>
        </w:rPr>
      </w:pPr>
      <w:r>
        <w:t>«</w:t>
      </w:r>
      <w:r w:rsidR="00743FBA">
        <w:rPr>
          <w:b/>
          <w:bCs/>
        </w:rPr>
        <w:t>5.2.4.1</w:t>
      </w:r>
      <w:r w:rsidR="00743FBA">
        <w:t xml:space="preserve"> </w:t>
      </w:r>
      <w:r w:rsidR="00743FBA">
        <w:tab/>
      </w:r>
      <w:r w:rsidR="00743FBA">
        <w:rPr>
          <w:b/>
          <w:bCs/>
        </w:rPr>
        <w:t>Считается, что отдельные материалы, отвечающие соответствующим требованиям пунктов 6.2.1–6.2.7 и скрепленные между собой с помощью клеевой основы, которая не ухудшает характеристики горения, удовлетворяют требованиям в качестве составного материала.</w:t>
      </w:r>
    </w:p>
    <w:p w14:paraId="083F5452" w14:textId="273A9856" w:rsidR="00743FBA" w:rsidRPr="00AF4D0A" w:rsidRDefault="00743FBA" w:rsidP="00743FBA">
      <w:pPr>
        <w:pStyle w:val="SingleTxtG"/>
        <w:ind w:left="2268" w:hanging="1134"/>
      </w:pPr>
      <w:r w:rsidRPr="00E65F0A">
        <w:rPr>
          <w:b/>
          <w:bCs/>
        </w:rPr>
        <w:t>5.2.4.2</w:t>
      </w:r>
      <w:r>
        <w:t xml:space="preserve"> </w:t>
      </w:r>
      <w:r>
        <w:tab/>
      </w:r>
      <w:r>
        <w:rPr>
          <w:b/>
          <w:bCs/>
        </w:rPr>
        <w:t>Если для прикрепления материала, предназначенного для внутренней облицовки, к несущей структуре используется клеевая основа, которая не указана в пункте 5.1 приложения 2 как не ухудшающая характеристик горения материала для внутренней облицовки, то такой материал испытывают в сочетании с этой клеевой основной и возможной несущей структурой</w:t>
      </w:r>
      <w:r w:rsidR="004D793F">
        <w:t>»</w:t>
      </w:r>
      <w:r w:rsidRPr="00044713">
        <w:t>.</w:t>
      </w:r>
    </w:p>
    <w:p w14:paraId="009276A1" w14:textId="77777777" w:rsidR="00743FBA" w:rsidRPr="00AF4D0A" w:rsidRDefault="00743FBA" w:rsidP="00743FBA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0DDDB1BE" w14:textId="77777777" w:rsidR="00743FBA" w:rsidRPr="00AF4D0A" w:rsidRDefault="00044713" w:rsidP="00750924">
      <w:pPr>
        <w:pStyle w:val="H23G"/>
      </w:pPr>
      <w:r>
        <w:tab/>
      </w:r>
      <w:r>
        <w:tab/>
      </w:r>
      <w:r w:rsidR="00743FBA">
        <w:t>Влияние клеевой основы</w:t>
      </w:r>
    </w:p>
    <w:p w14:paraId="0CF882CB" w14:textId="77777777" w:rsidR="00743FBA" w:rsidRPr="00AF4D0A" w:rsidRDefault="00743FBA" w:rsidP="00743FBA">
      <w:pPr>
        <w:pStyle w:val="SingleTxtG"/>
        <w:ind w:firstLine="567"/>
      </w:pPr>
      <w:r>
        <w:t xml:space="preserve">Для уточнения касающихся установки требований пункта 5.2.4, где говорится, что клеевая основа не должна усугублять установленные характеристики горения материалов/компонентов, изготовитель компонента/материала должен указать перечень клеевых основ, которые должны использоваться для целей установки. Вместе с тем на основе физической оценки характеристик горения нельзя ожидать выявления общей тенденции в отношении влияния такой клеевой основы. Поэтому </w:t>
      </w:r>
      <w:r>
        <w:lastRenderedPageBreak/>
        <w:t>наилучшим способом для контроля такой установки, по-видимому, является указание изготовителем перечня с указанием только тех категорий клеевых основ, которые допущены к использованию.</w:t>
      </w:r>
    </w:p>
    <w:p w14:paraId="34BE70A3" w14:textId="77777777" w:rsidR="00E12C5F" w:rsidRPr="000F1BD3" w:rsidRDefault="000F1BD3" w:rsidP="000F1B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F1BD3" w:rsidSect="00743F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7E13" w14:textId="77777777" w:rsidR="00272C3E" w:rsidRPr="00A312BC" w:rsidRDefault="00272C3E" w:rsidP="00A312BC"/>
  </w:endnote>
  <w:endnote w:type="continuationSeparator" w:id="0">
    <w:p w14:paraId="727FC6A5" w14:textId="77777777" w:rsidR="00272C3E" w:rsidRPr="00A312BC" w:rsidRDefault="00272C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C5BE" w14:textId="77777777" w:rsidR="00743FBA" w:rsidRPr="00743FBA" w:rsidRDefault="00743FBA">
    <w:pPr>
      <w:pStyle w:val="Footer"/>
    </w:pPr>
    <w:r w:rsidRPr="00743FBA">
      <w:rPr>
        <w:b/>
        <w:sz w:val="18"/>
      </w:rPr>
      <w:fldChar w:fldCharType="begin"/>
    </w:r>
    <w:r w:rsidRPr="00743FBA">
      <w:rPr>
        <w:b/>
        <w:sz w:val="18"/>
      </w:rPr>
      <w:instrText xml:space="preserve"> PAGE  \* MERGEFORMAT </w:instrText>
    </w:r>
    <w:r w:rsidRPr="00743FBA">
      <w:rPr>
        <w:b/>
        <w:sz w:val="18"/>
      </w:rPr>
      <w:fldChar w:fldCharType="separate"/>
    </w:r>
    <w:r w:rsidRPr="00743FBA">
      <w:rPr>
        <w:b/>
        <w:noProof/>
        <w:sz w:val="18"/>
      </w:rPr>
      <w:t>2</w:t>
    </w:r>
    <w:r w:rsidRPr="00743FBA">
      <w:rPr>
        <w:b/>
        <w:sz w:val="18"/>
      </w:rPr>
      <w:fldChar w:fldCharType="end"/>
    </w:r>
    <w:r>
      <w:rPr>
        <w:b/>
        <w:sz w:val="18"/>
      </w:rPr>
      <w:tab/>
    </w:r>
    <w:r>
      <w:t>GE.20-10011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CD71" w14:textId="77777777" w:rsidR="00743FBA" w:rsidRPr="00743FBA" w:rsidRDefault="00743FBA" w:rsidP="00743FBA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GE.20-10011</w:t>
    </w:r>
    <w:r>
      <w:tab/>
    </w:r>
    <w:r w:rsidRPr="00743FBA">
      <w:rPr>
        <w:b/>
        <w:sz w:val="18"/>
      </w:rPr>
      <w:fldChar w:fldCharType="begin"/>
    </w:r>
    <w:r w:rsidRPr="00743FBA">
      <w:rPr>
        <w:b/>
        <w:sz w:val="18"/>
      </w:rPr>
      <w:instrText xml:space="preserve"> PAGE  \* MERGEFORMAT </w:instrText>
    </w:r>
    <w:r w:rsidRPr="00743FBA">
      <w:rPr>
        <w:b/>
        <w:sz w:val="18"/>
      </w:rPr>
      <w:fldChar w:fldCharType="separate"/>
    </w:r>
    <w:r w:rsidRPr="00743FBA">
      <w:rPr>
        <w:b/>
        <w:noProof/>
        <w:sz w:val="18"/>
      </w:rPr>
      <w:t>3</w:t>
    </w:r>
    <w:r w:rsidRPr="00743F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9868" w14:textId="77777777" w:rsidR="00042B72" w:rsidRPr="00743FBA" w:rsidRDefault="00743FBA" w:rsidP="00743F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EDC596" wp14:editId="10C1EB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20-10011  (R)</w:t>
    </w:r>
    <w:r w:rsidR="000F1BD3">
      <w:rPr>
        <w:lang w:val="en-US"/>
      </w:rPr>
      <w:t xml:space="preserve">  190820  190820</w:t>
    </w:r>
    <w:r>
      <w:br/>
    </w:r>
    <w:r w:rsidRPr="00743FBA">
      <w:rPr>
        <w:rFonts w:ascii="C39T30Lfz" w:hAnsi="C39T30Lfz"/>
        <w:kern w:val="14"/>
        <w:sz w:val="56"/>
      </w:rPr>
      <w:t></w:t>
    </w:r>
    <w:r w:rsidRPr="00743FBA">
      <w:rPr>
        <w:rFonts w:ascii="C39T30Lfz" w:hAnsi="C39T30Lfz"/>
        <w:kern w:val="14"/>
        <w:sz w:val="56"/>
      </w:rPr>
      <w:t></w:t>
    </w:r>
    <w:r w:rsidRPr="00743FBA">
      <w:rPr>
        <w:rFonts w:ascii="C39T30Lfz" w:hAnsi="C39T30Lfz"/>
        <w:kern w:val="14"/>
        <w:sz w:val="56"/>
      </w:rPr>
      <w:t></w:t>
    </w:r>
    <w:r w:rsidRPr="00743FBA">
      <w:rPr>
        <w:rFonts w:ascii="C39T30Lfz" w:hAnsi="C39T30Lfz"/>
        <w:kern w:val="14"/>
        <w:sz w:val="56"/>
      </w:rPr>
      <w:t></w:t>
    </w:r>
    <w:r w:rsidRPr="00743FBA">
      <w:rPr>
        <w:rFonts w:ascii="C39T30Lfz" w:hAnsi="C39T30Lfz"/>
        <w:kern w:val="14"/>
        <w:sz w:val="56"/>
      </w:rPr>
      <w:t></w:t>
    </w:r>
    <w:r w:rsidRPr="00743FBA">
      <w:rPr>
        <w:rFonts w:ascii="C39T30Lfz" w:hAnsi="C39T30Lfz"/>
        <w:kern w:val="14"/>
        <w:sz w:val="56"/>
      </w:rPr>
      <w:t></w:t>
    </w:r>
    <w:r w:rsidRPr="00743FBA">
      <w:rPr>
        <w:rFonts w:ascii="C39T30Lfz" w:hAnsi="C39T30Lfz"/>
        <w:kern w:val="14"/>
        <w:sz w:val="56"/>
      </w:rPr>
      <w:t></w:t>
    </w:r>
    <w:r w:rsidRPr="00743FBA">
      <w:rPr>
        <w:rFonts w:ascii="C39T30Lfz" w:hAnsi="C39T30Lfz"/>
        <w:kern w:val="14"/>
        <w:sz w:val="56"/>
      </w:rPr>
      <w:t></w:t>
    </w:r>
    <w:r w:rsidRPr="00743F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57DA2C" wp14:editId="40599A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C9A9" w14:textId="77777777" w:rsidR="00272C3E" w:rsidRPr="001075E9" w:rsidRDefault="00272C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D60D4D" w14:textId="77777777" w:rsidR="00272C3E" w:rsidRDefault="00272C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7EB7E1" w14:textId="77777777" w:rsidR="00743FBA" w:rsidRPr="00E8137B" w:rsidRDefault="00743FBA" w:rsidP="00743FBA">
      <w:pPr>
        <w:pStyle w:val="FootnoteText"/>
        <w:rPr>
          <w:sz w:val="16"/>
          <w:szCs w:val="18"/>
        </w:rPr>
      </w:pPr>
      <w:r>
        <w:tab/>
      </w:r>
      <w:r w:rsidRPr="000F1BD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EF05" w14:textId="31875215" w:rsidR="00743FBA" w:rsidRPr="00743FBA" w:rsidRDefault="00194E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A6BF5">
      <w:t>ECE/TRANS/WP.29/GRSG/2020/21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06CE" w14:textId="44F71BC7" w:rsidR="00743FBA" w:rsidRPr="00743FBA" w:rsidRDefault="00194E1A" w:rsidP="00743F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A6BF5">
      <w:t>ECE/TRANS/WP.29/GRSG/2020/21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3E"/>
    <w:rsid w:val="00033EE1"/>
    <w:rsid w:val="00042B72"/>
    <w:rsid w:val="00044713"/>
    <w:rsid w:val="000558BD"/>
    <w:rsid w:val="000B57E7"/>
    <w:rsid w:val="000B6373"/>
    <w:rsid w:val="000C76BE"/>
    <w:rsid w:val="000E4E5B"/>
    <w:rsid w:val="000F09DF"/>
    <w:rsid w:val="000F1BD3"/>
    <w:rsid w:val="000F61B2"/>
    <w:rsid w:val="001075E9"/>
    <w:rsid w:val="0014152F"/>
    <w:rsid w:val="00180183"/>
    <w:rsid w:val="0018024D"/>
    <w:rsid w:val="0018649F"/>
    <w:rsid w:val="00194E1A"/>
    <w:rsid w:val="00196389"/>
    <w:rsid w:val="001B3EF6"/>
    <w:rsid w:val="001C7A89"/>
    <w:rsid w:val="00255343"/>
    <w:rsid w:val="0027151D"/>
    <w:rsid w:val="00272C3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793F"/>
    <w:rsid w:val="004E05B7"/>
    <w:rsid w:val="004E154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FBA"/>
    <w:rsid w:val="00750924"/>
    <w:rsid w:val="00757357"/>
    <w:rsid w:val="00792497"/>
    <w:rsid w:val="007A6BF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830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BC4ED"/>
  <w15:docId w15:val="{129C6D67-A69F-4F17-B010-575BFB5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43FBA"/>
    <w:rPr>
      <w:lang w:val="ru-RU" w:eastAsia="en-US"/>
    </w:rPr>
  </w:style>
  <w:style w:type="character" w:customStyle="1" w:styleId="HChGChar">
    <w:name w:val="_ H _Ch_G Char"/>
    <w:link w:val="HChG"/>
    <w:locked/>
    <w:rsid w:val="00743FB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ECE/TRANS/WP.29/GRSG/2020/21</vt:lpstr>
      <vt:lpstr>A/</vt:lpstr>
      <vt:lpstr>A/</vt:lpstr>
    </vt:vector>
  </TitlesOfParts>
  <Company>DCM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ECE/TRANS/WP.29/GRSG/2020/21</dc:title>
  <dc:subject/>
  <dc:creator>Tatiana SHARKINA</dc:creator>
  <cp:keywords/>
  <cp:lastModifiedBy>Secretariat</cp:lastModifiedBy>
  <cp:revision>2</cp:revision>
  <cp:lastPrinted>2020-08-19T10:04:00Z</cp:lastPrinted>
  <dcterms:created xsi:type="dcterms:W3CDTF">2020-08-25T07:56:00Z</dcterms:created>
  <dcterms:modified xsi:type="dcterms:W3CDTF">2020-08-25T07:56:00Z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