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E317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E3175" w:rsidP="001E3175">
            <w:pPr>
              <w:jc w:val="right"/>
            </w:pPr>
            <w:r w:rsidRPr="001E3175">
              <w:rPr>
                <w:sz w:val="40"/>
              </w:rPr>
              <w:t>ECE</w:t>
            </w:r>
            <w:r>
              <w:t>/TRANS/WP.29/GRSG/2020/19</w:t>
            </w:r>
          </w:p>
        </w:tc>
      </w:tr>
      <w:tr w:rsidR="00F35BAF" w:rsidRPr="00484AE0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84AE0" w:rsidRDefault="00F35BAF" w:rsidP="00C97039">
            <w:pPr>
              <w:spacing w:before="120"/>
              <w:jc w:val="center"/>
            </w:pPr>
            <w:r w:rsidRPr="00484AE0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84AE0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84AE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84AE0" w:rsidRDefault="001E3175" w:rsidP="00C97039">
            <w:pPr>
              <w:spacing w:before="240"/>
            </w:pPr>
            <w:r w:rsidRPr="00484AE0">
              <w:t>Distr. générale</w:t>
            </w:r>
          </w:p>
          <w:p w:rsidR="001E3175" w:rsidRPr="00484AE0" w:rsidRDefault="001E3175" w:rsidP="001E3175">
            <w:pPr>
              <w:spacing w:line="240" w:lineRule="exact"/>
            </w:pPr>
            <w:r w:rsidRPr="00484AE0">
              <w:t>27 juillet 2020</w:t>
            </w:r>
          </w:p>
          <w:p w:rsidR="001E3175" w:rsidRPr="00484AE0" w:rsidRDefault="001E3175" w:rsidP="001E3175">
            <w:pPr>
              <w:spacing w:line="240" w:lineRule="exact"/>
            </w:pPr>
            <w:r w:rsidRPr="00484AE0">
              <w:t>Français</w:t>
            </w:r>
          </w:p>
          <w:p w:rsidR="001E3175" w:rsidRPr="00484AE0" w:rsidRDefault="001E3175" w:rsidP="001E3175">
            <w:pPr>
              <w:spacing w:line="240" w:lineRule="exact"/>
            </w:pPr>
            <w:r w:rsidRPr="00484AE0">
              <w:t>Original : anglais</w:t>
            </w:r>
          </w:p>
        </w:tc>
      </w:tr>
    </w:tbl>
    <w:p w:rsidR="007F20FA" w:rsidRPr="00484AE0" w:rsidRDefault="007F20FA" w:rsidP="007F20FA">
      <w:pPr>
        <w:spacing w:before="120"/>
        <w:rPr>
          <w:b/>
          <w:sz w:val="28"/>
          <w:szCs w:val="28"/>
        </w:rPr>
      </w:pPr>
      <w:r w:rsidRPr="00484AE0">
        <w:rPr>
          <w:b/>
          <w:sz w:val="28"/>
          <w:szCs w:val="28"/>
        </w:rPr>
        <w:t>Commission économique pour l’Europe</w:t>
      </w:r>
    </w:p>
    <w:p w:rsidR="007F20FA" w:rsidRPr="00484AE0" w:rsidRDefault="007F20FA" w:rsidP="007F20FA">
      <w:pPr>
        <w:spacing w:before="120"/>
        <w:rPr>
          <w:sz w:val="28"/>
          <w:szCs w:val="28"/>
        </w:rPr>
      </w:pPr>
      <w:r w:rsidRPr="00484AE0">
        <w:rPr>
          <w:sz w:val="28"/>
          <w:szCs w:val="28"/>
        </w:rPr>
        <w:t>Comité des transports intérieurs</w:t>
      </w:r>
    </w:p>
    <w:p w:rsidR="001E3175" w:rsidRPr="00484AE0" w:rsidRDefault="001E3175" w:rsidP="00AF0CB5">
      <w:pPr>
        <w:spacing w:before="120"/>
        <w:rPr>
          <w:b/>
          <w:sz w:val="24"/>
          <w:szCs w:val="24"/>
        </w:rPr>
      </w:pPr>
      <w:r w:rsidRPr="00484AE0">
        <w:rPr>
          <w:b/>
          <w:sz w:val="24"/>
          <w:szCs w:val="24"/>
        </w:rPr>
        <w:t xml:space="preserve">Forum mondial de l’harmonisation </w:t>
      </w:r>
      <w:r w:rsidRPr="00484AE0">
        <w:rPr>
          <w:b/>
          <w:sz w:val="24"/>
          <w:szCs w:val="24"/>
        </w:rPr>
        <w:br/>
        <w:t>des Règlements concernant les véhicules</w:t>
      </w:r>
    </w:p>
    <w:p w:rsidR="001E3175" w:rsidRPr="00484AE0" w:rsidRDefault="001E3175" w:rsidP="00257168">
      <w:pPr>
        <w:spacing w:before="120" w:after="120" w:line="240" w:lineRule="exact"/>
        <w:rPr>
          <w:b/>
        </w:rPr>
      </w:pPr>
      <w:r w:rsidRPr="00484AE0">
        <w:rPr>
          <w:b/>
        </w:rPr>
        <w:t>Groupe de travail des dispositions générales de sécurité</w:t>
      </w:r>
    </w:p>
    <w:p w:rsidR="001E3175" w:rsidRPr="00484AE0" w:rsidRDefault="001E3175" w:rsidP="00257168">
      <w:pPr>
        <w:spacing w:before="120" w:line="240" w:lineRule="exact"/>
        <w:rPr>
          <w:b/>
        </w:rPr>
      </w:pPr>
      <w:r w:rsidRPr="00484AE0">
        <w:rPr>
          <w:b/>
        </w:rPr>
        <w:t>119</w:t>
      </w:r>
      <w:r w:rsidRPr="00484AE0">
        <w:rPr>
          <w:b/>
          <w:vertAlign w:val="superscript"/>
        </w:rPr>
        <w:t>e</w:t>
      </w:r>
      <w:r w:rsidRPr="00484AE0">
        <w:rPr>
          <w:b/>
        </w:rPr>
        <w:t> session</w:t>
      </w:r>
    </w:p>
    <w:p w:rsidR="001E3175" w:rsidRPr="00484AE0" w:rsidRDefault="001E3175" w:rsidP="00257168">
      <w:pPr>
        <w:spacing w:line="240" w:lineRule="exact"/>
      </w:pPr>
      <w:r w:rsidRPr="00484AE0">
        <w:t>Genève, 6-9 octobre 2020</w:t>
      </w:r>
    </w:p>
    <w:p w:rsidR="001E3175" w:rsidRPr="00484AE0" w:rsidRDefault="001E3175" w:rsidP="00257168">
      <w:pPr>
        <w:spacing w:line="240" w:lineRule="exact"/>
      </w:pPr>
      <w:r w:rsidRPr="00484AE0">
        <w:t>Point 2 a) de l’ordre du jour provisoire</w:t>
      </w:r>
    </w:p>
    <w:p w:rsidR="00E31834" w:rsidRPr="00484AE0" w:rsidRDefault="00E31834" w:rsidP="00E31834">
      <w:pPr>
        <w:rPr>
          <w:b/>
          <w:lang w:val="fr-FR"/>
        </w:rPr>
      </w:pPr>
      <w:r w:rsidRPr="00484AE0">
        <w:rPr>
          <w:b/>
          <w:bCs/>
          <w:lang w:val="fr-FR"/>
        </w:rPr>
        <w:t>Amendements aux Règlements sur les autobus et les autocars :</w:t>
      </w:r>
      <w:r w:rsidRPr="00484AE0">
        <w:rPr>
          <w:b/>
          <w:lang w:val="fr-FR"/>
        </w:rPr>
        <w:t xml:space="preserve"> </w:t>
      </w:r>
      <w:r w:rsidRPr="00484AE0">
        <w:rPr>
          <w:b/>
          <w:lang w:val="fr-FR"/>
        </w:rPr>
        <w:br/>
      </w:r>
      <w:r w:rsidRPr="00484AE0">
        <w:rPr>
          <w:b/>
          <w:bCs/>
          <w:lang w:val="fr-FR"/>
        </w:rPr>
        <w:t>Règlement ONU n</w:t>
      </w:r>
      <w:r w:rsidRPr="00484AE0">
        <w:rPr>
          <w:b/>
          <w:bCs/>
          <w:vertAlign w:val="superscript"/>
          <w:lang w:val="fr-FR"/>
        </w:rPr>
        <w:t>o</w:t>
      </w:r>
      <w:r w:rsidRPr="00484AE0">
        <w:rPr>
          <w:b/>
          <w:bCs/>
          <w:lang w:val="fr-FR"/>
        </w:rPr>
        <w:t> 107 (Véhicules des catégories M</w:t>
      </w:r>
      <w:r w:rsidRPr="00484AE0">
        <w:rPr>
          <w:b/>
          <w:bCs/>
          <w:vertAlign w:val="subscript"/>
          <w:lang w:val="fr-FR"/>
        </w:rPr>
        <w:t>2</w:t>
      </w:r>
      <w:r w:rsidRPr="00484AE0">
        <w:rPr>
          <w:b/>
          <w:bCs/>
          <w:lang w:val="fr-FR"/>
        </w:rPr>
        <w:t xml:space="preserve"> et M</w:t>
      </w:r>
      <w:r w:rsidRPr="00484AE0">
        <w:rPr>
          <w:b/>
          <w:bCs/>
          <w:vertAlign w:val="subscript"/>
          <w:lang w:val="fr-FR"/>
        </w:rPr>
        <w:t>3</w:t>
      </w:r>
      <w:r w:rsidRPr="00484AE0">
        <w:rPr>
          <w:b/>
          <w:bCs/>
          <w:lang w:val="fr-FR"/>
        </w:rPr>
        <w:t>)</w:t>
      </w:r>
    </w:p>
    <w:p w:rsidR="00E31834" w:rsidRPr="00484AE0" w:rsidRDefault="00E31834" w:rsidP="00E31834">
      <w:pPr>
        <w:pStyle w:val="HChG"/>
        <w:rPr>
          <w:lang w:val="fr-FR"/>
        </w:rPr>
      </w:pPr>
      <w:r w:rsidRPr="00484AE0">
        <w:rPr>
          <w:lang w:val="fr-FR"/>
        </w:rPr>
        <w:tab/>
      </w:r>
      <w:r w:rsidRPr="00484AE0">
        <w:rPr>
          <w:lang w:val="fr-FR"/>
        </w:rPr>
        <w:tab/>
        <w:t>Proposition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de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série 09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d’amendements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au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Règlement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ONU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n</w:t>
      </w:r>
      <w:r w:rsidRPr="00484AE0">
        <w:rPr>
          <w:vertAlign w:val="superscript"/>
          <w:lang w:val="fr-FR"/>
        </w:rPr>
        <w:t>o</w:t>
      </w:r>
      <w:r w:rsidRPr="00484AE0">
        <w:rPr>
          <w:lang w:val="fr-FR"/>
        </w:rPr>
        <w:t> 107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(Véhicules</w:t>
      </w:r>
      <w:bookmarkStart w:id="1" w:name="_Hlk47163496"/>
      <w:r w:rsidR="00180CD2">
        <w:rPr>
          <w:lang w:val="fr-FR"/>
        </w:rPr>
        <w:t xml:space="preserve"> </w:t>
      </w:r>
      <w:r w:rsidRPr="00484AE0">
        <w:rPr>
          <w:lang w:val="fr-FR"/>
        </w:rPr>
        <w:t>des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catégories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M</w:t>
      </w:r>
      <w:r w:rsidRPr="00484AE0">
        <w:rPr>
          <w:vertAlign w:val="subscript"/>
          <w:lang w:val="fr-FR"/>
        </w:rPr>
        <w:t>2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et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M</w:t>
      </w:r>
      <w:r w:rsidRPr="00484AE0">
        <w:rPr>
          <w:vertAlign w:val="subscript"/>
          <w:lang w:val="fr-FR"/>
        </w:rPr>
        <w:t>3</w:t>
      </w:r>
      <w:bookmarkEnd w:id="1"/>
      <w:r w:rsidRPr="00484AE0">
        <w:rPr>
          <w:lang w:val="fr-FR"/>
        </w:rPr>
        <w:t>)</w:t>
      </w:r>
    </w:p>
    <w:p w:rsidR="00E31834" w:rsidRPr="00180CD2" w:rsidRDefault="00E31834" w:rsidP="00E31834">
      <w:pPr>
        <w:pStyle w:val="H1G"/>
        <w:rPr>
          <w:b w:val="0"/>
          <w:bCs/>
          <w:lang w:val="fr-FR"/>
        </w:rPr>
      </w:pPr>
      <w:r w:rsidRPr="00484AE0">
        <w:rPr>
          <w:bCs/>
          <w:lang w:val="fr-FR"/>
        </w:rPr>
        <w:tab/>
      </w:r>
      <w:r w:rsidRPr="00484AE0">
        <w:rPr>
          <w:bCs/>
          <w:lang w:val="fr-FR"/>
        </w:rPr>
        <w:tab/>
        <w:t>Communication</w:t>
      </w:r>
      <w:r w:rsidR="00180CD2">
        <w:rPr>
          <w:bCs/>
          <w:lang w:val="fr-FR"/>
        </w:rPr>
        <w:t xml:space="preserve"> </w:t>
      </w:r>
      <w:r w:rsidRPr="00484AE0">
        <w:rPr>
          <w:lang w:val="fr-FR"/>
        </w:rPr>
        <w:t>des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experts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du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groupe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de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travail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informel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du</w:t>
      </w:r>
      <w:r w:rsidR="00180CD2">
        <w:rPr>
          <w:lang w:val="fr-FR"/>
        </w:rPr>
        <w:t> </w:t>
      </w:r>
      <w:r w:rsidRPr="00484AE0">
        <w:rPr>
          <w:lang w:val="fr-FR"/>
        </w:rPr>
        <w:t>comportement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des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véhicules</w:t>
      </w:r>
      <w:bookmarkStart w:id="2" w:name="_Hlk47163622"/>
      <w:r w:rsidR="00180CD2">
        <w:rPr>
          <w:lang w:val="fr-FR"/>
        </w:rPr>
        <w:t xml:space="preserve"> </w:t>
      </w:r>
      <w:r w:rsidRPr="00484AE0">
        <w:rPr>
          <w:bCs/>
          <w:lang w:val="fr-FR"/>
        </w:rPr>
        <w:t>des</w:t>
      </w:r>
      <w:r w:rsidR="00180CD2">
        <w:rPr>
          <w:bCs/>
          <w:lang w:val="fr-FR"/>
        </w:rPr>
        <w:t xml:space="preserve"> </w:t>
      </w:r>
      <w:r w:rsidRPr="00484AE0">
        <w:rPr>
          <w:bCs/>
          <w:lang w:val="fr-FR"/>
        </w:rPr>
        <w:t>catégories</w:t>
      </w:r>
      <w:r w:rsidR="00180CD2">
        <w:rPr>
          <w:bCs/>
          <w:lang w:val="fr-FR"/>
        </w:rPr>
        <w:t xml:space="preserve"> </w:t>
      </w:r>
      <w:r w:rsidRPr="00484AE0">
        <w:rPr>
          <w:bCs/>
          <w:lang w:val="fr-FR"/>
        </w:rPr>
        <w:t>M</w:t>
      </w:r>
      <w:r w:rsidRPr="00484AE0">
        <w:rPr>
          <w:bCs/>
          <w:vertAlign w:val="subscript"/>
          <w:lang w:val="fr-FR"/>
        </w:rPr>
        <w:t>2</w:t>
      </w:r>
      <w:r w:rsidR="00180CD2">
        <w:rPr>
          <w:bCs/>
          <w:lang w:val="fr-FR"/>
        </w:rPr>
        <w:t xml:space="preserve"> </w:t>
      </w:r>
      <w:r w:rsidRPr="00484AE0">
        <w:rPr>
          <w:bCs/>
          <w:lang w:val="fr-FR"/>
        </w:rPr>
        <w:t>et</w:t>
      </w:r>
      <w:r w:rsidR="00180CD2">
        <w:rPr>
          <w:bCs/>
          <w:lang w:val="fr-FR"/>
        </w:rPr>
        <w:t xml:space="preserve"> </w:t>
      </w:r>
      <w:r w:rsidRPr="00484AE0">
        <w:rPr>
          <w:bCs/>
          <w:lang w:val="fr-FR"/>
        </w:rPr>
        <w:t>M</w:t>
      </w:r>
      <w:r w:rsidRPr="00484AE0">
        <w:rPr>
          <w:bCs/>
          <w:vertAlign w:val="subscript"/>
          <w:lang w:val="fr-FR"/>
        </w:rPr>
        <w:t>3</w:t>
      </w:r>
      <w:bookmarkEnd w:id="2"/>
      <w:r w:rsidR="00180CD2">
        <w:rPr>
          <w:bCs/>
          <w:vertAlign w:val="subscript"/>
          <w:lang w:val="fr-FR"/>
        </w:rPr>
        <w:t xml:space="preserve"> </w:t>
      </w:r>
      <w:r w:rsidR="008D4D39" w:rsidRPr="00484AE0">
        <w:rPr>
          <w:bCs/>
          <w:vertAlign w:val="subscript"/>
          <w:lang w:val="fr-FR"/>
        </w:rPr>
        <w:br/>
      </w:r>
      <w:r w:rsidRPr="00484AE0">
        <w:rPr>
          <w:lang w:val="fr-FR"/>
        </w:rPr>
        <w:t>en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cas</w:t>
      </w:r>
      <w:r w:rsidR="00180CD2">
        <w:rPr>
          <w:lang w:val="fr-FR"/>
        </w:rPr>
        <w:t xml:space="preserve"> </w:t>
      </w:r>
      <w:r w:rsidRPr="00484AE0">
        <w:rPr>
          <w:lang w:val="fr-FR"/>
        </w:rPr>
        <w:t>d’incendie</w:t>
      </w:r>
      <w:r w:rsidR="00180CD2" w:rsidRPr="00180CD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F9573C" w:rsidRDefault="00E31834" w:rsidP="00E31834">
      <w:pPr>
        <w:pStyle w:val="SingleTxtG"/>
        <w:ind w:firstLine="567"/>
        <w:rPr>
          <w:lang w:val="fr-FR"/>
        </w:rPr>
      </w:pPr>
      <w:r w:rsidRPr="00484AE0">
        <w:rPr>
          <w:lang w:val="fr-FR"/>
        </w:rPr>
        <w:footnoteReference w:customMarkFollows="1" w:id="3"/>
        <w:t xml:space="preserve">Le texte reproduit ci-après a été établi par le groupe </w:t>
      </w:r>
      <w:bookmarkStart w:id="3" w:name="_Hlk47205964"/>
      <w:r w:rsidRPr="00484AE0">
        <w:rPr>
          <w:lang w:val="fr-FR"/>
        </w:rPr>
        <w:t xml:space="preserve">de travail informel du comportement des véhicules </w:t>
      </w:r>
      <w:r w:rsidRPr="00484AE0">
        <w:rPr>
          <w:bCs/>
          <w:lang w:val="fr-FR"/>
        </w:rPr>
        <w:t>des catégories M</w:t>
      </w:r>
      <w:r w:rsidRPr="00484AE0">
        <w:rPr>
          <w:bCs/>
          <w:vertAlign w:val="subscript"/>
          <w:lang w:val="fr-FR"/>
        </w:rPr>
        <w:t>2</w:t>
      </w:r>
      <w:r w:rsidRPr="00484AE0">
        <w:rPr>
          <w:bCs/>
          <w:lang w:val="fr-FR"/>
        </w:rPr>
        <w:t xml:space="preserve"> et M</w:t>
      </w:r>
      <w:r w:rsidRPr="00484AE0">
        <w:rPr>
          <w:bCs/>
          <w:vertAlign w:val="subscript"/>
          <w:lang w:val="fr-FR"/>
        </w:rPr>
        <w:t xml:space="preserve">3 </w:t>
      </w:r>
      <w:r w:rsidRPr="00484AE0">
        <w:rPr>
          <w:lang w:val="fr-FR"/>
        </w:rPr>
        <w:t xml:space="preserve">en cas d’incendie, </w:t>
      </w:r>
      <w:bookmarkEnd w:id="3"/>
      <w:r w:rsidRPr="00484AE0">
        <w:rPr>
          <w:lang w:val="fr-FR"/>
        </w:rPr>
        <w:t xml:space="preserve">chargé d’évaluer l’opportunité d’apporter une ou plusieurs modifications réglementaires visant à accroître la sûreté des véhicules </w:t>
      </w:r>
      <w:r w:rsidRPr="00484AE0">
        <w:rPr>
          <w:bCs/>
          <w:lang w:val="fr-FR"/>
        </w:rPr>
        <w:t>des catégories M</w:t>
      </w:r>
      <w:r w:rsidRPr="00484AE0">
        <w:rPr>
          <w:bCs/>
          <w:vertAlign w:val="subscript"/>
          <w:lang w:val="fr-FR"/>
        </w:rPr>
        <w:t>2</w:t>
      </w:r>
      <w:r w:rsidRPr="00484AE0">
        <w:rPr>
          <w:bCs/>
          <w:lang w:val="fr-FR"/>
        </w:rPr>
        <w:t xml:space="preserve"> et M</w:t>
      </w:r>
      <w:r w:rsidRPr="00484AE0">
        <w:rPr>
          <w:bCs/>
          <w:vertAlign w:val="subscript"/>
          <w:lang w:val="fr-FR"/>
        </w:rPr>
        <w:t>3</w:t>
      </w:r>
      <w:r w:rsidRPr="00484AE0">
        <w:rPr>
          <w:bCs/>
          <w:lang w:val="fr-FR"/>
        </w:rPr>
        <w:t xml:space="preserve"> </w:t>
      </w:r>
      <w:r w:rsidRPr="00484AE0">
        <w:rPr>
          <w:lang w:val="fr-FR"/>
        </w:rPr>
        <w:t>en cas d’incendie en améliorant leurs caractéristiques générales de construction en abrégeant leur évacuation et de mettre au point ces modifications. Il est fondé sur le document informel GRSG-118-02, soumis à la 118</w:t>
      </w:r>
      <w:r w:rsidRPr="00484AE0">
        <w:rPr>
          <w:vertAlign w:val="superscript"/>
          <w:lang w:val="fr-FR"/>
        </w:rPr>
        <w:t>e</w:t>
      </w:r>
      <w:r w:rsidRPr="00484AE0">
        <w:rPr>
          <w:lang w:val="fr-FR"/>
        </w:rPr>
        <w:t> session du Groupe de travail des dispositions générales de sécurité (GRSG) (voir rapport ECE/TRANS/WP.29/GRSG/97, par. XX). Les modifications qu’il est proposé d’apporter au texte actuel du Règlement ONU n</w:t>
      </w:r>
      <w:r w:rsidRPr="00484AE0">
        <w:rPr>
          <w:vertAlign w:val="superscript"/>
          <w:lang w:val="fr-FR"/>
        </w:rPr>
        <w:t>o</w:t>
      </w:r>
      <w:r w:rsidRPr="00484AE0">
        <w:rPr>
          <w:lang w:val="fr-FR"/>
        </w:rPr>
        <w:t> 107 sont indiquées en caractères gras pour les ajouts et biffés pour les suppressions.</w:t>
      </w:r>
    </w:p>
    <w:p w:rsidR="008D4D39" w:rsidRPr="00205A8A" w:rsidRDefault="008D4D39" w:rsidP="008D4D39">
      <w:pPr>
        <w:pStyle w:val="HChG"/>
        <w:rPr>
          <w:szCs w:val="28"/>
          <w:lang w:val="fr-FR"/>
        </w:rPr>
      </w:pPr>
      <w:r>
        <w:rPr>
          <w:lang w:val="fr-FR"/>
        </w:rPr>
        <w:br w:type="page"/>
      </w:r>
      <w:r w:rsidRPr="00205A8A">
        <w:rPr>
          <w:szCs w:val="28"/>
          <w:lang w:val="fr-FR"/>
        </w:rPr>
        <w:lastRenderedPageBreak/>
        <w:tab/>
        <w:t>I.</w:t>
      </w:r>
      <w:r w:rsidRPr="00205A8A">
        <w:rPr>
          <w:szCs w:val="28"/>
          <w:lang w:val="fr-FR"/>
        </w:rPr>
        <w:tab/>
      </w:r>
      <w:r w:rsidRPr="00205A8A">
        <w:rPr>
          <w:lang w:val="fr-FR"/>
        </w:rPr>
        <w:t>Proposition</w:t>
      </w:r>
    </w:p>
    <w:p w:rsidR="008D4D39" w:rsidRDefault="008D4D39" w:rsidP="008D4D39">
      <w:pPr>
        <w:pStyle w:val="SingleTxtG"/>
        <w:rPr>
          <w:i/>
          <w:iCs/>
          <w:lang w:val="fr-FR"/>
        </w:rPr>
      </w:pPr>
      <w:r w:rsidRPr="00205A8A">
        <w:rPr>
          <w:i/>
          <w:iCs/>
          <w:lang w:val="fr-FR"/>
        </w:rPr>
        <w:t>Insérer les nouveaux paragraphes</w:t>
      </w:r>
      <w:r>
        <w:rPr>
          <w:i/>
          <w:iCs/>
          <w:lang w:val="fr-FR"/>
        </w:rPr>
        <w:t> </w:t>
      </w:r>
      <w:r w:rsidRPr="00205A8A">
        <w:rPr>
          <w:i/>
          <w:iCs/>
          <w:lang w:val="fr-FR"/>
        </w:rPr>
        <w:t>10.25 à 10.2.</w:t>
      </w:r>
      <w:r w:rsidRPr="008D4D39">
        <w:rPr>
          <w:lang w:val="fr-FR"/>
        </w:rPr>
        <w:t xml:space="preserve">, </w:t>
      </w:r>
      <w:r w:rsidRPr="008A1518">
        <w:rPr>
          <w:lang w:val="fr-FR"/>
        </w:rPr>
        <w:t>libellé</w:t>
      </w:r>
      <w:r>
        <w:rPr>
          <w:lang w:val="fr-FR"/>
        </w:rPr>
        <w:t>s</w:t>
      </w:r>
      <w:r w:rsidRPr="008A1518">
        <w:rPr>
          <w:lang w:val="fr-FR"/>
        </w:rPr>
        <w:t xml:space="preserve"> comme suit</w:t>
      </w:r>
      <w:r>
        <w:rPr>
          <w:lang w:val="fr-FR"/>
        </w:rPr>
        <w:t> :</w:t>
      </w:r>
    </w:p>
    <w:p w:rsidR="008D4D39" w:rsidRPr="00132012" w:rsidRDefault="008D4D39" w:rsidP="008D4D39">
      <w:pPr>
        <w:pStyle w:val="SingleTxtG"/>
        <w:ind w:left="2268" w:hanging="1134"/>
        <w:rPr>
          <w:i/>
          <w:iCs/>
          <w:lang w:val="fr-FR"/>
        </w:rPr>
      </w:pPr>
      <w:r w:rsidRPr="00132012">
        <w:rPr>
          <w:lang w:val="fr-FR"/>
        </w:rPr>
        <w:t>« </w:t>
      </w:r>
      <w:r w:rsidRPr="00132012">
        <w:rPr>
          <w:b/>
          <w:bCs/>
          <w:lang w:val="fr-FR"/>
        </w:rPr>
        <w:t>10.25</w:t>
      </w:r>
      <w:r w:rsidRPr="00132012">
        <w:rPr>
          <w:b/>
          <w:bCs/>
          <w:lang w:val="fr-FR"/>
        </w:rPr>
        <w:tab/>
        <w:t>À compter de la date officielle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entrée en vigueur de la série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>09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amendements, aucune Partie contractante appliquant le présent Règlement ne pourra refuser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accorder ou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accepter une homologation de type en vertu dudit Règlement tel que modifié par la série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>09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amendements.</w:t>
      </w:r>
    </w:p>
    <w:p w:rsidR="008D4D39" w:rsidRPr="00132012" w:rsidRDefault="008D4D39" w:rsidP="008D4D39">
      <w:pPr>
        <w:pStyle w:val="SingleTxtG"/>
        <w:ind w:left="2268" w:hanging="1134"/>
        <w:rPr>
          <w:b/>
          <w:bCs/>
          <w:lang w:val="fr-FR"/>
        </w:rPr>
      </w:pPr>
      <w:r w:rsidRPr="00132012">
        <w:rPr>
          <w:b/>
          <w:bCs/>
          <w:lang w:val="fr-FR"/>
        </w:rPr>
        <w:t>10.26</w:t>
      </w:r>
      <w:r w:rsidRPr="00132012">
        <w:rPr>
          <w:b/>
          <w:bCs/>
          <w:lang w:val="fr-FR"/>
        </w:rPr>
        <w:tab/>
        <w:t>À compter du 1</w:t>
      </w:r>
      <w:r w:rsidRPr="0013201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 xml:space="preserve">septembre </w:t>
      </w:r>
      <w:r w:rsidRPr="00B477C3">
        <w:rPr>
          <w:b/>
          <w:bCs/>
        </w:rPr>
        <w:t>[2022]</w:t>
      </w:r>
      <w:r w:rsidRPr="00132012">
        <w:rPr>
          <w:b/>
          <w:bCs/>
          <w:lang w:val="fr-FR"/>
        </w:rPr>
        <w:t>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amendements et délivrées pour la première fois après le 1</w:t>
      </w:r>
      <w:r w:rsidRPr="0013201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 xml:space="preserve">septembre </w:t>
      </w:r>
      <w:r w:rsidRPr="00B477C3">
        <w:rPr>
          <w:b/>
          <w:bCs/>
        </w:rPr>
        <w:t>[2022]</w:t>
      </w:r>
      <w:r w:rsidRPr="00132012">
        <w:rPr>
          <w:b/>
          <w:bCs/>
          <w:lang w:val="fr-FR"/>
        </w:rPr>
        <w:t>.</w:t>
      </w:r>
    </w:p>
    <w:p w:rsidR="008D4D39" w:rsidRPr="00132012" w:rsidRDefault="008D4D39" w:rsidP="008D4D39">
      <w:pPr>
        <w:pStyle w:val="SingleTxtG"/>
        <w:ind w:left="2268" w:hanging="1134"/>
        <w:rPr>
          <w:b/>
          <w:bCs/>
          <w:lang w:val="fr-FR"/>
        </w:rPr>
      </w:pPr>
      <w:r w:rsidRPr="00132012">
        <w:rPr>
          <w:b/>
          <w:bCs/>
          <w:lang w:val="fr-FR"/>
        </w:rPr>
        <w:t>10.27</w:t>
      </w:r>
      <w:r w:rsidRPr="00132012">
        <w:rPr>
          <w:b/>
          <w:bCs/>
          <w:lang w:val="fr-FR"/>
        </w:rPr>
        <w:tab/>
        <w:t>Jusqu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au 1</w:t>
      </w:r>
      <w:r w:rsidRPr="0013201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 xml:space="preserve">septembre </w:t>
      </w:r>
      <w:r w:rsidRPr="00B477C3">
        <w:rPr>
          <w:b/>
          <w:bCs/>
        </w:rPr>
        <w:t>[202</w:t>
      </w:r>
      <w:r>
        <w:rPr>
          <w:b/>
          <w:bCs/>
        </w:rPr>
        <w:t>4</w:t>
      </w:r>
      <w:r w:rsidRPr="00B477C3">
        <w:rPr>
          <w:b/>
          <w:bCs/>
        </w:rPr>
        <w:t>]</w:t>
      </w:r>
      <w:r w:rsidRPr="00132012">
        <w:rPr>
          <w:b/>
          <w:bCs/>
          <w:lang w:val="fr-FR"/>
        </w:rPr>
        <w:t>, les Parties contractantes appliquant le présent Règlement seront tenues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amendements, délivrées pour la première fois avant le 1</w:t>
      </w:r>
      <w:r w:rsidRPr="0013201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 xml:space="preserve">septembre </w:t>
      </w:r>
      <w:r w:rsidRPr="00B477C3">
        <w:rPr>
          <w:b/>
          <w:bCs/>
        </w:rPr>
        <w:t>[2022]</w:t>
      </w:r>
      <w:r w:rsidRPr="00132012">
        <w:rPr>
          <w:b/>
          <w:bCs/>
          <w:lang w:val="fr-FR"/>
        </w:rPr>
        <w:t>.</w:t>
      </w:r>
    </w:p>
    <w:p w:rsidR="008D4D39" w:rsidRPr="00132012" w:rsidRDefault="008D4D39" w:rsidP="008D4D39">
      <w:pPr>
        <w:pStyle w:val="SingleTxtG"/>
        <w:ind w:left="2268" w:hanging="1134"/>
        <w:rPr>
          <w:b/>
          <w:bCs/>
          <w:lang w:val="fr-FR"/>
        </w:rPr>
      </w:pPr>
      <w:r w:rsidRPr="00132012">
        <w:rPr>
          <w:b/>
          <w:bCs/>
          <w:lang w:val="fr-FR"/>
        </w:rPr>
        <w:t>10.28</w:t>
      </w:r>
      <w:r w:rsidRPr="00132012">
        <w:rPr>
          <w:b/>
          <w:bCs/>
          <w:lang w:val="fr-FR"/>
        </w:rPr>
        <w:tab/>
        <w:t>À compter du 1</w:t>
      </w:r>
      <w:r w:rsidRPr="00132012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32012">
        <w:rPr>
          <w:b/>
          <w:bCs/>
          <w:lang w:val="fr-FR"/>
        </w:rPr>
        <w:t xml:space="preserve">septembre </w:t>
      </w:r>
      <w:r w:rsidRPr="00B477C3">
        <w:rPr>
          <w:b/>
          <w:bCs/>
        </w:rPr>
        <w:t>[202</w:t>
      </w:r>
      <w:r>
        <w:rPr>
          <w:b/>
          <w:bCs/>
        </w:rPr>
        <w:t>4</w:t>
      </w:r>
      <w:r w:rsidRPr="00B477C3">
        <w:rPr>
          <w:b/>
          <w:bCs/>
        </w:rPr>
        <w:t>]</w:t>
      </w:r>
      <w:r w:rsidRPr="00132012">
        <w:rPr>
          <w:b/>
          <w:bCs/>
          <w:lang w:val="fr-FR"/>
        </w:rPr>
        <w:t>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accepter les homologations de type délivrées au titre des précédentes séries d</w:t>
      </w:r>
      <w:r>
        <w:rPr>
          <w:b/>
          <w:bCs/>
          <w:lang w:val="fr-FR"/>
        </w:rPr>
        <w:t>’</w:t>
      </w:r>
      <w:r w:rsidRPr="00132012">
        <w:rPr>
          <w:b/>
          <w:bCs/>
          <w:lang w:val="fr-FR"/>
        </w:rPr>
        <w:t>amendements audit Règlement.</w:t>
      </w:r>
      <w:r w:rsidRPr="00132012">
        <w:rPr>
          <w:lang w:val="fr-FR"/>
        </w:rPr>
        <w:t> ».</w:t>
      </w:r>
    </w:p>
    <w:p w:rsidR="008D4D39" w:rsidRPr="00205A8A" w:rsidRDefault="008D4D39" w:rsidP="008D4D39">
      <w:pPr>
        <w:pStyle w:val="SingleTxtG"/>
        <w:rPr>
          <w:i/>
          <w:lang w:val="fr-FR"/>
        </w:rPr>
      </w:pPr>
      <w:r w:rsidRPr="00205A8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1, partie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1, appendice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1</w:t>
      </w:r>
      <w:r w:rsidRPr="000100E0">
        <w:rPr>
          <w:i/>
          <w:lang w:val="fr-FR"/>
        </w:rPr>
        <w:t>, ajouter un nouveau paragraphe</w:t>
      </w:r>
      <w:r>
        <w:rPr>
          <w:i/>
          <w:lang w:val="fr-FR"/>
        </w:rPr>
        <w:t> </w:t>
      </w:r>
      <w:r w:rsidRPr="000100E0">
        <w:rPr>
          <w:i/>
          <w:lang w:val="fr-FR"/>
        </w:rPr>
        <w:t>4.4</w:t>
      </w:r>
      <w:bookmarkStart w:id="4" w:name="_Hlk47165502"/>
      <w:r w:rsidRPr="000100E0">
        <w:rPr>
          <w:i/>
          <w:lang w:val="fr-FR"/>
        </w:rPr>
        <w:t>,</w:t>
      </w:r>
      <w:r>
        <w:rPr>
          <w:lang w:val="fr-FR"/>
        </w:rPr>
        <w:t xml:space="preserve"> libellé comme suit :</w:t>
      </w:r>
      <w:bookmarkEnd w:id="4"/>
    </w:p>
    <w:p w:rsidR="008D4D39" w:rsidRPr="00FD2764" w:rsidRDefault="008D4D39" w:rsidP="008D4D39">
      <w:pPr>
        <w:pStyle w:val="SingleTxtG"/>
        <w:ind w:left="2268" w:hanging="1134"/>
        <w:rPr>
          <w:bCs/>
          <w:iCs/>
          <w:lang w:val="fr-FR"/>
        </w:rPr>
      </w:pPr>
      <w:bookmarkStart w:id="5" w:name="_Hlk33794674"/>
      <w:r>
        <w:rPr>
          <w:bCs/>
          <w:iCs/>
          <w:lang w:val="fr-FR"/>
        </w:rPr>
        <w:t>« </w:t>
      </w:r>
      <w:r w:rsidRPr="00205A8A">
        <w:rPr>
          <w:b/>
          <w:iCs/>
          <w:lang w:val="fr-FR"/>
        </w:rPr>
        <w:t>4.4</w:t>
      </w:r>
      <w:r w:rsidRPr="00205A8A">
        <w:rPr>
          <w:b/>
          <w:iCs/>
          <w:lang w:val="fr-FR"/>
        </w:rPr>
        <w:tab/>
        <w:t>Température de référence pour le système de détection (</w:t>
      </w:r>
      <w:r>
        <w:rPr>
          <w:b/>
          <w:iCs/>
          <w:lang w:val="fr-FR"/>
        </w:rPr>
        <w:t xml:space="preserve">conformément au </w:t>
      </w:r>
      <w:r w:rsidRPr="00205A8A">
        <w:rPr>
          <w:b/>
          <w:iCs/>
          <w:lang w:val="fr-FR"/>
        </w:rPr>
        <w:t>paragraphe</w:t>
      </w:r>
      <w:r>
        <w:rPr>
          <w:b/>
          <w:iCs/>
          <w:lang w:val="fr-FR"/>
        </w:rPr>
        <w:t> </w:t>
      </w:r>
      <w:r w:rsidRPr="00205A8A">
        <w:rPr>
          <w:b/>
          <w:iCs/>
          <w:lang w:val="fr-FR"/>
        </w:rPr>
        <w:t>7.5.1.5.1)</w:t>
      </w:r>
      <w:bookmarkEnd w:id="5"/>
      <w:r>
        <w:rPr>
          <w:b/>
          <w:iCs/>
          <w:lang w:val="fr-FR"/>
        </w:rPr>
        <w:t> :</w:t>
      </w:r>
      <w:r w:rsidRPr="00205A8A">
        <w:rPr>
          <w:b/>
          <w:iCs/>
          <w:lang w:val="fr-FR"/>
        </w:rPr>
        <w:t xml:space="preserve"> ...</w:t>
      </w:r>
      <w:r>
        <w:rPr>
          <w:bCs/>
          <w:iCs/>
          <w:lang w:val="fr-FR"/>
        </w:rPr>
        <w:t> ».</w:t>
      </w:r>
    </w:p>
    <w:p w:rsidR="008D4D39" w:rsidRPr="00205A8A" w:rsidRDefault="008D4D39" w:rsidP="008D4D39">
      <w:pPr>
        <w:pStyle w:val="SingleTxtG"/>
        <w:rPr>
          <w:lang w:val="fr-FR"/>
        </w:rPr>
      </w:pPr>
      <w:r w:rsidRPr="00205A8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1, partie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1, appendice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 xml:space="preserve">3, </w:t>
      </w:r>
      <w:r w:rsidRPr="000100E0">
        <w:rPr>
          <w:i/>
          <w:iCs/>
          <w:lang w:val="fr-FR"/>
        </w:rPr>
        <w:t>ajouter un nouveau paragraphe</w:t>
      </w:r>
      <w:r>
        <w:rPr>
          <w:i/>
          <w:iCs/>
          <w:lang w:val="fr-FR"/>
        </w:rPr>
        <w:t> </w:t>
      </w:r>
      <w:r w:rsidRPr="000100E0">
        <w:rPr>
          <w:i/>
          <w:iCs/>
          <w:lang w:val="fr-FR"/>
        </w:rPr>
        <w:t>5,</w:t>
      </w:r>
      <w:r>
        <w:rPr>
          <w:lang w:val="fr-FR"/>
        </w:rPr>
        <w:t xml:space="preserve"> libellé comme suit :</w:t>
      </w:r>
    </w:p>
    <w:p w:rsidR="008D4D39" w:rsidRPr="008D4D39" w:rsidRDefault="008D4D39" w:rsidP="008D4D39">
      <w:pPr>
        <w:pStyle w:val="SingleTxtG"/>
        <w:ind w:left="2268" w:hanging="1134"/>
        <w:rPr>
          <w:bCs/>
          <w:iCs/>
          <w:lang w:val="fr-FR"/>
        </w:rPr>
      </w:pPr>
      <w:r>
        <w:rPr>
          <w:bCs/>
          <w:iCs/>
          <w:lang w:val="fr-FR"/>
        </w:rPr>
        <w:t>« </w:t>
      </w:r>
      <w:r w:rsidRPr="00205A8A">
        <w:rPr>
          <w:b/>
          <w:iCs/>
          <w:lang w:val="fr-FR"/>
        </w:rPr>
        <w:t>5.</w:t>
      </w:r>
      <w:r w:rsidRPr="00205A8A">
        <w:rPr>
          <w:b/>
          <w:iCs/>
          <w:lang w:val="fr-FR"/>
        </w:rPr>
        <w:tab/>
        <w:t>Température de référence pour le système de détection (</w:t>
      </w:r>
      <w:r w:rsidRPr="00E06A7C">
        <w:rPr>
          <w:b/>
          <w:iCs/>
          <w:lang w:val="fr-FR"/>
        </w:rPr>
        <w:t xml:space="preserve">conformément au </w:t>
      </w:r>
      <w:r w:rsidRPr="00205A8A">
        <w:rPr>
          <w:b/>
          <w:iCs/>
          <w:lang w:val="fr-FR"/>
        </w:rPr>
        <w:t>paragraphe</w:t>
      </w:r>
      <w:r>
        <w:rPr>
          <w:b/>
          <w:iCs/>
          <w:lang w:val="fr-FR"/>
        </w:rPr>
        <w:t> </w:t>
      </w:r>
      <w:r w:rsidRPr="00205A8A">
        <w:rPr>
          <w:b/>
          <w:iCs/>
          <w:lang w:val="fr-FR"/>
        </w:rPr>
        <w:t>7.5.1.5.1)</w:t>
      </w:r>
      <w:r>
        <w:rPr>
          <w:b/>
          <w:iCs/>
          <w:lang w:val="fr-FR"/>
        </w:rPr>
        <w:t> :</w:t>
      </w:r>
      <w:r w:rsidRPr="006F6CEF">
        <w:rPr>
          <w:b/>
          <w:iCs/>
          <w:lang w:val="fr-FR"/>
        </w:rPr>
        <w:t xml:space="preserve"> ...</w:t>
      </w:r>
      <w:r>
        <w:rPr>
          <w:bCs/>
          <w:iCs/>
          <w:lang w:val="fr-FR"/>
        </w:rPr>
        <w:t> </w:t>
      </w:r>
      <w:r w:rsidRPr="008D4D39">
        <w:rPr>
          <w:bCs/>
          <w:iCs/>
          <w:lang w:val="fr-FR"/>
        </w:rPr>
        <w:t>».</w:t>
      </w:r>
    </w:p>
    <w:p w:rsidR="008D4D39" w:rsidRPr="00205A8A" w:rsidRDefault="008D4D39" w:rsidP="008D4D39">
      <w:pPr>
        <w:pStyle w:val="SingleTxtG"/>
        <w:rPr>
          <w:i/>
          <w:lang w:val="fr-FR"/>
        </w:rPr>
      </w:pPr>
      <w:r w:rsidRPr="00205A8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3, paragraphe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7.5.1.5.1</w:t>
      </w:r>
      <w:r>
        <w:rPr>
          <w:i/>
          <w:lang w:val="fr-FR"/>
        </w:rPr>
        <w:t>,</w:t>
      </w:r>
      <w:r w:rsidRPr="00205A8A">
        <w:rPr>
          <w:i/>
          <w:lang w:val="fr-FR"/>
        </w:rPr>
        <w:t xml:space="preserve"> </w:t>
      </w:r>
      <w:r>
        <w:rPr>
          <w:lang w:val="fr-FR"/>
        </w:rPr>
        <w:t>lire</w:t>
      </w:r>
      <w:r>
        <w:rPr>
          <w:iCs/>
          <w:lang w:val="fr-FR"/>
        </w:rPr>
        <w:t> :</w:t>
      </w:r>
    </w:p>
    <w:p w:rsidR="008D4D39" w:rsidRPr="00205A8A" w:rsidRDefault="008D4D39" w:rsidP="008D4D3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205A8A">
        <w:rPr>
          <w:lang w:val="fr-FR"/>
        </w:rPr>
        <w:t>7.5.1.5.1</w:t>
      </w:r>
      <w:r w:rsidRPr="00205A8A">
        <w:rPr>
          <w:lang w:val="fr-FR"/>
        </w:rPr>
        <w:tab/>
      </w:r>
      <w:r w:rsidRPr="00AB511D">
        <w:rPr>
          <w:lang w:val="fr-FR"/>
        </w:rPr>
        <w:t>Le système d</w:t>
      </w:r>
      <w:r>
        <w:rPr>
          <w:lang w:val="fr-FR"/>
        </w:rPr>
        <w:t>’</w:t>
      </w:r>
      <w:r w:rsidRPr="00AB511D">
        <w:rPr>
          <w:lang w:val="fr-FR"/>
        </w:rPr>
        <w:t>alarme et le système d</w:t>
      </w:r>
      <w:r>
        <w:rPr>
          <w:lang w:val="fr-FR"/>
        </w:rPr>
        <w:t>’</w:t>
      </w:r>
      <w:r w:rsidRPr="00AB511D">
        <w:rPr>
          <w:lang w:val="fr-FR"/>
        </w:rPr>
        <w:t>extinction, s</w:t>
      </w:r>
      <w:r>
        <w:rPr>
          <w:lang w:val="fr-FR"/>
        </w:rPr>
        <w:t>’</w:t>
      </w:r>
      <w:r w:rsidRPr="00AB511D">
        <w:rPr>
          <w:lang w:val="fr-FR"/>
        </w:rPr>
        <w:t>ils sont installés, doivent être actionnés automatiquement par un système de détection d</w:t>
      </w:r>
      <w:r>
        <w:rPr>
          <w:lang w:val="fr-FR"/>
        </w:rPr>
        <w:t>’</w:t>
      </w:r>
      <w:r w:rsidRPr="00AB511D">
        <w:rPr>
          <w:lang w:val="fr-FR"/>
        </w:rPr>
        <w:t>incendie</w:t>
      </w:r>
      <w:r w:rsidRPr="00205A8A">
        <w:rPr>
          <w:lang w:val="fr-FR"/>
        </w:rPr>
        <w:t xml:space="preserve">. </w:t>
      </w:r>
      <w:r w:rsidRPr="00AB511D">
        <w:rPr>
          <w:lang w:val="fr-FR"/>
        </w:rPr>
        <w:t>Le</w:t>
      </w:r>
      <w:r>
        <w:rPr>
          <w:lang w:val="fr-FR"/>
        </w:rPr>
        <w:t> </w:t>
      </w:r>
      <w:r w:rsidRPr="00AB511D">
        <w:rPr>
          <w:lang w:val="fr-FR"/>
        </w:rPr>
        <w:t xml:space="preserve">système de détection doit être conçu de manière à détecter, dans le compartiment moteur et dans chacun des compartiments où est situé un dispositif de chauffage à combustion, toute température supérieure à la </w:t>
      </w:r>
      <w:r w:rsidRPr="00AB511D">
        <w:rPr>
          <w:strike/>
          <w:lang w:val="fr-FR"/>
        </w:rPr>
        <w:t>normale</w:t>
      </w:r>
      <w:r>
        <w:rPr>
          <w:lang w:val="fr-FR"/>
        </w:rPr>
        <w:t xml:space="preserve"> </w:t>
      </w:r>
      <w:r w:rsidRPr="006F6CEF">
        <w:rPr>
          <w:b/>
          <w:bCs/>
          <w:lang w:val="fr-FR"/>
        </w:rPr>
        <w:t xml:space="preserve">température de référence </w:t>
      </w:r>
      <w:r w:rsidRPr="00205A8A">
        <w:rPr>
          <w:b/>
          <w:bCs/>
          <w:lang w:val="fr-FR"/>
        </w:rPr>
        <w:t>telle que déclarée par le constructeur</w:t>
      </w:r>
      <w:r w:rsidRPr="00205A8A">
        <w:rPr>
          <w:lang w:val="fr-FR"/>
        </w:rPr>
        <w:t>.</w:t>
      </w:r>
    </w:p>
    <w:p w:rsidR="008D4D39" w:rsidRPr="00205A8A" w:rsidRDefault="008D4D39" w:rsidP="008D4D39">
      <w:pPr>
        <w:pStyle w:val="SingleTxtG"/>
        <w:ind w:left="2268"/>
        <w:rPr>
          <w:b/>
          <w:lang w:val="fr-FR"/>
        </w:rPr>
      </w:pPr>
      <w:r w:rsidRPr="00205A8A">
        <w:rPr>
          <w:lang w:val="fr-FR"/>
        </w:rPr>
        <w:tab/>
      </w:r>
      <w:r w:rsidRPr="00205A8A">
        <w:rPr>
          <w:b/>
          <w:lang w:val="fr-FR"/>
        </w:rPr>
        <w:t>Au moment de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 xml:space="preserve">homologation de type, cette détection de température est vérifiée par le service technique conformément aux recommandations du </w:t>
      </w:r>
      <w:r w:rsidRPr="006F6CEF">
        <w:rPr>
          <w:b/>
          <w:lang w:val="fr-FR"/>
        </w:rPr>
        <w:t>constructeur</w:t>
      </w:r>
      <w:r w:rsidRPr="00205A8A">
        <w:rPr>
          <w:b/>
          <w:lang w:val="fr-FR"/>
        </w:rPr>
        <w:t>.</w:t>
      </w:r>
    </w:p>
    <w:p w:rsidR="008D4D39" w:rsidRPr="00205A8A" w:rsidRDefault="008D4D39" w:rsidP="008D4D39">
      <w:pPr>
        <w:pStyle w:val="SingleTxtG"/>
        <w:ind w:left="2268"/>
        <w:rPr>
          <w:bCs/>
          <w:lang w:val="fr-FR"/>
        </w:rPr>
      </w:pPr>
      <w:r w:rsidRPr="008D4D39">
        <w:rPr>
          <w:b/>
          <w:bCs/>
          <w:lang w:val="fr-FR"/>
        </w:rPr>
        <w:tab/>
        <w:t>Le système d’extinction d’incendie peut aussi être activé automatiquement par</w:t>
      </w:r>
      <w:r w:rsidRPr="00205A8A">
        <w:rPr>
          <w:b/>
          <w:lang w:val="fr-FR"/>
        </w:rPr>
        <w:t xml:space="preserve">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autres moyens, à condition qu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il active le système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alarme.</w:t>
      </w:r>
      <w:r>
        <w:rPr>
          <w:bCs/>
          <w:lang w:val="fr-FR"/>
        </w:rPr>
        <w:t> ».</w:t>
      </w:r>
    </w:p>
    <w:p w:rsidR="008D4D39" w:rsidRPr="00205A8A" w:rsidRDefault="008D4D39" w:rsidP="008D4D39">
      <w:pPr>
        <w:pStyle w:val="SingleTxtG"/>
        <w:rPr>
          <w:i/>
          <w:lang w:val="fr-FR"/>
        </w:rPr>
      </w:pPr>
      <w:r w:rsidRPr="00205A8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3,</w:t>
      </w:r>
      <w:r w:rsidRPr="00205A8A">
        <w:rPr>
          <w:lang w:val="fr-FR"/>
        </w:rPr>
        <w:t xml:space="preserve"> </w:t>
      </w:r>
      <w:r w:rsidRPr="00FD2764">
        <w:rPr>
          <w:i/>
          <w:iCs/>
          <w:lang w:val="fr-FR"/>
        </w:rPr>
        <w:t>ajouter les nouveaux paragraphes</w:t>
      </w:r>
      <w:r>
        <w:rPr>
          <w:i/>
          <w:iCs/>
          <w:lang w:val="fr-FR"/>
        </w:rPr>
        <w:t> </w:t>
      </w:r>
      <w:r w:rsidRPr="00FD2764">
        <w:rPr>
          <w:i/>
          <w:iCs/>
          <w:lang w:val="fr-FR"/>
        </w:rPr>
        <w:t>7.5.7 et 7.5.7.1</w:t>
      </w:r>
      <w:r>
        <w:rPr>
          <w:lang w:val="fr-FR"/>
        </w:rPr>
        <w:t>, libellés comme suit :</w:t>
      </w:r>
    </w:p>
    <w:p w:rsidR="008D4D39" w:rsidRPr="00205A8A" w:rsidRDefault="008D4D39" w:rsidP="008D4D39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205A8A">
        <w:rPr>
          <w:b/>
          <w:lang w:val="fr-FR"/>
        </w:rPr>
        <w:t>7.5.7</w:t>
      </w:r>
      <w:r w:rsidRPr="00205A8A">
        <w:rPr>
          <w:b/>
          <w:lang w:val="fr-FR"/>
        </w:rPr>
        <w:tab/>
      </w:r>
      <w:r w:rsidRPr="00205A8A">
        <w:rPr>
          <w:b/>
          <w:lang w:val="fr-FR"/>
        </w:rPr>
        <w:tab/>
        <w:t>Incendie</w:t>
      </w:r>
    </w:p>
    <w:p w:rsidR="008D4D39" w:rsidRPr="00205A8A" w:rsidRDefault="008D4D39" w:rsidP="008D4D39">
      <w:pPr>
        <w:pStyle w:val="SingleTxtG"/>
        <w:ind w:left="2268" w:hanging="1134"/>
        <w:rPr>
          <w:b/>
          <w:lang w:val="fr-FR"/>
        </w:rPr>
      </w:pPr>
      <w:r w:rsidRPr="00205A8A">
        <w:rPr>
          <w:b/>
          <w:lang w:val="fr-FR"/>
        </w:rPr>
        <w:t>7.5.7.1</w:t>
      </w:r>
      <w:r>
        <w:rPr>
          <w:b/>
          <w:lang w:val="fr-FR"/>
        </w:rPr>
        <w:tab/>
      </w:r>
      <w:r w:rsidRPr="00205A8A">
        <w:rPr>
          <w:b/>
          <w:lang w:val="fr-FR"/>
        </w:rPr>
        <w:t>Dans le cas des véhicules des classes [I], II, III et B dont le moteur est situé à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arrière de la cabine du conducteur, en cas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activation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un système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alarme</w:t>
      </w:r>
      <w:r>
        <w:rPr>
          <w:b/>
          <w:lang w:val="fr-FR"/>
        </w:rPr>
        <w:t> :</w:t>
      </w:r>
    </w:p>
    <w:p w:rsidR="008D4D39" w:rsidRPr="00AF5371" w:rsidRDefault="008D4D39" w:rsidP="008D4D39">
      <w:pPr>
        <w:pStyle w:val="SingleTxtG"/>
        <w:ind w:left="2835" w:hanging="567"/>
        <w:rPr>
          <w:b/>
          <w:spacing w:val="-2"/>
          <w:lang w:val="fr-FR"/>
        </w:rPr>
      </w:pPr>
      <w:r w:rsidRPr="00AF5371">
        <w:rPr>
          <w:b/>
          <w:spacing w:val="-2"/>
          <w:lang w:val="fr-FR"/>
        </w:rPr>
        <w:t>-</w:t>
      </w:r>
      <w:r w:rsidRPr="00AF5371">
        <w:rPr>
          <w:b/>
          <w:spacing w:val="-2"/>
          <w:lang w:val="fr-FR"/>
        </w:rPr>
        <w:tab/>
        <w:t>Le système d’éclairage de secours conformément au paragraphe 7.8.3 [s’il est installé] doit s’allumer automatiquement ;</w:t>
      </w:r>
    </w:p>
    <w:p w:rsidR="008D4D39" w:rsidRPr="00AF5371" w:rsidRDefault="008D4D39" w:rsidP="008D4D39">
      <w:pPr>
        <w:pStyle w:val="SingleTxtG"/>
        <w:ind w:left="2835" w:hanging="567"/>
        <w:rPr>
          <w:b/>
          <w:spacing w:val="-2"/>
          <w:lang w:val="fr-FR"/>
        </w:rPr>
      </w:pPr>
      <w:r w:rsidRPr="00AF5371">
        <w:rPr>
          <w:b/>
          <w:spacing w:val="-2"/>
          <w:lang w:val="fr-FR"/>
        </w:rPr>
        <w:t>-</w:t>
      </w:r>
      <w:r w:rsidRPr="00AF5371">
        <w:rPr>
          <w:b/>
          <w:spacing w:val="-2"/>
          <w:lang w:val="fr-FR"/>
        </w:rPr>
        <w:tab/>
        <w:t xml:space="preserve">Après une seule action positive du conducteur sur l’une des commandes de porte dans la cabine du conducteur, toutes les portes à commande électrique situées sur le côté du véhicule le plus proche </w:t>
      </w:r>
      <w:r w:rsidRPr="00AF5371">
        <w:rPr>
          <w:b/>
          <w:spacing w:val="-2"/>
          <w:lang w:val="fr-FR"/>
        </w:rPr>
        <w:lastRenderedPageBreak/>
        <w:t>du côté de la route correspondant au côté de circulation pour lequel est conçu le véhicule doivent s’ouvrir et rester en position ouverte.</w:t>
      </w:r>
    </w:p>
    <w:p w:rsidR="008D4D39" w:rsidRPr="00205A8A" w:rsidRDefault="008D4D39" w:rsidP="008D4D39">
      <w:pPr>
        <w:pStyle w:val="SingleTxtG"/>
        <w:ind w:left="2268"/>
        <w:rPr>
          <w:b/>
          <w:lang w:val="fr-FR"/>
        </w:rPr>
      </w:pPr>
      <w:r w:rsidRPr="00205A8A">
        <w:rPr>
          <w:b/>
          <w:lang w:val="fr-FR"/>
        </w:rPr>
        <w:tab/>
        <w:t>C</w:t>
      </w:r>
      <w:r>
        <w:rPr>
          <w:b/>
          <w:lang w:val="fr-FR"/>
        </w:rPr>
        <w:t>ette disposition</w:t>
      </w:r>
      <w:r w:rsidRPr="00205A8A">
        <w:rPr>
          <w:b/>
          <w:lang w:val="fr-FR"/>
        </w:rPr>
        <w:t xml:space="preserve"> est applicable lorsque le véhicule est à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arrêt ou roule à une vitesse inférieure ou égale à 3</w:t>
      </w:r>
      <w:r>
        <w:rPr>
          <w:b/>
          <w:lang w:val="fr-FR"/>
        </w:rPr>
        <w:t> </w:t>
      </w:r>
      <w:r w:rsidRPr="00205A8A">
        <w:rPr>
          <w:b/>
          <w:lang w:val="fr-FR"/>
        </w:rPr>
        <w:t>km/h.</w:t>
      </w:r>
    </w:p>
    <w:p w:rsidR="008D4D39" w:rsidRPr="006F6CEF" w:rsidRDefault="008D4D39" w:rsidP="008D4D39">
      <w:pPr>
        <w:pStyle w:val="SingleTxtG"/>
        <w:ind w:left="2268"/>
        <w:rPr>
          <w:bCs/>
          <w:lang w:val="fr-FR"/>
        </w:rPr>
      </w:pPr>
      <w:r w:rsidRPr="00205A8A">
        <w:rPr>
          <w:b/>
          <w:lang w:val="fr-FR"/>
        </w:rPr>
        <w:tab/>
        <w:t>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utilisation répétée de la commande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ouverture ne doit pas inverser le mouvement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ouverture de</w:t>
      </w:r>
      <w:r>
        <w:rPr>
          <w:b/>
          <w:lang w:val="fr-FR"/>
        </w:rPr>
        <w:t>s</w:t>
      </w:r>
      <w:r w:rsidRPr="00205A8A">
        <w:rPr>
          <w:b/>
          <w:lang w:val="fr-FR"/>
        </w:rPr>
        <w:t xml:space="preserve"> porte</w:t>
      </w:r>
      <w:r>
        <w:rPr>
          <w:b/>
          <w:lang w:val="fr-FR"/>
        </w:rPr>
        <w:t>s</w:t>
      </w:r>
      <w:r w:rsidRPr="00205A8A">
        <w:rPr>
          <w:b/>
          <w:lang w:val="fr-FR"/>
        </w:rPr>
        <w:t>, afin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 xml:space="preserve">éviter </w:t>
      </w:r>
      <w:r>
        <w:rPr>
          <w:b/>
          <w:lang w:val="fr-FR"/>
        </w:rPr>
        <w:t>qu’elles se</w:t>
      </w:r>
      <w:r w:rsidRPr="00205A8A">
        <w:rPr>
          <w:b/>
          <w:lang w:val="fr-FR"/>
        </w:rPr>
        <w:t xml:space="preserve"> referme</w:t>
      </w:r>
      <w:r>
        <w:rPr>
          <w:b/>
          <w:lang w:val="fr-FR"/>
        </w:rPr>
        <w:t>nt</w:t>
      </w:r>
      <w:r w:rsidRPr="00205A8A">
        <w:rPr>
          <w:b/>
          <w:lang w:val="fr-FR"/>
        </w:rPr>
        <w:t xml:space="preserve"> </w:t>
      </w:r>
      <w:r w:rsidRPr="00247A31">
        <w:rPr>
          <w:b/>
          <w:lang w:val="fr-FR"/>
        </w:rPr>
        <w:t xml:space="preserve">malencontreusement </w:t>
      </w:r>
      <w:r w:rsidRPr="00205A8A">
        <w:rPr>
          <w:b/>
          <w:lang w:val="fr-FR"/>
        </w:rPr>
        <w:t>dans une situation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urgence.</w:t>
      </w:r>
      <w:r>
        <w:rPr>
          <w:bCs/>
          <w:lang w:val="fr-FR"/>
        </w:rPr>
        <w:t> ».</w:t>
      </w:r>
    </w:p>
    <w:p w:rsidR="008D4D39" w:rsidRDefault="008D4D39" w:rsidP="008D4D39">
      <w:pPr>
        <w:pStyle w:val="SingleTxtG"/>
        <w:rPr>
          <w:i/>
          <w:lang w:val="fr-FR"/>
        </w:rPr>
      </w:pPr>
      <w:r w:rsidRPr="00205A8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205A8A">
        <w:rPr>
          <w:i/>
          <w:lang w:val="fr-FR"/>
        </w:rPr>
        <w:t>3</w:t>
      </w:r>
      <w:r w:rsidRPr="00FD2764">
        <w:rPr>
          <w:i/>
          <w:lang w:val="fr-FR"/>
        </w:rPr>
        <w:t>, ajouter un nouveau paragraphe</w:t>
      </w:r>
      <w:r>
        <w:rPr>
          <w:i/>
          <w:lang w:val="fr-FR"/>
        </w:rPr>
        <w:t> </w:t>
      </w:r>
      <w:r w:rsidRPr="00FD2764">
        <w:rPr>
          <w:i/>
          <w:lang w:val="fr-FR"/>
        </w:rPr>
        <w:t xml:space="preserve">7.19, </w:t>
      </w:r>
      <w:r>
        <w:rPr>
          <w:lang w:val="fr-FR"/>
        </w:rPr>
        <w:t>libellé comme suit :</w:t>
      </w:r>
    </w:p>
    <w:p w:rsidR="008D4D39" w:rsidRPr="00205A8A" w:rsidRDefault="008D4D39" w:rsidP="008D4D39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205A8A">
        <w:rPr>
          <w:b/>
          <w:lang w:val="fr-FR"/>
        </w:rPr>
        <w:t>7.19</w:t>
      </w:r>
      <w:r w:rsidRPr="00205A8A">
        <w:rPr>
          <w:b/>
          <w:lang w:val="fr-FR"/>
        </w:rPr>
        <w:tab/>
      </w:r>
      <w:r>
        <w:rPr>
          <w:b/>
          <w:lang w:val="fr-FR"/>
        </w:rPr>
        <w:t>C</w:t>
      </w:r>
      <w:r w:rsidRPr="00693515">
        <w:rPr>
          <w:b/>
          <w:lang w:val="fr-FR"/>
        </w:rPr>
        <w:t xml:space="preserve">onsignes de </w:t>
      </w:r>
      <w:r w:rsidRPr="00205A8A">
        <w:rPr>
          <w:b/>
          <w:lang w:val="fr-FR"/>
        </w:rPr>
        <w:t>sécurité</w:t>
      </w:r>
    </w:p>
    <w:p w:rsidR="008D4D39" w:rsidRPr="00205A8A" w:rsidRDefault="008D4D39" w:rsidP="008D4D39">
      <w:pPr>
        <w:pStyle w:val="SingleTxtG"/>
        <w:ind w:left="2268"/>
        <w:rPr>
          <w:b/>
          <w:lang w:val="fr-FR"/>
        </w:rPr>
      </w:pPr>
      <w:r w:rsidRPr="00205A8A">
        <w:rPr>
          <w:b/>
          <w:lang w:val="fr-FR"/>
        </w:rPr>
        <w:tab/>
        <w:t>Dans le cas des véhicules des classes [I</w:t>
      </w:r>
      <w:r>
        <w:rPr>
          <w:b/>
          <w:lang w:val="fr-FR"/>
        </w:rPr>
        <w:t>,</w:t>
      </w:r>
      <w:r w:rsidRPr="00205A8A">
        <w:rPr>
          <w:b/>
          <w:lang w:val="fr-FR"/>
        </w:rPr>
        <w:t xml:space="preserve">] II, III et B, les moyens de </w:t>
      </w:r>
      <w:r>
        <w:rPr>
          <w:b/>
          <w:lang w:val="fr-FR"/>
        </w:rPr>
        <w:t>communiquer</w:t>
      </w:r>
      <w:r w:rsidRPr="00205A8A">
        <w:rPr>
          <w:b/>
          <w:lang w:val="fr-FR"/>
        </w:rPr>
        <w:t xml:space="preserve"> des </w:t>
      </w:r>
      <w:r w:rsidRPr="002804C7">
        <w:rPr>
          <w:b/>
          <w:lang w:val="fr-FR"/>
        </w:rPr>
        <w:t xml:space="preserve">consignes de </w:t>
      </w:r>
      <w:r w:rsidRPr="00205A8A">
        <w:rPr>
          <w:b/>
          <w:lang w:val="fr-FR"/>
        </w:rPr>
        <w:t>sécurité permett</w:t>
      </w:r>
      <w:r>
        <w:rPr>
          <w:b/>
          <w:lang w:val="fr-FR"/>
        </w:rPr>
        <w:t>a</w:t>
      </w:r>
      <w:r w:rsidRPr="00205A8A">
        <w:rPr>
          <w:b/>
          <w:lang w:val="fr-FR"/>
        </w:rPr>
        <w:t xml:space="preserve">nt </w:t>
      </w:r>
      <w:r>
        <w:rPr>
          <w:b/>
          <w:lang w:val="fr-FR"/>
        </w:rPr>
        <w:t xml:space="preserve">à l’exploitant, </w:t>
      </w:r>
      <w:r w:rsidRPr="00205A8A">
        <w:rPr>
          <w:b/>
          <w:lang w:val="fr-FR"/>
        </w:rPr>
        <w:t>au conducteur ou à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équipage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informer facilement les passagers des consignes de sécurité, par exemple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emplacement des issues de secours</w:t>
      </w:r>
      <w:r>
        <w:rPr>
          <w:b/>
          <w:lang w:val="fr-FR"/>
        </w:rPr>
        <w:t>,</w:t>
      </w:r>
      <w:r w:rsidRPr="00205A8A">
        <w:rPr>
          <w:b/>
          <w:lang w:val="fr-FR"/>
        </w:rPr>
        <w:t xml:space="preserve">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emplacement des extincteurs</w:t>
      </w:r>
      <w:r>
        <w:rPr>
          <w:b/>
          <w:lang w:val="fr-FR"/>
        </w:rPr>
        <w:t xml:space="preserve"> ou</w:t>
      </w:r>
      <w:r w:rsidRPr="00205A8A">
        <w:rPr>
          <w:b/>
          <w:lang w:val="fr-FR"/>
        </w:rPr>
        <w:t xml:space="preserve"> la signalisation de sécurité, doivent être </w:t>
      </w:r>
      <w:r>
        <w:rPr>
          <w:b/>
          <w:lang w:val="fr-FR"/>
        </w:rPr>
        <w:t>indiqués</w:t>
      </w:r>
      <w:r w:rsidRPr="00205A8A">
        <w:rPr>
          <w:b/>
          <w:lang w:val="fr-FR"/>
        </w:rPr>
        <w:t xml:space="preserve"> par le constructeur dans la demande d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>homologation.</w:t>
      </w:r>
    </w:p>
    <w:p w:rsidR="008D4D39" w:rsidRPr="000100E0" w:rsidRDefault="008D4D39" w:rsidP="008D4D39">
      <w:pPr>
        <w:pStyle w:val="SingleTxtG"/>
        <w:ind w:left="2268"/>
        <w:rPr>
          <w:bCs/>
          <w:lang w:val="fr-FR"/>
        </w:rPr>
      </w:pPr>
      <w:r w:rsidRPr="00205A8A">
        <w:rPr>
          <w:b/>
          <w:lang w:val="fr-FR"/>
        </w:rPr>
        <w:t>Ces moyens doivent être adaptés à la conception et à l</w:t>
      </w:r>
      <w:r>
        <w:rPr>
          <w:b/>
          <w:lang w:val="fr-FR"/>
        </w:rPr>
        <w:t>’</w:t>
      </w:r>
      <w:r w:rsidRPr="00205A8A">
        <w:rPr>
          <w:b/>
          <w:lang w:val="fr-FR"/>
        </w:rPr>
        <w:t xml:space="preserve">architecture du véhicule </w:t>
      </w:r>
      <w:r>
        <w:rPr>
          <w:b/>
          <w:lang w:val="fr-FR"/>
        </w:rPr>
        <w:t xml:space="preserve">en vue </w:t>
      </w:r>
      <w:r w:rsidRPr="00205A8A">
        <w:rPr>
          <w:b/>
          <w:lang w:val="fr-FR"/>
        </w:rPr>
        <w:t>de rendre les consignes de sécurité facilement accessibles et intelligibles p</w:t>
      </w:r>
      <w:r>
        <w:rPr>
          <w:b/>
          <w:lang w:val="fr-FR"/>
        </w:rPr>
        <w:t>ou</w:t>
      </w:r>
      <w:r w:rsidRPr="00205A8A">
        <w:rPr>
          <w:b/>
          <w:lang w:val="fr-FR"/>
        </w:rPr>
        <w:t>r tout passager.</w:t>
      </w:r>
      <w:r>
        <w:rPr>
          <w:bCs/>
          <w:lang w:val="fr-FR"/>
        </w:rPr>
        <w:t> ».</w:t>
      </w:r>
    </w:p>
    <w:p w:rsidR="008D4D39" w:rsidRPr="00205A8A" w:rsidRDefault="008D4D39" w:rsidP="008D4D39">
      <w:pPr>
        <w:pStyle w:val="HChG"/>
        <w:rPr>
          <w:lang w:val="fr-FR"/>
        </w:rPr>
      </w:pPr>
      <w:r w:rsidRPr="00205A8A">
        <w:rPr>
          <w:lang w:val="fr-FR"/>
        </w:rPr>
        <w:tab/>
        <w:t>II.</w:t>
      </w:r>
      <w:r w:rsidRPr="00205A8A">
        <w:rPr>
          <w:lang w:val="fr-FR"/>
        </w:rPr>
        <w:tab/>
        <w:t>Justification</w:t>
      </w:r>
    </w:p>
    <w:p w:rsidR="008D4D39" w:rsidRPr="00205A8A" w:rsidRDefault="008D4D39" w:rsidP="008D4D39">
      <w:pPr>
        <w:pStyle w:val="SingleTxtG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205A8A">
        <w:rPr>
          <w:lang w:val="fr-FR"/>
        </w:rPr>
        <w:t>Déclenchement de l</w:t>
      </w:r>
      <w:r>
        <w:rPr>
          <w:lang w:val="fr-FR"/>
        </w:rPr>
        <w:t>’</w:t>
      </w:r>
      <w:r w:rsidRPr="00205A8A">
        <w:rPr>
          <w:lang w:val="fr-FR"/>
        </w:rPr>
        <w:t xml:space="preserve">alarme </w:t>
      </w:r>
      <w:r>
        <w:rPr>
          <w:lang w:val="fr-FR"/>
        </w:rPr>
        <w:t xml:space="preserve">en fonction </w:t>
      </w:r>
      <w:r w:rsidRPr="00205A8A">
        <w:rPr>
          <w:lang w:val="fr-FR"/>
        </w:rPr>
        <w:t>d</w:t>
      </w:r>
      <w:r>
        <w:rPr>
          <w:lang w:val="fr-FR"/>
        </w:rPr>
        <w:t>’</w:t>
      </w:r>
      <w:r w:rsidRPr="00205A8A">
        <w:rPr>
          <w:lang w:val="fr-FR"/>
        </w:rPr>
        <w:t>une</w:t>
      </w:r>
      <w:r w:rsidRPr="008A1518">
        <w:rPr>
          <w:lang w:val="fr-FR"/>
        </w:rPr>
        <w:t xml:space="preserve"> </w:t>
      </w:r>
      <w:r w:rsidRPr="00205A8A">
        <w:rPr>
          <w:lang w:val="fr-FR"/>
        </w:rPr>
        <w:t>température</w:t>
      </w:r>
      <w:r w:rsidRPr="008A1518">
        <w:rPr>
          <w:lang w:val="fr-FR"/>
        </w:rPr>
        <w:t xml:space="preserve"> </w:t>
      </w:r>
      <w:r w:rsidRPr="00205A8A">
        <w:rPr>
          <w:lang w:val="fr-FR"/>
        </w:rPr>
        <w:t>de référence</w:t>
      </w:r>
    </w:p>
    <w:p w:rsidR="008D4D39" w:rsidRPr="00205A8A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À la cinquième réunion du groupe </w:t>
      </w:r>
      <w:r w:rsidRPr="00205A8A">
        <w:rPr>
          <w:lang w:val="fr-FR"/>
        </w:rPr>
        <w:t xml:space="preserve">de travail informel </w:t>
      </w:r>
      <w:r>
        <w:rPr>
          <w:lang w:val="fr-FR"/>
        </w:rPr>
        <w:t>du</w:t>
      </w:r>
      <w:r w:rsidRPr="00205A8A">
        <w:rPr>
          <w:lang w:val="fr-FR"/>
        </w:rPr>
        <w:t xml:space="preserve"> comportement des véhicules </w:t>
      </w:r>
      <w:r w:rsidRPr="00132012">
        <w:rPr>
          <w:bCs/>
          <w:lang w:val="fr-FR"/>
        </w:rPr>
        <w:t>des catégories M</w:t>
      </w:r>
      <w:r w:rsidRPr="00132012">
        <w:rPr>
          <w:bCs/>
          <w:vertAlign w:val="subscript"/>
          <w:lang w:val="fr-FR"/>
        </w:rPr>
        <w:t>2</w:t>
      </w:r>
      <w:r w:rsidRPr="00132012">
        <w:rPr>
          <w:bCs/>
          <w:lang w:val="fr-FR"/>
        </w:rPr>
        <w:t xml:space="preserve"> et M</w:t>
      </w:r>
      <w:r w:rsidRPr="00132012">
        <w:rPr>
          <w:bCs/>
          <w:vertAlign w:val="subscript"/>
          <w:lang w:val="fr-FR"/>
        </w:rPr>
        <w:t>3</w:t>
      </w:r>
      <w:r>
        <w:rPr>
          <w:bCs/>
          <w:vertAlign w:val="subscript"/>
          <w:lang w:val="fr-FR"/>
        </w:rPr>
        <w:t xml:space="preserve"> </w:t>
      </w:r>
      <w:r w:rsidRPr="00205A8A">
        <w:rPr>
          <w:lang w:val="fr-FR"/>
        </w:rPr>
        <w:t>en cas d</w:t>
      </w:r>
      <w:r>
        <w:rPr>
          <w:lang w:val="fr-FR"/>
        </w:rPr>
        <w:t>’</w:t>
      </w:r>
      <w:r w:rsidRPr="00205A8A">
        <w:rPr>
          <w:lang w:val="fr-FR"/>
        </w:rPr>
        <w:t xml:space="preserve">incendie, </w:t>
      </w:r>
      <w:r>
        <w:rPr>
          <w:lang w:val="fr-FR"/>
        </w:rPr>
        <w:t>l</w:t>
      </w:r>
      <w:r w:rsidRPr="00205A8A">
        <w:rPr>
          <w:lang w:val="fr-FR"/>
        </w:rPr>
        <w:t xml:space="preserve">es experts ont </w:t>
      </w:r>
      <w:r>
        <w:rPr>
          <w:lang w:val="fr-FR"/>
        </w:rPr>
        <w:t>décidé</w:t>
      </w:r>
      <w:r w:rsidRPr="00205A8A">
        <w:rPr>
          <w:lang w:val="fr-FR"/>
        </w:rPr>
        <w:t xml:space="preserve"> de fournir un projet de proposition </w:t>
      </w:r>
      <w:r>
        <w:rPr>
          <w:lang w:val="fr-FR"/>
        </w:rPr>
        <w:t>concernant</w:t>
      </w:r>
      <w:r w:rsidRPr="00205A8A">
        <w:rPr>
          <w:lang w:val="fr-FR"/>
        </w:rPr>
        <w:t xml:space="preserve"> un niveau </w:t>
      </w:r>
      <w:r>
        <w:rPr>
          <w:lang w:val="fr-FR"/>
        </w:rPr>
        <w:t xml:space="preserve">d’efficacité </w:t>
      </w:r>
      <w:r w:rsidRPr="00205A8A">
        <w:rPr>
          <w:lang w:val="fr-FR"/>
        </w:rPr>
        <w:t xml:space="preserve">minimum </w:t>
      </w:r>
      <w:r>
        <w:rPr>
          <w:lang w:val="fr-FR"/>
        </w:rPr>
        <w:t>d</w:t>
      </w:r>
      <w:r w:rsidRPr="00205A8A">
        <w:rPr>
          <w:lang w:val="fr-FR"/>
        </w:rPr>
        <w:t>es systèmes de détection d</w:t>
      </w:r>
      <w:r>
        <w:rPr>
          <w:lang w:val="fr-FR"/>
        </w:rPr>
        <w:t>’</w:t>
      </w:r>
      <w:r w:rsidRPr="00205A8A">
        <w:rPr>
          <w:lang w:val="fr-FR"/>
        </w:rPr>
        <w:t xml:space="preserve">incendie </w:t>
      </w:r>
      <w:r>
        <w:rPr>
          <w:lang w:val="fr-FR"/>
        </w:rPr>
        <w:t>en vue</w:t>
      </w:r>
      <w:r w:rsidRPr="00205A8A">
        <w:rPr>
          <w:lang w:val="fr-FR"/>
        </w:rPr>
        <w:t xml:space="preserve"> d</w:t>
      </w:r>
      <w:r>
        <w:rPr>
          <w:lang w:val="fr-FR"/>
        </w:rPr>
        <w:t>’</w:t>
      </w:r>
      <w:r w:rsidRPr="00205A8A">
        <w:rPr>
          <w:lang w:val="fr-FR"/>
        </w:rPr>
        <w:t xml:space="preserve">harmoniser les pratiques </w:t>
      </w:r>
      <w:r>
        <w:rPr>
          <w:lang w:val="fr-FR"/>
        </w:rPr>
        <w:t>en matière d’homolog</w:t>
      </w:r>
      <w:r w:rsidRPr="00205A8A">
        <w:rPr>
          <w:lang w:val="fr-FR"/>
        </w:rPr>
        <w:t xml:space="preserve">ation. </w:t>
      </w:r>
      <w:r>
        <w:rPr>
          <w:lang w:val="fr-FR"/>
        </w:rPr>
        <w:t>En l’occurrence</w:t>
      </w:r>
      <w:r w:rsidRPr="00205A8A">
        <w:rPr>
          <w:lang w:val="fr-FR"/>
        </w:rPr>
        <w:t>, le critère de détection le plus mesurable semble être la température.</w:t>
      </w:r>
    </w:p>
    <w:p w:rsidR="008D4D39" w:rsidRPr="00205A8A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205A8A">
        <w:rPr>
          <w:lang w:val="fr-FR"/>
        </w:rPr>
        <w:t xml:space="preserve">La température de détection proposée doit être </w:t>
      </w:r>
      <w:r>
        <w:rPr>
          <w:lang w:val="fr-FR"/>
        </w:rPr>
        <w:t>un</w:t>
      </w:r>
      <w:r w:rsidRPr="00205A8A">
        <w:rPr>
          <w:lang w:val="fr-FR"/>
        </w:rPr>
        <w:t xml:space="preserve"> maximum </w:t>
      </w:r>
      <w:r>
        <w:rPr>
          <w:lang w:val="fr-FR"/>
        </w:rPr>
        <w:t xml:space="preserve">à ne pas dépasser afin de ménager </w:t>
      </w:r>
      <w:r w:rsidRPr="00205A8A">
        <w:rPr>
          <w:lang w:val="fr-FR"/>
        </w:rPr>
        <w:t>un temps de réaction raisonnable en cas d</w:t>
      </w:r>
      <w:r>
        <w:rPr>
          <w:lang w:val="fr-FR"/>
        </w:rPr>
        <w:t>’</w:t>
      </w:r>
      <w:r w:rsidRPr="00205A8A">
        <w:rPr>
          <w:lang w:val="fr-FR"/>
        </w:rPr>
        <w:t xml:space="preserve">incendie. Cette température maximale de détection dépend toutefois </w:t>
      </w:r>
      <w:r>
        <w:rPr>
          <w:lang w:val="fr-FR"/>
        </w:rPr>
        <w:t>en grande partie</w:t>
      </w:r>
      <w:r w:rsidRPr="00205A8A">
        <w:rPr>
          <w:lang w:val="fr-FR"/>
        </w:rPr>
        <w:t xml:space="preserve"> de l</w:t>
      </w:r>
      <w:r>
        <w:rPr>
          <w:lang w:val="fr-FR"/>
        </w:rPr>
        <w:t>’</w:t>
      </w:r>
      <w:r w:rsidRPr="00205A8A">
        <w:rPr>
          <w:lang w:val="fr-FR"/>
        </w:rPr>
        <w:t xml:space="preserve">endroit où </w:t>
      </w:r>
      <w:r>
        <w:rPr>
          <w:lang w:val="fr-FR"/>
        </w:rPr>
        <w:t xml:space="preserve">il est prévu de détecter </w:t>
      </w:r>
      <w:r w:rsidRPr="00205A8A">
        <w:rPr>
          <w:lang w:val="fr-FR"/>
        </w:rPr>
        <w:t>l</w:t>
      </w:r>
      <w:r>
        <w:rPr>
          <w:lang w:val="fr-FR"/>
        </w:rPr>
        <w:t>’</w:t>
      </w:r>
      <w:r w:rsidRPr="00205A8A">
        <w:rPr>
          <w:lang w:val="fr-FR"/>
        </w:rPr>
        <w:t>excès de température, de la technologie de la chaîne de traction et du chauffage à combustion, ainsi que des compartiments du chauffage à combustion. Certains côtés d</w:t>
      </w:r>
      <w:r>
        <w:rPr>
          <w:lang w:val="fr-FR"/>
        </w:rPr>
        <w:t>’</w:t>
      </w:r>
      <w:r w:rsidRPr="00205A8A">
        <w:rPr>
          <w:lang w:val="fr-FR"/>
        </w:rPr>
        <w:t xml:space="preserve">un compartiment moteur peuvent être assez chauds et, selon la </w:t>
      </w:r>
      <w:r>
        <w:rPr>
          <w:lang w:val="fr-FR"/>
        </w:rPr>
        <w:t>« </w:t>
      </w:r>
      <w:r w:rsidRPr="00205A8A">
        <w:rPr>
          <w:lang w:val="fr-FR"/>
        </w:rPr>
        <w:t>robustesse</w:t>
      </w:r>
      <w:r>
        <w:rPr>
          <w:lang w:val="fr-FR"/>
        </w:rPr>
        <w:t> »</w:t>
      </w:r>
      <w:r w:rsidRPr="00205A8A">
        <w:rPr>
          <w:lang w:val="fr-FR"/>
        </w:rPr>
        <w:t xml:space="preserve"> du matériau du conduit de détection et de son assemblage, une température de détection d</w:t>
      </w:r>
      <w:r>
        <w:rPr>
          <w:lang w:val="fr-FR"/>
        </w:rPr>
        <w:t>’</w:t>
      </w:r>
      <w:r w:rsidRPr="00205A8A">
        <w:rPr>
          <w:lang w:val="fr-FR"/>
        </w:rPr>
        <w:t>incendie de 170</w:t>
      </w:r>
      <w:r>
        <w:rPr>
          <w:lang w:val="fr-FR"/>
        </w:rPr>
        <w:t> °</w:t>
      </w:r>
      <w:r w:rsidRPr="00205A8A">
        <w:rPr>
          <w:lang w:val="fr-FR"/>
        </w:rPr>
        <w:t>C</w:t>
      </w:r>
      <w:r>
        <w:rPr>
          <w:lang w:val="fr-FR"/>
        </w:rPr>
        <w:t>,</w:t>
      </w:r>
      <w:r w:rsidRPr="00205A8A">
        <w:rPr>
          <w:lang w:val="fr-FR"/>
        </w:rPr>
        <w:t xml:space="preserve"> par exemple</w:t>
      </w:r>
      <w:r>
        <w:rPr>
          <w:lang w:val="fr-FR"/>
        </w:rPr>
        <w:t>,</w:t>
      </w:r>
      <w:r w:rsidRPr="00205A8A">
        <w:rPr>
          <w:lang w:val="fr-FR"/>
        </w:rPr>
        <w:t xml:space="preserve"> pourrait être trop basse, alors qu</w:t>
      </w:r>
      <w:r>
        <w:rPr>
          <w:lang w:val="fr-FR"/>
        </w:rPr>
        <w:t>’</w:t>
      </w:r>
      <w:r w:rsidRPr="00205A8A">
        <w:rPr>
          <w:lang w:val="fr-FR"/>
        </w:rPr>
        <w:t>à d</w:t>
      </w:r>
      <w:r>
        <w:rPr>
          <w:lang w:val="fr-FR"/>
        </w:rPr>
        <w:t>’</w:t>
      </w:r>
      <w:r w:rsidRPr="00205A8A">
        <w:rPr>
          <w:lang w:val="fr-FR"/>
        </w:rPr>
        <w:t>autres endroits la température pourrait atteindre 230</w:t>
      </w:r>
      <w:r>
        <w:rPr>
          <w:lang w:val="fr-FR"/>
        </w:rPr>
        <w:t> °</w:t>
      </w:r>
      <w:r w:rsidRPr="00205A8A">
        <w:rPr>
          <w:lang w:val="fr-FR"/>
        </w:rPr>
        <w:t xml:space="preserve">C </w:t>
      </w:r>
      <w:r>
        <w:rPr>
          <w:lang w:val="fr-FR"/>
        </w:rPr>
        <w:t>lors du</w:t>
      </w:r>
      <w:r w:rsidRPr="00205A8A">
        <w:rPr>
          <w:lang w:val="fr-FR"/>
        </w:rPr>
        <w:t xml:space="preserve"> fonctionnement normal.</w:t>
      </w:r>
    </w:p>
    <w:p w:rsidR="008D4D39" w:rsidRPr="00205A8A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205A8A">
        <w:rPr>
          <w:lang w:val="fr-FR"/>
        </w:rPr>
        <w:t xml:space="preserve">Cette température doit être déclarée par le constructeur, </w:t>
      </w:r>
      <w:r>
        <w:rPr>
          <w:lang w:val="fr-FR"/>
        </w:rPr>
        <w:t>étant donné que</w:t>
      </w:r>
      <w:r w:rsidRPr="00205A8A">
        <w:rPr>
          <w:lang w:val="fr-FR"/>
        </w:rPr>
        <w:t xml:space="preserve"> c</w:t>
      </w:r>
      <w:r>
        <w:rPr>
          <w:lang w:val="fr-FR"/>
        </w:rPr>
        <w:t>’</w:t>
      </w:r>
      <w:r w:rsidRPr="00205A8A">
        <w:rPr>
          <w:lang w:val="fr-FR"/>
        </w:rPr>
        <w:t xml:space="preserve">est lui qui connaît le mieux la technologie et la configuration du véhicule. En outre, </w:t>
      </w:r>
      <w:r>
        <w:rPr>
          <w:lang w:val="fr-FR"/>
        </w:rPr>
        <w:t>fixer</w:t>
      </w:r>
      <w:r w:rsidRPr="00205A8A">
        <w:rPr>
          <w:lang w:val="fr-FR"/>
        </w:rPr>
        <w:t xml:space="preserve"> une température de détection trop élevée pourrait </w:t>
      </w:r>
      <w:r>
        <w:rPr>
          <w:lang w:val="fr-FR"/>
        </w:rPr>
        <w:t xml:space="preserve">conduire à manquer de détecter </w:t>
      </w:r>
      <w:r w:rsidRPr="00205A8A">
        <w:rPr>
          <w:lang w:val="fr-FR"/>
        </w:rPr>
        <w:t xml:space="preserve">certains </w:t>
      </w:r>
      <w:r>
        <w:rPr>
          <w:lang w:val="fr-FR"/>
        </w:rPr>
        <w:t>départs</w:t>
      </w:r>
      <w:r w:rsidRPr="00205A8A">
        <w:rPr>
          <w:lang w:val="fr-FR"/>
        </w:rPr>
        <w:t xml:space="preserve"> d</w:t>
      </w:r>
      <w:r>
        <w:rPr>
          <w:lang w:val="fr-FR"/>
        </w:rPr>
        <w:t>’</w:t>
      </w:r>
      <w:r w:rsidRPr="00205A8A">
        <w:rPr>
          <w:lang w:val="fr-FR"/>
        </w:rPr>
        <w:t xml:space="preserve">incendie, tandis </w:t>
      </w:r>
      <w:r>
        <w:rPr>
          <w:lang w:val="fr-FR"/>
        </w:rPr>
        <w:t>que fixer</w:t>
      </w:r>
      <w:r w:rsidRPr="00205A8A">
        <w:rPr>
          <w:lang w:val="fr-FR"/>
        </w:rPr>
        <w:t xml:space="preserve"> une température trop basse pourrait entraîner de fausses alertes et une perte de crédibilité </w:t>
      </w:r>
      <w:r>
        <w:rPr>
          <w:lang w:val="fr-FR"/>
        </w:rPr>
        <w:t xml:space="preserve">auprès </w:t>
      </w:r>
      <w:r w:rsidRPr="00205A8A">
        <w:rPr>
          <w:lang w:val="fr-FR"/>
        </w:rPr>
        <w:t>du conducteur.</w:t>
      </w:r>
    </w:p>
    <w:p w:rsidR="008D4D39" w:rsidRPr="00205A8A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205A8A">
        <w:rPr>
          <w:lang w:val="fr-FR"/>
        </w:rPr>
        <w:t xml:space="preserve">La méthode de vérification doit être décidée </w:t>
      </w:r>
      <w:r>
        <w:rPr>
          <w:lang w:val="fr-FR"/>
        </w:rPr>
        <w:t xml:space="preserve">suivant </w:t>
      </w:r>
      <w:r w:rsidRPr="00205A8A">
        <w:rPr>
          <w:lang w:val="fr-FR"/>
        </w:rPr>
        <w:t xml:space="preserve">la recommandation du </w:t>
      </w:r>
      <w:r w:rsidRPr="004F2F59">
        <w:rPr>
          <w:lang w:val="fr-FR"/>
        </w:rPr>
        <w:t>constructeur</w:t>
      </w:r>
      <w:r w:rsidRPr="00205A8A">
        <w:rPr>
          <w:lang w:val="fr-FR"/>
        </w:rPr>
        <w:t xml:space="preserve">, car les températures à détecter peuvent varier en fonction du </w:t>
      </w:r>
      <w:r>
        <w:rPr>
          <w:lang w:val="fr-FR"/>
        </w:rPr>
        <w:t>point</w:t>
      </w:r>
      <w:r w:rsidRPr="00205A8A">
        <w:rPr>
          <w:lang w:val="fr-FR"/>
        </w:rPr>
        <w:t xml:space="preserve"> de détection.</w:t>
      </w:r>
    </w:p>
    <w:p w:rsidR="008D4D39" w:rsidRPr="00AF5371" w:rsidRDefault="008D4D39" w:rsidP="008D4D39">
      <w:pPr>
        <w:pStyle w:val="SingleTxtG"/>
        <w:ind w:left="1701"/>
        <w:rPr>
          <w:spacing w:val="-1"/>
          <w:lang w:val="fr-FR"/>
        </w:rPr>
      </w:pPr>
      <w:r w:rsidRPr="00AF5371">
        <w:rPr>
          <w:spacing w:val="-1"/>
          <w:lang w:val="fr-FR"/>
        </w:rPr>
        <w:t>5.</w:t>
      </w:r>
      <w:r w:rsidRPr="00AF5371">
        <w:rPr>
          <w:spacing w:val="-1"/>
          <w:lang w:val="fr-FR"/>
        </w:rPr>
        <w:tab/>
        <w:t xml:space="preserve">La proposition indique également que le service technique doit vérifier le seuil au moyen d’une technologie différente de celle du système de détection (infrarouge </w:t>
      </w:r>
      <w:r w:rsidRPr="00AF5371">
        <w:rPr>
          <w:lang w:val="fr-FR"/>
        </w:rPr>
        <w:t>au lieu de thermocouple,</w:t>
      </w:r>
      <w:r w:rsidRPr="00AF5371">
        <w:t xml:space="preserve"> </w:t>
      </w:r>
      <w:r w:rsidRPr="00AF5371">
        <w:rPr>
          <w:lang w:val="fr-FR"/>
        </w:rPr>
        <w:t>par exemple) afin de garantir la fiabilité de la mesure.</w:t>
      </w:r>
    </w:p>
    <w:p w:rsidR="008D4D39" w:rsidRPr="00205A8A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205A8A">
        <w:rPr>
          <w:lang w:val="fr-FR"/>
        </w:rPr>
        <w:t xml:space="preserve">Le dernier point de </w:t>
      </w:r>
      <w:r>
        <w:rPr>
          <w:lang w:val="fr-FR"/>
        </w:rPr>
        <w:t>cette</w:t>
      </w:r>
      <w:r w:rsidRPr="00205A8A">
        <w:rPr>
          <w:lang w:val="fr-FR"/>
        </w:rPr>
        <w:t xml:space="preserve"> proposition d</w:t>
      </w:r>
      <w:r>
        <w:rPr>
          <w:lang w:val="fr-FR"/>
        </w:rPr>
        <w:t>’</w:t>
      </w:r>
      <w:r w:rsidRPr="00205A8A">
        <w:rPr>
          <w:lang w:val="fr-FR"/>
        </w:rPr>
        <w:t>amendement a été soumis par les experts afin d</w:t>
      </w:r>
      <w:r>
        <w:rPr>
          <w:lang w:val="fr-FR"/>
        </w:rPr>
        <w:t>’</w:t>
      </w:r>
      <w:r w:rsidRPr="00205A8A">
        <w:rPr>
          <w:lang w:val="fr-FR"/>
        </w:rPr>
        <w:t>éviter toute détection sans déclenchement d</w:t>
      </w:r>
      <w:r>
        <w:rPr>
          <w:lang w:val="fr-FR"/>
        </w:rPr>
        <w:t>’</w:t>
      </w:r>
      <w:r w:rsidRPr="00205A8A">
        <w:rPr>
          <w:lang w:val="fr-FR"/>
        </w:rPr>
        <w:t xml:space="preserve">alarme </w:t>
      </w:r>
      <w:r>
        <w:rPr>
          <w:lang w:val="fr-FR"/>
        </w:rPr>
        <w:t>qui pourrait découler</w:t>
      </w:r>
      <w:r w:rsidRPr="00205A8A">
        <w:rPr>
          <w:lang w:val="fr-FR"/>
        </w:rPr>
        <w:t xml:space="preserve"> de la multiplicité des systèmes internes.</w:t>
      </w:r>
    </w:p>
    <w:p w:rsidR="008D4D39" w:rsidRPr="00205A8A" w:rsidRDefault="008D4D39" w:rsidP="00AF5371">
      <w:pPr>
        <w:pStyle w:val="SingleTxtG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</w:r>
      <w:r w:rsidRPr="00205A8A">
        <w:rPr>
          <w:lang w:val="fr-FR"/>
        </w:rPr>
        <w:t>Ouverture de toutes les portes motorisées</w:t>
      </w:r>
    </w:p>
    <w:p w:rsidR="008D4D39" w:rsidRPr="00AF5371" w:rsidRDefault="008D4D39" w:rsidP="008D4D39">
      <w:pPr>
        <w:pStyle w:val="SingleTxtG"/>
        <w:ind w:left="1701"/>
        <w:rPr>
          <w:spacing w:val="-2"/>
          <w:lang w:val="fr-FR"/>
        </w:rPr>
      </w:pPr>
      <w:r w:rsidRPr="00AF5371">
        <w:rPr>
          <w:spacing w:val="-2"/>
          <w:lang w:val="fr-FR"/>
        </w:rPr>
        <w:t>7.</w:t>
      </w:r>
      <w:r w:rsidRPr="00AF5371">
        <w:rPr>
          <w:spacing w:val="-2"/>
          <w:lang w:val="fr-FR"/>
        </w:rPr>
        <w:tab/>
        <w:t>Selon les recherches effectuées et les débats menés entre experts au cours de plusieurs sessions, il apparaît qu’en cas d’incendie les passagers ont inconsciemment tendance à emprunter le même chemin qu’ils ont suivi pour monter à bord du véhicule.</w:t>
      </w:r>
    </w:p>
    <w:p w:rsidR="008D4D39" w:rsidRPr="00592555" w:rsidRDefault="008D4D39" w:rsidP="008D4D39">
      <w:pPr>
        <w:pStyle w:val="SingleTxtG"/>
        <w:ind w:left="1701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Pr="00592555">
        <w:rPr>
          <w:lang w:val="fr-FR"/>
        </w:rPr>
        <w:t>Une possibilité d</w:t>
      </w:r>
      <w:r>
        <w:rPr>
          <w:lang w:val="fr-FR"/>
        </w:rPr>
        <w:t>’</w:t>
      </w:r>
      <w:r w:rsidRPr="00592555">
        <w:rPr>
          <w:lang w:val="fr-FR"/>
        </w:rPr>
        <w:t>améliorer l</w:t>
      </w:r>
      <w:r>
        <w:rPr>
          <w:lang w:val="fr-FR"/>
        </w:rPr>
        <w:t>’</w:t>
      </w:r>
      <w:r w:rsidRPr="00592555">
        <w:rPr>
          <w:lang w:val="fr-FR"/>
        </w:rPr>
        <w:t xml:space="preserve">évacuation des passagers, en plus des issues de secours déjà </w:t>
      </w:r>
      <w:r>
        <w:rPr>
          <w:lang w:val="fr-FR"/>
        </w:rPr>
        <w:t>indiquées</w:t>
      </w:r>
      <w:r w:rsidRPr="00592555">
        <w:rPr>
          <w:lang w:val="fr-FR"/>
        </w:rPr>
        <w:t>, est de garantir, sur décision du conducteur, l</w:t>
      </w:r>
      <w:r>
        <w:rPr>
          <w:lang w:val="fr-FR"/>
        </w:rPr>
        <w:t>’</w:t>
      </w:r>
      <w:r w:rsidRPr="00592555">
        <w:rPr>
          <w:lang w:val="fr-FR"/>
        </w:rPr>
        <w:t>ouverture de toutes les issues de secours</w:t>
      </w:r>
      <w:r>
        <w:rPr>
          <w:lang w:val="fr-FR"/>
        </w:rPr>
        <w:t xml:space="preserve"> motorisées</w:t>
      </w:r>
      <w:r w:rsidRPr="00592555">
        <w:rPr>
          <w:lang w:val="fr-FR"/>
        </w:rPr>
        <w:t xml:space="preserve"> </w:t>
      </w:r>
      <w:r>
        <w:rPr>
          <w:lang w:val="fr-FR"/>
        </w:rPr>
        <w:t>par</w:t>
      </w:r>
      <w:r w:rsidRPr="00592555">
        <w:rPr>
          <w:lang w:val="fr-FR"/>
        </w:rPr>
        <w:t xml:space="preserve"> une action</w:t>
      </w:r>
      <w:r>
        <w:rPr>
          <w:lang w:val="fr-FR"/>
        </w:rPr>
        <w:t xml:space="preserve"> unique</w:t>
      </w:r>
      <w:r w:rsidRPr="00592555">
        <w:rPr>
          <w:lang w:val="fr-FR"/>
        </w:rPr>
        <w:t>. Cette mesure, en association avec l</w:t>
      </w:r>
      <w:r>
        <w:rPr>
          <w:lang w:val="fr-FR"/>
        </w:rPr>
        <w:t>’</w:t>
      </w:r>
      <w:r w:rsidRPr="00592555">
        <w:rPr>
          <w:lang w:val="fr-FR"/>
        </w:rPr>
        <w:t>éclairage, vise à donner</w:t>
      </w:r>
      <w:r w:rsidRPr="00665C88">
        <w:rPr>
          <w:lang w:val="fr-FR"/>
        </w:rPr>
        <w:t xml:space="preserve"> </w:t>
      </w:r>
      <w:r w:rsidRPr="00592555">
        <w:rPr>
          <w:lang w:val="fr-FR"/>
        </w:rPr>
        <w:t>également aux passagers la possibilité</w:t>
      </w:r>
      <w:r w:rsidRPr="00665C88">
        <w:rPr>
          <w:lang w:val="fr-FR"/>
        </w:rPr>
        <w:t xml:space="preserve"> </w:t>
      </w:r>
      <w:r>
        <w:rPr>
          <w:lang w:val="fr-FR"/>
        </w:rPr>
        <w:t>de sortir du</w:t>
      </w:r>
      <w:r w:rsidRPr="00592555">
        <w:rPr>
          <w:lang w:val="fr-FR"/>
        </w:rPr>
        <w:t xml:space="preserve"> véhicule </w:t>
      </w:r>
      <w:r>
        <w:rPr>
          <w:lang w:val="fr-FR"/>
        </w:rPr>
        <w:t xml:space="preserve">par une issue </w:t>
      </w:r>
      <w:r w:rsidRPr="00592555">
        <w:rPr>
          <w:lang w:val="fr-FR"/>
        </w:rPr>
        <w:t xml:space="preserve">classique </w:t>
      </w:r>
      <w:r>
        <w:rPr>
          <w:lang w:val="fr-FR"/>
        </w:rPr>
        <w:t>dans le cadre d’</w:t>
      </w:r>
      <w:r w:rsidRPr="00592555">
        <w:rPr>
          <w:lang w:val="fr-FR"/>
        </w:rPr>
        <w:t>un</w:t>
      </w:r>
      <w:r>
        <w:rPr>
          <w:lang w:val="fr-FR"/>
        </w:rPr>
        <w:t>e</w:t>
      </w:r>
      <w:r w:rsidRPr="00592555">
        <w:rPr>
          <w:lang w:val="fr-FR"/>
        </w:rPr>
        <w:t xml:space="preserve"> </w:t>
      </w:r>
      <w:r>
        <w:rPr>
          <w:lang w:val="fr-FR"/>
        </w:rPr>
        <w:t>évacuation</w:t>
      </w:r>
      <w:r w:rsidRPr="00592555">
        <w:rPr>
          <w:lang w:val="fr-FR"/>
        </w:rPr>
        <w:t xml:space="preserve"> </w:t>
      </w:r>
      <w:r>
        <w:rPr>
          <w:lang w:val="fr-FR"/>
        </w:rPr>
        <w:t>en bon ordre</w:t>
      </w:r>
      <w:r w:rsidRPr="00592555">
        <w:rPr>
          <w:lang w:val="fr-FR"/>
        </w:rPr>
        <w:t xml:space="preserve"> sous le contrôle du conducteur.</w:t>
      </w:r>
    </w:p>
    <w:p w:rsidR="008D4D39" w:rsidRPr="00205A8A" w:rsidRDefault="008D4D39" w:rsidP="00AF5371">
      <w:pPr>
        <w:pStyle w:val="SingleTxtG"/>
        <w:ind w:left="1701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Pr="00205A8A">
        <w:rPr>
          <w:lang w:val="fr-FR"/>
        </w:rPr>
        <w:t xml:space="preserve">Les critères pertinents pour cette nouvelle </w:t>
      </w:r>
      <w:r>
        <w:rPr>
          <w:lang w:val="fr-FR"/>
        </w:rPr>
        <w:t>disposition</w:t>
      </w:r>
      <w:r w:rsidRPr="00205A8A">
        <w:rPr>
          <w:lang w:val="fr-FR"/>
        </w:rPr>
        <w:t xml:space="preserve"> sont les suivants</w:t>
      </w:r>
      <w:r>
        <w:rPr>
          <w:lang w:val="fr-FR"/>
        </w:rPr>
        <w:t> :</w:t>
      </w:r>
    </w:p>
    <w:p w:rsidR="008D4D39" w:rsidRPr="00205A8A" w:rsidRDefault="008D4D39" w:rsidP="00AF5371">
      <w:pPr>
        <w:pStyle w:val="SingleTxtG"/>
        <w:ind w:left="1701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Pr="00205A8A">
        <w:rPr>
          <w:lang w:val="fr-FR"/>
        </w:rPr>
        <w:t>Position du moteur à l</w:t>
      </w:r>
      <w:r>
        <w:rPr>
          <w:lang w:val="fr-FR"/>
        </w:rPr>
        <w:t>’</w:t>
      </w:r>
      <w:r w:rsidRPr="00205A8A">
        <w:rPr>
          <w:lang w:val="fr-FR"/>
        </w:rPr>
        <w:t>arrière de la cabine de conduite</w:t>
      </w:r>
    </w:p>
    <w:p w:rsidR="008D4D39" w:rsidRPr="00205A8A" w:rsidRDefault="008D4D39" w:rsidP="008D4D39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205A8A">
        <w:rPr>
          <w:lang w:val="fr-FR"/>
        </w:rPr>
        <w:t>Type de porte de service</w:t>
      </w:r>
      <w:r>
        <w:rPr>
          <w:lang w:val="fr-FR"/>
        </w:rPr>
        <w:t> :</w:t>
      </w:r>
      <w:r w:rsidRPr="00205A8A">
        <w:rPr>
          <w:lang w:val="fr-FR"/>
        </w:rPr>
        <w:t xml:space="preserve"> limiter </w:t>
      </w:r>
      <w:r>
        <w:rPr>
          <w:lang w:val="fr-FR"/>
        </w:rPr>
        <w:t>la prescription</w:t>
      </w:r>
      <w:r w:rsidRPr="00205A8A">
        <w:rPr>
          <w:lang w:val="fr-FR"/>
        </w:rPr>
        <w:t xml:space="preserve"> aux seules portes de service motorisées</w:t>
      </w:r>
      <w:r>
        <w:rPr>
          <w:lang w:val="fr-FR"/>
        </w:rPr>
        <w:t> ;</w:t>
      </w:r>
    </w:p>
    <w:p w:rsidR="008D4D39" w:rsidRPr="00205A8A" w:rsidRDefault="008D4D39" w:rsidP="00AF5371">
      <w:pPr>
        <w:pStyle w:val="SingleTxtG"/>
        <w:ind w:left="1701"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205A8A">
        <w:rPr>
          <w:lang w:val="fr-FR"/>
        </w:rPr>
        <w:t xml:space="preserve">Vitesse </w:t>
      </w:r>
      <w:r>
        <w:rPr>
          <w:lang w:val="fr-FR"/>
        </w:rPr>
        <w:t>inférieure à</w:t>
      </w:r>
      <w:r w:rsidRPr="00205A8A">
        <w:rPr>
          <w:lang w:val="fr-FR"/>
        </w:rPr>
        <w:t xml:space="preserve"> 3</w:t>
      </w:r>
      <w:r>
        <w:rPr>
          <w:lang w:val="fr-FR"/>
        </w:rPr>
        <w:t> </w:t>
      </w:r>
      <w:r w:rsidRPr="00205A8A">
        <w:rPr>
          <w:lang w:val="fr-FR"/>
        </w:rPr>
        <w:t>km/h ou véhicule à l</w:t>
      </w:r>
      <w:r>
        <w:rPr>
          <w:lang w:val="fr-FR"/>
        </w:rPr>
        <w:t>’</w:t>
      </w:r>
      <w:r w:rsidRPr="00205A8A">
        <w:rPr>
          <w:lang w:val="fr-FR"/>
        </w:rPr>
        <w:t>arrêt</w:t>
      </w:r>
      <w:r>
        <w:rPr>
          <w:lang w:val="fr-FR"/>
        </w:rPr>
        <w:t> ;</w:t>
      </w:r>
    </w:p>
    <w:p w:rsidR="008D4D39" w:rsidRDefault="008D4D39" w:rsidP="00AF5371">
      <w:pPr>
        <w:pStyle w:val="SingleTxtG"/>
        <w:ind w:left="1701"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C</w:t>
      </w:r>
      <w:r w:rsidRPr="00205A8A">
        <w:rPr>
          <w:lang w:val="fr-FR"/>
        </w:rPr>
        <w:t xml:space="preserve">ôté approprié du véhicule (selon le </w:t>
      </w:r>
      <w:r>
        <w:rPr>
          <w:lang w:val="fr-FR"/>
        </w:rPr>
        <w:t>côté</w:t>
      </w:r>
      <w:r w:rsidRPr="00205A8A">
        <w:rPr>
          <w:lang w:val="fr-FR"/>
        </w:rPr>
        <w:t xml:space="preserve"> de circulation)</w:t>
      </w:r>
      <w:r>
        <w:rPr>
          <w:lang w:val="fr-FR"/>
        </w:rPr>
        <w:t>.</w:t>
      </w:r>
    </w:p>
    <w:p w:rsidR="008D4D39" w:rsidRPr="00205A8A" w:rsidRDefault="008D4D39" w:rsidP="00AF5371">
      <w:pPr>
        <w:pStyle w:val="SingleTxtG"/>
        <w:ind w:left="0"/>
        <w:rPr>
          <w:b/>
          <w:lang w:val="fr-FR"/>
        </w:rPr>
      </w:pPr>
      <w:r>
        <w:rPr>
          <w:b/>
          <w:lang w:val="fr-FR"/>
        </w:rPr>
        <w:t>Consignes</w:t>
      </w:r>
      <w:r w:rsidRPr="00205A8A">
        <w:rPr>
          <w:b/>
          <w:lang w:val="fr-FR"/>
        </w:rPr>
        <w:t xml:space="preserve"> de sécurité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617"/>
        <w:gridCol w:w="2198"/>
        <w:gridCol w:w="2299"/>
      </w:tblGrid>
      <w:tr w:rsidR="008D4D39" w:rsidRPr="008D4D39" w:rsidTr="00AF5371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4D39" w:rsidRPr="008D4D39" w:rsidRDefault="008D4D39" w:rsidP="008D4D39">
            <w:pPr>
              <w:spacing w:before="80" w:after="80" w:line="200" w:lineRule="exact"/>
              <w:ind w:right="113"/>
              <w:rPr>
                <w:i/>
                <w:spacing w:val="-1"/>
                <w:sz w:val="16"/>
                <w:lang w:val="fr-FR"/>
              </w:rPr>
            </w:pPr>
            <w:r w:rsidRPr="008D4D39">
              <w:rPr>
                <w:i/>
                <w:spacing w:val="-1"/>
                <w:sz w:val="16"/>
                <w:lang w:val="fr-FR"/>
              </w:rPr>
              <w:t>À la quatrième réunion du groupe de travail informel, les experts ont débattu des paramètres du tableau suivant :</w:t>
            </w:r>
          </w:p>
        </w:tc>
      </w:tr>
      <w:tr w:rsidR="008D4D39" w:rsidRPr="008D4D39" w:rsidTr="00AF5371">
        <w:trPr>
          <w:trHeight w:hRule="exact" w:val="113"/>
          <w:tblHeader/>
        </w:trPr>
        <w:tc>
          <w:tcPr>
            <w:tcW w:w="7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8D4D39" w:rsidRPr="008D4D39" w:rsidTr="00AF5371">
        <w:trPr>
          <w:tblHeader/>
        </w:trPr>
        <w:tc>
          <w:tcPr>
            <w:tcW w:w="1930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b/>
                <w:lang w:val="fr-FR"/>
              </w:rPr>
            </w:pPr>
            <w:r w:rsidRPr="008D4D39">
              <w:rPr>
                <w:b/>
                <w:lang w:val="fr-FR"/>
              </w:rPr>
              <w:t>Si le Règlement prévoit des dispositions relatives</w:t>
            </w:r>
            <w:r w:rsidRPr="005207F2">
              <w:rPr>
                <w:bCs/>
                <w:lang w:val="fr-FR"/>
              </w:rPr>
              <w:t> :</w:t>
            </w:r>
          </w:p>
        </w:tc>
        <w:tc>
          <w:tcPr>
            <w:tcW w:w="2001" w:type="dxa"/>
            <w:shd w:val="clear" w:color="auto" w:fill="auto"/>
          </w:tcPr>
          <w:p w:rsidR="008D4D39" w:rsidRPr="005207F2" w:rsidRDefault="008D4D39" w:rsidP="008D4D39">
            <w:pPr>
              <w:spacing w:before="40" w:after="120"/>
              <w:ind w:right="113"/>
              <w:rPr>
                <w:b/>
                <w:spacing w:val="-1"/>
                <w:lang w:val="fr-FR"/>
              </w:rPr>
            </w:pPr>
            <w:r w:rsidRPr="005207F2">
              <w:rPr>
                <w:b/>
                <w:spacing w:val="-1"/>
                <w:lang w:val="fr-FR"/>
              </w:rPr>
              <w:t>Le constructeur doit prévoir</w:t>
            </w:r>
            <w:r w:rsidRPr="005207F2">
              <w:rPr>
                <w:bCs/>
                <w:spacing w:val="-1"/>
                <w:lang w:val="fr-FR"/>
              </w:rPr>
              <w:t> :</w:t>
            </w:r>
          </w:p>
        </w:tc>
        <w:tc>
          <w:tcPr>
            <w:tcW w:w="1681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b/>
                <w:lang w:val="fr-FR"/>
              </w:rPr>
            </w:pPr>
            <w:r w:rsidRPr="008D4D39">
              <w:rPr>
                <w:b/>
                <w:lang w:val="fr-FR"/>
              </w:rPr>
              <w:t>L’exploitant doit</w:t>
            </w:r>
            <w:r w:rsidRPr="005207F2">
              <w:rPr>
                <w:bCs/>
                <w:lang w:val="fr-FR"/>
              </w:rPr>
              <w:t> :</w:t>
            </w:r>
          </w:p>
        </w:tc>
        <w:tc>
          <w:tcPr>
            <w:tcW w:w="1758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b/>
                <w:lang w:val="fr-FR"/>
              </w:rPr>
            </w:pPr>
            <w:r w:rsidRPr="008D4D39">
              <w:rPr>
                <w:b/>
                <w:lang w:val="fr-FR"/>
              </w:rPr>
              <w:t>Commentaires</w:t>
            </w:r>
          </w:p>
        </w:tc>
      </w:tr>
      <w:tr w:rsidR="008D4D39" w:rsidRPr="008D4D39" w:rsidTr="00AF5371">
        <w:tc>
          <w:tcPr>
            <w:tcW w:w="1930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À une fiche de sécurité</w:t>
            </w:r>
          </w:p>
        </w:tc>
        <w:tc>
          <w:tcPr>
            <w:tcW w:w="2001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Un espace réservé aux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fiches</w:t>
            </w:r>
          </w:p>
        </w:tc>
        <w:tc>
          <w:tcPr>
            <w:tcW w:w="1681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Fournir la fiche adaptée à l’utilisation du véhicule</w:t>
            </w:r>
          </w:p>
        </w:tc>
        <w:tc>
          <w:tcPr>
            <w:tcW w:w="1758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Conception restrictive car elle impose une fiche</w:t>
            </w:r>
          </w:p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Difficulté d’adapter la langue au territoire où le véhicule sera exploité</w:t>
            </w:r>
          </w:p>
        </w:tc>
      </w:tr>
      <w:tr w:rsidR="008D4D39" w:rsidRPr="008D4D39" w:rsidTr="00AF5371">
        <w:tc>
          <w:tcPr>
            <w:tcW w:w="1930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Aux consignes de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sécurité en</w:t>
            </w:r>
            <w:r w:rsidR="00AF5371">
              <w:rPr>
                <w:lang w:val="fr-FR"/>
              </w:rPr>
              <w:t> </w:t>
            </w:r>
            <w:r w:rsidRPr="008D4D39">
              <w:rPr>
                <w:lang w:val="fr-FR"/>
              </w:rPr>
              <w:t>général</w:t>
            </w:r>
          </w:p>
        </w:tc>
        <w:tc>
          <w:tcPr>
            <w:tcW w:w="2001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Des instructions générales, par exemple concernant l’emplacement des</w:t>
            </w:r>
            <w:r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issues de</w:t>
            </w:r>
            <w:r w:rsidR="00AF5371">
              <w:rPr>
                <w:lang w:val="fr-FR"/>
              </w:rPr>
              <w:t> </w:t>
            </w:r>
            <w:r w:rsidRPr="008D4D39">
              <w:rPr>
                <w:lang w:val="fr-FR"/>
              </w:rPr>
              <w:t xml:space="preserve">secours </w:t>
            </w:r>
          </w:p>
        </w:tc>
        <w:tc>
          <w:tcPr>
            <w:tcW w:w="1681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Adapter les instructions aux</w:t>
            </w:r>
            <w:r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occupants et au type de</w:t>
            </w:r>
            <w:r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voyage</w:t>
            </w:r>
          </w:p>
        </w:tc>
        <w:tc>
          <w:tcPr>
            <w:tcW w:w="1758" w:type="dxa"/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Solution neutre</w:t>
            </w:r>
            <w:r w:rsidRPr="008D4D39">
              <w:t xml:space="preserve"> </w:t>
            </w:r>
            <w:r w:rsidRPr="008D4D39">
              <w:rPr>
                <w:lang w:val="fr-FR"/>
              </w:rPr>
              <w:t>sur le plan technologique, permettant les</w:t>
            </w:r>
            <w:r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fiches de sécurité, les</w:t>
            </w:r>
            <w:r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instructions vidéo, la signalisation, les instructions données par</w:t>
            </w:r>
            <w:r w:rsidR="00AF5371">
              <w:rPr>
                <w:lang w:val="fr-FR"/>
              </w:rPr>
              <w:t> </w:t>
            </w:r>
            <w:r w:rsidRPr="008D4D39">
              <w:rPr>
                <w:lang w:val="fr-FR"/>
              </w:rPr>
              <w:t>l’équipage, etc.</w:t>
            </w:r>
          </w:p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Il est toutefois difficile de définir des critères de réussite ou d’échec</w:t>
            </w:r>
          </w:p>
        </w:tc>
      </w:tr>
      <w:tr w:rsidR="008D4D39" w:rsidRPr="008D4D39" w:rsidTr="00AF5371"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Aux détails relatifs à la construction du véhicule, par exemple l’emplacement des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issues de secours ou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des</w:t>
            </w:r>
            <w:r w:rsidR="00AF5371">
              <w:rPr>
                <w:lang w:val="fr-FR"/>
              </w:rPr>
              <w:t> </w:t>
            </w:r>
            <w:r w:rsidRPr="008D4D39">
              <w:rPr>
                <w:lang w:val="fr-FR"/>
              </w:rPr>
              <w:t>extincteurs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L’emplacement de chaque issue de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secours ou de chaque extincteur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Adapter les consignes aux aménagements intérieurs qu’il commande au</w:t>
            </w:r>
            <w:r w:rsidR="00AF5371">
              <w:rPr>
                <w:lang w:val="fr-FR"/>
              </w:rPr>
              <w:t xml:space="preserve"> </w:t>
            </w:r>
            <w:r w:rsidRPr="008D4D39">
              <w:rPr>
                <w:lang w:val="fr-FR"/>
              </w:rPr>
              <w:t>constructeur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auto"/>
          </w:tcPr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Neutre sur le plan technologique</w:t>
            </w:r>
          </w:p>
          <w:p w:rsidR="008D4D39" w:rsidRPr="008D4D39" w:rsidRDefault="008D4D39" w:rsidP="008D4D39">
            <w:pPr>
              <w:spacing w:before="40" w:after="120"/>
              <w:ind w:right="113"/>
              <w:rPr>
                <w:lang w:val="fr-FR"/>
              </w:rPr>
            </w:pPr>
            <w:r w:rsidRPr="008D4D39">
              <w:rPr>
                <w:lang w:val="fr-FR"/>
              </w:rPr>
              <w:t>Il est toutefois difficile de définir des critères de réussite ou d’échec</w:t>
            </w:r>
          </w:p>
        </w:tc>
      </w:tr>
    </w:tbl>
    <w:p w:rsidR="008D4D39" w:rsidRPr="00AF5371" w:rsidRDefault="008D4D39" w:rsidP="00AF5371">
      <w:pPr>
        <w:pStyle w:val="SingleTxtG"/>
        <w:spacing w:before="120"/>
        <w:ind w:left="2268"/>
      </w:pPr>
      <w:r w:rsidRPr="00AF5371">
        <w:t>Un consensus a été trouvé au sein du groupe sur la base des principaux paramètres suivants :</w:t>
      </w:r>
    </w:p>
    <w:p w:rsidR="008D4D39" w:rsidRPr="00AF5371" w:rsidRDefault="00AF5371" w:rsidP="00AF5371">
      <w:pPr>
        <w:pStyle w:val="SingleTxtG"/>
        <w:ind w:left="2835"/>
      </w:pPr>
      <w:r>
        <w:t>-</w:t>
      </w:r>
      <w:r>
        <w:tab/>
      </w:r>
      <w:r w:rsidR="008D4D39" w:rsidRPr="00AF5371">
        <w:t>Neutralité sur le plan technologique ;</w:t>
      </w:r>
    </w:p>
    <w:p w:rsidR="008D4D39" w:rsidRDefault="00AF5371" w:rsidP="00AF5371">
      <w:pPr>
        <w:pStyle w:val="SingleTxtG"/>
        <w:ind w:left="2835"/>
      </w:pPr>
      <w:r>
        <w:t>-</w:t>
      </w:r>
      <w:r>
        <w:tab/>
      </w:r>
      <w:r w:rsidR="008D4D39" w:rsidRPr="00AF5371">
        <w:t>Rapport avec la construction du véhicule.</w:t>
      </w:r>
    </w:p>
    <w:p w:rsidR="00AF5371" w:rsidRPr="00AF5371" w:rsidRDefault="00AF5371" w:rsidP="00AF537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371" w:rsidRPr="00AF5371" w:rsidSect="001E31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B3" w:rsidRDefault="009065B3" w:rsidP="00F95C08">
      <w:pPr>
        <w:spacing w:line="240" w:lineRule="auto"/>
      </w:pPr>
    </w:p>
  </w:endnote>
  <w:endnote w:type="continuationSeparator" w:id="0">
    <w:p w:rsidR="009065B3" w:rsidRPr="00AC3823" w:rsidRDefault="009065B3" w:rsidP="00AC3823">
      <w:pPr>
        <w:pStyle w:val="Footer"/>
      </w:pPr>
    </w:p>
  </w:endnote>
  <w:endnote w:type="continuationNotice" w:id="1">
    <w:p w:rsidR="009065B3" w:rsidRDefault="009065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5" w:rsidRPr="001E3175" w:rsidRDefault="001E3175" w:rsidP="001E3175">
    <w:pPr>
      <w:pStyle w:val="Footer"/>
      <w:tabs>
        <w:tab w:val="right" w:pos="9638"/>
      </w:tabs>
    </w:pPr>
    <w:r w:rsidRPr="001E3175">
      <w:rPr>
        <w:b/>
        <w:sz w:val="18"/>
      </w:rPr>
      <w:fldChar w:fldCharType="begin"/>
    </w:r>
    <w:r w:rsidRPr="001E3175">
      <w:rPr>
        <w:b/>
        <w:sz w:val="18"/>
      </w:rPr>
      <w:instrText xml:space="preserve"> PAGE  \* MERGEFORMAT </w:instrText>
    </w:r>
    <w:r w:rsidRPr="001E3175">
      <w:rPr>
        <w:b/>
        <w:sz w:val="18"/>
      </w:rPr>
      <w:fldChar w:fldCharType="separate"/>
    </w:r>
    <w:r w:rsidRPr="001E3175">
      <w:rPr>
        <w:b/>
        <w:noProof/>
        <w:sz w:val="18"/>
      </w:rPr>
      <w:t>2</w:t>
    </w:r>
    <w:r w:rsidRPr="001E3175">
      <w:rPr>
        <w:b/>
        <w:sz w:val="18"/>
      </w:rPr>
      <w:fldChar w:fldCharType="end"/>
    </w:r>
    <w:r>
      <w:rPr>
        <w:b/>
        <w:sz w:val="18"/>
      </w:rPr>
      <w:tab/>
    </w:r>
    <w:r>
      <w:t>GE.20-10004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5" w:rsidRPr="001E3175" w:rsidRDefault="001E3175" w:rsidP="001E3175">
    <w:pPr>
      <w:pStyle w:val="Footer"/>
      <w:tabs>
        <w:tab w:val="right" w:pos="9638"/>
      </w:tabs>
      <w:rPr>
        <w:b/>
        <w:sz w:val="18"/>
      </w:rPr>
    </w:pPr>
    <w:r>
      <w:t>GE.20-10004</w:t>
    </w:r>
    <w:r>
      <w:tab/>
    </w:r>
    <w:r w:rsidRPr="001E3175">
      <w:rPr>
        <w:b/>
        <w:sz w:val="18"/>
      </w:rPr>
      <w:fldChar w:fldCharType="begin"/>
    </w:r>
    <w:r w:rsidRPr="001E3175">
      <w:rPr>
        <w:b/>
        <w:sz w:val="18"/>
      </w:rPr>
      <w:instrText xml:space="preserve"> PAGE  \* MERGEFORMAT </w:instrText>
    </w:r>
    <w:r w:rsidRPr="001E3175">
      <w:rPr>
        <w:b/>
        <w:sz w:val="18"/>
      </w:rPr>
      <w:fldChar w:fldCharType="separate"/>
    </w:r>
    <w:r w:rsidRPr="001E3175">
      <w:rPr>
        <w:b/>
        <w:noProof/>
        <w:sz w:val="18"/>
      </w:rPr>
      <w:t>3</w:t>
    </w:r>
    <w:r w:rsidRPr="001E31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E3175" w:rsidRDefault="001E3175" w:rsidP="001E317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20-10004  (F)    050820    050820</w:t>
    </w:r>
    <w:r>
      <w:rPr>
        <w:sz w:val="20"/>
      </w:rPr>
      <w:br/>
    </w:r>
    <w:r w:rsidRPr="001E3175">
      <w:rPr>
        <w:rFonts w:ascii="C39T30Lfz" w:hAnsi="C39T30Lfz"/>
        <w:sz w:val="56"/>
      </w:rPr>
      <w:t></w:t>
    </w:r>
    <w:r w:rsidRPr="001E3175">
      <w:rPr>
        <w:rFonts w:ascii="C39T30Lfz" w:hAnsi="C39T30Lfz"/>
        <w:sz w:val="56"/>
      </w:rPr>
      <w:t></w:t>
    </w:r>
    <w:r w:rsidRPr="001E3175">
      <w:rPr>
        <w:rFonts w:ascii="C39T30Lfz" w:hAnsi="C39T30Lfz"/>
        <w:sz w:val="56"/>
      </w:rPr>
      <w:t></w:t>
    </w:r>
    <w:r w:rsidRPr="001E3175">
      <w:rPr>
        <w:rFonts w:ascii="C39T30Lfz" w:hAnsi="C39T30Lfz"/>
        <w:sz w:val="56"/>
      </w:rPr>
      <w:t></w:t>
    </w:r>
    <w:r w:rsidRPr="001E3175">
      <w:rPr>
        <w:rFonts w:ascii="C39T30Lfz" w:hAnsi="C39T30Lfz"/>
        <w:sz w:val="56"/>
      </w:rPr>
      <w:t></w:t>
    </w:r>
    <w:r w:rsidRPr="001E3175">
      <w:rPr>
        <w:rFonts w:ascii="C39T30Lfz" w:hAnsi="C39T30Lfz"/>
        <w:sz w:val="56"/>
      </w:rPr>
      <w:t></w:t>
    </w:r>
    <w:r w:rsidRPr="001E3175">
      <w:rPr>
        <w:rFonts w:ascii="C39T30Lfz" w:hAnsi="C39T30Lfz"/>
        <w:sz w:val="56"/>
      </w:rPr>
      <w:t></w:t>
    </w:r>
    <w:r w:rsidRPr="001E3175">
      <w:rPr>
        <w:rFonts w:ascii="C39T30Lfz" w:hAnsi="C39T30Lfz"/>
        <w:sz w:val="56"/>
      </w:rPr>
      <w:t></w:t>
    </w:r>
    <w:r w:rsidRPr="001E317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B3" w:rsidRPr="00AC3823" w:rsidRDefault="009065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65B3" w:rsidRPr="00AC3823" w:rsidRDefault="009065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65B3" w:rsidRPr="00AC3823" w:rsidRDefault="009065B3">
      <w:pPr>
        <w:spacing w:line="240" w:lineRule="auto"/>
        <w:rPr>
          <w:sz w:val="2"/>
          <w:szCs w:val="2"/>
        </w:rPr>
      </w:pPr>
    </w:p>
  </w:footnote>
  <w:footnote w:id="2">
    <w:p w:rsidR="00180CD2" w:rsidRPr="00180CD2" w:rsidRDefault="00180CD2">
      <w:pPr>
        <w:pStyle w:val="FootnoteText"/>
      </w:pPr>
      <w:r>
        <w:rPr>
          <w:rStyle w:val="FootnoteReference"/>
        </w:rPr>
        <w:tab/>
      </w:r>
      <w:r w:rsidRPr="00180CD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2764">
        <w:rPr>
          <w:szCs w:val="18"/>
          <w:lang w:val="fr-FR" w:eastAsia="fr-FR"/>
        </w:rPr>
        <w:t>Conformément au programme de travail du Comité des transports intérieurs pour 2020 tel qu</w:t>
      </w:r>
      <w:r>
        <w:rPr>
          <w:szCs w:val="18"/>
          <w:lang w:val="fr-FR" w:eastAsia="fr-FR"/>
        </w:rPr>
        <w:t>’</w:t>
      </w:r>
      <w:r w:rsidRPr="00FD2764">
        <w:rPr>
          <w:szCs w:val="18"/>
          <w:lang w:val="fr-FR" w:eastAsia="fr-FR"/>
        </w:rPr>
        <w:t xml:space="preserve">il figure dans le projet de budget-programme pour 2020 (A/74/6 </w:t>
      </w:r>
      <w:r>
        <w:rPr>
          <w:szCs w:val="18"/>
          <w:lang w:val="fr-FR" w:eastAsia="fr-FR"/>
        </w:rPr>
        <w:t>(</w:t>
      </w:r>
      <w:r w:rsidRPr="00FD2764">
        <w:rPr>
          <w:szCs w:val="18"/>
          <w:lang w:val="fr-FR" w:eastAsia="fr-FR"/>
        </w:rPr>
        <w:t>titre</w:t>
      </w:r>
      <w:r>
        <w:rPr>
          <w:szCs w:val="18"/>
          <w:lang w:val="fr-FR" w:eastAsia="fr-FR"/>
        </w:rPr>
        <w:t> </w:t>
      </w:r>
      <w:r w:rsidRPr="00FD2764">
        <w:rPr>
          <w:szCs w:val="18"/>
          <w:lang w:val="fr-FR" w:eastAsia="fr-FR"/>
        </w:rPr>
        <w:t>V, chap.</w:t>
      </w:r>
      <w:r>
        <w:rPr>
          <w:szCs w:val="18"/>
          <w:lang w:val="fr-FR" w:eastAsia="fr-FR"/>
        </w:rPr>
        <w:t> </w:t>
      </w:r>
      <w:r w:rsidRPr="00FD2764">
        <w:rPr>
          <w:szCs w:val="18"/>
          <w:lang w:val="fr-FR" w:eastAsia="fr-FR"/>
        </w:rPr>
        <w:t>20</w:t>
      </w:r>
      <w:r>
        <w:rPr>
          <w:szCs w:val="18"/>
          <w:lang w:val="fr-FR" w:eastAsia="fr-FR"/>
        </w:rPr>
        <w:t>)</w:t>
      </w:r>
      <w:r w:rsidRPr="00FD2764">
        <w:rPr>
          <w:szCs w:val="18"/>
          <w:lang w:val="fr-FR" w:eastAsia="fr-FR"/>
        </w:rPr>
        <w:t>, par.</w:t>
      </w:r>
      <w:r>
        <w:rPr>
          <w:szCs w:val="18"/>
          <w:lang w:val="fr-FR" w:eastAsia="fr-FR"/>
        </w:rPr>
        <w:t> </w:t>
      </w:r>
      <w:r w:rsidRPr="00FD2764">
        <w:rPr>
          <w:szCs w:val="18"/>
          <w:lang w:val="fr-FR" w:eastAsia="fr-FR"/>
        </w:rPr>
        <w:t>20.37), le Forum mondial a pour mission d</w:t>
      </w:r>
      <w:r>
        <w:rPr>
          <w:szCs w:val="18"/>
          <w:lang w:val="fr-FR" w:eastAsia="fr-FR"/>
        </w:rPr>
        <w:t>’</w:t>
      </w:r>
      <w:r w:rsidRPr="00FD2764">
        <w:rPr>
          <w:szCs w:val="18"/>
          <w:lang w:val="fr-FR" w:eastAsia="fr-FR"/>
        </w:rPr>
        <w:t>élaborer, d</w:t>
      </w:r>
      <w:r>
        <w:rPr>
          <w:szCs w:val="18"/>
          <w:lang w:val="fr-FR" w:eastAsia="fr-FR"/>
        </w:rPr>
        <w:t>’</w:t>
      </w:r>
      <w:r w:rsidRPr="00FD2764">
        <w:rPr>
          <w:szCs w:val="18"/>
          <w:lang w:val="fr-FR" w:eastAsia="fr-FR"/>
        </w:rPr>
        <w:t>harmoniser et de mettre à jour les Règlements ONU en vue d</w:t>
      </w:r>
      <w:r>
        <w:rPr>
          <w:szCs w:val="18"/>
          <w:lang w:val="fr-FR" w:eastAsia="fr-FR"/>
        </w:rPr>
        <w:t>’</w:t>
      </w:r>
      <w:r w:rsidRPr="00FD2764">
        <w:rPr>
          <w:szCs w:val="18"/>
          <w:lang w:val="fr-FR" w:eastAsia="fr-FR"/>
        </w:rPr>
        <w:t>améliorer les caractéristiques fonctionnelles des véhicules. Le présent document est soumis en vertu de ce mandat.</w:t>
      </w:r>
    </w:p>
  </w:footnote>
  <w:footnote w:id="3">
    <w:p w:rsidR="00E31834" w:rsidRPr="00180CD2" w:rsidRDefault="00E31834" w:rsidP="00180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5" w:rsidRPr="001E3175" w:rsidRDefault="00064EB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77B78">
      <w:t>ECE/TRANS/WP.29/GRSG/2020/19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5" w:rsidRPr="001E3175" w:rsidRDefault="00064EBC" w:rsidP="001E31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77B78">
      <w:t>ECE/TRANS/WP.29/GRSG/2020/19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B3"/>
    <w:rsid w:val="00017F94"/>
    <w:rsid w:val="00023842"/>
    <w:rsid w:val="000334F9"/>
    <w:rsid w:val="00045FEB"/>
    <w:rsid w:val="00064EBC"/>
    <w:rsid w:val="0007796D"/>
    <w:rsid w:val="00077B78"/>
    <w:rsid w:val="000B7790"/>
    <w:rsid w:val="00111F2F"/>
    <w:rsid w:val="0014365E"/>
    <w:rsid w:val="00143C66"/>
    <w:rsid w:val="00176178"/>
    <w:rsid w:val="00180CD2"/>
    <w:rsid w:val="001E317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84AE0"/>
    <w:rsid w:val="004E2EED"/>
    <w:rsid w:val="004E468C"/>
    <w:rsid w:val="00514AB0"/>
    <w:rsid w:val="005207F2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4D39"/>
    <w:rsid w:val="009065B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5371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31834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988572-F3DC-4CE6-8079-5210EE4A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ECE/TRANS/WP.29/GRSG/2020/19</vt:lpstr>
    </vt:vector>
  </TitlesOfParts>
  <Company>DCM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ECE/TRANS/WP.29/GRSG/2020/19</dc:title>
  <dc:subject/>
  <dc:creator>Marie DESCHAMPS</dc:creator>
  <cp:keywords/>
  <cp:lastModifiedBy>Secretariat</cp:lastModifiedBy>
  <cp:revision>2</cp:revision>
  <cp:lastPrinted>2014-05-14T10:59:00Z</cp:lastPrinted>
  <dcterms:created xsi:type="dcterms:W3CDTF">2020-08-25T07:52:00Z</dcterms:created>
  <dcterms:modified xsi:type="dcterms:W3CDTF">2020-08-25T07:52:00Z</dcterms:modified>
</cp:coreProperties>
</file>