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214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2141B" w:rsidP="0012141B">
            <w:pPr>
              <w:jc w:val="right"/>
            </w:pPr>
            <w:r w:rsidRPr="0012141B">
              <w:rPr>
                <w:sz w:val="40"/>
              </w:rPr>
              <w:t>ECE</w:t>
            </w:r>
            <w:r>
              <w:t>/TRANS/WP.29/GRSG/2020/17</w:t>
            </w:r>
          </w:p>
        </w:tc>
      </w:tr>
      <w:tr w:rsidR="002D5AAC" w:rsidRPr="00F54D9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214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2141B" w:rsidRDefault="0012141B" w:rsidP="001214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:rsidR="0012141B" w:rsidRDefault="0012141B" w:rsidP="001214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2141B" w:rsidRPr="008D53B6" w:rsidRDefault="0012141B" w:rsidP="001214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2141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2141B" w:rsidRPr="0012141B" w:rsidRDefault="0012141B" w:rsidP="0012141B">
      <w:pPr>
        <w:spacing w:before="120" w:line="240" w:lineRule="auto"/>
        <w:rPr>
          <w:rFonts w:eastAsia="Times New Roman" w:cs="Times New Roman"/>
          <w:sz w:val="28"/>
          <w:szCs w:val="28"/>
        </w:rPr>
      </w:pPr>
      <w:r w:rsidRPr="0012141B">
        <w:rPr>
          <w:rFonts w:cs="Times New Roman"/>
          <w:sz w:val="28"/>
          <w:szCs w:val="28"/>
        </w:rPr>
        <w:t>Комитет по внутреннему транспорту</w:t>
      </w:r>
    </w:p>
    <w:p w:rsidR="0012141B" w:rsidRPr="0012141B" w:rsidRDefault="0012141B" w:rsidP="0012141B">
      <w:pPr>
        <w:spacing w:before="120" w:line="240" w:lineRule="auto"/>
        <w:rPr>
          <w:rFonts w:eastAsia="Times New Roman" w:cs="Times New Roman"/>
          <w:b/>
          <w:sz w:val="24"/>
          <w:szCs w:val="24"/>
        </w:rPr>
      </w:pPr>
      <w:r w:rsidRPr="0012141B">
        <w:rPr>
          <w:rFonts w:cs="Times New Roman"/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rFonts w:cs="Times New Roman"/>
          <w:b/>
          <w:bCs/>
          <w:sz w:val="24"/>
          <w:szCs w:val="24"/>
        </w:rPr>
        <w:br/>
      </w:r>
      <w:r w:rsidRPr="0012141B">
        <w:rPr>
          <w:rFonts w:cs="Times New Roman"/>
          <w:b/>
          <w:bCs/>
          <w:sz w:val="24"/>
          <w:szCs w:val="24"/>
        </w:rPr>
        <w:t>в области транспортных средств</w:t>
      </w:r>
    </w:p>
    <w:p w:rsidR="0012141B" w:rsidRPr="0012141B" w:rsidRDefault="0012141B" w:rsidP="0012141B">
      <w:pPr>
        <w:tabs>
          <w:tab w:val="right" w:pos="9639"/>
        </w:tabs>
        <w:spacing w:before="120" w:line="240" w:lineRule="auto"/>
        <w:rPr>
          <w:rFonts w:eastAsia="Times New Roman" w:cs="Times New Roman"/>
          <w:b/>
          <w:szCs w:val="20"/>
        </w:rPr>
      </w:pPr>
      <w:r w:rsidRPr="0012141B">
        <w:rPr>
          <w:rFonts w:cs="Times New Roman"/>
          <w:b/>
          <w:bCs/>
          <w:szCs w:val="20"/>
        </w:rPr>
        <w:t xml:space="preserve">Рабочая группа по общим предписаниям, </w:t>
      </w:r>
      <w:r w:rsidRPr="0012141B">
        <w:rPr>
          <w:rFonts w:cs="Times New Roman"/>
          <w:b/>
          <w:bCs/>
          <w:szCs w:val="20"/>
        </w:rPr>
        <w:br/>
        <w:t>касающимся безопасности</w:t>
      </w:r>
    </w:p>
    <w:p w:rsidR="0012141B" w:rsidRPr="00A20DFF" w:rsidRDefault="0012141B" w:rsidP="0012141B">
      <w:pPr>
        <w:spacing w:before="120" w:line="240" w:lineRule="auto"/>
        <w:rPr>
          <w:rFonts w:eastAsia="Times New Roman" w:cs="Times New Roman"/>
          <w:b/>
          <w:szCs w:val="20"/>
        </w:rPr>
      </w:pPr>
      <w:r w:rsidRPr="00A20DFF">
        <w:rPr>
          <w:rFonts w:cs="Times New Roman"/>
          <w:b/>
          <w:bCs/>
        </w:rPr>
        <w:t>118-я сессия</w:t>
      </w:r>
    </w:p>
    <w:p w:rsidR="0012141B" w:rsidRPr="00A20DFF" w:rsidRDefault="0012141B" w:rsidP="0012141B">
      <w:pPr>
        <w:spacing w:line="240" w:lineRule="auto"/>
        <w:rPr>
          <w:rFonts w:eastAsia="Times New Roman" w:cs="Times New Roman"/>
          <w:szCs w:val="20"/>
        </w:rPr>
      </w:pPr>
      <w:r w:rsidRPr="00A20DFF">
        <w:rPr>
          <w:rFonts w:cs="Times New Roman"/>
        </w:rPr>
        <w:t xml:space="preserve">Женева, 30 марта </w:t>
      </w:r>
      <w:r w:rsidRPr="00F54D94">
        <w:rPr>
          <w:rFonts w:cs="Times New Roman"/>
        </w:rPr>
        <w:t>–</w:t>
      </w:r>
      <w:r w:rsidRPr="00A20DFF">
        <w:rPr>
          <w:rFonts w:cs="Times New Roman"/>
        </w:rPr>
        <w:t xml:space="preserve"> 3 апреля 2020 года</w:t>
      </w:r>
    </w:p>
    <w:p w:rsidR="0012141B" w:rsidRPr="00A20DFF" w:rsidRDefault="0012141B" w:rsidP="0012141B">
      <w:pPr>
        <w:spacing w:line="240" w:lineRule="auto"/>
        <w:rPr>
          <w:rFonts w:eastAsia="Times New Roman" w:cs="Times New Roman"/>
          <w:szCs w:val="20"/>
        </w:rPr>
      </w:pPr>
      <w:r w:rsidRPr="00A20DFF">
        <w:rPr>
          <w:rFonts w:cs="Times New Roman"/>
        </w:rPr>
        <w:t>Пункт 10 предварительной повестки дня</w:t>
      </w:r>
    </w:p>
    <w:p w:rsidR="0012141B" w:rsidRPr="00A20DFF" w:rsidRDefault="0012141B" w:rsidP="0012141B">
      <w:pPr>
        <w:spacing w:line="240" w:lineRule="auto"/>
        <w:rPr>
          <w:rFonts w:eastAsia="Times New Roman" w:cs="Times New Roman"/>
          <w:b/>
          <w:szCs w:val="20"/>
        </w:rPr>
      </w:pPr>
      <w:r w:rsidRPr="00A20DFF">
        <w:rPr>
          <w:rFonts w:cs="Times New Roman"/>
          <w:b/>
          <w:bCs/>
        </w:rPr>
        <w:t xml:space="preserve">Правила № 116 ООН (противоугонные системы </w:t>
      </w:r>
      <w:r w:rsidR="0055457D">
        <w:rPr>
          <w:rFonts w:cs="Times New Roman"/>
          <w:b/>
          <w:bCs/>
        </w:rPr>
        <w:br/>
      </w:r>
      <w:r w:rsidRPr="00A20DFF">
        <w:rPr>
          <w:rFonts w:cs="Times New Roman"/>
          <w:b/>
          <w:bCs/>
        </w:rPr>
        <w:t>и системы охранной сигнализации)</w:t>
      </w:r>
    </w:p>
    <w:p w:rsidR="0012141B" w:rsidRPr="00A20DFF" w:rsidRDefault="0012141B" w:rsidP="0012141B">
      <w:pPr>
        <w:pStyle w:val="HChG"/>
        <w:ind w:right="1133"/>
        <w:rPr>
          <w:b w:val="0"/>
          <w:szCs w:val="28"/>
        </w:rPr>
      </w:pPr>
      <w:r w:rsidRPr="00A20DFF">
        <w:tab/>
      </w:r>
      <w:r w:rsidRPr="00A20DFF">
        <w:tab/>
      </w:r>
      <w:r w:rsidRPr="00A20DFF">
        <w:rPr>
          <w:bCs/>
        </w:rPr>
        <w:t xml:space="preserve">Предложение по проекту поправок </w:t>
      </w:r>
      <w:r w:rsidR="0055457D">
        <w:rPr>
          <w:bCs/>
        </w:rPr>
        <w:br/>
      </w:r>
      <w:r w:rsidRPr="00A20DFF">
        <w:rPr>
          <w:bCs/>
        </w:rPr>
        <w:t xml:space="preserve">к документу ECE/TRANS/WP.29/GRSG/2019/21 </w:t>
      </w:r>
      <w:r>
        <w:rPr>
          <w:bCs/>
        </w:rPr>
        <w:br/>
      </w:r>
      <w:r w:rsidRPr="00A20DFF">
        <w:rPr>
          <w:bCs/>
        </w:rPr>
        <w:t>(Проект новых правил ООН, касающихся устройств для предотвращения несанкционированного использования)</w:t>
      </w:r>
      <w:bookmarkStart w:id="0" w:name="_Hlk30090052"/>
      <w:bookmarkEnd w:id="0"/>
    </w:p>
    <w:p w:rsidR="0012141B" w:rsidRPr="00A20DFF" w:rsidRDefault="0012141B" w:rsidP="0012141B">
      <w:pPr>
        <w:pStyle w:val="H1G"/>
        <w:rPr>
          <w:vertAlign w:val="superscript"/>
        </w:rPr>
      </w:pPr>
      <w:r w:rsidRPr="00A20DFF">
        <w:tab/>
      </w:r>
      <w:r w:rsidRPr="00A20DFF">
        <w:tab/>
      </w:r>
      <w:r w:rsidRPr="00A20DFF"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B01FC0">
        <w:rPr>
          <w:b w:val="0"/>
          <w:sz w:val="20"/>
        </w:rPr>
        <w:footnoteReference w:customMarkFollows="1" w:id="1"/>
        <w:t>*</w:t>
      </w:r>
    </w:p>
    <w:p w:rsidR="0012141B" w:rsidRPr="00A20DFF" w:rsidRDefault="00B01FC0" w:rsidP="00B01FC0">
      <w:pPr>
        <w:pStyle w:val="SingleTxtG"/>
      </w:pPr>
      <w:r>
        <w:tab/>
      </w:r>
      <w:r>
        <w:tab/>
      </w:r>
      <w:r w:rsidR="0012141B" w:rsidRPr="00A20DFF"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с целью внесения поправок в проект новых Правил ООН, посвященных </w:t>
      </w:r>
      <w:r>
        <w:br/>
      </w:r>
      <w:r w:rsidR="0012141B" w:rsidRPr="00A20DFF">
        <w:t>официальному утверждению устанавливаемых устройств для предотвращения несанкционированного использования, а также транспортных средств, оборудованных устройствами для предотвращения несанкционированного использования, в рамках процесса разделения Правил № 116 ООН на три свода раздельных правил. Он основан на документе ECE/TRANS/WP.29/GRSG/2019/20.</w:t>
      </w:r>
      <w:bookmarkStart w:id="1" w:name="_Hlk30150664"/>
      <w:bookmarkEnd w:id="1"/>
    </w:p>
    <w:p w:rsidR="0012141B" w:rsidRPr="00A20DFF" w:rsidRDefault="0012141B" w:rsidP="0012141B">
      <w:pPr>
        <w:spacing w:line="240" w:lineRule="auto"/>
        <w:rPr>
          <w:rFonts w:eastAsia="Times New Roman" w:cs="Times New Roman"/>
          <w:sz w:val="24"/>
          <w:szCs w:val="24"/>
        </w:rPr>
      </w:pPr>
      <w:r w:rsidRPr="00A20DFF">
        <w:rPr>
          <w:rFonts w:eastAsia="Times New Roman" w:cs="Times New Roman"/>
          <w:sz w:val="24"/>
          <w:szCs w:val="24"/>
        </w:rPr>
        <w:br w:type="page"/>
      </w:r>
    </w:p>
    <w:p w:rsidR="0012141B" w:rsidRPr="00A20DFF" w:rsidRDefault="00B01FC0" w:rsidP="0012141B">
      <w:pPr>
        <w:pStyle w:val="HChG"/>
      </w:pPr>
      <w:bookmarkStart w:id="2" w:name="_Hlk534364985"/>
      <w:r>
        <w:lastRenderedPageBreak/>
        <w:tab/>
      </w:r>
      <w:r w:rsidR="0012141B" w:rsidRPr="00A20DFF">
        <w:t>I.</w:t>
      </w:r>
      <w:r w:rsidR="0012141B" w:rsidRPr="00A20DFF">
        <w:tab/>
      </w:r>
      <w:r w:rsidR="0012141B" w:rsidRPr="00A20DFF">
        <w:rPr>
          <w:bCs/>
        </w:rPr>
        <w:t>Предложение</w:t>
      </w:r>
    </w:p>
    <w:bookmarkEnd w:id="2"/>
    <w:p w:rsidR="0012141B" w:rsidRPr="008E5031" w:rsidRDefault="0012141B" w:rsidP="0012141B">
      <w:pPr>
        <w:pStyle w:val="af3"/>
        <w:suppressAutoHyphens/>
        <w:spacing w:after="120" w:line="240" w:lineRule="atLeast"/>
        <w:ind w:left="1134" w:right="13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5031">
        <w:rPr>
          <w:rFonts w:ascii="Times New Roman" w:hAnsi="Times New Roman" w:cs="Times New Roman"/>
          <w:i/>
          <w:sz w:val="20"/>
          <w:szCs w:val="20"/>
          <w:lang w:val="ru-RU"/>
        </w:rPr>
        <w:t>Пункт 5</w:t>
      </w:r>
      <w:r w:rsidR="00C267B0" w:rsidRPr="008E5031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8E5031">
        <w:rPr>
          <w:rFonts w:ascii="Times New Roman" w:hAnsi="Times New Roman" w:cs="Times New Roman"/>
          <w:i/>
          <w:sz w:val="20"/>
          <w:szCs w:val="20"/>
          <w:lang w:val="ru-RU"/>
        </w:rPr>
        <w:t>3, включить новый подпункт 5.3.3</w:t>
      </w:r>
      <w:r w:rsidRPr="008E5031">
        <w:rPr>
          <w:rFonts w:ascii="Times New Roman" w:hAnsi="Times New Roman" w:cs="Times New Roman"/>
          <w:sz w:val="20"/>
          <w:szCs w:val="20"/>
          <w:lang w:val="ru-RU"/>
        </w:rPr>
        <w:t xml:space="preserve"> следующего содержания:</w:t>
      </w:r>
    </w:p>
    <w:p w:rsidR="0012141B" w:rsidRPr="00A20DFF" w:rsidRDefault="00B01FC0" w:rsidP="004578EF">
      <w:pPr>
        <w:pStyle w:val="SingleTxtG"/>
        <w:ind w:left="2268" w:hanging="1134"/>
      </w:pPr>
      <w:r>
        <w:t>«</w:t>
      </w:r>
      <w:r w:rsidR="0012141B" w:rsidRPr="004578EF">
        <w:rPr>
          <w:b/>
          <w:bCs/>
        </w:rPr>
        <w:t>5.3.3</w:t>
      </w:r>
      <w:r w:rsidR="0012141B" w:rsidRPr="004578EF">
        <w:rPr>
          <w:b/>
        </w:rPr>
        <w:tab/>
        <w:t>Электромеханические и электронные устройства для предотвращения несанкционированного использования должны представляться на испытания, описанные в приложении 5</w:t>
      </w:r>
      <w:r>
        <w:t>»</w:t>
      </w:r>
      <w:r w:rsidR="0012141B" w:rsidRPr="00A20DFF">
        <w:t>.</w:t>
      </w:r>
    </w:p>
    <w:p w:rsidR="0012141B" w:rsidRPr="00A20DFF" w:rsidRDefault="0012141B" w:rsidP="009762F4">
      <w:pPr>
        <w:pStyle w:val="SingleTxtG"/>
      </w:pPr>
      <w:r w:rsidRPr="009762F4">
        <w:rPr>
          <w:i/>
        </w:rPr>
        <w:t>Приложение 5, включить новые пункты 1</w:t>
      </w:r>
      <w:r w:rsidR="004578EF" w:rsidRPr="009762F4">
        <w:rPr>
          <w:i/>
        </w:rPr>
        <w:t>–</w:t>
      </w:r>
      <w:r w:rsidRPr="009762F4">
        <w:rPr>
          <w:i/>
        </w:rPr>
        <w:t>3.9</w:t>
      </w:r>
      <w:r w:rsidRPr="00A20DFF">
        <w:t xml:space="preserve"> </w:t>
      </w:r>
      <w:r w:rsidRPr="00003B88">
        <w:t>следующего содержания:</w:t>
      </w:r>
      <w:r w:rsidRPr="00A20DFF">
        <w:t xml:space="preserve"> </w:t>
      </w:r>
    </w:p>
    <w:p w:rsidR="0012141B" w:rsidRPr="00A20DFF" w:rsidRDefault="00B01FC0" w:rsidP="0012141B">
      <w:pPr>
        <w:pStyle w:val="HChG"/>
      </w:pPr>
      <w:r w:rsidRPr="006E2789">
        <w:rPr>
          <w:b w:val="0"/>
          <w:bCs/>
        </w:rPr>
        <w:t>«</w:t>
      </w:r>
      <w:r w:rsidR="0012141B" w:rsidRPr="00A20DFF">
        <w:rPr>
          <w:bCs/>
        </w:rPr>
        <w:t>Приложение 5</w:t>
      </w:r>
    </w:p>
    <w:p w:rsidR="0012141B" w:rsidRPr="00A20DFF" w:rsidRDefault="0012141B" w:rsidP="00B01FC0">
      <w:pPr>
        <w:pStyle w:val="HChG"/>
      </w:pPr>
      <w:r w:rsidRPr="00A20DFF">
        <w:tab/>
      </w:r>
      <w:r w:rsidRPr="00A20DFF">
        <w:tab/>
      </w:r>
      <w:r w:rsidRPr="00B01FC0">
        <w:t>Эксплуатационные</w:t>
      </w:r>
      <w:r w:rsidRPr="00A20DFF">
        <w:t xml:space="preserve"> параметры и условия испытаний устройств для предотвращения несанкционированного использования (при помощи блокирующей системы)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1.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Эксплуатационные параметры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Приведенные ниже требования не применяются:</w:t>
      </w:r>
    </w:p>
    <w:p w:rsidR="0012141B" w:rsidRPr="00A20DFF" w:rsidRDefault="0012141B" w:rsidP="009762F4">
      <w:pPr>
        <w:spacing w:after="120"/>
        <w:ind w:left="2835" w:right="1134" w:hanging="567"/>
        <w:jc w:val="both"/>
        <w:rPr>
          <w:rFonts w:eastAsia="Times New Roman" w:cs="Times New Roman"/>
          <w:b/>
          <w:bCs/>
          <w:szCs w:val="20"/>
        </w:rPr>
      </w:pPr>
      <w:r w:rsidRPr="003F058D">
        <w:rPr>
          <w:rFonts w:cs="Times New Roman"/>
          <w:b/>
        </w:rPr>
        <w:t>a)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к тем компонентам, которые устанавливаются и испытываются в качестве части транспортного средства, независимо от того, установлена блокирующая система или нет (например, фонари, система охранной сигнализации, иммобилизатор),</w:t>
      </w:r>
      <w:r w:rsidRPr="00A20DFF">
        <w:rPr>
          <w:rFonts w:cs="Times New Roman"/>
        </w:rPr>
        <w:t xml:space="preserve"> </w:t>
      </w:r>
      <w:r w:rsidRPr="00A20DFF">
        <w:rPr>
          <w:rFonts w:cs="Times New Roman"/>
          <w:b/>
          <w:bCs/>
        </w:rPr>
        <w:t>или</w:t>
      </w:r>
    </w:p>
    <w:p w:rsidR="0012141B" w:rsidRPr="00A20DFF" w:rsidRDefault="0012141B" w:rsidP="0012141B">
      <w:pPr>
        <w:spacing w:after="120"/>
        <w:ind w:left="2835" w:right="1133" w:hanging="566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b)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к тем компонентам, которые ранее были подвергнуты испытанию в качестве части транспортного средства, если и в отношении этого представлено документальное подтверждение.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1.1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Все компоненты блокирующей системы должны функционировать без каких-либо нарушений в нижеследующих условиях.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1.1.1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Климатические условия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Устанавливается два класса температуры окружающей среды, определяемые следующим образом:</w:t>
      </w:r>
    </w:p>
    <w:p w:rsidR="0012141B" w:rsidRPr="00A20DFF" w:rsidRDefault="0012141B" w:rsidP="0012141B">
      <w:pPr>
        <w:spacing w:after="120"/>
        <w:ind w:left="2835" w:right="1133" w:hanging="567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a)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от –40 °С до +85 °С для частей, подлежащих установке в салоне или багажном отделении,</w:t>
      </w:r>
    </w:p>
    <w:p w:rsidR="0012141B" w:rsidRPr="00A20DFF" w:rsidRDefault="0012141B" w:rsidP="0012141B">
      <w:pPr>
        <w:spacing w:after="120"/>
        <w:ind w:left="2835" w:right="1133" w:hanging="567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b)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от –40 °С до +125 °С для частей, подлежащих установке в двигательном отсеке, если не оговорено иное.</w:t>
      </w:r>
    </w:p>
    <w:p w:rsidR="0012141B" w:rsidRPr="00A20DFF" w:rsidRDefault="0012141B" w:rsidP="0012141B">
      <w:pPr>
        <w:spacing w:after="120" w:line="240" w:lineRule="auto"/>
        <w:ind w:left="2268" w:right="1133" w:hanging="1134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1.1.2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Степень защиты применительно к установке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Должна быть обеспечена следующая степень защиты в соответствии с публикацией МЭК 529-1989:</w:t>
      </w:r>
    </w:p>
    <w:p w:rsidR="0012141B" w:rsidRPr="00A20DFF" w:rsidRDefault="0012141B" w:rsidP="0012141B">
      <w:pPr>
        <w:pStyle w:val="SingleTxtG"/>
        <w:ind w:left="2268"/>
        <w:rPr>
          <w:b/>
          <w:bCs/>
        </w:rPr>
      </w:pPr>
      <w:r w:rsidRPr="00A20DFF">
        <w:rPr>
          <w:b/>
          <w:bCs/>
        </w:rPr>
        <w:t>a)</w:t>
      </w:r>
      <w:r w:rsidRPr="00A20DFF">
        <w:tab/>
      </w:r>
      <w:r w:rsidRPr="00A20DFF">
        <w:rPr>
          <w:b/>
          <w:bCs/>
        </w:rPr>
        <w:t>ІР 40 для частей, подлежащих установке в салоне,</w:t>
      </w:r>
    </w:p>
    <w:p w:rsidR="0012141B" w:rsidRPr="00A20DFF" w:rsidRDefault="0012141B" w:rsidP="0012141B">
      <w:pPr>
        <w:pStyle w:val="SingleTxtG"/>
        <w:ind w:left="2835" w:hanging="567"/>
        <w:rPr>
          <w:b/>
          <w:bCs/>
        </w:rPr>
      </w:pPr>
      <w:r w:rsidRPr="00A20DFF">
        <w:rPr>
          <w:b/>
          <w:bCs/>
        </w:rPr>
        <w:t>b)</w:t>
      </w:r>
      <w:r w:rsidRPr="00A20DFF">
        <w:tab/>
      </w:r>
      <w:r w:rsidRPr="00A20DFF">
        <w:rPr>
          <w:b/>
          <w:bCs/>
        </w:rPr>
        <w:t>ІР 42 для частей, подлежащих установке в салоне транспортных средств с кузовом типа «родстер»/«фаэтон» и легковых автомобилей с откидной крышей, если с учетом места установки требуется более высокая степень защиты, чем ІР 40,</w:t>
      </w:r>
    </w:p>
    <w:p w:rsidR="0012141B" w:rsidRPr="00A20DFF" w:rsidRDefault="0012141B" w:rsidP="0012141B">
      <w:pPr>
        <w:pStyle w:val="SingleTxtG"/>
        <w:ind w:left="2268"/>
        <w:rPr>
          <w:b/>
          <w:bCs/>
        </w:rPr>
      </w:pPr>
      <w:r w:rsidRPr="00A20DFF">
        <w:rPr>
          <w:b/>
          <w:bCs/>
        </w:rPr>
        <w:t>с)</w:t>
      </w:r>
      <w:r w:rsidRPr="00A20DFF">
        <w:tab/>
      </w:r>
      <w:r w:rsidRPr="00A20DFF">
        <w:rPr>
          <w:b/>
          <w:bCs/>
        </w:rPr>
        <w:t>ІР 54 для всех других частей.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Изготовитель блокирующей системы может предусмотреть в инструкциях по установке любые ограничения в отношении расположения любой части с точки зрения воздействия пыли, влаги и температуры.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lastRenderedPageBreak/>
        <w:t>1.1.3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Способность переносить атмосферные условия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7 дней в соответствии с МЭК 68-2-30-1980.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1.1.4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Электрические условия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Номинальное подаваемое напряжение: 12 В.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Рабочий диапазон подаваемого напряжения: от 9 В до 15 В в температурном диапазоне, оговоренном в пункте 5.3.1.1.1.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 xml:space="preserve">Допустимое время для перенапряжения при 23 </w:t>
      </w:r>
      <w:r w:rsidRPr="000128C7">
        <w:rPr>
          <w:rFonts w:cs="Times New Roman"/>
          <w:b/>
          <w:bCs/>
        </w:rPr>
        <w:t>°</w:t>
      </w:r>
      <w:r w:rsidRPr="00A20DFF">
        <w:rPr>
          <w:rFonts w:cs="Times New Roman"/>
          <w:b/>
          <w:bCs/>
        </w:rPr>
        <w:t>С:</w:t>
      </w:r>
      <w:r w:rsidRPr="00A20DFF">
        <w:rPr>
          <w:rFonts w:cs="Times New Roman"/>
        </w:rPr>
        <w:t xml:space="preserve"> 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U = 18 В, максимум 1 ч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 xml:space="preserve">U = </w:t>
      </w:r>
      <w:r w:rsidRPr="0012141B">
        <w:rPr>
          <w:rFonts w:cs="Times New Roman"/>
          <w:b/>
          <w:bCs/>
        </w:rPr>
        <w:t>24</w:t>
      </w:r>
      <w:r w:rsidRPr="00A20DFF">
        <w:rPr>
          <w:rFonts w:cs="Times New Roman"/>
          <w:b/>
          <w:bCs/>
        </w:rPr>
        <w:t xml:space="preserve"> В, максимум 1 </w:t>
      </w:r>
      <w:r>
        <w:rPr>
          <w:rFonts w:cs="Times New Roman"/>
          <w:b/>
          <w:bCs/>
        </w:rPr>
        <w:t>мин</w:t>
      </w:r>
      <w:r w:rsidR="0086527E">
        <w:rPr>
          <w:rFonts w:cs="Times New Roman"/>
          <w:b/>
          <w:bCs/>
        </w:rPr>
        <w:t>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2.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Условия проведения испытаний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Все испытания проводятся последовательно на одной блокирующей системе.</w:t>
      </w:r>
      <w:r w:rsidRPr="00A20DFF">
        <w:rPr>
          <w:rFonts w:cs="Times New Roman"/>
        </w:rPr>
        <w:t xml:space="preserve"> </w:t>
      </w:r>
      <w:r w:rsidRPr="00A20DFF">
        <w:rPr>
          <w:rFonts w:cs="Times New Roman"/>
          <w:b/>
          <w:bCs/>
        </w:rPr>
        <w:t>Вместе с тем по усмотрению органа, проводящего испытание, могут использоваться дополнительные образцы, если считается, что это не повлияет на результаты других испытаний.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2.1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Нормальные условия проведения испытаний</w:t>
      </w:r>
    </w:p>
    <w:p w:rsidR="0012141B" w:rsidRPr="00A20DFF" w:rsidRDefault="002B7D5E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>
        <w:rPr>
          <w:rFonts w:cs="Times New Roman"/>
          <w:b/>
          <w:bCs/>
        </w:rPr>
        <w:t>Напряжение U = (12 ± 0,2) В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Температура</w:t>
      </w:r>
      <w:r w:rsidR="00D636AB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>T = (23 ± 5) °C.</w:t>
      </w:r>
    </w:p>
    <w:p w:rsidR="0012141B" w:rsidRPr="00A20DFF" w:rsidRDefault="0012141B" w:rsidP="0012141B">
      <w:pPr>
        <w:spacing w:after="120"/>
        <w:ind w:left="2268" w:right="1133" w:hanging="1134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Испытания рабочих характеристик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Все компоненты блокирующей системы должны отвечать требованиям, изложенным в пунктах 5.3.3.2–5.3.3.9 настоящих Правил.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3.1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По завершении всех испытаний, описанных ниже, блокирующая система испытывается в обычных условиях проведения испытаний, указанных в пункте 5.3.2.1 настоящих Правил, с целью проверки того, продолжает ли она нормально функционировать.</w:t>
      </w:r>
      <w:r w:rsidRPr="00A20DFF">
        <w:rPr>
          <w:rFonts w:cs="Times New Roman"/>
        </w:rPr>
        <w:t xml:space="preserve"> </w:t>
      </w:r>
      <w:r w:rsidRPr="00A20DFF">
        <w:rPr>
          <w:rFonts w:cs="Times New Roman"/>
          <w:b/>
          <w:bCs/>
        </w:rPr>
        <w:t>До</w:t>
      </w:r>
      <w:r w:rsidR="003015E9">
        <w:rPr>
          <w:rFonts w:cs="Times New Roman"/>
          <w:b/>
          <w:bCs/>
        </w:rPr>
        <w:t> </w:t>
      </w:r>
      <w:r w:rsidRPr="00A20DFF">
        <w:rPr>
          <w:rFonts w:cs="Times New Roman"/>
          <w:b/>
          <w:bCs/>
        </w:rPr>
        <w:t>проведения этих испытаний при необходимости могут быть заменены плавкие предохранители.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Если некоторые испытания, проведение которых предусмотрено в каждом из этих пунктов до проверки рабочих характеристик, проводятся серийно на одной и той же блокирующей системе,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характеристик, предусмотренной в этих пунктах, после каждого из указанных испытаний.</w:t>
      </w:r>
      <w:r w:rsidRPr="00A20DFF">
        <w:rPr>
          <w:rFonts w:cs="Times New Roman"/>
        </w:rPr>
        <w:t xml:space="preserve"> </w:t>
      </w:r>
      <w:r w:rsidRPr="00A20DFF">
        <w:rPr>
          <w:rFonts w:cs="Times New Roman"/>
          <w:b/>
          <w:bCs/>
        </w:rPr>
        <w:t>Изготовители и поставщики транспортных средств должны гарантировать получение удовлетворительных результатов только по несовокупным процедурам.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3.2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Устойчивость к изменениям температуры и напряжения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Соответствие техническим требованиям, изложенным в пункте</w:t>
      </w:r>
      <w:r w:rsidR="003015E9">
        <w:rPr>
          <w:rFonts w:cs="Times New Roman"/>
          <w:b/>
          <w:bCs/>
        </w:rPr>
        <w:t> </w:t>
      </w:r>
      <w:r w:rsidRPr="00A20DFF">
        <w:rPr>
          <w:rFonts w:cs="Times New Roman"/>
          <w:b/>
          <w:bCs/>
        </w:rPr>
        <w:t>5.3.3.1, должно также проверяться при следующих условиях:</w:t>
      </w:r>
    </w:p>
    <w:p w:rsidR="0012141B" w:rsidRPr="00A20DFF" w:rsidRDefault="0012141B" w:rsidP="003015E9">
      <w:pPr>
        <w:spacing w:after="120"/>
        <w:ind w:left="2268" w:right="1134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3.2.1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Испытательная температура</w:t>
      </w:r>
      <w:r w:rsidR="003015E9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>Т (</w:t>
      </w:r>
      <w:r w:rsidR="00494FBE">
        <w:rPr>
          <w:rFonts w:cs="Times New Roman"/>
          <w:b/>
          <w:bCs/>
        </w:rPr>
        <w:t>–</w:t>
      </w:r>
      <w:r w:rsidRPr="00A20DFF">
        <w:rPr>
          <w:rFonts w:cs="Times New Roman"/>
          <w:b/>
          <w:bCs/>
        </w:rPr>
        <w:t>40 ± 2)</w:t>
      </w:r>
      <w:r w:rsidR="003256E1">
        <w:rPr>
          <w:rFonts w:cs="Times New Roman"/>
          <w:b/>
          <w:bCs/>
        </w:rPr>
        <w:t> </w:t>
      </w:r>
      <w:r w:rsidRPr="00A20DFF">
        <w:rPr>
          <w:rFonts w:cs="Times New Roman"/>
          <w:b/>
          <w:bCs/>
        </w:rPr>
        <w:t>°С</w:t>
      </w:r>
    </w:p>
    <w:p w:rsidR="0012141B" w:rsidRPr="00A20DFF" w:rsidRDefault="0012141B" w:rsidP="003015E9">
      <w:pPr>
        <w:spacing w:after="120"/>
        <w:ind w:left="2268" w:right="1134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Испытательное напряжение</w:t>
      </w:r>
      <w:r w:rsidR="003015E9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 xml:space="preserve">U = (9 ± 0,2) </w:t>
      </w:r>
      <w:r w:rsidR="00494FBE">
        <w:rPr>
          <w:rFonts w:cs="Times New Roman"/>
          <w:b/>
          <w:bCs/>
        </w:rPr>
        <w:t>В</w:t>
      </w:r>
    </w:p>
    <w:p w:rsidR="0012141B" w:rsidRPr="00A20DFF" w:rsidRDefault="0012141B" w:rsidP="003015E9">
      <w:pPr>
        <w:spacing w:after="120"/>
        <w:ind w:left="2268" w:right="1134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Продолжительность выдерживания</w:t>
      </w:r>
      <w:r w:rsidR="00655864">
        <w:rPr>
          <w:rFonts w:cs="Times New Roman"/>
          <w:b/>
          <w:bCs/>
        </w:rPr>
        <w:t xml:space="preserve"> </w:t>
      </w:r>
      <w:r w:rsidR="003015E9" w:rsidRPr="003015E9">
        <w:rPr>
          <w:rFonts w:cs="Times New Roman"/>
          <w:b/>
        </w:rPr>
        <w:t>4</w:t>
      </w:r>
      <w:r w:rsidRPr="00A20DFF">
        <w:rPr>
          <w:rFonts w:cs="Times New Roman"/>
          <w:b/>
          <w:bCs/>
        </w:rPr>
        <w:t xml:space="preserve"> часа</w:t>
      </w:r>
      <w:r w:rsidR="002A5712">
        <w:rPr>
          <w:rFonts w:cs="Times New Roman"/>
          <w:b/>
          <w:bCs/>
        </w:rPr>
        <w:t>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3.2.2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Для частей, подлежащих установке в салоне или багажном отделении:</w:t>
      </w:r>
    </w:p>
    <w:p w:rsidR="0012141B" w:rsidRPr="00A20DFF" w:rsidRDefault="0012141B" w:rsidP="003015E9">
      <w:pPr>
        <w:spacing w:after="120"/>
        <w:ind w:left="2268" w:right="1134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Испытательная температура</w:t>
      </w:r>
      <w:r w:rsidR="003015E9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>T = (+85 ± 2)</w:t>
      </w:r>
      <w:r w:rsidR="003256E1">
        <w:rPr>
          <w:rFonts w:cs="Times New Roman"/>
          <w:b/>
          <w:bCs/>
        </w:rPr>
        <w:t> </w:t>
      </w:r>
      <w:r w:rsidRPr="00A20DFF">
        <w:rPr>
          <w:rFonts w:cs="Times New Roman"/>
          <w:b/>
          <w:bCs/>
        </w:rPr>
        <w:t>°С</w:t>
      </w:r>
    </w:p>
    <w:p w:rsidR="0012141B" w:rsidRPr="00A20DFF" w:rsidRDefault="0012141B" w:rsidP="003015E9">
      <w:pPr>
        <w:spacing w:after="120"/>
        <w:ind w:left="2268" w:right="1134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Испытательное напряжение</w:t>
      </w:r>
      <w:r w:rsidR="003015E9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 xml:space="preserve">U = (15 ± 0,2) </w:t>
      </w:r>
      <w:r w:rsidR="002A5712">
        <w:rPr>
          <w:rFonts w:cs="Times New Roman"/>
          <w:b/>
          <w:bCs/>
        </w:rPr>
        <w:t>В</w:t>
      </w:r>
    </w:p>
    <w:p w:rsidR="0012141B" w:rsidRPr="00A20DFF" w:rsidRDefault="0012141B" w:rsidP="003015E9">
      <w:pPr>
        <w:spacing w:after="120"/>
        <w:ind w:left="2268" w:right="1134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lastRenderedPageBreak/>
        <w:t>Продолжительность выдерживания</w:t>
      </w:r>
      <w:r w:rsidR="003015E9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>4 часа</w:t>
      </w:r>
      <w:r w:rsidR="00F70DA5">
        <w:rPr>
          <w:rFonts w:cs="Times New Roman"/>
          <w:b/>
          <w:bCs/>
        </w:rPr>
        <w:t>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3.2.3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Для частей, подлежащих установке в двигательном отсеке, если не оговорено иное:</w:t>
      </w:r>
    </w:p>
    <w:p w:rsidR="0012141B" w:rsidRPr="00A20DFF" w:rsidRDefault="0012141B" w:rsidP="00C95BC7">
      <w:pPr>
        <w:spacing w:after="120"/>
        <w:ind w:left="2268" w:right="1134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Испытательная температура</w:t>
      </w:r>
      <w:r w:rsidR="00C95BC7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>T = (+125 ± 2)</w:t>
      </w:r>
      <w:r w:rsidR="003256E1">
        <w:rPr>
          <w:rFonts w:cs="Times New Roman"/>
          <w:b/>
          <w:bCs/>
        </w:rPr>
        <w:t> </w:t>
      </w:r>
      <w:r w:rsidRPr="00A20DFF">
        <w:rPr>
          <w:rFonts w:cs="Times New Roman"/>
          <w:b/>
          <w:bCs/>
        </w:rPr>
        <w:t>°С</w:t>
      </w:r>
    </w:p>
    <w:p w:rsidR="0012141B" w:rsidRPr="00A20DFF" w:rsidRDefault="0012141B" w:rsidP="00C95BC7">
      <w:pPr>
        <w:spacing w:after="120"/>
        <w:ind w:left="2268" w:right="1134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Испытательное напряжение</w:t>
      </w:r>
      <w:r w:rsidR="00C95BC7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 xml:space="preserve">U = (15 ± 0,2) </w:t>
      </w:r>
      <w:r w:rsidR="00C95BC7">
        <w:rPr>
          <w:rFonts w:cs="Times New Roman"/>
          <w:b/>
          <w:bCs/>
        </w:rPr>
        <w:t>В</w:t>
      </w:r>
    </w:p>
    <w:p w:rsidR="0012141B" w:rsidRPr="00A20DFF" w:rsidRDefault="0012141B" w:rsidP="00C95BC7">
      <w:pPr>
        <w:spacing w:after="120"/>
        <w:ind w:left="2268" w:right="1134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Продолжительность выдерживания</w:t>
      </w:r>
      <w:r w:rsidR="00C95BC7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>4 часа</w:t>
      </w:r>
      <w:r w:rsidR="00C95BC7">
        <w:rPr>
          <w:rFonts w:cs="Times New Roman"/>
          <w:b/>
          <w:bCs/>
        </w:rPr>
        <w:t>.</w:t>
      </w:r>
    </w:p>
    <w:p w:rsidR="0012141B" w:rsidRPr="00A20DFF" w:rsidRDefault="0012141B" w:rsidP="0012141B">
      <w:pPr>
        <w:tabs>
          <w:tab w:val="left" w:pos="8504"/>
        </w:tabs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3.2.4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На блокирующую систему – как во включенном, так и в отключенном состоянии – должно подаваться избыточное напряжение, равное (18 ± 0,2) В, в течение 1 ч.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3.2.5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На блокирующую систему – как во включенном</w:t>
      </w:r>
      <w:r w:rsidR="00441670">
        <w:rPr>
          <w:rFonts w:cs="Times New Roman"/>
          <w:b/>
          <w:bCs/>
        </w:rPr>
        <w:t xml:space="preserve">, так и в отключенном состоянии </w:t>
      </w:r>
      <w:r w:rsidRPr="00A20DFF">
        <w:rPr>
          <w:rFonts w:cs="Times New Roman"/>
          <w:b/>
          <w:bCs/>
        </w:rPr>
        <w:t>– должно подаваться избыточное напряжение, равное</w:t>
      </w:r>
      <w:r w:rsidR="00441670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>(24</w:t>
      </w:r>
      <w:r w:rsidR="00441670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>±</w:t>
      </w:r>
      <w:r w:rsidR="00441670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>0,2) В, в течение 1</w:t>
      </w:r>
      <w:r w:rsidR="00441670">
        <w:rPr>
          <w:rFonts w:cs="Times New Roman"/>
          <w:b/>
          <w:bCs/>
        </w:rPr>
        <w:t xml:space="preserve"> </w:t>
      </w:r>
      <w:r w:rsidRPr="00A20DFF">
        <w:rPr>
          <w:rFonts w:cs="Times New Roman"/>
          <w:b/>
          <w:bCs/>
        </w:rPr>
        <w:t>мин.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3.3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Безопасное функционирование после проведения испытания на пыле- и водонепроницаемость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После проведения испытания на пыле- и водонепроницаемость в соответствии с положениями МЭК 529-1989, в ходе которого должны обеспечиваться степени защиты, указанные в пункте 5.3.1.1.2, должны быть повторно проведены испытания рабочих характеристик в соответствии с пунктом 5.3.3.1.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С согласия технической службы это требование применять не обязательно при следующих обстоятельствах:</w:t>
      </w:r>
    </w:p>
    <w:p w:rsidR="0012141B" w:rsidRPr="00A20DFF" w:rsidRDefault="0012141B" w:rsidP="0092149F">
      <w:pPr>
        <w:spacing w:after="120"/>
        <w:ind w:left="2835" w:right="1134" w:hanging="567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</w:rPr>
        <w:t>a)</w:t>
      </w:r>
      <w:r w:rsidRPr="00A20DFF">
        <w:rPr>
          <w:rFonts w:cs="Times New Roman"/>
          <w:b/>
        </w:rPr>
        <w:tab/>
      </w:r>
      <w:r w:rsidRPr="00A20DFF">
        <w:rPr>
          <w:rFonts w:cs="Times New Roman"/>
          <w:b/>
          <w:bCs/>
        </w:rPr>
        <w:t>официальное утверждение блокирующей системы, тип которой подлежит официальному утверждению в качестве отдельного технического элемента;</w:t>
      </w:r>
      <w:r w:rsidRPr="00A20DFF">
        <w:rPr>
          <w:rFonts w:cs="Times New Roman"/>
          <w:b/>
        </w:rPr>
        <w:t xml:space="preserve"> </w:t>
      </w:r>
    </w:p>
    <w:p w:rsidR="0012141B" w:rsidRPr="00A20DFF" w:rsidRDefault="0012141B" w:rsidP="0092149F">
      <w:pPr>
        <w:spacing w:after="120"/>
        <w:ind w:left="3402" w:right="1134" w:hanging="567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в этом случае изготовитель блокирующей системы:</w:t>
      </w:r>
      <w:r w:rsidRPr="00A20DFF">
        <w:rPr>
          <w:rFonts w:cs="Times New Roman"/>
          <w:b/>
        </w:rPr>
        <w:t xml:space="preserve"> </w:t>
      </w:r>
    </w:p>
    <w:p w:rsidR="0012141B" w:rsidRPr="00A20DFF" w:rsidRDefault="0012141B" w:rsidP="0092149F">
      <w:pPr>
        <w:spacing w:after="120"/>
        <w:ind w:left="3402" w:right="1134" w:hanging="567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</w:rPr>
        <w:t>i)</w:t>
      </w:r>
      <w:r w:rsidRPr="00A20DFF">
        <w:rPr>
          <w:rFonts w:cs="Times New Roman"/>
          <w:b/>
        </w:rPr>
        <w:tab/>
      </w:r>
      <w:r w:rsidRPr="00A20DFF">
        <w:rPr>
          <w:rFonts w:cs="Times New Roman"/>
          <w:b/>
          <w:bCs/>
        </w:rPr>
        <w:t xml:space="preserve">указывает в пункте 4.5 информационного документа (приложение 1, часть 2), что предписание этого пункта </w:t>
      </w:r>
      <w:r w:rsidR="00010A80">
        <w:rPr>
          <w:rFonts w:cs="Times New Roman"/>
          <w:b/>
          <w:bCs/>
        </w:rPr>
        <w:br/>
      </w:r>
      <w:r w:rsidRPr="00A20DFF">
        <w:rPr>
          <w:rFonts w:cs="Times New Roman"/>
          <w:b/>
          <w:bCs/>
        </w:rPr>
        <w:t xml:space="preserve">к данной блокирующей системе не применяется </w:t>
      </w:r>
      <w:r w:rsidR="00010A80">
        <w:rPr>
          <w:rFonts w:cs="Times New Roman"/>
          <w:b/>
          <w:bCs/>
        </w:rPr>
        <w:br/>
      </w:r>
      <w:r w:rsidRPr="00A20DFF">
        <w:rPr>
          <w:rFonts w:cs="Times New Roman"/>
          <w:b/>
          <w:bCs/>
        </w:rPr>
        <w:t>(в соответствии с пунктом 7 настоящих Правил), и</w:t>
      </w:r>
      <w:r w:rsidRPr="00A20DFF">
        <w:rPr>
          <w:rFonts w:cs="Times New Roman"/>
        </w:rPr>
        <w:t xml:space="preserve"> </w:t>
      </w:r>
    </w:p>
    <w:p w:rsidR="0012141B" w:rsidRPr="00A20DFF" w:rsidRDefault="0012141B" w:rsidP="0092149F">
      <w:pPr>
        <w:spacing w:after="120"/>
        <w:ind w:left="3402" w:right="1134" w:hanging="567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ii)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указывает в пункте 4.1 информационного документа перечень транспортных средств, для установки на которых предназначена данная блокирующая система, и соответствующие условия установки в пункте 4.2;</w:t>
      </w:r>
      <w:r w:rsidRPr="00A20DFF">
        <w:rPr>
          <w:rFonts w:cs="Times New Roman"/>
        </w:rPr>
        <w:t xml:space="preserve"> </w:t>
      </w:r>
    </w:p>
    <w:p w:rsidR="0012141B" w:rsidRPr="0092149F" w:rsidRDefault="0012141B" w:rsidP="0092149F">
      <w:pPr>
        <w:spacing w:after="120"/>
        <w:ind w:left="2835" w:right="1134" w:hanging="567"/>
        <w:jc w:val="both"/>
        <w:rPr>
          <w:rFonts w:cs="Times New Roman"/>
          <w:b/>
        </w:rPr>
      </w:pPr>
      <w:r w:rsidRPr="00A20DFF">
        <w:rPr>
          <w:rFonts w:cs="Times New Roman"/>
          <w:b/>
        </w:rPr>
        <w:t>b)</w:t>
      </w:r>
      <w:r w:rsidRPr="00A20DFF">
        <w:rPr>
          <w:rFonts w:cs="Times New Roman"/>
          <w:b/>
        </w:rPr>
        <w:tab/>
      </w:r>
      <w:r w:rsidRPr="0092149F">
        <w:rPr>
          <w:rFonts w:cs="Times New Roman"/>
          <w:b/>
        </w:rPr>
        <w:t>официальное утверждение типа транспортного средства в отношении блокирующей системы;</w:t>
      </w:r>
    </w:p>
    <w:p w:rsidR="0012141B" w:rsidRPr="0092149F" w:rsidRDefault="0092149F" w:rsidP="0092149F">
      <w:pPr>
        <w:spacing w:after="120"/>
        <w:ind w:left="2835" w:right="1134" w:hanging="567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 w:rsidR="0012141B" w:rsidRPr="00A20DFF">
        <w:rPr>
          <w:rFonts w:cs="Times New Roman"/>
          <w:b/>
        </w:rPr>
        <w:t xml:space="preserve">в этом случае изготовитель указывает в пункте 3.1.3.1.1 информационного документа (приложение 1а), что предписания этого пункта не применяются к данной блокирующей системе в силу самого характера условий установки, и изготовитель транспортного средства удостоверяет это, представляя соответствующие документы; </w:t>
      </w:r>
    </w:p>
    <w:p w:rsidR="0012141B" w:rsidRPr="0092149F" w:rsidRDefault="0012141B" w:rsidP="0092149F">
      <w:pPr>
        <w:spacing w:after="120"/>
        <w:ind w:left="2835" w:right="1134" w:hanging="567"/>
        <w:jc w:val="both"/>
        <w:rPr>
          <w:rFonts w:cs="Times New Roman"/>
          <w:b/>
        </w:rPr>
      </w:pPr>
      <w:r w:rsidRPr="0092149F">
        <w:rPr>
          <w:rFonts w:cs="Times New Roman"/>
          <w:b/>
        </w:rPr>
        <w:t>c)</w:t>
      </w:r>
      <w:r w:rsidRPr="0092149F">
        <w:rPr>
          <w:rFonts w:cs="Times New Roman"/>
          <w:b/>
        </w:rPr>
        <w:tab/>
        <w:t xml:space="preserve">официальное утверждение типа транспортного средства в отношении установки блокирующей системы, которая официально утверждена по типу конструкции в качестве отдельного технического элемента; </w:t>
      </w:r>
    </w:p>
    <w:p w:rsidR="0012141B" w:rsidRPr="0092149F" w:rsidRDefault="0092149F" w:rsidP="0092149F">
      <w:pPr>
        <w:spacing w:after="120"/>
        <w:ind w:left="2835" w:right="1134" w:hanging="567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 w:rsidR="0012141B" w:rsidRPr="00A20DFF">
        <w:rPr>
          <w:rFonts w:cs="Times New Roman"/>
          <w:b/>
        </w:rPr>
        <w:t>в этом случае изготовитель транспортного средства указывает в пункте 3.1.3.1.1 информационного документа (приложение</w:t>
      </w:r>
      <w:r>
        <w:rPr>
          <w:rFonts w:cs="Times New Roman"/>
          <w:b/>
        </w:rPr>
        <w:t> </w:t>
      </w:r>
      <w:r w:rsidR="0012141B" w:rsidRPr="00A20DFF">
        <w:rPr>
          <w:rFonts w:cs="Times New Roman"/>
          <w:b/>
        </w:rPr>
        <w:t>1а), что предписание этого пункта не применяется к установке данной блокирующей системы, если соблюдены соо</w:t>
      </w:r>
      <w:r w:rsidR="00F81A8E">
        <w:rPr>
          <w:rFonts w:cs="Times New Roman"/>
          <w:b/>
        </w:rPr>
        <w:t>тветствующие условия установки;</w:t>
      </w:r>
    </w:p>
    <w:p w:rsidR="0012141B" w:rsidRPr="00A20DFF" w:rsidRDefault="0092149F" w:rsidP="0092149F">
      <w:pPr>
        <w:pageBreakBefore/>
        <w:spacing w:after="120"/>
        <w:ind w:left="2835" w:right="1134" w:hanging="567"/>
        <w:jc w:val="both"/>
        <w:rPr>
          <w:rFonts w:eastAsia="Times New Roman" w:cs="Times New Roman"/>
          <w:b/>
          <w:bCs/>
          <w:szCs w:val="20"/>
        </w:rPr>
      </w:pPr>
      <w:r>
        <w:rPr>
          <w:rFonts w:cs="Times New Roman"/>
          <w:b/>
        </w:rPr>
        <w:lastRenderedPageBreak/>
        <w:tab/>
      </w:r>
      <w:r w:rsidR="0012141B" w:rsidRPr="00A20DFF">
        <w:rPr>
          <w:rFonts w:cs="Times New Roman"/>
          <w:b/>
        </w:rPr>
        <w:t xml:space="preserve">Данное требование не применяется в тех случаях, </w:t>
      </w:r>
      <w:r w:rsidR="003A147E">
        <w:rPr>
          <w:rFonts w:cs="Times New Roman"/>
          <w:b/>
        </w:rPr>
        <w:br/>
      </w:r>
      <w:r w:rsidR="0012141B" w:rsidRPr="00A20DFF">
        <w:rPr>
          <w:rFonts w:cs="Times New Roman"/>
          <w:b/>
        </w:rPr>
        <w:t>если информация, предусмотренная в пункте 3.1.3.1.1 приложения</w:t>
      </w:r>
      <w:r w:rsidR="003A147E">
        <w:rPr>
          <w:rFonts w:cs="Times New Roman"/>
          <w:b/>
        </w:rPr>
        <w:t> </w:t>
      </w:r>
      <w:r w:rsidR="0012141B" w:rsidRPr="00A20DFF">
        <w:rPr>
          <w:rFonts w:cs="Times New Roman"/>
          <w:b/>
        </w:rPr>
        <w:t xml:space="preserve">1a, уже была представлена для официального утверждения отдельного технического элемента. </w:t>
      </w:r>
    </w:p>
    <w:p w:rsidR="0012141B" w:rsidRPr="00A20DFF" w:rsidRDefault="0012141B" w:rsidP="0092149F">
      <w:pPr>
        <w:spacing w:after="120"/>
        <w:ind w:left="2268" w:right="1134" w:hanging="1134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3.4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Безопасное функционирование после проведения испытания на конденсацию влаги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После испытания на влагостойкость, которое должно проводиться в соответствии с МЭК 68-2-30 (1980), должны быть повторно проведены испытания рабочих характеристик в соответствии с пунктом 5.3.3.1.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3.5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Испытание на безопасность в случае обратной полярности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Блокирующая система и ее компоненты не должны выходить из строя в случае обратной полярности при напряжении 13 В в течение 2 мин. После этого испытания должны быть повторно проведены испытания рабочих характеристик в соответствии с пунктом 5.3.3.1, причем при необходимости должны быть заменены предохранители.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3.6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Испытание на безопасность в случае короткого замыкания</w:t>
      </w:r>
    </w:p>
    <w:p w:rsidR="0012141B" w:rsidRPr="00A20DFF" w:rsidRDefault="0012141B" w:rsidP="0012141B">
      <w:pPr>
        <w:tabs>
          <w:tab w:val="left" w:leader="dot" w:pos="1983"/>
          <w:tab w:val="left" w:pos="2493"/>
          <w:tab w:val="left" w:pos="2720"/>
          <w:tab w:val="left" w:leader="dot" w:pos="2890"/>
        </w:tabs>
        <w:spacing w:after="120"/>
        <w:ind w:left="2268" w:right="1133"/>
        <w:jc w:val="both"/>
        <w:rPr>
          <w:rFonts w:eastAsia="Times New Roman" w:cs="Times New Roman"/>
          <w:b/>
          <w:bCs/>
        </w:rPr>
      </w:pPr>
      <w:r w:rsidRPr="00A20DFF">
        <w:rPr>
          <w:rFonts w:cs="Times New Roman"/>
          <w:b/>
          <w:bCs/>
        </w:rPr>
        <w:t>Все электрические соединения блокирующей системы должны быть защищены от короткого замыкания посредством заземления, максимум 13 B, и/или снабжены предохранителями.</w:t>
      </w:r>
      <w:r w:rsidRPr="00A20DFF">
        <w:rPr>
          <w:rFonts w:cs="Times New Roman"/>
        </w:rPr>
        <w:t xml:space="preserve"> </w:t>
      </w:r>
      <w:r w:rsidRPr="00A20DFF">
        <w:rPr>
          <w:rFonts w:cs="Times New Roman"/>
          <w:b/>
          <w:bCs/>
        </w:rPr>
        <w:t>После этого испытания должны быть повторно проведены испытания рабочих характеристик в соответствии с пунктом 5.3.3.1, причем при необходимости должны быть заменены предохранители.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3.7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Потребление энергии во включенном состоянии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Потребление энергии во включенном состоянии при условиях, указанных в пункте 5.3.2.1, не должно превышать 20 мA для всей блокирующей системы, включая индикатор режима.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С согласия технической службы это требование применять не обязательно при следующих обстоятельствах:</w:t>
      </w:r>
    </w:p>
    <w:p w:rsidR="0012141B" w:rsidRPr="0092149F" w:rsidRDefault="0012141B" w:rsidP="0092149F">
      <w:pPr>
        <w:spacing w:after="120"/>
        <w:ind w:left="2835" w:right="1134" w:hanging="567"/>
        <w:jc w:val="both"/>
        <w:rPr>
          <w:rFonts w:cs="Times New Roman"/>
          <w:b/>
        </w:rPr>
      </w:pPr>
      <w:r w:rsidRPr="0060278F">
        <w:rPr>
          <w:rFonts w:cs="Times New Roman"/>
          <w:b/>
        </w:rPr>
        <w:t>a)</w:t>
      </w:r>
      <w:r w:rsidRPr="0060278F">
        <w:rPr>
          <w:rFonts w:cs="Times New Roman"/>
          <w:b/>
        </w:rPr>
        <w:tab/>
      </w:r>
      <w:r w:rsidRPr="0092149F">
        <w:rPr>
          <w:rFonts w:cs="Times New Roman"/>
          <w:b/>
        </w:rPr>
        <w:t>официальное утверждение блокирующей системы, тип которой подлежит официальному утверждению в качестве отдельного технического элемента;</w:t>
      </w:r>
      <w:r w:rsidRPr="0060278F">
        <w:rPr>
          <w:rFonts w:cs="Times New Roman"/>
          <w:b/>
        </w:rPr>
        <w:t xml:space="preserve"> </w:t>
      </w:r>
    </w:p>
    <w:p w:rsidR="0012141B" w:rsidRPr="0092149F" w:rsidRDefault="0012141B" w:rsidP="0092149F">
      <w:pPr>
        <w:spacing w:after="120"/>
        <w:ind w:left="2835" w:right="1134" w:hanging="567"/>
        <w:jc w:val="both"/>
        <w:rPr>
          <w:rFonts w:cs="Times New Roman"/>
          <w:b/>
        </w:rPr>
      </w:pPr>
      <w:r w:rsidRPr="0060278F">
        <w:rPr>
          <w:rFonts w:cs="Times New Roman"/>
          <w:b/>
        </w:rPr>
        <w:tab/>
      </w:r>
      <w:r w:rsidRPr="0092149F">
        <w:rPr>
          <w:rFonts w:cs="Times New Roman"/>
          <w:b/>
        </w:rPr>
        <w:t>в этом случае изготовитель блокирующей системы:</w:t>
      </w:r>
      <w:r w:rsidRPr="0060278F">
        <w:rPr>
          <w:rFonts w:cs="Times New Roman"/>
          <w:b/>
        </w:rPr>
        <w:t xml:space="preserve"> </w:t>
      </w:r>
    </w:p>
    <w:p w:rsidR="0012141B" w:rsidRPr="000D4A1F" w:rsidRDefault="0012141B" w:rsidP="000D4A1F">
      <w:pPr>
        <w:spacing w:after="120"/>
        <w:ind w:left="3402" w:right="1134" w:hanging="567"/>
        <w:jc w:val="both"/>
        <w:rPr>
          <w:rFonts w:cs="Times New Roman"/>
          <w:b/>
        </w:rPr>
      </w:pPr>
      <w:r w:rsidRPr="0060278F">
        <w:rPr>
          <w:rFonts w:cs="Times New Roman"/>
          <w:b/>
        </w:rPr>
        <w:t>i)</w:t>
      </w:r>
      <w:r w:rsidRPr="0060278F">
        <w:rPr>
          <w:rFonts w:cs="Times New Roman"/>
          <w:b/>
        </w:rPr>
        <w:tab/>
        <w:t>указывает в пункте 4.5 информационного документа (приложение 1, часть 2), что предписание этого пункта к данной блокирующей системе не применяется (в</w:t>
      </w:r>
      <w:r w:rsidR="00576D38">
        <w:rPr>
          <w:rFonts w:cs="Times New Roman"/>
          <w:b/>
        </w:rPr>
        <w:t> </w:t>
      </w:r>
      <w:r w:rsidRPr="0060278F">
        <w:rPr>
          <w:rFonts w:cs="Times New Roman"/>
          <w:b/>
        </w:rPr>
        <w:t xml:space="preserve">соответствии с пунктом 7 настоящих Правил), и </w:t>
      </w:r>
    </w:p>
    <w:p w:rsidR="0012141B" w:rsidRPr="000D4A1F" w:rsidRDefault="0012141B" w:rsidP="000D4A1F">
      <w:pPr>
        <w:spacing w:after="120"/>
        <w:ind w:left="3402" w:right="1134" w:hanging="567"/>
        <w:jc w:val="both"/>
        <w:rPr>
          <w:rFonts w:cs="Times New Roman"/>
          <w:b/>
        </w:rPr>
      </w:pPr>
      <w:r w:rsidRPr="000D4A1F">
        <w:rPr>
          <w:rFonts w:cs="Times New Roman"/>
          <w:b/>
        </w:rPr>
        <w:t>ii)</w:t>
      </w:r>
      <w:r w:rsidRPr="0060278F">
        <w:rPr>
          <w:rFonts w:cs="Times New Roman"/>
          <w:b/>
        </w:rPr>
        <w:tab/>
        <w:t xml:space="preserve">указывает в пункте 4.1 информационного документа перечень транспортных средств, для установки на которых предназначена данная блокирующая система, и соответствующие условия установки в пункте 4.2; </w:t>
      </w:r>
    </w:p>
    <w:p w:rsidR="0012141B" w:rsidRPr="000D4A1F" w:rsidRDefault="0012141B" w:rsidP="000D4A1F">
      <w:pPr>
        <w:spacing w:after="120"/>
        <w:ind w:left="2835" w:right="1134" w:hanging="567"/>
        <w:jc w:val="both"/>
        <w:rPr>
          <w:rFonts w:cs="Times New Roman"/>
          <w:b/>
        </w:rPr>
      </w:pPr>
      <w:r w:rsidRPr="0060278F">
        <w:rPr>
          <w:rFonts w:cs="Times New Roman"/>
          <w:b/>
        </w:rPr>
        <w:t>b)</w:t>
      </w:r>
      <w:r w:rsidRPr="0060278F">
        <w:rPr>
          <w:rFonts w:cs="Times New Roman"/>
          <w:b/>
        </w:rPr>
        <w:tab/>
      </w:r>
      <w:r w:rsidRPr="000D4A1F">
        <w:rPr>
          <w:rFonts w:cs="Times New Roman"/>
          <w:b/>
        </w:rPr>
        <w:t>официальное утверждение типа транспортного средства в отношении блокирующей системы;</w:t>
      </w:r>
      <w:r w:rsidRPr="0060278F">
        <w:rPr>
          <w:rFonts w:cs="Times New Roman"/>
          <w:b/>
        </w:rPr>
        <w:t xml:space="preserve"> </w:t>
      </w:r>
    </w:p>
    <w:p w:rsidR="0012141B" w:rsidRPr="000D4A1F" w:rsidRDefault="0012141B" w:rsidP="000D4A1F">
      <w:pPr>
        <w:spacing w:after="120"/>
        <w:ind w:left="2835" w:right="1134" w:hanging="567"/>
        <w:jc w:val="both"/>
        <w:rPr>
          <w:rFonts w:cs="Times New Roman"/>
          <w:b/>
        </w:rPr>
      </w:pPr>
      <w:r w:rsidRPr="0060278F">
        <w:rPr>
          <w:rFonts w:cs="Times New Roman"/>
          <w:b/>
        </w:rPr>
        <w:tab/>
        <w:t xml:space="preserve">в этом случае изготовитель указывает в пункте 3.1.3.1.1 информационного документа (приложение 1а), что предписания этого пункта не применяются к данной блокирующей системе в силу самого характера условий установки, и изготовитель транспортного средства удостоверяет это, представляя соответствующие документы; </w:t>
      </w:r>
    </w:p>
    <w:p w:rsidR="0012141B" w:rsidRPr="000D4A1F" w:rsidRDefault="0012141B" w:rsidP="009762F4">
      <w:pPr>
        <w:pageBreakBefore/>
        <w:spacing w:after="120"/>
        <w:ind w:left="2835" w:right="1134" w:hanging="567"/>
        <w:jc w:val="both"/>
        <w:rPr>
          <w:rFonts w:cs="Times New Roman"/>
          <w:b/>
        </w:rPr>
      </w:pPr>
      <w:r w:rsidRPr="0060278F">
        <w:rPr>
          <w:rFonts w:cs="Times New Roman"/>
          <w:b/>
        </w:rPr>
        <w:lastRenderedPageBreak/>
        <w:t>c)</w:t>
      </w:r>
      <w:r w:rsidRPr="0060278F">
        <w:rPr>
          <w:rFonts w:cs="Times New Roman"/>
          <w:b/>
        </w:rPr>
        <w:tab/>
      </w:r>
      <w:r w:rsidRPr="000D4A1F">
        <w:rPr>
          <w:rFonts w:cs="Times New Roman"/>
          <w:b/>
        </w:rPr>
        <w:t xml:space="preserve">официальное утверждение типа транспортного средства в отношении установки блокирующей системы, которая официально утверждена по типу конструкции в качестве отдельного технического элемента; </w:t>
      </w:r>
    </w:p>
    <w:p w:rsidR="0012141B" w:rsidRPr="000D4A1F" w:rsidRDefault="0012141B" w:rsidP="000D4A1F">
      <w:pPr>
        <w:spacing w:after="120"/>
        <w:ind w:left="2835" w:right="1134" w:hanging="567"/>
        <w:jc w:val="both"/>
        <w:rPr>
          <w:rFonts w:cs="Times New Roman"/>
          <w:b/>
        </w:rPr>
      </w:pPr>
      <w:r w:rsidRPr="0060278F">
        <w:rPr>
          <w:rFonts w:cs="Times New Roman"/>
          <w:b/>
        </w:rPr>
        <w:tab/>
        <w:t xml:space="preserve">в этом случае изготовитель транспортного средства </w:t>
      </w:r>
      <w:r w:rsidR="00576D38">
        <w:rPr>
          <w:rFonts w:cs="Times New Roman"/>
          <w:b/>
        </w:rPr>
        <w:br/>
      </w:r>
      <w:r w:rsidRPr="0060278F">
        <w:rPr>
          <w:rFonts w:cs="Times New Roman"/>
          <w:b/>
        </w:rPr>
        <w:t>указывает в пункте 3.1.3.1.1 информационного документа (приложение</w:t>
      </w:r>
      <w:r w:rsidR="00E07598">
        <w:rPr>
          <w:rFonts w:cs="Times New Roman"/>
          <w:b/>
        </w:rPr>
        <w:t xml:space="preserve"> </w:t>
      </w:r>
      <w:r w:rsidRPr="0060278F">
        <w:rPr>
          <w:rFonts w:cs="Times New Roman"/>
          <w:b/>
        </w:rPr>
        <w:t xml:space="preserve">1а), что предписание этого пункта не применяется к установке данной блокирующей системы, если соблюдены соответствующие условия установки. </w:t>
      </w:r>
    </w:p>
    <w:p w:rsidR="0012141B" w:rsidRPr="000D4A1F" w:rsidRDefault="0012141B" w:rsidP="000D4A1F">
      <w:pPr>
        <w:spacing w:after="120"/>
        <w:ind w:left="2835" w:right="1134" w:hanging="567"/>
        <w:jc w:val="both"/>
        <w:rPr>
          <w:rFonts w:cs="Times New Roman"/>
          <w:b/>
        </w:rPr>
      </w:pPr>
      <w:r w:rsidRPr="0060278F">
        <w:rPr>
          <w:rFonts w:cs="Times New Roman"/>
          <w:b/>
        </w:rPr>
        <w:tab/>
        <w:t>Данное требование не применяется в тех случаях, если информация, предусмотренная в пункте 3.1.3.1.1 приложения</w:t>
      </w:r>
      <w:r w:rsidR="00DF5ED2">
        <w:rPr>
          <w:rFonts w:cs="Times New Roman"/>
          <w:b/>
        </w:rPr>
        <w:t> </w:t>
      </w:r>
      <w:r w:rsidRPr="0060278F">
        <w:rPr>
          <w:rFonts w:cs="Times New Roman"/>
          <w:b/>
        </w:rPr>
        <w:t xml:space="preserve">1a, уже была представлена для официального утверждения отдельного технического элемента. 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60278F">
        <w:rPr>
          <w:rFonts w:cs="Times New Roman"/>
          <w:b/>
        </w:rPr>
        <w:t>3.8</w:t>
      </w:r>
      <w:r w:rsidRPr="0060278F">
        <w:rPr>
          <w:rFonts w:cs="Times New Roman"/>
          <w:b/>
        </w:rPr>
        <w:tab/>
      </w:r>
      <w:r w:rsidRPr="0060278F">
        <w:rPr>
          <w:rFonts w:cs="Times New Roman"/>
          <w:b/>
          <w:bCs/>
        </w:rPr>
        <w:t>Безопасное функционирование после и</w:t>
      </w:r>
      <w:r w:rsidRPr="00A20DFF">
        <w:rPr>
          <w:rFonts w:cs="Times New Roman"/>
          <w:b/>
          <w:bCs/>
        </w:rPr>
        <w:t>спытания на вибрацию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3.8.1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Для целей этого испытания компоненты подразделяются на следующие два типа: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тип 1: компоненты, обычно устанавливаемые на транспортном средстве;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тип 2: компоненты, предназначенные для крепления к двигателю.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3.8.2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Компоненты/блокирующая система должны подвергаться синусоидальной вибрации со следующими характеристиками: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3.8.2.1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Для типа 1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Частота должна варьироваться в пределах от 10 Гц до 500 Гц с максимальной амплитудой ±5 мм и максимальным ускорением 3 g (0 – пиковое значение).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3.8.2.2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Для типа 2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Частота должна варьироваться в пределах от 20 Гц до 300 Гц с максимальной амплитудой ±2 мм и максимальным ускорением 15 g (0 – пиковое значение).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3.8.2.3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Для типа 1 и типа 2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Варьирование частоты: 1 окт/мин.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</w:rPr>
      </w:pPr>
      <w:r w:rsidRPr="00A20DFF">
        <w:rPr>
          <w:rFonts w:cs="Times New Roman"/>
          <w:b/>
          <w:bCs/>
        </w:rPr>
        <w:t>Число циклов равно 10, испытание должно проводиться по каждой из трех осей.</w:t>
      </w:r>
    </w:p>
    <w:p w:rsidR="0012141B" w:rsidRPr="00A20DF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Колебания должны иметь максимальную постоянную амплитуду при низких частотах и максимальное постоянное ускорение при высоких частотах.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3.8.3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В ходе испытания блокирующая система должна быть подсоединен</w:t>
      </w:r>
      <w:r>
        <w:rPr>
          <w:rFonts w:cs="Times New Roman"/>
          <w:b/>
          <w:bCs/>
        </w:rPr>
        <w:t>а</w:t>
      </w:r>
      <w:r w:rsidRPr="00A20DFF">
        <w:rPr>
          <w:rFonts w:cs="Times New Roman"/>
          <w:b/>
          <w:bCs/>
        </w:rPr>
        <w:t xml:space="preserve"> к электрической сети и кабель должен быть закреплен через 200 мм.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3.8.4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После испытания на вибрацию должны быть повторно проведены испытания рабочих характеристик в соответствии с пунктом 5.3.3.1.</w:t>
      </w:r>
    </w:p>
    <w:p w:rsidR="0012141B" w:rsidRPr="00A20DFF" w:rsidRDefault="0012141B" w:rsidP="0012141B">
      <w:pPr>
        <w:spacing w:after="120"/>
        <w:ind w:left="2268" w:right="1133" w:hanging="1133"/>
        <w:jc w:val="both"/>
        <w:rPr>
          <w:rFonts w:eastAsia="Times New Roman" w:cs="Times New Roman"/>
          <w:b/>
          <w:bCs/>
          <w:szCs w:val="20"/>
        </w:rPr>
      </w:pPr>
      <w:r w:rsidRPr="00E56D1C">
        <w:rPr>
          <w:rFonts w:cs="Times New Roman"/>
          <w:b/>
        </w:rPr>
        <w:t>3.9</w:t>
      </w:r>
      <w:r w:rsidRPr="00A20DFF">
        <w:rPr>
          <w:rFonts w:cs="Times New Roman"/>
        </w:rPr>
        <w:tab/>
      </w:r>
      <w:r w:rsidRPr="00A20DFF">
        <w:rPr>
          <w:rFonts w:cs="Times New Roman"/>
          <w:b/>
          <w:bCs/>
        </w:rPr>
        <w:t>Электромагнитная совместимость</w:t>
      </w:r>
    </w:p>
    <w:p w:rsidR="0012141B" w:rsidRPr="0060278F" w:rsidRDefault="0012141B" w:rsidP="0012141B">
      <w:pPr>
        <w:spacing w:after="120"/>
        <w:ind w:left="2268" w:right="1133"/>
        <w:jc w:val="both"/>
        <w:rPr>
          <w:rFonts w:eastAsia="Times New Roman" w:cs="Times New Roman"/>
          <w:b/>
          <w:szCs w:val="20"/>
        </w:rPr>
      </w:pPr>
      <w:r w:rsidRPr="0060278F">
        <w:rPr>
          <w:rFonts w:cs="Times New Roman"/>
          <w:b/>
        </w:rPr>
        <w:t>Блокирующая система должна представляться на испытания, описание которых приводится в приложении 6</w:t>
      </w:r>
      <w:r w:rsidR="00E56D1C" w:rsidRPr="00E56D1C">
        <w:rPr>
          <w:rFonts w:cs="Times New Roman"/>
        </w:rPr>
        <w:t>»</w:t>
      </w:r>
      <w:r w:rsidR="00E56D1C">
        <w:rPr>
          <w:rFonts w:cs="Times New Roman"/>
        </w:rPr>
        <w:t>.</w:t>
      </w:r>
    </w:p>
    <w:p w:rsidR="0012141B" w:rsidRPr="00DF5ED2" w:rsidRDefault="0012141B" w:rsidP="00E72D5A">
      <w:pPr>
        <w:pStyle w:val="af3"/>
        <w:keepNext/>
        <w:keepLines/>
        <w:pageBreakBefore/>
        <w:suppressAutoHyphens/>
        <w:spacing w:after="120" w:line="240" w:lineRule="atLeast"/>
        <w:ind w:left="1134" w:right="142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DF5ED2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Приложение 6</w:t>
      </w:r>
      <w:r w:rsidRPr="00DF5ED2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 </w:t>
      </w:r>
    </w:p>
    <w:p w:rsidR="0012141B" w:rsidRPr="00A20DFF" w:rsidRDefault="00E56D1C" w:rsidP="00843BBF">
      <w:pPr>
        <w:pStyle w:val="HChG"/>
      </w:pPr>
      <w:r w:rsidRPr="00E56D1C">
        <w:rPr>
          <w:b w:val="0"/>
          <w:bCs/>
        </w:rPr>
        <w:t>«</w:t>
      </w:r>
      <w:r w:rsidR="0012141B" w:rsidRPr="00A20DFF">
        <w:rPr>
          <w:bCs/>
        </w:rPr>
        <w:t>Приложение 6</w:t>
      </w:r>
    </w:p>
    <w:p w:rsidR="0012141B" w:rsidRPr="00A20DFF" w:rsidRDefault="00ED5012" w:rsidP="00ED5012">
      <w:pPr>
        <w:pStyle w:val="HChG"/>
        <w:rPr>
          <w:szCs w:val="28"/>
        </w:rPr>
      </w:pPr>
      <w:r>
        <w:tab/>
      </w:r>
      <w:r>
        <w:tab/>
      </w:r>
      <w:r w:rsidR="0012141B" w:rsidRPr="00A20DFF">
        <w:t>Электромагнитная совместимость</w:t>
      </w:r>
      <w:r w:rsidR="00E56D1C" w:rsidRPr="00ED5012">
        <w:rPr>
          <w:b w:val="0"/>
        </w:rPr>
        <w:t>»</w:t>
      </w:r>
    </w:p>
    <w:p w:rsidR="0012141B" w:rsidRPr="00A20DFF" w:rsidRDefault="0012141B" w:rsidP="0012141B">
      <w:pPr>
        <w:tabs>
          <w:tab w:val="left" w:pos="1134"/>
          <w:tab w:val="left" w:pos="8505"/>
        </w:tabs>
        <w:spacing w:after="120"/>
        <w:ind w:left="1134" w:right="139"/>
        <w:jc w:val="both"/>
        <w:rPr>
          <w:rFonts w:eastAsia="Times New Roman" w:cs="Times New Roman"/>
          <w:i/>
          <w:szCs w:val="20"/>
        </w:rPr>
      </w:pPr>
      <w:r w:rsidRPr="00A20DFF">
        <w:rPr>
          <w:rFonts w:cs="Times New Roman"/>
          <w:i/>
          <w:iCs/>
        </w:rPr>
        <w:t>Пункт 1 исключить.</w:t>
      </w:r>
    </w:p>
    <w:p w:rsidR="0012141B" w:rsidRPr="00A20DFF" w:rsidRDefault="0012141B" w:rsidP="0012141B">
      <w:pPr>
        <w:tabs>
          <w:tab w:val="left" w:pos="1701"/>
          <w:tab w:val="left" w:pos="8505"/>
        </w:tabs>
        <w:spacing w:after="120"/>
        <w:ind w:left="1701" w:right="139" w:hanging="567"/>
        <w:jc w:val="both"/>
        <w:rPr>
          <w:rFonts w:eastAsia="Times New Roman" w:cs="Times New Roman"/>
          <w:i/>
          <w:iCs/>
          <w:szCs w:val="20"/>
        </w:rPr>
      </w:pPr>
      <w:r w:rsidRPr="00B01270">
        <w:rPr>
          <w:rFonts w:cs="Times New Roman"/>
          <w:i/>
        </w:rPr>
        <w:t xml:space="preserve">Перенумеровать пункт 1.1 в пункт 1 </w:t>
      </w:r>
      <w:r w:rsidRPr="00F54D94">
        <w:rPr>
          <w:rFonts w:cs="Times New Roman"/>
        </w:rPr>
        <w:t>и изменить его формулировку</w:t>
      </w:r>
      <w:r w:rsidRPr="00A20DFF">
        <w:rPr>
          <w:rFonts w:cs="Times New Roman"/>
        </w:rPr>
        <w:t xml:space="preserve"> на следующую:</w:t>
      </w:r>
    </w:p>
    <w:p w:rsidR="0012141B" w:rsidRPr="00A20DFF" w:rsidRDefault="00E56D1C" w:rsidP="0012141B">
      <w:pPr>
        <w:tabs>
          <w:tab w:val="left" w:pos="1701"/>
          <w:tab w:val="left" w:pos="8505"/>
        </w:tabs>
        <w:spacing w:after="120"/>
        <w:ind w:left="1701" w:right="1133" w:hanging="567"/>
        <w:jc w:val="both"/>
        <w:rPr>
          <w:rFonts w:eastAsia="Times New Roman" w:cs="Times New Roman"/>
          <w:szCs w:val="20"/>
        </w:rPr>
      </w:pPr>
      <w:r w:rsidRPr="00E56D1C">
        <w:rPr>
          <w:rFonts w:cs="Times New Roman"/>
          <w:bCs/>
        </w:rPr>
        <w:t>«</w:t>
      </w:r>
      <w:r w:rsidR="0012141B" w:rsidRPr="00A20DFF">
        <w:rPr>
          <w:rFonts w:cs="Times New Roman"/>
          <w:b/>
          <w:bCs/>
        </w:rPr>
        <w:t>1.</w:t>
      </w:r>
      <w:r w:rsidR="0012141B" w:rsidRPr="00A20DFF">
        <w:rPr>
          <w:rFonts w:cs="Times New Roman"/>
        </w:rPr>
        <w:tab/>
        <w:t>Устойчивость к помехам в линиях питания</w:t>
      </w:r>
    </w:p>
    <w:p w:rsidR="0012141B" w:rsidRPr="00A20DFF" w:rsidRDefault="0012141B" w:rsidP="0012141B">
      <w:pPr>
        <w:tabs>
          <w:tab w:val="left" w:pos="1701"/>
          <w:tab w:val="left" w:pos="8505"/>
        </w:tabs>
        <w:spacing w:after="120"/>
        <w:ind w:left="1701" w:right="1133"/>
        <w:jc w:val="both"/>
        <w:rPr>
          <w:rFonts w:eastAsia="Times New Roman" w:cs="Times New Roman"/>
          <w:b/>
          <w:szCs w:val="20"/>
        </w:rPr>
      </w:pPr>
      <w:r w:rsidRPr="00A20DFF">
        <w:rPr>
          <w:rFonts w:cs="Times New Roman"/>
          <w:b/>
          <w:bCs/>
        </w:rPr>
        <w:t>Испытания проводятся в соответствии с техническими предписаниями и переходными положениями, приведенными в поправках серии 06 к Правилам № 10 ООН, и методами проведения испытаний, описанными в приложении 10 для электрического/электронного сборочного узла (ЭСУ).</w:t>
      </w:r>
    </w:p>
    <w:p w:rsidR="0012141B" w:rsidRPr="00A20DFF" w:rsidRDefault="0012141B" w:rsidP="0012141B">
      <w:pPr>
        <w:tabs>
          <w:tab w:val="left" w:pos="1701"/>
          <w:tab w:val="left" w:pos="8505"/>
        </w:tabs>
        <w:spacing w:after="120"/>
        <w:ind w:left="1701" w:right="1133"/>
        <w:jc w:val="both"/>
        <w:rPr>
          <w:rFonts w:eastAsia="Times New Roman" w:cs="Times New Roman"/>
          <w:szCs w:val="20"/>
        </w:rPr>
      </w:pPr>
      <w:r w:rsidRPr="00A20DFF">
        <w:rPr>
          <w:rFonts w:cs="Times New Roman"/>
          <w:b/>
          <w:bCs/>
        </w:rPr>
        <w:t>Блокирующая система должна быть испытана в отключенном и включенном состоянии</w:t>
      </w:r>
      <w:r w:rsidR="00E56D1C">
        <w:rPr>
          <w:rFonts w:cs="Times New Roman"/>
          <w:b/>
          <w:bCs/>
        </w:rPr>
        <w:t>»</w:t>
      </w:r>
      <w:r w:rsidRPr="00E56D1C">
        <w:rPr>
          <w:rFonts w:cs="Times New Roman"/>
          <w:bCs/>
        </w:rPr>
        <w:t>.</w:t>
      </w:r>
    </w:p>
    <w:p w:rsidR="0012141B" w:rsidRPr="00A20DFF" w:rsidRDefault="0012141B" w:rsidP="004E5580">
      <w:pPr>
        <w:tabs>
          <w:tab w:val="left" w:pos="1134"/>
          <w:tab w:val="left" w:pos="8505"/>
        </w:tabs>
        <w:spacing w:after="120"/>
        <w:ind w:left="1134" w:right="113"/>
        <w:jc w:val="both"/>
        <w:rPr>
          <w:rFonts w:eastAsia="Times New Roman" w:cs="Times New Roman"/>
          <w:strike/>
          <w:szCs w:val="20"/>
        </w:rPr>
      </w:pPr>
      <w:r w:rsidRPr="00A20DFF">
        <w:rPr>
          <w:rFonts w:cs="Times New Roman"/>
          <w:i/>
          <w:iCs/>
        </w:rPr>
        <w:t>Пункты 1.2 и 1.3 исключить.</w:t>
      </w:r>
    </w:p>
    <w:p w:rsidR="0012141B" w:rsidRPr="00A20DFF" w:rsidRDefault="0012141B" w:rsidP="00AB7E76">
      <w:pPr>
        <w:pStyle w:val="SingleTxtG"/>
        <w:rPr>
          <w:iCs/>
        </w:rPr>
      </w:pPr>
      <w:r w:rsidRPr="00AB7E76">
        <w:rPr>
          <w:i/>
        </w:rPr>
        <w:t xml:space="preserve">Перенумеровать пункты 1.4, 1.5 и 1.6 в пункты 2, 3 и 4 </w:t>
      </w:r>
      <w:r w:rsidRPr="00D406D8">
        <w:t>и изменить их формулировку</w:t>
      </w:r>
      <w:r w:rsidRPr="00A20DFF">
        <w:t xml:space="preserve"> следующим образом: </w:t>
      </w:r>
    </w:p>
    <w:p w:rsidR="0012141B" w:rsidRPr="00A20DFF" w:rsidRDefault="00512B45" w:rsidP="0012141B">
      <w:pPr>
        <w:tabs>
          <w:tab w:val="left" w:pos="1701"/>
        </w:tabs>
        <w:spacing w:after="120"/>
        <w:ind w:left="1701" w:right="1133" w:hanging="567"/>
        <w:jc w:val="both"/>
        <w:rPr>
          <w:rFonts w:eastAsia="Times New Roman" w:cs="Times New Roman"/>
          <w:szCs w:val="20"/>
        </w:rPr>
      </w:pPr>
      <w:r>
        <w:rPr>
          <w:rFonts w:cs="Times New Roman"/>
        </w:rPr>
        <w:t>«</w:t>
      </w:r>
      <w:r w:rsidR="0012141B" w:rsidRPr="00A20DFF">
        <w:rPr>
          <w:rFonts w:cs="Times New Roman"/>
        </w:rPr>
        <w:t>2.</w:t>
      </w:r>
      <w:r w:rsidR="0012141B" w:rsidRPr="00A20DFF">
        <w:rPr>
          <w:rFonts w:cs="Times New Roman"/>
        </w:rPr>
        <w:tab/>
        <w:t>Устойчивость к излучаемым высокочастотным помехам</w:t>
      </w:r>
    </w:p>
    <w:p w:rsidR="0012141B" w:rsidRPr="00A20DFF" w:rsidRDefault="0012141B" w:rsidP="0012141B">
      <w:pPr>
        <w:tabs>
          <w:tab w:val="left" w:pos="1701"/>
        </w:tabs>
        <w:spacing w:after="120"/>
        <w:ind w:left="1701" w:right="1133"/>
        <w:jc w:val="both"/>
        <w:rPr>
          <w:rFonts w:eastAsia="Times New Roman" w:cs="Times New Roman"/>
          <w:b/>
          <w:szCs w:val="20"/>
        </w:rPr>
      </w:pPr>
      <w:r w:rsidRPr="00A20DFF">
        <w:rPr>
          <w:rFonts w:cs="Times New Roman"/>
        </w:rPr>
        <w:t xml:space="preserve">Испытание на устойчивость </w:t>
      </w:r>
      <w:r w:rsidRPr="00A20DFF">
        <w:rPr>
          <w:rFonts w:cs="Times New Roman"/>
          <w:b/>
          <w:bCs/>
        </w:rPr>
        <w:t>блокирующей системы</w:t>
      </w:r>
      <w:r w:rsidRPr="00A20DFF">
        <w:rPr>
          <w:rFonts w:cs="Times New Roman"/>
        </w:rPr>
        <w:t xml:space="preserve"> на транспортном средстве может быть проведено в соответствии с техническими предписаниями и переходными положениями, приведенными в поправках серии 0</w:t>
      </w:r>
      <w:r w:rsidRPr="00A20DFF">
        <w:rPr>
          <w:rFonts w:cs="Times New Roman"/>
          <w:strike/>
        </w:rPr>
        <w:t>4</w:t>
      </w:r>
      <w:r w:rsidRPr="00A22EA9">
        <w:rPr>
          <w:rFonts w:cs="Times New Roman"/>
          <w:b/>
        </w:rPr>
        <w:t>6</w:t>
      </w:r>
      <w:r w:rsidRPr="00A20DFF">
        <w:rPr>
          <w:rFonts w:cs="Times New Roman"/>
        </w:rPr>
        <w:t xml:space="preserve"> к Правилам</w:t>
      </w:r>
      <w:r w:rsidR="00512B45">
        <w:rPr>
          <w:rFonts w:cs="Times New Roman"/>
        </w:rPr>
        <w:t> </w:t>
      </w:r>
      <w:r w:rsidRPr="00A20DFF">
        <w:rPr>
          <w:rFonts w:cs="Times New Roman"/>
        </w:rPr>
        <w:t xml:space="preserve">№ 10 ООН, а также методами, описанными в приложении 6 для транспортных средств </w:t>
      </w:r>
      <w:r w:rsidRPr="00A20DFF">
        <w:rPr>
          <w:rFonts w:cs="Times New Roman"/>
          <w:b/>
          <w:bCs/>
          <w:strike/>
        </w:rPr>
        <w:t>и</w:t>
      </w:r>
      <w:r w:rsidRPr="00A20DFF">
        <w:rPr>
          <w:rFonts w:cs="Times New Roman"/>
        </w:rPr>
        <w:t xml:space="preserve"> </w:t>
      </w:r>
      <w:r w:rsidRPr="00A20DFF">
        <w:rPr>
          <w:rFonts w:cs="Times New Roman"/>
          <w:b/>
          <w:bCs/>
        </w:rPr>
        <w:t>или</w:t>
      </w:r>
      <w:r w:rsidRPr="00A20DFF">
        <w:rPr>
          <w:rFonts w:cs="Times New Roman"/>
        </w:rPr>
        <w:t xml:space="preserve"> в приложении 9 </w:t>
      </w:r>
      <w:r w:rsidRPr="00A20DFF">
        <w:rPr>
          <w:rFonts w:cs="Times New Roman"/>
          <w:b/>
          <w:bCs/>
          <w:strike/>
        </w:rPr>
        <w:t>для отдельного технического элемента</w:t>
      </w:r>
      <w:r w:rsidRPr="00A20DFF">
        <w:rPr>
          <w:rFonts w:cs="Times New Roman"/>
        </w:rPr>
        <w:t xml:space="preserve"> </w:t>
      </w:r>
      <w:r w:rsidRPr="00A20DFF">
        <w:rPr>
          <w:rFonts w:cs="Times New Roman"/>
          <w:b/>
          <w:bCs/>
        </w:rPr>
        <w:t>для электрического/электронного сборочного узла (ЭСУ).</w:t>
      </w:r>
    </w:p>
    <w:p w:rsidR="0012141B" w:rsidRPr="00A20DFF" w:rsidRDefault="0012141B" w:rsidP="0012141B">
      <w:pPr>
        <w:spacing w:after="120"/>
        <w:ind w:left="1701" w:right="1133"/>
        <w:jc w:val="both"/>
        <w:rPr>
          <w:rFonts w:eastAsia="Times New Roman" w:cs="Times New Roman"/>
          <w:b/>
          <w:szCs w:val="20"/>
        </w:rPr>
      </w:pPr>
      <w:r w:rsidRPr="00A20DFF">
        <w:rPr>
          <w:rFonts w:cs="Times New Roman"/>
          <w:b/>
          <w:bCs/>
        </w:rPr>
        <w:t>Блокирующая система должна быть испытана в условиях эксплуатации и с учетом критериев непрохождения испытания, указанных в таблице 1.</w:t>
      </w:r>
    </w:p>
    <w:p w:rsidR="0012141B" w:rsidRPr="00A20DFF" w:rsidRDefault="005400B8" w:rsidP="005400B8">
      <w:pPr>
        <w:pStyle w:val="H23G"/>
      </w:pPr>
      <w:r>
        <w:tab/>
      </w:r>
      <w:r>
        <w:tab/>
      </w:r>
      <w:r w:rsidR="0012141B" w:rsidRPr="005400B8">
        <w:rPr>
          <w:b w:val="0"/>
        </w:rPr>
        <w:t>Таблица 1</w:t>
      </w:r>
      <w:r>
        <w:br/>
      </w:r>
      <w:r w:rsidR="0012141B" w:rsidRPr="00A20DFF">
        <w:t>Условия эксплуатации и критерии непрохождения испытания блокирующей системы</w:t>
      </w:r>
    </w:p>
    <w:tbl>
      <w:tblPr>
        <w:tblW w:w="865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3686"/>
        <w:gridCol w:w="3271"/>
      </w:tblGrid>
      <w:tr w:rsidR="0012141B" w:rsidRPr="00A20DFF" w:rsidTr="00FE4E20">
        <w:trPr>
          <w:cantSplit/>
          <w:trHeight w:val="721"/>
          <w:tblHeader/>
        </w:trPr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Тип испытания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Условия работы блокирующей системы</w:t>
            </w:r>
          </w:p>
        </w:tc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Критерии непрохождения испытания</w:t>
            </w:r>
          </w:p>
        </w:tc>
      </w:tr>
      <w:tr w:rsidR="0012141B" w:rsidRPr="00A20DFF" w:rsidTr="00FE4E20">
        <w:trPr>
          <w:cantSplit/>
          <w:trHeight w:val="975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Испытание транспортного средства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Блокирующая система в отключенном состоянии</w:t>
            </w:r>
          </w:p>
          <w:p w:rsidR="0012141B" w:rsidRPr="00A20DFF" w:rsidRDefault="0012141B" w:rsidP="00A669FA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 xml:space="preserve">Включено </w:t>
            </w:r>
            <w:r>
              <w:rPr>
                <w:rFonts w:cs="Times New Roman"/>
                <w:b/>
                <w:bCs/>
              </w:rPr>
              <w:t xml:space="preserve">зажигание </w:t>
            </w:r>
            <w:r w:rsidRPr="00A20DFF">
              <w:rPr>
                <w:rFonts w:cs="Times New Roman"/>
                <w:b/>
                <w:bCs/>
              </w:rPr>
              <w:t>или транспортное средство движется со</w:t>
            </w:r>
            <w:r w:rsidR="00A669FA">
              <w:rPr>
                <w:rFonts w:cs="Times New Roman"/>
                <w:b/>
                <w:bCs/>
              </w:rPr>
              <w:t> </w:t>
            </w:r>
            <w:r w:rsidRPr="00A20DFF">
              <w:rPr>
                <w:rFonts w:cs="Times New Roman"/>
                <w:b/>
                <w:bCs/>
              </w:rPr>
              <w:t>скоростью 50 км/ч</w:t>
            </w:r>
            <w:r w:rsidRPr="003256E1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Неожиданное включение блокирующей системы</w:t>
            </w:r>
          </w:p>
        </w:tc>
      </w:tr>
      <w:tr w:rsidR="0012141B" w:rsidRPr="00A20DFF" w:rsidTr="00FE4E20">
        <w:trPr>
          <w:cantSplit/>
          <w:trHeight w:val="610"/>
        </w:trPr>
        <w:tc>
          <w:tcPr>
            <w:tcW w:w="169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2141B" w:rsidRPr="00A20DFF" w:rsidRDefault="0012141B" w:rsidP="00FE4E20">
            <w:pPr>
              <w:spacing w:line="240" w:lineRule="auto"/>
              <w:rPr>
                <w:rFonts w:eastAsia="Times New Roman" w:cs="Times New Roman"/>
                <w:b/>
                <w:spacing w:val="-6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Блокирующая система во включенном состоянии</w:t>
            </w:r>
          </w:p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Выключено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9F42F0">
              <w:rPr>
                <w:rFonts w:cs="Times New Roman"/>
                <w:b/>
                <w:bCs/>
              </w:rPr>
              <w:t>зажигание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Неожиданное выключение блокирующей системы</w:t>
            </w:r>
          </w:p>
        </w:tc>
      </w:tr>
      <w:tr w:rsidR="0012141B" w:rsidRPr="00A20DFF" w:rsidTr="00FE4E20">
        <w:trPr>
          <w:cantSplit/>
          <w:trHeight w:val="610"/>
        </w:trPr>
        <w:tc>
          <w:tcPr>
            <w:tcW w:w="169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2141B" w:rsidRPr="00A20DFF" w:rsidRDefault="0012141B" w:rsidP="00FE4E20">
            <w:pPr>
              <w:spacing w:line="240" w:lineRule="auto"/>
              <w:rPr>
                <w:rFonts w:eastAsia="Times New Roman" w:cs="Times New Roman"/>
                <w:b/>
                <w:spacing w:val="-6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Блокирующая система во включенном состоянии</w:t>
            </w:r>
          </w:p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Транспортное средство в режиме зарядки (если это применимо)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Неожиданное выключение блокирующей системы</w:t>
            </w:r>
          </w:p>
        </w:tc>
      </w:tr>
      <w:tr w:rsidR="0012141B" w:rsidRPr="00A20DFF" w:rsidTr="00FE4E20">
        <w:trPr>
          <w:cantSplit/>
          <w:trHeight w:val="610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141B" w:rsidRPr="00A20DFF" w:rsidRDefault="0012141B" w:rsidP="009762F4">
            <w:pPr>
              <w:pageBreakBefore/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lastRenderedPageBreak/>
              <w:t>Испытание ЭСУ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Блокирующая система в отключенном состоянии</w:t>
            </w:r>
          </w:p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bookmarkStart w:id="3" w:name="_GoBack"/>
            <w:bookmarkEnd w:id="3"/>
          </w:p>
        </w:tc>
        <w:tc>
          <w:tcPr>
            <w:tcW w:w="32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Неожиданное включение блокирующей системы</w:t>
            </w:r>
          </w:p>
        </w:tc>
      </w:tr>
      <w:tr w:rsidR="0012141B" w:rsidRPr="00A20DFF" w:rsidTr="00FE4E20">
        <w:trPr>
          <w:cantSplit/>
          <w:trHeight w:val="610"/>
        </w:trPr>
        <w:tc>
          <w:tcPr>
            <w:tcW w:w="169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2141B" w:rsidRPr="00A20DFF" w:rsidRDefault="0012141B" w:rsidP="00FE4E20">
            <w:pPr>
              <w:spacing w:line="240" w:lineRule="auto"/>
              <w:rPr>
                <w:rFonts w:eastAsia="Times New Roman" w:cs="Times New Roman"/>
                <w:b/>
                <w:spacing w:val="-6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pacing w:val="-6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Блокирующая система во включенном состоянии</w:t>
            </w:r>
          </w:p>
          <w:p w:rsidR="0012141B" w:rsidRPr="00A20DFF" w:rsidRDefault="0012141B" w:rsidP="00FE4E20">
            <w:pPr>
              <w:spacing w:before="40"/>
              <w:ind w:right="113"/>
              <w:rPr>
                <w:rFonts w:eastAsia="Times New Roman" w:cs="Times New Roman"/>
                <w:b/>
                <w:spacing w:val="-6"/>
                <w:szCs w:val="20"/>
              </w:rPr>
            </w:pPr>
          </w:p>
        </w:tc>
        <w:tc>
          <w:tcPr>
            <w:tcW w:w="32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141B" w:rsidRPr="00A20DFF" w:rsidRDefault="0012141B" w:rsidP="00FE4E20">
            <w:pPr>
              <w:spacing w:before="40"/>
              <w:ind w:left="113" w:right="113"/>
              <w:rPr>
                <w:rFonts w:eastAsia="Times New Roman" w:cs="Times New Roman"/>
                <w:b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Неожиданное выключение блокирующей системы</w:t>
            </w:r>
          </w:p>
        </w:tc>
      </w:tr>
      <w:tr w:rsidR="0012141B" w:rsidRPr="00A20DFF" w:rsidTr="00D73693">
        <w:trPr>
          <w:cantSplit/>
          <w:trHeight w:val="610"/>
        </w:trPr>
        <w:tc>
          <w:tcPr>
            <w:tcW w:w="865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141B" w:rsidRPr="00A20DFF" w:rsidRDefault="006C1301" w:rsidP="006C1301">
            <w:pPr>
              <w:spacing w:before="40" w:line="240" w:lineRule="auto"/>
              <w:ind w:left="473" w:right="113" w:hanging="360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(</w:t>
            </w:r>
            <w:r w:rsidRPr="00A20DFF">
              <w:rPr>
                <w:rFonts w:eastAsia="Times New Roman" w:cs="Times New Roman"/>
                <w:b/>
                <w:szCs w:val="20"/>
              </w:rPr>
              <w:t>1)</w:t>
            </w:r>
            <w:r w:rsidRPr="00A20DFF">
              <w:rPr>
                <w:rFonts w:eastAsia="Times New Roman" w:cs="Times New Roman"/>
                <w:b/>
                <w:szCs w:val="20"/>
              </w:rPr>
              <w:tab/>
            </w:r>
            <w:r w:rsidR="0012141B" w:rsidRPr="00A20DFF">
              <w:rPr>
                <w:rFonts w:cs="Times New Roman"/>
                <w:b/>
                <w:bCs/>
              </w:rPr>
              <w:t>: данное испытание может быть проведено в режиме R10 ЕЭК ООН 50 км/ч</w:t>
            </w:r>
          </w:p>
        </w:tc>
      </w:tr>
    </w:tbl>
    <w:p w:rsidR="0012141B" w:rsidRPr="00A20DFF" w:rsidRDefault="0012141B" w:rsidP="0012141B">
      <w:pPr>
        <w:tabs>
          <w:tab w:val="left" w:pos="1701"/>
          <w:tab w:val="left" w:pos="8505"/>
        </w:tabs>
        <w:spacing w:before="120" w:after="120"/>
        <w:ind w:left="1701" w:right="1134" w:hanging="567"/>
        <w:jc w:val="both"/>
        <w:rPr>
          <w:rFonts w:eastAsia="Times New Roman" w:cs="Times New Roman"/>
          <w:szCs w:val="20"/>
        </w:rPr>
      </w:pPr>
      <w:r w:rsidRPr="00A20DFF">
        <w:rPr>
          <w:rFonts w:cs="Times New Roman"/>
        </w:rPr>
        <w:t>3.</w:t>
      </w:r>
      <w:r w:rsidRPr="00A20DFF">
        <w:rPr>
          <w:rFonts w:cs="Times New Roman"/>
        </w:rPr>
        <w:tab/>
        <w:t>Электрические помехи, создаваемые электростатическими разрядами</w:t>
      </w:r>
    </w:p>
    <w:p w:rsidR="0012141B" w:rsidRPr="00A20DFF" w:rsidRDefault="0012141B" w:rsidP="0012141B">
      <w:pPr>
        <w:tabs>
          <w:tab w:val="left" w:pos="1701"/>
          <w:tab w:val="left" w:pos="8505"/>
        </w:tabs>
        <w:spacing w:after="120"/>
        <w:ind w:left="1701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</w:rPr>
        <w:t xml:space="preserve">Испытание на устойчивость к электрическим помехам проводится в соответствии с </w:t>
      </w:r>
      <w:r w:rsidRPr="00A20DFF">
        <w:rPr>
          <w:rFonts w:cs="Times New Roman"/>
          <w:b/>
          <w:bCs/>
          <w:strike/>
        </w:rPr>
        <w:t>техническим докладом</w:t>
      </w:r>
      <w:r w:rsidRPr="00A20DFF">
        <w:rPr>
          <w:rFonts w:cs="Times New Roman"/>
        </w:rPr>
        <w:t xml:space="preserve"> ISO</w:t>
      </w:r>
      <w:r w:rsidRPr="00A20DFF">
        <w:rPr>
          <w:rFonts w:cs="Times New Roman"/>
          <w:b/>
          <w:bCs/>
          <w:strike/>
        </w:rPr>
        <w:t xml:space="preserve">/TR </w:t>
      </w:r>
      <w:r w:rsidRPr="00A20DFF">
        <w:rPr>
          <w:rFonts w:cs="Times New Roman"/>
        </w:rPr>
        <w:t>10605</w:t>
      </w:r>
      <w:r w:rsidRPr="00A20DFF">
        <w:rPr>
          <w:rFonts w:cs="Times New Roman"/>
          <w:strike/>
        </w:rPr>
        <w:t>-1993</w:t>
      </w:r>
      <w:r w:rsidRPr="00A20DFF">
        <w:rPr>
          <w:rFonts w:cs="Times New Roman"/>
        </w:rPr>
        <w:t xml:space="preserve"> </w:t>
      </w:r>
      <w:r w:rsidRPr="00A20DFF">
        <w:rPr>
          <w:rFonts w:cs="Times New Roman"/>
          <w:b/>
          <w:bCs/>
        </w:rPr>
        <w:t>2008 + исправление:2010 + AMD1:2014 с использованием уровней строгости испытания, указанных в таблице 2.</w:t>
      </w:r>
    </w:p>
    <w:p w:rsidR="0012141B" w:rsidRPr="00A20DFF" w:rsidRDefault="0012141B" w:rsidP="0012141B">
      <w:pPr>
        <w:spacing w:after="120"/>
        <w:ind w:left="1701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  <w:b/>
          <w:bCs/>
        </w:rPr>
        <w:t>Испытания на ЭСР должны проводиться либо на уровне транспортного средства, либо на уровне электрического/электронного сборочного узла (ЭСУ).</w:t>
      </w:r>
    </w:p>
    <w:p w:rsidR="0012141B" w:rsidRPr="00A20DFF" w:rsidRDefault="0012141B" w:rsidP="007D61FE">
      <w:pPr>
        <w:pStyle w:val="H23G"/>
        <w:ind w:left="0" w:firstLine="0"/>
        <w:rPr>
          <w:b w:val="0"/>
          <w:bCs/>
          <w:u w:val="single"/>
        </w:rPr>
      </w:pPr>
      <w:r w:rsidRPr="007D61FE">
        <w:rPr>
          <w:b w:val="0"/>
        </w:rPr>
        <w:t>Таблица 2</w:t>
      </w:r>
      <w:r w:rsidR="007D61FE">
        <w:br/>
      </w:r>
      <w:r w:rsidRPr="00A20DFF">
        <w:rPr>
          <w:bCs/>
        </w:rPr>
        <w:t>Уровни испытаний на ЭСР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559"/>
        <w:gridCol w:w="2977"/>
        <w:gridCol w:w="1002"/>
        <w:gridCol w:w="1072"/>
        <w:gridCol w:w="1877"/>
      </w:tblGrid>
      <w:tr w:rsidR="0012141B" w:rsidRPr="00A20DFF" w:rsidTr="00FE4E20">
        <w:trPr>
          <w:trHeight w:val="519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Тип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Точки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Состояние блокирующей системы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Сеть разряда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Уровень испыта</w:t>
            </w:r>
            <w:r w:rsidR="00FE4E20">
              <w:rPr>
                <w:rFonts w:cs="Times New Roman"/>
                <w:b/>
                <w:bCs/>
              </w:rPr>
              <w:t>-</w:t>
            </w:r>
            <w:r w:rsidRPr="00A20DFF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Критерии непрохождения испытания</w:t>
            </w:r>
          </w:p>
        </w:tc>
      </w:tr>
      <w:tr w:rsidR="0012141B" w:rsidRPr="00A20DFF" w:rsidTr="00FE4E20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Воздуш</w:t>
            </w:r>
            <w:r w:rsidR="00FE4E20">
              <w:rPr>
                <w:rFonts w:cs="Times New Roman"/>
                <w:b/>
                <w:bCs/>
              </w:rPr>
              <w:t>-</w:t>
            </w:r>
            <w:r w:rsidRPr="00A20DFF">
              <w:rPr>
                <w:rFonts w:cs="Times New Roman"/>
                <w:b/>
                <w:bCs/>
              </w:rPr>
              <w:t>ный выброс</w:t>
            </w:r>
            <w:r w:rsidRPr="00A20DFF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Точки, доступ к которым возможен только изнутри транспортно</w:t>
            </w:r>
            <w:r w:rsidR="00FA33E0">
              <w:rPr>
                <w:rFonts w:cs="Times New Roman"/>
                <w:b/>
                <w:bCs/>
              </w:rPr>
              <w:t>-</w:t>
            </w:r>
            <w:r w:rsidRPr="00A20DFF">
              <w:rPr>
                <w:rFonts w:cs="Times New Roman"/>
                <w:b/>
                <w:bCs/>
              </w:rPr>
              <w:t>го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Блокирующая система в отключенном состоянии</w:t>
            </w:r>
          </w:p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 xml:space="preserve">(если испытание проводится на транспортном средстве, то либо транспортное средство должно </w:t>
            </w:r>
            <w:r>
              <w:rPr>
                <w:rFonts w:cs="Times New Roman"/>
                <w:b/>
                <w:bCs/>
              </w:rPr>
              <w:t xml:space="preserve">иметь </w:t>
            </w:r>
            <w:r w:rsidRPr="00A20DFF">
              <w:rPr>
                <w:rFonts w:cs="Times New Roman"/>
                <w:b/>
                <w:bCs/>
              </w:rPr>
              <w:t>включенно</w:t>
            </w:r>
            <w:r>
              <w:rPr>
                <w:rFonts w:cs="Times New Roman"/>
                <w:b/>
                <w:bCs/>
              </w:rPr>
              <w:t xml:space="preserve">е зажигание </w:t>
            </w:r>
            <w:r w:rsidRPr="00A20DFF">
              <w:rPr>
                <w:rFonts w:cs="Times New Roman"/>
                <w:b/>
                <w:bCs/>
              </w:rPr>
              <w:t>или двигаться со скоростью 50 км/ч, либо двигатель должен работать на холостом ходу)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330 пФ, 2</w:t>
            </w:r>
            <w:r w:rsidR="00901C6F">
              <w:rPr>
                <w:rFonts w:cs="Times New Roman"/>
                <w:b/>
                <w:bCs/>
              </w:rPr>
              <w:t> </w:t>
            </w:r>
            <w:r w:rsidRPr="00A20DFF">
              <w:rPr>
                <w:rFonts w:cs="Times New Roman"/>
                <w:b/>
                <w:bCs/>
              </w:rPr>
              <w:t>кОм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± 6 кВ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Неожиданное включение блокирующей системы</w:t>
            </w:r>
          </w:p>
        </w:tc>
      </w:tr>
      <w:tr w:rsidR="0012141B" w:rsidRPr="00A20DFF" w:rsidTr="00FE4E20">
        <w:trPr>
          <w:trHeight w:val="1733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1B" w:rsidRPr="00A20DFF" w:rsidRDefault="0012141B" w:rsidP="00FE4E20">
            <w:pPr>
              <w:spacing w:line="240" w:lineRule="auto"/>
              <w:rPr>
                <w:rFonts w:eastAsia="SimSu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Точки, доступ к которым возможен только снаружи транспортно</w:t>
            </w:r>
            <w:r w:rsidR="00FA33E0">
              <w:rPr>
                <w:rFonts w:cs="Times New Roman"/>
                <w:b/>
                <w:bCs/>
              </w:rPr>
              <w:t>-</w:t>
            </w:r>
            <w:r w:rsidRPr="00A20DFF">
              <w:rPr>
                <w:rFonts w:cs="Times New Roman"/>
                <w:b/>
                <w:bCs/>
              </w:rPr>
              <w:t>го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Блокирующая система во включенном состоянии</w:t>
            </w:r>
          </w:p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(если испытание проводится на транспортном средстве, то транспортное средство должно быть заблокировано, а зажигание выключено).</w:t>
            </w:r>
            <w:r w:rsidRPr="00A20DFF">
              <w:rPr>
                <w:rFonts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150 пФ, 2</w:t>
            </w:r>
            <w:r w:rsidR="00901C6F">
              <w:rPr>
                <w:rFonts w:cs="Times New Roman"/>
                <w:b/>
                <w:bCs/>
              </w:rPr>
              <w:t> </w:t>
            </w:r>
            <w:r w:rsidRPr="00A20DFF">
              <w:rPr>
                <w:rFonts w:cs="Times New Roman"/>
                <w:b/>
                <w:bCs/>
              </w:rPr>
              <w:t>кОм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± 15 кВ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Неожиданное отключение блокирующей системы без повторного включения, в течение 1 с, после каждого разряда</w:t>
            </w:r>
          </w:p>
        </w:tc>
      </w:tr>
      <w:tr w:rsidR="0012141B" w:rsidRPr="00A20DFF" w:rsidTr="00FE4E2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41B" w:rsidRPr="00A20DFF" w:rsidRDefault="0012141B" w:rsidP="00DF7F38">
            <w:pPr>
              <w:pageBreakBefore/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lastRenderedPageBreak/>
              <w:t>Контакт</w:t>
            </w:r>
            <w:r w:rsidR="00FE4E20">
              <w:rPr>
                <w:rFonts w:cs="Times New Roman"/>
                <w:b/>
                <w:bCs/>
              </w:rPr>
              <w:t>-</w:t>
            </w:r>
            <w:r w:rsidRPr="00A20DFF">
              <w:rPr>
                <w:rFonts w:cs="Times New Roman"/>
                <w:b/>
                <w:bCs/>
              </w:rPr>
              <w:t>ный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Точки, доступ к которым возможен только изнутри транспортно</w:t>
            </w:r>
            <w:r w:rsidR="008866CA">
              <w:rPr>
                <w:rFonts w:cs="Times New Roman"/>
                <w:b/>
                <w:bCs/>
              </w:rPr>
              <w:t>-</w:t>
            </w:r>
            <w:r w:rsidRPr="00A20DFF">
              <w:rPr>
                <w:rFonts w:cs="Times New Roman"/>
                <w:b/>
                <w:bCs/>
              </w:rPr>
              <w:t>го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Блокирующая система в отключенном состоянии</w:t>
            </w:r>
          </w:p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 xml:space="preserve">(если испытание проводится на транспортном средстве, то либо транспортное средство должно </w:t>
            </w:r>
            <w:r>
              <w:rPr>
                <w:rFonts w:cs="Times New Roman"/>
                <w:b/>
                <w:bCs/>
              </w:rPr>
              <w:t xml:space="preserve">иметь </w:t>
            </w:r>
            <w:r w:rsidRPr="00A20DFF">
              <w:rPr>
                <w:rFonts w:cs="Times New Roman"/>
                <w:b/>
                <w:bCs/>
              </w:rPr>
              <w:t>включенно</w:t>
            </w:r>
            <w:r>
              <w:rPr>
                <w:rFonts w:cs="Times New Roman"/>
                <w:b/>
                <w:bCs/>
              </w:rPr>
              <w:t xml:space="preserve">е зажигание </w:t>
            </w:r>
            <w:r w:rsidRPr="00A20DFF">
              <w:rPr>
                <w:rFonts w:cs="Times New Roman"/>
                <w:b/>
                <w:bCs/>
              </w:rPr>
              <w:t>или двигаться со скоростью 50 км/ч, либо двигатель должен работать на холостом ходу)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330 пФ, 2</w:t>
            </w:r>
            <w:r w:rsidR="00901C6F">
              <w:rPr>
                <w:rFonts w:cs="Times New Roman"/>
                <w:b/>
                <w:bCs/>
              </w:rPr>
              <w:t> </w:t>
            </w:r>
            <w:r w:rsidRPr="00A20DFF">
              <w:rPr>
                <w:rFonts w:cs="Times New Roman"/>
                <w:b/>
                <w:bCs/>
              </w:rPr>
              <w:t>кОм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± 4 кВ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Неожиданное включение блокирующей системы</w:t>
            </w:r>
          </w:p>
        </w:tc>
      </w:tr>
      <w:tr w:rsidR="0012141B" w:rsidRPr="00A20DFF" w:rsidTr="00FE4E20">
        <w:trPr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1B" w:rsidRPr="00A20DFF" w:rsidRDefault="0012141B" w:rsidP="00DF7F38">
            <w:pPr>
              <w:spacing w:line="240" w:lineRule="auto"/>
              <w:rPr>
                <w:rFonts w:eastAsia="SimSu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pageBreakBefore/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Точки, доступ к которым возможен только снаружи транспортно</w:t>
            </w:r>
            <w:r w:rsidR="008866CA">
              <w:rPr>
                <w:rFonts w:cs="Times New Roman"/>
                <w:b/>
                <w:bCs/>
              </w:rPr>
              <w:t>-</w:t>
            </w:r>
            <w:r w:rsidRPr="00A20DFF">
              <w:rPr>
                <w:rFonts w:cs="Times New Roman"/>
                <w:b/>
                <w:bCs/>
              </w:rPr>
              <w:t>го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Блокирующая система во включенном состоянии</w:t>
            </w:r>
          </w:p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(если испытание проводится на транспортном средстве, то транспортное средство должно быть заблокировано, а зажигание выключено)</w:t>
            </w:r>
            <w:r w:rsidRPr="00A20DFF">
              <w:rPr>
                <w:rFonts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150 пФ, 2</w:t>
            </w:r>
            <w:r w:rsidR="00901C6F">
              <w:rPr>
                <w:rFonts w:cs="Times New Roman"/>
                <w:b/>
                <w:bCs/>
              </w:rPr>
              <w:t> </w:t>
            </w:r>
            <w:r w:rsidRPr="00A20DFF">
              <w:rPr>
                <w:rFonts w:cs="Times New Roman"/>
                <w:b/>
                <w:bCs/>
              </w:rPr>
              <w:t>кОм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± 8 кВ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Неожиданное отключение блокирующей системы без повторного включения, в течение 1 с, после каждого разряда</w:t>
            </w:r>
          </w:p>
        </w:tc>
      </w:tr>
      <w:tr w:rsidR="0012141B" w:rsidRPr="00A20DFF" w:rsidTr="00D73693">
        <w:trPr>
          <w:jc w:val="center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Pr="00A20DFF" w:rsidRDefault="0012141B" w:rsidP="00FE4E20">
            <w:pPr>
              <w:spacing w:after="120"/>
              <w:rPr>
                <w:rFonts w:eastAsia="Times New Roman" w:cs="Times New Roman"/>
                <w:b/>
                <w:bCs/>
                <w:szCs w:val="20"/>
              </w:rPr>
            </w:pPr>
            <w:r w:rsidRPr="00A20DFF">
              <w:rPr>
                <w:rFonts w:cs="Times New Roman"/>
                <w:b/>
                <w:bCs/>
              </w:rPr>
              <w:t>Каждое испытание должно проводиться с 3 разрядами с интервалом не менее 5 с между каждым разрядом</w:t>
            </w:r>
          </w:p>
        </w:tc>
      </w:tr>
    </w:tbl>
    <w:p w:rsidR="0012141B" w:rsidRPr="00A20DFF" w:rsidRDefault="0012141B" w:rsidP="0012141B">
      <w:pPr>
        <w:tabs>
          <w:tab w:val="left" w:pos="1701"/>
          <w:tab w:val="left" w:pos="8505"/>
        </w:tabs>
        <w:spacing w:before="120" w:after="120"/>
        <w:ind w:left="1701" w:right="142" w:hanging="567"/>
        <w:jc w:val="both"/>
        <w:rPr>
          <w:rFonts w:eastAsia="Times New Roman" w:cs="Times New Roman"/>
          <w:szCs w:val="20"/>
        </w:rPr>
      </w:pPr>
      <w:r w:rsidRPr="009F42F0">
        <w:rPr>
          <w:rFonts w:cs="Times New Roman"/>
          <w:b/>
        </w:rPr>
        <w:t>4.</w:t>
      </w:r>
      <w:r w:rsidRPr="00A20DFF">
        <w:rPr>
          <w:rFonts w:cs="Times New Roman"/>
        </w:rPr>
        <w:tab/>
        <w:t>Излучение</w:t>
      </w:r>
    </w:p>
    <w:p w:rsidR="0012141B" w:rsidRPr="00A20DFF" w:rsidRDefault="0012141B" w:rsidP="0012141B">
      <w:pPr>
        <w:tabs>
          <w:tab w:val="left" w:pos="1701"/>
        </w:tabs>
        <w:spacing w:after="120"/>
        <w:ind w:left="1701" w:right="1133"/>
        <w:jc w:val="both"/>
        <w:rPr>
          <w:rFonts w:eastAsia="Times New Roman" w:cs="Times New Roman"/>
          <w:b/>
          <w:bCs/>
          <w:szCs w:val="20"/>
        </w:rPr>
      </w:pPr>
      <w:r w:rsidRPr="00A20DFF">
        <w:rPr>
          <w:rFonts w:cs="Times New Roman"/>
        </w:rPr>
        <w:t>Испытания проводятся в соответствии с техническими предписаниями и переходными положениями, приведенными в поправках серии 04 к Правилам</w:t>
      </w:r>
      <w:r w:rsidR="00512B45">
        <w:rPr>
          <w:rFonts w:cs="Times New Roman"/>
        </w:rPr>
        <w:t> </w:t>
      </w:r>
      <w:r w:rsidRPr="00A20DFF">
        <w:rPr>
          <w:rFonts w:cs="Times New Roman"/>
        </w:rPr>
        <w:t xml:space="preserve">№ 10 ООН, и методами проведения испытаний, описанными в приложениях 4 и 5 для транспортных средств или в приложениях 7 и 8 </w:t>
      </w:r>
      <w:r w:rsidRPr="00A20DFF">
        <w:rPr>
          <w:rFonts w:cs="Times New Roman"/>
          <w:b/>
          <w:bCs/>
          <w:strike/>
        </w:rPr>
        <w:t xml:space="preserve">для технического элемента </w:t>
      </w:r>
      <w:r w:rsidRPr="00A20DFF">
        <w:rPr>
          <w:rFonts w:cs="Times New Roman"/>
          <w:b/>
          <w:bCs/>
        </w:rPr>
        <w:t>для электрического/электронного сборочного узла (ЭСУ)</w:t>
      </w:r>
      <w:r w:rsidRPr="00A20DFF">
        <w:rPr>
          <w:rFonts w:cs="Times New Roman"/>
        </w:rPr>
        <w:t>.</w:t>
      </w:r>
    </w:p>
    <w:p w:rsidR="0012141B" w:rsidRPr="00FE4E20" w:rsidRDefault="0012141B" w:rsidP="0012141B">
      <w:pPr>
        <w:spacing w:after="120"/>
        <w:ind w:left="1701" w:right="142"/>
        <w:jc w:val="both"/>
        <w:rPr>
          <w:rFonts w:eastAsia="Times New Roman" w:cs="Times New Roman"/>
          <w:bCs/>
          <w:szCs w:val="20"/>
        </w:rPr>
      </w:pPr>
      <w:r w:rsidRPr="00A20DFF">
        <w:rPr>
          <w:rFonts w:cs="Times New Roman"/>
          <w:b/>
          <w:bCs/>
        </w:rPr>
        <w:t>Блокирующая система должна быть во включ</w:t>
      </w:r>
      <w:r>
        <w:rPr>
          <w:rFonts w:cs="Times New Roman"/>
          <w:b/>
          <w:bCs/>
        </w:rPr>
        <w:t>е</w:t>
      </w:r>
      <w:r w:rsidRPr="00A20DFF">
        <w:rPr>
          <w:rFonts w:cs="Times New Roman"/>
          <w:b/>
          <w:bCs/>
        </w:rPr>
        <w:t>нном состоянии</w:t>
      </w:r>
      <w:r w:rsidR="00FE4E20">
        <w:rPr>
          <w:rFonts w:cs="Times New Roman"/>
          <w:bCs/>
        </w:rPr>
        <w:t>»</w:t>
      </w:r>
      <w:r w:rsidRPr="00FE4E20">
        <w:rPr>
          <w:rFonts w:cs="Times New Roman"/>
          <w:bCs/>
        </w:rPr>
        <w:t>.</w:t>
      </w:r>
    </w:p>
    <w:p w:rsidR="00E12C5F" w:rsidRDefault="0012141B" w:rsidP="004E5580">
      <w:pPr>
        <w:ind w:left="1134" w:right="1134"/>
        <w:rPr>
          <w:rFonts w:cs="Times New Roman"/>
          <w:i/>
          <w:iCs/>
        </w:rPr>
      </w:pPr>
      <w:r w:rsidRPr="00A20DFF">
        <w:rPr>
          <w:rFonts w:cs="Times New Roman"/>
          <w:i/>
          <w:iCs/>
        </w:rPr>
        <w:t>Пункт 2 исключить</w:t>
      </w:r>
      <w:r>
        <w:rPr>
          <w:rFonts w:cs="Times New Roman"/>
          <w:i/>
          <w:iCs/>
        </w:rPr>
        <w:t>.</w:t>
      </w:r>
    </w:p>
    <w:p w:rsidR="0012141B" w:rsidRPr="0012141B" w:rsidRDefault="0012141B" w:rsidP="0012141B">
      <w:pPr>
        <w:spacing w:before="240"/>
        <w:jc w:val="center"/>
        <w:rPr>
          <w:u w:val="single"/>
        </w:rPr>
      </w:pPr>
      <w:r>
        <w:rPr>
          <w:rFonts w:cs="Times New Roman"/>
          <w:iCs/>
          <w:u w:val="single"/>
        </w:rPr>
        <w:tab/>
      </w:r>
      <w:r>
        <w:rPr>
          <w:rFonts w:cs="Times New Roman"/>
          <w:iCs/>
          <w:u w:val="single"/>
        </w:rPr>
        <w:tab/>
      </w:r>
      <w:r>
        <w:rPr>
          <w:rFonts w:cs="Times New Roman"/>
          <w:iCs/>
          <w:u w:val="single"/>
        </w:rPr>
        <w:tab/>
      </w:r>
    </w:p>
    <w:sectPr w:rsidR="0012141B" w:rsidRPr="0012141B" w:rsidSect="00121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2B" w:rsidRPr="00A312BC" w:rsidRDefault="00480A2B" w:rsidP="00A312BC"/>
  </w:endnote>
  <w:endnote w:type="continuationSeparator" w:id="0">
    <w:p w:rsidR="00480A2B" w:rsidRPr="00A312BC" w:rsidRDefault="00480A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1B" w:rsidRPr="0012141B" w:rsidRDefault="0012141B">
    <w:pPr>
      <w:pStyle w:val="a8"/>
    </w:pPr>
    <w:r w:rsidRPr="0012141B">
      <w:rPr>
        <w:b/>
        <w:sz w:val="18"/>
      </w:rPr>
      <w:fldChar w:fldCharType="begin"/>
    </w:r>
    <w:r w:rsidRPr="0012141B">
      <w:rPr>
        <w:b/>
        <w:sz w:val="18"/>
      </w:rPr>
      <w:instrText xml:space="preserve"> PAGE  \* MERGEFORMAT </w:instrText>
    </w:r>
    <w:r w:rsidRPr="0012141B">
      <w:rPr>
        <w:b/>
        <w:sz w:val="18"/>
      </w:rPr>
      <w:fldChar w:fldCharType="separate"/>
    </w:r>
    <w:r w:rsidR="00542D79">
      <w:rPr>
        <w:b/>
        <w:noProof/>
        <w:sz w:val="18"/>
      </w:rPr>
      <w:t>6</w:t>
    </w:r>
    <w:r w:rsidRPr="0012141B">
      <w:rPr>
        <w:b/>
        <w:sz w:val="18"/>
      </w:rPr>
      <w:fldChar w:fldCharType="end"/>
    </w:r>
    <w:r>
      <w:rPr>
        <w:b/>
        <w:sz w:val="18"/>
      </w:rPr>
      <w:tab/>
    </w:r>
    <w:r>
      <w:t>GE.20-00826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1B" w:rsidRPr="0012141B" w:rsidRDefault="0012141B" w:rsidP="0012141B">
    <w:pPr>
      <w:pStyle w:val="a8"/>
      <w:tabs>
        <w:tab w:val="clear" w:pos="9639"/>
        <w:tab w:val="right" w:pos="9638"/>
      </w:tabs>
      <w:rPr>
        <w:b/>
        <w:sz w:val="18"/>
      </w:rPr>
    </w:pPr>
    <w:r>
      <w:t>GE.20-00826</w:t>
    </w:r>
    <w:r>
      <w:tab/>
    </w:r>
    <w:r w:rsidRPr="0012141B">
      <w:rPr>
        <w:b/>
        <w:sz w:val="18"/>
      </w:rPr>
      <w:fldChar w:fldCharType="begin"/>
    </w:r>
    <w:r w:rsidRPr="0012141B">
      <w:rPr>
        <w:b/>
        <w:sz w:val="18"/>
      </w:rPr>
      <w:instrText xml:space="preserve"> PAGE  \* MERGEFORMAT </w:instrText>
    </w:r>
    <w:r w:rsidRPr="0012141B">
      <w:rPr>
        <w:b/>
        <w:sz w:val="18"/>
      </w:rPr>
      <w:fldChar w:fldCharType="separate"/>
    </w:r>
    <w:r w:rsidR="00542D79">
      <w:rPr>
        <w:b/>
        <w:noProof/>
        <w:sz w:val="18"/>
      </w:rPr>
      <w:t>9</w:t>
    </w:r>
    <w:r w:rsidRPr="001214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2141B" w:rsidRDefault="0012141B" w:rsidP="0012141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20-00826  (R)</w:t>
    </w:r>
    <w:r>
      <w:rPr>
        <w:lang w:val="en-US"/>
      </w:rPr>
      <w:t xml:space="preserve">  060220  070220</w:t>
    </w:r>
    <w:r>
      <w:br/>
    </w:r>
    <w:r w:rsidRPr="0012141B">
      <w:rPr>
        <w:rFonts w:ascii="C39T30Lfz" w:hAnsi="C39T30Lfz"/>
        <w:kern w:val="14"/>
        <w:sz w:val="56"/>
      </w:rPr>
      <w:t></w:t>
    </w:r>
    <w:r w:rsidRPr="0012141B">
      <w:rPr>
        <w:rFonts w:ascii="C39T30Lfz" w:hAnsi="C39T30Lfz"/>
        <w:kern w:val="14"/>
        <w:sz w:val="56"/>
      </w:rPr>
      <w:t></w:t>
    </w:r>
    <w:r w:rsidRPr="0012141B">
      <w:rPr>
        <w:rFonts w:ascii="C39T30Lfz" w:hAnsi="C39T30Lfz"/>
        <w:kern w:val="14"/>
        <w:sz w:val="56"/>
      </w:rPr>
      <w:t></w:t>
    </w:r>
    <w:r w:rsidRPr="0012141B">
      <w:rPr>
        <w:rFonts w:ascii="C39T30Lfz" w:hAnsi="C39T30Lfz"/>
        <w:kern w:val="14"/>
        <w:sz w:val="56"/>
      </w:rPr>
      <w:t></w:t>
    </w:r>
    <w:r w:rsidRPr="0012141B">
      <w:rPr>
        <w:rFonts w:ascii="C39T30Lfz" w:hAnsi="C39T30Lfz"/>
        <w:kern w:val="14"/>
        <w:sz w:val="56"/>
      </w:rPr>
      <w:t></w:t>
    </w:r>
    <w:r w:rsidRPr="0012141B">
      <w:rPr>
        <w:rFonts w:ascii="C39T30Lfz" w:hAnsi="C39T30Lfz"/>
        <w:kern w:val="14"/>
        <w:sz w:val="56"/>
      </w:rPr>
      <w:t></w:t>
    </w:r>
    <w:r w:rsidRPr="0012141B">
      <w:rPr>
        <w:rFonts w:ascii="C39T30Lfz" w:hAnsi="C39T30Lfz"/>
        <w:kern w:val="14"/>
        <w:sz w:val="56"/>
      </w:rPr>
      <w:t></w:t>
    </w:r>
    <w:r w:rsidRPr="0012141B">
      <w:rPr>
        <w:rFonts w:ascii="C39T30Lfz" w:hAnsi="C39T30Lfz"/>
        <w:kern w:val="14"/>
        <w:sz w:val="56"/>
      </w:rPr>
      <w:t></w:t>
    </w:r>
    <w:r w:rsidRPr="0012141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2B" w:rsidRPr="001075E9" w:rsidRDefault="00480A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80A2B" w:rsidRDefault="00480A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2141B" w:rsidRPr="001F6269" w:rsidRDefault="0012141B" w:rsidP="00F07434">
      <w:pPr>
        <w:pStyle w:val="ad"/>
        <w:rPr>
          <w:rFonts w:eastAsia="Calibri"/>
          <w:szCs w:val="18"/>
        </w:rPr>
      </w:pPr>
      <w:r>
        <w:tab/>
      </w:r>
      <w:r w:rsidRPr="00B01FC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</w:t>
      </w:r>
      <w:r w:rsidR="00B01FC0">
        <w:rPr>
          <w:lang w:val="en-US"/>
        </w:rPr>
        <w:t> </w:t>
      </w:r>
      <w:r>
        <w:t xml:space="preserve">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</w:t>
      </w:r>
      <w:r w:rsidRPr="00F07434">
        <w:t>целях</w:t>
      </w:r>
      <w:r>
        <w:t xml:space="preserve">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1B" w:rsidRPr="0012141B" w:rsidRDefault="00542D7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1B" w:rsidRPr="0012141B" w:rsidRDefault="00542D79" w:rsidP="0012141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1B" w:rsidRDefault="0012141B" w:rsidP="0012141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0813933"/>
    <w:multiLevelType w:val="hybridMultilevel"/>
    <w:tmpl w:val="EC3ECA90"/>
    <w:lvl w:ilvl="0" w:tplc="4F4A5532">
      <w:start w:val="1"/>
      <w:numFmt w:val="decimal"/>
      <w:lvlText w:val="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2B"/>
    <w:rsid w:val="00003B88"/>
    <w:rsid w:val="00010A80"/>
    <w:rsid w:val="000128C7"/>
    <w:rsid w:val="00033EE1"/>
    <w:rsid w:val="00042B72"/>
    <w:rsid w:val="000558BD"/>
    <w:rsid w:val="00070819"/>
    <w:rsid w:val="000B57E7"/>
    <w:rsid w:val="000B6373"/>
    <w:rsid w:val="000D4A1F"/>
    <w:rsid w:val="000E1F27"/>
    <w:rsid w:val="000E4E5B"/>
    <w:rsid w:val="000F09DF"/>
    <w:rsid w:val="000F61B2"/>
    <w:rsid w:val="001075E9"/>
    <w:rsid w:val="0012141B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5712"/>
    <w:rsid w:val="002B0106"/>
    <w:rsid w:val="002B3255"/>
    <w:rsid w:val="002B74B1"/>
    <w:rsid w:val="002B7D5E"/>
    <w:rsid w:val="002C0E18"/>
    <w:rsid w:val="002D5AAC"/>
    <w:rsid w:val="002E5067"/>
    <w:rsid w:val="002F405F"/>
    <w:rsid w:val="002F7EEC"/>
    <w:rsid w:val="00301299"/>
    <w:rsid w:val="003015E9"/>
    <w:rsid w:val="00305C08"/>
    <w:rsid w:val="00307FB6"/>
    <w:rsid w:val="00317339"/>
    <w:rsid w:val="00322004"/>
    <w:rsid w:val="003256E1"/>
    <w:rsid w:val="00336446"/>
    <w:rsid w:val="003402C2"/>
    <w:rsid w:val="00353770"/>
    <w:rsid w:val="0035433A"/>
    <w:rsid w:val="00381C24"/>
    <w:rsid w:val="00387CD4"/>
    <w:rsid w:val="003958D0"/>
    <w:rsid w:val="003A0D43"/>
    <w:rsid w:val="003A147E"/>
    <w:rsid w:val="003A48CE"/>
    <w:rsid w:val="003B00E5"/>
    <w:rsid w:val="003E0B46"/>
    <w:rsid w:val="003F058D"/>
    <w:rsid w:val="00407B78"/>
    <w:rsid w:val="00424203"/>
    <w:rsid w:val="00441670"/>
    <w:rsid w:val="00452493"/>
    <w:rsid w:val="00453318"/>
    <w:rsid w:val="00454AF2"/>
    <w:rsid w:val="00454E07"/>
    <w:rsid w:val="004578EF"/>
    <w:rsid w:val="00472C5C"/>
    <w:rsid w:val="00474426"/>
    <w:rsid w:val="00480A2B"/>
    <w:rsid w:val="00494FBE"/>
    <w:rsid w:val="004E05B7"/>
    <w:rsid w:val="004E5580"/>
    <w:rsid w:val="004F5077"/>
    <w:rsid w:val="0050108D"/>
    <w:rsid w:val="00502126"/>
    <w:rsid w:val="00512B45"/>
    <w:rsid w:val="00513081"/>
    <w:rsid w:val="00517901"/>
    <w:rsid w:val="00526683"/>
    <w:rsid w:val="005400B8"/>
    <w:rsid w:val="00542D79"/>
    <w:rsid w:val="0055457D"/>
    <w:rsid w:val="005639C1"/>
    <w:rsid w:val="005709E0"/>
    <w:rsid w:val="00572E19"/>
    <w:rsid w:val="00576D38"/>
    <w:rsid w:val="005961C8"/>
    <w:rsid w:val="005966F1"/>
    <w:rsid w:val="005D7914"/>
    <w:rsid w:val="005E2B41"/>
    <w:rsid w:val="005F0B42"/>
    <w:rsid w:val="00617A43"/>
    <w:rsid w:val="006345DB"/>
    <w:rsid w:val="00640F49"/>
    <w:rsid w:val="00655864"/>
    <w:rsid w:val="00680D03"/>
    <w:rsid w:val="00681A10"/>
    <w:rsid w:val="006A1ED8"/>
    <w:rsid w:val="006C1301"/>
    <w:rsid w:val="006C2031"/>
    <w:rsid w:val="006D461A"/>
    <w:rsid w:val="006E2789"/>
    <w:rsid w:val="006F35EE"/>
    <w:rsid w:val="007021FF"/>
    <w:rsid w:val="00712895"/>
    <w:rsid w:val="00734ACB"/>
    <w:rsid w:val="00757357"/>
    <w:rsid w:val="007746E8"/>
    <w:rsid w:val="00791E35"/>
    <w:rsid w:val="00792497"/>
    <w:rsid w:val="007C2FE5"/>
    <w:rsid w:val="007D61FE"/>
    <w:rsid w:val="00806737"/>
    <w:rsid w:val="00825F8D"/>
    <w:rsid w:val="00834B71"/>
    <w:rsid w:val="00843BBF"/>
    <w:rsid w:val="0086445C"/>
    <w:rsid w:val="0086527E"/>
    <w:rsid w:val="008866CA"/>
    <w:rsid w:val="00894693"/>
    <w:rsid w:val="008A08D7"/>
    <w:rsid w:val="008A37C8"/>
    <w:rsid w:val="008B6909"/>
    <w:rsid w:val="008C5B77"/>
    <w:rsid w:val="008D53B6"/>
    <w:rsid w:val="008E5031"/>
    <w:rsid w:val="008F7609"/>
    <w:rsid w:val="00901C6F"/>
    <w:rsid w:val="00906890"/>
    <w:rsid w:val="00911BE4"/>
    <w:rsid w:val="00915FC0"/>
    <w:rsid w:val="0092149F"/>
    <w:rsid w:val="00951972"/>
    <w:rsid w:val="009608F3"/>
    <w:rsid w:val="00971F51"/>
    <w:rsid w:val="0097313F"/>
    <w:rsid w:val="009762F4"/>
    <w:rsid w:val="009A24AC"/>
    <w:rsid w:val="009B35CE"/>
    <w:rsid w:val="009C59D7"/>
    <w:rsid w:val="009C6FE6"/>
    <w:rsid w:val="009D7E7D"/>
    <w:rsid w:val="00A14DA8"/>
    <w:rsid w:val="00A22EA9"/>
    <w:rsid w:val="00A312BC"/>
    <w:rsid w:val="00A669FA"/>
    <w:rsid w:val="00A84021"/>
    <w:rsid w:val="00A84D35"/>
    <w:rsid w:val="00A917B3"/>
    <w:rsid w:val="00AB4B51"/>
    <w:rsid w:val="00AB7E76"/>
    <w:rsid w:val="00AC785E"/>
    <w:rsid w:val="00B01270"/>
    <w:rsid w:val="00B01FC0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67B0"/>
    <w:rsid w:val="00C60F0C"/>
    <w:rsid w:val="00C71E84"/>
    <w:rsid w:val="00C805C9"/>
    <w:rsid w:val="00C92939"/>
    <w:rsid w:val="00C92C58"/>
    <w:rsid w:val="00C95BC7"/>
    <w:rsid w:val="00CA1679"/>
    <w:rsid w:val="00CB151C"/>
    <w:rsid w:val="00CD50CF"/>
    <w:rsid w:val="00CE5A1A"/>
    <w:rsid w:val="00CF55F6"/>
    <w:rsid w:val="00D23C95"/>
    <w:rsid w:val="00D33D63"/>
    <w:rsid w:val="00D406D8"/>
    <w:rsid w:val="00D5253A"/>
    <w:rsid w:val="00D636AB"/>
    <w:rsid w:val="00D771BD"/>
    <w:rsid w:val="00D873A8"/>
    <w:rsid w:val="00D90028"/>
    <w:rsid w:val="00D90138"/>
    <w:rsid w:val="00D9145B"/>
    <w:rsid w:val="00DA5AAB"/>
    <w:rsid w:val="00DD78D1"/>
    <w:rsid w:val="00DE32CD"/>
    <w:rsid w:val="00DF5767"/>
    <w:rsid w:val="00DF5ED2"/>
    <w:rsid w:val="00DF71B9"/>
    <w:rsid w:val="00DF7F38"/>
    <w:rsid w:val="00E07598"/>
    <w:rsid w:val="00E12C5F"/>
    <w:rsid w:val="00E56D1C"/>
    <w:rsid w:val="00E72D5A"/>
    <w:rsid w:val="00E73F76"/>
    <w:rsid w:val="00EA2C9F"/>
    <w:rsid w:val="00EA420E"/>
    <w:rsid w:val="00ED0BDA"/>
    <w:rsid w:val="00ED5012"/>
    <w:rsid w:val="00EE142A"/>
    <w:rsid w:val="00EF1360"/>
    <w:rsid w:val="00EF3220"/>
    <w:rsid w:val="00F03106"/>
    <w:rsid w:val="00F07434"/>
    <w:rsid w:val="00F2523A"/>
    <w:rsid w:val="00F43903"/>
    <w:rsid w:val="00F54D94"/>
    <w:rsid w:val="00F70DA5"/>
    <w:rsid w:val="00F81A8E"/>
    <w:rsid w:val="00F94155"/>
    <w:rsid w:val="00F96D77"/>
    <w:rsid w:val="00F9783F"/>
    <w:rsid w:val="00FA33E0"/>
    <w:rsid w:val="00FA3ECD"/>
    <w:rsid w:val="00FD2EF7"/>
    <w:rsid w:val="00FE447E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E50897"/>
  <w15:docId w15:val="{8FA94CD8-AA6C-4A39-9EA8-55CB8642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List Paragraph"/>
    <w:basedOn w:val="a"/>
    <w:uiPriority w:val="34"/>
    <w:qFormat/>
    <w:rsid w:val="0012141B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lang w:val="fr-FR"/>
    </w:rPr>
  </w:style>
  <w:style w:type="character" w:customStyle="1" w:styleId="SingleTxtGChar">
    <w:name w:val="_ Single Txt_G Char"/>
    <w:basedOn w:val="a0"/>
    <w:link w:val="SingleTxtG"/>
    <w:qFormat/>
    <w:rsid w:val="0012141B"/>
    <w:rPr>
      <w:lang w:val="ru-RU" w:eastAsia="en-US"/>
    </w:rPr>
  </w:style>
  <w:style w:type="character" w:customStyle="1" w:styleId="H1GChar">
    <w:name w:val="_ H_1_G Char"/>
    <w:link w:val="H1G"/>
    <w:locked/>
    <w:rsid w:val="0012141B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2141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2264</Words>
  <Characters>15289</Characters>
  <Application>Microsoft Office Word</Application>
  <DocSecurity>0</DocSecurity>
  <Lines>268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ECE/TRANS/WP.29/GRSG/2020/17</vt:lpstr>
      <vt:lpstr>A/</vt:lpstr>
      <vt:lpstr>A/</vt:lpstr>
    </vt:vector>
  </TitlesOfParts>
  <Company>DCM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ECE/TRANS/WP.29/GRSG/2020/17</dc:title>
  <dc:subject/>
  <dc:creator>Olga OVTCHINNIKOVA</dc:creator>
  <cp:keywords/>
  <cp:lastModifiedBy>Olga Ovchinnikova</cp:lastModifiedBy>
  <cp:revision>3</cp:revision>
  <cp:lastPrinted>2020-02-07T14:38:00Z</cp:lastPrinted>
  <dcterms:created xsi:type="dcterms:W3CDTF">2020-02-07T14:38:00Z</dcterms:created>
  <dcterms:modified xsi:type="dcterms:W3CDTF">2020-02-07T14:38:00Z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