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6A1FBC" w:rsidTr="00C97039">
        <w:trPr>
          <w:trHeight w:hRule="exact" w:val="851"/>
        </w:trPr>
        <w:tc>
          <w:tcPr>
            <w:tcW w:w="1276" w:type="dxa"/>
            <w:tcBorders>
              <w:bottom w:val="single" w:sz="4" w:space="0" w:color="auto"/>
            </w:tcBorders>
          </w:tcPr>
          <w:p w:rsidR="00F35BAF" w:rsidRPr="006A1FBC" w:rsidRDefault="00F35BAF" w:rsidP="00FB4818"/>
        </w:tc>
        <w:tc>
          <w:tcPr>
            <w:tcW w:w="2268" w:type="dxa"/>
            <w:tcBorders>
              <w:bottom w:val="single" w:sz="4" w:space="0" w:color="auto"/>
            </w:tcBorders>
            <w:vAlign w:val="bottom"/>
          </w:tcPr>
          <w:p w:rsidR="00F35BAF" w:rsidRPr="006A1FBC" w:rsidRDefault="00F35BAF" w:rsidP="00C97039">
            <w:pPr>
              <w:spacing w:after="80" w:line="300" w:lineRule="exact"/>
              <w:rPr>
                <w:sz w:val="28"/>
              </w:rPr>
            </w:pPr>
            <w:r w:rsidRPr="006A1FBC">
              <w:rPr>
                <w:sz w:val="28"/>
              </w:rPr>
              <w:t>Nations Unies</w:t>
            </w:r>
          </w:p>
        </w:tc>
        <w:tc>
          <w:tcPr>
            <w:tcW w:w="6095" w:type="dxa"/>
            <w:gridSpan w:val="2"/>
            <w:tcBorders>
              <w:bottom w:val="single" w:sz="4" w:space="0" w:color="auto"/>
            </w:tcBorders>
            <w:vAlign w:val="bottom"/>
          </w:tcPr>
          <w:p w:rsidR="00F35BAF" w:rsidRPr="006A1FBC" w:rsidRDefault="00FB4818" w:rsidP="00FB4818">
            <w:pPr>
              <w:jc w:val="right"/>
            </w:pPr>
            <w:r w:rsidRPr="006A1FBC">
              <w:rPr>
                <w:sz w:val="40"/>
              </w:rPr>
              <w:t>ECE</w:t>
            </w:r>
            <w:r w:rsidRPr="006A1FBC">
              <w:t>/TRANS/WP.29/GRSG/2020/16</w:t>
            </w:r>
          </w:p>
        </w:tc>
      </w:tr>
      <w:tr w:rsidR="00F35BAF" w:rsidRPr="006A1FBC" w:rsidTr="00C97039">
        <w:trPr>
          <w:trHeight w:hRule="exact" w:val="2835"/>
        </w:trPr>
        <w:tc>
          <w:tcPr>
            <w:tcW w:w="1276" w:type="dxa"/>
            <w:tcBorders>
              <w:top w:val="single" w:sz="4" w:space="0" w:color="auto"/>
              <w:bottom w:val="single" w:sz="12" w:space="0" w:color="auto"/>
            </w:tcBorders>
          </w:tcPr>
          <w:p w:rsidR="00F35BAF" w:rsidRPr="006A1FBC" w:rsidRDefault="00F35BAF" w:rsidP="00C97039">
            <w:pPr>
              <w:spacing w:before="120"/>
              <w:jc w:val="center"/>
            </w:pPr>
            <w:r w:rsidRPr="006A1FBC">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6A1FBC" w:rsidRDefault="00F35BAF" w:rsidP="00C97039">
            <w:pPr>
              <w:spacing w:before="120" w:line="420" w:lineRule="exact"/>
              <w:rPr>
                <w:b/>
                <w:sz w:val="40"/>
                <w:szCs w:val="40"/>
              </w:rPr>
            </w:pPr>
            <w:r w:rsidRPr="006A1FBC">
              <w:rPr>
                <w:b/>
                <w:sz w:val="40"/>
                <w:szCs w:val="40"/>
              </w:rPr>
              <w:t>Conseil économique et social</w:t>
            </w:r>
          </w:p>
        </w:tc>
        <w:tc>
          <w:tcPr>
            <w:tcW w:w="2835" w:type="dxa"/>
            <w:tcBorders>
              <w:top w:val="single" w:sz="4" w:space="0" w:color="auto"/>
              <w:bottom w:val="single" w:sz="12" w:space="0" w:color="auto"/>
            </w:tcBorders>
          </w:tcPr>
          <w:p w:rsidR="00F35BAF" w:rsidRPr="006A1FBC" w:rsidRDefault="00FB4818" w:rsidP="00C97039">
            <w:pPr>
              <w:spacing w:before="240"/>
            </w:pPr>
            <w:r w:rsidRPr="006A1FBC">
              <w:t>Distr. générale</w:t>
            </w:r>
          </w:p>
          <w:p w:rsidR="00FB4818" w:rsidRPr="006A1FBC" w:rsidRDefault="00FB4818" w:rsidP="00FB4818">
            <w:pPr>
              <w:spacing w:line="240" w:lineRule="exact"/>
            </w:pPr>
            <w:r w:rsidRPr="006A1FBC">
              <w:t>20 janvier 2020</w:t>
            </w:r>
          </w:p>
          <w:p w:rsidR="00FB4818" w:rsidRPr="006A1FBC" w:rsidRDefault="00FB4818" w:rsidP="00FB4818">
            <w:pPr>
              <w:spacing w:line="240" w:lineRule="exact"/>
            </w:pPr>
            <w:r w:rsidRPr="006A1FBC">
              <w:t>Français</w:t>
            </w:r>
          </w:p>
          <w:p w:rsidR="00FB4818" w:rsidRPr="006A1FBC" w:rsidRDefault="00FB4818" w:rsidP="00FB4818">
            <w:pPr>
              <w:spacing w:line="240" w:lineRule="exact"/>
            </w:pPr>
            <w:r w:rsidRPr="006A1FBC">
              <w:t>Original : anglais</w:t>
            </w:r>
          </w:p>
        </w:tc>
      </w:tr>
    </w:tbl>
    <w:p w:rsidR="007F20FA" w:rsidRPr="006A1FBC" w:rsidRDefault="007F20FA" w:rsidP="007F20FA">
      <w:pPr>
        <w:spacing w:before="120"/>
        <w:rPr>
          <w:b/>
          <w:sz w:val="28"/>
          <w:szCs w:val="28"/>
        </w:rPr>
      </w:pPr>
      <w:r w:rsidRPr="006A1FBC">
        <w:rPr>
          <w:b/>
          <w:sz w:val="28"/>
          <w:szCs w:val="28"/>
        </w:rPr>
        <w:t>Commission économique pour l’Europe</w:t>
      </w:r>
    </w:p>
    <w:p w:rsidR="007F20FA" w:rsidRPr="006A1FBC" w:rsidRDefault="007F20FA" w:rsidP="007F20FA">
      <w:pPr>
        <w:spacing w:before="120"/>
        <w:rPr>
          <w:sz w:val="28"/>
          <w:szCs w:val="28"/>
        </w:rPr>
      </w:pPr>
      <w:r w:rsidRPr="006A1FBC">
        <w:rPr>
          <w:sz w:val="28"/>
          <w:szCs w:val="28"/>
        </w:rPr>
        <w:t>Comité des transports intérieurs</w:t>
      </w:r>
    </w:p>
    <w:p w:rsidR="00FB4818" w:rsidRPr="006A1FBC" w:rsidRDefault="00FB4818" w:rsidP="00FB4818">
      <w:pPr>
        <w:spacing w:before="120"/>
        <w:rPr>
          <w:b/>
          <w:sz w:val="24"/>
          <w:szCs w:val="24"/>
        </w:rPr>
      </w:pPr>
      <w:r w:rsidRPr="006A1FBC">
        <w:rPr>
          <w:b/>
          <w:sz w:val="24"/>
          <w:szCs w:val="24"/>
        </w:rPr>
        <w:t>Forum mondial de l’harmonisation</w:t>
      </w:r>
      <w:r w:rsidRPr="006A1FBC">
        <w:rPr>
          <w:b/>
          <w:sz w:val="24"/>
          <w:szCs w:val="24"/>
        </w:rPr>
        <w:br/>
        <w:t>des Règlements concernant les véhicules</w:t>
      </w:r>
    </w:p>
    <w:p w:rsidR="00FB4818" w:rsidRPr="006A1FBC" w:rsidRDefault="00FB4818" w:rsidP="00FB4818">
      <w:pPr>
        <w:spacing w:before="120" w:after="120" w:line="240" w:lineRule="exact"/>
        <w:rPr>
          <w:b/>
        </w:rPr>
      </w:pPr>
      <w:r w:rsidRPr="006A1FBC">
        <w:rPr>
          <w:b/>
        </w:rPr>
        <w:t>Groupe de travail des dispositions générales de sécurité</w:t>
      </w:r>
    </w:p>
    <w:p w:rsidR="00FB4818" w:rsidRPr="006A1FBC" w:rsidRDefault="00FB4818" w:rsidP="00FB4818">
      <w:pPr>
        <w:spacing w:before="120" w:line="240" w:lineRule="exact"/>
        <w:rPr>
          <w:b/>
        </w:rPr>
      </w:pPr>
      <w:r w:rsidRPr="006A1FBC">
        <w:rPr>
          <w:b/>
        </w:rPr>
        <w:t>118</w:t>
      </w:r>
      <w:r w:rsidRPr="006A1FBC">
        <w:rPr>
          <w:b/>
          <w:vertAlign w:val="superscript"/>
        </w:rPr>
        <w:t>e</w:t>
      </w:r>
      <w:r w:rsidRPr="006A1FBC">
        <w:rPr>
          <w:b/>
        </w:rPr>
        <w:t xml:space="preserve"> session</w:t>
      </w:r>
    </w:p>
    <w:p w:rsidR="00FB4818" w:rsidRPr="006A1FBC" w:rsidRDefault="00FB4818" w:rsidP="00FB4818">
      <w:pPr>
        <w:rPr>
          <w:rFonts w:eastAsia="Times New Roman"/>
        </w:rPr>
      </w:pPr>
      <w:r w:rsidRPr="006A1FBC">
        <w:rPr>
          <w:rFonts w:eastAsia="Times New Roman"/>
        </w:rPr>
        <w:t>Genève, 30 mars-3 avril 2020</w:t>
      </w:r>
    </w:p>
    <w:p w:rsidR="00FB4818" w:rsidRPr="006A1FBC" w:rsidRDefault="00FB4818" w:rsidP="00FB4818">
      <w:pPr>
        <w:spacing w:line="240" w:lineRule="auto"/>
        <w:rPr>
          <w:rFonts w:eastAsia="Times New Roman"/>
        </w:rPr>
      </w:pPr>
      <w:r w:rsidRPr="006A1FBC">
        <w:rPr>
          <w:rFonts w:eastAsia="Times New Roman"/>
        </w:rPr>
        <w:t>Point 10 de l’ordre du jour provisoire</w:t>
      </w:r>
    </w:p>
    <w:p w:rsidR="00FB4818" w:rsidRPr="006A1FBC" w:rsidRDefault="00FB4818" w:rsidP="00FB4818">
      <w:pPr>
        <w:spacing w:line="240" w:lineRule="auto"/>
        <w:rPr>
          <w:rFonts w:eastAsia="Times New Roman"/>
          <w:b/>
        </w:rPr>
      </w:pPr>
      <w:r w:rsidRPr="006A1FBC">
        <w:rPr>
          <w:rFonts w:eastAsia="Times New Roman"/>
          <w:b/>
        </w:rPr>
        <w:t>Règlement ONU n</w:t>
      </w:r>
      <w:r w:rsidRPr="006A1FBC">
        <w:rPr>
          <w:rFonts w:eastAsia="Times New Roman"/>
          <w:b/>
          <w:vertAlign w:val="superscript"/>
        </w:rPr>
        <w:t>o</w:t>
      </w:r>
      <w:r w:rsidRPr="006A1FBC">
        <w:rPr>
          <w:rFonts w:eastAsia="Times New Roman"/>
          <w:b/>
        </w:rPr>
        <w:t> 116 (Dispositifs antivol et systèmes d’alarme)</w:t>
      </w:r>
    </w:p>
    <w:p w:rsidR="00FB4818" w:rsidRPr="006A1FBC" w:rsidRDefault="00FB4818" w:rsidP="00FB4818">
      <w:pPr>
        <w:pStyle w:val="HChG"/>
        <w:rPr>
          <w:lang w:val="fr-FR"/>
        </w:rPr>
      </w:pPr>
      <w:r w:rsidRPr="006A1FBC">
        <w:rPr>
          <w:sz w:val="26"/>
          <w:szCs w:val="26"/>
          <w:lang w:val="fr-FR"/>
        </w:rPr>
        <w:tab/>
      </w:r>
      <w:r w:rsidRPr="006A1FBC">
        <w:rPr>
          <w:sz w:val="26"/>
          <w:szCs w:val="26"/>
          <w:lang w:val="fr-FR"/>
        </w:rPr>
        <w:tab/>
      </w:r>
      <w:r w:rsidRPr="006A1FBC">
        <w:rPr>
          <w:lang w:val="fr-FR"/>
        </w:rPr>
        <w:t xml:space="preserve">Proposition de projet d’amendements au document </w:t>
      </w:r>
      <w:bookmarkStart w:id="0" w:name="_Hlk30090052"/>
      <w:r w:rsidRPr="006A1FBC">
        <w:rPr>
          <w:lang w:val="fr-FR"/>
        </w:rPr>
        <w:t>ECE/TRANS/WP.29/GRSG/2019/2</w:t>
      </w:r>
      <w:bookmarkEnd w:id="0"/>
      <w:r w:rsidRPr="006A1FBC">
        <w:rPr>
          <w:lang w:val="fr-FR"/>
        </w:rPr>
        <w:t>0 (projet de nouveau Règlement ONU sur les dispositifs d’immobilisation)</w:t>
      </w:r>
    </w:p>
    <w:p w:rsidR="00FB4818" w:rsidRPr="006A1FBC" w:rsidRDefault="00FB4818" w:rsidP="00FB4818">
      <w:pPr>
        <w:pStyle w:val="H1G"/>
        <w:rPr>
          <w:lang w:val="fr-FR"/>
        </w:rPr>
      </w:pPr>
      <w:r w:rsidRPr="006A1FBC">
        <w:rPr>
          <w:lang w:val="fr-FR"/>
        </w:rPr>
        <w:tab/>
      </w:r>
      <w:r w:rsidRPr="006A1FBC">
        <w:rPr>
          <w:lang w:val="fr-FR"/>
        </w:rPr>
        <w:tab/>
        <w:t>Communication de l’expert de l’Organisation internationale des</w:t>
      </w:r>
      <w:r w:rsidR="00D8052E">
        <w:rPr>
          <w:lang w:val="fr-FR"/>
        </w:rPr>
        <w:t> </w:t>
      </w:r>
      <w:r w:rsidRPr="006A1FBC">
        <w:rPr>
          <w:lang w:val="fr-FR"/>
        </w:rPr>
        <w:t>constructeurs d’automobiles</w:t>
      </w:r>
      <w:r w:rsidRPr="006A1FBC">
        <w:rPr>
          <w:b w:val="0"/>
          <w:sz w:val="20"/>
          <w:lang w:val="fr-FR"/>
        </w:rPr>
        <w:footnoteReference w:customMarkFollows="1" w:id="2"/>
        <w:t>*</w:t>
      </w:r>
    </w:p>
    <w:p w:rsidR="00FB4818" w:rsidRPr="006A1FBC" w:rsidRDefault="00FB4818" w:rsidP="00FB4818">
      <w:pPr>
        <w:pStyle w:val="SingleTxtG"/>
        <w:ind w:firstLine="567"/>
        <w:rPr>
          <w:lang w:val="fr-FR"/>
        </w:rPr>
      </w:pPr>
      <w:r w:rsidRPr="006A1FBC">
        <w:rPr>
          <w:lang w:val="fr-FR"/>
        </w:rPr>
        <w:t>Le texte ci-après, établi par l’expert de l’</w:t>
      </w:r>
      <w:r w:rsidRPr="006A1FBC">
        <w:rPr>
          <w:rFonts w:eastAsia="MS Mincho"/>
          <w:lang w:val="fr-FR" w:eastAsia="ja-JP"/>
        </w:rPr>
        <w:t>Organisation internationale des constructeurs d’automobiles (OICA) vise à modifier</w:t>
      </w:r>
      <w:r w:rsidRPr="006A1FBC">
        <w:rPr>
          <w:lang w:val="fr-FR"/>
        </w:rPr>
        <w:t xml:space="preserve"> le projet de nouveau Règlement ONU consacré à l’homologation des dispositifs d’immobilisation et à l’homologation d’un véhicule en ce qui concerne son dispositif d’immobilisation, dans le cadre du processus de scission des dispositions du Règlement ONU </w:t>
      </w:r>
      <w:r w:rsidRPr="006A1FBC">
        <w:rPr>
          <w:rFonts w:eastAsia="MS Mincho"/>
          <w:lang w:val="fr-FR"/>
        </w:rPr>
        <w:t>n</w:t>
      </w:r>
      <w:r w:rsidRPr="006A1FBC">
        <w:rPr>
          <w:rFonts w:eastAsia="MS Mincho"/>
          <w:vertAlign w:val="superscript"/>
          <w:lang w:val="fr-FR"/>
        </w:rPr>
        <w:t>o</w:t>
      </w:r>
      <w:r w:rsidRPr="006A1FBC">
        <w:rPr>
          <w:lang w:val="fr-FR"/>
        </w:rPr>
        <w:t> 116 en trois règlements distincts. Il est fondé sur le document ECE/TRANS/WP.29/GRSG/2019/21.</w:t>
      </w:r>
    </w:p>
    <w:p w:rsidR="00FB4818" w:rsidRPr="006A1FBC" w:rsidRDefault="00FB4818" w:rsidP="00FB4818">
      <w:pPr>
        <w:pStyle w:val="HChG"/>
        <w:rPr>
          <w:lang w:val="fr-FR"/>
        </w:rPr>
      </w:pPr>
      <w:r w:rsidRPr="006A1FBC">
        <w:rPr>
          <w:lang w:val="fr-FR"/>
        </w:rPr>
        <w:br w:type="page"/>
      </w:r>
      <w:bookmarkStart w:id="1" w:name="_Hlk534364985"/>
      <w:r w:rsidRPr="006A1FBC">
        <w:rPr>
          <w:lang w:val="fr-FR"/>
        </w:rPr>
        <w:lastRenderedPageBreak/>
        <w:tab/>
        <w:t>I.</w:t>
      </w:r>
      <w:r w:rsidRPr="006A1FBC">
        <w:rPr>
          <w:lang w:val="fr-FR"/>
        </w:rPr>
        <w:tab/>
        <w:t>Proposition</w:t>
      </w:r>
    </w:p>
    <w:bookmarkEnd w:id="1"/>
    <w:p w:rsidR="00FB4818" w:rsidRPr="006A1FBC" w:rsidRDefault="00FB4818" w:rsidP="00FB4818">
      <w:pPr>
        <w:pStyle w:val="SingleTxtG"/>
      </w:pPr>
      <w:r w:rsidRPr="006A1FBC">
        <w:rPr>
          <w:i/>
        </w:rPr>
        <w:t>Paragraphe 5.3</w:t>
      </w:r>
      <w:r w:rsidRPr="006A1FBC">
        <w:t xml:space="preserve">, </w:t>
      </w:r>
      <w:r w:rsidRPr="006A1FBC">
        <w:rPr>
          <w:iCs/>
        </w:rPr>
        <w:t>lire :</w:t>
      </w:r>
    </w:p>
    <w:p w:rsidR="00FB4818" w:rsidRPr="006A1FBC" w:rsidRDefault="00EF6533" w:rsidP="00EF6533">
      <w:pPr>
        <w:pStyle w:val="SingleTxtG"/>
        <w:ind w:left="2268" w:hanging="1134"/>
        <w:rPr>
          <w:lang w:val="fr-FR"/>
        </w:rPr>
      </w:pPr>
      <w:r w:rsidRPr="006A1FBC">
        <w:rPr>
          <w:lang w:val="fr-FR"/>
        </w:rPr>
        <w:t>« </w:t>
      </w:r>
      <w:r w:rsidR="00FB4818" w:rsidRPr="006A1FBC">
        <w:rPr>
          <w:lang w:val="fr-FR"/>
        </w:rPr>
        <w:t>5.3</w:t>
      </w:r>
      <w:r w:rsidR="00FB4818" w:rsidRPr="006A1FBC">
        <w:rPr>
          <w:lang w:val="fr-FR"/>
        </w:rPr>
        <w:tab/>
        <w:t>Paramètres de fonctionnement et conditions d’essai</w:t>
      </w:r>
    </w:p>
    <w:p w:rsidR="00FB4818" w:rsidRPr="006A1FBC" w:rsidRDefault="00FB4818" w:rsidP="00EF6533">
      <w:pPr>
        <w:pStyle w:val="SingleTxtG"/>
        <w:ind w:left="2268"/>
        <w:rPr>
          <w:lang w:eastAsia="fr-FR"/>
        </w:rPr>
      </w:pPr>
      <w:r w:rsidRPr="006A1FBC">
        <w:rPr>
          <w:b/>
          <w:lang w:eastAsia="fr-FR"/>
        </w:rPr>
        <w:t>Tous les éléments du dispositif d’immobilisation doivent être soumis aux essais décrits à l’annexe 6.</w:t>
      </w:r>
      <w:r w:rsidR="00EF6533" w:rsidRPr="006A1FBC">
        <w:rPr>
          <w:lang w:eastAsia="fr-FR"/>
        </w:rPr>
        <w:t> »</w:t>
      </w:r>
      <w:r w:rsidRPr="006A1FBC">
        <w:rPr>
          <w:lang w:eastAsia="fr-FR"/>
        </w:rPr>
        <w:t>.</w:t>
      </w:r>
    </w:p>
    <w:p w:rsidR="00FB4818" w:rsidRPr="006A1FBC" w:rsidRDefault="00FB4818" w:rsidP="00EF6533">
      <w:pPr>
        <w:pStyle w:val="SingleTxtG"/>
        <w:rPr>
          <w:rFonts w:eastAsia="Times New Roman"/>
          <w:iCs/>
        </w:rPr>
      </w:pPr>
      <w:r w:rsidRPr="006A1FBC">
        <w:rPr>
          <w:i/>
        </w:rPr>
        <w:t>Paragraphes</w:t>
      </w:r>
      <w:r w:rsidRPr="006A1FBC">
        <w:rPr>
          <w:rFonts w:eastAsia="Times New Roman"/>
          <w:i/>
        </w:rPr>
        <w:t xml:space="preserve"> 5.3.1 à 5.3.3.9</w:t>
      </w:r>
      <w:r w:rsidRPr="006A1FBC">
        <w:rPr>
          <w:rFonts w:eastAsia="Times New Roman"/>
        </w:rPr>
        <w:t>,</w:t>
      </w:r>
      <w:r w:rsidRPr="006A1FBC">
        <w:rPr>
          <w:rFonts w:eastAsia="Times New Roman"/>
          <w:i/>
        </w:rPr>
        <w:t xml:space="preserve"> </w:t>
      </w:r>
      <w:r w:rsidRPr="006A1FBC">
        <w:rPr>
          <w:rFonts w:eastAsia="Times New Roman"/>
          <w:iCs/>
        </w:rPr>
        <w:t>supprimer.</w:t>
      </w:r>
    </w:p>
    <w:p w:rsidR="00FB4818" w:rsidRPr="006A1FBC" w:rsidRDefault="00FB4818" w:rsidP="00EF6533">
      <w:pPr>
        <w:pStyle w:val="SingleTxtG"/>
        <w:rPr>
          <w:rFonts w:eastAsia="Times New Roman"/>
          <w:b/>
          <w:lang w:eastAsia="fr-FR"/>
        </w:rPr>
      </w:pPr>
      <w:r w:rsidRPr="006A1FBC">
        <w:rPr>
          <w:i/>
        </w:rPr>
        <w:t>Annexe</w:t>
      </w:r>
      <w:r w:rsidRPr="006A1FBC">
        <w:rPr>
          <w:rFonts w:eastAsia="Times New Roman"/>
          <w:i/>
        </w:rPr>
        <w:t xml:space="preserve"> 6</w:t>
      </w:r>
      <w:r w:rsidRPr="006A1FBC">
        <w:rPr>
          <w:rFonts w:eastAsia="Times New Roman"/>
        </w:rPr>
        <w:t xml:space="preserve">, </w:t>
      </w:r>
      <w:r w:rsidRPr="006A1FBC">
        <w:rPr>
          <w:rFonts w:eastAsia="Times New Roman"/>
          <w:iCs/>
        </w:rPr>
        <w:t>lire :</w:t>
      </w:r>
    </w:p>
    <w:p w:rsidR="00FB4818" w:rsidRPr="006A1FBC" w:rsidRDefault="00EF6533" w:rsidP="00EF6533">
      <w:pPr>
        <w:pStyle w:val="HChG"/>
        <w:rPr>
          <w:lang w:val="fr-FR"/>
        </w:rPr>
      </w:pPr>
      <w:r w:rsidRPr="006A1FBC">
        <w:rPr>
          <w:b w:val="0"/>
          <w:bCs/>
          <w:sz w:val="20"/>
          <w:lang w:val="fr-FR"/>
        </w:rPr>
        <w:t>« </w:t>
      </w:r>
      <w:r w:rsidR="00FB4818" w:rsidRPr="006A1FBC">
        <w:rPr>
          <w:lang w:val="fr-FR"/>
        </w:rPr>
        <w:t>Annexe 6</w:t>
      </w:r>
    </w:p>
    <w:p w:rsidR="00FB4818" w:rsidRPr="006A1FBC" w:rsidRDefault="00EF6533" w:rsidP="00EF6533">
      <w:pPr>
        <w:pStyle w:val="HChG"/>
        <w:rPr>
          <w:strike/>
          <w:lang w:eastAsia="fr-FR"/>
        </w:rPr>
      </w:pPr>
      <w:r w:rsidRPr="006A1FBC">
        <w:rPr>
          <w:lang w:eastAsia="fr-FR"/>
        </w:rPr>
        <w:tab/>
      </w:r>
      <w:r w:rsidRPr="006A1FBC">
        <w:rPr>
          <w:lang w:eastAsia="fr-FR"/>
        </w:rPr>
        <w:tab/>
      </w:r>
      <w:r w:rsidR="00FB4818" w:rsidRPr="006A1FBC">
        <w:rPr>
          <w:strike/>
          <w:lang w:eastAsia="fr-FR"/>
        </w:rPr>
        <w:t>PRESCRIPTIONS RELATIVES AUX INTERRUPTEURS À CLEF MÉCANIQUES</w:t>
      </w:r>
    </w:p>
    <w:p w:rsidR="00FB4818" w:rsidRPr="006A1FBC" w:rsidRDefault="00FB4818" w:rsidP="00EF6533">
      <w:pPr>
        <w:pStyle w:val="HChG"/>
        <w:rPr>
          <w:lang w:val="fr-FR"/>
        </w:rPr>
      </w:pPr>
      <w:r w:rsidRPr="006A1FBC">
        <w:rPr>
          <w:lang w:val="fr-FR"/>
        </w:rPr>
        <w:tab/>
      </w:r>
      <w:r w:rsidRPr="006A1FBC">
        <w:rPr>
          <w:lang w:val="fr-FR"/>
        </w:rPr>
        <w:tab/>
        <w:t>Paramètres de fonctionnement et conditions d’essai pour un dispositif d’immobilisation</w:t>
      </w:r>
    </w:p>
    <w:p w:rsidR="00FB4818" w:rsidRPr="006A1FBC" w:rsidRDefault="00FB4818" w:rsidP="00EF6533">
      <w:pPr>
        <w:pStyle w:val="SingleTxtG"/>
        <w:ind w:left="2268" w:hanging="1134"/>
        <w:rPr>
          <w:b/>
          <w:lang w:val="fr-FR"/>
        </w:rPr>
      </w:pPr>
      <w:r w:rsidRPr="006A1FBC">
        <w:rPr>
          <w:b/>
          <w:lang w:val="fr-FR"/>
        </w:rPr>
        <w:t>1.</w:t>
      </w:r>
      <w:r w:rsidRPr="006A1FBC">
        <w:rPr>
          <w:b/>
          <w:lang w:val="fr-FR"/>
        </w:rPr>
        <w:tab/>
        <w:t>Paramètres de fonctionnement</w:t>
      </w:r>
    </w:p>
    <w:p w:rsidR="00FB4818" w:rsidRPr="006A1FBC" w:rsidRDefault="00FB4818" w:rsidP="00EF6533">
      <w:pPr>
        <w:pStyle w:val="SingleTxtG"/>
        <w:ind w:left="2268"/>
        <w:rPr>
          <w:b/>
          <w:lang w:val="fr-FR"/>
        </w:rPr>
      </w:pPr>
      <w:r w:rsidRPr="006A1FBC">
        <w:rPr>
          <w:b/>
          <w:lang w:val="fr-FR"/>
        </w:rPr>
        <w:t>Ces prescriptions ne s’appliquent pas :</w:t>
      </w:r>
    </w:p>
    <w:p w:rsidR="00FB4818" w:rsidRPr="006A1FBC" w:rsidRDefault="00FB4818" w:rsidP="00901C10">
      <w:pPr>
        <w:pStyle w:val="SingleTxtG"/>
        <w:ind w:left="2835" w:hanging="567"/>
        <w:rPr>
          <w:b/>
          <w:lang w:val="fr-FR"/>
        </w:rPr>
      </w:pPr>
      <w:r w:rsidRPr="006A1FBC">
        <w:rPr>
          <w:b/>
          <w:lang w:val="fr-FR"/>
        </w:rPr>
        <w:t>a)</w:t>
      </w:r>
      <w:r w:rsidRPr="006A1FBC">
        <w:rPr>
          <w:b/>
          <w:lang w:val="fr-FR"/>
        </w:rPr>
        <w:tab/>
        <w:t>Aux éléments qui sont montés et essayés en tant qu’éléments du véhicule, que ce véhicule soit pourvu ou non d’un système d’immobilisation (par exemple lampes, système d’alarme, dispositif de protection contre une utilisation non autorisée par un système de verrouillage) ; ou</w:t>
      </w:r>
    </w:p>
    <w:p w:rsidR="00FB4818" w:rsidRPr="006A1FBC" w:rsidRDefault="00FB4818" w:rsidP="00901C10">
      <w:pPr>
        <w:pStyle w:val="SingleTxtG"/>
        <w:ind w:left="2835" w:hanging="567"/>
        <w:rPr>
          <w:b/>
          <w:lang w:val="fr-FR"/>
        </w:rPr>
      </w:pPr>
      <w:r w:rsidRPr="006A1FBC">
        <w:rPr>
          <w:b/>
          <w:lang w:val="fr-FR"/>
        </w:rPr>
        <w:t>b)</w:t>
      </w:r>
      <w:r w:rsidRPr="006A1FBC">
        <w:rPr>
          <w:b/>
          <w:lang w:val="fr-FR"/>
        </w:rPr>
        <w:tab/>
        <w:t>Aux éléments essayés précédemment en tant qu’éléments du véhicule et pour lesquels des pièces justificatives ont été fournies.</w:t>
      </w:r>
    </w:p>
    <w:p w:rsidR="00FB4818" w:rsidRPr="006A1FBC" w:rsidRDefault="00FB4818" w:rsidP="00EF6533">
      <w:pPr>
        <w:pStyle w:val="SingleTxtG"/>
        <w:ind w:left="2268" w:hanging="1134"/>
        <w:rPr>
          <w:b/>
          <w:bCs/>
          <w:lang w:val="fr-FR"/>
        </w:rPr>
      </w:pPr>
      <w:r w:rsidRPr="006A1FBC">
        <w:rPr>
          <w:b/>
          <w:bCs/>
          <w:lang w:val="fr-FR"/>
        </w:rPr>
        <w:t>1.1</w:t>
      </w:r>
      <w:r w:rsidRPr="006A1FBC">
        <w:rPr>
          <w:b/>
          <w:bCs/>
          <w:lang w:val="fr-FR"/>
        </w:rPr>
        <w:tab/>
        <w:t>Tous les éléments du dispositif d’immobilisation doivent fonctionner sans aucune défaillance dans les conditions suivantes :</w:t>
      </w:r>
    </w:p>
    <w:p w:rsidR="00FB4818" w:rsidRPr="006A1FBC" w:rsidRDefault="00FB4818" w:rsidP="00FB4818">
      <w:pPr>
        <w:pStyle w:val="SingleTxtG"/>
        <w:ind w:left="2268" w:hanging="1134"/>
        <w:rPr>
          <w:b/>
          <w:lang w:val="fr-FR"/>
        </w:rPr>
      </w:pPr>
      <w:r w:rsidRPr="006A1FBC">
        <w:rPr>
          <w:b/>
          <w:bCs/>
          <w:lang w:val="fr-FR"/>
        </w:rPr>
        <w:t>1.1.1</w:t>
      </w:r>
      <w:r w:rsidRPr="006A1FBC">
        <w:rPr>
          <w:b/>
          <w:bCs/>
          <w:lang w:val="fr-FR"/>
        </w:rPr>
        <w:tab/>
      </w:r>
      <w:r w:rsidRPr="006A1FBC">
        <w:rPr>
          <w:b/>
          <w:bCs/>
          <w:lang w:val="fr-FR"/>
        </w:rPr>
        <w:tab/>
      </w:r>
      <w:r w:rsidRPr="006A1FBC">
        <w:rPr>
          <w:b/>
          <w:lang w:val="fr-FR"/>
        </w:rPr>
        <w:t>Conditions climatiques</w:t>
      </w:r>
    </w:p>
    <w:p w:rsidR="00FB4818" w:rsidRPr="006A1FBC" w:rsidRDefault="00FB4818" w:rsidP="00EF6533">
      <w:pPr>
        <w:pStyle w:val="SingleTxtG"/>
        <w:ind w:left="2268"/>
        <w:rPr>
          <w:b/>
        </w:rPr>
      </w:pPr>
      <w:r w:rsidRPr="006A1FBC">
        <w:rPr>
          <w:b/>
        </w:rPr>
        <w:t>Deux catégories de température ambiante sont définies comme suit :</w:t>
      </w:r>
    </w:p>
    <w:p w:rsidR="00FB4818" w:rsidRPr="006A1FBC" w:rsidRDefault="00FB4818" w:rsidP="00901C10">
      <w:pPr>
        <w:pStyle w:val="SingleTxtG"/>
        <w:ind w:left="2835" w:hanging="567"/>
        <w:rPr>
          <w:b/>
        </w:rPr>
      </w:pPr>
      <w:r w:rsidRPr="006A1FBC">
        <w:rPr>
          <w:b/>
        </w:rPr>
        <w:t>a)</w:t>
      </w:r>
      <w:r w:rsidRPr="006A1FBC">
        <w:rPr>
          <w:b/>
        </w:rPr>
        <w:tab/>
        <w:t>-40 °C à +85 °C pour les éléments qui doivent être montés dans l’habitacle ou le compartiment à bagages ;</w:t>
      </w:r>
    </w:p>
    <w:p w:rsidR="00FB4818" w:rsidRPr="006A1FBC" w:rsidRDefault="00FB4818" w:rsidP="00901C10">
      <w:pPr>
        <w:pStyle w:val="SingleTxtG"/>
        <w:ind w:left="2835" w:hanging="567"/>
        <w:rPr>
          <w:b/>
          <w:lang w:val="fr-FR"/>
        </w:rPr>
      </w:pPr>
      <w:r w:rsidRPr="006A1FBC">
        <w:rPr>
          <w:b/>
          <w:lang w:val="fr-FR"/>
        </w:rPr>
        <w:t>b)</w:t>
      </w:r>
      <w:r w:rsidRPr="006A1FBC">
        <w:rPr>
          <w:b/>
          <w:lang w:val="fr-FR"/>
        </w:rPr>
        <w:tab/>
        <w:t>-40 °C à +125 °C pour les éléments qui doivent être montés dans le compartiment moteur, sauf spécifications contraires.</w:t>
      </w:r>
    </w:p>
    <w:p w:rsidR="00FB4818" w:rsidRPr="006A1FBC" w:rsidRDefault="00FB4818" w:rsidP="00EF6533">
      <w:pPr>
        <w:pStyle w:val="SingleTxtG"/>
        <w:ind w:left="2268" w:hanging="1134"/>
        <w:rPr>
          <w:b/>
          <w:bCs/>
          <w:lang w:val="fr-FR"/>
        </w:rPr>
      </w:pPr>
      <w:r w:rsidRPr="006A1FBC">
        <w:rPr>
          <w:b/>
          <w:bCs/>
          <w:lang w:val="fr-FR"/>
        </w:rPr>
        <w:t>1.1.2</w:t>
      </w:r>
      <w:r w:rsidRPr="006A1FBC">
        <w:rPr>
          <w:b/>
          <w:bCs/>
          <w:lang w:val="fr-FR"/>
        </w:rPr>
        <w:tab/>
      </w:r>
      <w:r w:rsidRPr="006A1FBC">
        <w:rPr>
          <w:b/>
          <w:bCs/>
          <w:lang w:val="fr-FR"/>
        </w:rPr>
        <w:tab/>
        <w:t>Degré de protection de l’installation</w:t>
      </w:r>
    </w:p>
    <w:p w:rsidR="00FB4818" w:rsidRPr="006A1FBC" w:rsidRDefault="00FB4818" w:rsidP="00EF6533">
      <w:pPr>
        <w:pStyle w:val="SingleTxtG"/>
        <w:ind w:left="2268"/>
        <w:rPr>
          <w:b/>
          <w:lang w:val="fr-FR"/>
        </w:rPr>
      </w:pPr>
      <w:r w:rsidRPr="006A1FBC">
        <w:rPr>
          <w:b/>
          <w:bCs/>
          <w:lang w:val="fr-FR"/>
        </w:rPr>
        <w:t>Les degrés de protection suivants doivent être appliqués conformément à la publication 529 (1989) de la CEI :</w:t>
      </w:r>
    </w:p>
    <w:p w:rsidR="00FB4818" w:rsidRPr="006A1FBC" w:rsidRDefault="00FB4818" w:rsidP="00901C10">
      <w:pPr>
        <w:pStyle w:val="SingleTxtG"/>
        <w:ind w:left="2835" w:hanging="567"/>
        <w:rPr>
          <w:b/>
          <w:lang w:val="fr-FR"/>
        </w:rPr>
      </w:pPr>
      <w:r w:rsidRPr="006A1FBC">
        <w:rPr>
          <w:b/>
          <w:lang w:val="fr-FR"/>
        </w:rPr>
        <w:t>a)</w:t>
      </w:r>
      <w:r w:rsidRPr="006A1FBC">
        <w:rPr>
          <w:b/>
          <w:lang w:val="fr-FR"/>
        </w:rPr>
        <w:tab/>
        <w:t>IP 40 pour les éléments qui doivent être montés dans l’habitacle ;</w:t>
      </w:r>
    </w:p>
    <w:p w:rsidR="00FB4818" w:rsidRPr="006A1FBC" w:rsidRDefault="00FB4818" w:rsidP="00901C10">
      <w:pPr>
        <w:pStyle w:val="SingleTxtG"/>
        <w:ind w:left="2835" w:hanging="567"/>
        <w:rPr>
          <w:b/>
          <w:lang w:val="fr-FR"/>
        </w:rPr>
      </w:pPr>
      <w:r w:rsidRPr="006A1FBC">
        <w:rPr>
          <w:b/>
          <w:lang w:val="fr-FR"/>
        </w:rPr>
        <w:t>b)</w:t>
      </w:r>
      <w:r w:rsidRPr="006A1FBC">
        <w:rPr>
          <w:b/>
          <w:lang w:val="fr-FR"/>
        </w:rPr>
        <w:tab/>
        <w:t>IP 42 pour les éléments qui doivent être montés dans l’habitacle des cabriolets/décapotables et des voitures à panneaux de toit mobiles si l’emplacement de l’installation exige un degré de protection supérieur à IP 40 ;</w:t>
      </w:r>
    </w:p>
    <w:p w:rsidR="00FB4818" w:rsidRPr="006A1FBC" w:rsidRDefault="00FB4818" w:rsidP="00901C10">
      <w:pPr>
        <w:pStyle w:val="SingleTxtG"/>
        <w:ind w:left="2835" w:hanging="567"/>
        <w:rPr>
          <w:b/>
          <w:lang w:val="fr-FR"/>
        </w:rPr>
      </w:pPr>
      <w:r w:rsidRPr="006A1FBC">
        <w:rPr>
          <w:b/>
          <w:lang w:val="fr-FR"/>
        </w:rPr>
        <w:t>c)</w:t>
      </w:r>
      <w:r w:rsidRPr="006A1FBC">
        <w:rPr>
          <w:b/>
          <w:lang w:val="fr-FR"/>
        </w:rPr>
        <w:tab/>
        <w:t>IP 54 pour tous les autres éléments.</w:t>
      </w:r>
    </w:p>
    <w:p w:rsidR="00FB4818" w:rsidRPr="006A1FBC" w:rsidRDefault="00FB4818" w:rsidP="00EF6533">
      <w:pPr>
        <w:pStyle w:val="SingleTxtG"/>
        <w:ind w:left="2268"/>
        <w:rPr>
          <w:b/>
          <w:lang w:val="fr-FR"/>
        </w:rPr>
      </w:pPr>
      <w:r w:rsidRPr="006A1FBC">
        <w:rPr>
          <w:b/>
          <w:lang w:val="fr-FR"/>
        </w:rPr>
        <w:tab/>
        <w:t xml:space="preserve">Le fabricant du dispositif d’immobilisation doit spécifier dans les instructions de montage toute restriction relative à l’emplacement d’un </w:t>
      </w:r>
      <w:r w:rsidRPr="006A1FBC">
        <w:rPr>
          <w:b/>
          <w:lang w:val="fr-FR"/>
        </w:rPr>
        <w:lastRenderedPageBreak/>
        <w:t>élément quelconque de l’installation en ce qui concerne la poussière, l’eau et la températures.</w:t>
      </w:r>
    </w:p>
    <w:p w:rsidR="00FB4818" w:rsidRPr="006A1FBC" w:rsidRDefault="00FB4818" w:rsidP="00EF6533">
      <w:pPr>
        <w:pStyle w:val="SingleTxtG"/>
        <w:ind w:left="2268" w:hanging="1134"/>
        <w:rPr>
          <w:b/>
          <w:bCs/>
          <w:lang w:val="fr-FR"/>
        </w:rPr>
      </w:pPr>
      <w:r w:rsidRPr="006A1FBC">
        <w:rPr>
          <w:b/>
          <w:bCs/>
          <w:lang w:val="fr-FR"/>
        </w:rPr>
        <w:t>1.1.3</w:t>
      </w:r>
      <w:r w:rsidRPr="006A1FBC">
        <w:rPr>
          <w:b/>
          <w:bCs/>
          <w:lang w:val="fr-FR"/>
        </w:rPr>
        <w:tab/>
        <w:t>Exposition aux intempéries</w:t>
      </w:r>
    </w:p>
    <w:p w:rsidR="00FB4818" w:rsidRPr="006A1FBC" w:rsidRDefault="00FB4818" w:rsidP="00EF6533">
      <w:pPr>
        <w:pStyle w:val="SingleTxtG"/>
        <w:ind w:left="2268"/>
        <w:rPr>
          <w:b/>
          <w:lang w:val="fr-FR"/>
        </w:rPr>
      </w:pPr>
      <w:r w:rsidRPr="006A1FBC">
        <w:rPr>
          <w:b/>
          <w:bCs/>
          <w:lang w:val="fr-FR"/>
        </w:rPr>
        <w:t>7 jours conformément à la norme CEI 68</w:t>
      </w:r>
      <w:r w:rsidRPr="006A1FBC">
        <w:rPr>
          <w:b/>
          <w:bCs/>
          <w:lang w:val="fr-FR"/>
        </w:rPr>
        <w:noBreakHyphen/>
        <w:t>2</w:t>
      </w:r>
      <w:r w:rsidRPr="006A1FBC">
        <w:rPr>
          <w:b/>
          <w:bCs/>
          <w:lang w:val="fr-FR"/>
        </w:rPr>
        <w:noBreakHyphen/>
        <w:t>30</w:t>
      </w:r>
      <w:r w:rsidRPr="006A1FBC">
        <w:rPr>
          <w:b/>
          <w:bCs/>
          <w:lang w:val="fr-FR"/>
        </w:rPr>
        <w:noBreakHyphen/>
        <w:t>1980</w:t>
      </w:r>
      <w:r w:rsidRPr="006A1FBC">
        <w:rPr>
          <w:b/>
          <w:lang w:val="fr-FR"/>
        </w:rPr>
        <w:t>.</w:t>
      </w:r>
    </w:p>
    <w:p w:rsidR="00FB4818" w:rsidRPr="006A1FBC" w:rsidRDefault="00FB4818" w:rsidP="00EF6533">
      <w:pPr>
        <w:pStyle w:val="SingleTxtG"/>
        <w:ind w:left="2268" w:hanging="1134"/>
        <w:rPr>
          <w:b/>
          <w:bCs/>
          <w:lang w:val="fr-FR"/>
        </w:rPr>
      </w:pPr>
      <w:r w:rsidRPr="006A1FBC">
        <w:rPr>
          <w:b/>
          <w:bCs/>
          <w:lang w:val="fr-FR"/>
        </w:rPr>
        <w:t>1.1.4</w:t>
      </w:r>
      <w:r w:rsidRPr="006A1FBC">
        <w:rPr>
          <w:b/>
          <w:bCs/>
          <w:lang w:val="fr-FR"/>
        </w:rPr>
        <w:tab/>
        <w:t>Caractéristiques électriques</w:t>
      </w:r>
    </w:p>
    <w:p w:rsidR="00FB4818" w:rsidRPr="006A1FBC" w:rsidRDefault="00FB4818" w:rsidP="00EF6533">
      <w:pPr>
        <w:pStyle w:val="SingleTxtG"/>
        <w:ind w:left="2268"/>
        <w:rPr>
          <w:b/>
          <w:bCs/>
          <w:lang w:val="fr-FR"/>
        </w:rPr>
      </w:pPr>
      <w:r w:rsidRPr="006A1FBC">
        <w:rPr>
          <w:b/>
          <w:bCs/>
          <w:lang w:val="fr-FR"/>
        </w:rPr>
        <w:t>Tension d’alimentation nominale : 12 V</w:t>
      </w:r>
    </w:p>
    <w:p w:rsidR="00FB4818" w:rsidRPr="006A1FBC" w:rsidRDefault="00FB4818" w:rsidP="00EF6533">
      <w:pPr>
        <w:pStyle w:val="SingleTxtG"/>
        <w:ind w:left="2268"/>
        <w:rPr>
          <w:b/>
          <w:lang w:val="fr-FR"/>
        </w:rPr>
      </w:pPr>
      <w:r w:rsidRPr="006A1FBC">
        <w:rPr>
          <w:b/>
          <w:bCs/>
          <w:lang w:val="fr-FR"/>
        </w:rPr>
        <w:t>Plage de tensions de fonctionnement : de 9 V à 15 V dans la</w:t>
      </w:r>
      <w:r w:rsidR="00901C10" w:rsidRPr="006A1FBC">
        <w:rPr>
          <w:b/>
          <w:bCs/>
          <w:lang w:val="fr-FR"/>
        </w:rPr>
        <w:t xml:space="preserve"> </w:t>
      </w:r>
      <w:r w:rsidRPr="006A1FBC">
        <w:rPr>
          <w:b/>
          <w:bCs/>
          <w:lang w:val="fr-FR"/>
        </w:rPr>
        <w:t xml:space="preserve">plage de températures prévue au paragraphe </w:t>
      </w:r>
      <w:r w:rsidRPr="006A1FBC">
        <w:rPr>
          <w:b/>
          <w:lang w:val="fr-FR"/>
        </w:rPr>
        <w:t>5.3.1.1.1</w:t>
      </w:r>
    </w:p>
    <w:p w:rsidR="00FB4818" w:rsidRPr="006A1FBC" w:rsidRDefault="00FB4818" w:rsidP="00EF6533">
      <w:pPr>
        <w:pStyle w:val="SingleTxtG"/>
        <w:ind w:left="2268"/>
        <w:rPr>
          <w:b/>
          <w:bCs/>
          <w:lang w:val="fr-FR"/>
        </w:rPr>
      </w:pPr>
      <w:r w:rsidRPr="006A1FBC">
        <w:rPr>
          <w:b/>
          <w:bCs/>
          <w:lang w:val="fr-FR"/>
        </w:rPr>
        <w:t>Durée des surtensions, à 23 °C :</w:t>
      </w:r>
    </w:p>
    <w:p w:rsidR="00FB4818" w:rsidRPr="006A1FBC" w:rsidRDefault="00FB4818" w:rsidP="00EF6533">
      <w:pPr>
        <w:pStyle w:val="SingleTxtG"/>
        <w:ind w:left="2268"/>
        <w:rPr>
          <w:b/>
          <w:bCs/>
          <w:lang w:val="fr-FR"/>
        </w:rPr>
      </w:pPr>
      <w:r w:rsidRPr="006A1FBC">
        <w:rPr>
          <w:b/>
          <w:bCs/>
          <w:lang w:val="fr-FR"/>
        </w:rPr>
        <w:t>U = 18 V,</w:t>
      </w:r>
      <w:r w:rsidR="0031132F" w:rsidRPr="006A1FBC">
        <w:rPr>
          <w:b/>
          <w:bCs/>
          <w:lang w:val="fr-FR"/>
        </w:rPr>
        <w:t xml:space="preserve"> </w:t>
      </w:r>
      <w:r w:rsidRPr="006A1FBC">
        <w:rPr>
          <w:b/>
          <w:bCs/>
          <w:lang w:val="fr-FR"/>
        </w:rPr>
        <w:t>maximum</w:t>
      </w:r>
      <w:r w:rsidR="0035528F" w:rsidRPr="006A1FBC">
        <w:rPr>
          <w:b/>
          <w:bCs/>
          <w:lang w:val="fr-FR"/>
        </w:rPr>
        <w:t xml:space="preserve"> </w:t>
      </w:r>
      <w:r w:rsidRPr="006A1FBC">
        <w:rPr>
          <w:b/>
          <w:bCs/>
          <w:lang w:val="fr-FR"/>
        </w:rPr>
        <w:t>1 h</w:t>
      </w:r>
    </w:p>
    <w:p w:rsidR="00FB4818" w:rsidRPr="006A1FBC" w:rsidRDefault="00FB4818" w:rsidP="00EF6533">
      <w:pPr>
        <w:pStyle w:val="SingleTxtG"/>
        <w:ind w:left="2268"/>
        <w:rPr>
          <w:b/>
          <w:lang w:val="fr-FR"/>
        </w:rPr>
      </w:pPr>
      <w:r w:rsidRPr="006A1FBC">
        <w:rPr>
          <w:b/>
          <w:bCs/>
          <w:lang w:val="fr-FR"/>
        </w:rPr>
        <w:t>U = 24 V,</w:t>
      </w:r>
      <w:r w:rsidR="0031132F" w:rsidRPr="006A1FBC">
        <w:rPr>
          <w:b/>
          <w:bCs/>
          <w:lang w:val="fr-FR"/>
        </w:rPr>
        <w:t xml:space="preserve"> </w:t>
      </w:r>
      <w:r w:rsidRPr="006A1FBC">
        <w:rPr>
          <w:b/>
          <w:bCs/>
          <w:lang w:val="fr-FR"/>
        </w:rPr>
        <w:t>maximum</w:t>
      </w:r>
      <w:r w:rsidR="0035528F" w:rsidRPr="006A1FBC">
        <w:rPr>
          <w:b/>
          <w:bCs/>
          <w:lang w:val="fr-FR"/>
        </w:rPr>
        <w:t xml:space="preserve"> </w:t>
      </w:r>
      <w:r w:rsidRPr="006A1FBC">
        <w:rPr>
          <w:b/>
          <w:bCs/>
          <w:lang w:val="fr-FR"/>
        </w:rPr>
        <w:t>1 min</w:t>
      </w:r>
      <w:r w:rsidRPr="006A1FBC">
        <w:rPr>
          <w:b/>
          <w:lang w:val="fr-FR"/>
        </w:rPr>
        <w:t>.</w:t>
      </w:r>
    </w:p>
    <w:p w:rsidR="00FB4818" w:rsidRPr="006A1FBC" w:rsidRDefault="00FB4818" w:rsidP="00EF6533">
      <w:pPr>
        <w:pStyle w:val="SingleTxtG"/>
        <w:ind w:left="2268" w:hanging="1134"/>
        <w:rPr>
          <w:b/>
          <w:bCs/>
          <w:lang w:val="fr-FR"/>
        </w:rPr>
      </w:pPr>
      <w:r w:rsidRPr="006A1FBC">
        <w:rPr>
          <w:b/>
          <w:bCs/>
          <w:lang w:val="fr-FR"/>
        </w:rPr>
        <w:t>2</w:t>
      </w:r>
      <w:r w:rsidR="00EF6533" w:rsidRPr="006A1FBC">
        <w:rPr>
          <w:b/>
          <w:bCs/>
          <w:lang w:val="fr-FR"/>
        </w:rPr>
        <w:t>.</w:t>
      </w:r>
      <w:r w:rsidRPr="006A1FBC">
        <w:rPr>
          <w:b/>
          <w:bCs/>
          <w:lang w:val="fr-FR"/>
        </w:rPr>
        <w:tab/>
        <w:t>Conditions d’essai</w:t>
      </w:r>
    </w:p>
    <w:p w:rsidR="00FB4818" w:rsidRPr="006A1FBC" w:rsidRDefault="00FB4818" w:rsidP="00EF6533">
      <w:pPr>
        <w:pStyle w:val="SingleTxtG"/>
        <w:ind w:left="2268"/>
        <w:rPr>
          <w:b/>
          <w:lang w:val="fr-FR"/>
        </w:rPr>
      </w:pPr>
      <w:r w:rsidRPr="006A1FBC">
        <w:rPr>
          <w:b/>
          <w:lang w:val="fr-FR"/>
        </w:rPr>
        <w:t>Tous les essais doivent être effectués consécutivement sur un seul dispositif d’immobilisation. Toutefois, l’autorité chargée des essais peut décider d’utiliser d’autres échantillons si elle juge que cela n’aura pas d’incidences sur les résultats des autres essais.</w:t>
      </w:r>
    </w:p>
    <w:p w:rsidR="00FB4818" w:rsidRPr="006A1FBC" w:rsidRDefault="00FB4818" w:rsidP="00EF6533">
      <w:pPr>
        <w:pStyle w:val="SingleTxtG"/>
        <w:ind w:left="2268" w:hanging="1134"/>
        <w:rPr>
          <w:b/>
          <w:bCs/>
          <w:lang w:val="fr-FR"/>
        </w:rPr>
      </w:pPr>
      <w:r w:rsidRPr="006A1FBC">
        <w:rPr>
          <w:b/>
          <w:bCs/>
          <w:lang w:val="fr-FR"/>
        </w:rPr>
        <w:t>2.1</w:t>
      </w:r>
      <w:r w:rsidRPr="006A1FBC">
        <w:rPr>
          <w:b/>
          <w:bCs/>
          <w:lang w:val="fr-FR"/>
        </w:rPr>
        <w:tab/>
        <w:t>Conditions d’essai normales</w:t>
      </w:r>
    </w:p>
    <w:p w:rsidR="00FB4818" w:rsidRPr="006A1FBC" w:rsidRDefault="00FB4818" w:rsidP="0035528F">
      <w:pPr>
        <w:pStyle w:val="SingleTxtG"/>
        <w:tabs>
          <w:tab w:val="left" w:pos="3969"/>
        </w:tabs>
        <w:ind w:left="2268"/>
        <w:rPr>
          <w:b/>
          <w:lang w:val="fr-FR"/>
        </w:rPr>
      </w:pPr>
      <w:r w:rsidRPr="006A1FBC">
        <w:rPr>
          <w:b/>
          <w:lang w:val="fr-FR"/>
        </w:rPr>
        <w:t>Tension</w:t>
      </w:r>
      <w:r w:rsidRPr="006A1FBC">
        <w:rPr>
          <w:b/>
          <w:lang w:val="fr-FR"/>
        </w:rPr>
        <w:tab/>
        <w:t xml:space="preserve">U = (12 </w:t>
      </w:r>
      <w:r w:rsidR="00F65E33" w:rsidRPr="006A1FBC">
        <w:rPr>
          <w:b/>
          <w:bCs/>
          <w:lang w:val="fr-FR"/>
        </w:rPr>
        <w:sym w:font="Symbol" w:char="F0B1"/>
      </w:r>
      <w:r w:rsidRPr="006A1FBC">
        <w:rPr>
          <w:b/>
          <w:lang w:val="fr-FR"/>
        </w:rPr>
        <w:t>0,2) V</w:t>
      </w:r>
    </w:p>
    <w:p w:rsidR="00FB4818" w:rsidRPr="006A1FBC" w:rsidRDefault="00FB4818" w:rsidP="0035528F">
      <w:pPr>
        <w:pStyle w:val="SingleTxtG"/>
        <w:tabs>
          <w:tab w:val="left" w:pos="3969"/>
        </w:tabs>
        <w:ind w:left="2268"/>
        <w:rPr>
          <w:b/>
          <w:lang w:val="fr-FR"/>
        </w:rPr>
      </w:pPr>
      <w:r w:rsidRPr="006A1FBC">
        <w:rPr>
          <w:b/>
          <w:lang w:val="fr-FR"/>
        </w:rPr>
        <w:t>Température</w:t>
      </w:r>
      <w:r w:rsidRPr="006A1FBC">
        <w:rPr>
          <w:b/>
          <w:bCs/>
          <w:lang w:val="fr-FR"/>
        </w:rPr>
        <w:tab/>
        <w:t>T =</w:t>
      </w:r>
      <w:r w:rsidRPr="006A1FBC">
        <w:rPr>
          <w:b/>
          <w:lang w:val="fr-FR"/>
        </w:rPr>
        <w:t xml:space="preserve"> (23 </w:t>
      </w:r>
      <w:r w:rsidR="00F65E33" w:rsidRPr="006A1FBC">
        <w:rPr>
          <w:b/>
          <w:bCs/>
          <w:lang w:val="fr-FR"/>
        </w:rPr>
        <w:sym w:font="Symbol" w:char="F0B1"/>
      </w:r>
      <w:r w:rsidRPr="006A1FBC">
        <w:rPr>
          <w:b/>
          <w:lang w:val="fr-FR"/>
        </w:rPr>
        <w:t>5)</w:t>
      </w:r>
      <w:r w:rsidR="0035528F" w:rsidRPr="006A1FBC">
        <w:rPr>
          <w:b/>
          <w:lang w:val="fr-FR"/>
        </w:rPr>
        <w:t> </w:t>
      </w:r>
      <w:r w:rsidRPr="006A1FBC">
        <w:rPr>
          <w:b/>
          <w:lang w:val="fr-FR"/>
        </w:rPr>
        <w:t>°C</w:t>
      </w:r>
    </w:p>
    <w:p w:rsidR="00FB4818" w:rsidRPr="006A1FBC" w:rsidRDefault="00FB4818" w:rsidP="00EF6533">
      <w:pPr>
        <w:pStyle w:val="SingleTxtG"/>
        <w:ind w:left="2268" w:hanging="1134"/>
        <w:rPr>
          <w:b/>
          <w:bCs/>
          <w:lang w:val="fr-FR"/>
        </w:rPr>
      </w:pPr>
      <w:r w:rsidRPr="006A1FBC">
        <w:rPr>
          <w:b/>
          <w:bCs/>
          <w:lang w:val="fr-FR"/>
        </w:rPr>
        <w:t>3</w:t>
      </w:r>
      <w:r w:rsidR="00EF6533" w:rsidRPr="006A1FBC">
        <w:rPr>
          <w:b/>
          <w:bCs/>
          <w:lang w:val="fr-FR"/>
        </w:rPr>
        <w:t>.</w:t>
      </w:r>
      <w:r w:rsidRPr="006A1FBC">
        <w:rPr>
          <w:b/>
          <w:bCs/>
          <w:lang w:val="fr-FR"/>
        </w:rPr>
        <w:tab/>
        <w:t>Essai de fonctionnement</w:t>
      </w:r>
    </w:p>
    <w:p w:rsidR="00FB4818" w:rsidRPr="006A1FBC" w:rsidRDefault="00FB4818" w:rsidP="00EF6533">
      <w:pPr>
        <w:pStyle w:val="SingleTxtG"/>
        <w:ind w:left="2268"/>
        <w:rPr>
          <w:b/>
          <w:lang w:val="fr-FR"/>
        </w:rPr>
      </w:pPr>
      <w:r w:rsidRPr="006A1FBC">
        <w:rPr>
          <w:b/>
          <w:bCs/>
          <w:lang w:val="fr-FR"/>
        </w:rPr>
        <w:t xml:space="preserve">Tous les éléments du dispositif d’immobilisation doivent satisfaire aux prescriptions énoncées aux paragraphes </w:t>
      </w:r>
      <w:r w:rsidRPr="006A1FBC">
        <w:rPr>
          <w:b/>
          <w:lang w:val="fr-FR"/>
        </w:rPr>
        <w:t>5.3.3.2 à 5.3.3.9</w:t>
      </w:r>
      <w:r w:rsidRPr="006A1FBC">
        <w:rPr>
          <w:b/>
          <w:bCs/>
          <w:lang w:val="fr-FR"/>
        </w:rPr>
        <w:t xml:space="preserve"> du présent Règlement.</w:t>
      </w:r>
    </w:p>
    <w:p w:rsidR="00FB4818" w:rsidRPr="006A1FBC" w:rsidRDefault="00FB4818" w:rsidP="00EF6533">
      <w:pPr>
        <w:pStyle w:val="SingleTxtG"/>
        <w:ind w:left="2268" w:hanging="1134"/>
        <w:rPr>
          <w:b/>
          <w:bCs/>
          <w:lang w:val="fr-FR"/>
        </w:rPr>
      </w:pPr>
      <w:r w:rsidRPr="006A1FBC">
        <w:rPr>
          <w:b/>
          <w:bCs/>
          <w:lang w:val="fr-FR"/>
        </w:rPr>
        <w:t>3.1</w:t>
      </w:r>
      <w:r w:rsidRPr="006A1FBC">
        <w:rPr>
          <w:b/>
          <w:bCs/>
          <w:lang w:val="fr-FR"/>
        </w:rPr>
        <w:tab/>
        <w:t>Après achèvement de tous les essais spécifiés ci-après, le dispositif d’immobilisation doit être soumis à des essais dans les conditions normales spécifiées au paragraphe 5.3.2.1 du présent Règlement pour s’assurer qu’il continue de fonctionner normalement. Le cas échéant, les fusibles peuvent être remplacés avant l’essai.</w:t>
      </w:r>
    </w:p>
    <w:p w:rsidR="00FB4818" w:rsidRPr="006A1FBC" w:rsidRDefault="00FB4818" w:rsidP="00EF6533">
      <w:pPr>
        <w:pStyle w:val="SingleTxtG"/>
        <w:ind w:left="2268"/>
        <w:rPr>
          <w:b/>
          <w:lang w:val="fr-FR"/>
        </w:rPr>
      </w:pPr>
      <w:r w:rsidRPr="006A1FBC">
        <w:rPr>
          <w:b/>
          <w:lang w:val="fr-FR"/>
        </w:rPr>
        <w:t>Si certains des essais prescrits par ces paragraphes sont choisis pour être effectués en série sur un dispositif d’immobilisation unique avant les essais de fonctionnement, on peut les effectuer en une fois après l’achèvement de tous les essais choisis au lieu de le faire après chacun des essais choisis. Les constructeurs de véhicules et les fournisseurs ne doivent garantir des résultats satisfaisants que dans les procédures d’essai non cumulatives.</w:t>
      </w:r>
    </w:p>
    <w:p w:rsidR="00FB4818" w:rsidRPr="006A1FBC" w:rsidRDefault="00FB4818" w:rsidP="00EF6533">
      <w:pPr>
        <w:pStyle w:val="SingleTxtG"/>
        <w:ind w:left="2268" w:hanging="1134"/>
        <w:rPr>
          <w:b/>
          <w:bCs/>
          <w:lang w:val="fr-FR"/>
        </w:rPr>
      </w:pPr>
      <w:r w:rsidRPr="006A1FBC">
        <w:rPr>
          <w:b/>
          <w:bCs/>
          <w:lang w:val="fr-FR"/>
        </w:rPr>
        <w:t>3.2</w:t>
      </w:r>
      <w:r w:rsidRPr="006A1FBC">
        <w:rPr>
          <w:b/>
          <w:bCs/>
          <w:lang w:val="fr-FR"/>
        </w:rPr>
        <w:tab/>
        <w:t>Résistance aux variations de température et de</w:t>
      </w:r>
      <w:r w:rsidRPr="006A1FBC">
        <w:rPr>
          <w:b/>
          <w:bCs/>
          <w:sz w:val="28"/>
          <w:szCs w:val="28"/>
          <w:lang w:val="fr-FR"/>
        </w:rPr>
        <w:t xml:space="preserve"> </w:t>
      </w:r>
      <w:r w:rsidRPr="006A1FBC">
        <w:rPr>
          <w:b/>
          <w:bCs/>
          <w:lang w:val="fr-FR"/>
        </w:rPr>
        <w:t>tension</w:t>
      </w:r>
    </w:p>
    <w:p w:rsidR="00FB4818" w:rsidRPr="006A1FBC" w:rsidRDefault="00FB4818" w:rsidP="00EF6533">
      <w:pPr>
        <w:pStyle w:val="SingleTxtG"/>
        <w:ind w:left="2268"/>
        <w:rPr>
          <w:b/>
          <w:lang w:val="fr-FR"/>
        </w:rPr>
      </w:pPr>
      <w:r w:rsidRPr="006A1FBC">
        <w:rPr>
          <w:b/>
          <w:lang w:val="fr-FR"/>
        </w:rPr>
        <w:t>La conformité aux spécifications énoncées au paragraphe 5.3.3.1 doit aussi être vérifiée dans les conditions suivantes :</w:t>
      </w:r>
    </w:p>
    <w:p w:rsidR="00FB4818" w:rsidRPr="006A1FBC" w:rsidRDefault="00FB4818" w:rsidP="0035528F">
      <w:pPr>
        <w:pStyle w:val="SingleTxtG"/>
        <w:tabs>
          <w:tab w:val="left" w:pos="4253"/>
        </w:tabs>
        <w:ind w:left="2268" w:hanging="1134"/>
        <w:rPr>
          <w:b/>
          <w:bCs/>
          <w:lang w:val="fr-FR"/>
        </w:rPr>
      </w:pPr>
      <w:r w:rsidRPr="006A1FBC">
        <w:rPr>
          <w:b/>
          <w:bCs/>
          <w:lang w:val="fr-FR"/>
        </w:rPr>
        <w:t>3.2.1</w:t>
      </w:r>
      <w:r w:rsidRPr="006A1FBC">
        <w:rPr>
          <w:b/>
          <w:bCs/>
          <w:lang w:val="fr-FR"/>
        </w:rPr>
        <w:tab/>
        <w:t>Température d’essai</w:t>
      </w:r>
      <w:r w:rsidR="00EF6533" w:rsidRPr="006A1FBC">
        <w:rPr>
          <w:b/>
          <w:bCs/>
          <w:lang w:val="fr-FR"/>
        </w:rPr>
        <w:tab/>
      </w:r>
      <w:r w:rsidRPr="006A1FBC">
        <w:rPr>
          <w:b/>
          <w:bCs/>
          <w:lang w:val="fr-FR"/>
        </w:rPr>
        <w:t xml:space="preserve">T </w:t>
      </w:r>
      <w:r w:rsidR="0035528F" w:rsidRPr="006A1FBC">
        <w:rPr>
          <w:b/>
          <w:bCs/>
          <w:lang w:val="fr-FR"/>
        </w:rPr>
        <w:t xml:space="preserve">= </w:t>
      </w:r>
      <w:r w:rsidRPr="006A1FBC">
        <w:rPr>
          <w:b/>
          <w:bCs/>
          <w:lang w:val="fr-FR"/>
        </w:rPr>
        <w:t xml:space="preserve">(-40 </w:t>
      </w:r>
      <w:r w:rsidRPr="006A1FBC">
        <w:rPr>
          <w:b/>
          <w:bCs/>
          <w:lang w:val="fr-FR"/>
        </w:rPr>
        <w:sym w:font="Symbol" w:char="F0B1"/>
      </w:r>
      <w:r w:rsidRPr="006A1FBC">
        <w:rPr>
          <w:b/>
          <w:bCs/>
          <w:lang w:val="fr-FR"/>
        </w:rPr>
        <w:t>2) °C</w:t>
      </w:r>
    </w:p>
    <w:p w:rsidR="00FB4818" w:rsidRPr="006A1FBC" w:rsidRDefault="00FB4818" w:rsidP="0035528F">
      <w:pPr>
        <w:pStyle w:val="SingleTxtG"/>
        <w:tabs>
          <w:tab w:val="left" w:pos="4253"/>
        </w:tabs>
        <w:ind w:left="2268"/>
        <w:rPr>
          <w:b/>
          <w:bCs/>
          <w:lang w:val="fr-FR"/>
        </w:rPr>
      </w:pPr>
      <w:r w:rsidRPr="006A1FBC">
        <w:rPr>
          <w:b/>
          <w:lang w:val="fr-FR"/>
        </w:rPr>
        <w:t>Tension</w:t>
      </w:r>
      <w:r w:rsidRPr="006A1FBC">
        <w:rPr>
          <w:b/>
          <w:bCs/>
          <w:lang w:val="fr-FR"/>
        </w:rPr>
        <w:t xml:space="preserve"> d’essai</w:t>
      </w:r>
      <w:r w:rsidRPr="006A1FBC">
        <w:rPr>
          <w:b/>
          <w:bCs/>
          <w:lang w:val="fr-FR"/>
        </w:rPr>
        <w:tab/>
        <w:t xml:space="preserve">U = (9 </w:t>
      </w:r>
      <w:r w:rsidRPr="006A1FBC">
        <w:rPr>
          <w:b/>
          <w:bCs/>
          <w:lang w:val="fr-FR"/>
        </w:rPr>
        <w:sym w:font="Symbol" w:char="F0B1"/>
      </w:r>
      <w:r w:rsidRPr="006A1FBC">
        <w:rPr>
          <w:b/>
          <w:bCs/>
          <w:lang w:val="fr-FR"/>
        </w:rPr>
        <w:t>0,2) V</w:t>
      </w:r>
    </w:p>
    <w:p w:rsidR="00FB4818" w:rsidRPr="006A1FBC" w:rsidRDefault="00FB4818" w:rsidP="0035528F">
      <w:pPr>
        <w:pStyle w:val="SingleTxtG"/>
        <w:tabs>
          <w:tab w:val="left" w:pos="4253"/>
        </w:tabs>
        <w:ind w:left="2268"/>
        <w:rPr>
          <w:b/>
          <w:lang w:val="fr-FR"/>
        </w:rPr>
      </w:pPr>
      <w:r w:rsidRPr="006A1FBC">
        <w:rPr>
          <w:b/>
          <w:lang w:val="fr-FR"/>
        </w:rPr>
        <w:t>Durée</w:t>
      </w:r>
      <w:r w:rsidRPr="006A1FBC">
        <w:rPr>
          <w:b/>
          <w:bCs/>
          <w:lang w:val="fr-FR"/>
        </w:rPr>
        <w:tab/>
        <w:t>4 h</w:t>
      </w:r>
    </w:p>
    <w:p w:rsidR="00FB4818" w:rsidRPr="006A1FBC" w:rsidRDefault="00FB4818" w:rsidP="00EF6533">
      <w:pPr>
        <w:pStyle w:val="SingleTxtG"/>
        <w:ind w:left="2268" w:hanging="1134"/>
        <w:rPr>
          <w:b/>
          <w:bCs/>
          <w:lang w:val="fr-FR"/>
        </w:rPr>
      </w:pPr>
      <w:r w:rsidRPr="006A1FBC">
        <w:rPr>
          <w:b/>
          <w:bCs/>
          <w:lang w:val="fr-FR"/>
        </w:rPr>
        <w:t>3.2.2</w:t>
      </w:r>
      <w:r w:rsidRPr="006A1FBC">
        <w:rPr>
          <w:b/>
          <w:bCs/>
          <w:lang w:val="fr-FR"/>
        </w:rPr>
        <w:tab/>
      </w:r>
      <w:r w:rsidRPr="006A1FBC">
        <w:rPr>
          <w:b/>
          <w:bCs/>
          <w:lang w:val="fr-FR"/>
        </w:rPr>
        <w:tab/>
        <w:t>Pour les éléments devant être montés dans l’habitacle ou le compartiment à bagages :</w:t>
      </w:r>
    </w:p>
    <w:p w:rsidR="00FB4818" w:rsidRPr="006A1FBC" w:rsidRDefault="00FB4818" w:rsidP="0035528F">
      <w:pPr>
        <w:pStyle w:val="SingleTxtG"/>
        <w:tabs>
          <w:tab w:val="left" w:pos="4253"/>
        </w:tabs>
        <w:ind w:left="2268"/>
        <w:rPr>
          <w:b/>
          <w:bCs/>
          <w:lang w:val="fr-FR"/>
        </w:rPr>
      </w:pPr>
      <w:r w:rsidRPr="006A1FBC">
        <w:rPr>
          <w:b/>
          <w:bCs/>
          <w:lang w:val="fr-FR"/>
        </w:rPr>
        <w:t>Température d’essai</w:t>
      </w:r>
      <w:r w:rsidRPr="006A1FBC">
        <w:rPr>
          <w:b/>
          <w:bCs/>
          <w:lang w:val="fr-FR"/>
        </w:rPr>
        <w:tab/>
        <w:t xml:space="preserve">T = (+85 </w:t>
      </w:r>
      <w:r w:rsidRPr="006A1FBC">
        <w:rPr>
          <w:b/>
          <w:bCs/>
          <w:lang w:val="fr-FR"/>
        </w:rPr>
        <w:sym w:font="Symbol" w:char="F0B1"/>
      </w:r>
      <w:r w:rsidRPr="006A1FBC">
        <w:rPr>
          <w:b/>
          <w:bCs/>
          <w:lang w:val="fr-FR"/>
        </w:rPr>
        <w:t>2) °C</w:t>
      </w:r>
    </w:p>
    <w:p w:rsidR="00FB4818" w:rsidRPr="006A1FBC" w:rsidRDefault="00FB4818" w:rsidP="0035528F">
      <w:pPr>
        <w:pStyle w:val="SingleTxtG"/>
        <w:tabs>
          <w:tab w:val="left" w:pos="4253"/>
        </w:tabs>
        <w:ind w:left="2268"/>
        <w:rPr>
          <w:b/>
          <w:bCs/>
          <w:lang w:val="fr-FR"/>
        </w:rPr>
      </w:pPr>
      <w:r w:rsidRPr="006A1FBC">
        <w:rPr>
          <w:b/>
          <w:bCs/>
          <w:lang w:val="fr-FR"/>
        </w:rPr>
        <w:t>Tension d’essai</w:t>
      </w:r>
      <w:r w:rsidRPr="006A1FBC">
        <w:rPr>
          <w:b/>
          <w:bCs/>
          <w:lang w:val="fr-FR"/>
        </w:rPr>
        <w:tab/>
        <w:t xml:space="preserve">U = (15 </w:t>
      </w:r>
      <w:r w:rsidRPr="006A1FBC">
        <w:rPr>
          <w:b/>
          <w:bCs/>
          <w:lang w:val="fr-FR"/>
        </w:rPr>
        <w:sym w:font="Symbol" w:char="F0B1"/>
      </w:r>
      <w:r w:rsidRPr="006A1FBC">
        <w:rPr>
          <w:b/>
          <w:bCs/>
          <w:lang w:val="fr-FR"/>
        </w:rPr>
        <w:t>0,2) V</w:t>
      </w:r>
    </w:p>
    <w:p w:rsidR="00FB4818" w:rsidRPr="006A1FBC" w:rsidRDefault="00FB4818" w:rsidP="0035528F">
      <w:pPr>
        <w:pStyle w:val="SingleTxtG"/>
        <w:tabs>
          <w:tab w:val="left" w:pos="4253"/>
        </w:tabs>
        <w:ind w:left="2268"/>
        <w:rPr>
          <w:b/>
          <w:bCs/>
          <w:lang w:val="fr-FR"/>
        </w:rPr>
      </w:pPr>
      <w:r w:rsidRPr="006A1FBC">
        <w:rPr>
          <w:b/>
          <w:bCs/>
          <w:lang w:val="fr-FR"/>
        </w:rPr>
        <w:t>Durée</w:t>
      </w:r>
      <w:r w:rsidRPr="006A1FBC">
        <w:rPr>
          <w:b/>
          <w:bCs/>
          <w:lang w:val="fr-FR"/>
        </w:rPr>
        <w:tab/>
        <w:t>4 h</w:t>
      </w:r>
    </w:p>
    <w:p w:rsidR="00FB4818" w:rsidRPr="006A1FBC" w:rsidRDefault="00FB4818" w:rsidP="00EF6533">
      <w:pPr>
        <w:pStyle w:val="SingleTxtG"/>
        <w:ind w:left="2268" w:hanging="1134"/>
        <w:rPr>
          <w:b/>
          <w:bCs/>
          <w:lang w:val="fr-FR"/>
        </w:rPr>
      </w:pPr>
      <w:r w:rsidRPr="006A1FBC">
        <w:rPr>
          <w:b/>
          <w:bCs/>
          <w:lang w:val="fr-FR"/>
        </w:rPr>
        <w:lastRenderedPageBreak/>
        <w:t>3.2.3</w:t>
      </w:r>
      <w:r w:rsidRPr="006A1FBC">
        <w:rPr>
          <w:b/>
          <w:bCs/>
          <w:lang w:val="fr-FR"/>
        </w:rPr>
        <w:tab/>
      </w:r>
      <w:r w:rsidRPr="006A1FBC">
        <w:rPr>
          <w:b/>
          <w:bCs/>
          <w:lang w:val="fr-FR"/>
        </w:rPr>
        <w:tab/>
        <w:t>Pour les éléments devant être montés dans le compartiment moteur, sauf indications contraires :</w:t>
      </w:r>
    </w:p>
    <w:p w:rsidR="00FB4818" w:rsidRPr="006A1FBC" w:rsidRDefault="00FB4818" w:rsidP="0035528F">
      <w:pPr>
        <w:pStyle w:val="SingleTxtG"/>
        <w:tabs>
          <w:tab w:val="left" w:pos="4253"/>
        </w:tabs>
        <w:ind w:left="2268"/>
        <w:rPr>
          <w:b/>
          <w:bCs/>
          <w:lang w:val="fr-FR"/>
        </w:rPr>
      </w:pPr>
      <w:r w:rsidRPr="006A1FBC">
        <w:rPr>
          <w:b/>
          <w:bCs/>
          <w:lang w:val="fr-FR"/>
        </w:rPr>
        <w:t>Température d’essai</w:t>
      </w:r>
      <w:r w:rsidRPr="006A1FBC">
        <w:rPr>
          <w:b/>
          <w:bCs/>
          <w:lang w:val="fr-FR"/>
        </w:rPr>
        <w:tab/>
        <w:t xml:space="preserve">T = (+125 </w:t>
      </w:r>
      <w:r w:rsidRPr="006A1FBC">
        <w:rPr>
          <w:b/>
          <w:bCs/>
          <w:lang w:val="fr-FR"/>
        </w:rPr>
        <w:sym w:font="Symbol" w:char="F0B1"/>
      </w:r>
      <w:r w:rsidRPr="006A1FBC">
        <w:rPr>
          <w:b/>
          <w:bCs/>
          <w:lang w:val="fr-FR"/>
        </w:rPr>
        <w:t>2) °C</w:t>
      </w:r>
    </w:p>
    <w:p w:rsidR="00FB4818" w:rsidRPr="006A1FBC" w:rsidRDefault="00FB4818" w:rsidP="0035528F">
      <w:pPr>
        <w:pStyle w:val="SingleTxtG"/>
        <w:tabs>
          <w:tab w:val="left" w:pos="4253"/>
        </w:tabs>
        <w:ind w:left="2268"/>
        <w:rPr>
          <w:b/>
          <w:bCs/>
          <w:lang w:val="fr-FR"/>
        </w:rPr>
      </w:pPr>
      <w:r w:rsidRPr="006A1FBC">
        <w:rPr>
          <w:b/>
          <w:bCs/>
          <w:lang w:val="fr-FR"/>
        </w:rPr>
        <w:t>Tension d’essai</w:t>
      </w:r>
      <w:r w:rsidRPr="006A1FBC">
        <w:rPr>
          <w:b/>
          <w:bCs/>
          <w:lang w:val="fr-FR"/>
        </w:rPr>
        <w:tab/>
        <w:t xml:space="preserve">U = (15 </w:t>
      </w:r>
      <w:r w:rsidRPr="006A1FBC">
        <w:rPr>
          <w:b/>
          <w:bCs/>
          <w:lang w:val="fr-FR"/>
        </w:rPr>
        <w:sym w:font="Symbol" w:char="F0B1"/>
      </w:r>
      <w:r w:rsidRPr="006A1FBC">
        <w:rPr>
          <w:b/>
          <w:bCs/>
          <w:lang w:val="fr-FR"/>
        </w:rPr>
        <w:t>0,2) V</w:t>
      </w:r>
    </w:p>
    <w:p w:rsidR="00FB4818" w:rsidRPr="006A1FBC" w:rsidRDefault="00FB4818" w:rsidP="0035528F">
      <w:pPr>
        <w:pStyle w:val="SingleTxtG"/>
        <w:tabs>
          <w:tab w:val="left" w:pos="4253"/>
        </w:tabs>
        <w:ind w:left="2268"/>
        <w:rPr>
          <w:b/>
          <w:bCs/>
          <w:lang w:val="fr-FR"/>
        </w:rPr>
      </w:pPr>
      <w:r w:rsidRPr="006A1FBC">
        <w:rPr>
          <w:b/>
          <w:bCs/>
          <w:lang w:val="fr-FR"/>
        </w:rPr>
        <w:t>Durée</w:t>
      </w:r>
      <w:r w:rsidRPr="006A1FBC">
        <w:rPr>
          <w:b/>
          <w:bCs/>
          <w:lang w:val="fr-FR"/>
        </w:rPr>
        <w:tab/>
        <w:t>4 h</w:t>
      </w:r>
    </w:p>
    <w:p w:rsidR="00FB4818" w:rsidRPr="006A1FBC" w:rsidRDefault="00FB4818" w:rsidP="00EF6533">
      <w:pPr>
        <w:pStyle w:val="SingleTxtG"/>
        <w:ind w:left="2268" w:hanging="1134"/>
        <w:rPr>
          <w:b/>
          <w:bCs/>
          <w:lang w:val="fr-FR"/>
        </w:rPr>
      </w:pPr>
      <w:r w:rsidRPr="006A1FBC">
        <w:rPr>
          <w:b/>
          <w:bCs/>
          <w:lang w:val="fr-FR"/>
        </w:rPr>
        <w:t>3.2.4</w:t>
      </w:r>
      <w:r w:rsidRPr="006A1FBC">
        <w:rPr>
          <w:b/>
          <w:bCs/>
          <w:lang w:val="fr-FR"/>
        </w:rPr>
        <w:tab/>
        <w:t>Le dispositif d’immobilisation doit être soumis à une surtension de (18 </w:t>
      </w:r>
      <w:r w:rsidRPr="006A1FBC">
        <w:rPr>
          <w:lang w:val="fr-FR"/>
        </w:rPr>
        <w:sym w:font="Symbol" w:char="F0B1"/>
      </w:r>
      <w:r w:rsidRPr="006A1FBC">
        <w:rPr>
          <w:b/>
          <w:bCs/>
          <w:lang w:val="fr-FR"/>
        </w:rPr>
        <w:t>0,2)</w:t>
      </w:r>
      <w:r w:rsidR="0035528F" w:rsidRPr="006A1FBC">
        <w:rPr>
          <w:b/>
          <w:bCs/>
          <w:lang w:val="fr-FR"/>
        </w:rPr>
        <w:t> </w:t>
      </w:r>
      <w:r w:rsidRPr="006A1FBC">
        <w:rPr>
          <w:b/>
          <w:bCs/>
          <w:lang w:val="fr-FR"/>
        </w:rPr>
        <w:t xml:space="preserve">V pendant 1 h tant à l’état </w:t>
      </w:r>
      <w:r w:rsidR="0071799B">
        <w:rPr>
          <w:b/>
          <w:bCs/>
          <w:lang w:val="fr-FR"/>
        </w:rPr>
        <w:t>“</w:t>
      </w:r>
      <w:r w:rsidRPr="006A1FBC">
        <w:rPr>
          <w:b/>
          <w:bCs/>
          <w:lang w:val="fr-FR"/>
        </w:rPr>
        <w:t>activé</w:t>
      </w:r>
      <w:r w:rsidR="0071799B">
        <w:rPr>
          <w:b/>
          <w:bCs/>
          <w:lang w:val="fr-FR"/>
        </w:rPr>
        <w:t>”</w:t>
      </w:r>
      <w:r w:rsidRPr="006A1FBC">
        <w:rPr>
          <w:b/>
          <w:bCs/>
          <w:lang w:val="fr-FR"/>
        </w:rPr>
        <w:t xml:space="preserve"> qu’à l’état </w:t>
      </w:r>
      <w:r w:rsidR="0071799B">
        <w:rPr>
          <w:b/>
          <w:bCs/>
          <w:lang w:val="fr-FR"/>
        </w:rPr>
        <w:t>“</w:t>
      </w:r>
      <w:r w:rsidRPr="006A1FBC">
        <w:rPr>
          <w:b/>
          <w:bCs/>
          <w:lang w:val="fr-FR"/>
        </w:rPr>
        <w:t>désactivé</w:t>
      </w:r>
      <w:r w:rsidR="0071799B">
        <w:rPr>
          <w:b/>
          <w:bCs/>
          <w:lang w:val="fr-FR"/>
        </w:rPr>
        <w:t>”</w:t>
      </w:r>
      <w:r w:rsidRPr="006A1FBC">
        <w:rPr>
          <w:b/>
          <w:bCs/>
          <w:lang w:val="fr-FR"/>
        </w:rPr>
        <w:t>.</w:t>
      </w:r>
    </w:p>
    <w:p w:rsidR="00FB4818" w:rsidRPr="006A1FBC" w:rsidRDefault="00FB4818" w:rsidP="00EF6533">
      <w:pPr>
        <w:pStyle w:val="SingleTxtG"/>
        <w:ind w:left="2268" w:hanging="1134"/>
        <w:rPr>
          <w:b/>
          <w:bCs/>
          <w:lang w:val="fr-FR"/>
        </w:rPr>
      </w:pPr>
      <w:r w:rsidRPr="006A1FBC">
        <w:rPr>
          <w:b/>
          <w:bCs/>
          <w:lang w:val="fr-FR"/>
        </w:rPr>
        <w:t>3.2.5</w:t>
      </w:r>
      <w:r w:rsidRPr="006A1FBC">
        <w:rPr>
          <w:b/>
          <w:bCs/>
          <w:lang w:val="fr-FR"/>
        </w:rPr>
        <w:tab/>
        <w:t>Le dispositif d’immobilisation doit être soumis à une surtension de (24 </w:t>
      </w:r>
      <w:r w:rsidRPr="006A1FBC">
        <w:rPr>
          <w:b/>
          <w:bCs/>
          <w:lang w:val="fr-FR"/>
        </w:rPr>
        <w:sym w:font="Symbol" w:char="F0B1"/>
      </w:r>
      <w:r w:rsidRPr="006A1FBC">
        <w:rPr>
          <w:b/>
          <w:bCs/>
          <w:lang w:val="fr-FR"/>
        </w:rPr>
        <w:t xml:space="preserve">0,2) V pendant 1 min tant à l’état </w:t>
      </w:r>
      <w:r w:rsidR="0071799B">
        <w:rPr>
          <w:b/>
          <w:bCs/>
          <w:lang w:val="fr-FR"/>
        </w:rPr>
        <w:t>“</w:t>
      </w:r>
      <w:r w:rsidRPr="006A1FBC">
        <w:rPr>
          <w:b/>
          <w:bCs/>
          <w:lang w:val="fr-FR"/>
        </w:rPr>
        <w:t>activé</w:t>
      </w:r>
      <w:r w:rsidR="0071799B">
        <w:rPr>
          <w:b/>
          <w:bCs/>
          <w:lang w:val="fr-FR"/>
        </w:rPr>
        <w:t>”</w:t>
      </w:r>
      <w:r w:rsidRPr="006A1FBC">
        <w:rPr>
          <w:b/>
          <w:bCs/>
          <w:lang w:val="fr-FR"/>
        </w:rPr>
        <w:t xml:space="preserve"> qu’à l’état </w:t>
      </w:r>
      <w:r w:rsidR="0071799B">
        <w:rPr>
          <w:b/>
          <w:bCs/>
          <w:lang w:val="fr-FR"/>
        </w:rPr>
        <w:t>“</w:t>
      </w:r>
      <w:r w:rsidRPr="006A1FBC">
        <w:rPr>
          <w:b/>
          <w:bCs/>
          <w:lang w:val="fr-FR"/>
        </w:rPr>
        <w:t>désactivé</w:t>
      </w:r>
      <w:r w:rsidR="0071799B">
        <w:rPr>
          <w:b/>
          <w:bCs/>
          <w:lang w:val="fr-FR"/>
        </w:rPr>
        <w:t>”</w:t>
      </w:r>
      <w:r w:rsidRPr="006A1FBC">
        <w:rPr>
          <w:b/>
          <w:bCs/>
          <w:lang w:val="fr-FR"/>
        </w:rPr>
        <w:t>.</w:t>
      </w:r>
    </w:p>
    <w:p w:rsidR="00FB4818" w:rsidRPr="006A1FBC" w:rsidRDefault="00FB4818" w:rsidP="00EF6533">
      <w:pPr>
        <w:pStyle w:val="SingleTxtG"/>
        <w:ind w:left="2268" w:hanging="1134"/>
        <w:rPr>
          <w:b/>
          <w:lang w:val="fr-FR"/>
        </w:rPr>
      </w:pPr>
      <w:r w:rsidRPr="006A1FBC">
        <w:rPr>
          <w:b/>
          <w:bCs/>
          <w:lang w:val="fr-FR"/>
        </w:rPr>
        <w:t>3.3</w:t>
      </w:r>
      <w:r w:rsidRPr="006A1FBC">
        <w:rPr>
          <w:b/>
          <w:bCs/>
          <w:lang w:val="fr-FR"/>
        </w:rPr>
        <w:tab/>
      </w:r>
      <w:r w:rsidRPr="006A1FBC">
        <w:rPr>
          <w:b/>
          <w:bCs/>
          <w:lang w:val="fr-FR"/>
        </w:rPr>
        <w:tab/>
      </w:r>
      <w:r w:rsidRPr="006A1FBC">
        <w:rPr>
          <w:b/>
          <w:lang w:val="fr-FR"/>
        </w:rPr>
        <w:t>Sécurité de fonctionnement après un essai d’étanchéité à un corps étranger et à l’eau</w:t>
      </w:r>
    </w:p>
    <w:p w:rsidR="00FB4818" w:rsidRPr="006A1FBC" w:rsidRDefault="00FB4818" w:rsidP="00901C10">
      <w:pPr>
        <w:pStyle w:val="SingleTxtG"/>
        <w:ind w:left="2268"/>
        <w:rPr>
          <w:b/>
        </w:rPr>
      </w:pPr>
      <w:r w:rsidRPr="006A1FBC">
        <w:rPr>
          <w:b/>
        </w:rPr>
        <w:t>Après un essai de résistance à un corps étranger et à l’eau effectué conformément à la publication 529 (1989) de la CEI, pour les degrés de protection indiqués au paragraphe 5.3.1.1.2, il faut répéter les essais de fonctionnement prévus au paragraphe 5.3.3.1.</w:t>
      </w:r>
    </w:p>
    <w:p w:rsidR="00FB4818" w:rsidRPr="006A1FBC" w:rsidRDefault="00FB4818" w:rsidP="00901C10">
      <w:pPr>
        <w:pStyle w:val="SingleTxtG"/>
        <w:ind w:left="2268"/>
        <w:rPr>
          <w:b/>
        </w:rPr>
      </w:pPr>
      <w:r w:rsidRPr="006A1FBC">
        <w:rPr>
          <w:b/>
        </w:rPr>
        <w:t>Sous réserve de l’accord du service technique, cette prescription ne doit pas être appliquée dans les circonstances suivantes :</w:t>
      </w:r>
    </w:p>
    <w:p w:rsidR="00FB4818" w:rsidRPr="006A1FBC" w:rsidRDefault="00FB4818" w:rsidP="00901C10">
      <w:pPr>
        <w:pStyle w:val="SingleTxtG"/>
        <w:ind w:left="2835" w:hanging="567"/>
        <w:rPr>
          <w:b/>
          <w:lang w:val="fr-FR"/>
        </w:rPr>
      </w:pPr>
      <w:r w:rsidRPr="006A1FBC">
        <w:rPr>
          <w:b/>
          <w:lang w:val="fr-FR"/>
        </w:rPr>
        <w:t>a)</w:t>
      </w:r>
      <w:r w:rsidRPr="006A1FBC">
        <w:rPr>
          <w:b/>
          <w:lang w:val="fr-FR"/>
        </w:rPr>
        <w:tab/>
        <w:t>Homologation de type d’un dispositif d’immobilisation qui doit être homologué en tant qu’entité technique distincte</w:t>
      </w:r>
    </w:p>
    <w:p w:rsidR="00FB4818" w:rsidRPr="006A1FBC" w:rsidRDefault="00FB4818" w:rsidP="00901C10">
      <w:pPr>
        <w:pStyle w:val="SingleTxtG"/>
        <w:ind w:left="2835"/>
        <w:rPr>
          <w:b/>
          <w:lang w:val="fr-FR"/>
        </w:rPr>
      </w:pPr>
      <w:r w:rsidRPr="006A1FBC">
        <w:rPr>
          <w:b/>
          <w:lang w:val="fr-FR"/>
        </w:rPr>
        <w:t>Dans ce cas, le fabricant du dispositif d’immobilisation doit :</w:t>
      </w:r>
    </w:p>
    <w:p w:rsidR="00FB4818" w:rsidRPr="006A1FBC" w:rsidRDefault="00FB4818" w:rsidP="00901C10">
      <w:pPr>
        <w:pStyle w:val="SingleTxtG"/>
        <w:ind w:left="3402" w:hanging="567"/>
        <w:rPr>
          <w:b/>
          <w:lang w:val="fr-FR"/>
        </w:rPr>
      </w:pPr>
      <w:r w:rsidRPr="006A1FBC">
        <w:rPr>
          <w:b/>
          <w:lang w:val="fr-FR"/>
        </w:rPr>
        <w:t>i)</w:t>
      </w:r>
      <w:r w:rsidRPr="006A1FBC">
        <w:rPr>
          <w:b/>
          <w:lang w:val="fr-FR"/>
        </w:rPr>
        <w:tab/>
        <w:t>Spécifier au point 4.5 de la fiche de renseignements (annexe</w:t>
      </w:r>
      <w:r w:rsidR="005B69DC">
        <w:rPr>
          <w:b/>
          <w:lang w:val="fr-FR"/>
        </w:rPr>
        <w:t> </w:t>
      </w:r>
      <w:r w:rsidRPr="006A1FBC">
        <w:rPr>
          <w:b/>
          <w:lang w:val="fr-FR"/>
        </w:rPr>
        <w:t xml:space="preserve">1, deuxième partie) que la prescription du présent paragraphe n’a pas été appliquée au dispositif d’immobilisation (conformément aux dispositions du paragraphe 7 du présent Règlement) ; et </w:t>
      </w:r>
    </w:p>
    <w:p w:rsidR="00FB4818" w:rsidRPr="006A1FBC" w:rsidRDefault="00FB4818" w:rsidP="00901C10">
      <w:pPr>
        <w:pStyle w:val="SingleTxtG"/>
        <w:ind w:left="3402" w:hanging="567"/>
        <w:rPr>
          <w:b/>
          <w:lang w:val="fr-FR"/>
        </w:rPr>
      </w:pPr>
      <w:r w:rsidRPr="006A1FBC">
        <w:rPr>
          <w:b/>
          <w:lang w:val="fr-FR"/>
        </w:rPr>
        <w:t>ii)</w:t>
      </w:r>
      <w:r w:rsidRPr="006A1FBC">
        <w:rPr>
          <w:b/>
          <w:lang w:val="fr-FR"/>
        </w:rPr>
        <w:tab/>
        <w:t>Indiquer au point 4.1 de la fiche de renseignements la liste des véhicules auxquels le dispositif d’immobilisation est destiné et préciser au point 4.2 les conditions d’installation correspondantes.</w:t>
      </w:r>
    </w:p>
    <w:p w:rsidR="00FB4818" w:rsidRPr="006A1FBC" w:rsidRDefault="00FB4818" w:rsidP="00FB4818">
      <w:pPr>
        <w:pStyle w:val="SingleTxtG"/>
        <w:ind w:left="2835" w:hanging="567"/>
        <w:rPr>
          <w:b/>
          <w:lang w:val="fr-FR"/>
        </w:rPr>
      </w:pPr>
      <w:r w:rsidRPr="006A1FBC">
        <w:rPr>
          <w:b/>
          <w:lang w:val="fr-FR"/>
        </w:rPr>
        <w:t>b)</w:t>
      </w:r>
      <w:r w:rsidRPr="006A1FBC">
        <w:rPr>
          <w:b/>
          <w:lang w:val="fr-FR"/>
        </w:rPr>
        <w:tab/>
        <w:t>Homologation de type d’un véhicule en ce qui concerne un dispositif d’immobilisation</w:t>
      </w:r>
    </w:p>
    <w:p w:rsidR="00FB4818" w:rsidRPr="006A1FBC" w:rsidRDefault="00FB4818" w:rsidP="00901C10">
      <w:pPr>
        <w:pStyle w:val="SingleTxtG"/>
        <w:ind w:left="2835"/>
        <w:rPr>
          <w:b/>
          <w:lang w:val="fr-FR"/>
        </w:rPr>
      </w:pPr>
      <w:r w:rsidRPr="006A1FBC">
        <w:rPr>
          <w:b/>
          <w:lang w:val="fr-FR"/>
        </w:rPr>
        <w:t>Dans ce cas, le constructeur du véhicule doit préciser au point 3.1.3.1.1 de la fiche de renseignements (annexe 1a) que la prescription du présent paragraphe ne s’applique pas au dispositif d’immobilisation en raison des conditions d’installation, et il doit le prouver en fournissant les documents pertinents.</w:t>
      </w:r>
    </w:p>
    <w:p w:rsidR="00FB4818" w:rsidRPr="006A1FBC" w:rsidRDefault="00FB4818" w:rsidP="00901C10">
      <w:pPr>
        <w:pStyle w:val="SingleTxtG"/>
        <w:ind w:left="2835" w:hanging="567"/>
        <w:rPr>
          <w:b/>
          <w:lang w:val="fr-FR"/>
        </w:rPr>
      </w:pPr>
      <w:r w:rsidRPr="006A1FBC">
        <w:rPr>
          <w:b/>
          <w:lang w:val="fr-FR"/>
        </w:rPr>
        <w:t>c)</w:t>
      </w:r>
      <w:r w:rsidRPr="006A1FBC">
        <w:rPr>
          <w:b/>
          <w:lang w:val="fr-FR"/>
        </w:rPr>
        <w:tab/>
        <w:t>Homologation de type d’un véhicule en ce qui concerne l’installation d’un dispositif d’immobilisation qui est homologué en tant qu’entité technique distincte.</w:t>
      </w:r>
    </w:p>
    <w:p w:rsidR="00FB4818" w:rsidRPr="006A1FBC" w:rsidRDefault="00FB4818" w:rsidP="00901C10">
      <w:pPr>
        <w:pStyle w:val="SingleTxtG"/>
        <w:ind w:left="2835"/>
        <w:rPr>
          <w:b/>
          <w:lang w:val="fr-FR"/>
        </w:rPr>
      </w:pPr>
      <w:r w:rsidRPr="006A1FBC">
        <w:rPr>
          <w:b/>
          <w:lang w:val="fr-FR"/>
        </w:rPr>
        <w:t>Dans ce cas, le constructeur du véhicule doit spécifier au point 3.1.3.1.1 de la fiche de renseignements (annexe 1a) que la prescription du présent paragraphe ne s’applique pas à l’installation du dispositif d’immobilisation lorsque les conditions d’installation pertinentes sont réunies.</w:t>
      </w:r>
    </w:p>
    <w:p w:rsidR="00FB4818" w:rsidRPr="006A1FBC" w:rsidRDefault="00FB4818" w:rsidP="00901C10">
      <w:pPr>
        <w:pStyle w:val="SingleTxtG"/>
        <w:ind w:left="2835"/>
        <w:rPr>
          <w:b/>
          <w:lang w:val="fr-FR"/>
        </w:rPr>
      </w:pPr>
      <w:r w:rsidRPr="006A1FBC">
        <w:rPr>
          <w:b/>
          <w:lang w:val="fr-FR"/>
        </w:rPr>
        <w:t>Cette prescription ne s’applique pas dans les cas où le renseignement demandé au point 3.1.3.1.1 de l’annexe 1a a déjà été fourni pour l’homologation de l’entité technique distincte.</w:t>
      </w:r>
    </w:p>
    <w:p w:rsidR="00FB4818" w:rsidRPr="006A1FBC" w:rsidRDefault="00FB4818" w:rsidP="0035528F">
      <w:pPr>
        <w:pStyle w:val="SingleTxtG"/>
        <w:keepNext/>
        <w:ind w:left="2268" w:hanging="1134"/>
        <w:rPr>
          <w:b/>
          <w:bCs/>
          <w:lang w:val="fr-FR"/>
        </w:rPr>
      </w:pPr>
      <w:r w:rsidRPr="006A1FBC">
        <w:rPr>
          <w:b/>
          <w:bCs/>
          <w:lang w:val="fr-FR"/>
        </w:rPr>
        <w:lastRenderedPageBreak/>
        <w:t>3.4</w:t>
      </w:r>
      <w:r w:rsidRPr="006A1FBC">
        <w:rPr>
          <w:b/>
          <w:bCs/>
          <w:lang w:val="fr-FR"/>
        </w:rPr>
        <w:tab/>
      </w:r>
      <w:r w:rsidRPr="006A1FBC">
        <w:rPr>
          <w:b/>
          <w:bCs/>
          <w:lang w:val="fr-FR"/>
        </w:rPr>
        <w:tab/>
        <w:t>Sécurité de fonctionnement après l’essai d’humidité par condensation</w:t>
      </w:r>
    </w:p>
    <w:p w:rsidR="00FB4818" w:rsidRPr="006A1FBC" w:rsidRDefault="00FB4818" w:rsidP="00901C10">
      <w:pPr>
        <w:pStyle w:val="SingleTxtG"/>
        <w:ind w:left="2268"/>
        <w:rPr>
          <w:b/>
          <w:lang w:val="fr-FR"/>
        </w:rPr>
      </w:pPr>
      <w:r w:rsidRPr="006A1FBC">
        <w:rPr>
          <w:b/>
          <w:lang w:val="fr-FR"/>
        </w:rPr>
        <w:t>Après</w:t>
      </w:r>
      <w:r w:rsidRPr="006A1FBC">
        <w:rPr>
          <w:b/>
          <w:bCs/>
          <w:lang w:val="fr-FR"/>
        </w:rPr>
        <w:t xml:space="preserve"> un essai de résistance à l’humidité effectué conformément à la norme CEI</w:t>
      </w:r>
      <w:r w:rsidR="0035528F" w:rsidRPr="006A1FBC">
        <w:rPr>
          <w:b/>
          <w:bCs/>
          <w:lang w:val="fr-FR"/>
        </w:rPr>
        <w:t> </w:t>
      </w:r>
      <w:r w:rsidRPr="006A1FBC">
        <w:rPr>
          <w:b/>
          <w:bCs/>
          <w:lang w:val="fr-FR"/>
        </w:rPr>
        <w:t>68-2-30 (1980), il faut répéter les essais de fonctionnement prévus au paragraphe 5.3.3.1.</w:t>
      </w:r>
    </w:p>
    <w:p w:rsidR="00FB4818" w:rsidRPr="006A1FBC" w:rsidRDefault="00FB4818" w:rsidP="00EF6533">
      <w:pPr>
        <w:pStyle w:val="SingleTxtG"/>
        <w:ind w:left="2268" w:hanging="1134"/>
        <w:rPr>
          <w:b/>
          <w:bCs/>
          <w:lang w:val="fr-FR"/>
        </w:rPr>
      </w:pPr>
      <w:r w:rsidRPr="006A1FBC">
        <w:rPr>
          <w:b/>
          <w:bCs/>
          <w:lang w:val="fr-FR"/>
        </w:rPr>
        <w:t>3.5</w:t>
      </w:r>
      <w:r w:rsidRPr="006A1FBC">
        <w:rPr>
          <w:b/>
          <w:bCs/>
          <w:lang w:val="fr-FR"/>
        </w:rPr>
        <w:tab/>
      </w:r>
      <w:r w:rsidRPr="006A1FBC">
        <w:rPr>
          <w:b/>
          <w:bCs/>
          <w:lang w:val="fr-FR"/>
        </w:rPr>
        <w:tab/>
        <w:t>Essai de protection contre l’inversion de polarité</w:t>
      </w:r>
    </w:p>
    <w:p w:rsidR="00FB4818" w:rsidRPr="006A1FBC" w:rsidRDefault="00FB4818" w:rsidP="00901C10">
      <w:pPr>
        <w:pStyle w:val="SingleTxtG"/>
        <w:ind w:left="2268"/>
        <w:rPr>
          <w:b/>
          <w:lang w:val="fr-FR"/>
        </w:rPr>
      </w:pPr>
      <w:r w:rsidRPr="006A1FBC">
        <w:rPr>
          <w:b/>
          <w:lang w:val="fr-FR"/>
        </w:rPr>
        <w:t>Le</w:t>
      </w:r>
      <w:r w:rsidRPr="006A1FBC">
        <w:rPr>
          <w:b/>
          <w:bCs/>
          <w:lang w:val="fr-FR"/>
        </w:rPr>
        <w:t xml:space="preserve"> dispositif d’immobilisation et ses éléments doivent supporter sans être détruits une inversion de polarité sous une tension allant jusqu’à 13</w:t>
      </w:r>
      <w:r w:rsidR="0035528F" w:rsidRPr="006A1FBC">
        <w:rPr>
          <w:b/>
          <w:bCs/>
          <w:lang w:val="fr-FR"/>
        </w:rPr>
        <w:t> </w:t>
      </w:r>
      <w:r w:rsidRPr="006A1FBC">
        <w:rPr>
          <w:b/>
          <w:bCs/>
          <w:lang w:val="fr-FR"/>
        </w:rPr>
        <w:t>V pendant 2</w:t>
      </w:r>
      <w:r w:rsidR="0035528F" w:rsidRPr="006A1FBC">
        <w:rPr>
          <w:b/>
          <w:bCs/>
          <w:lang w:val="fr-FR"/>
        </w:rPr>
        <w:t> </w:t>
      </w:r>
      <w:r w:rsidRPr="006A1FBC">
        <w:rPr>
          <w:b/>
          <w:bCs/>
          <w:lang w:val="fr-FR"/>
        </w:rPr>
        <w:t>min. Après cet essai, il faut répéter les essais de fonctionnement prévus au paragraphe 5.3.3.1, les fusibles ayant été changés au besoin.</w:t>
      </w:r>
    </w:p>
    <w:p w:rsidR="00FB4818" w:rsidRPr="006A1FBC" w:rsidRDefault="00FB4818" w:rsidP="00EF6533">
      <w:pPr>
        <w:pStyle w:val="SingleTxtG"/>
        <w:ind w:left="2268" w:hanging="1134"/>
        <w:rPr>
          <w:b/>
          <w:bCs/>
          <w:lang w:val="fr-FR"/>
        </w:rPr>
      </w:pPr>
      <w:r w:rsidRPr="006A1FBC">
        <w:rPr>
          <w:b/>
          <w:bCs/>
          <w:lang w:val="fr-FR"/>
        </w:rPr>
        <w:t>3.6</w:t>
      </w:r>
      <w:r w:rsidRPr="006A1FBC">
        <w:rPr>
          <w:b/>
          <w:bCs/>
          <w:lang w:val="fr-FR"/>
        </w:rPr>
        <w:tab/>
        <w:t>Essai de protection contre les courts-circuits</w:t>
      </w:r>
    </w:p>
    <w:p w:rsidR="00FB4818" w:rsidRPr="006A1FBC" w:rsidRDefault="00FB4818" w:rsidP="00901C10">
      <w:pPr>
        <w:pStyle w:val="SingleTxtG"/>
        <w:ind w:left="2268"/>
        <w:rPr>
          <w:b/>
          <w:lang w:val="fr-FR"/>
        </w:rPr>
      </w:pPr>
      <w:r w:rsidRPr="006A1FBC">
        <w:rPr>
          <w:b/>
          <w:bCs/>
          <w:lang w:val="fr-FR"/>
        </w:rPr>
        <w:t xml:space="preserve">Tous les </w:t>
      </w:r>
      <w:r w:rsidRPr="006A1FBC">
        <w:rPr>
          <w:b/>
          <w:lang w:val="fr-FR"/>
        </w:rPr>
        <w:t>branchements</w:t>
      </w:r>
      <w:r w:rsidRPr="006A1FBC">
        <w:rPr>
          <w:b/>
          <w:bCs/>
          <w:lang w:val="fr-FR"/>
        </w:rPr>
        <w:t xml:space="preserve"> électriques du dispositif d’immobilisation doivent être protégés contre les courts-circuits par mise à la masse, jusqu’à une tension de 13 V maximum, ou par des fusibles. Après cet essai, il faut répéter les essais de fonctionnement prévus au paragraphe 5.3.3.1, les fusibles ayant été changés au besoin.</w:t>
      </w:r>
    </w:p>
    <w:p w:rsidR="00FB4818" w:rsidRPr="006A1FBC" w:rsidRDefault="00FB4818" w:rsidP="00EF6533">
      <w:pPr>
        <w:pStyle w:val="SingleTxtG"/>
        <w:ind w:left="2268" w:hanging="1134"/>
        <w:rPr>
          <w:b/>
          <w:bCs/>
          <w:lang w:val="fr-FR"/>
        </w:rPr>
      </w:pPr>
      <w:r w:rsidRPr="006A1FBC">
        <w:rPr>
          <w:b/>
          <w:bCs/>
          <w:lang w:val="fr-FR"/>
        </w:rPr>
        <w:t>3.7</w:t>
      </w:r>
      <w:r w:rsidRPr="006A1FBC">
        <w:rPr>
          <w:b/>
          <w:bCs/>
          <w:lang w:val="fr-FR"/>
        </w:rPr>
        <w:tab/>
        <w:t xml:space="preserve">Consommation d’énergie à l’état </w:t>
      </w:r>
      <w:r w:rsidR="0035528F" w:rsidRPr="006A1FBC">
        <w:rPr>
          <w:b/>
          <w:bCs/>
          <w:lang w:val="fr-FR"/>
        </w:rPr>
        <w:t>“</w:t>
      </w:r>
      <w:r w:rsidRPr="006A1FBC">
        <w:rPr>
          <w:b/>
          <w:bCs/>
          <w:lang w:val="fr-FR"/>
        </w:rPr>
        <w:t>activé</w:t>
      </w:r>
      <w:r w:rsidR="0035528F" w:rsidRPr="006A1FBC">
        <w:rPr>
          <w:b/>
          <w:bCs/>
          <w:lang w:val="fr-FR"/>
        </w:rPr>
        <w:t>”</w:t>
      </w:r>
    </w:p>
    <w:p w:rsidR="00FB4818" w:rsidRPr="006A1FBC" w:rsidRDefault="00FB4818" w:rsidP="00901C10">
      <w:pPr>
        <w:pStyle w:val="SingleTxtG"/>
        <w:ind w:left="2268"/>
        <w:rPr>
          <w:b/>
          <w:bCs/>
          <w:lang w:val="fr-FR"/>
        </w:rPr>
      </w:pPr>
      <w:r w:rsidRPr="006A1FBC">
        <w:rPr>
          <w:b/>
          <w:bCs/>
          <w:lang w:val="fr-FR"/>
        </w:rPr>
        <w:tab/>
        <w:t xml:space="preserve">La </w:t>
      </w:r>
      <w:r w:rsidRPr="006A1FBC">
        <w:rPr>
          <w:b/>
          <w:lang w:val="fr-FR"/>
        </w:rPr>
        <w:t>consommation</w:t>
      </w:r>
      <w:r w:rsidRPr="006A1FBC">
        <w:rPr>
          <w:b/>
          <w:bCs/>
          <w:lang w:val="fr-FR"/>
        </w:rPr>
        <w:t xml:space="preserve"> d’énergie à l’état </w:t>
      </w:r>
      <w:r w:rsidR="0035528F" w:rsidRPr="006A1FBC">
        <w:rPr>
          <w:b/>
          <w:bCs/>
          <w:lang w:val="fr-FR"/>
        </w:rPr>
        <w:t>“</w:t>
      </w:r>
      <w:r w:rsidRPr="006A1FBC">
        <w:rPr>
          <w:b/>
          <w:bCs/>
          <w:lang w:val="fr-FR"/>
        </w:rPr>
        <w:t>activé</w:t>
      </w:r>
      <w:r w:rsidR="0035528F" w:rsidRPr="006A1FBC">
        <w:rPr>
          <w:b/>
          <w:bCs/>
          <w:lang w:val="fr-FR"/>
        </w:rPr>
        <w:t>”</w:t>
      </w:r>
      <w:r w:rsidRPr="006A1FBC">
        <w:rPr>
          <w:b/>
          <w:bCs/>
          <w:lang w:val="fr-FR"/>
        </w:rPr>
        <w:t>, les conditions étant celles indiquées au paragraphe 5.3.2.1, ne doit pas excéder 20 mA pour l’ensemble du dispositif d’immobilisation, y compris l’affichage de l’état.</w:t>
      </w:r>
    </w:p>
    <w:p w:rsidR="00FB4818" w:rsidRPr="006A1FBC" w:rsidRDefault="00FB4818" w:rsidP="00901C10">
      <w:pPr>
        <w:pStyle w:val="SingleTxtG"/>
        <w:ind w:left="2268"/>
        <w:rPr>
          <w:b/>
          <w:bCs/>
          <w:lang w:val="fr-FR"/>
        </w:rPr>
      </w:pPr>
      <w:r w:rsidRPr="006A1FBC">
        <w:rPr>
          <w:b/>
          <w:bCs/>
          <w:lang w:val="fr-FR"/>
        </w:rPr>
        <w:tab/>
        <w:t>Sous réserve de l’accord du service technique, cette prescription ne doit pas être appliquée dans les circonstances suivantes :</w:t>
      </w:r>
    </w:p>
    <w:p w:rsidR="00FB4818" w:rsidRPr="006A1FBC" w:rsidRDefault="00FB4818" w:rsidP="00901C10">
      <w:pPr>
        <w:pStyle w:val="SingleTxtG"/>
        <w:ind w:left="2835" w:hanging="567"/>
        <w:rPr>
          <w:b/>
          <w:bCs/>
          <w:lang w:val="fr-FR"/>
        </w:rPr>
      </w:pPr>
      <w:r w:rsidRPr="006A1FBC">
        <w:rPr>
          <w:b/>
          <w:bCs/>
          <w:lang w:val="fr-FR"/>
        </w:rPr>
        <w:t>a)</w:t>
      </w:r>
      <w:r w:rsidRPr="006A1FBC">
        <w:rPr>
          <w:b/>
          <w:bCs/>
          <w:lang w:val="fr-FR"/>
        </w:rPr>
        <w:tab/>
        <w:t>Homologation de type d’un dispositif d’immobilisation, qui doit être homologué en tant qu’entité technique distincte</w:t>
      </w:r>
    </w:p>
    <w:p w:rsidR="00FB4818" w:rsidRPr="006A1FBC" w:rsidRDefault="00FB4818" w:rsidP="00901C10">
      <w:pPr>
        <w:pStyle w:val="SingleTxtG"/>
        <w:ind w:left="2835"/>
        <w:rPr>
          <w:b/>
          <w:bCs/>
          <w:lang w:val="fr-FR"/>
        </w:rPr>
      </w:pPr>
      <w:r w:rsidRPr="006A1FBC">
        <w:rPr>
          <w:b/>
          <w:bCs/>
          <w:lang w:val="fr-FR"/>
        </w:rPr>
        <w:t>Dans ce cas, le fabricant du dispositif d’immobilisation doit :</w:t>
      </w:r>
    </w:p>
    <w:p w:rsidR="00FB4818" w:rsidRPr="006A1FBC" w:rsidRDefault="00FB4818" w:rsidP="00901C10">
      <w:pPr>
        <w:pStyle w:val="SingleTxtG"/>
        <w:ind w:left="3402" w:hanging="567"/>
        <w:rPr>
          <w:b/>
          <w:lang w:val="fr-FR"/>
        </w:rPr>
      </w:pPr>
      <w:r w:rsidRPr="006A1FBC">
        <w:rPr>
          <w:b/>
          <w:bCs/>
          <w:lang w:val="fr-FR"/>
        </w:rPr>
        <w:t>i)</w:t>
      </w:r>
      <w:r w:rsidRPr="006A1FBC">
        <w:rPr>
          <w:b/>
          <w:bCs/>
          <w:lang w:val="fr-FR"/>
        </w:rPr>
        <w:tab/>
        <w:t>Spécifier au point 4.5 de la fiche de renseignements (annexe</w:t>
      </w:r>
      <w:r w:rsidRPr="006A1FBC">
        <w:rPr>
          <w:b/>
          <w:lang w:val="fr-FR"/>
        </w:rPr>
        <w:t> 1, deuxième partie) que la prescription du présent paragraphe n’a pas été appliquée au dispositif d’immobilisation (conformément aux dispositions du paragraphe 7 du présent Règlement) ;</w:t>
      </w:r>
    </w:p>
    <w:p w:rsidR="00FB4818" w:rsidRPr="006A1FBC" w:rsidRDefault="00FB4818" w:rsidP="00901C10">
      <w:pPr>
        <w:pStyle w:val="SingleTxtG"/>
        <w:ind w:left="3402" w:hanging="567"/>
        <w:rPr>
          <w:b/>
          <w:lang w:val="fr-FR"/>
        </w:rPr>
      </w:pPr>
      <w:r w:rsidRPr="006A1FBC">
        <w:rPr>
          <w:b/>
          <w:bCs/>
          <w:lang w:val="fr-FR"/>
        </w:rPr>
        <w:t>ii</w:t>
      </w:r>
      <w:r w:rsidRPr="006A1FBC">
        <w:rPr>
          <w:b/>
          <w:lang w:val="fr-FR"/>
        </w:rPr>
        <w:t>)</w:t>
      </w:r>
      <w:r w:rsidRPr="006A1FBC">
        <w:rPr>
          <w:b/>
          <w:lang w:val="fr-FR"/>
        </w:rPr>
        <w:tab/>
        <w:t>Indiquer au point 4.1 de la fiche de renseignements la liste des véhicules auxquels le dispositif d’immobilisation est destiné et préciser au point 4.2 les conditions d’installation correspondantes.</w:t>
      </w:r>
    </w:p>
    <w:p w:rsidR="00FB4818" w:rsidRPr="006A1FBC" w:rsidRDefault="00FB4818" w:rsidP="00901C10">
      <w:pPr>
        <w:pStyle w:val="SingleTxtG"/>
        <w:ind w:left="2835" w:hanging="567"/>
        <w:rPr>
          <w:b/>
          <w:lang w:val="fr-FR"/>
        </w:rPr>
      </w:pPr>
      <w:r w:rsidRPr="006A1FBC">
        <w:rPr>
          <w:b/>
          <w:lang w:val="fr-FR"/>
        </w:rPr>
        <w:t>b)</w:t>
      </w:r>
      <w:r w:rsidRPr="006A1FBC">
        <w:rPr>
          <w:b/>
          <w:lang w:val="fr-FR"/>
        </w:rPr>
        <w:tab/>
        <w:t>Homologation de type d’un véhicule en ce qui concerne un dispositif d’immobilisation</w:t>
      </w:r>
    </w:p>
    <w:p w:rsidR="00FB4818" w:rsidRPr="006A1FBC" w:rsidRDefault="00FB4818" w:rsidP="00901C10">
      <w:pPr>
        <w:pStyle w:val="SingleTxtG"/>
        <w:ind w:left="2835"/>
        <w:rPr>
          <w:b/>
          <w:lang w:val="fr-FR"/>
        </w:rPr>
      </w:pPr>
      <w:r w:rsidRPr="006A1FBC">
        <w:rPr>
          <w:b/>
          <w:lang w:val="fr-FR"/>
        </w:rPr>
        <w:t>Dans ce cas, le constructeur du véhicule doit préciser au point 3.1.3.1.1 de la fiche de renseignements (annexe 1a) que la prescription du présent paragraphe ne s’applique pas au dispositif d’immobilisation en raison des conditions d’installation, et il doit le prouver en fournissant les documents pertinents.</w:t>
      </w:r>
    </w:p>
    <w:p w:rsidR="00FB4818" w:rsidRPr="006A1FBC" w:rsidRDefault="00FB4818" w:rsidP="00FB4818">
      <w:pPr>
        <w:pStyle w:val="SingleTxtG"/>
        <w:ind w:left="2835" w:hanging="567"/>
        <w:rPr>
          <w:b/>
          <w:lang w:val="fr-FR"/>
        </w:rPr>
      </w:pPr>
      <w:r w:rsidRPr="006A1FBC">
        <w:rPr>
          <w:b/>
          <w:lang w:val="fr-FR"/>
        </w:rPr>
        <w:t>c)</w:t>
      </w:r>
      <w:r w:rsidRPr="006A1FBC">
        <w:rPr>
          <w:b/>
          <w:lang w:val="fr-FR"/>
        </w:rPr>
        <w:tab/>
        <w:t>Homologation de type d’un véhicule en ce qui concerne l’installation d’un dispositif d’immobilisation qui est homologué en tant qu’entité technique distincte.</w:t>
      </w:r>
    </w:p>
    <w:p w:rsidR="00FB4818" w:rsidRPr="006A1FBC" w:rsidRDefault="00FB4818" w:rsidP="00901C10">
      <w:pPr>
        <w:pStyle w:val="SingleTxtG"/>
        <w:ind w:left="2835"/>
        <w:rPr>
          <w:b/>
          <w:bCs/>
        </w:rPr>
      </w:pPr>
      <w:r w:rsidRPr="006A1FBC">
        <w:rPr>
          <w:b/>
        </w:rPr>
        <w:t xml:space="preserve">Dans ce cas, le constructeur de véhicules doit spécifier au point </w:t>
      </w:r>
      <w:r w:rsidRPr="006A1FBC">
        <w:rPr>
          <w:b/>
          <w:bCs/>
        </w:rPr>
        <w:t>3.1.3.1.1</w:t>
      </w:r>
      <w:r w:rsidRPr="006A1FBC">
        <w:rPr>
          <w:b/>
        </w:rPr>
        <w:t xml:space="preserve"> de la fiche de renseignements (annexe 1a) que la prescription du présent paragraphe ne s’applique pas à l’installation du dispositif d’immobilisation lorsque les conditions d’installation pertinentes sont réunies.</w:t>
      </w:r>
    </w:p>
    <w:p w:rsidR="00FB4818" w:rsidRPr="006A1FBC" w:rsidRDefault="00FB4818" w:rsidP="00901C10">
      <w:pPr>
        <w:pStyle w:val="SingleTxtG"/>
        <w:ind w:left="2835"/>
        <w:rPr>
          <w:b/>
          <w:lang w:val="fr-FR"/>
        </w:rPr>
      </w:pPr>
      <w:r w:rsidRPr="006A1FBC">
        <w:rPr>
          <w:b/>
          <w:lang w:val="fr-FR"/>
        </w:rPr>
        <w:lastRenderedPageBreak/>
        <w:t>Cette prescription ne s’applique pas dans les cas où le renseignement demandé au point 3.1.3.1.1 de l’annexe 1a a déjà été fourni pour l’homologation de l’entité technique distincte.</w:t>
      </w:r>
    </w:p>
    <w:p w:rsidR="00FB4818" w:rsidRPr="006A1FBC" w:rsidRDefault="00FB4818" w:rsidP="00EF6533">
      <w:pPr>
        <w:pStyle w:val="SingleTxtG"/>
        <w:ind w:left="2268" w:hanging="1134"/>
        <w:rPr>
          <w:b/>
          <w:bCs/>
          <w:lang w:val="fr-FR"/>
        </w:rPr>
      </w:pPr>
      <w:r w:rsidRPr="006A1FBC">
        <w:rPr>
          <w:b/>
          <w:bCs/>
          <w:lang w:val="fr-FR"/>
        </w:rPr>
        <w:t>3.8</w:t>
      </w:r>
      <w:r w:rsidRPr="006A1FBC">
        <w:rPr>
          <w:b/>
          <w:bCs/>
          <w:lang w:val="fr-FR"/>
        </w:rPr>
        <w:tab/>
        <w:t>Sécurité de fonctionnement après l’essai de résistance aux vibrations</w:t>
      </w:r>
    </w:p>
    <w:p w:rsidR="00FB4818" w:rsidRPr="006A1FBC" w:rsidRDefault="00FB4818" w:rsidP="00FB4818">
      <w:pPr>
        <w:pStyle w:val="SingleTxtG"/>
        <w:ind w:left="2268" w:hanging="1134"/>
        <w:rPr>
          <w:b/>
          <w:lang w:val="fr-FR"/>
        </w:rPr>
      </w:pPr>
      <w:r w:rsidRPr="006A1FBC">
        <w:rPr>
          <w:b/>
          <w:bCs/>
          <w:lang w:val="fr-FR"/>
        </w:rPr>
        <w:t>3.8.1</w:t>
      </w:r>
      <w:r w:rsidRPr="006A1FBC">
        <w:rPr>
          <w:b/>
          <w:bCs/>
          <w:lang w:val="fr-FR"/>
        </w:rPr>
        <w:tab/>
      </w:r>
      <w:r w:rsidRPr="006A1FBC">
        <w:rPr>
          <w:b/>
          <w:bCs/>
          <w:lang w:val="fr-FR"/>
        </w:rPr>
        <w:tab/>
      </w:r>
      <w:r w:rsidRPr="006A1FBC">
        <w:rPr>
          <w:b/>
          <w:lang w:val="fr-FR"/>
        </w:rPr>
        <w:t>Pour cet essai, deux types d’éléments sont définis :</w:t>
      </w:r>
    </w:p>
    <w:p w:rsidR="00FB4818" w:rsidRPr="006A1FBC" w:rsidRDefault="00FB4818" w:rsidP="00901C10">
      <w:pPr>
        <w:pStyle w:val="SingleTxtG"/>
        <w:ind w:left="2268"/>
        <w:rPr>
          <w:b/>
        </w:rPr>
      </w:pPr>
      <w:r w:rsidRPr="006A1FBC">
        <w:rPr>
          <w:b/>
        </w:rPr>
        <w:t>Type 1 : éléments montés normalement sur le véhicule ;</w:t>
      </w:r>
    </w:p>
    <w:p w:rsidR="00FB4818" w:rsidRPr="006A1FBC" w:rsidRDefault="00FB4818" w:rsidP="00901C10">
      <w:pPr>
        <w:pStyle w:val="SingleTxtG"/>
        <w:ind w:left="2268"/>
        <w:rPr>
          <w:b/>
          <w:lang w:val="fr-FR"/>
        </w:rPr>
      </w:pPr>
      <w:r w:rsidRPr="006A1FBC">
        <w:rPr>
          <w:b/>
          <w:lang w:val="fr-FR"/>
        </w:rPr>
        <w:t>Type 2 : éléments destinés à être fixés sur le moteur.</w:t>
      </w:r>
    </w:p>
    <w:p w:rsidR="00FB4818" w:rsidRPr="006A1FBC" w:rsidRDefault="00FB4818" w:rsidP="00EF6533">
      <w:pPr>
        <w:pStyle w:val="SingleTxtG"/>
        <w:ind w:left="2268" w:hanging="1134"/>
        <w:rPr>
          <w:b/>
          <w:bCs/>
          <w:lang w:val="fr-FR"/>
        </w:rPr>
      </w:pPr>
      <w:r w:rsidRPr="006A1FBC">
        <w:rPr>
          <w:b/>
          <w:bCs/>
          <w:lang w:val="fr-FR"/>
        </w:rPr>
        <w:t>3.8.2</w:t>
      </w:r>
      <w:r w:rsidRPr="006A1FBC">
        <w:rPr>
          <w:b/>
          <w:bCs/>
          <w:lang w:val="fr-FR"/>
        </w:rPr>
        <w:tab/>
        <w:t>Les éléments ou le dispositif d’immobilisation complet doivent être soumis à un régime de vibrations sinusoïdales dont les caractéristiques sont indiquées ci-après :</w:t>
      </w:r>
    </w:p>
    <w:p w:rsidR="00FB4818" w:rsidRPr="006A1FBC" w:rsidRDefault="00FB4818" w:rsidP="00FB4818">
      <w:pPr>
        <w:pStyle w:val="SingleTxtG"/>
        <w:ind w:left="2268" w:hanging="1134"/>
        <w:rPr>
          <w:b/>
          <w:lang w:val="fr-FR"/>
        </w:rPr>
      </w:pPr>
      <w:r w:rsidRPr="006A1FBC">
        <w:rPr>
          <w:b/>
          <w:bCs/>
          <w:lang w:val="fr-FR"/>
        </w:rPr>
        <w:t>3.8.2.1</w:t>
      </w:r>
      <w:r w:rsidRPr="006A1FBC">
        <w:rPr>
          <w:b/>
          <w:bCs/>
          <w:lang w:val="fr-FR"/>
        </w:rPr>
        <w:tab/>
      </w:r>
      <w:r w:rsidRPr="006A1FBC">
        <w:rPr>
          <w:b/>
          <w:lang w:val="fr-FR"/>
        </w:rPr>
        <w:t>Pour le type 1 :</w:t>
      </w:r>
    </w:p>
    <w:p w:rsidR="00FB4818" w:rsidRPr="006A1FBC" w:rsidRDefault="00FB4818" w:rsidP="00901C10">
      <w:pPr>
        <w:pStyle w:val="SingleTxtG"/>
        <w:ind w:left="2268"/>
        <w:rPr>
          <w:b/>
          <w:lang w:val="fr-FR"/>
        </w:rPr>
      </w:pPr>
      <w:r w:rsidRPr="006A1FBC">
        <w:rPr>
          <w:b/>
          <w:lang w:val="fr-FR"/>
        </w:rPr>
        <w:t xml:space="preserve">Fréquence variable de 10 Hz à 500 Hz avec une amplitude maximale de </w:t>
      </w:r>
      <w:r w:rsidR="007B259B">
        <w:rPr>
          <w:b/>
          <w:lang w:val="fr-FR"/>
        </w:rPr>
        <w:sym w:font="Symbol" w:char="F0B1"/>
      </w:r>
      <w:r w:rsidRPr="006A1FBC">
        <w:rPr>
          <w:b/>
          <w:lang w:val="fr-FR"/>
        </w:rPr>
        <w:t>5 mm et une accélération maximale de 3 g (mesurée à partir du 0).</w:t>
      </w:r>
    </w:p>
    <w:p w:rsidR="00FB4818" w:rsidRPr="006A1FBC" w:rsidRDefault="00FB4818" w:rsidP="00FB4818">
      <w:pPr>
        <w:pStyle w:val="SingleTxtG"/>
        <w:ind w:left="2268" w:hanging="1134"/>
        <w:rPr>
          <w:b/>
          <w:lang w:val="fr-FR"/>
        </w:rPr>
      </w:pPr>
      <w:r w:rsidRPr="006A1FBC">
        <w:rPr>
          <w:b/>
          <w:bCs/>
          <w:lang w:val="fr-FR"/>
        </w:rPr>
        <w:t>3.8.2.2</w:t>
      </w:r>
      <w:r w:rsidRPr="006A1FBC">
        <w:rPr>
          <w:b/>
          <w:bCs/>
          <w:lang w:val="fr-FR"/>
        </w:rPr>
        <w:tab/>
      </w:r>
      <w:r w:rsidRPr="006A1FBC">
        <w:rPr>
          <w:b/>
          <w:lang w:val="fr-FR"/>
        </w:rPr>
        <w:t>Pour le type 2 :</w:t>
      </w:r>
    </w:p>
    <w:p w:rsidR="00FB4818" w:rsidRPr="006A1FBC" w:rsidRDefault="00FB4818" w:rsidP="00901C10">
      <w:pPr>
        <w:pStyle w:val="SingleTxtG"/>
        <w:ind w:left="2268"/>
        <w:rPr>
          <w:b/>
          <w:lang w:val="fr-FR"/>
        </w:rPr>
      </w:pPr>
      <w:r w:rsidRPr="006A1FBC">
        <w:rPr>
          <w:b/>
          <w:lang w:val="fr-FR"/>
        </w:rPr>
        <w:t xml:space="preserve">Fréquence variable de 20 Hz à 300 Hz avec une amplitude maximale de </w:t>
      </w:r>
      <w:r w:rsidRPr="006A1FBC">
        <w:rPr>
          <w:b/>
          <w:lang w:val="fr-FR"/>
        </w:rPr>
        <w:sym w:font="Symbol" w:char="F0B1"/>
      </w:r>
      <w:r w:rsidRPr="006A1FBC">
        <w:rPr>
          <w:b/>
          <w:lang w:val="fr-FR"/>
        </w:rPr>
        <w:t>2 mm et une accélération maximale de 15 g (mesurée à partir du 0).</w:t>
      </w:r>
    </w:p>
    <w:p w:rsidR="00FB4818" w:rsidRPr="006A1FBC" w:rsidRDefault="00FB4818" w:rsidP="00FB4818">
      <w:pPr>
        <w:pStyle w:val="SingleTxtG"/>
        <w:ind w:left="2268" w:hanging="1134"/>
        <w:rPr>
          <w:b/>
          <w:lang w:val="fr-FR"/>
        </w:rPr>
      </w:pPr>
      <w:r w:rsidRPr="006A1FBC">
        <w:rPr>
          <w:b/>
          <w:bCs/>
          <w:lang w:val="fr-FR"/>
        </w:rPr>
        <w:t>3.8.2.3</w:t>
      </w:r>
      <w:r w:rsidRPr="006A1FBC">
        <w:rPr>
          <w:b/>
          <w:bCs/>
          <w:lang w:val="fr-FR"/>
        </w:rPr>
        <w:tab/>
      </w:r>
      <w:r w:rsidRPr="006A1FBC">
        <w:rPr>
          <w:b/>
          <w:lang w:val="fr-FR"/>
        </w:rPr>
        <w:t>Pour les types 1 et 2 :</w:t>
      </w:r>
    </w:p>
    <w:p w:rsidR="00FB4818" w:rsidRPr="006A1FBC" w:rsidRDefault="00FB4818" w:rsidP="00901C10">
      <w:pPr>
        <w:pStyle w:val="SingleTxtG"/>
        <w:ind w:left="2268"/>
        <w:rPr>
          <w:b/>
          <w:lang w:val="fr-FR"/>
        </w:rPr>
      </w:pPr>
      <w:r w:rsidRPr="006A1FBC">
        <w:rPr>
          <w:b/>
          <w:lang w:val="fr-FR"/>
        </w:rPr>
        <w:t>La vitesse de variation de la fréquence est de 1 octave/min ;</w:t>
      </w:r>
    </w:p>
    <w:p w:rsidR="00FB4818" w:rsidRPr="006A1FBC" w:rsidRDefault="00FB4818" w:rsidP="00901C10">
      <w:pPr>
        <w:pStyle w:val="SingleTxtG"/>
        <w:ind w:left="2268"/>
        <w:rPr>
          <w:b/>
        </w:rPr>
      </w:pPr>
      <w:r w:rsidRPr="006A1FBC">
        <w:rPr>
          <w:b/>
          <w:lang w:val="fr-FR"/>
        </w:rPr>
        <w:t>Le</w:t>
      </w:r>
      <w:r w:rsidRPr="006A1FBC">
        <w:rPr>
          <w:b/>
        </w:rPr>
        <w:t xml:space="preserve"> nombre de cycles est de 10 ; l’essai doit être effectué sur chacun des 3 axes ;</w:t>
      </w:r>
    </w:p>
    <w:p w:rsidR="00FB4818" w:rsidRPr="006A1FBC" w:rsidRDefault="00FB4818" w:rsidP="00901C10">
      <w:pPr>
        <w:pStyle w:val="SingleTxtG"/>
        <w:ind w:left="2268"/>
        <w:rPr>
          <w:b/>
          <w:lang w:val="fr-FR"/>
        </w:rPr>
      </w:pPr>
      <w:r w:rsidRPr="006A1FBC">
        <w:rPr>
          <w:b/>
          <w:lang w:val="fr-FR"/>
        </w:rPr>
        <w:t>Les vibrations sont appliquées aux basses fréquences à une amplitude maximale constante et aux hautes fréquences à une accélération maximale constante.</w:t>
      </w:r>
    </w:p>
    <w:p w:rsidR="00FB4818" w:rsidRPr="006A1FBC" w:rsidRDefault="00FB4818" w:rsidP="00EF6533">
      <w:pPr>
        <w:pStyle w:val="SingleTxtG"/>
        <w:ind w:left="2268" w:hanging="1134"/>
        <w:rPr>
          <w:b/>
          <w:bCs/>
          <w:lang w:val="fr-FR"/>
        </w:rPr>
      </w:pPr>
      <w:r w:rsidRPr="006A1FBC">
        <w:rPr>
          <w:b/>
          <w:bCs/>
          <w:lang w:val="fr-FR"/>
        </w:rPr>
        <w:t>3.8.3</w:t>
      </w:r>
      <w:r w:rsidRPr="006A1FBC">
        <w:rPr>
          <w:b/>
          <w:bCs/>
          <w:lang w:val="fr-FR"/>
        </w:rPr>
        <w:tab/>
      </w:r>
      <w:r w:rsidRPr="006A1FBC">
        <w:rPr>
          <w:b/>
          <w:lang w:val="fr-FR"/>
        </w:rPr>
        <w:t>Pendant l’essai, le dispositif d’immobilisation doit être raccordé électriquement et le câble doit être supporté au-delà de 200 </w:t>
      </w:r>
      <w:proofErr w:type="spellStart"/>
      <w:r w:rsidRPr="006A1FBC">
        <w:rPr>
          <w:b/>
          <w:lang w:val="fr-FR"/>
        </w:rPr>
        <w:t>mm.</w:t>
      </w:r>
      <w:proofErr w:type="spellEnd"/>
    </w:p>
    <w:p w:rsidR="00FB4818" w:rsidRPr="006A1FBC" w:rsidRDefault="00FB4818" w:rsidP="00EF6533">
      <w:pPr>
        <w:pStyle w:val="SingleTxtG"/>
        <w:ind w:left="2268" w:hanging="1134"/>
        <w:rPr>
          <w:b/>
          <w:bCs/>
          <w:lang w:val="fr-FR"/>
        </w:rPr>
      </w:pPr>
      <w:r w:rsidRPr="006A1FBC">
        <w:rPr>
          <w:b/>
          <w:bCs/>
          <w:lang w:val="fr-FR"/>
        </w:rPr>
        <w:t>3.8.4</w:t>
      </w:r>
      <w:r w:rsidRPr="006A1FBC">
        <w:rPr>
          <w:b/>
          <w:bCs/>
          <w:lang w:val="fr-FR"/>
        </w:rPr>
        <w:tab/>
      </w:r>
      <w:r w:rsidRPr="006A1FBC">
        <w:rPr>
          <w:b/>
          <w:lang w:val="fr-FR"/>
        </w:rPr>
        <w:t>Après l’essai de résistance aux vibrations, il faut répéter les essais de fonctionnement prévus au paragraphe 5.3.3.1.</w:t>
      </w:r>
    </w:p>
    <w:p w:rsidR="00FB4818" w:rsidRPr="006A1FBC" w:rsidRDefault="00FB4818" w:rsidP="00EF6533">
      <w:pPr>
        <w:pStyle w:val="SingleTxtG"/>
        <w:ind w:left="2268" w:hanging="1134"/>
        <w:rPr>
          <w:b/>
          <w:bCs/>
          <w:lang w:val="fr-FR"/>
        </w:rPr>
      </w:pPr>
      <w:r w:rsidRPr="006A1FBC">
        <w:rPr>
          <w:b/>
          <w:bCs/>
          <w:lang w:val="fr-FR"/>
        </w:rPr>
        <w:t>3.9</w:t>
      </w:r>
      <w:r w:rsidRPr="006A1FBC">
        <w:rPr>
          <w:b/>
          <w:bCs/>
          <w:lang w:val="fr-FR"/>
        </w:rPr>
        <w:tab/>
        <w:t>Compatibilité électromagnétique</w:t>
      </w:r>
    </w:p>
    <w:p w:rsidR="00FB4818" w:rsidRPr="006A1FBC" w:rsidRDefault="00FB4818" w:rsidP="00901C10">
      <w:pPr>
        <w:pStyle w:val="SingleTxtG"/>
        <w:ind w:left="2268"/>
        <w:rPr>
          <w:lang w:val="fr-FR"/>
        </w:rPr>
      </w:pPr>
      <w:r w:rsidRPr="006A1FBC">
        <w:rPr>
          <w:b/>
          <w:lang w:val="fr-FR"/>
        </w:rPr>
        <w:t>Le</w:t>
      </w:r>
      <w:r w:rsidRPr="006A1FBC">
        <w:rPr>
          <w:b/>
          <w:bCs/>
          <w:lang w:val="fr-FR"/>
        </w:rPr>
        <w:t xml:space="preserve"> dispositif d’immobilisation doit être soumis aux essais décrits à l’annexe 7.</w:t>
      </w:r>
    </w:p>
    <w:p w:rsidR="00FB4818" w:rsidRPr="006A1FBC" w:rsidRDefault="00FB4818" w:rsidP="0035528F">
      <w:pPr>
        <w:pStyle w:val="SingleTxtG"/>
        <w:ind w:left="2268" w:hanging="1134"/>
        <w:rPr>
          <w:rFonts w:eastAsia="Times New Roman"/>
          <w:iCs/>
          <w:strike/>
        </w:rPr>
      </w:pPr>
      <w:r w:rsidRPr="006A1FBC">
        <w:rPr>
          <w:rFonts w:eastAsia="Times New Roman"/>
          <w:iCs/>
          <w:strike/>
        </w:rPr>
        <w:t>1.</w:t>
      </w:r>
      <w:r w:rsidRPr="006A1FBC">
        <w:rPr>
          <w:rFonts w:eastAsia="Times New Roman"/>
          <w:iCs/>
          <w:strike/>
        </w:rPr>
        <w:tab/>
        <w:t>Le barillet de l’interrupteur à clef ne doit pas faire saillie de plus de 1 mm sur le cylindre ; la partie en saillie doit être conique.</w:t>
      </w:r>
    </w:p>
    <w:p w:rsidR="00FB4818" w:rsidRPr="006A1FBC" w:rsidRDefault="00FB4818" w:rsidP="0035528F">
      <w:pPr>
        <w:pStyle w:val="SingleTxtG"/>
        <w:ind w:left="2268" w:hanging="1134"/>
        <w:rPr>
          <w:rFonts w:eastAsia="Times New Roman"/>
          <w:iCs/>
          <w:strike/>
        </w:rPr>
      </w:pPr>
      <w:r w:rsidRPr="006A1FBC">
        <w:rPr>
          <w:rFonts w:eastAsia="Times New Roman"/>
          <w:iCs/>
          <w:strike/>
        </w:rPr>
        <w:t>2.</w:t>
      </w:r>
      <w:r w:rsidRPr="006A1FBC">
        <w:rPr>
          <w:rFonts w:eastAsia="Times New Roman"/>
          <w:iCs/>
          <w:strike/>
        </w:rPr>
        <w:tab/>
        <w:t>La cage entre le barillet et le cylindre doit pouvoir supporter une traction de 600 N et un couple de 25 Nm.</w:t>
      </w:r>
    </w:p>
    <w:p w:rsidR="00FB4818" w:rsidRPr="006A1FBC" w:rsidRDefault="00FB4818" w:rsidP="0035528F">
      <w:pPr>
        <w:pStyle w:val="SingleTxtG"/>
        <w:ind w:left="2268" w:hanging="1134"/>
        <w:rPr>
          <w:rFonts w:eastAsia="Times New Roman"/>
          <w:iCs/>
          <w:strike/>
        </w:rPr>
      </w:pPr>
      <w:r w:rsidRPr="006A1FBC">
        <w:rPr>
          <w:rFonts w:eastAsia="Times New Roman"/>
          <w:iCs/>
          <w:strike/>
        </w:rPr>
        <w:t>3.</w:t>
      </w:r>
      <w:r w:rsidRPr="006A1FBC">
        <w:rPr>
          <w:rFonts w:eastAsia="Times New Roman"/>
          <w:iCs/>
          <w:strike/>
        </w:rPr>
        <w:tab/>
        <w:t xml:space="preserve">L’interrupteur à clef doit être pourvu d’une protection </w:t>
      </w:r>
      <w:proofErr w:type="spellStart"/>
      <w:r w:rsidRPr="006A1FBC">
        <w:rPr>
          <w:rFonts w:eastAsia="Times New Roman"/>
          <w:iCs/>
          <w:strike/>
        </w:rPr>
        <w:t>antiperçage</w:t>
      </w:r>
      <w:proofErr w:type="spellEnd"/>
      <w:r w:rsidRPr="006A1FBC">
        <w:rPr>
          <w:rFonts w:eastAsia="Times New Roman"/>
          <w:iCs/>
          <w:strike/>
        </w:rPr>
        <w:t xml:space="preserve"> du barillet.</w:t>
      </w:r>
    </w:p>
    <w:p w:rsidR="00FB4818" w:rsidRPr="006A1FBC" w:rsidRDefault="00FB4818" w:rsidP="0035528F">
      <w:pPr>
        <w:pStyle w:val="SingleTxtG"/>
        <w:ind w:left="2268" w:hanging="1134"/>
        <w:rPr>
          <w:rFonts w:eastAsia="Times New Roman"/>
          <w:iCs/>
          <w:strike/>
        </w:rPr>
      </w:pPr>
      <w:r w:rsidRPr="006A1FBC">
        <w:rPr>
          <w:rFonts w:eastAsia="Times New Roman"/>
          <w:iCs/>
          <w:strike/>
        </w:rPr>
        <w:t>4.</w:t>
      </w:r>
      <w:r w:rsidRPr="006A1FBC">
        <w:rPr>
          <w:rFonts w:eastAsia="Times New Roman"/>
          <w:iCs/>
          <w:strike/>
        </w:rPr>
        <w:tab/>
        <w:t>Le profil de la clef doit permettre au moins 1 000 combinaisons effectives.</w:t>
      </w:r>
    </w:p>
    <w:p w:rsidR="00FB4818" w:rsidRPr="006A1FBC" w:rsidRDefault="00FB4818" w:rsidP="0035528F">
      <w:pPr>
        <w:pStyle w:val="SingleTxtG"/>
        <w:ind w:left="2268" w:hanging="1134"/>
        <w:rPr>
          <w:rFonts w:eastAsia="Times New Roman"/>
          <w:iCs/>
          <w:strike/>
        </w:rPr>
      </w:pPr>
      <w:r w:rsidRPr="006A1FBC">
        <w:rPr>
          <w:rFonts w:eastAsia="Times New Roman"/>
          <w:iCs/>
          <w:strike/>
        </w:rPr>
        <w:t>5.</w:t>
      </w:r>
      <w:r w:rsidRPr="006A1FBC">
        <w:rPr>
          <w:rFonts w:eastAsia="Times New Roman"/>
          <w:iCs/>
          <w:strike/>
        </w:rPr>
        <w:tab/>
        <w:t>L’interrupteur ne doit pas pouvoir fonctionner avec une clef qui ne diffère que d’une combinaison de la clef prévue pour l’interrupteur.</w:t>
      </w:r>
    </w:p>
    <w:p w:rsidR="00FB4818" w:rsidRPr="006A1FBC" w:rsidRDefault="00FB4818" w:rsidP="0035528F">
      <w:pPr>
        <w:pStyle w:val="SingleTxtG"/>
        <w:ind w:left="2268" w:hanging="1134"/>
        <w:rPr>
          <w:rFonts w:eastAsia="Times New Roman"/>
          <w:iCs/>
          <w:strike/>
        </w:rPr>
      </w:pPr>
      <w:r w:rsidRPr="006A1FBC">
        <w:rPr>
          <w:rFonts w:eastAsia="Times New Roman"/>
          <w:iCs/>
          <w:strike/>
        </w:rPr>
        <w:t>6.</w:t>
      </w:r>
      <w:r w:rsidRPr="006A1FBC">
        <w:rPr>
          <w:rFonts w:eastAsia="Times New Roman"/>
          <w:iCs/>
          <w:strike/>
        </w:rPr>
        <w:tab/>
        <w:t>L’entrée de clef d’un interrupteur extérieur doit être protégée de la poussière et de l’eau par un volet ou d’une autre manière.</w:t>
      </w:r>
    </w:p>
    <w:p w:rsidR="00FB4818" w:rsidRPr="006A1FBC" w:rsidRDefault="00FB4818" w:rsidP="0035528F">
      <w:pPr>
        <w:pStyle w:val="SingleTxtG"/>
        <w:ind w:left="2268"/>
        <w:rPr>
          <w:rFonts w:eastAsia="Times New Roman"/>
          <w:iCs/>
          <w:strike/>
        </w:rPr>
      </w:pPr>
      <w:r w:rsidRPr="006A1FBC">
        <w:rPr>
          <w:rFonts w:eastAsia="Times New Roman"/>
          <w:iCs/>
          <w:strike/>
        </w:rPr>
        <w:t>(Réservé)</w:t>
      </w:r>
      <w:r w:rsidR="0035528F" w:rsidRPr="006A1FBC">
        <w:rPr>
          <w:rFonts w:eastAsia="Times New Roman"/>
          <w:iCs/>
        </w:rPr>
        <w:t> »</w:t>
      </w:r>
      <w:r w:rsidRPr="006A1FBC">
        <w:rPr>
          <w:rFonts w:eastAsia="Times New Roman"/>
          <w:iCs/>
        </w:rPr>
        <w:t>.</w:t>
      </w:r>
    </w:p>
    <w:p w:rsidR="00FB4818" w:rsidRPr="006A1FBC" w:rsidRDefault="00FB4818" w:rsidP="0035528F">
      <w:pPr>
        <w:pStyle w:val="SingleTxtG"/>
        <w:keepNext/>
        <w:rPr>
          <w:rFonts w:eastAsia="Times New Roman"/>
          <w:b/>
          <w:lang w:eastAsia="fr-FR"/>
        </w:rPr>
      </w:pPr>
      <w:r w:rsidRPr="006A1FBC">
        <w:rPr>
          <w:rFonts w:eastAsia="Times New Roman"/>
          <w:i/>
        </w:rPr>
        <w:lastRenderedPageBreak/>
        <w:t xml:space="preserve">Annexe 7, </w:t>
      </w:r>
      <w:r w:rsidRPr="006A1FBC">
        <w:rPr>
          <w:rFonts w:eastAsia="Times New Roman"/>
          <w:iCs/>
        </w:rPr>
        <w:t>lire :</w:t>
      </w:r>
    </w:p>
    <w:p w:rsidR="00FB4818" w:rsidRPr="006A1FBC" w:rsidRDefault="0035528F" w:rsidP="00FB4818">
      <w:pPr>
        <w:keepNext/>
        <w:keepLines/>
        <w:spacing w:before="360" w:after="240" w:line="360" w:lineRule="auto"/>
        <w:ind w:left="-142" w:right="1134"/>
        <w:rPr>
          <w:rFonts w:eastAsia="Times New Roman"/>
          <w:b/>
          <w:sz w:val="28"/>
          <w:szCs w:val="28"/>
          <w:lang w:eastAsia="fr-FR"/>
        </w:rPr>
      </w:pPr>
      <w:r w:rsidRPr="006A1FBC">
        <w:rPr>
          <w:rFonts w:eastAsia="Times New Roman"/>
          <w:bCs/>
          <w:sz w:val="28"/>
          <w:szCs w:val="28"/>
          <w:lang w:eastAsia="fr-FR"/>
        </w:rPr>
        <w:t>« </w:t>
      </w:r>
      <w:r w:rsidR="00FB4818" w:rsidRPr="006A1FBC">
        <w:rPr>
          <w:rFonts w:eastAsia="Times New Roman"/>
          <w:b/>
          <w:sz w:val="28"/>
          <w:szCs w:val="28"/>
          <w:lang w:eastAsia="fr-FR"/>
        </w:rPr>
        <w:t>Annexe 7</w:t>
      </w:r>
    </w:p>
    <w:p w:rsidR="00FB4818" w:rsidRPr="006A1FBC" w:rsidRDefault="00FB4818" w:rsidP="00FB4818">
      <w:pPr>
        <w:pStyle w:val="HChG"/>
        <w:spacing w:line="360" w:lineRule="auto"/>
        <w:rPr>
          <w:szCs w:val="28"/>
          <w:lang w:val="fr-FR"/>
        </w:rPr>
      </w:pPr>
      <w:r w:rsidRPr="006A1FBC">
        <w:rPr>
          <w:szCs w:val="28"/>
          <w:lang w:val="fr-FR"/>
        </w:rPr>
        <w:tab/>
      </w:r>
      <w:r w:rsidRPr="006A1FBC">
        <w:rPr>
          <w:szCs w:val="28"/>
          <w:lang w:val="fr-FR"/>
        </w:rPr>
        <w:tab/>
        <w:t>Compatibilité électromagnétique</w:t>
      </w:r>
    </w:p>
    <w:p w:rsidR="00FB4818" w:rsidRPr="006A1FBC" w:rsidRDefault="00FB4818" w:rsidP="006A1FBC">
      <w:pPr>
        <w:pStyle w:val="SingleTxtG"/>
        <w:ind w:left="2268"/>
        <w:rPr>
          <w:strike/>
          <w:lang w:val="fr-FR"/>
        </w:rPr>
      </w:pPr>
      <w:r w:rsidRPr="006A1FBC">
        <w:rPr>
          <w:strike/>
          <w:u w:val="single"/>
          <w:lang w:val="fr-FR"/>
        </w:rPr>
        <w:t>Nota :</w:t>
      </w:r>
      <w:r w:rsidRPr="006A1FBC">
        <w:rPr>
          <w:strike/>
          <w:lang w:val="fr-FR"/>
        </w:rPr>
        <w:tab/>
        <w:t>Pour les essais de compatibilité électromagnétique, on se référera soit au paragraphe 1, soit au paragraphe 2 ci-dessous, en fonction des installations d’essai disponibles.</w:t>
      </w:r>
    </w:p>
    <w:p w:rsidR="00FB4818" w:rsidRPr="006A1FBC" w:rsidRDefault="00FB4818" w:rsidP="00EF6533">
      <w:pPr>
        <w:pStyle w:val="SingleTxtG"/>
        <w:ind w:left="2268" w:hanging="1134"/>
        <w:rPr>
          <w:strike/>
          <w:lang w:val="fr-FR"/>
        </w:rPr>
      </w:pPr>
      <w:r w:rsidRPr="006A1FBC">
        <w:rPr>
          <w:lang w:val="fr-FR"/>
        </w:rPr>
        <w:t>1.</w:t>
      </w:r>
      <w:r w:rsidRPr="006A1FBC">
        <w:rPr>
          <w:lang w:val="fr-FR"/>
        </w:rPr>
        <w:tab/>
      </w:r>
      <w:r w:rsidRPr="006A1FBC">
        <w:rPr>
          <w:strike/>
          <w:lang w:val="fr-FR"/>
        </w:rPr>
        <w:t>Méthode</w:t>
      </w:r>
      <w:r w:rsidR="0071799B">
        <w:rPr>
          <w:strike/>
          <w:lang w:val="fr-FR"/>
        </w:rPr>
        <w:t> </w:t>
      </w:r>
      <w:r w:rsidRPr="006A1FBC">
        <w:rPr>
          <w:strike/>
          <w:lang w:val="fr-FR"/>
        </w:rPr>
        <w:t>ISO</w:t>
      </w:r>
      <w:r w:rsidR="0071799B">
        <w:rPr>
          <w:strike/>
          <w:lang w:val="fr-FR"/>
        </w:rPr>
        <w:t xml:space="preserve"> </w:t>
      </w:r>
      <w:r w:rsidRPr="006A1FBC">
        <w:rPr>
          <w:lang w:val="fr-FR"/>
        </w:rPr>
        <w:t>Protection contre les perturbations dues aux lignes d’alimentation</w:t>
      </w:r>
    </w:p>
    <w:p w:rsidR="00FB4818" w:rsidRPr="006A1FBC" w:rsidRDefault="00FB4818" w:rsidP="00901C10">
      <w:pPr>
        <w:pStyle w:val="SingleTxtG"/>
        <w:ind w:left="2268"/>
        <w:rPr>
          <w:rFonts w:eastAsia="Times New Roman"/>
          <w:b/>
          <w:bCs/>
          <w:lang w:eastAsia="fr-FR"/>
        </w:rPr>
      </w:pPr>
      <w:r w:rsidRPr="006A1FBC">
        <w:rPr>
          <w:b/>
        </w:rPr>
        <w:t xml:space="preserve">Les essais doivent être effectués </w:t>
      </w:r>
      <w:r w:rsidRPr="006A1FBC">
        <w:rPr>
          <w:rFonts w:eastAsia="Times New Roman"/>
          <w:b/>
          <w:bCs/>
          <w:lang w:eastAsia="fr-FR"/>
        </w:rPr>
        <w:t>conformément aux prescriptions techniques et aux dispositions transitoires du Règlement n</w:t>
      </w:r>
      <w:r w:rsidRPr="006A1FBC">
        <w:rPr>
          <w:rFonts w:eastAsia="Times New Roman"/>
          <w:b/>
          <w:bCs/>
          <w:vertAlign w:val="superscript"/>
          <w:lang w:eastAsia="fr-FR"/>
        </w:rPr>
        <w:t>o</w:t>
      </w:r>
      <w:r w:rsidRPr="006A1FBC">
        <w:rPr>
          <w:rFonts w:eastAsia="Times New Roman"/>
          <w:b/>
          <w:bCs/>
          <w:lang w:eastAsia="fr-FR"/>
        </w:rPr>
        <w:t xml:space="preserve"> 10, série 06 d’amendements, et aux méthodes d’essai décrites à l’annexe 10 pour un sous-ensemble électrique/électronique (SEEE). </w:t>
      </w:r>
    </w:p>
    <w:p w:rsidR="00FB4818" w:rsidRPr="006A1FBC" w:rsidRDefault="00FB4818" w:rsidP="00901C10">
      <w:pPr>
        <w:pStyle w:val="SingleTxtG"/>
        <w:ind w:left="2268"/>
        <w:rPr>
          <w:rFonts w:eastAsia="Times New Roman"/>
          <w:lang w:eastAsia="fr-FR"/>
        </w:rPr>
      </w:pPr>
      <w:r w:rsidRPr="006A1FBC">
        <w:rPr>
          <w:rFonts w:eastAsia="Times New Roman"/>
          <w:b/>
          <w:bCs/>
          <w:lang w:eastAsia="fr-FR"/>
        </w:rPr>
        <w:t xml:space="preserve">Le dispositif d’immobilisation doit être soumis aux essais à l’état “désactivé” et à l’état </w:t>
      </w:r>
      <w:r w:rsidR="006A1FBC">
        <w:rPr>
          <w:rFonts w:eastAsia="Times New Roman"/>
          <w:b/>
          <w:bCs/>
          <w:lang w:eastAsia="fr-FR"/>
        </w:rPr>
        <w:t>“</w:t>
      </w:r>
      <w:r w:rsidRPr="006A1FBC">
        <w:rPr>
          <w:rFonts w:eastAsia="Times New Roman"/>
          <w:b/>
          <w:bCs/>
          <w:lang w:eastAsia="fr-FR"/>
        </w:rPr>
        <w:t>activé</w:t>
      </w:r>
      <w:r w:rsidR="006A1FBC">
        <w:rPr>
          <w:rFonts w:eastAsia="Times New Roman"/>
          <w:b/>
          <w:bCs/>
          <w:lang w:eastAsia="fr-FR"/>
        </w:rPr>
        <w:t>”</w:t>
      </w:r>
      <w:r w:rsidRPr="006A1FBC">
        <w:rPr>
          <w:rFonts w:eastAsia="Times New Roman"/>
          <w:b/>
          <w:bCs/>
          <w:lang w:eastAsia="fr-FR"/>
        </w:rPr>
        <w:t xml:space="preserve">. </w:t>
      </w:r>
    </w:p>
    <w:p w:rsidR="00FB4818" w:rsidRPr="006A1FBC" w:rsidRDefault="00FB4818" w:rsidP="00901C10">
      <w:pPr>
        <w:pStyle w:val="SingleTxtG"/>
        <w:ind w:left="2268"/>
        <w:rPr>
          <w:rFonts w:eastAsia="Calibri"/>
          <w:strike/>
        </w:rPr>
      </w:pPr>
      <w:r w:rsidRPr="006A1FBC">
        <w:rPr>
          <w:rFonts w:eastAsia="Calibri"/>
          <w:strike/>
        </w:rPr>
        <w:t>Appliquer aux lignes d’alimentation ainsi qu’aux autres branchements du dispositif d’immobilisation, qui peuvent être raccordés en pratique aux lignes d’alimentation électrique les impulsions d’essai 1, 2a/2b, 3a, 3b, 4 et 5a/5b selon la norme ISO 7637</w:t>
      </w:r>
      <w:r w:rsidRPr="006A1FBC">
        <w:rPr>
          <w:rFonts w:eastAsia="Calibri"/>
          <w:strike/>
        </w:rPr>
        <w:noBreakHyphen/>
        <w:t>2:2004.</w:t>
      </w:r>
    </w:p>
    <w:p w:rsidR="00FB4818" w:rsidRPr="006A1FBC" w:rsidRDefault="00FB4818" w:rsidP="00901C10">
      <w:pPr>
        <w:pStyle w:val="SingleTxtG"/>
        <w:ind w:left="2268"/>
        <w:rPr>
          <w:rFonts w:eastAsia="Calibri"/>
          <w:strike/>
        </w:rPr>
      </w:pPr>
      <w:r w:rsidRPr="006A1FBC">
        <w:rPr>
          <w:rFonts w:eastAsia="Calibri"/>
          <w:strike/>
        </w:rPr>
        <w:t>S’agissant de l’impulsion 5, l’impulsion 5b doit être appliquée aux véhicules équipés d’un alternateur à diode de régulation interne et l’impulsion 5a aux autres véhicules.</w:t>
      </w:r>
    </w:p>
    <w:p w:rsidR="00FB4818" w:rsidRPr="006A1FBC" w:rsidRDefault="00FB4818" w:rsidP="00901C10">
      <w:pPr>
        <w:pStyle w:val="SingleTxtG"/>
        <w:ind w:left="2268"/>
        <w:rPr>
          <w:rFonts w:eastAsia="Calibri"/>
          <w:strike/>
        </w:rPr>
      </w:pPr>
      <w:r w:rsidRPr="006A1FBC">
        <w:rPr>
          <w:rFonts w:eastAsia="Calibri"/>
          <w:strike/>
        </w:rPr>
        <w:t>S’agissant de l’impulsion 2, l’impulsion 2a doit être appliquée systématiquement ; l’impulsion 2b peut être appliquée sous réserve d’un accord entre le constructeur du véhicule et les services techniques.</w:t>
      </w:r>
    </w:p>
    <w:p w:rsidR="00FB4818" w:rsidRPr="006A1FBC" w:rsidRDefault="00FB4818" w:rsidP="00901C10">
      <w:pPr>
        <w:pStyle w:val="SingleTxtG"/>
        <w:ind w:left="2268"/>
        <w:rPr>
          <w:rFonts w:eastAsia="Calibri"/>
          <w:strike/>
        </w:rPr>
      </w:pPr>
      <w:r w:rsidRPr="006A1FBC">
        <w:rPr>
          <w:rFonts w:eastAsia="Calibri"/>
          <w:strike/>
        </w:rPr>
        <w:t>Sous réserve de l’accord du service technique, l’impulsion d’essai 5a/5b n’a pas à être appliquée dans les circonstances suivantes :</w:t>
      </w:r>
    </w:p>
    <w:p w:rsidR="00FB4818" w:rsidRPr="006A1FBC" w:rsidRDefault="00FB4818" w:rsidP="00901C10">
      <w:pPr>
        <w:pStyle w:val="SingleTxtG"/>
        <w:ind w:left="2835" w:hanging="567"/>
        <w:rPr>
          <w:rFonts w:eastAsia="Calibri"/>
          <w:strike/>
        </w:rPr>
      </w:pPr>
      <w:r w:rsidRPr="006A1FBC">
        <w:rPr>
          <w:rFonts w:eastAsia="Calibri"/>
          <w:strike/>
        </w:rPr>
        <w:t>a)</w:t>
      </w:r>
      <w:r w:rsidRPr="006A1FBC">
        <w:rPr>
          <w:rFonts w:eastAsia="Calibri"/>
          <w:strike/>
        </w:rPr>
        <w:tab/>
        <w:t>Homologation de type d’un dispositif d’immobilisation, qui doit être homologué en tant qu’entité technique distincte et qui est destiné à être monté sur un (des) véhicule(s) dépourvu(s) d’alternateur.</w:t>
      </w:r>
    </w:p>
    <w:p w:rsidR="00FB4818" w:rsidRPr="006A1FBC" w:rsidRDefault="00FB4818" w:rsidP="006A1FBC">
      <w:pPr>
        <w:spacing w:after="120"/>
        <w:ind w:left="2835" w:right="1134"/>
        <w:jc w:val="both"/>
        <w:rPr>
          <w:rFonts w:eastAsia="Calibri"/>
          <w:strike/>
        </w:rPr>
      </w:pPr>
      <w:r w:rsidRPr="006A1FBC">
        <w:rPr>
          <w:rFonts w:eastAsia="Calibri"/>
          <w:strike/>
        </w:rPr>
        <w:t>Dans ce cas, le fabricant du dispositif d’immobilisation doit :</w:t>
      </w:r>
    </w:p>
    <w:p w:rsidR="00FB4818" w:rsidRPr="006A1FBC" w:rsidRDefault="00FB4818" w:rsidP="006A1FBC">
      <w:pPr>
        <w:pStyle w:val="SingleTxtG"/>
        <w:ind w:left="3402" w:hanging="567"/>
        <w:rPr>
          <w:rFonts w:eastAsia="Calibri"/>
          <w:strike/>
        </w:rPr>
      </w:pPr>
      <w:r w:rsidRPr="006A1FBC">
        <w:rPr>
          <w:rFonts w:eastAsia="Calibri"/>
          <w:strike/>
        </w:rPr>
        <w:t>i)</w:t>
      </w:r>
      <w:r w:rsidRPr="006A1FBC">
        <w:rPr>
          <w:rFonts w:eastAsia="Calibri"/>
          <w:strike/>
        </w:rPr>
        <w:tab/>
        <w:t xml:space="preserve">Spécifier au point 4.5 de la fiche de renseignements (annexe 1a, </w:t>
      </w:r>
      <w:r w:rsidR="008F3E43">
        <w:rPr>
          <w:rFonts w:eastAsia="Calibri"/>
          <w:strike/>
        </w:rPr>
        <w:t>d</w:t>
      </w:r>
      <w:r w:rsidRPr="006A1FBC">
        <w:rPr>
          <w:rFonts w:eastAsia="Calibri"/>
          <w:strike/>
        </w:rPr>
        <w:t>euxième partie) que la prescription du présent paragraphe n’a pas été appliquée au dispositif d’immobilisation (conformément aux dispositions du paragraphe 5 du présent Règlement) ;</w:t>
      </w:r>
    </w:p>
    <w:p w:rsidR="00FB4818" w:rsidRPr="006A1FBC" w:rsidRDefault="00FB4818" w:rsidP="006A1FBC">
      <w:pPr>
        <w:pStyle w:val="SingleTxtG"/>
        <w:ind w:left="3402" w:hanging="567"/>
        <w:rPr>
          <w:rFonts w:eastAsia="Calibri"/>
          <w:strike/>
        </w:rPr>
      </w:pPr>
      <w:r w:rsidRPr="006A1FBC">
        <w:rPr>
          <w:rFonts w:eastAsia="Calibri"/>
          <w:strike/>
        </w:rPr>
        <w:t>ii)</w:t>
      </w:r>
      <w:r w:rsidRPr="006A1FBC">
        <w:rPr>
          <w:rFonts w:eastAsia="Calibri"/>
          <w:strike/>
        </w:rPr>
        <w:tab/>
        <w:t>Indiquer au point 4.1 de la fiche de renseignements la liste des véhicules auxquels le dispositif d’immobilisation est destiné et indiquer au point 4.2 les conditions d’installation correspondantes.</w:t>
      </w:r>
    </w:p>
    <w:p w:rsidR="00FB4818" w:rsidRPr="006A1FBC" w:rsidRDefault="00FB4818" w:rsidP="00901C10">
      <w:pPr>
        <w:pStyle w:val="SingleTxtG"/>
        <w:ind w:left="2835" w:hanging="567"/>
        <w:rPr>
          <w:rFonts w:eastAsia="Calibri"/>
          <w:strike/>
        </w:rPr>
      </w:pPr>
      <w:r w:rsidRPr="006A1FBC">
        <w:rPr>
          <w:rFonts w:eastAsia="Calibri"/>
          <w:strike/>
        </w:rPr>
        <w:t>b)</w:t>
      </w:r>
      <w:r w:rsidRPr="006A1FBC">
        <w:rPr>
          <w:rFonts w:eastAsia="Calibri"/>
          <w:strike/>
        </w:rPr>
        <w:tab/>
        <w:t>Homologation de type d’un véhicule en ce qui concerne un dispositif d’immobilisation destiné à être monté sur un (des) véhicule(s) dépourvu(s) d’alternateur.</w:t>
      </w:r>
    </w:p>
    <w:p w:rsidR="00FB4818" w:rsidRPr="006A1FBC" w:rsidRDefault="00FB4818" w:rsidP="006A1FBC">
      <w:pPr>
        <w:spacing w:after="120"/>
        <w:ind w:left="2835" w:right="1134"/>
        <w:jc w:val="both"/>
        <w:rPr>
          <w:rFonts w:eastAsia="Calibri"/>
          <w:strike/>
        </w:rPr>
      </w:pPr>
      <w:r w:rsidRPr="006A1FBC">
        <w:rPr>
          <w:rFonts w:eastAsia="Calibri"/>
          <w:strike/>
        </w:rPr>
        <w:t>Dans ce cas, le constructeur de véhicules doit spécifier au point 3.1.3.1.1 de la fiche de renseignements (annexe 1</w:t>
      </w:r>
      <w:r w:rsidRPr="006A1FBC">
        <w:rPr>
          <w:rFonts w:eastAsia="Calibri"/>
          <w:bCs/>
          <w:strike/>
        </w:rPr>
        <w:t>a</w:t>
      </w:r>
      <w:r w:rsidRPr="006A1FBC">
        <w:rPr>
          <w:rFonts w:eastAsia="Calibri"/>
          <w:strike/>
        </w:rPr>
        <w:t xml:space="preserve">, </w:t>
      </w:r>
      <w:r w:rsidR="009E4A45">
        <w:rPr>
          <w:rFonts w:eastAsia="Calibri"/>
          <w:strike/>
        </w:rPr>
        <w:t>p</w:t>
      </w:r>
      <w:r w:rsidRPr="006A1FBC">
        <w:rPr>
          <w:rFonts w:eastAsia="Calibri"/>
          <w:strike/>
        </w:rPr>
        <w:t>remière partie) que la prescription du présent paragraphe ne s’applique pas au dispositif d’immobilisation en raison des conditions d’installation.</w:t>
      </w:r>
    </w:p>
    <w:p w:rsidR="00FB4818" w:rsidRPr="006A1FBC" w:rsidRDefault="00FB4818" w:rsidP="00901C10">
      <w:pPr>
        <w:pStyle w:val="SingleTxtG"/>
        <w:ind w:left="2835" w:hanging="567"/>
        <w:rPr>
          <w:rFonts w:eastAsia="Calibri"/>
          <w:strike/>
        </w:rPr>
      </w:pPr>
      <w:r w:rsidRPr="006A1FBC">
        <w:rPr>
          <w:rFonts w:eastAsia="Calibri"/>
          <w:strike/>
        </w:rPr>
        <w:lastRenderedPageBreak/>
        <w:t>c)</w:t>
      </w:r>
      <w:r w:rsidRPr="006A1FBC">
        <w:rPr>
          <w:rFonts w:eastAsia="Calibri"/>
          <w:strike/>
        </w:rPr>
        <w:tab/>
        <w:t>Homologation de type d’un véhicule en ce qui concerne l’installation d’un dispositif d’immobilisation qui est homologué en tant qu’entité technique distincte et qui est destiné à être monté sur un (des) véhicule(s) dépourvu(s) d’alternateur</w:t>
      </w:r>
    </w:p>
    <w:p w:rsidR="00FB4818" w:rsidRPr="006A1FBC" w:rsidRDefault="00FB4818" w:rsidP="006A1FBC">
      <w:pPr>
        <w:spacing w:after="120"/>
        <w:ind w:left="2835" w:right="1134"/>
        <w:jc w:val="both"/>
        <w:rPr>
          <w:rFonts w:eastAsia="Calibri"/>
          <w:strike/>
        </w:rPr>
      </w:pPr>
      <w:r w:rsidRPr="006A1FBC">
        <w:rPr>
          <w:rFonts w:eastAsia="Calibri"/>
          <w:strike/>
        </w:rPr>
        <w:t xml:space="preserve">Dans ce cas, le constructeur de véhicules doit spécifier au point 3.1.3.1.1 de la fiche de renseignements (annexe </w:t>
      </w:r>
      <w:r w:rsidRPr="0067134F">
        <w:rPr>
          <w:rFonts w:eastAsia="Calibri"/>
          <w:strike/>
        </w:rPr>
        <w:t>1</w:t>
      </w:r>
      <w:r w:rsidRPr="0067134F">
        <w:rPr>
          <w:rFonts w:eastAsia="Calibri"/>
          <w:bCs/>
          <w:strike/>
        </w:rPr>
        <w:t>a</w:t>
      </w:r>
      <w:r w:rsidRPr="0067134F">
        <w:rPr>
          <w:rFonts w:eastAsia="Calibri"/>
          <w:strike/>
        </w:rPr>
        <w:t>,</w:t>
      </w:r>
      <w:r w:rsidRPr="006A1FBC">
        <w:rPr>
          <w:rFonts w:eastAsia="Calibri"/>
          <w:strike/>
        </w:rPr>
        <w:t xml:space="preserve"> </w:t>
      </w:r>
      <w:r w:rsidR="009E4A45">
        <w:rPr>
          <w:rFonts w:eastAsia="Calibri"/>
          <w:strike/>
        </w:rPr>
        <w:t>p</w:t>
      </w:r>
      <w:r w:rsidRPr="006A1FBC">
        <w:rPr>
          <w:rFonts w:eastAsia="Calibri"/>
          <w:strike/>
        </w:rPr>
        <w:t>remière partie) que la prescription du présent paragraphe ne s’applique pas à l’installation du dispositif d’immobilisation lorsque les conditions d’installation pertinentes sont réunies.</w:t>
      </w:r>
    </w:p>
    <w:p w:rsidR="00FB4818" w:rsidRPr="006A1FBC" w:rsidRDefault="00FB4818" w:rsidP="006A1FBC">
      <w:pPr>
        <w:spacing w:after="120"/>
        <w:ind w:left="2835" w:right="1134"/>
        <w:jc w:val="both"/>
        <w:rPr>
          <w:rFonts w:eastAsia="Calibri"/>
          <w:strike/>
        </w:rPr>
      </w:pPr>
      <w:r w:rsidRPr="006A1FBC">
        <w:rPr>
          <w:rFonts w:eastAsia="Calibri"/>
          <w:strike/>
        </w:rPr>
        <w:t>Cette prescription ne s’applique pas dans les cas où le renseignement demandé au point 3.1.3.1.1 de l’annexe 1 a déjà été fourni pour l’homologation de l’entité technique distincte.</w:t>
      </w:r>
    </w:p>
    <w:p w:rsidR="00FB4818" w:rsidRPr="006A1FBC" w:rsidRDefault="00FB4818" w:rsidP="00901C10">
      <w:pPr>
        <w:pStyle w:val="SingleTxtG"/>
        <w:ind w:left="2268"/>
        <w:rPr>
          <w:rFonts w:eastAsia="Calibri"/>
          <w:b/>
          <w:strike/>
        </w:rPr>
      </w:pPr>
      <w:r w:rsidRPr="006A1FBC">
        <w:rPr>
          <w:rFonts w:eastAsia="Calibri"/>
          <w:b/>
          <w:strike/>
        </w:rPr>
        <w:t xml:space="preserve">Essai du dispositif d’immobilisation à l’état </w:t>
      </w:r>
      <w:r w:rsidR="0067134F">
        <w:rPr>
          <w:rFonts w:eastAsia="Calibri"/>
          <w:b/>
          <w:strike/>
        </w:rPr>
        <w:t>“</w:t>
      </w:r>
      <w:r w:rsidRPr="006A1FBC">
        <w:rPr>
          <w:rFonts w:eastAsia="Calibri"/>
          <w:b/>
          <w:strike/>
        </w:rPr>
        <w:t>désactivé</w:t>
      </w:r>
      <w:r w:rsidR="0067134F">
        <w:rPr>
          <w:rFonts w:eastAsia="Calibri"/>
          <w:b/>
          <w:strike/>
        </w:rPr>
        <w:t>”</w:t>
      </w:r>
      <w:r w:rsidRPr="006A1FBC">
        <w:rPr>
          <w:rFonts w:eastAsia="Calibri"/>
          <w:b/>
          <w:strike/>
        </w:rPr>
        <w:t xml:space="preserve"> et à l’état </w:t>
      </w:r>
      <w:r w:rsidR="0067134F">
        <w:rPr>
          <w:rFonts w:eastAsia="Calibri"/>
          <w:b/>
          <w:strike/>
        </w:rPr>
        <w:t>“</w:t>
      </w:r>
      <w:r w:rsidRPr="006A1FBC">
        <w:rPr>
          <w:rFonts w:eastAsia="Calibri"/>
          <w:b/>
          <w:strike/>
        </w:rPr>
        <w:t>activé</w:t>
      </w:r>
      <w:r w:rsidR="0067134F">
        <w:rPr>
          <w:rFonts w:eastAsia="Calibri"/>
          <w:b/>
          <w:strike/>
        </w:rPr>
        <w:t>”</w:t>
      </w:r>
    </w:p>
    <w:p w:rsidR="00FB4818" w:rsidRPr="006A1FBC" w:rsidRDefault="00FB4818" w:rsidP="00901C10">
      <w:pPr>
        <w:pStyle w:val="SingleTxtG"/>
        <w:ind w:left="2268"/>
        <w:rPr>
          <w:rFonts w:eastAsia="Calibri"/>
          <w:strike/>
        </w:rPr>
      </w:pPr>
      <w:r w:rsidRPr="006A1FBC">
        <w:rPr>
          <w:rFonts w:eastAsia="Calibri"/>
          <w:strike/>
        </w:rPr>
        <w:t>On doit appliquer les impulsions d’essai 1 à 5 au niveau d’essai III. L’état fonctionnel requis pour toutes les impulsions d’essai est indiqué au tableau 1.</w:t>
      </w:r>
    </w:p>
    <w:p w:rsidR="00FB4818" w:rsidRPr="006A1FBC" w:rsidRDefault="00FB4818" w:rsidP="00FB4818">
      <w:pPr>
        <w:keepNext/>
        <w:keepLines/>
        <w:ind w:left="1134"/>
        <w:outlineLvl w:val="0"/>
        <w:rPr>
          <w:rFonts w:eastAsia="Calibri"/>
          <w:strike/>
        </w:rPr>
      </w:pPr>
      <w:r w:rsidRPr="006A1FBC">
        <w:rPr>
          <w:rFonts w:eastAsia="Calibri"/>
          <w:strike/>
        </w:rPr>
        <w:t>Tableau 1</w:t>
      </w:r>
    </w:p>
    <w:p w:rsidR="00FB4818" w:rsidRPr="006A1FBC" w:rsidRDefault="00FB4818" w:rsidP="00FB4818">
      <w:pPr>
        <w:keepNext/>
        <w:spacing w:after="120"/>
        <w:ind w:left="1134" w:right="1134"/>
        <w:jc w:val="both"/>
        <w:rPr>
          <w:rFonts w:eastAsia="Calibri"/>
          <w:b/>
          <w:strike/>
        </w:rPr>
      </w:pPr>
      <w:r w:rsidRPr="006A1FBC">
        <w:rPr>
          <w:rFonts w:eastAsia="Calibri"/>
          <w:b/>
          <w:strike/>
        </w:rPr>
        <w:t>Niveau d’essai/état fonctionnel (lignes d’alimentation)</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7"/>
        <w:gridCol w:w="2502"/>
        <w:gridCol w:w="2502"/>
      </w:tblGrid>
      <w:tr w:rsidR="0067134F" w:rsidRPr="006A1FBC" w:rsidTr="0067134F">
        <w:trPr>
          <w:tblHeader/>
        </w:trPr>
        <w:tc>
          <w:tcPr>
            <w:tcW w:w="2414" w:type="dxa"/>
            <w:tcBorders>
              <w:bottom w:val="single" w:sz="12" w:space="0" w:color="auto"/>
            </w:tcBorders>
            <w:tcMar>
              <w:left w:w="0" w:type="dxa"/>
              <w:right w:w="0" w:type="dxa"/>
            </w:tcMar>
          </w:tcPr>
          <w:p w:rsidR="00FB4818" w:rsidRPr="006A1FBC" w:rsidRDefault="00FB4818" w:rsidP="00FB4818">
            <w:pPr>
              <w:spacing w:before="80" w:after="80" w:line="200" w:lineRule="atLeast"/>
              <w:jc w:val="center"/>
              <w:rPr>
                <w:rFonts w:eastAsia="Calibri"/>
                <w:i/>
                <w:strike/>
                <w:sz w:val="16"/>
                <w:szCs w:val="16"/>
              </w:rPr>
            </w:pPr>
            <w:r w:rsidRPr="006A1FBC">
              <w:rPr>
                <w:rFonts w:eastAsia="Calibri"/>
                <w:i/>
                <w:strike/>
                <w:sz w:val="16"/>
                <w:szCs w:val="16"/>
              </w:rPr>
              <w:t>N</w:t>
            </w:r>
            <w:r w:rsidRPr="006A1FBC">
              <w:rPr>
                <w:rFonts w:eastAsia="Calibri"/>
                <w:i/>
                <w:strike/>
                <w:sz w:val="16"/>
                <w:szCs w:val="16"/>
                <w:vertAlign w:val="superscript"/>
              </w:rPr>
              <w:t>o</w:t>
            </w:r>
            <w:r w:rsidRPr="006A1FBC">
              <w:rPr>
                <w:rFonts w:eastAsia="Calibri"/>
                <w:i/>
                <w:strike/>
                <w:sz w:val="16"/>
                <w:szCs w:val="16"/>
              </w:rPr>
              <w:t xml:space="preserve"> de l’impulsion d’essai</w:t>
            </w:r>
          </w:p>
        </w:tc>
        <w:tc>
          <w:tcPr>
            <w:tcW w:w="2552" w:type="dxa"/>
            <w:tcBorders>
              <w:bottom w:val="single" w:sz="12" w:space="0" w:color="auto"/>
            </w:tcBorders>
            <w:tcMar>
              <w:left w:w="0" w:type="dxa"/>
              <w:right w:w="0" w:type="dxa"/>
            </w:tcMar>
            <w:vAlign w:val="center"/>
          </w:tcPr>
          <w:p w:rsidR="00FB4818" w:rsidRPr="006A1FBC" w:rsidRDefault="00FB4818" w:rsidP="00FB4818">
            <w:pPr>
              <w:spacing w:before="80" w:after="80" w:line="200" w:lineRule="atLeast"/>
              <w:jc w:val="center"/>
              <w:rPr>
                <w:rFonts w:eastAsia="Calibri"/>
                <w:i/>
                <w:strike/>
                <w:sz w:val="16"/>
                <w:szCs w:val="16"/>
              </w:rPr>
            </w:pPr>
            <w:r w:rsidRPr="006A1FBC">
              <w:rPr>
                <w:rFonts w:eastAsia="Calibri"/>
                <w:i/>
                <w:strike/>
                <w:sz w:val="16"/>
                <w:szCs w:val="16"/>
              </w:rPr>
              <w:t>Niveau d’essai</w:t>
            </w:r>
          </w:p>
        </w:tc>
        <w:tc>
          <w:tcPr>
            <w:tcW w:w="2552" w:type="dxa"/>
            <w:tcBorders>
              <w:bottom w:val="single" w:sz="12" w:space="0" w:color="auto"/>
            </w:tcBorders>
            <w:tcMar>
              <w:left w:w="0" w:type="dxa"/>
              <w:right w:w="0" w:type="dxa"/>
            </w:tcMar>
            <w:vAlign w:val="center"/>
          </w:tcPr>
          <w:p w:rsidR="00FB4818" w:rsidRPr="006A1FBC" w:rsidRDefault="00FB4818" w:rsidP="00FB4818">
            <w:pPr>
              <w:spacing w:before="80" w:after="80" w:line="200" w:lineRule="atLeast"/>
              <w:jc w:val="center"/>
              <w:rPr>
                <w:rFonts w:eastAsia="Calibri"/>
                <w:i/>
                <w:strike/>
                <w:sz w:val="16"/>
                <w:szCs w:val="16"/>
              </w:rPr>
            </w:pPr>
            <w:r w:rsidRPr="006A1FBC">
              <w:rPr>
                <w:rFonts w:eastAsia="Calibri"/>
                <w:i/>
                <w:strike/>
                <w:sz w:val="16"/>
                <w:szCs w:val="16"/>
              </w:rPr>
              <w:t>État fonctionnel</w:t>
            </w:r>
          </w:p>
        </w:tc>
      </w:tr>
      <w:tr w:rsidR="0067134F" w:rsidRPr="006A1FBC" w:rsidTr="0067134F">
        <w:tc>
          <w:tcPr>
            <w:tcW w:w="2414" w:type="dxa"/>
            <w:tcBorders>
              <w:top w:val="single" w:sz="12" w:space="0" w:color="auto"/>
            </w:tcBorders>
            <w:tcMar>
              <w:left w:w="0" w:type="dxa"/>
              <w:right w:w="0" w:type="dxa"/>
            </w:tcMa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1</w:t>
            </w:r>
          </w:p>
        </w:tc>
        <w:tc>
          <w:tcPr>
            <w:tcW w:w="2552" w:type="dxa"/>
            <w:tcBorders>
              <w:top w:val="single" w:sz="12" w:space="0" w:color="auto"/>
            </w:tcBorders>
            <w:tcMar>
              <w:left w:w="0" w:type="dxa"/>
              <w:right w:w="0" w:type="dxa"/>
            </w:tcMar>
            <w:vAlign w:val="cente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III</w:t>
            </w:r>
          </w:p>
        </w:tc>
        <w:tc>
          <w:tcPr>
            <w:tcW w:w="2552" w:type="dxa"/>
            <w:tcBorders>
              <w:top w:val="single" w:sz="12" w:space="0" w:color="auto"/>
            </w:tcBorders>
            <w:tcMar>
              <w:left w:w="0" w:type="dxa"/>
              <w:right w:w="0" w:type="dxa"/>
            </w:tcMar>
            <w:vAlign w:val="cente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C</w:t>
            </w:r>
          </w:p>
        </w:tc>
      </w:tr>
      <w:tr w:rsidR="0067134F" w:rsidRPr="006A1FBC" w:rsidTr="0067134F">
        <w:tc>
          <w:tcPr>
            <w:tcW w:w="2414" w:type="dxa"/>
            <w:tcMar>
              <w:left w:w="0" w:type="dxa"/>
              <w:right w:w="0" w:type="dxa"/>
            </w:tcMa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2a</w:t>
            </w:r>
          </w:p>
        </w:tc>
        <w:tc>
          <w:tcPr>
            <w:tcW w:w="2552" w:type="dxa"/>
            <w:tcMar>
              <w:left w:w="0" w:type="dxa"/>
              <w:right w:w="0" w:type="dxa"/>
            </w:tcMar>
            <w:vAlign w:val="cente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III</w:t>
            </w:r>
          </w:p>
        </w:tc>
        <w:tc>
          <w:tcPr>
            <w:tcW w:w="2552" w:type="dxa"/>
            <w:tcMar>
              <w:left w:w="0" w:type="dxa"/>
              <w:right w:w="0" w:type="dxa"/>
            </w:tcMar>
            <w:vAlign w:val="cente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B</w:t>
            </w:r>
          </w:p>
        </w:tc>
      </w:tr>
      <w:tr w:rsidR="0067134F" w:rsidRPr="006A1FBC" w:rsidTr="0067134F">
        <w:tc>
          <w:tcPr>
            <w:tcW w:w="2414" w:type="dxa"/>
            <w:tcMar>
              <w:left w:w="0" w:type="dxa"/>
              <w:right w:w="0" w:type="dxa"/>
            </w:tcMa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2b</w:t>
            </w:r>
          </w:p>
        </w:tc>
        <w:tc>
          <w:tcPr>
            <w:tcW w:w="2552" w:type="dxa"/>
            <w:tcMar>
              <w:left w:w="0" w:type="dxa"/>
              <w:right w:w="0" w:type="dxa"/>
            </w:tcMar>
            <w:vAlign w:val="cente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III</w:t>
            </w:r>
          </w:p>
        </w:tc>
        <w:tc>
          <w:tcPr>
            <w:tcW w:w="2552" w:type="dxa"/>
            <w:tcMar>
              <w:left w:w="0" w:type="dxa"/>
              <w:right w:w="0" w:type="dxa"/>
            </w:tcMar>
            <w:vAlign w:val="cente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C</w:t>
            </w:r>
          </w:p>
        </w:tc>
      </w:tr>
      <w:tr w:rsidR="0067134F" w:rsidRPr="006A1FBC" w:rsidTr="0067134F">
        <w:tc>
          <w:tcPr>
            <w:tcW w:w="2414" w:type="dxa"/>
            <w:tcMar>
              <w:left w:w="0" w:type="dxa"/>
              <w:right w:w="0" w:type="dxa"/>
            </w:tcMa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3a</w:t>
            </w:r>
          </w:p>
        </w:tc>
        <w:tc>
          <w:tcPr>
            <w:tcW w:w="2552" w:type="dxa"/>
            <w:tcMar>
              <w:left w:w="0" w:type="dxa"/>
              <w:right w:w="0" w:type="dxa"/>
            </w:tcMar>
            <w:vAlign w:val="cente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III</w:t>
            </w:r>
          </w:p>
        </w:tc>
        <w:tc>
          <w:tcPr>
            <w:tcW w:w="2552" w:type="dxa"/>
            <w:tcMar>
              <w:left w:w="0" w:type="dxa"/>
              <w:right w:w="0" w:type="dxa"/>
            </w:tcMar>
            <w:vAlign w:val="cente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A</w:t>
            </w:r>
          </w:p>
        </w:tc>
      </w:tr>
      <w:tr w:rsidR="0067134F" w:rsidRPr="006A1FBC" w:rsidTr="0067134F">
        <w:tc>
          <w:tcPr>
            <w:tcW w:w="2414" w:type="dxa"/>
            <w:tcMar>
              <w:left w:w="0" w:type="dxa"/>
              <w:right w:w="0" w:type="dxa"/>
            </w:tcMa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3b</w:t>
            </w:r>
          </w:p>
        </w:tc>
        <w:tc>
          <w:tcPr>
            <w:tcW w:w="2552" w:type="dxa"/>
            <w:tcMar>
              <w:left w:w="0" w:type="dxa"/>
              <w:right w:w="0" w:type="dxa"/>
            </w:tcMar>
            <w:vAlign w:val="cente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III</w:t>
            </w:r>
          </w:p>
        </w:tc>
        <w:tc>
          <w:tcPr>
            <w:tcW w:w="2552" w:type="dxa"/>
            <w:tcMar>
              <w:left w:w="0" w:type="dxa"/>
              <w:right w:w="0" w:type="dxa"/>
            </w:tcMar>
            <w:vAlign w:val="cente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A</w:t>
            </w:r>
          </w:p>
        </w:tc>
      </w:tr>
      <w:tr w:rsidR="0067134F" w:rsidRPr="006A1FBC" w:rsidTr="0067134F">
        <w:tc>
          <w:tcPr>
            <w:tcW w:w="2414" w:type="dxa"/>
            <w:tcMar>
              <w:left w:w="0" w:type="dxa"/>
              <w:right w:w="0" w:type="dxa"/>
            </w:tcMa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4</w:t>
            </w:r>
          </w:p>
        </w:tc>
        <w:tc>
          <w:tcPr>
            <w:tcW w:w="2552" w:type="dxa"/>
            <w:tcMar>
              <w:left w:w="0" w:type="dxa"/>
              <w:right w:w="0" w:type="dxa"/>
            </w:tcMar>
            <w:vAlign w:val="cente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III</w:t>
            </w:r>
          </w:p>
        </w:tc>
        <w:tc>
          <w:tcPr>
            <w:tcW w:w="2552" w:type="dxa"/>
            <w:tcMar>
              <w:left w:w="0" w:type="dxa"/>
              <w:right w:w="0" w:type="dxa"/>
            </w:tcMar>
            <w:vAlign w:val="cente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B</w:t>
            </w:r>
          </w:p>
        </w:tc>
      </w:tr>
      <w:tr w:rsidR="0067134F" w:rsidRPr="006A1FBC" w:rsidTr="0067134F">
        <w:tc>
          <w:tcPr>
            <w:tcW w:w="2414" w:type="dxa"/>
            <w:tcBorders>
              <w:bottom w:val="single" w:sz="12" w:space="0" w:color="auto"/>
            </w:tcBorders>
            <w:tcMar>
              <w:left w:w="0" w:type="dxa"/>
              <w:right w:w="0" w:type="dxa"/>
            </w:tcMa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5a/5b</w:t>
            </w:r>
          </w:p>
        </w:tc>
        <w:tc>
          <w:tcPr>
            <w:tcW w:w="2552" w:type="dxa"/>
            <w:tcBorders>
              <w:bottom w:val="single" w:sz="12" w:space="0" w:color="auto"/>
            </w:tcBorders>
            <w:tcMar>
              <w:left w:w="0" w:type="dxa"/>
              <w:right w:w="0" w:type="dxa"/>
            </w:tcMar>
            <w:vAlign w:val="cente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III</w:t>
            </w:r>
          </w:p>
        </w:tc>
        <w:tc>
          <w:tcPr>
            <w:tcW w:w="2552" w:type="dxa"/>
            <w:tcBorders>
              <w:bottom w:val="single" w:sz="12" w:space="0" w:color="auto"/>
            </w:tcBorders>
            <w:tcMar>
              <w:left w:w="0" w:type="dxa"/>
              <w:right w:w="0" w:type="dxa"/>
            </w:tcMar>
            <w:vAlign w:val="center"/>
          </w:tcPr>
          <w:p w:rsidR="00FB4818" w:rsidRPr="006A1FBC" w:rsidRDefault="00FB4818" w:rsidP="00FB4818">
            <w:pPr>
              <w:spacing w:before="40" w:after="40" w:line="220" w:lineRule="atLeast"/>
              <w:jc w:val="center"/>
              <w:rPr>
                <w:rFonts w:eastAsia="Calibri"/>
                <w:strike/>
                <w:sz w:val="18"/>
                <w:szCs w:val="18"/>
              </w:rPr>
            </w:pPr>
            <w:r w:rsidRPr="006A1FBC">
              <w:rPr>
                <w:rFonts w:eastAsia="Calibri"/>
                <w:strike/>
                <w:sz w:val="18"/>
                <w:szCs w:val="18"/>
              </w:rPr>
              <w:t>A</w:t>
            </w:r>
          </w:p>
        </w:tc>
      </w:tr>
    </w:tbl>
    <w:p w:rsidR="00FB4818" w:rsidRPr="006A1FBC" w:rsidRDefault="00FB4818" w:rsidP="0067134F">
      <w:pPr>
        <w:pStyle w:val="SingleTxtG"/>
        <w:spacing w:before="120"/>
        <w:ind w:left="2268"/>
        <w:rPr>
          <w:rFonts w:eastAsia="Calibri"/>
          <w:b/>
          <w:strike/>
        </w:rPr>
      </w:pPr>
      <w:r w:rsidRPr="006A1FBC">
        <w:rPr>
          <w:rFonts w:eastAsia="Calibri"/>
          <w:b/>
          <w:strike/>
        </w:rPr>
        <w:tab/>
        <w:t>Protection contre les perturbations transmises par couplage sur les lignes signaux</w:t>
      </w:r>
    </w:p>
    <w:p w:rsidR="00FB4818" w:rsidRPr="006A1FBC" w:rsidRDefault="00FB4818" w:rsidP="00901C10">
      <w:pPr>
        <w:pStyle w:val="SingleTxtG"/>
        <w:ind w:left="2268"/>
        <w:rPr>
          <w:rFonts w:eastAsia="Calibri"/>
          <w:strike/>
        </w:rPr>
      </w:pPr>
      <w:r w:rsidRPr="006A1FBC">
        <w:rPr>
          <w:rFonts w:eastAsia="Calibri"/>
          <w:strike/>
        </w:rPr>
        <w:t>Les fils qui ne sont pas raccordés aux lignes d’alimentation (par exemple les lignes spéciales signaux) doivent être soumis à des essais conformément à la norme ISO7637-3:1995 (et Corr.1). L’état fonctionnel requis pour toutes les impulsions d’essai est indiqué au tableau 2.</w:t>
      </w:r>
    </w:p>
    <w:p w:rsidR="00FB4818" w:rsidRPr="006A1FBC" w:rsidRDefault="00FB4818" w:rsidP="00FB4818">
      <w:pPr>
        <w:keepNext/>
        <w:keepLines/>
        <w:ind w:left="1134"/>
        <w:outlineLvl w:val="0"/>
        <w:rPr>
          <w:rFonts w:eastAsia="Calibri"/>
          <w:strike/>
        </w:rPr>
      </w:pPr>
      <w:r w:rsidRPr="006A1FBC">
        <w:rPr>
          <w:rFonts w:eastAsia="Calibri"/>
          <w:strike/>
        </w:rPr>
        <w:t>Tableau 2</w:t>
      </w:r>
    </w:p>
    <w:p w:rsidR="00FB4818" w:rsidRPr="006A1FBC" w:rsidRDefault="00FB4818" w:rsidP="00FB4818">
      <w:pPr>
        <w:keepNext/>
        <w:spacing w:after="120"/>
        <w:ind w:left="1134" w:right="1134"/>
        <w:jc w:val="both"/>
        <w:rPr>
          <w:rFonts w:eastAsia="Calibri"/>
          <w:b/>
          <w:strike/>
        </w:rPr>
      </w:pPr>
      <w:r w:rsidRPr="006A1FBC">
        <w:rPr>
          <w:rFonts w:eastAsia="Calibri"/>
          <w:b/>
          <w:strike/>
        </w:rPr>
        <w:t>Niveau d’essai/état fonctionnel (lignes signaux)</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0"/>
        <w:gridCol w:w="2552"/>
        <w:gridCol w:w="2399"/>
      </w:tblGrid>
      <w:tr w:rsidR="0067134F" w:rsidRPr="006A1FBC" w:rsidTr="005639FA">
        <w:tc>
          <w:tcPr>
            <w:tcW w:w="2420" w:type="dxa"/>
            <w:tcBorders>
              <w:bottom w:val="single" w:sz="12" w:space="0" w:color="auto"/>
            </w:tcBorders>
            <w:tcMar>
              <w:left w:w="0" w:type="dxa"/>
              <w:right w:w="0" w:type="dxa"/>
            </w:tcMar>
          </w:tcPr>
          <w:p w:rsidR="00FB4818" w:rsidRPr="006A1FBC" w:rsidRDefault="00FB4818" w:rsidP="00FB4818">
            <w:pPr>
              <w:spacing w:before="80" w:after="80" w:line="200" w:lineRule="atLeast"/>
              <w:jc w:val="center"/>
              <w:rPr>
                <w:rFonts w:eastAsia="Calibri"/>
                <w:i/>
                <w:strike/>
                <w:sz w:val="16"/>
                <w:szCs w:val="16"/>
              </w:rPr>
            </w:pPr>
            <w:r w:rsidRPr="006A1FBC">
              <w:rPr>
                <w:rFonts w:eastAsia="Calibri"/>
                <w:i/>
                <w:strike/>
                <w:sz w:val="16"/>
                <w:szCs w:val="16"/>
              </w:rPr>
              <w:t>N</w:t>
            </w:r>
            <w:r w:rsidRPr="006A1FBC">
              <w:rPr>
                <w:rFonts w:eastAsia="Calibri"/>
                <w:i/>
                <w:strike/>
                <w:sz w:val="16"/>
                <w:szCs w:val="16"/>
                <w:vertAlign w:val="superscript"/>
              </w:rPr>
              <w:t>o</w:t>
            </w:r>
            <w:r w:rsidRPr="006A1FBC">
              <w:rPr>
                <w:rFonts w:eastAsia="Calibri"/>
                <w:i/>
                <w:strike/>
                <w:sz w:val="16"/>
                <w:szCs w:val="16"/>
              </w:rPr>
              <w:t xml:space="preserve"> de l’impulsion d’essai</w:t>
            </w:r>
          </w:p>
        </w:tc>
        <w:tc>
          <w:tcPr>
            <w:tcW w:w="2552" w:type="dxa"/>
            <w:tcBorders>
              <w:bottom w:val="single" w:sz="12" w:space="0" w:color="auto"/>
            </w:tcBorders>
            <w:tcMar>
              <w:left w:w="0" w:type="dxa"/>
              <w:right w:w="0" w:type="dxa"/>
            </w:tcMar>
            <w:vAlign w:val="center"/>
          </w:tcPr>
          <w:p w:rsidR="00FB4818" w:rsidRPr="006A1FBC" w:rsidRDefault="00FB4818" w:rsidP="00FB4818">
            <w:pPr>
              <w:spacing w:before="80" w:after="80" w:line="200" w:lineRule="atLeast"/>
              <w:jc w:val="center"/>
              <w:rPr>
                <w:rFonts w:eastAsia="Calibri"/>
                <w:i/>
                <w:strike/>
                <w:sz w:val="16"/>
                <w:szCs w:val="16"/>
              </w:rPr>
            </w:pPr>
            <w:r w:rsidRPr="006A1FBC">
              <w:rPr>
                <w:rFonts w:eastAsia="Calibri"/>
                <w:i/>
                <w:strike/>
                <w:sz w:val="16"/>
                <w:szCs w:val="16"/>
              </w:rPr>
              <w:t>Niveau d’essai</w:t>
            </w:r>
          </w:p>
        </w:tc>
        <w:tc>
          <w:tcPr>
            <w:tcW w:w="2399" w:type="dxa"/>
            <w:tcBorders>
              <w:bottom w:val="single" w:sz="12" w:space="0" w:color="auto"/>
            </w:tcBorders>
            <w:tcMar>
              <w:left w:w="0" w:type="dxa"/>
              <w:right w:w="0" w:type="dxa"/>
            </w:tcMar>
            <w:vAlign w:val="center"/>
          </w:tcPr>
          <w:p w:rsidR="00FB4818" w:rsidRPr="006A1FBC" w:rsidRDefault="00FB4818" w:rsidP="00FB4818">
            <w:pPr>
              <w:spacing w:before="80" w:after="80" w:line="200" w:lineRule="atLeast"/>
              <w:jc w:val="center"/>
              <w:rPr>
                <w:rFonts w:eastAsia="Calibri"/>
                <w:i/>
                <w:strike/>
                <w:sz w:val="16"/>
                <w:szCs w:val="16"/>
              </w:rPr>
            </w:pPr>
            <w:r w:rsidRPr="006A1FBC">
              <w:rPr>
                <w:rFonts w:eastAsia="Calibri"/>
                <w:i/>
                <w:strike/>
                <w:sz w:val="16"/>
                <w:szCs w:val="16"/>
              </w:rPr>
              <w:t>État fonctionnel</w:t>
            </w:r>
          </w:p>
        </w:tc>
      </w:tr>
      <w:tr w:rsidR="0067134F" w:rsidRPr="0067134F" w:rsidTr="005639FA">
        <w:tc>
          <w:tcPr>
            <w:tcW w:w="2420" w:type="dxa"/>
            <w:tcBorders>
              <w:top w:val="single" w:sz="12" w:space="0" w:color="auto"/>
            </w:tcBorders>
            <w:tcMar>
              <w:left w:w="0" w:type="dxa"/>
              <w:right w:w="0" w:type="dxa"/>
            </w:tcMar>
          </w:tcPr>
          <w:p w:rsidR="00FB4818" w:rsidRPr="0067134F" w:rsidRDefault="00FB4818" w:rsidP="00FB4818">
            <w:pPr>
              <w:spacing w:before="40" w:after="60" w:line="220" w:lineRule="atLeast"/>
              <w:jc w:val="center"/>
              <w:rPr>
                <w:rFonts w:eastAsia="Calibri"/>
                <w:strike/>
                <w:sz w:val="18"/>
                <w:szCs w:val="18"/>
              </w:rPr>
            </w:pPr>
            <w:r w:rsidRPr="0067134F">
              <w:rPr>
                <w:rFonts w:eastAsia="Calibri"/>
                <w:strike/>
                <w:sz w:val="18"/>
                <w:szCs w:val="18"/>
              </w:rPr>
              <w:t>3a</w:t>
            </w:r>
          </w:p>
        </w:tc>
        <w:tc>
          <w:tcPr>
            <w:tcW w:w="2552" w:type="dxa"/>
            <w:tcBorders>
              <w:top w:val="single" w:sz="12" w:space="0" w:color="auto"/>
            </w:tcBorders>
            <w:tcMar>
              <w:left w:w="0" w:type="dxa"/>
              <w:right w:w="0" w:type="dxa"/>
            </w:tcMar>
            <w:vAlign w:val="center"/>
          </w:tcPr>
          <w:p w:rsidR="00FB4818" w:rsidRPr="0067134F" w:rsidRDefault="00FB4818" w:rsidP="00FB4818">
            <w:pPr>
              <w:spacing w:before="40" w:after="60" w:line="220" w:lineRule="atLeast"/>
              <w:jc w:val="center"/>
              <w:rPr>
                <w:rFonts w:eastAsia="Calibri"/>
                <w:strike/>
                <w:sz w:val="18"/>
                <w:szCs w:val="18"/>
              </w:rPr>
            </w:pPr>
            <w:r w:rsidRPr="0067134F">
              <w:rPr>
                <w:rFonts w:eastAsia="Calibri"/>
                <w:strike/>
                <w:sz w:val="18"/>
                <w:szCs w:val="18"/>
              </w:rPr>
              <w:t>III</w:t>
            </w:r>
          </w:p>
        </w:tc>
        <w:tc>
          <w:tcPr>
            <w:tcW w:w="2399" w:type="dxa"/>
            <w:tcBorders>
              <w:top w:val="single" w:sz="12" w:space="0" w:color="auto"/>
            </w:tcBorders>
            <w:tcMar>
              <w:left w:w="0" w:type="dxa"/>
              <w:right w:w="0" w:type="dxa"/>
            </w:tcMar>
            <w:vAlign w:val="center"/>
          </w:tcPr>
          <w:p w:rsidR="00FB4818" w:rsidRPr="0067134F" w:rsidRDefault="00FB4818" w:rsidP="00FB4818">
            <w:pPr>
              <w:spacing w:before="40" w:after="60" w:line="220" w:lineRule="atLeast"/>
              <w:jc w:val="center"/>
              <w:rPr>
                <w:rFonts w:eastAsia="Calibri"/>
                <w:strike/>
                <w:sz w:val="18"/>
                <w:szCs w:val="18"/>
              </w:rPr>
            </w:pPr>
            <w:r w:rsidRPr="0067134F">
              <w:rPr>
                <w:rFonts w:eastAsia="Calibri"/>
                <w:strike/>
                <w:sz w:val="18"/>
                <w:szCs w:val="18"/>
              </w:rPr>
              <w:t>C</w:t>
            </w:r>
          </w:p>
        </w:tc>
      </w:tr>
      <w:tr w:rsidR="0067134F" w:rsidRPr="0067134F" w:rsidTr="005639FA">
        <w:tc>
          <w:tcPr>
            <w:tcW w:w="2420" w:type="dxa"/>
            <w:tcBorders>
              <w:bottom w:val="single" w:sz="12" w:space="0" w:color="auto"/>
            </w:tcBorders>
            <w:tcMar>
              <w:left w:w="0" w:type="dxa"/>
              <w:right w:w="0" w:type="dxa"/>
            </w:tcMar>
          </w:tcPr>
          <w:p w:rsidR="00FB4818" w:rsidRPr="0067134F" w:rsidRDefault="00FB4818" w:rsidP="00FB4818">
            <w:pPr>
              <w:spacing w:before="40" w:after="60" w:line="220" w:lineRule="atLeast"/>
              <w:jc w:val="center"/>
              <w:rPr>
                <w:rFonts w:eastAsia="Calibri"/>
                <w:strike/>
                <w:sz w:val="18"/>
                <w:szCs w:val="18"/>
              </w:rPr>
            </w:pPr>
            <w:r w:rsidRPr="0067134F">
              <w:rPr>
                <w:rFonts w:eastAsia="Calibri"/>
                <w:strike/>
                <w:sz w:val="18"/>
                <w:szCs w:val="18"/>
              </w:rPr>
              <w:t>3b</w:t>
            </w:r>
          </w:p>
        </w:tc>
        <w:tc>
          <w:tcPr>
            <w:tcW w:w="2552" w:type="dxa"/>
            <w:tcBorders>
              <w:bottom w:val="single" w:sz="12" w:space="0" w:color="auto"/>
            </w:tcBorders>
            <w:tcMar>
              <w:left w:w="0" w:type="dxa"/>
              <w:right w:w="0" w:type="dxa"/>
            </w:tcMar>
            <w:vAlign w:val="center"/>
          </w:tcPr>
          <w:p w:rsidR="00FB4818" w:rsidRPr="0067134F" w:rsidRDefault="00FB4818" w:rsidP="00FB4818">
            <w:pPr>
              <w:spacing w:before="40" w:after="60" w:line="220" w:lineRule="atLeast"/>
              <w:jc w:val="center"/>
              <w:rPr>
                <w:rFonts w:eastAsia="Calibri"/>
                <w:strike/>
                <w:sz w:val="18"/>
                <w:szCs w:val="18"/>
              </w:rPr>
            </w:pPr>
            <w:r w:rsidRPr="0067134F">
              <w:rPr>
                <w:rFonts w:eastAsia="Calibri"/>
                <w:strike/>
                <w:sz w:val="18"/>
                <w:szCs w:val="18"/>
              </w:rPr>
              <w:t>III</w:t>
            </w:r>
          </w:p>
        </w:tc>
        <w:tc>
          <w:tcPr>
            <w:tcW w:w="2399" w:type="dxa"/>
            <w:tcBorders>
              <w:bottom w:val="single" w:sz="12" w:space="0" w:color="auto"/>
            </w:tcBorders>
            <w:tcMar>
              <w:left w:w="0" w:type="dxa"/>
              <w:right w:w="0" w:type="dxa"/>
            </w:tcMar>
            <w:vAlign w:val="center"/>
          </w:tcPr>
          <w:p w:rsidR="00FB4818" w:rsidRPr="0067134F" w:rsidRDefault="00FB4818" w:rsidP="00FB4818">
            <w:pPr>
              <w:spacing w:before="40" w:after="60" w:line="220" w:lineRule="atLeast"/>
              <w:jc w:val="center"/>
              <w:rPr>
                <w:rFonts w:eastAsia="Calibri"/>
                <w:strike/>
                <w:sz w:val="18"/>
                <w:szCs w:val="18"/>
              </w:rPr>
            </w:pPr>
            <w:r w:rsidRPr="0067134F">
              <w:rPr>
                <w:rFonts w:eastAsia="Calibri"/>
                <w:strike/>
                <w:sz w:val="18"/>
                <w:szCs w:val="18"/>
              </w:rPr>
              <w:t>A</w:t>
            </w:r>
          </w:p>
        </w:tc>
      </w:tr>
    </w:tbl>
    <w:p w:rsidR="00FB4818" w:rsidRPr="006A1FBC" w:rsidRDefault="00FB4818" w:rsidP="0067134F">
      <w:pPr>
        <w:pStyle w:val="SingleTxtG"/>
        <w:spacing w:before="120"/>
        <w:ind w:left="2268" w:hanging="1134"/>
        <w:rPr>
          <w:lang w:val="fr-FR"/>
        </w:rPr>
      </w:pPr>
      <w:r w:rsidRPr="006A1FBC">
        <w:rPr>
          <w:lang w:val="fr-FR"/>
        </w:rPr>
        <w:t>2.</w:t>
      </w:r>
      <w:r w:rsidRPr="006A1FBC">
        <w:rPr>
          <w:b/>
          <w:bCs/>
          <w:lang w:val="fr-FR"/>
        </w:rPr>
        <w:tab/>
      </w:r>
      <w:r w:rsidRPr="006A1FBC">
        <w:rPr>
          <w:lang w:val="fr-FR"/>
        </w:rPr>
        <w:t>Protection contre les perturbations par rayonnement à hautes fréquences</w:t>
      </w:r>
    </w:p>
    <w:p w:rsidR="00FB4818" w:rsidRPr="006A1FBC" w:rsidRDefault="00FB4818" w:rsidP="00901C10">
      <w:pPr>
        <w:pStyle w:val="SingleTxtG"/>
        <w:ind w:left="2268"/>
        <w:rPr>
          <w:b/>
          <w:bCs/>
          <w:lang w:val="fr-FR"/>
        </w:rPr>
      </w:pPr>
      <w:r w:rsidRPr="006A1FBC">
        <w:rPr>
          <w:lang w:val="fr-FR"/>
        </w:rPr>
        <w:t>La protection d’un dispositif d’immobilisation monté sur un véhicule peut être contrôlée conformément aux prescriptions techniques et aux dispositions transitoires du Règlement n</w:t>
      </w:r>
      <w:r w:rsidRPr="006A1FBC">
        <w:rPr>
          <w:vertAlign w:val="superscript"/>
          <w:lang w:val="fr-FR"/>
        </w:rPr>
        <w:t>o</w:t>
      </w:r>
      <w:r w:rsidRPr="006A1FBC">
        <w:rPr>
          <w:lang w:val="fr-FR"/>
        </w:rPr>
        <w:t> 10, série 0</w:t>
      </w:r>
      <w:r w:rsidRPr="006A1FBC">
        <w:rPr>
          <w:b/>
          <w:lang w:val="fr-FR"/>
        </w:rPr>
        <w:t>6</w:t>
      </w:r>
      <w:r w:rsidRPr="006A1FBC">
        <w:rPr>
          <w:lang w:val="fr-FR"/>
        </w:rPr>
        <w:t xml:space="preserve"> d’amendements et aux méthodes d’essai décrites à l’annexe 6 pour les véhicules et à l’annexe </w:t>
      </w:r>
      <w:r w:rsidRPr="006A1FBC">
        <w:rPr>
          <w:b/>
          <w:lang w:val="fr-FR"/>
        </w:rPr>
        <w:t>9</w:t>
      </w:r>
      <w:r w:rsidRPr="006A1FBC">
        <w:rPr>
          <w:lang w:val="fr-FR"/>
        </w:rPr>
        <w:t xml:space="preserve"> pour </w:t>
      </w:r>
      <w:r w:rsidRPr="006A1FBC">
        <w:rPr>
          <w:b/>
          <w:lang w:val="fr-FR"/>
        </w:rPr>
        <w:t>un sous-ensemble électrique/électronique (SEEE).</w:t>
      </w:r>
    </w:p>
    <w:p w:rsidR="00FB4818" w:rsidRPr="006A1FBC" w:rsidRDefault="00FB4818" w:rsidP="00901C10">
      <w:pPr>
        <w:pStyle w:val="SingleTxtG"/>
        <w:ind w:left="2268"/>
        <w:rPr>
          <w:b/>
          <w:bCs/>
          <w:lang w:val="fr-FR"/>
        </w:rPr>
      </w:pPr>
      <w:r w:rsidRPr="006A1FBC">
        <w:rPr>
          <w:b/>
          <w:bCs/>
          <w:lang w:val="fr-FR"/>
        </w:rPr>
        <w:t>Le dispositif d’immobilisation doit être soumis aux essais compte tenu des conditions de fonctionnement et des critères d’échec établis dans le tableau 1.</w:t>
      </w:r>
    </w:p>
    <w:p w:rsidR="00FB4818" w:rsidRPr="006A1FBC" w:rsidRDefault="00FB4818" w:rsidP="00120E93">
      <w:pPr>
        <w:pStyle w:val="para"/>
        <w:keepNext/>
        <w:spacing w:after="0" w:line="240" w:lineRule="auto"/>
        <w:rPr>
          <w:lang w:val="fr-FR"/>
        </w:rPr>
      </w:pPr>
      <w:r w:rsidRPr="006A1FBC">
        <w:rPr>
          <w:lang w:val="fr-FR"/>
        </w:rPr>
        <w:lastRenderedPageBreak/>
        <w:t>Tableau 1</w:t>
      </w:r>
    </w:p>
    <w:p w:rsidR="00FB4818" w:rsidRPr="006A1FBC" w:rsidRDefault="00FB4818" w:rsidP="00120E93">
      <w:pPr>
        <w:pStyle w:val="para"/>
        <w:keepNext/>
        <w:spacing w:line="240" w:lineRule="atLeast"/>
        <w:jc w:val="left"/>
        <w:rPr>
          <w:b/>
          <w:bCs/>
          <w:lang w:val="fr-FR"/>
        </w:rPr>
      </w:pPr>
      <w:r w:rsidRPr="006A1FBC">
        <w:rPr>
          <w:b/>
          <w:bCs/>
          <w:lang w:val="fr-FR"/>
        </w:rPr>
        <w:t>Conditions de fonctionnement et critères d’échec pour les dispositifs d’immobilisation</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01"/>
        <w:gridCol w:w="3274"/>
        <w:gridCol w:w="2596"/>
      </w:tblGrid>
      <w:tr w:rsidR="00120E93" w:rsidRPr="006A1FBC" w:rsidTr="00120E93">
        <w:trPr>
          <w:cantSplit/>
          <w:trHeight w:val="20"/>
          <w:tblHeader/>
        </w:trPr>
        <w:tc>
          <w:tcPr>
            <w:tcW w:w="1559" w:type="dxa"/>
            <w:tcBorders>
              <w:bottom w:val="single" w:sz="12" w:space="0" w:color="auto"/>
            </w:tcBorders>
          </w:tcPr>
          <w:p w:rsidR="00FB4818" w:rsidRPr="006A1FBC" w:rsidRDefault="00FB4818" w:rsidP="00120E93">
            <w:pPr>
              <w:pStyle w:val="SingleTxtG"/>
              <w:ind w:left="57" w:right="57"/>
              <w:jc w:val="left"/>
              <w:rPr>
                <w:b/>
                <w:lang w:val="fr-FR"/>
              </w:rPr>
            </w:pPr>
            <w:r w:rsidRPr="006A1FBC">
              <w:rPr>
                <w:b/>
                <w:lang w:val="fr-FR"/>
              </w:rPr>
              <w:t>Type d’essai</w:t>
            </w:r>
          </w:p>
        </w:tc>
        <w:tc>
          <w:tcPr>
            <w:tcW w:w="3402" w:type="dxa"/>
            <w:tcBorders>
              <w:bottom w:val="single" w:sz="12" w:space="0" w:color="auto"/>
            </w:tcBorders>
            <w:shd w:val="clear" w:color="auto" w:fill="auto"/>
          </w:tcPr>
          <w:p w:rsidR="00FB4818" w:rsidRPr="006A1FBC" w:rsidRDefault="00FB4818" w:rsidP="00120E93">
            <w:pPr>
              <w:pStyle w:val="SingleTxtG"/>
              <w:ind w:left="57" w:right="57"/>
              <w:jc w:val="left"/>
              <w:rPr>
                <w:b/>
                <w:lang w:val="fr-FR"/>
              </w:rPr>
            </w:pPr>
            <w:r w:rsidRPr="006A1FBC">
              <w:rPr>
                <w:b/>
                <w:lang w:val="fr-FR"/>
              </w:rPr>
              <w:t>Conditions de fonctionnement du dispositif d’immobilisation</w:t>
            </w:r>
          </w:p>
        </w:tc>
        <w:tc>
          <w:tcPr>
            <w:tcW w:w="2697" w:type="dxa"/>
            <w:tcBorders>
              <w:bottom w:val="single" w:sz="12" w:space="0" w:color="auto"/>
            </w:tcBorders>
            <w:shd w:val="clear" w:color="auto" w:fill="auto"/>
          </w:tcPr>
          <w:p w:rsidR="00FB4818" w:rsidRPr="006A1FBC" w:rsidRDefault="00FB4818" w:rsidP="00120E93">
            <w:pPr>
              <w:pStyle w:val="SingleTxtG"/>
              <w:ind w:left="57" w:right="57"/>
              <w:jc w:val="left"/>
              <w:rPr>
                <w:b/>
                <w:lang w:val="fr-FR"/>
              </w:rPr>
            </w:pPr>
            <w:r w:rsidRPr="006A1FBC">
              <w:rPr>
                <w:b/>
                <w:bCs/>
                <w:lang w:val="fr-FR"/>
              </w:rPr>
              <w:t>Critères d’échec</w:t>
            </w:r>
          </w:p>
        </w:tc>
      </w:tr>
      <w:tr w:rsidR="00120E93" w:rsidRPr="006A1FBC" w:rsidTr="00120E93">
        <w:trPr>
          <w:cantSplit/>
          <w:trHeight w:val="20"/>
        </w:trPr>
        <w:tc>
          <w:tcPr>
            <w:tcW w:w="1559" w:type="dxa"/>
            <w:vMerge w:val="restart"/>
            <w:tcBorders>
              <w:top w:val="single" w:sz="12" w:space="0" w:color="auto"/>
            </w:tcBorders>
          </w:tcPr>
          <w:p w:rsidR="00FB4818" w:rsidRPr="006A1FBC" w:rsidRDefault="00FB4818" w:rsidP="00120E93">
            <w:pPr>
              <w:pStyle w:val="SingleTxtG"/>
              <w:ind w:left="57" w:right="57"/>
              <w:jc w:val="left"/>
              <w:rPr>
                <w:b/>
                <w:lang w:val="fr-FR"/>
              </w:rPr>
            </w:pPr>
            <w:r w:rsidRPr="006A1FBC">
              <w:rPr>
                <w:b/>
                <w:lang w:val="fr-FR"/>
              </w:rPr>
              <w:t>Essai du véhicule</w:t>
            </w:r>
          </w:p>
        </w:tc>
        <w:tc>
          <w:tcPr>
            <w:tcW w:w="3402" w:type="dxa"/>
            <w:tcBorders>
              <w:top w:val="single" w:sz="12" w:space="0" w:color="auto"/>
              <w:bottom w:val="single" w:sz="12" w:space="0" w:color="auto"/>
            </w:tcBorders>
            <w:shd w:val="clear" w:color="auto" w:fill="auto"/>
          </w:tcPr>
          <w:p w:rsidR="00FB4818" w:rsidRPr="006A1FBC" w:rsidRDefault="00FB4818" w:rsidP="00120E93">
            <w:pPr>
              <w:pStyle w:val="SingleTxtG"/>
              <w:ind w:left="57" w:right="57"/>
              <w:jc w:val="left"/>
              <w:rPr>
                <w:b/>
                <w:lang w:val="fr-FR"/>
              </w:rPr>
            </w:pPr>
            <w:r w:rsidRPr="006A1FBC">
              <w:rPr>
                <w:b/>
                <w:lang w:val="fr-FR"/>
              </w:rPr>
              <w:t xml:space="preserve">Dispositif d’immobilisation à l’état </w:t>
            </w:r>
            <w:r w:rsidR="00120E93">
              <w:rPr>
                <w:b/>
                <w:lang w:val="fr-FR"/>
              </w:rPr>
              <w:t>“</w:t>
            </w:r>
            <w:r w:rsidRPr="006A1FBC">
              <w:rPr>
                <w:b/>
                <w:lang w:val="fr-FR"/>
              </w:rPr>
              <w:t>désactivé</w:t>
            </w:r>
            <w:r w:rsidR="00120E93">
              <w:rPr>
                <w:b/>
                <w:lang w:val="fr-FR"/>
              </w:rPr>
              <w:t>”</w:t>
            </w:r>
          </w:p>
          <w:p w:rsidR="00FB4818" w:rsidRPr="006A1FBC" w:rsidRDefault="00FB4818" w:rsidP="00120E93">
            <w:pPr>
              <w:pStyle w:val="SingleTxtG"/>
              <w:ind w:left="57" w:right="57"/>
              <w:jc w:val="left"/>
              <w:rPr>
                <w:b/>
                <w:lang w:val="fr-FR"/>
              </w:rPr>
            </w:pPr>
            <w:r w:rsidRPr="006A1FBC">
              <w:rPr>
                <w:b/>
                <w:lang w:val="fr-FR"/>
              </w:rPr>
              <w:t>Position MARCHE ou véhicule roulant à 50 km/h (1)</w:t>
            </w:r>
          </w:p>
        </w:tc>
        <w:tc>
          <w:tcPr>
            <w:tcW w:w="2697" w:type="dxa"/>
            <w:tcBorders>
              <w:top w:val="single" w:sz="12" w:space="0" w:color="auto"/>
              <w:bottom w:val="single" w:sz="12" w:space="0" w:color="auto"/>
            </w:tcBorders>
            <w:shd w:val="clear" w:color="auto" w:fill="auto"/>
          </w:tcPr>
          <w:p w:rsidR="00FB4818" w:rsidRPr="006A1FBC" w:rsidRDefault="00FB4818" w:rsidP="00120E93">
            <w:pPr>
              <w:pStyle w:val="SingleTxtG"/>
              <w:ind w:left="57" w:right="57"/>
              <w:jc w:val="left"/>
              <w:rPr>
                <w:b/>
                <w:lang w:val="fr-FR"/>
              </w:rPr>
            </w:pPr>
            <w:r w:rsidRPr="006A1FBC">
              <w:rPr>
                <w:b/>
                <w:lang w:val="fr-FR"/>
              </w:rPr>
              <w:t>Activation imprévue du dispositif d’immobilisation</w:t>
            </w:r>
          </w:p>
        </w:tc>
      </w:tr>
      <w:tr w:rsidR="00120E93" w:rsidRPr="006A1FBC" w:rsidTr="00120E93">
        <w:trPr>
          <w:cantSplit/>
          <w:trHeight w:val="20"/>
        </w:trPr>
        <w:tc>
          <w:tcPr>
            <w:tcW w:w="1559" w:type="dxa"/>
            <w:vMerge/>
          </w:tcPr>
          <w:p w:rsidR="00FB4818" w:rsidRPr="006A1FBC" w:rsidRDefault="00FB4818" w:rsidP="00120E93">
            <w:pPr>
              <w:pStyle w:val="SingleTxtG"/>
              <w:ind w:left="57" w:right="57"/>
              <w:jc w:val="left"/>
              <w:rPr>
                <w:b/>
                <w:lang w:val="fr-FR"/>
              </w:rPr>
            </w:pPr>
          </w:p>
        </w:tc>
        <w:tc>
          <w:tcPr>
            <w:tcW w:w="3402" w:type="dxa"/>
            <w:tcBorders>
              <w:top w:val="single" w:sz="12" w:space="0" w:color="auto"/>
              <w:bottom w:val="single" w:sz="12" w:space="0" w:color="auto"/>
            </w:tcBorders>
            <w:shd w:val="clear" w:color="auto" w:fill="auto"/>
          </w:tcPr>
          <w:p w:rsidR="00FB4818" w:rsidRPr="006A1FBC" w:rsidRDefault="00FB4818" w:rsidP="00120E93">
            <w:pPr>
              <w:pStyle w:val="SingleTxtG"/>
              <w:ind w:left="57" w:right="57"/>
              <w:jc w:val="left"/>
              <w:rPr>
                <w:b/>
                <w:lang w:val="fr-FR"/>
              </w:rPr>
            </w:pPr>
            <w:r w:rsidRPr="006A1FBC">
              <w:rPr>
                <w:b/>
                <w:lang w:val="fr-FR"/>
              </w:rPr>
              <w:t xml:space="preserve">Dispositif d’immobilisation à l’état </w:t>
            </w:r>
            <w:r w:rsidR="00120E93">
              <w:rPr>
                <w:b/>
                <w:lang w:val="fr-FR"/>
              </w:rPr>
              <w:t>“</w:t>
            </w:r>
            <w:r w:rsidRPr="006A1FBC">
              <w:rPr>
                <w:b/>
                <w:lang w:val="fr-FR"/>
              </w:rPr>
              <w:t>activé</w:t>
            </w:r>
            <w:r w:rsidR="00120E93">
              <w:rPr>
                <w:b/>
                <w:lang w:val="fr-FR"/>
              </w:rPr>
              <w:t>”</w:t>
            </w:r>
          </w:p>
          <w:p w:rsidR="00FB4818" w:rsidRPr="006A1FBC" w:rsidRDefault="00FB4818" w:rsidP="00120E93">
            <w:pPr>
              <w:pStyle w:val="SingleTxtG"/>
              <w:ind w:left="57" w:right="57"/>
              <w:jc w:val="left"/>
              <w:rPr>
                <w:b/>
                <w:lang w:val="fr-FR"/>
              </w:rPr>
            </w:pPr>
            <w:r w:rsidRPr="006A1FBC">
              <w:rPr>
                <w:b/>
                <w:lang w:val="fr-FR"/>
              </w:rPr>
              <w:t xml:space="preserve">Position ARRÊT </w:t>
            </w:r>
          </w:p>
        </w:tc>
        <w:tc>
          <w:tcPr>
            <w:tcW w:w="2697" w:type="dxa"/>
            <w:tcBorders>
              <w:top w:val="single" w:sz="12" w:space="0" w:color="auto"/>
              <w:bottom w:val="single" w:sz="12" w:space="0" w:color="auto"/>
            </w:tcBorders>
            <w:shd w:val="clear" w:color="auto" w:fill="auto"/>
          </w:tcPr>
          <w:p w:rsidR="00FB4818" w:rsidRPr="006A1FBC" w:rsidRDefault="00FB4818" w:rsidP="00120E93">
            <w:pPr>
              <w:pStyle w:val="SingleTxtG"/>
              <w:ind w:left="57" w:right="57"/>
              <w:jc w:val="left"/>
              <w:rPr>
                <w:b/>
                <w:lang w:val="fr-FR"/>
              </w:rPr>
            </w:pPr>
            <w:r w:rsidRPr="006A1FBC">
              <w:rPr>
                <w:b/>
                <w:lang w:val="fr-FR"/>
              </w:rPr>
              <w:t>Désactivation imprévue du dispositif d’immobilisation</w:t>
            </w:r>
          </w:p>
        </w:tc>
      </w:tr>
      <w:tr w:rsidR="00120E93" w:rsidRPr="006A1FBC" w:rsidTr="00120E93">
        <w:trPr>
          <w:cantSplit/>
          <w:trHeight w:val="20"/>
        </w:trPr>
        <w:tc>
          <w:tcPr>
            <w:tcW w:w="1559" w:type="dxa"/>
            <w:vMerge/>
            <w:tcBorders>
              <w:bottom w:val="single" w:sz="12" w:space="0" w:color="auto"/>
            </w:tcBorders>
          </w:tcPr>
          <w:p w:rsidR="00FB4818" w:rsidRPr="006A1FBC" w:rsidRDefault="00FB4818" w:rsidP="00120E93">
            <w:pPr>
              <w:pStyle w:val="SingleTxtG"/>
              <w:ind w:left="57" w:right="57"/>
              <w:jc w:val="left"/>
              <w:rPr>
                <w:b/>
                <w:lang w:val="fr-FR"/>
              </w:rPr>
            </w:pPr>
          </w:p>
        </w:tc>
        <w:tc>
          <w:tcPr>
            <w:tcW w:w="3402" w:type="dxa"/>
            <w:tcBorders>
              <w:top w:val="single" w:sz="12" w:space="0" w:color="auto"/>
              <w:bottom w:val="single" w:sz="12" w:space="0" w:color="auto"/>
            </w:tcBorders>
            <w:shd w:val="clear" w:color="auto" w:fill="auto"/>
          </w:tcPr>
          <w:p w:rsidR="00FB4818" w:rsidRPr="006A1FBC" w:rsidRDefault="00FB4818" w:rsidP="00120E93">
            <w:pPr>
              <w:pStyle w:val="SingleTxtG"/>
              <w:ind w:left="57" w:right="57"/>
              <w:jc w:val="left"/>
              <w:rPr>
                <w:b/>
                <w:lang w:val="fr-FR"/>
              </w:rPr>
            </w:pPr>
            <w:r w:rsidRPr="006A1FBC">
              <w:rPr>
                <w:b/>
                <w:lang w:val="fr-FR"/>
              </w:rPr>
              <w:t xml:space="preserve">Dispositif d’immobilisation à l’état </w:t>
            </w:r>
            <w:r w:rsidR="00120E93">
              <w:rPr>
                <w:b/>
                <w:lang w:val="fr-FR"/>
              </w:rPr>
              <w:t>“</w:t>
            </w:r>
            <w:r w:rsidRPr="006A1FBC">
              <w:rPr>
                <w:b/>
                <w:lang w:val="fr-FR"/>
              </w:rPr>
              <w:t>activé</w:t>
            </w:r>
            <w:r w:rsidR="00120E93">
              <w:rPr>
                <w:b/>
                <w:lang w:val="fr-FR"/>
              </w:rPr>
              <w:t>”</w:t>
            </w:r>
          </w:p>
          <w:p w:rsidR="00FB4818" w:rsidRPr="006A1FBC" w:rsidRDefault="00FB4818" w:rsidP="00120E93">
            <w:pPr>
              <w:pStyle w:val="SingleTxtG"/>
              <w:ind w:left="57" w:right="57"/>
              <w:jc w:val="left"/>
              <w:rPr>
                <w:b/>
                <w:lang w:val="fr-FR"/>
              </w:rPr>
            </w:pPr>
            <w:r w:rsidRPr="006A1FBC">
              <w:rPr>
                <w:b/>
                <w:lang w:val="fr-FR"/>
              </w:rPr>
              <w:t>Véhicule en mode recharge (le cas échéant)</w:t>
            </w:r>
          </w:p>
        </w:tc>
        <w:tc>
          <w:tcPr>
            <w:tcW w:w="2697" w:type="dxa"/>
            <w:tcBorders>
              <w:top w:val="single" w:sz="12" w:space="0" w:color="auto"/>
              <w:bottom w:val="single" w:sz="12" w:space="0" w:color="auto"/>
            </w:tcBorders>
            <w:shd w:val="clear" w:color="auto" w:fill="auto"/>
          </w:tcPr>
          <w:p w:rsidR="00FB4818" w:rsidRPr="006A1FBC" w:rsidRDefault="00FB4818" w:rsidP="00120E93">
            <w:pPr>
              <w:pStyle w:val="SingleTxtG"/>
              <w:ind w:left="57" w:right="57"/>
              <w:jc w:val="left"/>
              <w:rPr>
                <w:b/>
                <w:lang w:val="fr-FR"/>
              </w:rPr>
            </w:pPr>
            <w:r w:rsidRPr="006A1FBC">
              <w:rPr>
                <w:b/>
                <w:lang w:val="fr-FR"/>
              </w:rPr>
              <w:t xml:space="preserve">Désactivation imprévue du dispositif d’immobilisation </w:t>
            </w:r>
          </w:p>
        </w:tc>
      </w:tr>
      <w:tr w:rsidR="00120E93" w:rsidRPr="006A1FBC" w:rsidTr="00120E93">
        <w:trPr>
          <w:cantSplit/>
          <w:trHeight w:val="20"/>
        </w:trPr>
        <w:tc>
          <w:tcPr>
            <w:tcW w:w="1559" w:type="dxa"/>
            <w:vMerge w:val="restart"/>
            <w:tcBorders>
              <w:top w:val="single" w:sz="12" w:space="0" w:color="auto"/>
            </w:tcBorders>
          </w:tcPr>
          <w:p w:rsidR="00FB4818" w:rsidRPr="006A1FBC" w:rsidRDefault="00FB4818" w:rsidP="00120E93">
            <w:pPr>
              <w:pStyle w:val="SingleTxtG"/>
              <w:ind w:left="57" w:right="57"/>
              <w:jc w:val="left"/>
              <w:rPr>
                <w:b/>
                <w:lang w:val="fr-FR"/>
              </w:rPr>
            </w:pPr>
            <w:r w:rsidRPr="006A1FBC">
              <w:rPr>
                <w:b/>
                <w:lang w:val="fr-FR"/>
              </w:rPr>
              <w:t>Essai du SEEE</w:t>
            </w:r>
          </w:p>
        </w:tc>
        <w:tc>
          <w:tcPr>
            <w:tcW w:w="3402" w:type="dxa"/>
            <w:tcBorders>
              <w:top w:val="single" w:sz="12" w:space="0" w:color="auto"/>
              <w:bottom w:val="single" w:sz="12" w:space="0" w:color="auto"/>
            </w:tcBorders>
            <w:shd w:val="clear" w:color="auto" w:fill="auto"/>
          </w:tcPr>
          <w:p w:rsidR="00FB4818" w:rsidRPr="006A1FBC" w:rsidRDefault="00FB4818" w:rsidP="00120E93">
            <w:pPr>
              <w:pStyle w:val="SingleTxtG"/>
              <w:ind w:left="57" w:right="57"/>
              <w:jc w:val="left"/>
              <w:rPr>
                <w:b/>
                <w:lang w:val="fr-FR"/>
              </w:rPr>
            </w:pPr>
            <w:r w:rsidRPr="006A1FBC">
              <w:rPr>
                <w:b/>
                <w:lang w:val="fr-FR"/>
              </w:rPr>
              <w:t xml:space="preserve">Dispositif d’immobilisation à l’état </w:t>
            </w:r>
            <w:r w:rsidR="00120E93">
              <w:rPr>
                <w:b/>
                <w:lang w:val="fr-FR"/>
              </w:rPr>
              <w:t>“</w:t>
            </w:r>
            <w:r w:rsidRPr="006A1FBC">
              <w:rPr>
                <w:b/>
                <w:lang w:val="fr-FR"/>
              </w:rPr>
              <w:t>désactivé</w:t>
            </w:r>
            <w:r w:rsidR="00120E93">
              <w:rPr>
                <w:b/>
                <w:lang w:val="fr-FR"/>
              </w:rPr>
              <w:t>”</w:t>
            </w:r>
          </w:p>
        </w:tc>
        <w:tc>
          <w:tcPr>
            <w:tcW w:w="2697" w:type="dxa"/>
            <w:tcBorders>
              <w:top w:val="single" w:sz="12" w:space="0" w:color="auto"/>
              <w:bottom w:val="single" w:sz="12" w:space="0" w:color="auto"/>
            </w:tcBorders>
            <w:shd w:val="clear" w:color="auto" w:fill="auto"/>
          </w:tcPr>
          <w:p w:rsidR="00FB4818" w:rsidRPr="006A1FBC" w:rsidRDefault="00FB4818" w:rsidP="00120E93">
            <w:pPr>
              <w:pStyle w:val="SingleTxtG"/>
              <w:ind w:left="57" w:right="57"/>
              <w:jc w:val="left"/>
              <w:rPr>
                <w:b/>
                <w:lang w:val="fr-FR"/>
              </w:rPr>
            </w:pPr>
            <w:r w:rsidRPr="006A1FBC">
              <w:rPr>
                <w:b/>
                <w:lang w:val="fr-FR"/>
              </w:rPr>
              <w:t>Activation imprévue du dispositif d’immobilisation</w:t>
            </w:r>
          </w:p>
        </w:tc>
      </w:tr>
      <w:tr w:rsidR="00120E93" w:rsidRPr="006A1FBC" w:rsidTr="00120E93">
        <w:trPr>
          <w:cantSplit/>
          <w:trHeight w:val="20"/>
        </w:trPr>
        <w:tc>
          <w:tcPr>
            <w:tcW w:w="1559" w:type="dxa"/>
            <w:vMerge/>
            <w:tcBorders>
              <w:bottom w:val="single" w:sz="12" w:space="0" w:color="auto"/>
            </w:tcBorders>
          </w:tcPr>
          <w:p w:rsidR="00FB4818" w:rsidRPr="006A1FBC" w:rsidRDefault="00FB4818" w:rsidP="00120E93">
            <w:pPr>
              <w:pStyle w:val="SingleTxtG"/>
              <w:ind w:left="57" w:right="57"/>
              <w:jc w:val="left"/>
              <w:rPr>
                <w:b/>
                <w:lang w:val="fr-FR"/>
              </w:rPr>
            </w:pPr>
          </w:p>
        </w:tc>
        <w:tc>
          <w:tcPr>
            <w:tcW w:w="3402" w:type="dxa"/>
            <w:tcBorders>
              <w:top w:val="single" w:sz="12" w:space="0" w:color="auto"/>
              <w:bottom w:val="single" w:sz="12" w:space="0" w:color="auto"/>
            </w:tcBorders>
            <w:shd w:val="clear" w:color="auto" w:fill="auto"/>
          </w:tcPr>
          <w:p w:rsidR="00FB4818" w:rsidRPr="006A1FBC" w:rsidRDefault="00FB4818" w:rsidP="00120E93">
            <w:pPr>
              <w:pStyle w:val="SingleTxtG"/>
              <w:ind w:left="57" w:right="57"/>
              <w:jc w:val="left"/>
              <w:rPr>
                <w:b/>
                <w:lang w:val="fr-FR"/>
              </w:rPr>
            </w:pPr>
            <w:r w:rsidRPr="006A1FBC">
              <w:rPr>
                <w:b/>
                <w:lang w:val="fr-FR"/>
              </w:rPr>
              <w:t xml:space="preserve">Dispositif d’immobilisation à l’état </w:t>
            </w:r>
            <w:r w:rsidR="00120E93">
              <w:rPr>
                <w:b/>
                <w:lang w:val="fr-FR"/>
              </w:rPr>
              <w:t>“</w:t>
            </w:r>
            <w:r w:rsidRPr="006A1FBC">
              <w:rPr>
                <w:b/>
                <w:lang w:val="fr-FR"/>
              </w:rPr>
              <w:t>activé</w:t>
            </w:r>
            <w:r w:rsidR="00120E93">
              <w:rPr>
                <w:b/>
                <w:lang w:val="fr-FR"/>
              </w:rPr>
              <w:t>”</w:t>
            </w:r>
          </w:p>
        </w:tc>
        <w:tc>
          <w:tcPr>
            <w:tcW w:w="2697" w:type="dxa"/>
            <w:tcBorders>
              <w:top w:val="single" w:sz="12" w:space="0" w:color="auto"/>
              <w:bottom w:val="single" w:sz="12" w:space="0" w:color="auto"/>
            </w:tcBorders>
            <w:shd w:val="clear" w:color="auto" w:fill="auto"/>
          </w:tcPr>
          <w:p w:rsidR="00FB4818" w:rsidRPr="006A1FBC" w:rsidRDefault="00FB4818" w:rsidP="00120E93">
            <w:pPr>
              <w:pStyle w:val="SingleTxtG"/>
              <w:ind w:left="57" w:right="57"/>
              <w:jc w:val="left"/>
              <w:rPr>
                <w:b/>
                <w:lang w:val="fr-FR"/>
              </w:rPr>
            </w:pPr>
            <w:r w:rsidRPr="006A1FBC">
              <w:rPr>
                <w:b/>
                <w:lang w:val="fr-FR"/>
              </w:rPr>
              <w:t>Désactivation imprévue du dispositif d’immobilisation</w:t>
            </w:r>
          </w:p>
        </w:tc>
      </w:tr>
      <w:tr w:rsidR="00120E93" w:rsidRPr="006A1FBC" w:rsidTr="00120E93">
        <w:trPr>
          <w:cantSplit/>
          <w:trHeight w:val="20"/>
        </w:trPr>
        <w:tc>
          <w:tcPr>
            <w:tcW w:w="7658" w:type="dxa"/>
            <w:gridSpan w:val="3"/>
            <w:tcBorders>
              <w:top w:val="single" w:sz="12" w:space="0" w:color="auto"/>
              <w:bottom w:val="single" w:sz="12" w:space="0" w:color="auto"/>
            </w:tcBorders>
          </w:tcPr>
          <w:p w:rsidR="00FB4818" w:rsidRPr="006A1FBC" w:rsidRDefault="00FB4818" w:rsidP="00120E93">
            <w:pPr>
              <w:pStyle w:val="SingleTxtG"/>
              <w:ind w:left="57" w:right="57"/>
              <w:jc w:val="left"/>
              <w:rPr>
                <w:b/>
                <w:lang w:val="fr-FR"/>
              </w:rPr>
            </w:pPr>
            <w:r w:rsidRPr="006A1FBC">
              <w:rPr>
                <w:b/>
                <w:lang w:val="fr-FR"/>
              </w:rPr>
              <w:t xml:space="preserve">: cet essai peut relever des conditions d’essai du véhicule pour le mode </w:t>
            </w:r>
            <w:r w:rsidR="00120E93">
              <w:rPr>
                <w:b/>
                <w:lang w:val="fr-FR"/>
              </w:rPr>
              <w:t>“</w:t>
            </w:r>
            <w:r w:rsidRPr="006A1FBC">
              <w:rPr>
                <w:b/>
                <w:lang w:val="fr-FR"/>
              </w:rPr>
              <w:t>50 km/h</w:t>
            </w:r>
            <w:r w:rsidR="00120E93">
              <w:rPr>
                <w:b/>
                <w:lang w:val="fr-FR"/>
              </w:rPr>
              <w:t>”</w:t>
            </w:r>
            <w:r w:rsidRPr="006A1FBC">
              <w:rPr>
                <w:b/>
                <w:lang w:val="fr-FR"/>
              </w:rPr>
              <w:t xml:space="preserve"> définies dans le Règlement ONU </w:t>
            </w:r>
            <w:r w:rsidR="00120E93" w:rsidRPr="00120E93">
              <w:rPr>
                <w:rFonts w:eastAsia="MS Mincho"/>
                <w:b/>
                <w:lang w:val="fr-FR"/>
              </w:rPr>
              <w:t>n</w:t>
            </w:r>
            <w:r w:rsidR="00120E93" w:rsidRPr="00120E93">
              <w:rPr>
                <w:rFonts w:eastAsia="MS Mincho"/>
                <w:b/>
                <w:vertAlign w:val="superscript"/>
                <w:lang w:val="fr-FR"/>
              </w:rPr>
              <w:t>o</w:t>
            </w:r>
            <w:r w:rsidR="00120E93">
              <w:rPr>
                <w:b/>
                <w:lang w:val="fr-FR"/>
              </w:rPr>
              <w:t> </w:t>
            </w:r>
            <w:r w:rsidRPr="006A1FBC">
              <w:rPr>
                <w:b/>
                <w:lang w:val="fr-FR"/>
              </w:rPr>
              <w:t>10.</w:t>
            </w:r>
          </w:p>
        </w:tc>
      </w:tr>
    </w:tbl>
    <w:p w:rsidR="00FB4818" w:rsidRPr="006A1FBC" w:rsidRDefault="00FB4818" w:rsidP="00901C10">
      <w:pPr>
        <w:pStyle w:val="SingleTxtG"/>
        <w:keepNext/>
        <w:spacing w:before="120"/>
        <w:ind w:left="2268" w:hanging="1134"/>
        <w:rPr>
          <w:lang w:val="fr-FR"/>
        </w:rPr>
      </w:pPr>
      <w:r w:rsidRPr="006A1FBC">
        <w:rPr>
          <w:lang w:val="fr-FR"/>
        </w:rPr>
        <w:t>3.</w:t>
      </w:r>
      <w:r w:rsidRPr="006A1FBC">
        <w:rPr>
          <w:lang w:val="fr-FR"/>
        </w:rPr>
        <w:tab/>
        <w:t>Perturbations électriques dues aux décharges électrostatiques</w:t>
      </w:r>
    </w:p>
    <w:p w:rsidR="00FB4818" w:rsidRPr="006A1FBC" w:rsidRDefault="00FB4818" w:rsidP="00901C10">
      <w:pPr>
        <w:pStyle w:val="SingleTxtG"/>
        <w:ind w:left="2268"/>
        <w:rPr>
          <w:b/>
          <w:bCs/>
          <w:lang w:val="fr-FR"/>
        </w:rPr>
      </w:pPr>
      <w:r w:rsidRPr="006A1FBC">
        <w:rPr>
          <w:lang w:val="fr-FR"/>
        </w:rPr>
        <w:t>Les essais concernant la protection contre les perturbations d’origine électrostatique doivent être effectués conformément au rapport technique ISO 10605</w:t>
      </w:r>
      <w:r w:rsidRPr="006A1FBC">
        <w:rPr>
          <w:b/>
          <w:lang w:val="fr-FR"/>
        </w:rPr>
        <w:t>:2008/Cor 1:2010</w:t>
      </w:r>
      <w:r w:rsidRPr="006A1FBC">
        <w:rPr>
          <w:b/>
          <w:bCs/>
          <w:lang w:val="fr-FR"/>
        </w:rPr>
        <w:t xml:space="preserve"> et</w:t>
      </w:r>
      <w:r w:rsidRPr="006A1FBC">
        <w:rPr>
          <w:b/>
          <w:bCs/>
          <w:kern w:val="36"/>
          <w:lang w:val="fr-FR"/>
        </w:rPr>
        <w:t xml:space="preserve"> </w:t>
      </w:r>
      <w:proofErr w:type="spellStart"/>
      <w:r w:rsidRPr="006A1FBC">
        <w:rPr>
          <w:b/>
          <w:bCs/>
          <w:lang w:val="fr-FR"/>
        </w:rPr>
        <w:t>Amd</w:t>
      </w:r>
      <w:proofErr w:type="spellEnd"/>
      <w:r w:rsidRPr="006A1FBC">
        <w:rPr>
          <w:b/>
          <w:bCs/>
          <w:lang w:val="fr-FR"/>
        </w:rPr>
        <w:t> 1:2014</w:t>
      </w:r>
      <w:r w:rsidR="00901C10" w:rsidRPr="006A1FBC">
        <w:rPr>
          <w:b/>
          <w:bCs/>
          <w:lang w:val="fr-FR"/>
        </w:rPr>
        <w:t xml:space="preserve"> </w:t>
      </w:r>
      <w:r w:rsidRPr="006A1FBC">
        <w:rPr>
          <w:b/>
          <w:bCs/>
          <w:lang w:val="fr-FR"/>
        </w:rPr>
        <w:t>en utilisant les niveaux d’essai décrits au tableau 2.</w:t>
      </w:r>
    </w:p>
    <w:p w:rsidR="00FB4818" w:rsidRPr="006A1FBC" w:rsidRDefault="00FB4818" w:rsidP="00901C10">
      <w:pPr>
        <w:pStyle w:val="SingleTxtG"/>
        <w:ind w:left="2268"/>
        <w:rPr>
          <w:bCs/>
          <w:lang w:val="fr-FR"/>
        </w:rPr>
      </w:pPr>
      <w:r w:rsidRPr="006A1FBC">
        <w:rPr>
          <w:b/>
          <w:bCs/>
          <w:lang w:val="fr-FR"/>
        </w:rPr>
        <w:t>Les essais de décharge électrostatique (DES) doivent être effectués au niveau du véhicule ou à celui du sous-ensemble électrique/électronique (SEEE)</w:t>
      </w:r>
      <w:r w:rsidRPr="006A1FBC">
        <w:rPr>
          <w:bCs/>
          <w:lang w:val="fr-FR"/>
        </w:rPr>
        <w:t>.</w:t>
      </w:r>
    </w:p>
    <w:p w:rsidR="00FB4818" w:rsidRPr="006A1FBC" w:rsidRDefault="00FB4818" w:rsidP="00120E93">
      <w:pPr>
        <w:pStyle w:val="Titre1"/>
        <w:ind w:left="0"/>
        <w:rPr>
          <w:lang w:val="fr-FR"/>
        </w:rPr>
      </w:pPr>
      <w:r w:rsidRPr="006A1FBC">
        <w:rPr>
          <w:lang w:val="fr-FR"/>
        </w:rPr>
        <w:t>Tableau 2</w:t>
      </w:r>
    </w:p>
    <w:p w:rsidR="00FB4818" w:rsidRPr="006A1FBC" w:rsidRDefault="00FB4818" w:rsidP="00120E93">
      <w:pPr>
        <w:pStyle w:val="Titre1"/>
        <w:spacing w:after="120" w:line="240" w:lineRule="atLeast"/>
        <w:ind w:left="0"/>
        <w:rPr>
          <w:b/>
          <w:bCs/>
          <w:lang w:val="fr-FR"/>
        </w:rPr>
      </w:pPr>
      <w:r w:rsidRPr="006A1FBC">
        <w:rPr>
          <w:b/>
          <w:bCs/>
          <w:lang w:val="fr-FR"/>
        </w:rPr>
        <w:t>Niveaux d’essai de DES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1559"/>
        <w:gridCol w:w="2835"/>
        <w:gridCol w:w="1276"/>
        <w:gridCol w:w="850"/>
        <w:gridCol w:w="2121"/>
      </w:tblGrid>
      <w:tr w:rsidR="00120E93" w:rsidRPr="007B259B" w:rsidTr="00704216">
        <w:trPr>
          <w:trHeight w:val="20"/>
        </w:trPr>
        <w:tc>
          <w:tcPr>
            <w:tcW w:w="998" w:type="dxa"/>
            <w:shd w:val="clear" w:color="auto" w:fill="auto"/>
          </w:tcPr>
          <w:p w:rsidR="00FB4818" w:rsidRPr="007B259B" w:rsidRDefault="00FB4818" w:rsidP="00120E93">
            <w:pPr>
              <w:pStyle w:val="SingleTxtG"/>
              <w:ind w:left="57" w:right="57"/>
              <w:jc w:val="left"/>
              <w:rPr>
                <w:b/>
                <w:lang w:val="fr-FR"/>
              </w:rPr>
            </w:pPr>
            <w:r w:rsidRPr="007B259B">
              <w:rPr>
                <w:b/>
                <w:lang w:val="fr-FR"/>
              </w:rPr>
              <w:t>Type</w:t>
            </w:r>
            <w:r w:rsidRPr="007B259B">
              <w:rPr>
                <w:lang w:val="fr-FR"/>
              </w:rPr>
              <w:t xml:space="preserve"> </w:t>
            </w:r>
            <w:r w:rsidRPr="007B259B">
              <w:rPr>
                <w:b/>
                <w:lang w:val="fr-FR"/>
              </w:rPr>
              <w:t>de décharge</w:t>
            </w:r>
          </w:p>
        </w:tc>
        <w:tc>
          <w:tcPr>
            <w:tcW w:w="1559" w:type="dxa"/>
            <w:shd w:val="clear" w:color="auto" w:fill="auto"/>
          </w:tcPr>
          <w:p w:rsidR="00FB4818" w:rsidRPr="007B259B" w:rsidRDefault="00FB4818" w:rsidP="00120E93">
            <w:pPr>
              <w:pStyle w:val="SingleTxtG"/>
              <w:ind w:left="57" w:right="57"/>
              <w:jc w:val="left"/>
              <w:rPr>
                <w:b/>
                <w:lang w:val="fr-FR"/>
              </w:rPr>
            </w:pPr>
            <w:r w:rsidRPr="007B259B">
              <w:rPr>
                <w:b/>
                <w:lang w:val="fr-FR"/>
              </w:rPr>
              <w:t>Points de décharge</w:t>
            </w:r>
          </w:p>
        </w:tc>
        <w:tc>
          <w:tcPr>
            <w:tcW w:w="2835" w:type="dxa"/>
          </w:tcPr>
          <w:p w:rsidR="00FB4818" w:rsidRPr="007B259B" w:rsidRDefault="00FB4818" w:rsidP="00120E93">
            <w:pPr>
              <w:pStyle w:val="SingleTxtG"/>
              <w:ind w:left="57" w:right="57"/>
              <w:jc w:val="left"/>
              <w:rPr>
                <w:b/>
                <w:lang w:val="fr-FR"/>
              </w:rPr>
            </w:pPr>
            <w:r w:rsidRPr="007B259B">
              <w:rPr>
                <w:b/>
                <w:lang w:val="fr-FR"/>
              </w:rPr>
              <w:t>État du dispositif d’immobilisation</w:t>
            </w:r>
          </w:p>
        </w:tc>
        <w:tc>
          <w:tcPr>
            <w:tcW w:w="1276" w:type="dxa"/>
            <w:shd w:val="clear" w:color="auto" w:fill="auto"/>
          </w:tcPr>
          <w:p w:rsidR="00FB4818" w:rsidRPr="007B259B" w:rsidRDefault="00FB4818" w:rsidP="00120E93">
            <w:pPr>
              <w:pStyle w:val="SingleTxtG"/>
              <w:ind w:left="57" w:right="57"/>
              <w:jc w:val="left"/>
              <w:rPr>
                <w:b/>
                <w:lang w:val="fr-FR"/>
              </w:rPr>
            </w:pPr>
            <w:r w:rsidRPr="007B259B">
              <w:rPr>
                <w:b/>
                <w:lang w:val="fr-FR"/>
              </w:rPr>
              <w:t>Réseau de décharge</w:t>
            </w:r>
          </w:p>
        </w:tc>
        <w:tc>
          <w:tcPr>
            <w:tcW w:w="850" w:type="dxa"/>
            <w:shd w:val="clear" w:color="auto" w:fill="auto"/>
          </w:tcPr>
          <w:p w:rsidR="00FB4818" w:rsidRPr="007B259B" w:rsidRDefault="00FB4818" w:rsidP="00120E93">
            <w:pPr>
              <w:pStyle w:val="SingleTxtG"/>
              <w:ind w:left="57" w:right="57"/>
              <w:jc w:val="left"/>
              <w:rPr>
                <w:b/>
                <w:lang w:val="fr-FR"/>
              </w:rPr>
            </w:pPr>
            <w:r w:rsidRPr="007B259B">
              <w:rPr>
                <w:b/>
                <w:lang w:val="fr-FR"/>
              </w:rPr>
              <w:t>Niveau d’essai</w:t>
            </w:r>
          </w:p>
        </w:tc>
        <w:tc>
          <w:tcPr>
            <w:tcW w:w="2121" w:type="dxa"/>
            <w:shd w:val="clear" w:color="auto" w:fill="auto"/>
          </w:tcPr>
          <w:p w:rsidR="00FB4818" w:rsidRPr="007B259B" w:rsidRDefault="00FB4818" w:rsidP="00120E93">
            <w:pPr>
              <w:pStyle w:val="SingleTxtG"/>
              <w:ind w:left="57" w:right="57"/>
              <w:jc w:val="left"/>
              <w:rPr>
                <w:b/>
                <w:lang w:val="fr-FR"/>
              </w:rPr>
            </w:pPr>
            <w:r w:rsidRPr="007B259B">
              <w:rPr>
                <w:b/>
                <w:lang w:val="fr-FR"/>
              </w:rPr>
              <w:t>Critères d’échec</w:t>
            </w:r>
          </w:p>
        </w:tc>
      </w:tr>
      <w:tr w:rsidR="00120E93" w:rsidRPr="007B259B" w:rsidTr="00704216">
        <w:trPr>
          <w:trHeight w:val="20"/>
        </w:trPr>
        <w:tc>
          <w:tcPr>
            <w:tcW w:w="998" w:type="dxa"/>
            <w:vMerge w:val="restart"/>
            <w:shd w:val="clear" w:color="auto" w:fill="auto"/>
          </w:tcPr>
          <w:p w:rsidR="00FB4818" w:rsidRPr="007B259B" w:rsidRDefault="00FB4818" w:rsidP="00120E93">
            <w:pPr>
              <w:pStyle w:val="SingleTxtG"/>
              <w:ind w:left="57" w:right="57"/>
              <w:jc w:val="left"/>
              <w:rPr>
                <w:b/>
                <w:lang w:val="fr-FR"/>
              </w:rPr>
            </w:pPr>
            <w:r w:rsidRPr="007B259B">
              <w:rPr>
                <w:b/>
                <w:lang w:val="fr-FR"/>
              </w:rPr>
              <w:t>Décharge dans l’air</w:t>
            </w:r>
          </w:p>
        </w:tc>
        <w:tc>
          <w:tcPr>
            <w:tcW w:w="1559" w:type="dxa"/>
            <w:shd w:val="clear" w:color="auto" w:fill="auto"/>
          </w:tcPr>
          <w:p w:rsidR="00FB4818" w:rsidRPr="007B259B" w:rsidRDefault="00FB4818" w:rsidP="00120E93">
            <w:pPr>
              <w:pStyle w:val="SingleTxtG"/>
              <w:ind w:left="57" w:right="57"/>
              <w:jc w:val="left"/>
              <w:rPr>
                <w:b/>
                <w:lang w:val="fr-FR"/>
              </w:rPr>
            </w:pPr>
            <w:r w:rsidRPr="007B259B">
              <w:rPr>
                <w:b/>
                <w:lang w:val="fr-FR"/>
              </w:rPr>
              <w:t>Points qui ne sont facilement accessibles qu’à l’intérieur du véhicule</w:t>
            </w:r>
          </w:p>
        </w:tc>
        <w:tc>
          <w:tcPr>
            <w:tcW w:w="2835" w:type="dxa"/>
          </w:tcPr>
          <w:p w:rsidR="00FB4818" w:rsidRPr="007B259B" w:rsidRDefault="00FB4818" w:rsidP="00120E93">
            <w:pPr>
              <w:pStyle w:val="SingleTxtG"/>
              <w:ind w:left="57" w:right="57"/>
              <w:jc w:val="left"/>
              <w:rPr>
                <w:b/>
                <w:lang w:val="fr-FR"/>
              </w:rPr>
            </w:pPr>
            <w:r w:rsidRPr="007B259B">
              <w:rPr>
                <w:b/>
                <w:lang w:val="fr-FR"/>
              </w:rPr>
              <w:t xml:space="preserve">Dispositif d’immobilisation à l’état </w:t>
            </w:r>
            <w:r w:rsidR="007B259B" w:rsidRPr="007B259B">
              <w:rPr>
                <w:b/>
                <w:lang w:val="fr-FR"/>
              </w:rPr>
              <w:t>“</w:t>
            </w:r>
            <w:r w:rsidRPr="007B259B">
              <w:rPr>
                <w:b/>
                <w:lang w:val="fr-FR"/>
              </w:rPr>
              <w:t>désactivé</w:t>
            </w:r>
            <w:r w:rsidR="007B259B" w:rsidRPr="007B259B">
              <w:rPr>
                <w:b/>
                <w:lang w:val="fr-FR"/>
              </w:rPr>
              <w:t>”</w:t>
            </w:r>
          </w:p>
          <w:p w:rsidR="00FB4818" w:rsidRPr="007B259B" w:rsidRDefault="00FB4818" w:rsidP="00120E93">
            <w:pPr>
              <w:pStyle w:val="SingleTxtG"/>
              <w:ind w:left="57" w:right="57"/>
              <w:jc w:val="left"/>
              <w:rPr>
                <w:b/>
                <w:lang w:val="fr-FR"/>
              </w:rPr>
            </w:pPr>
            <w:r w:rsidRPr="007B259B">
              <w:rPr>
                <w:b/>
                <w:lang w:val="fr-FR"/>
              </w:rPr>
              <w:t>(lorsque l’essai est effectué sur un véhicule, celui-ci doit être en position MARCHE ou il doit rouler à 50 km/h ou son moteur doit tourner au ralenti)</w:t>
            </w:r>
          </w:p>
        </w:tc>
        <w:tc>
          <w:tcPr>
            <w:tcW w:w="1276" w:type="dxa"/>
            <w:shd w:val="clear" w:color="auto" w:fill="auto"/>
          </w:tcPr>
          <w:p w:rsidR="00FB4818" w:rsidRPr="007B259B" w:rsidRDefault="00FB4818" w:rsidP="00120E93">
            <w:pPr>
              <w:pStyle w:val="SingleTxtG"/>
              <w:ind w:left="57" w:right="57"/>
              <w:jc w:val="left"/>
              <w:rPr>
                <w:b/>
                <w:lang w:val="fr-FR"/>
              </w:rPr>
            </w:pPr>
            <w:r w:rsidRPr="007B259B">
              <w:rPr>
                <w:b/>
                <w:lang w:val="fr-FR"/>
              </w:rPr>
              <w:t xml:space="preserve">330 pF, 2 </w:t>
            </w:r>
            <w:proofErr w:type="spellStart"/>
            <w:r w:rsidRPr="007B259B">
              <w:rPr>
                <w:b/>
                <w:lang w:val="fr-FR"/>
              </w:rPr>
              <w:t>kΩ</w:t>
            </w:r>
            <w:proofErr w:type="spellEnd"/>
          </w:p>
        </w:tc>
        <w:tc>
          <w:tcPr>
            <w:tcW w:w="850" w:type="dxa"/>
            <w:shd w:val="clear" w:color="auto" w:fill="auto"/>
          </w:tcPr>
          <w:p w:rsidR="00FB4818" w:rsidRPr="007B259B" w:rsidRDefault="007B259B" w:rsidP="00120E93">
            <w:pPr>
              <w:pStyle w:val="SingleTxtG"/>
              <w:ind w:left="57" w:right="57"/>
              <w:jc w:val="left"/>
              <w:rPr>
                <w:b/>
                <w:lang w:val="fr-FR"/>
              </w:rPr>
            </w:pPr>
            <w:r w:rsidRPr="007B259B">
              <w:rPr>
                <w:b/>
                <w:lang w:val="fr-FR"/>
              </w:rPr>
              <w:sym w:font="Symbol" w:char="F0B1"/>
            </w:r>
            <w:r w:rsidR="00FB4818" w:rsidRPr="007B259B">
              <w:rPr>
                <w:b/>
                <w:lang w:val="fr-FR"/>
              </w:rPr>
              <w:t>6 kV</w:t>
            </w:r>
          </w:p>
        </w:tc>
        <w:tc>
          <w:tcPr>
            <w:tcW w:w="2121" w:type="dxa"/>
            <w:shd w:val="clear" w:color="auto" w:fill="auto"/>
          </w:tcPr>
          <w:p w:rsidR="00FB4818" w:rsidRPr="007B259B" w:rsidRDefault="00FB4818" w:rsidP="00120E93">
            <w:pPr>
              <w:pStyle w:val="SingleTxtG"/>
              <w:ind w:left="57" w:right="57"/>
              <w:jc w:val="left"/>
              <w:rPr>
                <w:b/>
                <w:lang w:val="fr-FR"/>
              </w:rPr>
            </w:pPr>
            <w:r w:rsidRPr="007B259B">
              <w:rPr>
                <w:b/>
                <w:lang w:val="fr-FR"/>
              </w:rPr>
              <w:t>Activation imprévue du dispositif d’immobilisation</w:t>
            </w:r>
          </w:p>
        </w:tc>
      </w:tr>
      <w:tr w:rsidR="00120E93" w:rsidRPr="007B259B" w:rsidTr="00704216">
        <w:trPr>
          <w:trHeight w:val="20"/>
        </w:trPr>
        <w:tc>
          <w:tcPr>
            <w:tcW w:w="998" w:type="dxa"/>
            <w:vMerge/>
            <w:shd w:val="clear" w:color="auto" w:fill="auto"/>
          </w:tcPr>
          <w:p w:rsidR="00FB4818" w:rsidRPr="007B259B" w:rsidRDefault="00FB4818" w:rsidP="00120E93">
            <w:pPr>
              <w:pStyle w:val="SingleTxtG"/>
              <w:ind w:left="57" w:right="57"/>
              <w:jc w:val="left"/>
              <w:rPr>
                <w:b/>
                <w:lang w:val="fr-FR"/>
              </w:rPr>
            </w:pPr>
          </w:p>
        </w:tc>
        <w:tc>
          <w:tcPr>
            <w:tcW w:w="1559" w:type="dxa"/>
            <w:shd w:val="clear" w:color="auto" w:fill="auto"/>
          </w:tcPr>
          <w:p w:rsidR="00FB4818" w:rsidRPr="007B259B" w:rsidRDefault="00FB4818" w:rsidP="00120E93">
            <w:pPr>
              <w:pStyle w:val="SingleTxtG"/>
              <w:ind w:left="57" w:right="57"/>
              <w:jc w:val="left"/>
              <w:rPr>
                <w:b/>
                <w:lang w:val="fr-FR"/>
              </w:rPr>
            </w:pPr>
            <w:r w:rsidRPr="007B259B">
              <w:rPr>
                <w:b/>
                <w:lang w:val="fr-FR"/>
              </w:rPr>
              <w:t xml:space="preserve">Points qui ne peuvent être facilement touchés qu’à l’extérieur du véhicule </w:t>
            </w:r>
          </w:p>
        </w:tc>
        <w:tc>
          <w:tcPr>
            <w:tcW w:w="2835" w:type="dxa"/>
          </w:tcPr>
          <w:p w:rsidR="00FB4818" w:rsidRPr="007B259B" w:rsidRDefault="00FB4818" w:rsidP="00120E93">
            <w:pPr>
              <w:pStyle w:val="SingleTxtG"/>
              <w:ind w:left="57" w:right="57"/>
              <w:jc w:val="left"/>
              <w:rPr>
                <w:b/>
                <w:lang w:val="fr-FR"/>
              </w:rPr>
            </w:pPr>
            <w:r w:rsidRPr="007B259B">
              <w:rPr>
                <w:b/>
                <w:lang w:val="fr-FR"/>
              </w:rPr>
              <w:t xml:space="preserve">Dispositif d’immobilisation à l’état </w:t>
            </w:r>
            <w:r w:rsidR="007B259B" w:rsidRPr="007B259B">
              <w:rPr>
                <w:b/>
                <w:lang w:val="fr-FR"/>
              </w:rPr>
              <w:t>“</w:t>
            </w:r>
            <w:r w:rsidRPr="007B259B">
              <w:rPr>
                <w:b/>
                <w:lang w:val="fr-FR"/>
              </w:rPr>
              <w:t>activé</w:t>
            </w:r>
            <w:r w:rsidR="007B259B" w:rsidRPr="007B259B">
              <w:rPr>
                <w:b/>
                <w:lang w:val="fr-FR"/>
              </w:rPr>
              <w:t>”</w:t>
            </w:r>
          </w:p>
          <w:p w:rsidR="00FB4818" w:rsidRPr="007B259B" w:rsidRDefault="00FB4818" w:rsidP="00120E93">
            <w:pPr>
              <w:pStyle w:val="SingleTxtG"/>
              <w:ind w:left="57" w:right="57"/>
              <w:jc w:val="left"/>
              <w:rPr>
                <w:b/>
                <w:lang w:val="fr-FR"/>
              </w:rPr>
            </w:pPr>
            <w:r w:rsidRPr="007B259B">
              <w:rPr>
                <w:b/>
                <w:lang w:val="fr-FR"/>
              </w:rPr>
              <w:t>(lorsque l’essai est effectué sur un véhicule, celui doit être verrouillé et en position ARRÊT)</w:t>
            </w:r>
          </w:p>
        </w:tc>
        <w:tc>
          <w:tcPr>
            <w:tcW w:w="1276" w:type="dxa"/>
            <w:shd w:val="clear" w:color="auto" w:fill="auto"/>
          </w:tcPr>
          <w:p w:rsidR="00FB4818" w:rsidRPr="007B259B" w:rsidRDefault="00FB4818" w:rsidP="00120E93">
            <w:pPr>
              <w:pStyle w:val="SingleTxtG"/>
              <w:ind w:left="57" w:right="57"/>
              <w:jc w:val="left"/>
              <w:rPr>
                <w:b/>
                <w:lang w:val="fr-FR"/>
              </w:rPr>
            </w:pPr>
            <w:r w:rsidRPr="007B259B">
              <w:rPr>
                <w:b/>
                <w:lang w:val="fr-FR"/>
              </w:rPr>
              <w:t xml:space="preserve">150 pF, 2 </w:t>
            </w:r>
            <w:proofErr w:type="spellStart"/>
            <w:r w:rsidRPr="007B259B">
              <w:rPr>
                <w:b/>
                <w:lang w:val="fr-FR"/>
              </w:rPr>
              <w:t>kΩ</w:t>
            </w:r>
            <w:proofErr w:type="spellEnd"/>
          </w:p>
        </w:tc>
        <w:tc>
          <w:tcPr>
            <w:tcW w:w="850" w:type="dxa"/>
            <w:shd w:val="clear" w:color="auto" w:fill="auto"/>
          </w:tcPr>
          <w:p w:rsidR="00FB4818" w:rsidRPr="007B259B" w:rsidRDefault="007B259B" w:rsidP="00120E93">
            <w:pPr>
              <w:pStyle w:val="SingleTxtG"/>
              <w:ind w:left="57" w:right="57"/>
              <w:jc w:val="left"/>
              <w:rPr>
                <w:b/>
                <w:lang w:val="fr-FR"/>
              </w:rPr>
            </w:pPr>
            <w:r w:rsidRPr="007B259B">
              <w:rPr>
                <w:b/>
                <w:lang w:val="fr-FR"/>
              </w:rPr>
              <w:sym w:font="Symbol" w:char="F0B1"/>
            </w:r>
            <w:r w:rsidR="00FB4818" w:rsidRPr="007B259B">
              <w:rPr>
                <w:b/>
                <w:lang w:val="fr-FR"/>
              </w:rPr>
              <w:t>15 kV</w:t>
            </w:r>
          </w:p>
        </w:tc>
        <w:tc>
          <w:tcPr>
            <w:tcW w:w="2121" w:type="dxa"/>
            <w:shd w:val="clear" w:color="auto" w:fill="auto"/>
          </w:tcPr>
          <w:p w:rsidR="00FB4818" w:rsidRPr="007B259B" w:rsidRDefault="00FB4818" w:rsidP="00120E93">
            <w:pPr>
              <w:pStyle w:val="SingleTxtG"/>
              <w:ind w:left="57" w:right="57"/>
              <w:jc w:val="left"/>
              <w:rPr>
                <w:b/>
                <w:lang w:val="fr-FR"/>
              </w:rPr>
            </w:pPr>
            <w:r w:rsidRPr="007B259B">
              <w:rPr>
                <w:b/>
                <w:lang w:val="fr-FR"/>
              </w:rPr>
              <w:t>Désactivation imprévue du dispositif d’immobilisation et absence de réactivation dans la seconde suivante, après chaque décharge</w:t>
            </w:r>
          </w:p>
        </w:tc>
      </w:tr>
      <w:tr w:rsidR="00120E93" w:rsidRPr="007B259B" w:rsidTr="00704216">
        <w:trPr>
          <w:trHeight w:val="20"/>
        </w:trPr>
        <w:tc>
          <w:tcPr>
            <w:tcW w:w="998" w:type="dxa"/>
            <w:vMerge w:val="restart"/>
            <w:shd w:val="clear" w:color="auto" w:fill="auto"/>
          </w:tcPr>
          <w:p w:rsidR="00FB4818" w:rsidRPr="007B259B" w:rsidRDefault="00FB4818" w:rsidP="00120E93">
            <w:pPr>
              <w:pStyle w:val="SingleTxtG"/>
              <w:ind w:left="57" w:right="57"/>
              <w:jc w:val="left"/>
              <w:rPr>
                <w:b/>
                <w:lang w:val="fr-FR"/>
              </w:rPr>
            </w:pPr>
            <w:r w:rsidRPr="007B259B">
              <w:rPr>
                <w:b/>
                <w:lang w:val="fr-FR"/>
              </w:rPr>
              <w:lastRenderedPageBreak/>
              <w:t>Décharge par contact</w:t>
            </w:r>
          </w:p>
        </w:tc>
        <w:tc>
          <w:tcPr>
            <w:tcW w:w="1559" w:type="dxa"/>
            <w:shd w:val="clear" w:color="auto" w:fill="auto"/>
          </w:tcPr>
          <w:p w:rsidR="00FB4818" w:rsidRPr="007B259B" w:rsidRDefault="00FB4818" w:rsidP="00120E93">
            <w:pPr>
              <w:pStyle w:val="SingleTxtG"/>
              <w:ind w:left="57" w:right="57"/>
              <w:jc w:val="left"/>
              <w:rPr>
                <w:b/>
                <w:lang w:val="fr-FR"/>
              </w:rPr>
            </w:pPr>
            <w:r w:rsidRPr="007B259B">
              <w:rPr>
                <w:b/>
                <w:lang w:val="fr-FR"/>
              </w:rPr>
              <w:t>Points qui ne sont facilement accessibles qu’à l’intérieur du véhicule</w:t>
            </w:r>
          </w:p>
        </w:tc>
        <w:tc>
          <w:tcPr>
            <w:tcW w:w="2835" w:type="dxa"/>
          </w:tcPr>
          <w:p w:rsidR="00FB4818" w:rsidRPr="007B259B" w:rsidRDefault="00FB4818" w:rsidP="00120E93">
            <w:pPr>
              <w:pStyle w:val="SingleTxtG"/>
              <w:ind w:left="57" w:right="57"/>
              <w:jc w:val="left"/>
              <w:rPr>
                <w:b/>
                <w:lang w:val="fr-FR"/>
              </w:rPr>
            </w:pPr>
            <w:r w:rsidRPr="007B259B">
              <w:rPr>
                <w:b/>
                <w:lang w:val="fr-FR"/>
              </w:rPr>
              <w:t xml:space="preserve">Dispositif d’immobilisation à l’état </w:t>
            </w:r>
            <w:r w:rsidR="007B259B">
              <w:rPr>
                <w:b/>
                <w:lang w:val="fr-FR"/>
              </w:rPr>
              <w:t>“</w:t>
            </w:r>
            <w:r w:rsidRPr="007B259B">
              <w:rPr>
                <w:b/>
                <w:lang w:val="fr-FR"/>
              </w:rPr>
              <w:t>désactivé</w:t>
            </w:r>
            <w:r w:rsidR="007B259B">
              <w:rPr>
                <w:b/>
                <w:lang w:val="fr-FR"/>
              </w:rPr>
              <w:t>”</w:t>
            </w:r>
          </w:p>
          <w:p w:rsidR="00FB4818" w:rsidRPr="007B259B" w:rsidRDefault="00FB4818" w:rsidP="00120E93">
            <w:pPr>
              <w:pStyle w:val="SingleTxtG"/>
              <w:ind w:left="57" w:right="57"/>
              <w:jc w:val="left"/>
              <w:rPr>
                <w:b/>
                <w:lang w:val="fr-FR"/>
              </w:rPr>
            </w:pPr>
            <w:r w:rsidRPr="007B259B">
              <w:rPr>
                <w:b/>
                <w:lang w:val="fr-FR"/>
              </w:rPr>
              <w:t>(lorsque l’essai est effectué sur un véhicule, celui-ci doit être en position MARCHE ou il doit rouler à 50 km/h ou son moteur doit tourner au ralenti)</w:t>
            </w:r>
          </w:p>
        </w:tc>
        <w:tc>
          <w:tcPr>
            <w:tcW w:w="1276" w:type="dxa"/>
            <w:shd w:val="clear" w:color="auto" w:fill="auto"/>
          </w:tcPr>
          <w:p w:rsidR="00FB4818" w:rsidRPr="007B259B" w:rsidRDefault="00FB4818" w:rsidP="00120E93">
            <w:pPr>
              <w:pStyle w:val="SingleTxtG"/>
              <w:ind w:left="57" w:right="57"/>
              <w:jc w:val="left"/>
              <w:rPr>
                <w:b/>
                <w:lang w:val="fr-FR"/>
              </w:rPr>
            </w:pPr>
            <w:r w:rsidRPr="007B259B">
              <w:rPr>
                <w:b/>
                <w:lang w:val="fr-FR"/>
              </w:rPr>
              <w:t xml:space="preserve">330 pF, 2 </w:t>
            </w:r>
            <w:proofErr w:type="spellStart"/>
            <w:r w:rsidRPr="007B259B">
              <w:rPr>
                <w:b/>
                <w:lang w:val="fr-FR"/>
              </w:rPr>
              <w:t>kΩ</w:t>
            </w:r>
            <w:proofErr w:type="spellEnd"/>
          </w:p>
        </w:tc>
        <w:tc>
          <w:tcPr>
            <w:tcW w:w="850" w:type="dxa"/>
            <w:shd w:val="clear" w:color="auto" w:fill="auto"/>
          </w:tcPr>
          <w:p w:rsidR="00FB4818" w:rsidRPr="007B259B" w:rsidRDefault="007B259B" w:rsidP="00120E93">
            <w:pPr>
              <w:pStyle w:val="SingleTxtG"/>
              <w:ind w:left="57" w:right="57"/>
              <w:jc w:val="left"/>
              <w:rPr>
                <w:b/>
                <w:lang w:val="fr-FR"/>
              </w:rPr>
            </w:pPr>
            <w:r w:rsidRPr="006A1FBC">
              <w:rPr>
                <w:b/>
                <w:lang w:val="fr-FR"/>
              </w:rPr>
              <w:sym w:font="Symbol" w:char="F0B1"/>
            </w:r>
            <w:r w:rsidR="00FB4818" w:rsidRPr="007B259B">
              <w:rPr>
                <w:b/>
                <w:lang w:val="fr-FR"/>
              </w:rPr>
              <w:t>4 kV</w:t>
            </w:r>
          </w:p>
        </w:tc>
        <w:tc>
          <w:tcPr>
            <w:tcW w:w="2121" w:type="dxa"/>
            <w:shd w:val="clear" w:color="auto" w:fill="auto"/>
          </w:tcPr>
          <w:p w:rsidR="00FB4818" w:rsidRPr="007B259B" w:rsidRDefault="00FB4818" w:rsidP="00120E93">
            <w:pPr>
              <w:pStyle w:val="SingleTxtG"/>
              <w:ind w:left="57" w:right="57"/>
              <w:jc w:val="left"/>
              <w:rPr>
                <w:b/>
                <w:lang w:val="fr-FR"/>
              </w:rPr>
            </w:pPr>
            <w:r w:rsidRPr="007B259B">
              <w:rPr>
                <w:b/>
                <w:lang w:val="fr-FR"/>
              </w:rPr>
              <w:t>Activation imprévue du dispositif d’immobilisation</w:t>
            </w:r>
          </w:p>
        </w:tc>
      </w:tr>
      <w:tr w:rsidR="00120E93" w:rsidRPr="007B259B" w:rsidTr="00704216">
        <w:trPr>
          <w:trHeight w:val="20"/>
        </w:trPr>
        <w:tc>
          <w:tcPr>
            <w:tcW w:w="998" w:type="dxa"/>
            <w:vMerge/>
            <w:shd w:val="clear" w:color="auto" w:fill="auto"/>
          </w:tcPr>
          <w:p w:rsidR="00FB4818" w:rsidRPr="007B259B" w:rsidRDefault="00FB4818" w:rsidP="00120E93">
            <w:pPr>
              <w:pStyle w:val="SingleTxtG"/>
              <w:ind w:left="57" w:right="57"/>
              <w:jc w:val="left"/>
              <w:rPr>
                <w:b/>
                <w:lang w:val="fr-FR"/>
              </w:rPr>
            </w:pPr>
          </w:p>
        </w:tc>
        <w:tc>
          <w:tcPr>
            <w:tcW w:w="1559" w:type="dxa"/>
            <w:shd w:val="clear" w:color="auto" w:fill="auto"/>
          </w:tcPr>
          <w:p w:rsidR="00FB4818" w:rsidRPr="007B259B" w:rsidRDefault="00FB4818" w:rsidP="00120E93">
            <w:pPr>
              <w:pStyle w:val="SingleTxtG"/>
              <w:ind w:left="57" w:right="57"/>
              <w:jc w:val="left"/>
              <w:rPr>
                <w:b/>
                <w:lang w:val="fr-FR"/>
              </w:rPr>
            </w:pPr>
            <w:r w:rsidRPr="007B259B">
              <w:rPr>
                <w:b/>
                <w:lang w:val="fr-FR"/>
              </w:rPr>
              <w:t>Points qui ne peuvent être facilement touchés qu’à l’extérieur du véhicule</w:t>
            </w:r>
          </w:p>
        </w:tc>
        <w:tc>
          <w:tcPr>
            <w:tcW w:w="2835" w:type="dxa"/>
          </w:tcPr>
          <w:p w:rsidR="00FB4818" w:rsidRPr="007B259B" w:rsidRDefault="00FB4818" w:rsidP="00120E93">
            <w:pPr>
              <w:pStyle w:val="SingleTxtG"/>
              <w:ind w:left="57" w:right="57"/>
              <w:jc w:val="left"/>
              <w:rPr>
                <w:b/>
                <w:lang w:val="fr-FR"/>
              </w:rPr>
            </w:pPr>
            <w:r w:rsidRPr="007B259B">
              <w:rPr>
                <w:b/>
                <w:lang w:val="fr-FR"/>
              </w:rPr>
              <w:t xml:space="preserve">Dispositif d’immobilisation à l’état </w:t>
            </w:r>
            <w:r w:rsidR="007B259B">
              <w:rPr>
                <w:b/>
                <w:lang w:val="fr-FR"/>
              </w:rPr>
              <w:t>“</w:t>
            </w:r>
            <w:r w:rsidRPr="007B259B">
              <w:rPr>
                <w:b/>
                <w:lang w:val="fr-FR"/>
              </w:rPr>
              <w:t>activé</w:t>
            </w:r>
            <w:r w:rsidR="007B259B">
              <w:rPr>
                <w:b/>
                <w:lang w:val="fr-FR"/>
              </w:rPr>
              <w:t>”</w:t>
            </w:r>
          </w:p>
          <w:p w:rsidR="00FB4818" w:rsidRPr="007B259B" w:rsidRDefault="00FB4818" w:rsidP="00120E93">
            <w:pPr>
              <w:pStyle w:val="SingleTxtG"/>
              <w:ind w:left="57" w:right="57"/>
              <w:jc w:val="left"/>
              <w:rPr>
                <w:b/>
                <w:lang w:val="fr-FR"/>
              </w:rPr>
            </w:pPr>
            <w:r w:rsidRPr="007B259B">
              <w:rPr>
                <w:b/>
                <w:lang w:val="fr-FR"/>
              </w:rPr>
              <w:t>(lorsque l’essai est effectué sur un véhicule, celui doit être verrouillé et en position ARRÊT)</w:t>
            </w:r>
          </w:p>
        </w:tc>
        <w:tc>
          <w:tcPr>
            <w:tcW w:w="1276" w:type="dxa"/>
            <w:shd w:val="clear" w:color="auto" w:fill="auto"/>
          </w:tcPr>
          <w:p w:rsidR="00FB4818" w:rsidRPr="007B259B" w:rsidRDefault="00FB4818" w:rsidP="00120E93">
            <w:pPr>
              <w:pStyle w:val="SingleTxtG"/>
              <w:ind w:left="57" w:right="57"/>
              <w:jc w:val="left"/>
              <w:rPr>
                <w:b/>
                <w:lang w:val="fr-FR"/>
              </w:rPr>
            </w:pPr>
            <w:r w:rsidRPr="007B259B">
              <w:rPr>
                <w:b/>
                <w:lang w:val="fr-FR"/>
              </w:rPr>
              <w:t xml:space="preserve">150 pF, 2 </w:t>
            </w:r>
            <w:proofErr w:type="spellStart"/>
            <w:r w:rsidRPr="007B259B">
              <w:rPr>
                <w:b/>
                <w:lang w:val="fr-FR"/>
              </w:rPr>
              <w:t>kΩ</w:t>
            </w:r>
            <w:proofErr w:type="spellEnd"/>
          </w:p>
        </w:tc>
        <w:tc>
          <w:tcPr>
            <w:tcW w:w="850" w:type="dxa"/>
            <w:shd w:val="clear" w:color="auto" w:fill="auto"/>
          </w:tcPr>
          <w:p w:rsidR="00FB4818" w:rsidRPr="007B259B" w:rsidRDefault="007B259B" w:rsidP="00120E93">
            <w:pPr>
              <w:pStyle w:val="SingleTxtG"/>
              <w:ind w:left="57" w:right="57"/>
              <w:jc w:val="left"/>
              <w:rPr>
                <w:b/>
                <w:lang w:val="fr-FR"/>
              </w:rPr>
            </w:pPr>
            <w:r w:rsidRPr="006A1FBC">
              <w:rPr>
                <w:b/>
                <w:lang w:val="fr-FR"/>
              </w:rPr>
              <w:sym w:font="Symbol" w:char="F0B1"/>
            </w:r>
            <w:r w:rsidR="00FB4818" w:rsidRPr="007B259B">
              <w:rPr>
                <w:b/>
                <w:lang w:val="fr-FR"/>
              </w:rPr>
              <w:t>8 kV</w:t>
            </w:r>
          </w:p>
        </w:tc>
        <w:tc>
          <w:tcPr>
            <w:tcW w:w="2121" w:type="dxa"/>
            <w:shd w:val="clear" w:color="auto" w:fill="auto"/>
          </w:tcPr>
          <w:p w:rsidR="00FB4818" w:rsidRPr="007B259B" w:rsidRDefault="00FB4818" w:rsidP="00120E93">
            <w:pPr>
              <w:pStyle w:val="SingleTxtG"/>
              <w:ind w:left="57" w:right="57"/>
              <w:jc w:val="left"/>
              <w:rPr>
                <w:b/>
                <w:lang w:val="fr-FR"/>
              </w:rPr>
            </w:pPr>
            <w:r w:rsidRPr="007B259B">
              <w:rPr>
                <w:b/>
                <w:lang w:val="fr-FR"/>
              </w:rPr>
              <w:t>Désactivation imprévue du dispositif d’immobilisation et absence de réactivation dans la seconde suivante, après chaque décharge</w:t>
            </w:r>
          </w:p>
        </w:tc>
      </w:tr>
      <w:tr w:rsidR="00120E93" w:rsidRPr="007B259B" w:rsidTr="00704216">
        <w:trPr>
          <w:trHeight w:val="20"/>
        </w:trPr>
        <w:tc>
          <w:tcPr>
            <w:tcW w:w="9639" w:type="dxa"/>
            <w:gridSpan w:val="6"/>
            <w:shd w:val="clear" w:color="auto" w:fill="auto"/>
          </w:tcPr>
          <w:p w:rsidR="00FB4818" w:rsidRPr="007B259B" w:rsidRDefault="00FB4818" w:rsidP="00120E93">
            <w:pPr>
              <w:pStyle w:val="SingleTxtG"/>
              <w:ind w:left="57" w:right="57"/>
              <w:jc w:val="left"/>
              <w:rPr>
                <w:b/>
                <w:lang w:val="fr-FR"/>
              </w:rPr>
            </w:pPr>
            <w:r w:rsidRPr="007B259B">
              <w:rPr>
                <w:b/>
                <w:lang w:val="fr-FR"/>
              </w:rPr>
              <w:t xml:space="preserve">À chaque essai, il faut trois décharges à au moins </w:t>
            </w:r>
            <w:r w:rsidR="007175FF">
              <w:rPr>
                <w:b/>
                <w:lang w:val="fr-FR"/>
              </w:rPr>
              <w:t>5</w:t>
            </w:r>
            <w:r w:rsidR="00E3209A">
              <w:rPr>
                <w:b/>
                <w:lang w:val="fr-FR"/>
              </w:rPr>
              <w:t> </w:t>
            </w:r>
            <w:r w:rsidRPr="007B259B">
              <w:rPr>
                <w:b/>
                <w:lang w:val="fr-FR"/>
              </w:rPr>
              <w:t xml:space="preserve"> s d’intervalle.</w:t>
            </w:r>
          </w:p>
        </w:tc>
      </w:tr>
    </w:tbl>
    <w:p w:rsidR="00FB4818" w:rsidRPr="006A1FBC" w:rsidRDefault="00FB4818" w:rsidP="007B259B">
      <w:pPr>
        <w:pStyle w:val="SingleTxtG"/>
        <w:spacing w:before="120"/>
        <w:ind w:left="2268" w:hanging="1134"/>
        <w:rPr>
          <w:lang w:val="fr-FR"/>
        </w:rPr>
      </w:pPr>
      <w:r w:rsidRPr="006A1FBC">
        <w:rPr>
          <w:lang w:val="fr-FR"/>
        </w:rPr>
        <w:t>4.</w:t>
      </w:r>
      <w:r w:rsidRPr="006A1FBC">
        <w:rPr>
          <w:lang w:val="fr-FR"/>
        </w:rPr>
        <w:tab/>
        <w:t>Émissions rayonnées</w:t>
      </w:r>
    </w:p>
    <w:p w:rsidR="00FB4818" w:rsidRPr="006A1FBC" w:rsidRDefault="00FB4818" w:rsidP="00901C10">
      <w:pPr>
        <w:pStyle w:val="SingleTxtG"/>
        <w:ind w:left="2268"/>
        <w:rPr>
          <w:b/>
          <w:lang w:val="fr-FR"/>
        </w:rPr>
      </w:pPr>
      <w:r w:rsidRPr="006A1FBC">
        <w:rPr>
          <w:lang w:val="fr-FR"/>
        </w:rPr>
        <w:t>Les essais doivent être effectués conformément aux prescriptions techniques et aux dispositions transitoires du Règlement ONU</w:t>
      </w:r>
      <w:bookmarkStart w:id="2" w:name="_GoBack"/>
      <w:bookmarkEnd w:id="2"/>
      <w:r w:rsidRPr="006A1FBC">
        <w:rPr>
          <w:lang w:val="fr-FR"/>
        </w:rPr>
        <w:t xml:space="preserve"> n</w:t>
      </w:r>
      <w:r w:rsidRPr="006A1FBC">
        <w:rPr>
          <w:vertAlign w:val="superscript"/>
          <w:lang w:val="fr-FR"/>
        </w:rPr>
        <w:t>o</w:t>
      </w:r>
      <w:r w:rsidRPr="006A1FBC">
        <w:rPr>
          <w:lang w:val="fr-FR"/>
        </w:rPr>
        <w:t> 10, série</w:t>
      </w:r>
      <w:r w:rsidR="007B259B">
        <w:rPr>
          <w:lang w:val="fr-FR"/>
        </w:rPr>
        <w:t xml:space="preserve"> </w:t>
      </w:r>
      <w:r w:rsidRPr="006A1FBC">
        <w:rPr>
          <w:lang w:val="fr-FR"/>
        </w:rPr>
        <w:t>04 d’amendements, et aux méthodes d’essai décrites aux annexes</w:t>
      </w:r>
      <w:r w:rsidR="007B259B">
        <w:rPr>
          <w:lang w:val="fr-FR"/>
        </w:rPr>
        <w:t xml:space="preserve"> </w:t>
      </w:r>
      <w:r w:rsidRPr="006A1FBC">
        <w:rPr>
          <w:lang w:val="fr-FR"/>
        </w:rPr>
        <w:t>4 et 5 pour les véhicules ou aux annexes</w:t>
      </w:r>
      <w:r w:rsidR="007B259B">
        <w:rPr>
          <w:lang w:val="fr-FR"/>
        </w:rPr>
        <w:t xml:space="preserve"> </w:t>
      </w:r>
      <w:r w:rsidRPr="006A1FBC">
        <w:rPr>
          <w:lang w:val="fr-FR"/>
        </w:rPr>
        <w:t>7 et 8 pour</w:t>
      </w:r>
      <w:r w:rsidRPr="006A1FBC">
        <w:rPr>
          <w:b/>
          <w:lang w:val="fr-FR"/>
        </w:rPr>
        <w:t xml:space="preserve"> </w:t>
      </w:r>
      <w:bookmarkStart w:id="3" w:name="_Hlk34642827"/>
      <w:r w:rsidRPr="006A1FBC">
        <w:rPr>
          <w:b/>
          <w:lang w:val="fr-FR"/>
        </w:rPr>
        <w:t>un sous-ensemble électrique/</w:t>
      </w:r>
      <w:r w:rsidR="007B259B">
        <w:rPr>
          <w:b/>
          <w:lang w:val="fr-FR"/>
        </w:rPr>
        <w:t xml:space="preserve"> </w:t>
      </w:r>
      <w:r w:rsidRPr="006A1FBC">
        <w:rPr>
          <w:b/>
          <w:lang w:val="fr-FR"/>
        </w:rPr>
        <w:t>électronique (SEEE)</w:t>
      </w:r>
      <w:bookmarkEnd w:id="3"/>
      <w:r w:rsidRPr="006A1FBC">
        <w:rPr>
          <w:b/>
          <w:lang w:val="fr-FR"/>
        </w:rPr>
        <w:t>.</w:t>
      </w:r>
    </w:p>
    <w:p w:rsidR="00FB4818" w:rsidRPr="006A1FBC" w:rsidRDefault="00FB4818" w:rsidP="00901C10">
      <w:pPr>
        <w:pStyle w:val="SingleTxtG"/>
        <w:ind w:left="2268"/>
        <w:rPr>
          <w:lang w:val="fr-FR"/>
        </w:rPr>
      </w:pPr>
      <w:r w:rsidRPr="006A1FBC">
        <w:rPr>
          <w:b/>
          <w:lang w:val="fr-FR"/>
        </w:rPr>
        <w:t xml:space="preserve">Le dispositif d’immobilisation doit être à l’état </w:t>
      </w:r>
      <w:r w:rsidR="007B259B">
        <w:rPr>
          <w:b/>
          <w:lang w:val="fr-FR"/>
        </w:rPr>
        <w:t>“</w:t>
      </w:r>
      <w:r w:rsidRPr="006A1FBC">
        <w:rPr>
          <w:b/>
          <w:lang w:val="fr-FR"/>
        </w:rPr>
        <w:t>activé</w:t>
      </w:r>
      <w:r w:rsidR="007B259B">
        <w:rPr>
          <w:b/>
          <w:lang w:val="fr-FR"/>
        </w:rPr>
        <w:t>”</w:t>
      </w:r>
      <w:r w:rsidRPr="006A1FBC">
        <w:rPr>
          <w:b/>
          <w:lang w:val="fr-FR"/>
        </w:rPr>
        <w:t>.</w:t>
      </w:r>
      <w:r w:rsidRPr="006A1FBC">
        <w:rPr>
          <w:lang w:val="fr-FR"/>
        </w:rPr>
        <w:t> ».</w:t>
      </w:r>
    </w:p>
    <w:p w:rsidR="00F9573C" w:rsidRPr="006A1FBC" w:rsidRDefault="00FB4818" w:rsidP="00FB4818">
      <w:pPr>
        <w:pStyle w:val="SingleTxtG"/>
        <w:spacing w:before="240" w:after="0"/>
        <w:jc w:val="center"/>
        <w:rPr>
          <w:u w:val="single"/>
          <w:lang w:val="fr-FR"/>
        </w:rPr>
      </w:pPr>
      <w:r w:rsidRPr="006A1FBC">
        <w:rPr>
          <w:u w:val="single"/>
          <w:lang w:val="fr-FR"/>
        </w:rPr>
        <w:tab/>
      </w:r>
      <w:r w:rsidRPr="006A1FBC">
        <w:rPr>
          <w:u w:val="single"/>
          <w:lang w:val="fr-FR"/>
        </w:rPr>
        <w:tab/>
      </w:r>
      <w:r w:rsidRPr="006A1FBC">
        <w:rPr>
          <w:u w:val="single"/>
          <w:lang w:val="fr-FR"/>
        </w:rPr>
        <w:tab/>
      </w:r>
    </w:p>
    <w:sectPr w:rsidR="00F9573C" w:rsidRPr="006A1FBC" w:rsidSect="00FB481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818" w:rsidRDefault="00FB4818" w:rsidP="00F95C08">
      <w:pPr>
        <w:spacing w:line="240" w:lineRule="auto"/>
      </w:pPr>
    </w:p>
  </w:endnote>
  <w:endnote w:type="continuationSeparator" w:id="0">
    <w:p w:rsidR="00FB4818" w:rsidRPr="00AC3823" w:rsidRDefault="00FB4818" w:rsidP="00AC3823">
      <w:pPr>
        <w:pStyle w:val="Pieddepage"/>
      </w:pPr>
    </w:p>
  </w:endnote>
  <w:endnote w:type="continuationNotice" w:id="1">
    <w:p w:rsidR="00FB4818" w:rsidRDefault="00FB48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818" w:rsidRPr="00FB4818" w:rsidRDefault="00FB4818" w:rsidP="00FB4818">
    <w:pPr>
      <w:pStyle w:val="Pieddepage"/>
      <w:tabs>
        <w:tab w:val="right" w:pos="9638"/>
      </w:tabs>
    </w:pPr>
    <w:r w:rsidRPr="00FB4818">
      <w:rPr>
        <w:b/>
        <w:sz w:val="18"/>
      </w:rPr>
      <w:fldChar w:fldCharType="begin"/>
    </w:r>
    <w:r w:rsidRPr="00FB4818">
      <w:rPr>
        <w:b/>
        <w:sz w:val="18"/>
      </w:rPr>
      <w:instrText xml:space="preserve"> PAGE  \* MERGEFORMAT </w:instrText>
    </w:r>
    <w:r w:rsidRPr="00FB4818">
      <w:rPr>
        <w:b/>
        <w:sz w:val="18"/>
      </w:rPr>
      <w:fldChar w:fldCharType="separate"/>
    </w:r>
    <w:r w:rsidRPr="00FB4818">
      <w:rPr>
        <w:b/>
        <w:noProof/>
        <w:sz w:val="18"/>
      </w:rPr>
      <w:t>2</w:t>
    </w:r>
    <w:r w:rsidRPr="00FB4818">
      <w:rPr>
        <w:b/>
        <w:sz w:val="18"/>
      </w:rPr>
      <w:fldChar w:fldCharType="end"/>
    </w:r>
    <w:r>
      <w:rPr>
        <w:b/>
        <w:sz w:val="18"/>
      </w:rPr>
      <w:tab/>
    </w:r>
    <w:r>
      <w:t>GE.20-00823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818" w:rsidRPr="00FB4818" w:rsidRDefault="00FB4818" w:rsidP="00FB4818">
    <w:pPr>
      <w:pStyle w:val="Pieddepage"/>
      <w:tabs>
        <w:tab w:val="right" w:pos="9638"/>
      </w:tabs>
      <w:rPr>
        <w:b/>
        <w:sz w:val="18"/>
      </w:rPr>
    </w:pPr>
    <w:r>
      <w:t>GE.20-00823</w:t>
    </w:r>
    <w:r>
      <w:tab/>
    </w:r>
    <w:r w:rsidRPr="00FB4818">
      <w:rPr>
        <w:b/>
        <w:sz w:val="18"/>
      </w:rPr>
      <w:fldChar w:fldCharType="begin"/>
    </w:r>
    <w:r w:rsidRPr="00FB4818">
      <w:rPr>
        <w:b/>
        <w:sz w:val="18"/>
      </w:rPr>
      <w:instrText xml:space="preserve"> PAGE  \* MERGEFORMAT </w:instrText>
    </w:r>
    <w:r w:rsidRPr="00FB4818">
      <w:rPr>
        <w:b/>
        <w:sz w:val="18"/>
      </w:rPr>
      <w:fldChar w:fldCharType="separate"/>
    </w:r>
    <w:r w:rsidRPr="00FB4818">
      <w:rPr>
        <w:b/>
        <w:noProof/>
        <w:sz w:val="18"/>
      </w:rPr>
      <w:t>3</w:t>
    </w:r>
    <w:r w:rsidRPr="00FB48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818" w:rsidRPr="00FB4818" w:rsidRDefault="00FB4818" w:rsidP="00FB481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20-00823  (F)    230320    230320</w:t>
    </w:r>
    <w:r>
      <w:rPr>
        <w:sz w:val="20"/>
      </w:rPr>
      <w:br/>
    </w:r>
    <w:r w:rsidRPr="00FB4818">
      <w:rPr>
        <w:rFonts w:ascii="C39T30Lfz" w:hAnsi="C39T30Lfz"/>
        <w:sz w:val="56"/>
      </w:rPr>
      <w:t></w:t>
    </w:r>
    <w:r w:rsidRPr="00FB4818">
      <w:rPr>
        <w:rFonts w:ascii="C39T30Lfz" w:hAnsi="C39T30Lfz"/>
        <w:sz w:val="56"/>
      </w:rPr>
      <w:t></w:t>
    </w:r>
    <w:r w:rsidRPr="00FB4818">
      <w:rPr>
        <w:rFonts w:ascii="C39T30Lfz" w:hAnsi="C39T30Lfz"/>
        <w:sz w:val="56"/>
      </w:rPr>
      <w:t></w:t>
    </w:r>
    <w:r w:rsidRPr="00FB4818">
      <w:rPr>
        <w:rFonts w:ascii="C39T30Lfz" w:hAnsi="C39T30Lfz"/>
        <w:sz w:val="56"/>
      </w:rPr>
      <w:t></w:t>
    </w:r>
    <w:r w:rsidRPr="00FB4818">
      <w:rPr>
        <w:rFonts w:ascii="C39T30Lfz" w:hAnsi="C39T30Lfz"/>
        <w:sz w:val="56"/>
      </w:rPr>
      <w:t></w:t>
    </w:r>
    <w:r w:rsidRPr="00FB4818">
      <w:rPr>
        <w:rFonts w:ascii="C39T30Lfz" w:hAnsi="C39T30Lfz"/>
        <w:sz w:val="56"/>
      </w:rPr>
      <w:t></w:t>
    </w:r>
    <w:r w:rsidRPr="00FB4818">
      <w:rPr>
        <w:rFonts w:ascii="C39T30Lfz" w:hAnsi="C39T30Lfz"/>
        <w:sz w:val="56"/>
      </w:rPr>
      <w:t></w:t>
    </w:r>
    <w:r w:rsidRPr="00FB4818">
      <w:rPr>
        <w:rFonts w:ascii="C39T30Lfz" w:hAnsi="C39T30Lfz"/>
        <w:sz w:val="56"/>
      </w:rPr>
      <w:t></w:t>
    </w:r>
    <w:r w:rsidRPr="00FB481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2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818" w:rsidRPr="00AC3823" w:rsidRDefault="00FB4818" w:rsidP="00AC3823">
      <w:pPr>
        <w:pStyle w:val="Pieddepage"/>
        <w:tabs>
          <w:tab w:val="right" w:pos="2155"/>
        </w:tabs>
        <w:spacing w:after="80" w:line="240" w:lineRule="atLeast"/>
        <w:ind w:left="680"/>
        <w:rPr>
          <w:u w:val="single"/>
        </w:rPr>
      </w:pPr>
      <w:r>
        <w:rPr>
          <w:u w:val="single"/>
        </w:rPr>
        <w:tab/>
      </w:r>
    </w:p>
  </w:footnote>
  <w:footnote w:type="continuationSeparator" w:id="0">
    <w:p w:rsidR="00FB4818" w:rsidRPr="00AC3823" w:rsidRDefault="00FB4818" w:rsidP="00AC3823">
      <w:pPr>
        <w:pStyle w:val="Pieddepage"/>
        <w:tabs>
          <w:tab w:val="right" w:pos="2155"/>
        </w:tabs>
        <w:spacing w:after="80" w:line="240" w:lineRule="atLeast"/>
        <w:ind w:left="680"/>
        <w:rPr>
          <w:u w:val="single"/>
        </w:rPr>
      </w:pPr>
      <w:r>
        <w:rPr>
          <w:u w:val="single"/>
        </w:rPr>
        <w:tab/>
      </w:r>
    </w:p>
  </w:footnote>
  <w:footnote w:type="continuationNotice" w:id="1">
    <w:p w:rsidR="00FB4818" w:rsidRPr="00AC3823" w:rsidRDefault="00FB4818">
      <w:pPr>
        <w:spacing w:line="240" w:lineRule="auto"/>
        <w:rPr>
          <w:sz w:val="2"/>
          <w:szCs w:val="2"/>
        </w:rPr>
      </w:pPr>
    </w:p>
  </w:footnote>
  <w:footnote w:id="2">
    <w:p w:rsidR="00FB4818" w:rsidRPr="001A38A3" w:rsidRDefault="00FB4818" w:rsidP="00FB4818">
      <w:pPr>
        <w:pStyle w:val="Notedebasdepage"/>
      </w:pPr>
      <w:r w:rsidRPr="00FB4818">
        <w:rPr>
          <w:sz w:val="20"/>
          <w:lang w:val="en-GB"/>
        </w:rPr>
        <w:tab/>
      </w:r>
      <w:r w:rsidRPr="00FB4818">
        <w:rPr>
          <w:sz w:val="20"/>
        </w:rPr>
        <w:t>*</w:t>
      </w:r>
      <w:r w:rsidRPr="00FB4818">
        <w:rPr>
          <w:sz w:val="20"/>
        </w:rPr>
        <w:tab/>
      </w:r>
      <w:r w:rsidRPr="001A38A3">
        <w:t>Conformément au programme de travail du Comité des transports intérieurs pour 2020 tel qu’il figure dans le projet de budget-programme pour 2020 (A/74/6 (titre V, chap.</w:t>
      </w:r>
      <w:r>
        <w:t> </w:t>
      </w:r>
      <w:r w:rsidRPr="001A38A3">
        <w:t>20), par.</w:t>
      </w:r>
      <w:r>
        <w:t> </w:t>
      </w:r>
      <w:r w:rsidRPr="001A38A3">
        <w:t>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818" w:rsidRPr="00FB4818" w:rsidRDefault="00FB4818">
    <w:pPr>
      <w:pStyle w:val="En-tte"/>
    </w:pPr>
    <w:fldSimple w:instr=" TITLE  \* MERGEFORMAT ">
      <w:r>
        <w:t>ECE/TRANS/WP.29/GRSG/2020/16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818" w:rsidRPr="00FB4818" w:rsidRDefault="00FB4818" w:rsidP="00FB4818">
    <w:pPr>
      <w:pStyle w:val="En-tte"/>
      <w:jc w:val="right"/>
    </w:pPr>
    <w:fldSimple w:instr=" TITLE  \* MERGEFORMAT ">
      <w:r>
        <w:t>ECE/TRANS/WP.29/GRSG/2020/16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6684775"/>
    <w:multiLevelType w:val="hybridMultilevel"/>
    <w:tmpl w:val="1E8081A2"/>
    <w:lvl w:ilvl="0" w:tplc="040C000F">
      <w:start w:val="1"/>
      <w:numFmt w:val="decimal"/>
      <w:lvlText w:val="%1."/>
      <w:lvlJc w:val="left"/>
      <w:pPr>
        <w:ind w:left="2281" w:hanging="360"/>
      </w:pPr>
    </w:lvl>
    <w:lvl w:ilvl="1" w:tplc="040C0019" w:tentative="1">
      <w:start w:val="1"/>
      <w:numFmt w:val="lowerLetter"/>
      <w:lvlText w:val="%2."/>
      <w:lvlJc w:val="left"/>
      <w:pPr>
        <w:ind w:left="3001" w:hanging="360"/>
      </w:pPr>
    </w:lvl>
    <w:lvl w:ilvl="2" w:tplc="040C001B" w:tentative="1">
      <w:start w:val="1"/>
      <w:numFmt w:val="lowerRoman"/>
      <w:lvlText w:val="%3."/>
      <w:lvlJc w:val="right"/>
      <w:pPr>
        <w:ind w:left="3721" w:hanging="180"/>
      </w:pPr>
    </w:lvl>
    <w:lvl w:ilvl="3" w:tplc="040C000F" w:tentative="1">
      <w:start w:val="1"/>
      <w:numFmt w:val="decimal"/>
      <w:lvlText w:val="%4."/>
      <w:lvlJc w:val="left"/>
      <w:pPr>
        <w:ind w:left="4441" w:hanging="360"/>
      </w:pPr>
    </w:lvl>
    <w:lvl w:ilvl="4" w:tplc="040C0019" w:tentative="1">
      <w:start w:val="1"/>
      <w:numFmt w:val="lowerLetter"/>
      <w:lvlText w:val="%5."/>
      <w:lvlJc w:val="left"/>
      <w:pPr>
        <w:ind w:left="5161" w:hanging="360"/>
      </w:pPr>
    </w:lvl>
    <w:lvl w:ilvl="5" w:tplc="040C001B" w:tentative="1">
      <w:start w:val="1"/>
      <w:numFmt w:val="lowerRoman"/>
      <w:lvlText w:val="%6."/>
      <w:lvlJc w:val="right"/>
      <w:pPr>
        <w:ind w:left="5881" w:hanging="180"/>
      </w:pPr>
    </w:lvl>
    <w:lvl w:ilvl="6" w:tplc="040C000F" w:tentative="1">
      <w:start w:val="1"/>
      <w:numFmt w:val="decimal"/>
      <w:lvlText w:val="%7."/>
      <w:lvlJc w:val="left"/>
      <w:pPr>
        <w:ind w:left="6601" w:hanging="360"/>
      </w:pPr>
    </w:lvl>
    <w:lvl w:ilvl="7" w:tplc="040C0019" w:tentative="1">
      <w:start w:val="1"/>
      <w:numFmt w:val="lowerLetter"/>
      <w:lvlText w:val="%8."/>
      <w:lvlJc w:val="left"/>
      <w:pPr>
        <w:ind w:left="7321" w:hanging="360"/>
      </w:pPr>
    </w:lvl>
    <w:lvl w:ilvl="8" w:tplc="040C001B" w:tentative="1">
      <w:start w:val="1"/>
      <w:numFmt w:val="lowerRoman"/>
      <w:lvlText w:val="%9."/>
      <w:lvlJc w:val="right"/>
      <w:pPr>
        <w:ind w:left="8041" w:hanging="180"/>
      </w:pPr>
    </w:lvl>
  </w:abstractNum>
  <w:abstractNum w:abstractNumId="13"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15"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2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4"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2"/>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1"/>
  </w:num>
  <w:num w:numId="17">
    <w:abstractNumId w:val="12"/>
  </w:num>
  <w:num w:numId="18">
    <w:abstractNumId w:val="20"/>
  </w:num>
  <w:num w:numId="19">
    <w:abstractNumId w:val="16"/>
  </w:num>
  <w:num w:numId="20">
    <w:abstractNumId w:val="10"/>
  </w:num>
  <w:num w:numId="21">
    <w:abstractNumId w:val="15"/>
  </w:num>
  <w:num w:numId="22">
    <w:abstractNumId w:val="19"/>
  </w:num>
  <w:num w:numId="23">
    <w:abstractNumId w:val="13"/>
  </w:num>
  <w:num w:numId="24">
    <w:abstractNumId w:val="18"/>
  </w:num>
  <w:num w:numId="25">
    <w:abstractNumId w:val="24"/>
  </w:num>
  <w:num w:numId="26">
    <w:abstractNumId w:val="25"/>
  </w:num>
  <w:num w:numId="27">
    <w:abstractNumId w:val="23"/>
  </w:num>
  <w:num w:numId="28">
    <w:abstractNumId w:val="2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76E6"/>
    <w:rsid w:val="00017F94"/>
    <w:rsid w:val="00023842"/>
    <w:rsid w:val="000334F9"/>
    <w:rsid w:val="00045FEB"/>
    <w:rsid w:val="0007796D"/>
    <w:rsid w:val="000B7790"/>
    <w:rsid w:val="00111F2F"/>
    <w:rsid w:val="00120E93"/>
    <w:rsid w:val="0014365E"/>
    <w:rsid w:val="00143C66"/>
    <w:rsid w:val="00176178"/>
    <w:rsid w:val="001768A4"/>
    <w:rsid w:val="001F525A"/>
    <w:rsid w:val="00223272"/>
    <w:rsid w:val="0024779E"/>
    <w:rsid w:val="00257168"/>
    <w:rsid w:val="002744B8"/>
    <w:rsid w:val="002832AC"/>
    <w:rsid w:val="002976E6"/>
    <w:rsid w:val="002D7C93"/>
    <w:rsid w:val="00305801"/>
    <w:rsid w:val="0031132F"/>
    <w:rsid w:val="0035528F"/>
    <w:rsid w:val="003916DE"/>
    <w:rsid w:val="00421996"/>
    <w:rsid w:val="00441C3B"/>
    <w:rsid w:val="00446FE5"/>
    <w:rsid w:val="00452396"/>
    <w:rsid w:val="004837D8"/>
    <w:rsid w:val="004E2EED"/>
    <w:rsid w:val="004E468C"/>
    <w:rsid w:val="005505B7"/>
    <w:rsid w:val="005639FA"/>
    <w:rsid w:val="00573BE5"/>
    <w:rsid w:val="00586ED3"/>
    <w:rsid w:val="00596AA9"/>
    <w:rsid w:val="005B69DC"/>
    <w:rsid w:val="006351F2"/>
    <w:rsid w:val="0067134F"/>
    <w:rsid w:val="006A1FBC"/>
    <w:rsid w:val="00704216"/>
    <w:rsid w:val="0071601D"/>
    <w:rsid w:val="007175FF"/>
    <w:rsid w:val="0071799B"/>
    <w:rsid w:val="007A62E6"/>
    <w:rsid w:val="007B259B"/>
    <w:rsid w:val="007F20FA"/>
    <w:rsid w:val="0080684C"/>
    <w:rsid w:val="00871C75"/>
    <w:rsid w:val="008776DC"/>
    <w:rsid w:val="008F3E43"/>
    <w:rsid w:val="00901C10"/>
    <w:rsid w:val="009446C0"/>
    <w:rsid w:val="009705C8"/>
    <w:rsid w:val="009C1CF4"/>
    <w:rsid w:val="009E4A45"/>
    <w:rsid w:val="009F6B74"/>
    <w:rsid w:val="00A3029F"/>
    <w:rsid w:val="00A30353"/>
    <w:rsid w:val="00AC3823"/>
    <w:rsid w:val="00AE323C"/>
    <w:rsid w:val="00AF0CB5"/>
    <w:rsid w:val="00B00181"/>
    <w:rsid w:val="00B00B0D"/>
    <w:rsid w:val="00B45F2E"/>
    <w:rsid w:val="00B765F7"/>
    <w:rsid w:val="00BA0CA9"/>
    <w:rsid w:val="00C02897"/>
    <w:rsid w:val="00C97039"/>
    <w:rsid w:val="00CC4011"/>
    <w:rsid w:val="00D3439C"/>
    <w:rsid w:val="00D8052E"/>
    <w:rsid w:val="00DB1831"/>
    <w:rsid w:val="00DD3BFD"/>
    <w:rsid w:val="00DF6678"/>
    <w:rsid w:val="00E0299A"/>
    <w:rsid w:val="00E3209A"/>
    <w:rsid w:val="00E85C74"/>
    <w:rsid w:val="00EA6547"/>
    <w:rsid w:val="00EF2E22"/>
    <w:rsid w:val="00EF6533"/>
    <w:rsid w:val="00F35BAF"/>
    <w:rsid w:val="00F65E33"/>
    <w:rsid w:val="00F660DF"/>
    <w:rsid w:val="00F94664"/>
    <w:rsid w:val="00F9573C"/>
    <w:rsid w:val="00F95C08"/>
    <w:rsid w:val="00FB4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9AF93A"/>
  <w15:docId w15:val="{1BFBBAB9-E765-42DF-926C-EFCDE694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basedOn w:val="Policepardfaut"/>
    <w:link w:val="SingleTxtG"/>
    <w:qFormat/>
    <w:rsid w:val="00FB4818"/>
    <w:rPr>
      <w:rFonts w:ascii="Times New Roman" w:eastAsiaTheme="minorHAnsi" w:hAnsi="Times New Roman" w:cs="Times New Roman"/>
      <w:sz w:val="20"/>
      <w:szCs w:val="20"/>
      <w:lang w:eastAsia="en-US"/>
    </w:rPr>
  </w:style>
  <w:style w:type="character" w:customStyle="1" w:styleId="H1GChar">
    <w:name w:val="_ H_1_G Char"/>
    <w:link w:val="H1G"/>
    <w:locked/>
    <w:rsid w:val="00FB4818"/>
    <w:rPr>
      <w:rFonts w:ascii="Times New Roman" w:eastAsiaTheme="minorHAnsi" w:hAnsi="Times New Roman" w:cs="Times New Roman"/>
      <w:b/>
      <w:sz w:val="24"/>
      <w:szCs w:val="20"/>
      <w:lang w:eastAsia="en-US"/>
    </w:rPr>
  </w:style>
  <w:style w:type="character" w:customStyle="1" w:styleId="HChGChar">
    <w:name w:val="_ H _Ch_G Char"/>
    <w:link w:val="HChG"/>
    <w:rsid w:val="00FB4818"/>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FB4818"/>
    <w:pPr>
      <w:ind w:left="720"/>
      <w:contextualSpacing/>
    </w:pPr>
  </w:style>
  <w:style w:type="paragraph" w:customStyle="1" w:styleId="para">
    <w:name w:val="para"/>
    <w:basedOn w:val="Normal"/>
    <w:link w:val="paraChar"/>
    <w:qFormat/>
    <w:rsid w:val="00FB4818"/>
    <w:pPr>
      <w:spacing w:after="120" w:line="240" w:lineRule="exact"/>
      <w:ind w:left="2268" w:right="1134" w:hanging="1134"/>
      <w:jc w:val="both"/>
    </w:pPr>
    <w:rPr>
      <w:rFonts w:eastAsia="Times New Roman"/>
      <w:lang w:val="en-GB"/>
    </w:rPr>
  </w:style>
  <w:style w:type="character" w:customStyle="1" w:styleId="paraChar">
    <w:name w:val="para Char"/>
    <w:link w:val="para"/>
    <w:locked/>
    <w:rsid w:val="00FB4818"/>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10</Pages>
  <Words>2693</Words>
  <Characters>18855</Characters>
  <Application>Microsoft Office Word</Application>
  <DocSecurity>0</DocSecurity>
  <Lines>1571</Lines>
  <Paragraphs>861</Paragraphs>
  <ScaleCrop>false</ScaleCrop>
  <HeadingPairs>
    <vt:vector size="2" baseType="variant">
      <vt:variant>
        <vt:lpstr>Titre</vt:lpstr>
      </vt:variant>
      <vt:variant>
        <vt:i4>1</vt:i4>
      </vt:variant>
    </vt:vector>
  </HeadingPairs>
  <TitlesOfParts>
    <vt:vector size="1" baseType="lpstr">
      <vt:lpstr>ECE/TRANS/WP.29/GRSG/2020/16</vt:lpstr>
    </vt:vector>
  </TitlesOfParts>
  <Company>DCM</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ECE/TRANS/WP.29/GRSG/2020/16</dc:title>
  <dc:subject/>
  <dc:creator>Nicolas MORIN</dc:creator>
  <cp:keywords/>
  <cp:lastModifiedBy>Nicolas Morin</cp:lastModifiedBy>
  <cp:revision>2</cp:revision>
  <cp:lastPrinted>2014-05-14T10:59:00Z</cp:lastPrinted>
  <dcterms:created xsi:type="dcterms:W3CDTF">2020-03-23T13:32:00Z</dcterms:created>
  <dcterms:modified xsi:type="dcterms:W3CDTF">2020-03-23T13:32:00Z</dcterms:modified>
</cp:coreProperties>
</file>