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32477BC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A97C6B0" w14:textId="77777777" w:rsidR="00F35BAF" w:rsidRPr="00DB58B5" w:rsidRDefault="00F35BAF" w:rsidP="00D33C5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BAE33B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501DA67" w14:textId="77777777" w:rsidR="00F35BAF" w:rsidRPr="00DB58B5" w:rsidRDefault="00D33C55" w:rsidP="00D33C55">
            <w:pPr>
              <w:jc w:val="right"/>
            </w:pPr>
            <w:r w:rsidRPr="00D33C55">
              <w:rPr>
                <w:sz w:val="40"/>
              </w:rPr>
              <w:t>ECE</w:t>
            </w:r>
            <w:r>
              <w:t>/TRANS/WP.29/GRSG/2020/7</w:t>
            </w:r>
          </w:p>
        </w:tc>
      </w:tr>
      <w:tr w:rsidR="00F35BAF" w:rsidRPr="00DB58B5" w14:paraId="5916E86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9124AB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2B0FB22" wp14:editId="0A9F39B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C99CD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A927A5D" w14:textId="77777777" w:rsidR="00F35BAF" w:rsidRDefault="00D33C55" w:rsidP="00C97039">
            <w:pPr>
              <w:spacing w:before="240"/>
            </w:pPr>
            <w:r>
              <w:t>Distr. générale</w:t>
            </w:r>
          </w:p>
          <w:p w14:paraId="306CF33D" w14:textId="77777777" w:rsidR="00D33C55" w:rsidRDefault="00D33C55" w:rsidP="00D33C55">
            <w:pPr>
              <w:spacing w:line="240" w:lineRule="exact"/>
            </w:pPr>
            <w:r>
              <w:t>20 janvier 2020</w:t>
            </w:r>
          </w:p>
          <w:p w14:paraId="5EBC4080" w14:textId="77777777" w:rsidR="00D33C55" w:rsidRDefault="00D33C55" w:rsidP="00D33C55">
            <w:pPr>
              <w:spacing w:line="240" w:lineRule="exact"/>
            </w:pPr>
            <w:r>
              <w:t>Français</w:t>
            </w:r>
          </w:p>
          <w:p w14:paraId="77036A6E" w14:textId="77777777" w:rsidR="00D33C55" w:rsidRPr="00DB58B5" w:rsidRDefault="00D33C55" w:rsidP="00D33C55">
            <w:pPr>
              <w:spacing w:line="240" w:lineRule="exact"/>
            </w:pPr>
            <w:r>
              <w:t>Original : anglais</w:t>
            </w:r>
          </w:p>
        </w:tc>
      </w:tr>
    </w:tbl>
    <w:p w14:paraId="5EDFC88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CB248A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4A1C096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0A29183" w14:textId="77777777" w:rsidR="00D33C55" w:rsidRDefault="00D33C5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CB248A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67B50C2E" w14:textId="77777777" w:rsidR="00D33C55" w:rsidRDefault="00D33C55" w:rsidP="00AF0CB5">
      <w:pPr>
        <w:spacing w:before="120"/>
        <w:rPr>
          <w:b/>
          <w:sz w:val="24"/>
          <w:szCs w:val="24"/>
        </w:rPr>
      </w:pPr>
      <w:r w:rsidRPr="00E62DF7">
        <w:rPr>
          <w:b/>
          <w:szCs w:val="24"/>
        </w:rPr>
        <w:t>Groupe de travail des dispositions générales de sécurité</w:t>
      </w:r>
    </w:p>
    <w:p w14:paraId="27A12664" w14:textId="77777777" w:rsidR="00D33C55" w:rsidRDefault="00D33C55" w:rsidP="00AF0CB5">
      <w:pPr>
        <w:spacing w:before="120" w:line="240" w:lineRule="exact"/>
        <w:rPr>
          <w:b/>
        </w:rPr>
      </w:pPr>
      <w:r>
        <w:rPr>
          <w:b/>
        </w:rPr>
        <w:t>118</w:t>
      </w:r>
      <w:r w:rsidRPr="00D33C55">
        <w:rPr>
          <w:b/>
          <w:vertAlign w:val="superscript"/>
        </w:rPr>
        <w:t>e</w:t>
      </w:r>
      <w:r>
        <w:rPr>
          <w:b/>
        </w:rPr>
        <w:t xml:space="preserve"> session</w:t>
      </w:r>
    </w:p>
    <w:p w14:paraId="6C4A9075" w14:textId="77777777" w:rsidR="00D33C55" w:rsidRDefault="00D33C55" w:rsidP="00D33C55">
      <w:pPr>
        <w:spacing w:line="240" w:lineRule="exact"/>
      </w:pPr>
      <w:r>
        <w:t xml:space="preserve">Genève, </w:t>
      </w:r>
      <w:r w:rsidRPr="00D33C55">
        <w:rPr>
          <w:lang w:val="fr-FR"/>
        </w:rPr>
        <w:t>30 mars-3 avril 2020</w:t>
      </w:r>
    </w:p>
    <w:p w14:paraId="0394D94F" w14:textId="77777777" w:rsidR="00D33C55" w:rsidRDefault="00D33C55" w:rsidP="00AF0CB5">
      <w:pPr>
        <w:spacing w:line="240" w:lineRule="exact"/>
      </w:pPr>
      <w:r>
        <w:t>Point 5 b) de l</w:t>
      </w:r>
      <w:r w:rsidR="00CB248A">
        <w:t>’</w:t>
      </w:r>
      <w:r>
        <w:t>ordre du jour provisoire</w:t>
      </w:r>
    </w:p>
    <w:p w14:paraId="00616878" w14:textId="77777777" w:rsidR="00F9573C" w:rsidRDefault="00D33C55" w:rsidP="00AF0CB5">
      <w:pPr>
        <w:rPr>
          <w:b/>
          <w:bCs/>
          <w:szCs w:val="24"/>
        </w:rPr>
      </w:pPr>
      <w:r w:rsidRPr="00E62DF7">
        <w:rPr>
          <w:b/>
          <w:bCs/>
          <w:szCs w:val="24"/>
        </w:rPr>
        <w:t>Détection de la présence d</w:t>
      </w:r>
      <w:r w:rsidR="00CB248A">
        <w:rPr>
          <w:b/>
          <w:bCs/>
          <w:szCs w:val="24"/>
        </w:rPr>
        <w:t>’</w:t>
      </w:r>
      <w:r w:rsidRPr="00E62DF7">
        <w:rPr>
          <w:b/>
          <w:bCs/>
          <w:szCs w:val="24"/>
        </w:rPr>
        <w:t>usagers de la route vulnérables</w:t>
      </w:r>
    </w:p>
    <w:p w14:paraId="33F182FC" w14:textId="77777777" w:rsidR="00D33C55" w:rsidRDefault="00D33C55" w:rsidP="00AF0CB5">
      <w:pPr>
        <w:rPr>
          <w:b/>
          <w:bCs/>
          <w:szCs w:val="24"/>
        </w:rPr>
      </w:pPr>
      <w:r w:rsidRPr="00E62DF7">
        <w:rPr>
          <w:b/>
          <w:bCs/>
          <w:szCs w:val="24"/>
        </w:rPr>
        <w:t xml:space="preserve">Règlement </w:t>
      </w:r>
      <w:r w:rsidRPr="000C7D34">
        <w:rPr>
          <w:b/>
          <w:bCs/>
          <w:szCs w:val="24"/>
        </w:rPr>
        <w:t xml:space="preserve">ONU </w:t>
      </w:r>
      <w:r w:rsidRPr="00D33C55">
        <w:rPr>
          <w:rFonts w:eastAsia="MS Mincho"/>
          <w:b/>
          <w:bCs/>
          <w:szCs w:val="24"/>
        </w:rPr>
        <w:t>n</w:t>
      </w:r>
      <w:r w:rsidRPr="00D33C55">
        <w:rPr>
          <w:rFonts w:eastAsia="MS Mincho"/>
          <w:b/>
          <w:bCs/>
          <w:szCs w:val="24"/>
          <w:vertAlign w:val="superscript"/>
        </w:rPr>
        <w:t>o</w:t>
      </w:r>
      <w:r w:rsidRPr="000C7D34">
        <w:rPr>
          <w:b/>
          <w:bCs/>
          <w:szCs w:val="24"/>
        </w:rPr>
        <w:t xml:space="preserve"> 151 </w:t>
      </w:r>
      <w:r>
        <w:rPr>
          <w:b/>
          <w:bCs/>
          <w:szCs w:val="24"/>
        </w:rPr>
        <w:t>(S</w:t>
      </w:r>
      <w:bookmarkStart w:id="0" w:name="_Hlk31277858"/>
      <w:r w:rsidRPr="00E62DF7">
        <w:rPr>
          <w:b/>
          <w:bCs/>
          <w:szCs w:val="24"/>
        </w:rPr>
        <w:t>ystèmes de surveillance de l</w:t>
      </w:r>
      <w:r w:rsidR="00CB248A">
        <w:rPr>
          <w:b/>
          <w:bCs/>
          <w:szCs w:val="24"/>
        </w:rPr>
        <w:t>’</w:t>
      </w:r>
      <w:r w:rsidRPr="00E62DF7">
        <w:rPr>
          <w:b/>
          <w:bCs/>
          <w:szCs w:val="24"/>
        </w:rPr>
        <w:t>angle mort</w:t>
      </w:r>
      <w:bookmarkEnd w:id="0"/>
      <w:r>
        <w:rPr>
          <w:b/>
          <w:bCs/>
          <w:szCs w:val="24"/>
        </w:rPr>
        <w:t>)</w:t>
      </w:r>
    </w:p>
    <w:p w14:paraId="533ACAA6" w14:textId="77777777" w:rsidR="00D33C55" w:rsidRPr="00E62DF7" w:rsidRDefault="00D33C55" w:rsidP="00D33C55">
      <w:pPr>
        <w:pStyle w:val="HChG"/>
      </w:pPr>
      <w:r w:rsidRPr="00E62DF7">
        <w:tab/>
      </w:r>
      <w:r w:rsidRPr="00E62DF7">
        <w:tab/>
      </w:r>
      <w:bookmarkStart w:id="1" w:name="_Hlk29406381"/>
      <w:r w:rsidRPr="00E62DF7">
        <w:t>Proposition de complément</w:t>
      </w:r>
      <w:bookmarkStart w:id="2" w:name="_Hlk26969997"/>
      <w:r w:rsidRPr="00E62DF7">
        <w:t xml:space="preserve"> 2 au Règlement </w:t>
      </w:r>
      <w:bookmarkStart w:id="3" w:name="_Hlk31290889"/>
      <w:r w:rsidRPr="00E62DF7">
        <w:t xml:space="preserve">ONU </w:t>
      </w:r>
      <w:bookmarkStart w:id="4" w:name="_Hlk31278969"/>
      <w:r w:rsidRPr="00E62DF7">
        <w:t>n</w:t>
      </w:r>
      <w:r w:rsidRPr="00E62DF7">
        <w:rPr>
          <w:vertAlign w:val="superscript"/>
        </w:rPr>
        <w:t>o</w:t>
      </w:r>
      <w:r w:rsidRPr="00E62DF7">
        <w:t xml:space="preserve"> 151 </w:t>
      </w:r>
      <w:bookmarkEnd w:id="3"/>
      <w:r w:rsidRPr="00E62DF7">
        <w:t>(</w:t>
      </w:r>
      <w:r w:rsidRPr="00E62DF7">
        <w:t>S</w:t>
      </w:r>
      <w:r w:rsidRPr="00E62DF7">
        <w:t>ystèmes de surveillance de l</w:t>
      </w:r>
      <w:r w:rsidR="00CB248A">
        <w:t>’</w:t>
      </w:r>
      <w:r w:rsidRPr="00E62DF7">
        <w:t>angle mort)</w:t>
      </w:r>
      <w:bookmarkEnd w:id="1"/>
      <w:bookmarkEnd w:id="2"/>
      <w:bookmarkEnd w:id="4"/>
    </w:p>
    <w:p w14:paraId="117D2703" w14:textId="77777777" w:rsidR="00D33C55" w:rsidRPr="00E62DF7" w:rsidRDefault="00D33C55" w:rsidP="00D33C55">
      <w:pPr>
        <w:pStyle w:val="H1G"/>
      </w:pPr>
      <w:r w:rsidRPr="00E62DF7">
        <w:tab/>
      </w:r>
      <w:r w:rsidRPr="00E62DF7">
        <w:tab/>
        <w:t>Communication de l</w:t>
      </w:r>
      <w:r w:rsidR="00CB248A">
        <w:t>’</w:t>
      </w:r>
      <w:r w:rsidRPr="00E62DF7">
        <w:t>expert de la Commission européenne</w:t>
      </w:r>
      <w:r w:rsidRPr="00D33C55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D33C55">
        <w:rPr>
          <w:rStyle w:val="Appelnotedebasdep"/>
          <w:b w:val="0"/>
          <w:bCs/>
          <w:sz w:val="20"/>
          <w:szCs w:val="24"/>
          <w:vertAlign w:val="baseline"/>
          <w:lang w:val="fr-FR"/>
        </w:rPr>
        <w:t xml:space="preserve"> </w:t>
      </w:r>
      <w:commentRangeStart w:id="5"/>
      <w:commentRangeEnd w:id="5"/>
    </w:p>
    <w:p w14:paraId="094E565D" w14:textId="77777777" w:rsidR="00D33C55" w:rsidRDefault="00D33C55" w:rsidP="00D33C55">
      <w:pPr>
        <w:pStyle w:val="SingleTxtG"/>
      </w:pPr>
      <w:r>
        <w:tab/>
      </w:r>
      <w:r w:rsidRPr="00E62DF7">
        <w:t>Le texte ci-après, établi par l</w:t>
      </w:r>
      <w:r w:rsidR="00CB248A">
        <w:t>’</w:t>
      </w:r>
      <w:r w:rsidRPr="00E62DF7">
        <w:t>expert de la Commission européenne, a pour objet de modifier le champ d</w:t>
      </w:r>
      <w:r w:rsidR="00CB248A">
        <w:t>’</w:t>
      </w:r>
      <w:r w:rsidRPr="00E62DF7">
        <w:t xml:space="preserve">application du Règlement ainsi que les </w:t>
      </w:r>
      <w:r>
        <w:t>dispositions</w:t>
      </w:r>
      <w:r w:rsidRPr="00E62DF7">
        <w:t xml:space="preserve"> correspondantes. Les modifications qu</w:t>
      </w:r>
      <w:r w:rsidR="00CB248A">
        <w:t>’</w:t>
      </w:r>
      <w:r w:rsidRPr="00E62DF7">
        <w:t>il est proposé d</w:t>
      </w:r>
      <w:r w:rsidR="00CB248A">
        <w:t>’</w:t>
      </w:r>
      <w:r w:rsidRPr="00E62DF7">
        <w:t>apporter au texte actuel d</w:t>
      </w:r>
      <w:r>
        <w:t>u</w:t>
      </w:r>
      <w:r w:rsidRPr="00E62DF7">
        <w:t xml:space="preserve"> Règlement ONU</w:t>
      </w:r>
      <w:r w:rsidRPr="00BB3047">
        <w:t xml:space="preserve"> n</w:t>
      </w:r>
      <w:r w:rsidRPr="00BB3047">
        <w:rPr>
          <w:vertAlign w:val="superscript"/>
        </w:rPr>
        <w:t>o</w:t>
      </w:r>
      <w:r>
        <w:t xml:space="preserve"> </w:t>
      </w:r>
      <w:r w:rsidRPr="00BB3047">
        <w:t>151</w:t>
      </w:r>
      <w:r w:rsidRPr="00E62DF7">
        <w:t xml:space="preserve"> figurent en caractères gras pour les ajouts et biffés pour les suppressions.</w:t>
      </w:r>
    </w:p>
    <w:p w14:paraId="1D53F113" w14:textId="77777777" w:rsidR="00D33C55" w:rsidRPr="00E62DF7" w:rsidRDefault="00D33C55" w:rsidP="00D2617A">
      <w:pPr>
        <w:pStyle w:val="HChG"/>
      </w:pPr>
      <w:r>
        <w:br w:type="page"/>
      </w:r>
      <w:r w:rsidR="00D2617A">
        <w:lastRenderedPageBreak/>
        <w:tab/>
      </w:r>
      <w:r w:rsidR="00D2617A">
        <w:tab/>
      </w:r>
      <w:r w:rsidRPr="00E62DF7">
        <w:t xml:space="preserve">Proposition de complément 2 au Règlement ONU </w:t>
      </w:r>
      <w:r w:rsidR="00D2617A">
        <w:rPr>
          <w:rFonts w:eastAsia="MS Mincho"/>
        </w:rPr>
        <w:t>n</w:t>
      </w:r>
      <w:r w:rsidR="00D2617A">
        <w:rPr>
          <w:rFonts w:eastAsia="MS Mincho"/>
          <w:vertAlign w:val="superscript"/>
        </w:rPr>
        <w:t>o</w:t>
      </w:r>
      <w:r w:rsidRPr="00E62DF7">
        <w:t xml:space="preserve"> 151 (</w:t>
      </w:r>
      <w:bookmarkStart w:id="6" w:name="_Hlk31286153"/>
      <w:r w:rsidR="00D2617A" w:rsidRPr="00E62DF7">
        <w:t>S</w:t>
      </w:r>
      <w:r w:rsidRPr="00E62DF7">
        <w:t>ystèmes de surveillance de l</w:t>
      </w:r>
      <w:r w:rsidR="00CB248A">
        <w:t>’</w:t>
      </w:r>
      <w:r w:rsidRPr="00E62DF7">
        <w:t>angle mort</w:t>
      </w:r>
      <w:bookmarkEnd w:id="6"/>
      <w:r w:rsidRPr="00E62DF7">
        <w:t xml:space="preserve">) </w:t>
      </w:r>
    </w:p>
    <w:p w14:paraId="38541DBA" w14:textId="77777777" w:rsidR="00D33C55" w:rsidRPr="00E62DF7" w:rsidRDefault="00D33C55" w:rsidP="00D2617A">
      <w:pPr>
        <w:pStyle w:val="HChG"/>
      </w:pPr>
      <w:r w:rsidRPr="00E62DF7">
        <w:tab/>
        <w:t>I.</w:t>
      </w:r>
      <w:r w:rsidRPr="00E62DF7">
        <w:tab/>
        <w:t>Proposition</w:t>
      </w:r>
    </w:p>
    <w:p w14:paraId="0E05286A" w14:textId="77777777" w:rsidR="00D33C55" w:rsidRPr="00D2617A" w:rsidRDefault="00D33C55" w:rsidP="00D2617A">
      <w:pPr>
        <w:pStyle w:val="SingleTxtG"/>
      </w:pPr>
      <w:r w:rsidRPr="00D2617A">
        <w:rPr>
          <w:i/>
          <w:iCs/>
        </w:rPr>
        <w:t>Paragraphe 1.1</w:t>
      </w:r>
      <w:r w:rsidRPr="00D2617A">
        <w:t>, lire</w:t>
      </w:r>
      <w:r w:rsidR="00D2617A" w:rsidRPr="00D2617A">
        <w:t> </w:t>
      </w:r>
      <w:r w:rsidRPr="00D2617A">
        <w:t>:</w:t>
      </w:r>
    </w:p>
    <w:p w14:paraId="76EC14B0" w14:textId="77777777" w:rsidR="00D33C55" w:rsidRPr="00D2617A" w:rsidRDefault="00D33C55" w:rsidP="00D2617A">
      <w:pPr>
        <w:pStyle w:val="SingleTxtG"/>
        <w:ind w:left="2268" w:hanging="1134"/>
      </w:pPr>
      <w:r w:rsidRPr="00D2617A">
        <w:t>« 1.1</w:t>
      </w:r>
      <w:r w:rsidRPr="00D2617A">
        <w:tab/>
        <w:t>Le présent Règlement s</w:t>
      </w:r>
      <w:r w:rsidR="00CB248A">
        <w:t>’</w:t>
      </w:r>
      <w:r w:rsidRPr="00D2617A">
        <w:t>applique au système de surveillance de l</w:t>
      </w:r>
      <w:r w:rsidR="00CB248A">
        <w:t>’</w:t>
      </w:r>
      <w:r w:rsidRPr="00D2617A">
        <w:t>angle mort des véhicules des catégories N</w:t>
      </w:r>
      <w:r w:rsidRPr="00D2617A">
        <w:rPr>
          <w:vertAlign w:val="subscript"/>
        </w:rPr>
        <w:t>2</w:t>
      </w:r>
      <w:r w:rsidRPr="00D2617A">
        <w:rPr>
          <w:b/>
          <w:i/>
        </w:rPr>
        <w:t>,</w:t>
      </w:r>
      <w:r w:rsidRPr="00D2617A">
        <w:t xml:space="preserve"> </w:t>
      </w:r>
      <w:r w:rsidRPr="00D2617A">
        <w:rPr>
          <w:strike/>
        </w:rPr>
        <w:t>(d</w:t>
      </w:r>
      <w:r w:rsidR="00CB248A">
        <w:rPr>
          <w:strike/>
        </w:rPr>
        <w:t>’</w:t>
      </w:r>
      <w:r w:rsidRPr="00D2617A">
        <w:rPr>
          <w:strike/>
        </w:rPr>
        <w:t>une masse maximale techniquement admissible supérieure à 8 t) et</w:t>
      </w:r>
      <w:r w:rsidRPr="00D2617A">
        <w:t xml:space="preserve"> N</w:t>
      </w:r>
      <w:r w:rsidRPr="00F27593">
        <w:rPr>
          <w:vertAlign w:val="subscript"/>
        </w:rPr>
        <w:t>3</w:t>
      </w:r>
      <w:r w:rsidRPr="00D2617A">
        <w:t>.</w:t>
      </w:r>
      <w:r w:rsidRPr="00D2617A">
        <w:rPr>
          <w:strike/>
        </w:rPr>
        <w:t xml:space="preserve"> Les véhicules des catégories N</w:t>
      </w:r>
      <w:r w:rsidRPr="00D2617A">
        <w:rPr>
          <w:strike/>
          <w:vertAlign w:val="subscript"/>
        </w:rPr>
        <w:t>2</w:t>
      </w:r>
      <w:r w:rsidRPr="00D2617A">
        <w:rPr>
          <w:strike/>
        </w:rPr>
        <w:t xml:space="preserve"> (d</w:t>
      </w:r>
      <w:r w:rsidR="00CB248A">
        <w:rPr>
          <w:strike/>
        </w:rPr>
        <w:t>’</w:t>
      </w:r>
      <w:r w:rsidRPr="00D2617A">
        <w:rPr>
          <w:strike/>
        </w:rPr>
        <w:t>une masse maximale techniquement admissible inférieure ou égale à 8 t)</w:t>
      </w:r>
      <w:r w:rsidRPr="00D2617A">
        <w:t>, M</w:t>
      </w:r>
      <w:r w:rsidRPr="00D2617A">
        <w:rPr>
          <w:vertAlign w:val="subscript"/>
        </w:rPr>
        <w:t>2</w:t>
      </w:r>
      <w:r w:rsidRPr="00D2617A">
        <w:t xml:space="preserve"> et M</w:t>
      </w:r>
      <w:r w:rsidRPr="00D2617A">
        <w:rPr>
          <w:vertAlign w:val="subscript"/>
        </w:rPr>
        <w:t>3</w:t>
      </w:r>
      <w:r w:rsidRPr="00D2617A">
        <w:rPr>
          <w:strike/>
        </w:rPr>
        <w:t xml:space="preserve"> peuvent être homologués à la demande du constructeur</w:t>
      </w:r>
      <w:r w:rsidRPr="00D2617A">
        <w:t>. »</w:t>
      </w:r>
      <w:r w:rsidR="00D2617A">
        <w:t>.</w:t>
      </w:r>
    </w:p>
    <w:p w14:paraId="59E2AE41" w14:textId="28300166" w:rsidR="00D33C55" w:rsidRPr="00D2617A" w:rsidRDefault="00D33C55" w:rsidP="00D2617A">
      <w:pPr>
        <w:pStyle w:val="SingleTxtG"/>
      </w:pPr>
      <w:bookmarkStart w:id="7" w:name="_Hlk31279123"/>
      <w:r w:rsidRPr="00D2617A">
        <w:rPr>
          <w:i/>
        </w:rPr>
        <w:t>Ajouter le paragraphe</w:t>
      </w:r>
      <w:bookmarkEnd w:id="7"/>
      <w:r w:rsidR="00CF6BD9">
        <w:rPr>
          <w:i/>
        </w:rPr>
        <w:t xml:space="preserve"> </w:t>
      </w:r>
      <w:bookmarkStart w:id="8" w:name="_GoBack"/>
      <w:bookmarkEnd w:id="8"/>
      <w:r w:rsidRPr="00D2617A">
        <w:rPr>
          <w:i/>
        </w:rPr>
        <w:t>5.5.4</w:t>
      </w:r>
      <w:r w:rsidRPr="00D2617A">
        <w:t>, ainsi libellé</w:t>
      </w:r>
      <w:r w:rsidR="00D2617A">
        <w:t> </w:t>
      </w:r>
      <w:r w:rsidRPr="00D2617A">
        <w:t>:</w:t>
      </w:r>
    </w:p>
    <w:p w14:paraId="6843D970" w14:textId="77777777" w:rsidR="00D33C55" w:rsidRPr="00D2617A" w:rsidRDefault="00D33C55" w:rsidP="00D2617A">
      <w:pPr>
        <w:pStyle w:val="SingleTxtG"/>
        <w:ind w:left="2268" w:hanging="1134"/>
        <w:rPr>
          <w:i/>
        </w:rPr>
      </w:pPr>
      <w:r w:rsidRPr="00D2617A">
        <w:rPr>
          <w:b/>
        </w:rPr>
        <w:t>« 5.5.4</w:t>
      </w:r>
      <w:r w:rsidRPr="00D2617A">
        <w:rPr>
          <w:b/>
        </w:rPr>
        <w:tab/>
        <w:t>Le signal d</w:t>
      </w:r>
      <w:r w:rsidR="00CB248A">
        <w:rPr>
          <w:b/>
        </w:rPr>
        <w:t>’</w:t>
      </w:r>
      <w:r w:rsidRPr="00D2617A">
        <w:rPr>
          <w:b/>
        </w:rPr>
        <w:t>avertissement visé au paragraphe 5.3.1.2 n</w:t>
      </w:r>
      <w:r w:rsidR="00CB248A">
        <w:rPr>
          <w:b/>
        </w:rPr>
        <w:t>’</w:t>
      </w:r>
      <w:r w:rsidRPr="00D2617A">
        <w:rPr>
          <w:b/>
        </w:rPr>
        <w:t xml:space="preserve">est pas requis </w:t>
      </w:r>
      <w:bookmarkStart w:id="9" w:name="_Hlk31279757"/>
      <w:r w:rsidRPr="00D2617A">
        <w:rPr>
          <w:b/>
        </w:rPr>
        <w:t xml:space="preserve">pour les véhicules de la catégorie </w:t>
      </w:r>
      <w:bookmarkEnd w:id="9"/>
      <w:r w:rsidRPr="00D2617A">
        <w:rPr>
          <w:b/>
        </w:rPr>
        <w:t>N</w:t>
      </w:r>
      <w:r w:rsidRPr="00D2617A">
        <w:rPr>
          <w:b/>
          <w:vertAlign w:val="subscript"/>
        </w:rPr>
        <w:t>2</w:t>
      </w:r>
      <w:r w:rsidRPr="00D2617A">
        <w:rPr>
          <w:b/>
        </w:rPr>
        <w:t xml:space="preserve"> </w:t>
      </w:r>
      <w:bookmarkStart w:id="10" w:name="_Hlk31280292"/>
      <w:r w:rsidRPr="00D2617A">
        <w:rPr>
          <w:b/>
        </w:rPr>
        <w:t>d</w:t>
      </w:r>
      <w:r w:rsidR="00CB248A">
        <w:rPr>
          <w:b/>
        </w:rPr>
        <w:t>’</w:t>
      </w:r>
      <w:r w:rsidRPr="00D2617A">
        <w:rPr>
          <w:b/>
        </w:rPr>
        <w:t xml:space="preserve">une masse maximale techniquement admissible ne dépassant pas 8 t </w:t>
      </w:r>
      <w:bookmarkEnd w:id="10"/>
      <w:r w:rsidRPr="00D2617A">
        <w:rPr>
          <w:b/>
        </w:rPr>
        <w:t>et pour les véhicules de la catégorie M</w:t>
      </w:r>
      <w:r w:rsidRPr="00D2617A">
        <w:rPr>
          <w:b/>
          <w:vertAlign w:val="subscript"/>
        </w:rPr>
        <w:t>2</w:t>
      </w:r>
      <w:r w:rsidRPr="00D2617A">
        <w:rPr>
          <w:b/>
        </w:rPr>
        <w:t>.</w:t>
      </w:r>
      <w:r w:rsidRPr="00D2617A">
        <w:t> »</w:t>
      </w:r>
      <w:r w:rsidR="00CB248A">
        <w:t>.</w:t>
      </w:r>
    </w:p>
    <w:p w14:paraId="0DF99820" w14:textId="77777777" w:rsidR="00D33C55" w:rsidRPr="00D2617A" w:rsidRDefault="00D33C55" w:rsidP="00D2617A">
      <w:pPr>
        <w:pStyle w:val="SingleTxtG"/>
      </w:pPr>
      <w:bookmarkStart w:id="11" w:name="_Hlk31279144"/>
      <w:r w:rsidRPr="00D2617A">
        <w:rPr>
          <w:i/>
        </w:rPr>
        <w:t xml:space="preserve">Ajouter le paragraphe </w:t>
      </w:r>
      <w:bookmarkEnd w:id="11"/>
      <w:r w:rsidRPr="00D2617A">
        <w:rPr>
          <w:i/>
        </w:rPr>
        <w:t>6.5.11</w:t>
      </w:r>
      <w:r w:rsidRPr="00D2617A">
        <w:t>, ainsi libellé</w:t>
      </w:r>
      <w:r w:rsidR="00CB248A">
        <w:t> </w:t>
      </w:r>
      <w:r w:rsidRPr="00D2617A">
        <w:t>:</w:t>
      </w:r>
    </w:p>
    <w:p w14:paraId="3B4DAF75" w14:textId="77777777" w:rsidR="00D33C55" w:rsidRPr="00D2617A" w:rsidRDefault="00D33C55" w:rsidP="00D2617A">
      <w:pPr>
        <w:pStyle w:val="SingleTxtG"/>
        <w:ind w:left="2268" w:hanging="1134"/>
      </w:pPr>
      <w:r w:rsidRPr="00D2617A">
        <w:t>« </w:t>
      </w:r>
      <w:r w:rsidRPr="00D2617A">
        <w:rPr>
          <w:b/>
        </w:rPr>
        <w:t>6.5.11</w:t>
      </w:r>
      <w:r w:rsidRPr="00D2617A">
        <w:rPr>
          <w:b/>
        </w:rPr>
        <w:tab/>
      </w:r>
      <w:bookmarkStart w:id="12" w:name="_Hlk31281624"/>
      <w:r w:rsidRPr="00D2617A">
        <w:rPr>
          <w:b/>
        </w:rPr>
        <w:t>Les véhicules de la catégorie N</w:t>
      </w:r>
      <w:r w:rsidRPr="00D2617A">
        <w:rPr>
          <w:b/>
          <w:vertAlign w:val="subscript"/>
        </w:rPr>
        <w:t>2</w:t>
      </w:r>
      <w:r w:rsidRPr="00D2617A">
        <w:rPr>
          <w:b/>
        </w:rPr>
        <w:t xml:space="preserve"> d</w:t>
      </w:r>
      <w:r w:rsidR="00CB248A">
        <w:rPr>
          <w:b/>
        </w:rPr>
        <w:t>’</w:t>
      </w:r>
      <w:r w:rsidRPr="00D2617A">
        <w:rPr>
          <w:b/>
        </w:rPr>
        <w:t>une masse maximale techniquement admissible ne dépassant pas 8 t et les véhicules de la catégorie M</w:t>
      </w:r>
      <w:r w:rsidRPr="00D2617A">
        <w:rPr>
          <w:b/>
          <w:vertAlign w:val="subscript"/>
        </w:rPr>
        <w:t>2</w:t>
      </w:r>
      <w:r w:rsidRPr="00D2617A">
        <w:rPr>
          <w:b/>
        </w:rPr>
        <w:t xml:space="preserve"> sont réputés satisfaire aux prescriptions du paragraphe </w:t>
      </w:r>
      <w:bookmarkEnd w:id="12"/>
      <w:r w:rsidRPr="00D2617A">
        <w:rPr>
          <w:b/>
        </w:rPr>
        <w:t xml:space="preserve">6.5 </w:t>
      </w:r>
      <w:bookmarkStart w:id="13" w:name="_Hlk31281644"/>
      <w:r w:rsidRPr="00D2617A">
        <w:rPr>
          <w:b/>
        </w:rPr>
        <w:t>si le signal d</w:t>
      </w:r>
      <w:r w:rsidR="00CB248A">
        <w:rPr>
          <w:b/>
        </w:rPr>
        <w:t>’</w:t>
      </w:r>
      <w:r w:rsidRPr="00D2617A">
        <w:rPr>
          <w:b/>
        </w:rPr>
        <w:t>information sur l</w:t>
      </w:r>
      <w:r w:rsidR="00CB248A">
        <w:rPr>
          <w:b/>
        </w:rPr>
        <w:t>’</w:t>
      </w:r>
      <w:r w:rsidRPr="00D2617A">
        <w:rPr>
          <w:b/>
        </w:rPr>
        <w:t>angle mort s</w:t>
      </w:r>
      <w:r w:rsidR="00CB248A">
        <w:rPr>
          <w:b/>
        </w:rPr>
        <w:t>’</w:t>
      </w:r>
      <w:r w:rsidRPr="00D2617A">
        <w:rPr>
          <w:b/>
        </w:rPr>
        <w:t xml:space="preserve">active </w:t>
      </w:r>
      <w:bookmarkEnd w:id="13"/>
      <w:r w:rsidRPr="00D2617A">
        <w:rPr>
          <w:b/>
        </w:rPr>
        <w:t>lorsque le vélo cible est déplacé vers l</w:t>
      </w:r>
      <w:r w:rsidR="00CB248A">
        <w:rPr>
          <w:b/>
        </w:rPr>
        <w:t>’</w:t>
      </w:r>
      <w:r w:rsidRPr="00D2617A">
        <w:rPr>
          <w:b/>
        </w:rPr>
        <w:t>avant, vers l</w:t>
      </w:r>
      <w:r w:rsidR="00CB248A">
        <w:rPr>
          <w:b/>
        </w:rPr>
        <w:t>’</w:t>
      </w:r>
      <w:r w:rsidRPr="00D2617A">
        <w:rPr>
          <w:b/>
        </w:rPr>
        <w:t>arrière ou de latéralement dans une zone adjacente au véhicule en mouvement ou à l</w:t>
      </w:r>
      <w:r w:rsidR="00CB248A">
        <w:rPr>
          <w:b/>
        </w:rPr>
        <w:t>’</w:t>
      </w:r>
      <w:r w:rsidRPr="00D2617A">
        <w:rPr>
          <w:b/>
        </w:rPr>
        <w:t>arrêt. Dans ce cas, l</w:t>
      </w:r>
      <w:r w:rsidR="00CB248A">
        <w:rPr>
          <w:b/>
        </w:rPr>
        <w:t>’</w:t>
      </w:r>
      <w:r w:rsidRPr="00D2617A">
        <w:rPr>
          <w:b/>
        </w:rPr>
        <w:t>activation se fait conformément aux spécifications du constructeur.</w:t>
      </w:r>
      <w:r w:rsidRPr="00D2617A">
        <w:t> »</w:t>
      </w:r>
      <w:r w:rsidR="00CB248A">
        <w:t>.</w:t>
      </w:r>
    </w:p>
    <w:p w14:paraId="2E50FF4F" w14:textId="77777777" w:rsidR="00D33C55" w:rsidRPr="00D2617A" w:rsidRDefault="00D33C55" w:rsidP="00D2617A">
      <w:pPr>
        <w:pStyle w:val="SingleTxtG"/>
      </w:pPr>
      <w:r w:rsidRPr="00CB248A">
        <w:rPr>
          <w:i/>
        </w:rPr>
        <w:t>Ajouter le paragraphe 6.6.3</w:t>
      </w:r>
      <w:r w:rsidRPr="00CB248A">
        <w:t>, ainsi libellé</w:t>
      </w:r>
      <w:r w:rsidR="00CB248A">
        <w:t> </w:t>
      </w:r>
      <w:r w:rsidRPr="00CB248A">
        <w:t>:</w:t>
      </w:r>
    </w:p>
    <w:p w14:paraId="745F5170" w14:textId="77777777" w:rsidR="00D33C55" w:rsidRPr="00D2617A" w:rsidRDefault="00D33C55" w:rsidP="00CB248A">
      <w:pPr>
        <w:pStyle w:val="SingleTxtG"/>
        <w:ind w:left="2268" w:hanging="1134"/>
      </w:pPr>
      <w:r w:rsidRPr="00D2617A">
        <w:t>« </w:t>
      </w:r>
      <w:r w:rsidRPr="00D2617A">
        <w:rPr>
          <w:b/>
        </w:rPr>
        <w:t>6.6.3</w:t>
      </w:r>
      <w:r w:rsidRPr="00D2617A">
        <w:rPr>
          <w:b/>
        </w:rPr>
        <w:tab/>
      </w:r>
      <w:r w:rsidRPr="00CB248A">
        <w:rPr>
          <w:b/>
        </w:rPr>
        <w:t>Les véhicules de la catégorie N</w:t>
      </w:r>
      <w:r w:rsidRPr="00CB248A">
        <w:rPr>
          <w:b/>
          <w:vertAlign w:val="subscript"/>
        </w:rPr>
        <w:t>2</w:t>
      </w:r>
      <w:r w:rsidRPr="00CB248A">
        <w:rPr>
          <w:b/>
        </w:rPr>
        <w:t xml:space="preserve"> d</w:t>
      </w:r>
      <w:r w:rsidR="00CB248A" w:rsidRPr="00CB248A">
        <w:rPr>
          <w:b/>
        </w:rPr>
        <w:t>’</w:t>
      </w:r>
      <w:r w:rsidRPr="00CB248A">
        <w:rPr>
          <w:b/>
        </w:rPr>
        <w:t>une masse maximale techniquement admissible ne dépassant pas 8 t et les véhicules de la catégorie M</w:t>
      </w:r>
      <w:r w:rsidRPr="00CB248A">
        <w:rPr>
          <w:b/>
          <w:vertAlign w:val="subscript"/>
        </w:rPr>
        <w:t>2</w:t>
      </w:r>
      <w:r w:rsidRPr="00CB248A">
        <w:rPr>
          <w:b/>
        </w:rPr>
        <w:t xml:space="preserve"> sont réputés satisfaire aux prescriptions du paragraphe 6.6 si le signal d</w:t>
      </w:r>
      <w:r w:rsidR="00CB248A" w:rsidRPr="00CB248A">
        <w:rPr>
          <w:b/>
        </w:rPr>
        <w:t>’</w:t>
      </w:r>
      <w:r w:rsidRPr="00CB248A">
        <w:rPr>
          <w:b/>
        </w:rPr>
        <w:t>information sur l</w:t>
      </w:r>
      <w:r w:rsidR="00CB248A" w:rsidRPr="00CB248A">
        <w:rPr>
          <w:b/>
        </w:rPr>
        <w:t>’</w:t>
      </w:r>
      <w:r w:rsidRPr="00CB248A">
        <w:rPr>
          <w:b/>
        </w:rPr>
        <w:t>angle mort s</w:t>
      </w:r>
      <w:r w:rsidR="00CB248A" w:rsidRPr="00CB248A">
        <w:rPr>
          <w:b/>
        </w:rPr>
        <w:t>’</w:t>
      </w:r>
      <w:r w:rsidRPr="00CB248A">
        <w:rPr>
          <w:b/>
        </w:rPr>
        <w:t>active lorsque le vélo cible est déplacé longitudinalement vers l</w:t>
      </w:r>
      <w:r w:rsidR="00CB248A" w:rsidRPr="00CB248A">
        <w:rPr>
          <w:b/>
        </w:rPr>
        <w:t>’</w:t>
      </w:r>
      <w:r w:rsidRPr="00CB248A">
        <w:rPr>
          <w:b/>
        </w:rPr>
        <w:t>avant, depuis l</w:t>
      </w:r>
      <w:r w:rsidR="00CB248A" w:rsidRPr="00CB248A">
        <w:rPr>
          <w:b/>
        </w:rPr>
        <w:t>’</w:t>
      </w:r>
      <w:r w:rsidRPr="00CB248A">
        <w:rPr>
          <w:b/>
        </w:rPr>
        <w:t>arrière, dans une</w:t>
      </w:r>
      <w:r w:rsidRPr="00D2617A">
        <w:rPr>
          <w:b/>
        </w:rPr>
        <w:t xml:space="preserve"> zone adjacente au véhicule d</w:t>
      </w:r>
      <w:r w:rsidR="00CB248A">
        <w:rPr>
          <w:b/>
        </w:rPr>
        <w:t>’</w:t>
      </w:r>
      <w:r w:rsidRPr="00D2617A">
        <w:rPr>
          <w:b/>
        </w:rPr>
        <w:t>une largeur de 3 m et d</w:t>
      </w:r>
      <w:r w:rsidR="00CB248A">
        <w:rPr>
          <w:b/>
        </w:rPr>
        <w:t>’</w:t>
      </w:r>
      <w:r w:rsidRPr="00D2617A">
        <w:rPr>
          <w:b/>
        </w:rPr>
        <w:t>une longueur de 5 m vers l</w:t>
      </w:r>
      <w:r w:rsidR="00CB248A">
        <w:rPr>
          <w:b/>
        </w:rPr>
        <w:t>’</w:t>
      </w:r>
      <w:r w:rsidRPr="00D2617A">
        <w:rPr>
          <w:b/>
        </w:rPr>
        <w:t>arrière mesurée à partir de l</w:t>
      </w:r>
      <w:r w:rsidR="00CB248A">
        <w:rPr>
          <w:b/>
        </w:rPr>
        <w:t>’</w:t>
      </w:r>
      <w:r w:rsidRPr="00D2617A">
        <w:rPr>
          <w:b/>
        </w:rPr>
        <w:t>angle avant droit du véhicule ou jusqu</w:t>
      </w:r>
      <w:r w:rsidR="00CB248A">
        <w:rPr>
          <w:b/>
        </w:rPr>
        <w:t>’</w:t>
      </w:r>
      <w:r w:rsidRPr="00D2617A">
        <w:rPr>
          <w:b/>
        </w:rPr>
        <w:t>à l</w:t>
      </w:r>
      <w:r w:rsidR="00CB248A">
        <w:rPr>
          <w:b/>
        </w:rPr>
        <w:t>’</w:t>
      </w:r>
      <w:r w:rsidRPr="00D2617A">
        <w:rPr>
          <w:b/>
        </w:rPr>
        <w:t>arrière du véhicule si la distance entre l</w:t>
      </w:r>
      <w:r w:rsidR="00CB248A">
        <w:rPr>
          <w:b/>
        </w:rPr>
        <w:t>’</w:t>
      </w:r>
      <w:r w:rsidRPr="00D2617A">
        <w:rPr>
          <w:b/>
        </w:rPr>
        <w:t>angle avant droit du véhicule et l</w:t>
      </w:r>
      <w:r w:rsidR="00CB248A">
        <w:rPr>
          <w:b/>
        </w:rPr>
        <w:t>’</w:t>
      </w:r>
      <w:r w:rsidRPr="00D2617A">
        <w:rPr>
          <w:b/>
        </w:rPr>
        <w:t>arrière du véhicule est supérieure à 5 m. Dans ce cas, l</w:t>
      </w:r>
      <w:r w:rsidR="00CB248A">
        <w:rPr>
          <w:b/>
        </w:rPr>
        <w:t>’</w:t>
      </w:r>
      <w:r w:rsidRPr="00D2617A">
        <w:rPr>
          <w:b/>
        </w:rPr>
        <w:t>activation doit se produire avant que le vélo cible soit entré en totalité dans la zone.</w:t>
      </w:r>
      <w:r w:rsidRPr="00D2617A">
        <w:t> »</w:t>
      </w:r>
      <w:r w:rsidR="00CB248A">
        <w:t>.</w:t>
      </w:r>
    </w:p>
    <w:p w14:paraId="07C42A6E" w14:textId="77777777" w:rsidR="00D33C55" w:rsidRPr="00D2617A" w:rsidRDefault="00D33C55" w:rsidP="00CB248A">
      <w:pPr>
        <w:pStyle w:val="HChG"/>
      </w:pPr>
      <w:r w:rsidRPr="00D2617A">
        <w:tab/>
        <w:t>II.</w:t>
      </w:r>
      <w:r w:rsidRPr="00D2617A">
        <w:tab/>
        <w:t>Justification</w:t>
      </w:r>
    </w:p>
    <w:p w14:paraId="0B9C7171" w14:textId="77777777" w:rsidR="00D33C55" w:rsidRPr="00D2617A" w:rsidRDefault="00D33C55" w:rsidP="00D33C55">
      <w:pPr>
        <w:pStyle w:val="SingleTxtG"/>
        <w:spacing w:line="240" w:lineRule="auto"/>
      </w:pPr>
      <w:r w:rsidRPr="00D2617A">
        <w:t>1.</w:t>
      </w:r>
      <w:r w:rsidRPr="00D2617A">
        <w:tab/>
        <w:t>La présente proposition donnera aux Parties contractantes la possibilité d</w:t>
      </w:r>
      <w:r w:rsidR="00CB248A">
        <w:t>’</w:t>
      </w:r>
      <w:r w:rsidRPr="00D2617A">
        <w:t>appliquer les prescriptions relatives aux systèmes de surveillance de l</w:t>
      </w:r>
      <w:r w:rsidR="00CB248A">
        <w:t>’</w:t>
      </w:r>
      <w:r w:rsidRPr="00D2617A">
        <w:t xml:space="preserve">angle mort à tous les camions et autobus, y compris aux modèles petits et légers. </w:t>
      </w:r>
    </w:p>
    <w:p w14:paraId="0BB8A75D" w14:textId="77777777" w:rsidR="00D33C55" w:rsidRPr="00D2617A" w:rsidRDefault="00D33C55" w:rsidP="00D33C55">
      <w:pPr>
        <w:pStyle w:val="SingleTxtG"/>
        <w:spacing w:line="240" w:lineRule="auto"/>
      </w:pPr>
      <w:r w:rsidRPr="00D2617A">
        <w:t>2.</w:t>
      </w:r>
      <w:r w:rsidRPr="00D2617A">
        <w:tab/>
        <w:t>Étant donné que les véhicules utilitaires légers et les minibus peuvent être équipés de systèmes de surveillance de l</w:t>
      </w:r>
      <w:r w:rsidR="00CB248A">
        <w:t>’</w:t>
      </w:r>
      <w:r w:rsidRPr="00D2617A">
        <w:t>angle mort similaires à ceux qui équipent les voitures particulières, les dispositions concernant ces véhicules ont été adaptées.</w:t>
      </w:r>
    </w:p>
    <w:p w14:paraId="45F94DD0" w14:textId="77777777" w:rsidR="00D33C55" w:rsidRPr="00D2617A" w:rsidRDefault="00D33C55" w:rsidP="00D33C55">
      <w:pPr>
        <w:pStyle w:val="SingleTxtG"/>
        <w:spacing w:line="240" w:lineRule="auto"/>
      </w:pPr>
      <w:r w:rsidRPr="00D2617A">
        <w:t>3.</w:t>
      </w:r>
      <w:r w:rsidRPr="00D2617A">
        <w:tab/>
        <w:t>L</w:t>
      </w:r>
      <w:r w:rsidR="00CB248A">
        <w:t>’</w:t>
      </w:r>
      <w:r w:rsidRPr="00D2617A">
        <w:t>élargissement du champ d</w:t>
      </w:r>
      <w:r w:rsidR="00CB248A">
        <w:t>’</w:t>
      </w:r>
      <w:r w:rsidRPr="00D2617A">
        <w:t>application devra être mis en pratique dans l</w:t>
      </w:r>
      <w:r w:rsidR="00CB248A">
        <w:t>’</w:t>
      </w:r>
      <w:r w:rsidRPr="00D2617A">
        <w:t>Union européenne en application de la version révisée du Règlement (UE) 2019/2144 relatif à la sécurité générale qui entrera en vigueur le 6 juillet 2022 pour les nouveaux types de véhicule et le 7 juillet 2024 pour tous les nouveaux véhicules.</w:t>
      </w:r>
    </w:p>
    <w:p w14:paraId="082AF2CB" w14:textId="77777777" w:rsidR="00D33C55" w:rsidRPr="00D33C55" w:rsidRDefault="00D33C55" w:rsidP="00D33C5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33C55" w:rsidRPr="00D33C55" w:rsidSect="00D33C5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F9159" w14:textId="77777777" w:rsidR="00D64FA8" w:rsidRDefault="00D64FA8" w:rsidP="00F95C08">
      <w:pPr>
        <w:spacing w:line="240" w:lineRule="auto"/>
      </w:pPr>
    </w:p>
  </w:endnote>
  <w:endnote w:type="continuationSeparator" w:id="0">
    <w:p w14:paraId="0CAFBE0A" w14:textId="77777777" w:rsidR="00D64FA8" w:rsidRPr="00AC3823" w:rsidRDefault="00D64FA8" w:rsidP="00AC3823">
      <w:pPr>
        <w:pStyle w:val="Pieddepage"/>
      </w:pPr>
    </w:p>
  </w:endnote>
  <w:endnote w:type="continuationNotice" w:id="1">
    <w:p w14:paraId="04975B9F" w14:textId="77777777" w:rsidR="00D64FA8" w:rsidRDefault="00D64F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2954" w14:textId="77777777" w:rsidR="00D33C55" w:rsidRPr="00D33C55" w:rsidRDefault="00D33C55" w:rsidP="00D33C55">
    <w:pPr>
      <w:pStyle w:val="Pieddepage"/>
      <w:tabs>
        <w:tab w:val="right" w:pos="9638"/>
      </w:tabs>
    </w:pPr>
    <w:r w:rsidRPr="00D33C55">
      <w:rPr>
        <w:b/>
        <w:sz w:val="18"/>
      </w:rPr>
      <w:fldChar w:fldCharType="begin"/>
    </w:r>
    <w:r w:rsidRPr="00D33C55">
      <w:rPr>
        <w:b/>
        <w:sz w:val="18"/>
      </w:rPr>
      <w:instrText xml:space="preserve"> PAGE  \* MERGEFORMAT </w:instrText>
    </w:r>
    <w:r w:rsidRPr="00D33C55">
      <w:rPr>
        <w:b/>
        <w:sz w:val="18"/>
      </w:rPr>
      <w:fldChar w:fldCharType="separate"/>
    </w:r>
    <w:r w:rsidRPr="00D33C55">
      <w:rPr>
        <w:b/>
        <w:noProof/>
        <w:sz w:val="18"/>
      </w:rPr>
      <w:t>2</w:t>
    </w:r>
    <w:r w:rsidRPr="00D33C55">
      <w:rPr>
        <w:b/>
        <w:sz w:val="18"/>
      </w:rPr>
      <w:fldChar w:fldCharType="end"/>
    </w:r>
    <w:r>
      <w:rPr>
        <w:b/>
        <w:sz w:val="18"/>
      </w:rPr>
      <w:tab/>
    </w:r>
    <w:r>
      <w:t>GE.20-00791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35ACB" w14:textId="77777777" w:rsidR="00D33C55" w:rsidRPr="00D33C55" w:rsidRDefault="00D33C55" w:rsidP="00D33C55">
    <w:pPr>
      <w:pStyle w:val="Pieddepage"/>
      <w:tabs>
        <w:tab w:val="right" w:pos="9638"/>
      </w:tabs>
      <w:rPr>
        <w:b/>
        <w:sz w:val="18"/>
      </w:rPr>
    </w:pPr>
    <w:r>
      <w:t>GE.20-00791</w:t>
    </w:r>
    <w:r>
      <w:tab/>
    </w:r>
    <w:r w:rsidRPr="00D33C55">
      <w:rPr>
        <w:b/>
        <w:sz w:val="18"/>
      </w:rPr>
      <w:fldChar w:fldCharType="begin"/>
    </w:r>
    <w:r w:rsidRPr="00D33C55">
      <w:rPr>
        <w:b/>
        <w:sz w:val="18"/>
      </w:rPr>
      <w:instrText xml:space="preserve"> PAGE  \* MERGEFORMAT </w:instrText>
    </w:r>
    <w:r w:rsidRPr="00D33C55">
      <w:rPr>
        <w:b/>
        <w:sz w:val="18"/>
      </w:rPr>
      <w:fldChar w:fldCharType="separate"/>
    </w:r>
    <w:r w:rsidRPr="00D33C55">
      <w:rPr>
        <w:b/>
        <w:noProof/>
        <w:sz w:val="18"/>
      </w:rPr>
      <w:t>3</w:t>
    </w:r>
    <w:r w:rsidRPr="00D33C5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2B21A" w14:textId="77777777" w:rsidR="007F20FA" w:rsidRPr="00D33C55" w:rsidRDefault="00D33C55" w:rsidP="00D33C55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2A4BDD4" wp14:editId="55131BD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20-00791  (F)    040220    050220</w:t>
    </w:r>
    <w:r>
      <w:rPr>
        <w:sz w:val="20"/>
      </w:rPr>
      <w:br/>
    </w:r>
    <w:r w:rsidRPr="00D33C55">
      <w:rPr>
        <w:rFonts w:ascii="C39T30Lfz" w:hAnsi="C39T30Lfz"/>
        <w:sz w:val="56"/>
      </w:rPr>
      <w:t></w:t>
    </w:r>
    <w:r w:rsidRPr="00D33C55">
      <w:rPr>
        <w:rFonts w:ascii="C39T30Lfz" w:hAnsi="C39T30Lfz"/>
        <w:sz w:val="56"/>
      </w:rPr>
      <w:t></w:t>
    </w:r>
    <w:r w:rsidRPr="00D33C55">
      <w:rPr>
        <w:rFonts w:ascii="C39T30Lfz" w:hAnsi="C39T30Lfz"/>
        <w:sz w:val="56"/>
      </w:rPr>
      <w:t></w:t>
    </w:r>
    <w:r w:rsidRPr="00D33C55">
      <w:rPr>
        <w:rFonts w:ascii="C39T30Lfz" w:hAnsi="C39T30Lfz"/>
        <w:sz w:val="56"/>
      </w:rPr>
      <w:t></w:t>
    </w:r>
    <w:r w:rsidRPr="00D33C55">
      <w:rPr>
        <w:rFonts w:ascii="C39T30Lfz" w:hAnsi="C39T30Lfz"/>
        <w:sz w:val="56"/>
      </w:rPr>
      <w:t></w:t>
    </w:r>
    <w:r w:rsidRPr="00D33C55">
      <w:rPr>
        <w:rFonts w:ascii="C39T30Lfz" w:hAnsi="C39T30Lfz"/>
        <w:sz w:val="56"/>
      </w:rPr>
      <w:t></w:t>
    </w:r>
    <w:r w:rsidRPr="00D33C55">
      <w:rPr>
        <w:rFonts w:ascii="C39T30Lfz" w:hAnsi="C39T30Lfz"/>
        <w:sz w:val="56"/>
      </w:rPr>
      <w:t></w:t>
    </w:r>
    <w:r w:rsidRPr="00D33C55">
      <w:rPr>
        <w:rFonts w:ascii="C39T30Lfz" w:hAnsi="C39T30Lfz"/>
        <w:sz w:val="56"/>
      </w:rPr>
      <w:t></w:t>
    </w:r>
    <w:r w:rsidRPr="00D33C55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4F7E29E" wp14:editId="04BD843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20/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20/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9F1F7" w14:textId="77777777" w:rsidR="00D64FA8" w:rsidRPr="00AC3823" w:rsidRDefault="00D64FA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C06557" w14:textId="77777777" w:rsidR="00D64FA8" w:rsidRPr="00AC3823" w:rsidRDefault="00D64FA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1459436" w14:textId="77777777" w:rsidR="00D64FA8" w:rsidRPr="00AC3823" w:rsidRDefault="00D64FA8">
      <w:pPr>
        <w:spacing w:line="240" w:lineRule="auto"/>
        <w:rPr>
          <w:sz w:val="2"/>
          <w:szCs w:val="2"/>
        </w:rPr>
      </w:pPr>
    </w:p>
  </w:footnote>
  <w:footnote w:id="2">
    <w:p w14:paraId="758704E1" w14:textId="77777777" w:rsidR="00D33C55" w:rsidRPr="00D33C55" w:rsidRDefault="00D33C55" w:rsidP="00D33C55">
      <w:pPr>
        <w:pStyle w:val="Notedebasdepage"/>
      </w:pPr>
      <w:r>
        <w:rPr>
          <w:rStyle w:val="Appelnotedebasdep"/>
        </w:rPr>
        <w:tab/>
      </w:r>
      <w:r w:rsidRPr="00D33C55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D33C55">
        <w:rPr>
          <w:szCs w:val="18"/>
        </w:rPr>
        <w:t>Conformément au programme de travail du Comité des transports intérieurs pour 2020 tel qu’il figure dans le projet de budget-programme pour 2020 (A/74/6 (titre V, chap. 20), par. 20.37),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106F9" w14:textId="525BD70E" w:rsidR="00D33C55" w:rsidRPr="00D33C55" w:rsidRDefault="00D33C55">
    <w:pPr>
      <w:pStyle w:val="En-tte"/>
    </w:pPr>
    <w:fldSimple w:instr=" TITLE  \* MERGEFORMAT ">
      <w:r w:rsidR="000A4D54">
        <w:t>ECE/TRANS/WP.29/GRSG/2020/7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274C8" w14:textId="0783B8BB" w:rsidR="00D33C55" w:rsidRPr="00D33C55" w:rsidRDefault="00D33C55" w:rsidP="00D33C55">
    <w:pPr>
      <w:pStyle w:val="En-tte"/>
      <w:jc w:val="right"/>
    </w:pPr>
    <w:fldSimple w:instr=" TITLE  \* MERGEFORMAT ">
      <w:r w:rsidR="000A4D54">
        <w:t>ECE/TRANS/WP.29/GRSG/2020/7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64FA8"/>
    <w:rsid w:val="00017F94"/>
    <w:rsid w:val="00023842"/>
    <w:rsid w:val="000334F9"/>
    <w:rsid w:val="00045FEB"/>
    <w:rsid w:val="0007796D"/>
    <w:rsid w:val="000A4D54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71DC7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CB248A"/>
    <w:rsid w:val="00CF6BD9"/>
    <w:rsid w:val="00D2617A"/>
    <w:rsid w:val="00D33C55"/>
    <w:rsid w:val="00D3439C"/>
    <w:rsid w:val="00D64FA8"/>
    <w:rsid w:val="00DB1831"/>
    <w:rsid w:val="00DD3BFD"/>
    <w:rsid w:val="00DF6678"/>
    <w:rsid w:val="00E0299A"/>
    <w:rsid w:val="00E85C74"/>
    <w:rsid w:val="00E87C4F"/>
    <w:rsid w:val="00EA6547"/>
    <w:rsid w:val="00EF2E22"/>
    <w:rsid w:val="00F27593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DD978B"/>
  <w15:docId w15:val="{9A6FFF4E-C2F5-4DB0-AE67-89D32438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D33C5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D33C55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para">
    <w:name w:val="para"/>
    <w:basedOn w:val="Normal"/>
    <w:link w:val="paraChar"/>
    <w:rsid w:val="00D33C55"/>
    <w:pPr>
      <w:suppressAutoHyphens w:val="0"/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  <w:snapToGrid w:val="0"/>
      <w:lang w:val="fr-FR"/>
    </w:rPr>
  </w:style>
  <w:style w:type="character" w:customStyle="1" w:styleId="paraChar">
    <w:name w:val="para Char"/>
    <w:link w:val="para"/>
    <w:rsid w:val="00D33C55"/>
    <w:rPr>
      <w:rFonts w:ascii="Times New Roman" w:hAnsi="Times New Roman" w:cs="Times New Roman"/>
      <w:snapToGrid w:val="0"/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613</Words>
  <Characters>3329</Characters>
  <Application>Microsoft Office Word</Application>
  <DocSecurity>0</DocSecurity>
  <Lines>73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ECE/TRANS/WP.29/GRSG/2020/7</vt:lpstr>
    </vt:vector>
  </TitlesOfParts>
  <Company>DCM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ECE/TRANS/WP.29/GRSG/2020/7</dc:title>
  <dc:subject/>
  <dc:creator>Sandrine CLERE</dc:creator>
  <cp:keywords/>
  <cp:lastModifiedBy>Sandrine Clere</cp:lastModifiedBy>
  <cp:revision>3</cp:revision>
  <cp:lastPrinted>2020-02-05T06:30:00Z</cp:lastPrinted>
  <dcterms:created xsi:type="dcterms:W3CDTF">2020-02-05T06:30:00Z</dcterms:created>
  <dcterms:modified xsi:type="dcterms:W3CDTF">2020-02-05T06:31:00Z</dcterms:modified>
</cp:coreProperties>
</file>